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0B170" w14:textId="77777777" w:rsidR="00311616" w:rsidRPr="00550561" w:rsidRDefault="00311616" w:rsidP="00311616">
      <w:pPr>
        <w:spacing w:line="360" w:lineRule="auto"/>
        <w:jc w:val="center"/>
        <w:rPr>
          <w:sz w:val="36"/>
          <w:szCs w:val="36"/>
        </w:rPr>
      </w:pPr>
      <w:r w:rsidRPr="00550561">
        <w:rPr>
          <w:sz w:val="36"/>
          <w:szCs w:val="36"/>
        </w:rPr>
        <w:t>Acceptability of a proposed practice pharmacist-led review for opioid-treated patients with persistent pain: A qualitative study to inform intervention development</w:t>
      </w:r>
    </w:p>
    <w:p w14:paraId="287413B8" w14:textId="77777777" w:rsidR="00311616" w:rsidRPr="00550561" w:rsidRDefault="00311616" w:rsidP="00311616">
      <w:pPr>
        <w:spacing w:line="360" w:lineRule="auto"/>
        <w:rPr>
          <w:b/>
          <w:bCs/>
        </w:rPr>
      </w:pPr>
    </w:p>
    <w:p w14:paraId="08254167" w14:textId="77777777" w:rsidR="00311616" w:rsidRPr="00550561" w:rsidRDefault="00311616" w:rsidP="00311616">
      <w:pPr>
        <w:spacing w:line="360" w:lineRule="auto"/>
      </w:pPr>
      <w:r w:rsidRPr="00550561">
        <w:t>Cornwall Nicola</w:t>
      </w:r>
      <w:r w:rsidRPr="00550561">
        <w:rPr>
          <w:vertAlign w:val="superscript"/>
        </w:rPr>
        <w:t>1</w:t>
      </w:r>
      <w:r w:rsidRPr="00550561">
        <w:t>, Woodcock Charlotte</w:t>
      </w:r>
      <w:r w:rsidRPr="00550561">
        <w:rPr>
          <w:vertAlign w:val="superscript"/>
        </w:rPr>
        <w:t>1</w:t>
      </w:r>
      <w:r w:rsidRPr="00550561">
        <w:t>, Ashworth Julie</w:t>
      </w:r>
      <w:r w:rsidRPr="00550561">
        <w:rPr>
          <w:vertAlign w:val="superscript"/>
        </w:rPr>
        <w:t>1,2</w:t>
      </w:r>
      <w:r w:rsidRPr="00550561">
        <w:t xml:space="preserve">, </w:t>
      </w:r>
      <w:proofErr w:type="spellStart"/>
      <w:r w:rsidRPr="00550561">
        <w:t>Harrisson</w:t>
      </w:r>
      <w:proofErr w:type="spellEnd"/>
      <w:r w:rsidRPr="00550561">
        <w:t xml:space="preserve"> Sarah A</w:t>
      </w:r>
      <w:r w:rsidRPr="00550561">
        <w:rPr>
          <w:vertAlign w:val="superscript"/>
        </w:rPr>
        <w:t>1,2</w:t>
      </w:r>
      <w:r w:rsidRPr="00550561">
        <w:t xml:space="preserve">, </w:t>
      </w:r>
      <w:proofErr w:type="spellStart"/>
      <w:r w:rsidRPr="00550561">
        <w:t>Dikomitis</w:t>
      </w:r>
      <w:proofErr w:type="spellEnd"/>
      <w:r w:rsidRPr="00550561">
        <w:t xml:space="preserve"> Lisa</w:t>
      </w:r>
      <w:r w:rsidRPr="00550561">
        <w:rPr>
          <w:vertAlign w:val="superscript"/>
        </w:rPr>
        <w:t>3</w:t>
      </w:r>
      <w:r w:rsidRPr="00550561">
        <w:t>, White Simon</w:t>
      </w:r>
      <w:r w:rsidRPr="00550561">
        <w:rPr>
          <w:vertAlign w:val="superscript"/>
        </w:rPr>
        <w:t>4</w:t>
      </w:r>
      <w:r w:rsidRPr="00550561">
        <w:t>, Helliwell Toby</w:t>
      </w:r>
      <w:r w:rsidRPr="00550561">
        <w:rPr>
          <w:vertAlign w:val="superscript"/>
        </w:rPr>
        <w:t>1,2</w:t>
      </w:r>
      <w:r w:rsidRPr="00550561">
        <w:t>, Hodgson E</w:t>
      </w:r>
      <w:r w:rsidRPr="00550561">
        <w:rPr>
          <w:vertAlign w:val="superscript"/>
        </w:rPr>
        <w:t>5</w:t>
      </w:r>
      <w:r w:rsidRPr="00550561">
        <w:t>, Knaggs Roger</w:t>
      </w:r>
      <w:r w:rsidRPr="00550561">
        <w:rPr>
          <w:vertAlign w:val="superscript"/>
        </w:rPr>
        <w:t>6,7,8</w:t>
      </w:r>
      <w:r w:rsidRPr="00550561">
        <w:t>, Pincus Tamar</w:t>
      </w:r>
      <w:r w:rsidRPr="00550561">
        <w:rPr>
          <w:vertAlign w:val="superscript"/>
        </w:rPr>
        <w:t>9</w:t>
      </w:r>
      <w:r w:rsidRPr="00550561">
        <w:t>, Santer Miriam</w:t>
      </w:r>
      <w:r w:rsidRPr="00550561">
        <w:rPr>
          <w:vertAlign w:val="superscript"/>
        </w:rPr>
        <w:t>10</w:t>
      </w:r>
      <w:r w:rsidRPr="00550561">
        <w:t>, Mallen Christian D</w:t>
      </w:r>
      <w:r w:rsidRPr="00550561">
        <w:rPr>
          <w:vertAlign w:val="superscript"/>
        </w:rPr>
        <w:t>1,2</w:t>
      </w:r>
      <w:r w:rsidRPr="00550561">
        <w:t>, Jinks Clare</w:t>
      </w:r>
      <w:r w:rsidRPr="00550561">
        <w:rPr>
          <w:vertAlign w:val="superscript"/>
        </w:rPr>
        <w:t xml:space="preserve">1 </w:t>
      </w:r>
      <w:r w:rsidRPr="00550561">
        <w:t>on behalf of the PROMPPT team.</w:t>
      </w:r>
    </w:p>
    <w:p w14:paraId="184AD1CE" w14:textId="77777777" w:rsidR="00311616" w:rsidRPr="00550561" w:rsidRDefault="00311616" w:rsidP="00311616">
      <w:pPr>
        <w:spacing w:line="360" w:lineRule="auto"/>
        <w:rPr>
          <w:rFonts w:cstheme="minorHAnsi"/>
        </w:rPr>
      </w:pPr>
      <w:r w:rsidRPr="00550561">
        <w:rPr>
          <w:rFonts w:cstheme="minorHAnsi"/>
        </w:rPr>
        <w:t>1. School of Medicine, Keele University, Keele, Staffordshire, ST5 5BG, UK</w:t>
      </w:r>
    </w:p>
    <w:p w14:paraId="095F86F5" w14:textId="77777777" w:rsidR="00311616" w:rsidRPr="00550561" w:rsidRDefault="00311616" w:rsidP="00311616">
      <w:pPr>
        <w:spacing w:line="360" w:lineRule="auto"/>
        <w:rPr>
          <w:rFonts w:cstheme="minorHAnsi"/>
        </w:rPr>
      </w:pPr>
      <w:r w:rsidRPr="00550561">
        <w:rPr>
          <w:rFonts w:cstheme="minorHAnsi"/>
        </w:rPr>
        <w:t xml:space="preserve">2. Midlands Partnership University NHS Foundation Trust, Haywood Hospital, High Lane, </w:t>
      </w:r>
      <w:proofErr w:type="spellStart"/>
      <w:r w:rsidRPr="00550561">
        <w:rPr>
          <w:rFonts w:cstheme="minorHAnsi"/>
        </w:rPr>
        <w:t>Burslem</w:t>
      </w:r>
      <w:proofErr w:type="spellEnd"/>
      <w:r w:rsidRPr="00550561">
        <w:rPr>
          <w:rFonts w:cstheme="minorHAnsi"/>
        </w:rPr>
        <w:t>, Stoke on Trent, Staffordshire, ST6 7AG, UK</w:t>
      </w:r>
    </w:p>
    <w:p w14:paraId="30C9248B" w14:textId="77777777" w:rsidR="00311616" w:rsidRPr="00550561" w:rsidRDefault="00311616" w:rsidP="00311616">
      <w:pPr>
        <w:spacing w:line="360" w:lineRule="auto"/>
        <w:rPr>
          <w:rFonts w:cstheme="minorHAnsi"/>
        </w:rPr>
      </w:pPr>
      <w:r w:rsidRPr="00550561">
        <w:rPr>
          <w:rFonts w:cstheme="minorHAnsi"/>
        </w:rPr>
        <w:t>3. Centre for Health Services Studies and Kent and Medway Medical School, Pears Building, University of Kent, Canterbury, Kent, CT2 7NS, UK</w:t>
      </w:r>
    </w:p>
    <w:p w14:paraId="2F8BC389" w14:textId="77777777" w:rsidR="00311616" w:rsidRPr="00550561" w:rsidRDefault="00311616" w:rsidP="00311616">
      <w:pPr>
        <w:spacing w:line="360" w:lineRule="auto"/>
        <w:rPr>
          <w:rFonts w:cstheme="minorHAnsi"/>
        </w:rPr>
      </w:pPr>
      <w:r w:rsidRPr="00550561">
        <w:rPr>
          <w:rFonts w:cstheme="minorHAnsi"/>
        </w:rPr>
        <w:t>4. School of Pharmacy and Bioengineering, Keele University, Keele Staffordshire, ST5 5BG, UK</w:t>
      </w:r>
    </w:p>
    <w:p w14:paraId="1FD92CD9" w14:textId="77777777" w:rsidR="00311616" w:rsidRPr="00550561" w:rsidRDefault="00311616" w:rsidP="00311616">
      <w:pPr>
        <w:rPr>
          <w:rFonts w:cstheme="minorHAnsi"/>
        </w:rPr>
      </w:pPr>
      <w:r w:rsidRPr="00550561">
        <w:rPr>
          <w:rFonts w:cstheme="minorHAnsi"/>
        </w:rPr>
        <w:t>5. Leek Health Centre, Fountain Street, Leek, ST13 6JB</w:t>
      </w:r>
    </w:p>
    <w:p w14:paraId="699A3EA5" w14:textId="77777777" w:rsidR="00311616" w:rsidRPr="00550561" w:rsidRDefault="00311616" w:rsidP="00311616">
      <w:pPr>
        <w:rPr>
          <w:rFonts w:cstheme="minorHAnsi"/>
        </w:rPr>
      </w:pPr>
      <w:r w:rsidRPr="00550561">
        <w:rPr>
          <w:rFonts w:cstheme="minorHAnsi"/>
        </w:rPr>
        <w:t>6. Division of Pharmacy Practice and Policy, School of Pharmacy, University of Nottingham, NG7 2RD, UK</w:t>
      </w:r>
    </w:p>
    <w:p w14:paraId="5D623A86" w14:textId="77777777" w:rsidR="00311616" w:rsidRPr="00550561" w:rsidRDefault="00311616" w:rsidP="00311616">
      <w:pPr>
        <w:rPr>
          <w:rFonts w:cstheme="minorHAnsi"/>
        </w:rPr>
      </w:pPr>
      <w:r w:rsidRPr="00550561">
        <w:rPr>
          <w:rFonts w:cstheme="minorHAnsi"/>
        </w:rPr>
        <w:t>7. Pain Centre Versus Arthritis, Clinical Sciences Building, City Hospital, Nottingham, NG5 1PB, UK</w:t>
      </w:r>
    </w:p>
    <w:p w14:paraId="1C6C06D1" w14:textId="77777777" w:rsidR="00311616" w:rsidRPr="00550561" w:rsidRDefault="00311616" w:rsidP="00311616">
      <w:pPr>
        <w:rPr>
          <w:rFonts w:cstheme="minorHAnsi"/>
        </w:rPr>
      </w:pPr>
      <w:r w:rsidRPr="00550561">
        <w:rPr>
          <w:rFonts w:ascii="Calibri" w:hAnsi="Calibri" w:cs="Calibri"/>
          <w:color w:val="000000"/>
          <w:shd w:val="clear" w:color="auto" w:fill="FFFFFF"/>
        </w:rPr>
        <w:t>8. UK &amp; Primary Integrated Community Services, Nottingham, UK</w:t>
      </w:r>
    </w:p>
    <w:p w14:paraId="774E351F" w14:textId="77777777" w:rsidR="00311616" w:rsidRPr="00550561" w:rsidRDefault="00311616" w:rsidP="00311616">
      <w:pPr>
        <w:spacing w:line="360" w:lineRule="auto"/>
        <w:rPr>
          <w:rFonts w:cstheme="minorHAnsi"/>
        </w:rPr>
      </w:pPr>
      <w:r w:rsidRPr="00550561">
        <w:rPr>
          <w:rFonts w:cstheme="minorHAnsi"/>
        </w:rPr>
        <w:t xml:space="preserve">9. </w:t>
      </w:r>
      <w:r w:rsidRPr="00550561">
        <w:rPr>
          <w:rFonts w:cstheme="minorHAnsi"/>
          <w:color w:val="000000"/>
        </w:rPr>
        <w:t>Department of Psychology, University of Southampton, Southampton, SO17 1BJ</w:t>
      </w:r>
    </w:p>
    <w:p w14:paraId="0E58E51E" w14:textId="77777777" w:rsidR="00311616" w:rsidRPr="00550561" w:rsidRDefault="00311616" w:rsidP="00311616">
      <w:pPr>
        <w:spacing w:line="360" w:lineRule="auto"/>
        <w:rPr>
          <w:rFonts w:cstheme="minorHAnsi"/>
        </w:rPr>
      </w:pPr>
      <w:r w:rsidRPr="00550561">
        <w:rPr>
          <w:rFonts w:cstheme="minorHAnsi"/>
        </w:rPr>
        <w:t xml:space="preserve">10. </w:t>
      </w:r>
      <w:r w:rsidRPr="00550561">
        <w:rPr>
          <w:rFonts w:cstheme="minorHAnsi"/>
          <w:color w:val="000000"/>
        </w:rPr>
        <w:t>Primary Care Research Centre, University of Southampton, Southampton SO16 5ST</w:t>
      </w:r>
    </w:p>
    <w:p w14:paraId="035A774F" w14:textId="77777777" w:rsidR="00311616" w:rsidRPr="00550561" w:rsidRDefault="00311616" w:rsidP="00311616">
      <w:pPr>
        <w:spacing w:line="360" w:lineRule="auto"/>
        <w:rPr>
          <w:rFonts w:cstheme="minorHAnsi"/>
        </w:rPr>
      </w:pPr>
    </w:p>
    <w:p w14:paraId="409FC925" w14:textId="77777777" w:rsidR="00311616" w:rsidRPr="00FD0680" w:rsidRDefault="00311616" w:rsidP="00311616">
      <w:pPr>
        <w:spacing w:line="360" w:lineRule="auto"/>
        <w:rPr>
          <w:rFonts w:cstheme="minorHAnsi"/>
        </w:rPr>
      </w:pPr>
      <w:r w:rsidRPr="00550561">
        <w:rPr>
          <w:rFonts w:cstheme="minorHAnsi"/>
        </w:rPr>
        <w:t>Corresponding Author: Nicola Cornwall, School of Medicine, Keele University, Keele, Staffordshire, ST5 5BG, UK Email: n.j.cornwall@keele.ac.uk</w:t>
      </w:r>
    </w:p>
    <w:p w14:paraId="7B1D5775" w14:textId="4992C6BB" w:rsidR="00311616" w:rsidRDefault="00311616">
      <w:pPr>
        <w:rPr>
          <w:b/>
          <w:bCs/>
        </w:rPr>
      </w:pPr>
      <w:r>
        <w:rPr>
          <w:b/>
          <w:bCs/>
        </w:rPr>
        <w:br w:type="page"/>
      </w:r>
    </w:p>
    <w:p w14:paraId="53FD15BA" w14:textId="448D4859" w:rsidR="00E043FD" w:rsidRPr="00550561" w:rsidRDefault="00E043FD" w:rsidP="003B3D48">
      <w:pPr>
        <w:spacing w:line="360" w:lineRule="auto"/>
        <w:rPr>
          <w:b/>
          <w:bCs/>
        </w:rPr>
      </w:pPr>
      <w:r w:rsidRPr="00550561">
        <w:rPr>
          <w:b/>
          <w:bCs/>
        </w:rPr>
        <w:lastRenderedPageBreak/>
        <w:t>Abstract</w:t>
      </w:r>
    </w:p>
    <w:p w14:paraId="113ACE90" w14:textId="06B37CDE" w:rsidR="006C0D52" w:rsidRPr="00550561" w:rsidRDefault="00E043FD" w:rsidP="003B3D48">
      <w:pPr>
        <w:spacing w:line="360" w:lineRule="auto"/>
      </w:pPr>
      <w:r w:rsidRPr="00550561">
        <w:rPr>
          <w:b/>
          <w:bCs/>
        </w:rPr>
        <w:t>Introduction</w:t>
      </w:r>
      <w:r w:rsidR="00396F8D" w:rsidRPr="00550561">
        <w:rPr>
          <w:b/>
          <w:bCs/>
        </w:rPr>
        <w:t xml:space="preserve">: </w:t>
      </w:r>
      <w:r w:rsidR="00AA2F70" w:rsidRPr="00550561">
        <w:t xml:space="preserve">Regular review of </w:t>
      </w:r>
      <w:r w:rsidR="001A45AB" w:rsidRPr="00550561">
        <w:t>p</w:t>
      </w:r>
      <w:r w:rsidR="00417665" w:rsidRPr="00550561">
        <w:t>atient</w:t>
      </w:r>
      <w:r w:rsidR="00B970B6" w:rsidRPr="00550561">
        <w:t>s</w:t>
      </w:r>
      <w:r w:rsidR="001A45AB" w:rsidRPr="00550561">
        <w:t xml:space="preserve"> prescribed opioids for persistent non-cancer pain (P</w:t>
      </w:r>
      <w:r w:rsidR="00B970B6" w:rsidRPr="00550561">
        <w:t>CNP</w:t>
      </w:r>
      <w:r w:rsidR="001A45AB" w:rsidRPr="00550561">
        <w:t xml:space="preserve">) </w:t>
      </w:r>
      <w:r w:rsidR="00AA2F70" w:rsidRPr="00550561">
        <w:t xml:space="preserve">is recommended but not routinely </w:t>
      </w:r>
      <w:r w:rsidR="00041596" w:rsidRPr="00550561">
        <w:t>undertaken</w:t>
      </w:r>
      <w:r w:rsidR="009F2595" w:rsidRPr="00550561">
        <w:t xml:space="preserve">. </w:t>
      </w:r>
      <w:r w:rsidR="00157236" w:rsidRPr="00550561">
        <w:t>The PROMPPT (</w:t>
      </w:r>
      <w:r w:rsidR="00157236" w:rsidRPr="00550561">
        <w:rPr>
          <w:b/>
          <w:bCs/>
          <w:u w:val="single"/>
        </w:rPr>
        <w:t>P</w:t>
      </w:r>
      <w:r w:rsidR="00157236" w:rsidRPr="00550561">
        <w:t xml:space="preserve">roactive clinical </w:t>
      </w:r>
      <w:r w:rsidR="00157236" w:rsidRPr="00550561">
        <w:rPr>
          <w:b/>
          <w:u w:val="single"/>
        </w:rPr>
        <w:t>R</w:t>
      </w:r>
      <w:r w:rsidR="00157236" w:rsidRPr="00550561">
        <w:t xml:space="preserve">eview of patients taking </w:t>
      </w:r>
      <w:r w:rsidR="00157236" w:rsidRPr="00550561">
        <w:rPr>
          <w:b/>
          <w:u w:val="single"/>
        </w:rPr>
        <w:t>O</w:t>
      </w:r>
      <w:r w:rsidR="00157236" w:rsidRPr="00550561">
        <w:t xml:space="preserve">pioid </w:t>
      </w:r>
      <w:r w:rsidR="00157236" w:rsidRPr="00550561">
        <w:rPr>
          <w:b/>
          <w:u w:val="single"/>
        </w:rPr>
        <w:t>M</w:t>
      </w:r>
      <w:r w:rsidR="00157236" w:rsidRPr="00550561">
        <w:t>edicines long-term for persistent</w:t>
      </w:r>
      <w:r w:rsidR="00157236" w:rsidRPr="00550561">
        <w:rPr>
          <w:b/>
        </w:rPr>
        <w:t xml:space="preserve"> </w:t>
      </w:r>
      <w:r w:rsidR="00157236" w:rsidRPr="00550561">
        <w:rPr>
          <w:b/>
          <w:u w:val="single"/>
        </w:rPr>
        <w:t>P</w:t>
      </w:r>
      <w:r w:rsidR="00157236" w:rsidRPr="00550561">
        <w:t xml:space="preserve">ain led by clinical </w:t>
      </w:r>
      <w:r w:rsidR="00157236" w:rsidRPr="00550561">
        <w:rPr>
          <w:b/>
          <w:u w:val="single"/>
        </w:rPr>
        <w:t>P</w:t>
      </w:r>
      <w:r w:rsidR="00157236" w:rsidRPr="00550561">
        <w:t xml:space="preserve">harmacists in primary care </w:t>
      </w:r>
      <w:r w:rsidR="00157236" w:rsidRPr="00550561">
        <w:rPr>
          <w:b/>
          <w:u w:val="single"/>
        </w:rPr>
        <w:t>T</w:t>
      </w:r>
      <w:r w:rsidR="00157236" w:rsidRPr="00550561">
        <w:t xml:space="preserve">eams) research programme aims to develop and test a pharmacist-led </w:t>
      </w:r>
      <w:r w:rsidR="00646AF2" w:rsidRPr="00550561">
        <w:t>pain review (PROMPPT</w:t>
      </w:r>
      <w:r w:rsidR="00157236" w:rsidRPr="00550561">
        <w:t xml:space="preserve">) to reduce inappropriate opioid use for persistent pain in primary care. </w:t>
      </w:r>
      <w:r w:rsidR="004911B4" w:rsidRPr="00550561">
        <w:t xml:space="preserve"> </w:t>
      </w:r>
      <w:r w:rsidR="00157236" w:rsidRPr="00550561">
        <w:t>T</w:t>
      </w:r>
      <w:r w:rsidR="00237560" w:rsidRPr="00550561">
        <w:t>his study explored</w:t>
      </w:r>
      <w:r w:rsidR="00157236" w:rsidRPr="00550561">
        <w:t xml:space="preserve"> the </w:t>
      </w:r>
      <w:r w:rsidR="00935FFD" w:rsidRPr="00550561">
        <w:t xml:space="preserve">acceptability </w:t>
      </w:r>
      <w:r w:rsidR="00E97DB0" w:rsidRPr="00550561">
        <w:t xml:space="preserve">of </w:t>
      </w:r>
      <w:r w:rsidR="00157236" w:rsidRPr="00550561">
        <w:t xml:space="preserve">the proposed PROMPPT </w:t>
      </w:r>
      <w:r w:rsidR="000060A6" w:rsidRPr="00550561">
        <w:t>review</w:t>
      </w:r>
      <w:r w:rsidR="008B1525" w:rsidRPr="00550561">
        <w:t xml:space="preserve"> </w:t>
      </w:r>
      <w:r w:rsidR="00157236" w:rsidRPr="00550561">
        <w:t>to inform</w:t>
      </w:r>
      <w:r w:rsidR="0037315A" w:rsidRPr="00550561">
        <w:t xml:space="preserve"> early</w:t>
      </w:r>
      <w:r w:rsidR="00157236" w:rsidRPr="00550561">
        <w:t xml:space="preserve"> intervention development</w:t>
      </w:r>
      <w:r w:rsidR="00067839">
        <w:t>.</w:t>
      </w:r>
      <w:r w:rsidR="000060A6" w:rsidRPr="00550561">
        <w:t xml:space="preserve"> </w:t>
      </w:r>
    </w:p>
    <w:p w14:paraId="28DA8285" w14:textId="4B2D7F55" w:rsidR="00E043FD" w:rsidRPr="00550561" w:rsidRDefault="00E043FD" w:rsidP="00814C49">
      <w:pPr>
        <w:spacing w:line="360" w:lineRule="auto"/>
      </w:pPr>
      <w:r w:rsidRPr="00550561">
        <w:rPr>
          <w:b/>
          <w:bCs/>
        </w:rPr>
        <w:t>Methods</w:t>
      </w:r>
      <w:r w:rsidR="00396F8D" w:rsidRPr="00550561">
        <w:rPr>
          <w:b/>
          <w:bCs/>
        </w:rPr>
        <w:t xml:space="preserve">: </w:t>
      </w:r>
      <w:r w:rsidR="00D129F7" w:rsidRPr="00550561">
        <w:t>I</w:t>
      </w:r>
      <w:r w:rsidR="009F2595" w:rsidRPr="00550561">
        <w:t xml:space="preserve">nterviews </w:t>
      </w:r>
      <w:r w:rsidR="0037315A" w:rsidRPr="00550561">
        <w:t>(n=15)</w:t>
      </w:r>
      <w:r w:rsidR="0060241C" w:rsidRPr="00550561">
        <w:t xml:space="preserve"> and a</w:t>
      </w:r>
      <w:r w:rsidR="0037315A" w:rsidRPr="00550561">
        <w:t xml:space="preserve">n online discussion forum (n=31) </w:t>
      </w:r>
      <w:r w:rsidR="0060241C" w:rsidRPr="00550561">
        <w:t xml:space="preserve">with </w:t>
      </w:r>
      <w:r w:rsidR="00F0163F" w:rsidRPr="00550561">
        <w:t>patients prescribed opioids for PCNP</w:t>
      </w:r>
      <w:r w:rsidR="0060241C" w:rsidRPr="00550561">
        <w:t xml:space="preserve"> </w:t>
      </w:r>
      <w:r w:rsidR="0081760D" w:rsidRPr="00550561">
        <w:t xml:space="preserve">and </w:t>
      </w:r>
      <w:r w:rsidR="0037315A" w:rsidRPr="00550561">
        <w:t xml:space="preserve">interviews with </w:t>
      </w:r>
      <w:r w:rsidR="0081760D" w:rsidRPr="00550561">
        <w:t xml:space="preserve">pharmacists (n=13), </w:t>
      </w:r>
      <w:r w:rsidR="00105862" w:rsidRPr="00550561">
        <w:t>explore</w:t>
      </w:r>
      <w:r w:rsidR="00F532F0" w:rsidRPr="00550561">
        <w:t>d</w:t>
      </w:r>
      <w:r w:rsidR="00105862" w:rsidRPr="00550561">
        <w:t xml:space="preserve"> </w:t>
      </w:r>
      <w:r w:rsidR="0081760D" w:rsidRPr="00550561">
        <w:t xml:space="preserve">acceptability of a </w:t>
      </w:r>
      <w:r w:rsidR="00574CF8" w:rsidRPr="00550561">
        <w:t xml:space="preserve">proposed </w:t>
      </w:r>
      <w:r w:rsidR="00157236" w:rsidRPr="00550561">
        <w:t xml:space="preserve">PROMPPT </w:t>
      </w:r>
      <w:r w:rsidR="00574CF8" w:rsidRPr="00550561">
        <w:t>review.</w:t>
      </w:r>
      <w:r w:rsidR="00105862" w:rsidRPr="00550561">
        <w:t xml:space="preserve"> </w:t>
      </w:r>
      <w:r w:rsidR="00F532F0" w:rsidRPr="00550561">
        <w:t>A prototype</w:t>
      </w:r>
      <w:r w:rsidR="00157236" w:rsidRPr="00550561">
        <w:t xml:space="preserve"> PROMPPT</w:t>
      </w:r>
      <w:r w:rsidR="005123B8" w:rsidRPr="00550561">
        <w:t xml:space="preserve"> </w:t>
      </w:r>
      <w:r w:rsidR="00F532F0" w:rsidRPr="00550561">
        <w:t>review was then tested</w:t>
      </w:r>
      <w:r w:rsidR="005123B8" w:rsidRPr="00550561">
        <w:t xml:space="preserve"> and refined through</w:t>
      </w:r>
      <w:r w:rsidR="00F532F0" w:rsidRPr="00550561">
        <w:t xml:space="preserve"> </w:t>
      </w:r>
      <w:r w:rsidR="005123B8" w:rsidRPr="00550561">
        <w:t xml:space="preserve">3 iterative cycles of </w:t>
      </w:r>
      <w:r w:rsidR="00FA3771" w:rsidRPr="00550561">
        <w:t>in</w:t>
      </w:r>
      <w:r w:rsidR="003307B8" w:rsidRPr="00550561">
        <w:t>-practice testing</w:t>
      </w:r>
      <w:r w:rsidR="00A04BF0" w:rsidRPr="00550561">
        <w:t xml:space="preserve"> </w:t>
      </w:r>
      <w:r w:rsidR="004A4CE3">
        <w:t xml:space="preserve">(IPT) </w:t>
      </w:r>
      <w:r w:rsidR="00A04BF0" w:rsidRPr="00550561">
        <w:t>(</w:t>
      </w:r>
      <w:r w:rsidR="005123B8" w:rsidRPr="00550561">
        <w:t>n=3 practices</w:t>
      </w:r>
      <w:r w:rsidR="008B1525" w:rsidRPr="00550561">
        <w:t xml:space="preserve">, </w:t>
      </w:r>
      <w:r w:rsidR="00C95299" w:rsidRPr="00550561">
        <w:t>n=3 practice pharmacist</w:t>
      </w:r>
      <w:r w:rsidR="00FD24C7" w:rsidRPr="00550561">
        <w:t>s</w:t>
      </w:r>
      <w:r w:rsidR="008B1525" w:rsidRPr="00550561">
        <w:t>,</w:t>
      </w:r>
      <w:r w:rsidR="005123B8" w:rsidRPr="00550561">
        <w:t xml:space="preserve"> </w:t>
      </w:r>
      <w:r w:rsidR="00C95299" w:rsidRPr="00550561">
        <w:t xml:space="preserve">n=13 </w:t>
      </w:r>
      <w:r w:rsidR="00F0163F" w:rsidRPr="00550561">
        <w:t>patients</w:t>
      </w:r>
      <w:r w:rsidR="008B1525" w:rsidRPr="00550561">
        <w:t>)</w:t>
      </w:r>
      <w:r w:rsidR="00814C49" w:rsidRPr="00550561">
        <w:t xml:space="preserve">. </w:t>
      </w:r>
      <w:r w:rsidR="00157236" w:rsidRPr="00550561">
        <w:t xml:space="preserve"> Drawing on the Theoretical Framework of Acceptability (TFA)</w:t>
      </w:r>
      <w:r w:rsidR="0037315A" w:rsidRPr="00550561">
        <w:t>, a</w:t>
      </w:r>
      <w:r w:rsidR="00B25C57" w:rsidRPr="00550561">
        <w:t xml:space="preserve"> framework </w:t>
      </w:r>
      <w:r w:rsidR="0065577F" w:rsidRPr="00550561">
        <w:t xml:space="preserve">was generated </w:t>
      </w:r>
      <w:r w:rsidR="00B25C57" w:rsidRPr="00550561">
        <w:t>(</w:t>
      </w:r>
      <w:r w:rsidR="0065577F" w:rsidRPr="00550561">
        <w:t xml:space="preserve">including </w:t>
      </w:r>
      <w:r w:rsidR="00B25C57" w:rsidRPr="00550561">
        <w:t>a</w:t>
      </w:r>
      <w:r w:rsidR="00B81E8C" w:rsidRPr="00550561">
        <w:t xml:space="preserve"> </w:t>
      </w:r>
      <w:r w:rsidR="00B25C57" w:rsidRPr="00550561">
        <w:t>priori TFA constructs</w:t>
      </w:r>
      <w:r w:rsidR="00B81E8C" w:rsidRPr="00550561">
        <w:t xml:space="preserve">) </w:t>
      </w:r>
      <w:r w:rsidR="0065577F" w:rsidRPr="00550561">
        <w:t>allowing for deductive</w:t>
      </w:r>
      <w:r w:rsidR="00B81E8C" w:rsidRPr="00550561">
        <w:t xml:space="preserve"> and inductive </w:t>
      </w:r>
      <w:r w:rsidR="0065577F" w:rsidRPr="00550561">
        <w:t xml:space="preserve">thematic </w:t>
      </w:r>
      <w:r w:rsidR="00B81E8C" w:rsidRPr="00550561">
        <w:t>ana</w:t>
      </w:r>
      <w:r w:rsidR="0065577F" w:rsidRPr="00550561">
        <w:t>lysis</w:t>
      </w:r>
      <w:r w:rsidR="00814C49" w:rsidRPr="00550561">
        <w:t xml:space="preserve"> to identify aspects of prospective and experienced acceptability.</w:t>
      </w:r>
    </w:p>
    <w:p w14:paraId="6B7A32DA" w14:textId="41F6C178" w:rsidR="001318D9" w:rsidRPr="00550561" w:rsidRDefault="00E043FD" w:rsidP="001318D9">
      <w:pPr>
        <w:spacing w:line="360" w:lineRule="auto"/>
      </w:pPr>
      <w:r w:rsidRPr="00550561">
        <w:rPr>
          <w:b/>
          <w:bCs/>
        </w:rPr>
        <w:t>Results</w:t>
      </w:r>
      <w:r w:rsidR="00396F8D" w:rsidRPr="00550561">
        <w:rPr>
          <w:b/>
          <w:bCs/>
        </w:rPr>
        <w:t>:</w:t>
      </w:r>
      <w:r w:rsidR="009265A0" w:rsidRPr="00550561">
        <w:t xml:space="preserve"> </w:t>
      </w:r>
      <w:r w:rsidR="0037315A" w:rsidRPr="00550561">
        <w:t>P</w:t>
      </w:r>
      <w:r w:rsidR="00FB012F" w:rsidRPr="00550561">
        <w:t>atients</w:t>
      </w:r>
      <w:r w:rsidR="0082666D" w:rsidRPr="00550561">
        <w:t xml:space="preserve"> </w:t>
      </w:r>
      <w:r w:rsidR="006E5842" w:rsidRPr="00550561">
        <w:t xml:space="preserve">felt </w:t>
      </w:r>
      <w:r w:rsidR="009265A0" w:rsidRPr="00550561">
        <w:t xml:space="preserve">uncertain </w:t>
      </w:r>
      <w:r w:rsidR="00443058" w:rsidRPr="00550561">
        <w:t xml:space="preserve">about </w:t>
      </w:r>
      <w:r w:rsidR="009265A0" w:rsidRPr="00550561">
        <w:t xml:space="preserve">practice pharmacists delivering </w:t>
      </w:r>
      <w:r w:rsidR="005D0D0A" w:rsidRPr="00550561">
        <w:t xml:space="preserve">the </w:t>
      </w:r>
      <w:r w:rsidR="004E5A37" w:rsidRPr="00550561">
        <w:t xml:space="preserve">proposed </w:t>
      </w:r>
      <w:r w:rsidR="004D533A" w:rsidRPr="00550561">
        <w:t>PROMPPT</w:t>
      </w:r>
      <w:r w:rsidR="009265A0" w:rsidRPr="00550561">
        <w:t xml:space="preserve"> review</w:t>
      </w:r>
      <w:r w:rsidR="009D323C">
        <w:t xml:space="preserve"> </w:t>
      </w:r>
      <w:r w:rsidR="005B7384">
        <w:t xml:space="preserve">leading to </w:t>
      </w:r>
      <w:r w:rsidR="004A4CE3">
        <w:t xml:space="preserve">development of content for the </w:t>
      </w:r>
      <w:r w:rsidR="0037315A" w:rsidRPr="00550561">
        <w:t>invitation letter</w:t>
      </w:r>
      <w:r w:rsidR="004A4CE3">
        <w:t xml:space="preserve"> </w:t>
      </w:r>
      <w:r w:rsidR="00A73B7D">
        <w:t xml:space="preserve">for </w:t>
      </w:r>
      <w:r w:rsidR="00A73B7D" w:rsidRPr="00550561">
        <w:t>IPT</w:t>
      </w:r>
      <w:r w:rsidR="00AD219B">
        <w:t xml:space="preserve"> (</w:t>
      </w:r>
      <w:r w:rsidR="00AC4C36">
        <w:t>introducing</w:t>
      </w:r>
      <w:r w:rsidR="0037315A" w:rsidRPr="00550561">
        <w:t xml:space="preserve"> the pharmacist and </w:t>
      </w:r>
      <w:r w:rsidR="00AC4C36" w:rsidRPr="00550561">
        <w:t>outlin</w:t>
      </w:r>
      <w:r w:rsidR="00AC4C36">
        <w:t>ing</w:t>
      </w:r>
      <w:r w:rsidR="00AC4C36" w:rsidRPr="00550561">
        <w:t xml:space="preserve"> </w:t>
      </w:r>
      <w:r w:rsidR="0037315A" w:rsidRPr="00550561">
        <w:t>the aim of the review</w:t>
      </w:r>
      <w:r w:rsidR="00135A36">
        <w:t>)</w:t>
      </w:r>
      <w:r w:rsidR="0037315A" w:rsidRPr="00550561">
        <w:t xml:space="preserve">. </w:t>
      </w:r>
      <w:r w:rsidR="00B44EB1" w:rsidRPr="00550561">
        <w:t>A</w:t>
      </w:r>
      <w:r w:rsidR="006A778F" w:rsidRPr="00550561">
        <w:t xml:space="preserve">fter </w:t>
      </w:r>
      <w:r w:rsidR="00697334" w:rsidRPr="00550561">
        <w:t>IPT</w:t>
      </w:r>
      <w:r w:rsidR="00A65692" w:rsidRPr="00550561">
        <w:t>,</w:t>
      </w:r>
      <w:r w:rsidR="006A778F" w:rsidRPr="00550561">
        <w:t xml:space="preserve"> </w:t>
      </w:r>
      <w:r w:rsidR="00FB012F" w:rsidRPr="00550561">
        <w:t>patients</w:t>
      </w:r>
      <w:r w:rsidR="009D61FA" w:rsidRPr="00550561">
        <w:t xml:space="preserve"> </w:t>
      </w:r>
      <w:r w:rsidR="00733B5F" w:rsidRPr="00550561">
        <w:t xml:space="preserve">felt that </w:t>
      </w:r>
      <w:r w:rsidR="00B44EB1" w:rsidRPr="00550561">
        <w:t xml:space="preserve">pharmacists </w:t>
      </w:r>
      <w:r w:rsidR="00733B5F" w:rsidRPr="00550561">
        <w:t xml:space="preserve">were suited to the role as they were knowledgeable and qualified. </w:t>
      </w:r>
      <w:r w:rsidR="006E34E3" w:rsidRPr="00550561">
        <w:t>P</w:t>
      </w:r>
      <w:r w:rsidR="00D913A9" w:rsidRPr="00550561">
        <w:t xml:space="preserve">harmacists </w:t>
      </w:r>
      <w:r w:rsidR="006E34E3" w:rsidRPr="00550561">
        <w:t xml:space="preserve">felt </w:t>
      </w:r>
      <w:r w:rsidR="0011042C" w:rsidRPr="00550561">
        <w:t xml:space="preserve">that </w:t>
      </w:r>
      <w:r w:rsidR="00B221EF" w:rsidRPr="00550561">
        <w:t>the proposed</w:t>
      </w:r>
      <w:r w:rsidR="0011042C" w:rsidRPr="00550561">
        <w:t xml:space="preserve"> reviews would be challenging</w:t>
      </w:r>
      <w:r w:rsidR="00623975" w:rsidRPr="00550561">
        <w:t>. A</w:t>
      </w:r>
      <w:r w:rsidR="003C7EDD" w:rsidRPr="00550561">
        <w:t>lthough c</w:t>
      </w:r>
      <w:r w:rsidR="00623975" w:rsidRPr="00550561">
        <w:t xml:space="preserve">hallenges </w:t>
      </w:r>
      <w:r w:rsidR="00F55BEF" w:rsidRPr="00550561">
        <w:t>were experienced</w:t>
      </w:r>
      <w:r w:rsidR="00C279EA" w:rsidRPr="00550561">
        <w:t xml:space="preserve"> during delivery of PROMPPT reviews, pharmacists f</w:t>
      </w:r>
      <w:r w:rsidR="00081CF6" w:rsidRPr="00550561">
        <w:t xml:space="preserve">ound that they became easier to deliver </w:t>
      </w:r>
      <w:r w:rsidR="0037315A" w:rsidRPr="00550561">
        <w:t xml:space="preserve">with </w:t>
      </w:r>
      <w:r w:rsidR="00081CF6" w:rsidRPr="00550561">
        <w:t>time</w:t>
      </w:r>
      <w:r w:rsidR="0037315A" w:rsidRPr="00550561">
        <w:t xml:space="preserve">, </w:t>
      </w:r>
      <w:r w:rsidR="00081CF6" w:rsidRPr="00550561">
        <w:t>practi</w:t>
      </w:r>
      <w:r w:rsidR="00550561" w:rsidRPr="00550561">
        <w:t>s</w:t>
      </w:r>
      <w:r w:rsidR="00081CF6" w:rsidRPr="00550561">
        <w:t xml:space="preserve">e and experience. </w:t>
      </w:r>
      <w:r w:rsidR="001318D9" w:rsidRPr="00550561">
        <w:t xml:space="preserve">Recommendations for optimisations after IPT included </w:t>
      </w:r>
      <w:r w:rsidR="008C4898" w:rsidRPr="00550561">
        <w:t xml:space="preserve">development of the training to include </w:t>
      </w:r>
      <w:r w:rsidR="004E2210" w:rsidRPr="00550561">
        <w:t>examples of challenging consultations.</w:t>
      </w:r>
    </w:p>
    <w:p w14:paraId="1018CA09" w14:textId="77777777" w:rsidR="0037436A" w:rsidRPr="00550561" w:rsidRDefault="00E043FD" w:rsidP="003B3D48">
      <w:pPr>
        <w:spacing w:line="360" w:lineRule="auto"/>
        <w:rPr>
          <w:b/>
          <w:bCs/>
        </w:rPr>
      </w:pPr>
      <w:r w:rsidRPr="00550561">
        <w:rPr>
          <w:b/>
          <w:bCs/>
        </w:rPr>
        <w:t>Conclusions</w:t>
      </w:r>
      <w:r w:rsidR="00396F8D" w:rsidRPr="00550561">
        <w:rPr>
          <w:b/>
          <w:bCs/>
        </w:rPr>
        <w:t>:</w:t>
      </w:r>
      <w:r w:rsidR="00F55BEF" w:rsidRPr="00550561">
        <w:rPr>
          <w:b/>
          <w:bCs/>
        </w:rPr>
        <w:t xml:space="preserve"> </w:t>
      </w:r>
    </w:p>
    <w:p w14:paraId="7FA9F2A0" w14:textId="33AB0FE3" w:rsidR="00E043FD" w:rsidRPr="00550561" w:rsidRDefault="0037315A" w:rsidP="003B3D48">
      <w:pPr>
        <w:spacing w:line="360" w:lineRule="auto"/>
      </w:pPr>
      <w:r w:rsidRPr="00550561">
        <w:t>Uptake of new</w:t>
      </w:r>
      <w:r w:rsidR="00DD79A3">
        <w:t xml:space="preserve"> healthcare</w:t>
      </w:r>
      <w:r w:rsidRPr="00550561">
        <w:t xml:space="preserve"> interventions is influenced by perceptions of acceptability. Exploring prospective and experienced acceptability </w:t>
      </w:r>
      <w:r w:rsidR="00047474" w:rsidRPr="00550561">
        <w:t xml:space="preserve">at multiple time points during early intervention development, </w:t>
      </w:r>
      <w:r w:rsidR="00D62A76" w:rsidRPr="00550561">
        <w:t xml:space="preserve">led to </w:t>
      </w:r>
      <w:r w:rsidR="00A42564" w:rsidRPr="00550561">
        <w:t xml:space="preserve">mini-optimisations </w:t>
      </w:r>
      <w:r w:rsidR="00D62A76" w:rsidRPr="00550561">
        <w:t xml:space="preserve">of the </w:t>
      </w:r>
      <w:r w:rsidRPr="00550561">
        <w:t xml:space="preserve">prototype </w:t>
      </w:r>
      <w:r w:rsidR="00D62A76" w:rsidRPr="00550561">
        <w:t xml:space="preserve">PROMPPT </w:t>
      </w:r>
      <w:r w:rsidR="00814C49" w:rsidRPr="00550561">
        <w:t>review</w:t>
      </w:r>
      <w:r w:rsidR="00A42564" w:rsidRPr="00550561">
        <w:t xml:space="preserve"> </w:t>
      </w:r>
      <w:r w:rsidR="00371C29" w:rsidRPr="00550561">
        <w:t>ahead of a non-randomi</w:t>
      </w:r>
      <w:r w:rsidR="001318D9" w:rsidRPr="00550561">
        <w:t>s</w:t>
      </w:r>
      <w:r w:rsidR="00371C29" w:rsidRPr="00550561">
        <w:t>ed feasibility study</w:t>
      </w:r>
      <w:r w:rsidR="00FA63B0" w:rsidRPr="00550561">
        <w:t>.</w:t>
      </w:r>
      <w:r w:rsidR="00E043FD" w:rsidRPr="00550561">
        <w:br w:type="page"/>
      </w:r>
    </w:p>
    <w:p w14:paraId="67F18FCC" w14:textId="3CD98401" w:rsidR="00D335BB" w:rsidRPr="00550561" w:rsidRDefault="00D335BB" w:rsidP="003B3D48">
      <w:pPr>
        <w:spacing w:line="360" w:lineRule="auto"/>
        <w:rPr>
          <w:b/>
          <w:bCs/>
        </w:rPr>
      </w:pPr>
      <w:r w:rsidRPr="00550561">
        <w:rPr>
          <w:b/>
          <w:bCs/>
        </w:rPr>
        <w:lastRenderedPageBreak/>
        <w:t>Introduction</w:t>
      </w:r>
    </w:p>
    <w:p w14:paraId="3864746D" w14:textId="321A3F94" w:rsidR="007B1B47" w:rsidRPr="00550561" w:rsidRDefault="009E3C74" w:rsidP="007B1B47">
      <w:pPr>
        <w:spacing w:line="360" w:lineRule="auto"/>
        <w:rPr>
          <w:rFonts w:ascii="Calibri" w:hAnsi="Calibri" w:cs="Calibri"/>
        </w:rPr>
      </w:pPr>
      <w:r w:rsidRPr="00550561">
        <w:rPr>
          <w:rStyle w:val="normaltextrun"/>
          <w:rFonts w:ascii="Calibri" w:hAnsi="Calibri" w:cs="Calibri"/>
        </w:rPr>
        <w:t xml:space="preserve">An </w:t>
      </w:r>
      <w:r w:rsidR="003D5EA0" w:rsidRPr="00550561">
        <w:rPr>
          <w:rStyle w:val="normaltextrun"/>
          <w:rFonts w:ascii="Calibri" w:hAnsi="Calibri" w:cs="Calibri"/>
        </w:rPr>
        <w:t xml:space="preserve">estimated 43% of </w:t>
      </w:r>
      <w:r w:rsidR="00967619" w:rsidRPr="00550561">
        <w:rPr>
          <w:rStyle w:val="normaltextrun"/>
          <w:rFonts w:ascii="Calibri" w:hAnsi="Calibri" w:cs="Calibri"/>
        </w:rPr>
        <w:t xml:space="preserve">UK </w:t>
      </w:r>
      <w:r w:rsidR="003D5EA0" w:rsidRPr="00550561">
        <w:rPr>
          <w:rStyle w:val="normaltextrun"/>
          <w:rFonts w:ascii="Calibri" w:hAnsi="Calibri" w:cs="Calibri"/>
        </w:rPr>
        <w:t>adult</w:t>
      </w:r>
      <w:r w:rsidR="00967619" w:rsidRPr="00550561">
        <w:rPr>
          <w:rStyle w:val="normaltextrun"/>
          <w:rFonts w:ascii="Calibri" w:hAnsi="Calibri" w:cs="Calibri"/>
        </w:rPr>
        <w:t>s</w:t>
      </w:r>
      <w:r w:rsidR="003D5EA0" w:rsidRPr="00550561">
        <w:rPr>
          <w:rStyle w:val="normaltextrun"/>
          <w:rFonts w:ascii="Calibri" w:hAnsi="Calibri" w:cs="Calibri"/>
        </w:rPr>
        <w:t xml:space="preserve"> experience persistent non-cancer pain</w:t>
      </w:r>
      <w:r w:rsidRPr="00550561">
        <w:rPr>
          <w:rStyle w:val="normaltextrun"/>
          <w:rFonts w:ascii="Calibri" w:hAnsi="Calibri" w:cs="Calibri"/>
        </w:rPr>
        <w:t xml:space="preserve"> (PNCP)</w:t>
      </w:r>
      <w:r w:rsidR="0032388A">
        <w:rPr>
          <w:rStyle w:val="normaltextrun"/>
          <w:rFonts w:ascii="Calibri" w:hAnsi="Calibri" w:cs="Calibri"/>
        </w:rPr>
        <w:t>,</w:t>
      </w:r>
      <w:r w:rsidR="00A42564" w:rsidRPr="00550561">
        <w:rPr>
          <w:rStyle w:val="normaltextrun"/>
          <w:rFonts w:ascii="Calibri" w:hAnsi="Calibri" w:cs="Calibri"/>
          <w:vertAlign w:val="superscript"/>
        </w:rPr>
        <w:t>1</w:t>
      </w:r>
      <w:r w:rsidR="003D5EA0" w:rsidRPr="00550561">
        <w:rPr>
          <w:rStyle w:val="normaltextrun"/>
          <w:rFonts w:ascii="Calibri" w:hAnsi="Calibri" w:cs="Calibri"/>
        </w:rPr>
        <w:t xml:space="preserve"> many of whom are prescribed opioids</w:t>
      </w:r>
      <w:r w:rsidR="00DF30DF" w:rsidRPr="00550561">
        <w:rPr>
          <w:rStyle w:val="normaltextrun"/>
          <w:rFonts w:ascii="Calibri" w:hAnsi="Calibri" w:cs="Calibri"/>
        </w:rPr>
        <w:t>.</w:t>
      </w:r>
      <w:r w:rsidR="00A42564" w:rsidRPr="00550561">
        <w:rPr>
          <w:rStyle w:val="normaltextrun"/>
          <w:rFonts w:ascii="Calibri" w:hAnsi="Calibri" w:cs="Calibri"/>
          <w:vertAlign w:val="superscript"/>
        </w:rPr>
        <w:t>2</w:t>
      </w:r>
      <w:r w:rsidR="003D5EA0" w:rsidRPr="00550561">
        <w:rPr>
          <w:rStyle w:val="normaltextrun"/>
          <w:rFonts w:ascii="Calibri" w:hAnsi="Calibri" w:cs="Calibri"/>
        </w:rPr>
        <w:t xml:space="preserve"> </w:t>
      </w:r>
      <w:r w:rsidR="00D706EA" w:rsidRPr="00550561">
        <w:rPr>
          <w:rFonts w:ascii="Calibri" w:hAnsi="Calibri" w:cs="Calibri"/>
        </w:rPr>
        <w:t>However, evidence for the long-term benefits of opioids is lacking and their use is associated with adverse side-effects and the risk of serious harm, including addiction.</w:t>
      </w:r>
      <w:r w:rsidR="004E5A37" w:rsidRPr="00550561">
        <w:rPr>
          <w:rFonts w:ascii="Calibri" w:hAnsi="Calibri" w:cs="Calibri"/>
          <w:vertAlign w:val="superscript"/>
        </w:rPr>
        <w:t>3</w:t>
      </w:r>
      <w:r w:rsidR="0032388A">
        <w:rPr>
          <w:rFonts w:ascii="Calibri" w:hAnsi="Calibri" w:cs="Calibri"/>
        </w:rPr>
        <w:t xml:space="preserve"> </w:t>
      </w:r>
      <w:r w:rsidR="00FE0A89" w:rsidRPr="00550561">
        <w:rPr>
          <w:rStyle w:val="normaltextrun"/>
          <w:rFonts w:ascii="Calibri" w:hAnsi="Calibri" w:cs="Calibri"/>
        </w:rPr>
        <w:t>Therefore</w:t>
      </w:r>
      <w:r w:rsidR="00F24AAE" w:rsidRPr="00550561">
        <w:rPr>
          <w:rStyle w:val="normaltextrun"/>
          <w:rFonts w:ascii="Calibri" w:hAnsi="Calibri" w:cs="Calibri"/>
        </w:rPr>
        <w:t>,</w:t>
      </w:r>
      <w:r w:rsidR="00FE0A89" w:rsidRPr="00550561">
        <w:rPr>
          <w:rStyle w:val="normaltextrun"/>
          <w:rFonts w:ascii="Calibri" w:hAnsi="Calibri" w:cs="Calibri"/>
        </w:rPr>
        <w:t xml:space="preserve"> </w:t>
      </w:r>
      <w:r w:rsidR="003D5EA0" w:rsidRPr="00550561">
        <w:rPr>
          <w:rStyle w:val="normaltextrun"/>
          <w:rFonts w:ascii="Calibri" w:hAnsi="Calibri" w:cs="Calibri"/>
        </w:rPr>
        <w:t xml:space="preserve">regular review is recommended for </w:t>
      </w:r>
      <w:r w:rsidR="00D706EA" w:rsidRPr="00550561">
        <w:rPr>
          <w:rStyle w:val="normaltextrun"/>
          <w:rFonts w:ascii="Calibri" w:hAnsi="Calibri" w:cs="Calibri"/>
        </w:rPr>
        <w:t xml:space="preserve">people prescribed opioids for </w:t>
      </w:r>
      <w:r w:rsidR="00AD2D41" w:rsidRPr="00550561">
        <w:rPr>
          <w:rStyle w:val="normaltextrun"/>
          <w:rFonts w:ascii="Calibri" w:hAnsi="Calibri" w:cs="Calibri"/>
        </w:rPr>
        <w:t>PNCP</w:t>
      </w:r>
      <w:r w:rsidR="00D706EA" w:rsidRPr="00550561">
        <w:rPr>
          <w:rFonts w:ascii="Calibri" w:hAnsi="Calibri" w:cs="Calibri"/>
        </w:rPr>
        <w:t xml:space="preserve"> </w:t>
      </w:r>
      <w:r w:rsidR="003D5EA0" w:rsidRPr="00550561">
        <w:rPr>
          <w:rStyle w:val="normaltextrun"/>
          <w:rFonts w:ascii="Calibri" w:hAnsi="Calibri" w:cs="Calibri"/>
        </w:rPr>
        <w:t xml:space="preserve">to assess treatment </w:t>
      </w:r>
      <w:r w:rsidR="00F434EA" w:rsidRPr="00550561">
        <w:rPr>
          <w:rStyle w:val="normaltextrun"/>
          <w:rFonts w:ascii="Calibri" w:hAnsi="Calibri" w:cs="Calibri"/>
        </w:rPr>
        <w:t xml:space="preserve">effectiveness </w:t>
      </w:r>
      <w:r w:rsidR="003D5EA0" w:rsidRPr="00550561">
        <w:rPr>
          <w:rStyle w:val="normaltextrun"/>
          <w:rFonts w:ascii="Calibri" w:hAnsi="Calibri" w:cs="Calibri"/>
        </w:rPr>
        <w:t xml:space="preserve">and, where appropriate, </w:t>
      </w:r>
      <w:r w:rsidR="00F434EA" w:rsidRPr="00550561">
        <w:rPr>
          <w:rStyle w:val="normaltextrun"/>
          <w:rFonts w:ascii="Calibri" w:hAnsi="Calibri" w:cs="Calibri"/>
        </w:rPr>
        <w:t xml:space="preserve">support opioid </w:t>
      </w:r>
      <w:r w:rsidR="003D5EA0" w:rsidRPr="00550561">
        <w:rPr>
          <w:rStyle w:val="normaltextrun"/>
          <w:rFonts w:ascii="Calibri" w:hAnsi="Calibri" w:cs="Calibri"/>
        </w:rPr>
        <w:t>tapering</w:t>
      </w:r>
      <w:r w:rsidR="008D408E" w:rsidRPr="00550561">
        <w:rPr>
          <w:rStyle w:val="normaltextrun"/>
          <w:rFonts w:ascii="Calibri" w:hAnsi="Calibri" w:cs="Calibri"/>
        </w:rPr>
        <w:t>.</w:t>
      </w:r>
      <w:r w:rsidR="00D01D4B" w:rsidRPr="00550561">
        <w:rPr>
          <w:rStyle w:val="normaltextrun"/>
          <w:rFonts w:ascii="Calibri" w:hAnsi="Calibri" w:cs="Calibri"/>
        </w:rPr>
        <w:t xml:space="preserve"> </w:t>
      </w:r>
      <w:r w:rsidR="00A42564" w:rsidRPr="00550561">
        <w:rPr>
          <w:rStyle w:val="normaltextrun"/>
          <w:rFonts w:ascii="Calibri" w:hAnsi="Calibri" w:cs="Calibri"/>
          <w:vertAlign w:val="superscript"/>
        </w:rPr>
        <w:t>4-6</w:t>
      </w:r>
      <w:r w:rsidR="00B50535" w:rsidRPr="00550561">
        <w:rPr>
          <w:rStyle w:val="normaltextrun"/>
          <w:rFonts w:ascii="Calibri" w:hAnsi="Calibri" w:cs="Calibri"/>
        </w:rPr>
        <w:t xml:space="preserve"> </w:t>
      </w:r>
      <w:r w:rsidR="00D706EA" w:rsidRPr="00550561">
        <w:rPr>
          <w:rStyle w:val="eop"/>
          <w:rFonts w:ascii="Calibri" w:hAnsi="Calibri" w:cs="Calibri"/>
        </w:rPr>
        <w:t>However,</w:t>
      </w:r>
      <w:r w:rsidR="00CB03BD" w:rsidRPr="00550561">
        <w:rPr>
          <w:rStyle w:val="eop"/>
          <w:rFonts w:ascii="Calibri" w:hAnsi="Calibri" w:cs="Calibri"/>
        </w:rPr>
        <w:t xml:space="preserve"> </w:t>
      </w:r>
      <w:r w:rsidR="00D706EA" w:rsidRPr="00550561">
        <w:rPr>
          <w:rStyle w:val="eop"/>
          <w:rFonts w:ascii="Calibri" w:hAnsi="Calibri" w:cs="Calibri"/>
        </w:rPr>
        <w:t>i</w:t>
      </w:r>
      <w:r w:rsidR="00F73CFF" w:rsidRPr="00550561">
        <w:rPr>
          <w:rStyle w:val="eop"/>
          <w:rFonts w:ascii="Calibri" w:hAnsi="Calibri" w:cs="Calibri"/>
        </w:rPr>
        <w:t xml:space="preserve">mplementation of </w:t>
      </w:r>
      <w:r w:rsidR="00731F3E" w:rsidRPr="00550561">
        <w:rPr>
          <w:rStyle w:val="eop"/>
          <w:rFonts w:ascii="Calibri" w:hAnsi="Calibri" w:cs="Calibri"/>
        </w:rPr>
        <w:t>best practice</w:t>
      </w:r>
      <w:r w:rsidR="00E8056E" w:rsidRPr="00550561">
        <w:rPr>
          <w:rStyle w:val="eop"/>
          <w:rFonts w:ascii="Calibri" w:hAnsi="Calibri" w:cs="Calibri"/>
        </w:rPr>
        <w:t xml:space="preserve"> </w:t>
      </w:r>
      <w:r w:rsidR="00E23DE9" w:rsidRPr="00550561">
        <w:rPr>
          <w:rStyle w:val="eop"/>
          <w:rFonts w:ascii="Calibri" w:hAnsi="Calibri" w:cs="Calibri"/>
        </w:rPr>
        <w:t>guidance</w:t>
      </w:r>
      <w:r w:rsidR="00F73CFF" w:rsidRPr="00550561">
        <w:rPr>
          <w:rStyle w:val="eop"/>
          <w:rFonts w:ascii="Calibri" w:hAnsi="Calibri" w:cs="Calibri"/>
        </w:rPr>
        <w:t xml:space="preserve"> </w:t>
      </w:r>
      <w:r w:rsidR="00D27A18" w:rsidRPr="00550561">
        <w:rPr>
          <w:rStyle w:val="eop"/>
          <w:rFonts w:ascii="Calibri" w:hAnsi="Calibri" w:cs="Calibri"/>
        </w:rPr>
        <w:t>is low</w:t>
      </w:r>
      <w:r w:rsidR="00A42564" w:rsidRPr="00550561">
        <w:rPr>
          <w:rStyle w:val="eop"/>
          <w:rFonts w:ascii="Calibri" w:hAnsi="Calibri" w:cs="Calibri"/>
          <w:vertAlign w:val="superscript"/>
        </w:rPr>
        <w:t>7, 8</w:t>
      </w:r>
      <w:r w:rsidR="008D408E" w:rsidRPr="00550561">
        <w:rPr>
          <w:rStyle w:val="eop"/>
          <w:rFonts w:ascii="Calibri" w:hAnsi="Calibri" w:cs="Calibri"/>
        </w:rPr>
        <w:t xml:space="preserve"> </w:t>
      </w:r>
      <w:r w:rsidR="00CB03BD" w:rsidRPr="00550561">
        <w:rPr>
          <w:rStyle w:val="eop"/>
          <w:rFonts w:ascii="Calibri" w:hAnsi="Calibri" w:cs="Calibri"/>
        </w:rPr>
        <w:t>and</w:t>
      </w:r>
      <w:r w:rsidR="00F73CFF" w:rsidRPr="00550561">
        <w:rPr>
          <w:rStyle w:val="eop"/>
          <w:rFonts w:ascii="Calibri" w:hAnsi="Calibri" w:cs="Calibri"/>
        </w:rPr>
        <w:t xml:space="preserve"> </w:t>
      </w:r>
      <w:r w:rsidR="0042748E" w:rsidRPr="00550561">
        <w:rPr>
          <w:rStyle w:val="eop"/>
          <w:rFonts w:ascii="Calibri" w:hAnsi="Calibri" w:cs="Calibri"/>
        </w:rPr>
        <w:t>routine</w:t>
      </w:r>
      <w:r w:rsidR="00CB03BD" w:rsidRPr="00550561">
        <w:rPr>
          <w:rStyle w:val="eop"/>
          <w:rFonts w:ascii="Calibri" w:hAnsi="Calibri" w:cs="Calibri"/>
        </w:rPr>
        <w:t xml:space="preserve"> UK</w:t>
      </w:r>
      <w:r w:rsidR="0042748E" w:rsidRPr="00550561">
        <w:rPr>
          <w:rStyle w:val="eop"/>
          <w:rFonts w:ascii="Calibri" w:hAnsi="Calibri" w:cs="Calibri"/>
        </w:rPr>
        <w:t xml:space="preserve"> General Practitioner (GP) appointments </w:t>
      </w:r>
      <w:r w:rsidR="003C55C1" w:rsidRPr="00550561">
        <w:rPr>
          <w:rStyle w:val="eop"/>
          <w:rFonts w:ascii="Calibri" w:hAnsi="Calibri" w:cs="Calibri"/>
        </w:rPr>
        <w:t>offer limited</w:t>
      </w:r>
      <w:r w:rsidR="001817C8" w:rsidRPr="00550561">
        <w:rPr>
          <w:rStyle w:val="eop"/>
          <w:rFonts w:ascii="Calibri" w:hAnsi="Calibri" w:cs="Calibri"/>
        </w:rPr>
        <w:t xml:space="preserve"> </w:t>
      </w:r>
      <w:r w:rsidR="000B1A99" w:rsidRPr="00550561">
        <w:rPr>
          <w:rStyle w:val="eop"/>
          <w:rFonts w:ascii="Calibri" w:hAnsi="Calibri" w:cs="Calibri"/>
        </w:rPr>
        <w:t xml:space="preserve">opportunity </w:t>
      </w:r>
      <w:r w:rsidR="00F73CFF" w:rsidRPr="00550561">
        <w:rPr>
          <w:rStyle w:val="eop"/>
          <w:rFonts w:ascii="Calibri" w:hAnsi="Calibri" w:cs="Calibri"/>
        </w:rPr>
        <w:t>for</w:t>
      </w:r>
      <w:r w:rsidR="000B1A99" w:rsidRPr="00550561">
        <w:rPr>
          <w:rStyle w:val="eop"/>
          <w:rFonts w:ascii="Calibri" w:hAnsi="Calibri" w:cs="Calibri"/>
        </w:rPr>
        <w:t xml:space="preserve"> comprehensive opioid reviews</w:t>
      </w:r>
      <w:r w:rsidR="00AB1DD5" w:rsidRPr="00550561">
        <w:rPr>
          <w:rStyle w:val="eop"/>
          <w:rFonts w:ascii="Calibri" w:hAnsi="Calibri" w:cs="Calibri"/>
        </w:rPr>
        <w:t>.</w:t>
      </w:r>
      <w:r w:rsidR="0011138D" w:rsidRPr="00550561">
        <w:rPr>
          <w:rStyle w:val="eop"/>
          <w:rFonts w:ascii="Calibri" w:hAnsi="Calibri" w:cs="Calibri"/>
        </w:rPr>
        <w:t xml:space="preserve"> A move to multidisciplinary working is underway in UK primary care, with more pharmacists working in GP practices</w:t>
      </w:r>
      <w:r w:rsidR="003C55C1" w:rsidRPr="00550561">
        <w:rPr>
          <w:rStyle w:val="eop"/>
          <w:rFonts w:ascii="Calibri" w:hAnsi="Calibri" w:cs="Calibri"/>
        </w:rPr>
        <w:t>.</w:t>
      </w:r>
      <w:r w:rsidR="00B214FD" w:rsidRPr="00550561">
        <w:rPr>
          <w:rStyle w:val="eop"/>
          <w:rFonts w:ascii="Calibri" w:hAnsi="Calibri" w:cs="Calibri"/>
          <w:vertAlign w:val="superscript"/>
        </w:rPr>
        <w:t>9, 10</w:t>
      </w:r>
      <w:r w:rsidR="00C52DCB" w:rsidRPr="00550561">
        <w:rPr>
          <w:rStyle w:val="eop"/>
          <w:rFonts w:ascii="Calibri" w:hAnsi="Calibri" w:cs="Calibri"/>
        </w:rPr>
        <w:t xml:space="preserve"> </w:t>
      </w:r>
      <w:r w:rsidR="0022494C" w:rsidRPr="00550561">
        <w:rPr>
          <w:rFonts w:ascii="Calibri" w:hAnsi="Calibri" w:cs="Calibri"/>
        </w:rPr>
        <w:t xml:space="preserve"> </w:t>
      </w:r>
      <w:r w:rsidR="000D52D9" w:rsidRPr="00550561">
        <w:rPr>
          <w:rFonts w:ascii="Calibri" w:hAnsi="Calibri" w:cs="Calibri"/>
        </w:rPr>
        <w:t xml:space="preserve">Such practice </w:t>
      </w:r>
      <w:r w:rsidR="0022494C" w:rsidRPr="00550561">
        <w:rPr>
          <w:rFonts w:ascii="Calibri" w:hAnsi="Calibri" w:cs="Calibri"/>
        </w:rPr>
        <w:t xml:space="preserve">pharmacists </w:t>
      </w:r>
      <w:r w:rsidR="000D52D9" w:rsidRPr="00550561">
        <w:rPr>
          <w:rFonts w:ascii="Calibri" w:hAnsi="Calibri" w:cs="Calibri"/>
        </w:rPr>
        <w:t xml:space="preserve">received </w:t>
      </w:r>
      <w:r w:rsidR="0022494C" w:rsidRPr="00550561">
        <w:rPr>
          <w:rFonts w:ascii="Calibri" w:hAnsi="Calibri" w:cs="Calibri"/>
        </w:rPr>
        <w:t xml:space="preserve">additional training in patient care and conduct consultations with patients in general practice. </w:t>
      </w:r>
      <w:r w:rsidR="007B1B47" w:rsidRPr="00550561">
        <w:rPr>
          <w:rStyle w:val="eop"/>
          <w:rFonts w:ascii="Calibri" w:hAnsi="Calibri" w:cs="Calibri"/>
        </w:rPr>
        <w:t>G</w:t>
      </w:r>
      <w:r w:rsidR="00C52DCB" w:rsidRPr="00550561">
        <w:rPr>
          <w:rStyle w:val="eop"/>
          <w:rFonts w:ascii="Calibri" w:hAnsi="Calibri" w:cs="Calibri"/>
        </w:rPr>
        <w:t xml:space="preserve">iven their skills and knowledge </w:t>
      </w:r>
      <w:r w:rsidR="00A917DF" w:rsidRPr="00550561">
        <w:rPr>
          <w:rStyle w:val="eop"/>
          <w:rFonts w:ascii="Calibri" w:hAnsi="Calibri" w:cs="Calibri"/>
        </w:rPr>
        <w:t>around polypharmacy and complex medicines regimens</w:t>
      </w:r>
      <w:r w:rsidR="002D4910" w:rsidRPr="00550561">
        <w:rPr>
          <w:rStyle w:val="eop"/>
          <w:rFonts w:ascii="Calibri" w:hAnsi="Calibri" w:cs="Calibri"/>
        </w:rPr>
        <w:t>,</w:t>
      </w:r>
      <w:r w:rsidR="003C55C1" w:rsidRPr="00550561">
        <w:rPr>
          <w:rStyle w:val="eop"/>
          <w:rFonts w:ascii="Calibri" w:hAnsi="Calibri" w:cs="Calibri"/>
        </w:rPr>
        <w:t xml:space="preserve"> </w:t>
      </w:r>
      <w:r w:rsidR="007B1B47" w:rsidRPr="00550561">
        <w:rPr>
          <w:rFonts w:ascii="Calibri" w:hAnsi="Calibri" w:cs="Calibri"/>
        </w:rPr>
        <w:t>practice pharmacists</w:t>
      </w:r>
      <w:r w:rsidR="003C55C1" w:rsidRPr="00550561">
        <w:rPr>
          <w:rFonts w:ascii="Calibri" w:hAnsi="Calibri" w:cs="Calibri"/>
        </w:rPr>
        <w:t xml:space="preserve"> (hereafter pharmacists)</w:t>
      </w:r>
      <w:r w:rsidR="007B1B47" w:rsidRPr="00550561">
        <w:rPr>
          <w:rFonts w:ascii="Calibri" w:hAnsi="Calibri" w:cs="Calibri"/>
        </w:rPr>
        <w:t xml:space="preserve"> seem ideally placed to take a proactive role in reviewing</w:t>
      </w:r>
      <w:r w:rsidR="0032388A">
        <w:rPr>
          <w:rFonts w:ascii="Calibri" w:hAnsi="Calibri" w:cs="Calibri"/>
        </w:rPr>
        <w:t xml:space="preserve"> patients prescribed opioids for PCNP</w:t>
      </w:r>
      <w:r w:rsidR="007B1B47" w:rsidRPr="00550561">
        <w:rPr>
          <w:rFonts w:ascii="Calibri" w:hAnsi="Calibri" w:cs="Calibri"/>
        </w:rPr>
        <w:t>, but there is currently no evidence about how they should do this</w:t>
      </w:r>
      <w:r w:rsidR="00807F3D" w:rsidRPr="00550561">
        <w:rPr>
          <w:rFonts w:ascii="Calibri" w:hAnsi="Calibri" w:cs="Calibri"/>
        </w:rPr>
        <w:t>.</w:t>
      </w:r>
    </w:p>
    <w:p w14:paraId="5C64945B" w14:textId="0623277D" w:rsidR="007E54F5" w:rsidRDefault="00476FE2" w:rsidP="007B1B47">
      <w:pPr>
        <w:spacing w:line="360" w:lineRule="auto"/>
      </w:pPr>
      <w:r>
        <w:rPr>
          <w:noProof/>
        </w:rPr>
        <w:drawing>
          <wp:anchor distT="0" distB="0" distL="114300" distR="114300" simplePos="0" relativeHeight="251657216" behindDoc="1" locked="0" layoutInCell="1" allowOverlap="1" wp14:anchorId="6C2FDD3F" wp14:editId="6A81F60D">
            <wp:simplePos x="0" y="0"/>
            <wp:positionH relativeFrom="margin">
              <wp:align>left</wp:align>
            </wp:positionH>
            <wp:positionV relativeFrom="paragraph">
              <wp:posOffset>1657706</wp:posOffset>
            </wp:positionV>
            <wp:extent cx="6096635" cy="2916936"/>
            <wp:effectExtent l="0" t="0" r="0" b="0"/>
            <wp:wrapTight wrapText="bothSides">
              <wp:wrapPolygon edited="0">
                <wp:start x="0" y="0"/>
                <wp:lineTo x="0" y="21445"/>
                <wp:lineTo x="21530" y="21445"/>
                <wp:lineTo x="21530" y="0"/>
                <wp:lineTo x="0" y="0"/>
              </wp:wrapPolygon>
            </wp:wrapTight>
            <wp:docPr id="20209106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14933"/>
                    <a:stretch/>
                  </pic:blipFill>
                  <pic:spPr bwMode="auto">
                    <a:xfrm>
                      <a:off x="0" y="0"/>
                      <a:ext cx="6096635" cy="2916936"/>
                    </a:xfrm>
                    <a:prstGeom prst="rect">
                      <a:avLst/>
                    </a:prstGeom>
                    <a:noFill/>
                    <a:ln>
                      <a:noFill/>
                    </a:ln>
                    <a:extLst>
                      <a:ext uri="{53640926-AAD7-44D8-BBD7-CCE9431645EC}">
                        <a14:shadowObscured xmlns:a14="http://schemas.microsoft.com/office/drawing/2010/main"/>
                      </a:ext>
                    </a:extLst>
                  </pic:spPr>
                </pic:pic>
              </a:graphicData>
            </a:graphic>
          </wp:anchor>
        </w:drawing>
      </w:r>
      <w:r w:rsidR="006D50ED" w:rsidRPr="00550561">
        <w:rPr>
          <w:rStyle w:val="eop"/>
          <w:rFonts w:ascii="Calibri" w:hAnsi="Calibri" w:cs="Calibri"/>
        </w:rPr>
        <w:t xml:space="preserve">The </w:t>
      </w:r>
      <w:r w:rsidR="002879B7" w:rsidRPr="00550561">
        <w:rPr>
          <w:rStyle w:val="eop"/>
          <w:rFonts w:ascii="Calibri" w:hAnsi="Calibri" w:cs="Calibri"/>
        </w:rPr>
        <w:t>PROMPPT (</w:t>
      </w:r>
      <w:r w:rsidR="006D50ED" w:rsidRPr="00550561">
        <w:rPr>
          <w:rStyle w:val="eop"/>
          <w:rFonts w:ascii="Calibri" w:hAnsi="Calibri" w:cs="Calibri"/>
          <w:b/>
          <w:bCs/>
          <w:u w:val="single"/>
        </w:rPr>
        <w:t>P</w:t>
      </w:r>
      <w:r w:rsidR="00181458" w:rsidRPr="00550561">
        <w:rPr>
          <w:rStyle w:val="eop"/>
          <w:rFonts w:ascii="Calibri" w:hAnsi="Calibri" w:cs="Calibri"/>
        </w:rPr>
        <w:t xml:space="preserve">roactive </w:t>
      </w:r>
      <w:r w:rsidR="008C4EBC" w:rsidRPr="00550561">
        <w:rPr>
          <w:rFonts w:ascii="Calibri" w:hAnsi="Calibri" w:cs="Courier New"/>
        </w:rPr>
        <w:t xml:space="preserve">clinical </w:t>
      </w:r>
      <w:r w:rsidR="008C4EBC" w:rsidRPr="00550561">
        <w:rPr>
          <w:rFonts w:ascii="Calibri" w:hAnsi="Calibri" w:cs="Courier New"/>
          <w:b/>
          <w:u w:val="single"/>
        </w:rPr>
        <w:t>R</w:t>
      </w:r>
      <w:r w:rsidR="008C4EBC" w:rsidRPr="00550561">
        <w:rPr>
          <w:rFonts w:ascii="Calibri" w:hAnsi="Calibri" w:cs="Courier New"/>
        </w:rPr>
        <w:t xml:space="preserve">eview of patients taking </w:t>
      </w:r>
      <w:r w:rsidR="008C4EBC" w:rsidRPr="00550561">
        <w:rPr>
          <w:rFonts w:ascii="Calibri" w:hAnsi="Calibri" w:cs="Courier New"/>
          <w:b/>
          <w:u w:val="single"/>
        </w:rPr>
        <w:t>O</w:t>
      </w:r>
      <w:r w:rsidR="008C4EBC" w:rsidRPr="00550561">
        <w:rPr>
          <w:rFonts w:ascii="Calibri" w:hAnsi="Calibri" w:cs="Courier New"/>
        </w:rPr>
        <w:t xml:space="preserve">pioid </w:t>
      </w:r>
      <w:r w:rsidR="008C4EBC" w:rsidRPr="00550561">
        <w:rPr>
          <w:rFonts w:ascii="Calibri" w:hAnsi="Calibri" w:cs="Courier New"/>
          <w:b/>
          <w:u w:val="single"/>
        </w:rPr>
        <w:t>M</w:t>
      </w:r>
      <w:r w:rsidR="008C4EBC" w:rsidRPr="00550561">
        <w:rPr>
          <w:rFonts w:ascii="Calibri" w:hAnsi="Calibri" w:cs="Courier New"/>
        </w:rPr>
        <w:t>edicines long-term for persistent</w:t>
      </w:r>
      <w:r w:rsidR="008C4EBC" w:rsidRPr="00550561">
        <w:rPr>
          <w:rFonts w:ascii="Calibri" w:hAnsi="Calibri" w:cs="Courier New"/>
          <w:b/>
        </w:rPr>
        <w:t xml:space="preserve"> </w:t>
      </w:r>
      <w:r w:rsidR="008C4EBC" w:rsidRPr="00550561">
        <w:rPr>
          <w:rFonts w:ascii="Calibri" w:hAnsi="Calibri" w:cs="Courier New"/>
          <w:b/>
          <w:u w:val="single"/>
        </w:rPr>
        <w:t>P</w:t>
      </w:r>
      <w:r w:rsidR="008C4EBC" w:rsidRPr="00550561">
        <w:rPr>
          <w:rFonts w:ascii="Calibri" w:hAnsi="Calibri" w:cs="Courier New"/>
        </w:rPr>
        <w:t xml:space="preserve">ain led by clinical </w:t>
      </w:r>
      <w:r w:rsidR="008C4EBC" w:rsidRPr="00550561">
        <w:rPr>
          <w:rFonts w:ascii="Calibri" w:hAnsi="Calibri" w:cs="Courier New"/>
          <w:b/>
          <w:u w:val="single"/>
        </w:rPr>
        <w:t>P</w:t>
      </w:r>
      <w:r w:rsidR="008C4EBC" w:rsidRPr="00550561">
        <w:rPr>
          <w:rFonts w:ascii="Calibri" w:hAnsi="Calibri" w:cs="Courier New"/>
        </w:rPr>
        <w:t xml:space="preserve">harmacists in primary care </w:t>
      </w:r>
      <w:r w:rsidR="008C4EBC" w:rsidRPr="00550561">
        <w:rPr>
          <w:rFonts w:ascii="Calibri" w:hAnsi="Calibri" w:cs="Courier New"/>
          <w:b/>
          <w:u w:val="single"/>
        </w:rPr>
        <w:t>T</w:t>
      </w:r>
      <w:r w:rsidR="008C4EBC" w:rsidRPr="00550561">
        <w:rPr>
          <w:rFonts w:ascii="Calibri" w:hAnsi="Calibri" w:cs="Courier New"/>
        </w:rPr>
        <w:t>eams</w:t>
      </w:r>
      <w:r w:rsidR="002879B7" w:rsidRPr="00550561">
        <w:rPr>
          <w:rFonts w:ascii="Calibri" w:hAnsi="Calibri" w:cs="Courier New"/>
        </w:rPr>
        <w:t>)</w:t>
      </w:r>
      <w:r w:rsidR="002879B7" w:rsidRPr="00550561">
        <w:rPr>
          <w:rStyle w:val="eop"/>
          <w:rFonts w:ascii="Calibri" w:hAnsi="Calibri" w:cs="Calibri"/>
        </w:rPr>
        <w:t xml:space="preserve"> research</w:t>
      </w:r>
      <w:r w:rsidR="006D50ED" w:rsidRPr="00550561">
        <w:rPr>
          <w:rStyle w:val="eop"/>
          <w:rFonts w:ascii="Calibri" w:hAnsi="Calibri" w:cs="Calibri"/>
        </w:rPr>
        <w:t xml:space="preserve"> programme</w:t>
      </w:r>
      <w:r w:rsidR="006C171B" w:rsidRPr="00550561">
        <w:rPr>
          <w:rStyle w:val="eop"/>
          <w:rFonts w:ascii="Calibri" w:hAnsi="Calibri" w:cs="Calibri"/>
        </w:rPr>
        <w:t xml:space="preserve"> </w:t>
      </w:r>
      <w:r w:rsidR="002879B7" w:rsidRPr="00550561">
        <w:rPr>
          <w:rStyle w:val="eop"/>
          <w:rFonts w:ascii="Calibri" w:hAnsi="Calibri" w:cs="Calibri"/>
        </w:rPr>
        <w:t xml:space="preserve">aims </w:t>
      </w:r>
      <w:r w:rsidR="00870006" w:rsidRPr="00550561">
        <w:rPr>
          <w:rStyle w:val="eop"/>
          <w:rFonts w:ascii="Calibri" w:hAnsi="Calibri" w:cs="Calibri"/>
        </w:rPr>
        <w:t>to</w:t>
      </w:r>
      <w:r w:rsidR="00980CDA" w:rsidRPr="00550561">
        <w:rPr>
          <w:rStyle w:val="eop"/>
          <w:rFonts w:ascii="Calibri" w:hAnsi="Calibri" w:cs="Calibri"/>
        </w:rPr>
        <w:t xml:space="preserve"> develop and test a pharmacist</w:t>
      </w:r>
      <w:r w:rsidR="007B1B47" w:rsidRPr="00550561">
        <w:rPr>
          <w:rStyle w:val="eop"/>
          <w:rFonts w:ascii="Calibri" w:hAnsi="Calibri" w:cs="Calibri"/>
        </w:rPr>
        <w:t>-</w:t>
      </w:r>
      <w:r w:rsidR="00E04A90" w:rsidRPr="00550561">
        <w:rPr>
          <w:rStyle w:val="eop"/>
          <w:rFonts w:ascii="Calibri" w:hAnsi="Calibri" w:cs="Calibri"/>
        </w:rPr>
        <w:t>led intervention to reduce inappropriate opioid use for persistent pain in primary care</w:t>
      </w:r>
      <w:r w:rsidR="00CB03BD" w:rsidRPr="00550561">
        <w:rPr>
          <w:rStyle w:val="eop"/>
          <w:rFonts w:ascii="Calibri" w:hAnsi="Calibri" w:cs="Calibri"/>
        </w:rPr>
        <w:t xml:space="preserve"> (PROMPPT review)</w:t>
      </w:r>
      <w:r w:rsidR="00E04A90" w:rsidRPr="00550561">
        <w:rPr>
          <w:rStyle w:val="eop"/>
          <w:rFonts w:ascii="Calibri" w:hAnsi="Calibri" w:cs="Calibri"/>
        </w:rPr>
        <w:t xml:space="preserve">. </w:t>
      </w:r>
      <w:r w:rsidR="002879B7" w:rsidRPr="00550561">
        <w:rPr>
          <w:rStyle w:val="eop"/>
          <w:rFonts w:ascii="Calibri" w:hAnsi="Calibri" w:cs="Calibri"/>
        </w:rPr>
        <w:t>The</w:t>
      </w:r>
      <w:r w:rsidR="000A6FAE" w:rsidRPr="00550561">
        <w:t xml:space="preserve"> PROMPPT </w:t>
      </w:r>
      <w:r w:rsidR="002879B7" w:rsidRPr="00550561">
        <w:t>programme is</w:t>
      </w:r>
      <w:r w:rsidR="005F50CE" w:rsidRPr="00550561">
        <w:t xml:space="preserve"> informed by the </w:t>
      </w:r>
      <w:r w:rsidR="00C97074" w:rsidRPr="00550561">
        <w:t>M</w:t>
      </w:r>
      <w:r w:rsidR="00D67258" w:rsidRPr="00550561">
        <w:t xml:space="preserve">edical </w:t>
      </w:r>
      <w:r w:rsidR="00C97074" w:rsidRPr="00550561">
        <w:t>R</w:t>
      </w:r>
      <w:r w:rsidR="00D67258" w:rsidRPr="00550561">
        <w:t xml:space="preserve">esearch </w:t>
      </w:r>
      <w:r w:rsidR="00C97074" w:rsidRPr="00550561">
        <w:t>C</w:t>
      </w:r>
      <w:r w:rsidR="00D67258" w:rsidRPr="00550561">
        <w:t>ouncil (MRC)</w:t>
      </w:r>
      <w:r w:rsidR="00C97074" w:rsidRPr="00550561">
        <w:t xml:space="preserve"> framework for development and evaluation of complex interventions</w:t>
      </w:r>
      <w:r w:rsidR="003735F1" w:rsidRPr="00550561">
        <w:t xml:space="preserve"> </w:t>
      </w:r>
      <w:r w:rsidR="00A42564" w:rsidRPr="00550561">
        <w:rPr>
          <w:noProof/>
          <w:vertAlign w:val="superscript"/>
        </w:rPr>
        <w:t>11</w:t>
      </w:r>
      <w:r w:rsidR="008563C5" w:rsidRPr="00550561">
        <w:t xml:space="preserve"> (see figure 1).  </w:t>
      </w:r>
      <w:r w:rsidR="004F6910" w:rsidRPr="00550561">
        <w:t xml:space="preserve">This framework </w:t>
      </w:r>
      <w:r w:rsidR="00C97074" w:rsidRPr="00550561">
        <w:t xml:space="preserve">has four </w:t>
      </w:r>
      <w:r w:rsidR="0018634A" w:rsidRPr="00550561">
        <w:t>phases</w:t>
      </w:r>
      <w:r w:rsidR="006A02F7" w:rsidRPr="00550561">
        <w:t>;</w:t>
      </w:r>
      <w:r w:rsidR="000620E4" w:rsidRPr="00550561">
        <w:t xml:space="preserve"> </w:t>
      </w:r>
      <w:r w:rsidR="00137F1F" w:rsidRPr="00550561">
        <w:t xml:space="preserve">Development, Feasibility, Evaluation, and Implementation. </w:t>
      </w:r>
    </w:p>
    <w:p w14:paraId="31903416" w14:textId="5C43F707" w:rsidR="00C44900" w:rsidRPr="00550561" w:rsidRDefault="00C44900" w:rsidP="007B1B47">
      <w:pPr>
        <w:spacing w:line="360" w:lineRule="auto"/>
      </w:pPr>
    </w:p>
    <w:p w14:paraId="750C068D" w14:textId="28CE09AD" w:rsidR="00F47FFD" w:rsidRPr="00550561" w:rsidRDefault="00137F1F" w:rsidP="003B3D48">
      <w:pPr>
        <w:spacing w:line="360" w:lineRule="auto"/>
      </w:pPr>
      <w:r w:rsidRPr="00550561">
        <w:lastRenderedPageBreak/>
        <w:t>T</w:t>
      </w:r>
      <w:r w:rsidR="00896566" w:rsidRPr="00550561">
        <w:t>h</w:t>
      </w:r>
      <w:r w:rsidR="008563C5" w:rsidRPr="00550561">
        <w:t xml:space="preserve">e current </w:t>
      </w:r>
      <w:r w:rsidR="00896566" w:rsidRPr="00550561">
        <w:t>study</w:t>
      </w:r>
      <w:r w:rsidR="00E47BE9" w:rsidRPr="00550561">
        <w:t xml:space="preserve"> sits </w:t>
      </w:r>
      <w:r w:rsidR="00D80EBF" w:rsidRPr="00550561">
        <w:t>in phase one</w:t>
      </w:r>
      <w:r w:rsidR="00945B82" w:rsidRPr="00550561">
        <w:t xml:space="preserve"> of the </w:t>
      </w:r>
      <w:r w:rsidR="00393866" w:rsidRPr="00550561">
        <w:t>MRC</w:t>
      </w:r>
      <w:r w:rsidR="00D67258" w:rsidRPr="00550561">
        <w:t xml:space="preserve"> </w:t>
      </w:r>
      <w:r w:rsidR="00945B82" w:rsidRPr="00550561">
        <w:t>framework</w:t>
      </w:r>
      <w:r w:rsidR="00D80EBF" w:rsidRPr="00550561">
        <w:t xml:space="preserve"> </w:t>
      </w:r>
      <w:r w:rsidR="00D96F18" w:rsidRPr="00550561">
        <w:t xml:space="preserve">and </w:t>
      </w:r>
      <w:r w:rsidR="002879B7" w:rsidRPr="00550561">
        <w:t>focuses</w:t>
      </w:r>
      <w:r w:rsidR="00E54C8A" w:rsidRPr="00550561">
        <w:t xml:space="preserve"> on one aspect of intervention development</w:t>
      </w:r>
      <w:r w:rsidR="00B461F0" w:rsidRPr="00550561">
        <w:t>;</w:t>
      </w:r>
      <w:r w:rsidR="00896566" w:rsidRPr="00550561">
        <w:t xml:space="preserve"> </w:t>
      </w:r>
      <w:r w:rsidR="00E54C8A" w:rsidRPr="00550561">
        <w:t xml:space="preserve">developing an intervention that is acceptable to those who will use it. </w:t>
      </w:r>
      <w:r w:rsidR="00A702D1" w:rsidRPr="00550561">
        <w:t xml:space="preserve"> </w:t>
      </w:r>
      <w:r w:rsidR="00B461F0" w:rsidRPr="00550561">
        <w:t>Perceptions of acceptability influence intervention u</w:t>
      </w:r>
      <w:r w:rsidR="00603AC2" w:rsidRPr="00550561">
        <w:t xml:space="preserve">ptake by patients </w:t>
      </w:r>
      <w:r w:rsidR="00B461F0" w:rsidRPr="00550561">
        <w:t xml:space="preserve">and </w:t>
      </w:r>
      <w:r w:rsidR="00603AC2" w:rsidRPr="00550561">
        <w:t>implementation by health care practitioners</w:t>
      </w:r>
      <w:r w:rsidR="002C5D92" w:rsidRPr="00550561">
        <w:t>. However, until recently the construct of acceptability has been poorly defined and understood.</w:t>
      </w:r>
      <w:r w:rsidR="00A42564" w:rsidRPr="00550561">
        <w:rPr>
          <w:vertAlign w:val="superscript"/>
        </w:rPr>
        <w:t>12, 13</w:t>
      </w:r>
      <w:r w:rsidR="002C5D92" w:rsidRPr="00550561">
        <w:t xml:space="preserve"> We t</w:t>
      </w:r>
      <w:r w:rsidR="00840161" w:rsidRPr="00550561">
        <w:t>ook</w:t>
      </w:r>
      <w:r w:rsidR="002C5D92" w:rsidRPr="00550561">
        <w:t xml:space="preserve"> a theory-informed approach drawing on the Theoretical Framework of Acceptability </w:t>
      </w:r>
      <w:r w:rsidR="00A20581" w:rsidRPr="00550561">
        <w:t>(TFA)</w:t>
      </w:r>
      <w:r w:rsidR="004A44BA" w:rsidRPr="00550561">
        <w:t>, to explore acceptability of a proposed PROMPPT review (prospective acceptability) and, through in-practice testin</w:t>
      </w:r>
      <w:r w:rsidR="0013347F" w:rsidRPr="00550561">
        <w:t xml:space="preserve">g, explored acceptability of a prototype PROMPPT review (experienced acceptability). </w:t>
      </w:r>
      <w:r w:rsidR="000D31BA" w:rsidRPr="00550561">
        <w:t>Recommendations for optimising the intervention were made at key timepoints</w:t>
      </w:r>
      <w:r w:rsidR="00C21C12" w:rsidRPr="00550561">
        <w:t xml:space="preserve"> (see Fig</w:t>
      </w:r>
      <w:r w:rsidR="00CE6637" w:rsidRPr="00550561">
        <w:t xml:space="preserve">ure </w:t>
      </w:r>
      <w:r w:rsidR="00623A97" w:rsidRPr="00550561">
        <w:t>2</w:t>
      </w:r>
      <w:r w:rsidR="00C21C12" w:rsidRPr="00550561">
        <w:t>)</w:t>
      </w:r>
      <w:r w:rsidR="00DB74B1" w:rsidRPr="00550561">
        <w:t xml:space="preserve">. </w:t>
      </w:r>
      <w:r w:rsidR="00B91F49" w:rsidRPr="00550561">
        <w:t xml:space="preserve">Table 1 outlines how we aligned TFA constructs to PROMPPT. </w:t>
      </w:r>
    </w:p>
    <w:p w14:paraId="2089C76F" w14:textId="2DEB5AB4" w:rsidR="005B6132" w:rsidRPr="00550561" w:rsidRDefault="00F47FFD" w:rsidP="003B3D48">
      <w:pPr>
        <w:spacing w:line="360" w:lineRule="auto"/>
      </w:pPr>
      <w:r w:rsidRPr="00550561">
        <w:t xml:space="preserve"> </w:t>
      </w:r>
      <w:r w:rsidR="0093665B" w:rsidRPr="00550561">
        <w:rPr>
          <w:noProof/>
          <w:lang w:eastAsia="en-GB"/>
        </w:rPr>
        <w:drawing>
          <wp:inline distT="0" distB="0" distL="0" distR="0" wp14:anchorId="39037412" wp14:editId="397D6588">
            <wp:extent cx="5731510" cy="3223895"/>
            <wp:effectExtent l="0" t="0" r="2540" b="0"/>
            <wp:docPr id="381122973"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1122973" name=""/>
                    <pic:cNvPicPr/>
                  </pic:nvPicPr>
                  <pic:blipFill>
                    <a:blip r:embed="rId9">
                      <a:extLst>
                        <a:ext uri="{96DAC541-7B7A-43D3-8B79-37D633B846F1}">
                          <asvg:svgBlip xmlns:asvg="http://schemas.microsoft.com/office/drawing/2016/SVG/main" r:embed="rId10"/>
                        </a:ext>
                      </a:extLst>
                    </a:blip>
                    <a:stretch>
                      <a:fillRect/>
                    </a:stretch>
                  </pic:blipFill>
                  <pic:spPr>
                    <a:xfrm>
                      <a:off x="0" y="0"/>
                      <a:ext cx="5731510" cy="3223895"/>
                    </a:xfrm>
                    <a:prstGeom prst="rect">
                      <a:avLst/>
                    </a:prstGeom>
                  </pic:spPr>
                </pic:pic>
              </a:graphicData>
            </a:graphic>
          </wp:inline>
        </w:drawing>
      </w:r>
    </w:p>
    <w:p w14:paraId="25858646" w14:textId="2569C6D9" w:rsidR="003B3D48" w:rsidRPr="00550561" w:rsidRDefault="003B3D48" w:rsidP="003B3D48">
      <w:pPr>
        <w:spacing w:line="360" w:lineRule="auto"/>
      </w:pPr>
    </w:p>
    <w:p w14:paraId="2BC68ABF" w14:textId="61A7FC99" w:rsidR="00235717" w:rsidRPr="00550561" w:rsidRDefault="00235717" w:rsidP="003B3D48">
      <w:pPr>
        <w:spacing w:line="360" w:lineRule="auto"/>
      </w:pPr>
      <w:r w:rsidRPr="00550561">
        <w:br w:type="page"/>
      </w:r>
    </w:p>
    <w:p w14:paraId="6B7FF985" w14:textId="0403EBFB" w:rsidR="000C3030" w:rsidRPr="00B95D63" w:rsidRDefault="000C3030" w:rsidP="000C3030">
      <w:pPr>
        <w:pStyle w:val="Caption"/>
        <w:keepNext/>
        <w:rPr>
          <w:b/>
          <w:bCs/>
          <w:i w:val="0"/>
          <w:iCs w:val="0"/>
          <w:color w:val="auto"/>
          <w:sz w:val="22"/>
          <w:szCs w:val="22"/>
        </w:rPr>
      </w:pPr>
      <w:r w:rsidRPr="001E7F65">
        <w:rPr>
          <w:b/>
          <w:bCs/>
          <w:i w:val="0"/>
          <w:iCs w:val="0"/>
          <w:color w:val="auto"/>
          <w:sz w:val="22"/>
          <w:szCs w:val="22"/>
        </w:rPr>
        <w:lastRenderedPageBreak/>
        <w:t xml:space="preserve">Table </w:t>
      </w:r>
      <w:r w:rsidRPr="001E7F65">
        <w:rPr>
          <w:b/>
          <w:bCs/>
          <w:i w:val="0"/>
          <w:iCs w:val="0"/>
          <w:color w:val="auto"/>
          <w:sz w:val="22"/>
          <w:szCs w:val="22"/>
        </w:rPr>
        <w:fldChar w:fldCharType="begin"/>
      </w:r>
      <w:r w:rsidRPr="001E7F65">
        <w:rPr>
          <w:b/>
          <w:bCs/>
          <w:i w:val="0"/>
          <w:iCs w:val="0"/>
          <w:color w:val="auto"/>
          <w:sz w:val="22"/>
          <w:szCs w:val="22"/>
        </w:rPr>
        <w:instrText xml:space="preserve"> SEQ Table \* ARABIC </w:instrText>
      </w:r>
      <w:r w:rsidRPr="001E7F65">
        <w:rPr>
          <w:b/>
          <w:bCs/>
          <w:i w:val="0"/>
          <w:iCs w:val="0"/>
          <w:color w:val="auto"/>
          <w:sz w:val="22"/>
          <w:szCs w:val="22"/>
        </w:rPr>
        <w:fldChar w:fldCharType="separate"/>
      </w:r>
      <w:r w:rsidR="002274A6" w:rsidRPr="001E7F65">
        <w:rPr>
          <w:b/>
          <w:bCs/>
          <w:i w:val="0"/>
          <w:iCs w:val="0"/>
          <w:color w:val="auto"/>
          <w:sz w:val="22"/>
          <w:szCs w:val="22"/>
        </w:rPr>
        <w:t>1</w:t>
      </w:r>
      <w:r w:rsidRPr="001E7F65">
        <w:rPr>
          <w:b/>
          <w:bCs/>
          <w:i w:val="0"/>
          <w:iCs w:val="0"/>
          <w:color w:val="auto"/>
          <w:sz w:val="22"/>
          <w:szCs w:val="22"/>
        </w:rPr>
        <w:fldChar w:fldCharType="end"/>
      </w:r>
      <w:r w:rsidRPr="00B95D63">
        <w:rPr>
          <w:b/>
          <w:bCs/>
          <w:i w:val="0"/>
          <w:iCs w:val="0"/>
          <w:color w:val="auto"/>
          <w:sz w:val="22"/>
          <w:szCs w:val="22"/>
        </w:rPr>
        <w:t xml:space="preserve"> The Theoretical Framework of Acceptability applied to PROMPPT</w:t>
      </w:r>
      <w:r w:rsidR="00CB03BD" w:rsidRPr="00B95D63">
        <w:rPr>
          <w:b/>
          <w:bCs/>
          <w:i w:val="0"/>
          <w:iCs w:val="0"/>
          <w:color w:val="auto"/>
          <w:sz w:val="22"/>
          <w:szCs w:val="22"/>
        </w:rPr>
        <w:t xml:space="preserve"> review development</w:t>
      </w:r>
    </w:p>
    <w:tbl>
      <w:tblPr>
        <w:tblStyle w:val="PlainTable2"/>
        <w:tblW w:w="9781" w:type="dxa"/>
        <w:tblLook w:val="0420" w:firstRow="1" w:lastRow="0" w:firstColumn="0" w:lastColumn="0" w:noHBand="0" w:noVBand="1"/>
      </w:tblPr>
      <w:tblGrid>
        <w:gridCol w:w="2410"/>
        <w:gridCol w:w="3544"/>
        <w:gridCol w:w="3827"/>
      </w:tblGrid>
      <w:tr w:rsidR="00E460B2" w:rsidRPr="00550561" w14:paraId="121500E1" w14:textId="77777777" w:rsidTr="00860CF8">
        <w:trPr>
          <w:cnfStyle w:val="100000000000" w:firstRow="1" w:lastRow="0" w:firstColumn="0" w:lastColumn="0" w:oddVBand="0" w:evenVBand="0" w:oddHBand="0" w:evenHBand="0" w:firstRowFirstColumn="0" w:firstRowLastColumn="0" w:lastRowFirstColumn="0" w:lastRowLastColumn="0"/>
          <w:trHeight w:val="282"/>
        </w:trPr>
        <w:tc>
          <w:tcPr>
            <w:tcW w:w="2410" w:type="dxa"/>
            <w:vMerge w:val="restart"/>
            <w:vAlign w:val="bottom"/>
            <w:hideMark/>
          </w:tcPr>
          <w:p w14:paraId="79BAF7AA" w14:textId="0719E77E" w:rsidR="00E460B2" w:rsidRPr="00550561" w:rsidRDefault="00E460B2" w:rsidP="00976158">
            <w:r w:rsidRPr="00550561">
              <w:t xml:space="preserve">TFA </w:t>
            </w:r>
            <w:r w:rsidR="006C1B88" w:rsidRPr="00550561">
              <w:t>CONSTRUCTS</w:t>
            </w:r>
          </w:p>
        </w:tc>
        <w:tc>
          <w:tcPr>
            <w:tcW w:w="7371" w:type="dxa"/>
            <w:gridSpan w:val="2"/>
            <w:hideMark/>
          </w:tcPr>
          <w:p w14:paraId="14BC2CF2" w14:textId="49E72D00" w:rsidR="00E460B2" w:rsidRPr="00550561" w:rsidRDefault="00E460B2" w:rsidP="00976158">
            <w:pPr>
              <w:jc w:val="center"/>
            </w:pPr>
            <w:r w:rsidRPr="00550561">
              <w:t>Assessment of Acceptability</w:t>
            </w:r>
          </w:p>
        </w:tc>
      </w:tr>
      <w:tr w:rsidR="00E460B2" w:rsidRPr="00550561" w14:paraId="78F3ADC1" w14:textId="77777777" w:rsidTr="002B3ABD">
        <w:trPr>
          <w:cnfStyle w:val="000000100000" w:firstRow="0" w:lastRow="0" w:firstColumn="0" w:lastColumn="0" w:oddVBand="0" w:evenVBand="0" w:oddHBand="1" w:evenHBand="0" w:firstRowFirstColumn="0" w:firstRowLastColumn="0" w:lastRowFirstColumn="0" w:lastRowLastColumn="0"/>
          <w:trHeight w:val="713"/>
        </w:trPr>
        <w:tc>
          <w:tcPr>
            <w:tcW w:w="2410" w:type="dxa"/>
            <w:vMerge/>
            <w:hideMark/>
          </w:tcPr>
          <w:p w14:paraId="4ACF7DB9" w14:textId="77777777" w:rsidR="00E460B2" w:rsidRPr="00550561" w:rsidRDefault="00E460B2" w:rsidP="00976158">
            <w:pPr>
              <w:rPr>
                <w:b/>
                <w:bCs/>
              </w:rPr>
            </w:pPr>
          </w:p>
        </w:tc>
        <w:tc>
          <w:tcPr>
            <w:tcW w:w="3544" w:type="dxa"/>
            <w:hideMark/>
          </w:tcPr>
          <w:p w14:paraId="1516EEB6" w14:textId="19174A5B" w:rsidR="00E460B2" w:rsidRPr="00550561" w:rsidRDefault="00E460B2" w:rsidP="00976158">
            <w:pPr>
              <w:jc w:val="center"/>
              <w:rPr>
                <w:b/>
                <w:bCs/>
              </w:rPr>
            </w:pPr>
            <w:r w:rsidRPr="00550561">
              <w:rPr>
                <w:b/>
                <w:bCs/>
              </w:rPr>
              <w:t xml:space="preserve">Prospective </w:t>
            </w:r>
            <w:r w:rsidR="00CB03BD" w:rsidRPr="00550561">
              <w:rPr>
                <w:b/>
                <w:bCs/>
              </w:rPr>
              <w:t>acceptability</w:t>
            </w:r>
            <w:r w:rsidR="00F845BE" w:rsidRPr="00550561">
              <w:rPr>
                <w:b/>
                <w:bCs/>
              </w:rPr>
              <w:t xml:space="preserve"> </w:t>
            </w:r>
            <w:r w:rsidR="00CB03BD" w:rsidRPr="00550561">
              <w:rPr>
                <w:b/>
                <w:bCs/>
              </w:rPr>
              <w:t>of a proposed PROMPPT review in principle</w:t>
            </w:r>
          </w:p>
        </w:tc>
        <w:tc>
          <w:tcPr>
            <w:tcW w:w="3827" w:type="dxa"/>
            <w:hideMark/>
          </w:tcPr>
          <w:p w14:paraId="2BD0810E" w14:textId="13A846C6" w:rsidR="00E460B2" w:rsidRPr="00550561" w:rsidRDefault="00E460B2" w:rsidP="00976158">
            <w:pPr>
              <w:jc w:val="center"/>
              <w:rPr>
                <w:b/>
                <w:bCs/>
              </w:rPr>
            </w:pPr>
            <w:r w:rsidRPr="00550561">
              <w:rPr>
                <w:b/>
                <w:bCs/>
              </w:rPr>
              <w:t xml:space="preserve">Experienced </w:t>
            </w:r>
            <w:r w:rsidR="00CB03BD" w:rsidRPr="00550561">
              <w:rPr>
                <w:b/>
                <w:bCs/>
              </w:rPr>
              <w:t>acceptability of prototype PROMPPT review in practice</w:t>
            </w:r>
          </w:p>
        </w:tc>
      </w:tr>
      <w:tr w:rsidR="00E91D8E" w:rsidRPr="00550561" w14:paraId="41871119" w14:textId="77777777" w:rsidTr="003A0B4F">
        <w:trPr>
          <w:trHeight w:val="263"/>
        </w:trPr>
        <w:tc>
          <w:tcPr>
            <w:tcW w:w="2410" w:type="dxa"/>
            <w:vAlign w:val="center"/>
          </w:tcPr>
          <w:p w14:paraId="23675B0F" w14:textId="7B096898" w:rsidR="00E91D8E" w:rsidRPr="00550561" w:rsidRDefault="00E91D8E" w:rsidP="00976158">
            <w:pPr>
              <w:rPr>
                <w:b/>
                <w:bCs/>
              </w:rPr>
            </w:pPr>
            <w:r w:rsidRPr="00550561">
              <w:rPr>
                <w:b/>
                <w:bCs/>
              </w:rPr>
              <w:t xml:space="preserve">Global Acceptability </w:t>
            </w:r>
          </w:p>
        </w:tc>
        <w:tc>
          <w:tcPr>
            <w:tcW w:w="3544" w:type="dxa"/>
            <w:vAlign w:val="center"/>
          </w:tcPr>
          <w:p w14:paraId="4F1D0333" w14:textId="29DCC8A7" w:rsidR="00E91D8E" w:rsidRPr="00550561" w:rsidRDefault="00E91D8E" w:rsidP="00201974">
            <w:r w:rsidRPr="00550561">
              <w:t>How acceptab</w:t>
            </w:r>
            <w:r w:rsidR="00917275" w:rsidRPr="00550561">
              <w:t>le</w:t>
            </w:r>
            <w:r w:rsidRPr="00550561">
              <w:t xml:space="preserve"> will </w:t>
            </w:r>
            <w:r w:rsidR="00CB03BD" w:rsidRPr="00550561">
              <w:t>the</w:t>
            </w:r>
            <w:r w:rsidR="00165625" w:rsidRPr="00550561">
              <w:t xml:space="preserve"> proposed</w:t>
            </w:r>
            <w:r w:rsidR="00CB03BD" w:rsidRPr="00550561">
              <w:t xml:space="preserve"> PROMPPT</w:t>
            </w:r>
            <w:r w:rsidR="00985CC2" w:rsidRPr="00550561">
              <w:t xml:space="preserve"> review </w:t>
            </w:r>
            <w:r w:rsidRPr="00550561">
              <w:t>be?</w:t>
            </w:r>
          </w:p>
        </w:tc>
        <w:tc>
          <w:tcPr>
            <w:tcW w:w="3827" w:type="dxa"/>
            <w:vAlign w:val="center"/>
          </w:tcPr>
          <w:p w14:paraId="27109093" w14:textId="2AA215E8" w:rsidR="00E91D8E" w:rsidRPr="00550561" w:rsidRDefault="00E91D8E" w:rsidP="00976158">
            <w:r w:rsidRPr="00550561">
              <w:t xml:space="preserve">How acceptable was </w:t>
            </w:r>
            <w:r w:rsidR="00985CC2" w:rsidRPr="00550561">
              <w:t xml:space="preserve">the </w:t>
            </w:r>
            <w:r w:rsidRPr="00550561">
              <w:t>PROMPPT</w:t>
            </w:r>
            <w:r w:rsidR="00985CC2" w:rsidRPr="00550561">
              <w:t xml:space="preserve"> review</w:t>
            </w:r>
            <w:r w:rsidRPr="00550561">
              <w:t>?</w:t>
            </w:r>
          </w:p>
        </w:tc>
      </w:tr>
      <w:tr w:rsidR="00E91D8E" w:rsidRPr="00550561" w14:paraId="43E88CD8" w14:textId="77777777" w:rsidTr="00687EAE">
        <w:trPr>
          <w:cnfStyle w:val="000000100000" w:firstRow="0" w:lastRow="0" w:firstColumn="0" w:lastColumn="0" w:oddVBand="0" w:evenVBand="0" w:oddHBand="1" w:evenHBand="0" w:firstRowFirstColumn="0" w:firstRowLastColumn="0" w:lastRowFirstColumn="0" w:lastRowLastColumn="0"/>
          <w:trHeight w:val="263"/>
        </w:trPr>
        <w:tc>
          <w:tcPr>
            <w:tcW w:w="2410" w:type="dxa"/>
            <w:vAlign w:val="center"/>
            <w:hideMark/>
          </w:tcPr>
          <w:p w14:paraId="744CF27B" w14:textId="77777777" w:rsidR="00E91D8E" w:rsidRPr="00550561" w:rsidRDefault="00E91D8E" w:rsidP="00976158">
            <w:pPr>
              <w:rPr>
                <w:b/>
                <w:bCs/>
              </w:rPr>
            </w:pPr>
            <w:r w:rsidRPr="00550561">
              <w:rPr>
                <w:b/>
                <w:bCs/>
              </w:rPr>
              <w:t>Affective Attitude</w:t>
            </w:r>
          </w:p>
        </w:tc>
        <w:tc>
          <w:tcPr>
            <w:tcW w:w="3544" w:type="dxa"/>
            <w:vAlign w:val="center"/>
            <w:hideMark/>
          </w:tcPr>
          <w:p w14:paraId="46FF4EB2" w14:textId="42A370BC" w:rsidR="00E91D8E" w:rsidRPr="00550561" w:rsidRDefault="00E91D8E" w:rsidP="00976158">
            <w:r w:rsidRPr="00550561">
              <w:t xml:space="preserve">How do </w:t>
            </w:r>
            <w:r w:rsidR="00BA0EA9">
              <w:t>patients and healthcare professionals (HCPs)</w:t>
            </w:r>
            <w:r w:rsidR="004A6F14">
              <w:t xml:space="preserve"> </w:t>
            </w:r>
            <w:r w:rsidRPr="00550561">
              <w:t xml:space="preserve">feel about </w:t>
            </w:r>
            <w:r w:rsidR="00985CC2" w:rsidRPr="00550561">
              <w:t xml:space="preserve">the proposed </w:t>
            </w:r>
            <w:r w:rsidR="00CB03BD" w:rsidRPr="00550561">
              <w:t xml:space="preserve">PROMPPT </w:t>
            </w:r>
            <w:r w:rsidRPr="00550561">
              <w:t>review?</w:t>
            </w:r>
          </w:p>
        </w:tc>
        <w:tc>
          <w:tcPr>
            <w:tcW w:w="3827" w:type="dxa"/>
            <w:vAlign w:val="center"/>
            <w:hideMark/>
          </w:tcPr>
          <w:p w14:paraId="4B7ADFCD" w14:textId="136539CA" w:rsidR="00E91D8E" w:rsidRPr="00550561" w:rsidRDefault="00E91D8E" w:rsidP="00976158">
            <w:r w:rsidRPr="00550561">
              <w:t xml:space="preserve">What did </w:t>
            </w:r>
            <w:r w:rsidR="00BA0EA9">
              <w:t>patients and HCPs</w:t>
            </w:r>
            <w:r w:rsidRPr="00550561">
              <w:t xml:space="preserve"> feel about the </w:t>
            </w:r>
            <w:r w:rsidR="009E72E5" w:rsidRPr="00550561">
              <w:t xml:space="preserve">PROMPPT </w:t>
            </w:r>
            <w:r w:rsidRPr="00550561">
              <w:t>review?</w:t>
            </w:r>
          </w:p>
        </w:tc>
      </w:tr>
      <w:tr w:rsidR="00E91D8E" w:rsidRPr="00550561" w14:paraId="0AEF8B42" w14:textId="77777777" w:rsidTr="00687EAE">
        <w:trPr>
          <w:trHeight w:val="263"/>
        </w:trPr>
        <w:tc>
          <w:tcPr>
            <w:tcW w:w="2410" w:type="dxa"/>
            <w:vAlign w:val="center"/>
          </w:tcPr>
          <w:p w14:paraId="6C7DB6AE" w14:textId="6189CC62" w:rsidR="00E91D8E" w:rsidRPr="00550561" w:rsidRDefault="00E91D8E" w:rsidP="00976158">
            <w:pPr>
              <w:rPr>
                <w:b/>
                <w:bCs/>
              </w:rPr>
            </w:pPr>
            <w:r w:rsidRPr="00550561">
              <w:rPr>
                <w:b/>
                <w:bCs/>
              </w:rPr>
              <w:t>Burden</w:t>
            </w:r>
          </w:p>
        </w:tc>
        <w:tc>
          <w:tcPr>
            <w:tcW w:w="3544" w:type="dxa"/>
            <w:vAlign w:val="center"/>
          </w:tcPr>
          <w:p w14:paraId="2DD633F6" w14:textId="28FAE350" w:rsidR="00E91D8E" w:rsidRPr="00550561" w:rsidRDefault="00E91D8E" w:rsidP="00976158">
            <w:r w:rsidRPr="00550561">
              <w:t xml:space="preserve">How easy or difficult will it be to participate in </w:t>
            </w:r>
            <w:r w:rsidR="00CB03BD" w:rsidRPr="00550561">
              <w:t>the proposed PROMPPT review</w:t>
            </w:r>
            <w:r w:rsidRPr="00550561">
              <w:t>?</w:t>
            </w:r>
          </w:p>
        </w:tc>
        <w:tc>
          <w:tcPr>
            <w:tcW w:w="3827" w:type="dxa"/>
            <w:vAlign w:val="center"/>
          </w:tcPr>
          <w:p w14:paraId="0D943CDC" w14:textId="4F70C320" w:rsidR="00E91D8E" w:rsidRPr="00550561" w:rsidRDefault="00E91D8E" w:rsidP="00976158">
            <w:r w:rsidRPr="00550561">
              <w:t xml:space="preserve">How easy or difficult was it to participate in </w:t>
            </w:r>
            <w:r w:rsidR="009E72E5" w:rsidRPr="00550561">
              <w:t xml:space="preserve">the </w:t>
            </w:r>
            <w:r w:rsidRPr="00550561">
              <w:t>PROMPPT</w:t>
            </w:r>
            <w:r w:rsidR="009E72E5" w:rsidRPr="00550561">
              <w:t xml:space="preserve"> review</w:t>
            </w:r>
            <w:r w:rsidRPr="00550561">
              <w:t>?</w:t>
            </w:r>
          </w:p>
        </w:tc>
      </w:tr>
      <w:tr w:rsidR="00E91D8E" w:rsidRPr="00550561" w14:paraId="0BEED6AF" w14:textId="77777777" w:rsidTr="00687EAE">
        <w:trPr>
          <w:cnfStyle w:val="000000100000" w:firstRow="0" w:lastRow="0" w:firstColumn="0" w:lastColumn="0" w:oddVBand="0" w:evenVBand="0" w:oddHBand="1" w:evenHBand="0" w:firstRowFirstColumn="0" w:firstRowLastColumn="0" w:lastRowFirstColumn="0" w:lastRowLastColumn="0"/>
          <w:trHeight w:val="263"/>
        </w:trPr>
        <w:tc>
          <w:tcPr>
            <w:tcW w:w="2410" w:type="dxa"/>
            <w:vAlign w:val="center"/>
          </w:tcPr>
          <w:p w14:paraId="33FCB738" w14:textId="7E499FA6" w:rsidR="00E91D8E" w:rsidRPr="00550561" w:rsidRDefault="00E91D8E" w:rsidP="00976158">
            <w:pPr>
              <w:rPr>
                <w:b/>
                <w:bCs/>
              </w:rPr>
            </w:pPr>
            <w:r w:rsidRPr="00550561">
              <w:rPr>
                <w:b/>
                <w:bCs/>
              </w:rPr>
              <w:t>Ethicality</w:t>
            </w:r>
          </w:p>
        </w:tc>
        <w:tc>
          <w:tcPr>
            <w:tcW w:w="3544" w:type="dxa"/>
            <w:vAlign w:val="center"/>
          </w:tcPr>
          <w:p w14:paraId="010DB058" w14:textId="4C6CA110" w:rsidR="00E91D8E" w:rsidRPr="00550561" w:rsidRDefault="00E91D8E" w:rsidP="00976158">
            <w:r w:rsidRPr="00550561">
              <w:t>How fair will it be for</w:t>
            </w:r>
            <w:r w:rsidR="00D20438">
              <w:t xml:space="preserve"> patients </w:t>
            </w:r>
            <w:r w:rsidRPr="00550561">
              <w:t xml:space="preserve">to be offered </w:t>
            </w:r>
            <w:r w:rsidR="00CB03BD" w:rsidRPr="00550561">
              <w:t>the proposed PROMPPT review</w:t>
            </w:r>
            <w:r w:rsidRPr="00550561">
              <w:t>?</w:t>
            </w:r>
          </w:p>
        </w:tc>
        <w:tc>
          <w:tcPr>
            <w:tcW w:w="3827" w:type="dxa"/>
            <w:vAlign w:val="center"/>
          </w:tcPr>
          <w:p w14:paraId="0532E103" w14:textId="1DB8D0E3" w:rsidR="00E91D8E" w:rsidRPr="00550561" w:rsidRDefault="00E91D8E" w:rsidP="00976158">
            <w:r w:rsidRPr="00550561">
              <w:t xml:space="preserve">How fair was it for </w:t>
            </w:r>
            <w:r w:rsidR="00D20438">
              <w:t xml:space="preserve">patients </w:t>
            </w:r>
            <w:r w:rsidRPr="00550561">
              <w:t xml:space="preserve">to be offered </w:t>
            </w:r>
            <w:r w:rsidR="009E72E5" w:rsidRPr="00550561">
              <w:t xml:space="preserve">the </w:t>
            </w:r>
            <w:r w:rsidRPr="00550561">
              <w:t>PROMPPT</w:t>
            </w:r>
            <w:r w:rsidR="009E72E5" w:rsidRPr="00550561">
              <w:t xml:space="preserve"> review</w:t>
            </w:r>
            <w:r w:rsidRPr="00550561">
              <w:t>?</w:t>
            </w:r>
          </w:p>
        </w:tc>
      </w:tr>
      <w:tr w:rsidR="00E91D8E" w:rsidRPr="00550561" w14:paraId="271A18D7" w14:textId="77777777" w:rsidTr="00687EAE">
        <w:trPr>
          <w:trHeight w:val="263"/>
        </w:trPr>
        <w:tc>
          <w:tcPr>
            <w:tcW w:w="2410" w:type="dxa"/>
            <w:vAlign w:val="center"/>
            <w:hideMark/>
          </w:tcPr>
          <w:p w14:paraId="47129FDE" w14:textId="77777777" w:rsidR="00E91D8E" w:rsidRPr="00550561" w:rsidRDefault="00E91D8E" w:rsidP="00976158">
            <w:pPr>
              <w:rPr>
                <w:b/>
                <w:bCs/>
              </w:rPr>
            </w:pPr>
            <w:r w:rsidRPr="00550561">
              <w:rPr>
                <w:b/>
                <w:bCs/>
              </w:rPr>
              <w:t>Intervention Coherence</w:t>
            </w:r>
          </w:p>
        </w:tc>
        <w:tc>
          <w:tcPr>
            <w:tcW w:w="3544" w:type="dxa"/>
            <w:vAlign w:val="center"/>
            <w:hideMark/>
          </w:tcPr>
          <w:p w14:paraId="308BEC94" w14:textId="2DFCF1F5" w:rsidR="00E91D8E" w:rsidRPr="00550561" w:rsidRDefault="00E91D8E" w:rsidP="00976158">
            <w:r w:rsidRPr="00550561">
              <w:t>How do</w:t>
            </w:r>
            <w:r w:rsidR="00BE018F">
              <w:t xml:space="preserve"> patients and HCPs </w:t>
            </w:r>
            <w:r w:rsidRPr="00550561">
              <w:t xml:space="preserve">think </w:t>
            </w:r>
            <w:r w:rsidR="00CB03BD" w:rsidRPr="00550561">
              <w:t>the proposed PROMPPT review</w:t>
            </w:r>
            <w:r w:rsidR="002151BC" w:rsidRPr="00550561">
              <w:t xml:space="preserve"> </w:t>
            </w:r>
            <w:r w:rsidRPr="00550561">
              <w:t xml:space="preserve">will lead to changes in the </w:t>
            </w:r>
            <w:r w:rsidR="00BE018F">
              <w:t xml:space="preserve">management </w:t>
            </w:r>
            <w:r w:rsidRPr="00550561">
              <w:t>of opioids?</w:t>
            </w:r>
          </w:p>
        </w:tc>
        <w:tc>
          <w:tcPr>
            <w:tcW w:w="3827" w:type="dxa"/>
            <w:vAlign w:val="center"/>
            <w:hideMark/>
          </w:tcPr>
          <w:p w14:paraId="02FFB6F2" w14:textId="08DA9C48" w:rsidR="00E91D8E" w:rsidRPr="00550561" w:rsidRDefault="00E91D8E" w:rsidP="00976158">
            <w:r w:rsidRPr="00550561">
              <w:t xml:space="preserve">How did </w:t>
            </w:r>
            <w:r w:rsidR="009E72E5" w:rsidRPr="00550561">
              <w:t xml:space="preserve">the </w:t>
            </w:r>
            <w:r w:rsidRPr="00550561">
              <w:t>PROMPPT</w:t>
            </w:r>
            <w:r w:rsidR="009E72E5" w:rsidRPr="00550561">
              <w:t xml:space="preserve"> review </w:t>
            </w:r>
            <w:r w:rsidRPr="00550561">
              <w:t xml:space="preserve">lead to changes in </w:t>
            </w:r>
            <w:r w:rsidR="00031833" w:rsidRPr="00550561">
              <w:t>the management</w:t>
            </w:r>
            <w:r w:rsidRPr="00550561">
              <w:t xml:space="preserve"> of opioids?</w:t>
            </w:r>
          </w:p>
        </w:tc>
      </w:tr>
      <w:tr w:rsidR="00E91D8E" w:rsidRPr="00550561" w14:paraId="74145FF7" w14:textId="77777777" w:rsidTr="00687EAE">
        <w:trPr>
          <w:cnfStyle w:val="000000100000" w:firstRow="0" w:lastRow="0" w:firstColumn="0" w:lastColumn="0" w:oddVBand="0" w:evenVBand="0" w:oddHBand="1" w:evenHBand="0" w:firstRowFirstColumn="0" w:firstRowLastColumn="0" w:lastRowFirstColumn="0" w:lastRowLastColumn="0"/>
          <w:trHeight w:val="263"/>
        </w:trPr>
        <w:tc>
          <w:tcPr>
            <w:tcW w:w="2410" w:type="dxa"/>
            <w:vAlign w:val="center"/>
          </w:tcPr>
          <w:p w14:paraId="21FFC917" w14:textId="78608F18" w:rsidR="00E91D8E" w:rsidRPr="00550561" w:rsidRDefault="00E91D8E" w:rsidP="00976158">
            <w:pPr>
              <w:rPr>
                <w:b/>
                <w:bCs/>
              </w:rPr>
            </w:pPr>
            <w:r w:rsidRPr="00550561">
              <w:rPr>
                <w:b/>
                <w:bCs/>
              </w:rPr>
              <w:t>Opportunity Costs</w:t>
            </w:r>
          </w:p>
        </w:tc>
        <w:tc>
          <w:tcPr>
            <w:tcW w:w="3544" w:type="dxa"/>
            <w:vAlign w:val="center"/>
          </w:tcPr>
          <w:p w14:paraId="6CD24714" w14:textId="7E94C122" w:rsidR="00E91D8E" w:rsidRPr="00550561" w:rsidRDefault="00E91D8E" w:rsidP="00976158">
            <w:r w:rsidRPr="00550561">
              <w:t xml:space="preserve">Will </w:t>
            </w:r>
            <w:r w:rsidR="00113976">
              <w:t xml:space="preserve">patients and HCPs </w:t>
            </w:r>
            <w:r w:rsidRPr="00550561">
              <w:t xml:space="preserve">have to give up things that are important to them </w:t>
            </w:r>
            <w:r w:rsidR="00031833" w:rsidRPr="00550561">
              <w:t>to</w:t>
            </w:r>
            <w:r w:rsidRPr="00550561">
              <w:t xml:space="preserve"> participate in </w:t>
            </w:r>
            <w:r w:rsidR="00770543" w:rsidRPr="00550561">
              <w:t>the proposed PROMPPT review?</w:t>
            </w:r>
          </w:p>
        </w:tc>
        <w:tc>
          <w:tcPr>
            <w:tcW w:w="3827" w:type="dxa"/>
            <w:vAlign w:val="center"/>
          </w:tcPr>
          <w:p w14:paraId="59FDAE4B" w14:textId="792167B2" w:rsidR="00E91D8E" w:rsidRPr="00550561" w:rsidRDefault="00E91D8E" w:rsidP="00976158">
            <w:r w:rsidRPr="00550561">
              <w:t xml:space="preserve">What did </w:t>
            </w:r>
            <w:r w:rsidR="00331898">
              <w:t xml:space="preserve">patients </w:t>
            </w:r>
            <w:r w:rsidR="00F63EFB">
              <w:t xml:space="preserve">and HCPs </w:t>
            </w:r>
            <w:r w:rsidRPr="00550561">
              <w:t xml:space="preserve">have to give up to </w:t>
            </w:r>
            <w:r w:rsidR="003732C1" w:rsidRPr="00550561">
              <w:t>p</w:t>
            </w:r>
            <w:r w:rsidRPr="00550561">
              <w:t xml:space="preserve">articipate in </w:t>
            </w:r>
            <w:r w:rsidR="009E72E5" w:rsidRPr="00550561">
              <w:t xml:space="preserve">the </w:t>
            </w:r>
            <w:r w:rsidRPr="00550561">
              <w:t>PROMPPT</w:t>
            </w:r>
            <w:r w:rsidR="009E72E5" w:rsidRPr="00550561">
              <w:t xml:space="preserve"> review</w:t>
            </w:r>
            <w:r w:rsidRPr="00550561">
              <w:t>?</w:t>
            </w:r>
          </w:p>
        </w:tc>
      </w:tr>
      <w:tr w:rsidR="00E91D8E" w:rsidRPr="00550561" w14:paraId="0A4A5451" w14:textId="77777777" w:rsidTr="00687EAE">
        <w:trPr>
          <w:trHeight w:val="263"/>
        </w:trPr>
        <w:tc>
          <w:tcPr>
            <w:tcW w:w="2410" w:type="dxa"/>
            <w:vAlign w:val="center"/>
            <w:hideMark/>
          </w:tcPr>
          <w:p w14:paraId="4B701E59" w14:textId="77777777" w:rsidR="00E91D8E" w:rsidRPr="00550561" w:rsidRDefault="00E91D8E" w:rsidP="00976158">
            <w:pPr>
              <w:rPr>
                <w:b/>
                <w:bCs/>
              </w:rPr>
            </w:pPr>
            <w:r w:rsidRPr="00550561">
              <w:rPr>
                <w:b/>
                <w:bCs/>
              </w:rPr>
              <w:t>Perceived Effectiveness</w:t>
            </w:r>
          </w:p>
        </w:tc>
        <w:tc>
          <w:tcPr>
            <w:tcW w:w="3544" w:type="dxa"/>
            <w:vAlign w:val="center"/>
            <w:hideMark/>
          </w:tcPr>
          <w:p w14:paraId="27491B0B" w14:textId="01BB2656" w:rsidR="00E91D8E" w:rsidRPr="00550561" w:rsidRDefault="00E91D8E" w:rsidP="00976158">
            <w:r w:rsidRPr="00550561">
              <w:t>Is</w:t>
            </w:r>
            <w:r w:rsidR="002151BC" w:rsidRPr="00550561">
              <w:t xml:space="preserve"> </w:t>
            </w:r>
            <w:r w:rsidR="00770543" w:rsidRPr="00550561">
              <w:t xml:space="preserve">the proposed PROMPPT review </w:t>
            </w:r>
            <w:r w:rsidRPr="00550561">
              <w:t>likely to lead to changes in management of opioids?</w:t>
            </w:r>
          </w:p>
        </w:tc>
        <w:tc>
          <w:tcPr>
            <w:tcW w:w="3827" w:type="dxa"/>
            <w:vAlign w:val="center"/>
            <w:hideMark/>
          </w:tcPr>
          <w:p w14:paraId="3A9F3F40" w14:textId="60357F0D" w:rsidR="00E91D8E" w:rsidRPr="00550561" w:rsidRDefault="00E91D8E" w:rsidP="00976158">
            <w:r w:rsidRPr="00550561">
              <w:t>Did</w:t>
            </w:r>
            <w:r w:rsidR="009E72E5" w:rsidRPr="00550561">
              <w:t xml:space="preserve"> the</w:t>
            </w:r>
            <w:r w:rsidRPr="00550561">
              <w:t xml:space="preserve"> PROMPPT</w:t>
            </w:r>
            <w:r w:rsidR="009E72E5" w:rsidRPr="00550561">
              <w:t xml:space="preserve"> review</w:t>
            </w:r>
            <w:r w:rsidRPr="00550561">
              <w:t xml:space="preserve"> lead to changes in management of opioids?</w:t>
            </w:r>
          </w:p>
        </w:tc>
      </w:tr>
      <w:tr w:rsidR="00E91D8E" w:rsidRPr="00550561" w14:paraId="460C641D" w14:textId="77777777" w:rsidTr="00687EAE">
        <w:trPr>
          <w:cnfStyle w:val="000000100000" w:firstRow="0" w:lastRow="0" w:firstColumn="0" w:lastColumn="0" w:oddVBand="0" w:evenVBand="0" w:oddHBand="1" w:evenHBand="0" w:firstRowFirstColumn="0" w:firstRowLastColumn="0" w:lastRowFirstColumn="0" w:lastRowLastColumn="0"/>
          <w:trHeight w:val="263"/>
        </w:trPr>
        <w:tc>
          <w:tcPr>
            <w:tcW w:w="2410" w:type="dxa"/>
            <w:vAlign w:val="center"/>
            <w:hideMark/>
          </w:tcPr>
          <w:p w14:paraId="7A938E00" w14:textId="2AA0488A" w:rsidR="00E91D8E" w:rsidRPr="00550561" w:rsidRDefault="00E91334" w:rsidP="00976158">
            <w:pPr>
              <w:rPr>
                <w:b/>
                <w:bCs/>
              </w:rPr>
            </w:pPr>
            <w:r w:rsidRPr="00550561">
              <w:rPr>
                <w:b/>
                <w:bCs/>
              </w:rPr>
              <w:t>Self-Efficacy</w:t>
            </w:r>
          </w:p>
        </w:tc>
        <w:tc>
          <w:tcPr>
            <w:tcW w:w="3544" w:type="dxa"/>
            <w:vAlign w:val="center"/>
            <w:hideMark/>
          </w:tcPr>
          <w:p w14:paraId="09BB91A3" w14:textId="125475D9" w:rsidR="00E91D8E" w:rsidRPr="00550561" w:rsidRDefault="00E91D8E" w:rsidP="00976158">
            <w:r w:rsidRPr="00550561">
              <w:t xml:space="preserve">How confident would </w:t>
            </w:r>
            <w:r w:rsidR="004859D0">
              <w:t xml:space="preserve">patients and HCPs </w:t>
            </w:r>
            <w:r w:rsidRPr="00550561">
              <w:t>feel about</w:t>
            </w:r>
            <w:r w:rsidR="00ED07E7" w:rsidRPr="00550561">
              <w:t xml:space="preserve"> engaging with</w:t>
            </w:r>
            <w:r w:rsidRPr="00550561">
              <w:t xml:space="preserve"> </w:t>
            </w:r>
            <w:r w:rsidR="00770543" w:rsidRPr="00550561">
              <w:t>the proposed PROMPPT review</w:t>
            </w:r>
            <w:r w:rsidRPr="00550561">
              <w:t>?</w:t>
            </w:r>
          </w:p>
        </w:tc>
        <w:tc>
          <w:tcPr>
            <w:tcW w:w="3827" w:type="dxa"/>
            <w:vAlign w:val="center"/>
            <w:hideMark/>
          </w:tcPr>
          <w:p w14:paraId="7BCEC299" w14:textId="2DFDDA5B" w:rsidR="00E91D8E" w:rsidRPr="00550561" w:rsidRDefault="00E91D8E" w:rsidP="00976158">
            <w:r w:rsidRPr="00550561">
              <w:t xml:space="preserve">How confident were participants </w:t>
            </w:r>
            <w:r w:rsidR="00EC5D55" w:rsidRPr="00550561">
              <w:t>to engage with</w:t>
            </w:r>
            <w:r w:rsidRPr="00550561">
              <w:t xml:space="preserve"> </w:t>
            </w:r>
            <w:r w:rsidR="009E72E5" w:rsidRPr="00550561">
              <w:t xml:space="preserve">the </w:t>
            </w:r>
            <w:r w:rsidRPr="00550561">
              <w:t>PROMPPT</w:t>
            </w:r>
            <w:r w:rsidR="009E72E5" w:rsidRPr="00550561">
              <w:t xml:space="preserve"> review</w:t>
            </w:r>
            <w:r w:rsidRPr="00550561">
              <w:t>?</w:t>
            </w:r>
          </w:p>
        </w:tc>
      </w:tr>
    </w:tbl>
    <w:p w14:paraId="69A2887C" w14:textId="7056B3E7" w:rsidR="00FB0A2E" w:rsidRPr="00550561" w:rsidRDefault="00FB0A2E">
      <w:pPr>
        <w:rPr>
          <w:b/>
          <w:bCs/>
        </w:rPr>
      </w:pPr>
      <w:r w:rsidRPr="00550561">
        <w:rPr>
          <w:b/>
          <w:bCs/>
        </w:rPr>
        <w:br w:type="page"/>
      </w:r>
    </w:p>
    <w:p w14:paraId="67F7F38D" w14:textId="0DD619A5" w:rsidR="009348F0" w:rsidRPr="00550561" w:rsidRDefault="00D335BB" w:rsidP="003B3D48">
      <w:pPr>
        <w:spacing w:line="360" w:lineRule="auto"/>
        <w:rPr>
          <w:b/>
          <w:bCs/>
        </w:rPr>
      </w:pPr>
      <w:r w:rsidRPr="00550561">
        <w:rPr>
          <w:b/>
          <w:bCs/>
        </w:rPr>
        <w:lastRenderedPageBreak/>
        <w:t>Methods</w:t>
      </w:r>
    </w:p>
    <w:p w14:paraId="1A866B62" w14:textId="66EC5135" w:rsidR="00363899" w:rsidRPr="00550561" w:rsidRDefault="00F05364" w:rsidP="003B3D48">
      <w:pPr>
        <w:spacing w:line="360" w:lineRule="auto"/>
        <w:rPr>
          <w:rFonts w:cstheme="minorHAnsi"/>
        </w:rPr>
      </w:pPr>
      <w:r w:rsidRPr="00550561">
        <w:rPr>
          <w:rFonts w:cstheme="minorHAnsi"/>
        </w:rPr>
        <w:t>This study used s</w:t>
      </w:r>
      <w:r w:rsidR="005F0ADD" w:rsidRPr="00550561">
        <w:rPr>
          <w:rFonts w:cstheme="minorHAnsi"/>
        </w:rPr>
        <w:t xml:space="preserve">emi-structured interviews, </w:t>
      </w:r>
      <w:r w:rsidR="00CA30D9" w:rsidRPr="00550561">
        <w:rPr>
          <w:rFonts w:cstheme="minorHAnsi"/>
        </w:rPr>
        <w:t xml:space="preserve">an </w:t>
      </w:r>
      <w:r w:rsidR="004813C1" w:rsidRPr="00550561">
        <w:rPr>
          <w:rFonts w:cstheme="minorHAnsi"/>
        </w:rPr>
        <w:t>online discussion forum</w:t>
      </w:r>
      <w:r w:rsidR="00241EF9" w:rsidRPr="00550561">
        <w:rPr>
          <w:rFonts w:cstheme="minorHAnsi"/>
        </w:rPr>
        <w:t xml:space="preserve"> and</w:t>
      </w:r>
      <w:r w:rsidR="005132E7" w:rsidRPr="00550561">
        <w:rPr>
          <w:rFonts w:cstheme="minorHAnsi"/>
        </w:rPr>
        <w:t xml:space="preserve"> in-practice testing (IPT) </w:t>
      </w:r>
      <w:r w:rsidR="008F5DC2" w:rsidRPr="00550561">
        <w:rPr>
          <w:rFonts w:cstheme="minorHAnsi"/>
        </w:rPr>
        <w:t>with think aloud interviews</w:t>
      </w:r>
      <w:r w:rsidR="001E20B8" w:rsidRPr="00550561">
        <w:rPr>
          <w:rFonts w:cstheme="minorHAnsi"/>
        </w:rPr>
        <w:t>,</w:t>
      </w:r>
      <w:r w:rsidR="004813C1" w:rsidRPr="00550561">
        <w:rPr>
          <w:rFonts w:cstheme="minorHAnsi"/>
        </w:rPr>
        <w:t xml:space="preserve"> in </w:t>
      </w:r>
      <w:r w:rsidR="00922B0C" w:rsidRPr="00550561">
        <w:rPr>
          <w:rFonts w:cstheme="minorHAnsi"/>
        </w:rPr>
        <w:t xml:space="preserve">a </w:t>
      </w:r>
      <w:r w:rsidR="004813C1" w:rsidRPr="00550561">
        <w:rPr>
          <w:rFonts w:cstheme="minorHAnsi"/>
        </w:rPr>
        <w:t>UK Primary Care setting</w:t>
      </w:r>
      <w:r w:rsidR="00F03652" w:rsidRPr="00550561">
        <w:rPr>
          <w:rFonts w:cstheme="minorHAnsi"/>
        </w:rPr>
        <w:t xml:space="preserve"> </w:t>
      </w:r>
      <w:r w:rsidR="008F5DC2" w:rsidRPr="00550561">
        <w:rPr>
          <w:rFonts w:cstheme="minorHAnsi"/>
        </w:rPr>
        <w:t>(</w:t>
      </w:r>
      <w:r w:rsidR="00F03652" w:rsidRPr="00550561">
        <w:rPr>
          <w:rFonts w:cstheme="minorHAnsi"/>
        </w:rPr>
        <w:t>July 2019</w:t>
      </w:r>
      <w:r w:rsidR="008F5DC2" w:rsidRPr="00550561">
        <w:rPr>
          <w:rFonts w:cstheme="minorHAnsi"/>
        </w:rPr>
        <w:t>-</w:t>
      </w:r>
      <w:r w:rsidR="00F03652" w:rsidRPr="00550561">
        <w:rPr>
          <w:rFonts w:cstheme="minorHAnsi"/>
        </w:rPr>
        <w:t>February 2020</w:t>
      </w:r>
      <w:r w:rsidR="008F5DC2" w:rsidRPr="00550561">
        <w:rPr>
          <w:rFonts w:cstheme="minorHAnsi"/>
        </w:rPr>
        <w:t>)</w:t>
      </w:r>
      <w:r w:rsidR="005F0ADD" w:rsidRPr="00550561">
        <w:rPr>
          <w:rFonts w:cstheme="minorHAnsi"/>
        </w:rPr>
        <w:t>.</w:t>
      </w:r>
      <w:r w:rsidR="006461BA" w:rsidRPr="00550561">
        <w:rPr>
          <w:rFonts w:cstheme="minorHAnsi"/>
        </w:rPr>
        <w:t xml:space="preserve"> </w:t>
      </w:r>
    </w:p>
    <w:p w14:paraId="7E605E7B" w14:textId="77777777" w:rsidR="00C90C05" w:rsidRPr="00550561" w:rsidRDefault="00C90C05" w:rsidP="00C90C05">
      <w:pPr>
        <w:spacing w:line="360" w:lineRule="auto"/>
        <w:rPr>
          <w:i/>
          <w:iCs/>
        </w:rPr>
      </w:pPr>
      <w:r w:rsidRPr="00550561">
        <w:rPr>
          <w:i/>
          <w:iCs/>
        </w:rPr>
        <w:t>Recruitment and conduct</w:t>
      </w:r>
    </w:p>
    <w:p w14:paraId="1F55A9EA" w14:textId="6C0FC39A" w:rsidR="00EC2EC7" w:rsidRPr="00550561" w:rsidRDefault="00834F3F" w:rsidP="003B3D48">
      <w:pPr>
        <w:spacing w:line="360" w:lineRule="auto"/>
        <w:rPr>
          <w:i/>
          <w:iCs/>
        </w:rPr>
      </w:pPr>
      <w:r w:rsidRPr="00550561">
        <w:rPr>
          <w:i/>
          <w:iCs/>
        </w:rPr>
        <w:t>Prospective acceptability</w:t>
      </w:r>
      <w:r w:rsidR="00C04A43" w:rsidRPr="00550561">
        <w:rPr>
          <w:i/>
          <w:iCs/>
        </w:rPr>
        <w:t xml:space="preserve"> </w:t>
      </w:r>
    </w:p>
    <w:p w14:paraId="127B8E24" w14:textId="730A8997" w:rsidR="00500796" w:rsidRPr="00550561" w:rsidRDefault="00EC13E4" w:rsidP="003B3D48">
      <w:pPr>
        <w:spacing w:line="360" w:lineRule="auto"/>
        <w:rPr>
          <w:u w:val="single"/>
        </w:rPr>
      </w:pPr>
      <w:r w:rsidRPr="00550561">
        <w:rPr>
          <w:u w:val="single"/>
        </w:rPr>
        <w:t>I</w:t>
      </w:r>
      <w:r w:rsidR="00776355" w:rsidRPr="00550561">
        <w:rPr>
          <w:u w:val="single"/>
        </w:rPr>
        <w:t>nterviews</w:t>
      </w:r>
      <w:r w:rsidR="00686477" w:rsidRPr="00550561">
        <w:rPr>
          <w:u w:val="single"/>
        </w:rPr>
        <w:t xml:space="preserve"> (August 2019 – October 2019)</w:t>
      </w:r>
    </w:p>
    <w:p w14:paraId="45DA5E3D" w14:textId="04169DA2" w:rsidR="00435B0A" w:rsidRPr="00550561" w:rsidRDefault="00776355" w:rsidP="003B3D48">
      <w:pPr>
        <w:spacing w:line="360" w:lineRule="auto"/>
      </w:pPr>
      <w:r w:rsidRPr="00550561">
        <w:rPr>
          <w:rFonts w:cstheme="minorHAnsi"/>
        </w:rPr>
        <w:t>Adult</w:t>
      </w:r>
      <w:r w:rsidR="007A3749">
        <w:rPr>
          <w:rFonts w:cstheme="minorHAnsi"/>
        </w:rPr>
        <w:t xml:space="preserve"> patient</w:t>
      </w:r>
      <w:r w:rsidR="00EB16D5" w:rsidRPr="00550561">
        <w:rPr>
          <w:rFonts w:cstheme="minorHAnsi"/>
        </w:rPr>
        <w:t>s</w:t>
      </w:r>
      <w:r w:rsidR="00A95F46" w:rsidRPr="00550561">
        <w:rPr>
          <w:rFonts w:cstheme="minorHAnsi"/>
        </w:rPr>
        <w:t xml:space="preserve"> </w:t>
      </w:r>
      <w:r w:rsidR="00B870A5" w:rsidRPr="00550561">
        <w:rPr>
          <w:rFonts w:cstheme="minorHAnsi"/>
        </w:rPr>
        <w:t>(&gt;18</w:t>
      </w:r>
      <w:r w:rsidR="00C14594" w:rsidRPr="00550561">
        <w:rPr>
          <w:rFonts w:cstheme="minorHAnsi"/>
        </w:rPr>
        <w:t xml:space="preserve"> years)</w:t>
      </w:r>
      <w:r w:rsidR="00EB16D5" w:rsidRPr="00550561">
        <w:rPr>
          <w:rFonts w:cstheme="minorHAnsi"/>
        </w:rPr>
        <w:t xml:space="preserve"> prescribed opioids f</w:t>
      </w:r>
      <w:r w:rsidRPr="00550561">
        <w:rPr>
          <w:rFonts w:cstheme="minorHAnsi"/>
        </w:rPr>
        <w:t>or ≥6months</w:t>
      </w:r>
      <w:r w:rsidR="00BD4F68" w:rsidRPr="00550561">
        <w:rPr>
          <w:rFonts w:cstheme="minorHAnsi"/>
        </w:rPr>
        <w:t xml:space="preserve"> </w:t>
      </w:r>
      <w:r w:rsidR="00EB16D5" w:rsidRPr="00550561">
        <w:rPr>
          <w:rFonts w:cstheme="minorHAnsi"/>
        </w:rPr>
        <w:t>for P</w:t>
      </w:r>
      <w:r w:rsidR="00886ED0" w:rsidRPr="00550561">
        <w:rPr>
          <w:rFonts w:cstheme="minorHAnsi"/>
        </w:rPr>
        <w:t xml:space="preserve">NCP </w:t>
      </w:r>
      <w:r w:rsidRPr="00550561">
        <w:rPr>
          <w:rFonts w:cstheme="minorHAnsi"/>
        </w:rPr>
        <w:t>were recruited</w:t>
      </w:r>
      <w:r w:rsidR="00BE41BE" w:rsidRPr="00550561">
        <w:rPr>
          <w:rFonts w:cstheme="minorHAnsi"/>
        </w:rPr>
        <w:t>, by postal invite,</w:t>
      </w:r>
      <w:r w:rsidRPr="00550561">
        <w:rPr>
          <w:rFonts w:cstheme="minorHAnsi"/>
        </w:rPr>
        <w:t xml:space="preserve"> from </w:t>
      </w:r>
      <w:r w:rsidR="00D13251" w:rsidRPr="00550561">
        <w:rPr>
          <w:rFonts w:cstheme="minorHAnsi"/>
        </w:rPr>
        <w:t xml:space="preserve">two </w:t>
      </w:r>
      <w:r w:rsidRPr="00550561">
        <w:rPr>
          <w:rFonts w:cstheme="minorHAnsi"/>
        </w:rPr>
        <w:t xml:space="preserve">West Midlands GP practices </w:t>
      </w:r>
      <w:r w:rsidR="00166A0A" w:rsidRPr="00550561">
        <w:rPr>
          <w:rFonts w:cstheme="minorHAnsi"/>
        </w:rPr>
        <w:t>without</w:t>
      </w:r>
      <w:r w:rsidRPr="00550561">
        <w:rPr>
          <w:rFonts w:cstheme="minorHAnsi"/>
        </w:rPr>
        <w:t xml:space="preserve"> a pharmacist.</w:t>
      </w:r>
      <w:r w:rsidR="00E72475" w:rsidRPr="00550561">
        <w:rPr>
          <w:rFonts w:cstheme="minorHAnsi"/>
        </w:rPr>
        <w:t xml:space="preserve"> </w:t>
      </w:r>
      <w:r w:rsidR="00435B0A" w:rsidRPr="00550561">
        <w:t>Semi-</w:t>
      </w:r>
      <w:r w:rsidR="00EA6BAF" w:rsidRPr="00550561">
        <w:t>structured</w:t>
      </w:r>
      <w:r w:rsidR="00435B0A" w:rsidRPr="00550561">
        <w:t xml:space="preserve"> interviews were conducted </w:t>
      </w:r>
      <w:r w:rsidR="001B47CB" w:rsidRPr="00550561">
        <w:t xml:space="preserve">face-to-face or </w:t>
      </w:r>
      <w:r w:rsidR="0022026E" w:rsidRPr="00550561">
        <w:t>by</w:t>
      </w:r>
      <w:r w:rsidR="001B47CB" w:rsidRPr="00550561">
        <w:t xml:space="preserve"> telephone</w:t>
      </w:r>
      <w:r w:rsidR="004546A9" w:rsidRPr="00550561">
        <w:t>, according to participant preference</w:t>
      </w:r>
      <w:r w:rsidR="00686477" w:rsidRPr="00550561">
        <w:t>.</w:t>
      </w:r>
      <w:r w:rsidR="004546A9" w:rsidRPr="00550561">
        <w:t xml:space="preserve"> </w:t>
      </w:r>
      <w:r w:rsidR="00435B0A" w:rsidRPr="00550561">
        <w:t xml:space="preserve"> </w:t>
      </w:r>
      <w:r w:rsidR="004546A9" w:rsidRPr="00550561">
        <w:t xml:space="preserve">A </w:t>
      </w:r>
      <w:r w:rsidR="00435B0A" w:rsidRPr="00550561">
        <w:t>topic guide</w:t>
      </w:r>
      <w:r w:rsidR="00A66741" w:rsidRPr="00550561">
        <w:t>,</w:t>
      </w:r>
      <w:r w:rsidR="00435B0A" w:rsidRPr="00550561">
        <w:t xml:space="preserve"> </w:t>
      </w:r>
      <w:r w:rsidR="00DC0149" w:rsidRPr="00550561">
        <w:t>informed b</w:t>
      </w:r>
      <w:r w:rsidR="00435B0A" w:rsidRPr="00550561">
        <w:t xml:space="preserve">y </w:t>
      </w:r>
      <w:r w:rsidR="00815002" w:rsidRPr="00550561">
        <w:t xml:space="preserve">a patient advisory group </w:t>
      </w:r>
      <w:r w:rsidR="00787EBD" w:rsidRPr="00550561">
        <w:t>included;</w:t>
      </w:r>
      <w:r w:rsidR="004A0A91" w:rsidRPr="00550561">
        <w:t xml:space="preserve"> </w:t>
      </w:r>
      <w:r w:rsidR="004E73F3" w:rsidRPr="00550561">
        <w:t>experience</w:t>
      </w:r>
      <w:r w:rsidR="004B7645" w:rsidRPr="00550561">
        <w:t>s</w:t>
      </w:r>
      <w:r w:rsidR="004E73F3" w:rsidRPr="00550561">
        <w:t xml:space="preserve"> of long-term pain</w:t>
      </w:r>
      <w:r w:rsidR="003A06A9" w:rsidRPr="00550561">
        <w:t xml:space="preserve">, </w:t>
      </w:r>
      <w:r w:rsidR="004E73F3" w:rsidRPr="00550561">
        <w:t xml:space="preserve">using regular medication, </w:t>
      </w:r>
      <w:r w:rsidR="00FE24AA" w:rsidRPr="00550561">
        <w:t xml:space="preserve">experiences of discussing pain management with healthcare </w:t>
      </w:r>
      <w:r w:rsidR="00754723" w:rsidRPr="00550561">
        <w:t>professionals</w:t>
      </w:r>
      <w:r w:rsidR="00FE24AA" w:rsidRPr="00550561">
        <w:t>, knowledge of pharmacists</w:t>
      </w:r>
      <w:r w:rsidR="004B7645" w:rsidRPr="00550561">
        <w:t xml:space="preserve"> and thoughts </w:t>
      </w:r>
      <w:r w:rsidR="00754723" w:rsidRPr="00550561">
        <w:t xml:space="preserve">about a proposed </w:t>
      </w:r>
      <w:r w:rsidR="00473107" w:rsidRPr="00550561">
        <w:t>review with a pharmacist</w:t>
      </w:r>
      <w:r w:rsidR="00623800" w:rsidRPr="00550561">
        <w:t xml:space="preserve"> (supplementary material </w:t>
      </w:r>
      <w:r w:rsidR="004223C0" w:rsidRPr="00550561">
        <w:t>1)</w:t>
      </w:r>
      <w:r w:rsidR="00473107" w:rsidRPr="00550561">
        <w:t xml:space="preserve">. </w:t>
      </w:r>
      <w:r w:rsidR="003A06A9" w:rsidRPr="00550561">
        <w:t>We also included quest</w:t>
      </w:r>
      <w:r w:rsidR="001F7C29" w:rsidRPr="00550561">
        <w:t>ions related to theoretical constructs of the</w:t>
      </w:r>
      <w:r w:rsidR="003A06A9" w:rsidRPr="00550561">
        <w:t xml:space="preserve"> TFA</w:t>
      </w:r>
      <w:r w:rsidR="001F7C29" w:rsidRPr="00550561">
        <w:t>.</w:t>
      </w:r>
    </w:p>
    <w:p w14:paraId="009DDCDE" w14:textId="171AD1A2" w:rsidR="00AF1F0C" w:rsidRPr="00550561" w:rsidRDefault="00C34A46" w:rsidP="003B3D48">
      <w:pPr>
        <w:spacing w:line="360" w:lineRule="auto"/>
        <w:rPr>
          <w:rFonts w:cstheme="minorHAnsi"/>
        </w:rPr>
      </w:pPr>
      <w:r w:rsidRPr="00550561">
        <w:rPr>
          <w:rFonts w:cstheme="minorHAnsi"/>
        </w:rPr>
        <w:t>P</w:t>
      </w:r>
      <w:r w:rsidR="00243A79" w:rsidRPr="00550561">
        <w:rPr>
          <w:rFonts w:cstheme="minorHAnsi"/>
        </w:rPr>
        <w:t xml:space="preserve">harmacists with experience of consultations with patients in UK General Practice were recruited </w:t>
      </w:r>
      <w:r w:rsidR="00A83609" w:rsidRPr="00550561">
        <w:rPr>
          <w:rFonts w:cstheme="minorHAnsi"/>
        </w:rPr>
        <w:t xml:space="preserve">opportunistically </w:t>
      </w:r>
      <w:r w:rsidR="00243A79" w:rsidRPr="00550561">
        <w:rPr>
          <w:rFonts w:cstheme="minorHAnsi"/>
        </w:rPr>
        <w:t xml:space="preserve">from professional networks. </w:t>
      </w:r>
      <w:r w:rsidR="00CB4AE2" w:rsidRPr="00550561">
        <w:rPr>
          <w:rFonts w:cstheme="minorHAnsi"/>
        </w:rPr>
        <w:t>Semi-</w:t>
      </w:r>
      <w:r w:rsidR="00B757DE" w:rsidRPr="00550561">
        <w:rPr>
          <w:rFonts w:cstheme="minorHAnsi"/>
        </w:rPr>
        <w:t>structured</w:t>
      </w:r>
      <w:r w:rsidR="00CB4AE2" w:rsidRPr="00550561">
        <w:rPr>
          <w:rFonts w:cstheme="minorHAnsi"/>
        </w:rPr>
        <w:t xml:space="preserve"> interviews were conducted </w:t>
      </w:r>
      <w:r w:rsidR="00B757DE" w:rsidRPr="00550561">
        <w:rPr>
          <w:rFonts w:cstheme="minorHAnsi"/>
        </w:rPr>
        <w:t>via telephone or face-to-face using a topic guide, informe</w:t>
      </w:r>
      <w:r w:rsidR="00722D96" w:rsidRPr="00550561">
        <w:rPr>
          <w:rFonts w:cstheme="minorHAnsi"/>
        </w:rPr>
        <w:t xml:space="preserve">d by the TFA. </w:t>
      </w:r>
      <w:r w:rsidR="00653190" w:rsidRPr="00550561">
        <w:rPr>
          <w:rFonts w:cstheme="minorHAnsi"/>
        </w:rPr>
        <w:t>Q</w:t>
      </w:r>
      <w:r w:rsidR="00B752FD" w:rsidRPr="00550561">
        <w:rPr>
          <w:rFonts w:cstheme="minorHAnsi"/>
        </w:rPr>
        <w:t xml:space="preserve">uestions </w:t>
      </w:r>
      <w:r w:rsidR="00653190" w:rsidRPr="00550561">
        <w:rPr>
          <w:rFonts w:cstheme="minorHAnsi"/>
        </w:rPr>
        <w:t xml:space="preserve">included </w:t>
      </w:r>
      <w:r w:rsidR="00B752FD" w:rsidRPr="00550561">
        <w:rPr>
          <w:rFonts w:cstheme="minorHAnsi"/>
        </w:rPr>
        <w:t xml:space="preserve">experiences of </w:t>
      </w:r>
      <w:r w:rsidR="00842AE0" w:rsidRPr="00550561">
        <w:rPr>
          <w:rFonts w:cstheme="minorHAnsi"/>
        </w:rPr>
        <w:t xml:space="preserve">consulting with </w:t>
      </w:r>
      <w:r w:rsidR="00A83609" w:rsidRPr="00550561">
        <w:rPr>
          <w:rFonts w:cstheme="minorHAnsi"/>
        </w:rPr>
        <w:t>patients</w:t>
      </w:r>
      <w:r w:rsidR="00C65921" w:rsidRPr="00550561">
        <w:rPr>
          <w:rFonts w:cstheme="minorHAnsi"/>
        </w:rPr>
        <w:t xml:space="preserve"> prescribed opioids for PNCP</w:t>
      </w:r>
      <w:r w:rsidR="00842AE0" w:rsidRPr="00550561">
        <w:rPr>
          <w:rFonts w:cstheme="minorHAnsi"/>
        </w:rPr>
        <w:t xml:space="preserve">, </w:t>
      </w:r>
      <w:r w:rsidR="0091171F" w:rsidRPr="00550561">
        <w:rPr>
          <w:rFonts w:cstheme="minorHAnsi"/>
        </w:rPr>
        <w:t xml:space="preserve">thoughts </w:t>
      </w:r>
      <w:r w:rsidR="001359CF" w:rsidRPr="00550561">
        <w:rPr>
          <w:rFonts w:cstheme="minorHAnsi"/>
        </w:rPr>
        <w:t>about</w:t>
      </w:r>
      <w:r w:rsidR="0091171F" w:rsidRPr="00550561">
        <w:rPr>
          <w:rFonts w:cstheme="minorHAnsi"/>
        </w:rPr>
        <w:t xml:space="preserve"> pharmacists delivering </w:t>
      </w:r>
      <w:r w:rsidR="001359CF" w:rsidRPr="00550561">
        <w:rPr>
          <w:rFonts w:cstheme="minorHAnsi"/>
        </w:rPr>
        <w:t xml:space="preserve">a </w:t>
      </w:r>
      <w:r w:rsidR="0080238B" w:rsidRPr="00550561">
        <w:rPr>
          <w:rFonts w:cstheme="minorHAnsi"/>
        </w:rPr>
        <w:t xml:space="preserve">proposed </w:t>
      </w:r>
      <w:r w:rsidR="008E4CE8" w:rsidRPr="00550561">
        <w:rPr>
          <w:rFonts w:cstheme="minorHAnsi"/>
        </w:rPr>
        <w:t>PROMPPT</w:t>
      </w:r>
      <w:r w:rsidR="00E77BD3" w:rsidRPr="00550561">
        <w:rPr>
          <w:rFonts w:cstheme="minorHAnsi"/>
        </w:rPr>
        <w:t xml:space="preserve"> </w:t>
      </w:r>
      <w:r w:rsidR="001359CF" w:rsidRPr="00550561">
        <w:rPr>
          <w:rFonts w:cstheme="minorHAnsi"/>
        </w:rPr>
        <w:t xml:space="preserve">review </w:t>
      </w:r>
      <w:r w:rsidR="00E77BD3" w:rsidRPr="00550561">
        <w:rPr>
          <w:rFonts w:cstheme="minorHAnsi"/>
        </w:rPr>
        <w:t xml:space="preserve">and </w:t>
      </w:r>
      <w:r w:rsidR="00990BF2" w:rsidRPr="00550561">
        <w:rPr>
          <w:rFonts w:cstheme="minorHAnsi"/>
        </w:rPr>
        <w:t xml:space="preserve">possible </w:t>
      </w:r>
      <w:r w:rsidR="00AB21C6" w:rsidRPr="00550561">
        <w:rPr>
          <w:rFonts w:cstheme="minorHAnsi"/>
        </w:rPr>
        <w:t xml:space="preserve">components of </w:t>
      </w:r>
      <w:r w:rsidR="0080238B" w:rsidRPr="00550561">
        <w:rPr>
          <w:rFonts w:cstheme="minorHAnsi"/>
        </w:rPr>
        <w:t>the PROMPPT</w:t>
      </w:r>
      <w:r w:rsidR="00AB21C6" w:rsidRPr="00550561">
        <w:rPr>
          <w:rFonts w:cstheme="minorHAnsi"/>
        </w:rPr>
        <w:t xml:space="preserve"> review</w:t>
      </w:r>
      <w:r w:rsidR="004223C0" w:rsidRPr="00550561">
        <w:rPr>
          <w:rFonts w:cstheme="minorHAnsi"/>
        </w:rPr>
        <w:t xml:space="preserve"> (supplementary material 2)</w:t>
      </w:r>
      <w:r w:rsidR="00AB21C6" w:rsidRPr="00550561">
        <w:rPr>
          <w:rFonts w:cstheme="minorHAnsi"/>
        </w:rPr>
        <w:t xml:space="preserve">. </w:t>
      </w:r>
    </w:p>
    <w:p w14:paraId="2BBDE316" w14:textId="14CF35DA" w:rsidR="00EC13E4" w:rsidRPr="00550561" w:rsidRDefault="00366B0B" w:rsidP="003B3D48">
      <w:pPr>
        <w:spacing w:line="360" w:lineRule="auto"/>
      </w:pPr>
      <w:r w:rsidRPr="00550561">
        <w:t>I</w:t>
      </w:r>
      <w:r w:rsidR="00EC13E4" w:rsidRPr="00550561">
        <w:t xml:space="preserve">nterviews were </w:t>
      </w:r>
      <w:r w:rsidR="00063506" w:rsidRPr="00550561">
        <w:t xml:space="preserve">conducted </w:t>
      </w:r>
      <w:r w:rsidRPr="00550561">
        <w:t>by NC, an experienced qualitative researcher</w:t>
      </w:r>
      <w:r w:rsidR="0071418C" w:rsidRPr="00550561">
        <w:t xml:space="preserve">, </w:t>
      </w:r>
      <w:r w:rsidR="00EC13E4" w:rsidRPr="00550561">
        <w:t>audio-recorded</w:t>
      </w:r>
      <w:r w:rsidR="0094312D" w:rsidRPr="00550561">
        <w:t xml:space="preserve"> and recruitment </w:t>
      </w:r>
      <w:r w:rsidR="00DD5DB1" w:rsidRPr="00550561">
        <w:t xml:space="preserve">stopped when the interviewer (NC) deemed </w:t>
      </w:r>
      <w:r w:rsidR="00197829" w:rsidRPr="00550561">
        <w:t xml:space="preserve">data saturation had been reached </w:t>
      </w:r>
      <w:r w:rsidR="004F39B4" w:rsidRPr="00550561">
        <w:t>whereby nothing new was being heard from the interviewee responses</w:t>
      </w:r>
      <w:r w:rsidR="002C207F" w:rsidRPr="00550561">
        <w:t>.</w:t>
      </w:r>
      <w:r w:rsidR="00F2439A" w:rsidRPr="00550561">
        <w:rPr>
          <w:vertAlign w:val="superscript"/>
        </w:rPr>
        <w:t>14</w:t>
      </w:r>
    </w:p>
    <w:p w14:paraId="4ECDA8FB" w14:textId="67EE1378" w:rsidR="00243A79" w:rsidRPr="00550561" w:rsidRDefault="00243A79" w:rsidP="003B3D48">
      <w:pPr>
        <w:spacing w:line="360" w:lineRule="auto"/>
        <w:rPr>
          <w:u w:val="single"/>
        </w:rPr>
      </w:pPr>
      <w:r w:rsidRPr="00550561">
        <w:rPr>
          <w:u w:val="single"/>
        </w:rPr>
        <w:t>Online discussion forum</w:t>
      </w:r>
      <w:r w:rsidR="00686477" w:rsidRPr="00550561">
        <w:rPr>
          <w:u w:val="single"/>
        </w:rPr>
        <w:t xml:space="preserve"> (October – December 2019)</w:t>
      </w:r>
    </w:p>
    <w:p w14:paraId="47A933CB" w14:textId="2AFBD7E0" w:rsidR="007A3749" w:rsidRPr="00550561" w:rsidRDefault="005762E3" w:rsidP="007A3749">
      <w:pPr>
        <w:spacing w:line="360" w:lineRule="auto"/>
        <w:rPr>
          <w:rFonts w:cstheme="minorHAnsi"/>
        </w:rPr>
      </w:pPr>
      <w:r w:rsidRPr="00550561">
        <w:rPr>
          <w:rStyle w:val="normaltextrun"/>
          <w:rFonts w:eastAsiaTheme="majorEastAsia" w:cstheme="minorHAnsi"/>
        </w:rPr>
        <w:t>P</w:t>
      </w:r>
      <w:r w:rsidR="008C2AC0" w:rsidRPr="00550561">
        <w:rPr>
          <w:rStyle w:val="normaltextrun"/>
          <w:rFonts w:eastAsiaTheme="majorEastAsia" w:cstheme="minorHAnsi"/>
        </w:rPr>
        <w:t>eople with experience of</w:t>
      </w:r>
      <w:r w:rsidR="003778EC" w:rsidRPr="00550561">
        <w:rPr>
          <w:rStyle w:val="normaltextrun"/>
          <w:rFonts w:eastAsiaTheme="majorEastAsia" w:cstheme="minorHAnsi"/>
        </w:rPr>
        <w:t xml:space="preserve"> using opioids for PNCP </w:t>
      </w:r>
      <w:r w:rsidR="00C14594" w:rsidRPr="00550561">
        <w:rPr>
          <w:rStyle w:val="normaltextrun"/>
          <w:rFonts w:eastAsiaTheme="majorEastAsia" w:cstheme="minorHAnsi"/>
        </w:rPr>
        <w:t xml:space="preserve">were recruited </w:t>
      </w:r>
      <w:r w:rsidR="008405B2" w:rsidRPr="00550561">
        <w:rPr>
          <w:rStyle w:val="normaltextrun"/>
          <w:rFonts w:eastAsiaTheme="majorEastAsia" w:cstheme="minorHAnsi"/>
        </w:rPr>
        <w:t xml:space="preserve">using </w:t>
      </w:r>
      <w:r w:rsidR="00B27252" w:rsidRPr="00550561">
        <w:rPr>
          <w:rStyle w:val="normaltextrun"/>
          <w:rFonts w:eastAsiaTheme="majorEastAsia" w:cstheme="minorHAnsi"/>
        </w:rPr>
        <w:t>posters displayed in GP practices</w:t>
      </w:r>
      <w:r w:rsidR="009306F4" w:rsidRPr="00550561">
        <w:rPr>
          <w:rStyle w:val="normaltextrun"/>
          <w:rFonts w:eastAsiaTheme="majorEastAsia" w:cstheme="minorHAnsi"/>
        </w:rPr>
        <w:t>, community pain services and community pharmacies across</w:t>
      </w:r>
      <w:r w:rsidR="00727012" w:rsidRPr="00550561">
        <w:rPr>
          <w:rStyle w:val="normaltextrun"/>
          <w:rFonts w:eastAsiaTheme="majorEastAsia" w:cstheme="minorHAnsi"/>
        </w:rPr>
        <w:t xml:space="preserve"> the West </w:t>
      </w:r>
      <w:r w:rsidR="009306F4" w:rsidRPr="00550561">
        <w:rPr>
          <w:rStyle w:val="normaltextrun"/>
          <w:rFonts w:eastAsiaTheme="majorEastAsia" w:cstheme="minorHAnsi"/>
        </w:rPr>
        <w:t xml:space="preserve">and East </w:t>
      </w:r>
      <w:r w:rsidR="00727012" w:rsidRPr="00550561">
        <w:rPr>
          <w:rStyle w:val="normaltextrun"/>
          <w:rFonts w:eastAsiaTheme="majorEastAsia" w:cstheme="minorHAnsi"/>
        </w:rPr>
        <w:t xml:space="preserve">Midlands </w:t>
      </w:r>
      <w:r w:rsidR="009306F4" w:rsidRPr="00550561">
        <w:rPr>
          <w:rStyle w:val="normaltextrun"/>
          <w:rFonts w:eastAsiaTheme="majorEastAsia" w:cstheme="minorHAnsi"/>
        </w:rPr>
        <w:t>and Wessex in the UK</w:t>
      </w:r>
      <w:r w:rsidR="00A20309" w:rsidRPr="00550561">
        <w:rPr>
          <w:rStyle w:val="normaltextrun"/>
          <w:rFonts w:eastAsiaTheme="majorEastAsia" w:cstheme="minorHAnsi"/>
        </w:rPr>
        <w:t xml:space="preserve">, and online </w:t>
      </w:r>
      <w:r w:rsidR="00043830" w:rsidRPr="00550561">
        <w:rPr>
          <w:rStyle w:val="normaltextrun"/>
          <w:rFonts w:eastAsiaTheme="majorEastAsia" w:cstheme="minorHAnsi"/>
        </w:rPr>
        <w:t xml:space="preserve">by regular posts and paid advertisements using </w:t>
      </w:r>
      <w:r w:rsidR="00EC10E1" w:rsidRPr="00550561">
        <w:rPr>
          <w:rStyle w:val="normaltextrun"/>
          <w:rFonts w:eastAsiaTheme="majorEastAsia" w:cstheme="minorHAnsi"/>
        </w:rPr>
        <w:t>social media</w:t>
      </w:r>
      <w:r w:rsidR="00F3185C" w:rsidRPr="00550561">
        <w:rPr>
          <w:rStyle w:val="normaltextrun"/>
          <w:rFonts w:eastAsiaTheme="majorEastAsia" w:cstheme="minorHAnsi"/>
        </w:rPr>
        <w:t>.</w:t>
      </w:r>
      <w:r w:rsidR="007A3749">
        <w:rPr>
          <w:rStyle w:val="normaltextrun"/>
          <w:rFonts w:eastAsiaTheme="majorEastAsia" w:cstheme="minorHAnsi"/>
        </w:rPr>
        <w:t xml:space="preserve"> </w:t>
      </w:r>
      <w:r w:rsidR="007A3749">
        <w:rPr>
          <w:rFonts w:cstheme="minorHAnsi"/>
        </w:rPr>
        <w:t>For ease of reading, t</w:t>
      </w:r>
      <w:r w:rsidR="007A3749" w:rsidRPr="00550561">
        <w:rPr>
          <w:rFonts w:cstheme="minorHAnsi"/>
        </w:rPr>
        <w:t>he term ‘patient</w:t>
      </w:r>
      <w:r w:rsidR="007A3749">
        <w:rPr>
          <w:rFonts w:cstheme="minorHAnsi"/>
        </w:rPr>
        <w:t>(s)</w:t>
      </w:r>
      <w:r w:rsidR="007A3749" w:rsidRPr="00550561">
        <w:rPr>
          <w:rFonts w:cstheme="minorHAnsi"/>
        </w:rPr>
        <w:t>’ will be used</w:t>
      </w:r>
      <w:r w:rsidR="007A3749">
        <w:rPr>
          <w:rFonts w:cstheme="minorHAnsi"/>
        </w:rPr>
        <w:t xml:space="preserve"> </w:t>
      </w:r>
      <w:r w:rsidR="007A3749" w:rsidRPr="00550561">
        <w:rPr>
          <w:rFonts w:cstheme="minorHAnsi"/>
        </w:rPr>
        <w:t>to represent all the patient and public participants with experience of using opioids for PNCP</w:t>
      </w:r>
      <w:r w:rsidR="007A3749">
        <w:rPr>
          <w:rFonts w:cstheme="minorHAnsi"/>
        </w:rPr>
        <w:t xml:space="preserve"> who took part in this</w:t>
      </w:r>
      <w:r w:rsidR="007A3749" w:rsidRPr="00550561">
        <w:rPr>
          <w:rFonts w:cstheme="minorHAnsi"/>
        </w:rPr>
        <w:t xml:space="preserve"> study. </w:t>
      </w:r>
    </w:p>
    <w:p w14:paraId="27C28DAC" w14:textId="619462D0" w:rsidR="003111CE" w:rsidRPr="00550561" w:rsidRDefault="003111CE" w:rsidP="003B3D48">
      <w:pPr>
        <w:pStyle w:val="paragraph"/>
        <w:spacing w:before="0" w:beforeAutospacing="0" w:after="0" w:afterAutospacing="0" w:line="360" w:lineRule="auto"/>
        <w:textAlignment w:val="baseline"/>
        <w:rPr>
          <w:rStyle w:val="normaltextrun"/>
          <w:rFonts w:asciiTheme="minorHAnsi" w:eastAsiaTheme="majorEastAsia" w:hAnsiTheme="minorHAnsi" w:cstheme="minorHAnsi"/>
          <w:sz w:val="22"/>
          <w:szCs w:val="22"/>
        </w:rPr>
      </w:pPr>
    </w:p>
    <w:p w14:paraId="25F8B56B" w14:textId="77777777" w:rsidR="003D53A9" w:rsidRPr="00550561" w:rsidRDefault="003D53A9" w:rsidP="003B3D48">
      <w:pPr>
        <w:pStyle w:val="paragraph"/>
        <w:spacing w:before="0" w:beforeAutospacing="0" w:after="0" w:afterAutospacing="0" w:line="360" w:lineRule="auto"/>
        <w:textAlignment w:val="baseline"/>
        <w:rPr>
          <w:rFonts w:asciiTheme="minorHAnsi" w:eastAsiaTheme="majorEastAsia" w:hAnsiTheme="minorHAnsi" w:cstheme="minorHAnsi"/>
          <w:sz w:val="22"/>
          <w:szCs w:val="22"/>
        </w:rPr>
      </w:pPr>
    </w:p>
    <w:p w14:paraId="6F5D1430" w14:textId="64E33169" w:rsidR="007548F3" w:rsidRPr="00550561" w:rsidRDefault="00067D53" w:rsidP="003B3D48">
      <w:pPr>
        <w:spacing w:line="360" w:lineRule="auto"/>
        <w:rPr>
          <w:i/>
          <w:iCs/>
        </w:rPr>
      </w:pPr>
      <w:r w:rsidRPr="00550561">
        <w:rPr>
          <w:rStyle w:val="normaltextrun"/>
          <w:rFonts w:cstheme="minorHAnsi"/>
        </w:rPr>
        <w:lastRenderedPageBreak/>
        <w:t>A</w:t>
      </w:r>
      <w:r w:rsidR="00834AC9" w:rsidRPr="00550561">
        <w:rPr>
          <w:rStyle w:val="normaltextrun"/>
          <w:rFonts w:cstheme="minorHAnsi"/>
        </w:rPr>
        <w:t xml:space="preserve">dvertisements directed </w:t>
      </w:r>
      <w:r w:rsidR="005866AE">
        <w:rPr>
          <w:rStyle w:val="normaltextrun"/>
          <w:rFonts w:cstheme="minorHAnsi"/>
        </w:rPr>
        <w:t xml:space="preserve">potential participants </w:t>
      </w:r>
      <w:r w:rsidR="00834AC9" w:rsidRPr="00550561">
        <w:rPr>
          <w:rStyle w:val="normaltextrun"/>
          <w:rFonts w:cstheme="minorHAnsi"/>
        </w:rPr>
        <w:t xml:space="preserve">to the PROMPPT </w:t>
      </w:r>
      <w:r w:rsidR="00880495" w:rsidRPr="00550561">
        <w:rPr>
          <w:rStyle w:val="normaltextrun"/>
          <w:rFonts w:eastAsiaTheme="majorEastAsia" w:cstheme="minorHAnsi"/>
        </w:rPr>
        <w:t>discussion forum</w:t>
      </w:r>
      <w:r w:rsidR="00834AC9" w:rsidRPr="00550561">
        <w:rPr>
          <w:rStyle w:val="normaltextrun"/>
          <w:rFonts w:cstheme="minorHAnsi"/>
        </w:rPr>
        <w:t xml:space="preserve"> </w:t>
      </w:r>
      <w:r w:rsidR="004C5485" w:rsidRPr="00550561">
        <w:rPr>
          <w:rStyle w:val="normaltextrun"/>
          <w:rFonts w:cstheme="minorHAnsi"/>
        </w:rPr>
        <w:t xml:space="preserve">with </w:t>
      </w:r>
      <w:r w:rsidR="005204F6" w:rsidRPr="00550561">
        <w:rPr>
          <w:rStyle w:val="normaltextrun"/>
          <w:rFonts w:cstheme="minorHAnsi"/>
        </w:rPr>
        <w:t xml:space="preserve">links to </w:t>
      </w:r>
      <w:r w:rsidR="004C5485" w:rsidRPr="00550561">
        <w:rPr>
          <w:rStyle w:val="normaltextrun"/>
          <w:rFonts w:cstheme="minorHAnsi"/>
        </w:rPr>
        <w:t xml:space="preserve">a </w:t>
      </w:r>
      <w:r w:rsidR="00091790" w:rsidRPr="00550561">
        <w:rPr>
          <w:rStyle w:val="normaltextrun"/>
          <w:rFonts w:cstheme="minorHAnsi"/>
        </w:rPr>
        <w:t xml:space="preserve">participant information sheet, electronic consent form and registration form. </w:t>
      </w:r>
      <w:r w:rsidR="007548F3" w:rsidRPr="00550561">
        <w:rPr>
          <w:rStyle w:val="normaltextrun"/>
          <w:color w:val="000000"/>
          <w:shd w:val="clear" w:color="auto" w:fill="FFFFFF"/>
        </w:rPr>
        <w:t>Upon registration, participants were assigned an anonymous username.</w:t>
      </w:r>
      <w:r w:rsidR="00AC43D4" w:rsidRPr="00550561">
        <w:rPr>
          <w:rStyle w:val="normaltextrun"/>
          <w:color w:val="000000"/>
          <w:shd w:val="clear" w:color="auto" w:fill="FFFFFF"/>
        </w:rPr>
        <w:t xml:space="preserve"> To ensure acceptability and accessibility of the discussion forum, s</w:t>
      </w:r>
      <w:r w:rsidR="0086303F" w:rsidRPr="00550561">
        <w:rPr>
          <w:rStyle w:val="normaltextrun"/>
          <w:color w:val="000000"/>
          <w:shd w:val="clear" w:color="auto" w:fill="FFFFFF"/>
        </w:rPr>
        <w:t xml:space="preserve">oftware and </w:t>
      </w:r>
      <w:r w:rsidR="00AC43D4" w:rsidRPr="00550561">
        <w:rPr>
          <w:rStyle w:val="normaltextrun"/>
          <w:color w:val="000000"/>
          <w:shd w:val="clear" w:color="auto" w:fill="FFFFFF"/>
        </w:rPr>
        <w:t xml:space="preserve">interface were user tested by members of Keele’s </w:t>
      </w:r>
      <w:r w:rsidR="0086145F" w:rsidRPr="00550561">
        <w:rPr>
          <w:rStyle w:val="normaltextrun"/>
          <w:color w:val="000000"/>
          <w:shd w:val="clear" w:color="auto" w:fill="FFFFFF"/>
        </w:rPr>
        <w:t>P</w:t>
      </w:r>
      <w:r w:rsidR="00AC43D4" w:rsidRPr="00550561">
        <w:rPr>
          <w:rStyle w:val="normaltextrun"/>
          <w:color w:val="000000"/>
          <w:shd w:val="clear" w:color="auto" w:fill="FFFFFF"/>
        </w:rPr>
        <w:t xml:space="preserve">atient and </w:t>
      </w:r>
      <w:r w:rsidR="0086145F" w:rsidRPr="00550561">
        <w:rPr>
          <w:rStyle w:val="normaltextrun"/>
          <w:color w:val="000000"/>
          <w:shd w:val="clear" w:color="auto" w:fill="FFFFFF"/>
        </w:rPr>
        <w:t>P</w:t>
      </w:r>
      <w:r w:rsidR="00AC43D4" w:rsidRPr="00550561">
        <w:rPr>
          <w:rStyle w:val="normaltextrun"/>
          <w:color w:val="000000"/>
          <w:shd w:val="clear" w:color="auto" w:fill="FFFFFF"/>
        </w:rPr>
        <w:t xml:space="preserve">ublic </w:t>
      </w:r>
      <w:r w:rsidR="0086145F" w:rsidRPr="00550561">
        <w:rPr>
          <w:rStyle w:val="normaltextrun"/>
          <w:color w:val="000000"/>
          <w:shd w:val="clear" w:color="auto" w:fill="FFFFFF"/>
        </w:rPr>
        <w:t>I</w:t>
      </w:r>
      <w:r w:rsidR="00AC43D4" w:rsidRPr="00550561">
        <w:rPr>
          <w:rStyle w:val="normaltextrun"/>
          <w:color w:val="000000"/>
          <w:shd w:val="clear" w:color="auto" w:fill="FFFFFF"/>
        </w:rPr>
        <w:t xml:space="preserve">nvolvement and </w:t>
      </w:r>
      <w:r w:rsidR="0086145F" w:rsidRPr="00550561">
        <w:rPr>
          <w:rStyle w:val="normaltextrun"/>
          <w:color w:val="000000"/>
          <w:shd w:val="clear" w:color="auto" w:fill="FFFFFF"/>
        </w:rPr>
        <w:t>E</w:t>
      </w:r>
      <w:r w:rsidR="00AC43D4" w:rsidRPr="00550561">
        <w:rPr>
          <w:rStyle w:val="normaltextrun"/>
          <w:color w:val="000000"/>
          <w:shd w:val="clear" w:color="auto" w:fill="FFFFFF"/>
        </w:rPr>
        <w:t>ngagement (PPIE</w:t>
      </w:r>
      <w:r w:rsidR="009549EC" w:rsidRPr="00550561">
        <w:rPr>
          <w:rStyle w:val="normaltextrun"/>
          <w:color w:val="000000"/>
          <w:shd w:val="clear" w:color="auto" w:fill="FFFFFF"/>
        </w:rPr>
        <w:t>)</w:t>
      </w:r>
      <w:r w:rsidR="0086145F" w:rsidRPr="00550561">
        <w:rPr>
          <w:rStyle w:val="normaltextrun"/>
          <w:color w:val="000000"/>
          <w:shd w:val="clear" w:color="auto" w:fill="FFFFFF"/>
        </w:rPr>
        <w:t xml:space="preserve"> group</w:t>
      </w:r>
      <w:r w:rsidR="007A387C" w:rsidRPr="00550561">
        <w:rPr>
          <w:rStyle w:val="normaltextrun"/>
          <w:color w:val="000000"/>
          <w:shd w:val="clear" w:color="auto" w:fill="FFFFFF"/>
        </w:rPr>
        <w:t>.</w:t>
      </w:r>
    </w:p>
    <w:p w14:paraId="4342B306" w14:textId="55689949" w:rsidR="003F7187" w:rsidRPr="00550561" w:rsidRDefault="0054000C" w:rsidP="003B3D48">
      <w:pPr>
        <w:spacing w:line="360" w:lineRule="auto"/>
        <w:rPr>
          <w:rStyle w:val="normaltextrun"/>
          <w:color w:val="000000"/>
          <w:shd w:val="clear" w:color="auto" w:fill="FFFFFF"/>
        </w:rPr>
      </w:pPr>
      <w:r w:rsidRPr="00550561">
        <w:rPr>
          <w:rStyle w:val="normaltextrun"/>
          <w:color w:val="000000"/>
          <w:shd w:val="clear" w:color="auto" w:fill="FFFFFF"/>
        </w:rPr>
        <w:t>O</w:t>
      </w:r>
      <w:r w:rsidR="0025133A" w:rsidRPr="00550561">
        <w:rPr>
          <w:rStyle w:val="normaltextrun"/>
          <w:color w:val="000000"/>
          <w:shd w:val="clear" w:color="auto" w:fill="FFFFFF"/>
        </w:rPr>
        <w:t xml:space="preserve">ne </w:t>
      </w:r>
      <w:r w:rsidR="00A35050" w:rsidRPr="00550561">
        <w:rPr>
          <w:rStyle w:val="normaltextrun"/>
          <w:color w:val="000000"/>
          <w:shd w:val="clear" w:color="auto" w:fill="FFFFFF"/>
        </w:rPr>
        <w:t xml:space="preserve">of ten </w:t>
      </w:r>
      <w:r w:rsidR="0025133A" w:rsidRPr="00550561">
        <w:rPr>
          <w:rStyle w:val="normaltextrun"/>
          <w:color w:val="000000"/>
          <w:shd w:val="clear" w:color="auto" w:fill="FFFFFF"/>
        </w:rPr>
        <w:t>topic</w:t>
      </w:r>
      <w:r w:rsidR="00A35050" w:rsidRPr="00550561">
        <w:rPr>
          <w:rStyle w:val="normaltextrun"/>
          <w:color w:val="000000"/>
          <w:shd w:val="clear" w:color="auto" w:fill="FFFFFF"/>
        </w:rPr>
        <w:t>s were rele</w:t>
      </w:r>
      <w:r w:rsidRPr="00550561">
        <w:rPr>
          <w:rStyle w:val="normaltextrun"/>
          <w:color w:val="000000"/>
          <w:shd w:val="clear" w:color="auto" w:fill="FFFFFF"/>
        </w:rPr>
        <w:t xml:space="preserve">ased weekly </w:t>
      </w:r>
      <w:r w:rsidR="0025133A" w:rsidRPr="00550561">
        <w:rPr>
          <w:rStyle w:val="normaltextrun"/>
          <w:color w:val="000000"/>
          <w:shd w:val="clear" w:color="auto" w:fill="FFFFFF"/>
        </w:rPr>
        <w:t>over 11</w:t>
      </w:r>
      <w:r w:rsidRPr="00550561">
        <w:rPr>
          <w:rStyle w:val="normaltextrun"/>
          <w:color w:val="000000"/>
          <w:shd w:val="clear" w:color="auto" w:fill="FFFFFF"/>
        </w:rPr>
        <w:t xml:space="preserve"> </w:t>
      </w:r>
      <w:r w:rsidR="0025133A" w:rsidRPr="00550561">
        <w:rPr>
          <w:rStyle w:val="normaltextrun"/>
          <w:color w:val="000000"/>
          <w:shd w:val="clear" w:color="auto" w:fill="FFFFFF"/>
        </w:rPr>
        <w:t>week</w:t>
      </w:r>
      <w:r w:rsidR="00897D18" w:rsidRPr="00550561">
        <w:rPr>
          <w:rStyle w:val="normaltextrun"/>
          <w:color w:val="000000"/>
          <w:shd w:val="clear" w:color="auto" w:fill="FFFFFF"/>
        </w:rPr>
        <w:t>s</w:t>
      </w:r>
      <w:r w:rsidR="002A7A46" w:rsidRPr="00550561">
        <w:rPr>
          <w:rStyle w:val="normaltextrun"/>
          <w:color w:val="000000"/>
          <w:shd w:val="clear" w:color="auto" w:fill="FFFFFF"/>
        </w:rPr>
        <w:t xml:space="preserve"> (supplementary material 3)</w:t>
      </w:r>
      <w:r w:rsidR="00897D18" w:rsidRPr="00550561">
        <w:rPr>
          <w:rStyle w:val="normaltextrun"/>
          <w:color w:val="000000"/>
          <w:shd w:val="clear" w:color="auto" w:fill="FFFFFF"/>
        </w:rPr>
        <w:t>.</w:t>
      </w:r>
      <w:r w:rsidRPr="00550561">
        <w:rPr>
          <w:rStyle w:val="normaltextrun"/>
          <w:color w:val="000000"/>
          <w:shd w:val="clear" w:color="auto" w:fill="FFFFFF"/>
        </w:rPr>
        <w:t xml:space="preserve"> F</w:t>
      </w:r>
      <w:r w:rsidR="0002058B" w:rsidRPr="00550561">
        <w:rPr>
          <w:rStyle w:val="normaltextrun"/>
          <w:color w:val="000000"/>
          <w:shd w:val="clear" w:color="auto" w:fill="FFFFFF"/>
        </w:rPr>
        <w:t xml:space="preserve">acilitation prompts </w:t>
      </w:r>
      <w:r w:rsidRPr="00550561">
        <w:rPr>
          <w:rStyle w:val="normaltextrun"/>
          <w:color w:val="000000"/>
          <w:shd w:val="clear" w:color="auto" w:fill="FFFFFF"/>
        </w:rPr>
        <w:t>were</w:t>
      </w:r>
      <w:r w:rsidR="0002058B" w:rsidRPr="00550561">
        <w:rPr>
          <w:rStyle w:val="normaltextrun"/>
          <w:color w:val="000000"/>
          <w:shd w:val="clear" w:color="auto" w:fill="FFFFFF"/>
        </w:rPr>
        <w:t xml:space="preserve"> posted approximately daily</w:t>
      </w:r>
      <w:r w:rsidR="00886AFA" w:rsidRPr="00550561">
        <w:rPr>
          <w:rStyle w:val="normaltextrun"/>
          <w:color w:val="000000"/>
          <w:shd w:val="clear" w:color="auto" w:fill="FFFFFF"/>
        </w:rPr>
        <w:t xml:space="preserve"> to </w:t>
      </w:r>
      <w:r w:rsidR="008034DA" w:rsidRPr="00550561">
        <w:rPr>
          <w:rStyle w:val="normaltextrun"/>
          <w:color w:val="000000"/>
          <w:shd w:val="clear" w:color="auto" w:fill="FFFFFF"/>
        </w:rPr>
        <w:t xml:space="preserve">aide discussions. </w:t>
      </w:r>
    </w:p>
    <w:p w14:paraId="744B23DC" w14:textId="4EA586BB" w:rsidR="002C207F" w:rsidRPr="00550561" w:rsidRDefault="002C207F" w:rsidP="003B3D48">
      <w:pPr>
        <w:spacing w:line="360" w:lineRule="auto"/>
        <w:rPr>
          <w:rStyle w:val="normaltextrun"/>
          <w:color w:val="000000"/>
          <w:shd w:val="clear" w:color="auto" w:fill="FFFFFF"/>
        </w:rPr>
      </w:pPr>
      <w:r w:rsidRPr="00550561">
        <w:t xml:space="preserve">Findings were discussed with the intervention development team and the PROMPPT stakeholder group and key intervention components were agreed for the prototype intervention ready for in-practice testing. </w:t>
      </w:r>
    </w:p>
    <w:p w14:paraId="4ADEFBB7" w14:textId="14FA48BB" w:rsidR="00EC2EC7" w:rsidRPr="00550561" w:rsidRDefault="00500796" w:rsidP="003B3D48">
      <w:pPr>
        <w:spacing w:line="360" w:lineRule="auto"/>
        <w:rPr>
          <w:i/>
          <w:iCs/>
        </w:rPr>
      </w:pPr>
      <w:r w:rsidRPr="00550561">
        <w:rPr>
          <w:i/>
          <w:iCs/>
        </w:rPr>
        <w:t xml:space="preserve">Experienced acceptability </w:t>
      </w:r>
    </w:p>
    <w:p w14:paraId="71AC6070" w14:textId="505D3797" w:rsidR="00F03652" w:rsidRPr="00550561" w:rsidRDefault="009E6935" w:rsidP="00A015EC">
      <w:pPr>
        <w:spacing w:line="360" w:lineRule="auto"/>
        <w:rPr>
          <w:rFonts w:eastAsia="Times New Roman" w:cstheme="minorHAnsi"/>
          <w:sz w:val="16"/>
          <w:szCs w:val="16"/>
          <w:lang w:eastAsia="en-GB"/>
        </w:rPr>
      </w:pPr>
      <w:r w:rsidRPr="00550561">
        <w:rPr>
          <w:rFonts w:eastAsia="Times New Roman" w:cstheme="minorHAnsi"/>
          <w:lang w:eastAsia="en-GB"/>
        </w:rPr>
        <w:t>P</w:t>
      </w:r>
      <w:r w:rsidR="004936E4" w:rsidRPr="00550561">
        <w:rPr>
          <w:rFonts w:eastAsia="Times New Roman" w:cstheme="minorHAnsi"/>
          <w:lang w:eastAsia="en-GB"/>
        </w:rPr>
        <w:t xml:space="preserve">harmacists </w:t>
      </w:r>
      <w:r w:rsidR="004F7401" w:rsidRPr="00550561">
        <w:rPr>
          <w:rFonts w:eastAsia="Times New Roman" w:cstheme="minorHAnsi"/>
          <w:lang w:eastAsia="en-GB"/>
        </w:rPr>
        <w:t>from</w:t>
      </w:r>
      <w:r w:rsidR="004936E4" w:rsidRPr="00550561">
        <w:rPr>
          <w:rFonts w:eastAsia="Times New Roman" w:cstheme="minorHAnsi"/>
          <w:lang w:eastAsia="en-GB"/>
        </w:rPr>
        <w:t xml:space="preserve"> </w:t>
      </w:r>
      <w:r w:rsidR="00D13251" w:rsidRPr="00550561">
        <w:rPr>
          <w:rFonts w:eastAsia="Times New Roman" w:cstheme="minorHAnsi"/>
          <w:lang w:eastAsia="en-GB"/>
        </w:rPr>
        <w:t xml:space="preserve">three </w:t>
      </w:r>
      <w:r w:rsidR="004F7401" w:rsidRPr="00550561">
        <w:rPr>
          <w:rFonts w:eastAsia="Times New Roman" w:cstheme="minorHAnsi"/>
          <w:lang w:eastAsia="en-GB"/>
        </w:rPr>
        <w:t>general practices</w:t>
      </w:r>
      <w:r w:rsidR="004936E4" w:rsidRPr="00550561">
        <w:rPr>
          <w:rFonts w:eastAsia="Times New Roman" w:cstheme="minorHAnsi"/>
          <w:lang w:eastAsia="en-GB"/>
        </w:rPr>
        <w:t xml:space="preserve"> in the West Midlands </w:t>
      </w:r>
      <w:r w:rsidR="00892AFA" w:rsidRPr="00550561">
        <w:rPr>
          <w:rFonts w:eastAsia="Times New Roman" w:cstheme="minorHAnsi"/>
          <w:lang w:eastAsia="en-GB"/>
        </w:rPr>
        <w:t xml:space="preserve">were recruited to </w:t>
      </w:r>
      <w:r w:rsidR="00D86365" w:rsidRPr="00550561">
        <w:rPr>
          <w:rFonts w:eastAsia="Times New Roman" w:cstheme="minorHAnsi"/>
          <w:lang w:eastAsia="en-GB"/>
        </w:rPr>
        <w:t>IPT</w:t>
      </w:r>
      <w:r w:rsidR="00515405" w:rsidRPr="00550561">
        <w:rPr>
          <w:rFonts w:eastAsia="Times New Roman" w:cstheme="minorHAnsi"/>
          <w:lang w:eastAsia="en-GB"/>
        </w:rPr>
        <w:t xml:space="preserve"> (November 2019 and February 2020)</w:t>
      </w:r>
      <w:r w:rsidR="00D86365" w:rsidRPr="00550561">
        <w:rPr>
          <w:rFonts w:eastAsia="Times New Roman" w:cstheme="minorHAnsi"/>
          <w:lang w:eastAsia="en-GB"/>
        </w:rPr>
        <w:t>,</w:t>
      </w:r>
      <w:r w:rsidR="00727012" w:rsidRPr="00550561">
        <w:rPr>
          <w:rFonts w:cstheme="minorHAnsi"/>
        </w:rPr>
        <w:t xml:space="preserve"> with </w:t>
      </w:r>
      <w:r w:rsidR="00E00C8E" w:rsidRPr="00550561">
        <w:rPr>
          <w:rFonts w:cstheme="minorHAnsi"/>
        </w:rPr>
        <w:t>adult</w:t>
      </w:r>
      <w:r w:rsidR="001E4055" w:rsidRPr="00550561">
        <w:rPr>
          <w:rFonts w:cstheme="minorHAnsi"/>
        </w:rPr>
        <w:t xml:space="preserve"> patients</w:t>
      </w:r>
      <w:r w:rsidR="00E00C8E" w:rsidRPr="00550561">
        <w:rPr>
          <w:rFonts w:cstheme="minorHAnsi"/>
        </w:rPr>
        <w:t xml:space="preserve"> (&gt;18 years) </w:t>
      </w:r>
      <w:r w:rsidR="00AC30D9" w:rsidRPr="00550561">
        <w:rPr>
          <w:rFonts w:cstheme="minorHAnsi"/>
        </w:rPr>
        <w:t>prescribed opioids</w:t>
      </w:r>
      <w:r w:rsidR="001E4055" w:rsidRPr="00550561">
        <w:rPr>
          <w:rFonts w:cstheme="minorHAnsi"/>
        </w:rPr>
        <w:t xml:space="preserve"> for PCNP</w:t>
      </w:r>
      <w:r w:rsidR="00727012" w:rsidRPr="00550561">
        <w:rPr>
          <w:rFonts w:cstheme="minorHAnsi"/>
        </w:rPr>
        <w:t xml:space="preserve">, recruited from electronic practice records. </w:t>
      </w:r>
      <w:r w:rsidR="003865AE" w:rsidRPr="00550561">
        <w:rPr>
          <w:rFonts w:eastAsia="Times New Roman" w:cstheme="minorHAnsi"/>
          <w:lang w:eastAsia="en-GB"/>
        </w:rPr>
        <w:t>P</w:t>
      </w:r>
      <w:r w:rsidR="00F03652" w:rsidRPr="00550561">
        <w:rPr>
          <w:rFonts w:eastAsia="Times New Roman" w:cstheme="minorHAnsi"/>
          <w:lang w:eastAsia="en-GB"/>
        </w:rPr>
        <w:t>harmacists attended</w:t>
      </w:r>
      <w:r w:rsidR="005F4057" w:rsidRPr="00550561">
        <w:rPr>
          <w:rFonts w:eastAsia="Times New Roman" w:cstheme="minorHAnsi"/>
          <w:lang w:eastAsia="en-GB"/>
        </w:rPr>
        <w:t xml:space="preserve"> an afternoon</w:t>
      </w:r>
      <w:r w:rsidR="00F03652" w:rsidRPr="00550561">
        <w:rPr>
          <w:rFonts w:eastAsia="Times New Roman" w:cstheme="minorHAnsi"/>
          <w:lang w:eastAsia="en-GB"/>
        </w:rPr>
        <w:t xml:space="preserve"> of face-to-face </w:t>
      </w:r>
      <w:r w:rsidR="00E67FE9" w:rsidRPr="00550561">
        <w:rPr>
          <w:rFonts w:eastAsia="Times New Roman" w:cstheme="minorHAnsi"/>
          <w:lang w:eastAsia="en-GB"/>
        </w:rPr>
        <w:t xml:space="preserve">prototype </w:t>
      </w:r>
      <w:r w:rsidR="00F03652" w:rsidRPr="00550561">
        <w:rPr>
          <w:rFonts w:eastAsia="Times New Roman" w:cstheme="minorHAnsi"/>
          <w:lang w:eastAsia="en-GB"/>
        </w:rPr>
        <w:t>training at Keele University</w:t>
      </w:r>
      <w:r w:rsidR="00E75D7B" w:rsidRPr="00550561">
        <w:rPr>
          <w:rFonts w:eastAsia="Times New Roman" w:cstheme="minorHAnsi"/>
          <w:lang w:eastAsia="en-GB"/>
        </w:rPr>
        <w:t>, includ</w:t>
      </w:r>
      <w:r w:rsidR="009E070C" w:rsidRPr="00550561">
        <w:rPr>
          <w:rFonts w:eastAsia="Times New Roman" w:cstheme="minorHAnsi"/>
          <w:lang w:eastAsia="en-GB"/>
        </w:rPr>
        <w:t>ing</w:t>
      </w:r>
      <w:r w:rsidR="005F4057" w:rsidRPr="00550561">
        <w:rPr>
          <w:rFonts w:eastAsia="Times New Roman" w:cstheme="minorHAnsi"/>
          <w:lang w:eastAsia="en-GB"/>
        </w:rPr>
        <w:t xml:space="preserve"> </w:t>
      </w:r>
      <w:r w:rsidR="00D63B8D" w:rsidRPr="00550561">
        <w:rPr>
          <w:rFonts w:eastAsia="Times New Roman" w:cstheme="minorHAnsi"/>
          <w:lang w:eastAsia="en-GB"/>
        </w:rPr>
        <w:t xml:space="preserve">practising </w:t>
      </w:r>
      <w:r w:rsidR="00E85EA7" w:rsidRPr="00550561">
        <w:rPr>
          <w:rFonts w:eastAsia="Times New Roman" w:cstheme="minorHAnsi"/>
          <w:lang w:eastAsia="en-GB"/>
        </w:rPr>
        <w:t>PROMPPT</w:t>
      </w:r>
      <w:r w:rsidR="005F4057" w:rsidRPr="00550561">
        <w:rPr>
          <w:rFonts w:eastAsia="Times New Roman" w:cstheme="minorHAnsi"/>
          <w:lang w:eastAsia="en-GB"/>
        </w:rPr>
        <w:t xml:space="preserve"> review</w:t>
      </w:r>
      <w:r w:rsidR="00D63B8D" w:rsidRPr="00550561">
        <w:rPr>
          <w:rFonts w:eastAsia="Times New Roman" w:cstheme="minorHAnsi"/>
          <w:lang w:eastAsia="en-GB"/>
        </w:rPr>
        <w:t>s</w:t>
      </w:r>
      <w:r w:rsidR="005F4057" w:rsidRPr="00550561">
        <w:rPr>
          <w:rFonts w:eastAsia="Times New Roman" w:cstheme="minorHAnsi"/>
          <w:lang w:eastAsia="en-GB"/>
        </w:rPr>
        <w:t xml:space="preserve"> with</w:t>
      </w:r>
      <w:r w:rsidR="0049440E" w:rsidRPr="00550561">
        <w:rPr>
          <w:rFonts w:eastAsia="Times New Roman" w:cstheme="minorHAnsi"/>
          <w:lang w:eastAsia="en-GB"/>
        </w:rPr>
        <w:t xml:space="preserve"> </w:t>
      </w:r>
      <w:r w:rsidR="00B40ED1" w:rsidRPr="00550561">
        <w:rPr>
          <w:rFonts w:eastAsia="Times New Roman" w:cstheme="minorHAnsi"/>
          <w:lang w:eastAsia="en-GB"/>
        </w:rPr>
        <w:t>simulated patients.</w:t>
      </w:r>
    </w:p>
    <w:p w14:paraId="4CFD7DCE" w14:textId="77777777" w:rsidR="0054003C" w:rsidRPr="00550561" w:rsidRDefault="0054003C" w:rsidP="003B3D48">
      <w:pPr>
        <w:spacing w:after="0" w:line="360" w:lineRule="auto"/>
        <w:textAlignment w:val="baseline"/>
        <w:rPr>
          <w:rFonts w:eastAsia="Times New Roman" w:cstheme="minorHAnsi"/>
          <w:sz w:val="16"/>
          <w:szCs w:val="16"/>
          <w:lang w:eastAsia="en-GB"/>
        </w:rPr>
      </w:pPr>
    </w:p>
    <w:p w14:paraId="426EB0C5" w14:textId="1FD32B91" w:rsidR="00AF74B3" w:rsidRPr="00550561" w:rsidRDefault="0010164C" w:rsidP="007C56C5">
      <w:pPr>
        <w:spacing w:line="360" w:lineRule="auto"/>
      </w:pPr>
      <w:r w:rsidRPr="00550561">
        <w:rPr>
          <w:rFonts w:eastAsia="Times New Roman" w:cstheme="minorHAnsi"/>
          <w:lang w:eastAsia="en-GB"/>
        </w:rPr>
        <w:t>IPT</w:t>
      </w:r>
      <w:r w:rsidR="00F03652" w:rsidRPr="00550561">
        <w:rPr>
          <w:rFonts w:eastAsia="Times New Roman" w:cstheme="minorHAnsi"/>
          <w:lang w:eastAsia="en-GB"/>
        </w:rPr>
        <w:t xml:space="preserve"> comprised </w:t>
      </w:r>
      <w:r w:rsidR="00E95DE7" w:rsidRPr="00550561">
        <w:rPr>
          <w:rFonts w:eastAsia="Times New Roman" w:cstheme="minorHAnsi"/>
          <w:lang w:eastAsia="en-GB"/>
        </w:rPr>
        <w:t xml:space="preserve">three </w:t>
      </w:r>
      <w:r w:rsidR="00F03652" w:rsidRPr="00550561">
        <w:rPr>
          <w:rFonts w:eastAsia="Times New Roman" w:cstheme="minorHAnsi"/>
          <w:lang w:eastAsia="en-GB"/>
        </w:rPr>
        <w:t>iterative cycles of delivery, data collection, reflection, and revision of the</w:t>
      </w:r>
      <w:r w:rsidR="007609B4" w:rsidRPr="00550561">
        <w:rPr>
          <w:rFonts w:eastAsia="Times New Roman" w:cstheme="minorHAnsi"/>
          <w:lang w:eastAsia="en-GB"/>
        </w:rPr>
        <w:t xml:space="preserve"> PROMPPT</w:t>
      </w:r>
      <w:r w:rsidR="00F03652" w:rsidRPr="00550561">
        <w:rPr>
          <w:rFonts w:eastAsia="Times New Roman" w:cstheme="minorHAnsi"/>
          <w:lang w:eastAsia="en-GB"/>
        </w:rPr>
        <w:t xml:space="preserve"> review. Patients were asked to think-aloud during the</w:t>
      </w:r>
      <w:r w:rsidR="00353005" w:rsidRPr="00550561">
        <w:rPr>
          <w:rFonts w:eastAsia="Times New Roman" w:cstheme="minorHAnsi"/>
          <w:lang w:eastAsia="en-GB"/>
        </w:rPr>
        <w:t xml:space="preserve"> </w:t>
      </w:r>
      <w:r w:rsidR="00F03652" w:rsidRPr="00550561">
        <w:rPr>
          <w:rFonts w:eastAsia="Times New Roman" w:cstheme="minorHAnsi"/>
          <w:lang w:eastAsia="en-GB"/>
        </w:rPr>
        <w:t xml:space="preserve">review by saying out loud any thoughts or feelings </w:t>
      </w:r>
      <w:r w:rsidR="00AB28ED" w:rsidRPr="00550561">
        <w:rPr>
          <w:rFonts w:eastAsia="Times New Roman" w:cstheme="minorHAnsi"/>
          <w:lang w:eastAsia="en-GB"/>
        </w:rPr>
        <w:t>as they came up</w:t>
      </w:r>
      <w:r w:rsidR="00F03652" w:rsidRPr="00550561">
        <w:rPr>
          <w:rFonts w:eastAsia="Times New Roman" w:cstheme="minorHAnsi"/>
          <w:lang w:eastAsia="en-GB"/>
        </w:rPr>
        <w:t xml:space="preserve">.  </w:t>
      </w:r>
      <w:r w:rsidR="006F5163" w:rsidRPr="00550561">
        <w:rPr>
          <w:rFonts w:eastAsia="Times New Roman" w:cstheme="minorHAnsi"/>
          <w:lang w:eastAsia="en-GB"/>
        </w:rPr>
        <w:t>R</w:t>
      </w:r>
      <w:r w:rsidR="00F03652" w:rsidRPr="00550561">
        <w:rPr>
          <w:rFonts w:eastAsia="Times New Roman" w:cstheme="minorHAnsi"/>
          <w:lang w:eastAsia="en-GB"/>
        </w:rPr>
        <w:t>eview</w:t>
      </w:r>
      <w:r w:rsidR="006F5163" w:rsidRPr="00550561">
        <w:rPr>
          <w:rFonts w:eastAsia="Times New Roman" w:cstheme="minorHAnsi"/>
          <w:lang w:eastAsia="en-GB"/>
        </w:rPr>
        <w:t>s</w:t>
      </w:r>
      <w:r w:rsidR="00F03652" w:rsidRPr="00550561">
        <w:rPr>
          <w:rFonts w:eastAsia="Times New Roman" w:cstheme="minorHAnsi"/>
          <w:lang w:eastAsia="en-GB"/>
        </w:rPr>
        <w:t xml:space="preserve"> w</w:t>
      </w:r>
      <w:r w:rsidR="006F5163" w:rsidRPr="00550561">
        <w:rPr>
          <w:rFonts w:eastAsia="Times New Roman" w:cstheme="minorHAnsi"/>
          <w:lang w:eastAsia="en-GB"/>
        </w:rPr>
        <w:t xml:space="preserve">ere </w:t>
      </w:r>
      <w:r w:rsidR="00F03652" w:rsidRPr="00550561">
        <w:rPr>
          <w:rFonts w:eastAsia="Times New Roman" w:cstheme="minorHAnsi"/>
          <w:lang w:eastAsia="en-GB"/>
        </w:rPr>
        <w:t>audio-recorded and observed by two qualitative researchers</w:t>
      </w:r>
      <w:r w:rsidR="00A1553F" w:rsidRPr="00550561">
        <w:rPr>
          <w:rFonts w:eastAsia="Times New Roman" w:cstheme="minorHAnsi"/>
          <w:lang w:eastAsia="en-GB"/>
        </w:rPr>
        <w:t xml:space="preserve"> (NC, CW, TH, SW)</w:t>
      </w:r>
      <w:r w:rsidR="00F03652" w:rsidRPr="00550561">
        <w:rPr>
          <w:rFonts w:eastAsia="Times New Roman" w:cstheme="minorHAnsi"/>
          <w:lang w:eastAsia="en-GB"/>
        </w:rPr>
        <w:t xml:space="preserve">. Immediately following each review, the patient and pharmacist were interviewed </w:t>
      </w:r>
      <w:r w:rsidR="00042900" w:rsidRPr="00550561">
        <w:rPr>
          <w:rFonts w:eastAsia="Times New Roman" w:cstheme="minorHAnsi"/>
          <w:lang w:eastAsia="en-GB"/>
        </w:rPr>
        <w:t xml:space="preserve">separately </w:t>
      </w:r>
      <w:r w:rsidR="00F03652" w:rsidRPr="00550561">
        <w:rPr>
          <w:rFonts w:eastAsia="Times New Roman" w:cstheme="minorHAnsi"/>
          <w:lang w:eastAsia="en-GB"/>
        </w:rPr>
        <w:t>by one researcher</w:t>
      </w:r>
      <w:r w:rsidR="006F5163" w:rsidRPr="00550561">
        <w:rPr>
          <w:rFonts w:eastAsia="Times New Roman" w:cstheme="minorHAnsi"/>
          <w:lang w:eastAsia="en-GB"/>
        </w:rPr>
        <w:t>,</w:t>
      </w:r>
      <w:r w:rsidR="00E97A93" w:rsidRPr="00550561">
        <w:rPr>
          <w:rFonts w:eastAsia="Times New Roman" w:cstheme="minorHAnsi"/>
          <w:lang w:eastAsia="en-GB"/>
        </w:rPr>
        <w:t xml:space="preserve"> using a</w:t>
      </w:r>
      <w:r w:rsidR="00AB28ED" w:rsidRPr="00550561">
        <w:rPr>
          <w:rFonts w:eastAsia="Times New Roman" w:cstheme="minorHAnsi"/>
          <w:lang w:eastAsia="en-GB"/>
        </w:rPr>
        <w:t xml:space="preserve"> TFA-informed</w:t>
      </w:r>
      <w:r w:rsidR="00E97A93" w:rsidRPr="00550561">
        <w:rPr>
          <w:rFonts w:eastAsia="Times New Roman" w:cstheme="minorHAnsi"/>
          <w:lang w:eastAsia="en-GB"/>
        </w:rPr>
        <w:t xml:space="preserve"> topic guide</w:t>
      </w:r>
      <w:r w:rsidR="003A7D43" w:rsidRPr="00550561">
        <w:rPr>
          <w:rFonts w:eastAsia="Times New Roman" w:cstheme="minorHAnsi"/>
          <w:lang w:eastAsia="en-GB"/>
        </w:rPr>
        <w:t xml:space="preserve"> </w:t>
      </w:r>
      <w:r w:rsidR="006D743D" w:rsidRPr="00550561">
        <w:rPr>
          <w:rFonts w:eastAsia="Times New Roman" w:cstheme="minorHAnsi"/>
          <w:lang w:eastAsia="en-GB"/>
        </w:rPr>
        <w:t xml:space="preserve">(supplementary material 4) </w:t>
      </w:r>
      <w:r w:rsidR="0001622B" w:rsidRPr="00550561">
        <w:rPr>
          <w:rFonts w:eastAsia="Times New Roman" w:cstheme="minorHAnsi"/>
          <w:lang w:eastAsia="en-GB"/>
        </w:rPr>
        <w:t xml:space="preserve">and </w:t>
      </w:r>
      <w:r w:rsidR="00E16F2E" w:rsidRPr="00550561">
        <w:rPr>
          <w:rFonts w:eastAsia="Times New Roman" w:cstheme="minorHAnsi"/>
          <w:lang w:eastAsia="en-GB"/>
        </w:rPr>
        <w:t xml:space="preserve">probes </w:t>
      </w:r>
      <w:r w:rsidR="006F5163" w:rsidRPr="00550561">
        <w:rPr>
          <w:rFonts w:eastAsia="Times New Roman" w:cstheme="minorHAnsi"/>
          <w:lang w:eastAsia="en-GB"/>
        </w:rPr>
        <w:t xml:space="preserve">related to </w:t>
      </w:r>
      <w:r w:rsidR="00E16F2E" w:rsidRPr="00550561">
        <w:rPr>
          <w:rFonts w:eastAsia="Times New Roman" w:cstheme="minorHAnsi"/>
          <w:lang w:eastAsia="en-GB"/>
        </w:rPr>
        <w:t>observ</w:t>
      </w:r>
      <w:r w:rsidR="006F5163" w:rsidRPr="00550561">
        <w:rPr>
          <w:rFonts w:eastAsia="Times New Roman" w:cstheme="minorHAnsi"/>
          <w:lang w:eastAsia="en-GB"/>
        </w:rPr>
        <w:t>ing the review</w:t>
      </w:r>
      <w:r w:rsidR="00342C21" w:rsidRPr="00550561">
        <w:rPr>
          <w:rFonts w:eastAsia="Times New Roman" w:cstheme="minorHAnsi"/>
          <w:lang w:eastAsia="en-GB"/>
        </w:rPr>
        <w:t xml:space="preserve">. Interviews were audio-recorded. </w:t>
      </w:r>
      <w:r w:rsidR="00F41693" w:rsidRPr="00550561">
        <w:rPr>
          <w:rFonts w:eastAsia="Times New Roman" w:cstheme="minorHAnsi"/>
          <w:lang w:eastAsia="en-GB"/>
        </w:rPr>
        <w:t>R</w:t>
      </w:r>
      <w:r w:rsidR="00D5238F" w:rsidRPr="00550561">
        <w:rPr>
          <w:rFonts w:eastAsia="Times New Roman" w:cstheme="minorHAnsi"/>
          <w:lang w:eastAsia="en-GB"/>
        </w:rPr>
        <w:t xml:space="preserve">esearchers categorised observations </w:t>
      </w:r>
      <w:r w:rsidR="00AB28ED" w:rsidRPr="00550561">
        <w:rPr>
          <w:rFonts w:eastAsia="Times New Roman" w:cstheme="minorHAnsi"/>
          <w:lang w:eastAsia="en-GB"/>
        </w:rPr>
        <w:t xml:space="preserve">into </w:t>
      </w:r>
      <w:r w:rsidR="00D5238F" w:rsidRPr="00550561">
        <w:rPr>
          <w:rFonts w:eastAsia="Times New Roman" w:cstheme="minorHAnsi"/>
          <w:lang w:eastAsia="en-GB"/>
        </w:rPr>
        <w:t>six categories</w:t>
      </w:r>
      <w:r w:rsidR="001C0D2C" w:rsidRPr="00550561">
        <w:rPr>
          <w:rFonts w:eastAsia="Times New Roman" w:cstheme="minorHAnsi"/>
          <w:lang w:eastAsia="en-GB"/>
        </w:rPr>
        <w:t xml:space="preserve">; </w:t>
      </w:r>
      <w:r w:rsidR="006A2408" w:rsidRPr="00550561">
        <w:t xml:space="preserve">visual cues, verbal cues, think-aloud, resources, potential changes required and other things to note. </w:t>
      </w:r>
    </w:p>
    <w:p w14:paraId="1F4E3B80" w14:textId="1460D415" w:rsidR="00C12FFD" w:rsidRPr="00550561" w:rsidRDefault="00435A07" w:rsidP="007C56C5">
      <w:pPr>
        <w:spacing w:line="360" w:lineRule="auto"/>
      </w:pPr>
      <w:r w:rsidRPr="00550561">
        <w:t xml:space="preserve">Interview and observation data from each cycle of IPT were combined with </w:t>
      </w:r>
      <w:r w:rsidR="009F0E02" w:rsidRPr="00550561">
        <w:t xml:space="preserve">observations </w:t>
      </w:r>
      <w:r w:rsidR="00AD14CB" w:rsidRPr="00550561">
        <w:t>highlighting aspects that worked well as well as identifying areas needing revision</w:t>
      </w:r>
      <w:r w:rsidR="00F33B13" w:rsidRPr="00550561">
        <w:t>. M</w:t>
      </w:r>
      <w:r w:rsidR="00AD14CB" w:rsidRPr="00550561">
        <w:t>ini-optimisations</w:t>
      </w:r>
      <w:r w:rsidR="00F33B13" w:rsidRPr="00550561">
        <w:t xml:space="preserve"> were then made</w:t>
      </w:r>
      <w:r w:rsidR="00AD14CB" w:rsidRPr="00550561">
        <w:t xml:space="preserve"> </w:t>
      </w:r>
      <w:r w:rsidR="00F33B13" w:rsidRPr="00550561">
        <w:t xml:space="preserve">that </w:t>
      </w:r>
      <w:r w:rsidR="008739E5" w:rsidRPr="00550561">
        <w:t>were</w:t>
      </w:r>
      <w:r w:rsidR="00F33B13" w:rsidRPr="00550561">
        <w:t xml:space="preserve"> e</w:t>
      </w:r>
      <w:r w:rsidR="00CD04D9" w:rsidRPr="00550561">
        <w:rPr>
          <w:rStyle w:val="normaltextrun"/>
          <w:rFonts w:eastAsiaTheme="majorEastAsia" w:cstheme="minorHAnsi"/>
        </w:rPr>
        <w:t>valuated during the next cycle.</w:t>
      </w:r>
    </w:p>
    <w:p w14:paraId="6E75C01D" w14:textId="35A9AA69" w:rsidR="00AB6BC4" w:rsidRPr="00550561" w:rsidRDefault="002600C2" w:rsidP="003B3D48">
      <w:pPr>
        <w:spacing w:after="0" w:line="360" w:lineRule="auto"/>
        <w:textAlignment w:val="baseline"/>
        <w:rPr>
          <w:rFonts w:eastAsia="Times New Roman" w:cstheme="minorHAnsi"/>
          <w:sz w:val="16"/>
          <w:szCs w:val="16"/>
          <w:lang w:eastAsia="en-GB"/>
        </w:rPr>
      </w:pPr>
      <w:r w:rsidRPr="00550561">
        <w:rPr>
          <w:rFonts w:ascii="Calibri" w:hAnsi="Calibri" w:cs="Calibri"/>
          <w:shd w:val="clear" w:color="auto" w:fill="FFFFFF"/>
        </w:rPr>
        <w:t xml:space="preserve"> </w:t>
      </w:r>
    </w:p>
    <w:p w14:paraId="2AA0055A" w14:textId="77777777" w:rsidR="00F74FD9" w:rsidRPr="00550561" w:rsidRDefault="004C0722" w:rsidP="003B3D48">
      <w:pPr>
        <w:spacing w:line="360" w:lineRule="auto"/>
        <w:rPr>
          <w:i/>
          <w:iCs/>
        </w:rPr>
      </w:pPr>
      <w:r w:rsidRPr="00550561">
        <w:rPr>
          <w:i/>
          <w:iCs/>
        </w:rPr>
        <w:t>Data analysis</w:t>
      </w:r>
    </w:p>
    <w:p w14:paraId="6FF2640E" w14:textId="5DECED0B" w:rsidR="00C00D70" w:rsidRPr="00550561" w:rsidRDefault="00D33069" w:rsidP="00645089">
      <w:pPr>
        <w:pStyle w:val="xmsonormal"/>
        <w:spacing w:before="0" w:beforeAutospacing="0" w:after="0" w:afterAutospacing="0" w:line="360" w:lineRule="auto"/>
        <w:rPr>
          <w:rFonts w:asciiTheme="minorHAnsi" w:hAnsiTheme="minorHAnsi" w:cstheme="minorHAnsi"/>
          <w:color w:val="000000"/>
          <w:sz w:val="22"/>
          <w:szCs w:val="22"/>
          <w:bdr w:val="none" w:sz="0" w:space="0" w:color="auto" w:frame="1"/>
        </w:rPr>
      </w:pPr>
      <w:r w:rsidRPr="00550561">
        <w:rPr>
          <w:rFonts w:asciiTheme="minorHAnsi" w:hAnsiTheme="minorHAnsi" w:cstheme="minorHAnsi"/>
          <w:color w:val="000000"/>
          <w:sz w:val="22"/>
          <w:szCs w:val="22"/>
          <w:bdr w:val="none" w:sz="0" w:space="0" w:color="auto" w:frame="1"/>
        </w:rPr>
        <w:t xml:space="preserve">We used the </w:t>
      </w:r>
      <w:r w:rsidR="00485DE5" w:rsidRPr="00550561">
        <w:rPr>
          <w:rFonts w:asciiTheme="minorHAnsi" w:hAnsiTheme="minorHAnsi" w:cstheme="minorHAnsi"/>
          <w:color w:val="000000"/>
          <w:sz w:val="22"/>
          <w:szCs w:val="22"/>
          <w:bdr w:val="none" w:sz="0" w:space="0" w:color="auto" w:frame="1"/>
        </w:rPr>
        <w:t>TFA</w:t>
      </w:r>
      <w:r w:rsidRPr="00550561">
        <w:rPr>
          <w:rFonts w:asciiTheme="minorHAnsi" w:hAnsiTheme="minorHAnsi" w:cstheme="minorHAnsi"/>
          <w:color w:val="000000"/>
          <w:sz w:val="22"/>
          <w:szCs w:val="22"/>
          <w:bdr w:val="none" w:sz="0" w:space="0" w:color="auto" w:frame="1"/>
        </w:rPr>
        <w:t xml:space="preserve"> to understand</w:t>
      </w:r>
      <w:r w:rsidR="00F2111D" w:rsidRPr="00550561">
        <w:rPr>
          <w:rFonts w:asciiTheme="minorHAnsi" w:hAnsiTheme="minorHAnsi" w:cstheme="minorHAnsi"/>
          <w:color w:val="000000"/>
          <w:sz w:val="22"/>
          <w:szCs w:val="22"/>
          <w:bdr w:val="none" w:sz="0" w:space="0" w:color="auto" w:frame="1"/>
        </w:rPr>
        <w:t xml:space="preserve"> the prospective and experienced acceptability</w:t>
      </w:r>
      <w:r w:rsidR="001E2271" w:rsidRPr="00550561">
        <w:rPr>
          <w:rFonts w:asciiTheme="minorHAnsi" w:hAnsiTheme="minorHAnsi" w:cstheme="minorHAnsi"/>
          <w:color w:val="000000"/>
          <w:sz w:val="22"/>
          <w:szCs w:val="22"/>
          <w:bdr w:val="none" w:sz="0" w:space="0" w:color="auto" w:frame="1"/>
        </w:rPr>
        <w:t xml:space="preserve"> of the </w:t>
      </w:r>
      <w:r w:rsidR="007609B4" w:rsidRPr="00550561">
        <w:rPr>
          <w:rFonts w:asciiTheme="minorHAnsi" w:hAnsiTheme="minorHAnsi" w:cstheme="minorHAnsi"/>
          <w:color w:val="000000"/>
          <w:sz w:val="22"/>
          <w:szCs w:val="22"/>
          <w:bdr w:val="none" w:sz="0" w:space="0" w:color="auto" w:frame="1"/>
        </w:rPr>
        <w:t>PROMPPT</w:t>
      </w:r>
      <w:r w:rsidR="001E2271" w:rsidRPr="00550561">
        <w:rPr>
          <w:rFonts w:asciiTheme="minorHAnsi" w:hAnsiTheme="minorHAnsi" w:cstheme="minorHAnsi"/>
          <w:color w:val="000000"/>
          <w:sz w:val="22"/>
          <w:szCs w:val="22"/>
          <w:bdr w:val="none" w:sz="0" w:space="0" w:color="auto" w:frame="1"/>
        </w:rPr>
        <w:t xml:space="preserve"> review</w:t>
      </w:r>
      <w:r w:rsidR="005866AE">
        <w:rPr>
          <w:rFonts w:asciiTheme="minorHAnsi" w:hAnsiTheme="minorHAnsi" w:cstheme="minorHAnsi"/>
          <w:color w:val="000000"/>
          <w:sz w:val="22"/>
          <w:szCs w:val="22"/>
          <w:bdr w:val="none" w:sz="0" w:space="0" w:color="auto" w:frame="1"/>
        </w:rPr>
        <w:t xml:space="preserve">, including </w:t>
      </w:r>
      <w:r w:rsidRPr="00550561">
        <w:rPr>
          <w:rFonts w:asciiTheme="minorHAnsi" w:hAnsiTheme="minorHAnsi" w:cstheme="minorHAnsi"/>
          <w:color w:val="000000"/>
          <w:sz w:val="22"/>
          <w:szCs w:val="22"/>
          <w:bdr w:val="none" w:sz="0" w:space="0" w:color="auto" w:frame="1"/>
        </w:rPr>
        <w:t>discussions about tapering opioids</w:t>
      </w:r>
      <w:r w:rsidR="005866AE">
        <w:rPr>
          <w:rFonts w:asciiTheme="minorHAnsi" w:hAnsiTheme="minorHAnsi" w:cstheme="minorHAnsi"/>
          <w:color w:val="000000"/>
          <w:sz w:val="22"/>
          <w:szCs w:val="22"/>
          <w:bdr w:val="none" w:sz="0" w:space="0" w:color="auto" w:frame="1"/>
        </w:rPr>
        <w:t>,</w:t>
      </w:r>
      <w:r w:rsidRPr="00550561">
        <w:rPr>
          <w:rFonts w:asciiTheme="minorHAnsi" w:hAnsiTheme="minorHAnsi" w:cstheme="minorHAnsi"/>
          <w:color w:val="000000"/>
          <w:sz w:val="22"/>
          <w:szCs w:val="22"/>
          <w:bdr w:val="none" w:sz="0" w:space="0" w:color="auto" w:frame="1"/>
        </w:rPr>
        <w:t xml:space="preserve"> </w:t>
      </w:r>
      <w:r w:rsidR="00DA189F">
        <w:rPr>
          <w:rFonts w:asciiTheme="minorHAnsi" w:hAnsiTheme="minorHAnsi" w:cstheme="minorHAnsi"/>
          <w:color w:val="000000"/>
          <w:sz w:val="22"/>
          <w:szCs w:val="22"/>
          <w:bdr w:val="none" w:sz="0" w:space="0" w:color="auto" w:frame="1"/>
        </w:rPr>
        <w:t>among</w:t>
      </w:r>
      <w:r w:rsidR="00471996" w:rsidRPr="00550561">
        <w:rPr>
          <w:rFonts w:asciiTheme="minorHAnsi" w:hAnsiTheme="minorHAnsi" w:cstheme="minorHAnsi"/>
          <w:color w:val="000000"/>
          <w:sz w:val="22"/>
          <w:szCs w:val="22"/>
          <w:bdr w:val="none" w:sz="0" w:space="0" w:color="auto" w:frame="1"/>
        </w:rPr>
        <w:t xml:space="preserve"> </w:t>
      </w:r>
      <w:r w:rsidR="003E4E2E" w:rsidRPr="00550561">
        <w:rPr>
          <w:rFonts w:asciiTheme="minorHAnsi" w:hAnsiTheme="minorHAnsi" w:cstheme="minorHAnsi"/>
          <w:color w:val="000000"/>
          <w:sz w:val="22"/>
          <w:szCs w:val="22"/>
          <w:bdr w:val="none" w:sz="0" w:space="0" w:color="auto" w:frame="1"/>
        </w:rPr>
        <w:t>patients</w:t>
      </w:r>
      <w:r w:rsidR="00891D5E" w:rsidRPr="00550561">
        <w:rPr>
          <w:rFonts w:asciiTheme="minorHAnsi" w:hAnsiTheme="minorHAnsi" w:cstheme="minorHAnsi"/>
          <w:color w:val="000000"/>
          <w:sz w:val="22"/>
          <w:szCs w:val="22"/>
          <w:bdr w:val="none" w:sz="0" w:space="0" w:color="auto" w:frame="1"/>
        </w:rPr>
        <w:t xml:space="preserve"> and pharmacists</w:t>
      </w:r>
      <w:r w:rsidR="00F553C9" w:rsidRPr="00550561">
        <w:rPr>
          <w:rFonts w:asciiTheme="minorHAnsi" w:hAnsiTheme="minorHAnsi" w:cstheme="minorHAnsi"/>
          <w:color w:val="000000"/>
          <w:sz w:val="22"/>
          <w:szCs w:val="22"/>
          <w:bdr w:val="none" w:sz="0" w:space="0" w:color="auto" w:frame="1"/>
        </w:rPr>
        <w:t xml:space="preserve">. </w:t>
      </w:r>
      <w:r w:rsidRPr="00550561">
        <w:rPr>
          <w:rFonts w:asciiTheme="minorHAnsi" w:hAnsiTheme="minorHAnsi" w:cstheme="minorHAnsi"/>
          <w:color w:val="000000"/>
          <w:sz w:val="22"/>
          <w:szCs w:val="22"/>
          <w:bdr w:val="none" w:sz="0" w:space="0" w:color="auto" w:frame="1"/>
        </w:rPr>
        <w:t>To ensure rigo</w:t>
      </w:r>
      <w:r w:rsidR="000A3945" w:rsidRPr="00550561">
        <w:rPr>
          <w:rFonts w:asciiTheme="minorHAnsi" w:hAnsiTheme="minorHAnsi" w:cstheme="minorHAnsi"/>
          <w:color w:val="000000"/>
          <w:sz w:val="22"/>
          <w:szCs w:val="22"/>
          <w:bdr w:val="none" w:sz="0" w:space="0" w:color="auto" w:frame="1"/>
        </w:rPr>
        <w:t>u</w:t>
      </w:r>
      <w:r w:rsidRPr="00550561">
        <w:rPr>
          <w:rFonts w:asciiTheme="minorHAnsi" w:hAnsiTheme="minorHAnsi" w:cstheme="minorHAnsi"/>
          <w:color w:val="000000"/>
          <w:sz w:val="22"/>
          <w:szCs w:val="22"/>
          <w:bdr w:val="none" w:sz="0" w:space="0" w:color="auto" w:frame="1"/>
        </w:rPr>
        <w:t>r, a phased approach to analysis was adopted. Interview transcripts</w:t>
      </w:r>
      <w:r w:rsidR="002E4056" w:rsidRPr="00550561">
        <w:rPr>
          <w:rFonts w:asciiTheme="minorHAnsi" w:hAnsiTheme="minorHAnsi" w:cstheme="minorHAnsi"/>
          <w:color w:val="000000"/>
          <w:sz w:val="22"/>
          <w:szCs w:val="22"/>
          <w:bdr w:val="none" w:sz="0" w:space="0" w:color="auto" w:frame="1"/>
        </w:rPr>
        <w:t xml:space="preserve">, including in-practice </w:t>
      </w:r>
      <w:r w:rsidR="002E4056" w:rsidRPr="00550561">
        <w:rPr>
          <w:rFonts w:asciiTheme="minorHAnsi" w:hAnsiTheme="minorHAnsi" w:cstheme="minorHAnsi"/>
          <w:color w:val="000000"/>
          <w:sz w:val="22"/>
          <w:szCs w:val="22"/>
          <w:bdr w:val="none" w:sz="0" w:space="0" w:color="auto" w:frame="1"/>
        </w:rPr>
        <w:lastRenderedPageBreak/>
        <w:t>interviews,</w:t>
      </w:r>
      <w:r w:rsidRPr="00550561">
        <w:rPr>
          <w:rFonts w:asciiTheme="minorHAnsi" w:hAnsiTheme="minorHAnsi" w:cstheme="minorHAnsi"/>
          <w:color w:val="000000"/>
          <w:sz w:val="22"/>
          <w:szCs w:val="22"/>
          <w:bdr w:val="none" w:sz="0" w:space="0" w:color="auto" w:frame="1"/>
        </w:rPr>
        <w:t xml:space="preserve"> were professionally transcribed verbatim, anonymised and checked for accuracy against interview recordings. Online discussion forum posts were downloaded into </w:t>
      </w:r>
      <w:r w:rsidR="00DA189F">
        <w:rPr>
          <w:rFonts w:asciiTheme="minorHAnsi" w:hAnsiTheme="minorHAnsi" w:cstheme="minorHAnsi"/>
          <w:color w:val="000000"/>
          <w:sz w:val="22"/>
          <w:szCs w:val="22"/>
          <w:bdr w:val="none" w:sz="0" w:space="0" w:color="auto" w:frame="1"/>
        </w:rPr>
        <w:t>Microsoft</w:t>
      </w:r>
      <w:r w:rsidRPr="00550561">
        <w:rPr>
          <w:rFonts w:asciiTheme="minorHAnsi" w:hAnsiTheme="minorHAnsi" w:cstheme="minorHAnsi"/>
          <w:color w:val="000000"/>
          <w:sz w:val="22"/>
          <w:szCs w:val="22"/>
          <w:bdr w:val="none" w:sz="0" w:space="0" w:color="auto" w:frame="1"/>
        </w:rPr>
        <w:t xml:space="preserve"> Excel</w:t>
      </w:r>
      <w:r w:rsidR="009F0237">
        <w:rPr>
          <w:rFonts w:asciiTheme="minorHAnsi" w:hAnsiTheme="minorHAnsi" w:cstheme="minorHAnsi"/>
          <w:color w:val="000000"/>
          <w:sz w:val="22"/>
          <w:szCs w:val="22"/>
          <w:bdr w:val="none" w:sz="0" w:space="0" w:color="auto" w:frame="1"/>
        </w:rPr>
        <w:t>®</w:t>
      </w:r>
      <w:r w:rsidR="001B7093" w:rsidRPr="00550561">
        <w:rPr>
          <w:rFonts w:asciiTheme="minorHAnsi" w:hAnsiTheme="minorHAnsi" w:cstheme="minorHAnsi"/>
          <w:color w:val="000000"/>
          <w:sz w:val="22"/>
          <w:szCs w:val="22"/>
          <w:bdr w:val="none" w:sz="0" w:space="0" w:color="auto" w:frame="1"/>
        </w:rPr>
        <w:t xml:space="preserve"> </w:t>
      </w:r>
      <w:r w:rsidRPr="00550561">
        <w:rPr>
          <w:rFonts w:asciiTheme="minorHAnsi" w:hAnsiTheme="minorHAnsi" w:cstheme="minorHAnsi"/>
          <w:color w:val="000000"/>
          <w:sz w:val="22"/>
          <w:szCs w:val="22"/>
          <w:bdr w:val="none" w:sz="0" w:space="0" w:color="auto" w:frame="1"/>
        </w:rPr>
        <w:t xml:space="preserve">and forum user </w:t>
      </w:r>
      <w:r w:rsidR="005D5220" w:rsidRPr="00550561">
        <w:rPr>
          <w:rFonts w:asciiTheme="minorHAnsi" w:hAnsiTheme="minorHAnsi" w:cstheme="minorHAnsi"/>
          <w:color w:val="000000"/>
          <w:sz w:val="22"/>
          <w:szCs w:val="22"/>
          <w:bdr w:val="none" w:sz="0" w:space="0" w:color="auto" w:frame="1"/>
        </w:rPr>
        <w:t>IDs</w:t>
      </w:r>
      <w:r w:rsidRPr="00550561">
        <w:rPr>
          <w:rFonts w:asciiTheme="minorHAnsi" w:hAnsiTheme="minorHAnsi" w:cstheme="minorHAnsi"/>
          <w:color w:val="000000"/>
          <w:sz w:val="22"/>
          <w:szCs w:val="22"/>
          <w:bdr w:val="none" w:sz="0" w:space="0" w:color="auto" w:frame="1"/>
        </w:rPr>
        <w:t xml:space="preserve"> replaced with deidentifying codes to further protect participant anonymity. </w:t>
      </w:r>
    </w:p>
    <w:p w14:paraId="6EEC67EF" w14:textId="77777777" w:rsidR="0054003C" w:rsidRPr="00550561" w:rsidRDefault="0054003C" w:rsidP="00645089">
      <w:pPr>
        <w:pStyle w:val="xmsonormal"/>
        <w:spacing w:before="0" w:beforeAutospacing="0" w:after="0" w:afterAutospacing="0" w:line="360" w:lineRule="auto"/>
        <w:rPr>
          <w:rFonts w:asciiTheme="minorHAnsi" w:hAnsiTheme="minorHAnsi" w:cstheme="minorHAnsi"/>
          <w:color w:val="000000"/>
          <w:sz w:val="22"/>
          <w:szCs w:val="22"/>
          <w:bdr w:val="none" w:sz="0" w:space="0" w:color="auto" w:frame="1"/>
        </w:rPr>
      </w:pPr>
    </w:p>
    <w:p w14:paraId="7B21C214" w14:textId="6290F505" w:rsidR="00D33069" w:rsidRPr="00550561" w:rsidRDefault="00D33069" w:rsidP="008E3D48">
      <w:pPr>
        <w:pStyle w:val="xmsonormal"/>
        <w:spacing w:before="0" w:beforeAutospacing="0" w:after="0" w:afterAutospacing="0" w:line="360" w:lineRule="auto"/>
        <w:rPr>
          <w:rFonts w:ascii="Calibri" w:hAnsi="Calibri" w:cs="Calibri"/>
          <w:color w:val="000000"/>
          <w:sz w:val="22"/>
          <w:szCs w:val="22"/>
        </w:rPr>
      </w:pPr>
      <w:r w:rsidRPr="00550561">
        <w:rPr>
          <w:rFonts w:asciiTheme="minorHAnsi" w:hAnsiTheme="minorHAnsi" w:cstheme="minorHAnsi"/>
          <w:color w:val="000000"/>
          <w:sz w:val="22"/>
          <w:szCs w:val="22"/>
          <w:bdr w:val="none" w:sz="0" w:space="0" w:color="auto" w:frame="1"/>
        </w:rPr>
        <w:t>Transcripts were read and re-read for data familiarisation. A coding manual based on the T</w:t>
      </w:r>
      <w:r w:rsidR="00E34CA2" w:rsidRPr="00550561">
        <w:rPr>
          <w:rFonts w:asciiTheme="minorHAnsi" w:hAnsiTheme="minorHAnsi" w:cstheme="minorHAnsi"/>
          <w:color w:val="000000"/>
          <w:sz w:val="22"/>
          <w:szCs w:val="22"/>
          <w:bdr w:val="none" w:sz="0" w:space="0" w:color="auto" w:frame="1"/>
        </w:rPr>
        <w:t>FA</w:t>
      </w:r>
      <w:r w:rsidRPr="00550561">
        <w:rPr>
          <w:rFonts w:asciiTheme="minorHAnsi" w:hAnsiTheme="minorHAnsi" w:cstheme="minorHAnsi"/>
          <w:color w:val="000000"/>
          <w:sz w:val="22"/>
          <w:szCs w:val="22"/>
          <w:bdr w:val="none" w:sz="0" w:space="0" w:color="auto" w:frame="1"/>
        </w:rPr>
        <w:t xml:space="preserve"> domains was created and discussed and an initial thematic framework developed using a priori theoretical constructs. Three transcripts were coded independently by a multi-disciplinary team including </w:t>
      </w:r>
      <w:r w:rsidR="00DC511C" w:rsidRPr="00550561">
        <w:rPr>
          <w:rFonts w:asciiTheme="minorHAnsi" w:hAnsiTheme="minorHAnsi" w:cstheme="minorHAnsi"/>
          <w:color w:val="000000"/>
          <w:sz w:val="22"/>
          <w:szCs w:val="22"/>
          <w:bdr w:val="none" w:sz="0" w:space="0" w:color="auto" w:frame="1"/>
        </w:rPr>
        <w:t>qualitative researchers,</w:t>
      </w:r>
      <w:r w:rsidRPr="00550561">
        <w:rPr>
          <w:rFonts w:asciiTheme="minorHAnsi" w:hAnsiTheme="minorHAnsi" w:cstheme="minorHAnsi"/>
          <w:color w:val="000000"/>
          <w:sz w:val="22"/>
          <w:szCs w:val="22"/>
          <w:bdr w:val="none" w:sz="0" w:space="0" w:color="auto" w:frame="1"/>
        </w:rPr>
        <w:t xml:space="preserve"> pain </w:t>
      </w:r>
      <w:r w:rsidR="001A7CE0" w:rsidRPr="00550561">
        <w:rPr>
          <w:rFonts w:asciiTheme="minorHAnsi" w:hAnsiTheme="minorHAnsi" w:cstheme="minorHAnsi"/>
          <w:color w:val="000000"/>
          <w:sz w:val="22"/>
          <w:szCs w:val="22"/>
          <w:bdr w:val="none" w:sz="0" w:space="0" w:color="auto" w:frame="1"/>
        </w:rPr>
        <w:t>specialist</w:t>
      </w:r>
      <w:r w:rsidR="00E90397" w:rsidRPr="00550561">
        <w:rPr>
          <w:rFonts w:asciiTheme="minorHAnsi" w:hAnsiTheme="minorHAnsi" w:cstheme="minorHAnsi"/>
          <w:color w:val="000000"/>
          <w:sz w:val="22"/>
          <w:szCs w:val="22"/>
          <w:bdr w:val="none" w:sz="0" w:space="0" w:color="auto" w:frame="1"/>
        </w:rPr>
        <w:t>s</w:t>
      </w:r>
      <w:r w:rsidRPr="00550561">
        <w:rPr>
          <w:rFonts w:asciiTheme="minorHAnsi" w:hAnsiTheme="minorHAnsi" w:cstheme="minorHAnsi"/>
          <w:color w:val="000000"/>
          <w:sz w:val="22"/>
          <w:szCs w:val="22"/>
          <w:bdr w:val="none" w:sz="0" w:space="0" w:color="auto" w:frame="1"/>
        </w:rPr>
        <w:t xml:space="preserve"> and </w:t>
      </w:r>
      <w:r w:rsidR="004132A7" w:rsidRPr="00550561">
        <w:rPr>
          <w:rFonts w:asciiTheme="minorHAnsi" w:hAnsiTheme="minorHAnsi" w:cstheme="minorHAnsi"/>
          <w:color w:val="000000"/>
          <w:sz w:val="22"/>
          <w:szCs w:val="22"/>
          <w:bdr w:val="none" w:sz="0" w:space="0" w:color="auto" w:frame="1"/>
        </w:rPr>
        <w:t xml:space="preserve">pharmacist </w:t>
      </w:r>
      <w:r w:rsidRPr="00550561">
        <w:rPr>
          <w:rFonts w:asciiTheme="minorHAnsi" w:hAnsiTheme="minorHAnsi" w:cstheme="minorHAnsi"/>
          <w:color w:val="000000"/>
          <w:sz w:val="22"/>
          <w:szCs w:val="22"/>
          <w:bdr w:val="none" w:sz="0" w:space="0" w:color="auto" w:frame="1"/>
        </w:rPr>
        <w:t>(</w:t>
      </w:r>
      <w:r w:rsidR="004132A7" w:rsidRPr="00550561">
        <w:rPr>
          <w:rFonts w:asciiTheme="minorHAnsi" w:hAnsiTheme="minorHAnsi" w:cstheme="minorHAnsi"/>
          <w:color w:val="000000"/>
          <w:sz w:val="22"/>
          <w:szCs w:val="22"/>
          <w:bdr w:val="none" w:sz="0" w:space="0" w:color="auto" w:frame="1"/>
        </w:rPr>
        <w:t xml:space="preserve">NC, CJ, CW, </w:t>
      </w:r>
      <w:r w:rsidRPr="00550561">
        <w:rPr>
          <w:rFonts w:asciiTheme="minorHAnsi" w:hAnsiTheme="minorHAnsi" w:cstheme="minorHAnsi"/>
          <w:color w:val="000000"/>
          <w:sz w:val="22"/>
          <w:szCs w:val="22"/>
          <w:bdr w:val="none" w:sz="0" w:space="0" w:color="auto" w:frame="1"/>
        </w:rPr>
        <w:t>SH, SW)</w:t>
      </w:r>
      <w:r w:rsidR="007F5469" w:rsidRPr="00550561">
        <w:rPr>
          <w:rFonts w:asciiTheme="minorHAnsi" w:hAnsiTheme="minorHAnsi" w:cstheme="minorHAnsi"/>
          <w:color w:val="000000"/>
          <w:sz w:val="22"/>
          <w:szCs w:val="22"/>
          <w:bdr w:val="none" w:sz="0" w:space="0" w:color="auto" w:frame="1"/>
        </w:rPr>
        <w:t xml:space="preserve"> using NVivo </w:t>
      </w:r>
      <w:r w:rsidR="00D76F8C" w:rsidRPr="00550561">
        <w:rPr>
          <w:rFonts w:asciiTheme="minorHAnsi" w:hAnsiTheme="minorHAnsi" w:cstheme="minorHAnsi"/>
          <w:color w:val="000000"/>
          <w:sz w:val="22"/>
          <w:szCs w:val="22"/>
          <w:bdr w:val="none" w:sz="0" w:space="0" w:color="auto" w:frame="1"/>
        </w:rPr>
        <w:t>v12 software to aid data management</w:t>
      </w:r>
      <w:r w:rsidRPr="00550561">
        <w:rPr>
          <w:rFonts w:asciiTheme="minorHAnsi" w:hAnsiTheme="minorHAnsi" w:cstheme="minorHAnsi"/>
          <w:color w:val="000000"/>
          <w:sz w:val="22"/>
          <w:szCs w:val="22"/>
          <w:bdr w:val="none" w:sz="0" w:space="0" w:color="auto" w:frame="1"/>
        </w:rPr>
        <w:t>.</w:t>
      </w:r>
      <w:r w:rsidRPr="00550561">
        <w:rPr>
          <w:rStyle w:val="apple-converted-space"/>
          <w:rFonts w:asciiTheme="minorHAnsi" w:eastAsiaTheme="majorEastAsia" w:hAnsiTheme="minorHAnsi" w:cstheme="minorHAnsi"/>
          <w:color w:val="000000"/>
          <w:sz w:val="22"/>
          <w:szCs w:val="22"/>
          <w:bdr w:val="none" w:sz="0" w:space="0" w:color="auto" w:frame="1"/>
        </w:rPr>
        <w:t> </w:t>
      </w:r>
      <w:r w:rsidRPr="00550561">
        <w:rPr>
          <w:rFonts w:asciiTheme="minorHAnsi" w:hAnsiTheme="minorHAnsi" w:cstheme="minorHAnsi"/>
          <w:color w:val="000000"/>
          <w:sz w:val="22"/>
          <w:szCs w:val="22"/>
          <w:bdr w:val="none" w:sz="0" w:space="0" w:color="auto" w:frame="1"/>
        </w:rPr>
        <w:t xml:space="preserve">The team met to discuss data and </w:t>
      </w:r>
      <w:r w:rsidR="00862E4D" w:rsidRPr="00550561">
        <w:rPr>
          <w:rFonts w:asciiTheme="minorHAnsi" w:hAnsiTheme="minorHAnsi" w:cstheme="minorHAnsi"/>
          <w:color w:val="000000"/>
          <w:sz w:val="22"/>
          <w:szCs w:val="22"/>
          <w:bdr w:val="none" w:sz="0" w:space="0" w:color="auto" w:frame="1"/>
        </w:rPr>
        <w:t xml:space="preserve">understanding of </w:t>
      </w:r>
      <w:r w:rsidRPr="00550561">
        <w:rPr>
          <w:rFonts w:asciiTheme="minorHAnsi" w:hAnsiTheme="minorHAnsi" w:cstheme="minorHAnsi"/>
          <w:color w:val="000000"/>
          <w:sz w:val="22"/>
          <w:szCs w:val="22"/>
          <w:bdr w:val="none" w:sz="0" w:space="0" w:color="auto" w:frame="1"/>
        </w:rPr>
        <w:t xml:space="preserve">theoretical constructs </w:t>
      </w:r>
      <w:r w:rsidR="00F718F8" w:rsidRPr="00550561">
        <w:rPr>
          <w:rFonts w:asciiTheme="minorHAnsi" w:hAnsiTheme="minorHAnsi" w:cstheme="minorHAnsi"/>
          <w:color w:val="000000"/>
          <w:sz w:val="22"/>
          <w:szCs w:val="22"/>
          <w:bdr w:val="none" w:sz="0" w:space="0" w:color="auto" w:frame="1"/>
        </w:rPr>
        <w:t xml:space="preserve">before a </w:t>
      </w:r>
      <w:r w:rsidRPr="00550561">
        <w:rPr>
          <w:rFonts w:asciiTheme="minorHAnsi" w:hAnsiTheme="minorHAnsi" w:cstheme="minorHAnsi"/>
          <w:color w:val="000000"/>
          <w:sz w:val="22"/>
          <w:szCs w:val="22"/>
          <w:bdr w:val="none" w:sz="0" w:space="0" w:color="auto" w:frame="1"/>
        </w:rPr>
        <w:t>second coding phase</w:t>
      </w:r>
      <w:r w:rsidR="001A7CE0" w:rsidRPr="00550561">
        <w:rPr>
          <w:rFonts w:asciiTheme="minorHAnsi" w:hAnsiTheme="minorHAnsi" w:cstheme="minorHAnsi"/>
          <w:color w:val="000000"/>
          <w:sz w:val="22"/>
          <w:szCs w:val="22"/>
          <w:bdr w:val="none" w:sz="0" w:space="0" w:color="auto" w:frame="1"/>
        </w:rPr>
        <w:t xml:space="preserve">, </w:t>
      </w:r>
      <w:r w:rsidRPr="00550561">
        <w:rPr>
          <w:rFonts w:asciiTheme="minorHAnsi" w:hAnsiTheme="minorHAnsi" w:cstheme="minorHAnsi"/>
          <w:color w:val="000000"/>
          <w:sz w:val="22"/>
          <w:szCs w:val="22"/>
          <w:bdr w:val="none" w:sz="0" w:space="0" w:color="auto" w:frame="1"/>
        </w:rPr>
        <w:t>followed by another coding discussion meeting. Two coders (NC, CW) then coded all remaining data</w:t>
      </w:r>
      <w:r w:rsidR="0067666F" w:rsidRPr="00550561">
        <w:rPr>
          <w:rFonts w:asciiTheme="minorHAnsi" w:hAnsiTheme="minorHAnsi" w:cstheme="minorHAnsi"/>
          <w:color w:val="000000"/>
          <w:sz w:val="22"/>
          <w:szCs w:val="22"/>
          <w:bdr w:val="none" w:sz="0" w:space="0" w:color="auto" w:frame="1"/>
        </w:rPr>
        <w:t xml:space="preserve"> (including discussion forum data)</w:t>
      </w:r>
      <w:r w:rsidRPr="00550561">
        <w:rPr>
          <w:rFonts w:asciiTheme="minorHAnsi" w:hAnsiTheme="minorHAnsi" w:cstheme="minorHAnsi"/>
          <w:color w:val="000000"/>
          <w:sz w:val="22"/>
          <w:szCs w:val="22"/>
          <w:bdr w:val="none" w:sz="0" w:space="0" w:color="auto" w:frame="1"/>
        </w:rPr>
        <w:t xml:space="preserve"> into the framework</w:t>
      </w:r>
      <w:r w:rsidR="00664584" w:rsidRPr="00550561">
        <w:rPr>
          <w:rFonts w:asciiTheme="minorHAnsi" w:hAnsiTheme="minorHAnsi" w:cstheme="minorHAnsi"/>
          <w:color w:val="000000"/>
          <w:sz w:val="22"/>
          <w:szCs w:val="22"/>
          <w:bdr w:val="none" w:sz="0" w:space="0" w:color="auto" w:frame="1"/>
        </w:rPr>
        <w:t xml:space="preserve"> and </w:t>
      </w:r>
      <w:r w:rsidR="009E18D3">
        <w:rPr>
          <w:rFonts w:asciiTheme="minorHAnsi" w:hAnsiTheme="minorHAnsi" w:cstheme="minorHAnsi"/>
          <w:color w:val="000000"/>
          <w:sz w:val="22"/>
          <w:szCs w:val="22"/>
          <w:bdr w:val="none" w:sz="0" w:space="0" w:color="auto" w:frame="1"/>
        </w:rPr>
        <w:t>“</w:t>
      </w:r>
      <w:r w:rsidR="00664584" w:rsidRPr="00550561">
        <w:rPr>
          <w:rFonts w:asciiTheme="minorHAnsi" w:hAnsiTheme="minorHAnsi" w:cstheme="minorHAnsi"/>
          <w:color w:val="000000"/>
          <w:sz w:val="22"/>
          <w:szCs w:val="22"/>
          <w:bdr w:val="none" w:sz="0" w:space="0" w:color="auto" w:frame="1"/>
        </w:rPr>
        <w:t xml:space="preserve">key </w:t>
      </w:r>
      <w:r w:rsidR="00022EE8" w:rsidRPr="00550561">
        <w:rPr>
          <w:rFonts w:asciiTheme="minorHAnsi" w:hAnsiTheme="minorHAnsi" w:cstheme="minorHAnsi"/>
          <w:color w:val="000000"/>
          <w:sz w:val="22"/>
          <w:szCs w:val="22"/>
          <w:bdr w:val="none" w:sz="0" w:space="0" w:color="auto" w:frame="1"/>
        </w:rPr>
        <w:t>aspects</w:t>
      </w:r>
      <w:r w:rsidR="009E18D3">
        <w:rPr>
          <w:rFonts w:asciiTheme="minorHAnsi" w:hAnsiTheme="minorHAnsi" w:cstheme="minorHAnsi"/>
          <w:color w:val="000000"/>
          <w:sz w:val="22"/>
          <w:szCs w:val="22"/>
          <w:bdr w:val="none" w:sz="0" w:space="0" w:color="auto" w:frame="1"/>
        </w:rPr>
        <w:t>”</w:t>
      </w:r>
      <w:r w:rsidR="00332720" w:rsidRPr="00550561">
        <w:rPr>
          <w:rFonts w:asciiTheme="minorHAnsi" w:hAnsiTheme="minorHAnsi" w:cstheme="minorHAnsi"/>
          <w:color w:val="000000"/>
          <w:sz w:val="22"/>
          <w:szCs w:val="22"/>
          <w:bdr w:val="none" w:sz="0" w:space="0" w:color="auto" w:frame="1"/>
        </w:rPr>
        <w:t xml:space="preserve"> </w:t>
      </w:r>
      <w:r w:rsidR="00664584" w:rsidRPr="00550561">
        <w:rPr>
          <w:rFonts w:asciiTheme="minorHAnsi" w:hAnsiTheme="minorHAnsi" w:cstheme="minorHAnsi"/>
          <w:color w:val="000000"/>
          <w:sz w:val="22"/>
          <w:szCs w:val="22"/>
          <w:bdr w:val="none" w:sz="0" w:space="0" w:color="auto" w:frame="1"/>
        </w:rPr>
        <w:t>were generated within each TFA domain</w:t>
      </w:r>
      <w:r w:rsidR="00367536">
        <w:rPr>
          <w:rFonts w:asciiTheme="minorHAnsi" w:hAnsiTheme="minorHAnsi" w:cstheme="minorHAnsi"/>
          <w:color w:val="000000"/>
          <w:sz w:val="22"/>
          <w:szCs w:val="22"/>
          <w:bdr w:val="none" w:sz="0" w:space="0" w:color="auto" w:frame="1"/>
        </w:rPr>
        <w:t>.</w:t>
      </w:r>
    </w:p>
    <w:p w14:paraId="28600A4B" w14:textId="77777777" w:rsidR="0098415F" w:rsidRPr="00550561" w:rsidRDefault="0098415F" w:rsidP="003B3D48">
      <w:pPr>
        <w:spacing w:line="360" w:lineRule="auto"/>
        <w:rPr>
          <w:i/>
          <w:iCs/>
        </w:rPr>
      </w:pPr>
    </w:p>
    <w:p w14:paraId="654ACD7D" w14:textId="7ECA0CF5" w:rsidR="000D5CFE" w:rsidRPr="00550561" w:rsidRDefault="000D5CFE" w:rsidP="003B3D48">
      <w:pPr>
        <w:spacing w:line="360" w:lineRule="auto"/>
        <w:rPr>
          <w:i/>
          <w:iCs/>
        </w:rPr>
      </w:pPr>
      <w:r w:rsidRPr="00550561">
        <w:rPr>
          <w:i/>
          <w:iCs/>
        </w:rPr>
        <w:t xml:space="preserve">Ethics </w:t>
      </w:r>
    </w:p>
    <w:p w14:paraId="54CBC5E5" w14:textId="02DC2A7E" w:rsidR="000D5CFE" w:rsidRPr="00550561" w:rsidRDefault="0098415F" w:rsidP="003B3D48">
      <w:pPr>
        <w:spacing w:line="360" w:lineRule="auto"/>
      </w:pPr>
      <w:r w:rsidRPr="00550561">
        <w:t xml:space="preserve">Ethical approval was granted by the East of England – Cambridge East Research Ethics Committee (ref:19/EE/0151). Informed written consent was obtained from all participants. </w:t>
      </w:r>
    </w:p>
    <w:p w14:paraId="0AA62AA5" w14:textId="36F328F6" w:rsidR="008301CB" w:rsidRPr="00550561" w:rsidRDefault="00D335BB" w:rsidP="003B3D48">
      <w:pPr>
        <w:spacing w:line="360" w:lineRule="auto"/>
        <w:rPr>
          <w:b/>
          <w:bCs/>
        </w:rPr>
      </w:pPr>
      <w:r w:rsidRPr="00550561">
        <w:rPr>
          <w:b/>
          <w:bCs/>
        </w:rPr>
        <w:t>Results</w:t>
      </w:r>
    </w:p>
    <w:p w14:paraId="7A4D461B" w14:textId="7EDF559A" w:rsidR="00DA1234" w:rsidRPr="00550561" w:rsidRDefault="00DA1234" w:rsidP="00DA1234">
      <w:pPr>
        <w:spacing w:line="360" w:lineRule="auto"/>
        <w:rPr>
          <w:i/>
          <w:iCs/>
        </w:rPr>
      </w:pPr>
      <w:r w:rsidRPr="00550561">
        <w:rPr>
          <w:i/>
          <w:iCs/>
        </w:rPr>
        <w:t>Participant characteristics</w:t>
      </w:r>
      <w:r w:rsidR="00484E8F" w:rsidRPr="00550561">
        <w:rPr>
          <w:i/>
          <w:iCs/>
        </w:rPr>
        <w:t xml:space="preserve"> </w:t>
      </w:r>
    </w:p>
    <w:p w14:paraId="50969258" w14:textId="2979A33A" w:rsidR="006B2DC3" w:rsidRPr="00550561" w:rsidRDefault="00952758" w:rsidP="003B3D48">
      <w:pPr>
        <w:spacing w:line="360" w:lineRule="auto"/>
        <w:rPr>
          <w:i/>
          <w:iCs/>
        </w:rPr>
      </w:pPr>
      <w:r w:rsidRPr="00550561">
        <w:rPr>
          <w:i/>
          <w:iCs/>
        </w:rPr>
        <w:t>Prospective acceptability</w:t>
      </w:r>
    </w:p>
    <w:p w14:paraId="0D3DD115" w14:textId="732246F6" w:rsidR="00417593" w:rsidRPr="00550561" w:rsidRDefault="005E5F5B" w:rsidP="00353227">
      <w:pPr>
        <w:spacing w:line="360" w:lineRule="auto"/>
        <w:rPr>
          <w:rFonts w:cstheme="minorHAnsi"/>
        </w:rPr>
      </w:pPr>
      <w:r w:rsidRPr="00550561">
        <w:t xml:space="preserve">Twenty-eight </w:t>
      </w:r>
      <w:r w:rsidR="00081FD0" w:rsidRPr="00550561">
        <w:t xml:space="preserve">semi-structured interviews </w:t>
      </w:r>
      <w:r w:rsidR="006F2977" w:rsidRPr="00550561">
        <w:t>were conducted</w:t>
      </w:r>
      <w:r w:rsidR="00367536">
        <w:t>,</w:t>
      </w:r>
      <w:r w:rsidR="006F2977" w:rsidRPr="00550561">
        <w:t xml:space="preserve"> </w:t>
      </w:r>
      <w:r w:rsidR="009613AC" w:rsidRPr="00550561">
        <w:t xml:space="preserve">with </w:t>
      </w:r>
      <w:r w:rsidR="00891D5E" w:rsidRPr="00550561">
        <w:t>patients</w:t>
      </w:r>
      <w:r w:rsidR="009613AC" w:rsidRPr="00550561">
        <w:t xml:space="preserve"> (n=15)</w:t>
      </w:r>
      <w:r w:rsidR="006F5212" w:rsidRPr="00550561">
        <w:t xml:space="preserve"> </w:t>
      </w:r>
      <w:r w:rsidR="0051411B" w:rsidRPr="00550561">
        <w:t>(See Table 2 for demographics)</w:t>
      </w:r>
      <w:r w:rsidR="00796FA3" w:rsidRPr="00550561">
        <w:t xml:space="preserve"> (mean length </w:t>
      </w:r>
      <w:r w:rsidR="007E3DEE" w:rsidRPr="00550561">
        <w:t>37mins)</w:t>
      </w:r>
      <w:r w:rsidR="0051411B" w:rsidRPr="00550561">
        <w:t xml:space="preserve"> </w:t>
      </w:r>
      <w:r w:rsidR="006F5212" w:rsidRPr="00550561">
        <w:t>and</w:t>
      </w:r>
      <w:r w:rsidR="00EA02F8" w:rsidRPr="00550561">
        <w:t xml:space="preserve"> pharmacists </w:t>
      </w:r>
      <w:r w:rsidR="009613AC" w:rsidRPr="00550561">
        <w:t>(n=</w:t>
      </w:r>
      <w:r w:rsidR="00CD42A1" w:rsidRPr="00550561">
        <w:t>13</w:t>
      </w:r>
      <w:r w:rsidR="009613AC" w:rsidRPr="00550561">
        <w:t>)</w:t>
      </w:r>
      <w:r w:rsidR="001C5654" w:rsidRPr="00550561">
        <w:t>(mean length</w:t>
      </w:r>
      <w:r w:rsidR="00387D21" w:rsidRPr="00550561">
        <w:t xml:space="preserve"> 49mins)</w:t>
      </w:r>
      <w:r w:rsidR="0051411B" w:rsidRPr="00550561">
        <w:t>.</w:t>
      </w:r>
      <w:r w:rsidR="009F037A" w:rsidRPr="00550561">
        <w:t xml:space="preserve"> </w:t>
      </w:r>
      <w:r w:rsidR="00094AF2" w:rsidRPr="00550561">
        <w:rPr>
          <w:rFonts w:cstheme="minorHAnsi"/>
        </w:rPr>
        <w:t>Of the thirteen pharmacists</w:t>
      </w:r>
      <w:r w:rsidR="0051411B" w:rsidRPr="00550561">
        <w:rPr>
          <w:rFonts w:cstheme="minorHAnsi"/>
        </w:rPr>
        <w:t>,</w:t>
      </w:r>
      <w:r w:rsidR="00094AF2" w:rsidRPr="00550561">
        <w:rPr>
          <w:rFonts w:cstheme="minorHAnsi"/>
        </w:rPr>
        <w:t xml:space="preserve"> 9 were female and 4 male.</w:t>
      </w:r>
    </w:p>
    <w:p w14:paraId="5E23BD71" w14:textId="5C4D050D" w:rsidR="005B3770" w:rsidRPr="006F4394" w:rsidRDefault="005B3770" w:rsidP="005B3770">
      <w:pPr>
        <w:pStyle w:val="Caption"/>
        <w:keepNext/>
        <w:rPr>
          <w:b/>
          <w:bCs/>
          <w:i w:val="0"/>
          <w:iCs w:val="0"/>
          <w:color w:val="auto"/>
          <w:sz w:val="22"/>
          <w:szCs w:val="22"/>
        </w:rPr>
      </w:pPr>
      <w:r w:rsidRPr="006F4394">
        <w:rPr>
          <w:b/>
          <w:bCs/>
          <w:i w:val="0"/>
          <w:iCs w:val="0"/>
          <w:color w:val="auto"/>
          <w:sz w:val="22"/>
          <w:szCs w:val="22"/>
        </w:rPr>
        <w:t xml:space="preserve">Table </w:t>
      </w:r>
      <w:r w:rsidRPr="006F4394">
        <w:rPr>
          <w:b/>
          <w:bCs/>
          <w:i w:val="0"/>
          <w:iCs w:val="0"/>
          <w:color w:val="auto"/>
          <w:sz w:val="22"/>
          <w:szCs w:val="22"/>
        </w:rPr>
        <w:fldChar w:fldCharType="begin"/>
      </w:r>
      <w:r w:rsidRPr="006F4394">
        <w:rPr>
          <w:b/>
          <w:bCs/>
          <w:i w:val="0"/>
          <w:iCs w:val="0"/>
          <w:color w:val="auto"/>
          <w:sz w:val="22"/>
          <w:szCs w:val="22"/>
        </w:rPr>
        <w:instrText xml:space="preserve"> SEQ Table \* ARABIC </w:instrText>
      </w:r>
      <w:r w:rsidRPr="006F4394">
        <w:rPr>
          <w:b/>
          <w:bCs/>
          <w:i w:val="0"/>
          <w:iCs w:val="0"/>
          <w:color w:val="auto"/>
          <w:sz w:val="22"/>
          <w:szCs w:val="22"/>
        </w:rPr>
        <w:fldChar w:fldCharType="separate"/>
      </w:r>
      <w:r w:rsidR="002274A6" w:rsidRPr="006F4394">
        <w:rPr>
          <w:b/>
          <w:bCs/>
          <w:i w:val="0"/>
          <w:iCs w:val="0"/>
          <w:color w:val="auto"/>
          <w:sz w:val="22"/>
          <w:szCs w:val="22"/>
        </w:rPr>
        <w:t>2</w:t>
      </w:r>
      <w:r w:rsidRPr="006F4394">
        <w:rPr>
          <w:b/>
          <w:bCs/>
          <w:i w:val="0"/>
          <w:iCs w:val="0"/>
          <w:color w:val="auto"/>
          <w:sz w:val="22"/>
          <w:szCs w:val="22"/>
        </w:rPr>
        <w:fldChar w:fldCharType="end"/>
      </w:r>
      <w:r w:rsidRPr="006F4394">
        <w:rPr>
          <w:b/>
          <w:bCs/>
          <w:i w:val="0"/>
          <w:iCs w:val="0"/>
          <w:color w:val="auto"/>
          <w:sz w:val="22"/>
          <w:szCs w:val="22"/>
        </w:rPr>
        <w:t xml:space="preserve">. </w:t>
      </w:r>
      <w:r w:rsidR="00F94093" w:rsidRPr="006F4394">
        <w:rPr>
          <w:b/>
          <w:bCs/>
          <w:i w:val="0"/>
          <w:iCs w:val="0"/>
          <w:color w:val="auto"/>
          <w:sz w:val="22"/>
          <w:szCs w:val="22"/>
        </w:rPr>
        <w:t>Patient</w:t>
      </w:r>
      <w:r w:rsidR="00417593" w:rsidRPr="006F4394">
        <w:rPr>
          <w:b/>
          <w:bCs/>
          <w:i w:val="0"/>
          <w:iCs w:val="0"/>
          <w:color w:val="auto"/>
          <w:sz w:val="22"/>
          <w:szCs w:val="22"/>
        </w:rPr>
        <w:t xml:space="preserve"> </w:t>
      </w:r>
      <w:r w:rsidR="000E3D2D" w:rsidRPr="006F4394">
        <w:rPr>
          <w:b/>
          <w:bCs/>
          <w:i w:val="0"/>
          <w:iCs w:val="0"/>
          <w:color w:val="auto"/>
          <w:sz w:val="22"/>
          <w:szCs w:val="22"/>
        </w:rPr>
        <w:t xml:space="preserve">interview </w:t>
      </w:r>
      <w:r w:rsidR="00F44D92" w:rsidRPr="006F4394">
        <w:rPr>
          <w:b/>
          <w:bCs/>
          <w:i w:val="0"/>
          <w:iCs w:val="0"/>
          <w:color w:val="auto"/>
          <w:sz w:val="22"/>
          <w:szCs w:val="22"/>
        </w:rPr>
        <w:t xml:space="preserve">characteristics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560"/>
        <w:gridCol w:w="1415"/>
        <w:gridCol w:w="1416"/>
        <w:gridCol w:w="1416"/>
        <w:gridCol w:w="861"/>
      </w:tblGrid>
      <w:tr w:rsidR="002F4582" w:rsidRPr="00550561" w14:paraId="5B23B446" w14:textId="77777777" w:rsidTr="005D0944">
        <w:tc>
          <w:tcPr>
            <w:tcW w:w="7802" w:type="dxa"/>
            <w:gridSpan w:val="6"/>
            <w:tcBorders>
              <w:bottom w:val="single" w:sz="4" w:space="0" w:color="auto"/>
            </w:tcBorders>
            <w:vAlign w:val="center"/>
          </w:tcPr>
          <w:p w14:paraId="30918EE5" w14:textId="3AC81C59" w:rsidR="002F4582" w:rsidRPr="00550561" w:rsidRDefault="002F4582">
            <w:pPr>
              <w:spacing w:line="360" w:lineRule="auto"/>
              <w:rPr>
                <w:rFonts w:cstheme="minorHAnsi"/>
                <w:b/>
                <w:bCs/>
              </w:rPr>
            </w:pPr>
            <w:r w:rsidRPr="00550561">
              <w:rPr>
                <w:rFonts w:cstheme="minorHAnsi"/>
                <w:b/>
                <w:bCs/>
              </w:rPr>
              <w:t>P</w:t>
            </w:r>
            <w:r w:rsidR="00C347EB" w:rsidRPr="00550561">
              <w:rPr>
                <w:rFonts w:cstheme="minorHAnsi"/>
                <w:b/>
                <w:bCs/>
              </w:rPr>
              <w:t>atients</w:t>
            </w:r>
            <w:r w:rsidRPr="00550561">
              <w:rPr>
                <w:rFonts w:cstheme="minorHAnsi"/>
                <w:b/>
                <w:bCs/>
              </w:rPr>
              <w:t xml:space="preserve"> </w:t>
            </w:r>
            <w:r w:rsidR="00BD4F68" w:rsidRPr="00550561">
              <w:rPr>
                <w:rFonts w:cstheme="minorHAnsi"/>
                <w:b/>
                <w:bCs/>
              </w:rPr>
              <w:t>prescribed opioids for</w:t>
            </w:r>
            <w:r w:rsidRPr="00550561">
              <w:rPr>
                <w:rFonts w:cstheme="minorHAnsi"/>
                <w:b/>
                <w:bCs/>
              </w:rPr>
              <w:t xml:space="preserve"> </w:t>
            </w:r>
            <w:r w:rsidR="000E3D2D" w:rsidRPr="00550561">
              <w:rPr>
                <w:rFonts w:cstheme="minorHAnsi"/>
                <w:b/>
                <w:bCs/>
              </w:rPr>
              <w:t>PNCP</w:t>
            </w:r>
            <w:r w:rsidRPr="00550561">
              <w:rPr>
                <w:rFonts w:cstheme="minorHAnsi"/>
                <w:b/>
                <w:bCs/>
              </w:rPr>
              <w:t xml:space="preserve"> (n=15)</w:t>
            </w:r>
          </w:p>
        </w:tc>
      </w:tr>
      <w:tr w:rsidR="00A64964" w:rsidRPr="00550561" w14:paraId="3DBDD57F" w14:textId="77777777" w:rsidTr="00A64964">
        <w:tc>
          <w:tcPr>
            <w:tcW w:w="1134" w:type="dxa"/>
            <w:vMerge w:val="restart"/>
            <w:tcBorders>
              <w:top w:val="single" w:sz="4" w:space="0" w:color="auto"/>
            </w:tcBorders>
            <w:vAlign w:val="center"/>
          </w:tcPr>
          <w:p w14:paraId="2704EDD0" w14:textId="2070DFB7" w:rsidR="00A64964" w:rsidRPr="00550561" w:rsidRDefault="00A64964" w:rsidP="009A263D">
            <w:pPr>
              <w:spacing w:line="360" w:lineRule="auto"/>
              <w:jc w:val="center"/>
              <w:rPr>
                <w:rFonts w:cstheme="minorHAnsi"/>
                <w:b/>
                <w:bCs/>
              </w:rPr>
            </w:pPr>
            <w:r w:rsidRPr="00550561">
              <w:rPr>
                <w:rFonts w:cstheme="minorHAnsi"/>
                <w:b/>
                <w:bCs/>
              </w:rPr>
              <w:t>Gender</w:t>
            </w:r>
          </w:p>
        </w:tc>
        <w:tc>
          <w:tcPr>
            <w:tcW w:w="1560" w:type="dxa"/>
            <w:vMerge w:val="restart"/>
            <w:tcBorders>
              <w:top w:val="single" w:sz="4" w:space="0" w:color="auto"/>
            </w:tcBorders>
            <w:vAlign w:val="center"/>
          </w:tcPr>
          <w:p w14:paraId="6CE5539C" w14:textId="77777777" w:rsidR="00A64964" w:rsidRPr="00550561" w:rsidRDefault="00A64964" w:rsidP="009A263D">
            <w:pPr>
              <w:spacing w:line="360" w:lineRule="auto"/>
              <w:jc w:val="center"/>
              <w:rPr>
                <w:rFonts w:cstheme="minorHAnsi"/>
                <w:b/>
                <w:bCs/>
              </w:rPr>
            </w:pPr>
            <w:r w:rsidRPr="00550561">
              <w:rPr>
                <w:rFonts w:cstheme="minorHAnsi"/>
                <w:b/>
                <w:bCs/>
              </w:rPr>
              <w:t xml:space="preserve">Age </w:t>
            </w:r>
          </w:p>
          <w:p w14:paraId="5DB64024" w14:textId="77777777" w:rsidR="00A95315" w:rsidRPr="00550561" w:rsidRDefault="00A64964" w:rsidP="009A263D">
            <w:pPr>
              <w:spacing w:line="360" w:lineRule="auto"/>
              <w:jc w:val="center"/>
              <w:rPr>
                <w:rFonts w:cstheme="minorHAnsi"/>
                <w:b/>
                <w:bCs/>
                <w:i/>
                <w:iCs/>
              </w:rPr>
            </w:pPr>
            <w:r w:rsidRPr="00550561">
              <w:rPr>
                <w:rFonts w:cstheme="minorHAnsi"/>
                <w:b/>
                <w:bCs/>
                <w:i/>
                <w:iCs/>
              </w:rPr>
              <w:t>mean years</w:t>
            </w:r>
          </w:p>
          <w:p w14:paraId="0323FAF7" w14:textId="40E9C4FD" w:rsidR="00A64964" w:rsidRPr="00550561" w:rsidRDefault="00A95315" w:rsidP="009A263D">
            <w:pPr>
              <w:spacing w:line="360" w:lineRule="auto"/>
              <w:jc w:val="center"/>
              <w:rPr>
                <w:rFonts w:cstheme="minorHAnsi"/>
                <w:b/>
                <w:bCs/>
                <w:i/>
                <w:iCs/>
              </w:rPr>
            </w:pPr>
            <w:r w:rsidRPr="00550561">
              <w:rPr>
                <w:rFonts w:cstheme="minorHAnsi"/>
                <w:b/>
                <w:bCs/>
                <w:i/>
                <w:iCs/>
              </w:rPr>
              <w:t>(range)</w:t>
            </w:r>
          </w:p>
        </w:tc>
        <w:tc>
          <w:tcPr>
            <w:tcW w:w="4247" w:type="dxa"/>
            <w:gridSpan w:val="3"/>
            <w:tcBorders>
              <w:top w:val="single" w:sz="4" w:space="0" w:color="auto"/>
              <w:bottom w:val="single" w:sz="4" w:space="0" w:color="auto"/>
            </w:tcBorders>
            <w:vAlign w:val="center"/>
          </w:tcPr>
          <w:p w14:paraId="688732B4" w14:textId="50DFAB55" w:rsidR="00A64964" w:rsidRPr="00550561" w:rsidRDefault="00E90397" w:rsidP="009A263D">
            <w:pPr>
              <w:spacing w:line="360" w:lineRule="auto"/>
              <w:jc w:val="center"/>
              <w:rPr>
                <w:rFonts w:cstheme="minorHAnsi"/>
                <w:b/>
                <w:bCs/>
              </w:rPr>
            </w:pPr>
            <w:r w:rsidRPr="00550561">
              <w:rPr>
                <w:rFonts w:cstheme="minorHAnsi"/>
                <w:b/>
                <w:bCs/>
              </w:rPr>
              <w:t>Strength of opioid prescribed</w:t>
            </w:r>
            <w:r w:rsidR="0025346E" w:rsidRPr="00550561">
              <w:rPr>
                <w:rFonts w:cstheme="minorHAnsi"/>
                <w:b/>
                <w:bCs/>
              </w:rPr>
              <w:t>*</w:t>
            </w:r>
          </w:p>
        </w:tc>
        <w:tc>
          <w:tcPr>
            <w:tcW w:w="861" w:type="dxa"/>
            <w:vMerge w:val="restart"/>
            <w:tcBorders>
              <w:top w:val="single" w:sz="4" w:space="0" w:color="auto"/>
            </w:tcBorders>
            <w:vAlign w:val="center"/>
          </w:tcPr>
          <w:p w14:paraId="25B11C8D" w14:textId="4C6F716D" w:rsidR="00A64964" w:rsidRPr="00550561" w:rsidRDefault="00A64964" w:rsidP="00A64964">
            <w:pPr>
              <w:spacing w:line="360" w:lineRule="auto"/>
              <w:jc w:val="center"/>
              <w:rPr>
                <w:rFonts w:cstheme="minorHAnsi"/>
                <w:b/>
                <w:bCs/>
              </w:rPr>
            </w:pPr>
            <w:r w:rsidRPr="00550561">
              <w:rPr>
                <w:rFonts w:cstheme="minorHAnsi"/>
                <w:b/>
                <w:bCs/>
              </w:rPr>
              <w:t>Total</w:t>
            </w:r>
          </w:p>
        </w:tc>
      </w:tr>
      <w:tr w:rsidR="00A64964" w:rsidRPr="00550561" w14:paraId="5C797D9A" w14:textId="77777777" w:rsidTr="00A64964">
        <w:tc>
          <w:tcPr>
            <w:tcW w:w="1134" w:type="dxa"/>
            <w:vMerge/>
            <w:tcBorders>
              <w:bottom w:val="single" w:sz="4" w:space="0" w:color="auto"/>
            </w:tcBorders>
            <w:vAlign w:val="center"/>
          </w:tcPr>
          <w:p w14:paraId="36B43A82" w14:textId="53DDD1BA" w:rsidR="00A64964" w:rsidRPr="00550561" w:rsidRDefault="00A64964" w:rsidP="009A263D">
            <w:pPr>
              <w:spacing w:line="360" w:lineRule="auto"/>
              <w:jc w:val="center"/>
              <w:rPr>
                <w:rFonts w:cstheme="minorHAnsi"/>
                <w:b/>
                <w:bCs/>
              </w:rPr>
            </w:pPr>
          </w:p>
        </w:tc>
        <w:tc>
          <w:tcPr>
            <w:tcW w:w="1560" w:type="dxa"/>
            <w:vMerge/>
            <w:tcBorders>
              <w:bottom w:val="single" w:sz="4" w:space="0" w:color="auto"/>
            </w:tcBorders>
            <w:vAlign w:val="center"/>
          </w:tcPr>
          <w:p w14:paraId="3B35711B" w14:textId="358CE5C2" w:rsidR="00A64964" w:rsidRPr="00550561" w:rsidRDefault="00A64964" w:rsidP="009A263D">
            <w:pPr>
              <w:spacing w:line="360" w:lineRule="auto"/>
              <w:jc w:val="center"/>
              <w:rPr>
                <w:rFonts w:cstheme="minorHAnsi"/>
                <w:b/>
                <w:bCs/>
              </w:rPr>
            </w:pPr>
          </w:p>
        </w:tc>
        <w:tc>
          <w:tcPr>
            <w:tcW w:w="1415" w:type="dxa"/>
            <w:tcBorders>
              <w:top w:val="single" w:sz="4" w:space="0" w:color="auto"/>
              <w:bottom w:val="single" w:sz="4" w:space="0" w:color="auto"/>
            </w:tcBorders>
            <w:vAlign w:val="center"/>
          </w:tcPr>
          <w:p w14:paraId="0C40F785" w14:textId="4B10F907" w:rsidR="00A64964" w:rsidRPr="00550561" w:rsidRDefault="00A64964" w:rsidP="009A263D">
            <w:pPr>
              <w:spacing w:line="360" w:lineRule="auto"/>
              <w:jc w:val="center"/>
              <w:rPr>
                <w:rFonts w:cstheme="minorHAnsi"/>
                <w:b/>
                <w:bCs/>
                <w:i/>
                <w:iCs/>
              </w:rPr>
            </w:pPr>
            <w:r w:rsidRPr="00550561">
              <w:rPr>
                <w:rFonts w:cstheme="minorHAnsi"/>
                <w:b/>
                <w:bCs/>
                <w:i/>
                <w:iCs/>
              </w:rPr>
              <w:t>Weak</w:t>
            </w:r>
          </w:p>
        </w:tc>
        <w:tc>
          <w:tcPr>
            <w:tcW w:w="1416" w:type="dxa"/>
            <w:tcBorders>
              <w:top w:val="single" w:sz="4" w:space="0" w:color="auto"/>
              <w:bottom w:val="single" w:sz="4" w:space="0" w:color="auto"/>
            </w:tcBorders>
            <w:vAlign w:val="center"/>
          </w:tcPr>
          <w:p w14:paraId="33647392" w14:textId="6177B53A" w:rsidR="00A64964" w:rsidRPr="00550561" w:rsidRDefault="00A64964" w:rsidP="009A263D">
            <w:pPr>
              <w:spacing w:line="360" w:lineRule="auto"/>
              <w:jc w:val="center"/>
              <w:rPr>
                <w:rFonts w:cstheme="minorHAnsi"/>
                <w:b/>
                <w:bCs/>
                <w:i/>
                <w:iCs/>
              </w:rPr>
            </w:pPr>
            <w:r w:rsidRPr="00550561">
              <w:rPr>
                <w:rFonts w:cstheme="minorHAnsi"/>
                <w:b/>
                <w:bCs/>
                <w:i/>
                <w:iCs/>
              </w:rPr>
              <w:t>Intermediate</w:t>
            </w:r>
          </w:p>
        </w:tc>
        <w:tc>
          <w:tcPr>
            <w:tcW w:w="1416" w:type="dxa"/>
            <w:tcBorders>
              <w:top w:val="single" w:sz="4" w:space="0" w:color="auto"/>
              <w:bottom w:val="single" w:sz="4" w:space="0" w:color="auto"/>
            </w:tcBorders>
            <w:vAlign w:val="center"/>
          </w:tcPr>
          <w:p w14:paraId="2FB2821B" w14:textId="776D70E0" w:rsidR="00A64964" w:rsidRPr="00550561" w:rsidRDefault="00A64964" w:rsidP="009A263D">
            <w:pPr>
              <w:spacing w:line="360" w:lineRule="auto"/>
              <w:jc w:val="center"/>
              <w:rPr>
                <w:rFonts w:cstheme="minorHAnsi"/>
                <w:b/>
                <w:bCs/>
                <w:i/>
                <w:iCs/>
              </w:rPr>
            </w:pPr>
            <w:r w:rsidRPr="00550561">
              <w:rPr>
                <w:rFonts w:cstheme="minorHAnsi"/>
                <w:b/>
                <w:bCs/>
                <w:i/>
                <w:iCs/>
              </w:rPr>
              <w:t>Strong</w:t>
            </w:r>
          </w:p>
        </w:tc>
        <w:tc>
          <w:tcPr>
            <w:tcW w:w="861" w:type="dxa"/>
            <w:vMerge/>
            <w:tcBorders>
              <w:bottom w:val="single" w:sz="4" w:space="0" w:color="auto"/>
            </w:tcBorders>
            <w:vAlign w:val="center"/>
          </w:tcPr>
          <w:p w14:paraId="6E360605" w14:textId="77777777" w:rsidR="00A64964" w:rsidRPr="00550561" w:rsidRDefault="00A64964" w:rsidP="00A64964">
            <w:pPr>
              <w:spacing w:line="360" w:lineRule="auto"/>
              <w:jc w:val="center"/>
              <w:rPr>
                <w:rFonts w:cstheme="minorHAnsi"/>
                <w:b/>
                <w:bCs/>
              </w:rPr>
            </w:pPr>
          </w:p>
        </w:tc>
      </w:tr>
      <w:tr w:rsidR="009A263D" w:rsidRPr="00550561" w14:paraId="06D7EFD3" w14:textId="77777777" w:rsidTr="00A64964">
        <w:tc>
          <w:tcPr>
            <w:tcW w:w="1134" w:type="dxa"/>
            <w:tcBorders>
              <w:top w:val="single" w:sz="4" w:space="0" w:color="auto"/>
            </w:tcBorders>
          </w:tcPr>
          <w:p w14:paraId="3BD4647F" w14:textId="0FA83941" w:rsidR="009A263D" w:rsidRPr="00550561" w:rsidRDefault="009A263D" w:rsidP="003B3D48">
            <w:pPr>
              <w:spacing w:line="360" w:lineRule="auto"/>
              <w:rPr>
                <w:rFonts w:cstheme="minorHAnsi"/>
              </w:rPr>
            </w:pPr>
            <w:r w:rsidRPr="00550561">
              <w:rPr>
                <w:rFonts w:cstheme="minorHAnsi"/>
              </w:rPr>
              <w:t>Male</w:t>
            </w:r>
          </w:p>
        </w:tc>
        <w:tc>
          <w:tcPr>
            <w:tcW w:w="1560" w:type="dxa"/>
            <w:tcBorders>
              <w:top w:val="single" w:sz="4" w:space="0" w:color="auto"/>
            </w:tcBorders>
          </w:tcPr>
          <w:p w14:paraId="5E203706" w14:textId="7FA17124" w:rsidR="009A263D" w:rsidRPr="00550561" w:rsidRDefault="009A263D" w:rsidP="00A64964">
            <w:pPr>
              <w:spacing w:line="360" w:lineRule="auto"/>
              <w:jc w:val="center"/>
              <w:rPr>
                <w:rFonts w:cstheme="minorHAnsi"/>
              </w:rPr>
            </w:pPr>
            <w:r w:rsidRPr="00550561">
              <w:rPr>
                <w:rFonts w:cstheme="minorHAnsi"/>
              </w:rPr>
              <w:t>68.75</w:t>
            </w:r>
            <w:r w:rsidR="00A95315" w:rsidRPr="00550561">
              <w:rPr>
                <w:rFonts w:cstheme="minorHAnsi"/>
              </w:rPr>
              <w:t xml:space="preserve"> (</w:t>
            </w:r>
            <w:r w:rsidR="008D4B17" w:rsidRPr="00550561">
              <w:rPr>
                <w:rFonts w:cstheme="minorHAnsi"/>
              </w:rPr>
              <w:t>55-83)</w:t>
            </w:r>
          </w:p>
        </w:tc>
        <w:tc>
          <w:tcPr>
            <w:tcW w:w="1415" w:type="dxa"/>
            <w:tcBorders>
              <w:top w:val="single" w:sz="4" w:space="0" w:color="auto"/>
            </w:tcBorders>
          </w:tcPr>
          <w:p w14:paraId="14EBC7AF" w14:textId="3D8BCFED" w:rsidR="009A263D" w:rsidRPr="00550561" w:rsidRDefault="00890D03" w:rsidP="00A64964">
            <w:pPr>
              <w:spacing w:line="360" w:lineRule="auto"/>
              <w:jc w:val="center"/>
              <w:rPr>
                <w:rFonts w:cstheme="minorHAnsi"/>
              </w:rPr>
            </w:pPr>
            <w:r w:rsidRPr="00550561">
              <w:rPr>
                <w:rFonts w:cstheme="minorHAnsi"/>
              </w:rPr>
              <w:t>1</w:t>
            </w:r>
          </w:p>
        </w:tc>
        <w:tc>
          <w:tcPr>
            <w:tcW w:w="1416" w:type="dxa"/>
            <w:tcBorders>
              <w:top w:val="single" w:sz="4" w:space="0" w:color="auto"/>
            </w:tcBorders>
          </w:tcPr>
          <w:p w14:paraId="34584AA2" w14:textId="4F6DACD2" w:rsidR="009A263D" w:rsidRPr="00550561" w:rsidRDefault="00890D03" w:rsidP="00A64964">
            <w:pPr>
              <w:spacing w:line="360" w:lineRule="auto"/>
              <w:jc w:val="center"/>
              <w:rPr>
                <w:rFonts w:cstheme="minorHAnsi"/>
              </w:rPr>
            </w:pPr>
            <w:r w:rsidRPr="00550561">
              <w:rPr>
                <w:rFonts w:cstheme="minorHAnsi"/>
              </w:rPr>
              <w:t>1</w:t>
            </w:r>
          </w:p>
        </w:tc>
        <w:tc>
          <w:tcPr>
            <w:tcW w:w="1416" w:type="dxa"/>
            <w:tcBorders>
              <w:top w:val="single" w:sz="4" w:space="0" w:color="auto"/>
            </w:tcBorders>
          </w:tcPr>
          <w:p w14:paraId="3A33FC53" w14:textId="4B31C55F" w:rsidR="009A263D" w:rsidRPr="00550561" w:rsidRDefault="00890D03" w:rsidP="00A64964">
            <w:pPr>
              <w:spacing w:line="360" w:lineRule="auto"/>
              <w:jc w:val="center"/>
              <w:rPr>
                <w:rFonts w:cstheme="minorHAnsi"/>
              </w:rPr>
            </w:pPr>
            <w:r w:rsidRPr="00550561">
              <w:rPr>
                <w:rFonts w:cstheme="minorHAnsi"/>
              </w:rPr>
              <w:t>2</w:t>
            </w:r>
          </w:p>
        </w:tc>
        <w:tc>
          <w:tcPr>
            <w:tcW w:w="861" w:type="dxa"/>
            <w:tcBorders>
              <w:top w:val="single" w:sz="4" w:space="0" w:color="auto"/>
            </w:tcBorders>
          </w:tcPr>
          <w:p w14:paraId="7763BCF6" w14:textId="37B4968F" w:rsidR="009A263D" w:rsidRPr="00550561" w:rsidRDefault="00890D03" w:rsidP="00A64964">
            <w:pPr>
              <w:spacing w:line="360" w:lineRule="auto"/>
              <w:jc w:val="center"/>
              <w:rPr>
                <w:rFonts w:cstheme="minorHAnsi"/>
              </w:rPr>
            </w:pPr>
            <w:r w:rsidRPr="00550561">
              <w:rPr>
                <w:rFonts w:cstheme="minorHAnsi"/>
              </w:rPr>
              <w:t>4</w:t>
            </w:r>
          </w:p>
        </w:tc>
      </w:tr>
      <w:tr w:rsidR="009A263D" w:rsidRPr="00550561" w14:paraId="7114DDBE" w14:textId="77777777" w:rsidTr="00A64964">
        <w:tc>
          <w:tcPr>
            <w:tcW w:w="1134" w:type="dxa"/>
            <w:tcBorders>
              <w:bottom w:val="single" w:sz="4" w:space="0" w:color="auto"/>
            </w:tcBorders>
          </w:tcPr>
          <w:p w14:paraId="251835D7" w14:textId="2134A259" w:rsidR="009A263D" w:rsidRPr="00550561" w:rsidRDefault="009A263D" w:rsidP="003B3D48">
            <w:pPr>
              <w:spacing w:line="360" w:lineRule="auto"/>
              <w:rPr>
                <w:rFonts w:cstheme="minorHAnsi"/>
              </w:rPr>
            </w:pPr>
            <w:r w:rsidRPr="00550561">
              <w:rPr>
                <w:rFonts w:cstheme="minorHAnsi"/>
              </w:rPr>
              <w:t>Female</w:t>
            </w:r>
          </w:p>
        </w:tc>
        <w:tc>
          <w:tcPr>
            <w:tcW w:w="1560" w:type="dxa"/>
            <w:tcBorders>
              <w:bottom w:val="single" w:sz="4" w:space="0" w:color="auto"/>
            </w:tcBorders>
          </w:tcPr>
          <w:p w14:paraId="2CD637D2" w14:textId="66969BBB" w:rsidR="009A263D" w:rsidRPr="00550561" w:rsidRDefault="003A2245" w:rsidP="00A64964">
            <w:pPr>
              <w:spacing w:line="360" w:lineRule="auto"/>
              <w:jc w:val="center"/>
              <w:rPr>
                <w:rFonts w:cstheme="minorHAnsi"/>
              </w:rPr>
            </w:pPr>
            <w:r w:rsidRPr="00550561">
              <w:rPr>
                <w:rFonts w:cstheme="minorHAnsi"/>
              </w:rPr>
              <w:t>70.73</w:t>
            </w:r>
            <w:r w:rsidR="008D4B17" w:rsidRPr="00550561">
              <w:rPr>
                <w:rFonts w:cstheme="minorHAnsi"/>
              </w:rPr>
              <w:t xml:space="preserve"> (</w:t>
            </w:r>
            <w:r w:rsidR="00353227" w:rsidRPr="00550561">
              <w:rPr>
                <w:rFonts w:cstheme="minorHAnsi"/>
              </w:rPr>
              <w:t>54-87)</w:t>
            </w:r>
          </w:p>
        </w:tc>
        <w:tc>
          <w:tcPr>
            <w:tcW w:w="1415" w:type="dxa"/>
            <w:tcBorders>
              <w:bottom w:val="single" w:sz="4" w:space="0" w:color="auto"/>
            </w:tcBorders>
          </w:tcPr>
          <w:p w14:paraId="31284E67" w14:textId="17D4F040" w:rsidR="009A263D" w:rsidRPr="00550561" w:rsidRDefault="000B006A" w:rsidP="00A64964">
            <w:pPr>
              <w:spacing w:line="360" w:lineRule="auto"/>
              <w:jc w:val="center"/>
              <w:rPr>
                <w:rFonts w:cstheme="minorHAnsi"/>
              </w:rPr>
            </w:pPr>
            <w:r w:rsidRPr="00550561">
              <w:rPr>
                <w:rFonts w:cstheme="minorHAnsi"/>
              </w:rPr>
              <w:t>2</w:t>
            </w:r>
          </w:p>
        </w:tc>
        <w:tc>
          <w:tcPr>
            <w:tcW w:w="1416" w:type="dxa"/>
            <w:tcBorders>
              <w:bottom w:val="single" w:sz="4" w:space="0" w:color="auto"/>
            </w:tcBorders>
          </w:tcPr>
          <w:p w14:paraId="72549A75" w14:textId="5F118CB5" w:rsidR="009A263D" w:rsidRPr="00550561" w:rsidRDefault="000B006A" w:rsidP="00A64964">
            <w:pPr>
              <w:spacing w:line="360" w:lineRule="auto"/>
              <w:jc w:val="center"/>
              <w:rPr>
                <w:rFonts w:cstheme="minorHAnsi"/>
              </w:rPr>
            </w:pPr>
            <w:r w:rsidRPr="00550561">
              <w:rPr>
                <w:rFonts w:cstheme="minorHAnsi"/>
              </w:rPr>
              <w:t>4</w:t>
            </w:r>
          </w:p>
        </w:tc>
        <w:tc>
          <w:tcPr>
            <w:tcW w:w="1416" w:type="dxa"/>
            <w:tcBorders>
              <w:bottom w:val="single" w:sz="4" w:space="0" w:color="auto"/>
            </w:tcBorders>
          </w:tcPr>
          <w:p w14:paraId="32B680ED" w14:textId="3F4FEFB5" w:rsidR="009A263D" w:rsidRPr="00550561" w:rsidRDefault="000B006A" w:rsidP="00A64964">
            <w:pPr>
              <w:spacing w:line="360" w:lineRule="auto"/>
              <w:jc w:val="center"/>
              <w:rPr>
                <w:rFonts w:cstheme="minorHAnsi"/>
              </w:rPr>
            </w:pPr>
            <w:r w:rsidRPr="00550561">
              <w:rPr>
                <w:rFonts w:cstheme="minorHAnsi"/>
              </w:rPr>
              <w:t>5</w:t>
            </w:r>
          </w:p>
        </w:tc>
        <w:tc>
          <w:tcPr>
            <w:tcW w:w="861" w:type="dxa"/>
            <w:tcBorders>
              <w:bottom w:val="single" w:sz="4" w:space="0" w:color="auto"/>
            </w:tcBorders>
          </w:tcPr>
          <w:p w14:paraId="1E7CD8D8" w14:textId="6F76302D" w:rsidR="009A263D" w:rsidRPr="00550561" w:rsidRDefault="000B006A" w:rsidP="00A64964">
            <w:pPr>
              <w:spacing w:line="360" w:lineRule="auto"/>
              <w:jc w:val="center"/>
              <w:rPr>
                <w:rFonts w:cstheme="minorHAnsi"/>
              </w:rPr>
            </w:pPr>
            <w:r w:rsidRPr="00550561">
              <w:rPr>
                <w:rFonts w:cstheme="minorHAnsi"/>
              </w:rPr>
              <w:t>11</w:t>
            </w:r>
          </w:p>
        </w:tc>
      </w:tr>
    </w:tbl>
    <w:p w14:paraId="2964F1DC" w14:textId="10F31BE8" w:rsidR="000110ED" w:rsidRPr="00550561" w:rsidRDefault="00467977" w:rsidP="00467977">
      <w:pPr>
        <w:spacing w:line="360" w:lineRule="auto"/>
        <w:rPr>
          <w:i/>
          <w:iCs/>
        </w:rPr>
      </w:pPr>
      <w:r w:rsidRPr="00550561">
        <w:rPr>
          <w:i/>
          <w:iCs/>
        </w:rPr>
        <w:t xml:space="preserve">* Opioid </w:t>
      </w:r>
      <w:r w:rsidR="00104325" w:rsidRPr="00550561">
        <w:rPr>
          <w:i/>
          <w:iCs/>
        </w:rPr>
        <w:t xml:space="preserve">strength grouping based on a published </w:t>
      </w:r>
      <w:r w:rsidR="00313155" w:rsidRPr="00550561">
        <w:rPr>
          <w:i/>
          <w:iCs/>
        </w:rPr>
        <w:t>categorisation</w:t>
      </w:r>
      <w:r w:rsidR="00B67399" w:rsidRPr="00550561">
        <w:rPr>
          <w:i/>
          <w:iCs/>
        </w:rPr>
        <w:t xml:space="preserve"> for prescribed analgesics in primary care</w:t>
      </w:r>
      <w:r w:rsidR="00313155" w:rsidRPr="00550561">
        <w:rPr>
          <w:i/>
          <w:iCs/>
          <w:vertAlign w:val="superscript"/>
        </w:rPr>
        <w:t>15</w:t>
      </w:r>
    </w:p>
    <w:p w14:paraId="739A3A83" w14:textId="539E5442" w:rsidR="00417593" w:rsidRPr="00550561" w:rsidRDefault="00417593" w:rsidP="00417593">
      <w:pPr>
        <w:spacing w:line="360" w:lineRule="auto"/>
        <w:rPr>
          <w:rFonts w:cstheme="minorHAnsi"/>
        </w:rPr>
      </w:pPr>
      <w:r w:rsidRPr="00550561">
        <w:lastRenderedPageBreak/>
        <w:t xml:space="preserve">The online discussion forum recruited </w:t>
      </w:r>
      <w:r w:rsidRPr="00550561">
        <w:rPr>
          <w:rFonts w:cstheme="minorHAnsi"/>
        </w:rPr>
        <w:t>69 participants, post</w:t>
      </w:r>
      <w:r w:rsidR="009D09DC" w:rsidRPr="00550561">
        <w:rPr>
          <w:rFonts w:cstheme="minorHAnsi"/>
        </w:rPr>
        <w:t>ing</w:t>
      </w:r>
      <w:r w:rsidRPr="00550561">
        <w:rPr>
          <w:rFonts w:cstheme="minorHAnsi"/>
        </w:rPr>
        <w:t xml:space="preserve"> 160 comments. As online discussion participants joined and </w:t>
      </w:r>
      <w:r w:rsidR="001A65A3" w:rsidRPr="00550561">
        <w:rPr>
          <w:rFonts w:cstheme="minorHAnsi"/>
        </w:rPr>
        <w:t>participated</w:t>
      </w:r>
      <w:r w:rsidRPr="00550561">
        <w:rPr>
          <w:rFonts w:cstheme="minorHAnsi"/>
        </w:rPr>
        <w:t xml:space="preserve"> anonymously, full participant </w:t>
      </w:r>
      <w:r w:rsidR="00EE1B56" w:rsidRPr="00550561">
        <w:rPr>
          <w:rFonts w:cstheme="minorHAnsi"/>
        </w:rPr>
        <w:t>demographics are</w:t>
      </w:r>
      <w:r w:rsidRPr="00550561">
        <w:rPr>
          <w:rFonts w:cstheme="minorHAnsi"/>
        </w:rPr>
        <w:t xml:space="preserve"> unavailable.</w:t>
      </w:r>
    </w:p>
    <w:p w14:paraId="2AA6BA7E" w14:textId="77777777" w:rsidR="00353227" w:rsidRPr="00550561" w:rsidRDefault="00353227" w:rsidP="00DA1234">
      <w:pPr>
        <w:spacing w:line="360" w:lineRule="auto"/>
        <w:rPr>
          <w:i/>
          <w:iCs/>
        </w:rPr>
      </w:pPr>
    </w:p>
    <w:p w14:paraId="7F3300D3" w14:textId="5100E6E5" w:rsidR="00DA1234" w:rsidRPr="00550561" w:rsidRDefault="00DA1234" w:rsidP="00DA1234">
      <w:pPr>
        <w:spacing w:line="360" w:lineRule="auto"/>
        <w:rPr>
          <w:i/>
          <w:iCs/>
        </w:rPr>
      </w:pPr>
      <w:r w:rsidRPr="00550561">
        <w:rPr>
          <w:i/>
          <w:iCs/>
        </w:rPr>
        <w:t>Experienced acceptability</w:t>
      </w:r>
      <w:r w:rsidR="00E75393" w:rsidRPr="00550561">
        <w:rPr>
          <w:i/>
          <w:iCs/>
        </w:rPr>
        <w:t xml:space="preserve"> </w:t>
      </w:r>
    </w:p>
    <w:p w14:paraId="4B7EA5D6" w14:textId="2848F1B7" w:rsidR="00EE11EB" w:rsidRPr="00550561" w:rsidRDefault="00DA1234" w:rsidP="009C3A86">
      <w:pPr>
        <w:spacing w:line="360" w:lineRule="auto"/>
      </w:pPr>
      <w:r w:rsidRPr="00550561">
        <w:t xml:space="preserve">Thirteen patients and 3 pharmacists from 3 UK general practices </w:t>
      </w:r>
      <w:r w:rsidR="001A65A3" w:rsidRPr="00550561">
        <w:t>participated</w:t>
      </w:r>
      <w:r w:rsidRPr="00550561">
        <w:t xml:space="preserve"> in IPT. (</w:t>
      </w:r>
      <w:r w:rsidR="00B87DFD" w:rsidRPr="00550561">
        <w:t>See Table 3 for demographics</w:t>
      </w:r>
      <w:r w:rsidRPr="00550561">
        <w:t xml:space="preserve">).  </w:t>
      </w:r>
      <w:r w:rsidR="00571877" w:rsidRPr="00550561">
        <w:t xml:space="preserve">Two </w:t>
      </w:r>
      <w:r w:rsidR="001B3C33" w:rsidRPr="00550561">
        <w:t>P</w:t>
      </w:r>
      <w:r w:rsidR="00571877" w:rsidRPr="00550561">
        <w:t>h</w:t>
      </w:r>
      <w:r w:rsidR="001B3C33" w:rsidRPr="00550561">
        <w:t>armacists</w:t>
      </w:r>
      <w:r w:rsidR="00571877" w:rsidRPr="00550561">
        <w:t xml:space="preserve"> (</w:t>
      </w:r>
      <w:r w:rsidR="00034C13" w:rsidRPr="00550561">
        <w:t xml:space="preserve">GP practices one and two, </w:t>
      </w:r>
      <w:r w:rsidR="00571877" w:rsidRPr="00550561">
        <w:t>both female)</w:t>
      </w:r>
      <w:r w:rsidR="00034C13" w:rsidRPr="00550561">
        <w:t xml:space="preserve"> were involved in</w:t>
      </w:r>
      <w:r w:rsidR="0007654B" w:rsidRPr="00550561">
        <w:t xml:space="preserve"> IPT</w:t>
      </w:r>
      <w:r w:rsidR="00034C13" w:rsidRPr="00550561">
        <w:t xml:space="preserve"> cycle</w:t>
      </w:r>
      <w:r w:rsidR="005F589B" w:rsidRPr="00550561">
        <w:t>s</w:t>
      </w:r>
      <w:r w:rsidR="00034C13" w:rsidRPr="00550561">
        <w:t xml:space="preserve"> one and two, with the third pharmacist (GP practice three, male)</w:t>
      </w:r>
      <w:r w:rsidR="0007654B" w:rsidRPr="00550561">
        <w:t xml:space="preserve"> involved in IPT cycle 3</w:t>
      </w:r>
      <w:r w:rsidR="00034C13" w:rsidRPr="00550561">
        <w:t xml:space="preserve">.  </w:t>
      </w:r>
      <w:r w:rsidR="0007654B" w:rsidRPr="00550561">
        <w:t>F</w:t>
      </w:r>
      <w:r w:rsidRPr="00550561">
        <w:t xml:space="preserve">ifteen </w:t>
      </w:r>
      <w:r w:rsidR="002E1C79" w:rsidRPr="00550561">
        <w:t>PROMPPT</w:t>
      </w:r>
      <w:r w:rsidRPr="00550561">
        <w:t xml:space="preserve"> reviews (13 initial and 2 follow-up) were observed, with the patient and pharmacist interview</w:t>
      </w:r>
      <w:r w:rsidR="006C5BC1" w:rsidRPr="00550561">
        <w:t>ed</w:t>
      </w:r>
      <w:r w:rsidRPr="00550561">
        <w:t xml:space="preserve"> following each consultation (patient interviews n=15</w:t>
      </w:r>
      <w:r w:rsidR="009C05D6" w:rsidRPr="00550561">
        <w:t xml:space="preserve"> (mean length 23mins)</w:t>
      </w:r>
      <w:r w:rsidRPr="00550561">
        <w:t>, pharmacist in</w:t>
      </w:r>
      <w:r w:rsidR="00145DF8" w:rsidRPr="00550561">
        <w:t>t</w:t>
      </w:r>
      <w:r w:rsidRPr="00550561">
        <w:t>erviews n=15</w:t>
      </w:r>
      <w:r w:rsidR="009C05D6" w:rsidRPr="00550561">
        <w:t xml:space="preserve"> (27mins)</w:t>
      </w:r>
      <w:r w:rsidRPr="00550561">
        <w:t xml:space="preserve">). </w:t>
      </w:r>
    </w:p>
    <w:p w14:paraId="282C4B92" w14:textId="6CAF88CB" w:rsidR="00F44D92" w:rsidRPr="006F4394" w:rsidRDefault="00F44D92" w:rsidP="00F44D92">
      <w:pPr>
        <w:pStyle w:val="Caption"/>
        <w:keepNext/>
        <w:rPr>
          <w:b/>
          <w:bCs/>
          <w:i w:val="0"/>
          <w:iCs w:val="0"/>
          <w:color w:val="auto"/>
          <w:sz w:val="22"/>
          <w:szCs w:val="22"/>
        </w:rPr>
      </w:pPr>
      <w:r w:rsidRPr="006F4394">
        <w:rPr>
          <w:b/>
          <w:bCs/>
          <w:i w:val="0"/>
          <w:iCs w:val="0"/>
          <w:color w:val="auto"/>
          <w:sz w:val="22"/>
          <w:szCs w:val="22"/>
        </w:rPr>
        <w:t xml:space="preserve">Table </w:t>
      </w:r>
      <w:r w:rsidRPr="006F4394">
        <w:rPr>
          <w:b/>
          <w:bCs/>
          <w:i w:val="0"/>
          <w:iCs w:val="0"/>
          <w:color w:val="auto"/>
          <w:sz w:val="22"/>
          <w:szCs w:val="22"/>
        </w:rPr>
        <w:fldChar w:fldCharType="begin"/>
      </w:r>
      <w:r w:rsidRPr="006F4394">
        <w:rPr>
          <w:b/>
          <w:bCs/>
          <w:i w:val="0"/>
          <w:iCs w:val="0"/>
          <w:color w:val="auto"/>
          <w:sz w:val="22"/>
          <w:szCs w:val="22"/>
        </w:rPr>
        <w:instrText xml:space="preserve"> SEQ Table \* ARABIC </w:instrText>
      </w:r>
      <w:r w:rsidRPr="006F4394">
        <w:rPr>
          <w:b/>
          <w:bCs/>
          <w:i w:val="0"/>
          <w:iCs w:val="0"/>
          <w:color w:val="auto"/>
          <w:sz w:val="22"/>
          <w:szCs w:val="22"/>
        </w:rPr>
        <w:fldChar w:fldCharType="separate"/>
      </w:r>
      <w:r w:rsidR="002274A6" w:rsidRPr="006F4394">
        <w:rPr>
          <w:b/>
          <w:bCs/>
          <w:i w:val="0"/>
          <w:iCs w:val="0"/>
          <w:color w:val="auto"/>
          <w:sz w:val="22"/>
          <w:szCs w:val="22"/>
        </w:rPr>
        <w:t>3</w:t>
      </w:r>
      <w:r w:rsidRPr="006F4394">
        <w:rPr>
          <w:b/>
          <w:bCs/>
          <w:i w:val="0"/>
          <w:iCs w:val="0"/>
          <w:color w:val="auto"/>
          <w:sz w:val="22"/>
          <w:szCs w:val="22"/>
        </w:rPr>
        <w:fldChar w:fldCharType="end"/>
      </w:r>
      <w:r w:rsidRPr="006F4394">
        <w:rPr>
          <w:b/>
          <w:bCs/>
          <w:i w:val="0"/>
          <w:iCs w:val="0"/>
          <w:color w:val="auto"/>
          <w:sz w:val="22"/>
          <w:szCs w:val="22"/>
        </w:rPr>
        <w:t xml:space="preserve">. </w:t>
      </w:r>
      <w:r w:rsidR="00D445F7" w:rsidRPr="006F4394">
        <w:rPr>
          <w:b/>
          <w:bCs/>
          <w:i w:val="0"/>
          <w:iCs w:val="0"/>
          <w:color w:val="auto"/>
          <w:sz w:val="22"/>
          <w:szCs w:val="22"/>
        </w:rPr>
        <w:t>I</w:t>
      </w:r>
      <w:r w:rsidR="009C3A86" w:rsidRPr="006F4394">
        <w:rPr>
          <w:b/>
          <w:bCs/>
          <w:i w:val="0"/>
          <w:iCs w:val="0"/>
          <w:color w:val="auto"/>
          <w:sz w:val="22"/>
          <w:szCs w:val="22"/>
        </w:rPr>
        <w:t>n-practice testing (IPT)</w:t>
      </w:r>
      <w:r w:rsidR="00AE409E" w:rsidRPr="006F4394">
        <w:rPr>
          <w:b/>
          <w:bCs/>
          <w:i w:val="0"/>
          <w:iCs w:val="0"/>
          <w:color w:val="auto"/>
          <w:sz w:val="22"/>
          <w:szCs w:val="22"/>
        </w:rPr>
        <w:t xml:space="preserve"> </w:t>
      </w:r>
      <w:r w:rsidRPr="006F4394">
        <w:rPr>
          <w:b/>
          <w:bCs/>
          <w:i w:val="0"/>
          <w:iCs w:val="0"/>
          <w:color w:val="auto"/>
          <w:sz w:val="22"/>
          <w:szCs w:val="22"/>
        </w:rPr>
        <w:t>participant characteristics</w:t>
      </w:r>
    </w:p>
    <w:tbl>
      <w:tblPr>
        <w:tblStyle w:val="TableGrid"/>
        <w:tblW w:w="7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926"/>
        <w:gridCol w:w="567"/>
        <w:gridCol w:w="567"/>
        <w:gridCol w:w="567"/>
        <w:gridCol w:w="997"/>
        <w:gridCol w:w="1418"/>
        <w:gridCol w:w="1134"/>
        <w:gridCol w:w="770"/>
      </w:tblGrid>
      <w:tr w:rsidR="00BA47A5" w:rsidRPr="00550561" w14:paraId="6E19B054" w14:textId="77777777" w:rsidTr="00FC766F">
        <w:trPr>
          <w:trHeight w:val="553"/>
        </w:trPr>
        <w:tc>
          <w:tcPr>
            <w:tcW w:w="7655" w:type="dxa"/>
            <w:gridSpan w:val="9"/>
            <w:tcBorders>
              <w:bottom w:val="single" w:sz="4" w:space="0" w:color="auto"/>
            </w:tcBorders>
            <w:vAlign w:val="bottom"/>
          </w:tcPr>
          <w:p w14:paraId="2A21CF47" w14:textId="0820CDC9" w:rsidR="00BA47A5" w:rsidRPr="00550561" w:rsidRDefault="00A65692">
            <w:pPr>
              <w:spacing w:line="360" w:lineRule="auto"/>
            </w:pPr>
            <w:r w:rsidRPr="00550561">
              <w:rPr>
                <w:rFonts w:cstheme="minorHAnsi"/>
                <w:b/>
                <w:bCs/>
              </w:rPr>
              <w:t xml:space="preserve">Patients </w:t>
            </w:r>
            <w:r w:rsidR="00BA47A5" w:rsidRPr="00550561">
              <w:rPr>
                <w:rFonts w:cstheme="minorHAnsi"/>
                <w:b/>
                <w:bCs/>
              </w:rPr>
              <w:t>(n=</w:t>
            </w:r>
            <w:r w:rsidR="009E293D" w:rsidRPr="00550561">
              <w:rPr>
                <w:rFonts w:cstheme="minorHAnsi"/>
                <w:b/>
                <w:bCs/>
              </w:rPr>
              <w:t>13</w:t>
            </w:r>
            <w:r w:rsidR="00BA47A5" w:rsidRPr="00550561">
              <w:rPr>
                <w:rFonts w:cstheme="minorHAnsi"/>
                <w:b/>
                <w:bCs/>
              </w:rPr>
              <w:t>)</w:t>
            </w:r>
          </w:p>
        </w:tc>
      </w:tr>
      <w:tr w:rsidR="00FC766F" w:rsidRPr="00550561" w14:paraId="4BDF259D" w14:textId="77777777" w:rsidTr="00FC766F">
        <w:tc>
          <w:tcPr>
            <w:tcW w:w="709" w:type="dxa"/>
            <w:vMerge w:val="restart"/>
            <w:tcBorders>
              <w:top w:val="single" w:sz="4" w:space="0" w:color="auto"/>
              <w:bottom w:val="single" w:sz="4" w:space="0" w:color="auto"/>
            </w:tcBorders>
            <w:vAlign w:val="center"/>
          </w:tcPr>
          <w:p w14:paraId="3EE4683C" w14:textId="78E5C7FA" w:rsidR="00FC766F" w:rsidRPr="00550561" w:rsidRDefault="00FC766F" w:rsidP="00C42941">
            <w:pPr>
              <w:spacing w:line="360" w:lineRule="auto"/>
              <w:jc w:val="center"/>
              <w:rPr>
                <w:b/>
                <w:bCs/>
              </w:rPr>
            </w:pPr>
            <w:r w:rsidRPr="00550561">
              <w:rPr>
                <w:b/>
                <w:bCs/>
              </w:rPr>
              <w:t>IPT Cycle</w:t>
            </w:r>
          </w:p>
        </w:tc>
        <w:tc>
          <w:tcPr>
            <w:tcW w:w="926" w:type="dxa"/>
            <w:vMerge w:val="restart"/>
            <w:tcBorders>
              <w:top w:val="single" w:sz="4" w:space="0" w:color="auto"/>
              <w:bottom w:val="single" w:sz="4" w:space="0" w:color="auto"/>
            </w:tcBorders>
            <w:vAlign w:val="center"/>
          </w:tcPr>
          <w:p w14:paraId="5B7F8B7B" w14:textId="38AD8740" w:rsidR="00FC766F" w:rsidRPr="00550561" w:rsidRDefault="00FC766F" w:rsidP="00C42941">
            <w:pPr>
              <w:spacing w:line="360" w:lineRule="auto"/>
              <w:jc w:val="center"/>
              <w:rPr>
                <w:b/>
                <w:bCs/>
              </w:rPr>
            </w:pPr>
            <w:r w:rsidRPr="00550561">
              <w:rPr>
                <w:b/>
                <w:bCs/>
              </w:rPr>
              <w:t>Gender</w:t>
            </w:r>
          </w:p>
        </w:tc>
        <w:tc>
          <w:tcPr>
            <w:tcW w:w="1701" w:type="dxa"/>
            <w:gridSpan w:val="3"/>
            <w:tcBorders>
              <w:top w:val="single" w:sz="4" w:space="0" w:color="auto"/>
              <w:bottom w:val="single" w:sz="4" w:space="0" w:color="auto"/>
            </w:tcBorders>
          </w:tcPr>
          <w:p w14:paraId="37580331" w14:textId="1314337B" w:rsidR="00FC766F" w:rsidRPr="00550561" w:rsidRDefault="00FC766F" w:rsidP="00C42941">
            <w:pPr>
              <w:spacing w:line="360" w:lineRule="auto"/>
              <w:jc w:val="center"/>
              <w:rPr>
                <w:b/>
                <w:bCs/>
              </w:rPr>
            </w:pPr>
            <w:r w:rsidRPr="00550561">
              <w:rPr>
                <w:b/>
                <w:bCs/>
              </w:rPr>
              <w:t>GP Practice</w:t>
            </w:r>
          </w:p>
        </w:tc>
        <w:tc>
          <w:tcPr>
            <w:tcW w:w="3549" w:type="dxa"/>
            <w:gridSpan w:val="3"/>
            <w:tcBorders>
              <w:top w:val="single" w:sz="4" w:space="0" w:color="auto"/>
              <w:bottom w:val="single" w:sz="4" w:space="0" w:color="auto"/>
            </w:tcBorders>
            <w:vAlign w:val="center"/>
          </w:tcPr>
          <w:p w14:paraId="439DE983" w14:textId="48299B5B" w:rsidR="00FC766F" w:rsidRPr="00550561" w:rsidRDefault="00FC766F" w:rsidP="00C42941">
            <w:pPr>
              <w:spacing w:line="360" w:lineRule="auto"/>
              <w:jc w:val="center"/>
              <w:rPr>
                <w:b/>
                <w:bCs/>
              </w:rPr>
            </w:pPr>
            <w:r w:rsidRPr="00550561">
              <w:rPr>
                <w:b/>
                <w:bCs/>
              </w:rPr>
              <w:t>Strength of opioid prescribed*</w:t>
            </w:r>
          </w:p>
        </w:tc>
        <w:tc>
          <w:tcPr>
            <w:tcW w:w="770" w:type="dxa"/>
            <w:vMerge w:val="restart"/>
            <w:tcBorders>
              <w:top w:val="single" w:sz="4" w:space="0" w:color="auto"/>
              <w:bottom w:val="single" w:sz="4" w:space="0" w:color="auto"/>
            </w:tcBorders>
            <w:vAlign w:val="center"/>
          </w:tcPr>
          <w:p w14:paraId="1C142514" w14:textId="4AA40B3B" w:rsidR="00FC766F" w:rsidRPr="00550561" w:rsidRDefault="00FC766F" w:rsidP="00C42941">
            <w:pPr>
              <w:spacing w:line="360" w:lineRule="auto"/>
              <w:jc w:val="center"/>
              <w:rPr>
                <w:b/>
                <w:bCs/>
              </w:rPr>
            </w:pPr>
            <w:r w:rsidRPr="00550561">
              <w:rPr>
                <w:b/>
                <w:bCs/>
              </w:rPr>
              <w:t>Total</w:t>
            </w:r>
          </w:p>
        </w:tc>
      </w:tr>
      <w:tr w:rsidR="00FC766F" w:rsidRPr="00550561" w14:paraId="3BA8FFDD" w14:textId="77777777" w:rsidTr="00FC766F">
        <w:tc>
          <w:tcPr>
            <w:tcW w:w="709" w:type="dxa"/>
            <w:vMerge/>
            <w:tcBorders>
              <w:bottom w:val="single" w:sz="4" w:space="0" w:color="auto"/>
            </w:tcBorders>
          </w:tcPr>
          <w:p w14:paraId="4AB2DE76" w14:textId="482E94A9" w:rsidR="00FC766F" w:rsidRPr="00550561" w:rsidRDefault="00FC766F" w:rsidP="00C42941">
            <w:pPr>
              <w:spacing w:line="360" w:lineRule="auto"/>
            </w:pPr>
          </w:p>
        </w:tc>
        <w:tc>
          <w:tcPr>
            <w:tcW w:w="926" w:type="dxa"/>
            <w:vMerge/>
            <w:tcBorders>
              <w:bottom w:val="single" w:sz="4" w:space="0" w:color="auto"/>
            </w:tcBorders>
          </w:tcPr>
          <w:p w14:paraId="4B0D3A52" w14:textId="7779A2C2" w:rsidR="00FC766F" w:rsidRPr="00550561" w:rsidRDefault="00FC766F" w:rsidP="00C42941">
            <w:pPr>
              <w:spacing w:line="360" w:lineRule="auto"/>
            </w:pPr>
          </w:p>
        </w:tc>
        <w:tc>
          <w:tcPr>
            <w:tcW w:w="567" w:type="dxa"/>
            <w:tcBorders>
              <w:top w:val="single" w:sz="4" w:space="0" w:color="auto"/>
              <w:bottom w:val="single" w:sz="4" w:space="0" w:color="auto"/>
            </w:tcBorders>
            <w:vAlign w:val="center"/>
          </w:tcPr>
          <w:p w14:paraId="2E588680" w14:textId="2E639464" w:rsidR="00FC766F" w:rsidRPr="00550561" w:rsidRDefault="00FC766F" w:rsidP="00C42941">
            <w:pPr>
              <w:spacing w:line="360" w:lineRule="auto"/>
              <w:jc w:val="center"/>
            </w:pPr>
            <w:r w:rsidRPr="00550561">
              <w:rPr>
                <w:b/>
                <w:bCs/>
              </w:rPr>
              <w:t>1</w:t>
            </w:r>
          </w:p>
        </w:tc>
        <w:tc>
          <w:tcPr>
            <w:tcW w:w="567" w:type="dxa"/>
            <w:tcBorders>
              <w:top w:val="single" w:sz="4" w:space="0" w:color="auto"/>
              <w:bottom w:val="single" w:sz="4" w:space="0" w:color="auto"/>
            </w:tcBorders>
            <w:vAlign w:val="center"/>
          </w:tcPr>
          <w:p w14:paraId="152CB30C" w14:textId="3D408749" w:rsidR="00FC766F" w:rsidRPr="00550561" w:rsidRDefault="00FC766F" w:rsidP="00C42941">
            <w:pPr>
              <w:spacing w:line="360" w:lineRule="auto"/>
              <w:jc w:val="center"/>
            </w:pPr>
            <w:r w:rsidRPr="00550561">
              <w:rPr>
                <w:b/>
                <w:bCs/>
              </w:rPr>
              <w:t>2</w:t>
            </w:r>
          </w:p>
        </w:tc>
        <w:tc>
          <w:tcPr>
            <w:tcW w:w="567" w:type="dxa"/>
            <w:tcBorders>
              <w:top w:val="single" w:sz="4" w:space="0" w:color="auto"/>
              <w:bottom w:val="single" w:sz="4" w:space="0" w:color="auto"/>
            </w:tcBorders>
            <w:vAlign w:val="center"/>
          </w:tcPr>
          <w:p w14:paraId="6EDD7EF7" w14:textId="6F92D5E1" w:rsidR="00FC766F" w:rsidRPr="00550561" w:rsidRDefault="00FC766F" w:rsidP="00C42941">
            <w:pPr>
              <w:spacing w:line="360" w:lineRule="auto"/>
              <w:jc w:val="center"/>
            </w:pPr>
            <w:r w:rsidRPr="00550561">
              <w:rPr>
                <w:b/>
                <w:bCs/>
              </w:rPr>
              <w:t>3</w:t>
            </w:r>
          </w:p>
        </w:tc>
        <w:tc>
          <w:tcPr>
            <w:tcW w:w="997" w:type="dxa"/>
            <w:tcBorders>
              <w:top w:val="single" w:sz="4" w:space="0" w:color="auto"/>
              <w:bottom w:val="single" w:sz="4" w:space="0" w:color="auto"/>
            </w:tcBorders>
            <w:vAlign w:val="center"/>
          </w:tcPr>
          <w:p w14:paraId="2556F70B" w14:textId="205D3F81" w:rsidR="00FC766F" w:rsidRPr="00550561" w:rsidRDefault="00FC766F" w:rsidP="00C42941">
            <w:pPr>
              <w:spacing w:line="360" w:lineRule="auto"/>
              <w:jc w:val="center"/>
              <w:rPr>
                <w:b/>
                <w:bCs/>
              </w:rPr>
            </w:pPr>
            <w:r w:rsidRPr="00550561">
              <w:rPr>
                <w:b/>
                <w:bCs/>
              </w:rPr>
              <w:t>Weak</w:t>
            </w:r>
          </w:p>
        </w:tc>
        <w:tc>
          <w:tcPr>
            <w:tcW w:w="1418" w:type="dxa"/>
            <w:tcBorders>
              <w:top w:val="single" w:sz="4" w:space="0" w:color="auto"/>
              <w:bottom w:val="single" w:sz="4" w:space="0" w:color="auto"/>
            </w:tcBorders>
            <w:vAlign w:val="center"/>
          </w:tcPr>
          <w:p w14:paraId="14501C91" w14:textId="48CC22E8" w:rsidR="00FC766F" w:rsidRPr="00550561" w:rsidRDefault="00FC766F" w:rsidP="00C42941">
            <w:pPr>
              <w:spacing w:line="360" w:lineRule="auto"/>
              <w:jc w:val="center"/>
              <w:rPr>
                <w:b/>
                <w:bCs/>
              </w:rPr>
            </w:pPr>
            <w:r w:rsidRPr="00550561">
              <w:rPr>
                <w:b/>
                <w:bCs/>
              </w:rPr>
              <w:t>Intermediate</w:t>
            </w:r>
          </w:p>
        </w:tc>
        <w:tc>
          <w:tcPr>
            <w:tcW w:w="1134" w:type="dxa"/>
            <w:tcBorders>
              <w:top w:val="single" w:sz="4" w:space="0" w:color="auto"/>
              <w:bottom w:val="single" w:sz="4" w:space="0" w:color="auto"/>
            </w:tcBorders>
            <w:vAlign w:val="center"/>
          </w:tcPr>
          <w:p w14:paraId="6064A9A9" w14:textId="063DE821" w:rsidR="00FC766F" w:rsidRPr="00550561" w:rsidRDefault="00FC766F" w:rsidP="00C42941">
            <w:pPr>
              <w:spacing w:line="360" w:lineRule="auto"/>
              <w:jc w:val="center"/>
              <w:rPr>
                <w:b/>
                <w:bCs/>
              </w:rPr>
            </w:pPr>
            <w:r w:rsidRPr="00550561">
              <w:rPr>
                <w:b/>
                <w:bCs/>
              </w:rPr>
              <w:t>Strong</w:t>
            </w:r>
          </w:p>
        </w:tc>
        <w:tc>
          <w:tcPr>
            <w:tcW w:w="770" w:type="dxa"/>
            <w:vMerge/>
            <w:tcBorders>
              <w:top w:val="single" w:sz="4" w:space="0" w:color="auto"/>
              <w:bottom w:val="single" w:sz="4" w:space="0" w:color="auto"/>
            </w:tcBorders>
          </w:tcPr>
          <w:p w14:paraId="10CDA113" w14:textId="02ED43EC" w:rsidR="00FC766F" w:rsidRPr="00550561" w:rsidRDefault="00FC766F" w:rsidP="00C42941">
            <w:pPr>
              <w:spacing w:line="360" w:lineRule="auto"/>
            </w:pPr>
          </w:p>
        </w:tc>
      </w:tr>
      <w:tr w:rsidR="00FC766F" w:rsidRPr="00550561" w14:paraId="0258FA68" w14:textId="77777777" w:rsidTr="006600F1">
        <w:tc>
          <w:tcPr>
            <w:tcW w:w="709" w:type="dxa"/>
            <w:vMerge w:val="restart"/>
            <w:tcBorders>
              <w:top w:val="single" w:sz="4" w:space="0" w:color="auto"/>
            </w:tcBorders>
            <w:vAlign w:val="center"/>
          </w:tcPr>
          <w:p w14:paraId="5D6C9055" w14:textId="004AFA42" w:rsidR="00FC766F" w:rsidRPr="00550561" w:rsidRDefault="00FC766F" w:rsidP="006600F1">
            <w:pPr>
              <w:spacing w:line="360" w:lineRule="auto"/>
              <w:jc w:val="center"/>
            </w:pPr>
            <w:r w:rsidRPr="00550561">
              <w:t>1</w:t>
            </w:r>
          </w:p>
        </w:tc>
        <w:tc>
          <w:tcPr>
            <w:tcW w:w="926" w:type="dxa"/>
            <w:tcBorders>
              <w:top w:val="single" w:sz="4" w:space="0" w:color="auto"/>
            </w:tcBorders>
            <w:vAlign w:val="center"/>
          </w:tcPr>
          <w:p w14:paraId="28E9FEEC" w14:textId="6D2536B4" w:rsidR="00FC766F" w:rsidRPr="00550561" w:rsidRDefault="00FC766F" w:rsidP="006600F1">
            <w:pPr>
              <w:spacing w:line="360" w:lineRule="auto"/>
              <w:jc w:val="center"/>
            </w:pPr>
            <w:r w:rsidRPr="00550561">
              <w:t>Male</w:t>
            </w:r>
          </w:p>
        </w:tc>
        <w:tc>
          <w:tcPr>
            <w:tcW w:w="567" w:type="dxa"/>
            <w:tcBorders>
              <w:top w:val="single" w:sz="4" w:space="0" w:color="auto"/>
            </w:tcBorders>
            <w:vAlign w:val="center"/>
          </w:tcPr>
          <w:p w14:paraId="507D918E" w14:textId="6F241B30" w:rsidR="00FC766F" w:rsidRPr="00550561" w:rsidRDefault="00FC766F" w:rsidP="006600F1">
            <w:pPr>
              <w:spacing w:line="360" w:lineRule="auto"/>
              <w:jc w:val="center"/>
            </w:pPr>
            <w:r w:rsidRPr="00550561">
              <w:t>1</w:t>
            </w:r>
          </w:p>
        </w:tc>
        <w:tc>
          <w:tcPr>
            <w:tcW w:w="567" w:type="dxa"/>
            <w:tcBorders>
              <w:top w:val="single" w:sz="4" w:space="0" w:color="auto"/>
            </w:tcBorders>
            <w:vAlign w:val="center"/>
          </w:tcPr>
          <w:p w14:paraId="7C45D025" w14:textId="5733E36B" w:rsidR="00FC766F" w:rsidRPr="00550561" w:rsidRDefault="00FC766F" w:rsidP="006600F1">
            <w:pPr>
              <w:spacing w:line="360" w:lineRule="auto"/>
              <w:jc w:val="center"/>
            </w:pPr>
            <w:r w:rsidRPr="00550561">
              <w:t>2</w:t>
            </w:r>
          </w:p>
        </w:tc>
        <w:tc>
          <w:tcPr>
            <w:tcW w:w="567" w:type="dxa"/>
            <w:tcBorders>
              <w:top w:val="single" w:sz="4" w:space="0" w:color="auto"/>
            </w:tcBorders>
            <w:vAlign w:val="center"/>
          </w:tcPr>
          <w:p w14:paraId="1D4F1A4C" w14:textId="7CA857C2" w:rsidR="00FC766F" w:rsidRPr="00550561" w:rsidRDefault="00FC766F" w:rsidP="006600F1">
            <w:pPr>
              <w:spacing w:line="360" w:lineRule="auto"/>
              <w:jc w:val="center"/>
            </w:pPr>
            <w:r w:rsidRPr="00550561">
              <w:t>-</w:t>
            </w:r>
          </w:p>
        </w:tc>
        <w:tc>
          <w:tcPr>
            <w:tcW w:w="997" w:type="dxa"/>
            <w:tcBorders>
              <w:top w:val="single" w:sz="4" w:space="0" w:color="auto"/>
            </w:tcBorders>
            <w:vAlign w:val="center"/>
          </w:tcPr>
          <w:p w14:paraId="02F02608" w14:textId="10DFDCE7" w:rsidR="00FC766F" w:rsidRPr="00550561" w:rsidRDefault="00FC766F" w:rsidP="006600F1">
            <w:pPr>
              <w:spacing w:line="360" w:lineRule="auto"/>
              <w:jc w:val="center"/>
            </w:pPr>
            <w:r w:rsidRPr="00550561">
              <w:t>1</w:t>
            </w:r>
          </w:p>
        </w:tc>
        <w:tc>
          <w:tcPr>
            <w:tcW w:w="1418" w:type="dxa"/>
            <w:tcBorders>
              <w:top w:val="single" w:sz="4" w:space="0" w:color="auto"/>
            </w:tcBorders>
            <w:vAlign w:val="center"/>
          </w:tcPr>
          <w:p w14:paraId="51EFAEB0" w14:textId="772A3346" w:rsidR="00FC766F" w:rsidRPr="00550561" w:rsidRDefault="00FC766F" w:rsidP="006600F1">
            <w:pPr>
              <w:spacing w:line="360" w:lineRule="auto"/>
              <w:jc w:val="center"/>
            </w:pPr>
            <w:r w:rsidRPr="00550561">
              <w:t>1</w:t>
            </w:r>
          </w:p>
        </w:tc>
        <w:tc>
          <w:tcPr>
            <w:tcW w:w="1134" w:type="dxa"/>
            <w:tcBorders>
              <w:top w:val="single" w:sz="4" w:space="0" w:color="auto"/>
            </w:tcBorders>
            <w:vAlign w:val="center"/>
          </w:tcPr>
          <w:p w14:paraId="730D6F1A" w14:textId="08816813" w:rsidR="00FC766F" w:rsidRPr="00550561" w:rsidRDefault="00FC766F" w:rsidP="006600F1">
            <w:pPr>
              <w:spacing w:line="360" w:lineRule="auto"/>
              <w:jc w:val="center"/>
            </w:pPr>
            <w:r w:rsidRPr="00550561">
              <w:t>1</w:t>
            </w:r>
          </w:p>
        </w:tc>
        <w:tc>
          <w:tcPr>
            <w:tcW w:w="770" w:type="dxa"/>
            <w:tcBorders>
              <w:top w:val="single" w:sz="4" w:space="0" w:color="auto"/>
            </w:tcBorders>
            <w:vAlign w:val="center"/>
          </w:tcPr>
          <w:p w14:paraId="656C2F21" w14:textId="43E9C39B" w:rsidR="00FC766F" w:rsidRPr="00550561" w:rsidRDefault="00FC766F" w:rsidP="006600F1">
            <w:pPr>
              <w:spacing w:line="360" w:lineRule="auto"/>
              <w:jc w:val="center"/>
              <w:rPr>
                <w:b/>
                <w:bCs/>
              </w:rPr>
            </w:pPr>
            <w:r w:rsidRPr="00550561">
              <w:rPr>
                <w:b/>
                <w:bCs/>
              </w:rPr>
              <w:t>3</w:t>
            </w:r>
          </w:p>
        </w:tc>
      </w:tr>
      <w:tr w:rsidR="00FC766F" w:rsidRPr="00550561" w14:paraId="4E18C385" w14:textId="77777777" w:rsidTr="006600F1">
        <w:tc>
          <w:tcPr>
            <w:tcW w:w="709" w:type="dxa"/>
            <w:vMerge/>
            <w:tcBorders>
              <w:bottom w:val="single" w:sz="4" w:space="0" w:color="auto"/>
            </w:tcBorders>
            <w:vAlign w:val="center"/>
          </w:tcPr>
          <w:p w14:paraId="2A8B0D19" w14:textId="77777777" w:rsidR="00FC766F" w:rsidRPr="00550561" w:rsidRDefault="00FC766F" w:rsidP="006600F1">
            <w:pPr>
              <w:spacing w:line="360" w:lineRule="auto"/>
              <w:jc w:val="center"/>
            </w:pPr>
          </w:p>
        </w:tc>
        <w:tc>
          <w:tcPr>
            <w:tcW w:w="926" w:type="dxa"/>
            <w:tcBorders>
              <w:bottom w:val="single" w:sz="4" w:space="0" w:color="auto"/>
            </w:tcBorders>
            <w:vAlign w:val="center"/>
          </w:tcPr>
          <w:p w14:paraId="33823D18" w14:textId="3DA66202" w:rsidR="00FC766F" w:rsidRPr="00550561" w:rsidRDefault="00FC766F" w:rsidP="006600F1">
            <w:pPr>
              <w:spacing w:line="360" w:lineRule="auto"/>
              <w:jc w:val="center"/>
            </w:pPr>
            <w:r w:rsidRPr="00550561">
              <w:t>Female</w:t>
            </w:r>
          </w:p>
        </w:tc>
        <w:tc>
          <w:tcPr>
            <w:tcW w:w="567" w:type="dxa"/>
            <w:tcBorders>
              <w:bottom w:val="single" w:sz="4" w:space="0" w:color="auto"/>
            </w:tcBorders>
            <w:vAlign w:val="center"/>
          </w:tcPr>
          <w:p w14:paraId="2D266EF8" w14:textId="613BB026" w:rsidR="00FC766F" w:rsidRPr="00550561" w:rsidRDefault="00FC766F" w:rsidP="006600F1">
            <w:pPr>
              <w:spacing w:line="360" w:lineRule="auto"/>
              <w:jc w:val="center"/>
            </w:pPr>
            <w:r w:rsidRPr="00550561">
              <w:t>1</w:t>
            </w:r>
          </w:p>
        </w:tc>
        <w:tc>
          <w:tcPr>
            <w:tcW w:w="567" w:type="dxa"/>
            <w:tcBorders>
              <w:bottom w:val="single" w:sz="4" w:space="0" w:color="auto"/>
            </w:tcBorders>
            <w:vAlign w:val="center"/>
          </w:tcPr>
          <w:p w14:paraId="367BDBF6" w14:textId="49E1999D" w:rsidR="00FC766F" w:rsidRPr="00550561" w:rsidRDefault="00FC766F" w:rsidP="006600F1">
            <w:pPr>
              <w:spacing w:line="360" w:lineRule="auto"/>
              <w:jc w:val="center"/>
            </w:pPr>
            <w:r w:rsidRPr="00550561">
              <w:t>-</w:t>
            </w:r>
          </w:p>
        </w:tc>
        <w:tc>
          <w:tcPr>
            <w:tcW w:w="567" w:type="dxa"/>
            <w:tcBorders>
              <w:bottom w:val="single" w:sz="4" w:space="0" w:color="auto"/>
            </w:tcBorders>
            <w:vAlign w:val="center"/>
          </w:tcPr>
          <w:p w14:paraId="48B24B3A" w14:textId="6ECF06E1" w:rsidR="00FC766F" w:rsidRPr="00550561" w:rsidRDefault="00FC766F" w:rsidP="006600F1">
            <w:pPr>
              <w:spacing w:line="360" w:lineRule="auto"/>
              <w:jc w:val="center"/>
            </w:pPr>
            <w:r w:rsidRPr="00550561">
              <w:t>-</w:t>
            </w:r>
          </w:p>
        </w:tc>
        <w:tc>
          <w:tcPr>
            <w:tcW w:w="997" w:type="dxa"/>
            <w:tcBorders>
              <w:bottom w:val="single" w:sz="4" w:space="0" w:color="auto"/>
            </w:tcBorders>
            <w:vAlign w:val="center"/>
          </w:tcPr>
          <w:p w14:paraId="7BB195DC" w14:textId="67826815" w:rsidR="00FC766F" w:rsidRPr="00550561" w:rsidRDefault="00FC766F" w:rsidP="006600F1">
            <w:pPr>
              <w:spacing w:line="360" w:lineRule="auto"/>
              <w:jc w:val="center"/>
            </w:pPr>
            <w:r w:rsidRPr="00550561">
              <w:t>1</w:t>
            </w:r>
          </w:p>
        </w:tc>
        <w:tc>
          <w:tcPr>
            <w:tcW w:w="1418" w:type="dxa"/>
            <w:tcBorders>
              <w:bottom w:val="single" w:sz="4" w:space="0" w:color="auto"/>
            </w:tcBorders>
            <w:vAlign w:val="center"/>
          </w:tcPr>
          <w:p w14:paraId="66CF1946" w14:textId="13BB5BBA" w:rsidR="00FC766F" w:rsidRPr="00550561" w:rsidRDefault="00FC766F" w:rsidP="006600F1">
            <w:pPr>
              <w:spacing w:line="360" w:lineRule="auto"/>
              <w:jc w:val="center"/>
            </w:pPr>
            <w:r w:rsidRPr="00550561">
              <w:t>-</w:t>
            </w:r>
          </w:p>
        </w:tc>
        <w:tc>
          <w:tcPr>
            <w:tcW w:w="1134" w:type="dxa"/>
            <w:tcBorders>
              <w:bottom w:val="single" w:sz="4" w:space="0" w:color="auto"/>
            </w:tcBorders>
            <w:vAlign w:val="center"/>
          </w:tcPr>
          <w:p w14:paraId="3209721D" w14:textId="15BA99E2" w:rsidR="00FC766F" w:rsidRPr="00550561" w:rsidRDefault="00FC766F" w:rsidP="006600F1">
            <w:pPr>
              <w:spacing w:line="360" w:lineRule="auto"/>
              <w:jc w:val="center"/>
            </w:pPr>
            <w:r w:rsidRPr="00550561">
              <w:t>-</w:t>
            </w:r>
          </w:p>
        </w:tc>
        <w:tc>
          <w:tcPr>
            <w:tcW w:w="770" w:type="dxa"/>
            <w:tcBorders>
              <w:bottom w:val="single" w:sz="4" w:space="0" w:color="auto"/>
            </w:tcBorders>
            <w:vAlign w:val="center"/>
          </w:tcPr>
          <w:p w14:paraId="2F6B9AA7" w14:textId="29EB30BA" w:rsidR="00FC766F" w:rsidRPr="00550561" w:rsidRDefault="00FC766F" w:rsidP="006600F1">
            <w:pPr>
              <w:spacing w:line="360" w:lineRule="auto"/>
              <w:jc w:val="center"/>
              <w:rPr>
                <w:b/>
                <w:bCs/>
              </w:rPr>
            </w:pPr>
            <w:r w:rsidRPr="00550561">
              <w:rPr>
                <w:b/>
                <w:bCs/>
              </w:rPr>
              <w:t>1</w:t>
            </w:r>
          </w:p>
        </w:tc>
      </w:tr>
      <w:tr w:rsidR="00FC766F" w:rsidRPr="00550561" w14:paraId="537CB02B" w14:textId="77777777" w:rsidTr="006600F1">
        <w:tc>
          <w:tcPr>
            <w:tcW w:w="709" w:type="dxa"/>
            <w:vMerge w:val="restart"/>
            <w:tcBorders>
              <w:top w:val="single" w:sz="4" w:space="0" w:color="auto"/>
            </w:tcBorders>
            <w:vAlign w:val="center"/>
          </w:tcPr>
          <w:p w14:paraId="5D77995D" w14:textId="22D23878" w:rsidR="00FC766F" w:rsidRPr="00550561" w:rsidRDefault="00FC766F" w:rsidP="006600F1">
            <w:pPr>
              <w:spacing w:line="360" w:lineRule="auto"/>
              <w:jc w:val="center"/>
            </w:pPr>
            <w:r w:rsidRPr="00550561">
              <w:t>2</w:t>
            </w:r>
          </w:p>
        </w:tc>
        <w:tc>
          <w:tcPr>
            <w:tcW w:w="926" w:type="dxa"/>
            <w:tcBorders>
              <w:top w:val="single" w:sz="4" w:space="0" w:color="auto"/>
            </w:tcBorders>
            <w:vAlign w:val="center"/>
          </w:tcPr>
          <w:p w14:paraId="50437DDE" w14:textId="40D04BF6" w:rsidR="00FC766F" w:rsidRPr="00550561" w:rsidRDefault="00FC766F" w:rsidP="006600F1">
            <w:pPr>
              <w:spacing w:line="360" w:lineRule="auto"/>
              <w:jc w:val="center"/>
            </w:pPr>
            <w:r w:rsidRPr="00550561">
              <w:t>Male</w:t>
            </w:r>
          </w:p>
        </w:tc>
        <w:tc>
          <w:tcPr>
            <w:tcW w:w="567" w:type="dxa"/>
            <w:tcBorders>
              <w:top w:val="single" w:sz="4" w:space="0" w:color="auto"/>
            </w:tcBorders>
            <w:vAlign w:val="center"/>
          </w:tcPr>
          <w:p w14:paraId="3B4EB0FD" w14:textId="1747E6B1" w:rsidR="00FC766F" w:rsidRPr="00550561" w:rsidRDefault="00FC766F" w:rsidP="006600F1">
            <w:pPr>
              <w:spacing w:line="360" w:lineRule="auto"/>
              <w:jc w:val="center"/>
            </w:pPr>
            <w:r w:rsidRPr="00550561">
              <w:t>1</w:t>
            </w:r>
          </w:p>
        </w:tc>
        <w:tc>
          <w:tcPr>
            <w:tcW w:w="567" w:type="dxa"/>
            <w:tcBorders>
              <w:top w:val="single" w:sz="4" w:space="0" w:color="auto"/>
            </w:tcBorders>
            <w:vAlign w:val="center"/>
          </w:tcPr>
          <w:p w14:paraId="54E8A044" w14:textId="3C69DF01" w:rsidR="00FC766F" w:rsidRPr="00550561" w:rsidRDefault="00FC766F" w:rsidP="006600F1">
            <w:pPr>
              <w:spacing w:line="360" w:lineRule="auto"/>
              <w:jc w:val="center"/>
            </w:pPr>
            <w:r w:rsidRPr="00550561">
              <w:t>1</w:t>
            </w:r>
          </w:p>
        </w:tc>
        <w:tc>
          <w:tcPr>
            <w:tcW w:w="567" w:type="dxa"/>
            <w:tcBorders>
              <w:top w:val="single" w:sz="4" w:space="0" w:color="auto"/>
            </w:tcBorders>
            <w:vAlign w:val="center"/>
          </w:tcPr>
          <w:p w14:paraId="7B59400B" w14:textId="449D06E0" w:rsidR="00FC766F" w:rsidRPr="00550561" w:rsidRDefault="00FC766F" w:rsidP="006600F1">
            <w:pPr>
              <w:spacing w:line="360" w:lineRule="auto"/>
              <w:jc w:val="center"/>
            </w:pPr>
            <w:r w:rsidRPr="00550561">
              <w:t>-</w:t>
            </w:r>
          </w:p>
        </w:tc>
        <w:tc>
          <w:tcPr>
            <w:tcW w:w="997" w:type="dxa"/>
            <w:tcBorders>
              <w:top w:val="single" w:sz="4" w:space="0" w:color="auto"/>
            </w:tcBorders>
            <w:vAlign w:val="center"/>
          </w:tcPr>
          <w:p w14:paraId="71A874E7" w14:textId="32AE2621" w:rsidR="00FC766F" w:rsidRPr="00550561" w:rsidRDefault="00FC766F" w:rsidP="006600F1">
            <w:pPr>
              <w:spacing w:line="360" w:lineRule="auto"/>
              <w:jc w:val="center"/>
            </w:pPr>
            <w:r w:rsidRPr="00550561">
              <w:t>-</w:t>
            </w:r>
          </w:p>
        </w:tc>
        <w:tc>
          <w:tcPr>
            <w:tcW w:w="1418" w:type="dxa"/>
            <w:tcBorders>
              <w:top w:val="single" w:sz="4" w:space="0" w:color="auto"/>
            </w:tcBorders>
            <w:vAlign w:val="center"/>
          </w:tcPr>
          <w:p w14:paraId="6699B947" w14:textId="72983E4D" w:rsidR="00FC766F" w:rsidRPr="00550561" w:rsidRDefault="00FC766F" w:rsidP="006600F1">
            <w:pPr>
              <w:spacing w:line="360" w:lineRule="auto"/>
              <w:jc w:val="center"/>
            </w:pPr>
            <w:r w:rsidRPr="00550561">
              <w:t>1</w:t>
            </w:r>
          </w:p>
        </w:tc>
        <w:tc>
          <w:tcPr>
            <w:tcW w:w="1134" w:type="dxa"/>
            <w:tcBorders>
              <w:top w:val="single" w:sz="4" w:space="0" w:color="auto"/>
            </w:tcBorders>
            <w:vAlign w:val="center"/>
          </w:tcPr>
          <w:p w14:paraId="3265C045" w14:textId="7E753C53" w:rsidR="00FC766F" w:rsidRPr="00550561" w:rsidRDefault="00FC766F" w:rsidP="006600F1">
            <w:pPr>
              <w:spacing w:line="360" w:lineRule="auto"/>
              <w:jc w:val="center"/>
            </w:pPr>
            <w:r w:rsidRPr="00550561">
              <w:t>1</w:t>
            </w:r>
          </w:p>
        </w:tc>
        <w:tc>
          <w:tcPr>
            <w:tcW w:w="770" w:type="dxa"/>
            <w:tcBorders>
              <w:top w:val="single" w:sz="4" w:space="0" w:color="auto"/>
            </w:tcBorders>
            <w:vAlign w:val="center"/>
          </w:tcPr>
          <w:p w14:paraId="048DEAFD" w14:textId="2B5522AD" w:rsidR="00FC766F" w:rsidRPr="00550561" w:rsidRDefault="00FC766F" w:rsidP="006600F1">
            <w:pPr>
              <w:spacing w:line="360" w:lineRule="auto"/>
              <w:jc w:val="center"/>
              <w:rPr>
                <w:b/>
                <w:bCs/>
              </w:rPr>
            </w:pPr>
            <w:r w:rsidRPr="00550561">
              <w:rPr>
                <w:b/>
                <w:bCs/>
              </w:rPr>
              <w:t>2</w:t>
            </w:r>
          </w:p>
        </w:tc>
      </w:tr>
      <w:tr w:rsidR="00FC766F" w:rsidRPr="00550561" w14:paraId="6FB0A5DB" w14:textId="77777777" w:rsidTr="006600F1">
        <w:tc>
          <w:tcPr>
            <w:tcW w:w="709" w:type="dxa"/>
            <w:vMerge/>
            <w:tcBorders>
              <w:bottom w:val="single" w:sz="4" w:space="0" w:color="auto"/>
            </w:tcBorders>
            <w:vAlign w:val="center"/>
          </w:tcPr>
          <w:p w14:paraId="4DD5962C" w14:textId="77777777" w:rsidR="00FC766F" w:rsidRPr="00550561" w:rsidRDefault="00FC766F" w:rsidP="006600F1">
            <w:pPr>
              <w:spacing w:line="360" w:lineRule="auto"/>
              <w:jc w:val="center"/>
            </w:pPr>
          </w:p>
        </w:tc>
        <w:tc>
          <w:tcPr>
            <w:tcW w:w="926" w:type="dxa"/>
            <w:tcBorders>
              <w:bottom w:val="single" w:sz="4" w:space="0" w:color="auto"/>
            </w:tcBorders>
            <w:vAlign w:val="center"/>
          </w:tcPr>
          <w:p w14:paraId="15EEF0CD" w14:textId="11FEF469" w:rsidR="00FC766F" w:rsidRPr="00550561" w:rsidRDefault="00FC766F" w:rsidP="006600F1">
            <w:pPr>
              <w:spacing w:line="360" w:lineRule="auto"/>
              <w:jc w:val="center"/>
            </w:pPr>
            <w:r w:rsidRPr="00550561">
              <w:t>Female</w:t>
            </w:r>
          </w:p>
        </w:tc>
        <w:tc>
          <w:tcPr>
            <w:tcW w:w="567" w:type="dxa"/>
            <w:tcBorders>
              <w:bottom w:val="single" w:sz="4" w:space="0" w:color="auto"/>
            </w:tcBorders>
            <w:vAlign w:val="center"/>
          </w:tcPr>
          <w:p w14:paraId="2FB5D3F9" w14:textId="571D8D39" w:rsidR="00FC766F" w:rsidRPr="00550561" w:rsidRDefault="00FC766F" w:rsidP="006600F1">
            <w:pPr>
              <w:spacing w:line="360" w:lineRule="auto"/>
              <w:jc w:val="center"/>
            </w:pPr>
            <w:r w:rsidRPr="00550561">
              <w:t>1</w:t>
            </w:r>
          </w:p>
        </w:tc>
        <w:tc>
          <w:tcPr>
            <w:tcW w:w="567" w:type="dxa"/>
            <w:tcBorders>
              <w:bottom w:val="single" w:sz="4" w:space="0" w:color="auto"/>
            </w:tcBorders>
            <w:vAlign w:val="center"/>
          </w:tcPr>
          <w:p w14:paraId="6D91BE09" w14:textId="23BFB959" w:rsidR="00FC766F" w:rsidRPr="00550561" w:rsidRDefault="00FC766F" w:rsidP="006600F1">
            <w:pPr>
              <w:spacing w:line="360" w:lineRule="auto"/>
              <w:jc w:val="center"/>
            </w:pPr>
            <w:r w:rsidRPr="00550561">
              <w:t>2</w:t>
            </w:r>
          </w:p>
        </w:tc>
        <w:tc>
          <w:tcPr>
            <w:tcW w:w="567" w:type="dxa"/>
            <w:tcBorders>
              <w:bottom w:val="single" w:sz="4" w:space="0" w:color="auto"/>
            </w:tcBorders>
            <w:vAlign w:val="center"/>
          </w:tcPr>
          <w:p w14:paraId="0B346386" w14:textId="0D36458E" w:rsidR="00FC766F" w:rsidRPr="00550561" w:rsidRDefault="00FC766F" w:rsidP="006600F1">
            <w:pPr>
              <w:spacing w:line="360" w:lineRule="auto"/>
              <w:jc w:val="center"/>
            </w:pPr>
            <w:r w:rsidRPr="00550561">
              <w:t>-</w:t>
            </w:r>
          </w:p>
        </w:tc>
        <w:tc>
          <w:tcPr>
            <w:tcW w:w="997" w:type="dxa"/>
            <w:tcBorders>
              <w:bottom w:val="single" w:sz="4" w:space="0" w:color="auto"/>
            </w:tcBorders>
            <w:vAlign w:val="center"/>
          </w:tcPr>
          <w:p w14:paraId="1C7E011F" w14:textId="559AFD71" w:rsidR="00FC766F" w:rsidRPr="00550561" w:rsidRDefault="00FC766F" w:rsidP="006600F1">
            <w:pPr>
              <w:spacing w:line="360" w:lineRule="auto"/>
              <w:jc w:val="center"/>
            </w:pPr>
            <w:r w:rsidRPr="00550561">
              <w:t>2</w:t>
            </w:r>
          </w:p>
        </w:tc>
        <w:tc>
          <w:tcPr>
            <w:tcW w:w="1418" w:type="dxa"/>
            <w:tcBorders>
              <w:bottom w:val="single" w:sz="4" w:space="0" w:color="auto"/>
            </w:tcBorders>
            <w:vAlign w:val="center"/>
          </w:tcPr>
          <w:p w14:paraId="28FDD55C" w14:textId="5DF98E36" w:rsidR="00FC766F" w:rsidRPr="00550561" w:rsidRDefault="00FC766F" w:rsidP="006600F1">
            <w:pPr>
              <w:spacing w:line="360" w:lineRule="auto"/>
              <w:jc w:val="center"/>
            </w:pPr>
            <w:r w:rsidRPr="00550561">
              <w:t>-</w:t>
            </w:r>
          </w:p>
        </w:tc>
        <w:tc>
          <w:tcPr>
            <w:tcW w:w="1134" w:type="dxa"/>
            <w:tcBorders>
              <w:bottom w:val="single" w:sz="4" w:space="0" w:color="auto"/>
            </w:tcBorders>
            <w:vAlign w:val="center"/>
          </w:tcPr>
          <w:p w14:paraId="2CEEEEC2" w14:textId="71B0B0CF" w:rsidR="00FC766F" w:rsidRPr="00550561" w:rsidRDefault="00FC766F" w:rsidP="006600F1">
            <w:pPr>
              <w:spacing w:line="360" w:lineRule="auto"/>
              <w:jc w:val="center"/>
            </w:pPr>
            <w:r w:rsidRPr="00550561">
              <w:t>1</w:t>
            </w:r>
          </w:p>
        </w:tc>
        <w:tc>
          <w:tcPr>
            <w:tcW w:w="770" w:type="dxa"/>
            <w:tcBorders>
              <w:bottom w:val="single" w:sz="4" w:space="0" w:color="auto"/>
            </w:tcBorders>
            <w:vAlign w:val="center"/>
          </w:tcPr>
          <w:p w14:paraId="654A5520" w14:textId="4325EB76" w:rsidR="00FC766F" w:rsidRPr="00550561" w:rsidRDefault="00FC766F" w:rsidP="006600F1">
            <w:pPr>
              <w:spacing w:line="360" w:lineRule="auto"/>
              <w:jc w:val="center"/>
              <w:rPr>
                <w:b/>
                <w:bCs/>
              </w:rPr>
            </w:pPr>
            <w:r w:rsidRPr="00550561">
              <w:rPr>
                <w:b/>
                <w:bCs/>
              </w:rPr>
              <w:t>3</w:t>
            </w:r>
          </w:p>
        </w:tc>
      </w:tr>
      <w:tr w:rsidR="00FC766F" w:rsidRPr="00550561" w14:paraId="4BA816FE" w14:textId="77777777" w:rsidTr="006600F1">
        <w:tc>
          <w:tcPr>
            <w:tcW w:w="709" w:type="dxa"/>
            <w:vMerge w:val="restart"/>
            <w:tcBorders>
              <w:top w:val="single" w:sz="4" w:space="0" w:color="auto"/>
            </w:tcBorders>
            <w:vAlign w:val="center"/>
          </w:tcPr>
          <w:p w14:paraId="1C9EC75E" w14:textId="401F4F4F" w:rsidR="00FC766F" w:rsidRPr="00550561" w:rsidRDefault="00FC766F" w:rsidP="006600F1">
            <w:pPr>
              <w:spacing w:line="360" w:lineRule="auto"/>
              <w:jc w:val="center"/>
            </w:pPr>
            <w:r w:rsidRPr="00550561">
              <w:t>3</w:t>
            </w:r>
          </w:p>
        </w:tc>
        <w:tc>
          <w:tcPr>
            <w:tcW w:w="926" w:type="dxa"/>
            <w:tcBorders>
              <w:top w:val="single" w:sz="4" w:space="0" w:color="auto"/>
            </w:tcBorders>
            <w:vAlign w:val="center"/>
          </w:tcPr>
          <w:p w14:paraId="12531A06" w14:textId="20DF228A" w:rsidR="00FC766F" w:rsidRPr="00550561" w:rsidRDefault="00FC766F" w:rsidP="006600F1">
            <w:pPr>
              <w:spacing w:line="360" w:lineRule="auto"/>
              <w:jc w:val="center"/>
            </w:pPr>
            <w:r w:rsidRPr="00550561">
              <w:t>Male</w:t>
            </w:r>
          </w:p>
        </w:tc>
        <w:tc>
          <w:tcPr>
            <w:tcW w:w="567" w:type="dxa"/>
            <w:tcBorders>
              <w:top w:val="single" w:sz="4" w:space="0" w:color="auto"/>
            </w:tcBorders>
            <w:vAlign w:val="center"/>
          </w:tcPr>
          <w:p w14:paraId="54136729" w14:textId="7617113B" w:rsidR="00FC766F" w:rsidRPr="00550561" w:rsidRDefault="00FC766F" w:rsidP="006600F1">
            <w:pPr>
              <w:spacing w:line="360" w:lineRule="auto"/>
              <w:jc w:val="center"/>
            </w:pPr>
            <w:r w:rsidRPr="00550561">
              <w:t>-</w:t>
            </w:r>
          </w:p>
        </w:tc>
        <w:tc>
          <w:tcPr>
            <w:tcW w:w="567" w:type="dxa"/>
            <w:tcBorders>
              <w:top w:val="single" w:sz="4" w:space="0" w:color="auto"/>
            </w:tcBorders>
            <w:vAlign w:val="center"/>
          </w:tcPr>
          <w:p w14:paraId="07696B29" w14:textId="6DFCEA8F" w:rsidR="00FC766F" w:rsidRPr="00550561" w:rsidRDefault="00FC766F" w:rsidP="006600F1">
            <w:pPr>
              <w:spacing w:line="360" w:lineRule="auto"/>
              <w:jc w:val="center"/>
            </w:pPr>
            <w:r w:rsidRPr="00550561">
              <w:t>-</w:t>
            </w:r>
          </w:p>
        </w:tc>
        <w:tc>
          <w:tcPr>
            <w:tcW w:w="567" w:type="dxa"/>
            <w:tcBorders>
              <w:top w:val="single" w:sz="4" w:space="0" w:color="auto"/>
            </w:tcBorders>
            <w:vAlign w:val="center"/>
          </w:tcPr>
          <w:p w14:paraId="7240C082" w14:textId="1ABF5FF8" w:rsidR="00FC766F" w:rsidRPr="00550561" w:rsidRDefault="00FC766F" w:rsidP="006600F1">
            <w:pPr>
              <w:spacing w:line="360" w:lineRule="auto"/>
              <w:jc w:val="center"/>
            </w:pPr>
            <w:r w:rsidRPr="00550561">
              <w:t>1</w:t>
            </w:r>
          </w:p>
        </w:tc>
        <w:tc>
          <w:tcPr>
            <w:tcW w:w="997" w:type="dxa"/>
            <w:tcBorders>
              <w:top w:val="single" w:sz="4" w:space="0" w:color="auto"/>
            </w:tcBorders>
            <w:vAlign w:val="center"/>
          </w:tcPr>
          <w:p w14:paraId="1677A6A1" w14:textId="49D19FBC" w:rsidR="00FC766F" w:rsidRPr="00550561" w:rsidRDefault="00FC766F" w:rsidP="006600F1">
            <w:pPr>
              <w:spacing w:line="360" w:lineRule="auto"/>
              <w:jc w:val="center"/>
            </w:pPr>
            <w:r w:rsidRPr="00550561">
              <w:t>-</w:t>
            </w:r>
          </w:p>
        </w:tc>
        <w:tc>
          <w:tcPr>
            <w:tcW w:w="1418" w:type="dxa"/>
            <w:tcBorders>
              <w:top w:val="single" w:sz="4" w:space="0" w:color="auto"/>
            </w:tcBorders>
            <w:vAlign w:val="center"/>
          </w:tcPr>
          <w:p w14:paraId="07403154" w14:textId="12C4674B" w:rsidR="00FC766F" w:rsidRPr="00550561" w:rsidRDefault="00FC766F" w:rsidP="006600F1">
            <w:pPr>
              <w:spacing w:line="360" w:lineRule="auto"/>
              <w:jc w:val="center"/>
            </w:pPr>
            <w:r w:rsidRPr="00550561">
              <w:t>1</w:t>
            </w:r>
          </w:p>
        </w:tc>
        <w:tc>
          <w:tcPr>
            <w:tcW w:w="1134" w:type="dxa"/>
            <w:tcBorders>
              <w:top w:val="single" w:sz="4" w:space="0" w:color="auto"/>
            </w:tcBorders>
            <w:vAlign w:val="center"/>
          </w:tcPr>
          <w:p w14:paraId="44B117E4" w14:textId="09E9BB47" w:rsidR="00FC766F" w:rsidRPr="00550561" w:rsidRDefault="00FC766F" w:rsidP="006600F1">
            <w:pPr>
              <w:spacing w:line="360" w:lineRule="auto"/>
              <w:jc w:val="center"/>
            </w:pPr>
            <w:r w:rsidRPr="00550561">
              <w:t>-</w:t>
            </w:r>
          </w:p>
        </w:tc>
        <w:tc>
          <w:tcPr>
            <w:tcW w:w="770" w:type="dxa"/>
            <w:tcBorders>
              <w:top w:val="single" w:sz="4" w:space="0" w:color="auto"/>
            </w:tcBorders>
            <w:vAlign w:val="center"/>
          </w:tcPr>
          <w:p w14:paraId="58EE5E64" w14:textId="1AE4486A" w:rsidR="00FC766F" w:rsidRPr="00550561" w:rsidRDefault="00FC766F" w:rsidP="006600F1">
            <w:pPr>
              <w:spacing w:line="360" w:lineRule="auto"/>
              <w:jc w:val="center"/>
              <w:rPr>
                <w:b/>
                <w:bCs/>
              </w:rPr>
            </w:pPr>
            <w:r w:rsidRPr="00550561">
              <w:rPr>
                <w:b/>
                <w:bCs/>
              </w:rPr>
              <w:t>1</w:t>
            </w:r>
          </w:p>
        </w:tc>
      </w:tr>
      <w:tr w:rsidR="00FC766F" w:rsidRPr="00550561" w14:paraId="134B49EB" w14:textId="77777777" w:rsidTr="006600F1">
        <w:tc>
          <w:tcPr>
            <w:tcW w:w="709" w:type="dxa"/>
            <w:vMerge/>
            <w:tcBorders>
              <w:bottom w:val="single" w:sz="4" w:space="0" w:color="auto"/>
            </w:tcBorders>
            <w:vAlign w:val="center"/>
          </w:tcPr>
          <w:p w14:paraId="6F378167" w14:textId="77777777" w:rsidR="00FC766F" w:rsidRPr="00550561" w:rsidRDefault="00FC766F" w:rsidP="006600F1">
            <w:pPr>
              <w:spacing w:line="360" w:lineRule="auto"/>
              <w:jc w:val="center"/>
            </w:pPr>
          </w:p>
        </w:tc>
        <w:tc>
          <w:tcPr>
            <w:tcW w:w="926" w:type="dxa"/>
            <w:tcBorders>
              <w:bottom w:val="single" w:sz="4" w:space="0" w:color="auto"/>
            </w:tcBorders>
            <w:vAlign w:val="center"/>
          </w:tcPr>
          <w:p w14:paraId="3F6C3851" w14:textId="2B3CC666" w:rsidR="00FC766F" w:rsidRPr="00550561" w:rsidRDefault="00FC766F" w:rsidP="006600F1">
            <w:pPr>
              <w:spacing w:line="360" w:lineRule="auto"/>
              <w:jc w:val="center"/>
            </w:pPr>
            <w:r w:rsidRPr="00550561">
              <w:t>Female</w:t>
            </w:r>
          </w:p>
        </w:tc>
        <w:tc>
          <w:tcPr>
            <w:tcW w:w="567" w:type="dxa"/>
            <w:tcBorders>
              <w:bottom w:val="single" w:sz="4" w:space="0" w:color="auto"/>
            </w:tcBorders>
            <w:vAlign w:val="center"/>
          </w:tcPr>
          <w:p w14:paraId="1CF7DF47" w14:textId="3AD175DA" w:rsidR="00FC766F" w:rsidRPr="00550561" w:rsidRDefault="00FC766F" w:rsidP="006600F1">
            <w:pPr>
              <w:spacing w:line="360" w:lineRule="auto"/>
              <w:jc w:val="center"/>
            </w:pPr>
            <w:r w:rsidRPr="00550561">
              <w:t>-</w:t>
            </w:r>
          </w:p>
        </w:tc>
        <w:tc>
          <w:tcPr>
            <w:tcW w:w="567" w:type="dxa"/>
            <w:tcBorders>
              <w:bottom w:val="single" w:sz="4" w:space="0" w:color="auto"/>
            </w:tcBorders>
            <w:vAlign w:val="center"/>
          </w:tcPr>
          <w:p w14:paraId="6C3D5E8A" w14:textId="10A2EDFC" w:rsidR="00FC766F" w:rsidRPr="00550561" w:rsidRDefault="00FC766F" w:rsidP="006600F1">
            <w:pPr>
              <w:spacing w:line="360" w:lineRule="auto"/>
              <w:jc w:val="center"/>
            </w:pPr>
            <w:r w:rsidRPr="00550561">
              <w:t>-</w:t>
            </w:r>
          </w:p>
        </w:tc>
        <w:tc>
          <w:tcPr>
            <w:tcW w:w="567" w:type="dxa"/>
            <w:tcBorders>
              <w:bottom w:val="single" w:sz="4" w:space="0" w:color="auto"/>
            </w:tcBorders>
            <w:vAlign w:val="center"/>
          </w:tcPr>
          <w:p w14:paraId="0960B35F" w14:textId="5590A274" w:rsidR="00FC766F" w:rsidRPr="00550561" w:rsidRDefault="00FC766F" w:rsidP="006600F1">
            <w:pPr>
              <w:spacing w:line="360" w:lineRule="auto"/>
              <w:jc w:val="center"/>
            </w:pPr>
            <w:r w:rsidRPr="00550561">
              <w:t>3</w:t>
            </w:r>
          </w:p>
        </w:tc>
        <w:tc>
          <w:tcPr>
            <w:tcW w:w="997" w:type="dxa"/>
            <w:tcBorders>
              <w:bottom w:val="single" w:sz="4" w:space="0" w:color="auto"/>
            </w:tcBorders>
            <w:vAlign w:val="center"/>
          </w:tcPr>
          <w:p w14:paraId="1F850059" w14:textId="788B4AE0" w:rsidR="00FC766F" w:rsidRPr="00550561" w:rsidRDefault="00FC766F" w:rsidP="006600F1">
            <w:pPr>
              <w:spacing w:line="360" w:lineRule="auto"/>
              <w:jc w:val="center"/>
            </w:pPr>
            <w:r w:rsidRPr="00550561">
              <w:t>3</w:t>
            </w:r>
          </w:p>
        </w:tc>
        <w:tc>
          <w:tcPr>
            <w:tcW w:w="1418" w:type="dxa"/>
            <w:tcBorders>
              <w:bottom w:val="single" w:sz="4" w:space="0" w:color="auto"/>
            </w:tcBorders>
            <w:vAlign w:val="center"/>
          </w:tcPr>
          <w:p w14:paraId="4C6B0BC1" w14:textId="471CCA95" w:rsidR="00FC766F" w:rsidRPr="00550561" w:rsidRDefault="00FC766F" w:rsidP="006600F1">
            <w:pPr>
              <w:spacing w:line="360" w:lineRule="auto"/>
              <w:jc w:val="center"/>
            </w:pPr>
            <w:r w:rsidRPr="00550561">
              <w:t>-</w:t>
            </w:r>
          </w:p>
        </w:tc>
        <w:tc>
          <w:tcPr>
            <w:tcW w:w="1134" w:type="dxa"/>
            <w:tcBorders>
              <w:bottom w:val="single" w:sz="4" w:space="0" w:color="auto"/>
            </w:tcBorders>
            <w:vAlign w:val="center"/>
          </w:tcPr>
          <w:p w14:paraId="41AED882" w14:textId="66C24D4F" w:rsidR="00FC766F" w:rsidRPr="00550561" w:rsidRDefault="00FC766F" w:rsidP="006600F1">
            <w:pPr>
              <w:spacing w:line="360" w:lineRule="auto"/>
              <w:jc w:val="center"/>
            </w:pPr>
            <w:r w:rsidRPr="00550561">
              <w:t>-</w:t>
            </w:r>
          </w:p>
        </w:tc>
        <w:tc>
          <w:tcPr>
            <w:tcW w:w="770" w:type="dxa"/>
            <w:tcBorders>
              <w:bottom w:val="single" w:sz="4" w:space="0" w:color="auto"/>
            </w:tcBorders>
            <w:vAlign w:val="center"/>
          </w:tcPr>
          <w:p w14:paraId="6BB4D48E" w14:textId="70D4793E" w:rsidR="00FC766F" w:rsidRPr="00550561" w:rsidRDefault="00FC766F" w:rsidP="006600F1">
            <w:pPr>
              <w:spacing w:line="360" w:lineRule="auto"/>
              <w:jc w:val="center"/>
              <w:rPr>
                <w:b/>
                <w:bCs/>
              </w:rPr>
            </w:pPr>
            <w:r w:rsidRPr="00550561">
              <w:rPr>
                <w:b/>
                <w:bCs/>
              </w:rPr>
              <w:t>3</w:t>
            </w:r>
          </w:p>
        </w:tc>
      </w:tr>
      <w:tr w:rsidR="0025648F" w:rsidRPr="00550561" w14:paraId="0325602B" w14:textId="77777777" w:rsidTr="006600F1">
        <w:tc>
          <w:tcPr>
            <w:tcW w:w="709" w:type="dxa"/>
            <w:tcBorders>
              <w:top w:val="single" w:sz="4" w:space="0" w:color="auto"/>
              <w:bottom w:val="single" w:sz="4" w:space="0" w:color="auto"/>
            </w:tcBorders>
            <w:vAlign w:val="center"/>
          </w:tcPr>
          <w:p w14:paraId="4E678F82" w14:textId="35DF3EE4" w:rsidR="0025648F" w:rsidRPr="00550561" w:rsidRDefault="0025648F" w:rsidP="006600F1">
            <w:pPr>
              <w:spacing w:line="360" w:lineRule="auto"/>
              <w:jc w:val="center"/>
              <w:rPr>
                <w:b/>
                <w:bCs/>
              </w:rPr>
            </w:pPr>
            <w:r w:rsidRPr="00550561">
              <w:rPr>
                <w:b/>
                <w:bCs/>
              </w:rPr>
              <w:t>Total</w:t>
            </w:r>
          </w:p>
        </w:tc>
        <w:tc>
          <w:tcPr>
            <w:tcW w:w="926" w:type="dxa"/>
            <w:tcBorders>
              <w:top w:val="single" w:sz="4" w:space="0" w:color="auto"/>
              <w:bottom w:val="single" w:sz="4" w:space="0" w:color="auto"/>
            </w:tcBorders>
            <w:vAlign w:val="center"/>
          </w:tcPr>
          <w:p w14:paraId="75F9552D" w14:textId="77777777" w:rsidR="0025648F" w:rsidRPr="00550561" w:rsidRDefault="0025648F" w:rsidP="006600F1">
            <w:pPr>
              <w:spacing w:line="360" w:lineRule="auto"/>
              <w:jc w:val="center"/>
              <w:rPr>
                <w:b/>
                <w:bCs/>
              </w:rPr>
            </w:pPr>
          </w:p>
        </w:tc>
        <w:tc>
          <w:tcPr>
            <w:tcW w:w="567" w:type="dxa"/>
            <w:tcBorders>
              <w:top w:val="single" w:sz="4" w:space="0" w:color="auto"/>
              <w:bottom w:val="single" w:sz="4" w:space="0" w:color="auto"/>
            </w:tcBorders>
            <w:vAlign w:val="center"/>
          </w:tcPr>
          <w:p w14:paraId="79458F36" w14:textId="507C8CC4" w:rsidR="0025648F" w:rsidRPr="00550561" w:rsidRDefault="0025648F" w:rsidP="006600F1">
            <w:pPr>
              <w:spacing w:line="360" w:lineRule="auto"/>
              <w:jc w:val="center"/>
              <w:rPr>
                <w:b/>
                <w:bCs/>
              </w:rPr>
            </w:pPr>
            <w:r w:rsidRPr="00550561">
              <w:rPr>
                <w:b/>
                <w:bCs/>
              </w:rPr>
              <w:t>4</w:t>
            </w:r>
          </w:p>
        </w:tc>
        <w:tc>
          <w:tcPr>
            <w:tcW w:w="567" w:type="dxa"/>
            <w:tcBorders>
              <w:top w:val="single" w:sz="4" w:space="0" w:color="auto"/>
              <w:bottom w:val="single" w:sz="4" w:space="0" w:color="auto"/>
            </w:tcBorders>
            <w:vAlign w:val="center"/>
          </w:tcPr>
          <w:p w14:paraId="7C941229" w14:textId="52BC45B3" w:rsidR="0025648F" w:rsidRPr="00550561" w:rsidRDefault="00B93ACF" w:rsidP="006600F1">
            <w:pPr>
              <w:spacing w:line="360" w:lineRule="auto"/>
              <w:jc w:val="center"/>
              <w:rPr>
                <w:b/>
                <w:bCs/>
              </w:rPr>
            </w:pPr>
            <w:r w:rsidRPr="00550561">
              <w:rPr>
                <w:b/>
                <w:bCs/>
              </w:rPr>
              <w:t>5</w:t>
            </w:r>
          </w:p>
        </w:tc>
        <w:tc>
          <w:tcPr>
            <w:tcW w:w="567" w:type="dxa"/>
            <w:tcBorders>
              <w:top w:val="single" w:sz="4" w:space="0" w:color="auto"/>
              <w:bottom w:val="single" w:sz="4" w:space="0" w:color="auto"/>
            </w:tcBorders>
            <w:vAlign w:val="center"/>
          </w:tcPr>
          <w:p w14:paraId="57899F5C" w14:textId="1BCAC417" w:rsidR="0025648F" w:rsidRPr="00550561" w:rsidRDefault="00B93ACF" w:rsidP="006600F1">
            <w:pPr>
              <w:spacing w:line="360" w:lineRule="auto"/>
              <w:jc w:val="center"/>
              <w:rPr>
                <w:b/>
                <w:bCs/>
              </w:rPr>
            </w:pPr>
            <w:r w:rsidRPr="00550561">
              <w:rPr>
                <w:b/>
                <w:bCs/>
              </w:rPr>
              <w:t>4</w:t>
            </w:r>
          </w:p>
        </w:tc>
        <w:tc>
          <w:tcPr>
            <w:tcW w:w="997" w:type="dxa"/>
            <w:tcBorders>
              <w:top w:val="single" w:sz="4" w:space="0" w:color="auto"/>
              <w:bottom w:val="single" w:sz="4" w:space="0" w:color="auto"/>
            </w:tcBorders>
            <w:vAlign w:val="center"/>
          </w:tcPr>
          <w:p w14:paraId="55B37EFC" w14:textId="2A44577E" w:rsidR="0025648F" w:rsidRPr="00550561" w:rsidRDefault="00AC32AF" w:rsidP="006600F1">
            <w:pPr>
              <w:spacing w:line="360" w:lineRule="auto"/>
              <w:jc w:val="center"/>
              <w:rPr>
                <w:b/>
                <w:bCs/>
              </w:rPr>
            </w:pPr>
            <w:r w:rsidRPr="00550561">
              <w:rPr>
                <w:b/>
                <w:bCs/>
              </w:rPr>
              <w:t>7</w:t>
            </w:r>
          </w:p>
        </w:tc>
        <w:tc>
          <w:tcPr>
            <w:tcW w:w="1418" w:type="dxa"/>
            <w:tcBorders>
              <w:top w:val="single" w:sz="4" w:space="0" w:color="auto"/>
              <w:bottom w:val="single" w:sz="4" w:space="0" w:color="auto"/>
            </w:tcBorders>
            <w:vAlign w:val="center"/>
          </w:tcPr>
          <w:p w14:paraId="621B7F55" w14:textId="1ADD3413" w:rsidR="0025648F" w:rsidRPr="00550561" w:rsidRDefault="00AC32AF" w:rsidP="006600F1">
            <w:pPr>
              <w:spacing w:line="360" w:lineRule="auto"/>
              <w:jc w:val="center"/>
              <w:rPr>
                <w:b/>
                <w:bCs/>
              </w:rPr>
            </w:pPr>
            <w:r w:rsidRPr="00550561">
              <w:rPr>
                <w:b/>
                <w:bCs/>
              </w:rPr>
              <w:t>3</w:t>
            </w:r>
          </w:p>
        </w:tc>
        <w:tc>
          <w:tcPr>
            <w:tcW w:w="1134" w:type="dxa"/>
            <w:tcBorders>
              <w:top w:val="single" w:sz="4" w:space="0" w:color="auto"/>
              <w:bottom w:val="single" w:sz="4" w:space="0" w:color="auto"/>
            </w:tcBorders>
            <w:vAlign w:val="center"/>
          </w:tcPr>
          <w:p w14:paraId="53F0CE66" w14:textId="33237254" w:rsidR="0025648F" w:rsidRPr="00550561" w:rsidRDefault="00AC32AF" w:rsidP="006600F1">
            <w:pPr>
              <w:spacing w:line="360" w:lineRule="auto"/>
              <w:jc w:val="center"/>
              <w:rPr>
                <w:b/>
                <w:bCs/>
              </w:rPr>
            </w:pPr>
            <w:r w:rsidRPr="00550561">
              <w:rPr>
                <w:b/>
                <w:bCs/>
              </w:rPr>
              <w:t>3</w:t>
            </w:r>
          </w:p>
        </w:tc>
        <w:tc>
          <w:tcPr>
            <w:tcW w:w="770" w:type="dxa"/>
            <w:tcBorders>
              <w:top w:val="single" w:sz="4" w:space="0" w:color="auto"/>
              <w:bottom w:val="single" w:sz="4" w:space="0" w:color="auto"/>
            </w:tcBorders>
            <w:vAlign w:val="center"/>
          </w:tcPr>
          <w:p w14:paraId="582AF5D2" w14:textId="17252732" w:rsidR="0025648F" w:rsidRPr="00550561" w:rsidRDefault="00AC32AF" w:rsidP="006600F1">
            <w:pPr>
              <w:spacing w:line="360" w:lineRule="auto"/>
              <w:jc w:val="center"/>
              <w:rPr>
                <w:b/>
                <w:bCs/>
              </w:rPr>
            </w:pPr>
            <w:r w:rsidRPr="00550561">
              <w:rPr>
                <w:b/>
                <w:bCs/>
              </w:rPr>
              <w:t>13</w:t>
            </w:r>
          </w:p>
        </w:tc>
      </w:tr>
    </w:tbl>
    <w:p w14:paraId="56B3E95E" w14:textId="78317781" w:rsidR="00281921" w:rsidRPr="00550561" w:rsidRDefault="00281921" w:rsidP="00281921">
      <w:pPr>
        <w:spacing w:line="360" w:lineRule="auto"/>
        <w:rPr>
          <w:i/>
          <w:iCs/>
          <w:sz w:val="20"/>
          <w:szCs w:val="20"/>
        </w:rPr>
      </w:pPr>
      <w:r w:rsidRPr="00550561">
        <w:rPr>
          <w:i/>
          <w:iCs/>
          <w:sz w:val="20"/>
          <w:szCs w:val="20"/>
        </w:rPr>
        <w:t>* Opioid strength grouping based on a published categorisation for prescribed analgesics in primary care</w:t>
      </w:r>
      <w:r w:rsidRPr="00550561">
        <w:rPr>
          <w:i/>
          <w:iCs/>
          <w:sz w:val="20"/>
          <w:szCs w:val="20"/>
          <w:vertAlign w:val="superscript"/>
        </w:rPr>
        <w:t>15</w:t>
      </w:r>
    </w:p>
    <w:p w14:paraId="260EE312" w14:textId="77777777" w:rsidR="0045025F" w:rsidRPr="00550561" w:rsidRDefault="0045025F"/>
    <w:p w14:paraId="7C5DB9A0" w14:textId="1A9F1DBF" w:rsidR="00DA710C" w:rsidRPr="00550561" w:rsidRDefault="00472DB7" w:rsidP="00DA710C">
      <w:pPr>
        <w:spacing w:line="360" w:lineRule="auto"/>
        <w:rPr>
          <w:b/>
          <w:bCs/>
          <w:i/>
          <w:iCs/>
        </w:rPr>
      </w:pPr>
      <w:r w:rsidRPr="00550561">
        <w:rPr>
          <w:b/>
          <w:bCs/>
          <w:i/>
          <w:iCs/>
        </w:rPr>
        <w:t>A</w:t>
      </w:r>
      <w:r w:rsidR="00DA710C" w:rsidRPr="00550561">
        <w:rPr>
          <w:b/>
          <w:bCs/>
          <w:i/>
          <w:iCs/>
        </w:rPr>
        <w:t xml:space="preserve">cceptability </w:t>
      </w:r>
      <w:r w:rsidR="00052B40" w:rsidRPr="00550561">
        <w:rPr>
          <w:b/>
          <w:bCs/>
          <w:i/>
          <w:iCs/>
        </w:rPr>
        <w:t>of PROMPPT:</w:t>
      </w:r>
      <w:r w:rsidR="00D66BB6" w:rsidRPr="00550561">
        <w:rPr>
          <w:b/>
          <w:bCs/>
          <w:i/>
          <w:iCs/>
        </w:rPr>
        <w:t xml:space="preserve"> </w:t>
      </w:r>
      <w:r w:rsidR="00F806F7" w:rsidRPr="00550561">
        <w:rPr>
          <w:b/>
          <w:bCs/>
          <w:i/>
          <w:iCs/>
        </w:rPr>
        <w:t>Patient p</w:t>
      </w:r>
      <w:r w:rsidR="00D66BB6" w:rsidRPr="00550561">
        <w:rPr>
          <w:b/>
          <w:bCs/>
          <w:i/>
          <w:iCs/>
        </w:rPr>
        <w:t>erspectives</w:t>
      </w:r>
    </w:p>
    <w:p w14:paraId="07CB5551" w14:textId="0CCF62BD" w:rsidR="00A47C41" w:rsidRPr="00550561" w:rsidRDefault="00F806F7" w:rsidP="00A65692">
      <w:pPr>
        <w:spacing w:line="360" w:lineRule="auto"/>
        <w:rPr>
          <w:rFonts w:cstheme="minorHAnsi"/>
        </w:rPr>
      </w:pPr>
      <w:r w:rsidRPr="00550561">
        <w:rPr>
          <w:rFonts w:cstheme="minorHAnsi"/>
        </w:rPr>
        <w:t>Patients</w:t>
      </w:r>
      <w:r w:rsidR="00FB3B4F" w:rsidRPr="00550561">
        <w:rPr>
          <w:rFonts w:cstheme="minorHAnsi"/>
        </w:rPr>
        <w:t xml:space="preserve"> talked about </w:t>
      </w:r>
      <w:r w:rsidR="00527C0E" w:rsidRPr="00550561">
        <w:rPr>
          <w:rFonts w:cstheme="minorHAnsi"/>
        </w:rPr>
        <w:t>a</w:t>
      </w:r>
      <w:r w:rsidR="00A52C29" w:rsidRPr="00550561">
        <w:rPr>
          <w:rFonts w:cstheme="minorHAnsi"/>
        </w:rPr>
        <w:t xml:space="preserve">spects </w:t>
      </w:r>
      <w:r w:rsidR="00527C0E" w:rsidRPr="00550561">
        <w:rPr>
          <w:rFonts w:cstheme="minorHAnsi"/>
        </w:rPr>
        <w:t>of a</w:t>
      </w:r>
      <w:r w:rsidR="00A52C29" w:rsidRPr="00550561">
        <w:rPr>
          <w:rFonts w:cstheme="minorHAnsi"/>
        </w:rPr>
        <w:t xml:space="preserve">cceptability </w:t>
      </w:r>
      <w:r w:rsidR="002C1E3C" w:rsidRPr="00550561">
        <w:rPr>
          <w:rFonts w:cstheme="minorHAnsi"/>
        </w:rPr>
        <w:t xml:space="preserve">across </w:t>
      </w:r>
      <w:r w:rsidR="00C16DCA" w:rsidRPr="00550561">
        <w:rPr>
          <w:rFonts w:cstheme="minorHAnsi"/>
        </w:rPr>
        <w:t xml:space="preserve">all </w:t>
      </w:r>
      <w:r w:rsidR="00FC490C" w:rsidRPr="00550561">
        <w:rPr>
          <w:rFonts w:cstheme="minorHAnsi"/>
        </w:rPr>
        <w:t>TFA constructs</w:t>
      </w:r>
      <w:r w:rsidR="002C1E3C" w:rsidRPr="00550561">
        <w:rPr>
          <w:rFonts w:cstheme="minorHAnsi"/>
        </w:rPr>
        <w:t xml:space="preserve">, </w:t>
      </w:r>
      <w:r w:rsidR="00EE0906" w:rsidRPr="00550561">
        <w:rPr>
          <w:rFonts w:cstheme="minorHAnsi"/>
        </w:rPr>
        <w:t xml:space="preserve">apart from </w:t>
      </w:r>
      <w:r w:rsidR="00C16DCA" w:rsidRPr="00550561">
        <w:rPr>
          <w:rFonts w:cstheme="minorHAnsi"/>
        </w:rPr>
        <w:t xml:space="preserve">the domain of </w:t>
      </w:r>
      <w:r w:rsidR="005742D2" w:rsidRPr="00550561">
        <w:rPr>
          <w:rFonts w:cstheme="minorHAnsi"/>
        </w:rPr>
        <w:t>opportunity costs</w:t>
      </w:r>
      <w:r w:rsidR="0089240B" w:rsidRPr="00550561">
        <w:rPr>
          <w:rFonts w:cstheme="minorHAnsi"/>
        </w:rPr>
        <w:t xml:space="preserve"> after experiencing the </w:t>
      </w:r>
      <w:r w:rsidR="00C16DCA" w:rsidRPr="00550561">
        <w:rPr>
          <w:rFonts w:cstheme="minorHAnsi"/>
        </w:rPr>
        <w:t>protot</w:t>
      </w:r>
      <w:r w:rsidR="002814CC" w:rsidRPr="00550561">
        <w:rPr>
          <w:rFonts w:cstheme="minorHAnsi"/>
        </w:rPr>
        <w:t xml:space="preserve">ype </w:t>
      </w:r>
      <w:r w:rsidR="00A65692" w:rsidRPr="00550561">
        <w:rPr>
          <w:rFonts w:cstheme="minorHAnsi"/>
        </w:rPr>
        <w:t xml:space="preserve">PROMPPT </w:t>
      </w:r>
      <w:r w:rsidR="0089240B" w:rsidRPr="00550561">
        <w:rPr>
          <w:rFonts w:cstheme="minorHAnsi"/>
        </w:rPr>
        <w:t xml:space="preserve">review. </w:t>
      </w:r>
      <w:r w:rsidR="00A65692" w:rsidRPr="00550561">
        <w:rPr>
          <w:rFonts w:cstheme="minorHAnsi"/>
        </w:rPr>
        <w:t xml:space="preserve">The </w:t>
      </w:r>
      <w:r w:rsidR="00955B9C" w:rsidRPr="00550561">
        <w:rPr>
          <w:rFonts w:cstheme="minorHAnsi"/>
        </w:rPr>
        <w:t>k</w:t>
      </w:r>
      <w:r w:rsidR="007A486A" w:rsidRPr="00550561">
        <w:rPr>
          <w:rFonts w:cstheme="minorHAnsi"/>
        </w:rPr>
        <w:t>ey findings</w:t>
      </w:r>
      <w:r w:rsidR="00ED3131" w:rsidRPr="00550561">
        <w:rPr>
          <w:rFonts w:cstheme="minorHAnsi"/>
        </w:rPr>
        <w:t xml:space="preserve"> </w:t>
      </w:r>
      <w:r w:rsidR="00A65692" w:rsidRPr="00550561">
        <w:rPr>
          <w:rFonts w:cstheme="minorHAnsi"/>
        </w:rPr>
        <w:t>are summarised</w:t>
      </w:r>
      <w:r w:rsidR="00FE3FAE" w:rsidRPr="00550561">
        <w:rPr>
          <w:rFonts w:cstheme="minorHAnsi"/>
        </w:rPr>
        <w:t xml:space="preserve"> in </w:t>
      </w:r>
      <w:r w:rsidR="00AE7477" w:rsidRPr="00550561">
        <w:rPr>
          <w:rFonts w:cstheme="minorHAnsi"/>
        </w:rPr>
        <w:t xml:space="preserve">Table </w:t>
      </w:r>
      <w:r w:rsidR="00663C56" w:rsidRPr="00550561">
        <w:rPr>
          <w:rFonts w:cstheme="minorHAnsi"/>
        </w:rPr>
        <w:t>4</w:t>
      </w:r>
      <w:r w:rsidR="00FE3FAE" w:rsidRPr="00550561">
        <w:rPr>
          <w:rFonts w:cstheme="minorHAnsi"/>
        </w:rPr>
        <w:t>. F</w:t>
      </w:r>
      <w:r w:rsidR="004D4D4A" w:rsidRPr="00550561">
        <w:rPr>
          <w:rFonts w:cstheme="minorHAnsi"/>
        </w:rPr>
        <w:t xml:space="preserve">urther </w:t>
      </w:r>
      <w:r w:rsidR="00FE3FAE" w:rsidRPr="00550561">
        <w:rPr>
          <w:rFonts w:cstheme="minorHAnsi"/>
        </w:rPr>
        <w:t xml:space="preserve">illustrative </w:t>
      </w:r>
      <w:r w:rsidR="004D4D4A" w:rsidRPr="00550561">
        <w:rPr>
          <w:rFonts w:cstheme="minorHAnsi"/>
        </w:rPr>
        <w:t xml:space="preserve">data </w:t>
      </w:r>
      <w:r w:rsidR="00FE3FAE" w:rsidRPr="00550561">
        <w:rPr>
          <w:rFonts w:cstheme="minorHAnsi"/>
        </w:rPr>
        <w:t>are provided in</w:t>
      </w:r>
      <w:r w:rsidR="004D4D4A" w:rsidRPr="00550561">
        <w:rPr>
          <w:rFonts w:cstheme="minorHAnsi"/>
        </w:rPr>
        <w:t xml:space="preserve"> supplementary tables</w:t>
      </w:r>
      <w:r w:rsidR="006D743D" w:rsidRPr="00550561">
        <w:rPr>
          <w:rFonts w:cstheme="minorHAnsi"/>
        </w:rPr>
        <w:t xml:space="preserve"> (supplementary material </w:t>
      </w:r>
      <w:r w:rsidR="00E926BF" w:rsidRPr="00550561">
        <w:rPr>
          <w:rFonts w:cstheme="minorHAnsi"/>
        </w:rPr>
        <w:t>5-8)</w:t>
      </w:r>
      <w:r w:rsidR="00C92B4D" w:rsidRPr="00550561">
        <w:rPr>
          <w:rFonts w:cstheme="minorHAnsi"/>
        </w:rPr>
        <w:t>.</w:t>
      </w:r>
      <w:r w:rsidR="00AE7477" w:rsidRPr="00550561">
        <w:rPr>
          <w:rFonts w:cstheme="minorHAnsi"/>
        </w:rPr>
        <w:t xml:space="preserve"> </w:t>
      </w:r>
      <w:r w:rsidR="00A65692" w:rsidRPr="00550561">
        <w:rPr>
          <w:rFonts w:cstheme="minorHAnsi"/>
        </w:rPr>
        <w:t>Below we provide exemplars from each TFA domain:</w:t>
      </w:r>
    </w:p>
    <w:p w14:paraId="0B0DD005" w14:textId="445E0AD9" w:rsidR="005D04B9" w:rsidRPr="00550561" w:rsidRDefault="005D04B9" w:rsidP="00A65692">
      <w:pPr>
        <w:spacing w:line="360" w:lineRule="auto"/>
        <w:rPr>
          <w:rFonts w:cstheme="minorHAnsi"/>
          <w:i/>
          <w:iCs/>
        </w:rPr>
      </w:pPr>
      <w:r w:rsidRPr="00550561">
        <w:rPr>
          <w:rFonts w:cstheme="minorHAnsi"/>
          <w:i/>
          <w:iCs/>
        </w:rPr>
        <w:t>Affective attitude</w:t>
      </w:r>
    </w:p>
    <w:p w14:paraId="7321AC2F" w14:textId="298F531D" w:rsidR="000D6854" w:rsidRPr="00550561" w:rsidRDefault="00DA710C" w:rsidP="00DA710C">
      <w:pPr>
        <w:spacing w:before="240" w:line="360" w:lineRule="auto"/>
      </w:pPr>
      <w:r w:rsidRPr="00550561">
        <w:t xml:space="preserve">When discussing their feelings towards </w:t>
      </w:r>
      <w:r w:rsidR="00A65692" w:rsidRPr="00550561">
        <w:t xml:space="preserve">the </w:t>
      </w:r>
      <w:r w:rsidR="0026511D" w:rsidRPr="00550561">
        <w:t xml:space="preserve">proposed </w:t>
      </w:r>
      <w:r w:rsidR="00A65692" w:rsidRPr="00550561">
        <w:t>PROMPPT</w:t>
      </w:r>
      <w:r w:rsidR="00A90746" w:rsidRPr="00550561">
        <w:t xml:space="preserve"> </w:t>
      </w:r>
      <w:r w:rsidRPr="00550561">
        <w:t>review,</w:t>
      </w:r>
      <w:r w:rsidR="00460783" w:rsidRPr="00550561">
        <w:t xml:space="preserve"> </w:t>
      </w:r>
      <w:r w:rsidR="001776B2" w:rsidRPr="00550561">
        <w:t>patients</w:t>
      </w:r>
      <w:r w:rsidR="0030065E" w:rsidRPr="00550561">
        <w:t xml:space="preserve"> were generally positive towards</w:t>
      </w:r>
      <w:r w:rsidR="007954A3" w:rsidRPr="00550561">
        <w:t xml:space="preserve"> a pharmacist </w:t>
      </w:r>
      <w:r w:rsidR="00F70EF6" w:rsidRPr="00550561">
        <w:t>delivering the review</w:t>
      </w:r>
      <w:r w:rsidR="005037E7" w:rsidRPr="00550561">
        <w:t>. Some</w:t>
      </w:r>
      <w:r w:rsidR="00A90E7D" w:rsidRPr="00550561">
        <w:t xml:space="preserve"> </w:t>
      </w:r>
      <w:r w:rsidR="001776B2" w:rsidRPr="00550561">
        <w:t>patients</w:t>
      </w:r>
      <w:r w:rsidR="005037E7" w:rsidRPr="00550561">
        <w:t xml:space="preserve"> were uncertain of the role of a practice pharmacist</w:t>
      </w:r>
      <w:r w:rsidR="00522285" w:rsidRPr="00550561">
        <w:t>,</w:t>
      </w:r>
      <w:r w:rsidR="005037E7" w:rsidRPr="00550561">
        <w:t xml:space="preserve"> </w:t>
      </w:r>
      <w:r w:rsidR="007D01B4" w:rsidRPr="00550561">
        <w:t xml:space="preserve">as they had not </w:t>
      </w:r>
      <w:r w:rsidR="008D21A1" w:rsidRPr="00550561">
        <w:t xml:space="preserve">heard of them or consulted </w:t>
      </w:r>
      <w:r w:rsidR="00787302" w:rsidRPr="00550561">
        <w:t>one</w:t>
      </w:r>
      <w:r w:rsidR="008D21A1" w:rsidRPr="00550561">
        <w:t xml:space="preserve"> </w:t>
      </w:r>
      <w:r w:rsidR="00B50582" w:rsidRPr="00550561">
        <w:t>previously</w:t>
      </w:r>
      <w:r w:rsidR="00F147F9" w:rsidRPr="00550561">
        <w:t xml:space="preserve">. </w:t>
      </w:r>
      <w:r w:rsidR="00787302" w:rsidRPr="00550561">
        <w:t xml:space="preserve">After </w:t>
      </w:r>
      <w:r w:rsidR="00F147F9" w:rsidRPr="00550561">
        <w:t>experienc</w:t>
      </w:r>
      <w:r w:rsidR="00787302" w:rsidRPr="00550561">
        <w:t>ing</w:t>
      </w:r>
      <w:r w:rsidR="00F147F9" w:rsidRPr="00550561">
        <w:t xml:space="preserve"> a </w:t>
      </w:r>
      <w:r w:rsidR="00887BE0" w:rsidRPr="00550561">
        <w:t xml:space="preserve">PROMPPT </w:t>
      </w:r>
      <w:r w:rsidR="00F147F9" w:rsidRPr="00550561">
        <w:t xml:space="preserve">review, </w:t>
      </w:r>
      <w:r w:rsidR="00A02E0B" w:rsidRPr="00550561">
        <w:t>most</w:t>
      </w:r>
      <w:r w:rsidR="00F147F9" w:rsidRPr="00550561">
        <w:t xml:space="preserve"> </w:t>
      </w:r>
      <w:r w:rsidR="001776B2" w:rsidRPr="00550561">
        <w:t>patients</w:t>
      </w:r>
      <w:r w:rsidR="00787302" w:rsidRPr="00550561">
        <w:t xml:space="preserve"> </w:t>
      </w:r>
      <w:r w:rsidR="00D63852" w:rsidRPr="00550561">
        <w:t xml:space="preserve">felt that pharmacists were </w:t>
      </w:r>
      <w:r w:rsidR="00314C05" w:rsidRPr="00550561">
        <w:t>knowledgeable</w:t>
      </w:r>
      <w:r w:rsidR="00130890" w:rsidRPr="00550561">
        <w:t xml:space="preserve"> and qualified to deliver a review. </w:t>
      </w:r>
      <w:r w:rsidR="003A6DDA" w:rsidRPr="00550561">
        <w:t xml:space="preserve">Patients with prior knowledge of practice pharmacists </w:t>
      </w:r>
      <w:r w:rsidR="00B0563D" w:rsidRPr="00550561">
        <w:t xml:space="preserve">and their role </w:t>
      </w:r>
      <w:r w:rsidR="003A6DDA" w:rsidRPr="00550561">
        <w:t xml:space="preserve">seemed more inclined to engage with the pharmacist during the review. </w:t>
      </w:r>
    </w:p>
    <w:p w14:paraId="2A218D20" w14:textId="3918BCD6" w:rsidR="0098619B" w:rsidRPr="00550561" w:rsidRDefault="0098619B" w:rsidP="00F12549">
      <w:pPr>
        <w:spacing w:before="240" w:line="360" w:lineRule="auto"/>
        <w:ind w:left="567"/>
      </w:pPr>
      <w:r w:rsidRPr="00550561">
        <w:rPr>
          <w:i/>
          <w:iCs/>
        </w:rPr>
        <w:t xml:space="preserve">‘I hadn’t heard of a clinical pharmacist until now…if I got to see a regular pharmacist and had plenty of time to discuss my pain and ways to deal with it, I think I’d be happy to see one.’ </w:t>
      </w:r>
      <w:r w:rsidRPr="00550561">
        <w:t>(</w:t>
      </w:r>
      <w:r w:rsidR="000543DA" w:rsidRPr="00550561">
        <w:t>Forum</w:t>
      </w:r>
      <w:r w:rsidR="00F96733" w:rsidRPr="00550561">
        <w:t xml:space="preserve"> pa</w:t>
      </w:r>
      <w:r w:rsidR="00516347">
        <w:t>rticipant</w:t>
      </w:r>
      <w:r w:rsidR="000543DA" w:rsidRPr="00550561">
        <w:t>_67)</w:t>
      </w:r>
    </w:p>
    <w:p w14:paraId="0A9D0DAC" w14:textId="1C4D8AA5" w:rsidR="005D5500" w:rsidRPr="00550561" w:rsidRDefault="005D5500" w:rsidP="00DA710C">
      <w:pPr>
        <w:spacing w:before="240" w:line="360" w:lineRule="auto"/>
        <w:rPr>
          <w:i/>
          <w:iCs/>
        </w:rPr>
      </w:pPr>
      <w:r w:rsidRPr="00550561">
        <w:rPr>
          <w:i/>
          <w:iCs/>
        </w:rPr>
        <w:t>Burden</w:t>
      </w:r>
    </w:p>
    <w:p w14:paraId="7DFB9306" w14:textId="47EFAB42" w:rsidR="00B81082" w:rsidRPr="00550561" w:rsidRDefault="00D93C8D" w:rsidP="00C92B4D">
      <w:pPr>
        <w:spacing w:before="240" w:line="360" w:lineRule="auto"/>
      </w:pPr>
      <w:r w:rsidRPr="00550561">
        <w:t>S</w:t>
      </w:r>
      <w:r w:rsidR="00641C13" w:rsidRPr="00550561">
        <w:t>ome</w:t>
      </w:r>
      <w:r w:rsidR="00B0563D" w:rsidRPr="00550561">
        <w:t xml:space="preserve"> patients d</w:t>
      </w:r>
      <w:r w:rsidR="00641C13" w:rsidRPr="00550561">
        <w:t xml:space="preserve">iscussed their lack of trust </w:t>
      </w:r>
      <w:r w:rsidR="00FE7F53" w:rsidRPr="00550561">
        <w:t>in healthcare professionals</w:t>
      </w:r>
      <w:r w:rsidR="00B8023A" w:rsidRPr="00550561">
        <w:t xml:space="preserve"> </w:t>
      </w:r>
      <w:r w:rsidR="0069536B" w:rsidRPr="00550561">
        <w:t xml:space="preserve">resulting from poor </w:t>
      </w:r>
      <w:r w:rsidR="0017686A" w:rsidRPr="00550561">
        <w:t>p</w:t>
      </w:r>
      <w:r w:rsidR="00B8023A" w:rsidRPr="00550561">
        <w:t xml:space="preserve">ain management experiences, </w:t>
      </w:r>
      <w:r w:rsidR="00C67AE5" w:rsidRPr="00550561">
        <w:t xml:space="preserve">often </w:t>
      </w:r>
      <w:r w:rsidR="00E10DF2" w:rsidRPr="00550561">
        <w:t>blam</w:t>
      </w:r>
      <w:r w:rsidR="00C67AE5" w:rsidRPr="00550561">
        <w:t xml:space="preserve">ing </w:t>
      </w:r>
      <w:r w:rsidR="00E10DF2" w:rsidRPr="00550561">
        <w:t>them for bein</w:t>
      </w:r>
      <w:r w:rsidR="005430A8" w:rsidRPr="00550561">
        <w:t>g</w:t>
      </w:r>
      <w:r w:rsidR="00E10DF2" w:rsidRPr="00550561">
        <w:t xml:space="preserve"> dependent on opioids that </w:t>
      </w:r>
      <w:r w:rsidR="002822D4" w:rsidRPr="00550561">
        <w:t>provide no</w:t>
      </w:r>
      <w:r w:rsidR="00E315AB" w:rsidRPr="00550561">
        <w:t xml:space="preserve"> relief.</w:t>
      </w:r>
    </w:p>
    <w:p w14:paraId="13004CDD" w14:textId="19711DBE" w:rsidR="00B81082" w:rsidRPr="00550561" w:rsidRDefault="00EA786C" w:rsidP="00B81082">
      <w:pPr>
        <w:spacing w:before="240" w:line="360" w:lineRule="auto"/>
        <w:ind w:left="567"/>
      </w:pPr>
      <w:r w:rsidRPr="00550561">
        <w:t xml:space="preserve"> </w:t>
      </w:r>
      <w:r w:rsidR="00B81082" w:rsidRPr="00550561">
        <w:rPr>
          <w:i/>
          <w:iCs/>
        </w:rPr>
        <w:t xml:space="preserve">‘I’m pretty damn miffed that I’m in an avoidable position here. This is literally prescribed harm.’ </w:t>
      </w:r>
      <w:r w:rsidR="00B81082" w:rsidRPr="00550561">
        <w:t>(</w:t>
      </w:r>
      <w:r w:rsidR="00FE0ECD" w:rsidRPr="00550561">
        <w:t>F</w:t>
      </w:r>
      <w:r w:rsidR="000543DA" w:rsidRPr="00550561">
        <w:t>orum</w:t>
      </w:r>
      <w:r w:rsidR="00F96733" w:rsidRPr="00550561">
        <w:t xml:space="preserve"> pa</w:t>
      </w:r>
      <w:r w:rsidR="00516347">
        <w:t>rticipant</w:t>
      </w:r>
      <w:r w:rsidR="000543DA" w:rsidRPr="00550561">
        <w:t>_</w:t>
      </w:r>
      <w:r w:rsidR="00B81082" w:rsidRPr="00550561">
        <w:t>19)</w:t>
      </w:r>
    </w:p>
    <w:p w14:paraId="2812B8D3" w14:textId="63D4F749" w:rsidR="005033CE" w:rsidRPr="00550561" w:rsidRDefault="00D81DED" w:rsidP="00B5099B">
      <w:pPr>
        <w:spacing w:before="240" w:line="360" w:lineRule="auto"/>
      </w:pPr>
      <w:r w:rsidRPr="00550561">
        <w:t>Although</w:t>
      </w:r>
      <w:r w:rsidR="00561697" w:rsidRPr="00550561">
        <w:t>,</w:t>
      </w:r>
      <w:r w:rsidRPr="00550561">
        <w:t xml:space="preserve"> this</w:t>
      </w:r>
      <w:r w:rsidR="00B77ECE" w:rsidRPr="00550561">
        <w:t xml:space="preserve"> lack of trust and</w:t>
      </w:r>
      <w:r w:rsidR="00EA786C" w:rsidRPr="00550561">
        <w:t xml:space="preserve"> discontent could</w:t>
      </w:r>
      <w:r w:rsidR="004B7318" w:rsidRPr="00550561">
        <w:t xml:space="preserve"> </w:t>
      </w:r>
      <w:r w:rsidRPr="00550561">
        <w:t xml:space="preserve">have </w:t>
      </w:r>
      <w:r w:rsidR="004B7318" w:rsidRPr="00550561">
        <w:t>affect</w:t>
      </w:r>
      <w:r w:rsidRPr="00550561">
        <w:t>ed</w:t>
      </w:r>
      <w:r w:rsidR="00B134E9" w:rsidRPr="00550561">
        <w:t xml:space="preserve"> </w:t>
      </w:r>
      <w:r w:rsidR="00B0563D" w:rsidRPr="00550561">
        <w:t>patients</w:t>
      </w:r>
      <w:r w:rsidR="00C11D18" w:rsidRPr="00550561">
        <w:t>’</w:t>
      </w:r>
      <w:r w:rsidR="00F7490B" w:rsidRPr="00550561">
        <w:t xml:space="preserve"> </w:t>
      </w:r>
      <w:r w:rsidR="004B7318" w:rsidRPr="00550561">
        <w:t>willingness to engage with a pharmacist during</w:t>
      </w:r>
      <w:r w:rsidR="00874C3A" w:rsidRPr="00550561">
        <w:t xml:space="preserve"> the</w:t>
      </w:r>
      <w:r w:rsidR="004B7318" w:rsidRPr="00550561">
        <w:t xml:space="preserve"> review</w:t>
      </w:r>
      <w:r w:rsidR="00DF256C" w:rsidRPr="00550561">
        <w:t>, they found</w:t>
      </w:r>
      <w:r w:rsidR="001E60E2" w:rsidRPr="00550561">
        <w:t xml:space="preserve"> pharmacists were approachable </w:t>
      </w:r>
      <w:r w:rsidR="004A65AC" w:rsidRPr="00550561">
        <w:t xml:space="preserve">and </w:t>
      </w:r>
      <w:r w:rsidR="00E315AB" w:rsidRPr="00550561">
        <w:t>voiced</w:t>
      </w:r>
      <w:r w:rsidR="00A77CDE" w:rsidRPr="00550561">
        <w:t xml:space="preserve"> little e</w:t>
      </w:r>
      <w:r w:rsidR="00E315AB" w:rsidRPr="00550561">
        <w:t>ffort</w:t>
      </w:r>
      <w:r w:rsidR="00DE78B3" w:rsidRPr="00550561">
        <w:t xml:space="preserve"> required</w:t>
      </w:r>
      <w:r w:rsidR="00E315AB" w:rsidRPr="00550561">
        <w:t xml:space="preserve"> to engage with them</w:t>
      </w:r>
      <w:r w:rsidR="0099304E" w:rsidRPr="00550561">
        <w:t xml:space="preserve"> during IPT</w:t>
      </w:r>
      <w:r w:rsidR="004B7318" w:rsidRPr="00550561">
        <w:t xml:space="preserve">. </w:t>
      </w:r>
    </w:p>
    <w:p w14:paraId="69568955" w14:textId="16FA3D9C" w:rsidR="00601FEE" w:rsidRPr="00550561" w:rsidRDefault="00601FEE" w:rsidP="00B5099B">
      <w:pPr>
        <w:spacing w:before="240" w:line="360" w:lineRule="auto"/>
        <w:rPr>
          <w:i/>
          <w:iCs/>
        </w:rPr>
      </w:pPr>
      <w:r w:rsidRPr="00550561">
        <w:rPr>
          <w:i/>
          <w:iCs/>
        </w:rPr>
        <w:t>Ethicality</w:t>
      </w:r>
    </w:p>
    <w:p w14:paraId="46DEECD6" w14:textId="0531E080" w:rsidR="00B40AAE" w:rsidRPr="00550561" w:rsidRDefault="00405ED1" w:rsidP="00972E0C">
      <w:pPr>
        <w:spacing w:line="360" w:lineRule="auto"/>
      </w:pPr>
      <w:r w:rsidRPr="00550561">
        <w:t xml:space="preserve">Overall, it was important to </w:t>
      </w:r>
      <w:r w:rsidR="00C11D18" w:rsidRPr="00550561">
        <w:t>patients</w:t>
      </w:r>
      <w:r w:rsidR="00F7490B" w:rsidRPr="00550561">
        <w:t xml:space="preserve"> </w:t>
      </w:r>
      <w:r w:rsidRPr="00550561">
        <w:t>that PROMPPT reviews are undertaken for the right reasons, to help patients manage their pain better and not for cost-saving</w:t>
      </w:r>
      <w:r w:rsidR="003B628E" w:rsidRPr="00550561">
        <w:t>s</w:t>
      </w:r>
      <w:r w:rsidRPr="00550561">
        <w:t>.</w:t>
      </w:r>
      <w:r w:rsidR="00A30D29" w:rsidRPr="00550561">
        <w:t xml:space="preserve"> </w:t>
      </w:r>
    </w:p>
    <w:p w14:paraId="5789A96B" w14:textId="1F7008D2" w:rsidR="00B40AAE" w:rsidRPr="00550561" w:rsidRDefault="00B40AAE" w:rsidP="00B40AAE">
      <w:pPr>
        <w:spacing w:line="360" w:lineRule="auto"/>
        <w:ind w:left="567"/>
      </w:pPr>
      <w:r w:rsidRPr="00550561">
        <w:rPr>
          <w:i/>
          <w:iCs/>
        </w:rPr>
        <w:t>‘It would also help people to have the purpose and aims of the appointment laid out and what to expect from the discussion - is it just to try to get me off opioids or a genuine desire to get my pain under control to help me - or to help the practice to cut costs, or to make their statistics look good’</w:t>
      </w:r>
      <w:r w:rsidRPr="00550561">
        <w:t xml:space="preserve"> (</w:t>
      </w:r>
      <w:r w:rsidR="00601FEE" w:rsidRPr="00550561">
        <w:t>F</w:t>
      </w:r>
      <w:r w:rsidR="00772B19" w:rsidRPr="00550561">
        <w:t>orum</w:t>
      </w:r>
      <w:r w:rsidR="00F96733" w:rsidRPr="00550561">
        <w:t xml:space="preserve"> </w:t>
      </w:r>
      <w:r w:rsidR="00516347">
        <w:t>participant</w:t>
      </w:r>
      <w:r w:rsidR="00772B19" w:rsidRPr="00550561">
        <w:t>_</w:t>
      </w:r>
      <w:r w:rsidRPr="00550561">
        <w:t>61)</w:t>
      </w:r>
    </w:p>
    <w:p w14:paraId="14BEED28" w14:textId="3AA082D5" w:rsidR="00405ED1" w:rsidRPr="00550561" w:rsidRDefault="00B829F2" w:rsidP="00972E0C">
      <w:pPr>
        <w:spacing w:line="360" w:lineRule="auto"/>
      </w:pPr>
      <w:r w:rsidRPr="00550561">
        <w:t xml:space="preserve">Once </w:t>
      </w:r>
      <w:r w:rsidR="00272B57" w:rsidRPr="00550561">
        <w:t>patients</w:t>
      </w:r>
      <w:r w:rsidR="00F7490B" w:rsidRPr="00550561">
        <w:t xml:space="preserve"> </w:t>
      </w:r>
      <w:r w:rsidRPr="00550561">
        <w:t xml:space="preserve">had experienced </w:t>
      </w:r>
      <w:r w:rsidR="008216A6" w:rsidRPr="00550561">
        <w:t>the prototype</w:t>
      </w:r>
      <w:r w:rsidR="00C53764" w:rsidRPr="00550561">
        <w:t xml:space="preserve"> </w:t>
      </w:r>
      <w:r w:rsidRPr="00550561">
        <w:t>review during IPT,</w:t>
      </w:r>
      <w:r w:rsidR="00405ED1" w:rsidRPr="00550561">
        <w:t xml:space="preserve"> </w:t>
      </w:r>
      <w:r w:rsidR="00BE436B" w:rsidRPr="00550561">
        <w:t>they</w:t>
      </w:r>
      <w:r w:rsidR="00A30D29" w:rsidRPr="00550561">
        <w:t xml:space="preserve"> felt that </w:t>
      </w:r>
      <w:r w:rsidR="00D75506">
        <w:t xml:space="preserve">other </w:t>
      </w:r>
      <w:r w:rsidR="00A30D29" w:rsidRPr="00550561">
        <w:t>patients like themselves should expect to have their opioids reviewed and</w:t>
      </w:r>
      <w:r w:rsidR="00F7490B" w:rsidRPr="00550561">
        <w:t xml:space="preserve"> </w:t>
      </w:r>
      <w:r w:rsidR="00C53764" w:rsidRPr="00550561">
        <w:t>that, although</w:t>
      </w:r>
      <w:r w:rsidR="00A30D29" w:rsidRPr="00550561">
        <w:t xml:space="preserve"> it </w:t>
      </w:r>
      <w:r w:rsidR="007B3A47" w:rsidRPr="00550561">
        <w:t xml:space="preserve">would be </w:t>
      </w:r>
      <w:r w:rsidR="00A30D29" w:rsidRPr="00550561">
        <w:t>important to have set reviews, it</w:t>
      </w:r>
      <w:r w:rsidR="007B3A47" w:rsidRPr="00550561">
        <w:t xml:space="preserve"> would </w:t>
      </w:r>
      <w:r w:rsidR="00A30D29" w:rsidRPr="00550561">
        <w:t>also</w:t>
      </w:r>
      <w:r w:rsidR="007B3A47" w:rsidRPr="00550561">
        <w:t xml:space="preserve"> be</w:t>
      </w:r>
      <w:r w:rsidR="00A30D29" w:rsidRPr="00550561">
        <w:t xml:space="preserve"> important to allow patients to choose when they want or need review</w:t>
      </w:r>
      <w:r w:rsidR="007F13F0" w:rsidRPr="00550561">
        <w:t>s</w:t>
      </w:r>
      <w:r w:rsidR="00A30D29" w:rsidRPr="00550561">
        <w:t>.</w:t>
      </w:r>
    </w:p>
    <w:p w14:paraId="05DD4A1B" w14:textId="0C0618AC" w:rsidR="00FC11F4" w:rsidRPr="00550561" w:rsidRDefault="00FC11F4" w:rsidP="00972E0C">
      <w:pPr>
        <w:spacing w:line="360" w:lineRule="auto"/>
        <w:rPr>
          <w:i/>
          <w:iCs/>
        </w:rPr>
      </w:pPr>
      <w:r w:rsidRPr="00550561">
        <w:rPr>
          <w:i/>
          <w:iCs/>
        </w:rPr>
        <w:t>Intervention coherence</w:t>
      </w:r>
    </w:p>
    <w:p w14:paraId="6C88858E" w14:textId="56E866FE" w:rsidR="00266CC2" w:rsidRPr="00550561" w:rsidRDefault="00DA710C" w:rsidP="004C7D66">
      <w:pPr>
        <w:spacing w:before="240" w:line="360" w:lineRule="auto"/>
      </w:pPr>
      <w:r w:rsidRPr="00550561">
        <w:t xml:space="preserve">There were mixed perceptions of </w:t>
      </w:r>
      <w:r w:rsidR="00F7490B" w:rsidRPr="00550561">
        <w:t xml:space="preserve">the </w:t>
      </w:r>
      <w:r w:rsidRPr="00550561">
        <w:t xml:space="preserve">purpose </w:t>
      </w:r>
      <w:r w:rsidR="00F7490B" w:rsidRPr="00550561">
        <w:t xml:space="preserve">of the </w:t>
      </w:r>
      <w:r w:rsidR="008D1441" w:rsidRPr="00550561">
        <w:t xml:space="preserve">proposed </w:t>
      </w:r>
      <w:r w:rsidR="00F7490B" w:rsidRPr="00550561">
        <w:t xml:space="preserve">PROMPPT </w:t>
      </w:r>
      <w:r w:rsidR="008D1441" w:rsidRPr="00550561">
        <w:t xml:space="preserve">review </w:t>
      </w:r>
      <w:r w:rsidR="00CB09AD" w:rsidRPr="00550561">
        <w:t>with</w:t>
      </w:r>
      <w:r w:rsidR="00CA4425" w:rsidRPr="00550561">
        <w:t xml:space="preserve"> </w:t>
      </w:r>
      <w:r w:rsidR="00CB09AD" w:rsidRPr="00550561">
        <w:t>s</w:t>
      </w:r>
      <w:r w:rsidRPr="00550561">
        <w:t xml:space="preserve">ome </w:t>
      </w:r>
      <w:r w:rsidR="00272B57" w:rsidRPr="00550561">
        <w:t>patients</w:t>
      </w:r>
      <w:r w:rsidR="00F7490B" w:rsidRPr="00550561">
        <w:t xml:space="preserve"> </w:t>
      </w:r>
      <w:r w:rsidR="00CB09AD" w:rsidRPr="00550561">
        <w:t xml:space="preserve">believing </w:t>
      </w:r>
      <w:r w:rsidR="002B6198" w:rsidRPr="00550561">
        <w:t>it</w:t>
      </w:r>
      <w:r w:rsidRPr="00550561">
        <w:t xml:space="preserve"> would be to review prescribed opioids, reduce them where appropriate and support </w:t>
      </w:r>
      <w:r w:rsidR="002B6198" w:rsidRPr="00550561">
        <w:t xml:space="preserve">them </w:t>
      </w:r>
      <w:r w:rsidRPr="00550561">
        <w:t>to live better with pain</w:t>
      </w:r>
      <w:r w:rsidR="002B6198" w:rsidRPr="00550561">
        <w:t>, whilst others</w:t>
      </w:r>
      <w:r w:rsidR="00036BF2" w:rsidRPr="00550561">
        <w:t xml:space="preserve"> </w:t>
      </w:r>
      <w:r w:rsidR="00502A74" w:rsidRPr="00550561">
        <w:t xml:space="preserve">expected </w:t>
      </w:r>
      <w:r w:rsidRPr="00550561">
        <w:t>to be given an alternative pain medicine to replace opioids</w:t>
      </w:r>
      <w:r w:rsidR="002E6074" w:rsidRPr="00550561">
        <w:t>.</w:t>
      </w:r>
      <w:r w:rsidR="00AA13C4" w:rsidRPr="00550561">
        <w:t xml:space="preserve"> </w:t>
      </w:r>
      <w:r w:rsidR="00FC2207" w:rsidRPr="00550561">
        <w:t>A</w:t>
      </w:r>
      <w:r w:rsidR="00910838" w:rsidRPr="00550561">
        <w:t xml:space="preserve">fter experiencing </w:t>
      </w:r>
      <w:r w:rsidR="003E3D53" w:rsidRPr="00550561">
        <w:t>the prototype</w:t>
      </w:r>
      <w:r w:rsidR="00910838" w:rsidRPr="00550561">
        <w:t xml:space="preserve"> review, </w:t>
      </w:r>
      <w:r w:rsidR="00FC2207" w:rsidRPr="00550561">
        <w:t xml:space="preserve">some </w:t>
      </w:r>
      <w:r w:rsidR="000B2D4D" w:rsidRPr="00550561">
        <w:t xml:space="preserve">patients </w:t>
      </w:r>
      <w:r w:rsidR="00FC2207" w:rsidRPr="00550561">
        <w:t xml:space="preserve">still felt </w:t>
      </w:r>
      <w:r w:rsidR="00910838" w:rsidRPr="00550561">
        <w:t>that it was</w:t>
      </w:r>
      <w:r w:rsidR="003925FA" w:rsidRPr="00550561">
        <w:t xml:space="preserve"> no</w:t>
      </w:r>
      <w:r w:rsidR="00910838" w:rsidRPr="00550561">
        <w:t xml:space="preserve">t suitable for them as they were only taking a weak </w:t>
      </w:r>
      <w:r w:rsidR="003925FA" w:rsidRPr="00550561">
        <w:t>opioid or low dose that did not warrant any change.</w:t>
      </w:r>
      <w:r w:rsidR="002F561A" w:rsidRPr="00550561">
        <w:t xml:space="preserve"> </w:t>
      </w:r>
    </w:p>
    <w:p w14:paraId="1D56EA7A" w14:textId="0AD6ED58" w:rsidR="00266CC2" w:rsidRPr="00550561" w:rsidRDefault="00266CC2" w:rsidP="00266CC2">
      <w:pPr>
        <w:spacing w:line="360" w:lineRule="auto"/>
        <w:ind w:left="567"/>
      </w:pPr>
      <w:r w:rsidRPr="00550561">
        <w:rPr>
          <w:i/>
          <w:iCs/>
        </w:rPr>
        <w:t xml:space="preserve">‘If I was on a lot, I’d want to reduce it but I don’t take, I’m very careful what I do take.’ </w:t>
      </w:r>
      <w:r w:rsidRPr="00550561">
        <w:t>(</w:t>
      </w:r>
      <w:r w:rsidR="00772B19" w:rsidRPr="00550561">
        <w:t>IPT</w:t>
      </w:r>
      <w:r w:rsidR="00F96733" w:rsidRPr="00550561">
        <w:t xml:space="preserve"> patient</w:t>
      </w:r>
      <w:r w:rsidR="00772B19" w:rsidRPr="00550561">
        <w:t>_</w:t>
      </w:r>
      <w:r w:rsidRPr="00550561">
        <w:t>5</w:t>
      </w:r>
      <w:r w:rsidR="00F96733" w:rsidRPr="00550561">
        <w:t>: f</w:t>
      </w:r>
      <w:r w:rsidR="00F27EC8" w:rsidRPr="00550561">
        <w:t>emale</w:t>
      </w:r>
      <w:r w:rsidR="00F96733" w:rsidRPr="00550561">
        <w:t>/</w:t>
      </w:r>
      <w:r w:rsidR="00115A54" w:rsidRPr="00550561">
        <w:t>w</w:t>
      </w:r>
      <w:r w:rsidR="00F27EC8" w:rsidRPr="00550561">
        <w:t xml:space="preserve">eak </w:t>
      </w:r>
      <w:r w:rsidR="00115A54" w:rsidRPr="00550561">
        <w:t>o</w:t>
      </w:r>
      <w:r w:rsidR="00F27EC8" w:rsidRPr="00550561">
        <w:t>pioid</w:t>
      </w:r>
      <w:r w:rsidRPr="00550561">
        <w:t>)</w:t>
      </w:r>
    </w:p>
    <w:p w14:paraId="19FC3C7F" w14:textId="00A2E5E6" w:rsidR="00846751" w:rsidRPr="00550561" w:rsidRDefault="00846751" w:rsidP="00846751">
      <w:pPr>
        <w:spacing w:line="360" w:lineRule="auto"/>
      </w:pPr>
      <w:r w:rsidRPr="00550561">
        <w:t xml:space="preserve">Once they had experienced PROMPPT, the majority of </w:t>
      </w:r>
      <w:r w:rsidR="001A5EFB" w:rsidRPr="00550561">
        <w:t>patients</w:t>
      </w:r>
      <w:r w:rsidRPr="00550561">
        <w:t xml:space="preserve"> reported that the review </w:t>
      </w:r>
      <w:r w:rsidR="002F561A" w:rsidRPr="00550561">
        <w:t>left them feeling v</w:t>
      </w:r>
      <w:r w:rsidRPr="00550561">
        <w:t>alued and supported and appreciated the dedicated time and collaborative approach to their pain management.</w:t>
      </w:r>
    </w:p>
    <w:p w14:paraId="60247F67" w14:textId="52155397" w:rsidR="00C34CE7" w:rsidRPr="00550561" w:rsidRDefault="00C34CE7" w:rsidP="00DA710C">
      <w:pPr>
        <w:spacing w:before="240" w:line="360" w:lineRule="auto"/>
        <w:rPr>
          <w:i/>
          <w:iCs/>
        </w:rPr>
      </w:pPr>
      <w:r w:rsidRPr="00550561">
        <w:rPr>
          <w:i/>
          <w:iCs/>
        </w:rPr>
        <w:t>Opportunity costs</w:t>
      </w:r>
    </w:p>
    <w:p w14:paraId="09F99989" w14:textId="6CA6A74E" w:rsidR="00DA710C" w:rsidRPr="00550561" w:rsidRDefault="00DA710C" w:rsidP="00DA710C">
      <w:pPr>
        <w:spacing w:before="240" w:line="360" w:lineRule="auto"/>
      </w:pPr>
      <w:r w:rsidRPr="00550561">
        <w:t xml:space="preserve">Some </w:t>
      </w:r>
      <w:r w:rsidR="00193E48" w:rsidRPr="00550561">
        <w:t>patients expressed</w:t>
      </w:r>
      <w:r w:rsidRPr="00550561">
        <w:t xml:space="preserve"> concern about</w:t>
      </w:r>
      <w:r w:rsidR="00CA4425" w:rsidRPr="00550561">
        <w:t xml:space="preserve"> being invited and</w:t>
      </w:r>
      <w:r w:rsidRPr="00550561">
        <w:t xml:space="preserve"> attending a review for fear of having their opioids </w:t>
      </w:r>
      <w:r w:rsidR="000822DC" w:rsidRPr="00550561">
        <w:t>stopped</w:t>
      </w:r>
      <w:r w:rsidR="00D75506">
        <w:t>.</w:t>
      </w:r>
      <w:r w:rsidR="00F7490B" w:rsidRPr="00550561">
        <w:t xml:space="preserve"> </w:t>
      </w:r>
      <w:r w:rsidR="00D75506">
        <w:t>They spoke of</w:t>
      </w:r>
      <w:r w:rsidRPr="00550561">
        <w:t xml:space="preserve"> valu</w:t>
      </w:r>
      <w:r w:rsidR="00D75506">
        <w:t>ing</w:t>
      </w:r>
      <w:r w:rsidRPr="00550561">
        <w:t xml:space="preserve"> opioids to help them get by day-to-day</w:t>
      </w:r>
      <w:r w:rsidR="00D75506">
        <w:t xml:space="preserve"> and feared</w:t>
      </w:r>
      <w:r w:rsidRPr="00550561">
        <w:t xml:space="preserve"> </w:t>
      </w:r>
      <w:r w:rsidR="00D75506">
        <w:t xml:space="preserve">stopping would </w:t>
      </w:r>
      <w:r w:rsidRPr="00550561">
        <w:t>impact on their priorities.</w:t>
      </w:r>
      <w:r w:rsidR="00805BEB" w:rsidRPr="00550561">
        <w:t xml:space="preserve"> This concern was not reported by</w:t>
      </w:r>
      <w:r w:rsidR="0084098D" w:rsidRPr="00550561">
        <w:t xml:space="preserve"> any IPT patients</w:t>
      </w:r>
      <w:r w:rsidR="00805BEB" w:rsidRPr="00550561">
        <w:t xml:space="preserve"> once they had attended a </w:t>
      </w:r>
      <w:r w:rsidR="002E1C79" w:rsidRPr="00550561">
        <w:t>PROMPPT</w:t>
      </w:r>
      <w:r w:rsidR="00805BEB" w:rsidRPr="00550561">
        <w:t xml:space="preserve"> review.</w:t>
      </w:r>
      <w:r w:rsidR="0013792B" w:rsidRPr="00550561">
        <w:t xml:space="preserve"> </w:t>
      </w:r>
    </w:p>
    <w:p w14:paraId="1EA7820A" w14:textId="71389EFC" w:rsidR="00C34CE7" w:rsidRPr="00550561" w:rsidRDefault="00C34CE7" w:rsidP="00DA710C">
      <w:pPr>
        <w:spacing w:before="240" w:line="360" w:lineRule="auto"/>
        <w:rPr>
          <w:i/>
          <w:iCs/>
        </w:rPr>
      </w:pPr>
      <w:r w:rsidRPr="00550561">
        <w:rPr>
          <w:i/>
          <w:iCs/>
        </w:rPr>
        <w:t>Perceived effectiveness</w:t>
      </w:r>
    </w:p>
    <w:p w14:paraId="32B980BF" w14:textId="44617D2F" w:rsidR="002C0773" w:rsidRPr="00550561" w:rsidRDefault="00DA710C" w:rsidP="002C0773">
      <w:pPr>
        <w:spacing w:line="360" w:lineRule="auto"/>
      </w:pPr>
      <w:r w:rsidRPr="00550561">
        <w:t xml:space="preserve">When discussing the potential of the </w:t>
      </w:r>
      <w:r w:rsidR="00053A0F" w:rsidRPr="00550561">
        <w:t xml:space="preserve">proposed </w:t>
      </w:r>
      <w:r w:rsidRPr="00550561">
        <w:t xml:space="preserve">PROMPPT </w:t>
      </w:r>
      <w:r w:rsidR="00053A0F" w:rsidRPr="00550561">
        <w:t>reviews,</w:t>
      </w:r>
      <w:r w:rsidRPr="00550561">
        <w:t xml:space="preserve"> </w:t>
      </w:r>
      <w:r w:rsidR="00166ABB" w:rsidRPr="00550561">
        <w:t>patients</w:t>
      </w:r>
      <w:r w:rsidR="00F7490B" w:rsidRPr="00550561">
        <w:t xml:space="preserve"> </w:t>
      </w:r>
      <w:r w:rsidRPr="00550561">
        <w:t xml:space="preserve">were generally optimistic that it would be successful, specifically in tapering down opioids, improving </w:t>
      </w:r>
      <w:r w:rsidR="00D65EAC" w:rsidRPr="00550561">
        <w:t xml:space="preserve">their </w:t>
      </w:r>
      <w:r w:rsidRPr="00550561">
        <w:t xml:space="preserve">quality of life and ability to </w:t>
      </w:r>
      <w:r w:rsidR="00C95A31" w:rsidRPr="00550561">
        <w:t>manage</w:t>
      </w:r>
      <w:r w:rsidRPr="00550561">
        <w:t xml:space="preserve"> their pain</w:t>
      </w:r>
      <w:r w:rsidR="00C95A31" w:rsidRPr="00550561">
        <w:t>.</w:t>
      </w:r>
      <w:r w:rsidRPr="00550561">
        <w:t xml:space="preserve"> However, some felt doubtful that a pharmacist would be able to help when a GP ha</w:t>
      </w:r>
      <w:r w:rsidR="00672DC8" w:rsidRPr="00550561">
        <w:t>d</w:t>
      </w:r>
      <w:r w:rsidRPr="00550561">
        <w:t xml:space="preserve"> not helped in the past. </w:t>
      </w:r>
      <w:r w:rsidR="00C24C91" w:rsidRPr="00550561">
        <w:t>S</w:t>
      </w:r>
      <w:r w:rsidR="002C0773" w:rsidRPr="00550561">
        <w:t xml:space="preserve">ome </w:t>
      </w:r>
      <w:r w:rsidR="00C24C91" w:rsidRPr="00550561">
        <w:t xml:space="preserve">patients said the prototype review exceeded </w:t>
      </w:r>
      <w:r w:rsidR="002C0773" w:rsidRPr="00550561">
        <w:t xml:space="preserve">expectations, </w:t>
      </w:r>
      <w:r w:rsidR="00DE3728" w:rsidRPr="00550561">
        <w:t xml:space="preserve">but </w:t>
      </w:r>
      <w:r w:rsidR="00106A0C" w:rsidRPr="00550561">
        <w:t xml:space="preserve">some </w:t>
      </w:r>
      <w:r w:rsidR="00DE3728" w:rsidRPr="00550561">
        <w:t xml:space="preserve">remained </w:t>
      </w:r>
      <w:r w:rsidR="002C0773" w:rsidRPr="00550561">
        <w:t xml:space="preserve">doubtful in how successful it would be in reducing their opioids completely, with a slight reduction </w:t>
      </w:r>
      <w:r w:rsidR="00662C0B" w:rsidRPr="00550561">
        <w:t xml:space="preserve">seeming </w:t>
      </w:r>
      <w:r w:rsidR="002C0773" w:rsidRPr="00550561">
        <w:t xml:space="preserve">more realistic. </w:t>
      </w:r>
    </w:p>
    <w:p w14:paraId="118CE4EC" w14:textId="2D61ADED" w:rsidR="002C0773" w:rsidRPr="00550561" w:rsidRDefault="002C0773" w:rsidP="002C0773">
      <w:pPr>
        <w:spacing w:line="360" w:lineRule="auto"/>
        <w:ind w:left="567"/>
      </w:pPr>
      <w:r w:rsidRPr="00550561">
        <w:rPr>
          <w:i/>
          <w:iCs/>
        </w:rPr>
        <w:t>‘I mean I would love to, to get rid of them all.  Er, I can't see that happening er, in the future, being off them all but it might get reduced which would be good.’</w:t>
      </w:r>
      <w:r w:rsidRPr="00550561">
        <w:t xml:space="preserve"> </w:t>
      </w:r>
      <w:r w:rsidR="00F27EC8" w:rsidRPr="00550561">
        <w:t>(</w:t>
      </w:r>
      <w:r w:rsidRPr="00550561">
        <w:t>IP</w:t>
      </w:r>
      <w:r w:rsidR="00F96733" w:rsidRPr="00550561">
        <w:t>T patient_</w:t>
      </w:r>
      <w:r w:rsidRPr="00550561">
        <w:t>29</w:t>
      </w:r>
      <w:r w:rsidR="00F96733" w:rsidRPr="00550561">
        <w:t>: f</w:t>
      </w:r>
      <w:r w:rsidR="00115A54" w:rsidRPr="00550561">
        <w:t>emale/</w:t>
      </w:r>
      <w:r w:rsidR="00F96733" w:rsidRPr="00550561">
        <w:t>w</w:t>
      </w:r>
      <w:r w:rsidR="00115A54" w:rsidRPr="00550561">
        <w:t>eak opioid</w:t>
      </w:r>
      <w:r w:rsidR="008B55C7" w:rsidRPr="00550561">
        <w:t>)</w:t>
      </w:r>
    </w:p>
    <w:p w14:paraId="08863903" w14:textId="110054E4" w:rsidR="005A3BF2" w:rsidRPr="00550561" w:rsidRDefault="005A3BF2" w:rsidP="005A3BF2">
      <w:pPr>
        <w:spacing w:line="360" w:lineRule="auto"/>
      </w:pPr>
      <w:r w:rsidRPr="00550561">
        <w:rPr>
          <w:i/>
          <w:iCs/>
        </w:rPr>
        <w:t>Self-efficacy</w:t>
      </w:r>
    </w:p>
    <w:p w14:paraId="321C4529" w14:textId="0BA981D2" w:rsidR="000D0B23" w:rsidRPr="00550561" w:rsidRDefault="003E35FD" w:rsidP="000D0B23">
      <w:pPr>
        <w:spacing w:line="360" w:lineRule="auto"/>
      </w:pPr>
      <w:r w:rsidRPr="00550561">
        <w:t>Although</w:t>
      </w:r>
      <w:r w:rsidR="00115616">
        <w:t xml:space="preserve"> most</w:t>
      </w:r>
      <w:r w:rsidRPr="00550561">
        <w:t xml:space="preserve"> </w:t>
      </w:r>
      <w:r w:rsidR="00106A0C" w:rsidRPr="00550561">
        <w:t>patients</w:t>
      </w:r>
      <w:r w:rsidR="003A29B1" w:rsidRPr="00550561">
        <w:t xml:space="preserve"> </w:t>
      </w:r>
      <w:r w:rsidR="0052299D" w:rsidRPr="00550561">
        <w:t xml:space="preserve">said they </w:t>
      </w:r>
      <w:r w:rsidRPr="00550561">
        <w:t xml:space="preserve">felt confident that they </w:t>
      </w:r>
      <w:r w:rsidR="005F653B" w:rsidRPr="00550561">
        <w:t>would be able to</w:t>
      </w:r>
      <w:r w:rsidRPr="00550561">
        <w:t xml:space="preserve"> discuss their pain with a pharmacist, confidence in their ability to reduce opioids was mixed.</w:t>
      </w:r>
      <w:r w:rsidR="00607A17" w:rsidRPr="00550561">
        <w:t xml:space="preserve"> Patients with tapering </w:t>
      </w:r>
      <w:r w:rsidR="00EB2661" w:rsidRPr="00550561">
        <w:t>experience felt confident about the prospect of engaging in the opioid reduction process</w:t>
      </w:r>
      <w:r w:rsidR="00D75506">
        <w:t xml:space="preserve"> and</w:t>
      </w:r>
      <w:r w:rsidR="003A29B1" w:rsidRPr="00550561" w:rsidDel="003A29B1">
        <w:t xml:space="preserve"> </w:t>
      </w:r>
      <w:r w:rsidR="000D0B23" w:rsidRPr="00550561">
        <w:t>generally</w:t>
      </w:r>
      <w:r w:rsidR="00D75506">
        <w:t xml:space="preserve"> reported</w:t>
      </w:r>
      <w:r w:rsidR="004F7B6A" w:rsidRPr="00550561">
        <w:t xml:space="preserve"> feeling</w:t>
      </w:r>
      <w:r w:rsidR="000D0B23" w:rsidRPr="00550561">
        <w:t xml:space="preserve"> very confident participating in the </w:t>
      </w:r>
      <w:r w:rsidR="00A96EEA" w:rsidRPr="00550561">
        <w:t xml:space="preserve">prototype </w:t>
      </w:r>
      <w:r w:rsidR="000D0B23" w:rsidRPr="00550561">
        <w:t>review</w:t>
      </w:r>
      <w:r w:rsidR="00100ECB" w:rsidRPr="00550561">
        <w:t xml:space="preserve"> during IPT</w:t>
      </w:r>
      <w:r w:rsidR="000D0B23" w:rsidRPr="00550561">
        <w:t>, allowing them to engage and be open with the practice pharmacist during the review.</w:t>
      </w:r>
      <w:r w:rsidR="00D75506" w:rsidRPr="00D75506">
        <w:t xml:space="preserve"> </w:t>
      </w:r>
      <w:r w:rsidR="00C70468" w:rsidRPr="00D75506">
        <w:t>However,</w:t>
      </w:r>
      <w:r w:rsidR="00D75506" w:rsidRPr="00D75506">
        <w:t xml:space="preserve"> those with no experience expressed uncertainty and nervousness</w:t>
      </w:r>
      <w:r w:rsidR="00966D43">
        <w:t xml:space="preserve"> about trying</w:t>
      </w:r>
      <w:r w:rsidR="00D75506" w:rsidRPr="00D75506">
        <w:t xml:space="preserve">.  </w:t>
      </w:r>
    </w:p>
    <w:p w14:paraId="6DDD4B2F" w14:textId="4E614EC5" w:rsidR="002327B2" w:rsidRPr="00550561" w:rsidRDefault="000360F1" w:rsidP="00F66B15">
      <w:pPr>
        <w:spacing w:line="360" w:lineRule="auto"/>
        <w:sectPr w:rsidR="002327B2" w:rsidRPr="00550561" w:rsidSect="00935D7F">
          <w:footerReference w:type="default" r:id="rId11"/>
          <w:pgSz w:w="11906" w:h="16838"/>
          <w:pgMar w:top="1440" w:right="1440" w:bottom="1440" w:left="1440" w:header="708" w:footer="708" w:gutter="0"/>
          <w:cols w:space="708"/>
          <w:docGrid w:linePitch="360"/>
        </w:sectPr>
      </w:pPr>
      <w:r w:rsidRPr="00550561">
        <w:t>P</w:t>
      </w:r>
      <w:r w:rsidR="000219EB" w:rsidRPr="00550561">
        <w:t xml:space="preserve">erspectives of </w:t>
      </w:r>
      <w:r w:rsidR="009E28D7" w:rsidRPr="00550561">
        <w:t xml:space="preserve">prospective and experienced </w:t>
      </w:r>
      <w:r w:rsidR="000219EB" w:rsidRPr="00550561">
        <w:t xml:space="preserve">acceptability </w:t>
      </w:r>
      <w:r w:rsidR="00D13F85" w:rsidRPr="00550561">
        <w:t>seemed</w:t>
      </w:r>
      <w:r w:rsidR="000219EB" w:rsidRPr="00550561">
        <w:t xml:space="preserve"> </w:t>
      </w:r>
      <w:r w:rsidR="006B1A70" w:rsidRPr="00550561">
        <w:t xml:space="preserve">largely </w:t>
      </w:r>
      <w:r w:rsidR="000219EB" w:rsidRPr="00550561">
        <w:t>similar regardless of opioid strength</w:t>
      </w:r>
      <w:r w:rsidR="003A29B1" w:rsidRPr="00550561">
        <w:t xml:space="preserve"> used</w:t>
      </w:r>
      <w:r w:rsidR="000219EB" w:rsidRPr="00550561">
        <w:t>.</w:t>
      </w:r>
      <w:r w:rsidR="00D7097B" w:rsidRPr="00550561">
        <w:t xml:space="preserve"> </w:t>
      </w:r>
      <w:r w:rsidR="00FF0229" w:rsidRPr="00550561">
        <w:t>However</w:t>
      </w:r>
      <w:r w:rsidR="00AF061E" w:rsidRPr="00550561">
        <w:t>,</w:t>
      </w:r>
      <w:r w:rsidR="004238CA" w:rsidRPr="00550561">
        <w:t xml:space="preserve"> </w:t>
      </w:r>
      <w:r w:rsidR="00AF061E" w:rsidRPr="00550561">
        <w:t>w</w:t>
      </w:r>
      <w:r w:rsidR="00AC2CF6" w:rsidRPr="00550561">
        <w:t xml:space="preserve">hen thinking about </w:t>
      </w:r>
      <w:r w:rsidR="003F3D27">
        <w:t xml:space="preserve">the proposed PROMPPT </w:t>
      </w:r>
      <w:r w:rsidR="00AC2CF6" w:rsidRPr="00550561">
        <w:t xml:space="preserve">review there were </w:t>
      </w:r>
      <w:r w:rsidR="001F7583" w:rsidRPr="00550561">
        <w:t>d</w:t>
      </w:r>
      <w:r w:rsidR="0059684E" w:rsidRPr="00550561">
        <w:t>ifferences in the domains of burden and self</w:t>
      </w:r>
      <w:r w:rsidR="006B1A70" w:rsidRPr="00550561">
        <w:t>-</w:t>
      </w:r>
      <w:r w:rsidR="0059684E" w:rsidRPr="00550561">
        <w:t>efficacy. Thos</w:t>
      </w:r>
      <w:r w:rsidR="00CA738B" w:rsidRPr="00550561">
        <w:t xml:space="preserve">e </w:t>
      </w:r>
      <w:r w:rsidR="00D7097B" w:rsidRPr="00550561">
        <w:t>on strong opioids felt the re</w:t>
      </w:r>
      <w:r w:rsidR="00CC5A31" w:rsidRPr="00550561">
        <w:t>view would be more burdensome if they were having a bad day</w:t>
      </w:r>
      <w:r w:rsidR="00CA738B" w:rsidRPr="00550561">
        <w:t xml:space="preserve"> and </w:t>
      </w:r>
      <w:r w:rsidR="00D77F5E" w:rsidRPr="00550561">
        <w:t>were less confident/more concerned about their ability</w:t>
      </w:r>
      <w:r w:rsidR="00473147" w:rsidRPr="00550561">
        <w:t xml:space="preserve"> to</w:t>
      </w:r>
      <w:r w:rsidR="00211BB2" w:rsidRPr="00550561">
        <w:t xml:space="preserve"> reduce. </w:t>
      </w:r>
      <w:r w:rsidRPr="00550561">
        <w:t xml:space="preserve"> </w:t>
      </w:r>
      <w:r w:rsidR="002327B2" w:rsidRPr="00550561">
        <w:t>Following IPT those on weak opioids perceived that patients taking higher doses would be scared that their opioids would be stopped (affective attitude). They felt that tapering could be difficult for patients who were resistant to changing opioids (burden) and some felt suggested it may be more realistic to reduce rather than stop opioids (perceived effectiveness).</w:t>
      </w:r>
    </w:p>
    <w:p w14:paraId="34201151" w14:textId="23A4A9E9" w:rsidR="005E16B4" w:rsidRPr="006F4394" w:rsidRDefault="00D859C6" w:rsidP="00854875">
      <w:pPr>
        <w:pStyle w:val="Caption"/>
        <w:keepNext/>
        <w:rPr>
          <w:i w:val="0"/>
          <w:iCs w:val="0"/>
          <w:color w:val="auto"/>
          <w:sz w:val="22"/>
          <w:szCs w:val="22"/>
        </w:rPr>
      </w:pPr>
      <w:r w:rsidRPr="006F4394">
        <w:rPr>
          <w:b/>
          <w:bCs/>
          <w:i w:val="0"/>
          <w:iCs w:val="0"/>
          <w:color w:val="auto"/>
          <w:sz w:val="22"/>
          <w:szCs w:val="22"/>
        </w:rPr>
        <w:t xml:space="preserve">Table </w:t>
      </w:r>
      <w:r w:rsidRPr="006F4394">
        <w:rPr>
          <w:b/>
          <w:bCs/>
          <w:i w:val="0"/>
          <w:iCs w:val="0"/>
          <w:color w:val="auto"/>
          <w:sz w:val="22"/>
          <w:szCs w:val="22"/>
        </w:rPr>
        <w:fldChar w:fldCharType="begin"/>
      </w:r>
      <w:r w:rsidRPr="006F4394">
        <w:rPr>
          <w:b/>
          <w:bCs/>
          <w:i w:val="0"/>
          <w:iCs w:val="0"/>
          <w:color w:val="auto"/>
          <w:sz w:val="22"/>
          <w:szCs w:val="22"/>
        </w:rPr>
        <w:instrText xml:space="preserve"> SEQ Table \* ARABIC </w:instrText>
      </w:r>
      <w:r w:rsidRPr="006F4394">
        <w:rPr>
          <w:b/>
          <w:bCs/>
          <w:i w:val="0"/>
          <w:iCs w:val="0"/>
          <w:color w:val="auto"/>
          <w:sz w:val="22"/>
          <w:szCs w:val="22"/>
        </w:rPr>
        <w:fldChar w:fldCharType="separate"/>
      </w:r>
      <w:r w:rsidR="002274A6" w:rsidRPr="006F4394">
        <w:rPr>
          <w:b/>
          <w:bCs/>
          <w:i w:val="0"/>
          <w:iCs w:val="0"/>
          <w:color w:val="auto"/>
          <w:sz w:val="22"/>
          <w:szCs w:val="22"/>
        </w:rPr>
        <w:t>4</w:t>
      </w:r>
      <w:r w:rsidRPr="006F4394">
        <w:rPr>
          <w:b/>
          <w:bCs/>
          <w:i w:val="0"/>
          <w:iCs w:val="0"/>
          <w:color w:val="auto"/>
          <w:sz w:val="22"/>
          <w:szCs w:val="22"/>
        </w:rPr>
        <w:fldChar w:fldCharType="end"/>
      </w:r>
      <w:r w:rsidR="004D0577" w:rsidRPr="006F4394">
        <w:rPr>
          <w:b/>
          <w:bCs/>
          <w:i w:val="0"/>
          <w:iCs w:val="0"/>
          <w:color w:val="auto"/>
          <w:sz w:val="22"/>
          <w:szCs w:val="22"/>
        </w:rPr>
        <w:t>.</w:t>
      </w:r>
      <w:r w:rsidRPr="006F4394">
        <w:rPr>
          <w:b/>
          <w:bCs/>
          <w:i w:val="0"/>
          <w:iCs w:val="0"/>
          <w:color w:val="auto"/>
          <w:sz w:val="22"/>
          <w:szCs w:val="22"/>
        </w:rPr>
        <w:t xml:space="preserve"> </w:t>
      </w:r>
      <w:r w:rsidR="009D2086" w:rsidRPr="006F4394">
        <w:rPr>
          <w:b/>
          <w:bCs/>
          <w:i w:val="0"/>
          <w:iCs w:val="0"/>
          <w:color w:val="auto"/>
          <w:sz w:val="22"/>
          <w:szCs w:val="22"/>
        </w:rPr>
        <w:t xml:space="preserve">Summary of </w:t>
      </w:r>
      <w:r w:rsidR="004D6CB6" w:rsidRPr="006F4394">
        <w:rPr>
          <w:b/>
          <w:bCs/>
          <w:i w:val="0"/>
          <w:iCs w:val="0"/>
          <w:color w:val="auto"/>
          <w:sz w:val="22"/>
          <w:szCs w:val="22"/>
        </w:rPr>
        <w:t xml:space="preserve">patients’ </w:t>
      </w:r>
      <w:r w:rsidR="00854875" w:rsidRPr="006F4394">
        <w:rPr>
          <w:b/>
          <w:bCs/>
          <w:i w:val="0"/>
          <w:iCs w:val="0"/>
          <w:color w:val="auto"/>
          <w:sz w:val="22"/>
          <w:szCs w:val="22"/>
        </w:rPr>
        <w:t xml:space="preserve">perceptions of </w:t>
      </w:r>
      <w:r w:rsidR="003A29B1" w:rsidRPr="006F4394">
        <w:rPr>
          <w:b/>
          <w:bCs/>
          <w:i w:val="0"/>
          <w:iCs w:val="0"/>
          <w:color w:val="auto"/>
          <w:sz w:val="22"/>
          <w:szCs w:val="22"/>
        </w:rPr>
        <w:t>a</w:t>
      </w:r>
      <w:r w:rsidR="00854875" w:rsidRPr="006F4394">
        <w:rPr>
          <w:b/>
          <w:bCs/>
          <w:i w:val="0"/>
          <w:iCs w:val="0"/>
          <w:color w:val="auto"/>
          <w:sz w:val="22"/>
          <w:szCs w:val="22"/>
        </w:rPr>
        <w:t>cceptability of</w:t>
      </w:r>
      <w:r w:rsidR="003A29B1" w:rsidRPr="006F4394">
        <w:rPr>
          <w:b/>
          <w:bCs/>
          <w:i w:val="0"/>
          <w:iCs w:val="0"/>
          <w:color w:val="auto"/>
          <w:sz w:val="22"/>
          <w:szCs w:val="22"/>
        </w:rPr>
        <w:t xml:space="preserve"> the </w:t>
      </w:r>
      <w:r w:rsidR="00854875" w:rsidRPr="006F4394">
        <w:rPr>
          <w:b/>
          <w:bCs/>
          <w:i w:val="0"/>
          <w:iCs w:val="0"/>
          <w:color w:val="auto"/>
          <w:sz w:val="22"/>
          <w:szCs w:val="22"/>
        </w:rPr>
        <w:t xml:space="preserve">PROMPPT </w:t>
      </w:r>
      <w:r w:rsidR="003A29B1" w:rsidRPr="006F4394">
        <w:rPr>
          <w:b/>
          <w:bCs/>
          <w:i w:val="0"/>
          <w:iCs w:val="0"/>
          <w:color w:val="auto"/>
          <w:sz w:val="22"/>
          <w:szCs w:val="22"/>
        </w:rPr>
        <w:t>review</w:t>
      </w:r>
      <w:r w:rsidR="009B5CC1" w:rsidRPr="006F4394">
        <w:rPr>
          <w:b/>
          <w:bCs/>
          <w:i w:val="0"/>
          <w:iCs w:val="0"/>
          <w:color w:val="auto"/>
          <w:sz w:val="22"/>
          <w:szCs w:val="22"/>
        </w:rPr>
        <w:t xml:space="preserve"> </w:t>
      </w:r>
      <w:r w:rsidR="009B5CC1" w:rsidRPr="006F4394">
        <w:rPr>
          <w:i w:val="0"/>
          <w:iCs w:val="0"/>
          <w:color w:val="auto"/>
          <w:sz w:val="22"/>
          <w:szCs w:val="22"/>
        </w:rPr>
        <w:t xml:space="preserve">(*denotes </w:t>
      </w:r>
      <w:r w:rsidR="009D20DF" w:rsidRPr="006F4394">
        <w:rPr>
          <w:i w:val="0"/>
          <w:iCs w:val="0"/>
          <w:color w:val="auto"/>
          <w:sz w:val="22"/>
          <w:szCs w:val="22"/>
        </w:rPr>
        <w:t xml:space="preserve">aspect identified </w:t>
      </w:r>
      <w:r w:rsidR="00791679" w:rsidRPr="006F4394">
        <w:rPr>
          <w:i w:val="0"/>
          <w:iCs w:val="0"/>
          <w:color w:val="auto"/>
          <w:sz w:val="22"/>
          <w:szCs w:val="22"/>
        </w:rPr>
        <w:t xml:space="preserve">across </w:t>
      </w:r>
      <w:r w:rsidR="009D20DF" w:rsidRPr="006F4394">
        <w:rPr>
          <w:i w:val="0"/>
          <w:iCs w:val="0"/>
          <w:color w:val="auto"/>
          <w:sz w:val="22"/>
          <w:szCs w:val="22"/>
        </w:rPr>
        <w:t>all</w:t>
      </w:r>
      <w:r w:rsidR="00791679" w:rsidRPr="006F4394">
        <w:rPr>
          <w:i w:val="0"/>
          <w:iCs w:val="0"/>
          <w:color w:val="auto"/>
          <w:sz w:val="22"/>
          <w:szCs w:val="22"/>
        </w:rPr>
        <w:t xml:space="preserve"> </w:t>
      </w:r>
      <w:r w:rsidR="009D20DF" w:rsidRPr="006F4394">
        <w:rPr>
          <w:i w:val="0"/>
          <w:iCs w:val="0"/>
          <w:color w:val="auto"/>
          <w:sz w:val="22"/>
          <w:szCs w:val="22"/>
        </w:rPr>
        <w:t>opioid strengths</w:t>
      </w:r>
      <w:r w:rsidR="00791679" w:rsidRPr="006F4394">
        <w:rPr>
          <w:i w:val="0"/>
          <w:iCs w:val="0"/>
          <w:color w:val="auto"/>
          <w:sz w:val="22"/>
          <w:szCs w:val="22"/>
        </w:rPr>
        <w:t>)</w:t>
      </w:r>
    </w:p>
    <w:tbl>
      <w:tblPr>
        <w:tblStyle w:val="PlainTable2"/>
        <w:tblW w:w="14175" w:type="dxa"/>
        <w:tblLook w:val="04A0" w:firstRow="1" w:lastRow="0" w:firstColumn="1" w:lastColumn="0" w:noHBand="0" w:noVBand="1"/>
      </w:tblPr>
      <w:tblGrid>
        <w:gridCol w:w="1419"/>
        <w:gridCol w:w="6378"/>
        <w:gridCol w:w="6378"/>
      </w:tblGrid>
      <w:tr w:rsidR="00930698" w:rsidRPr="00550561" w14:paraId="07D19EB0" w14:textId="77777777" w:rsidTr="00E33D64">
        <w:trPr>
          <w:cnfStyle w:val="100000000000" w:firstRow="1" w:lastRow="0" w:firstColumn="0" w:lastColumn="0" w:oddVBand="0" w:evenVBand="0" w:oddHBand="0" w:evenHBand="0" w:firstRowFirstColumn="0" w:firstRowLastColumn="0" w:lastRowFirstColumn="0" w:lastRowLastColumn="0"/>
          <w:trHeight w:val="499"/>
          <w:tblHeader/>
        </w:trPr>
        <w:tc>
          <w:tcPr>
            <w:cnfStyle w:val="001000000000" w:firstRow="0" w:lastRow="0" w:firstColumn="1" w:lastColumn="0" w:oddVBand="0" w:evenVBand="0" w:oddHBand="0" w:evenHBand="0" w:firstRowFirstColumn="0" w:firstRowLastColumn="0" w:lastRowFirstColumn="0" w:lastRowLastColumn="0"/>
            <w:tcW w:w="1419" w:type="dxa"/>
            <w:vAlign w:val="center"/>
          </w:tcPr>
          <w:p w14:paraId="03971A34" w14:textId="77777777" w:rsidR="00930698" w:rsidRPr="00550561" w:rsidRDefault="00930698" w:rsidP="002E68F7">
            <w:pPr>
              <w:jc w:val="center"/>
            </w:pPr>
            <w:r w:rsidRPr="00550561">
              <w:t>TFA Constructs</w:t>
            </w:r>
          </w:p>
        </w:tc>
        <w:tc>
          <w:tcPr>
            <w:tcW w:w="6378" w:type="dxa"/>
            <w:vAlign w:val="center"/>
          </w:tcPr>
          <w:p w14:paraId="56D4F9F5" w14:textId="2B4057B9" w:rsidR="00930698" w:rsidRPr="00550561" w:rsidRDefault="00930698" w:rsidP="002E68F7">
            <w:pPr>
              <w:jc w:val="center"/>
              <w:cnfStyle w:val="100000000000" w:firstRow="1" w:lastRow="0" w:firstColumn="0" w:lastColumn="0" w:oddVBand="0" w:evenVBand="0" w:oddHBand="0" w:evenHBand="0" w:firstRowFirstColumn="0" w:firstRowLastColumn="0" w:lastRowFirstColumn="0" w:lastRowLastColumn="0"/>
            </w:pPr>
            <w:r w:rsidRPr="00550561">
              <w:t>Prospective acceptability</w:t>
            </w:r>
            <w:r w:rsidR="003A29B1" w:rsidRPr="00550561">
              <w:t xml:space="preserve"> of the proposed PROMPPT review</w:t>
            </w:r>
          </w:p>
        </w:tc>
        <w:tc>
          <w:tcPr>
            <w:tcW w:w="6378" w:type="dxa"/>
            <w:vAlign w:val="center"/>
          </w:tcPr>
          <w:p w14:paraId="43860744" w14:textId="022EB516" w:rsidR="00930698" w:rsidRPr="00550561" w:rsidRDefault="00930698" w:rsidP="002E68F7">
            <w:pPr>
              <w:jc w:val="center"/>
              <w:cnfStyle w:val="100000000000" w:firstRow="1" w:lastRow="0" w:firstColumn="0" w:lastColumn="0" w:oddVBand="0" w:evenVBand="0" w:oddHBand="0" w:evenHBand="0" w:firstRowFirstColumn="0" w:firstRowLastColumn="0" w:lastRowFirstColumn="0" w:lastRowLastColumn="0"/>
            </w:pPr>
            <w:r w:rsidRPr="00550561">
              <w:t>Experienced acceptability</w:t>
            </w:r>
            <w:r w:rsidR="003A29B1" w:rsidRPr="00550561">
              <w:t xml:space="preserve"> of the prototype PROMPPT review</w:t>
            </w:r>
          </w:p>
        </w:tc>
      </w:tr>
      <w:tr w:rsidR="00930698" w:rsidRPr="00550561" w14:paraId="746B5D45" w14:textId="77777777" w:rsidTr="009C2F91">
        <w:trPr>
          <w:cnfStyle w:val="000000100000" w:firstRow="0" w:lastRow="0" w:firstColumn="0" w:lastColumn="0" w:oddVBand="0" w:evenVBand="0" w:oddHBand="1"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1419" w:type="dxa"/>
            <w:vAlign w:val="center"/>
          </w:tcPr>
          <w:p w14:paraId="0FC17765" w14:textId="77777777" w:rsidR="00930698" w:rsidRPr="00550561" w:rsidRDefault="00930698" w:rsidP="002E68F7">
            <w:pPr>
              <w:jc w:val="center"/>
            </w:pPr>
            <w:r w:rsidRPr="00550561">
              <w:t>Global Acceptability</w:t>
            </w:r>
          </w:p>
        </w:tc>
        <w:tc>
          <w:tcPr>
            <w:tcW w:w="6378" w:type="dxa"/>
          </w:tcPr>
          <w:p w14:paraId="0C0E0CAD" w14:textId="7F1724C2" w:rsidR="00930698" w:rsidRPr="00550561" w:rsidRDefault="00596535" w:rsidP="00C27B53">
            <w:pPr>
              <w:pStyle w:val="ListParagraph"/>
              <w:numPr>
                <w:ilvl w:val="0"/>
                <w:numId w:val="7"/>
              </w:numPr>
              <w:ind w:left="180" w:hanging="180"/>
              <w:cnfStyle w:val="000000100000" w:firstRow="0" w:lastRow="0" w:firstColumn="0" w:lastColumn="0" w:oddVBand="0" w:evenVBand="0" w:oddHBand="1" w:evenHBand="0" w:firstRowFirstColumn="0" w:firstRowLastColumn="0" w:lastRowFirstColumn="0" w:lastRowLastColumn="0"/>
            </w:pPr>
            <w:r w:rsidRPr="00550561">
              <w:t>Proposed</w:t>
            </w:r>
            <w:r w:rsidR="00930698" w:rsidRPr="00550561">
              <w:t xml:space="preserve"> reviews generally acceptable </w:t>
            </w:r>
            <w:r w:rsidR="005C6639" w:rsidRPr="00550561">
              <w:t>*</w:t>
            </w:r>
          </w:p>
        </w:tc>
        <w:tc>
          <w:tcPr>
            <w:tcW w:w="6378" w:type="dxa"/>
          </w:tcPr>
          <w:p w14:paraId="1208F80E" w14:textId="67A54FF7" w:rsidR="00930698" w:rsidRPr="00550561" w:rsidRDefault="00930698" w:rsidP="00C27B53">
            <w:pPr>
              <w:pStyle w:val="ListParagraph"/>
              <w:numPr>
                <w:ilvl w:val="0"/>
                <w:numId w:val="7"/>
              </w:numPr>
              <w:ind w:left="180" w:hanging="180"/>
              <w:cnfStyle w:val="000000100000" w:firstRow="0" w:lastRow="0" w:firstColumn="0" w:lastColumn="0" w:oddVBand="0" w:evenVBand="0" w:oddHBand="1" w:evenHBand="0" w:firstRowFirstColumn="0" w:firstRowLastColumn="0" w:lastRowFirstColumn="0" w:lastRowLastColumn="0"/>
            </w:pPr>
            <w:r w:rsidRPr="00550561">
              <w:t xml:space="preserve">Initial </w:t>
            </w:r>
            <w:r w:rsidR="00596535" w:rsidRPr="00550561">
              <w:t xml:space="preserve">prototype </w:t>
            </w:r>
            <w:r w:rsidR="004F2CCC" w:rsidRPr="00550561">
              <w:t>PROMPPT</w:t>
            </w:r>
            <w:r w:rsidRPr="00550561">
              <w:t xml:space="preserve"> review was helpful and enjoyable</w:t>
            </w:r>
          </w:p>
          <w:p w14:paraId="7D20F531" w14:textId="5A48440E" w:rsidR="00930698" w:rsidRPr="00550561" w:rsidRDefault="00930698" w:rsidP="00C27B53">
            <w:pPr>
              <w:pStyle w:val="ListParagraph"/>
              <w:numPr>
                <w:ilvl w:val="0"/>
                <w:numId w:val="7"/>
              </w:numPr>
              <w:ind w:left="180" w:hanging="180"/>
              <w:cnfStyle w:val="000000100000" w:firstRow="0" w:lastRow="0" w:firstColumn="0" w:lastColumn="0" w:oddVBand="0" w:evenVBand="0" w:oddHBand="1" w:evenHBand="0" w:firstRowFirstColumn="0" w:firstRowLastColumn="0" w:lastRowFirstColumn="0" w:lastRowLastColumn="0"/>
            </w:pPr>
            <w:r w:rsidRPr="00550561">
              <w:t xml:space="preserve">Expect PROMPPT to be acceptable to most but not all </w:t>
            </w:r>
            <w:r w:rsidR="0020467B" w:rsidRPr="00550561">
              <w:t>patients</w:t>
            </w:r>
          </w:p>
        </w:tc>
      </w:tr>
      <w:tr w:rsidR="000B24C3" w:rsidRPr="00550561" w14:paraId="7D45F2C7" w14:textId="77777777" w:rsidTr="00D90D54">
        <w:trPr>
          <w:trHeight w:val="499"/>
        </w:trPr>
        <w:tc>
          <w:tcPr>
            <w:cnfStyle w:val="001000000000" w:firstRow="0" w:lastRow="0" w:firstColumn="1" w:lastColumn="0" w:oddVBand="0" w:evenVBand="0" w:oddHBand="0" w:evenHBand="0" w:firstRowFirstColumn="0" w:firstRowLastColumn="0" w:lastRowFirstColumn="0" w:lastRowLastColumn="0"/>
            <w:tcW w:w="1419" w:type="dxa"/>
            <w:vMerge w:val="restart"/>
            <w:vAlign w:val="center"/>
          </w:tcPr>
          <w:p w14:paraId="55E625AA" w14:textId="77777777" w:rsidR="000B24C3" w:rsidRPr="00550561" w:rsidRDefault="000B24C3" w:rsidP="002E68F7">
            <w:pPr>
              <w:jc w:val="center"/>
            </w:pPr>
            <w:r w:rsidRPr="00550561">
              <w:t>Affective attitude</w:t>
            </w:r>
          </w:p>
        </w:tc>
        <w:tc>
          <w:tcPr>
            <w:tcW w:w="6378" w:type="dxa"/>
            <w:tcBorders>
              <w:bottom w:val="nil"/>
            </w:tcBorders>
          </w:tcPr>
          <w:p w14:paraId="7682AFF2" w14:textId="06C606EF" w:rsidR="000B24C3" w:rsidRPr="00550561" w:rsidRDefault="000B24C3" w:rsidP="000B24C3">
            <w:pPr>
              <w:pStyle w:val="ListParagraph"/>
              <w:numPr>
                <w:ilvl w:val="0"/>
                <w:numId w:val="6"/>
              </w:numPr>
              <w:ind w:left="180" w:hanging="180"/>
              <w:cnfStyle w:val="000000000000" w:firstRow="0" w:lastRow="0" w:firstColumn="0" w:lastColumn="0" w:oddVBand="0" w:evenVBand="0" w:oddHBand="0" w:evenHBand="0" w:firstRowFirstColumn="0" w:firstRowLastColumn="0" w:lastRowFirstColumn="0" w:lastRowLastColumn="0"/>
            </w:pPr>
            <w:r w:rsidRPr="00550561">
              <w:t>Positive attitude towards pharmacists*</w:t>
            </w:r>
          </w:p>
        </w:tc>
        <w:tc>
          <w:tcPr>
            <w:tcW w:w="6378" w:type="dxa"/>
            <w:tcBorders>
              <w:bottom w:val="nil"/>
            </w:tcBorders>
          </w:tcPr>
          <w:p w14:paraId="47D2CE6C" w14:textId="27D4F5ED" w:rsidR="000B24C3" w:rsidRPr="00550561" w:rsidRDefault="000B24C3" w:rsidP="000B24C3">
            <w:pPr>
              <w:pStyle w:val="ListParagraph"/>
              <w:numPr>
                <w:ilvl w:val="0"/>
                <w:numId w:val="7"/>
              </w:numPr>
              <w:ind w:left="180" w:hanging="180"/>
              <w:cnfStyle w:val="000000000000" w:firstRow="0" w:lastRow="0" w:firstColumn="0" w:lastColumn="0" w:oddVBand="0" w:evenVBand="0" w:oddHBand="0" w:evenHBand="0" w:firstRowFirstColumn="0" w:firstRowLastColumn="0" w:lastRowFirstColumn="0" w:lastRowLastColumn="0"/>
            </w:pPr>
            <w:r w:rsidRPr="00550561">
              <w:t xml:space="preserve">Pharmacists are approachable, qualified and knowledgeable* </w:t>
            </w:r>
          </w:p>
        </w:tc>
      </w:tr>
      <w:tr w:rsidR="000B24C3" w:rsidRPr="00550561" w14:paraId="28916098" w14:textId="77777777" w:rsidTr="00D90D54">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1419" w:type="dxa"/>
            <w:vMerge/>
            <w:vAlign w:val="center"/>
          </w:tcPr>
          <w:p w14:paraId="10963FF1" w14:textId="77777777" w:rsidR="000B24C3" w:rsidRPr="00550561" w:rsidRDefault="000B24C3" w:rsidP="002E68F7">
            <w:pPr>
              <w:jc w:val="center"/>
            </w:pPr>
          </w:p>
        </w:tc>
        <w:tc>
          <w:tcPr>
            <w:tcW w:w="6378" w:type="dxa"/>
            <w:tcBorders>
              <w:top w:val="nil"/>
              <w:bottom w:val="nil"/>
            </w:tcBorders>
          </w:tcPr>
          <w:p w14:paraId="6F1FC51C" w14:textId="50F430BB" w:rsidR="000B24C3" w:rsidRPr="00550561" w:rsidRDefault="000B24C3" w:rsidP="000B24C3">
            <w:pPr>
              <w:pStyle w:val="ListParagraph"/>
              <w:numPr>
                <w:ilvl w:val="0"/>
                <w:numId w:val="6"/>
              </w:numPr>
              <w:ind w:left="180" w:hanging="180"/>
              <w:cnfStyle w:val="000000100000" w:firstRow="0" w:lastRow="0" w:firstColumn="0" w:lastColumn="0" w:oddVBand="0" w:evenVBand="0" w:oddHBand="1" w:evenHBand="0" w:firstRowFirstColumn="0" w:firstRowLastColumn="0" w:lastRowFirstColumn="0" w:lastRowLastColumn="0"/>
            </w:pPr>
            <w:r w:rsidRPr="00550561">
              <w:t>Uncertainty about pharmacists and their role</w:t>
            </w:r>
          </w:p>
        </w:tc>
        <w:tc>
          <w:tcPr>
            <w:tcW w:w="6378" w:type="dxa"/>
            <w:tcBorders>
              <w:top w:val="nil"/>
              <w:bottom w:val="nil"/>
            </w:tcBorders>
          </w:tcPr>
          <w:p w14:paraId="30D9A4BB" w14:textId="45FEE0BA" w:rsidR="000B24C3" w:rsidRPr="00550561" w:rsidRDefault="000B24C3" w:rsidP="000B24C3">
            <w:pPr>
              <w:pStyle w:val="ListParagraph"/>
              <w:numPr>
                <w:ilvl w:val="0"/>
                <w:numId w:val="7"/>
              </w:numPr>
              <w:ind w:left="180" w:hanging="180"/>
              <w:cnfStyle w:val="000000100000" w:firstRow="0" w:lastRow="0" w:firstColumn="0" w:lastColumn="0" w:oddVBand="0" w:evenVBand="0" w:oddHBand="1" w:evenHBand="0" w:firstRowFirstColumn="0" w:firstRowLastColumn="0" w:lastRowFirstColumn="0" w:lastRowLastColumn="0"/>
            </w:pPr>
            <w:r w:rsidRPr="00550561">
              <w:t>Knowledge of the pharmacist and their role and abilities helped the review</w:t>
            </w:r>
          </w:p>
        </w:tc>
      </w:tr>
      <w:tr w:rsidR="000B24C3" w:rsidRPr="00550561" w14:paraId="1CFAA35A" w14:textId="77777777" w:rsidTr="00D90D54">
        <w:trPr>
          <w:trHeight w:val="311"/>
        </w:trPr>
        <w:tc>
          <w:tcPr>
            <w:cnfStyle w:val="001000000000" w:firstRow="0" w:lastRow="0" w:firstColumn="1" w:lastColumn="0" w:oddVBand="0" w:evenVBand="0" w:oddHBand="0" w:evenHBand="0" w:firstRowFirstColumn="0" w:firstRowLastColumn="0" w:lastRowFirstColumn="0" w:lastRowLastColumn="0"/>
            <w:tcW w:w="1419" w:type="dxa"/>
            <w:vMerge/>
            <w:vAlign w:val="center"/>
          </w:tcPr>
          <w:p w14:paraId="5A164F71" w14:textId="77777777" w:rsidR="000B24C3" w:rsidRPr="00550561" w:rsidRDefault="000B24C3" w:rsidP="002E68F7">
            <w:pPr>
              <w:jc w:val="center"/>
            </w:pPr>
          </w:p>
        </w:tc>
        <w:tc>
          <w:tcPr>
            <w:tcW w:w="6378" w:type="dxa"/>
            <w:tcBorders>
              <w:top w:val="nil"/>
              <w:bottom w:val="nil"/>
            </w:tcBorders>
          </w:tcPr>
          <w:p w14:paraId="24F28AA7" w14:textId="34A190DC" w:rsidR="000B24C3" w:rsidRPr="00550561" w:rsidRDefault="000B24C3" w:rsidP="000B24C3">
            <w:pPr>
              <w:pStyle w:val="ListParagraph"/>
              <w:numPr>
                <w:ilvl w:val="0"/>
                <w:numId w:val="6"/>
              </w:numPr>
              <w:ind w:left="180" w:hanging="180"/>
              <w:cnfStyle w:val="000000000000" w:firstRow="0" w:lastRow="0" w:firstColumn="0" w:lastColumn="0" w:oddVBand="0" w:evenVBand="0" w:oddHBand="0" w:evenHBand="0" w:firstRowFirstColumn="0" w:firstRowLastColumn="0" w:lastRowFirstColumn="0" w:lastRowLastColumn="0"/>
            </w:pPr>
            <w:r w:rsidRPr="00550561">
              <w:t>Gratitude for being invited for a review</w:t>
            </w:r>
          </w:p>
        </w:tc>
        <w:tc>
          <w:tcPr>
            <w:tcW w:w="6378" w:type="dxa"/>
            <w:tcBorders>
              <w:top w:val="nil"/>
              <w:bottom w:val="nil"/>
            </w:tcBorders>
          </w:tcPr>
          <w:p w14:paraId="07BDF207" w14:textId="1A1F6C09" w:rsidR="000B24C3" w:rsidRPr="00550561" w:rsidRDefault="000B24C3" w:rsidP="000B24C3">
            <w:pPr>
              <w:pStyle w:val="ListParagraph"/>
              <w:numPr>
                <w:ilvl w:val="0"/>
                <w:numId w:val="7"/>
              </w:numPr>
              <w:ind w:left="180" w:hanging="180"/>
              <w:cnfStyle w:val="000000000000" w:firstRow="0" w:lastRow="0" w:firstColumn="0" w:lastColumn="0" w:oddVBand="0" w:evenVBand="0" w:oddHBand="0" w:evenHBand="0" w:firstRowFirstColumn="0" w:firstRowLastColumn="0" w:lastRowFirstColumn="0" w:lastRowLastColumn="0"/>
            </w:pPr>
            <w:r w:rsidRPr="00550561">
              <w:t xml:space="preserve">Grateful for participating in a </w:t>
            </w:r>
            <w:r w:rsidR="004F2CCC" w:rsidRPr="00550561">
              <w:t>PROMPPT</w:t>
            </w:r>
            <w:r w:rsidRPr="00550561">
              <w:t xml:space="preserve"> review</w:t>
            </w:r>
          </w:p>
        </w:tc>
      </w:tr>
      <w:tr w:rsidR="000B24C3" w:rsidRPr="00550561" w14:paraId="752FCB02" w14:textId="77777777" w:rsidTr="00D90D54">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1419" w:type="dxa"/>
            <w:vMerge/>
            <w:vAlign w:val="center"/>
          </w:tcPr>
          <w:p w14:paraId="0A00C2CF" w14:textId="77777777" w:rsidR="000B24C3" w:rsidRPr="00550561" w:rsidRDefault="000B24C3" w:rsidP="002E68F7">
            <w:pPr>
              <w:jc w:val="center"/>
            </w:pPr>
          </w:p>
        </w:tc>
        <w:tc>
          <w:tcPr>
            <w:tcW w:w="6378" w:type="dxa"/>
            <w:tcBorders>
              <w:top w:val="nil"/>
              <w:bottom w:val="nil"/>
            </w:tcBorders>
          </w:tcPr>
          <w:p w14:paraId="5A3E3F7D" w14:textId="07281703" w:rsidR="000B24C3" w:rsidRPr="00550561" w:rsidRDefault="000B24C3" w:rsidP="000B24C3">
            <w:pPr>
              <w:pStyle w:val="ListParagraph"/>
              <w:numPr>
                <w:ilvl w:val="0"/>
                <w:numId w:val="6"/>
              </w:numPr>
              <w:ind w:left="180" w:hanging="180"/>
              <w:cnfStyle w:val="000000100000" w:firstRow="0" w:lastRow="0" w:firstColumn="0" w:lastColumn="0" w:oddVBand="0" w:evenVBand="0" w:oddHBand="1" w:evenHBand="0" w:firstRowFirstColumn="0" w:firstRowLastColumn="0" w:lastRowFirstColumn="0" w:lastRowLastColumn="0"/>
            </w:pPr>
            <w:r w:rsidRPr="00550561">
              <w:t xml:space="preserve">Some </w:t>
            </w:r>
            <w:r w:rsidR="004D6CB6" w:rsidRPr="00550561">
              <w:t>patients</w:t>
            </w:r>
            <w:r w:rsidRPr="00550561">
              <w:t xml:space="preserve"> fear having their opioids stopped</w:t>
            </w:r>
          </w:p>
        </w:tc>
        <w:tc>
          <w:tcPr>
            <w:tcW w:w="6378" w:type="dxa"/>
            <w:tcBorders>
              <w:top w:val="nil"/>
              <w:bottom w:val="nil"/>
            </w:tcBorders>
          </w:tcPr>
          <w:p w14:paraId="21167268" w14:textId="416824D7" w:rsidR="000B24C3" w:rsidRPr="00550561" w:rsidRDefault="000B24C3" w:rsidP="000B24C3">
            <w:pPr>
              <w:pStyle w:val="ListParagraph"/>
              <w:numPr>
                <w:ilvl w:val="0"/>
                <w:numId w:val="7"/>
              </w:numPr>
              <w:ind w:left="180" w:hanging="180"/>
              <w:cnfStyle w:val="000000100000" w:firstRow="0" w:lastRow="0" w:firstColumn="0" w:lastColumn="0" w:oddVBand="0" w:evenVBand="0" w:oddHBand="1" w:evenHBand="0" w:firstRowFirstColumn="0" w:firstRowLastColumn="0" w:lastRowFirstColumn="0" w:lastRowLastColumn="0"/>
            </w:pPr>
            <w:r w:rsidRPr="00550561">
              <w:t xml:space="preserve">Other </w:t>
            </w:r>
            <w:r w:rsidR="0020467B" w:rsidRPr="00550561">
              <w:t>patients</w:t>
            </w:r>
            <w:r w:rsidRPr="00550561">
              <w:t xml:space="preserve"> will be scared and expect their opioids to be stopped</w:t>
            </w:r>
          </w:p>
        </w:tc>
      </w:tr>
      <w:tr w:rsidR="000B24C3" w:rsidRPr="00550561" w14:paraId="26B04CCE" w14:textId="77777777" w:rsidTr="00D90D54">
        <w:trPr>
          <w:trHeight w:val="295"/>
        </w:trPr>
        <w:tc>
          <w:tcPr>
            <w:cnfStyle w:val="001000000000" w:firstRow="0" w:lastRow="0" w:firstColumn="1" w:lastColumn="0" w:oddVBand="0" w:evenVBand="0" w:oddHBand="0" w:evenHBand="0" w:firstRowFirstColumn="0" w:firstRowLastColumn="0" w:lastRowFirstColumn="0" w:lastRowLastColumn="0"/>
            <w:tcW w:w="1419" w:type="dxa"/>
            <w:vMerge/>
            <w:vAlign w:val="center"/>
          </w:tcPr>
          <w:p w14:paraId="71DFAB11" w14:textId="77777777" w:rsidR="000B24C3" w:rsidRPr="00550561" w:rsidRDefault="000B24C3" w:rsidP="002E68F7">
            <w:pPr>
              <w:jc w:val="center"/>
            </w:pPr>
          </w:p>
        </w:tc>
        <w:tc>
          <w:tcPr>
            <w:tcW w:w="6378" w:type="dxa"/>
            <w:tcBorders>
              <w:top w:val="nil"/>
              <w:bottom w:val="nil"/>
            </w:tcBorders>
          </w:tcPr>
          <w:p w14:paraId="2CB2AFA7" w14:textId="67067BC2" w:rsidR="000B24C3" w:rsidRPr="00550561" w:rsidRDefault="004D6CB6" w:rsidP="000B24C3">
            <w:pPr>
              <w:pStyle w:val="ListParagraph"/>
              <w:numPr>
                <w:ilvl w:val="0"/>
                <w:numId w:val="6"/>
              </w:numPr>
              <w:ind w:left="180" w:hanging="180"/>
              <w:cnfStyle w:val="000000000000" w:firstRow="0" w:lastRow="0" w:firstColumn="0" w:lastColumn="0" w:oddVBand="0" w:evenVBand="0" w:oddHBand="0" w:evenHBand="0" w:firstRowFirstColumn="0" w:firstRowLastColumn="0" w:lastRowFirstColumn="0" w:lastRowLastColumn="0"/>
            </w:pPr>
            <w:r w:rsidRPr="00550561">
              <w:t>Patients</w:t>
            </w:r>
            <w:r w:rsidR="000B24C3" w:rsidRPr="00550561">
              <w:t xml:space="preserve"> value follow-up reviews</w:t>
            </w:r>
          </w:p>
        </w:tc>
        <w:tc>
          <w:tcPr>
            <w:tcW w:w="6378" w:type="dxa"/>
            <w:tcBorders>
              <w:top w:val="nil"/>
              <w:bottom w:val="nil"/>
            </w:tcBorders>
          </w:tcPr>
          <w:p w14:paraId="5E095289" w14:textId="01D68811" w:rsidR="000B24C3" w:rsidRPr="00550561" w:rsidRDefault="000B24C3" w:rsidP="0006165B">
            <w:pPr>
              <w:jc w:val="center"/>
              <w:cnfStyle w:val="000000000000" w:firstRow="0" w:lastRow="0" w:firstColumn="0" w:lastColumn="0" w:oddVBand="0" w:evenVBand="0" w:oddHBand="0" w:evenHBand="0" w:firstRowFirstColumn="0" w:firstRowLastColumn="0" w:lastRowFirstColumn="0" w:lastRowLastColumn="0"/>
            </w:pPr>
            <w:r w:rsidRPr="00550561">
              <w:t>-</w:t>
            </w:r>
          </w:p>
        </w:tc>
      </w:tr>
      <w:tr w:rsidR="000B24C3" w:rsidRPr="00550561" w14:paraId="3B902DAD" w14:textId="77777777" w:rsidTr="00D90D54">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419" w:type="dxa"/>
            <w:vMerge/>
            <w:vAlign w:val="center"/>
          </w:tcPr>
          <w:p w14:paraId="1777BE4E" w14:textId="77777777" w:rsidR="000B24C3" w:rsidRPr="00550561" w:rsidRDefault="000B24C3" w:rsidP="002E68F7">
            <w:pPr>
              <w:jc w:val="center"/>
            </w:pPr>
          </w:p>
        </w:tc>
        <w:tc>
          <w:tcPr>
            <w:tcW w:w="6378" w:type="dxa"/>
            <w:tcBorders>
              <w:top w:val="nil"/>
              <w:bottom w:val="nil"/>
            </w:tcBorders>
          </w:tcPr>
          <w:p w14:paraId="67CC7054" w14:textId="72314647" w:rsidR="000B24C3" w:rsidRPr="00550561" w:rsidRDefault="000B24C3" w:rsidP="000B24C3">
            <w:pPr>
              <w:pStyle w:val="ListParagraph"/>
              <w:numPr>
                <w:ilvl w:val="0"/>
                <w:numId w:val="6"/>
              </w:numPr>
              <w:ind w:left="180" w:hanging="180"/>
              <w:cnfStyle w:val="000000100000" w:firstRow="0" w:lastRow="0" w:firstColumn="0" w:lastColumn="0" w:oddVBand="0" w:evenVBand="0" w:oddHBand="1" w:evenHBand="0" w:firstRowFirstColumn="0" w:firstRowLastColumn="0" w:lastRowFirstColumn="0" w:lastRowLastColumn="0"/>
            </w:pPr>
            <w:r w:rsidRPr="00550561">
              <w:t xml:space="preserve">Uncertainty of the usefulness of a </w:t>
            </w:r>
            <w:r w:rsidR="00E06C23" w:rsidRPr="00550561">
              <w:t xml:space="preserve">pre-review questionnaire </w:t>
            </w:r>
            <w:r w:rsidR="006D6317" w:rsidRPr="00550561">
              <w:t>to help prepare</w:t>
            </w:r>
          </w:p>
        </w:tc>
        <w:tc>
          <w:tcPr>
            <w:tcW w:w="6378" w:type="dxa"/>
            <w:tcBorders>
              <w:top w:val="nil"/>
              <w:bottom w:val="nil"/>
            </w:tcBorders>
          </w:tcPr>
          <w:p w14:paraId="28FE36FC" w14:textId="1E2EA94D" w:rsidR="000B24C3" w:rsidRPr="00550561" w:rsidRDefault="000B24C3" w:rsidP="0006165B">
            <w:pPr>
              <w:jc w:val="center"/>
              <w:cnfStyle w:val="000000100000" w:firstRow="0" w:lastRow="0" w:firstColumn="0" w:lastColumn="0" w:oddVBand="0" w:evenVBand="0" w:oddHBand="1" w:evenHBand="0" w:firstRowFirstColumn="0" w:firstRowLastColumn="0" w:lastRowFirstColumn="0" w:lastRowLastColumn="0"/>
            </w:pPr>
            <w:r w:rsidRPr="00550561">
              <w:t>-</w:t>
            </w:r>
          </w:p>
        </w:tc>
      </w:tr>
      <w:tr w:rsidR="000B24C3" w:rsidRPr="00550561" w14:paraId="356FD99C" w14:textId="77777777" w:rsidTr="00D90D54">
        <w:trPr>
          <w:trHeight w:val="261"/>
        </w:trPr>
        <w:tc>
          <w:tcPr>
            <w:cnfStyle w:val="001000000000" w:firstRow="0" w:lastRow="0" w:firstColumn="1" w:lastColumn="0" w:oddVBand="0" w:evenVBand="0" w:oddHBand="0" w:evenHBand="0" w:firstRowFirstColumn="0" w:firstRowLastColumn="0" w:lastRowFirstColumn="0" w:lastRowLastColumn="0"/>
            <w:tcW w:w="1419" w:type="dxa"/>
            <w:vMerge/>
            <w:vAlign w:val="center"/>
          </w:tcPr>
          <w:p w14:paraId="2A6B28B2" w14:textId="77777777" w:rsidR="000B24C3" w:rsidRPr="00550561" w:rsidRDefault="000B24C3" w:rsidP="002E68F7">
            <w:pPr>
              <w:jc w:val="center"/>
            </w:pPr>
          </w:p>
        </w:tc>
        <w:tc>
          <w:tcPr>
            <w:tcW w:w="6378" w:type="dxa"/>
            <w:tcBorders>
              <w:top w:val="nil"/>
              <w:bottom w:val="nil"/>
            </w:tcBorders>
          </w:tcPr>
          <w:p w14:paraId="6C04F5A0" w14:textId="0C1DC0E4" w:rsidR="000B24C3" w:rsidRPr="00550561" w:rsidRDefault="002E05B9" w:rsidP="000B24C3">
            <w:pPr>
              <w:pStyle w:val="ListParagraph"/>
              <w:numPr>
                <w:ilvl w:val="0"/>
                <w:numId w:val="6"/>
              </w:numPr>
              <w:ind w:left="180" w:hanging="180"/>
              <w:cnfStyle w:val="000000000000" w:firstRow="0" w:lastRow="0" w:firstColumn="0" w:lastColumn="0" w:oddVBand="0" w:evenVBand="0" w:oddHBand="0" w:evenHBand="0" w:firstRowFirstColumn="0" w:firstRowLastColumn="0" w:lastRowFirstColumn="0" w:lastRowLastColumn="0"/>
            </w:pPr>
            <w:r w:rsidRPr="00550561">
              <w:t>Hope for the review varies</w:t>
            </w:r>
            <w:r w:rsidRPr="00550561">
              <w:rPr>
                <w:rStyle w:val="CommentReference"/>
                <w:sz w:val="22"/>
                <w:szCs w:val="22"/>
              </w:rPr>
              <w:t xml:space="preserve"> am</w:t>
            </w:r>
            <w:r w:rsidR="000B24C3" w:rsidRPr="00550561">
              <w:t>ongst</w:t>
            </w:r>
            <w:r w:rsidR="000317BB" w:rsidRPr="00550561">
              <w:t xml:space="preserve"> patients</w:t>
            </w:r>
            <w:r w:rsidR="000B24C3" w:rsidRPr="00550561">
              <w:t>*</w:t>
            </w:r>
          </w:p>
        </w:tc>
        <w:tc>
          <w:tcPr>
            <w:tcW w:w="6378" w:type="dxa"/>
            <w:tcBorders>
              <w:top w:val="nil"/>
              <w:bottom w:val="nil"/>
            </w:tcBorders>
          </w:tcPr>
          <w:p w14:paraId="154FE779" w14:textId="7F21C07E" w:rsidR="000B24C3" w:rsidRPr="00550561" w:rsidRDefault="000B24C3" w:rsidP="0006165B">
            <w:pPr>
              <w:jc w:val="center"/>
              <w:cnfStyle w:val="000000000000" w:firstRow="0" w:lastRow="0" w:firstColumn="0" w:lastColumn="0" w:oddVBand="0" w:evenVBand="0" w:oddHBand="0" w:evenHBand="0" w:firstRowFirstColumn="0" w:firstRowLastColumn="0" w:lastRowFirstColumn="0" w:lastRowLastColumn="0"/>
            </w:pPr>
            <w:r w:rsidRPr="00550561">
              <w:t>-</w:t>
            </w:r>
          </w:p>
        </w:tc>
      </w:tr>
      <w:tr w:rsidR="000B24C3" w:rsidRPr="00550561" w14:paraId="688BF4FF" w14:textId="77777777" w:rsidTr="00D90D54">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419" w:type="dxa"/>
            <w:vMerge/>
            <w:vAlign w:val="center"/>
          </w:tcPr>
          <w:p w14:paraId="2F91324F" w14:textId="77777777" w:rsidR="000B24C3" w:rsidRPr="00550561" w:rsidRDefault="000B24C3" w:rsidP="002E68F7">
            <w:pPr>
              <w:jc w:val="center"/>
            </w:pPr>
          </w:p>
        </w:tc>
        <w:tc>
          <w:tcPr>
            <w:tcW w:w="6378" w:type="dxa"/>
            <w:tcBorders>
              <w:top w:val="nil"/>
            </w:tcBorders>
          </w:tcPr>
          <w:p w14:paraId="7043C781" w14:textId="79E5E4F4" w:rsidR="000B24C3" w:rsidRPr="00550561" w:rsidRDefault="000B24C3" w:rsidP="0006165B">
            <w:pPr>
              <w:jc w:val="center"/>
              <w:cnfStyle w:val="000000100000" w:firstRow="0" w:lastRow="0" w:firstColumn="0" w:lastColumn="0" w:oddVBand="0" w:evenVBand="0" w:oddHBand="1" w:evenHBand="0" w:firstRowFirstColumn="0" w:firstRowLastColumn="0" w:lastRowFirstColumn="0" w:lastRowLastColumn="0"/>
            </w:pPr>
            <w:r w:rsidRPr="00550561">
              <w:t>-</w:t>
            </w:r>
          </w:p>
        </w:tc>
        <w:tc>
          <w:tcPr>
            <w:tcW w:w="6378" w:type="dxa"/>
            <w:tcBorders>
              <w:top w:val="nil"/>
            </w:tcBorders>
          </w:tcPr>
          <w:p w14:paraId="734992A7" w14:textId="49158460" w:rsidR="000B24C3" w:rsidRPr="00550561" w:rsidRDefault="000B24C3" w:rsidP="00C27B53">
            <w:pPr>
              <w:pStyle w:val="ListParagraph"/>
              <w:numPr>
                <w:ilvl w:val="0"/>
                <w:numId w:val="7"/>
              </w:numPr>
              <w:ind w:left="180" w:hanging="180"/>
              <w:cnfStyle w:val="000000100000" w:firstRow="0" w:lastRow="0" w:firstColumn="0" w:lastColumn="0" w:oddVBand="0" w:evenVBand="0" w:oddHBand="1" w:evenHBand="0" w:firstRowFirstColumn="0" w:firstRowLastColumn="0" w:lastRowFirstColumn="0" w:lastRowLastColumn="0"/>
            </w:pPr>
            <w:r w:rsidRPr="00550561">
              <w:t>Prototype PROMPPT review well received and helpful*</w:t>
            </w:r>
          </w:p>
        </w:tc>
      </w:tr>
      <w:tr w:rsidR="00743182" w:rsidRPr="00550561" w14:paraId="579BCA87" w14:textId="77777777" w:rsidTr="00DC2CE1">
        <w:trPr>
          <w:trHeight w:val="473"/>
        </w:trPr>
        <w:tc>
          <w:tcPr>
            <w:cnfStyle w:val="001000000000" w:firstRow="0" w:lastRow="0" w:firstColumn="1" w:lastColumn="0" w:oddVBand="0" w:evenVBand="0" w:oddHBand="0" w:evenHBand="0" w:firstRowFirstColumn="0" w:firstRowLastColumn="0" w:lastRowFirstColumn="0" w:lastRowLastColumn="0"/>
            <w:tcW w:w="1419" w:type="dxa"/>
            <w:vMerge w:val="restart"/>
            <w:vAlign w:val="center"/>
          </w:tcPr>
          <w:p w14:paraId="7F7FAB8F" w14:textId="77777777" w:rsidR="00743182" w:rsidRPr="00550561" w:rsidRDefault="00743182" w:rsidP="002E68F7">
            <w:pPr>
              <w:jc w:val="center"/>
            </w:pPr>
            <w:r w:rsidRPr="00550561">
              <w:t>Burden</w:t>
            </w:r>
          </w:p>
        </w:tc>
        <w:tc>
          <w:tcPr>
            <w:tcW w:w="6378" w:type="dxa"/>
            <w:tcBorders>
              <w:bottom w:val="nil"/>
            </w:tcBorders>
          </w:tcPr>
          <w:p w14:paraId="16835A9C" w14:textId="5509236C" w:rsidR="00743182" w:rsidRPr="00550561" w:rsidRDefault="00743182" w:rsidP="0006165B">
            <w:pPr>
              <w:pStyle w:val="ListParagraph"/>
              <w:numPr>
                <w:ilvl w:val="0"/>
                <w:numId w:val="8"/>
              </w:numPr>
              <w:ind w:left="180" w:hanging="180"/>
              <w:cnfStyle w:val="000000000000" w:firstRow="0" w:lastRow="0" w:firstColumn="0" w:lastColumn="0" w:oddVBand="0" w:evenVBand="0" w:oddHBand="0" w:evenHBand="0" w:firstRowFirstColumn="0" w:firstRowLastColumn="0" w:lastRowFirstColumn="0" w:lastRowLastColumn="0"/>
            </w:pPr>
            <w:r w:rsidRPr="00550561">
              <w:t>Engaging with a pharmacist for a PROMPPT review would be no effort*</w:t>
            </w:r>
          </w:p>
        </w:tc>
        <w:tc>
          <w:tcPr>
            <w:tcW w:w="6378" w:type="dxa"/>
            <w:tcBorders>
              <w:bottom w:val="nil"/>
            </w:tcBorders>
          </w:tcPr>
          <w:p w14:paraId="7811A2B4" w14:textId="76BCEDC5" w:rsidR="00743182" w:rsidRPr="00550561" w:rsidRDefault="00743182" w:rsidP="0006165B">
            <w:pPr>
              <w:pStyle w:val="ListParagraph"/>
              <w:numPr>
                <w:ilvl w:val="0"/>
                <w:numId w:val="8"/>
              </w:numPr>
              <w:ind w:left="180" w:hanging="180"/>
              <w:cnfStyle w:val="000000000000" w:firstRow="0" w:lastRow="0" w:firstColumn="0" w:lastColumn="0" w:oddVBand="0" w:evenVBand="0" w:oddHBand="0" w:evenHBand="0" w:firstRowFirstColumn="0" w:firstRowLastColumn="0" w:lastRowFirstColumn="0" w:lastRowLastColumn="0"/>
            </w:pPr>
            <w:r w:rsidRPr="00550561">
              <w:t>Engaging with the pharmacist was no effort</w:t>
            </w:r>
          </w:p>
        </w:tc>
      </w:tr>
      <w:tr w:rsidR="00743182" w:rsidRPr="00550561" w14:paraId="0D39C6C4" w14:textId="77777777" w:rsidTr="00DC2CE1">
        <w:trPr>
          <w:cnfStyle w:val="000000100000" w:firstRow="0" w:lastRow="0" w:firstColumn="0" w:lastColumn="0" w:oddVBand="0" w:evenVBand="0" w:oddHBand="1"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1419" w:type="dxa"/>
            <w:vMerge/>
            <w:vAlign w:val="center"/>
          </w:tcPr>
          <w:p w14:paraId="22B57B8A" w14:textId="77777777" w:rsidR="00743182" w:rsidRPr="00550561" w:rsidRDefault="00743182" w:rsidP="009C2F91"/>
        </w:tc>
        <w:tc>
          <w:tcPr>
            <w:tcW w:w="6378" w:type="dxa"/>
            <w:tcBorders>
              <w:top w:val="nil"/>
              <w:bottom w:val="nil"/>
            </w:tcBorders>
          </w:tcPr>
          <w:p w14:paraId="27512B0F" w14:textId="0D813327" w:rsidR="00743182" w:rsidRPr="00550561" w:rsidRDefault="00743182" w:rsidP="00C27B53">
            <w:pPr>
              <w:pStyle w:val="ListParagraph"/>
              <w:numPr>
                <w:ilvl w:val="0"/>
                <w:numId w:val="8"/>
              </w:numPr>
              <w:ind w:left="180" w:hanging="180"/>
              <w:cnfStyle w:val="000000100000" w:firstRow="0" w:lastRow="0" w:firstColumn="0" w:lastColumn="0" w:oddVBand="0" w:evenVBand="0" w:oddHBand="1" w:evenHBand="0" w:firstRowFirstColumn="0" w:firstRowLastColumn="0" w:lastRowFirstColumn="0" w:lastRowLastColumn="0"/>
            </w:pPr>
            <w:r w:rsidRPr="00550561">
              <w:t>Location of the PROMPPT review affects how burdensome a review would be*</w:t>
            </w:r>
          </w:p>
        </w:tc>
        <w:tc>
          <w:tcPr>
            <w:tcW w:w="6378" w:type="dxa"/>
            <w:tcBorders>
              <w:top w:val="nil"/>
              <w:bottom w:val="nil"/>
            </w:tcBorders>
          </w:tcPr>
          <w:p w14:paraId="6FEDB4B0" w14:textId="0D2BFC14" w:rsidR="00743182" w:rsidRPr="00550561" w:rsidRDefault="004F2CCC" w:rsidP="00C27B53">
            <w:pPr>
              <w:pStyle w:val="ListParagraph"/>
              <w:numPr>
                <w:ilvl w:val="0"/>
                <w:numId w:val="8"/>
              </w:numPr>
              <w:ind w:left="180" w:hanging="180"/>
              <w:cnfStyle w:val="000000100000" w:firstRow="0" w:lastRow="0" w:firstColumn="0" w:lastColumn="0" w:oddVBand="0" w:evenVBand="0" w:oddHBand="1" w:evenHBand="0" w:firstRowFirstColumn="0" w:firstRowLastColumn="0" w:lastRowFirstColumn="0" w:lastRowLastColumn="0"/>
            </w:pPr>
            <w:r w:rsidRPr="00550561">
              <w:t>PROMPPT</w:t>
            </w:r>
            <w:r w:rsidR="00743182" w:rsidRPr="00550561">
              <w:t xml:space="preserve"> reviews based at the GP practice reduced the burden</w:t>
            </w:r>
          </w:p>
        </w:tc>
      </w:tr>
      <w:tr w:rsidR="00743182" w:rsidRPr="00550561" w14:paraId="084463AF" w14:textId="77777777" w:rsidTr="00DC2CE1">
        <w:trPr>
          <w:trHeight w:val="473"/>
        </w:trPr>
        <w:tc>
          <w:tcPr>
            <w:cnfStyle w:val="001000000000" w:firstRow="0" w:lastRow="0" w:firstColumn="1" w:lastColumn="0" w:oddVBand="0" w:evenVBand="0" w:oddHBand="0" w:evenHBand="0" w:firstRowFirstColumn="0" w:firstRowLastColumn="0" w:lastRowFirstColumn="0" w:lastRowLastColumn="0"/>
            <w:tcW w:w="1419" w:type="dxa"/>
            <w:vMerge/>
            <w:vAlign w:val="center"/>
          </w:tcPr>
          <w:p w14:paraId="6FB27C0F" w14:textId="77777777" w:rsidR="00743182" w:rsidRPr="00550561" w:rsidRDefault="00743182" w:rsidP="009C2F91"/>
        </w:tc>
        <w:tc>
          <w:tcPr>
            <w:tcW w:w="6378" w:type="dxa"/>
            <w:tcBorders>
              <w:top w:val="nil"/>
              <w:bottom w:val="nil"/>
            </w:tcBorders>
          </w:tcPr>
          <w:p w14:paraId="2D4E4D27" w14:textId="12E415BD" w:rsidR="00743182" w:rsidRPr="00550561" w:rsidRDefault="00743182" w:rsidP="0006165B">
            <w:pPr>
              <w:pStyle w:val="ListParagraph"/>
              <w:numPr>
                <w:ilvl w:val="0"/>
                <w:numId w:val="8"/>
              </w:numPr>
              <w:ind w:left="180" w:hanging="180"/>
              <w:cnfStyle w:val="000000000000" w:firstRow="0" w:lastRow="0" w:firstColumn="0" w:lastColumn="0" w:oddVBand="0" w:evenVBand="0" w:oddHBand="0" w:evenHBand="0" w:firstRowFirstColumn="0" w:firstRowLastColumn="0" w:lastRowFirstColumn="0" w:lastRowLastColumn="0"/>
            </w:pPr>
            <w:r w:rsidRPr="00550561">
              <w:t xml:space="preserve">Tapering and withdrawal from opioids is difficult for </w:t>
            </w:r>
            <w:r w:rsidR="00EA7E6C" w:rsidRPr="00550561">
              <w:t>patients</w:t>
            </w:r>
          </w:p>
        </w:tc>
        <w:tc>
          <w:tcPr>
            <w:tcW w:w="6378" w:type="dxa"/>
            <w:tcBorders>
              <w:top w:val="nil"/>
              <w:bottom w:val="nil"/>
            </w:tcBorders>
          </w:tcPr>
          <w:p w14:paraId="2FF294D4" w14:textId="0A6C3CFE" w:rsidR="00743182" w:rsidRPr="00550561" w:rsidRDefault="00743182" w:rsidP="0006165B">
            <w:pPr>
              <w:pStyle w:val="ListParagraph"/>
              <w:numPr>
                <w:ilvl w:val="0"/>
                <w:numId w:val="8"/>
              </w:numPr>
              <w:ind w:left="180" w:hanging="180"/>
              <w:cnfStyle w:val="000000000000" w:firstRow="0" w:lastRow="0" w:firstColumn="0" w:lastColumn="0" w:oddVBand="0" w:evenVBand="0" w:oddHBand="0" w:evenHBand="0" w:firstRowFirstColumn="0" w:firstRowLastColumn="0" w:lastRowFirstColumn="0" w:lastRowLastColumn="0"/>
            </w:pPr>
            <w:r w:rsidRPr="00550561">
              <w:t xml:space="preserve">Tapering can be difficult for </w:t>
            </w:r>
            <w:r w:rsidR="0020467B" w:rsidRPr="00550561">
              <w:t>patients</w:t>
            </w:r>
            <w:r w:rsidRPr="00550561">
              <w:t xml:space="preserve"> who are</w:t>
            </w:r>
            <w:r w:rsidR="00EA7E6C" w:rsidRPr="00550561">
              <w:t xml:space="preserve"> not ready to change</w:t>
            </w:r>
          </w:p>
        </w:tc>
      </w:tr>
      <w:tr w:rsidR="00743182" w:rsidRPr="00550561" w14:paraId="455FEFCF" w14:textId="77777777" w:rsidTr="00DC2CE1">
        <w:trPr>
          <w:cnfStyle w:val="000000100000" w:firstRow="0" w:lastRow="0" w:firstColumn="0" w:lastColumn="0" w:oddVBand="0" w:evenVBand="0" w:oddHBand="1"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1419" w:type="dxa"/>
            <w:vMerge/>
            <w:vAlign w:val="center"/>
          </w:tcPr>
          <w:p w14:paraId="0941DE42" w14:textId="77777777" w:rsidR="00743182" w:rsidRPr="00550561" w:rsidRDefault="00743182" w:rsidP="009C2F91"/>
        </w:tc>
        <w:tc>
          <w:tcPr>
            <w:tcW w:w="6378" w:type="dxa"/>
            <w:tcBorders>
              <w:top w:val="nil"/>
              <w:bottom w:val="nil"/>
            </w:tcBorders>
          </w:tcPr>
          <w:p w14:paraId="3EF83762" w14:textId="7A4B3446" w:rsidR="00743182" w:rsidRPr="00550561" w:rsidRDefault="00743182" w:rsidP="0006165B">
            <w:pPr>
              <w:pStyle w:val="ListParagraph"/>
              <w:numPr>
                <w:ilvl w:val="0"/>
                <w:numId w:val="8"/>
              </w:numPr>
              <w:ind w:left="180" w:hanging="180"/>
              <w:cnfStyle w:val="000000100000" w:firstRow="0" w:lastRow="0" w:firstColumn="0" w:lastColumn="0" w:oddVBand="0" w:evenVBand="0" w:oddHBand="1" w:evenHBand="0" w:firstRowFirstColumn="0" w:firstRowLastColumn="0" w:lastRowFirstColumn="0" w:lastRowLastColumn="0"/>
            </w:pPr>
            <w:r w:rsidRPr="00550561">
              <w:t>Lack of trust in healthcare professionals and 'blam</w:t>
            </w:r>
            <w:r w:rsidR="00314646" w:rsidRPr="00550561">
              <w:t>ing’</w:t>
            </w:r>
            <w:r w:rsidR="00574B5B" w:rsidRPr="00550561">
              <w:t xml:space="preserve"> them</w:t>
            </w:r>
            <w:r w:rsidRPr="00550561">
              <w:t xml:space="preserve"> for their situation of being on opioids will make engaging with a review difficult</w:t>
            </w:r>
          </w:p>
        </w:tc>
        <w:tc>
          <w:tcPr>
            <w:tcW w:w="6378" w:type="dxa"/>
            <w:tcBorders>
              <w:top w:val="nil"/>
              <w:bottom w:val="nil"/>
            </w:tcBorders>
          </w:tcPr>
          <w:p w14:paraId="53718749" w14:textId="0B1465E7" w:rsidR="00743182" w:rsidRPr="00550561" w:rsidRDefault="00743182" w:rsidP="0006165B">
            <w:pPr>
              <w:jc w:val="center"/>
              <w:cnfStyle w:val="000000100000" w:firstRow="0" w:lastRow="0" w:firstColumn="0" w:lastColumn="0" w:oddVBand="0" w:evenVBand="0" w:oddHBand="1" w:evenHBand="0" w:firstRowFirstColumn="0" w:firstRowLastColumn="0" w:lastRowFirstColumn="0" w:lastRowLastColumn="0"/>
            </w:pPr>
            <w:r w:rsidRPr="00550561">
              <w:t>-</w:t>
            </w:r>
          </w:p>
        </w:tc>
      </w:tr>
      <w:tr w:rsidR="00743182" w:rsidRPr="00550561" w14:paraId="6D9923BC" w14:textId="77777777" w:rsidTr="00DC2CE1">
        <w:trPr>
          <w:trHeight w:val="295"/>
        </w:trPr>
        <w:tc>
          <w:tcPr>
            <w:cnfStyle w:val="001000000000" w:firstRow="0" w:lastRow="0" w:firstColumn="1" w:lastColumn="0" w:oddVBand="0" w:evenVBand="0" w:oddHBand="0" w:evenHBand="0" w:firstRowFirstColumn="0" w:firstRowLastColumn="0" w:lastRowFirstColumn="0" w:lastRowLastColumn="0"/>
            <w:tcW w:w="1419" w:type="dxa"/>
            <w:vMerge/>
            <w:vAlign w:val="center"/>
          </w:tcPr>
          <w:p w14:paraId="5B6B2A65" w14:textId="77777777" w:rsidR="00743182" w:rsidRPr="00550561" w:rsidRDefault="00743182" w:rsidP="009C2F91"/>
        </w:tc>
        <w:tc>
          <w:tcPr>
            <w:tcW w:w="6378" w:type="dxa"/>
            <w:tcBorders>
              <w:top w:val="nil"/>
              <w:bottom w:val="nil"/>
            </w:tcBorders>
          </w:tcPr>
          <w:p w14:paraId="394646B3" w14:textId="4961C751" w:rsidR="00743182" w:rsidRPr="00550561" w:rsidRDefault="00743182" w:rsidP="0006165B">
            <w:pPr>
              <w:pStyle w:val="ListParagraph"/>
              <w:numPr>
                <w:ilvl w:val="0"/>
                <w:numId w:val="8"/>
              </w:numPr>
              <w:ind w:left="180" w:hanging="180"/>
              <w:cnfStyle w:val="000000000000" w:firstRow="0" w:lastRow="0" w:firstColumn="0" w:lastColumn="0" w:oddVBand="0" w:evenVBand="0" w:oddHBand="0" w:evenHBand="0" w:firstRowFirstColumn="0" w:firstRowLastColumn="0" w:lastRowFirstColumn="0" w:lastRowLastColumn="0"/>
            </w:pPr>
            <w:r w:rsidRPr="00550561">
              <w:t>Emotional aspects of pain are difficult to discuss</w:t>
            </w:r>
          </w:p>
        </w:tc>
        <w:tc>
          <w:tcPr>
            <w:tcW w:w="6378" w:type="dxa"/>
            <w:tcBorders>
              <w:top w:val="nil"/>
              <w:bottom w:val="nil"/>
            </w:tcBorders>
          </w:tcPr>
          <w:p w14:paraId="58130AFB" w14:textId="377AC071" w:rsidR="00743182" w:rsidRPr="00550561" w:rsidRDefault="00743182" w:rsidP="0006165B">
            <w:pPr>
              <w:jc w:val="center"/>
              <w:cnfStyle w:val="000000000000" w:firstRow="0" w:lastRow="0" w:firstColumn="0" w:lastColumn="0" w:oddVBand="0" w:evenVBand="0" w:oddHBand="0" w:evenHBand="0" w:firstRowFirstColumn="0" w:firstRowLastColumn="0" w:lastRowFirstColumn="0" w:lastRowLastColumn="0"/>
            </w:pPr>
            <w:r w:rsidRPr="00550561">
              <w:t>-</w:t>
            </w:r>
          </w:p>
        </w:tc>
      </w:tr>
      <w:tr w:rsidR="00743182" w:rsidRPr="00550561" w14:paraId="6B8E46B0" w14:textId="77777777" w:rsidTr="00DC2CE1">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19" w:type="dxa"/>
            <w:vMerge/>
            <w:vAlign w:val="center"/>
          </w:tcPr>
          <w:p w14:paraId="4BA3A130" w14:textId="77777777" w:rsidR="00743182" w:rsidRPr="00550561" w:rsidRDefault="00743182" w:rsidP="009C2F91"/>
        </w:tc>
        <w:tc>
          <w:tcPr>
            <w:tcW w:w="6378" w:type="dxa"/>
            <w:tcBorders>
              <w:top w:val="nil"/>
              <w:bottom w:val="nil"/>
            </w:tcBorders>
          </w:tcPr>
          <w:p w14:paraId="5F6B995C" w14:textId="4C73C840" w:rsidR="00743182" w:rsidRPr="00550561" w:rsidRDefault="00A876B0" w:rsidP="0006165B">
            <w:pPr>
              <w:pStyle w:val="ListParagraph"/>
              <w:numPr>
                <w:ilvl w:val="0"/>
                <w:numId w:val="8"/>
              </w:numPr>
              <w:ind w:left="180" w:hanging="180"/>
              <w:cnfStyle w:val="000000100000" w:firstRow="0" w:lastRow="0" w:firstColumn="0" w:lastColumn="0" w:oddVBand="0" w:evenVBand="0" w:oddHBand="1" w:evenHBand="0" w:firstRowFirstColumn="0" w:firstRowLastColumn="0" w:lastRowFirstColumn="0" w:lastRowLastColumn="0"/>
            </w:pPr>
            <w:r w:rsidRPr="00550561">
              <w:t>Level of burden is d</w:t>
            </w:r>
            <w:r w:rsidR="00743182" w:rsidRPr="00550561">
              <w:t>ependent on good or bad days</w:t>
            </w:r>
            <w:r w:rsidRPr="00550561">
              <w:t xml:space="preserve"> with their pain</w:t>
            </w:r>
          </w:p>
        </w:tc>
        <w:tc>
          <w:tcPr>
            <w:tcW w:w="6378" w:type="dxa"/>
            <w:tcBorders>
              <w:top w:val="nil"/>
              <w:bottom w:val="nil"/>
            </w:tcBorders>
          </w:tcPr>
          <w:p w14:paraId="3DE73FFB" w14:textId="5B10A634" w:rsidR="00743182" w:rsidRPr="00550561" w:rsidRDefault="00743182" w:rsidP="0006165B">
            <w:pPr>
              <w:jc w:val="center"/>
              <w:cnfStyle w:val="000000100000" w:firstRow="0" w:lastRow="0" w:firstColumn="0" w:lastColumn="0" w:oddVBand="0" w:evenVBand="0" w:oddHBand="1" w:evenHBand="0" w:firstRowFirstColumn="0" w:firstRowLastColumn="0" w:lastRowFirstColumn="0" w:lastRowLastColumn="0"/>
            </w:pPr>
            <w:r w:rsidRPr="00550561">
              <w:t>-</w:t>
            </w:r>
          </w:p>
        </w:tc>
      </w:tr>
      <w:tr w:rsidR="00743182" w:rsidRPr="00550561" w14:paraId="631083EA" w14:textId="77777777" w:rsidTr="00DC2CE1">
        <w:trPr>
          <w:trHeight w:val="473"/>
        </w:trPr>
        <w:tc>
          <w:tcPr>
            <w:cnfStyle w:val="001000000000" w:firstRow="0" w:lastRow="0" w:firstColumn="1" w:lastColumn="0" w:oddVBand="0" w:evenVBand="0" w:oddHBand="0" w:evenHBand="0" w:firstRowFirstColumn="0" w:firstRowLastColumn="0" w:lastRowFirstColumn="0" w:lastRowLastColumn="0"/>
            <w:tcW w:w="1419" w:type="dxa"/>
            <w:vMerge/>
            <w:vAlign w:val="center"/>
          </w:tcPr>
          <w:p w14:paraId="0F83BE3A" w14:textId="77777777" w:rsidR="00743182" w:rsidRPr="00550561" w:rsidRDefault="00743182" w:rsidP="009C2F91"/>
        </w:tc>
        <w:tc>
          <w:tcPr>
            <w:tcW w:w="6378" w:type="dxa"/>
            <w:tcBorders>
              <w:top w:val="nil"/>
            </w:tcBorders>
          </w:tcPr>
          <w:p w14:paraId="4C258273" w14:textId="28C4F92D" w:rsidR="00743182" w:rsidRPr="00550561" w:rsidRDefault="00743182" w:rsidP="0006165B">
            <w:pPr>
              <w:jc w:val="center"/>
              <w:cnfStyle w:val="000000000000" w:firstRow="0" w:lastRow="0" w:firstColumn="0" w:lastColumn="0" w:oddVBand="0" w:evenVBand="0" w:oddHBand="0" w:evenHBand="0" w:firstRowFirstColumn="0" w:firstRowLastColumn="0" w:lastRowFirstColumn="0" w:lastRowLastColumn="0"/>
            </w:pPr>
            <w:r w:rsidRPr="00550561">
              <w:t>-</w:t>
            </w:r>
          </w:p>
        </w:tc>
        <w:tc>
          <w:tcPr>
            <w:tcW w:w="6378" w:type="dxa"/>
            <w:tcBorders>
              <w:top w:val="nil"/>
            </w:tcBorders>
          </w:tcPr>
          <w:p w14:paraId="560A4546" w14:textId="062D1E17" w:rsidR="00743182" w:rsidRPr="00550561" w:rsidRDefault="006C458B" w:rsidP="00C27B53">
            <w:pPr>
              <w:pStyle w:val="ListParagraph"/>
              <w:numPr>
                <w:ilvl w:val="0"/>
                <w:numId w:val="8"/>
              </w:numPr>
              <w:ind w:left="180" w:hanging="180"/>
              <w:cnfStyle w:val="000000000000" w:firstRow="0" w:lastRow="0" w:firstColumn="0" w:lastColumn="0" w:oddVBand="0" w:evenVBand="0" w:oddHBand="0" w:evenHBand="0" w:firstRowFirstColumn="0" w:firstRowLastColumn="0" w:lastRowFirstColumn="0" w:lastRowLastColumn="0"/>
            </w:pPr>
            <w:r w:rsidRPr="00550561">
              <w:t xml:space="preserve">Pre-review questionnaire to help prepare </w:t>
            </w:r>
            <w:r w:rsidR="00743182" w:rsidRPr="00550561">
              <w:t>was difficult to use*</w:t>
            </w:r>
          </w:p>
        </w:tc>
      </w:tr>
      <w:tr w:rsidR="00DC2CE1" w:rsidRPr="00550561" w14:paraId="1B76BD68" w14:textId="77777777" w:rsidTr="00DC2CE1">
        <w:trPr>
          <w:cnfStyle w:val="000000100000" w:firstRow="0" w:lastRow="0" w:firstColumn="0" w:lastColumn="0" w:oddVBand="0" w:evenVBand="0" w:oddHBand="1"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1419" w:type="dxa"/>
            <w:vMerge w:val="restart"/>
            <w:vAlign w:val="center"/>
          </w:tcPr>
          <w:p w14:paraId="6C5DE096" w14:textId="4E92C98E" w:rsidR="00DC2CE1" w:rsidRPr="00550561" w:rsidRDefault="00DC2CE1" w:rsidP="002E68F7">
            <w:pPr>
              <w:jc w:val="center"/>
            </w:pPr>
            <w:r w:rsidRPr="00550561">
              <w:t>Ethicality</w:t>
            </w:r>
          </w:p>
        </w:tc>
        <w:tc>
          <w:tcPr>
            <w:tcW w:w="6378" w:type="dxa"/>
            <w:tcBorders>
              <w:bottom w:val="nil"/>
            </w:tcBorders>
          </w:tcPr>
          <w:p w14:paraId="687DD1DA" w14:textId="79E10C0A" w:rsidR="00DC2CE1" w:rsidRPr="00550561" w:rsidRDefault="00DC2CE1" w:rsidP="00DC2CE1">
            <w:pPr>
              <w:pStyle w:val="ListParagraph"/>
              <w:numPr>
                <w:ilvl w:val="0"/>
                <w:numId w:val="9"/>
              </w:numPr>
              <w:ind w:left="180" w:hanging="180"/>
              <w:cnfStyle w:val="000000100000" w:firstRow="0" w:lastRow="0" w:firstColumn="0" w:lastColumn="0" w:oddVBand="0" w:evenVBand="0" w:oddHBand="1" w:evenHBand="0" w:firstRowFirstColumn="0" w:firstRowLastColumn="0" w:lastRowFirstColumn="0" w:lastRowLastColumn="0"/>
            </w:pPr>
            <w:r w:rsidRPr="00550561">
              <w:t xml:space="preserve">PROMPPT reviews need to be undertaken for the right reasons - to help </w:t>
            </w:r>
            <w:r w:rsidR="00EA7E6C" w:rsidRPr="00550561">
              <w:t>patients</w:t>
            </w:r>
            <w:r w:rsidRPr="00550561">
              <w:t xml:space="preserve"> manage their pain better*</w:t>
            </w:r>
          </w:p>
        </w:tc>
        <w:tc>
          <w:tcPr>
            <w:tcW w:w="6378" w:type="dxa"/>
            <w:tcBorders>
              <w:bottom w:val="nil"/>
            </w:tcBorders>
          </w:tcPr>
          <w:p w14:paraId="3DE87FAC" w14:textId="64971490" w:rsidR="00DC2CE1" w:rsidRPr="00550561" w:rsidRDefault="00DC2CE1" w:rsidP="00DC2CE1">
            <w:pPr>
              <w:pStyle w:val="ListParagraph"/>
              <w:numPr>
                <w:ilvl w:val="0"/>
                <w:numId w:val="9"/>
              </w:numPr>
              <w:tabs>
                <w:tab w:val="left" w:pos="2269"/>
              </w:tabs>
              <w:ind w:left="180" w:hanging="180"/>
              <w:cnfStyle w:val="000000100000" w:firstRow="0" w:lastRow="0" w:firstColumn="0" w:lastColumn="0" w:oddVBand="0" w:evenVBand="0" w:oddHBand="1" w:evenHBand="0" w:firstRowFirstColumn="0" w:firstRowLastColumn="0" w:lastRowFirstColumn="0" w:lastRowLastColumn="0"/>
            </w:pPr>
            <w:r w:rsidRPr="00550561">
              <w:t xml:space="preserve">Important for pain reviews to review opioids* </w:t>
            </w:r>
          </w:p>
        </w:tc>
      </w:tr>
      <w:tr w:rsidR="00DC2CE1" w:rsidRPr="00550561" w14:paraId="29156E6B" w14:textId="77777777" w:rsidTr="00DC2CE1">
        <w:trPr>
          <w:trHeight w:val="318"/>
        </w:trPr>
        <w:tc>
          <w:tcPr>
            <w:cnfStyle w:val="001000000000" w:firstRow="0" w:lastRow="0" w:firstColumn="1" w:lastColumn="0" w:oddVBand="0" w:evenVBand="0" w:oddHBand="0" w:evenHBand="0" w:firstRowFirstColumn="0" w:firstRowLastColumn="0" w:lastRowFirstColumn="0" w:lastRowLastColumn="0"/>
            <w:tcW w:w="1419" w:type="dxa"/>
            <w:vMerge/>
            <w:vAlign w:val="center"/>
          </w:tcPr>
          <w:p w14:paraId="02E5BE90" w14:textId="77777777" w:rsidR="00DC2CE1" w:rsidRPr="00550561" w:rsidRDefault="00DC2CE1" w:rsidP="002E68F7">
            <w:pPr>
              <w:jc w:val="center"/>
            </w:pPr>
          </w:p>
        </w:tc>
        <w:tc>
          <w:tcPr>
            <w:tcW w:w="6378" w:type="dxa"/>
            <w:tcBorders>
              <w:top w:val="nil"/>
              <w:bottom w:val="single" w:sz="4" w:space="0" w:color="7F7F7F" w:themeColor="text1" w:themeTint="80"/>
            </w:tcBorders>
          </w:tcPr>
          <w:p w14:paraId="42CC4FE3" w14:textId="291580CE" w:rsidR="00DC2CE1" w:rsidRPr="00550561" w:rsidRDefault="00DC2CE1" w:rsidP="00DC2CE1">
            <w:pPr>
              <w:jc w:val="center"/>
              <w:cnfStyle w:val="000000000000" w:firstRow="0" w:lastRow="0" w:firstColumn="0" w:lastColumn="0" w:oddVBand="0" w:evenVBand="0" w:oddHBand="0" w:evenHBand="0" w:firstRowFirstColumn="0" w:firstRowLastColumn="0" w:lastRowFirstColumn="0" w:lastRowLastColumn="0"/>
            </w:pPr>
            <w:r w:rsidRPr="00550561">
              <w:t>-</w:t>
            </w:r>
          </w:p>
        </w:tc>
        <w:tc>
          <w:tcPr>
            <w:tcW w:w="6378" w:type="dxa"/>
            <w:tcBorders>
              <w:top w:val="nil"/>
              <w:bottom w:val="single" w:sz="4" w:space="0" w:color="7F7F7F" w:themeColor="text1" w:themeTint="80"/>
            </w:tcBorders>
          </w:tcPr>
          <w:p w14:paraId="33218C70" w14:textId="145CB3AD" w:rsidR="00DC2CE1" w:rsidRPr="00550561" w:rsidRDefault="00DC2CE1" w:rsidP="00C27B53">
            <w:pPr>
              <w:pStyle w:val="ListParagraph"/>
              <w:numPr>
                <w:ilvl w:val="0"/>
                <w:numId w:val="9"/>
              </w:numPr>
              <w:tabs>
                <w:tab w:val="left" w:pos="2269"/>
              </w:tabs>
              <w:ind w:left="180" w:hanging="180"/>
              <w:cnfStyle w:val="000000000000" w:firstRow="0" w:lastRow="0" w:firstColumn="0" w:lastColumn="0" w:oddVBand="0" w:evenVBand="0" w:oddHBand="0" w:evenHBand="0" w:firstRowFirstColumn="0" w:firstRowLastColumn="0" w:lastRowFirstColumn="0" w:lastRowLastColumn="0"/>
            </w:pPr>
            <w:r w:rsidRPr="00550561">
              <w:t xml:space="preserve">Important to allow </w:t>
            </w:r>
            <w:r w:rsidR="00EA7E6C" w:rsidRPr="00550561">
              <w:t>patients</w:t>
            </w:r>
            <w:r w:rsidRPr="00550561">
              <w:t xml:space="preserve"> to choose when to be reviewed</w:t>
            </w:r>
          </w:p>
        </w:tc>
      </w:tr>
      <w:tr w:rsidR="00802150" w:rsidRPr="00550561" w14:paraId="3FC5357D" w14:textId="77777777" w:rsidTr="002E68F7">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1419" w:type="dxa"/>
            <w:vMerge w:val="restart"/>
            <w:vAlign w:val="center"/>
          </w:tcPr>
          <w:p w14:paraId="0EB56FB1" w14:textId="404BD61D" w:rsidR="00802150" w:rsidRPr="00550561" w:rsidRDefault="00802150" w:rsidP="002E68F7">
            <w:pPr>
              <w:jc w:val="center"/>
            </w:pPr>
            <w:r w:rsidRPr="00550561">
              <w:t>Intervention Coherence</w:t>
            </w:r>
          </w:p>
        </w:tc>
        <w:tc>
          <w:tcPr>
            <w:tcW w:w="6378" w:type="dxa"/>
            <w:tcBorders>
              <w:bottom w:val="nil"/>
            </w:tcBorders>
          </w:tcPr>
          <w:p w14:paraId="1E8938FC" w14:textId="35F9E7C3" w:rsidR="00802150" w:rsidRPr="00550561" w:rsidRDefault="00802150" w:rsidP="00C27B53">
            <w:pPr>
              <w:pStyle w:val="ListParagraph"/>
              <w:numPr>
                <w:ilvl w:val="0"/>
                <w:numId w:val="9"/>
              </w:numPr>
              <w:ind w:left="180" w:hanging="180"/>
              <w:cnfStyle w:val="000000100000" w:firstRow="0" w:lastRow="0" w:firstColumn="0" w:lastColumn="0" w:oddVBand="0" w:evenVBand="0" w:oddHBand="1" w:evenHBand="0" w:firstRowFirstColumn="0" w:firstRowLastColumn="0" w:lastRowFirstColumn="0" w:lastRowLastColumn="0"/>
            </w:pPr>
            <w:r w:rsidRPr="00550561">
              <w:t xml:space="preserve">Understood the purpose of </w:t>
            </w:r>
            <w:r w:rsidR="0096716C" w:rsidRPr="00550561">
              <w:t xml:space="preserve">the proposed </w:t>
            </w:r>
            <w:r w:rsidRPr="00550561">
              <w:t>PROMPPT reviews*</w:t>
            </w:r>
          </w:p>
          <w:p w14:paraId="1D4A08D1" w14:textId="3861E489" w:rsidR="00802150" w:rsidRPr="00550561" w:rsidRDefault="00802150" w:rsidP="00802150">
            <w:pPr>
              <w:cnfStyle w:val="000000100000" w:firstRow="0" w:lastRow="0" w:firstColumn="0" w:lastColumn="0" w:oddVBand="0" w:evenVBand="0" w:oddHBand="1" w:evenHBand="0" w:firstRowFirstColumn="0" w:firstRowLastColumn="0" w:lastRowFirstColumn="0" w:lastRowLastColumn="0"/>
            </w:pPr>
          </w:p>
        </w:tc>
        <w:tc>
          <w:tcPr>
            <w:tcW w:w="6378" w:type="dxa"/>
            <w:tcBorders>
              <w:bottom w:val="nil"/>
            </w:tcBorders>
          </w:tcPr>
          <w:p w14:paraId="30AA4E3E" w14:textId="77777777" w:rsidR="00802150" w:rsidRPr="00550561" w:rsidRDefault="00802150" w:rsidP="00C27B53">
            <w:pPr>
              <w:pStyle w:val="ListParagraph"/>
              <w:numPr>
                <w:ilvl w:val="0"/>
                <w:numId w:val="9"/>
              </w:numPr>
              <w:ind w:left="180" w:hanging="180"/>
              <w:cnfStyle w:val="000000100000" w:firstRow="0" w:lastRow="0" w:firstColumn="0" w:lastColumn="0" w:oddVBand="0" w:evenVBand="0" w:oddHBand="1" w:evenHBand="0" w:firstRowFirstColumn="0" w:firstRowLastColumn="0" w:lastRowFirstColumn="0" w:lastRowLastColumn="0"/>
            </w:pPr>
            <w:r w:rsidRPr="00550561">
              <w:t xml:space="preserve">Understanding of what PROMPPT was aiming to achieve* </w:t>
            </w:r>
          </w:p>
          <w:p w14:paraId="47EBE536" w14:textId="63342D0B" w:rsidR="00802150" w:rsidRPr="00550561" w:rsidRDefault="00802150" w:rsidP="00802150">
            <w:pPr>
              <w:pStyle w:val="ListParagraph"/>
              <w:numPr>
                <w:ilvl w:val="0"/>
                <w:numId w:val="9"/>
              </w:numPr>
              <w:ind w:left="180" w:hanging="180"/>
              <w:cnfStyle w:val="000000100000" w:firstRow="0" w:lastRow="0" w:firstColumn="0" w:lastColumn="0" w:oddVBand="0" w:evenVBand="0" w:oddHBand="1" w:evenHBand="0" w:firstRowFirstColumn="0" w:firstRowLastColumn="0" w:lastRowFirstColumn="0" w:lastRowLastColumn="0"/>
            </w:pPr>
            <w:r w:rsidRPr="00550561">
              <w:t xml:space="preserve">Invitation made clear what the purpose of the </w:t>
            </w:r>
            <w:r w:rsidR="001D59FE" w:rsidRPr="00550561">
              <w:t xml:space="preserve">prototype </w:t>
            </w:r>
            <w:r w:rsidRPr="00550561">
              <w:t>review was</w:t>
            </w:r>
          </w:p>
        </w:tc>
      </w:tr>
      <w:tr w:rsidR="00802150" w:rsidRPr="00550561" w14:paraId="642CFF3B" w14:textId="77777777" w:rsidTr="002E68F7">
        <w:trPr>
          <w:trHeight w:val="499"/>
        </w:trPr>
        <w:tc>
          <w:tcPr>
            <w:cnfStyle w:val="001000000000" w:firstRow="0" w:lastRow="0" w:firstColumn="1" w:lastColumn="0" w:oddVBand="0" w:evenVBand="0" w:oddHBand="0" w:evenHBand="0" w:firstRowFirstColumn="0" w:firstRowLastColumn="0" w:lastRowFirstColumn="0" w:lastRowLastColumn="0"/>
            <w:tcW w:w="1419" w:type="dxa"/>
            <w:vMerge/>
            <w:vAlign w:val="center"/>
          </w:tcPr>
          <w:p w14:paraId="03CE6BAD" w14:textId="77777777" w:rsidR="00802150" w:rsidRPr="00550561" w:rsidRDefault="00802150" w:rsidP="002E68F7">
            <w:pPr>
              <w:jc w:val="center"/>
            </w:pPr>
          </w:p>
        </w:tc>
        <w:tc>
          <w:tcPr>
            <w:tcW w:w="6378" w:type="dxa"/>
            <w:tcBorders>
              <w:top w:val="nil"/>
              <w:bottom w:val="nil"/>
            </w:tcBorders>
          </w:tcPr>
          <w:p w14:paraId="06551D39" w14:textId="77777777" w:rsidR="00802150" w:rsidRPr="00550561" w:rsidRDefault="00802150" w:rsidP="00802150">
            <w:pPr>
              <w:pStyle w:val="ListParagraph"/>
              <w:numPr>
                <w:ilvl w:val="0"/>
                <w:numId w:val="9"/>
              </w:numPr>
              <w:ind w:left="180" w:hanging="180"/>
              <w:cnfStyle w:val="000000000000" w:firstRow="0" w:lastRow="0" w:firstColumn="0" w:lastColumn="0" w:oddVBand="0" w:evenVBand="0" w:oddHBand="0" w:evenHBand="0" w:firstRowFirstColumn="0" w:firstRowLastColumn="0" w:lastRowFirstColumn="0" w:lastRowLastColumn="0"/>
            </w:pPr>
            <w:r w:rsidRPr="00550561">
              <w:t>Understanding the proposed PROMPPT review components</w:t>
            </w:r>
          </w:p>
          <w:p w14:paraId="2105829F" w14:textId="4463C630" w:rsidR="00802150" w:rsidRPr="00550561" w:rsidRDefault="00802150" w:rsidP="00802150">
            <w:pPr>
              <w:pStyle w:val="ListParagraph"/>
              <w:numPr>
                <w:ilvl w:val="0"/>
                <w:numId w:val="9"/>
              </w:numPr>
              <w:ind w:left="180" w:hanging="180"/>
              <w:cnfStyle w:val="000000000000" w:firstRow="0" w:lastRow="0" w:firstColumn="0" w:lastColumn="0" w:oddVBand="0" w:evenVBand="0" w:oddHBand="0" w:evenHBand="0" w:firstRowFirstColumn="0" w:firstRowLastColumn="0" w:lastRowFirstColumn="0" w:lastRowLastColumn="0"/>
            </w:pPr>
            <w:r w:rsidRPr="00550561">
              <w:t xml:space="preserve">Recognised need for a holistic review* </w:t>
            </w:r>
          </w:p>
        </w:tc>
        <w:tc>
          <w:tcPr>
            <w:tcW w:w="6378" w:type="dxa"/>
            <w:tcBorders>
              <w:top w:val="nil"/>
              <w:bottom w:val="nil"/>
            </w:tcBorders>
          </w:tcPr>
          <w:p w14:paraId="348CB68A" w14:textId="4B12EEB8" w:rsidR="00802150" w:rsidRPr="00550561" w:rsidRDefault="00F01FC9" w:rsidP="00802150">
            <w:pPr>
              <w:pStyle w:val="ListParagraph"/>
              <w:numPr>
                <w:ilvl w:val="0"/>
                <w:numId w:val="9"/>
              </w:numPr>
              <w:ind w:left="180" w:hanging="180"/>
              <w:cnfStyle w:val="000000000000" w:firstRow="0" w:lastRow="0" w:firstColumn="0" w:lastColumn="0" w:oddVBand="0" w:evenVBand="0" w:oddHBand="0" w:evenHBand="0" w:firstRowFirstColumn="0" w:firstRowLastColumn="0" w:lastRowFirstColumn="0" w:lastRowLastColumn="0"/>
            </w:pPr>
            <w:r w:rsidRPr="00550561">
              <w:t>P</w:t>
            </w:r>
            <w:r w:rsidR="00980A9C" w:rsidRPr="00550561">
              <w:t>atients</w:t>
            </w:r>
            <w:r w:rsidR="00802150" w:rsidRPr="00550561">
              <w:t xml:space="preserve"> understand the </w:t>
            </w:r>
            <w:r w:rsidR="008569DB" w:rsidRPr="00550561">
              <w:t xml:space="preserve">prototype </w:t>
            </w:r>
            <w:r w:rsidR="00802150" w:rsidRPr="00550561">
              <w:t>PROMPPT review components*</w:t>
            </w:r>
          </w:p>
          <w:p w14:paraId="15438A7A" w14:textId="7772E5EF" w:rsidR="00802150" w:rsidRPr="00550561" w:rsidRDefault="00802150" w:rsidP="00802150">
            <w:pPr>
              <w:pStyle w:val="ListParagraph"/>
              <w:numPr>
                <w:ilvl w:val="0"/>
                <w:numId w:val="9"/>
              </w:numPr>
              <w:ind w:left="180" w:hanging="180"/>
              <w:cnfStyle w:val="000000000000" w:firstRow="0" w:lastRow="0" w:firstColumn="0" w:lastColumn="0" w:oddVBand="0" w:evenVBand="0" w:oddHBand="0" w:evenHBand="0" w:firstRowFirstColumn="0" w:firstRowLastColumn="0" w:lastRowFirstColumn="0" w:lastRowLastColumn="0"/>
            </w:pPr>
            <w:r w:rsidRPr="00550561">
              <w:t>PROMPPT reviews allow</w:t>
            </w:r>
            <w:r w:rsidR="008569DB" w:rsidRPr="00550561">
              <w:t xml:space="preserve"> </w:t>
            </w:r>
            <w:r w:rsidR="00980A9C" w:rsidRPr="00550561">
              <w:t>patients</w:t>
            </w:r>
            <w:r w:rsidRPr="00550561">
              <w:t xml:space="preserve"> to feel valued and supported*</w:t>
            </w:r>
          </w:p>
          <w:p w14:paraId="5B242297" w14:textId="77777777" w:rsidR="00802150" w:rsidRPr="00550561" w:rsidRDefault="00802150" w:rsidP="00802150">
            <w:pPr>
              <w:pStyle w:val="ListParagraph"/>
              <w:numPr>
                <w:ilvl w:val="0"/>
                <w:numId w:val="9"/>
              </w:numPr>
              <w:ind w:left="180" w:hanging="180"/>
              <w:cnfStyle w:val="000000000000" w:firstRow="0" w:lastRow="0" w:firstColumn="0" w:lastColumn="0" w:oddVBand="0" w:evenVBand="0" w:oddHBand="0" w:evenHBand="0" w:firstRowFirstColumn="0" w:firstRowLastColumn="0" w:lastRowFirstColumn="0" w:lastRowLastColumn="0"/>
            </w:pPr>
            <w:r w:rsidRPr="00550561">
              <w:t>Appreciated the dedicated time and the collaborative approach</w:t>
            </w:r>
          </w:p>
          <w:p w14:paraId="6B70DF22" w14:textId="5F8122AC" w:rsidR="00802150" w:rsidRPr="00550561" w:rsidRDefault="00802150" w:rsidP="00802150">
            <w:pPr>
              <w:pStyle w:val="ListParagraph"/>
              <w:numPr>
                <w:ilvl w:val="0"/>
                <w:numId w:val="9"/>
              </w:numPr>
              <w:ind w:left="180" w:hanging="180"/>
              <w:cnfStyle w:val="000000000000" w:firstRow="0" w:lastRow="0" w:firstColumn="0" w:lastColumn="0" w:oddVBand="0" w:evenVBand="0" w:oddHBand="0" w:evenHBand="0" w:firstRowFirstColumn="0" w:firstRowLastColumn="0" w:lastRowFirstColumn="0" w:lastRowLastColumn="0"/>
            </w:pPr>
            <w:r w:rsidRPr="00550561">
              <w:t>Understand that time is needed to allow PROMPPT reviews to work*</w:t>
            </w:r>
          </w:p>
        </w:tc>
      </w:tr>
      <w:tr w:rsidR="00802150" w:rsidRPr="00550561" w14:paraId="7CBEDDE1" w14:textId="77777777" w:rsidTr="002E68F7">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419" w:type="dxa"/>
            <w:vMerge/>
            <w:vAlign w:val="center"/>
          </w:tcPr>
          <w:p w14:paraId="7B49D1E2" w14:textId="77777777" w:rsidR="00802150" w:rsidRPr="00550561" w:rsidRDefault="00802150" w:rsidP="002E68F7">
            <w:pPr>
              <w:jc w:val="center"/>
            </w:pPr>
          </w:p>
        </w:tc>
        <w:tc>
          <w:tcPr>
            <w:tcW w:w="6378" w:type="dxa"/>
            <w:tcBorders>
              <w:top w:val="nil"/>
              <w:bottom w:val="nil"/>
            </w:tcBorders>
          </w:tcPr>
          <w:p w14:paraId="5A05CAC7" w14:textId="32E06AD9" w:rsidR="00802150" w:rsidRPr="00550561" w:rsidRDefault="00802150" w:rsidP="00802150">
            <w:pPr>
              <w:pStyle w:val="ListParagraph"/>
              <w:numPr>
                <w:ilvl w:val="0"/>
                <w:numId w:val="9"/>
              </w:numPr>
              <w:ind w:left="180" w:hanging="180"/>
              <w:cnfStyle w:val="000000100000" w:firstRow="0" w:lastRow="0" w:firstColumn="0" w:lastColumn="0" w:oddVBand="0" w:evenVBand="0" w:oddHBand="1" w:evenHBand="0" w:firstRowFirstColumn="0" w:firstRowLastColumn="0" w:lastRowFirstColumn="0" w:lastRowLastColumn="0"/>
            </w:pPr>
            <w:r w:rsidRPr="00550561">
              <w:t>Belief that PROMPPT reviews will have additional benefits</w:t>
            </w:r>
          </w:p>
        </w:tc>
        <w:tc>
          <w:tcPr>
            <w:tcW w:w="6378" w:type="dxa"/>
            <w:tcBorders>
              <w:top w:val="nil"/>
              <w:bottom w:val="nil"/>
            </w:tcBorders>
          </w:tcPr>
          <w:p w14:paraId="2B4121EA" w14:textId="566035F1" w:rsidR="00802150" w:rsidRPr="00550561" w:rsidRDefault="00802150" w:rsidP="00802150">
            <w:pPr>
              <w:pStyle w:val="ListParagraph"/>
              <w:numPr>
                <w:ilvl w:val="0"/>
                <w:numId w:val="9"/>
              </w:numPr>
              <w:ind w:left="180" w:hanging="180"/>
              <w:cnfStyle w:val="000000100000" w:firstRow="0" w:lastRow="0" w:firstColumn="0" w:lastColumn="0" w:oddVBand="0" w:evenVBand="0" w:oddHBand="1" w:evenHBand="0" w:firstRowFirstColumn="0" w:firstRowLastColumn="0" w:lastRowFirstColumn="0" w:lastRowLastColumn="0"/>
            </w:pPr>
            <w:r w:rsidRPr="00550561">
              <w:t>Cost saving for the NHS/GP practice is an additional benefit</w:t>
            </w:r>
          </w:p>
        </w:tc>
      </w:tr>
      <w:tr w:rsidR="00802150" w:rsidRPr="00550561" w14:paraId="7C16918B" w14:textId="77777777" w:rsidTr="002E68F7">
        <w:trPr>
          <w:trHeight w:val="499"/>
        </w:trPr>
        <w:tc>
          <w:tcPr>
            <w:cnfStyle w:val="001000000000" w:firstRow="0" w:lastRow="0" w:firstColumn="1" w:lastColumn="0" w:oddVBand="0" w:evenVBand="0" w:oddHBand="0" w:evenHBand="0" w:firstRowFirstColumn="0" w:firstRowLastColumn="0" w:lastRowFirstColumn="0" w:lastRowLastColumn="0"/>
            <w:tcW w:w="1419" w:type="dxa"/>
            <w:vMerge/>
            <w:vAlign w:val="center"/>
          </w:tcPr>
          <w:p w14:paraId="55CA6407" w14:textId="77777777" w:rsidR="00802150" w:rsidRPr="00550561" w:rsidRDefault="00802150" w:rsidP="002E68F7">
            <w:pPr>
              <w:jc w:val="center"/>
            </w:pPr>
          </w:p>
        </w:tc>
        <w:tc>
          <w:tcPr>
            <w:tcW w:w="6378" w:type="dxa"/>
            <w:tcBorders>
              <w:top w:val="nil"/>
              <w:bottom w:val="nil"/>
            </w:tcBorders>
          </w:tcPr>
          <w:p w14:paraId="506C4B04" w14:textId="44BBE212" w:rsidR="00802150" w:rsidRPr="00550561" w:rsidRDefault="00802150" w:rsidP="00802150">
            <w:pPr>
              <w:pStyle w:val="ListParagraph"/>
              <w:numPr>
                <w:ilvl w:val="0"/>
                <w:numId w:val="9"/>
              </w:numPr>
              <w:ind w:left="180" w:hanging="180"/>
              <w:cnfStyle w:val="000000000000" w:firstRow="0" w:lastRow="0" w:firstColumn="0" w:lastColumn="0" w:oddVBand="0" w:evenVBand="0" w:oddHBand="0" w:evenHBand="0" w:firstRowFirstColumn="0" w:firstRowLastColumn="0" w:lastRowFirstColumn="0" w:lastRowLastColumn="0"/>
            </w:pPr>
            <w:r w:rsidRPr="00550561">
              <w:t>Misunderstanding that the purpose of PROMPPT reviews is to find alternatives or won’t be suitable for them*</w:t>
            </w:r>
          </w:p>
        </w:tc>
        <w:tc>
          <w:tcPr>
            <w:tcW w:w="6378" w:type="dxa"/>
            <w:tcBorders>
              <w:top w:val="nil"/>
              <w:bottom w:val="nil"/>
            </w:tcBorders>
          </w:tcPr>
          <w:p w14:paraId="6586B690" w14:textId="310FAEEB" w:rsidR="00802150" w:rsidRPr="00550561" w:rsidRDefault="00802150" w:rsidP="00802150">
            <w:pPr>
              <w:pStyle w:val="ListParagraph"/>
              <w:numPr>
                <w:ilvl w:val="0"/>
                <w:numId w:val="9"/>
              </w:numPr>
              <w:ind w:left="180" w:hanging="180"/>
              <w:cnfStyle w:val="000000000000" w:firstRow="0" w:lastRow="0" w:firstColumn="0" w:lastColumn="0" w:oddVBand="0" w:evenVBand="0" w:oddHBand="0" w:evenHBand="0" w:firstRowFirstColumn="0" w:firstRowLastColumn="0" w:lastRowFirstColumn="0" w:lastRowLastColumn="0"/>
            </w:pPr>
            <w:r w:rsidRPr="00550561">
              <w:t xml:space="preserve">Misunderstanding that the purpose of PROMPPT reviews is to find alternatives* </w:t>
            </w:r>
          </w:p>
        </w:tc>
      </w:tr>
      <w:tr w:rsidR="00802150" w:rsidRPr="00550561" w14:paraId="6DDCA2D9" w14:textId="77777777" w:rsidTr="002E68F7">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1419" w:type="dxa"/>
            <w:vMerge/>
            <w:vAlign w:val="center"/>
          </w:tcPr>
          <w:p w14:paraId="4719A7F8" w14:textId="77777777" w:rsidR="00802150" w:rsidRPr="00550561" w:rsidRDefault="00802150" w:rsidP="002E68F7">
            <w:pPr>
              <w:jc w:val="center"/>
            </w:pPr>
          </w:p>
        </w:tc>
        <w:tc>
          <w:tcPr>
            <w:tcW w:w="6378" w:type="dxa"/>
            <w:tcBorders>
              <w:top w:val="nil"/>
            </w:tcBorders>
          </w:tcPr>
          <w:p w14:paraId="3E4DA9EA" w14:textId="4DF18A8B" w:rsidR="00802150" w:rsidRPr="00550561" w:rsidRDefault="00802150" w:rsidP="00802150">
            <w:pPr>
              <w:jc w:val="center"/>
              <w:cnfStyle w:val="000000100000" w:firstRow="0" w:lastRow="0" w:firstColumn="0" w:lastColumn="0" w:oddVBand="0" w:evenVBand="0" w:oddHBand="1" w:evenHBand="0" w:firstRowFirstColumn="0" w:firstRowLastColumn="0" w:lastRowFirstColumn="0" w:lastRowLastColumn="0"/>
            </w:pPr>
            <w:r w:rsidRPr="00550561">
              <w:t>-</w:t>
            </w:r>
          </w:p>
        </w:tc>
        <w:tc>
          <w:tcPr>
            <w:tcW w:w="6378" w:type="dxa"/>
            <w:tcBorders>
              <w:top w:val="nil"/>
            </w:tcBorders>
          </w:tcPr>
          <w:p w14:paraId="447C4129" w14:textId="4B71CBE5" w:rsidR="00802150" w:rsidRPr="00550561" w:rsidRDefault="00802150" w:rsidP="00802150">
            <w:pPr>
              <w:pStyle w:val="ListParagraph"/>
              <w:numPr>
                <w:ilvl w:val="0"/>
                <w:numId w:val="9"/>
              </w:numPr>
              <w:ind w:left="180" w:hanging="180"/>
              <w:cnfStyle w:val="000000100000" w:firstRow="0" w:lastRow="0" w:firstColumn="0" w:lastColumn="0" w:oddVBand="0" w:evenVBand="0" w:oddHBand="1" w:evenHBand="0" w:firstRowFirstColumn="0" w:firstRowLastColumn="0" w:lastRowFirstColumn="0" w:lastRowLastColumn="0"/>
            </w:pPr>
            <w:r w:rsidRPr="00550561">
              <w:t>Don't feel prototype PROMPPT review was of value to them</w:t>
            </w:r>
          </w:p>
        </w:tc>
      </w:tr>
      <w:tr w:rsidR="0006165B" w:rsidRPr="00550561" w14:paraId="5DE5D4AE" w14:textId="77777777" w:rsidTr="009C2F91">
        <w:trPr>
          <w:trHeight w:val="473"/>
        </w:trPr>
        <w:tc>
          <w:tcPr>
            <w:cnfStyle w:val="001000000000" w:firstRow="0" w:lastRow="0" w:firstColumn="1" w:lastColumn="0" w:oddVBand="0" w:evenVBand="0" w:oddHBand="0" w:evenHBand="0" w:firstRowFirstColumn="0" w:firstRowLastColumn="0" w:lastRowFirstColumn="0" w:lastRowLastColumn="0"/>
            <w:tcW w:w="1419" w:type="dxa"/>
            <w:vAlign w:val="center"/>
          </w:tcPr>
          <w:p w14:paraId="0BA1D355" w14:textId="621C2EC7" w:rsidR="0006165B" w:rsidRPr="00550561" w:rsidRDefault="0006165B" w:rsidP="002E68F7">
            <w:pPr>
              <w:jc w:val="center"/>
            </w:pPr>
            <w:r w:rsidRPr="00550561">
              <w:t>Opportunity Costs</w:t>
            </w:r>
          </w:p>
        </w:tc>
        <w:tc>
          <w:tcPr>
            <w:tcW w:w="6378" w:type="dxa"/>
          </w:tcPr>
          <w:p w14:paraId="33D88C31" w14:textId="300E4FC6" w:rsidR="00FB0E64" w:rsidRPr="00550561" w:rsidRDefault="00FB0E64" w:rsidP="00FB0E64">
            <w:pPr>
              <w:pStyle w:val="ListParagraph"/>
              <w:numPr>
                <w:ilvl w:val="0"/>
                <w:numId w:val="9"/>
              </w:numPr>
              <w:ind w:left="180" w:hanging="180"/>
              <w:cnfStyle w:val="000000000000" w:firstRow="0" w:lastRow="0" w:firstColumn="0" w:lastColumn="0" w:oddVBand="0" w:evenVBand="0" w:oddHBand="0" w:evenHBand="0" w:firstRowFirstColumn="0" w:firstRowLastColumn="0" w:lastRowFirstColumn="0" w:lastRowLastColumn="0"/>
            </w:pPr>
            <w:r w:rsidRPr="00550561">
              <w:t>Patients place value on their opioids</w:t>
            </w:r>
          </w:p>
          <w:p w14:paraId="0424FC48" w14:textId="3A23709A" w:rsidR="00FB0E64" w:rsidRPr="00550561" w:rsidRDefault="00FB0E64" w:rsidP="00FB0E64">
            <w:pPr>
              <w:pStyle w:val="ListParagraph"/>
              <w:ind w:left="180" w:hanging="180"/>
              <w:cnfStyle w:val="000000000000" w:firstRow="0" w:lastRow="0" w:firstColumn="0" w:lastColumn="0" w:oddVBand="0" w:evenVBand="0" w:oddHBand="0" w:evenHBand="0" w:firstRowFirstColumn="0" w:firstRowLastColumn="0" w:lastRowFirstColumn="0" w:lastRowLastColumn="0"/>
            </w:pPr>
          </w:p>
        </w:tc>
        <w:tc>
          <w:tcPr>
            <w:tcW w:w="6378" w:type="dxa"/>
          </w:tcPr>
          <w:p w14:paraId="5F33B64F" w14:textId="3C4B89D0" w:rsidR="0006165B" w:rsidRPr="00550561" w:rsidRDefault="00FB0E64" w:rsidP="00FB0E64">
            <w:pPr>
              <w:jc w:val="center"/>
              <w:cnfStyle w:val="000000000000" w:firstRow="0" w:lastRow="0" w:firstColumn="0" w:lastColumn="0" w:oddVBand="0" w:evenVBand="0" w:oddHBand="0" w:evenHBand="0" w:firstRowFirstColumn="0" w:firstRowLastColumn="0" w:lastRowFirstColumn="0" w:lastRowLastColumn="0"/>
            </w:pPr>
            <w:r w:rsidRPr="00550561">
              <w:t>-</w:t>
            </w:r>
          </w:p>
        </w:tc>
      </w:tr>
      <w:tr w:rsidR="002435A4" w:rsidRPr="00550561" w14:paraId="64D06F9E" w14:textId="77777777" w:rsidTr="002E68F7">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1419" w:type="dxa"/>
            <w:vMerge w:val="restart"/>
            <w:vAlign w:val="center"/>
          </w:tcPr>
          <w:p w14:paraId="551D0B33" w14:textId="557C44FF" w:rsidR="002435A4" w:rsidRPr="00550561" w:rsidRDefault="002435A4" w:rsidP="002E68F7">
            <w:pPr>
              <w:jc w:val="center"/>
            </w:pPr>
            <w:r w:rsidRPr="00550561">
              <w:t>Perceived effectiveness</w:t>
            </w:r>
          </w:p>
        </w:tc>
        <w:tc>
          <w:tcPr>
            <w:tcW w:w="6378" w:type="dxa"/>
            <w:tcBorders>
              <w:bottom w:val="nil"/>
            </w:tcBorders>
          </w:tcPr>
          <w:p w14:paraId="56438442" w14:textId="63E48172" w:rsidR="002435A4" w:rsidRPr="00550561" w:rsidRDefault="002435A4" w:rsidP="007D6A59">
            <w:pPr>
              <w:pStyle w:val="ListParagraph"/>
              <w:numPr>
                <w:ilvl w:val="0"/>
                <w:numId w:val="10"/>
              </w:numPr>
              <w:ind w:left="180" w:hanging="180"/>
              <w:cnfStyle w:val="000000100000" w:firstRow="0" w:lastRow="0" w:firstColumn="0" w:lastColumn="0" w:oddVBand="0" w:evenVBand="0" w:oddHBand="1" w:evenHBand="0" w:firstRowFirstColumn="0" w:firstRowLastColumn="0" w:lastRowFirstColumn="0" w:lastRowLastColumn="0"/>
            </w:pPr>
            <w:r w:rsidRPr="00550561">
              <w:t xml:space="preserve">Optimistic that </w:t>
            </w:r>
            <w:r w:rsidR="002B2E10" w:rsidRPr="00550561">
              <w:t xml:space="preserve">the proposed </w:t>
            </w:r>
            <w:r w:rsidRPr="00550561">
              <w:t xml:space="preserve">PROMPPT review will be successful in achieving </w:t>
            </w:r>
            <w:r w:rsidR="00922FCA" w:rsidRPr="00550561">
              <w:t>its</w:t>
            </w:r>
            <w:r w:rsidRPr="00550561">
              <w:t xml:space="preserve"> aims*</w:t>
            </w:r>
          </w:p>
        </w:tc>
        <w:tc>
          <w:tcPr>
            <w:tcW w:w="6378" w:type="dxa"/>
            <w:tcBorders>
              <w:bottom w:val="nil"/>
            </w:tcBorders>
          </w:tcPr>
          <w:p w14:paraId="135C362A" w14:textId="444C6458" w:rsidR="002435A4" w:rsidRPr="00550561" w:rsidRDefault="003D62DC" w:rsidP="00C27B53">
            <w:pPr>
              <w:pStyle w:val="ListParagraph"/>
              <w:numPr>
                <w:ilvl w:val="0"/>
                <w:numId w:val="12"/>
              </w:numPr>
              <w:ind w:left="180" w:hanging="180"/>
              <w:cnfStyle w:val="000000100000" w:firstRow="0" w:lastRow="0" w:firstColumn="0" w:lastColumn="0" w:oddVBand="0" w:evenVBand="0" w:oddHBand="1" w:evenHBand="0" w:firstRowFirstColumn="0" w:firstRowLastColumn="0" w:lastRowFirstColumn="0" w:lastRowLastColumn="0"/>
            </w:pPr>
            <w:r w:rsidRPr="00550561">
              <w:t xml:space="preserve">Prototype </w:t>
            </w:r>
            <w:r w:rsidR="002435A4" w:rsidRPr="00550561">
              <w:t>PROMPPT review successful at reducing opioids</w:t>
            </w:r>
          </w:p>
          <w:p w14:paraId="5396B084" w14:textId="3C13267E" w:rsidR="002435A4" w:rsidRPr="00550561" w:rsidRDefault="003D62DC" w:rsidP="00C27B53">
            <w:pPr>
              <w:pStyle w:val="ListParagraph"/>
              <w:numPr>
                <w:ilvl w:val="0"/>
                <w:numId w:val="12"/>
              </w:numPr>
              <w:ind w:left="180" w:hanging="180"/>
              <w:cnfStyle w:val="000000100000" w:firstRow="0" w:lastRow="0" w:firstColumn="0" w:lastColumn="0" w:oddVBand="0" w:evenVBand="0" w:oddHBand="1" w:evenHBand="0" w:firstRowFirstColumn="0" w:firstRowLastColumn="0" w:lastRowFirstColumn="0" w:lastRowLastColumn="0"/>
            </w:pPr>
            <w:r w:rsidRPr="00550561">
              <w:t xml:space="preserve">Prototype </w:t>
            </w:r>
            <w:r w:rsidR="002435A4" w:rsidRPr="00550561">
              <w:t>PROMPPT review has exceeded expectations*</w:t>
            </w:r>
          </w:p>
          <w:p w14:paraId="7735C4EB" w14:textId="60FFFF6A" w:rsidR="002435A4" w:rsidRPr="00550561" w:rsidRDefault="002435A4" w:rsidP="007D6A59">
            <w:pPr>
              <w:pStyle w:val="ListParagraph"/>
              <w:numPr>
                <w:ilvl w:val="0"/>
                <w:numId w:val="12"/>
              </w:numPr>
              <w:ind w:left="180" w:hanging="180"/>
              <w:cnfStyle w:val="000000100000" w:firstRow="0" w:lastRow="0" w:firstColumn="0" w:lastColumn="0" w:oddVBand="0" w:evenVBand="0" w:oddHBand="1" w:evenHBand="0" w:firstRowFirstColumn="0" w:firstRowLastColumn="0" w:lastRowFirstColumn="0" w:lastRowLastColumn="0"/>
            </w:pPr>
            <w:r w:rsidRPr="00550561">
              <w:t xml:space="preserve">Patient education empowered the </w:t>
            </w:r>
            <w:r w:rsidR="00980A9C" w:rsidRPr="00550561">
              <w:t>patients</w:t>
            </w:r>
          </w:p>
        </w:tc>
      </w:tr>
      <w:tr w:rsidR="002435A4" w:rsidRPr="00550561" w14:paraId="771ECFCE" w14:textId="77777777" w:rsidTr="002E68F7">
        <w:trPr>
          <w:trHeight w:val="499"/>
        </w:trPr>
        <w:tc>
          <w:tcPr>
            <w:cnfStyle w:val="001000000000" w:firstRow="0" w:lastRow="0" w:firstColumn="1" w:lastColumn="0" w:oddVBand="0" w:evenVBand="0" w:oddHBand="0" w:evenHBand="0" w:firstRowFirstColumn="0" w:firstRowLastColumn="0" w:lastRowFirstColumn="0" w:lastRowLastColumn="0"/>
            <w:tcW w:w="1419" w:type="dxa"/>
            <w:vMerge/>
            <w:vAlign w:val="center"/>
          </w:tcPr>
          <w:p w14:paraId="66514B36" w14:textId="77777777" w:rsidR="002435A4" w:rsidRPr="00550561" w:rsidRDefault="002435A4" w:rsidP="002E68F7">
            <w:pPr>
              <w:jc w:val="center"/>
            </w:pPr>
          </w:p>
        </w:tc>
        <w:tc>
          <w:tcPr>
            <w:tcW w:w="6378" w:type="dxa"/>
            <w:tcBorders>
              <w:top w:val="nil"/>
              <w:bottom w:val="nil"/>
            </w:tcBorders>
          </w:tcPr>
          <w:p w14:paraId="57BF3CBE" w14:textId="221093E8" w:rsidR="002435A4" w:rsidRPr="00550561" w:rsidRDefault="002435A4" w:rsidP="00086D49">
            <w:pPr>
              <w:pStyle w:val="ListParagraph"/>
              <w:numPr>
                <w:ilvl w:val="0"/>
                <w:numId w:val="10"/>
              </w:numPr>
              <w:ind w:left="180" w:hanging="180"/>
              <w:cnfStyle w:val="000000000000" w:firstRow="0" w:lastRow="0" w:firstColumn="0" w:lastColumn="0" w:oddVBand="0" w:evenVBand="0" w:oddHBand="0" w:evenHBand="0" w:firstRowFirstColumn="0" w:firstRowLastColumn="0" w:lastRowFirstColumn="0" w:lastRowLastColumn="0"/>
            </w:pPr>
            <w:r w:rsidRPr="00550561">
              <w:t>Effectiveness will be dependent on patient factors (i.e. dose, strength, readiness to change)</w:t>
            </w:r>
          </w:p>
        </w:tc>
        <w:tc>
          <w:tcPr>
            <w:tcW w:w="6378" w:type="dxa"/>
            <w:tcBorders>
              <w:top w:val="nil"/>
              <w:bottom w:val="nil"/>
            </w:tcBorders>
          </w:tcPr>
          <w:p w14:paraId="5E8A34F7" w14:textId="4A6F1B8C" w:rsidR="002435A4" w:rsidRPr="00550561" w:rsidRDefault="002435A4" w:rsidP="00086D49">
            <w:pPr>
              <w:pStyle w:val="ListParagraph"/>
              <w:numPr>
                <w:ilvl w:val="0"/>
                <w:numId w:val="12"/>
              </w:numPr>
              <w:ind w:left="180" w:hanging="180"/>
              <w:cnfStyle w:val="000000000000" w:firstRow="0" w:lastRow="0" w:firstColumn="0" w:lastColumn="0" w:oddVBand="0" w:evenVBand="0" w:oddHBand="0" w:evenHBand="0" w:firstRowFirstColumn="0" w:firstRowLastColumn="0" w:lastRowFirstColumn="0" w:lastRowLastColumn="0"/>
            </w:pPr>
            <w:r w:rsidRPr="00550561">
              <w:t xml:space="preserve">Effectiveness will depend on the </w:t>
            </w:r>
            <w:r w:rsidR="00980A9C" w:rsidRPr="00550561">
              <w:t>patient</w:t>
            </w:r>
            <w:r w:rsidRPr="00550561">
              <w:t xml:space="preserve"> and their openness to discuss and engage in the review*</w:t>
            </w:r>
          </w:p>
        </w:tc>
      </w:tr>
      <w:tr w:rsidR="002435A4" w:rsidRPr="00550561" w14:paraId="688B0942" w14:textId="77777777" w:rsidTr="002E68F7">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1419" w:type="dxa"/>
            <w:vMerge/>
            <w:vAlign w:val="center"/>
          </w:tcPr>
          <w:p w14:paraId="1F6EF1E6" w14:textId="77777777" w:rsidR="002435A4" w:rsidRPr="00550561" w:rsidRDefault="002435A4" w:rsidP="002E68F7">
            <w:pPr>
              <w:jc w:val="center"/>
            </w:pPr>
          </w:p>
        </w:tc>
        <w:tc>
          <w:tcPr>
            <w:tcW w:w="6378" w:type="dxa"/>
            <w:tcBorders>
              <w:top w:val="nil"/>
              <w:bottom w:val="nil"/>
            </w:tcBorders>
          </w:tcPr>
          <w:p w14:paraId="7E42D0AE" w14:textId="4636AD2B" w:rsidR="002435A4" w:rsidRPr="00550561" w:rsidRDefault="002435A4" w:rsidP="000C735D">
            <w:pPr>
              <w:pStyle w:val="ListParagraph"/>
              <w:numPr>
                <w:ilvl w:val="0"/>
                <w:numId w:val="10"/>
              </w:numPr>
              <w:ind w:left="180" w:hanging="180"/>
              <w:cnfStyle w:val="000000100000" w:firstRow="0" w:lastRow="0" w:firstColumn="0" w:lastColumn="0" w:oddVBand="0" w:evenVBand="0" w:oddHBand="1" w:evenHBand="0" w:firstRowFirstColumn="0" w:firstRowLastColumn="0" w:lastRowFirstColumn="0" w:lastRowLastColumn="0"/>
            </w:pPr>
            <w:r w:rsidRPr="00550561">
              <w:t>Some reservations that the intervention won’t be effective</w:t>
            </w:r>
          </w:p>
        </w:tc>
        <w:tc>
          <w:tcPr>
            <w:tcW w:w="6378" w:type="dxa"/>
            <w:tcBorders>
              <w:top w:val="nil"/>
              <w:bottom w:val="nil"/>
            </w:tcBorders>
          </w:tcPr>
          <w:p w14:paraId="574CE569" w14:textId="77777777" w:rsidR="002435A4" w:rsidRPr="00550561" w:rsidRDefault="002435A4" w:rsidP="007D6A59">
            <w:pPr>
              <w:pStyle w:val="ListParagraph"/>
              <w:numPr>
                <w:ilvl w:val="0"/>
                <w:numId w:val="12"/>
              </w:numPr>
              <w:ind w:left="180" w:hanging="180"/>
              <w:cnfStyle w:val="000000100000" w:firstRow="0" w:lastRow="0" w:firstColumn="0" w:lastColumn="0" w:oddVBand="0" w:evenVBand="0" w:oddHBand="1" w:evenHBand="0" w:firstRowFirstColumn="0" w:firstRowLastColumn="0" w:lastRowFirstColumn="0" w:lastRowLastColumn="0"/>
            </w:pPr>
            <w:r w:rsidRPr="00550561">
              <w:t>Scepticism of PROMPPT review and what it can achieve*</w:t>
            </w:r>
          </w:p>
          <w:p w14:paraId="644C9207" w14:textId="5FE14262" w:rsidR="002435A4" w:rsidRPr="00550561" w:rsidRDefault="002435A4" w:rsidP="007D6A59">
            <w:pPr>
              <w:pStyle w:val="ListParagraph"/>
              <w:numPr>
                <w:ilvl w:val="0"/>
                <w:numId w:val="12"/>
              </w:numPr>
              <w:ind w:left="180" w:hanging="180"/>
              <w:cnfStyle w:val="000000100000" w:firstRow="0" w:lastRow="0" w:firstColumn="0" w:lastColumn="0" w:oddVBand="0" w:evenVBand="0" w:oddHBand="1" w:evenHBand="0" w:firstRowFirstColumn="0" w:firstRowLastColumn="0" w:lastRowFirstColumn="0" w:lastRowLastColumn="0"/>
            </w:pPr>
            <w:r w:rsidRPr="00550561">
              <w:t>Helpful to reduce but not stop opioids</w:t>
            </w:r>
          </w:p>
        </w:tc>
      </w:tr>
      <w:tr w:rsidR="002435A4" w:rsidRPr="00550561" w14:paraId="71028135" w14:textId="77777777" w:rsidTr="002E68F7">
        <w:trPr>
          <w:trHeight w:val="499"/>
        </w:trPr>
        <w:tc>
          <w:tcPr>
            <w:cnfStyle w:val="001000000000" w:firstRow="0" w:lastRow="0" w:firstColumn="1" w:lastColumn="0" w:oddVBand="0" w:evenVBand="0" w:oddHBand="0" w:evenHBand="0" w:firstRowFirstColumn="0" w:firstRowLastColumn="0" w:lastRowFirstColumn="0" w:lastRowLastColumn="0"/>
            <w:tcW w:w="1419" w:type="dxa"/>
            <w:vMerge/>
            <w:vAlign w:val="center"/>
          </w:tcPr>
          <w:p w14:paraId="66CBBDE9" w14:textId="77777777" w:rsidR="002435A4" w:rsidRPr="00550561" w:rsidRDefault="002435A4" w:rsidP="002E68F7">
            <w:pPr>
              <w:jc w:val="center"/>
            </w:pPr>
          </w:p>
        </w:tc>
        <w:tc>
          <w:tcPr>
            <w:tcW w:w="6378" w:type="dxa"/>
            <w:tcBorders>
              <w:top w:val="nil"/>
            </w:tcBorders>
          </w:tcPr>
          <w:p w14:paraId="31417F51" w14:textId="7AE8927F" w:rsidR="002435A4" w:rsidRPr="00550561" w:rsidRDefault="002435A4" w:rsidP="007D6A59">
            <w:pPr>
              <w:jc w:val="center"/>
              <w:cnfStyle w:val="000000000000" w:firstRow="0" w:lastRow="0" w:firstColumn="0" w:lastColumn="0" w:oddVBand="0" w:evenVBand="0" w:oddHBand="0" w:evenHBand="0" w:firstRowFirstColumn="0" w:firstRowLastColumn="0" w:lastRowFirstColumn="0" w:lastRowLastColumn="0"/>
            </w:pPr>
            <w:r w:rsidRPr="00550561">
              <w:t>-</w:t>
            </w:r>
          </w:p>
        </w:tc>
        <w:tc>
          <w:tcPr>
            <w:tcW w:w="6378" w:type="dxa"/>
            <w:tcBorders>
              <w:top w:val="nil"/>
            </w:tcBorders>
          </w:tcPr>
          <w:p w14:paraId="38BE20F1" w14:textId="25710AB1" w:rsidR="002435A4" w:rsidRPr="00550561" w:rsidRDefault="002435A4" w:rsidP="00C27B53">
            <w:pPr>
              <w:pStyle w:val="ListParagraph"/>
              <w:numPr>
                <w:ilvl w:val="0"/>
                <w:numId w:val="12"/>
              </w:numPr>
              <w:ind w:left="180" w:hanging="180"/>
              <w:cnfStyle w:val="000000000000" w:firstRow="0" w:lastRow="0" w:firstColumn="0" w:lastColumn="0" w:oddVBand="0" w:evenVBand="0" w:oddHBand="0" w:evenHBand="0" w:firstRowFirstColumn="0" w:firstRowLastColumn="0" w:lastRowFirstColumn="0" w:lastRowLastColumn="0"/>
            </w:pPr>
            <w:r w:rsidRPr="00550561">
              <w:t>The review benefits the research and the pharmacist more than the patient</w:t>
            </w:r>
          </w:p>
        </w:tc>
      </w:tr>
      <w:tr w:rsidR="002435A4" w:rsidRPr="00550561" w14:paraId="625FD98C" w14:textId="77777777" w:rsidTr="00C560DC">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419" w:type="dxa"/>
            <w:vMerge w:val="restart"/>
            <w:vAlign w:val="center"/>
          </w:tcPr>
          <w:p w14:paraId="2B56F12B" w14:textId="7CC3D1B7" w:rsidR="002435A4" w:rsidRPr="00550561" w:rsidRDefault="002435A4" w:rsidP="002E68F7">
            <w:pPr>
              <w:jc w:val="center"/>
            </w:pPr>
            <w:r w:rsidRPr="00550561">
              <w:t>Self-efficacy</w:t>
            </w:r>
          </w:p>
        </w:tc>
        <w:tc>
          <w:tcPr>
            <w:tcW w:w="6378" w:type="dxa"/>
            <w:tcBorders>
              <w:bottom w:val="nil"/>
            </w:tcBorders>
          </w:tcPr>
          <w:p w14:paraId="54D8C840" w14:textId="30F01D58" w:rsidR="002435A4" w:rsidRPr="00550561" w:rsidRDefault="002435A4" w:rsidP="00C560DC">
            <w:pPr>
              <w:pStyle w:val="ListParagraph"/>
              <w:numPr>
                <w:ilvl w:val="0"/>
                <w:numId w:val="11"/>
              </w:numPr>
              <w:ind w:left="180" w:hanging="180"/>
              <w:cnfStyle w:val="000000100000" w:firstRow="0" w:lastRow="0" w:firstColumn="0" w:lastColumn="0" w:oddVBand="0" w:evenVBand="0" w:oddHBand="1" w:evenHBand="0" w:firstRowFirstColumn="0" w:firstRowLastColumn="0" w:lastRowFirstColumn="0" w:lastRowLastColumn="0"/>
            </w:pPr>
            <w:r w:rsidRPr="00550561">
              <w:t>Confident to discuss their pain with a pharmacist*</w:t>
            </w:r>
          </w:p>
        </w:tc>
        <w:tc>
          <w:tcPr>
            <w:tcW w:w="6378" w:type="dxa"/>
            <w:tcBorders>
              <w:bottom w:val="nil"/>
            </w:tcBorders>
          </w:tcPr>
          <w:p w14:paraId="0CACF5D6" w14:textId="66B4ADA5" w:rsidR="002435A4" w:rsidRPr="00550561" w:rsidRDefault="000317BB" w:rsidP="002435A4">
            <w:pPr>
              <w:pStyle w:val="ListParagraph"/>
              <w:numPr>
                <w:ilvl w:val="0"/>
                <w:numId w:val="13"/>
              </w:numPr>
              <w:ind w:left="180" w:hanging="180"/>
              <w:cnfStyle w:val="000000100000" w:firstRow="0" w:lastRow="0" w:firstColumn="0" w:lastColumn="0" w:oddVBand="0" w:evenVBand="0" w:oddHBand="1" w:evenHBand="0" w:firstRowFirstColumn="0" w:firstRowLastColumn="0" w:lastRowFirstColumn="0" w:lastRowLastColumn="0"/>
            </w:pPr>
            <w:r w:rsidRPr="00550561">
              <w:t>Patients</w:t>
            </w:r>
            <w:r w:rsidR="002435A4" w:rsidRPr="00550561">
              <w:t xml:space="preserve"> confident to participate in the PROMPPT review</w:t>
            </w:r>
          </w:p>
        </w:tc>
      </w:tr>
      <w:tr w:rsidR="002435A4" w:rsidRPr="00550561" w14:paraId="5A9D457B" w14:textId="77777777" w:rsidTr="00C560DC">
        <w:trPr>
          <w:trHeight w:val="395"/>
        </w:trPr>
        <w:tc>
          <w:tcPr>
            <w:cnfStyle w:val="001000000000" w:firstRow="0" w:lastRow="0" w:firstColumn="1" w:lastColumn="0" w:oddVBand="0" w:evenVBand="0" w:oddHBand="0" w:evenHBand="0" w:firstRowFirstColumn="0" w:firstRowLastColumn="0" w:lastRowFirstColumn="0" w:lastRowLastColumn="0"/>
            <w:tcW w:w="1419" w:type="dxa"/>
            <w:vMerge/>
            <w:vAlign w:val="center"/>
          </w:tcPr>
          <w:p w14:paraId="1229C2A7" w14:textId="58BF7969" w:rsidR="002435A4" w:rsidRPr="00550561" w:rsidRDefault="002435A4" w:rsidP="009C2F91"/>
        </w:tc>
        <w:tc>
          <w:tcPr>
            <w:tcW w:w="6378" w:type="dxa"/>
            <w:tcBorders>
              <w:top w:val="nil"/>
              <w:bottom w:val="single" w:sz="4" w:space="0" w:color="7F7F7F" w:themeColor="text1" w:themeTint="80"/>
            </w:tcBorders>
          </w:tcPr>
          <w:p w14:paraId="4A5EB79E" w14:textId="74EE2C96" w:rsidR="002435A4" w:rsidRPr="00550561" w:rsidRDefault="002435A4" w:rsidP="00C27B53">
            <w:pPr>
              <w:pStyle w:val="ListParagraph"/>
              <w:numPr>
                <w:ilvl w:val="0"/>
                <w:numId w:val="11"/>
              </w:numPr>
              <w:ind w:left="180" w:hanging="180"/>
              <w:cnfStyle w:val="000000000000" w:firstRow="0" w:lastRow="0" w:firstColumn="0" w:lastColumn="0" w:oddVBand="0" w:evenVBand="0" w:oddHBand="0" w:evenHBand="0" w:firstRowFirstColumn="0" w:firstRowLastColumn="0" w:lastRowFirstColumn="0" w:lastRowLastColumn="0"/>
            </w:pPr>
            <w:r w:rsidRPr="00550561">
              <w:t>Mixed confidence in their ability to reduce opioids</w:t>
            </w:r>
          </w:p>
        </w:tc>
        <w:tc>
          <w:tcPr>
            <w:tcW w:w="6378" w:type="dxa"/>
            <w:tcBorders>
              <w:top w:val="nil"/>
              <w:bottom w:val="single" w:sz="4" w:space="0" w:color="7F7F7F" w:themeColor="text1" w:themeTint="80"/>
            </w:tcBorders>
          </w:tcPr>
          <w:p w14:paraId="33C2FE29" w14:textId="1D1E75EB" w:rsidR="002435A4" w:rsidRPr="00550561" w:rsidRDefault="002435A4" w:rsidP="002435A4">
            <w:pPr>
              <w:pStyle w:val="ListParagraph"/>
              <w:ind w:left="180" w:hanging="180"/>
              <w:jc w:val="center"/>
              <w:cnfStyle w:val="000000000000" w:firstRow="0" w:lastRow="0" w:firstColumn="0" w:lastColumn="0" w:oddVBand="0" w:evenVBand="0" w:oddHBand="0" w:evenHBand="0" w:firstRowFirstColumn="0" w:firstRowLastColumn="0" w:lastRowFirstColumn="0" w:lastRowLastColumn="0"/>
            </w:pPr>
            <w:r w:rsidRPr="00550561">
              <w:t>-</w:t>
            </w:r>
          </w:p>
        </w:tc>
      </w:tr>
    </w:tbl>
    <w:p w14:paraId="6BF3EA48" w14:textId="77777777" w:rsidR="004960BC" w:rsidRPr="00550561" w:rsidRDefault="004960BC">
      <w:pPr>
        <w:rPr>
          <w:b/>
          <w:bCs/>
          <w:i/>
          <w:iCs/>
        </w:rPr>
        <w:sectPr w:rsidR="004960BC" w:rsidRPr="00550561" w:rsidSect="00F62149">
          <w:pgSz w:w="16838" w:h="11906" w:orient="landscape"/>
          <w:pgMar w:top="1440" w:right="1440" w:bottom="1440" w:left="1440" w:header="708" w:footer="708" w:gutter="0"/>
          <w:cols w:space="708"/>
          <w:docGrid w:linePitch="360"/>
        </w:sectPr>
      </w:pPr>
    </w:p>
    <w:p w14:paraId="396639E9" w14:textId="1BD817F0" w:rsidR="00DA710C" w:rsidRPr="00550561" w:rsidRDefault="00B87B7A" w:rsidP="00DA710C">
      <w:pPr>
        <w:spacing w:line="360" w:lineRule="auto"/>
        <w:rPr>
          <w:b/>
          <w:bCs/>
          <w:i/>
          <w:iCs/>
        </w:rPr>
      </w:pPr>
      <w:r w:rsidRPr="00550561">
        <w:rPr>
          <w:b/>
          <w:bCs/>
          <w:i/>
          <w:iCs/>
        </w:rPr>
        <w:t>Acceptability of PROMPPT:</w:t>
      </w:r>
      <w:r w:rsidR="00582D5A" w:rsidRPr="00550561">
        <w:rPr>
          <w:b/>
          <w:bCs/>
          <w:i/>
          <w:iCs/>
        </w:rPr>
        <w:t xml:space="preserve"> P</w:t>
      </w:r>
      <w:r w:rsidR="00DA710C" w:rsidRPr="00550561">
        <w:rPr>
          <w:b/>
          <w:bCs/>
          <w:i/>
          <w:iCs/>
        </w:rPr>
        <w:t xml:space="preserve">harmacists’ </w:t>
      </w:r>
      <w:r w:rsidRPr="00550561">
        <w:rPr>
          <w:b/>
          <w:bCs/>
          <w:i/>
          <w:iCs/>
        </w:rPr>
        <w:t xml:space="preserve">perspectives </w:t>
      </w:r>
    </w:p>
    <w:p w14:paraId="1811F301" w14:textId="7259E2A3" w:rsidR="004824E3" w:rsidRPr="00550561" w:rsidRDefault="002839A2" w:rsidP="000C50E3">
      <w:pPr>
        <w:spacing w:line="360" w:lineRule="auto"/>
        <w:rPr>
          <w:rFonts w:cstheme="minorHAnsi"/>
        </w:rPr>
      </w:pPr>
      <w:r w:rsidRPr="00550561">
        <w:rPr>
          <w:rFonts w:cstheme="minorHAnsi"/>
        </w:rPr>
        <w:t>In prospective interviews p</w:t>
      </w:r>
      <w:r w:rsidR="0058353C" w:rsidRPr="00550561">
        <w:rPr>
          <w:rFonts w:cstheme="minorHAnsi"/>
        </w:rPr>
        <w:t>harmacists talked about a</w:t>
      </w:r>
      <w:r w:rsidR="006672D8" w:rsidRPr="00550561">
        <w:rPr>
          <w:rFonts w:cstheme="minorHAnsi"/>
        </w:rPr>
        <w:t xml:space="preserve">spects of </w:t>
      </w:r>
      <w:r w:rsidR="0058353C" w:rsidRPr="00550561">
        <w:rPr>
          <w:rFonts w:cstheme="minorHAnsi"/>
        </w:rPr>
        <w:t xml:space="preserve">acceptability across all TFA domains except </w:t>
      </w:r>
      <w:r w:rsidR="006F30AF" w:rsidRPr="00550561">
        <w:rPr>
          <w:rFonts w:cstheme="minorHAnsi"/>
        </w:rPr>
        <w:t xml:space="preserve">in relation to </w:t>
      </w:r>
      <w:r w:rsidR="00401B25" w:rsidRPr="00550561">
        <w:rPr>
          <w:rFonts w:cstheme="minorHAnsi"/>
        </w:rPr>
        <w:t>'</w:t>
      </w:r>
      <w:r w:rsidR="005515F2" w:rsidRPr="00550561">
        <w:rPr>
          <w:rFonts w:cstheme="minorHAnsi"/>
        </w:rPr>
        <w:t>opportunity</w:t>
      </w:r>
      <w:r w:rsidR="00B554E3" w:rsidRPr="00550561">
        <w:rPr>
          <w:rFonts w:cstheme="minorHAnsi"/>
        </w:rPr>
        <w:t xml:space="preserve"> costs</w:t>
      </w:r>
      <w:r w:rsidR="009A27D1" w:rsidRPr="00550561">
        <w:rPr>
          <w:rFonts w:cstheme="minorHAnsi"/>
        </w:rPr>
        <w:t>’</w:t>
      </w:r>
      <w:r w:rsidR="00B554E3" w:rsidRPr="00550561">
        <w:rPr>
          <w:rFonts w:cstheme="minorHAnsi"/>
        </w:rPr>
        <w:t>.</w:t>
      </w:r>
      <w:r w:rsidR="00107E58" w:rsidRPr="00550561">
        <w:rPr>
          <w:rFonts w:cstheme="minorHAnsi"/>
        </w:rPr>
        <w:t xml:space="preserve"> </w:t>
      </w:r>
      <w:r w:rsidR="00922FCA" w:rsidRPr="00550561">
        <w:rPr>
          <w:rFonts w:cstheme="minorHAnsi"/>
        </w:rPr>
        <w:t>K</w:t>
      </w:r>
      <w:r w:rsidR="00107E58" w:rsidRPr="00550561">
        <w:rPr>
          <w:rFonts w:cstheme="minorHAnsi"/>
        </w:rPr>
        <w:t>ey findings are summarised in Table 5. Further data are provided in supplementary tables. Below we provide exemplars from each TFA domain:</w:t>
      </w:r>
      <w:r w:rsidR="00B554E3" w:rsidRPr="00550561">
        <w:rPr>
          <w:rFonts w:cstheme="minorHAnsi"/>
        </w:rPr>
        <w:t xml:space="preserve"> </w:t>
      </w:r>
    </w:p>
    <w:p w14:paraId="5791C413" w14:textId="55CB6C02" w:rsidR="00302A84" w:rsidRPr="00550561" w:rsidRDefault="00302A84" w:rsidP="000C50E3">
      <w:pPr>
        <w:spacing w:line="360" w:lineRule="auto"/>
        <w:rPr>
          <w:rFonts w:cstheme="minorHAnsi"/>
          <w:i/>
          <w:iCs/>
        </w:rPr>
      </w:pPr>
      <w:r w:rsidRPr="00550561">
        <w:rPr>
          <w:rFonts w:cstheme="minorHAnsi"/>
          <w:i/>
          <w:iCs/>
        </w:rPr>
        <w:t>Affective attitude</w:t>
      </w:r>
    </w:p>
    <w:p w14:paraId="1EAE103A" w14:textId="0C6675B9" w:rsidR="00036BF2" w:rsidRPr="00550561" w:rsidRDefault="00036BF2" w:rsidP="00036BF2">
      <w:pPr>
        <w:spacing w:before="240" w:line="360" w:lineRule="auto"/>
      </w:pPr>
      <w:r w:rsidRPr="00550561">
        <w:t xml:space="preserve">When considering </w:t>
      </w:r>
      <w:r w:rsidR="001815C6" w:rsidRPr="00550561">
        <w:t>the proposed new pain review</w:t>
      </w:r>
      <w:r w:rsidR="001815C6" w:rsidRPr="00550561">
        <w:rPr>
          <w:rStyle w:val="CommentReference"/>
        </w:rPr>
        <w:t>,</w:t>
      </w:r>
      <w:r w:rsidRPr="00550561">
        <w:t xml:space="preserve"> pharmacists expressed a need for a structured approach to reviewing opioids making them more acceptable to deliver. </w:t>
      </w:r>
    </w:p>
    <w:p w14:paraId="16B13FF0" w14:textId="76733F3E" w:rsidR="00036BF2" w:rsidRPr="00550561" w:rsidRDefault="00036BF2" w:rsidP="00036BF2">
      <w:pPr>
        <w:spacing w:before="240" w:line="360" w:lineRule="auto"/>
        <w:ind w:left="567"/>
      </w:pPr>
      <w:r w:rsidRPr="00550561">
        <w:rPr>
          <w:i/>
          <w:iCs/>
        </w:rPr>
        <w:t>‘I think it would be very acceptable because if we’ve got like a structured approach then when we are reviewing these patients, we feel like we’ve done justice to them as well and we’ve done the appropriate review and gone through everything we need to for the safety of prescribing and management and safety for the patients as well.’</w:t>
      </w:r>
      <w:r w:rsidR="00F4006F" w:rsidRPr="00550561">
        <w:rPr>
          <w:i/>
          <w:iCs/>
        </w:rPr>
        <w:t xml:space="preserve"> </w:t>
      </w:r>
      <w:r w:rsidR="00F4006F" w:rsidRPr="00550561">
        <w:t>(</w:t>
      </w:r>
      <w:r w:rsidR="003B4F20" w:rsidRPr="00550561">
        <w:t>Interview p</w:t>
      </w:r>
      <w:r w:rsidR="00F96733" w:rsidRPr="00550561">
        <w:t>harmacist_</w:t>
      </w:r>
      <w:r w:rsidR="003B4F20" w:rsidRPr="00550561">
        <w:t>21)</w:t>
      </w:r>
    </w:p>
    <w:p w14:paraId="5EAE0CB8" w14:textId="4B89A88C" w:rsidR="00FD0C4F" w:rsidRPr="00550561" w:rsidRDefault="000D23CE" w:rsidP="00736319">
      <w:pPr>
        <w:spacing w:before="240" w:line="360" w:lineRule="auto"/>
      </w:pPr>
      <w:r w:rsidRPr="00550561">
        <w:t xml:space="preserve">After taking part in IPT, pharmacists expressed how they liked and enjoyed delivering the </w:t>
      </w:r>
      <w:r w:rsidR="003128B3" w:rsidRPr="00550561">
        <w:t xml:space="preserve">prototype </w:t>
      </w:r>
      <w:r w:rsidRPr="00550561">
        <w:t>PROMPPT reviews</w:t>
      </w:r>
      <w:r w:rsidRPr="00550561">
        <w:rPr>
          <w:i/>
          <w:iCs/>
        </w:rPr>
        <w:t xml:space="preserve"> </w:t>
      </w:r>
      <w:r w:rsidRPr="00550561">
        <w:t>and</w:t>
      </w:r>
      <w:r w:rsidRPr="00550561">
        <w:rPr>
          <w:i/>
          <w:iCs/>
        </w:rPr>
        <w:t xml:space="preserve"> </w:t>
      </w:r>
      <w:r w:rsidRPr="00550561">
        <w:t>confirmed</w:t>
      </w:r>
      <w:r w:rsidR="00A42215" w:rsidRPr="00550561">
        <w:t xml:space="preserve"> pharmacists’</w:t>
      </w:r>
      <w:r w:rsidRPr="00550561">
        <w:t xml:space="preserve"> prospective thoughts that they should be involved in delivering PROMPPT as they are appropriately qualified and experienced. </w:t>
      </w:r>
    </w:p>
    <w:p w14:paraId="6A2E309B" w14:textId="3EF021EA" w:rsidR="00FD0C4F" w:rsidRPr="00550561" w:rsidRDefault="00FD0C4F" w:rsidP="00736319">
      <w:pPr>
        <w:spacing w:before="240" w:line="360" w:lineRule="auto"/>
        <w:rPr>
          <w:i/>
          <w:iCs/>
        </w:rPr>
      </w:pPr>
      <w:r w:rsidRPr="00550561">
        <w:rPr>
          <w:i/>
          <w:iCs/>
        </w:rPr>
        <w:t>Burden</w:t>
      </w:r>
    </w:p>
    <w:p w14:paraId="77BBBC37" w14:textId="1D0D83B6" w:rsidR="00736319" w:rsidRPr="00550561" w:rsidRDefault="00036BF2" w:rsidP="00736319">
      <w:pPr>
        <w:spacing w:before="240" w:line="360" w:lineRule="auto"/>
      </w:pPr>
      <w:r w:rsidRPr="00550561">
        <w:t>Reflecting on their previous experiences of consulting with</w:t>
      </w:r>
      <w:r w:rsidR="00930228" w:rsidRPr="00550561">
        <w:t xml:space="preserve"> patients prescribed opioids for PCNP</w:t>
      </w:r>
      <w:r w:rsidRPr="00550561">
        <w:t xml:space="preserve">, pharmacists had an expectation that they would have to deal with </w:t>
      </w:r>
      <w:r w:rsidR="000570FC" w:rsidRPr="00550561">
        <w:t>resistance from some patients to make a change</w:t>
      </w:r>
      <w:r w:rsidRPr="00550561">
        <w:t>.</w:t>
      </w:r>
      <w:r w:rsidR="008A074C" w:rsidRPr="00550561">
        <w:t xml:space="preserve"> There was a perception that these patients are often complex, with multiple health and social concerns which make consultations more challenging</w:t>
      </w:r>
      <w:r w:rsidRPr="00550561">
        <w:t xml:space="preserve">. </w:t>
      </w:r>
      <w:r w:rsidR="005E0760" w:rsidRPr="00550561">
        <w:t xml:space="preserve">Some </w:t>
      </w:r>
      <w:r w:rsidR="002211D7" w:rsidRPr="00550561">
        <w:t>IPT pharmacists</w:t>
      </w:r>
      <w:r w:rsidR="00387A0B" w:rsidRPr="00550561">
        <w:t xml:space="preserve"> confirmed this </w:t>
      </w:r>
      <w:r w:rsidR="005E0760" w:rsidRPr="00550561">
        <w:t>expect</w:t>
      </w:r>
      <w:r w:rsidR="00387A0B" w:rsidRPr="00550561">
        <w:t xml:space="preserve">ation when describing </w:t>
      </w:r>
      <w:r w:rsidR="00013A05" w:rsidRPr="00550561">
        <w:t xml:space="preserve">the challenging consultations </w:t>
      </w:r>
      <w:r w:rsidR="007702A6" w:rsidRPr="00550561">
        <w:t xml:space="preserve">experienced </w:t>
      </w:r>
      <w:r w:rsidR="00C51ED1" w:rsidRPr="00550561">
        <w:t>during IPT</w:t>
      </w:r>
      <w:r w:rsidR="007702A6" w:rsidRPr="00550561">
        <w:t>,</w:t>
      </w:r>
      <w:r w:rsidR="00C51ED1" w:rsidRPr="00550561">
        <w:t xml:space="preserve"> </w:t>
      </w:r>
      <w:r w:rsidR="00AF6FBB" w:rsidRPr="00550561">
        <w:t xml:space="preserve">with patients often having </w:t>
      </w:r>
      <w:r w:rsidR="00387A0B" w:rsidRPr="00550561">
        <w:t xml:space="preserve">a different agenda </w:t>
      </w:r>
      <w:r w:rsidR="001B7598" w:rsidRPr="00550561">
        <w:t>and not wanting to discuss making changes.</w:t>
      </w:r>
      <w:r w:rsidR="00B7678D" w:rsidRPr="00550561">
        <w:t xml:space="preserve"> </w:t>
      </w:r>
    </w:p>
    <w:p w14:paraId="4CB80F16" w14:textId="53FA31BB" w:rsidR="00810453" w:rsidRPr="00550561" w:rsidRDefault="00810453" w:rsidP="00810453">
      <w:pPr>
        <w:spacing w:before="240" w:line="360" w:lineRule="auto"/>
        <w:ind w:left="567"/>
      </w:pPr>
      <w:r w:rsidRPr="00550561">
        <w:rPr>
          <w:i/>
          <w:iCs/>
        </w:rPr>
        <w:t>‘I think her expectation at that time initially was maybe thinking about more medication or different types of medication, rather than perhaps my agenda which was more of a like trying to reduce the medication. So it was a bit of sort of internal conflict right at the start.’</w:t>
      </w:r>
      <w:r w:rsidRPr="00550561">
        <w:t xml:space="preserve"> (</w:t>
      </w:r>
      <w:r w:rsidR="0011537E" w:rsidRPr="00550561">
        <w:t>IPT pharmacist_</w:t>
      </w:r>
      <w:r w:rsidR="00A65C3C" w:rsidRPr="00550561">
        <w:t>3)</w:t>
      </w:r>
    </w:p>
    <w:p w14:paraId="2F43F384" w14:textId="29F01569" w:rsidR="000578D1" w:rsidRPr="00550561" w:rsidRDefault="00E01C35" w:rsidP="00DA710C">
      <w:pPr>
        <w:spacing w:before="240" w:line="360" w:lineRule="auto"/>
      </w:pPr>
      <w:r w:rsidRPr="00550561">
        <w:t>Despite these predicted challenges, pharmacists felt that</w:t>
      </w:r>
      <w:r w:rsidR="00E210F3" w:rsidRPr="00550561">
        <w:t xml:space="preserve"> the prototype</w:t>
      </w:r>
      <w:r w:rsidRPr="00550561">
        <w:t xml:space="preserve"> PROMPPT reviews required no extra effort compared to regular consultations, and found they became easier to deliver</w:t>
      </w:r>
      <w:r w:rsidR="0082725F" w:rsidRPr="00550561">
        <w:t xml:space="preserve"> </w:t>
      </w:r>
      <w:r w:rsidR="00591BC9" w:rsidRPr="00550561">
        <w:t xml:space="preserve">with </w:t>
      </w:r>
      <w:r w:rsidR="0071038B">
        <w:t>practise</w:t>
      </w:r>
      <w:r w:rsidR="00591BC9" w:rsidRPr="00550561">
        <w:t xml:space="preserve"> and experience.</w:t>
      </w:r>
      <w:r w:rsidRPr="00550561">
        <w:t xml:space="preserve"> </w:t>
      </w:r>
    </w:p>
    <w:p w14:paraId="2832F325" w14:textId="737FD519" w:rsidR="000578D1" w:rsidRPr="00550561" w:rsidRDefault="000578D1" w:rsidP="00DA710C">
      <w:pPr>
        <w:spacing w:before="240" w:line="360" w:lineRule="auto"/>
        <w:rPr>
          <w:i/>
          <w:iCs/>
        </w:rPr>
      </w:pPr>
      <w:r w:rsidRPr="00550561">
        <w:rPr>
          <w:i/>
          <w:iCs/>
        </w:rPr>
        <w:t>Ethicality</w:t>
      </w:r>
    </w:p>
    <w:p w14:paraId="27153F9F" w14:textId="18A58B65" w:rsidR="0078510E" w:rsidRPr="00550561" w:rsidRDefault="008928A9" w:rsidP="00DA710C">
      <w:pPr>
        <w:spacing w:before="240" w:line="360" w:lineRule="auto"/>
      </w:pPr>
      <w:r w:rsidRPr="00550561">
        <w:t xml:space="preserve">Pharmacists agreed that </w:t>
      </w:r>
      <w:r w:rsidR="00DA710C" w:rsidRPr="00550561">
        <w:t>dedicated</w:t>
      </w:r>
      <w:r w:rsidR="005C5BCB" w:rsidRPr="00550561">
        <w:t xml:space="preserve"> review for opioid-treated patients with persistent pain was important</w:t>
      </w:r>
      <w:r w:rsidR="00AC5A1C" w:rsidRPr="00550561">
        <w:t>, with most saying</w:t>
      </w:r>
      <w:r w:rsidRPr="00550561">
        <w:t xml:space="preserve"> </w:t>
      </w:r>
      <w:r w:rsidR="00AC5A1C" w:rsidRPr="00550561">
        <w:t xml:space="preserve">these </w:t>
      </w:r>
      <w:r w:rsidR="00A40767" w:rsidRPr="00550561">
        <w:t xml:space="preserve">patients </w:t>
      </w:r>
      <w:r w:rsidR="00DA710C" w:rsidRPr="00550561">
        <w:t xml:space="preserve">should be reviewed regularly and consistently </w:t>
      </w:r>
      <w:r w:rsidR="00536903" w:rsidRPr="00550561">
        <w:t>to</w:t>
      </w:r>
      <w:r w:rsidR="00DA710C" w:rsidRPr="00550561">
        <w:t xml:space="preserve"> improve patient safety and quality of life. </w:t>
      </w:r>
      <w:r w:rsidRPr="00550561">
        <w:t>After delivering</w:t>
      </w:r>
      <w:r w:rsidR="00CD25F3" w:rsidRPr="00550561">
        <w:t xml:space="preserve"> </w:t>
      </w:r>
      <w:r w:rsidR="00627435" w:rsidRPr="00550561">
        <w:t xml:space="preserve">prototype </w:t>
      </w:r>
      <w:r w:rsidR="00CD25F3" w:rsidRPr="00550561">
        <w:t>PROMPPT</w:t>
      </w:r>
      <w:r w:rsidR="00892CFC" w:rsidRPr="00550561">
        <w:t xml:space="preserve"> </w:t>
      </w:r>
      <w:r w:rsidR="00CD25F3" w:rsidRPr="00550561">
        <w:t>reviews</w:t>
      </w:r>
      <w:r w:rsidRPr="00550561">
        <w:t xml:space="preserve">, all </w:t>
      </w:r>
      <w:r w:rsidR="00A21898" w:rsidRPr="00550561">
        <w:t xml:space="preserve">pharmacists </w:t>
      </w:r>
      <w:r w:rsidRPr="00550561">
        <w:t xml:space="preserve">said </w:t>
      </w:r>
      <w:r w:rsidR="00CD25F3" w:rsidRPr="00550561">
        <w:t xml:space="preserve">it provided patients the opportunity to be fully informed </w:t>
      </w:r>
      <w:r w:rsidRPr="00550561">
        <w:t xml:space="preserve">about </w:t>
      </w:r>
      <w:r w:rsidR="00CD25F3" w:rsidRPr="00550561">
        <w:t>their health and</w:t>
      </w:r>
      <w:r w:rsidR="00A21898" w:rsidRPr="00550561">
        <w:t xml:space="preserve"> access</w:t>
      </w:r>
      <w:r w:rsidR="00C84449" w:rsidRPr="00550561">
        <w:t xml:space="preserve"> to</w:t>
      </w:r>
      <w:r w:rsidR="00A21898" w:rsidRPr="00550561">
        <w:t xml:space="preserve"> support. </w:t>
      </w:r>
    </w:p>
    <w:p w14:paraId="6D862DA4" w14:textId="47E3FB83" w:rsidR="000578D1" w:rsidRPr="00550561" w:rsidRDefault="000578D1" w:rsidP="00DA710C">
      <w:pPr>
        <w:spacing w:before="240" w:line="360" w:lineRule="auto"/>
        <w:rPr>
          <w:i/>
          <w:iCs/>
        </w:rPr>
      </w:pPr>
      <w:r w:rsidRPr="00550561">
        <w:rPr>
          <w:i/>
          <w:iCs/>
        </w:rPr>
        <w:t>Intervention coherence</w:t>
      </w:r>
    </w:p>
    <w:p w14:paraId="5A49ED22" w14:textId="3E7D2590" w:rsidR="002E456D" w:rsidRPr="00550561" w:rsidRDefault="00E47183" w:rsidP="002E456D">
      <w:pPr>
        <w:spacing w:before="240" w:line="360" w:lineRule="auto"/>
      </w:pPr>
      <w:r w:rsidRPr="00550561">
        <w:t xml:space="preserve">Pharmacists felt the </w:t>
      </w:r>
      <w:r w:rsidR="00A84521" w:rsidRPr="00550561">
        <w:t>proposed PROMPPT review</w:t>
      </w:r>
      <w:r w:rsidR="00DA710C" w:rsidRPr="00550561">
        <w:t xml:space="preserve"> needed to be a holistic review</w:t>
      </w:r>
      <w:r w:rsidRPr="00550561">
        <w:t>,</w:t>
      </w:r>
      <w:r w:rsidR="00DA710C" w:rsidRPr="00550561">
        <w:t xml:space="preserve"> </w:t>
      </w:r>
      <w:r w:rsidRPr="00550561">
        <w:t xml:space="preserve">aligned </w:t>
      </w:r>
      <w:r w:rsidR="00DA710C" w:rsidRPr="00550561">
        <w:t>with individual patient’s needs, allowing time to discuss pain stories and strategies for living well with pain. They spoke about working in partnership with patient</w:t>
      </w:r>
      <w:r w:rsidRPr="00550561">
        <w:t>s</w:t>
      </w:r>
      <w:r w:rsidR="00DA710C" w:rsidRPr="00550561">
        <w:t xml:space="preserve"> to empower them to manage their pain and the</w:t>
      </w:r>
      <w:r w:rsidRPr="00550561">
        <w:t>ir</w:t>
      </w:r>
      <w:r w:rsidR="00DA710C" w:rsidRPr="00550561">
        <w:t xml:space="preserve"> opioids. </w:t>
      </w:r>
      <w:r w:rsidR="004F34FD" w:rsidRPr="00550561">
        <w:t>Reflecting o</w:t>
      </w:r>
      <w:r w:rsidR="003439DE" w:rsidRPr="00550561">
        <w:t>n</w:t>
      </w:r>
      <w:r w:rsidR="004F34FD" w:rsidRPr="00550561">
        <w:t xml:space="preserve"> </w:t>
      </w:r>
      <w:r w:rsidR="00A84521" w:rsidRPr="00550561">
        <w:t xml:space="preserve">the prototype </w:t>
      </w:r>
      <w:r w:rsidR="004F34FD" w:rsidRPr="00550561">
        <w:t>reviews after IPT, p</w:t>
      </w:r>
      <w:r w:rsidR="002E456D" w:rsidRPr="00550561">
        <w:t xml:space="preserve">harmacists </w:t>
      </w:r>
      <w:r w:rsidRPr="00550561">
        <w:t xml:space="preserve">recognised </w:t>
      </w:r>
      <w:r w:rsidR="002E456D" w:rsidRPr="00550561">
        <w:t>that PROMPPT is not just a one-off consultation but a longer-term process</w:t>
      </w:r>
      <w:r w:rsidRPr="00550561">
        <w:t xml:space="preserve"> and</w:t>
      </w:r>
      <w:r w:rsidR="00514F4E" w:rsidRPr="00550561">
        <w:t xml:space="preserve"> </w:t>
      </w:r>
      <w:r w:rsidRPr="00550561">
        <w:t xml:space="preserve">highlighted </w:t>
      </w:r>
      <w:r w:rsidR="00514F4E" w:rsidRPr="00550561">
        <w:t xml:space="preserve">the importance of </w:t>
      </w:r>
      <w:r w:rsidR="005A331E" w:rsidRPr="00550561">
        <w:t xml:space="preserve">follow-up reviews </w:t>
      </w:r>
      <w:r w:rsidRPr="00550561">
        <w:t>to provide continued</w:t>
      </w:r>
      <w:r w:rsidR="005A331E" w:rsidRPr="00550561">
        <w:t xml:space="preserve"> support </w:t>
      </w:r>
      <w:r w:rsidRPr="00550561">
        <w:t xml:space="preserve">for patients </w:t>
      </w:r>
      <w:r w:rsidR="005A331E" w:rsidRPr="00550561">
        <w:t xml:space="preserve">and feedback </w:t>
      </w:r>
      <w:r w:rsidR="00E823A9" w:rsidRPr="00550561">
        <w:t xml:space="preserve">to pharmacists. </w:t>
      </w:r>
    </w:p>
    <w:p w14:paraId="15D7207E" w14:textId="0341F240" w:rsidR="000B6175" w:rsidRPr="00550561" w:rsidRDefault="000B6175" w:rsidP="000B6175">
      <w:pPr>
        <w:spacing w:before="240" w:line="360" w:lineRule="auto"/>
        <w:ind w:left="567"/>
      </w:pPr>
      <w:r w:rsidRPr="00550561">
        <w:rPr>
          <w:i/>
          <w:iCs/>
        </w:rPr>
        <w:t>‘the useful bit was getting her back and seeing how it was working, rather than the unknown. You send them off and you don’t have a clue. You hope your plan comes to fruition, but it could’ve just gone completely pear-shaped</w:t>
      </w:r>
      <w:r w:rsidRPr="00550561">
        <w:t xml:space="preserve"> (</w:t>
      </w:r>
      <w:r w:rsidR="0011537E" w:rsidRPr="00550561">
        <w:t>IPT pharmacist_</w:t>
      </w:r>
      <w:r w:rsidRPr="00550561">
        <w:t>2</w:t>
      </w:r>
      <w:r w:rsidR="0011537E" w:rsidRPr="00550561">
        <w:t>)</w:t>
      </w:r>
    </w:p>
    <w:p w14:paraId="4A989B05" w14:textId="458B509D" w:rsidR="000578D1" w:rsidRPr="00550561" w:rsidRDefault="000578D1" w:rsidP="0056727A">
      <w:pPr>
        <w:spacing w:before="240" w:line="360" w:lineRule="auto"/>
        <w:rPr>
          <w:i/>
          <w:iCs/>
        </w:rPr>
      </w:pPr>
      <w:r w:rsidRPr="00550561">
        <w:rPr>
          <w:i/>
          <w:iCs/>
        </w:rPr>
        <w:t>Opportunity costs</w:t>
      </w:r>
    </w:p>
    <w:p w14:paraId="5CFDDADF" w14:textId="73103117" w:rsidR="0056727A" w:rsidRPr="00550561" w:rsidRDefault="003A652B" w:rsidP="0056727A">
      <w:pPr>
        <w:spacing w:before="240" w:line="360" w:lineRule="auto"/>
      </w:pPr>
      <w:r w:rsidRPr="00550561">
        <w:t xml:space="preserve">One of the </w:t>
      </w:r>
      <w:r w:rsidR="00864E7D" w:rsidRPr="00550561">
        <w:t xml:space="preserve">IPT pharmacists </w:t>
      </w:r>
      <w:r w:rsidR="00E47183" w:rsidRPr="00550561">
        <w:t xml:space="preserve">acknowledged </w:t>
      </w:r>
      <w:r w:rsidR="00864E7D" w:rsidRPr="00550561">
        <w:t xml:space="preserve">the need for the PROMPPT review to fit with the patients’ priorities, to ensure best possible engagement from patients and the best chance of </w:t>
      </w:r>
      <w:r w:rsidR="00B55529" w:rsidRPr="00550561">
        <w:t>making changes</w:t>
      </w:r>
      <w:r w:rsidR="00864E7D" w:rsidRPr="00550561">
        <w:t xml:space="preserve">. </w:t>
      </w:r>
    </w:p>
    <w:p w14:paraId="205EE9A7" w14:textId="6E115C30" w:rsidR="000578D1" w:rsidRPr="00550561" w:rsidRDefault="000578D1" w:rsidP="0056727A">
      <w:pPr>
        <w:spacing w:before="240" w:line="360" w:lineRule="auto"/>
        <w:rPr>
          <w:i/>
          <w:iCs/>
        </w:rPr>
      </w:pPr>
      <w:r w:rsidRPr="00550561">
        <w:rPr>
          <w:i/>
          <w:iCs/>
        </w:rPr>
        <w:t>Perceived effectiveness</w:t>
      </w:r>
    </w:p>
    <w:p w14:paraId="568F80B8" w14:textId="23C0C6A4" w:rsidR="002E456D" w:rsidRPr="00550561" w:rsidRDefault="0056727A" w:rsidP="00DA710C">
      <w:pPr>
        <w:spacing w:before="240" w:line="360" w:lineRule="auto"/>
      </w:pPr>
      <w:r w:rsidRPr="00550561">
        <w:t>Pharmacists</w:t>
      </w:r>
      <w:r w:rsidR="00CA43C3" w:rsidRPr="00550561">
        <w:t xml:space="preserve"> </w:t>
      </w:r>
      <w:r w:rsidR="00023E47" w:rsidRPr="00550561">
        <w:t>were</w:t>
      </w:r>
      <w:r w:rsidR="004A0E81" w:rsidRPr="00550561">
        <w:t xml:space="preserve"> optimi</w:t>
      </w:r>
      <w:r w:rsidR="00F241B3" w:rsidRPr="00550561">
        <w:t>stic</w:t>
      </w:r>
      <w:r w:rsidRPr="00550561">
        <w:t xml:space="preserve"> that </w:t>
      </w:r>
      <w:r w:rsidR="00935D7F" w:rsidRPr="00550561">
        <w:t xml:space="preserve">the proposed review </w:t>
      </w:r>
      <w:r w:rsidRPr="00550561">
        <w:t>would improve</w:t>
      </w:r>
      <w:r w:rsidR="000C61ED" w:rsidRPr="00550561">
        <w:t xml:space="preserve"> patient</w:t>
      </w:r>
      <w:r w:rsidRPr="00550561">
        <w:t xml:space="preserve"> care</w:t>
      </w:r>
      <w:r w:rsidR="00F241B3" w:rsidRPr="00550561">
        <w:t xml:space="preserve">. </w:t>
      </w:r>
      <w:r w:rsidR="00511275" w:rsidRPr="00550561">
        <w:t>Most</w:t>
      </w:r>
      <w:r w:rsidR="00023E47" w:rsidRPr="00550561">
        <w:t xml:space="preserve"> expressed confidence about opioid tapering</w:t>
      </w:r>
      <w:r w:rsidR="00E73966" w:rsidRPr="00550561">
        <w:t xml:space="preserve"> but highlighted that success would depend on the patient’s readiness to change.  </w:t>
      </w:r>
      <w:r w:rsidRPr="00550561">
        <w:t xml:space="preserve">  </w:t>
      </w:r>
    </w:p>
    <w:p w14:paraId="0697928D" w14:textId="0301082D" w:rsidR="00AB15BD" w:rsidRPr="00550561" w:rsidRDefault="00AB15BD" w:rsidP="00AB15BD">
      <w:pPr>
        <w:spacing w:before="240" w:line="360" w:lineRule="auto"/>
        <w:ind w:left="567"/>
      </w:pPr>
      <w:r w:rsidRPr="00550561">
        <w:rPr>
          <w:i/>
          <w:iCs/>
        </w:rPr>
        <w:t>‘I think it will be very effective and I think it would definitely help, just purely because of the time that we have and that dedication that we can have’</w:t>
      </w:r>
      <w:r w:rsidRPr="00550561">
        <w:t xml:space="preserve"> (</w:t>
      </w:r>
      <w:r w:rsidR="0011537E" w:rsidRPr="00550561">
        <w:t>Interview pharmacist_21</w:t>
      </w:r>
      <w:r w:rsidRPr="00550561">
        <w:t>)</w:t>
      </w:r>
    </w:p>
    <w:p w14:paraId="3C62D4F4" w14:textId="369060C5" w:rsidR="005E5632" w:rsidRPr="00550561" w:rsidRDefault="005E5632" w:rsidP="00F70133">
      <w:pPr>
        <w:spacing w:before="240" w:line="360" w:lineRule="auto"/>
      </w:pPr>
      <w:r w:rsidRPr="00550561">
        <w:t>After delivering the prototype reviews, pharmacists felt that PROMPPT was effective in tapering opioids and improving patients’ ability to manage their pain and hoped it would improve their quality of life in the long-term.</w:t>
      </w:r>
    </w:p>
    <w:p w14:paraId="4DBB823B" w14:textId="126EB6AD" w:rsidR="000578D1" w:rsidRPr="00550561" w:rsidRDefault="000578D1" w:rsidP="00F70133">
      <w:pPr>
        <w:spacing w:before="240" w:line="360" w:lineRule="auto"/>
      </w:pPr>
      <w:r w:rsidRPr="00550561">
        <w:rPr>
          <w:i/>
          <w:iCs/>
        </w:rPr>
        <w:t>Self-efficacy</w:t>
      </w:r>
    </w:p>
    <w:p w14:paraId="44FE11C1" w14:textId="01F2C802" w:rsidR="00DA710C" w:rsidRPr="00550561" w:rsidRDefault="00DA710C" w:rsidP="00DA710C">
      <w:pPr>
        <w:spacing w:before="240" w:line="360" w:lineRule="auto"/>
      </w:pPr>
      <w:r w:rsidRPr="00550561">
        <w:t xml:space="preserve">Overall, pharmacists felt </w:t>
      </w:r>
      <w:r w:rsidR="00B73CB9" w:rsidRPr="00550561">
        <w:t xml:space="preserve">they would be </w:t>
      </w:r>
      <w:r w:rsidRPr="00550561">
        <w:t>confident to deliver</w:t>
      </w:r>
      <w:r w:rsidR="00454D27" w:rsidRPr="00550561">
        <w:t xml:space="preserve"> the proposed</w:t>
      </w:r>
      <w:r w:rsidRPr="00550561">
        <w:t xml:space="preserve"> PROMPPT </w:t>
      </w:r>
      <w:r w:rsidR="00454D27" w:rsidRPr="00550561">
        <w:t xml:space="preserve">reviews </w:t>
      </w:r>
      <w:r w:rsidRPr="00550561">
        <w:t xml:space="preserve">including discussing medicines, having honest conversations and communicating with patients. Creating management plans with patients was </w:t>
      </w:r>
      <w:r w:rsidR="00C72A3E" w:rsidRPr="00550561">
        <w:t>a skill some said they</w:t>
      </w:r>
      <w:r w:rsidRPr="00550561">
        <w:t xml:space="preserve"> felt less confident with</w:t>
      </w:r>
      <w:r w:rsidR="002A2722" w:rsidRPr="00550561">
        <w:t xml:space="preserve"> and highlighted this to be a training need.</w:t>
      </w:r>
      <w:r w:rsidRPr="00550561">
        <w:t xml:space="preserve"> Prior experience in doing medication reviews, prescribing and discussing medicines helped pharmacists to feel confident to deliver</w:t>
      </w:r>
      <w:r w:rsidR="00CA011B" w:rsidRPr="00550561">
        <w:t xml:space="preserve"> the </w:t>
      </w:r>
      <w:r w:rsidR="00B516FE" w:rsidRPr="00550561">
        <w:t>prototype</w:t>
      </w:r>
      <w:r w:rsidRPr="00550561">
        <w:t xml:space="preserve"> </w:t>
      </w:r>
      <w:r w:rsidR="00CA011B" w:rsidRPr="00550561">
        <w:t>review</w:t>
      </w:r>
      <w:r w:rsidRPr="00550561">
        <w:t xml:space="preserve"> but consulting with </w:t>
      </w:r>
      <w:r w:rsidR="006B3635" w:rsidRPr="00550561">
        <w:t xml:space="preserve">patients they perceived as </w:t>
      </w:r>
      <w:r w:rsidRPr="00550561">
        <w:t xml:space="preserve">‘difficult’ </w:t>
      </w:r>
      <w:r w:rsidR="006B3635" w:rsidRPr="00550561">
        <w:t>or ‘</w:t>
      </w:r>
      <w:r w:rsidRPr="00550561">
        <w:t>resistant</w:t>
      </w:r>
      <w:r w:rsidR="006B3635" w:rsidRPr="00550561">
        <w:t>’</w:t>
      </w:r>
      <w:r w:rsidRPr="00550561">
        <w:t xml:space="preserve">, negatively affected the pharmacist’s confidence. </w:t>
      </w:r>
    </w:p>
    <w:p w14:paraId="6CB2815F" w14:textId="565C48A3" w:rsidR="00930698" w:rsidRPr="00550561" w:rsidRDefault="00DA710C" w:rsidP="000F37CE">
      <w:pPr>
        <w:spacing w:before="240" w:line="360" w:lineRule="auto"/>
        <w:ind w:left="567"/>
        <w:sectPr w:rsidR="00930698" w:rsidRPr="00550561" w:rsidSect="00CD62A5">
          <w:pgSz w:w="11906" w:h="16838"/>
          <w:pgMar w:top="1440" w:right="1440" w:bottom="1440" w:left="1440" w:header="708" w:footer="708" w:gutter="0"/>
          <w:cols w:space="708"/>
          <w:docGrid w:linePitch="360"/>
        </w:sectPr>
      </w:pPr>
      <w:r w:rsidRPr="00550561">
        <w:rPr>
          <w:i/>
          <w:iCs/>
        </w:rPr>
        <w:t xml:space="preserve">‘Started off quite confident and then as soon as I hit the brick wall I felt a little bit like, ‘Oh no, where do I go now?’ So my confidence sort of just took a bit of a knock halfway through.’ </w:t>
      </w:r>
      <w:r w:rsidR="008E0EE3" w:rsidRPr="00550561">
        <w:t>(</w:t>
      </w:r>
      <w:r w:rsidR="002F18AC" w:rsidRPr="00550561">
        <w:t>IPT pharmacist_</w:t>
      </w:r>
      <w:r w:rsidRPr="00550561">
        <w:t>2</w:t>
      </w:r>
      <w:r w:rsidR="002F18AC" w:rsidRPr="00550561">
        <w:t>)</w:t>
      </w:r>
    </w:p>
    <w:p w14:paraId="1CB25465" w14:textId="12AA9C13" w:rsidR="00930698" w:rsidRPr="006F4394" w:rsidRDefault="00930698" w:rsidP="00930698">
      <w:pPr>
        <w:pStyle w:val="Caption"/>
        <w:keepNext/>
        <w:rPr>
          <w:b/>
          <w:bCs/>
          <w:i w:val="0"/>
          <w:iCs w:val="0"/>
          <w:color w:val="auto"/>
          <w:sz w:val="22"/>
          <w:szCs w:val="22"/>
        </w:rPr>
      </w:pPr>
      <w:r w:rsidRPr="006F4394">
        <w:rPr>
          <w:b/>
          <w:bCs/>
          <w:i w:val="0"/>
          <w:iCs w:val="0"/>
          <w:color w:val="auto"/>
          <w:sz w:val="22"/>
          <w:szCs w:val="22"/>
        </w:rPr>
        <w:t xml:space="preserve">Table </w:t>
      </w:r>
      <w:r w:rsidR="00663C56" w:rsidRPr="006F4394">
        <w:rPr>
          <w:b/>
          <w:bCs/>
          <w:i w:val="0"/>
          <w:iCs w:val="0"/>
          <w:color w:val="auto"/>
          <w:sz w:val="22"/>
          <w:szCs w:val="22"/>
        </w:rPr>
        <w:t>5</w:t>
      </w:r>
      <w:r w:rsidRPr="006F4394">
        <w:rPr>
          <w:b/>
          <w:bCs/>
          <w:i w:val="0"/>
          <w:iCs w:val="0"/>
          <w:color w:val="auto"/>
          <w:sz w:val="22"/>
          <w:szCs w:val="22"/>
        </w:rPr>
        <w:t xml:space="preserve">. </w:t>
      </w:r>
      <w:r w:rsidR="004C5CAF" w:rsidRPr="006F4394">
        <w:rPr>
          <w:b/>
          <w:bCs/>
          <w:i w:val="0"/>
          <w:iCs w:val="0"/>
          <w:color w:val="auto"/>
          <w:sz w:val="22"/>
          <w:szCs w:val="22"/>
        </w:rPr>
        <w:t xml:space="preserve">Summary of </w:t>
      </w:r>
      <w:r w:rsidR="00FA1745" w:rsidRPr="006F4394">
        <w:rPr>
          <w:b/>
          <w:bCs/>
          <w:i w:val="0"/>
          <w:iCs w:val="0"/>
          <w:color w:val="auto"/>
          <w:sz w:val="22"/>
          <w:szCs w:val="22"/>
        </w:rPr>
        <w:t>pharmacists’</w:t>
      </w:r>
      <w:r w:rsidR="004C5CAF" w:rsidRPr="006F4394">
        <w:rPr>
          <w:b/>
          <w:bCs/>
          <w:i w:val="0"/>
          <w:iCs w:val="0"/>
          <w:color w:val="auto"/>
          <w:sz w:val="22"/>
          <w:szCs w:val="22"/>
        </w:rPr>
        <w:t xml:space="preserve"> perceptions of Acceptability of PROMPPT </w:t>
      </w:r>
    </w:p>
    <w:tbl>
      <w:tblPr>
        <w:tblStyle w:val="PlainTable2"/>
        <w:tblW w:w="14175" w:type="dxa"/>
        <w:tblLook w:val="04A0" w:firstRow="1" w:lastRow="0" w:firstColumn="1" w:lastColumn="0" w:noHBand="0" w:noVBand="1"/>
      </w:tblPr>
      <w:tblGrid>
        <w:gridCol w:w="1419"/>
        <w:gridCol w:w="6378"/>
        <w:gridCol w:w="6378"/>
      </w:tblGrid>
      <w:tr w:rsidR="00D821F5" w:rsidRPr="00550561" w14:paraId="6F8BC062" w14:textId="77777777" w:rsidTr="009F303D">
        <w:trPr>
          <w:cnfStyle w:val="100000000000" w:firstRow="1" w:lastRow="0" w:firstColumn="0" w:lastColumn="0" w:oddVBand="0" w:evenVBand="0" w:oddHBand="0" w:evenHBand="0" w:firstRowFirstColumn="0" w:firstRowLastColumn="0" w:lastRowFirstColumn="0" w:lastRowLastColumn="0"/>
          <w:trHeight w:val="499"/>
          <w:tblHeader/>
        </w:trPr>
        <w:tc>
          <w:tcPr>
            <w:cnfStyle w:val="001000000000" w:firstRow="0" w:lastRow="0" w:firstColumn="1" w:lastColumn="0" w:oddVBand="0" w:evenVBand="0" w:oddHBand="0" w:evenHBand="0" w:firstRowFirstColumn="0" w:firstRowLastColumn="0" w:lastRowFirstColumn="0" w:lastRowLastColumn="0"/>
            <w:tcW w:w="1419" w:type="dxa"/>
          </w:tcPr>
          <w:p w14:paraId="58F1B7E8" w14:textId="77777777" w:rsidR="00D821F5" w:rsidRPr="00550561" w:rsidRDefault="00D821F5" w:rsidP="009C2F91">
            <w:r w:rsidRPr="00550561">
              <w:t>TFA Constructs</w:t>
            </w:r>
          </w:p>
        </w:tc>
        <w:tc>
          <w:tcPr>
            <w:tcW w:w="6378" w:type="dxa"/>
            <w:vAlign w:val="center"/>
          </w:tcPr>
          <w:p w14:paraId="4C2937D7" w14:textId="1F00487A" w:rsidR="00D821F5" w:rsidRPr="00550561" w:rsidRDefault="00D821F5">
            <w:pPr>
              <w:cnfStyle w:val="100000000000" w:firstRow="1" w:lastRow="0" w:firstColumn="0" w:lastColumn="0" w:oddVBand="0" w:evenVBand="0" w:oddHBand="0" w:evenHBand="0" w:firstRowFirstColumn="0" w:firstRowLastColumn="0" w:lastRowFirstColumn="0" w:lastRowLastColumn="0"/>
            </w:pPr>
            <w:r w:rsidRPr="00550561">
              <w:t>Prospective acceptability</w:t>
            </w:r>
            <w:r w:rsidR="00646AF2" w:rsidRPr="00550561">
              <w:t xml:space="preserve"> of proposed PROMPPT review</w:t>
            </w:r>
          </w:p>
        </w:tc>
        <w:tc>
          <w:tcPr>
            <w:tcW w:w="6378" w:type="dxa"/>
            <w:vAlign w:val="center"/>
          </w:tcPr>
          <w:p w14:paraId="645016E8" w14:textId="6E816A4F" w:rsidR="00D821F5" w:rsidRPr="00550561" w:rsidRDefault="00D821F5" w:rsidP="009C2F91">
            <w:pPr>
              <w:cnfStyle w:val="100000000000" w:firstRow="1" w:lastRow="0" w:firstColumn="0" w:lastColumn="0" w:oddVBand="0" w:evenVBand="0" w:oddHBand="0" w:evenHBand="0" w:firstRowFirstColumn="0" w:firstRowLastColumn="0" w:lastRowFirstColumn="0" w:lastRowLastColumn="0"/>
            </w:pPr>
            <w:r w:rsidRPr="00550561">
              <w:t>Experienced acceptability</w:t>
            </w:r>
            <w:r w:rsidR="00646AF2" w:rsidRPr="00550561">
              <w:t xml:space="preserve"> of prototype PROMPPT review</w:t>
            </w:r>
          </w:p>
        </w:tc>
      </w:tr>
      <w:tr w:rsidR="00D821F5" w:rsidRPr="00550561" w14:paraId="3D233F62" w14:textId="77777777" w:rsidTr="0026649D">
        <w:trPr>
          <w:cnfStyle w:val="000000100000" w:firstRow="0" w:lastRow="0" w:firstColumn="0" w:lastColumn="0" w:oddVBand="0" w:evenVBand="0" w:oddHBand="1" w:evenHBand="0" w:firstRowFirstColumn="0" w:firstRowLastColumn="0" w:lastRowFirstColumn="0" w:lastRowLastColumn="0"/>
          <w:trHeight w:val="686"/>
        </w:trPr>
        <w:tc>
          <w:tcPr>
            <w:cnfStyle w:val="001000000000" w:firstRow="0" w:lastRow="0" w:firstColumn="1" w:lastColumn="0" w:oddVBand="0" w:evenVBand="0" w:oddHBand="0" w:evenHBand="0" w:firstRowFirstColumn="0" w:firstRowLastColumn="0" w:lastRowFirstColumn="0" w:lastRowLastColumn="0"/>
            <w:tcW w:w="1419" w:type="dxa"/>
            <w:vAlign w:val="center"/>
          </w:tcPr>
          <w:p w14:paraId="5F606457" w14:textId="77777777" w:rsidR="00D821F5" w:rsidRPr="00550561" w:rsidRDefault="00D821F5" w:rsidP="0026649D">
            <w:r w:rsidRPr="00550561">
              <w:t>Global Acceptability</w:t>
            </w:r>
          </w:p>
        </w:tc>
        <w:tc>
          <w:tcPr>
            <w:tcW w:w="6378" w:type="dxa"/>
          </w:tcPr>
          <w:p w14:paraId="0FF63773" w14:textId="06ADB802" w:rsidR="00D821F5" w:rsidRPr="00550561" w:rsidRDefault="007A4086" w:rsidP="003C455D">
            <w:pPr>
              <w:pStyle w:val="ListParagraph"/>
              <w:numPr>
                <w:ilvl w:val="0"/>
                <w:numId w:val="7"/>
              </w:numPr>
              <w:tabs>
                <w:tab w:val="left" w:pos="171"/>
              </w:tabs>
              <w:ind w:left="171" w:hanging="171"/>
              <w:cnfStyle w:val="000000100000" w:firstRow="0" w:lastRow="0" w:firstColumn="0" w:lastColumn="0" w:oddVBand="0" w:evenVBand="0" w:oddHBand="1" w:evenHBand="0" w:firstRowFirstColumn="0" w:firstRowLastColumn="0" w:lastRowFirstColumn="0" w:lastRowLastColumn="0"/>
            </w:pPr>
            <w:r w:rsidRPr="00550561">
              <w:t xml:space="preserve">Proposed </w:t>
            </w:r>
            <w:r w:rsidR="00D821F5" w:rsidRPr="00550561">
              <w:t>PROMPPT reviews will be acceptable to pharmacists</w:t>
            </w:r>
          </w:p>
        </w:tc>
        <w:tc>
          <w:tcPr>
            <w:tcW w:w="6378" w:type="dxa"/>
          </w:tcPr>
          <w:p w14:paraId="73B9E215" w14:textId="41C5A05A" w:rsidR="00D821F5" w:rsidRPr="00550561" w:rsidRDefault="007A4086" w:rsidP="00BF4138">
            <w:pPr>
              <w:pStyle w:val="ListParagraph"/>
              <w:numPr>
                <w:ilvl w:val="0"/>
                <w:numId w:val="7"/>
              </w:numPr>
              <w:tabs>
                <w:tab w:val="left" w:pos="225"/>
              </w:tabs>
              <w:ind w:left="175" w:hanging="175"/>
              <w:cnfStyle w:val="000000100000" w:firstRow="0" w:lastRow="0" w:firstColumn="0" w:lastColumn="0" w:oddVBand="0" w:evenVBand="0" w:oddHBand="1" w:evenHBand="0" w:firstRowFirstColumn="0" w:firstRowLastColumn="0" w:lastRowFirstColumn="0" w:lastRowLastColumn="0"/>
            </w:pPr>
            <w:r w:rsidRPr="00550561">
              <w:t xml:space="preserve">Prototype </w:t>
            </w:r>
            <w:r w:rsidR="00D821F5" w:rsidRPr="00550561">
              <w:t>PROMPPT</w:t>
            </w:r>
            <w:r w:rsidRPr="00550561">
              <w:t xml:space="preserve"> review</w:t>
            </w:r>
            <w:r w:rsidR="00D821F5" w:rsidRPr="00550561">
              <w:t xml:space="preserve"> is acceptable</w:t>
            </w:r>
          </w:p>
        </w:tc>
      </w:tr>
      <w:tr w:rsidR="00F92CEE" w:rsidRPr="00550561" w14:paraId="34975F8B" w14:textId="77777777" w:rsidTr="0026649D">
        <w:trPr>
          <w:trHeight w:val="499"/>
        </w:trPr>
        <w:tc>
          <w:tcPr>
            <w:cnfStyle w:val="001000000000" w:firstRow="0" w:lastRow="0" w:firstColumn="1" w:lastColumn="0" w:oddVBand="0" w:evenVBand="0" w:oddHBand="0" w:evenHBand="0" w:firstRowFirstColumn="0" w:firstRowLastColumn="0" w:lastRowFirstColumn="0" w:lastRowLastColumn="0"/>
            <w:tcW w:w="1419" w:type="dxa"/>
            <w:vMerge w:val="restart"/>
            <w:vAlign w:val="center"/>
          </w:tcPr>
          <w:p w14:paraId="0C4360E8" w14:textId="77777777" w:rsidR="00F92CEE" w:rsidRPr="00550561" w:rsidRDefault="00F92CEE" w:rsidP="0026649D">
            <w:r w:rsidRPr="00550561">
              <w:t>Affective attitude</w:t>
            </w:r>
          </w:p>
        </w:tc>
        <w:tc>
          <w:tcPr>
            <w:tcW w:w="6378" w:type="dxa"/>
            <w:tcBorders>
              <w:bottom w:val="nil"/>
            </w:tcBorders>
          </w:tcPr>
          <w:p w14:paraId="7EC0B75D" w14:textId="7ECB098A" w:rsidR="00F92CEE" w:rsidRPr="00550561" w:rsidRDefault="00F92CEE" w:rsidP="003C455D">
            <w:pPr>
              <w:pStyle w:val="ListParagraph"/>
              <w:numPr>
                <w:ilvl w:val="0"/>
                <w:numId w:val="7"/>
              </w:numPr>
              <w:tabs>
                <w:tab w:val="left" w:pos="171"/>
              </w:tabs>
              <w:ind w:left="171" w:hanging="171"/>
              <w:cnfStyle w:val="000000000000" w:firstRow="0" w:lastRow="0" w:firstColumn="0" w:lastColumn="0" w:oddVBand="0" w:evenVBand="0" w:oddHBand="0" w:evenHBand="0" w:firstRowFirstColumn="0" w:firstRowLastColumn="0" w:lastRowFirstColumn="0" w:lastRowLastColumn="0"/>
            </w:pPr>
            <w:r w:rsidRPr="00550561">
              <w:t xml:space="preserve">Pharmacists are qualified and perfectly suited to delivering PROMPPT  </w:t>
            </w:r>
          </w:p>
        </w:tc>
        <w:tc>
          <w:tcPr>
            <w:tcW w:w="6378" w:type="dxa"/>
            <w:tcBorders>
              <w:bottom w:val="nil"/>
            </w:tcBorders>
          </w:tcPr>
          <w:p w14:paraId="1D28782F" w14:textId="37DEADD2" w:rsidR="00F92CEE" w:rsidRPr="00550561" w:rsidRDefault="00F92CEE" w:rsidP="00BF4138">
            <w:pPr>
              <w:pStyle w:val="ListParagraph"/>
              <w:numPr>
                <w:ilvl w:val="0"/>
                <w:numId w:val="7"/>
              </w:numPr>
              <w:tabs>
                <w:tab w:val="left" w:pos="225"/>
              </w:tabs>
              <w:ind w:left="175" w:hanging="175"/>
              <w:cnfStyle w:val="000000000000" w:firstRow="0" w:lastRow="0" w:firstColumn="0" w:lastColumn="0" w:oddVBand="0" w:evenVBand="0" w:oddHBand="0" w:evenHBand="0" w:firstRowFirstColumn="0" w:firstRowLastColumn="0" w:lastRowFirstColumn="0" w:lastRowLastColumn="0"/>
            </w:pPr>
            <w:r w:rsidRPr="00550561">
              <w:t xml:space="preserve">Pharmacists should be involved in delivering PROMPPT </w:t>
            </w:r>
          </w:p>
        </w:tc>
      </w:tr>
      <w:tr w:rsidR="00F92CEE" w:rsidRPr="00550561" w14:paraId="31951611" w14:textId="77777777" w:rsidTr="00F92CEE">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419" w:type="dxa"/>
            <w:vMerge/>
          </w:tcPr>
          <w:p w14:paraId="4B364DF2" w14:textId="77777777" w:rsidR="00F92CEE" w:rsidRPr="00550561" w:rsidRDefault="00F92CEE" w:rsidP="009C2F91"/>
        </w:tc>
        <w:tc>
          <w:tcPr>
            <w:tcW w:w="6378" w:type="dxa"/>
            <w:tcBorders>
              <w:top w:val="nil"/>
              <w:bottom w:val="nil"/>
            </w:tcBorders>
          </w:tcPr>
          <w:p w14:paraId="7D5922BD" w14:textId="0BC6AAC2" w:rsidR="00F92CEE" w:rsidRPr="00550561" w:rsidRDefault="00F92CEE" w:rsidP="003C455D">
            <w:pPr>
              <w:pStyle w:val="ListParagraph"/>
              <w:numPr>
                <w:ilvl w:val="0"/>
                <w:numId w:val="7"/>
              </w:numPr>
              <w:tabs>
                <w:tab w:val="left" w:pos="171"/>
              </w:tabs>
              <w:ind w:left="171" w:hanging="171"/>
              <w:cnfStyle w:val="000000100000" w:firstRow="0" w:lastRow="0" w:firstColumn="0" w:lastColumn="0" w:oddVBand="0" w:evenVBand="0" w:oddHBand="1" w:evenHBand="0" w:firstRowFirstColumn="0" w:firstRowLastColumn="0" w:lastRowFirstColumn="0" w:lastRowLastColumn="0"/>
            </w:pPr>
            <w:r w:rsidRPr="00550561">
              <w:t>Structured approach to reviewing opioids is needed</w:t>
            </w:r>
          </w:p>
        </w:tc>
        <w:tc>
          <w:tcPr>
            <w:tcW w:w="6378" w:type="dxa"/>
            <w:tcBorders>
              <w:top w:val="nil"/>
              <w:bottom w:val="nil"/>
            </w:tcBorders>
          </w:tcPr>
          <w:p w14:paraId="5F96A717" w14:textId="4E39F06A" w:rsidR="00F92CEE" w:rsidRPr="00550561" w:rsidRDefault="00F92CEE" w:rsidP="00BF4138">
            <w:pPr>
              <w:pStyle w:val="ListParagraph"/>
              <w:tabs>
                <w:tab w:val="left" w:pos="225"/>
              </w:tabs>
              <w:ind w:left="175" w:hanging="175"/>
              <w:jc w:val="center"/>
              <w:cnfStyle w:val="000000100000" w:firstRow="0" w:lastRow="0" w:firstColumn="0" w:lastColumn="0" w:oddVBand="0" w:evenVBand="0" w:oddHBand="1" w:evenHBand="0" w:firstRowFirstColumn="0" w:firstRowLastColumn="0" w:lastRowFirstColumn="0" w:lastRowLastColumn="0"/>
            </w:pPr>
            <w:r w:rsidRPr="00550561">
              <w:t>-</w:t>
            </w:r>
          </w:p>
        </w:tc>
      </w:tr>
      <w:tr w:rsidR="00F92CEE" w:rsidRPr="00550561" w14:paraId="4070049C" w14:textId="77777777" w:rsidTr="003C455D">
        <w:trPr>
          <w:trHeight w:val="408"/>
        </w:trPr>
        <w:tc>
          <w:tcPr>
            <w:cnfStyle w:val="001000000000" w:firstRow="0" w:lastRow="0" w:firstColumn="1" w:lastColumn="0" w:oddVBand="0" w:evenVBand="0" w:oddHBand="0" w:evenHBand="0" w:firstRowFirstColumn="0" w:firstRowLastColumn="0" w:lastRowFirstColumn="0" w:lastRowLastColumn="0"/>
            <w:tcW w:w="1419" w:type="dxa"/>
            <w:vMerge/>
          </w:tcPr>
          <w:p w14:paraId="6E9C02B2" w14:textId="77777777" w:rsidR="00F92CEE" w:rsidRPr="00550561" w:rsidRDefault="00F92CEE" w:rsidP="009C2F91"/>
        </w:tc>
        <w:tc>
          <w:tcPr>
            <w:tcW w:w="6378" w:type="dxa"/>
            <w:tcBorders>
              <w:top w:val="nil"/>
              <w:bottom w:val="nil"/>
            </w:tcBorders>
          </w:tcPr>
          <w:p w14:paraId="722047B2" w14:textId="7488B6A5" w:rsidR="00F92CEE" w:rsidRPr="00550561" w:rsidRDefault="00F92CEE" w:rsidP="003C455D">
            <w:pPr>
              <w:tabs>
                <w:tab w:val="left" w:pos="171"/>
              </w:tabs>
              <w:ind w:left="171" w:hanging="171"/>
              <w:jc w:val="center"/>
              <w:cnfStyle w:val="000000000000" w:firstRow="0" w:lastRow="0" w:firstColumn="0" w:lastColumn="0" w:oddVBand="0" w:evenVBand="0" w:oddHBand="0" w:evenHBand="0" w:firstRowFirstColumn="0" w:firstRowLastColumn="0" w:lastRowFirstColumn="0" w:lastRowLastColumn="0"/>
            </w:pPr>
            <w:r w:rsidRPr="00550561">
              <w:t>-</w:t>
            </w:r>
          </w:p>
        </w:tc>
        <w:tc>
          <w:tcPr>
            <w:tcW w:w="6378" w:type="dxa"/>
            <w:tcBorders>
              <w:top w:val="nil"/>
              <w:bottom w:val="nil"/>
            </w:tcBorders>
          </w:tcPr>
          <w:p w14:paraId="5B6B5A32" w14:textId="2D90D6F0" w:rsidR="00F92CEE" w:rsidRPr="00550561" w:rsidRDefault="00F92CEE" w:rsidP="00BF4138">
            <w:pPr>
              <w:pStyle w:val="ListParagraph"/>
              <w:numPr>
                <w:ilvl w:val="0"/>
                <w:numId w:val="7"/>
              </w:numPr>
              <w:tabs>
                <w:tab w:val="left" w:pos="225"/>
              </w:tabs>
              <w:ind w:left="175" w:hanging="175"/>
              <w:cnfStyle w:val="000000000000" w:firstRow="0" w:lastRow="0" w:firstColumn="0" w:lastColumn="0" w:oddVBand="0" w:evenVBand="0" w:oddHBand="0" w:evenHBand="0" w:firstRowFirstColumn="0" w:firstRowLastColumn="0" w:lastRowFirstColumn="0" w:lastRowLastColumn="0"/>
            </w:pPr>
            <w:r w:rsidRPr="00550561">
              <w:t xml:space="preserve">Pharmacists liked and enjoyed the </w:t>
            </w:r>
            <w:r w:rsidR="003877AD" w:rsidRPr="00550561">
              <w:t>PROMPPT</w:t>
            </w:r>
            <w:r w:rsidRPr="00550561">
              <w:t xml:space="preserve"> reviews</w:t>
            </w:r>
          </w:p>
        </w:tc>
      </w:tr>
      <w:tr w:rsidR="00F92CEE" w:rsidRPr="00550561" w14:paraId="5FB874DE" w14:textId="77777777" w:rsidTr="00F92CEE">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1419" w:type="dxa"/>
            <w:vMerge/>
          </w:tcPr>
          <w:p w14:paraId="6B7DB406" w14:textId="77777777" w:rsidR="00F92CEE" w:rsidRPr="00550561" w:rsidRDefault="00F92CEE" w:rsidP="009C2F91"/>
        </w:tc>
        <w:tc>
          <w:tcPr>
            <w:tcW w:w="6378" w:type="dxa"/>
            <w:tcBorders>
              <w:top w:val="nil"/>
            </w:tcBorders>
          </w:tcPr>
          <w:p w14:paraId="50704C22" w14:textId="0404014F" w:rsidR="00F92CEE" w:rsidRPr="00550561" w:rsidRDefault="00F92CEE" w:rsidP="003C455D">
            <w:pPr>
              <w:tabs>
                <w:tab w:val="left" w:pos="171"/>
              </w:tabs>
              <w:ind w:left="171" w:hanging="171"/>
              <w:jc w:val="center"/>
              <w:cnfStyle w:val="000000100000" w:firstRow="0" w:lastRow="0" w:firstColumn="0" w:lastColumn="0" w:oddVBand="0" w:evenVBand="0" w:oddHBand="1" w:evenHBand="0" w:firstRowFirstColumn="0" w:firstRowLastColumn="0" w:lastRowFirstColumn="0" w:lastRowLastColumn="0"/>
            </w:pPr>
            <w:r w:rsidRPr="00550561">
              <w:t>-</w:t>
            </w:r>
          </w:p>
        </w:tc>
        <w:tc>
          <w:tcPr>
            <w:tcW w:w="6378" w:type="dxa"/>
            <w:tcBorders>
              <w:top w:val="nil"/>
            </w:tcBorders>
          </w:tcPr>
          <w:p w14:paraId="7F259455" w14:textId="525EE23E" w:rsidR="00F92CEE" w:rsidRPr="00550561" w:rsidRDefault="00F92CEE" w:rsidP="00BF4138">
            <w:pPr>
              <w:pStyle w:val="ListParagraph"/>
              <w:numPr>
                <w:ilvl w:val="0"/>
                <w:numId w:val="7"/>
              </w:numPr>
              <w:tabs>
                <w:tab w:val="left" w:pos="225"/>
              </w:tabs>
              <w:ind w:left="175" w:hanging="175"/>
              <w:cnfStyle w:val="000000100000" w:firstRow="0" w:lastRow="0" w:firstColumn="0" w:lastColumn="0" w:oddVBand="0" w:evenVBand="0" w:oddHBand="1" w:evenHBand="0" w:firstRowFirstColumn="0" w:firstRowLastColumn="0" w:lastRowFirstColumn="0" w:lastRowLastColumn="0"/>
            </w:pPr>
            <w:r w:rsidRPr="00550561">
              <w:t>Pharmacist’s feelings towards the reviews dependent on the type of patient</w:t>
            </w:r>
          </w:p>
        </w:tc>
      </w:tr>
      <w:tr w:rsidR="009874C7" w:rsidRPr="00550561" w14:paraId="65F6E04A" w14:textId="77777777" w:rsidTr="009874C7">
        <w:trPr>
          <w:trHeight w:val="473"/>
        </w:trPr>
        <w:tc>
          <w:tcPr>
            <w:cnfStyle w:val="001000000000" w:firstRow="0" w:lastRow="0" w:firstColumn="1" w:lastColumn="0" w:oddVBand="0" w:evenVBand="0" w:oddHBand="0" w:evenHBand="0" w:firstRowFirstColumn="0" w:firstRowLastColumn="0" w:lastRowFirstColumn="0" w:lastRowLastColumn="0"/>
            <w:tcW w:w="1419" w:type="dxa"/>
            <w:vMerge w:val="restart"/>
            <w:vAlign w:val="center"/>
          </w:tcPr>
          <w:p w14:paraId="2E392160" w14:textId="77777777" w:rsidR="009874C7" w:rsidRPr="00550561" w:rsidRDefault="009874C7" w:rsidP="009874C7">
            <w:r w:rsidRPr="00550561">
              <w:t>Burden</w:t>
            </w:r>
          </w:p>
        </w:tc>
        <w:tc>
          <w:tcPr>
            <w:tcW w:w="6378" w:type="dxa"/>
            <w:tcBorders>
              <w:bottom w:val="nil"/>
            </w:tcBorders>
          </w:tcPr>
          <w:p w14:paraId="07243957" w14:textId="7B9B7F22" w:rsidR="009874C7" w:rsidRPr="00550561" w:rsidRDefault="00376E81" w:rsidP="003C455D">
            <w:pPr>
              <w:pStyle w:val="ListParagraph"/>
              <w:numPr>
                <w:ilvl w:val="0"/>
                <w:numId w:val="8"/>
              </w:numPr>
              <w:tabs>
                <w:tab w:val="left" w:pos="171"/>
              </w:tabs>
              <w:ind w:left="171" w:hanging="171"/>
              <w:cnfStyle w:val="000000000000" w:firstRow="0" w:lastRow="0" w:firstColumn="0" w:lastColumn="0" w:oddVBand="0" w:evenVBand="0" w:oddHBand="0" w:evenHBand="0" w:firstRowFirstColumn="0" w:firstRowLastColumn="0" w:lastRowFirstColumn="0" w:lastRowLastColumn="0"/>
            </w:pPr>
            <w:r w:rsidRPr="00550561">
              <w:t>PROMPPT</w:t>
            </w:r>
            <w:r w:rsidR="009874C7" w:rsidRPr="00550561">
              <w:t xml:space="preserve"> reviews will be challenging consultations</w:t>
            </w:r>
          </w:p>
        </w:tc>
        <w:tc>
          <w:tcPr>
            <w:tcW w:w="6378" w:type="dxa"/>
            <w:tcBorders>
              <w:bottom w:val="nil"/>
            </w:tcBorders>
          </w:tcPr>
          <w:p w14:paraId="13B87AB4" w14:textId="77777777" w:rsidR="009874C7" w:rsidRPr="00550561" w:rsidRDefault="009874C7" w:rsidP="00BF4138">
            <w:pPr>
              <w:pStyle w:val="ListParagraph"/>
              <w:numPr>
                <w:ilvl w:val="0"/>
                <w:numId w:val="8"/>
              </w:numPr>
              <w:tabs>
                <w:tab w:val="left" w:pos="225"/>
              </w:tabs>
              <w:ind w:left="175" w:hanging="175"/>
              <w:cnfStyle w:val="000000000000" w:firstRow="0" w:lastRow="0" w:firstColumn="0" w:lastColumn="0" w:oddVBand="0" w:evenVBand="0" w:oddHBand="0" w:evenHBand="0" w:firstRowFirstColumn="0" w:firstRowLastColumn="0" w:lastRowFirstColumn="0" w:lastRowLastColumn="0"/>
            </w:pPr>
            <w:r w:rsidRPr="00550561">
              <w:t>Experienced challenging consultations</w:t>
            </w:r>
          </w:p>
          <w:p w14:paraId="42663472" w14:textId="4A7B90F1" w:rsidR="009874C7" w:rsidRPr="00550561" w:rsidRDefault="009874C7" w:rsidP="00BF4138">
            <w:pPr>
              <w:pStyle w:val="ListParagraph"/>
              <w:numPr>
                <w:ilvl w:val="0"/>
                <w:numId w:val="8"/>
              </w:numPr>
              <w:tabs>
                <w:tab w:val="left" w:pos="225"/>
              </w:tabs>
              <w:ind w:left="175" w:hanging="175"/>
              <w:cnfStyle w:val="000000000000" w:firstRow="0" w:lastRow="0" w:firstColumn="0" w:lastColumn="0" w:oddVBand="0" w:evenVBand="0" w:oddHBand="0" w:evenHBand="0" w:firstRowFirstColumn="0" w:firstRowLastColumn="0" w:lastRowFirstColumn="0" w:lastRowLastColumn="0"/>
            </w:pPr>
            <w:r w:rsidRPr="00550561">
              <w:t>Level of burden dependent on type of patient</w:t>
            </w:r>
          </w:p>
        </w:tc>
      </w:tr>
      <w:tr w:rsidR="009874C7" w:rsidRPr="00550561" w14:paraId="4DB2760E" w14:textId="77777777" w:rsidTr="009874C7">
        <w:trPr>
          <w:cnfStyle w:val="000000100000" w:firstRow="0" w:lastRow="0" w:firstColumn="0" w:lastColumn="0" w:oddVBand="0" w:evenVBand="0" w:oddHBand="1"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1419" w:type="dxa"/>
            <w:vMerge/>
          </w:tcPr>
          <w:p w14:paraId="3CE88362" w14:textId="77777777" w:rsidR="009874C7" w:rsidRPr="00550561" w:rsidRDefault="009874C7" w:rsidP="009C2F91"/>
        </w:tc>
        <w:tc>
          <w:tcPr>
            <w:tcW w:w="6378" w:type="dxa"/>
            <w:tcBorders>
              <w:top w:val="nil"/>
              <w:bottom w:val="nil"/>
            </w:tcBorders>
          </w:tcPr>
          <w:p w14:paraId="3F052A68" w14:textId="2E4433B5" w:rsidR="009874C7" w:rsidRPr="00550561" w:rsidRDefault="009874C7" w:rsidP="003C455D">
            <w:pPr>
              <w:pStyle w:val="ListParagraph"/>
              <w:numPr>
                <w:ilvl w:val="0"/>
                <w:numId w:val="8"/>
              </w:numPr>
              <w:tabs>
                <w:tab w:val="left" w:pos="171"/>
              </w:tabs>
              <w:ind w:left="171" w:hanging="171"/>
              <w:cnfStyle w:val="000000100000" w:firstRow="0" w:lastRow="0" w:firstColumn="0" w:lastColumn="0" w:oddVBand="0" w:evenVBand="0" w:oddHBand="1" w:evenHBand="0" w:firstRowFirstColumn="0" w:firstRowLastColumn="0" w:lastRowFirstColumn="0" w:lastRowLastColumn="0"/>
            </w:pPr>
            <w:r w:rsidRPr="00550561">
              <w:t>Navigating the patients’ relationships and preferences for other healthcare professionals</w:t>
            </w:r>
          </w:p>
        </w:tc>
        <w:tc>
          <w:tcPr>
            <w:tcW w:w="6378" w:type="dxa"/>
            <w:tcBorders>
              <w:top w:val="nil"/>
              <w:bottom w:val="nil"/>
            </w:tcBorders>
          </w:tcPr>
          <w:p w14:paraId="4438AF86" w14:textId="7FC4A03A" w:rsidR="009874C7" w:rsidRPr="00550561" w:rsidRDefault="009874C7" w:rsidP="00BF4138">
            <w:pPr>
              <w:pStyle w:val="ListParagraph"/>
              <w:numPr>
                <w:ilvl w:val="0"/>
                <w:numId w:val="8"/>
              </w:numPr>
              <w:tabs>
                <w:tab w:val="left" w:pos="225"/>
              </w:tabs>
              <w:ind w:left="175" w:hanging="175"/>
              <w:cnfStyle w:val="000000100000" w:firstRow="0" w:lastRow="0" w:firstColumn="0" w:lastColumn="0" w:oddVBand="0" w:evenVBand="0" w:oddHBand="1" w:evenHBand="0" w:firstRowFirstColumn="0" w:firstRowLastColumn="0" w:lastRowFirstColumn="0" w:lastRowLastColumn="0"/>
            </w:pPr>
            <w:r w:rsidRPr="00550561">
              <w:t>Navigating other care that patients are receiving can be challenging</w:t>
            </w:r>
          </w:p>
        </w:tc>
      </w:tr>
      <w:tr w:rsidR="009874C7" w:rsidRPr="00550561" w14:paraId="1DF299EE" w14:textId="77777777" w:rsidTr="009874C7">
        <w:trPr>
          <w:trHeight w:val="473"/>
        </w:trPr>
        <w:tc>
          <w:tcPr>
            <w:cnfStyle w:val="001000000000" w:firstRow="0" w:lastRow="0" w:firstColumn="1" w:lastColumn="0" w:oddVBand="0" w:evenVBand="0" w:oddHBand="0" w:evenHBand="0" w:firstRowFirstColumn="0" w:firstRowLastColumn="0" w:lastRowFirstColumn="0" w:lastRowLastColumn="0"/>
            <w:tcW w:w="1419" w:type="dxa"/>
            <w:vMerge/>
          </w:tcPr>
          <w:p w14:paraId="7081416B" w14:textId="77777777" w:rsidR="009874C7" w:rsidRPr="00550561" w:rsidRDefault="009874C7" w:rsidP="009C2F91"/>
        </w:tc>
        <w:tc>
          <w:tcPr>
            <w:tcW w:w="6378" w:type="dxa"/>
            <w:tcBorders>
              <w:top w:val="nil"/>
              <w:bottom w:val="nil"/>
            </w:tcBorders>
          </w:tcPr>
          <w:p w14:paraId="3A9ECAB0" w14:textId="5DF7F624" w:rsidR="009874C7" w:rsidRPr="00550561" w:rsidRDefault="009874C7" w:rsidP="003C455D">
            <w:pPr>
              <w:pStyle w:val="ListParagraph"/>
              <w:numPr>
                <w:ilvl w:val="0"/>
                <w:numId w:val="8"/>
              </w:numPr>
              <w:tabs>
                <w:tab w:val="left" w:pos="171"/>
              </w:tabs>
              <w:ind w:left="171" w:hanging="171"/>
              <w:cnfStyle w:val="000000000000" w:firstRow="0" w:lastRow="0" w:firstColumn="0" w:lastColumn="0" w:oddVBand="0" w:evenVBand="0" w:oddHBand="0" w:evenHBand="0" w:firstRowFirstColumn="0" w:firstRowLastColumn="0" w:lastRowFirstColumn="0" w:lastRowLastColumn="0"/>
            </w:pPr>
            <w:r w:rsidRPr="00550561">
              <w:t>Additional time requirement to deliver PROMPPT reviews</w:t>
            </w:r>
          </w:p>
          <w:p w14:paraId="29B7870E" w14:textId="77777777" w:rsidR="009874C7" w:rsidRPr="00550561" w:rsidRDefault="009874C7" w:rsidP="003C455D">
            <w:pPr>
              <w:tabs>
                <w:tab w:val="left" w:pos="171"/>
              </w:tabs>
              <w:ind w:left="171" w:hanging="171"/>
              <w:cnfStyle w:val="000000000000" w:firstRow="0" w:lastRow="0" w:firstColumn="0" w:lastColumn="0" w:oddVBand="0" w:evenVBand="0" w:oddHBand="0" w:evenHBand="0" w:firstRowFirstColumn="0" w:firstRowLastColumn="0" w:lastRowFirstColumn="0" w:lastRowLastColumn="0"/>
            </w:pPr>
          </w:p>
        </w:tc>
        <w:tc>
          <w:tcPr>
            <w:tcW w:w="6378" w:type="dxa"/>
            <w:tcBorders>
              <w:top w:val="nil"/>
              <w:bottom w:val="nil"/>
            </w:tcBorders>
          </w:tcPr>
          <w:p w14:paraId="00C4EE32" w14:textId="70BD07D3" w:rsidR="009874C7" w:rsidRPr="00550561" w:rsidRDefault="005F4EEA" w:rsidP="00BF4138">
            <w:pPr>
              <w:pStyle w:val="ListParagraph"/>
              <w:numPr>
                <w:ilvl w:val="0"/>
                <w:numId w:val="8"/>
              </w:numPr>
              <w:tabs>
                <w:tab w:val="left" w:pos="225"/>
              </w:tabs>
              <w:ind w:left="175" w:hanging="175"/>
              <w:cnfStyle w:val="000000000000" w:firstRow="0" w:lastRow="0" w:firstColumn="0" w:lastColumn="0" w:oddVBand="0" w:evenVBand="0" w:oddHBand="0" w:evenHBand="0" w:firstRowFirstColumn="0" w:firstRowLastColumn="0" w:lastRowFirstColumn="0" w:lastRowLastColumn="0"/>
            </w:pPr>
            <w:r w:rsidRPr="00550561">
              <w:t>D</w:t>
            </w:r>
            <w:r w:rsidR="009874C7" w:rsidRPr="00550561">
              <w:t xml:space="preserve">id not require more time to prepare for </w:t>
            </w:r>
            <w:r w:rsidRPr="00550561">
              <w:t xml:space="preserve">PROMPPT </w:t>
            </w:r>
            <w:r w:rsidR="009874C7" w:rsidRPr="00550561">
              <w:t>reviews or to write-up clinical notes compared to other consultations</w:t>
            </w:r>
          </w:p>
        </w:tc>
      </w:tr>
      <w:tr w:rsidR="009874C7" w:rsidRPr="00550561" w14:paraId="139E0299" w14:textId="77777777" w:rsidTr="009874C7">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419" w:type="dxa"/>
            <w:vMerge/>
          </w:tcPr>
          <w:p w14:paraId="4BC45FB1" w14:textId="77777777" w:rsidR="009874C7" w:rsidRPr="00550561" w:rsidRDefault="009874C7" w:rsidP="009C2F91"/>
        </w:tc>
        <w:tc>
          <w:tcPr>
            <w:tcW w:w="6378" w:type="dxa"/>
            <w:tcBorders>
              <w:top w:val="nil"/>
              <w:bottom w:val="nil"/>
            </w:tcBorders>
          </w:tcPr>
          <w:p w14:paraId="4797E84F" w14:textId="6FF18518" w:rsidR="009874C7" w:rsidRPr="00550561" w:rsidRDefault="009874C7" w:rsidP="003C455D">
            <w:pPr>
              <w:pStyle w:val="ListParagraph"/>
              <w:numPr>
                <w:ilvl w:val="0"/>
                <w:numId w:val="8"/>
              </w:numPr>
              <w:tabs>
                <w:tab w:val="left" w:pos="171"/>
              </w:tabs>
              <w:ind w:left="171" w:hanging="171"/>
              <w:cnfStyle w:val="000000100000" w:firstRow="0" w:lastRow="0" w:firstColumn="0" w:lastColumn="0" w:oddVBand="0" w:evenVBand="0" w:oddHBand="1" w:evenHBand="0" w:firstRowFirstColumn="0" w:firstRowLastColumn="0" w:lastRowFirstColumn="0" w:lastRowLastColumn="0"/>
            </w:pPr>
            <w:r w:rsidRPr="00550561">
              <w:t>Emotional burden for pharmacists</w:t>
            </w:r>
          </w:p>
        </w:tc>
        <w:tc>
          <w:tcPr>
            <w:tcW w:w="6378" w:type="dxa"/>
            <w:tcBorders>
              <w:top w:val="nil"/>
              <w:bottom w:val="nil"/>
            </w:tcBorders>
          </w:tcPr>
          <w:p w14:paraId="29B804D4" w14:textId="6BD227EA" w:rsidR="009874C7" w:rsidRPr="00550561" w:rsidRDefault="009874C7" w:rsidP="00BF4138">
            <w:pPr>
              <w:pStyle w:val="ListParagraph"/>
              <w:numPr>
                <w:ilvl w:val="0"/>
                <w:numId w:val="8"/>
              </w:numPr>
              <w:tabs>
                <w:tab w:val="left" w:pos="225"/>
              </w:tabs>
              <w:ind w:left="175" w:hanging="175"/>
              <w:cnfStyle w:val="000000100000" w:firstRow="0" w:lastRow="0" w:firstColumn="0" w:lastColumn="0" w:oddVBand="0" w:evenVBand="0" w:oddHBand="1" w:evenHBand="0" w:firstRowFirstColumn="0" w:firstRowLastColumn="0" w:lastRowFirstColumn="0" w:lastRowLastColumn="0"/>
            </w:pPr>
            <w:r w:rsidRPr="00550561">
              <w:t>Emotional burden on pharmacists</w:t>
            </w:r>
          </w:p>
        </w:tc>
      </w:tr>
      <w:tr w:rsidR="009874C7" w:rsidRPr="00550561" w14:paraId="1E4E43E6" w14:textId="77777777" w:rsidTr="009874C7">
        <w:trPr>
          <w:trHeight w:val="263"/>
        </w:trPr>
        <w:tc>
          <w:tcPr>
            <w:cnfStyle w:val="001000000000" w:firstRow="0" w:lastRow="0" w:firstColumn="1" w:lastColumn="0" w:oddVBand="0" w:evenVBand="0" w:oddHBand="0" w:evenHBand="0" w:firstRowFirstColumn="0" w:firstRowLastColumn="0" w:lastRowFirstColumn="0" w:lastRowLastColumn="0"/>
            <w:tcW w:w="1419" w:type="dxa"/>
            <w:vMerge/>
          </w:tcPr>
          <w:p w14:paraId="314C81A8" w14:textId="77777777" w:rsidR="009874C7" w:rsidRPr="00550561" w:rsidRDefault="009874C7" w:rsidP="009C2F91"/>
        </w:tc>
        <w:tc>
          <w:tcPr>
            <w:tcW w:w="6378" w:type="dxa"/>
            <w:tcBorders>
              <w:top w:val="nil"/>
              <w:bottom w:val="nil"/>
            </w:tcBorders>
          </w:tcPr>
          <w:p w14:paraId="5F16D795" w14:textId="58DA7179" w:rsidR="009874C7" w:rsidRPr="00550561" w:rsidRDefault="009874C7" w:rsidP="003C455D">
            <w:pPr>
              <w:pStyle w:val="ListParagraph"/>
              <w:numPr>
                <w:ilvl w:val="0"/>
                <w:numId w:val="8"/>
              </w:numPr>
              <w:tabs>
                <w:tab w:val="left" w:pos="171"/>
              </w:tabs>
              <w:ind w:left="171" w:hanging="171"/>
              <w:cnfStyle w:val="000000000000" w:firstRow="0" w:lastRow="0" w:firstColumn="0" w:lastColumn="0" w:oddVBand="0" w:evenVBand="0" w:oddHBand="0" w:evenHBand="0" w:firstRowFirstColumn="0" w:firstRowLastColumn="0" w:lastRowFirstColumn="0" w:lastRowLastColumn="0"/>
            </w:pPr>
            <w:r w:rsidRPr="00550561">
              <w:t>Additional training requirement</w:t>
            </w:r>
          </w:p>
        </w:tc>
        <w:tc>
          <w:tcPr>
            <w:tcW w:w="6378" w:type="dxa"/>
            <w:tcBorders>
              <w:top w:val="nil"/>
              <w:bottom w:val="nil"/>
            </w:tcBorders>
          </w:tcPr>
          <w:p w14:paraId="0A5948E6" w14:textId="4F4019A8" w:rsidR="009874C7" w:rsidRPr="00550561" w:rsidRDefault="009874C7" w:rsidP="00BF4138">
            <w:pPr>
              <w:pStyle w:val="ListParagraph"/>
              <w:tabs>
                <w:tab w:val="left" w:pos="225"/>
              </w:tabs>
              <w:ind w:left="175" w:hanging="175"/>
              <w:jc w:val="center"/>
              <w:cnfStyle w:val="000000000000" w:firstRow="0" w:lastRow="0" w:firstColumn="0" w:lastColumn="0" w:oddVBand="0" w:evenVBand="0" w:oddHBand="0" w:evenHBand="0" w:firstRowFirstColumn="0" w:firstRowLastColumn="0" w:lastRowFirstColumn="0" w:lastRowLastColumn="0"/>
            </w:pPr>
            <w:r w:rsidRPr="00550561">
              <w:t>-</w:t>
            </w:r>
          </w:p>
        </w:tc>
      </w:tr>
      <w:tr w:rsidR="009874C7" w:rsidRPr="00550561" w14:paraId="3C0AE8B9" w14:textId="77777777" w:rsidTr="003C455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19" w:type="dxa"/>
            <w:vMerge/>
          </w:tcPr>
          <w:p w14:paraId="0DE05C2B" w14:textId="77777777" w:rsidR="009874C7" w:rsidRPr="00550561" w:rsidRDefault="009874C7" w:rsidP="009C2F91"/>
        </w:tc>
        <w:tc>
          <w:tcPr>
            <w:tcW w:w="6378" w:type="dxa"/>
            <w:tcBorders>
              <w:top w:val="nil"/>
              <w:bottom w:val="nil"/>
            </w:tcBorders>
          </w:tcPr>
          <w:p w14:paraId="733C9BF5" w14:textId="43EA407E" w:rsidR="009874C7" w:rsidRPr="00550561" w:rsidRDefault="009874C7" w:rsidP="003C455D">
            <w:pPr>
              <w:tabs>
                <w:tab w:val="left" w:pos="171"/>
              </w:tabs>
              <w:ind w:left="171" w:hanging="171"/>
              <w:jc w:val="center"/>
              <w:cnfStyle w:val="000000100000" w:firstRow="0" w:lastRow="0" w:firstColumn="0" w:lastColumn="0" w:oddVBand="0" w:evenVBand="0" w:oddHBand="1" w:evenHBand="0" w:firstRowFirstColumn="0" w:firstRowLastColumn="0" w:lastRowFirstColumn="0" w:lastRowLastColumn="0"/>
            </w:pPr>
            <w:r w:rsidRPr="00550561">
              <w:t>-</w:t>
            </w:r>
          </w:p>
        </w:tc>
        <w:tc>
          <w:tcPr>
            <w:tcW w:w="6378" w:type="dxa"/>
            <w:tcBorders>
              <w:top w:val="nil"/>
              <w:bottom w:val="nil"/>
            </w:tcBorders>
          </w:tcPr>
          <w:p w14:paraId="77380B00" w14:textId="7FADC6FB" w:rsidR="009874C7" w:rsidRPr="00550561" w:rsidRDefault="009874C7" w:rsidP="00BF4138">
            <w:pPr>
              <w:pStyle w:val="ListParagraph"/>
              <w:numPr>
                <w:ilvl w:val="0"/>
                <w:numId w:val="8"/>
              </w:numPr>
              <w:tabs>
                <w:tab w:val="left" w:pos="225"/>
              </w:tabs>
              <w:ind w:left="175" w:hanging="175"/>
              <w:cnfStyle w:val="000000100000" w:firstRow="0" w:lastRow="0" w:firstColumn="0" w:lastColumn="0" w:oddVBand="0" w:evenVBand="0" w:oddHBand="1" w:evenHBand="0" w:firstRowFirstColumn="0" w:firstRowLastColumn="0" w:lastRowFirstColumn="0" w:lastRowLastColumn="0"/>
            </w:pPr>
            <w:r w:rsidRPr="00550561">
              <w:t>Little effort is required to deliver PROMPPT</w:t>
            </w:r>
          </w:p>
        </w:tc>
      </w:tr>
      <w:tr w:rsidR="009874C7" w:rsidRPr="00550561" w14:paraId="451D5E1B" w14:textId="77777777" w:rsidTr="009874C7">
        <w:trPr>
          <w:trHeight w:val="473"/>
        </w:trPr>
        <w:tc>
          <w:tcPr>
            <w:cnfStyle w:val="001000000000" w:firstRow="0" w:lastRow="0" w:firstColumn="1" w:lastColumn="0" w:oddVBand="0" w:evenVBand="0" w:oddHBand="0" w:evenHBand="0" w:firstRowFirstColumn="0" w:firstRowLastColumn="0" w:lastRowFirstColumn="0" w:lastRowLastColumn="0"/>
            <w:tcW w:w="1419" w:type="dxa"/>
            <w:vMerge/>
          </w:tcPr>
          <w:p w14:paraId="4325D2B6" w14:textId="77777777" w:rsidR="009874C7" w:rsidRPr="00550561" w:rsidRDefault="009874C7" w:rsidP="009C2F91"/>
        </w:tc>
        <w:tc>
          <w:tcPr>
            <w:tcW w:w="6378" w:type="dxa"/>
            <w:tcBorders>
              <w:top w:val="nil"/>
              <w:bottom w:val="nil"/>
            </w:tcBorders>
          </w:tcPr>
          <w:p w14:paraId="1D115FC5" w14:textId="10978258" w:rsidR="009874C7" w:rsidRPr="00550561" w:rsidRDefault="009874C7" w:rsidP="003C455D">
            <w:pPr>
              <w:tabs>
                <w:tab w:val="left" w:pos="171"/>
              </w:tabs>
              <w:ind w:left="171" w:hanging="171"/>
              <w:jc w:val="center"/>
              <w:cnfStyle w:val="000000000000" w:firstRow="0" w:lastRow="0" w:firstColumn="0" w:lastColumn="0" w:oddVBand="0" w:evenVBand="0" w:oddHBand="0" w:evenHBand="0" w:firstRowFirstColumn="0" w:firstRowLastColumn="0" w:lastRowFirstColumn="0" w:lastRowLastColumn="0"/>
            </w:pPr>
            <w:r w:rsidRPr="00550561">
              <w:t>-</w:t>
            </w:r>
          </w:p>
        </w:tc>
        <w:tc>
          <w:tcPr>
            <w:tcW w:w="6378" w:type="dxa"/>
            <w:tcBorders>
              <w:top w:val="nil"/>
              <w:bottom w:val="nil"/>
            </w:tcBorders>
          </w:tcPr>
          <w:p w14:paraId="3E93BF44" w14:textId="2875CFF8" w:rsidR="009874C7" w:rsidRPr="00550561" w:rsidRDefault="009874C7" w:rsidP="00BF4138">
            <w:pPr>
              <w:pStyle w:val="ListParagraph"/>
              <w:numPr>
                <w:ilvl w:val="0"/>
                <w:numId w:val="8"/>
              </w:numPr>
              <w:tabs>
                <w:tab w:val="left" w:pos="225"/>
              </w:tabs>
              <w:ind w:left="175" w:hanging="175"/>
              <w:cnfStyle w:val="000000000000" w:firstRow="0" w:lastRow="0" w:firstColumn="0" w:lastColumn="0" w:oddVBand="0" w:evenVBand="0" w:oddHBand="0" w:evenHBand="0" w:firstRowFirstColumn="0" w:firstRowLastColumn="0" w:lastRowFirstColumn="0" w:lastRowLastColumn="0"/>
            </w:pPr>
            <w:r w:rsidRPr="00550561">
              <w:t xml:space="preserve">Patients knowing aims and being prepared made the review easier for the pharmacist </w:t>
            </w:r>
          </w:p>
        </w:tc>
      </w:tr>
      <w:tr w:rsidR="009874C7" w:rsidRPr="00550561" w14:paraId="488108D8" w14:textId="77777777" w:rsidTr="003C455D">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1419" w:type="dxa"/>
            <w:vMerge/>
          </w:tcPr>
          <w:p w14:paraId="32D72C88" w14:textId="77777777" w:rsidR="009874C7" w:rsidRPr="00550561" w:rsidRDefault="009874C7" w:rsidP="009C2F91"/>
        </w:tc>
        <w:tc>
          <w:tcPr>
            <w:tcW w:w="6378" w:type="dxa"/>
            <w:tcBorders>
              <w:top w:val="nil"/>
            </w:tcBorders>
          </w:tcPr>
          <w:p w14:paraId="03D42258" w14:textId="7DFB74C9" w:rsidR="009874C7" w:rsidRPr="00550561" w:rsidRDefault="009874C7" w:rsidP="003C455D">
            <w:pPr>
              <w:tabs>
                <w:tab w:val="left" w:pos="171"/>
              </w:tabs>
              <w:ind w:left="171" w:hanging="171"/>
              <w:jc w:val="center"/>
              <w:cnfStyle w:val="000000100000" w:firstRow="0" w:lastRow="0" w:firstColumn="0" w:lastColumn="0" w:oddVBand="0" w:evenVBand="0" w:oddHBand="1" w:evenHBand="0" w:firstRowFirstColumn="0" w:firstRowLastColumn="0" w:lastRowFirstColumn="0" w:lastRowLastColumn="0"/>
            </w:pPr>
            <w:r w:rsidRPr="00550561">
              <w:t>-</w:t>
            </w:r>
          </w:p>
        </w:tc>
        <w:tc>
          <w:tcPr>
            <w:tcW w:w="6378" w:type="dxa"/>
            <w:tcBorders>
              <w:top w:val="nil"/>
            </w:tcBorders>
          </w:tcPr>
          <w:p w14:paraId="7C3641A3" w14:textId="6395E75D" w:rsidR="009874C7" w:rsidRPr="00550561" w:rsidRDefault="009874C7" w:rsidP="00BF4138">
            <w:pPr>
              <w:pStyle w:val="ListParagraph"/>
              <w:numPr>
                <w:ilvl w:val="0"/>
                <w:numId w:val="8"/>
              </w:numPr>
              <w:tabs>
                <w:tab w:val="left" w:pos="225"/>
              </w:tabs>
              <w:ind w:left="175" w:hanging="175"/>
              <w:cnfStyle w:val="000000100000" w:firstRow="0" w:lastRow="0" w:firstColumn="0" w:lastColumn="0" w:oddVBand="0" w:evenVBand="0" w:oddHBand="1" w:evenHBand="0" w:firstRowFirstColumn="0" w:firstRowLastColumn="0" w:lastRowFirstColumn="0" w:lastRowLastColumn="0"/>
            </w:pPr>
            <w:r w:rsidRPr="00550561">
              <w:t>Accessing and referring to other services is often challenging</w:t>
            </w:r>
          </w:p>
        </w:tc>
      </w:tr>
      <w:tr w:rsidR="00662FCF" w:rsidRPr="00550561" w14:paraId="184617E8" w14:textId="77777777" w:rsidTr="00662FCF">
        <w:trPr>
          <w:trHeight w:val="499"/>
        </w:trPr>
        <w:tc>
          <w:tcPr>
            <w:cnfStyle w:val="001000000000" w:firstRow="0" w:lastRow="0" w:firstColumn="1" w:lastColumn="0" w:oddVBand="0" w:evenVBand="0" w:oddHBand="0" w:evenHBand="0" w:firstRowFirstColumn="0" w:firstRowLastColumn="0" w:lastRowFirstColumn="0" w:lastRowLastColumn="0"/>
            <w:tcW w:w="1419" w:type="dxa"/>
            <w:vMerge w:val="restart"/>
            <w:vAlign w:val="center"/>
          </w:tcPr>
          <w:p w14:paraId="4B075FC8" w14:textId="77777777" w:rsidR="00662FCF" w:rsidRPr="00550561" w:rsidRDefault="00662FCF" w:rsidP="00662FCF">
            <w:r w:rsidRPr="00550561">
              <w:t>Ethicality</w:t>
            </w:r>
          </w:p>
        </w:tc>
        <w:tc>
          <w:tcPr>
            <w:tcW w:w="6378" w:type="dxa"/>
            <w:tcBorders>
              <w:bottom w:val="nil"/>
            </w:tcBorders>
          </w:tcPr>
          <w:p w14:paraId="74F260E2" w14:textId="77777777" w:rsidR="00662FCF" w:rsidRPr="00550561" w:rsidRDefault="00662FCF" w:rsidP="003C455D">
            <w:pPr>
              <w:pStyle w:val="ListParagraph"/>
              <w:numPr>
                <w:ilvl w:val="0"/>
                <w:numId w:val="9"/>
              </w:numPr>
              <w:tabs>
                <w:tab w:val="left" w:pos="171"/>
                <w:tab w:val="left" w:pos="2269"/>
              </w:tabs>
              <w:ind w:left="171" w:hanging="171"/>
              <w:cnfStyle w:val="000000000000" w:firstRow="0" w:lastRow="0" w:firstColumn="0" w:lastColumn="0" w:oddVBand="0" w:evenVBand="0" w:oddHBand="0" w:evenHBand="0" w:firstRowFirstColumn="0" w:firstRowLastColumn="0" w:lastRowFirstColumn="0" w:lastRowLastColumn="0"/>
            </w:pPr>
            <w:r w:rsidRPr="00550561">
              <w:t>Purpose should be to improve patient safety and quality of life</w:t>
            </w:r>
          </w:p>
          <w:p w14:paraId="3DFEE840" w14:textId="0C9337F8" w:rsidR="00662FCF" w:rsidRPr="00550561" w:rsidRDefault="00662FCF" w:rsidP="003C455D">
            <w:pPr>
              <w:pStyle w:val="ListParagraph"/>
              <w:numPr>
                <w:ilvl w:val="0"/>
                <w:numId w:val="9"/>
              </w:numPr>
              <w:tabs>
                <w:tab w:val="left" w:pos="171"/>
                <w:tab w:val="left" w:pos="2269"/>
              </w:tabs>
              <w:ind w:left="171" w:hanging="171"/>
              <w:cnfStyle w:val="000000000000" w:firstRow="0" w:lastRow="0" w:firstColumn="0" w:lastColumn="0" w:oddVBand="0" w:evenVBand="0" w:oddHBand="0" w:evenHBand="0" w:firstRowFirstColumn="0" w:firstRowLastColumn="0" w:lastRowFirstColumn="0" w:lastRowLastColumn="0"/>
            </w:pPr>
            <w:r w:rsidRPr="00550561">
              <w:t>Opportunity to save money should not be a primary motive</w:t>
            </w:r>
          </w:p>
        </w:tc>
        <w:tc>
          <w:tcPr>
            <w:tcW w:w="6378" w:type="dxa"/>
            <w:tcBorders>
              <w:bottom w:val="nil"/>
            </w:tcBorders>
          </w:tcPr>
          <w:p w14:paraId="62209D79" w14:textId="250442B4" w:rsidR="00662FCF" w:rsidRPr="00550561" w:rsidRDefault="00662FCF" w:rsidP="00BF4138">
            <w:pPr>
              <w:pStyle w:val="ListParagraph"/>
              <w:numPr>
                <w:ilvl w:val="0"/>
                <w:numId w:val="9"/>
              </w:numPr>
              <w:tabs>
                <w:tab w:val="left" w:pos="225"/>
                <w:tab w:val="left" w:pos="2269"/>
              </w:tabs>
              <w:ind w:left="175" w:hanging="175"/>
              <w:cnfStyle w:val="000000000000" w:firstRow="0" w:lastRow="0" w:firstColumn="0" w:lastColumn="0" w:oddVBand="0" w:evenVBand="0" w:oddHBand="0" w:evenHBand="0" w:firstRowFirstColumn="0" w:firstRowLastColumn="0" w:lastRowFirstColumn="0" w:lastRowLastColumn="0"/>
            </w:pPr>
            <w:r w:rsidRPr="00550561">
              <w:t>PROMPPT’s motives are ethical</w:t>
            </w:r>
          </w:p>
        </w:tc>
      </w:tr>
      <w:tr w:rsidR="00662FCF" w:rsidRPr="00550561" w14:paraId="35FCFD48" w14:textId="77777777" w:rsidTr="00662FCF">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1419" w:type="dxa"/>
            <w:vMerge/>
          </w:tcPr>
          <w:p w14:paraId="2B39B70C" w14:textId="77777777" w:rsidR="00662FCF" w:rsidRPr="00550561" w:rsidRDefault="00662FCF" w:rsidP="009C2F91"/>
        </w:tc>
        <w:tc>
          <w:tcPr>
            <w:tcW w:w="6378" w:type="dxa"/>
            <w:tcBorders>
              <w:top w:val="nil"/>
              <w:bottom w:val="nil"/>
            </w:tcBorders>
          </w:tcPr>
          <w:p w14:paraId="60300C98" w14:textId="10014D18" w:rsidR="00662FCF" w:rsidRPr="00550561" w:rsidRDefault="00662FCF" w:rsidP="003C455D">
            <w:pPr>
              <w:pStyle w:val="ListParagraph"/>
              <w:numPr>
                <w:ilvl w:val="0"/>
                <w:numId w:val="9"/>
              </w:numPr>
              <w:tabs>
                <w:tab w:val="left" w:pos="171"/>
                <w:tab w:val="left" w:pos="2269"/>
              </w:tabs>
              <w:ind w:left="171" w:hanging="171"/>
              <w:cnfStyle w:val="000000100000" w:firstRow="0" w:lastRow="0" w:firstColumn="0" w:lastColumn="0" w:oddVBand="0" w:evenVBand="0" w:oddHBand="1" w:evenHBand="0" w:firstRowFirstColumn="0" w:firstRowLastColumn="0" w:lastRowFirstColumn="0" w:lastRowLastColumn="0"/>
            </w:pPr>
            <w:r w:rsidRPr="00550561">
              <w:t>Need for consistency in reviewing opioids</w:t>
            </w:r>
          </w:p>
        </w:tc>
        <w:tc>
          <w:tcPr>
            <w:tcW w:w="6378" w:type="dxa"/>
            <w:tcBorders>
              <w:top w:val="nil"/>
              <w:bottom w:val="nil"/>
            </w:tcBorders>
          </w:tcPr>
          <w:p w14:paraId="2E600DC5" w14:textId="25DCEFFD" w:rsidR="00662FCF" w:rsidRPr="00550561" w:rsidRDefault="00662FCF" w:rsidP="00BF4138">
            <w:pPr>
              <w:pStyle w:val="ListParagraph"/>
              <w:numPr>
                <w:ilvl w:val="0"/>
                <w:numId w:val="9"/>
              </w:numPr>
              <w:tabs>
                <w:tab w:val="left" w:pos="225"/>
                <w:tab w:val="left" w:pos="2269"/>
              </w:tabs>
              <w:ind w:left="175" w:hanging="175"/>
              <w:cnfStyle w:val="000000100000" w:firstRow="0" w:lastRow="0" w:firstColumn="0" w:lastColumn="0" w:oddVBand="0" w:evenVBand="0" w:oddHBand="1" w:evenHBand="0" w:firstRowFirstColumn="0" w:firstRowLastColumn="0" w:lastRowFirstColumn="0" w:lastRowLastColumn="0"/>
            </w:pPr>
            <w:r w:rsidRPr="00550561">
              <w:t>PROMPPT is important to allow consistency in reviewing persistent pain and opioid</w:t>
            </w:r>
            <w:r w:rsidR="00E44FE1" w:rsidRPr="00550561">
              <w:t>s</w:t>
            </w:r>
          </w:p>
        </w:tc>
      </w:tr>
      <w:tr w:rsidR="00662FCF" w:rsidRPr="00550561" w14:paraId="18CA8CC4" w14:textId="77777777" w:rsidTr="00662FCF">
        <w:trPr>
          <w:trHeight w:val="499"/>
        </w:trPr>
        <w:tc>
          <w:tcPr>
            <w:cnfStyle w:val="001000000000" w:firstRow="0" w:lastRow="0" w:firstColumn="1" w:lastColumn="0" w:oddVBand="0" w:evenVBand="0" w:oddHBand="0" w:evenHBand="0" w:firstRowFirstColumn="0" w:firstRowLastColumn="0" w:lastRowFirstColumn="0" w:lastRowLastColumn="0"/>
            <w:tcW w:w="1419" w:type="dxa"/>
            <w:vMerge/>
          </w:tcPr>
          <w:p w14:paraId="642FF6CD" w14:textId="77777777" w:rsidR="00662FCF" w:rsidRPr="00550561" w:rsidRDefault="00662FCF" w:rsidP="009C2F91"/>
        </w:tc>
        <w:tc>
          <w:tcPr>
            <w:tcW w:w="6378" w:type="dxa"/>
            <w:tcBorders>
              <w:top w:val="nil"/>
            </w:tcBorders>
          </w:tcPr>
          <w:p w14:paraId="1F1C0AFD" w14:textId="18CC6968" w:rsidR="00662FCF" w:rsidRPr="00550561" w:rsidRDefault="00662FCF" w:rsidP="003C455D">
            <w:pPr>
              <w:tabs>
                <w:tab w:val="left" w:pos="171"/>
                <w:tab w:val="left" w:pos="2269"/>
              </w:tabs>
              <w:ind w:left="171" w:hanging="171"/>
              <w:jc w:val="center"/>
              <w:cnfStyle w:val="000000000000" w:firstRow="0" w:lastRow="0" w:firstColumn="0" w:lastColumn="0" w:oddVBand="0" w:evenVBand="0" w:oddHBand="0" w:evenHBand="0" w:firstRowFirstColumn="0" w:firstRowLastColumn="0" w:lastRowFirstColumn="0" w:lastRowLastColumn="0"/>
            </w:pPr>
            <w:r w:rsidRPr="00550561">
              <w:t>-</w:t>
            </w:r>
          </w:p>
        </w:tc>
        <w:tc>
          <w:tcPr>
            <w:tcW w:w="6378" w:type="dxa"/>
            <w:tcBorders>
              <w:top w:val="nil"/>
            </w:tcBorders>
          </w:tcPr>
          <w:p w14:paraId="11DE50B3" w14:textId="31A1C5CB" w:rsidR="00662FCF" w:rsidRPr="00550561" w:rsidRDefault="00662FCF" w:rsidP="00BF4138">
            <w:pPr>
              <w:pStyle w:val="ListParagraph"/>
              <w:numPr>
                <w:ilvl w:val="0"/>
                <w:numId w:val="9"/>
              </w:numPr>
              <w:tabs>
                <w:tab w:val="left" w:pos="225"/>
                <w:tab w:val="left" w:pos="2269"/>
              </w:tabs>
              <w:ind w:left="175" w:hanging="175"/>
              <w:cnfStyle w:val="000000000000" w:firstRow="0" w:lastRow="0" w:firstColumn="0" w:lastColumn="0" w:oddVBand="0" w:evenVBand="0" w:oddHBand="0" w:evenHBand="0" w:firstRowFirstColumn="0" w:firstRowLastColumn="0" w:lastRowFirstColumn="0" w:lastRowLastColumn="0"/>
            </w:pPr>
            <w:r w:rsidRPr="00550561">
              <w:t xml:space="preserve">Important for </w:t>
            </w:r>
            <w:r w:rsidR="0016048B" w:rsidRPr="00550561">
              <w:t>patient</w:t>
            </w:r>
            <w:r w:rsidRPr="00550561">
              <w:t xml:space="preserve"> to feel supported  </w:t>
            </w:r>
          </w:p>
        </w:tc>
      </w:tr>
      <w:tr w:rsidR="00C00308" w:rsidRPr="00550561" w14:paraId="65624BA4" w14:textId="77777777" w:rsidTr="00FC1BBE">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419" w:type="dxa"/>
            <w:vMerge w:val="restart"/>
            <w:vAlign w:val="center"/>
          </w:tcPr>
          <w:p w14:paraId="540FD6CD" w14:textId="77777777" w:rsidR="00C00308" w:rsidRPr="00550561" w:rsidRDefault="00C00308" w:rsidP="00C00308">
            <w:r w:rsidRPr="00550561">
              <w:t>Intervention Coherence</w:t>
            </w:r>
          </w:p>
        </w:tc>
        <w:tc>
          <w:tcPr>
            <w:tcW w:w="6378" w:type="dxa"/>
            <w:tcBorders>
              <w:bottom w:val="nil"/>
            </w:tcBorders>
          </w:tcPr>
          <w:p w14:paraId="3C85F5BD" w14:textId="7E920584" w:rsidR="00C00308" w:rsidRPr="00550561" w:rsidRDefault="00C00308" w:rsidP="003C455D">
            <w:pPr>
              <w:pStyle w:val="ListParagraph"/>
              <w:numPr>
                <w:ilvl w:val="0"/>
                <w:numId w:val="9"/>
              </w:numPr>
              <w:tabs>
                <w:tab w:val="left" w:pos="171"/>
              </w:tabs>
              <w:ind w:left="171" w:hanging="171"/>
              <w:cnfStyle w:val="000000100000" w:firstRow="0" w:lastRow="0" w:firstColumn="0" w:lastColumn="0" w:oddVBand="0" w:evenVBand="0" w:oddHBand="1" w:evenHBand="0" w:firstRowFirstColumn="0" w:firstRowLastColumn="0" w:lastRowFirstColumn="0" w:lastRowLastColumn="0"/>
            </w:pPr>
            <w:r w:rsidRPr="00550561">
              <w:t>PROMPPT aims to improve patient safety and quality of life</w:t>
            </w:r>
          </w:p>
        </w:tc>
        <w:tc>
          <w:tcPr>
            <w:tcW w:w="6378" w:type="dxa"/>
            <w:tcBorders>
              <w:bottom w:val="nil"/>
            </w:tcBorders>
          </w:tcPr>
          <w:p w14:paraId="252DB415" w14:textId="3525F465" w:rsidR="00C00308" w:rsidRPr="00550561" w:rsidRDefault="00C00308" w:rsidP="00BF4138">
            <w:pPr>
              <w:pStyle w:val="ListParagraph"/>
              <w:numPr>
                <w:ilvl w:val="0"/>
                <w:numId w:val="9"/>
              </w:numPr>
              <w:tabs>
                <w:tab w:val="left" w:pos="225"/>
              </w:tabs>
              <w:ind w:left="175" w:hanging="175"/>
              <w:cnfStyle w:val="000000100000" w:firstRow="0" w:lastRow="0" w:firstColumn="0" w:lastColumn="0" w:oddVBand="0" w:evenVBand="0" w:oddHBand="1" w:evenHBand="0" w:firstRowFirstColumn="0" w:firstRowLastColumn="0" w:lastRowFirstColumn="0" w:lastRowLastColumn="0"/>
            </w:pPr>
            <w:r w:rsidRPr="00550561">
              <w:t>Pharmacists understood the aims of PROMPPT</w:t>
            </w:r>
          </w:p>
        </w:tc>
      </w:tr>
      <w:tr w:rsidR="00C00308" w:rsidRPr="00550561" w14:paraId="34721CB5" w14:textId="77777777" w:rsidTr="006F0B8C">
        <w:trPr>
          <w:trHeight w:val="473"/>
        </w:trPr>
        <w:tc>
          <w:tcPr>
            <w:cnfStyle w:val="001000000000" w:firstRow="0" w:lastRow="0" w:firstColumn="1" w:lastColumn="0" w:oddVBand="0" w:evenVBand="0" w:oddHBand="0" w:evenHBand="0" w:firstRowFirstColumn="0" w:firstRowLastColumn="0" w:lastRowFirstColumn="0" w:lastRowLastColumn="0"/>
            <w:tcW w:w="1419" w:type="dxa"/>
            <w:vMerge/>
          </w:tcPr>
          <w:p w14:paraId="3DC5416D" w14:textId="77777777" w:rsidR="00C00308" w:rsidRPr="00550561" w:rsidRDefault="00C00308" w:rsidP="009C2F91"/>
        </w:tc>
        <w:tc>
          <w:tcPr>
            <w:tcW w:w="6378" w:type="dxa"/>
            <w:tcBorders>
              <w:top w:val="nil"/>
              <w:bottom w:val="nil"/>
            </w:tcBorders>
          </w:tcPr>
          <w:p w14:paraId="536BD61A" w14:textId="3E55907B" w:rsidR="00C00308" w:rsidRPr="00550561" w:rsidRDefault="00C00308" w:rsidP="003C455D">
            <w:pPr>
              <w:pStyle w:val="ListParagraph"/>
              <w:numPr>
                <w:ilvl w:val="0"/>
                <w:numId w:val="9"/>
              </w:numPr>
              <w:tabs>
                <w:tab w:val="left" w:pos="171"/>
              </w:tabs>
              <w:ind w:left="171" w:hanging="171"/>
              <w:cnfStyle w:val="000000000000" w:firstRow="0" w:lastRow="0" w:firstColumn="0" w:lastColumn="0" w:oddVBand="0" w:evenVBand="0" w:oddHBand="0" w:evenHBand="0" w:firstRowFirstColumn="0" w:firstRowLastColumn="0" w:lastRowFirstColumn="0" w:lastRowLastColumn="0"/>
            </w:pPr>
            <w:r w:rsidRPr="00550561">
              <w:t>PROMPPT is about working in partnership with the patient and empowering them to manage their pain</w:t>
            </w:r>
          </w:p>
        </w:tc>
        <w:tc>
          <w:tcPr>
            <w:tcW w:w="6378" w:type="dxa"/>
            <w:tcBorders>
              <w:top w:val="nil"/>
              <w:bottom w:val="nil"/>
            </w:tcBorders>
          </w:tcPr>
          <w:p w14:paraId="5650EBF5" w14:textId="77777777" w:rsidR="00C00308" w:rsidRPr="00550561" w:rsidRDefault="00C00308" w:rsidP="00BF4138">
            <w:pPr>
              <w:pStyle w:val="ListParagraph"/>
              <w:numPr>
                <w:ilvl w:val="0"/>
                <w:numId w:val="9"/>
              </w:numPr>
              <w:tabs>
                <w:tab w:val="left" w:pos="175"/>
                <w:tab w:val="left" w:pos="225"/>
              </w:tabs>
              <w:ind w:left="175" w:hanging="175"/>
              <w:cnfStyle w:val="000000000000" w:firstRow="0" w:lastRow="0" w:firstColumn="0" w:lastColumn="0" w:oddVBand="0" w:evenVBand="0" w:oddHBand="0" w:evenHBand="0" w:firstRowFirstColumn="0" w:firstRowLastColumn="0" w:lastRowFirstColumn="0" w:lastRowLastColumn="0"/>
            </w:pPr>
            <w:r w:rsidRPr="00550561">
              <w:t>PROMPPT is about working in partnership with patients</w:t>
            </w:r>
          </w:p>
          <w:p w14:paraId="6B0185AD" w14:textId="678A8C3D" w:rsidR="00C00308" w:rsidRPr="00550561" w:rsidRDefault="00C00308" w:rsidP="00BF4138">
            <w:pPr>
              <w:pStyle w:val="ListParagraph"/>
              <w:numPr>
                <w:ilvl w:val="0"/>
                <w:numId w:val="9"/>
              </w:numPr>
              <w:tabs>
                <w:tab w:val="left" w:pos="225"/>
              </w:tabs>
              <w:ind w:left="175" w:hanging="175"/>
              <w:cnfStyle w:val="000000000000" w:firstRow="0" w:lastRow="0" w:firstColumn="0" w:lastColumn="0" w:oddVBand="0" w:evenVBand="0" w:oddHBand="0" w:evenHBand="0" w:firstRowFirstColumn="0" w:firstRowLastColumn="0" w:lastRowFirstColumn="0" w:lastRowLastColumn="0"/>
            </w:pPr>
            <w:r w:rsidRPr="00550561">
              <w:t xml:space="preserve">PROMPPT is important to support patients and ensure they feel valued and their pain story validated </w:t>
            </w:r>
          </w:p>
        </w:tc>
      </w:tr>
      <w:tr w:rsidR="00C00308" w:rsidRPr="00550561" w14:paraId="07385866" w14:textId="77777777" w:rsidTr="006F0B8C">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419" w:type="dxa"/>
            <w:vMerge/>
          </w:tcPr>
          <w:p w14:paraId="3227F76B" w14:textId="77777777" w:rsidR="00C00308" w:rsidRPr="00550561" w:rsidRDefault="00C00308" w:rsidP="009C2F91"/>
        </w:tc>
        <w:tc>
          <w:tcPr>
            <w:tcW w:w="6378" w:type="dxa"/>
            <w:tcBorders>
              <w:top w:val="nil"/>
              <w:bottom w:val="nil"/>
            </w:tcBorders>
          </w:tcPr>
          <w:p w14:paraId="424B971E" w14:textId="2DD39706" w:rsidR="00C00308" w:rsidRPr="00550561" w:rsidRDefault="00C00308" w:rsidP="003C455D">
            <w:pPr>
              <w:pStyle w:val="ListParagraph"/>
              <w:numPr>
                <w:ilvl w:val="0"/>
                <w:numId w:val="9"/>
              </w:numPr>
              <w:tabs>
                <w:tab w:val="left" w:pos="171"/>
              </w:tabs>
              <w:ind w:left="171" w:hanging="171"/>
              <w:cnfStyle w:val="000000100000" w:firstRow="0" w:lastRow="0" w:firstColumn="0" w:lastColumn="0" w:oddVBand="0" w:evenVBand="0" w:oddHBand="1" w:evenHBand="0" w:firstRowFirstColumn="0" w:firstRowLastColumn="0" w:lastRowFirstColumn="0" w:lastRowLastColumn="0"/>
            </w:pPr>
            <w:r w:rsidRPr="00550561">
              <w:t>PROMPPT is a holistic and personalised review for the patient</w:t>
            </w:r>
          </w:p>
        </w:tc>
        <w:tc>
          <w:tcPr>
            <w:tcW w:w="6378" w:type="dxa"/>
            <w:tcBorders>
              <w:top w:val="nil"/>
              <w:bottom w:val="nil"/>
            </w:tcBorders>
          </w:tcPr>
          <w:p w14:paraId="68F12C2B" w14:textId="35920738" w:rsidR="00C00308" w:rsidRPr="00550561" w:rsidRDefault="00C00308" w:rsidP="00BF4138">
            <w:pPr>
              <w:pStyle w:val="ListParagraph"/>
              <w:numPr>
                <w:ilvl w:val="0"/>
                <w:numId w:val="9"/>
              </w:numPr>
              <w:tabs>
                <w:tab w:val="left" w:pos="225"/>
              </w:tabs>
              <w:ind w:left="175" w:hanging="175"/>
              <w:cnfStyle w:val="000000100000" w:firstRow="0" w:lastRow="0" w:firstColumn="0" w:lastColumn="0" w:oddVBand="0" w:evenVBand="0" w:oddHBand="1" w:evenHBand="0" w:firstRowFirstColumn="0" w:firstRowLastColumn="0" w:lastRowFirstColumn="0" w:lastRowLastColumn="0"/>
            </w:pPr>
            <w:r w:rsidRPr="00550561">
              <w:t>Importance of a holistic review for persistent pain</w:t>
            </w:r>
          </w:p>
        </w:tc>
      </w:tr>
      <w:tr w:rsidR="00C00308" w:rsidRPr="00550561" w14:paraId="30BEA41A" w14:textId="77777777" w:rsidTr="006F0B8C">
        <w:trPr>
          <w:trHeight w:val="473"/>
        </w:trPr>
        <w:tc>
          <w:tcPr>
            <w:cnfStyle w:val="001000000000" w:firstRow="0" w:lastRow="0" w:firstColumn="1" w:lastColumn="0" w:oddVBand="0" w:evenVBand="0" w:oddHBand="0" w:evenHBand="0" w:firstRowFirstColumn="0" w:firstRowLastColumn="0" w:lastRowFirstColumn="0" w:lastRowLastColumn="0"/>
            <w:tcW w:w="1419" w:type="dxa"/>
            <w:vMerge/>
          </w:tcPr>
          <w:p w14:paraId="252E9233" w14:textId="77777777" w:rsidR="00C00308" w:rsidRPr="00550561" w:rsidRDefault="00C00308" w:rsidP="009C2F91"/>
        </w:tc>
        <w:tc>
          <w:tcPr>
            <w:tcW w:w="6378" w:type="dxa"/>
            <w:tcBorders>
              <w:top w:val="nil"/>
              <w:bottom w:val="nil"/>
            </w:tcBorders>
          </w:tcPr>
          <w:p w14:paraId="06AB8765" w14:textId="213DA20F" w:rsidR="00C00308" w:rsidRPr="00550561" w:rsidRDefault="00C00308" w:rsidP="003C455D">
            <w:pPr>
              <w:pStyle w:val="ListParagraph"/>
              <w:numPr>
                <w:ilvl w:val="0"/>
                <w:numId w:val="9"/>
              </w:numPr>
              <w:tabs>
                <w:tab w:val="left" w:pos="171"/>
              </w:tabs>
              <w:ind w:left="171" w:hanging="171"/>
              <w:cnfStyle w:val="000000000000" w:firstRow="0" w:lastRow="0" w:firstColumn="0" w:lastColumn="0" w:oddVBand="0" w:evenVBand="0" w:oddHBand="0" w:evenHBand="0" w:firstRowFirstColumn="0" w:firstRowLastColumn="0" w:lastRowFirstColumn="0" w:lastRowLastColumn="0"/>
            </w:pPr>
            <w:r w:rsidRPr="00550561">
              <w:t>Understand the</w:t>
            </w:r>
            <w:r w:rsidR="00BA3512" w:rsidRPr="00550561">
              <w:t xml:space="preserve"> proposed</w:t>
            </w:r>
            <w:r w:rsidRPr="00550561">
              <w:t xml:space="preserve"> review components</w:t>
            </w:r>
          </w:p>
        </w:tc>
        <w:tc>
          <w:tcPr>
            <w:tcW w:w="6378" w:type="dxa"/>
            <w:tcBorders>
              <w:top w:val="nil"/>
              <w:bottom w:val="nil"/>
            </w:tcBorders>
          </w:tcPr>
          <w:p w14:paraId="3CE0219D" w14:textId="359E8B77" w:rsidR="00C00308" w:rsidRPr="00550561" w:rsidRDefault="00C00308" w:rsidP="00BF4138">
            <w:pPr>
              <w:pStyle w:val="ListParagraph"/>
              <w:numPr>
                <w:ilvl w:val="0"/>
                <w:numId w:val="9"/>
              </w:numPr>
              <w:tabs>
                <w:tab w:val="left" w:pos="225"/>
              </w:tabs>
              <w:ind w:left="175" w:hanging="175"/>
              <w:cnfStyle w:val="000000000000" w:firstRow="0" w:lastRow="0" w:firstColumn="0" w:lastColumn="0" w:oddVBand="0" w:evenVBand="0" w:oddHBand="0" w:evenHBand="0" w:firstRowFirstColumn="0" w:firstRowLastColumn="0" w:lastRowFirstColumn="0" w:lastRowLastColumn="0"/>
            </w:pPr>
            <w:r w:rsidRPr="00550561">
              <w:t>Understanding inclusion of</w:t>
            </w:r>
            <w:r w:rsidR="0073561F" w:rsidRPr="00550561">
              <w:t xml:space="preserve"> prototype</w:t>
            </w:r>
            <w:r w:rsidRPr="00550561">
              <w:t xml:space="preserve"> PROMPPT review components </w:t>
            </w:r>
          </w:p>
          <w:p w14:paraId="7D75F180" w14:textId="27303C55" w:rsidR="00C00308" w:rsidRPr="00550561" w:rsidRDefault="00C00308" w:rsidP="00BF4138">
            <w:pPr>
              <w:pStyle w:val="ListParagraph"/>
              <w:numPr>
                <w:ilvl w:val="0"/>
                <w:numId w:val="9"/>
              </w:numPr>
              <w:tabs>
                <w:tab w:val="left" w:pos="225"/>
              </w:tabs>
              <w:ind w:left="175" w:hanging="175"/>
              <w:cnfStyle w:val="000000000000" w:firstRow="0" w:lastRow="0" w:firstColumn="0" w:lastColumn="0" w:oddVBand="0" w:evenVBand="0" w:oddHBand="0" w:evenHBand="0" w:firstRowFirstColumn="0" w:firstRowLastColumn="0" w:lastRowFirstColumn="0" w:lastRowLastColumn="0"/>
            </w:pPr>
            <w:r w:rsidRPr="00550561">
              <w:t>Acknowledgement that not all review components are relevant for all patients</w:t>
            </w:r>
          </w:p>
        </w:tc>
      </w:tr>
      <w:tr w:rsidR="00C00308" w:rsidRPr="00550561" w14:paraId="2DF988C7" w14:textId="77777777" w:rsidTr="006F0B8C">
        <w:trPr>
          <w:cnfStyle w:val="000000100000" w:firstRow="0" w:lastRow="0" w:firstColumn="0" w:lastColumn="0" w:oddVBand="0" w:evenVBand="0" w:oddHBand="1"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1419" w:type="dxa"/>
            <w:vMerge/>
          </w:tcPr>
          <w:p w14:paraId="15DDF2D1" w14:textId="77777777" w:rsidR="00C00308" w:rsidRPr="00550561" w:rsidRDefault="00C00308" w:rsidP="009C2F91"/>
        </w:tc>
        <w:tc>
          <w:tcPr>
            <w:tcW w:w="6378" w:type="dxa"/>
            <w:tcBorders>
              <w:top w:val="nil"/>
              <w:bottom w:val="nil"/>
            </w:tcBorders>
          </w:tcPr>
          <w:p w14:paraId="7EB8EBF4" w14:textId="5CCB79A0" w:rsidR="00C00308" w:rsidRPr="00550561" w:rsidRDefault="00C00308" w:rsidP="003C455D">
            <w:pPr>
              <w:pStyle w:val="ListParagraph"/>
              <w:numPr>
                <w:ilvl w:val="0"/>
                <w:numId w:val="9"/>
              </w:numPr>
              <w:tabs>
                <w:tab w:val="left" w:pos="171"/>
              </w:tabs>
              <w:ind w:left="171" w:hanging="171"/>
              <w:cnfStyle w:val="000000100000" w:firstRow="0" w:lastRow="0" w:firstColumn="0" w:lastColumn="0" w:oddVBand="0" w:evenVBand="0" w:oddHBand="1" w:evenHBand="0" w:firstRowFirstColumn="0" w:firstRowLastColumn="0" w:lastRowFirstColumn="0" w:lastRowLastColumn="0"/>
            </w:pPr>
            <w:r w:rsidRPr="00550561">
              <w:t xml:space="preserve">PROMPPT will have additional outcomes, other than reducing opioids, for </w:t>
            </w:r>
            <w:r w:rsidR="008B65A0" w:rsidRPr="00550561">
              <w:t>patients</w:t>
            </w:r>
            <w:r w:rsidRPr="00550561">
              <w:t>, pharmacists and the wider GP practice</w:t>
            </w:r>
          </w:p>
        </w:tc>
        <w:tc>
          <w:tcPr>
            <w:tcW w:w="6378" w:type="dxa"/>
            <w:tcBorders>
              <w:top w:val="nil"/>
              <w:bottom w:val="nil"/>
            </w:tcBorders>
          </w:tcPr>
          <w:p w14:paraId="7F26BB9D" w14:textId="77777777" w:rsidR="00C00308" w:rsidRPr="00550561" w:rsidRDefault="00C00308" w:rsidP="00BF4138">
            <w:pPr>
              <w:pStyle w:val="ListParagraph"/>
              <w:numPr>
                <w:ilvl w:val="0"/>
                <w:numId w:val="9"/>
              </w:numPr>
              <w:tabs>
                <w:tab w:val="left" w:pos="225"/>
              </w:tabs>
              <w:ind w:left="175" w:hanging="175"/>
              <w:cnfStyle w:val="000000100000" w:firstRow="0" w:lastRow="0" w:firstColumn="0" w:lastColumn="0" w:oddVBand="0" w:evenVBand="0" w:oddHBand="1" w:evenHBand="0" w:firstRowFirstColumn="0" w:firstRowLastColumn="0" w:lastRowFirstColumn="0" w:lastRowLastColumn="0"/>
            </w:pPr>
            <w:r w:rsidRPr="00550561">
              <w:t>Acknowledgement for the additional cost-saving benefit of PROMPPT</w:t>
            </w:r>
          </w:p>
          <w:p w14:paraId="1740DA0B" w14:textId="052C0147" w:rsidR="00C00308" w:rsidRPr="00550561" w:rsidRDefault="00C00308" w:rsidP="00BF4138">
            <w:pPr>
              <w:pStyle w:val="ListParagraph"/>
              <w:numPr>
                <w:ilvl w:val="0"/>
                <w:numId w:val="9"/>
              </w:numPr>
              <w:tabs>
                <w:tab w:val="left" w:pos="225"/>
              </w:tabs>
              <w:ind w:left="175" w:hanging="175"/>
              <w:cnfStyle w:val="000000100000" w:firstRow="0" w:lastRow="0" w:firstColumn="0" w:lastColumn="0" w:oddVBand="0" w:evenVBand="0" w:oddHBand="1" w:evenHBand="0" w:firstRowFirstColumn="0" w:firstRowLastColumn="0" w:lastRowFirstColumn="0" w:lastRowLastColumn="0"/>
            </w:pPr>
            <w:r w:rsidRPr="00550561">
              <w:t>PROMPPT provides job satisfaction, confidence in their abilities and builds their reputation within the GP practice</w:t>
            </w:r>
          </w:p>
        </w:tc>
      </w:tr>
      <w:tr w:rsidR="00C00308" w:rsidRPr="00550561" w14:paraId="7E94256A" w14:textId="77777777" w:rsidTr="006F0B8C">
        <w:trPr>
          <w:trHeight w:val="473"/>
        </w:trPr>
        <w:tc>
          <w:tcPr>
            <w:cnfStyle w:val="001000000000" w:firstRow="0" w:lastRow="0" w:firstColumn="1" w:lastColumn="0" w:oddVBand="0" w:evenVBand="0" w:oddHBand="0" w:evenHBand="0" w:firstRowFirstColumn="0" w:firstRowLastColumn="0" w:lastRowFirstColumn="0" w:lastRowLastColumn="0"/>
            <w:tcW w:w="1419" w:type="dxa"/>
            <w:vMerge/>
          </w:tcPr>
          <w:p w14:paraId="359AC44C" w14:textId="77777777" w:rsidR="00C00308" w:rsidRPr="00550561" w:rsidRDefault="00C00308" w:rsidP="009C2F91"/>
        </w:tc>
        <w:tc>
          <w:tcPr>
            <w:tcW w:w="6378" w:type="dxa"/>
            <w:tcBorders>
              <w:top w:val="nil"/>
              <w:bottom w:val="nil"/>
            </w:tcBorders>
          </w:tcPr>
          <w:p w14:paraId="0D6972A7" w14:textId="71CD1417" w:rsidR="00C00308" w:rsidRPr="00550561" w:rsidRDefault="00C00308" w:rsidP="003C455D">
            <w:pPr>
              <w:tabs>
                <w:tab w:val="left" w:pos="171"/>
              </w:tabs>
              <w:ind w:left="171" w:hanging="171"/>
              <w:jc w:val="center"/>
              <w:cnfStyle w:val="000000000000" w:firstRow="0" w:lastRow="0" w:firstColumn="0" w:lastColumn="0" w:oddVBand="0" w:evenVBand="0" w:oddHBand="0" w:evenHBand="0" w:firstRowFirstColumn="0" w:firstRowLastColumn="0" w:lastRowFirstColumn="0" w:lastRowLastColumn="0"/>
            </w:pPr>
            <w:r w:rsidRPr="00550561">
              <w:t>-</w:t>
            </w:r>
          </w:p>
        </w:tc>
        <w:tc>
          <w:tcPr>
            <w:tcW w:w="6378" w:type="dxa"/>
            <w:tcBorders>
              <w:top w:val="nil"/>
              <w:bottom w:val="nil"/>
            </w:tcBorders>
          </w:tcPr>
          <w:p w14:paraId="21601862" w14:textId="625C893A" w:rsidR="00C00308" w:rsidRPr="00550561" w:rsidRDefault="00C00308" w:rsidP="00BF4138">
            <w:pPr>
              <w:pStyle w:val="ListParagraph"/>
              <w:numPr>
                <w:ilvl w:val="0"/>
                <w:numId w:val="9"/>
              </w:numPr>
              <w:tabs>
                <w:tab w:val="left" w:pos="225"/>
              </w:tabs>
              <w:ind w:left="175" w:hanging="175"/>
              <w:cnfStyle w:val="000000000000" w:firstRow="0" w:lastRow="0" w:firstColumn="0" w:lastColumn="0" w:oddVBand="0" w:evenVBand="0" w:oddHBand="0" w:evenHBand="0" w:firstRowFirstColumn="0" w:firstRowLastColumn="0" w:lastRowFirstColumn="0" w:lastRowLastColumn="0"/>
            </w:pPr>
            <w:r w:rsidRPr="00550561">
              <w:t>Follow-up reviews are important for both supporting the patients and providing feedback to pharmacists</w:t>
            </w:r>
          </w:p>
        </w:tc>
      </w:tr>
      <w:tr w:rsidR="00C00308" w:rsidRPr="00550561" w14:paraId="1BE23701" w14:textId="77777777" w:rsidTr="006F0B8C">
        <w:trPr>
          <w:cnfStyle w:val="000000100000" w:firstRow="0" w:lastRow="0" w:firstColumn="0" w:lastColumn="0" w:oddVBand="0" w:evenVBand="0" w:oddHBand="1"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1419" w:type="dxa"/>
            <w:vMerge/>
          </w:tcPr>
          <w:p w14:paraId="26C2CE39" w14:textId="77777777" w:rsidR="00C00308" w:rsidRPr="00550561" w:rsidRDefault="00C00308" w:rsidP="009C2F91"/>
        </w:tc>
        <w:tc>
          <w:tcPr>
            <w:tcW w:w="6378" w:type="dxa"/>
            <w:tcBorders>
              <w:top w:val="nil"/>
            </w:tcBorders>
          </w:tcPr>
          <w:p w14:paraId="1A6E1DA0" w14:textId="7B633D9C" w:rsidR="00C00308" w:rsidRPr="00550561" w:rsidRDefault="00C00308" w:rsidP="003C455D">
            <w:pPr>
              <w:tabs>
                <w:tab w:val="left" w:pos="171"/>
              </w:tabs>
              <w:ind w:left="171" w:hanging="171"/>
              <w:jc w:val="center"/>
              <w:cnfStyle w:val="000000100000" w:firstRow="0" w:lastRow="0" w:firstColumn="0" w:lastColumn="0" w:oddVBand="0" w:evenVBand="0" w:oddHBand="1" w:evenHBand="0" w:firstRowFirstColumn="0" w:firstRowLastColumn="0" w:lastRowFirstColumn="0" w:lastRowLastColumn="0"/>
            </w:pPr>
            <w:r w:rsidRPr="00550561">
              <w:t>-</w:t>
            </w:r>
          </w:p>
        </w:tc>
        <w:tc>
          <w:tcPr>
            <w:tcW w:w="6378" w:type="dxa"/>
            <w:tcBorders>
              <w:top w:val="nil"/>
            </w:tcBorders>
          </w:tcPr>
          <w:p w14:paraId="0D735074" w14:textId="3FFC7E52" w:rsidR="00C00308" w:rsidRPr="00550561" w:rsidRDefault="00C00308" w:rsidP="00BF4138">
            <w:pPr>
              <w:pStyle w:val="ListParagraph"/>
              <w:numPr>
                <w:ilvl w:val="0"/>
                <w:numId w:val="9"/>
              </w:numPr>
              <w:tabs>
                <w:tab w:val="left" w:pos="225"/>
              </w:tabs>
              <w:ind w:left="175" w:hanging="175"/>
              <w:cnfStyle w:val="000000100000" w:firstRow="0" w:lastRow="0" w:firstColumn="0" w:lastColumn="0" w:oddVBand="0" w:evenVBand="0" w:oddHBand="1" w:evenHBand="0" w:firstRowFirstColumn="0" w:firstRowLastColumn="0" w:lastRowFirstColumn="0" w:lastRowLastColumn="0"/>
            </w:pPr>
            <w:r w:rsidRPr="00550561">
              <w:t>Understanding that PROMPPT is not a one-off consultation but a longer-term process with continued support for patients</w:t>
            </w:r>
          </w:p>
        </w:tc>
      </w:tr>
      <w:tr w:rsidR="00D821F5" w:rsidRPr="00550561" w14:paraId="2AE14454" w14:textId="77777777" w:rsidTr="009F303D">
        <w:trPr>
          <w:trHeight w:val="499"/>
        </w:trPr>
        <w:tc>
          <w:tcPr>
            <w:cnfStyle w:val="001000000000" w:firstRow="0" w:lastRow="0" w:firstColumn="1" w:lastColumn="0" w:oddVBand="0" w:evenVBand="0" w:oddHBand="0" w:evenHBand="0" w:firstRowFirstColumn="0" w:firstRowLastColumn="0" w:lastRowFirstColumn="0" w:lastRowLastColumn="0"/>
            <w:tcW w:w="1419" w:type="dxa"/>
          </w:tcPr>
          <w:p w14:paraId="06FCAD65" w14:textId="77777777" w:rsidR="00D821F5" w:rsidRPr="00550561" w:rsidRDefault="00D821F5" w:rsidP="009C2F91">
            <w:r w:rsidRPr="00550561">
              <w:t>Opportunity Costs</w:t>
            </w:r>
          </w:p>
        </w:tc>
        <w:tc>
          <w:tcPr>
            <w:tcW w:w="6378" w:type="dxa"/>
          </w:tcPr>
          <w:p w14:paraId="2694B4DD" w14:textId="77777777" w:rsidR="00D821F5" w:rsidRPr="00550561" w:rsidRDefault="00D821F5" w:rsidP="003C455D">
            <w:pPr>
              <w:tabs>
                <w:tab w:val="left" w:pos="171"/>
              </w:tabs>
              <w:ind w:left="171" w:hanging="171"/>
              <w:jc w:val="center"/>
              <w:cnfStyle w:val="000000000000" w:firstRow="0" w:lastRow="0" w:firstColumn="0" w:lastColumn="0" w:oddVBand="0" w:evenVBand="0" w:oddHBand="0" w:evenHBand="0" w:firstRowFirstColumn="0" w:firstRowLastColumn="0" w:lastRowFirstColumn="0" w:lastRowLastColumn="0"/>
            </w:pPr>
            <w:r w:rsidRPr="00550561">
              <w:t>-</w:t>
            </w:r>
          </w:p>
        </w:tc>
        <w:tc>
          <w:tcPr>
            <w:tcW w:w="6378" w:type="dxa"/>
          </w:tcPr>
          <w:p w14:paraId="31EB4C77" w14:textId="77777777" w:rsidR="00D821F5" w:rsidRPr="00550561" w:rsidRDefault="00D821F5" w:rsidP="00BF4138">
            <w:pPr>
              <w:pStyle w:val="ListParagraph"/>
              <w:numPr>
                <w:ilvl w:val="0"/>
                <w:numId w:val="16"/>
              </w:numPr>
              <w:tabs>
                <w:tab w:val="left" w:pos="225"/>
              </w:tabs>
              <w:ind w:left="175" w:hanging="175"/>
              <w:cnfStyle w:val="000000000000" w:firstRow="0" w:lastRow="0" w:firstColumn="0" w:lastColumn="0" w:oddVBand="0" w:evenVBand="0" w:oddHBand="0" w:evenHBand="0" w:firstRowFirstColumn="0" w:firstRowLastColumn="0" w:lastRowFirstColumn="0" w:lastRowLastColumn="0"/>
            </w:pPr>
            <w:r w:rsidRPr="00550561">
              <w:t xml:space="preserve">PROMPPT needs to fit with the patient’s priorities to enable engagement </w:t>
            </w:r>
          </w:p>
        </w:tc>
      </w:tr>
      <w:tr w:rsidR="000729B0" w:rsidRPr="00550561" w14:paraId="29526725" w14:textId="77777777" w:rsidTr="00506B3D">
        <w:trPr>
          <w:cnfStyle w:val="000000100000" w:firstRow="0" w:lastRow="0" w:firstColumn="0" w:lastColumn="0" w:oddVBand="0" w:evenVBand="0" w:oddHBand="1"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1419" w:type="dxa"/>
            <w:vMerge w:val="restart"/>
            <w:vAlign w:val="center"/>
          </w:tcPr>
          <w:p w14:paraId="1F070EDA" w14:textId="77777777" w:rsidR="000729B0" w:rsidRPr="00550561" w:rsidRDefault="000729B0" w:rsidP="000729B0">
            <w:r w:rsidRPr="00550561">
              <w:t>Perceived effectiveness</w:t>
            </w:r>
          </w:p>
        </w:tc>
        <w:tc>
          <w:tcPr>
            <w:tcW w:w="6378" w:type="dxa"/>
            <w:tcBorders>
              <w:bottom w:val="nil"/>
            </w:tcBorders>
          </w:tcPr>
          <w:p w14:paraId="12F09023" w14:textId="4BB269CC" w:rsidR="000729B0" w:rsidRPr="00550561" w:rsidRDefault="000729B0" w:rsidP="003C455D">
            <w:pPr>
              <w:pStyle w:val="ListParagraph"/>
              <w:numPr>
                <w:ilvl w:val="0"/>
                <w:numId w:val="12"/>
              </w:numPr>
              <w:tabs>
                <w:tab w:val="left" w:pos="171"/>
              </w:tabs>
              <w:ind w:left="171" w:hanging="171"/>
              <w:cnfStyle w:val="000000100000" w:firstRow="0" w:lastRow="0" w:firstColumn="0" w:lastColumn="0" w:oddVBand="0" w:evenVBand="0" w:oddHBand="1" w:evenHBand="0" w:firstRowFirstColumn="0" w:firstRowLastColumn="0" w:lastRowFirstColumn="0" w:lastRowLastColumn="0"/>
            </w:pPr>
            <w:r w:rsidRPr="00550561">
              <w:t>Optimistic that</w:t>
            </w:r>
            <w:r w:rsidR="00BA3512" w:rsidRPr="00550561">
              <w:t xml:space="preserve"> </w:t>
            </w:r>
            <w:r w:rsidRPr="00550561">
              <w:t>PROMPPT</w:t>
            </w:r>
            <w:r w:rsidR="00BA3512" w:rsidRPr="00550561">
              <w:t xml:space="preserve"> review</w:t>
            </w:r>
            <w:r w:rsidRPr="00550561">
              <w:t xml:space="preserve"> will successfully taper down opioids</w:t>
            </w:r>
          </w:p>
        </w:tc>
        <w:tc>
          <w:tcPr>
            <w:tcW w:w="6378" w:type="dxa"/>
            <w:tcBorders>
              <w:bottom w:val="nil"/>
            </w:tcBorders>
          </w:tcPr>
          <w:p w14:paraId="31D65752" w14:textId="77777777" w:rsidR="000729B0" w:rsidRPr="00550561" w:rsidRDefault="000729B0" w:rsidP="00BF4138">
            <w:pPr>
              <w:pStyle w:val="ListParagraph"/>
              <w:numPr>
                <w:ilvl w:val="0"/>
                <w:numId w:val="12"/>
              </w:numPr>
              <w:tabs>
                <w:tab w:val="left" w:pos="225"/>
              </w:tabs>
              <w:ind w:left="175" w:hanging="175"/>
              <w:cnfStyle w:val="000000100000" w:firstRow="0" w:lastRow="0" w:firstColumn="0" w:lastColumn="0" w:oddVBand="0" w:evenVBand="0" w:oddHBand="1" w:evenHBand="0" w:firstRowFirstColumn="0" w:firstRowLastColumn="0" w:lastRowFirstColumn="0" w:lastRowLastColumn="0"/>
            </w:pPr>
            <w:r w:rsidRPr="00550561">
              <w:t>PROMPPT was effective in achieving its aims</w:t>
            </w:r>
          </w:p>
          <w:p w14:paraId="31D090DE" w14:textId="43EB83F0" w:rsidR="000729B0" w:rsidRPr="00550561" w:rsidRDefault="000729B0" w:rsidP="00BF4138">
            <w:pPr>
              <w:pStyle w:val="ListParagraph"/>
              <w:numPr>
                <w:ilvl w:val="0"/>
                <w:numId w:val="12"/>
              </w:numPr>
              <w:tabs>
                <w:tab w:val="left" w:pos="225"/>
              </w:tabs>
              <w:ind w:left="175" w:hanging="175"/>
              <w:cnfStyle w:val="000000100000" w:firstRow="0" w:lastRow="0" w:firstColumn="0" w:lastColumn="0" w:oddVBand="0" w:evenVBand="0" w:oddHBand="1" w:evenHBand="0" w:firstRowFirstColumn="0" w:firstRowLastColumn="0" w:lastRowFirstColumn="0" w:lastRowLastColumn="0"/>
            </w:pPr>
            <w:r w:rsidRPr="00550561">
              <w:t>Optimistic that PROMPPT will be successful in the long-term</w:t>
            </w:r>
          </w:p>
        </w:tc>
      </w:tr>
      <w:tr w:rsidR="000729B0" w:rsidRPr="00550561" w14:paraId="506E8D45" w14:textId="77777777" w:rsidTr="00506B3D">
        <w:trPr>
          <w:trHeight w:val="473"/>
        </w:trPr>
        <w:tc>
          <w:tcPr>
            <w:cnfStyle w:val="001000000000" w:firstRow="0" w:lastRow="0" w:firstColumn="1" w:lastColumn="0" w:oddVBand="0" w:evenVBand="0" w:oddHBand="0" w:evenHBand="0" w:firstRowFirstColumn="0" w:firstRowLastColumn="0" w:lastRowFirstColumn="0" w:lastRowLastColumn="0"/>
            <w:tcW w:w="1419" w:type="dxa"/>
            <w:vMerge/>
          </w:tcPr>
          <w:p w14:paraId="09731374" w14:textId="77777777" w:rsidR="000729B0" w:rsidRPr="00550561" w:rsidRDefault="000729B0" w:rsidP="009C2F91"/>
        </w:tc>
        <w:tc>
          <w:tcPr>
            <w:tcW w:w="6378" w:type="dxa"/>
            <w:tcBorders>
              <w:top w:val="nil"/>
              <w:bottom w:val="nil"/>
            </w:tcBorders>
          </w:tcPr>
          <w:p w14:paraId="1EBDF846" w14:textId="75423A3B" w:rsidR="000729B0" w:rsidRPr="00550561" w:rsidRDefault="000729B0" w:rsidP="003C455D">
            <w:pPr>
              <w:pStyle w:val="ListParagraph"/>
              <w:numPr>
                <w:ilvl w:val="0"/>
                <w:numId w:val="12"/>
              </w:numPr>
              <w:tabs>
                <w:tab w:val="left" w:pos="171"/>
              </w:tabs>
              <w:ind w:left="171" w:hanging="171"/>
              <w:cnfStyle w:val="000000000000" w:firstRow="0" w:lastRow="0" w:firstColumn="0" w:lastColumn="0" w:oddVBand="0" w:evenVBand="0" w:oddHBand="0" w:evenHBand="0" w:firstRowFirstColumn="0" w:firstRowLastColumn="0" w:lastRowFirstColumn="0" w:lastRowLastColumn="0"/>
            </w:pPr>
            <w:r w:rsidRPr="00550561">
              <w:t xml:space="preserve">Optimistic that PROMPPT will improve care, safety and quality of life for </w:t>
            </w:r>
            <w:r w:rsidR="008B65A0" w:rsidRPr="00550561">
              <w:t>patients</w:t>
            </w:r>
          </w:p>
        </w:tc>
        <w:tc>
          <w:tcPr>
            <w:tcW w:w="6378" w:type="dxa"/>
            <w:tcBorders>
              <w:top w:val="nil"/>
              <w:bottom w:val="nil"/>
            </w:tcBorders>
          </w:tcPr>
          <w:p w14:paraId="78EA5291" w14:textId="5E283DE6" w:rsidR="000729B0" w:rsidRPr="00550561" w:rsidRDefault="000729B0" w:rsidP="00BF4138">
            <w:pPr>
              <w:pStyle w:val="ListParagraph"/>
              <w:numPr>
                <w:ilvl w:val="0"/>
                <w:numId w:val="12"/>
              </w:numPr>
              <w:tabs>
                <w:tab w:val="left" w:pos="225"/>
              </w:tabs>
              <w:ind w:left="175" w:hanging="175"/>
              <w:cnfStyle w:val="000000000000" w:firstRow="0" w:lastRow="0" w:firstColumn="0" w:lastColumn="0" w:oddVBand="0" w:evenVBand="0" w:oddHBand="0" w:evenHBand="0" w:firstRowFirstColumn="0" w:firstRowLastColumn="0" w:lastRowFirstColumn="0" w:lastRowLastColumn="0"/>
            </w:pPr>
            <w:r w:rsidRPr="00550561">
              <w:t>P</w:t>
            </w:r>
            <w:r w:rsidR="008B65A0" w:rsidRPr="00550561">
              <w:t>atients</w:t>
            </w:r>
            <w:r w:rsidRPr="00550561">
              <w:t xml:space="preserve"> will see value in the review and will also feel supported and valued as a result</w:t>
            </w:r>
          </w:p>
        </w:tc>
      </w:tr>
      <w:tr w:rsidR="000729B0" w:rsidRPr="00550561" w14:paraId="3D24BB64" w14:textId="77777777" w:rsidTr="00506B3D">
        <w:trPr>
          <w:cnfStyle w:val="000000100000" w:firstRow="0" w:lastRow="0" w:firstColumn="0" w:lastColumn="0" w:oddVBand="0" w:evenVBand="0" w:oddHBand="1"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1419" w:type="dxa"/>
            <w:vMerge/>
          </w:tcPr>
          <w:p w14:paraId="47296617" w14:textId="77777777" w:rsidR="000729B0" w:rsidRPr="00550561" w:rsidRDefault="000729B0" w:rsidP="009C2F91"/>
        </w:tc>
        <w:tc>
          <w:tcPr>
            <w:tcW w:w="6378" w:type="dxa"/>
            <w:tcBorders>
              <w:top w:val="nil"/>
              <w:bottom w:val="nil"/>
            </w:tcBorders>
          </w:tcPr>
          <w:p w14:paraId="1A3E48E4" w14:textId="5A30DD27" w:rsidR="000729B0" w:rsidRPr="00550561" w:rsidRDefault="000729B0" w:rsidP="003C455D">
            <w:pPr>
              <w:pStyle w:val="ListParagraph"/>
              <w:numPr>
                <w:ilvl w:val="0"/>
                <w:numId w:val="12"/>
              </w:numPr>
              <w:tabs>
                <w:tab w:val="left" w:pos="171"/>
              </w:tabs>
              <w:ind w:left="171" w:hanging="171"/>
              <w:cnfStyle w:val="000000100000" w:firstRow="0" w:lastRow="0" w:firstColumn="0" w:lastColumn="0" w:oddVBand="0" w:evenVBand="0" w:oddHBand="1" w:evenHBand="0" w:firstRowFirstColumn="0" w:firstRowLastColumn="0" w:lastRowFirstColumn="0" w:lastRowLastColumn="0"/>
            </w:pPr>
            <w:r w:rsidRPr="00550561">
              <w:t>Success of tapering down opioids will be dependent on patient readiness to change</w:t>
            </w:r>
          </w:p>
        </w:tc>
        <w:tc>
          <w:tcPr>
            <w:tcW w:w="6378" w:type="dxa"/>
            <w:tcBorders>
              <w:top w:val="nil"/>
              <w:bottom w:val="nil"/>
            </w:tcBorders>
          </w:tcPr>
          <w:p w14:paraId="627EFFB5" w14:textId="6D686C14" w:rsidR="000729B0" w:rsidRPr="00550561" w:rsidRDefault="000729B0" w:rsidP="00BF4138">
            <w:pPr>
              <w:pStyle w:val="ListParagraph"/>
              <w:numPr>
                <w:ilvl w:val="0"/>
                <w:numId w:val="12"/>
              </w:numPr>
              <w:tabs>
                <w:tab w:val="left" w:pos="225"/>
              </w:tabs>
              <w:ind w:left="175" w:hanging="175"/>
              <w:cnfStyle w:val="000000100000" w:firstRow="0" w:lastRow="0" w:firstColumn="0" w:lastColumn="0" w:oddVBand="0" w:evenVBand="0" w:oddHBand="1" w:evenHBand="0" w:firstRowFirstColumn="0" w:firstRowLastColumn="0" w:lastRowFirstColumn="0" w:lastRowLastColumn="0"/>
            </w:pPr>
            <w:r w:rsidRPr="00550561">
              <w:t>Patient resistance will affect tapering success</w:t>
            </w:r>
          </w:p>
        </w:tc>
      </w:tr>
      <w:tr w:rsidR="000729B0" w:rsidRPr="00550561" w14:paraId="5AF8E342" w14:textId="77777777" w:rsidTr="00506B3D">
        <w:trPr>
          <w:trHeight w:val="473"/>
        </w:trPr>
        <w:tc>
          <w:tcPr>
            <w:cnfStyle w:val="001000000000" w:firstRow="0" w:lastRow="0" w:firstColumn="1" w:lastColumn="0" w:oddVBand="0" w:evenVBand="0" w:oddHBand="0" w:evenHBand="0" w:firstRowFirstColumn="0" w:firstRowLastColumn="0" w:lastRowFirstColumn="0" w:lastRowLastColumn="0"/>
            <w:tcW w:w="1419" w:type="dxa"/>
            <w:vMerge/>
          </w:tcPr>
          <w:p w14:paraId="44ACBEF3" w14:textId="77777777" w:rsidR="000729B0" w:rsidRPr="00550561" w:rsidRDefault="000729B0" w:rsidP="009C2F91"/>
        </w:tc>
        <w:tc>
          <w:tcPr>
            <w:tcW w:w="6378" w:type="dxa"/>
            <w:tcBorders>
              <w:top w:val="nil"/>
              <w:bottom w:val="nil"/>
            </w:tcBorders>
          </w:tcPr>
          <w:p w14:paraId="32264C4A" w14:textId="5E5E46AF" w:rsidR="000729B0" w:rsidRPr="00550561" w:rsidRDefault="000729B0" w:rsidP="003C455D">
            <w:pPr>
              <w:tabs>
                <w:tab w:val="left" w:pos="171"/>
              </w:tabs>
              <w:ind w:left="171" w:hanging="171"/>
              <w:jc w:val="center"/>
              <w:cnfStyle w:val="000000000000" w:firstRow="0" w:lastRow="0" w:firstColumn="0" w:lastColumn="0" w:oddVBand="0" w:evenVBand="0" w:oddHBand="0" w:evenHBand="0" w:firstRowFirstColumn="0" w:firstRowLastColumn="0" w:lastRowFirstColumn="0" w:lastRowLastColumn="0"/>
            </w:pPr>
            <w:r w:rsidRPr="00550561">
              <w:t>-</w:t>
            </w:r>
          </w:p>
        </w:tc>
        <w:tc>
          <w:tcPr>
            <w:tcW w:w="6378" w:type="dxa"/>
            <w:tcBorders>
              <w:top w:val="nil"/>
              <w:bottom w:val="nil"/>
            </w:tcBorders>
          </w:tcPr>
          <w:p w14:paraId="02498ED3" w14:textId="742A4CB4" w:rsidR="000729B0" w:rsidRPr="00550561" w:rsidRDefault="000729B0" w:rsidP="00BF4138">
            <w:pPr>
              <w:pStyle w:val="ListParagraph"/>
              <w:numPr>
                <w:ilvl w:val="0"/>
                <w:numId w:val="12"/>
              </w:numPr>
              <w:tabs>
                <w:tab w:val="left" w:pos="225"/>
              </w:tabs>
              <w:ind w:left="175" w:hanging="175"/>
              <w:cnfStyle w:val="000000000000" w:firstRow="0" w:lastRow="0" w:firstColumn="0" w:lastColumn="0" w:oddVBand="0" w:evenVBand="0" w:oddHBand="0" w:evenHBand="0" w:firstRowFirstColumn="0" w:firstRowLastColumn="0" w:lastRowFirstColumn="0" w:lastRowLastColumn="0"/>
            </w:pPr>
            <w:r w:rsidRPr="00550561">
              <w:t>The structure and review components allowed the consultations to flow</w:t>
            </w:r>
            <w:r w:rsidR="00C93AE0" w:rsidRPr="00550561">
              <w:t>,</w:t>
            </w:r>
            <w:r w:rsidRPr="00550561">
              <w:t xml:space="preserve"> </w:t>
            </w:r>
            <w:r w:rsidR="007A42A5" w:rsidRPr="00550561">
              <w:t>making it</w:t>
            </w:r>
            <w:r w:rsidRPr="00550561">
              <w:t xml:space="preserve"> effective</w:t>
            </w:r>
          </w:p>
        </w:tc>
      </w:tr>
      <w:tr w:rsidR="000729B0" w:rsidRPr="00550561" w14:paraId="7B227FE7" w14:textId="77777777" w:rsidTr="003A0B4F">
        <w:trPr>
          <w:cnfStyle w:val="000000100000" w:firstRow="0" w:lastRow="0" w:firstColumn="0" w:lastColumn="0" w:oddVBand="0" w:evenVBand="0" w:oddHBand="1"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1419" w:type="dxa"/>
            <w:vMerge/>
          </w:tcPr>
          <w:p w14:paraId="2DE0926C" w14:textId="77777777" w:rsidR="000729B0" w:rsidRPr="00550561" w:rsidRDefault="000729B0" w:rsidP="009C2F91"/>
        </w:tc>
        <w:tc>
          <w:tcPr>
            <w:tcW w:w="6378" w:type="dxa"/>
            <w:tcBorders>
              <w:top w:val="nil"/>
            </w:tcBorders>
          </w:tcPr>
          <w:p w14:paraId="1B5DFBB3" w14:textId="61CA9125" w:rsidR="000729B0" w:rsidRPr="00550561" w:rsidRDefault="000729B0" w:rsidP="003C455D">
            <w:pPr>
              <w:tabs>
                <w:tab w:val="left" w:pos="171"/>
              </w:tabs>
              <w:ind w:left="171" w:hanging="171"/>
              <w:jc w:val="center"/>
              <w:cnfStyle w:val="000000100000" w:firstRow="0" w:lastRow="0" w:firstColumn="0" w:lastColumn="0" w:oddVBand="0" w:evenVBand="0" w:oddHBand="1" w:evenHBand="0" w:firstRowFirstColumn="0" w:firstRowLastColumn="0" w:lastRowFirstColumn="0" w:lastRowLastColumn="0"/>
            </w:pPr>
            <w:r w:rsidRPr="00550561">
              <w:t>-</w:t>
            </w:r>
          </w:p>
        </w:tc>
        <w:tc>
          <w:tcPr>
            <w:tcW w:w="6378" w:type="dxa"/>
            <w:tcBorders>
              <w:top w:val="nil"/>
            </w:tcBorders>
          </w:tcPr>
          <w:p w14:paraId="7F8DB9EC" w14:textId="677483C4" w:rsidR="000729B0" w:rsidRPr="00550561" w:rsidRDefault="000729B0" w:rsidP="00BF4138">
            <w:pPr>
              <w:pStyle w:val="ListParagraph"/>
              <w:numPr>
                <w:ilvl w:val="0"/>
                <w:numId w:val="12"/>
              </w:numPr>
              <w:tabs>
                <w:tab w:val="left" w:pos="225"/>
              </w:tabs>
              <w:ind w:left="175" w:hanging="175"/>
              <w:cnfStyle w:val="000000100000" w:firstRow="0" w:lastRow="0" w:firstColumn="0" w:lastColumn="0" w:oddVBand="0" w:evenVBand="0" w:oddHBand="1" w:evenHBand="0" w:firstRowFirstColumn="0" w:firstRowLastColumn="0" w:lastRowFirstColumn="0" w:lastRowLastColumn="0"/>
            </w:pPr>
            <w:r w:rsidRPr="00550561">
              <w:t>Pharmacists felt they could or should have done more to make a difference</w:t>
            </w:r>
          </w:p>
        </w:tc>
      </w:tr>
      <w:tr w:rsidR="00BF4138" w:rsidRPr="00550561" w14:paraId="56B7F99A" w14:textId="77777777" w:rsidTr="003A0B4F">
        <w:trPr>
          <w:trHeight w:val="499"/>
        </w:trPr>
        <w:tc>
          <w:tcPr>
            <w:cnfStyle w:val="001000000000" w:firstRow="0" w:lastRow="0" w:firstColumn="1" w:lastColumn="0" w:oddVBand="0" w:evenVBand="0" w:oddHBand="0" w:evenHBand="0" w:firstRowFirstColumn="0" w:firstRowLastColumn="0" w:lastRowFirstColumn="0" w:lastRowLastColumn="0"/>
            <w:tcW w:w="1419" w:type="dxa"/>
            <w:vMerge w:val="restart"/>
            <w:vAlign w:val="center"/>
          </w:tcPr>
          <w:p w14:paraId="594BCFC1" w14:textId="77777777" w:rsidR="00BF4138" w:rsidRPr="00550561" w:rsidRDefault="00BF4138" w:rsidP="00BF4138">
            <w:r w:rsidRPr="00550561">
              <w:t>Self-efficacy</w:t>
            </w:r>
          </w:p>
        </w:tc>
        <w:tc>
          <w:tcPr>
            <w:tcW w:w="6378" w:type="dxa"/>
            <w:tcBorders>
              <w:bottom w:val="nil"/>
            </w:tcBorders>
          </w:tcPr>
          <w:p w14:paraId="6B709D5E" w14:textId="58B0158C" w:rsidR="00BF4138" w:rsidRPr="00550561" w:rsidRDefault="00BF4138" w:rsidP="003C455D">
            <w:pPr>
              <w:pStyle w:val="ListParagraph"/>
              <w:numPr>
                <w:ilvl w:val="0"/>
                <w:numId w:val="13"/>
              </w:numPr>
              <w:tabs>
                <w:tab w:val="left" w:pos="171"/>
              </w:tabs>
              <w:ind w:left="171" w:hanging="171"/>
              <w:cnfStyle w:val="000000000000" w:firstRow="0" w:lastRow="0" w:firstColumn="0" w:lastColumn="0" w:oddVBand="0" w:evenVBand="0" w:oddHBand="0" w:evenHBand="0" w:firstRowFirstColumn="0" w:firstRowLastColumn="0" w:lastRowFirstColumn="0" w:lastRowLastColumn="0"/>
            </w:pPr>
            <w:r w:rsidRPr="00550561">
              <w:t>Pharmacists need confidence to deliver PROMPPT and the individual review components</w:t>
            </w:r>
          </w:p>
        </w:tc>
        <w:tc>
          <w:tcPr>
            <w:tcW w:w="6378" w:type="dxa"/>
            <w:tcBorders>
              <w:bottom w:val="nil"/>
            </w:tcBorders>
          </w:tcPr>
          <w:p w14:paraId="630F22D4" w14:textId="2754B78A" w:rsidR="00BF4138" w:rsidRPr="00550561" w:rsidRDefault="00BF4138" w:rsidP="00BF4138">
            <w:pPr>
              <w:pStyle w:val="ListParagraph"/>
              <w:numPr>
                <w:ilvl w:val="0"/>
                <w:numId w:val="13"/>
              </w:numPr>
              <w:tabs>
                <w:tab w:val="left" w:pos="225"/>
              </w:tabs>
              <w:ind w:left="175" w:hanging="175"/>
              <w:cnfStyle w:val="000000000000" w:firstRow="0" w:lastRow="0" w:firstColumn="0" w:lastColumn="0" w:oddVBand="0" w:evenVBand="0" w:oddHBand="0" w:evenHBand="0" w:firstRowFirstColumn="0" w:firstRowLastColumn="0" w:lastRowFirstColumn="0" w:lastRowLastColumn="0"/>
            </w:pPr>
            <w:r w:rsidRPr="00550561">
              <w:t>Prior experience allows pharmacists to feel confident to deliver PROMPPT</w:t>
            </w:r>
          </w:p>
        </w:tc>
      </w:tr>
      <w:tr w:rsidR="00BF4138" w:rsidRPr="00550561" w14:paraId="6F0471D5" w14:textId="77777777" w:rsidTr="003A0B4F">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1419" w:type="dxa"/>
            <w:vMerge/>
          </w:tcPr>
          <w:p w14:paraId="6BB5CB90" w14:textId="77777777" w:rsidR="00BF4138" w:rsidRPr="00550561" w:rsidRDefault="00BF4138" w:rsidP="009C2F91"/>
        </w:tc>
        <w:tc>
          <w:tcPr>
            <w:tcW w:w="6378" w:type="dxa"/>
            <w:tcBorders>
              <w:top w:val="nil"/>
              <w:bottom w:val="nil"/>
            </w:tcBorders>
          </w:tcPr>
          <w:p w14:paraId="384F401C" w14:textId="2F8A96F3" w:rsidR="00BF4138" w:rsidRPr="00550561" w:rsidRDefault="00BF4138" w:rsidP="003C455D">
            <w:pPr>
              <w:pStyle w:val="ListParagraph"/>
              <w:numPr>
                <w:ilvl w:val="0"/>
                <w:numId w:val="13"/>
              </w:numPr>
              <w:tabs>
                <w:tab w:val="left" w:pos="171"/>
              </w:tabs>
              <w:ind w:left="171" w:hanging="171"/>
              <w:cnfStyle w:val="000000100000" w:firstRow="0" w:lastRow="0" w:firstColumn="0" w:lastColumn="0" w:oddVBand="0" w:evenVBand="0" w:oddHBand="1" w:evenHBand="0" w:firstRowFirstColumn="0" w:firstRowLastColumn="0" w:lastRowFirstColumn="0" w:lastRowLastColumn="0"/>
            </w:pPr>
            <w:r w:rsidRPr="00550561">
              <w:t>Confident they will be able to make an impact no matter how big or small on the patient</w:t>
            </w:r>
          </w:p>
        </w:tc>
        <w:tc>
          <w:tcPr>
            <w:tcW w:w="6378" w:type="dxa"/>
            <w:tcBorders>
              <w:top w:val="nil"/>
              <w:bottom w:val="nil"/>
            </w:tcBorders>
          </w:tcPr>
          <w:p w14:paraId="535B421F" w14:textId="72CDA2F2" w:rsidR="00BF4138" w:rsidRPr="00550561" w:rsidRDefault="00BF4138" w:rsidP="00BF4138">
            <w:pPr>
              <w:pStyle w:val="ListParagraph"/>
              <w:tabs>
                <w:tab w:val="left" w:pos="225"/>
              </w:tabs>
              <w:ind w:left="175" w:hanging="175"/>
              <w:jc w:val="center"/>
              <w:cnfStyle w:val="000000100000" w:firstRow="0" w:lastRow="0" w:firstColumn="0" w:lastColumn="0" w:oddVBand="0" w:evenVBand="0" w:oddHBand="1" w:evenHBand="0" w:firstRowFirstColumn="0" w:firstRowLastColumn="0" w:lastRowFirstColumn="0" w:lastRowLastColumn="0"/>
            </w:pPr>
            <w:r w:rsidRPr="00550561">
              <w:t>-</w:t>
            </w:r>
          </w:p>
        </w:tc>
      </w:tr>
      <w:tr w:rsidR="00BF4138" w:rsidRPr="00550561" w14:paraId="774BC7E3" w14:textId="77777777" w:rsidTr="003A0B4F">
        <w:trPr>
          <w:trHeight w:val="318"/>
        </w:trPr>
        <w:tc>
          <w:tcPr>
            <w:cnfStyle w:val="001000000000" w:firstRow="0" w:lastRow="0" w:firstColumn="1" w:lastColumn="0" w:oddVBand="0" w:evenVBand="0" w:oddHBand="0" w:evenHBand="0" w:firstRowFirstColumn="0" w:firstRowLastColumn="0" w:lastRowFirstColumn="0" w:lastRowLastColumn="0"/>
            <w:tcW w:w="1419" w:type="dxa"/>
            <w:vMerge/>
          </w:tcPr>
          <w:p w14:paraId="258A9370" w14:textId="77777777" w:rsidR="00BF4138" w:rsidRPr="00550561" w:rsidRDefault="00BF4138" w:rsidP="009C2F91"/>
        </w:tc>
        <w:tc>
          <w:tcPr>
            <w:tcW w:w="6378" w:type="dxa"/>
            <w:tcBorders>
              <w:top w:val="nil"/>
              <w:bottom w:val="nil"/>
            </w:tcBorders>
          </w:tcPr>
          <w:p w14:paraId="5046F2E6" w14:textId="278540D4" w:rsidR="00BF4138" w:rsidRPr="00550561" w:rsidRDefault="00BF4138" w:rsidP="003C455D">
            <w:pPr>
              <w:tabs>
                <w:tab w:val="left" w:pos="171"/>
              </w:tabs>
              <w:ind w:left="171" w:hanging="171"/>
              <w:jc w:val="center"/>
              <w:cnfStyle w:val="000000000000" w:firstRow="0" w:lastRow="0" w:firstColumn="0" w:lastColumn="0" w:oddVBand="0" w:evenVBand="0" w:oddHBand="0" w:evenHBand="0" w:firstRowFirstColumn="0" w:firstRowLastColumn="0" w:lastRowFirstColumn="0" w:lastRowLastColumn="0"/>
            </w:pPr>
            <w:r w:rsidRPr="00550561">
              <w:t>-</w:t>
            </w:r>
          </w:p>
        </w:tc>
        <w:tc>
          <w:tcPr>
            <w:tcW w:w="6378" w:type="dxa"/>
            <w:tcBorders>
              <w:top w:val="nil"/>
              <w:bottom w:val="nil"/>
            </w:tcBorders>
          </w:tcPr>
          <w:p w14:paraId="4CE138C5" w14:textId="06D7ABCD" w:rsidR="00BF4138" w:rsidRPr="00550561" w:rsidRDefault="00BF4138" w:rsidP="00BF4138">
            <w:pPr>
              <w:pStyle w:val="ListParagraph"/>
              <w:numPr>
                <w:ilvl w:val="0"/>
                <w:numId w:val="13"/>
              </w:numPr>
              <w:tabs>
                <w:tab w:val="left" w:pos="225"/>
              </w:tabs>
              <w:ind w:left="175" w:hanging="175"/>
              <w:cnfStyle w:val="000000000000" w:firstRow="0" w:lastRow="0" w:firstColumn="0" w:lastColumn="0" w:oddVBand="0" w:evenVBand="0" w:oddHBand="0" w:evenHBand="0" w:firstRowFirstColumn="0" w:firstRowLastColumn="0" w:lastRowFirstColumn="0" w:lastRowLastColumn="0"/>
            </w:pPr>
            <w:r w:rsidRPr="00550561">
              <w:t>Resistant patients can knock pharmacists</w:t>
            </w:r>
            <w:r w:rsidR="00C93AE0" w:rsidRPr="00550561">
              <w:t>’</w:t>
            </w:r>
            <w:r w:rsidRPr="00550561">
              <w:t xml:space="preserve"> confidence</w:t>
            </w:r>
          </w:p>
        </w:tc>
      </w:tr>
      <w:tr w:rsidR="00BF4138" w:rsidRPr="00550561" w14:paraId="46D1355C" w14:textId="77777777" w:rsidTr="003A0B4F">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1419" w:type="dxa"/>
            <w:vMerge/>
          </w:tcPr>
          <w:p w14:paraId="138C36BD" w14:textId="77777777" w:rsidR="00BF4138" w:rsidRPr="00550561" w:rsidRDefault="00BF4138" w:rsidP="009C2F91"/>
        </w:tc>
        <w:tc>
          <w:tcPr>
            <w:tcW w:w="6378" w:type="dxa"/>
            <w:tcBorders>
              <w:top w:val="nil"/>
              <w:bottom w:val="nil"/>
            </w:tcBorders>
          </w:tcPr>
          <w:p w14:paraId="051CADBB" w14:textId="7E08828C" w:rsidR="00BF4138" w:rsidRPr="00550561" w:rsidRDefault="00BF4138" w:rsidP="003C455D">
            <w:pPr>
              <w:tabs>
                <w:tab w:val="left" w:pos="171"/>
              </w:tabs>
              <w:ind w:left="171" w:hanging="171"/>
              <w:jc w:val="center"/>
              <w:cnfStyle w:val="000000100000" w:firstRow="0" w:lastRow="0" w:firstColumn="0" w:lastColumn="0" w:oddVBand="0" w:evenVBand="0" w:oddHBand="1" w:evenHBand="0" w:firstRowFirstColumn="0" w:firstRowLastColumn="0" w:lastRowFirstColumn="0" w:lastRowLastColumn="0"/>
            </w:pPr>
            <w:r w:rsidRPr="00550561">
              <w:t>-</w:t>
            </w:r>
          </w:p>
        </w:tc>
        <w:tc>
          <w:tcPr>
            <w:tcW w:w="6378" w:type="dxa"/>
            <w:tcBorders>
              <w:top w:val="nil"/>
              <w:bottom w:val="nil"/>
            </w:tcBorders>
          </w:tcPr>
          <w:p w14:paraId="384193D5" w14:textId="528143CC" w:rsidR="00BF4138" w:rsidRPr="00550561" w:rsidRDefault="00BF4138" w:rsidP="00BF4138">
            <w:pPr>
              <w:pStyle w:val="ListParagraph"/>
              <w:numPr>
                <w:ilvl w:val="0"/>
                <w:numId w:val="13"/>
              </w:numPr>
              <w:tabs>
                <w:tab w:val="left" w:pos="225"/>
              </w:tabs>
              <w:ind w:left="175" w:hanging="175"/>
              <w:cnfStyle w:val="000000100000" w:firstRow="0" w:lastRow="0" w:firstColumn="0" w:lastColumn="0" w:oddVBand="0" w:evenVBand="0" w:oddHBand="1" w:evenHBand="0" w:firstRowFirstColumn="0" w:firstRowLastColumn="0" w:lastRowFirstColumn="0" w:lastRowLastColumn="0"/>
            </w:pPr>
            <w:r w:rsidRPr="00550561">
              <w:t>Consultations skills are more important than having the clinical skills to deliver PROMPPT</w:t>
            </w:r>
          </w:p>
        </w:tc>
      </w:tr>
      <w:tr w:rsidR="00BF4138" w:rsidRPr="00550561" w14:paraId="2857C9DC" w14:textId="77777777" w:rsidTr="003A0B4F">
        <w:trPr>
          <w:trHeight w:val="499"/>
        </w:trPr>
        <w:tc>
          <w:tcPr>
            <w:cnfStyle w:val="001000000000" w:firstRow="0" w:lastRow="0" w:firstColumn="1" w:lastColumn="0" w:oddVBand="0" w:evenVBand="0" w:oddHBand="0" w:evenHBand="0" w:firstRowFirstColumn="0" w:firstRowLastColumn="0" w:lastRowFirstColumn="0" w:lastRowLastColumn="0"/>
            <w:tcW w:w="1419" w:type="dxa"/>
            <w:vMerge/>
          </w:tcPr>
          <w:p w14:paraId="55B6C1F9" w14:textId="77777777" w:rsidR="00BF4138" w:rsidRPr="00550561" w:rsidRDefault="00BF4138" w:rsidP="009C2F91"/>
        </w:tc>
        <w:tc>
          <w:tcPr>
            <w:tcW w:w="6378" w:type="dxa"/>
            <w:tcBorders>
              <w:top w:val="nil"/>
              <w:bottom w:val="nil"/>
            </w:tcBorders>
          </w:tcPr>
          <w:p w14:paraId="5F3C627E" w14:textId="4F07EC7E" w:rsidR="00BF4138" w:rsidRPr="00550561" w:rsidRDefault="00BF4138" w:rsidP="003C455D">
            <w:pPr>
              <w:tabs>
                <w:tab w:val="left" w:pos="171"/>
              </w:tabs>
              <w:ind w:left="171" w:hanging="171"/>
              <w:jc w:val="center"/>
              <w:cnfStyle w:val="000000000000" w:firstRow="0" w:lastRow="0" w:firstColumn="0" w:lastColumn="0" w:oddVBand="0" w:evenVBand="0" w:oddHBand="0" w:evenHBand="0" w:firstRowFirstColumn="0" w:firstRowLastColumn="0" w:lastRowFirstColumn="0" w:lastRowLastColumn="0"/>
            </w:pPr>
            <w:r w:rsidRPr="00550561">
              <w:t>-</w:t>
            </w:r>
          </w:p>
        </w:tc>
        <w:tc>
          <w:tcPr>
            <w:tcW w:w="6378" w:type="dxa"/>
            <w:tcBorders>
              <w:top w:val="nil"/>
              <w:bottom w:val="nil"/>
            </w:tcBorders>
          </w:tcPr>
          <w:p w14:paraId="2A9B7156" w14:textId="2CAAAD1A" w:rsidR="00BF4138" w:rsidRPr="00550561" w:rsidRDefault="00BF4138" w:rsidP="00BF4138">
            <w:pPr>
              <w:pStyle w:val="ListParagraph"/>
              <w:numPr>
                <w:ilvl w:val="0"/>
                <w:numId w:val="13"/>
              </w:numPr>
              <w:tabs>
                <w:tab w:val="left" w:pos="225"/>
              </w:tabs>
              <w:ind w:left="175" w:hanging="175"/>
              <w:cnfStyle w:val="000000000000" w:firstRow="0" w:lastRow="0" w:firstColumn="0" w:lastColumn="0" w:oddVBand="0" w:evenVBand="0" w:oddHBand="0" w:evenHBand="0" w:firstRowFirstColumn="0" w:firstRowLastColumn="0" w:lastRowFirstColumn="0" w:lastRowLastColumn="0"/>
            </w:pPr>
            <w:r w:rsidRPr="00550561">
              <w:t>Pharmacists not as confident in discussing self-care and non-pharmacological alternatives</w:t>
            </w:r>
          </w:p>
        </w:tc>
      </w:tr>
      <w:tr w:rsidR="00BF4138" w:rsidRPr="00550561" w14:paraId="4CE10847" w14:textId="77777777" w:rsidTr="003A0B4F">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1419" w:type="dxa"/>
            <w:vMerge/>
          </w:tcPr>
          <w:p w14:paraId="4C38E8D4" w14:textId="77777777" w:rsidR="00BF4138" w:rsidRPr="00550561" w:rsidRDefault="00BF4138" w:rsidP="009C2F91"/>
        </w:tc>
        <w:tc>
          <w:tcPr>
            <w:tcW w:w="6378" w:type="dxa"/>
            <w:tcBorders>
              <w:top w:val="nil"/>
            </w:tcBorders>
          </w:tcPr>
          <w:p w14:paraId="3E48EC06" w14:textId="0EF102DF" w:rsidR="00BF4138" w:rsidRPr="00550561" w:rsidRDefault="00BF4138" w:rsidP="003C455D">
            <w:pPr>
              <w:tabs>
                <w:tab w:val="left" w:pos="171"/>
              </w:tabs>
              <w:ind w:left="171" w:hanging="171"/>
              <w:jc w:val="center"/>
              <w:cnfStyle w:val="000000100000" w:firstRow="0" w:lastRow="0" w:firstColumn="0" w:lastColumn="0" w:oddVBand="0" w:evenVBand="0" w:oddHBand="1" w:evenHBand="0" w:firstRowFirstColumn="0" w:firstRowLastColumn="0" w:lastRowFirstColumn="0" w:lastRowLastColumn="0"/>
            </w:pPr>
            <w:r w:rsidRPr="00550561">
              <w:t>-</w:t>
            </w:r>
          </w:p>
        </w:tc>
        <w:tc>
          <w:tcPr>
            <w:tcW w:w="6378" w:type="dxa"/>
            <w:tcBorders>
              <w:top w:val="nil"/>
            </w:tcBorders>
          </w:tcPr>
          <w:p w14:paraId="0E93884F" w14:textId="2AE22635" w:rsidR="00BF4138" w:rsidRPr="00550561" w:rsidRDefault="00BF4138" w:rsidP="00BF4138">
            <w:pPr>
              <w:pStyle w:val="ListParagraph"/>
              <w:numPr>
                <w:ilvl w:val="0"/>
                <w:numId w:val="13"/>
              </w:numPr>
              <w:tabs>
                <w:tab w:val="left" w:pos="225"/>
              </w:tabs>
              <w:ind w:left="175" w:hanging="175"/>
              <w:cnfStyle w:val="000000100000" w:firstRow="0" w:lastRow="0" w:firstColumn="0" w:lastColumn="0" w:oddVBand="0" w:evenVBand="0" w:oddHBand="1" w:evenHBand="0" w:firstRowFirstColumn="0" w:firstRowLastColumn="0" w:lastRowFirstColumn="0" w:lastRowLastColumn="0"/>
            </w:pPr>
            <w:r w:rsidRPr="00550561">
              <w:t>Generally confident to make referrals but more knowledge on available services would help</w:t>
            </w:r>
          </w:p>
        </w:tc>
      </w:tr>
    </w:tbl>
    <w:p w14:paraId="171A0EC7" w14:textId="77777777" w:rsidR="00930698" w:rsidRPr="00550561" w:rsidRDefault="00930698" w:rsidP="00214A9D">
      <w:pPr>
        <w:spacing w:before="240" w:line="360" w:lineRule="auto"/>
        <w:sectPr w:rsidR="00930698" w:rsidRPr="00550561" w:rsidSect="006E794A">
          <w:pgSz w:w="16838" w:h="11906" w:orient="landscape"/>
          <w:pgMar w:top="1440" w:right="1440" w:bottom="1440" w:left="1440" w:header="708" w:footer="708" w:gutter="0"/>
          <w:cols w:space="708"/>
          <w:docGrid w:linePitch="360"/>
        </w:sectPr>
      </w:pPr>
    </w:p>
    <w:p w14:paraId="1CD51DD0" w14:textId="4230E9F1" w:rsidR="00882727" w:rsidRPr="00550561" w:rsidRDefault="00D335BB" w:rsidP="003B3D48">
      <w:pPr>
        <w:spacing w:line="360" w:lineRule="auto"/>
        <w:rPr>
          <w:b/>
          <w:bCs/>
        </w:rPr>
      </w:pPr>
      <w:r w:rsidRPr="00550561">
        <w:rPr>
          <w:b/>
          <w:bCs/>
        </w:rPr>
        <w:t>Discussion</w:t>
      </w:r>
    </w:p>
    <w:p w14:paraId="05273713" w14:textId="3D57963E" w:rsidR="006B7609" w:rsidRPr="005E4CED" w:rsidRDefault="006B7609" w:rsidP="003F0B8F">
      <w:pPr>
        <w:spacing w:line="360" w:lineRule="auto"/>
      </w:pPr>
      <w:r w:rsidRPr="005E4CED">
        <w:t>This work is timely, given NHS England</w:t>
      </w:r>
      <w:r w:rsidR="00C867F1" w:rsidRPr="005E4CED">
        <w:t>’s</w:t>
      </w:r>
      <w:r w:rsidRPr="005E4CED">
        <w:t xml:space="preserve"> medicines optimisation aim to reduce inappropriate prescribing of potentially dependence-forming medicines. Structured medication reviews (SMRs) are a key component of this medicines optimisation strategy</w:t>
      </w:r>
      <w:r w:rsidR="00C02F32" w:rsidRPr="005E4CED">
        <w:rPr>
          <w:noProof/>
          <w:vertAlign w:val="superscript"/>
        </w:rPr>
        <w:t>16</w:t>
      </w:r>
      <w:r w:rsidRPr="005E4CED">
        <w:t xml:space="preserve"> and it is expected that clinical pharmacists working in primary care will lead on and undertake SMRs</w:t>
      </w:r>
      <w:r w:rsidR="00456BEB" w:rsidRPr="005E4CED">
        <w:rPr>
          <w:noProof/>
          <w:vertAlign w:val="superscript"/>
        </w:rPr>
        <w:t>17</w:t>
      </w:r>
      <w:r w:rsidRPr="005E4CED">
        <w:t>.  The prototype PROMPPT review is consistent with recently published NHS England guidance on optimising care for adults prescribed medicines associated with dependence</w:t>
      </w:r>
      <w:r w:rsidR="00BC448D" w:rsidRPr="005E4CED">
        <w:rPr>
          <w:noProof/>
          <w:vertAlign w:val="superscript"/>
        </w:rPr>
        <w:t>18</w:t>
      </w:r>
      <w:r w:rsidRPr="005E4CED">
        <w:t xml:space="preserve"> and includes key recommended components of SMRs, namely: shared decision-making and a personalised approach to exploring the balance of safety and effectiveness of current treatment</w:t>
      </w:r>
      <w:r w:rsidR="00BC448D" w:rsidRPr="005E4CED">
        <w:rPr>
          <w:noProof/>
          <w:vertAlign w:val="superscript"/>
        </w:rPr>
        <w:t>16</w:t>
      </w:r>
      <w:r w:rsidRPr="005E4CED">
        <w:t>.</w:t>
      </w:r>
    </w:p>
    <w:p w14:paraId="07BCA0AE" w14:textId="3A98D230" w:rsidR="003F0B8F" w:rsidRPr="00550561" w:rsidRDefault="003F0B8F" w:rsidP="003F0B8F">
      <w:pPr>
        <w:spacing w:line="360" w:lineRule="auto"/>
      </w:pPr>
      <w:r w:rsidRPr="00550561">
        <w:t xml:space="preserve">We used a novel approach by applying the TFA </w:t>
      </w:r>
      <w:r w:rsidR="008A172B" w:rsidRPr="00550561">
        <w:t>early in the intervention development pathway, to explo</w:t>
      </w:r>
      <w:r w:rsidR="00FB48E4" w:rsidRPr="00550561">
        <w:t>re</w:t>
      </w:r>
      <w:r w:rsidR="008A172B" w:rsidRPr="00550561">
        <w:t xml:space="preserve"> acceptability of </w:t>
      </w:r>
      <w:r w:rsidR="00536CC7">
        <w:t>the</w:t>
      </w:r>
      <w:r w:rsidR="008A172B" w:rsidRPr="00550561">
        <w:t xml:space="preserve"> proposed PROMPPT review (prospective acceptability) and the acceptability of a prototype PROMPPT review (experienced acceptability)</w:t>
      </w:r>
      <w:r w:rsidR="00FB48E4" w:rsidRPr="00550561">
        <w:t xml:space="preserve">, </w:t>
      </w:r>
      <w:r w:rsidRPr="00550561">
        <w:t>within MRC phase 1 evaluation.</w:t>
      </w:r>
      <w:r w:rsidR="00A42564" w:rsidRPr="00550561">
        <w:rPr>
          <w:noProof/>
          <w:vertAlign w:val="superscript"/>
        </w:rPr>
        <w:t>11</w:t>
      </w:r>
      <w:r w:rsidR="004855DE" w:rsidRPr="00550561">
        <w:t xml:space="preserve"> </w:t>
      </w:r>
    </w:p>
    <w:p w14:paraId="05B4D2C4" w14:textId="51757B08" w:rsidR="00170D6E" w:rsidRPr="00550561" w:rsidRDefault="008B50C0" w:rsidP="003B3D48">
      <w:pPr>
        <w:spacing w:line="360" w:lineRule="auto"/>
      </w:pPr>
      <w:r w:rsidRPr="00550561">
        <w:t xml:space="preserve">Generally, the PROMPPT intervention was deemed acceptable </w:t>
      </w:r>
      <w:r w:rsidR="00BE7C0D" w:rsidRPr="00550561">
        <w:t>by</w:t>
      </w:r>
      <w:r w:rsidR="00FC387E" w:rsidRPr="00550561">
        <w:t xml:space="preserve"> </w:t>
      </w:r>
      <w:r w:rsidR="00F005DF" w:rsidRPr="00550561">
        <w:t>patients</w:t>
      </w:r>
      <w:r w:rsidR="00002C90" w:rsidRPr="00550561">
        <w:t xml:space="preserve"> </w:t>
      </w:r>
      <w:r w:rsidRPr="00550561">
        <w:t xml:space="preserve">and pharmacists </w:t>
      </w:r>
      <w:r w:rsidR="007B2AC0" w:rsidRPr="00550561">
        <w:t>at both the prospective ‘</w:t>
      </w:r>
      <w:r w:rsidR="004D443A" w:rsidRPr="00550561">
        <w:t>in-principle</w:t>
      </w:r>
      <w:r w:rsidR="007B2AC0" w:rsidRPr="00550561">
        <w:t xml:space="preserve">’ phase and </w:t>
      </w:r>
      <w:r w:rsidR="00432728" w:rsidRPr="00550561">
        <w:t xml:space="preserve">experienced </w:t>
      </w:r>
      <w:r w:rsidR="002A5444" w:rsidRPr="00550561">
        <w:t xml:space="preserve">prototype </w:t>
      </w:r>
      <w:r w:rsidR="00432728" w:rsidRPr="00550561">
        <w:t xml:space="preserve">testing phase. </w:t>
      </w:r>
      <w:r w:rsidR="00711A66" w:rsidRPr="00550561">
        <w:t>P</w:t>
      </w:r>
      <w:r w:rsidR="00126937" w:rsidRPr="00550561">
        <w:t>atients</w:t>
      </w:r>
      <w:r w:rsidR="00170D6E" w:rsidRPr="00550561">
        <w:t xml:space="preserve"> were grateful to be r</w:t>
      </w:r>
      <w:r w:rsidR="0025669C" w:rsidRPr="00550561">
        <w:t xml:space="preserve">eviewed and </w:t>
      </w:r>
      <w:r w:rsidR="00FB6883" w:rsidRPr="00550561">
        <w:t xml:space="preserve">for someone to listen and help them. </w:t>
      </w:r>
      <w:r w:rsidR="00732328" w:rsidRPr="00550561">
        <w:t>P</w:t>
      </w:r>
      <w:r w:rsidR="00FB6883" w:rsidRPr="00550561">
        <w:t xml:space="preserve">harmacists felt that </w:t>
      </w:r>
      <w:r w:rsidR="00732328" w:rsidRPr="00550561">
        <w:t>they</w:t>
      </w:r>
      <w:r w:rsidR="001754BC" w:rsidRPr="00550561">
        <w:t xml:space="preserve"> </w:t>
      </w:r>
      <w:r w:rsidR="00FB6883" w:rsidRPr="00550561">
        <w:t>were suited to deliver PROMPPT as they ha</w:t>
      </w:r>
      <w:r w:rsidR="003C447C" w:rsidRPr="00550561">
        <w:t>ve</w:t>
      </w:r>
      <w:r w:rsidR="00FB6883" w:rsidRPr="00550561">
        <w:t xml:space="preserve"> the knowledge of pain medi</w:t>
      </w:r>
      <w:r w:rsidR="003C447C" w:rsidRPr="00550561">
        <w:t>cines and the skills to consult with</w:t>
      </w:r>
      <w:r w:rsidR="00AB7892" w:rsidRPr="00550561">
        <w:t xml:space="preserve"> patients prescribed opioids for</w:t>
      </w:r>
      <w:r w:rsidR="003C447C" w:rsidRPr="00550561">
        <w:t xml:space="preserve"> </w:t>
      </w:r>
      <w:r w:rsidR="002A5444" w:rsidRPr="00550561">
        <w:t>PNC</w:t>
      </w:r>
      <w:r w:rsidR="00AB7892" w:rsidRPr="00550561">
        <w:t>P</w:t>
      </w:r>
      <w:r w:rsidR="003C447C" w:rsidRPr="00550561">
        <w:t xml:space="preserve">. </w:t>
      </w:r>
      <w:r w:rsidR="00AB7892" w:rsidRPr="00550561">
        <w:t>Patients</w:t>
      </w:r>
      <w:r w:rsidR="00646AF2" w:rsidRPr="00550561">
        <w:t xml:space="preserve"> and pharmacists</w:t>
      </w:r>
      <w:r w:rsidR="0021655F" w:rsidRPr="00550561">
        <w:t xml:space="preserve"> acknowledged that </w:t>
      </w:r>
      <w:r w:rsidR="000E7EE2" w:rsidRPr="00550561">
        <w:t>PROMPPT might not be acceptable to all patients</w:t>
      </w:r>
      <w:r w:rsidR="00E34451" w:rsidRPr="00550561">
        <w:t>,</w:t>
      </w:r>
      <w:r w:rsidR="00EB6500" w:rsidRPr="00550561">
        <w:t xml:space="preserve"> </w:t>
      </w:r>
      <w:r w:rsidR="004F3A80" w:rsidRPr="00550561">
        <w:t xml:space="preserve">for example those who are </w:t>
      </w:r>
      <w:r w:rsidR="00602ECA" w:rsidRPr="00550561">
        <w:t>fearful of having their opioids stopped</w:t>
      </w:r>
      <w:r w:rsidR="00174179" w:rsidRPr="00550561">
        <w:t xml:space="preserve"> or not being ready to make any changes to their pain m</w:t>
      </w:r>
      <w:r w:rsidR="00A62FF3" w:rsidRPr="00550561">
        <w:t>anagement</w:t>
      </w:r>
      <w:r w:rsidR="00174179" w:rsidRPr="00550561">
        <w:t>.</w:t>
      </w:r>
      <w:r w:rsidR="00A62FF3" w:rsidRPr="00550561">
        <w:t xml:space="preserve"> </w:t>
      </w:r>
      <w:r w:rsidR="00174179" w:rsidRPr="00550561">
        <w:t xml:space="preserve"> </w:t>
      </w:r>
    </w:p>
    <w:p w14:paraId="427C6F72" w14:textId="7B0CD27C" w:rsidR="00DC3BB5" w:rsidRPr="00550561" w:rsidRDefault="0025790F" w:rsidP="004F1CAF">
      <w:pPr>
        <w:pStyle w:val="paragraph"/>
        <w:spacing w:before="0" w:beforeAutospacing="0" w:after="0" w:afterAutospacing="0" w:line="360" w:lineRule="auto"/>
        <w:textAlignment w:val="baseline"/>
        <w:rPr>
          <w:rFonts w:asciiTheme="minorHAnsi" w:hAnsiTheme="minorHAnsi" w:cstheme="minorHAnsi"/>
          <w:b/>
          <w:bCs/>
          <w:sz w:val="22"/>
          <w:szCs w:val="22"/>
        </w:rPr>
      </w:pPr>
      <w:r w:rsidRPr="00550561">
        <w:rPr>
          <w:rStyle w:val="normaltextrun"/>
          <w:rFonts w:asciiTheme="minorHAnsi" w:eastAsiaTheme="majorEastAsia" w:hAnsiTheme="minorHAnsi" w:cstheme="minorHAnsi"/>
          <w:sz w:val="22"/>
          <w:szCs w:val="22"/>
        </w:rPr>
        <w:t>Key f</w:t>
      </w:r>
      <w:r w:rsidR="00B6304C" w:rsidRPr="00550561">
        <w:rPr>
          <w:rStyle w:val="normaltextrun"/>
          <w:rFonts w:asciiTheme="minorHAnsi" w:eastAsiaTheme="majorEastAsia" w:hAnsiTheme="minorHAnsi" w:cstheme="minorHAnsi"/>
          <w:sz w:val="22"/>
          <w:szCs w:val="22"/>
        </w:rPr>
        <w:t>indings from the i</w:t>
      </w:r>
      <w:r w:rsidR="00E07ADB" w:rsidRPr="00550561">
        <w:rPr>
          <w:rStyle w:val="normaltextrun"/>
          <w:rFonts w:asciiTheme="minorHAnsi" w:eastAsiaTheme="majorEastAsia" w:hAnsiTheme="minorHAnsi" w:cstheme="minorHAnsi"/>
          <w:sz w:val="22"/>
          <w:szCs w:val="22"/>
        </w:rPr>
        <w:t>nterviews</w:t>
      </w:r>
      <w:r w:rsidR="00D10B69" w:rsidRPr="00550561">
        <w:rPr>
          <w:rStyle w:val="normaltextrun"/>
          <w:rFonts w:asciiTheme="minorHAnsi" w:eastAsiaTheme="majorEastAsia" w:hAnsiTheme="minorHAnsi" w:cstheme="minorHAnsi"/>
          <w:sz w:val="22"/>
          <w:szCs w:val="22"/>
        </w:rPr>
        <w:t xml:space="preserve"> (</w:t>
      </w:r>
      <w:r w:rsidR="00AB7892" w:rsidRPr="00550561">
        <w:rPr>
          <w:rStyle w:val="normaltextrun"/>
          <w:rFonts w:asciiTheme="minorHAnsi" w:eastAsiaTheme="majorEastAsia" w:hAnsiTheme="minorHAnsi" w:cstheme="minorHAnsi"/>
          <w:sz w:val="22"/>
          <w:szCs w:val="22"/>
        </w:rPr>
        <w:t>patients</w:t>
      </w:r>
      <w:r w:rsidR="00D10B69" w:rsidRPr="00550561">
        <w:rPr>
          <w:rStyle w:val="normaltextrun"/>
          <w:rFonts w:asciiTheme="minorHAnsi" w:eastAsiaTheme="majorEastAsia" w:hAnsiTheme="minorHAnsi" w:cstheme="minorHAnsi"/>
          <w:sz w:val="22"/>
          <w:szCs w:val="22"/>
        </w:rPr>
        <w:t xml:space="preserve"> and pharmacists)</w:t>
      </w:r>
      <w:r w:rsidR="00E07ADB" w:rsidRPr="00550561">
        <w:rPr>
          <w:rStyle w:val="normaltextrun"/>
          <w:rFonts w:asciiTheme="minorHAnsi" w:eastAsiaTheme="majorEastAsia" w:hAnsiTheme="minorHAnsi" w:cstheme="minorHAnsi"/>
          <w:sz w:val="22"/>
          <w:szCs w:val="22"/>
        </w:rPr>
        <w:t xml:space="preserve"> </w:t>
      </w:r>
      <w:r w:rsidR="0085118A" w:rsidRPr="00550561">
        <w:rPr>
          <w:rStyle w:val="normaltextrun"/>
          <w:rFonts w:asciiTheme="minorHAnsi" w:eastAsiaTheme="majorEastAsia" w:hAnsiTheme="minorHAnsi" w:cstheme="minorHAnsi"/>
          <w:sz w:val="22"/>
          <w:szCs w:val="22"/>
        </w:rPr>
        <w:t xml:space="preserve">and online discussion forum </w:t>
      </w:r>
      <w:r w:rsidR="00875BBE" w:rsidRPr="00550561">
        <w:rPr>
          <w:rStyle w:val="normaltextrun"/>
          <w:rFonts w:asciiTheme="minorHAnsi" w:eastAsiaTheme="majorEastAsia" w:hAnsiTheme="minorHAnsi" w:cstheme="minorHAnsi"/>
          <w:sz w:val="22"/>
          <w:szCs w:val="22"/>
        </w:rPr>
        <w:t>showed</w:t>
      </w:r>
      <w:r w:rsidR="00296347" w:rsidRPr="00550561">
        <w:rPr>
          <w:rStyle w:val="normaltextrun"/>
          <w:rFonts w:asciiTheme="minorHAnsi" w:eastAsiaTheme="majorEastAsia" w:hAnsiTheme="minorHAnsi" w:cstheme="minorHAnsi"/>
          <w:sz w:val="22"/>
          <w:szCs w:val="22"/>
        </w:rPr>
        <w:t xml:space="preserve"> </w:t>
      </w:r>
      <w:r w:rsidR="00834E7E" w:rsidRPr="00550561">
        <w:rPr>
          <w:rStyle w:val="normaltextrun"/>
          <w:rFonts w:asciiTheme="minorHAnsi" w:eastAsiaTheme="majorEastAsia" w:hAnsiTheme="minorHAnsi" w:cstheme="minorHAnsi"/>
          <w:sz w:val="22"/>
          <w:szCs w:val="22"/>
        </w:rPr>
        <w:t xml:space="preserve">areas of the </w:t>
      </w:r>
      <w:r w:rsidR="00AF7E76" w:rsidRPr="00550561">
        <w:rPr>
          <w:rStyle w:val="normaltextrun"/>
          <w:rFonts w:asciiTheme="minorHAnsi" w:eastAsiaTheme="majorEastAsia" w:hAnsiTheme="minorHAnsi" w:cstheme="minorHAnsi"/>
          <w:sz w:val="22"/>
          <w:szCs w:val="22"/>
        </w:rPr>
        <w:t>proposed</w:t>
      </w:r>
      <w:r w:rsidR="00834E7E" w:rsidRPr="00550561">
        <w:rPr>
          <w:rStyle w:val="normaltextrun"/>
          <w:rFonts w:asciiTheme="minorHAnsi" w:eastAsiaTheme="majorEastAsia" w:hAnsiTheme="minorHAnsi" w:cstheme="minorHAnsi"/>
          <w:sz w:val="22"/>
          <w:szCs w:val="22"/>
        </w:rPr>
        <w:t xml:space="preserve"> PROMPPT review that were acceptable</w:t>
      </w:r>
      <w:r w:rsidR="00EC4590" w:rsidRPr="00550561">
        <w:rPr>
          <w:rStyle w:val="normaltextrun"/>
          <w:rFonts w:asciiTheme="minorHAnsi" w:eastAsiaTheme="majorEastAsia" w:hAnsiTheme="minorHAnsi" w:cstheme="minorHAnsi"/>
          <w:sz w:val="22"/>
          <w:szCs w:val="22"/>
        </w:rPr>
        <w:t xml:space="preserve"> and</w:t>
      </w:r>
      <w:r w:rsidR="0000006B" w:rsidRPr="00550561">
        <w:rPr>
          <w:rStyle w:val="normaltextrun"/>
          <w:rFonts w:asciiTheme="minorHAnsi" w:eastAsiaTheme="majorEastAsia" w:hAnsiTheme="minorHAnsi" w:cstheme="minorHAnsi"/>
          <w:sz w:val="22"/>
          <w:szCs w:val="22"/>
        </w:rPr>
        <w:t xml:space="preserve"> </w:t>
      </w:r>
      <w:r w:rsidR="00302128" w:rsidRPr="00550561">
        <w:rPr>
          <w:rStyle w:val="normaltextrun"/>
          <w:rFonts w:asciiTheme="minorHAnsi" w:eastAsiaTheme="majorEastAsia" w:hAnsiTheme="minorHAnsi" w:cstheme="minorHAnsi"/>
          <w:sz w:val="22"/>
          <w:szCs w:val="22"/>
        </w:rPr>
        <w:t xml:space="preserve">also recommendations for </w:t>
      </w:r>
      <w:r w:rsidR="005A1532" w:rsidRPr="00550561">
        <w:rPr>
          <w:rStyle w:val="normaltextrun"/>
          <w:rFonts w:asciiTheme="minorHAnsi" w:eastAsiaTheme="majorEastAsia" w:hAnsiTheme="minorHAnsi" w:cstheme="minorHAnsi"/>
          <w:sz w:val="22"/>
          <w:szCs w:val="22"/>
        </w:rPr>
        <w:t xml:space="preserve">changes or additional </w:t>
      </w:r>
      <w:r w:rsidR="00302128" w:rsidRPr="00550561">
        <w:rPr>
          <w:rStyle w:val="normaltextrun"/>
          <w:rFonts w:asciiTheme="minorHAnsi" w:eastAsiaTheme="majorEastAsia" w:hAnsiTheme="minorHAnsi" w:cstheme="minorHAnsi"/>
          <w:sz w:val="22"/>
          <w:szCs w:val="22"/>
        </w:rPr>
        <w:t xml:space="preserve">intervention content </w:t>
      </w:r>
      <w:r w:rsidR="00144545" w:rsidRPr="00550561">
        <w:rPr>
          <w:rStyle w:val="normaltextrun"/>
          <w:rFonts w:asciiTheme="minorHAnsi" w:eastAsiaTheme="majorEastAsia" w:hAnsiTheme="minorHAnsi" w:cstheme="minorHAnsi"/>
          <w:sz w:val="22"/>
          <w:szCs w:val="22"/>
        </w:rPr>
        <w:t xml:space="preserve">that could improve </w:t>
      </w:r>
      <w:r w:rsidR="0035364E" w:rsidRPr="00550561">
        <w:rPr>
          <w:rStyle w:val="normaltextrun"/>
          <w:rFonts w:asciiTheme="minorHAnsi" w:eastAsiaTheme="majorEastAsia" w:hAnsiTheme="minorHAnsi" w:cstheme="minorHAnsi"/>
          <w:sz w:val="22"/>
          <w:szCs w:val="22"/>
        </w:rPr>
        <w:t>its</w:t>
      </w:r>
      <w:r w:rsidR="00144545" w:rsidRPr="00550561">
        <w:rPr>
          <w:rStyle w:val="normaltextrun"/>
          <w:rFonts w:asciiTheme="minorHAnsi" w:eastAsiaTheme="majorEastAsia" w:hAnsiTheme="minorHAnsi" w:cstheme="minorHAnsi"/>
          <w:sz w:val="22"/>
          <w:szCs w:val="22"/>
        </w:rPr>
        <w:t xml:space="preserve"> acceptability</w:t>
      </w:r>
      <w:r w:rsidR="00BE0461" w:rsidRPr="00550561">
        <w:rPr>
          <w:rStyle w:val="normaltextrun"/>
          <w:rFonts w:asciiTheme="minorHAnsi" w:eastAsiaTheme="majorEastAsia" w:hAnsiTheme="minorHAnsi" w:cstheme="minorHAnsi"/>
          <w:sz w:val="22"/>
          <w:szCs w:val="22"/>
        </w:rPr>
        <w:t xml:space="preserve"> prior to prototype testing</w:t>
      </w:r>
      <w:r w:rsidR="00EC4590" w:rsidRPr="00550561">
        <w:rPr>
          <w:rStyle w:val="normaltextrun"/>
          <w:rFonts w:asciiTheme="minorHAnsi" w:eastAsiaTheme="majorEastAsia" w:hAnsiTheme="minorHAnsi" w:cstheme="minorHAnsi"/>
          <w:sz w:val="22"/>
          <w:szCs w:val="22"/>
        </w:rPr>
        <w:t>.</w:t>
      </w:r>
      <w:r w:rsidR="00EE6146" w:rsidRPr="00550561">
        <w:rPr>
          <w:rStyle w:val="normaltextrun"/>
          <w:rFonts w:asciiTheme="minorHAnsi" w:eastAsiaTheme="majorEastAsia" w:hAnsiTheme="minorHAnsi" w:cstheme="minorHAnsi"/>
          <w:sz w:val="22"/>
          <w:szCs w:val="22"/>
        </w:rPr>
        <w:t xml:space="preserve"> </w:t>
      </w:r>
      <w:r w:rsidR="00144545" w:rsidRPr="00550561">
        <w:rPr>
          <w:rStyle w:val="normaltextrun"/>
          <w:rFonts w:asciiTheme="minorHAnsi" w:eastAsiaTheme="majorEastAsia" w:hAnsiTheme="minorHAnsi" w:cstheme="minorHAnsi"/>
          <w:sz w:val="22"/>
          <w:szCs w:val="22"/>
        </w:rPr>
        <w:t xml:space="preserve"> </w:t>
      </w:r>
      <w:r w:rsidR="00F45979" w:rsidRPr="00550561">
        <w:rPr>
          <w:rStyle w:val="normaltextrun"/>
          <w:rFonts w:asciiTheme="minorHAnsi" w:eastAsiaTheme="majorEastAsia" w:hAnsiTheme="minorHAnsi" w:cstheme="minorHAnsi"/>
          <w:sz w:val="22"/>
          <w:szCs w:val="22"/>
        </w:rPr>
        <w:t xml:space="preserve">Findings from IPT informed </w:t>
      </w:r>
      <w:r w:rsidR="00B67C00" w:rsidRPr="00550561">
        <w:rPr>
          <w:rStyle w:val="normaltextrun"/>
          <w:rFonts w:asciiTheme="minorHAnsi" w:eastAsiaTheme="majorEastAsia" w:hAnsiTheme="minorHAnsi" w:cstheme="minorHAnsi"/>
          <w:sz w:val="22"/>
          <w:szCs w:val="22"/>
        </w:rPr>
        <w:t xml:space="preserve">intervention </w:t>
      </w:r>
      <w:r w:rsidR="00F45979" w:rsidRPr="00550561">
        <w:rPr>
          <w:rStyle w:val="normaltextrun"/>
          <w:rFonts w:asciiTheme="minorHAnsi" w:eastAsiaTheme="majorEastAsia" w:hAnsiTheme="minorHAnsi" w:cstheme="minorHAnsi"/>
          <w:sz w:val="22"/>
          <w:szCs w:val="22"/>
        </w:rPr>
        <w:t xml:space="preserve">refinement </w:t>
      </w:r>
      <w:r w:rsidR="00B67C00" w:rsidRPr="00550561">
        <w:rPr>
          <w:rStyle w:val="normaltextrun"/>
          <w:rFonts w:asciiTheme="minorHAnsi" w:eastAsiaTheme="majorEastAsia" w:hAnsiTheme="minorHAnsi" w:cstheme="minorHAnsi"/>
          <w:sz w:val="22"/>
          <w:szCs w:val="22"/>
        </w:rPr>
        <w:t xml:space="preserve">including </w:t>
      </w:r>
      <w:r w:rsidR="00F45979" w:rsidRPr="00550561">
        <w:rPr>
          <w:rStyle w:val="normaltextrun"/>
          <w:rFonts w:asciiTheme="minorHAnsi" w:eastAsiaTheme="majorEastAsia" w:hAnsiTheme="minorHAnsi" w:cstheme="minorHAnsi"/>
          <w:sz w:val="22"/>
          <w:szCs w:val="22"/>
        </w:rPr>
        <w:t xml:space="preserve">pharmacist training, prior to formal feasibility testing. </w:t>
      </w:r>
      <w:r w:rsidR="00DC3BB5" w:rsidRPr="00550561">
        <w:rPr>
          <w:rFonts w:asciiTheme="minorHAnsi" w:hAnsiTheme="minorHAnsi" w:cstheme="minorHAnsi"/>
          <w:sz w:val="22"/>
          <w:szCs w:val="22"/>
        </w:rPr>
        <w:t xml:space="preserve">Table </w:t>
      </w:r>
      <w:r w:rsidR="00D633FD" w:rsidRPr="00550561">
        <w:rPr>
          <w:rFonts w:asciiTheme="minorHAnsi" w:hAnsiTheme="minorHAnsi" w:cstheme="minorHAnsi"/>
          <w:sz w:val="22"/>
          <w:szCs w:val="22"/>
        </w:rPr>
        <w:t>6</w:t>
      </w:r>
      <w:r w:rsidR="00DC3BB5" w:rsidRPr="00550561">
        <w:rPr>
          <w:rFonts w:asciiTheme="minorHAnsi" w:hAnsiTheme="minorHAnsi" w:cstheme="minorHAnsi"/>
          <w:sz w:val="22"/>
          <w:szCs w:val="22"/>
        </w:rPr>
        <w:t xml:space="preserve"> presents the key findings and associated TFA construct from both prospective</w:t>
      </w:r>
      <w:r w:rsidR="004515BF" w:rsidRPr="00550561">
        <w:rPr>
          <w:rFonts w:asciiTheme="minorHAnsi" w:hAnsiTheme="minorHAnsi" w:cstheme="minorHAnsi"/>
          <w:sz w:val="22"/>
          <w:szCs w:val="22"/>
        </w:rPr>
        <w:t xml:space="preserve"> (interviews and ODF)</w:t>
      </w:r>
      <w:r w:rsidR="00DC3BB5" w:rsidRPr="00550561">
        <w:rPr>
          <w:rFonts w:asciiTheme="minorHAnsi" w:hAnsiTheme="minorHAnsi" w:cstheme="minorHAnsi"/>
          <w:sz w:val="22"/>
          <w:szCs w:val="22"/>
        </w:rPr>
        <w:t xml:space="preserve"> and experienced </w:t>
      </w:r>
      <w:r w:rsidR="004515BF" w:rsidRPr="00550561">
        <w:rPr>
          <w:rFonts w:asciiTheme="minorHAnsi" w:hAnsiTheme="minorHAnsi" w:cstheme="minorHAnsi"/>
          <w:sz w:val="22"/>
          <w:szCs w:val="22"/>
        </w:rPr>
        <w:t xml:space="preserve">(IPT) </w:t>
      </w:r>
      <w:r w:rsidR="00DC3BB5" w:rsidRPr="00550561">
        <w:rPr>
          <w:rFonts w:asciiTheme="minorHAnsi" w:hAnsiTheme="minorHAnsi" w:cstheme="minorHAnsi"/>
          <w:sz w:val="22"/>
          <w:szCs w:val="22"/>
        </w:rPr>
        <w:t xml:space="preserve">phases of the study, along with </w:t>
      </w:r>
      <w:r w:rsidR="00A602D0" w:rsidRPr="00550561">
        <w:rPr>
          <w:rFonts w:asciiTheme="minorHAnsi" w:hAnsiTheme="minorHAnsi" w:cstheme="minorHAnsi"/>
          <w:sz w:val="22"/>
          <w:szCs w:val="22"/>
        </w:rPr>
        <w:t xml:space="preserve">associated </w:t>
      </w:r>
      <w:r w:rsidR="00DC3BB5" w:rsidRPr="00550561">
        <w:rPr>
          <w:rFonts w:asciiTheme="minorHAnsi" w:hAnsiTheme="minorHAnsi" w:cstheme="minorHAnsi"/>
          <w:sz w:val="22"/>
          <w:szCs w:val="22"/>
        </w:rPr>
        <w:t xml:space="preserve">recommendations for </w:t>
      </w:r>
      <w:r w:rsidR="00A602D0" w:rsidRPr="00550561">
        <w:rPr>
          <w:rFonts w:asciiTheme="minorHAnsi" w:hAnsiTheme="minorHAnsi" w:cstheme="minorHAnsi"/>
          <w:sz w:val="22"/>
          <w:szCs w:val="22"/>
        </w:rPr>
        <w:t>intervention content</w:t>
      </w:r>
      <w:r w:rsidR="00DC3BB5" w:rsidRPr="00550561">
        <w:rPr>
          <w:rFonts w:asciiTheme="minorHAnsi" w:hAnsiTheme="minorHAnsi" w:cstheme="minorHAnsi"/>
          <w:sz w:val="22"/>
          <w:szCs w:val="22"/>
        </w:rPr>
        <w:t xml:space="preserve">. </w:t>
      </w:r>
    </w:p>
    <w:p w14:paraId="412547B4" w14:textId="3ACC37D7" w:rsidR="003A7BD9" w:rsidRPr="00550561" w:rsidRDefault="003A7BD9" w:rsidP="003B3D48">
      <w:pPr>
        <w:spacing w:line="360" w:lineRule="auto"/>
        <w:sectPr w:rsidR="003A7BD9" w:rsidRPr="00550561" w:rsidSect="00CD62A5">
          <w:pgSz w:w="11906" w:h="16838"/>
          <w:pgMar w:top="1440" w:right="1440" w:bottom="1440" w:left="1440" w:header="708" w:footer="708" w:gutter="0"/>
          <w:cols w:space="708"/>
          <w:docGrid w:linePitch="360"/>
        </w:sectPr>
      </w:pPr>
    </w:p>
    <w:p w14:paraId="5136FCDA" w14:textId="1B361396" w:rsidR="00B852EE" w:rsidRPr="006F4394" w:rsidRDefault="00B852EE" w:rsidP="00B852EE">
      <w:pPr>
        <w:pStyle w:val="Caption"/>
        <w:keepNext/>
        <w:rPr>
          <w:b/>
          <w:bCs/>
          <w:i w:val="0"/>
          <w:iCs w:val="0"/>
          <w:color w:val="auto"/>
          <w:sz w:val="22"/>
          <w:szCs w:val="22"/>
        </w:rPr>
      </w:pPr>
      <w:r w:rsidRPr="006F4394">
        <w:rPr>
          <w:b/>
          <w:bCs/>
          <w:i w:val="0"/>
          <w:iCs w:val="0"/>
          <w:color w:val="auto"/>
          <w:sz w:val="22"/>
          <w:szCs w:val="22"/>
        </w:rPr>
        <w:t xml:space="preserve">Table </w:t>
      </w:r>
      <w:r w:rsidR="00D633FD" w:rsidRPr="006F4394">
        <w:rPr>
          <w:b/>
          <w:bCs/>
          <w:i w:val="0"/>
          <w:iCs w:val="0"/>
          <w:color w:val="auto"/>
          <w:sz w:val="22"/>
          <w:szCs w:val="22"/>
        </w:rPr>
        <w:t>6</w:t>
      </w:r>
      <w:r w:rsidRPr="006F4394">
        <w:rPr>
          <w:b/>
          <w:bCs/>
          <w:i w:val="0"/>
          <w:iCs w:val="0"/>
          <w:color w:val="FF0000"/>
          <w:sz w:val="22"/>
          <w:szCs w:val="22"/>
        </w:rPr>
        <w:t>.</w:t>
      </w:r>
      <w:r w:rsidR="003D6761" w:rsidRPr="006F4394">
        <w:rPr>
          <w:b/>
          <w:bCs/>
          <w:i w:val="0"/>
          <w:iCs w:val="0"/>
          <w:color w:val="FF0000"/>
          <w:sz w:val="22"/>
          <w:szCs w:val="22"/>
        </w:rPr>
        <w:t xml:space="preserve"> </w:t>
      </w:r>
      <w:r w:rsidR="003D6761" w:rsidRPr="006F4394">
        <w:rPr>
          <w:b/>
          <w:bCs/>
          <w:i w:val="0"/>
          <w:iCs w:val="0"/>
          <w:color w:val="auto"/>
          <w:sz w:val="22"/>
          <w:szCs w:val="22"/>
        </w:rPr>
        <w:t>Key findings and</w:t>
      </w:r>
      <w:r w:rsidR="00DA339D" w:rsidRPr="006F4394">
        <w:rPr>
          <w:b/>
          <w:bCs/>
          <w:i w:val="0"/>
          <w:iCs w:val="0"/>
          <w:color w:val="auto"/>
          <w:sz w:val="22"/>
          <w:szCs w:val="22"/>
        </w:rPr>
        <w:t xml:space="preserve"> </w:t>
      </w:r>
      <w:r w:rsidR="00661E2C" w:rsidRPr="006F4394">
        <w:rPr>
          <w:b/>
          <w:bCs/>
          <w:i w:val="0"/>
          <w:iCs w:val="0"/>
          <w:color w:val="auto"/>
          <w:sz w:val="22"/>
          <w:szCs w:val="22"/>
        </w:rPr>
        <w:t>associated</w:t>
      </w:r>
      <w:r w:rsidR="00DA339D" w:rsidRPr="006F4394">
        <w:rPr>
          <w:b/>
          <w:bCs/>
          <w:i w:val="0"/>
          <w:iCs w:val="0"/>
          <w:color w:val="auto"/>
          <w:sz w:val="22"/>
          <w:szCs w:val="22"/>
        </w:rPr>
        <w:t xml:space="preserve"> r</w:t>
      </w:r>
      <w:r w:rsidRPr="006F4394">
        <w:rPr>
          <w:b/>
          <w:bCs/>
          <w:i w:val="0"/>
          <w:iCs w:val="0"/>
          <w:color w:val="auto"/>
          <w:sz w:val="22"/>
          <w:szCs w:val="22"/>
        </w:rPr>
        <w:t xml:space="preserve">ecommendations for </w:t>
      </w:r>
      <w:r w:rsidR="00B75C43" w:rsidRPr="006F4394">
        <w:rPr>
          <w:b/>
          <w:bCs/>
          <w:i w:val="0"/>
          <w:iCs w:val="0"/>
          <w:color w:val="auto"/>
          <w:sz w:val="22"/>
          <w:szCs w:val="22"/>
        </w:rPr>
        <w:t>PROMPPT</w:t>
      </w:r>
      <w:r w:rsidRPr="006F4394">
        <w:rPr>
          <w:b/>
          <w:bCs/>
          <w:i w:val="0"/>
          <w:iCs w:val="0"/>
          <w:color w:val="auto"/>
          <w:sz w:val="22"/>
          <w:szCs w:val="22"/>
        </w:rPr>
        <w:t xml:space="preserve"> from prospective and experienced acceptability</w:t>
      </w:r>
    </w:p>
    <w:tbl>
      <w:tblPr>
        <w:tblStyle w:val="TableGrid"/>
        <w:tblW w:w="14454" w:type="dxa"/>
        <w:tblLook w:val="04A0" w:firstRow="1" w:lastRow="0" w:firstColumn="1" w:lastColumn="0" w:noHBand="0" w:noVBand="1"/>
      </w:tblPr>
      <w:tblGrid>
        <w:gridCol w:w="1309"/>
        <w:gridCol w:w="2301"/>
        <w:gridCol w:w="4257"/>
        <w:gridCol w:w="2504"/>
        <w:gridCol w:w="4083"/>
      </w:tblGrid>
      <w:tr w:rsidR="007F2A61" w:rsidRPr="00550561" w14:paraId="2C95DBB5" w14:textId="77777777" w:rsidTr="00B57446">
        <w:trPr>
          <w:tblHeader/>
        </w:trPr>
        <w:tc>
          <w:tcPr>
            <w:tcW w:w="1287" w:type="dxa"/>
            <w:tcBorders>
              <w:bottom w:val="nil"/>
            </w:tcBorders>
          </w:tcPr>
          <w:p w14:paraId="3FFE92F1" w14:textId="77777777" w:rsidR="007F2A61" w:rsidRPr="00550561" w:rsidRDefault="007F2A61" w:rsidP="00F4006F">
            <w:pPr>
              <w:rPr>
                <w:b/>
                <w:bCs/>
                <w:sz w:val="20"/>
                <w:szCs w:val="20"/>
              </w:rPr>
            </w:pPr>
          </w:p>
        </w:tc>
        <w:tc>
          <w:tcPr>
            <w:tcW w:w="6569" w:type="dxa"/>
            <w:gridSpan w:val="2"/>
            <w:tcBorders>
              <w:bottom w:val="nil"/>
            </w:tcBorders>
          </w:tcPr>
          <w:p w14:paraId="2457F225" w14:textId="35851CC1" w:rsidR="007F2A61" w:rsidRPr="00550561" w:rsidRDefault="00B00D26" w:rsidP="00F4006F">
            <w:pPr>
              <w:jc w:val="center"/>
              <w:rPr>
                <w:b/>
                <w:bCs/>
                <w:sz w:val="20"/>
                <w:szCs w:val="20"/>
                <w:u w:val="single"/>
              </w:rPr>
            </w:pPr>
            <w:r w:rsidRPr="00550561">
              <w:rPr>
                <w:b/>
                <w:bCs/>
                <w:sz w:val="20"/>
                <w:szCs w:val="20"/>
                <w:u w:val="single"/>
              </w:rPr>
              <w:t>Prospective acceptability of proposed PROMPPT review</w:t>
            </w:r>
          </w:p>
        </w:tc>
        <w:tc>
          <w:tcPr>
            <w:tcW w:w="6598" w:type="dxa"/>
            <w:gridSpan w:val="2"/>
            <w:tcBorders>
              <w:bottom w:val="nil"/>
            </w:tcBorders>
          </w:tcPr>
          <w:p w14:paraId="5CF13547" w14:textId="02F3250A" w:rsidR="007F2A61" w:rsidRPr="00550561" w:rsidRDefault="00B00D26" w:rsidP="00F4006F">
            <w:pPr>
              <w:jc w:val="center"/>
              <w:rPr>
                <w:b/>
                <w:bCs/>
                <w:sz w:val="20"/>
                <w:szCs w:val="20"/>
                <w:u w:val="single"/>
              </w:rPr>
            </w:pPr>
            <w:r w:rsidRPr="00550561">
              <w:rPr>
                <w:b/>
                <w:bCs/>
                <w:sz w:val="20"/>
                <w:szCs w:val="20"/>
                <w:u w:val="single"/>
              </w:rPr>
              <w:t>Experienced acceptability of prototype PROMPPT review</w:t>
            </w:r>
          </w:p>
        </w:tc>
      </w:tr>
      <w:tr w:rsidR="007F2A61" w:rsidRPr="00550561" w14:paraId="5EF381FE" w14:textId="77777777" w:rsidTr="00B57446">
        <w:trPr>
          <w:tblHeader/>
        </w:trPr>
        <w:tc>
          <w:tcPr>
            <w:tcW w:w="1287" w:type="dxa"/>
            <w:tcBorders>
              <w:top w:val="nil"/>
              <w:bottom w:val="single" w:sz="4" w:space="0" w:color="auto"/>
            </w:tcBorders>
            <w:vAlign w:val="center"/>
          </w:tcPr>
          <w:p w14:paraId="0C1A6C59" w14:textId="77777777" w:rsidR="007F2A61" w:rsidRPr="00550561" w:rsidRDefault="007F2A61" w:rsidP="00F4006F">
            <w:pPr>
              <w:jc w:val="center"/>
              <w:rPr>
                <w:b/>
                <w:bCs/>
                <w:sz w:val="20"/>
                <w:szCs w:val="20"/>
              </w:rPr>
            </w:pPr>
            <w:r w:rsidRPr="00550561">
              <w:rPr>
                <w:b/>
                <w:bCs/>
                <w:sz w:val="20"/>
                <w:szCs w:val="20"/>
              </w:rPr>
              <w:t>TFA</w:t>
            </w:r>
            <w:r w:rsidRPr="00550561">
              <w:rPr>
                <w:b/>
                <w:bCs/>
                <w:sz w:val="20"/>
                <w:szCs w:val="20"/>
                <w:vertAlign w:val="superscript"/>
              </w:rPr>
              <w:t>*</w:t>
            </w:r>
            <w:r w:rsidRPr="00550561">
              <w:rPr>
                <w:b/>
                <w:bCs/>
                <w:sz w:val="20"/>
                <w:szCs w:val="20"/>
              </w:rPr>
              <w:t xml:space="preserve"> construct</w:t>
            </w:r>
          </w:p>
        </w:tc>
        <w:tc>
          <w:tcPr>
            <w:tcW w:w="2304" w:type="dxa"/>
            <w:tcBorders>
              <w:top w:val="nil"/>
              <w:right w:val="nil"/>
            </w:tcBorders>
            <w:vAlign w:val="center"/>
          </w:tcPr>
          <w:p w14:paraId="6CBB51A5" w14:textId="77777777" w:rsidR="007F2A61" w:rsidRPr="00550561" w:rsidRDefault="007F2A61" w:rsidP="00F4006F">
            <w:pPr>
              <w:jc w:val="center"/>
              <w:rPr>
                <w:b/>
                <w:bCs/>
                <w:sz w:val="20"/>
                <w:szCs w:val="20"/>
              </w:rPr>
            </w:pPr>
            <w:r w:rsidRPr="00550561">
              <w:rPr>
                <w:b/>
                <w:bCs/>
                <w:sz w:val="20"/>
                <w:szCs w:val="20"/>
              </w:rPr>
              <w:t>Key finding</w:t>
            </w:r>
          </w:p>
        </w:tc>
        <w:tc>
          <w:tcPr>
            <w:tcW w:w="4265" w:type="dxa"/>
            <w:tcBorders>
              <w:top w:val="nil"/>
              <w:left w:val="nil"/>
              <w:bottom w:val="single" w:sz="4" w:space="0" w:color="auto"/>
            </w:tcBorders>
            <w:vAlign w:val="center"/>
          </w:tcPr>
          <w:p w14:paraId="6938136F" w14:textId="77777777" w:rsidR="007F2A61" w:rsidRPr="00550561" w:rsidRDefault="007F2A61" w:rsidP="00F4006F">
            <w:pPr>
              <w:jc w:val="center"/>
              <w:rPr>
                <w:b/>
                <w:bCs/>
                <w:sz w:val="20"/>
                <w:szCs w:val="20"/>
              </w:rPr>
            </w:pPr>
            <w:r w:rsidRPr="00550561">
              <w:rPr>
                <w:b/>
                <w:bCs/>
                <w:sz w:val="20"/>
                <w:szCs w:val="20"/>
              </w:rPr>
              <w:t>Recommendation for IPT</w:t>
            </w:r>
          </w:p>
        </w:tc>
        <w:tc>
          <w:tcPr>
            <w:tcW w:w="2507" w:type="dxa"/>
            <w:tcBorders>
              <w:top w:val="nil"/>
              <w:bottom w:val="single" w:sz="4" w:space="0" w:color="auto"/>
              <w:right w:val="nil"/>
            </w:tcBorders>
            <w:vAlign w:val="center"/>
          </w:tcPr>
          <w:p w14:paraId="274E8A21" w14:textId="77777777" w:rsidR="007F2A61" w:rsidRPr="00550561" w:rsidRDefault="007F2A61" w:rsidP="00F4006F">
            <w:pPr>
              <w:jc w:val="center"/>
              <w:rPr>
                <w:b/>
                <w:bCs/>
                <w:sz w:val="20"/>
                <w:szCs w:val="20"/>
              </w:rPr>
            </w:pPr>
            <w:r w:rsidRPr="00550561">
              <w:rPr>
                <w:b/>
                <w:bCs/>
                <w:sz w:val="20"/>
                <w:szCs w:val="20"/>
              </w:rPr>
              <w:t>Key Finding after IPT</w:t>
            </w:r>
            <w:r w:rsidRPr="00550561">
              <w:rPr>
                <w:b/>
                <w:bCs/>
                <w:sz w:val="20"/>
                <w:szCs w:val="20"/>
                <w:vertAlign w:val="superscript"/>
              </w:rPr>
              <w:t>**</w:t>
            </w:r>
          </w:p>
        </w:tc>
        <w:tc>
          <w:tcPr>
            <w:tcW w:w="4091" w:type="dxa"/>
            <w:tcBorders>
              <w:top w:val="nil"/>
              <w:left w:val="nil"/>
              <w:bottom w:val="single" w:sz="4" w:space="0" w:color="auto"/>
            </w:tcBorders>
            <w:vAlign w:val="center"/>
          </w:tcPr>
          <w:p w14:paraId="0B15D0AF" w14:textId="77777777" w:rsidR="007F2A61" w:rsidRPr="00550561" w:rsidRDefault="007F2A61" w:rsidP="00F4006F">
            <w:pPr>
              <w:jc w:val="center"/>
              <w:rPr>
                <w:b/>
                <w:bCs/>
                <w:sz w:val="20"/>
                <w:szCs w:val="20"/>
              </w:rPr>
            </w:pPr>
            <w:r w:rsidRPr="00550561">
              <w:rPr>
                <w:b/>
                <w:bCs/>
                <w:sz w:val="20"/>
                <w:szCs w:val="20"/>
              </w:rPr>
              <w:t>Recommendation for Feasibility study</w:t>
            </w:r>
          </w:p>
        </w:tc>
      </w:tr>
      <w:tr w:rsidR="00B4271D" w:rsidRPr="00550561" w14:paraId="343A7056" w14:textId="77777777" w:rsidTr="00DF217F">
        <w:tc>
          <w:tcPr>
            <w:tcW w:w="1287" w:type="dxa"/>
            <w:tcBorders>
              <w:top w:val="nil"/>
              <w:bottom w:val="single" w:sz="4" w:space="0" w:color="auto"/>
            </w:tcBorders>
            <w:vAlign w:val="center"/>
          </w:tcPr>
          <w:p w14:paraId="5E8C5AFF" w14:textId="6A63C16B" w:rsidR="00B4271D" w:rsidRPr="00550561" w:rsidRDefault="00B4271D" w:rsidP="00DF217F">
            <w:pPr>
              <w:jc w:val="center"/>
              <w:rPr>
                <w:b/>
                <w:bCs/>
                <w:sz w:val="20"/>
                <w:szCs w:val="20"/>
              </w:rPr>
            </w:pPr>
            <w:r w:rsidRPr="00550561">
              <w:rPr>
                <w:b/>
                <w:bCs/>
                <w:sz w:val="20"/>
                <w:szCs w:val="20"/>
              </w:rPr>
              <w:t>Global acceptability</w:t>
            </w:r>
          </w:p>
        </w:tc>
        <w:tc>
          <w:tcPr>
            <w:tcW w:w="2304" w:type="dxa"/>
            <w:tcBorders>
              <w:top w:val="nil"/>
              <w:right w:val="nil"/>
            </w:tcBorders>
            <w:vAlign w:val="center"/>
          </w:tcPr>
          <w:p w14:paraId="498BD4C2" w14:textId="55894E39" w:rsidR="00B4271D" w:rsidRPr="00550561" w:rsidRDefault="009F29BE" w:rsidP="00DF217F">
            <w:pPr>
              <w:jc w:val="center"/>
              <w:rPr>
                <w:sz w:val="20"/>
                <w:szCs w:val="20"/>
              </w:rPr>
            </w:pPr>
            <w:r w:rsidRPr="00550561">
              <w:rPr>
                <w:sz w:val="20"/>
                <w:szCs w:val="20"/>
              </w:rPr>
              <w:t xml:space="preserve">PROMPPT </w:t>
            </w:r>
            <w:r w:rsidR="00CE1A0C" w:rsidRPr="00550561">
              <w:rPr>
                <w:sz w:val="20"/>
                <w:szCs w:val="20"/>
              </w:rPr>
              <w:t xml:space="preserve">reviews generally acceptable to </w:t>
            </w:r>
            <w:r w:rsidR="00B65003" w:rsidRPr="00550561">
              <w:rPr>
                <w:sz w:val="20"/>
                <w:szCs w:val="20"/>
              </w:rPr>
              <w:t>patients</w:t>
            </w:r>
          </w:p>
        </w:tc>
        <w:tc>
          <w:tcPr>
            <w:tcW w:w="4265" w:type="dxa"/>
            <w:tcBorders>
              <w:top w:val="nil"/>
              <w:left w:val="nil"/>
              <w:bottom w:val="single" w:sz="4" w:space="0" w:color="auto"/>
            </w:tcBorders>
            <w:vAlign w:val="center"/>
          </w:tcPr>
          <w:p w14:paraId="146DF471" w14:textId="5AEC3C26" w:rsidR="00B4271D" w:rsidRPr="00550561" w:rsidRDefault="005E648A" w:rsidP="00DF217F">
            <w:pPr>
              <w:jc w:val="center"/>
              <w:rPr>
                <w:b/>
                <w:bCs/>
                <w:sz w:val="20"/>
                <w:szCs w:val="20"/>
              </w:rPr>
            </w:pPr>
            <w:r w:rsidRPr="00550561">
              <w:rPr>
                <w:sz w:val="20"/>
                <w:szCs w:val="20"/>
              </w:rPr>
              <w:t xml:space="preserve">Acceptable – </w:t>
            </w:r>
            <w:r w:rsidR="00414D25" w:rsidRPr="00550561">
              <w:rPr>
                <w:sz w:val="20"/>
                <w:szCs w:val="20"/>
              </w:rPr>
              <w:t xml:space="preserve">continue with focus on </w:t>
            </w:r>
            <w:r w:rsidR="001D452E" w:rsidRPr="00550561">
              <w:rPr>
                <w:sz w:val="20"/>
                <w:szCs w:val="20"/>
              </w:rPr>
              <w:t>pharmacist</w:t>
            </w:r>
            <w:r w:rsidR="001D1098" w:rsidRPr="00550561">
              <w:rPr>
                <w:sz w:val="20"/>
                <w:szCs w:val="20"/>
              </w:rPr>
              <w:t>-</w:t>
            </w:r>
            <w:r w:rsidR="001D452E" w:rsidRPr="00550561">
              <w:rPr>
                <w:sz w:val="20"/>
                <w:szCs w:val="20"/>
              </w:rPr>
              <w:t>led review</w:t>
            </w:r>
          </w:p>
        </w:tc>
        <w:tc>
          <w:tcPr>
            <w:tcW w:w="2507" w:type="dxa"/>
            <w:tcBorders>
              <w:top w:val="nil"/>
              <w:bottom w:val="single" w:sz="4" w:space="0" w:color="auto"/>
              <w:right w:val="nil"/>
            </w:tcBorders>
            <w:vAlign w:val="center"/>
          </w:tcPr>
          <w:p w14:paraId="59473DFC" w14:textId="7276B01F" w:rsidR="00B4271D" w:rsidRPr="00550561" w:rsidRDefault="00CE1A0C" w:rsidP="00DF217F">
            <w:pPr>
              <w:jc w:val="center"/>
              <w:rPr>
                <w:sz w:val="20"/>
                <w:szCs w:val="20"/>
              </w:rPr>
            </w:pPr>
            <w:r w:rsidRPr="00550561">
              <w:rPr>
                <w:sz w:val="20"/>
                <w:szCs w:val="20"/>
              </w:rPr>
              <w:t xml:space="preserve">Initial </w:t>
            </w:r>
            <w:r w:rsidR="00DF217F" w:rsidRPr="00550561">
              <w:rPr>
                <w:sz w:val="20"/>
                <w:szCs w:val="20"/>
              </w:rPr>
              <w:t xml:space="preserve">PROMPPT </w:t>
            </w:r>
            <w:r w:rsidRPr="00550561">
              <w:rPr>
                <w:sz w:val="20"/>
                <w:szCs w:val="20"/>
              </w:rPr>
              <w:t xml:space="preserve">review was </w:t>
            </w:r>
            <w:r w:rsidR="001F0C1A" w:rsidRPr="00550561">
              <w:rPr>
                <w:sz w:val="20"/>
                <w:szCs w:val="20"/>
              </w:rPr>
              <w:t xml:space="preserve">helpful and </w:t>
            </w:r>
            <w:r w:rsidR="0066688A" w:rsidRPr="00550561">
              <w:rPr>
                <w:sz w:val="20"/>
                <w:szCs w:val="20"/>
              </w:rPr>
              <w:t>enjoyable</w:t>
            </w:r>
          </w:p>
        </w:tc>
        <w:tc>
          <w:tcPr>
            <w:tcW w:w="4091" w:type="dxa"/>
            <w:tcBorders>
              <w:top w:val="nil"/>
              <w:left w:val="nil"/>
              <w:bottom w:val="single" w:sz="4" w:space="0" w:color="auto"/>
            </w:tcBorders>
            <w:vAlign w:val="center"/>
          </w:tcPr>
          <w:p w14:paraId="1D21C976" w14:textId="2D4884CB" w:rsidR="00B4271D" w:rsidRPr="00550561" w:rsidRDefault="000C4FA0" w:rsidP="00DF217F">
            <w:pPr>
              <w:jc w:val="center"/>
              <w:rPr>
                <w:b/>
                <w:bCs/>
                <w:sz w:val="20"/>
                <w:szCs w:val="20"/>
              </w:rPr>
            </w:pPr>
            <w:r w:rsidRPr="00550561">
              <w:rPr>
                <w:sz w:val="20"/>
                <w:szCs w:val="20"/>
              </w:rPr>
              <w:t xml:space="preserve">Acceptable – </w:t>
            </w:r>
            <w:r w:rsidR="00282B7C" w:rsidRPr="00550561">
              <w:rPr>
                <w:sz w:val="20"/>
                <w:szCs w:val="20"/>
              </w:rPr>
              <w:t>continue with focus on pharmacist</w:t>
            </w:r>
            <w:r w:rsidR="001D1098" w:rsidRPr="00550561">
              <w:rPr>
                <w:sz w:val="20"/>
                <w:szCs w:val="20"/>
              </w:rPr>
              <w:t>-</w:t>
            </w:r>
            <w:r w:rsidR="00282B7C" w:rsidRPr="00550561">
              <w:rPr>
                <w:sz w:val="20"/>
                <w:szCs w:val="20"/>
              </w:rPr>
              <w:t>led review</w:t>
            </w:r>
          </w:p>
        </w:tc>
      </w:tr>
      <w:tr w:rsidR="00AA575F" w:rsidRPr="00550561" w14:paraId="3C16F098" w14:textId="77777777" w:rsidTr="00DF217F">
        <w:trPr>
          <w:trHeight w:val="1070"/>
        </w:trPr>
        <w:tc>
          <w:tcPr>
            <w:tcW w:w="1287" w:type="dxa"/>
            <w:vMerge w:val="restart"/>
            <w:tcBorders>
              <w:right w:val="single" w:sz="4" w:space="0" w:color="auto"/>
            </w:tcBorders>
            <w:vAlign w:val="center"/>
          </w:tcPr>
          <w:p w14:paraId="2193F9D3" w14:textId="4638AD04" w:rsidR="00AA575F" w:rsidRPr="00550561" w:rsidRDefault="00AA575F" w:rsidP="00DF217F">
            <w:pPr>
              <w:jc w:val="center"/>
              <w:rPr>
                <w:b/>
                <w:bCs/>
                <w:sz w:val="20"/>
                <w:szCs w:val="20"/>
              </w:rPr>
            </w:pPr>
            <w:r w:rsidRPr="00550561">
              <w:rPr>
                <w:b/>
                <w:bCs/>
                <w:sz w:val="20"/>
                <w:szCs w:val="20"/>
              </w:rPr>
              <w:t>Affective attitude</w:t>
            </w:r>
          </w:p>
        </w:tc>
        <w:tc>
          <w:tcPr>
            <w:tcW w:w="2304" w:type="dxa"/>
            <w:tcBorders>
              <w:left w:val="single" w:sz="4" w:space="0" w:color="auto"/>
              <w:bottom w:val="dashSmallGap" w:sz="4" w:space="0" w:color="7F7F7F" w:themeColor="text1" w:themeTint="80"/>
              <w:right w:val="nil"/>
            </w:tcBorders>
            <w:vAlign w:val="center"/>
          </w:tcPr>
          <w:p w14:paraId="44E3DBE2" w14:textId="65FE631D" w:rsidR="00AA575F" w:rsidRPr="00550561" w:rsidRDefault="00AA575F" w:rsidP="00DF217F">
            <w:pPr>
              <w:jc w:val="center"/>
              <w:rPr>
                <w:sz w:val="20"/>
                <w:szCs w:val="20"/>
              </w:rPr>
            </w:pPr>
            <w:r w:rsidRPr="00550561">
              <w:rPr>
                <w:sz w:val="20"/>
                <w:szCs w:val="20"/>
              </w:rPr>
              <w:t xml:space="preserve">Positive attitude towards pharmacists </w:t>
            </w:r>
            <w:r w:rsidR="00403537" w:rsidRPr="00550561">
              <w:rPr>
                <w:sz w:val="20"/>
                <w:szCs w:val="20"/>
              </w:rPr>
              <w:t>delivering PROMPPT</w:t>
            </w:r>
          </w:p>
        </w:tc>
        <w:tc>
          <w:tcPr>
            <w:tcW w:w="4265" w:type="dxa"/>
            <w:tcBorders>
              <w:left w:val="nil"/>
              <w:bottom w:val="dashSmallGap" w:sz="4" w:space="0" w:color="7F7F7F" w:themeColor="text1" w:themeTint="80"/>
            </w:tcBorders>
            <w:vAlign w:val="center"/>
          </w:tcPr>
          <w:p w14:paraId="74774AD5" w14:textId="24C17E49" w:rsidR="00282B7C" w:rsidRPr="00550561" w:rsidRDefault="005E648A" w:rsidP="00DF217F">
            <w:pPr>
              <w:jc w:val="center"/>
              <w:rPr>
                <w:sz w:val="20"/>
                <w:szCs w:val="20"/>
              </w:rPr>
            </w:pPr>
            <w:r w:rsidRPr="00550561">
              <w:rPr>
                <w:sz w:val="20"/>
                <w:szCs w:val="20"/>
              </w:rPr>
              <w:t xml:space="preserve">Acceptable </w:t>
            </w:r>
            <w:r w:rsidR="00282B7C" w:rsidRPr="00550561">
              <w:rPr>
                <w:sz w:val="20"/>
                <w:szCs w:val="20"/>
              </w:rPr>
              <w:t xml:space="preserve">– </w:t>
            </w:r>
            <w:r w:rsidR="00125999" w:rsidRPr="00550561">
              <w:rPr>
                <w:sz w:val="20"/>
                <w:szCs w:val="20"/>
              </w:rPr>
              <w:t>continue with focus on pharmacist</w:t>
            </w:r>
            <w:r w:rsidR="001D1098" w:rsidRPr="00550561">
              <w:rPr>
                <w:sz w:val="20"/>
                <w:szCs w:val="20"/>
              </w:rPr>
              <w:t xml:space="preserve">-led </w:t>
            </w:r>
            <w:r w:rsidR="00125999" w:rsidRPr="00550561">
              <w:rPr>
                <w:sz w:val="20"/>
                <w:szCs w:val="20"/>
              </w:rPr>
              <w:t>review</w:t>
            </w:r>
          </w:p>
        </w:tc>
        <w:tc>
          <w:tcPr>
            <w:tcW w:w="2507" w:type="dxa"/>
            <w:tcBorders>
              <w:bottom w:val="dashSmallGap" w:sz="4" w:space="0" w:color="7F7F7F" w:themeColor="text1" w:themeTint="80"/>
              <w:right w:val="nil"/>
            </w:tcBorders>
            <w:vAlign w:val="center"/>
          </w:tcPr>
          <w:p w14:paraId="1F7ED680" w14:textId="78F20DE0" w:rsidR="00AA575F" w:rsidRPr="00550561" w:rsidRDefault="00403537" w:rsidP="00DF217F">
            <w:pPr>
              <w:jc w:val="center"/>
              <w:rPr>
                <w:sz w:val="20"/>
                <w:szCs w:val="20"/>
              </w:rPr>
            </w:pPr>
            <w:r w:rsidRPr="00550561">
              <w:rPr>
                <w:sz w:val="20"/>
                <w:szCs w:val="20"/>
              </w:rPr>
              <w:t xml:space="preserve">Pharmacists are approachable, qualified and knowledgeable and should be involved in </w:t>
            </w:r>
            <w:r w:rsidR="005E648A" w:rsidRPr="00550561">
              <w:rPr>
                <w:sz w:val="20"/>
                <w:szCs w:val="20"/>
              </w:rPr>
              <w:t>delivering PROMPPT</w:t>
            </w:r>
          </w:p>
        </w:tc>
        <w:tc>
          <w:tcPr>
            <w:tcW w:w="4091" w:type="dxa"/>
            <w:tcBorders>
              <w:left w:val="nil"/>
              <w:bottom w:val="dashSmallGap" w:sz="4" w:space="0" w:color="7F7F7F" w:themeColor="text1" w:themeTint="80"/>
            </w:tcBorders>
            <w:vAlign w:val="center"/>
          </w:tcPr>
          <w:p w14:paraId="5FF7AF8F" w14:textId="64E18519" w:rsidR="00AA575F" w:rsidRPr="00550561" w:rsidRDefault="005E648A" w:rsidP="00DF217F">
            <w:pPr>
              <w:jc w:val="center"/>
              <w:rPr>
                <w:sz w:val="20"/>
                <w:szCs w:val="20"/>
              </w:rPr>
            </w:pPr>
            <w:r w:rsidRPr="00550561">
              <w:rPr>
                <w:sz w:val="20"/>
                <w:szCs w:val="20"/>
              </w:rPr>
              <w:t xml:space="preserve">Acceptable – </w:t>
            </w:r>
            <w:r w:rsidR="00282B7C" w:rsidRPr="00550561">
              <w:rPr>
                <w:sz w:val="20"/>
                <w:szCs w:val="20"/>
              </w:rPr>
              <w:t>continue with focus on pharmacist</w:t>
            </w:r>
            <w:r w:rsidR="001D1098" w:rsidRPr="00550561">
              <w:rPr>
                <w:sz w:val="20"/>
                <w:szCs w:val="20"/>
              </w:rPr>
              <w:t xml:space="preserve">-led </w:t>
            </w:r>
            <w:r w:rsidR="00282B7C" w:rsidRPr="00550561">
              <w:rPr>
                <w:sz w:val="20"/>
                <w:szCs w:val="20"/>
              </w:rPr>
              <w:t>review</w:t>
            </w:r>
          </w:p>
        </w:tc>
      </w:tr>
      <w:tr w:rsidR="00AA575F" w:rsidRPr="00550561" w14:paraId="56523894" w14:textId="77777777" w:rsidTr="00DF217F">
        <w:trPr>
          <w:trHeight w:val="1070"/>
        </w:trPr>
        <w:tc>
          <w:tcPr>
            <w:tcW w:w="1287" w:type="dxa"/>
            <w:vMerge/>
            <w:tcBorders>
              <w:right w:val="single" w:sz="4" w:space="0" w:color="auto"/>
            </w:tcBorders>
            <w:vAlign w:val="center"/>
          </w:tcPr>
          <w:p w14:paraId="3ECEE4DC" w14:textId="30A1F764" w:rsidR="00AA575F" w:rsidRPr="00550561" w:rsidRDefault="00AA575F" w:rsidP="00DF217F">
            <w:pPr>
              <w:jc w:val="center"/>
              <w:rPr>
                <w:b/>
                <w:bCs/>
                <w:sz w:val="20"/>
                <w:szCs w:val="20"/>
              </w:rPr>
            </w:pPr>
          </w:p>
        </w:tc>
        <w:tc>
          <w:tcPr>
            <w:tcW w:w="2304" w:type="dxa"/>
            <w:tcBorders>
              <w:left w:val="single" w:sz="4" w:space="0" w:color="auto"/>
              <w:bottom w:val="dashSmallGap" w:sz="4" w:space="0" w:color="7F7F7F" w:themeColor="text1" w:themeTint="80"/>
              <w:right w:val="nil"/>
            </w:tcBorders>
            <w:vAlign w:val="center"/>
          </w:tcPr>
          <w:p w14:paraId="222EA1DE" w14:textId="2266B36E" w:rsidR="00AA575F" w:rsidRPr="00550561" w:rsidRDefault="001D1098" w:rsidP="00DF217F">
            <w:pPr>
              <w:jc w:val="center"/>
              <w:rPr>
                <w:sz w:val="20"/>
                <w:szCs w:val="20"/>
              </w:rPr>
            </w:pPr>
            <w:r w:rsidRPr="00550561">
              <w:rPr>
                <w:sz w:val="20"/>
                <w:szCs w:val="20"/>
              </w:rPr>
              <w:t>P</w:t>
            </w:r>
            <w:r w:rsidR="00B65003" w:rsidRPr="00550561">
              <w:rPr>
                <w:sz w:val="20"/>
                <w:szCs w:val="20"/>
              </w:rPr>
              <w:t>atients</w:t>
            </w:r>
            <w:r w:rsidR="00AA575F" w:rsidRPr="00550561">
              <w:rPr>
                <w:sz w:val="20"/>
                <w:szCs w:val="20"/>
              </w:rPr>
              <w:t xml:space="preserve"> uncertain about practice pharmacists delivering a review</w:t>
            </w:r>
          </w:p>
        </w:tc>
        <w:tc>
          <w:tcPr>
            <w:tcW w:w="4265" w:type="dxa"/>
            <w:tcBorders>
              <w:left w:val="nil"/>
              <w:bottom w:val="dashSmallGap" w:sz="4" w:space="0" w:color="7F7F7F" w:themeColor="text1" w:themeTint="80"/>
            </w:tcBorders>
            <w:vAlign w:val="center"/>
          </w:tcPr>
          <w:p w14:paraId="7204823C" w14:textId="60245373" w:rsidR="00AA575F" w:rsidRPr="00550561" w:rsidRDefault="00AA575F" w:rsidP="00DF217F">
            <w:pPr>
              <w:jc w:val="center"/>
              <w:rPr>
                <w:sz w:val="20"/>
                <w:szCs w:val="20"/>
              </w:rPr>
            </w:pPr>
            <w:r w:rsidRPr="00550561">
              <w:rPr>
                <w:sz w:val="20"/>
                <w:szCs w:val="20"/>
              </w:rPr>
              <w:t xml:space="preserve">IPT letter inviting </w:t>
            </w:r>
            <w:r w:rsidR="00B65003" w:rsidRPr="00550561">
              <w:rPr>
                <w:sz w:val="20"/>
                <w:szCs w:val="20"/>
              </w:rPr>
              <w:t>patients</w:t>
            </w:r>
            <w:r w:rsidRPr="00550561">
              <w:rPr>
                <w:sz w:val="20"/>
                <w:szCs w:val="20"/>
              </w:rPr>
              <w:t xml:space="preserve"> to attend a</w:t>
            </w:r>
            <w:r w:rsidR="00240ECC" w:rsidRPr="00550561">
              <w:rPr>
                <w:sz w:val="20"/>
                <w:szCs w:val="20"/>
              </w:rPr>
              <w:t xml:space="preserve"> </w:t>
            </w:r>
            <w:r w:rsidRPr="00550561">
              <w:rPr>
                <w:sz w:val="20"/>
                <w:szCs w:val="20"/>
              </w:rPr>
              <w:t>review needs to introduce the role of the pharmacist</w:t>
            </w:r>
          </w:p>
        </w:tc>
        <w:tc>
          <w:tcPr>
            <w:tcW w:w="2507" w:type="dxa"/>
            <w:tcBorders>
              <w:bottom w:val="dashSmallGap" w:sz="4" w:space="0" w:color="7F7F7F" w:themeColor="text1" w:themeTint="80"/>
              <w:right w:val="nil"/>
            </w:tcBorders>
            <w:vAlign w:val="center"/>
          </w:tcPr>
          <w:p w14:paraId="320527AA" w14:textId="0B0F7F6C" w:rsidR="00AA575F" w:rsidRPr="00550561" w:rsidRDefault="00240ECC" w:rsidP="00DF217F">
            <w:pPr>
              <w:jc w:val="center"/>
              <w:rPr>
                <w:sz w:val="20"/>
                <w:szCs w:val="20"/>
              </w:rPr>
            </w:pPr>
            <w:r w:rsidRPr="00550561">
              <w:rPr>
                <w:sz w:val="20"/>
                <w:szCs w:val="20"/>
              </w:rPr>
              <w:t>P</w:t>
            </w:r>
            <w:r w:rsidR="00B65003" w:rsidRPr="00550561">
              <w:rPr>
                <w:sz w:val="20"/>
                <w:szCs w:val="20"/>
              </w:rPr>
              <w:t>atients</w:t>
            </w:r>
            <w:r w:rsidR="00AA575F" w:rsidRPr="00550561">
              <w:rPr>
                <w:sz w:val="20"/>
                <w:szCs w:val="20"/>
              </w:rPr>
              <w:t xml:space="preserve"> uncertain about what pharmacists can do within the practice</w:t>
            </w:r>
          </w:p>
        </w:tc>
        <w:tc>
          <w:tcPr>
            <w:tcW w:w="4091" w:type="dxa"/>
            <w:tcBorders>
              <w:left w:val="nil"/>
              <w:bottom w:val="dashSmallGap" w:sz="4" w:space="0" w:color="7F7F7F" w:themeColor="text1" w:themeTint="80"/>
            </w:tcBorders>
            <w:vAlign w:val="center"/>
          </w:tcPr>
          <w:p w14:paraId="0ACF85F2" w14:textId="77777777" w:rsidR="00AA575F" w:rsidRPr="00550561" w:rsidRDefault="00AA575F" w:rsidP="00DF217F">
            <w:pPr>
              <w:jc w:val="center"/>
              <w:rPr>
                <w:sz w:val="20"/>
                <w:szCs w:val="20"/>
              </w:rPr>
            </w:pPr>
            <w:r w:rsidRPr="00550561">
              <w:rPr>
                <w:sz w:val="20"/>
                <w:szCs w:val="20"/>
              </w:rPr>
              <w:t>More work is needed to raise awareness about pharmacists’ role and skills (independent prescribers). Refine invite letter and patient information sheet.</w:t>
            </w:r>
          </w:p>
        </w:tc>
      </w:tr>
      <w:tr w:rsidR="00AA575F" w:rsidRPr="00550561" w14:paraId="3CD0432F" w14:textId="77777777" w:rsidTr="00DF217F">
        <w:tc>
          <w:tcPr>
            <w:tcW w:w="1287" w:type="dxa"/>
            <w:vMerge/>
            <w:tcBorders>
              <w:right w:val="single" w:sz="4" w:space="0" w:color="auto"/>
            </w:tcBorders>
            <w:vAlign w:val="center"/>
          </w:tcPr>
          <w:p w14:paraId="2B51714A" w14:textId="77777777" w:rsidR="00AA575F" w:rsidRPr="00550561" w:rsidRDefault="00AA575F" w:rsidP="00DF217F">
            <w:pPr>
              <w:jc w:val="center"/>
              <w:rPr>
                <w:b/>
                <w:bCs/>
                <w:sz w:val="20"/>
                <w:szCs w:val="20"/>
              </w:rPr>
            </w:pPr>
          </w:p>
        </w:tc>
        <w:tc>
          <w:tcPr>
            <w:tcW w:w="2304" w:type="dxa"/>
            <w:tcBorders>
              <w:top w:val="dashSmallGap" w:sz="4" w:space="0" w:color="7F7F7F" w:themeColor="text1" w:themeTint="80"/>
              <w:left w:val="single" w:sz="4" w:space="0" w:color="auto"/>
              <w:right w:val="nil"/>
            </w:tcBorders>
            <w:vAlign w:val="center"/>
          </w:tcPr>
          <w:p w14:paraId="6E73F075" w14:textId="6266049E" w:rsidR="00AA575F" w:rsidRPr="00550561" w:rsidRDefault="00CF63A4" w:rsidP="00DF217F">
            <w:pPr>
              <w:jc w:val="center"/>
              <w:rPr>
                <w:sz w:val="20"/>
                <w:szCs w:val="20"/>
              </w:rPr>
            </w:pPr>
            <w:r w:rsidRPr="00550561">
              <w:rPr>
                <w:sz w:val="20"/>
                <w:szCs w:val="20"/>
              </w:rPr>
              <w:t>P</w:t>
            </w:r>
            <w:r w:rsidR="00B65003" w:rsidRPr="00550561">
              <w:rPr>
                <w:sz w:val="20"/>
                <w:szCs w:val="20"/>
              </w:rPr>
              <w:t xml:space="preserve">atients </w:t>
            </w:r>
            <w:r w:rsidR="00AA575F" w:rsidRPr="00550561">
              <w:rPr>
                <w:sz w:val="20"/>
                <w:szCs w:val="20"/>
              </w:rPr>
              <w:t>are fearful of having their opioids stopped</w:t>
            </w:r>
          </w:p>
        </w:tc>
        <w:tc>
          <w:tcPr>
            <w:tcW w:w="4265" w:type="dxa"/>
            <w:tcBorders>
              <w:top w:val="dashSmallGap" w:sz="4" w:space="0" w:color="7F7F7F" w:themeColor="text1" w:themeTint="80"/>
              <w:left w:val="nil"/>
            </w:tcBorders>
            <w:vAlign w:val="center"/>
          </w:tcPr>
          <w:p w14:paraId="70DCAAC4" w14:textId="76918B20" w:rsidR="00AA575F" w:rsidRPr="00550561" w:rsidRDefault="00AA575F" w:rsidP="00DF217F">
            <w:pPr>
              <w:jc w:val="center"/>
              <w:rPr>
                <w:sz w:val="20"/>
                <w:szCs w:val="20"/>
              </w:rPr>
            </w:pPr>
            <w:r w:rsidRPr="00550561">
              <w:rPr>
                <w:sz w:val="20"/>
                <w:szCs w:val="20"/>
              </w:rPr>
              <w:t>IPT invitation letter needs to explain the aim of the review and provide reassurance</w:t>
            </w:r>
            <w:r w:rsidRPr="00550561">
              <w:rPr>
                <w:i/>
                <w:iCs/>
                <w:sz w:val="20"/>
                <w:szCs w:val="20"/>
              </w:rPr>
              <w:t xml:space="preserve"> </w:t>
            </w:r>
            <w:r w:rsidRPr="00550561">
              <w:rPr>
                <w:sz w:val="20"/>
                <w:szCs w:val="20"/>
              </w:rPr>
              <w:t>that opioids won’t be stopped without discussions and agreement from the patient</w:t>
            </w:r>
          </w:p>
        </w:tc>
        <w:tc>
          <w:tcPr>
            <w:tcW w:w="2507" w:type="dxa"/>
            <w:tcBorders>
              <w:top w:val="dashSmallGap" w:sz="4" w:space="0" w:color="7F7F7F" w:themeColor="text1" w:themeTint="80"/>
              <w:right w:val="nil"/>
            </w:tcBorders>
            <w:vAlign w:val="center"/>
          </w:tcPr>
          <w:p w14:paraId="5C90218E" w14:textId="77777777" w:rsidR="00AA575F" w:rsidRPr="00550561" w:rsidRDefault="00AA575F" w:rsidP="00DF217F">
            <w:pPr>
              <w:jc w:val="center"/>
              <w:rPr>
                <w:sz w:val="20"/>
                <w:szCs w:val="20"/>
              </w:rPr>
            </w:pPr>
            <w:r w:rsidRPr="00550561">
              <w:rPr>
                <w:sz w:val="20"/>
                <w:szCs w:val="20"/>
              </w:rPr>
              <w:t>Fear of having opioids stopped may stop others engaging with the review</w:t>
            </w:r>
          </w:p>
        </w:tc>
        <w:tc>
          <w:tcPr>
            <w:tcW w:w="4091" w:type="dxa"/>
            <w:tcBorders>
              <w:top w:val="dashSmallGap" w:sz="4" w:space="0" w:color="7F7F7F" w:themeColor="text1" w:themeTint="80"/>
              <w:left w:val="nil"/>
              <w:bottom w:val="single" w:sz="4" w:space="0" w:color="auto"/>
            </w:tcBorders>
            <w:vAlign w:val="center"/>
          </w:tcPr>
          <w:p w14:paraId="20642446" w14:textId="77777777" w:rsidR="00AA575F" w:rsidRPr="00550561" w:rsidRDefault="00AA575F" w:rsidP="00DF217F">
            <w:pPr>
              <w:jc w:val="center"/>
              <w:rPr>
                <w:sz w:val="20"/>
                <w:szCs w:val="20"/>
              </w:rPr>
            </w:pPr>
            <w:r w:rsidRPr="00550561">
              <w:rPr>
                <w:sz w:val="20"/>
                <w:szCs w:val="20"/>
              </w:rPr>
              <w:t>More work to do to explain the purpose of the review. Refine invite letter and patient information sheet.</w:t>
            </w:r>
          </w:p>
        </w:tc>
      </w:tr>
      <w:tr w:rsidR="000F2E60" w:rsidRPr="00550561" w14:paraId="411E5C8E" w14:textId="77777777" w:rsidTr="00DF217F">
        <w:trPr>
          <w:trHeight w:val="974"/>
        </w:trPr>
        <w:tc>
          <w:tcPr>
            <w:tcW w:w="1287" w:type="dxa"/>
            <w:vMerge w:val="restart"/>
            <w:tcBorders>
              <w:right w:val="single" w:sz="4" w:space="0" w:color="auto"/>
            </w:tcBorders>
            <w:vAlign w:val="center"/>
          </w:tcPr>
          <w:p w14:paraId="2C640111" w14:textId="027583AC" w:rsidR="000F2E60" w:rsidRPr="00550561" w:rsidRDefault="000F2E60" w:rsidP="00DF217F">
            <w:pPr>
              <w:jc w:val="center"/>
              <w:rPr>
                <w:b/>
                <w:bCs/>
                <w:sz w:val="20"/>
                <w:szCs w:val="20"/>
              </w:rPr>
            </w:pPr>
            <w:r w:rsidRPr="00550561">
              <w:rPr>
                <w:b/>
                <w:bCs/>
                <w:sz w:val="20"/>
                <w:szCs w:val="20"/>
              </w:rPr>
              <w:t>Burden</w:t>
            </w:r>
          </w:p>
        </w:tc>
        <w:tc>
          <w:tcPr>
            <w:tcW w:w="2304" w:type="dxa"/>
            <w:tcBorders>
              <w:left w:val="single" w:sz="4" w:space="0" w:color="auto"/>
              <w:bottom w:val="dashSmallGap" w:sz="4" w:space="0" w:color="7F7F7F" w:themeColor="text1" w:themeTint="80"/>
              <w:right w:val="nil"/>
            </w:tcBorders>
            <w:vAlign w:val="center"/>
          </w:tcPr>
          <w:p w14:paraId="1389A8F1" w14:textId="6CE7781A" w:rsidR="000F2E60" w:rsidRPr="00550561" w:rsidRDefault="000F2E60" w:rsidP="00DF217F">
            <w:pPr>
              <w:jc w:val="center"/>
              <w:rPr>
                <w:sz w:val="20"/>
                <w:szCs w:val="20"/>
              </w:rPr>
            </w:pPr>
            <w:r w:rsidRPr="00550561">
              <w:rPr>
                <w:sz w:val="20"/>
                <w:szCs w:val="20"/>
              </w:rPr>
              <w:t xml:space="preserve">Location of the review affects how burdensome a review would be to </w:t>
            </w:r>
            <w:r w:rsidR="00931414" w:rsidRPr="00550561">
              <w:rPr>
                <w:sz w:val="20"/>
                <w:szCs w:val="20"/>
              </w:rPr>
              <w:t>patients</w:t>
            </w:r>
          </w:p>
        </w:tc>
        <w:tc>
          <w:tcPr>
            <w:tcW w:w="4265" w:type="dxa"/>
            <w:tcBorders>
              <w:left w:val="nil"/>
              <w:bottom w:val="dashSmallGap" w:sz="4" w:space="0" w:color="7F7F7F" w:themeColor="text1" w:themeTint="80"/>
            </w:tcBorders>
            <w:vAlign w:val="center"/>
          </w:tcPr>
          <w:p w14:paraId="2322EF22" w14:textId="0280418B" w:rsidR="000F2E60" w:rsidRPr="00550561" w:rsidRDefault="000F2E60" w:rsidP="00DF217F">
            <w:pPr>
              <w:jc w:val="center"/>
              <w:rPr>
                <w:sz w:val="20"/>
                <w:szCs w:val="20"/>
              </w:rPr>
            </w:pPr>
            <w:r w:rsidRPr="00550561">
              <w:rPr>
                <w:sz w:val="20"/>
                <w:szCs w:val="20"/>
              </w:rPr>
              <w:t>P</w:t>
            </w:r>
            <w:r w:rsidR="0048738B" w:rsidRPr="00550561">
              <w:rPr>
                <w:sz w:val="20"/>
                <w:szCs w:val="20"/>
              </w:rPr>
              <w:t xml:space="preserve">ROMPPT </w:t>
            </w:r>
            <w:r w:rsidRPr="00550561">
              <w:rPr>
                <w:sz w:val="20"/>
                <w:szCs w:val="20"/>
              </w:rPr>
              <w:t>reviews to be based at GP practice</w:t>
            </w:r>
          </w:p>
        </w:tc>
        <w:tc>
          <w:tcPr>
            <w:tcW w:w="2507" w:type="dxa"/>
            <w:tcBorders>
              <w:bottom w:val="dashSmallGap" w:sz="4" w:space="0" w:color="7F7F7F" w:themeColor="text1" w:themeTint="80"/>
              <w:right w:val="nil"/>
            </w:tcBorders>
            <w:vAlign w:val="center"/>
          </w:tcPr>
          <w:p w14:paraId="0E3CAD11" w14:textId="2B089081" w:rsidR="000F2E60" w:rsidRPr="00550561" w:rsidRDefault="000F2E60" w:rsidP="00DF217F">
            <w:pPr>
              <w:jc w:val="center"/>
              <w:rPr>
                <w:sz w:val="20"/>
                <w:szCs w:val="20"/>
              </w:rPr>
            </w:pPr>
            <w:r w:rsidRPr="00550561">
              <w:rPr>
                <w:sz w:val="20"/>
                <w:szCs w:val="20"/>
              </w:rPr>
              <w:t>P</w:t>
            </w:r>
            <w:r w:rsidR="0048738B" w:rsidRPr="00550561">
              <w:rPr>
                <w:sz w:val="20"/>
                <w:szCs w:val="20"/>
              </w:rPr>
              <w:t>ROMPPT</w:t>
            </w:r>
            <w:r w:rsidRPr="00550561">
              <w:rPr>
                <w:sz w:val="20"/>
                <w:szCs w:val="20"/>
              </w:rPr>
              <w:t xml:space="preserve"> reviews based at the GP practice reduced the burden</w:t>
            </w:r>
          </w:p>
        </w:tc>
        <w:tc>
          <w:tcPr>
            <w:tcW w:w="4091" w:type="dxa"/>
            <w:tcBorders>
              <w:left w:val="nil"/>
              <w:bottom w:val="dashSmallGap" w:sz="4" w:space="0" w:color="7F7F7F" w:themeColor="text1" w:themeTint="80"/>
            </w:tcBorders>
            <w:vAlign w:val="center"/>
          </w:tcPr>
          <w:p w14:paraId="48C8241E" w14:textId="55B10571" w:rsidR="000F2E60" w:rsidRPr="00550561" w:rsidRDefault="000F2E60" w:rsidP="00DF217F">
            <w:pPr>
              <w:jc w:val="center"/>
              <w:rPr>
                <w:sz w:val="20"/>
                <w:szCs w:val="20"/>
              </w:rPr>
            </w:pPr>
            <w:r w:rsidRPr="00550561">
              <w:rPr>
                <w:sz w:val="20"/>
                <w:szCs w:val="20"/>
              </w:rPr>
              <w:t xml:space="preserve">Acceptable – </w:t>
            </w:r>
            <w:r w:rsidR="00564D31" w:rsidRPr="00550561">
              <w:rPr>
                <w:sz w:val="20"/>
                <w:szCs w:val="20"/>
              </w:rPr>
              <w:t xml:space="preserve">continue with </w:t>
            </w:r>
            <w:r w:rsidR="005704EA" w:rsidRPr="00550561">
              <w:rPr>
                <w:sz w:val="20"/>
                <w:szCs w:val="20"/>
              </w:rPr>
              <w:t>reviews based at GP practice</w:t>
            </w:r>
          </w:p>
        </w:tc>
      </w:tr>
      <w:tr w:rsidR="000F2E60" w:rsidRPr="00550561" w14:paraId="68F0C9A9" w14:textId="77777777" w:rsidTr="00DF217F">
        <w:trPr>
          <w:trHeight w:val="974"/>
        </w:trPr>
        <w:tc>
          <w:tcPr>
            <w:tcW w:w="1287" w:type="dxa"/>
            <w:vMerge/>
            <w:tcBorders>
              <w:right w:val="single" w:sz="4" w:space="0" w:color="auto"/>
            </w:tcBorders>
            <w:vAlign w:val="center"/>
          </w:tcPr>
          <w:p w14:paraId="08DBCC26" w14:textId="77777777" w:rsidR="000F2E60" w:rsidRPr="00550561" w:rsidRDefault="000F2E60" w:rsidP="00F4006F">
            <w:pPr>
              <w:rPr>
                <w:sz w:val="20"/>
                <w:szCs w:val="20"/>
              </w:rPr>
            </w:pPr>
          </w:p>
        </w:tc>
        <w:tc>
          <w:tcPr>
            <w:tcW w:w="2304" w:type="dxa"/>
            <w:tcBorders>
              <w:left w:val="single" w:sz="4" w:space="0" w:color="auto"/>
              <w:bottom w:val="dashSmallGap" w:sz="4" w:space="0" w:color="7F7F7F" w:themeColor="text1" w:themeTint="80"/>
              <w:right w:val="nil"/>
            </w:tcBorders>
            <w:vAlign w:val="center"/>
          </w:tcPr>
          <w:p w14:paraId="7333713E" w14:textId="7780011D" w:rsidR="000F2E60" w:rsidRPr="00550561" w:rsidRDefault="000F2E60" w:rsidP="00DF217F">
            <w:pPr>
              <w:jc w:val="center"/>
              <w:rPr>
                <w:sz w:val="20"/>
                <w:szCs w:val="20"/>
              </w:rPr>
            </w:pPr>
            <w:r w:rsidRPr="00550561">
              <w:rPr>
                <w:sz w:val="20"/>
                <w:szCs w:val="20"/>
              </w:rPr>
              <w:t>Lack of trust in healthcare professionals</w:t>
            </w:r>
          </w:p>
        </w:tc>
        <w:tc>
          <w:tcPr>
            <w:tcW w:w="4265" w:type="dxa"/>
            <w:tcBorders>
              <w:left w:val="nil"/>
              <w:bottom w:val="dashSmallGap" w:sz="4" w:space="0" w:color="7F7F7F" w:themeColor="text1" w:themeTint="80"/>
            </w:tcBorders>
            <w:vAlign w:val="center"/>
          </w:tcPr>
          <w:p w14:paraId="178C5482" w14:textId="2CD4CE59" w:rsidR="000F2E60" w:rsidRPr="00550561" w:rsidRDefault="000F2E60" w:rsidP="00DF217F">
            <w:pPr>
              <w:jc w:val="center"/>
              <w:rPr>
                <w:sz w:val="20"/>
                <w:szCs w:val="20"/>
              </w:rPr>
            </w:pPr>
            <w:r w:rsidRPr="00550561">
              <w:rPr>
                <w:sz w:val="20"/>
                <w:szCs w:val="20"/>
              </w:rPr>
              <w:t xml:space="preserve">Building rapport with </w:t>
            </w:r>
            <w:proofErr w:type="spellStart"/>
            <w:r w:rsidRPr="00550561">
              <w:rPr>
                <w:sz w:val="20"/>
                <w:szCs w:val="20"/>
              </w:rPr>
              <w:t>patients</w:t>
            </w:r>
            <w:proofErr w:type="spellEnd"/>
            <w:r w:rsidRPr="00550561">
              <w:rPr>
                <w:sz w:val="20"/>
                <w:szCs w:val="20"/>
              </w:rPr>
              <w:t xml:space="preserve"> needs to be highlighted as a key aspect of the review. Pharmacist training to include guidance on how to build rapport with the patient</w:t>
            </w:r>
          </w:p>
        </w:tc>
        <w:tc>
          <w:tcPr>
            <w:tcW w:w="2507" w:type="dxa"/>
            <w:tcBorders>
              <w:bottom w:val="dashSmallGap" w:sz="4" w:space="0" w:color="7F7F7F" w:themeColor="text1" w:themeTint="80"/>
              <w:right w:val="nil"/>
            </w:tcBorders>
            <w:vAlign w:val="center"/>
          </w:tcPr>
          <w:p w14:paraId="7D92B1CD" w14:textId="169307AF" w:rsidR="000F2E60" w:rsidRPr="00550561" w:rsidRDefault="000F2E60" w:rsidP="00DF217F">
            <w:pPr>
              <w:jc w:val="center"/>
              <w:rPr>
                <w:sz w:val="20"/>
                <w:szCs w:val="20"/>
              </w:rPr>
            </w:pPr>
            <w:r w:rsidRPr="00550561">
              <w:rPr>
                <w:sz w:val="20"/>
                <w:szCs w:val="20"/>
              </w:rPr>
              <w:t>-</w:t>
            </w:r>
          </w:p>
        </w:tc>
        <w:tc>
          <w:tcPr>
            <w:tcW w:w="4091" w:type="dxa"/>
            <w:tcBorders>
              <w:left w:val="nil"/>
              <w:bottom w:val="dashSmallGap" w:sz="4" w:space="0" w:color="7F7F7F" w:themeColor="text1" w:themeTint="80"/>
            </w:tcBorders>
            <w:vAlign w:val="center"/>
          </w:tcPr>
          <w:p w14:paraId="7FBBF69C" w14:textId="219A7EDF" w:rsidR="000F2E60" w:rsidRPr="00550561" w:rsidRDefault="000F2E60" w:rsidP="00DF217F">
            <w:pPr>
              <w:jc w:val="center"/>
              <w:rPr>
                <w:sz w:val="20"/>
                <w:szCs w:val="20"/>
              </w:rPr>
            </w:pPr>
            <w:r w:rsidRPr="00550561">
              <w:rPr>
                <w:sz w:val="20"/>
                <w:szCs w:val="20"/>
              </w:rPr>
              <w:t>-</w:t>
            </w:r>
          </w:p>
        </w:tc>
      </w:tr>
      <w:tr w:rsidR="000F2E60" w:rsidRPr="00550561" w14:paraId="71D0FF59" w14:textId="77777777" w:rsidTr="00DF217F">
        <w:trPr>
          <w:trHeight w:val="974"/>
        </w:trPr>
        <w:tc>
          <w:tcPr>
            <w:tcW w:w="1287" w:type="dxa"/>
            <w:vMerge/>
            <w:tcBorders>
              <w:right w:val="single" w:sz="4" w:space="0" w:color="auto"/>
            </w:tcBorders>
            <w:vAlign w:val="center"/>
          </w:tcPr>
          <w:p w14:paraId="1CAE2CEE" w14:textId="5F86E25D" w:rsidR="000F2E60" w:rsidRPr="00550561" w:rsidRDefault="000F2E60" w:rsidP="00F4006F">
            <w:pPr>
              <w:rPr>
                <w:sz w:val="20"/>
                <w:szCs w:val="20"/>
              </w:rPr>
            </w:pPr>
          </w:p>
        </w:tc>
        <w:tc>
          <w:tcPr>
            <w:tcW w:w="2304" w:type="dxa"/>
            <w:tcBorders>
              <w:top w:val="dashSmallGap" w:sz="4" w:space="0" w:color="7F7F7F" w:themeColor="text1" w:themeTint="80"/>
              <w:left w:val="single" w:sz="4" w:space="0" w:color="auto"/>
              <w:bottom w:val="dashSmallGap" w:sz="4" w:space="0" w:color="7F7F7F" w:themeColor="text1" w:themeTint="80"/>
              <w:right w:val="nil"/>
            </w:tcBorders>
            <w:vAlign w:val="center"/>
          </w:tcPr>
          <w:p w14:paraId="60FE6B8B" w14:textId="6BE995AE" w:rsidR="000F2E60" w:rsidRPr="00550561" w:rsidRDefault="000F2E60" w:rsidP="00DF217F">
            <w:pPr>
              <w:jc w:val="center"/>
              <w:rPr>
                <w:sz w:val="20"/>
                <w:szCs w:val="20"/>
              </w:rPr>
            </w:pPr>
            <w:r w:rsidRPr="00550561">
              <w:rPr>
                <w:sz w:val="20"/>
                <w:szCs w:val="20"/>
              </w:rPr>
              <w:t>PROMPPT reviews will be challenging consultations</w:t>
            </w:r>
          </w:p>
        </w:tc>
        <w:tc>
          <w:tcPr>
            <w:tcW w:w="4265" w:type="dxa"/>
            <w:tcBorders>
              <w:top w:val="dashSmallGap" w:sz="4" w:space="0" w:color="7F7F7F" w:themeColor="text1" w:themeTint="80"/>
              <w:left w:val="nil"/>
              <w:bottom w:val="dashSmallGap" w:sz="4" w:space="0" w:color="7F7F7F" w:themeColor="text1" w:themeTint="80"/>
            </w:tcBorders>
            <w:vAlign w:val="center"/>
          </w:tcPr>
          <w:p w14:paraId="1B709F78" w14:textId="0A3C1EC8" w:rsidR="000F2E60" w:rsidRPr="00550561" w:rsidRDefault="000F2E60" w:rsidP="00DF217F">
            <w:pPr>
              <w:jc w:val="center"/>
              <w:rPr>
                <w:sz w:val="20"/>
                <w:szCs w:val="20"/>
              </w:rPr>
            </w:pPr>
            <w:r w:rsidRPr="00550561">
              <w:rPr>
                <w:sz w:val="20"/>
                <w:szCs w:val="20"/>
              </w:rPr>
              <w:t>IPT pharmacist training needs to include examples of challenging consultations and how to approach these with opportunities to practi</w:t>
            </w:r>
            <w:r w:rsidR="0071038B">
              <w:rPr>
                <w:sz w:val="20"/>
                <w:szCs w:val="20"/>
              </w:rPr>
              <w:t>se</w:t>
            </w:r>
            <w:r w:rsidRPr="00550561">
              <w:rPr>
                <w:sz w:val="20"/>
                <w:szCs w:val="20"/>
              </w:rPr>
              <w:t xml:space="preserve"> skills during role plays</w:t>
            </w:r>
          </w:p>
        </w:tc>
        <w:tc>
          <w:tcPr>
            <w:tcW w:w="2507" w:type="dxa"/>
            <w:tcBorders>
              <w:top w:val="dashSmallGap" w:sz="4" w:space="0" w:color="7F7F7F" w:themeColor="text1" w:themeTint="80"/>
              <w:bottom w:val="dashSmallGap" w:sz="4" w:space="0" w:color="7F7F7F" w:themeColor="text1" w:themeTint="80"/>
              <w:right w:val="nil"/>
            </w:tcBorders>
            <w:vAlign w:val="center"/>
          </w:tcPr>
          <w:p w14:paraId="4AA28E9E" w14:textId="56D3F41E" w:rsidR="000F2E60" w:rsidRPr="00550561" w:rsidRDefault="000F2E60" w:rsidP="00DF217F">
            <w:pPr>
              <w:jc w:val="center"/>
              <w:rPr>
                <w:sz w:val="20"/>
                <w:szCs w:val="20"/>
              </w:rPr>
            </w:pPr>
            <w:r w:rsidRPr="00550561">
              <w:rPr>
                <w:sz w:val="20"/>
                <w:szCs w:val="20"/>
              </w:rPr>
              <w:t>Consultations were challenging with patients often asking divergent health questions</w:t>
            </w:r>
          </w:p>
        </w:tc>
        <w:tc>
          <w:tcPr>
            <w:tcW w:w="4091" w:type="dxa"/>
            <w:tcBorders>
              <w:top w:val="dashSmallGap" w:sz="4" w:space="0" w:color="7F7F7F" w:themeColor="text1" w:themeTint="80"/>
              <w:left w:val="nil"/>
              <w:bottom w:val="dashSmallGap" w:sz="4" w:space="0" w:color="7F7F7F" w:themeColor="text1" w:themeTint="80"/>
            </w:tcBorders>
            <w:vAlign w:val="center"/>
          </w:tcPr>
          <w:p w14:paraId="59461CF0" w14:textId="5E05EC47" w:rsidR="000F2E60" w:rsidRPr="00550561" w:rsidRDefault="000F2E60" w:rsidP="00DF217F">
            <w:pPr>
              <w:jc w:val="center"/>
              <w:rPr>
                <w:sz w:val="20"/>
                <w:szCs w:val="20"/>
              </w:rPr>
            </w:pPr>
            <w:r w:rsidRPr="00550561">
              <w:rPr>
                <w:sz w:val="20"/>
                <w:szCs w:val="20"/>
              </w:rPr>
              <w:t>PROMPPT training to include examples of challenging consultations and how and when pharmacists should keep reviews focussed on pain</w:t>
            </w:r>
          </w:p>
        </w:tc>
      </w:tr>
      <w:tr w:rsidR="000F2E60" w:rsidRPr="00550561" w14:paraId="10E4DA4B" w14:textId="77777777" w:rsidTr="00CC622C">
        <w:trPr>
          <w:trHeight w:val="809"/>
        </w:trPr>
        <w:tc>
          <w:tcPr>
            <w:tcW w:w="1287" w:type="dxa"/>
            <w:vMerge/>
            <w:tcBorders>
              <w:right w:val="single" w:sz="4" w:space="0" w:color="auto"/>
            </w:tcBorders>
          </w:tcPr>
          <w:p w14:paraId="79E0E334" w14:textId="77777777" w:rsidR="000F2E60" w:rsidRPr="00550561" w:rsidRDefault="000F2E60" w:rsidP="00F4006F">
            <w:pPr>
              <w:rPr>
                <w:sz w:val="20"/>
                <w:szCs w:val="20"/>
              </w:rPr>
            </w:pPr>
          </w:p>
        </w:tc>
        <w:tc>
          <w:tcPr>
            <w:tcW w:w="2304" w:type="dxa"/>
            <w:tcBorders>
              <w:top w:val="dashSmallGap" w:sz="4" w:space="0" w:color="7F7F7F" w:themeColor="text1" w:themeTint="80"/>
              <w:left w:val="single" w:sz="4" w:space="0" w:color="auto"/>
              <w:bottom w:val="single" w:sz="4" w:space="0" w:color="auto"/>
              <w:right w:val="nil"/>
            </w:tcBorders>
            <w:vAlign w:val="center"/>
          </w:tcPr>
          <w:p w14:paraId="4379350E" w14:textId="3531EC9E" w:rsidR="000F2E60" w:rsidRPr="00550561" w:rsidRDefault="000F2E60" w:rsidP="00B57446">
            <w:pPr>
              <w:jc w:val="center"/>
              <w:rPr>
                <w:sz w:val="20"/>
                <w:szCs w:val="20"/>
              </w:rPr>
            </w:pPr>
            <w:r w:rsidRPr="00550561">
              <w:rPr>
                <w:sz w:val="20"/>
                <w:szCs w:val="20"/>
              </w:rPr>
              <w:t>-</w:t>
            </w:r>
          </w:p>
        </w:tc>
        <w:tc>
          <w:tcPr>
            <w:tcW w:w="4265" w:type="dxa"/>
            <w:tcBorders>
              <w:top w:val="dashSmallGap" w:sz="4" w:space="0" w:color="7F7F7F" w:themeColor="text1" w:themeTint="80"/>
              <w:left w:val="nil"/>
              <w:bottom w:val="single" w:sz="4" w:space="0" w:color="auto"/>
            </w:tcBorders>
            <w:vAlign w:val="center"/>
          </w:tcPr>
          <w:p w14:paraId="1BF53AF9" w14:textId="182F1D30" w:rsidR="000F2E60" w:rsidRPr="00550561" w:rsidRDefault="000F2E60" w:rsidP="00B57446">
            <w:pPr>
              <w:jc w:val="center"/>
              <w:rPr>
                <w:sz w:val="20"/>
                <w:szCs w:val="20"/>
              </w:rPr>
            </w:pPr>
            <w:r w:rsidRPr="00550561">
              <w:rPr>
                <w:sz w:val="20"/>
                <w:szCs w:val="20"/>
              </w:rPr>
              <w:t>-</w:t>
            </w:r>
          </w:p>
        </w:tc>
        <w:tc>
          <w:tcPr>
            <w:tcW w:w="2507" w:type="dxa"/>
            <w:tcBorders>
              <w:top w:val="dashSmallGap" w:sz="4" w:space="0" w:color="7F7F7F" w:themeColor="text1" w:themeTint="80"/>
              <w:bottom w:val="single" w:sz="4" w:space="0" w:color="auto"/>
              <w:right w:val="nil"/>
            </w:tcBorders>
            <w:vAlign w:val="center"/>
          </w:tcPr>
          <w:p w14:paraId="29E4109D" w14:textId="4D9A1C53" w:rsidR="000F2E60" w:rsidRPr="00550561" w:rsidRDefault="000F2E60" w:rsidP="00F4006F">
            <w:pPr>
              <w:rPr>
                <w:sz w:val="20"/>
                <w:szCs w:val="20"/>
              </w:rPr>
            </w:pPr>
            <w:r w:rsidRPr="00550561">
              <w:rPr>
                <w:sz w:val="20"/>
                <w:szCs w:val="20"/>
              </w:rPr>
              <w:t>Pharmacists unsure what to document on the ‘Pain review plan’</w:t>
            </w:r>
          </w:p>
        </w:tc>
        <w:tc>
          <w:tcPr>
            <w:tcW w:w="4091" w:type="dxa"/>
            <w:tcBorders>
              <w:top w:val="dashSmallGap" w:sz="4" w:space="0" w:color="7F7F7F" w:themeColor="text1" w:themeTint="80"/>
              <w:left w:val="nil"/>
              <w:bottom w:val="single" w:sz="4" w:space="0" w:color="auto"/>
            </w:tcBorders>
            <w:vAlign w:val="center"/>
          </w:tcPr>
          <w:p w14:paraId="2D5E2CAE" w14:textId="4FE9A028" w:rsidR="000F2E60" w:rsidRPr="00550561" w:rsidRDefault="000F2E60" w:rsidP="00F4006F">
            <w:pPr>
              <w:rPr>
                <w:sz w:val="20"/>
                <w:szCs w:val="20"/>
              </w:rPr>
            </w:pPr>
            <w:r w:rsidRPr="00550561">
              <w:rPr>
                <w:sz w:val="20"/>
                <w:szCs w:val="20"/>
              </w:rPr>
              <w:t>PROMPPT training to include examples of completed pain review plans</w:t>
            </w:r>
          </w:p>
        </w:tc>
      </w:tr>
      <w:tr w:rsidR="000C4FA0" w:rsidRPr="00550561" w14:paraId="367303A4" w14:textId="77777777" w:rsidTr="00A35B55">
        <w:trPr>
          <w:trHeight w:val="408"/>
        </w:trPr>
        <w:tc>
          <w:tcPr>
            <w:tcW w:w="1287" w:type="dxa"/>
            <w:tcBorders>
              <w:bottom w:val="single" w:sz="4" w:space="0" w:color="auto"/>
              <w:right w:val="single" w:sz="4" w:space="0" w:color="auto"/>
            </w:tcBorders>
            <w:vAlign w:val="center"/>
          </w:tcPr>
          <w:p w14:paraId="626C0C49" w14:textId="2B0D924A" w:rsidR="000C4FA0" w:rsidRPr="00550561" w:rsidRDefault="000F2E60" w:rsidP="000F2E60">
            <w:pPr>
              <w:rPr>
                <w:b/>
                <w:bCs/>
                <w:sz w:val="20"/>
                <w:szCs w:val="20"/>
              </w:rPr>
            </w:pPr>
            <w:r w:rsidRPr="00550561">
              <w:rPr>
                <w:b/>
                <w:bCs/>
                <w:sz w:val="20"/>
                <w:szCs w:val="20"/>
              </w:rPr>
              <w:t>Ethicality</w:t>
            </w:r>
          </w:p>
        </w:tc>
        <w:tc>
          <w:tcPr>
            <w:tcW w:w="2304" w:type="dxa"/>
            <w:tcBorders>
              <w:bottom w:val="single" w:sz="4" w:space="0" w:color="auto"/>
              <w:right w:val="nil"/>
            </w:tcBorders>
            <w:vAlign w:val="center"/>
          </w:tcPr>
          <w:p w14:paraId="662043CE" w14:textId="2BAF3DCE" w:rsidR="000C4FA0" w:rsidRPr="00550561" w:rsidRDefault="000C4FA0" w:rsidP="00A35B55">
            <w:pPr>
              <w:rPr>
                <w:sz w:val="20"/>
                <w:szCs w:val="20"/>
              </w:rPr>
            </w:pPr>
            <w:r w:rsidRPr="00550561">
              <w:rPr>
                <w:sz w:val="20"/>
                <w:szCs w:val="20"/>
              </w:rPr>
              <w:t xml:space="preserve">PROMPPT needs to be undertaken for the right reasons to help </w:t>
            </w:r>
            <w:r w:rsidR="00931414" w:rsidRPr="00550561">
              <w:rPr>
                <w:sz w:val="20"/>
                <w:szCs w:val="20"/>
              </w:rPr>
              <w:t xml:space="preserve">patients </w:t>
            </w:r>
            <w:r w:rsidRPr="00550561">
              <w:rPr>
                <w:sz w:val="20"/>
                <w:szCs w:val="20"/>
              </w:rPr>
              <w:t>manage their pain better</w:t>
            </w:r>
          </w:p>
        </w:tc>
        <w:tc>
          <w:tcPr>
            <w:tcW w:w="4265" w:type="dxa"/>
            <w:tcBorders>
              <w:left w:val="nil"/>
              <w:bottom w:val="single" w:sz="4" w:space="0" w:color="auto"/>
            </w:tcBorders>
            <w:vAlign w:val="center"/>
          </w:tcPr>
          <w:p w14:paraId="7ED61644" w14:textId="0EFD17F7" w:rsidR="000C4FA0" w:rsidRPr="00550561" w:rsidRDefault="000C4FA0" w:rsidP="00A35B55">
            <w:pPr>
              <w:rPr>
                <w:sz w:val="20"/>
                <w:szCs w:val="20"/>
              </w:rPr>
            </w:pPr>
            <w:r w:rsidRPr="00550561">
              <w:rPr>
                <w:sz w:val="20"/>
                <w:szCs w:val="20"/>
              </w:rPr>
              <w:t>Invitations, preparation tools and discussions with pharmacists need to make clear the motive for PROMPPT reviews</w:t>
            </w:r>
          </w:p>
        </w:tc>
        <w:tc>
          <w:tcPr>
            <w:tcW w:w="2507" w:type="dxa"/>
            <w:tcBorders>
              <w:bottom w:val="single" w:sz="4" w:space="0" w:color="auto"/>
              <w:right w:val="nil"/>
            </w:tcBorders>
            <w:vAlign w:val="center"/>
          </w:tcPr>
          <w:p w14:paraId="76212623" w14:textId="0C6FDE21" w:rsidR="000C4FA0" w:rsidRPr="00550561" w:rsidRDefault="000C4FA0" w:rsidP="00F4006F">
            <w:pPr>
              <w:rPr>
                <w:sz w:val="20"/>
                <w:szCs w:val="20"/>
              </w:rPr>
            </w:pPr>
            <w:r w:rsidRPr="00550561">
              <w:rPr>
                <w:sz w:val="20"/>
                <w:szCs w:val="20"/>
              </w:rPr>
              <w:t>PROMPPT’s motives are ethical</w:t>
            </w:r>
          </w:p>
        </w:tc>
        <w:tc>
          <w:tcPr>
            <w:tcW w:w="4091" w:type="dxa"/>
            <w:tcBorders>
              <w:left w:val="nil"/>
              <w:bottom w:val="single" w:sz="4" w:space="0" w:color="auto"/>
            </w:tcBorders>
            <w:vAlign w:val="center"/>
          </w:tcPr>
          <w:p w14:paraId="70C0FB3B" w14:textId="15954A5B" w:rsidR="000C4FA0" w:rsidRPr="00550561" w:rsidRDefault="000C4FA0" w:rsidP="00F4006F">
            <w:pPr>
              <w:rPr>
                <w:sz w:val="20"/>
                <w:szCs w:val="20"/>
              </w:rPr>
            </w:pPr>
            <w:r w:rsidRPr="00550561">
              <w:rPr>
                <w:sz w:val="20"/>
                <w:szCs w:val="20"/>
              </w:rPr>
              <w:t xml:space="preserve">Acceptable – </w:t>
            </w:r>
            <w:r w:rsidR="00856FBF" w:rsidRPr="00550561">
              <w:rPr>
                <w:sz w:val="20"/>
                <w:szCs w:val="20"/>
              </w:rPr>
              <w:t xml:space="preserve">continue with </w:t>
            </w:r>
            <w:r w:rsidR="001A0E6C" w:rsidRPr="00550561">
              <w:rPr>
                <w:sz w:val="20"/>
                <w:szCs w:val="20"/>
              </w:rPr>
              <w:t>motives underpinning PROMPPT</w:t>
            </w:r>
          </w:p>
        </w:tc>
      </w:tr>
      <w:tr w:rsidR="00A35B55" w:rsidRPr="00550561" w14:paraId="42D9804E" w14:textId="77777777" w:rsidTr="00737ABC">
        <w:trPr>
          <w:trHeight w:val="1507"/>
        </w:trPr>
        <w:tc>
          <w:tcPr>
            <w:tcW w:w="1287" w:type="dxa"/>
            <w:vMerge w:val="restart"/>
            <w:vAlign w:val="center"/>
          </w:tcPr>
          <w:p w14:paraId="6217725D" w14:textId="10FDC1BA" w:rsidR="00A35B55" w:rsidRPr="00550561" w:rsidRDefault="00A35B55" w:rsidP="00A35B55">
            <w:pPr>
              <w:rPr>
                <w:b/>
                <w:bCs/>
                <w:sz w:val="20"/>
                <w:szCs w:val="20"/>
              </w:rPr>
            </w:pPr>
            <w:r w:rsidRPr="00550561">
              <w:rPr>
                <w:b/>
                <w:bCs/>
                <w:sz w:val="20"/>
                <w:szCs w:val="20"/>
              </w:rPr>
              <w:t>Intervention coherence</w:t>
            </w:r>
          </w:p>
        </w:tc>
        <w:tc>
          <w:tcPr>
            <w:tcW w:w="2304" w:type="dxa"/>
            <w:tcBorders>
              <w:top w:val="single" w:sz="4" w:space="0" w:color="auto"/>
              <w:bottom w:val="dashSmallGap" w:sz="4" w:space="0" w:color="7F7F7F" w:themeColor="text1" w:themeTint="80"/>
              <w:right w:val="nil"/>
            </w:tcBorders>
            <w:vAlign w:val="center"/>
          </w:tcPr>
          <w:p w14:paraId="388B4CCD" w14:textId="05B0E597" w:rsidR="00A35B55" w:rsidRPr="00550561" w:rsidRDefault="00A35B55" w:rsidP="00A35B55">
            <w:pPr>
              <w:rPr>
                <w:sz w:val="20"/>
                <w:szCs w:val="20"/>
              </w:rPr>
            </w:pPr>
            <w:r w:rsidRPr="00550561">
              <w:rPr>
                <w:sz w:val="20"/>
                <w:szCs w:val="20"/>
              </w:rPr>
              <w:t>Understood the purpose of PROMPPT – working in partnership to empower patients to manage their pain</w:t>
            </w:r>
          </w:p>
        </w:tc>
        <w:tc>
          <w:tcPr>
            <w:tcW w:w="4265" w:type="dxa"/>
            <w:tcBorders>
              <w:top w:val="single" w:sz="4" w:space="0" w:color="auto"/>
              <w:left w:val="nil"/>
              <w:bottom w:val="dashSmallGap" w:sz="4" w:space="0" w:color="7F7F7F" w:themeColor="text1" w:themeTint="80"/>
            </w:tcBorders>
            <w:vAlign w:val="center"/>
          </w:tcPr>
          <w:p w14:paraId="530E2758" w14:textId="23EB4211" w:rsidR="00A35B55" w:rsidRPr="00550561" w:rsidRDefault="00A35B55" w:rsidP="00F4006F">
            <w:pPr>
              <w:rPr>
                <w:sz w:val="20"/>
                <w:szCs w:val="20"/>
              </w:rPr>
            </w:pPr>
            <w:r w:rsidRPr="00550561">
              <w:rPr>
                <w:sz w:val="20"/>
                <w:szCs w:val="20"/>
              </w:rPr>
              <w:t>Acceptable – no recommendation</w:t>
            </w:r>
          </w:p>
        </w:tc>
        <w:tc>
          <w:tcPr>
            <w:tcW w:w="2507" w:type="dxa"/>
            <w:tcBorders>
              <w:top w:val="single" w:sz="4" w:space="0" w:color="auto"/>
              <w:bottom w:val="dashSmallGap" w:sz="4" w:space="0" w:color="7F7F7F" w:themeColor="text1" w:themeTint="80"/>
              <w:right w:val="nil"/>
            </w:tcBorders>
            <w:vAlign w:val="center"/>
          </w:tcPr>
          <w:p w14:paraId="610830C3" w14:textId="3052C917" w:rsidR="00A35B55" w:rsidRPr="00550561" w:rsidRDefault="00A35B55" w:rsidP="00F4006F">
            <w:pPr>
              <w:rPr>
                <w:sz w:val="20"/>
                <w:szCs w:val="20"/>
              </w:rPr>
            </w:pPr>
            <w:r w:rsidRPr="00550561">
              <w:rPr>
                <w:sz w:val="20"/>
                <w:szCs w:val="20"/>
              </w:rPr>
              <w:t>Understood what PROMPPT was trying to achieve and the invitation made clear</w:t>
            </w:r>
            <w:r w:rsidR="001524B2" w:rsidRPr="00550561">
              <w:rPr>
                <w:sz w:val="20"/>
                <w:szCs w:val="20"/>
              </w:rPr>
              <w:t xml:space="preserve"> </w:t>
            </w:r>
            <w:r w:rsidRPr="00550561">
              <w:rPr>
                <w:sz w:val="20"/>
                <w:szCs w:val="20"/>
              </w:rPr>
              <w:t>the purpose of the review</w:t>
            </w:r>
          </w:p>
        </w:tc>
        <w:tc>
          <w:tcPr>
            <w:tcW w:w="4091" w:type="dxa"/>
            <w:tcBorders>
              <w:top w:val="single" w:sz="4" w:space="0" w:color="auto"/>
              <w:left w:val="nil"/>
              <w:bottom w:val="dashSmallGap" w:sz="4" w:space="0" w:color="7F7F7F" w:themeColor="text1" w:themeTint="80"/>
            </w:tcBorders>
            <w:vAlign w:val="center"/>
          </w:tcPr>
          <w:p w14:paraId="124381DC" w14:textId="5350A6E4" w:rsidR="00A35B55" w:rsidRPr="00550561" w:rsidRDefault="00A35B55" w:rsidP="00F4006F">
            <w:pPr>
              <w:rPr>
                <w:sz w:val="20"/>
                <w:szCs w:val="20"/>
              </w:rPr>
            </w:pPr>
            <w:r w:rsidRPr="00550561">
              <w:rPr>
                <w:sz w:val="20"/>
                <w:szCs w:val="20"/>
              </w:rPr>
              <w:t xml:space="preserve">Acceptable – </w:t>
            </w:r>
            <w:r w:rsidR="00A72C91" w:rsidRPr="00550561">
              <w:rPr>
                <w:sz w:val="20"/>
                <w:szCs w:val="20"/>
              </w:rPr>
              <w:t>continue with invitation outlining purpose of review</w:t>
            </w:r>
          </w:p>
        </w:tc>
      </w:tr>
      <w:tr w:rsidR="00A35B55" w:rsidRPr="00550561" w14:paraId="2E56FFED" w14:textId="77777777" w:rsidTr="009C2F91">
        <w:trPr>
          <w:trHeight w:val="2400"/>
        </w:trPr>
        <w:tc>
          <w:tcPr>
            <w:tcW w:w="1287" w:type="dxa"/>
            <w:vMerge/>
            <w:vAlign w:val="center"/>
          </w:tcPr>
          <w:p w14:paraId="7F9B3DBB" w14:textId="6D85ECBA" w:rsidR="00A35B55" w:rsidRPr="00550561" w:rsidRDefault="00A35B55" w:rsidP="00F4006F">
            <w:pPr>
              <w:rPr>
                <w:sz w:val="20"/>
                <w:szCs w:val="20"/>
              </w:rPr>
            </w:pPr>
          </w:p>
        </w:tc>
        <w:tc>
          <w:tcPr>
            <w:tcW w:w="2304" w:type="dxa"/>
            <w:tcBorders>
              <w:bottom w:val="dashSmallGap" w:sz="4" w:space="0" w:color="7F7F7F" w:themeColor="text1" w:themeTint="80"/>
              <w:right w:val="nil"/>
            </w:tcBorders>
            <w:vAlign w:val="center"/>
          </w:tcPr>
          <w:p w14:paraId="019C3270" w14:textId="1F96E0A9" w:rsidR="00A35B55" w:rsidRPr="00550561" w:rsidRDefault="00A35B55" w:rsidP="00F4006F">
            <w:pPr>
              <w:rPr>
                <w:sz w:val="20"/>
                <w:szCs w:val="20"/>
              </w:rPr>
            </w:pPr>
            <w:r w:rsidRPr="00550561">
              <w:rPr>
                <w:sz w:val="20"/>
                <w:szCs w:val="20"/>
              </w:rPr>
              <w:t>Additional outcome for the GP practice – potential for improvement across whole practice in management of persistent pain</w:t>
            </w:r>
          </w:p>
        </w:tc>
        <w:tc>
          <w:tcPr>
            <w:tcW w:w="4265" w:type="dxa"/>
            <w:tcBorders>
              <w:left w:val="nil"/>
              <w:bottom w:val="dashSmallGap" w:sz="4" w:space="0" w:color="7F7F7F" w:themeColor="text1" w:themeTint="80"/>
            </w:tcBorders>
            <w:vAlign w:val="center"/>
          </w:tcPr>
          <w:p w14:paraId="60479DC5" w14:textId="4F0A0DF5" w:rsidR="00A35B55" w:rsidRPr="00550561" w:rsidRDefault="00A35B55" w:rsidP="00F4006F">
            <w:pPr>
              <w:rPr>
                <w:sz w:val="20"/>
                <w:szCs w:val="20"/>
              </w:rPr>
            </w:pPr>
            <w:r w:rsidRPr="00550561">
              <w:rPr>
                <w:sz w:val="20"/>
                <w:szCs w:val="20"/>
              </w:rPr>
              <w:t>Whole practice approach is required to ensure joined up care. Other clinical practice staff to be made aware of patients invited and attending PROMPPT reviews</w:t>
            </w:r>
          </w:p>
        </w:tc>
        <w:tc>
          <w:tcPr>
            <w:tcW w:w="2507" w:type="dxa"/>
            <w:tcBorders>
              <w:bottom w:val="dashSmallGap" w:sz="4" w:space="0" w:color="7F7F7F" w:themeColor="text1" w:themeTint="80"/>
              <w:right w:val="nil"/>
            </w:tcBorders>
            <w:vAlign w:val="center"/>
          </w:tcPr>
          <w:p w14:paraId="367C796B" w14:textId="4A3777D1" w:rsidR="00A35B55" w:rsidRPr="00550561" w:rsidRDefault="00A35B55" w:rsidP="00F4006F">
            <w:pPr>
              <w:rPr>
                <w:sz w:val="20"/>
                <w:szCs w:val="20"/>
              </w:rPr>
            </w:pPr>
            <w:r w:rsidRPr="00550561">
              <w:rPr>
                <w:sz w:val="20"/>
                <w:szCs w:val="20"/>
              </w:rPr>
              <w:t>Pharmacists worked in isolation during IPT, without other practice staff involvement.  A whole practice approach was deemed important. How can PROMPPT help all practice staff understand and support the reviews?</w:t>
            </w:r>
          </w:p>
        </w:tc>
        <w:tc>
          <w:tcPr>
            <w:tcW w:w="4091" w:type="dxa"/>
            <w:tcBorders>
              <w:left w:val="nil"/>
              <w:bottom w:val="dashSmallGap" w:sz="4" w:space="0" w:color="7F7F7F" w:themeColor="text1" w:themeTint="80"/>
            </w:tcBorders>
            <w:vAlign w:val="center"/>
          </w:tcPr>
          <w:p w14:paraId="2CFFD89A" w14:textId="77777777" w:rsidR="00A35B55" w:rsidRPr="00550561" w:rsidRDefault="00A35B55" w:rsidP="00F4006F">
            <w:pPr>
              <w:rPr>
                <w:sz w:val="20"/>
                <w:szCs w:val="20"/>
              </w:rPr>
            </w:pPr>
            <w:r w:rsidRPr="00550561">
              <w:rPr>
                <w:sz w:val="20"/>
                <w:szCs w:val="20"/>
              </w:rPr>
              <w:t xml:space="preserve">A summary of the pharmacist training manual to be created and made available to practice staff including GPs to provide an overview of the PROMPPT study. </w:t>
            </w:r>
          </w:p>
          <w:p w14:paraId="6E254A48" w14:textId="77777777" w:rsidR="00A35B55" w:rsidRPr="00550561" w:rsidRDefault="00A35B55" w:rsidP="00F4006F">
            <w:pPr>
              <w:rPr>
                <w:sz w:val="20"/>
                <w:szCs w:val="20"/>
              </w:rPr>
            </w:pPr>
          </w:p>
          <w:p w14:paraId="604ABD8F" w14:textId="279FB128" w:rsidR="00A35B55" w:rsidRPr="00550561" w:rsidRDefault="00A35B55" w:rsidP="00F4006F">
            <w:pPr>
              <w:rPr>
                <w:sz w:val="20"/>
                <w:szCs w:val="20"/>
              </w:rPr>
            </w:pPr>
            <w:r w:rsidRPr="00550561">
              <w:rPr>
                <w:sz w:val="20"/>
                <w:szCs w:val="20"/>
              </w:rPr>
              <w:t>Guidance for administrative teams with frequently asked questions to be created</w:t>
            </w:r>
          </w:p>
        </w:tc>
      </w:tr>
      <w:tr w:rsidR="00A35B55" w:rsidRPr="00550561" w14:paraId="0ACF6FC0" w14:textId="77777777" w:rsidTr="00B57446">
        <w:trPr>
          <w:trHeight w:val="1087"/>
        </w:trPr>
        <w:tc>
          <w:tcPr>
            <w:tcW w:w="1287" w:type="dxa"/>
            <w:vMerge/>
            <w:vAlign w:val="center"/>
          </w:tcPr>
          <w:p w14:paraId="755F7222" w14:textId="0164BA80" w:rsidR="00A35B55" w:rsidRPr="00550561" w:rsidRDefault="00A35B55" w:rsidP="00F4006F">
            <w:pPr>
              <w:rPr>
                <w:sz w:val="20"/>
                <w:szCs w:val="20"/>
              </w:rPr>
            </w:pPr>
          </w:p>
        </w:tc>
        <w:tc>
          <w:tcPr>
            <w:tcW w:w="2304" w:type="dxa"/>
            <w:tcBorders>
              <w:top w:val="dashSmallGap" w:sz="4" w:space="0" w:color="7F7F7F" w:themeColor="text1" w:themeTint="80"/>
              <w:bottom w:val="dashSmallGap" w:sz="4" w:space="0" w:color="7F7F7F" w:themeColor="text1" w:themeTint="80"/>
              <w:right w:val="nil"/>
            </w:tcBorders>
            <w:vAlign w:val="center"/>
          </w:tcPr>
          <w:p w14:paraId="69AA6E19" w14:textId="4AB425FB" w:rsidR="00A35B55" w:rsidRPr="00550561" w:rsidRDefault="00A35B55" w:rsidP="00B57446">
            <w:pPr>
              <w:jc w:val="center"/>
              <w:rPr>
                <w:sz w:val="20"/>
                <w:szCs w:val="20"/>
              </w:rPr>
            </w:pPr>
            <w:r w:rsidRPr="00550561">
              <w:rPr>
                <w:sz w:val="20"/>
                <w:szCs w:val="20"/>
              </w:rPr>
              <w:t>-</w:t>
            </w:r>
          </w:p>
        </w:tc>
        <w:tc>
          <w:tcPr>
            <w:tcW w:w="4265" w:type="dxa"/>
            <w:tcBorders>
              <w:top w:val="dashSmallGap" w:sz="4" w:space="0" w:color="7F7F7F" w:themeColor="text1" w:themeTint="80"/>
              <w:left w:val="nil"/>
              <w:bottom w:val="dashSmallGap" w:sz="4" w:space="0" w:color="7F7F7F" w:themeColor="text1" w:themeTint="80"/>
            </w:tcBorders>
            <w:vAlign w:val="center"/>
          </w:tcPr>
          <w:p w14:paraId="4A4E96B7" w14:textId="3D0B31A0" w:rsidR="00A35B55" w:rsidRPr="00550561" w:rsidRDefault="00A35B55" w:rsidP="00B57446">
            <w:pPr>
              <w:jc w:val="center"/>
              <w:rPr>
                <w:sz w:val="20"/>
                <w:szCs w:val="20"/>
              </w:rPr>
            </w:pPr>
            <w:r w:rsidRPr="00550561">
              <w:rPr>
                <w:sz w:val="20"/>
                <w:szCs w:val="20"/>
              </w:rPr>
              <w:t>-</w:t>
            </w:r>
          </w:p>
        </w:tc>
        <w:tc>
          <w:tcPr>
            <w:tcW w:w="2507" w:type="dxa"/>
            <w:tcBorders>
              <w:top w:val="dashSmallGap" w:sz="4" w:space="0" w:color="7F7F7F" w:themeColor="text1" w:themeTint="80"/>
              <w:bottom w:val="dashSmallGap" w:sz="4" w:space="0" w:color="7F7F7F" w:themeColor="text1" w:themeTint="80"/>
              <w:right w:val="nil"/>
            </w:tcBorders>
            <w:vAlign w:val="center"/>
          </w:tcPr>
          <w:p w14:paraId="43F8B7F5" w14:textId="2FD7EA06" w:rsidR="00A35B55" w:rsidRPr="00550561" w:rsidRDefault="00A35B55" w:rsidP="00F4006F">
            <w:pPr>
              <w:rPr>
                <w:sz w:val="20"/>
                <w:szCs w:val="20"/>
              </w:rPr>
            </w:pPr>
            <w:r w:rsidRPr="00550561">
              <w:rPr>
                <w:sz w:val="20"/>
                <w:szCs w:val="20"/>
              </w:rPr>
              <w:t xml:space="preserve">Pharmacists needing to know when to ask for help and support from a GP </w:t>
            </w:r>
          </w:p>
        </w:tc>
        <w:tc>
          <w:tcPr>
            <w:tcW w:w="4091" w:type="dxa"/>
            <w:tcBorders>
              <w:top w:val="dashSmallGap" w:sz="4" w:space="0" w:color="7F7F7F" w:themeColor="text1" w:themeTint="80"/>
              <w:left w:val="nil"/>
              <w:bottom w:val="dashSmallGap" w:sz="4" w:space="0" w:color="7F7F7F" w:themeColor="text1" w:themeTint="80"/>
            </w:tcBorders>
            <w:vAlign w:val="center"/>
          </w:tcPr>
          <w:p w14:paraId="052EAA03" w14:textId="77777777" w:rsidR="00A35B55" w:rsidRPr="00550561" w:rsidRDefault="00A35B55" w:rsidP="00F4006F">
            <w:pPr>
              <w:rPr>
                <w:sz w:val="20"/>
                <w:szCs w:val="20"/>
              </w:rPr>
            </w:pPr>
            <w:r w:rsidRPr="00550561">
              <w:rPr>
                <w:sz w:val="20"/>
                <w:szCs w:val="20"/>
              </w:rPr>
              <w:t>Guidance on when and how to approach GP for support to be included in the pharmacist training</w:t>
            </w:r>
          </w:p>
          <w:p w14:paraId="5CE2FB4C" w14:textId="0939B057" w:rsidR="00A35B55" w:rsidRPr="00550561" w:rsidRDefault="00A35B55" w:rsidP="00F4006F">
            <w:pPr>
              <w:rPr>
                <w:sz w:val="20"/>
                <w:szCs w:val="20"/>
              </w:rPr>
            </w:pPr>
          </w:p>
        </w:tc>
      </w:tr>
      <w:tr w:rsidR="00A35B55" w:rsidRPr="00550561" w14:paraId="38E3B259" w14:textId="77777777" w:rsidTr="00B57446">
        <w:trPr>
          <w:trHeight w:val="978"/>
        </w:trPr>
        <w:tc>
          <w:tcPr>
            <w:tcW w:w="1287" w:type="dxa"/>
            <w:vMerge/>
          </w:tcPr>
          <w:p w14:paraId="52FEC3C2" w14:textId="77777777" w:rsidR="00A35B55" w:rsidRPr="00550561" w:rsidRDefault="00A35B55" w:rsidP="00F4006F">
            <w:pPr>
              <w:rPr>
                <w:sz w:val="20"/>
                <w:szCs w:val="20"/>
              </w:rPr>
            </w:pPr>
          </w:p>
        </w:tc>
        <w:tc>
          <w:tcPr>
            <w:tcW w:w="2304" w:type="dxa"/>
            <w:tcBorders>
              <w:top w:val="dashSmallGap" w:sz="4" w:space="0" w:color="7F7F7F" w:themeColor="text1" w:themeTint="80"/>
              <w:bottom w:val="single" w:sz="4" w:space="0" w:color="auto"/>
              <w:right w:val="nil"/>
            </w:tcBorders>
            <w:vAlign w:val="center"/>
          </w:tcPr>
          <w:p w14:paraId="12A8CD5C" w14:textId="3FA6FDD8" w:rsidR="00A35B55" w:rsidRPr="00550561" w:rsidRDefault="00A35B55" w:rsidP="00B57446">
            <w:pPr>
              <w:jc w:val="center"/>
              <w:rPr>
                <w:sz w:val="20"/>
                <w:szCs w:val="20"/>
              </w:rPr>
            </w:pPr>
            <w:r w:rsidRPr="00550561">
              <w:rPr>
                <w:sz w:val="20"/>
                <w:szCs w:val="20"/>
              </w:rPr>
              <w:t>-</w:t>
            </w:r>
          </w:p>
        </w:tc>
        <w:tc>
          <w:tcPr>
            <w:tcW w:w="4265" w:type="dxa"/>
            <w:tcBorders>
              <w:top w:val="dashSmallGap" w:sz="4" w:space="0" w:color="7F7F7F" w:themeColor="text1" w:themeTint="80"/>
              <w:left w:val="nil"/>
            </w:tcBorders>
            <w:vAlign w:val="center"/>
          </w:tcPr>
          <w:p w14:paraId="70DAFAC4" w14:textId="387091B7" w:rsidR="00A35B55" w:rsidRPr="00550561" w:rsidRDefault="00A35B55" w:rsidP="00B57446">
            <w:pPr>
              <w:jc w:val="center"/>
              <w:rPr>
                <w:sz w:val="20"/>
                <w:szCs w:val="20"/>
              </w:rPr>
            </w:pPr>
            <w:r w:rsidRPr="00550561">
              <w:rPr>
                <w:sz w:val="20"/>
                <w:szCs w:val="20"/>
              </w:rPr>
              <w:t>-</w:t>
            </w:r>
          </w:p>
        </w:tc>
        <w:tc>
          <w:tcPr>
            <w:tcW w:w="2507" w:type="dxa"/>
            <w:tcBorders>
              <w:top w:val="dashSmallGap" w:sz="4" w:space="0" w:color="7F7F7F" w:themeColor="text1" w:themeTint="80"/>
              <w:bottom w:val="single" w:sz="4" w:space="0" w:color="auto"/>
              <w:right w:val="nil"/>
            </w:tcBorders>
            <w:vAlign w:val="center"/>
          </w:tcPr>
          <w:p w14:paraId="1BD321D3" w14:textId="0B9938F8" w:rsidR="00A35B55" w:rsidRPr="00550561" w:rsidRDefault="00A35B55" w:rsidP="00F4006F">
            <w:pPr>
              <w:rPr>
                <w:sz w:val="20"/>
                <w:szCs w:val="20"/>
              </w:rPr>
            </w:pPr>
            <w:r w:rsidRPr="00550561">
              <w:rPr>
                <w:sz w:val="20"/>
                <w:szCs w:val="20"/>
              </w:rPr>
              <w:t>Follow-ups not routinely planned but importance of follow-ups for both patients and pharmacists was highlighted through interviews. How do we ensure that follow-ups are conducted?</w:t>
            </w:r>
          </w:p>
        </w:tc>
        <w:tc>
          <w:tcPr>
            <w:tcW w:w="4091" w:type="dxa"/>
            <w:tcBorders>
              <w:top w:val="dashSmallGap" w:sz="4" w:space="0" w:color="7F7F7F" w:themeColor="text1" w:themeTint="80"/>
              <w:left w:val="nil"/>
            </w:tcBorders>
            <w:vAlign w:val="center"/>
          </w:tcPr>
          <w:p w14:paraId="102B2949" w14:textId="77777777" w:rsidR="00A35B55" w:rsidRPr="00550561" w:rsidRDefault="00A35B55" w:rsidP="00F4006F">
            <w:pPr>
              <w:rPr>
                <w:sz w:val="20"/>
                <w:szCs w:val="20"/>
              </w:rPr>
            </w:pPr>
            <w:r w:rsidRPr="00550561">
              <w:rPr>
                <w:sz w:val="20"/>
                <w:szCs w:val="20"/>
              </w:rPr>
              <w:t>Importance of follow-ups for patient support and pharmacist reassurance to be highlighted in the pharmacist training. Follow-ups are appropriate for all patients.</w:t>
            </w:r>
          </w:p>
          <w:p w14:paraId="6584F624" w14:textId="5F767AAB" w:rsidR="00A35B55" w:rsidRPr="00550561" w:rsidRDefault="00AE333D" w:rsidP="00F4006F">
            <w:pPr>
              <w:rPr>
                <w:sz w:val="20"/>
                <w:szCs w:val="20"/>
              </w:rPr>
            </w:pPr>
            <w:r w:rsidRPr="00550561">
              <w:rPr>
                <w:sz w:val="20"/>
                <w:szCs w:val="20"/>
              </w:rPr>
              <w:t>‘</w:t>
            </w:r>
            <w:r w:rsidR="00A35B55" w:rsidRPr="00550561">
              <w:rPr>
                <w:sz w:val="20"/>
                <w:szCs w:val="20"/>
              </w:rPr>
              <w:t>Pain review plan</w:t>
            </w:r>
            <w:r w:rsidRPr="00550561">
              <w:rPr>
                <w:sz w:val="20"/>
                <w:szCs w:val="20"/>
              </w:rPr>
              <w:t xml:space="preserve">’ </w:t>
            </w:r>
            <w:r w:rsidR="00A35B55" w:rsidRPr="00550561">
              <w:rPr>
                <w:sz w:val="20"/>
                <w:szCs w:val="20"/>
              </w:rPr>
              <w:t>to include space for details of follow-ups, to act as a reminder for the pharmacist. Also include space to write contact details for patients to feel supported following the review</w:t>
            </w:r>
          </w:p>
        </w:tc>
      </w:tr>
      <w:tr w:rsidR="00441E56" w:rsidRPr="00550561" w14:paraId="360BC1B1" w14:textId="77777777" w:rsidTr="00737ABC">
        <w:trPr>
          <w:trHeight w:val="853"/>
        </w:trPr>
        <w:tc>
          <w:tcPr>
            <w:tcW w:w="1287" w:type="dxa"/>
            <w:vMerge w:val="restart"/>
            <w:vAlign w:val="center"/>
          </w:tcPr>
          <w:p w14:paraId="123DD00F" w14:textId="7EF57EB8" w:rsidR="00441E56" w:rsidRPr="00550561" w:rsidRDefault="00441E56" w:rsidP="00A35B55">
            <w:pPr>
              <w:rPr>
                <w:b/>
                <w:bCs/>
                <w:sz w:val="20"/>
                <w:szCs w:val="20"/>
              </w:rPr>
            </w:pPr>
            <w:r w:rsidRPr="00550561">
              <w:rPr>
                <w:b/>
                <w:bCs/>
                <w:sz w:val="20"/>
                <w:szCs w:val="20"/>
              </w:rPr>
              <w:t>Opportunity Costs</w:t>
            </w:r>
          </w:p>
        </w:tc>
        <w:tc>
          <w:tcPr>
            <w:tcW w:w="2304" w:type="dxa"/>
            <w:tcBorders>
              <w:bottom w:val="dashSmallGap" w:sz="4" w:space="0" w:color="7F7F7F" w:themeColor="text1" w:themeTint="80"/>
              <w:right w:val="nil"/>
            </w:tcBorders>
            <w:vAlign w:val="center"/>
          </w:tcPr>
          <w:p w14:paraId="68638D1D" w14:textId="5699E3E7" w:rsidR="00441E56" w:rsidRPr="00550561" w:rsidRDefault="00441E56" w:rsidP="00A35B55">
            <w:pPr>
              <w:rPr>
                <w:sz w:val="20"/>
                <w:szCs w:val="20"/>
              </w:rPr>
            </w:pPr>
            <w:r w:rsidRPr="00550561">
              <w:rPr>
                <w:sz w:val="20"/>
                <w:szCs w:val="20"/>
              </w:rPr>
              <w:t>P</w:t>
            </w:r>
            <w:r w:rsidR="002E2117" w:rsidRPr="00550561">
              <w:rPr>
                <w:sz w:val="20"/>
                <w:szCs w:val="20"/>
              </w:rPr>
              <w:t>atients</w:t>
            </w:r>
            <w:r w:rsidRPr="00550561">
              <w:rPr>
                <w:sz w:val="20"/>
                <w:szCs w:val="20"/>
              </w:rPr>
              <w:t xml:space="preserve"> place value on their opioids (</w:t>
            </w:r>
            <w:r w:rsidRPr="00550561">
              <w:rPr>
                <w:i/>
                <w:iCs/>
                <w:sz w:val="20"/>
                <w:szCs w:val="20"/>
              </w:rPr>
              <w:t>patients)</w:t>
            </w:r>
          </w:p>
        </w:tc>
        <w:tc>
          <w:tcPr>
            <w:tcW w:w="4265" w:type="dxa"/>
            <w:tcBorders>
              <w:left w:val="nil"/>
              <w:bottom w:val="dashSmallGap" w:sz="4" w:space="0" w:color="7F7F7F" w:themeColor="text1" w:themeTint="80"/>
            </w:tcBorders>
            <w:vAlign w:val="center"/>
          </w:tcPr>
          <w:p w14:paraId="4E297E2E" w14:textId="2A6CE884" w:rsidR="00441E56" w:rsidRPr="00550561" w:rsidRDefault="00441E56" w:rsidP="00A35B55">
            <w:pPr>
              <w:rPr>
                <w:sz w:val="20"/>
                <w:szCs w:val="20"/>
              </w:rPr>
            </w:pPr>
            <w:r w:rsidRPr="00550561">
              <w:rPr>
                <w:sz w:val="20"/>
                <w:szCs w:val="20"/>
              </w:rPr>
              <w:t>Pharmacists need to understand the reasons why a patient may not want to make a change to their opioids</w:t>
            </w:r>
          </w:p>
        </w:tc>
        <w:tc>
          <w:tcPr>
            <w:tcW w:w="2507" w:type="dxa"/>
            <w:tcBorders>
              <w:bottom w:val="dashSmallGap" w:sz="4" w:space="0" w:color="7F7F7F" w:themeColor="text1" w:themeTint="80"/>
              <w:right w:val="nil"/>
            </w:tcBorders>
            <w:vAlign w:val="center"/>
          </w:tcPr>
          <w:p w14:paraId="28DA9316" w14:textId="17F8D8FF" w:rsidR="00441E56" w:rsidRPr="00550561" w:rsidRDefault="00441E56" w:rsidP="00B57446">
            <w:pPr>
              <w:jc w:val="center"/>
              <w:rPr>
                <w:sz w:val="20"/>
                <w:szCs w:val="20"/>
              </w:rPr>
            </w:pPr>
            <w:r w:rsidRPr="00550561">
              <w:rPr>
                <w:sz w:val="20"/>
                <w:szCs w:val="20"/>
              </w:rPr>
              <w:t>-</w:t>
            </w:r>
          </w:p>
        </w:tc>
        <w:tc>
          <w:tcPr>
            <w:tcW w:w="4091" w:type="dxa"/>
            <w:tcBorders>
              <w:left w:val="nil"/>
              <w:bottom w:val="dashSmallGap" w:sz="4" w:space="0" w:color="7F7F7F" w:themeColor="text1" w:themeTint="80"/>
            </w:tcBorders>
            <w:vAlign w:val="center"/>
          </w:tcPr>
          <w:p w14:paraId="74D1F75E" w14:textId="3EFD2EFF" w:rsidR="00441E56" w:rsidRPr="00550561" w:rsidRDefault="00441E56" w:rsidP="00B57446">
            <w:pPr>
              <w:jc w:val="center"/>
              <w:rPr>
                <w:sz w:val="20"/>
                <w:szCs w:val="20"/>
              </w:rPr>
            </w:pPr>
            <w:r w:rsidRPr="00550561">
              <w:rPr>
                <w:sz w:val="20"/>
                <w:szCs w:val="20"/>
              </w:rPr>
              <w:t>-</w:t>
            </w:r>
          </w:p>
        </w:tc>
      </w:tr>
      <w:tr w:rsidR="00441E56" w:rsidRPr="00550561" w14:paraId="304ED5D6" w14:textId="77777777" w:rsidTr="00737ABC">
        <w:trPr>
          <w:trHeight w:val="841"/>
        </w:trPr>
        <w:tc>
          <w:tcPr>
            <w:tcW w:w="1287" w:type="dxa"/>
            <w:vMerge/>
            <w:vAlign w:val="center"/>
          </w:tcPr>
          <w:p w14:paraId="13769833" w14:textId="59937525" w:rsidR="00441E56" w:rsidRPr="00550561" w:rsidRDefault="00441E56" w:rsidP="00B60E04">
            <w:pPr>
              <w:rPr>
                <w:b/>
                <w:bCs/>
                <w:sz w:val="20"/>
                <w:szCs w:val="20"/>
              </w:rPr>
            </w:pPr>
          </w:p>
        </w:tc>
        <w:tc>
          <w:tcPr>
            <w:tcW w:w="2304" w:type="dxa"/>
            <w:tcBorders>
              <w:top w:val="dashSmallGap" w:sz="4" w:space="0" w:color="7F7F7F" w:themeColor="text1" w:themeTint="80"/>
              <w:bottom w:val="single" w:sz="4" w:space="0" w:color="auto"/>
              <w:right w:val="nil"/>
            </w:tcBorders>
            <w:vAlign w:val="center"/>
          </w:tcPr>
          <w:p w14:paraId="47B9A4FC" w14:textId="44ED2F6C" w:rsidR="00441E56" w:rsidRPr="00550561" w:rsidRDefault="00441E56" w:rsidP="00B57446">
            <w:pPr>
              <w:jc w:val="center"/>
              <w:rPr>
                <w:i/>
                <w:iCs/>
                <w:sz w:val="20"/>
                <w:szCs w:val="20"/>
              </w:rPr>
            </w:pPr>
            <w:r w:rsidRPr="00550561">
              <w:rPr>
                <w:sz w:val="20"/>
                <w:szCs w:val="20"/>
              </w:rPr>
              <w:t>-</w:t>
            </w:r>
          </w:p>
        </w:tc>
        <w:tc>
          <w:tcPr>
            <w:tcW w:w="4265" w:type="dxa"/>
            <w:tcBorders>
              <w:top w:val="dashSmallGap" w:sz="4" w:space="0" w:color="7F7F7F" w:themeColor="text1" w:themeTint="80"/>
              <w:left w:val="nil"/>
              <w:bottom w:val="single" w:sz="4" w:space="0" w:color="auto"/>
            </w:tcBorders>
            <w:vAlign w:val="center"/>
          </w:tcPr>
          <w:p w14:paraId="37FB23D3" w14:textId="0C71F283" w:rsidR="00441E56" w:rsidRPr="00550561" w:rsidRDefault="00441E56" w:rsidP="00B57446">
            <w:pPr>
              <w:jc w:val="center"/>
              <w:rPr>
                <w:sz w:val="20"/>
                <w:szCs w:val="20"/>
              </w:rPr>
            </w:pPr>
            <w:r w:rsidRPr="00550561">
              <w:rPr>
                <w:sz w:val="20"/>
                <w:szCs w:val="20"/>
              </w:rPr>
              <w:t>-</w:t>
            </w:r>
          </w:p>
        </w:tc>
        <w:tc>
          <w:tcPr>
            <w:tcW w:w="2507" w:type="dxa"/>
            <w:tcBorders>
              <w:top w:val="dashSmallGap" w:sz="4" w:space="0" w:color="7F7F7F" w:themeColor="text1" w:themeTint="80"/>
              <w:bottom w:val="single" w:sz="4" w:space="0" w:color="auto"/>
              <w:right w:val="nil"/>
            </w:tcBorders>
            <w:vAlign w:val="center"/>
          </w:tcPr>
          <w:p w14:paraId="389A2C0C" w14:textId="36A6F42D" w:rsidR="00441E56" w:rsidRPr="00550561" w:rsidRDefault="00441E56" w:rsidP="00A35B55">
            <w:pPr>
              <w:rPr>
                <w:sz w:val="20"/>
                <w:szCs w:val="20"/>
              </w:rPr>
            </w:pPr>
            <w:r w:rsidRPr="00550561">
              <w:rPr>
                <w:sz w:val="20"/>
                <w:szCs w:val="20"/>
              </w:rPr>
              <w:t xml:space="preserve">Pharmacists acknowledged that PROMPPT needs to fit with the patient’s priorities to enable engagement </w:t>
            </w:r>
          </w:p>
        </w:tc>
        <w:tc>
          <w:tcPr>
            <w:tcW w:w="4091" w:type="dxa"/>
            <w:tcBorders>
              <w:top w:val="dashSmallGap" w:sz="4" w:space="0" w:color="7F7F7F" w:themeColor="text1" w:themeTint="80"/>
              <w:left w:val="nil"/>
              <w:bottom w:val="single" w:sz="4" w:space="0" w:color="auto"/>
            </w:tcBorders>
            <w:vAlign w:val="center"/>
          </w:tcPr>
          <w:p w14:paraId="0D988C66" w14:textId="2CE19997" w:rsidR="00441E56" w:rsidRPr="00550561" w:rsidRDefault="00737ABC" w:rsidP="00737ABC">
            <w:pPr>
              <w:rPr>
                <w:sz w:val="20"/>
                <w:szCs w:val="20"/>
              </w:rPr>
            </w:pPr>
            <w:r w:rsidRPr="00550561">
              <w:rPr>
                <w:sz w:val="20"/>
                <w:szCs w:val="20"/>
              </w:rPr>
              <w:t xml:space="preserve">Acceptable – </w:t>
            </w:r>
            <w:r w:rsidR="0029167F" w:rsidRPr="00550561">
              <w:rPr>
                <w:sz w:val="20"/>
                <w:szCs w:val="20"/>
              </w:rPr>
              <w:t xml:space="preserve">continue to </w:t>
            </w:r>
            <w:r w:rsidR="002E620B" w:rsidRPr="00550561">
              <w:rPr>
                <w:sz w:val="20"/>
                <w:szCs w:val="20"/>
              </w:rPr>
              <w:t xml:space="preserve">encourage pharmacists during training to </w:t>
            </w:r>
            <w:r w:rsidR="002F646B" w:rsidRPr="00550561">
              <w:rPr>
                <w:sz w:val="20"/>
                <w:szCs w:val="20"/>
              </w:rPr>
              <w:t>allow the review to fit with the patient</w:t>
            </w:r>
            <w:r w:rsidR="00D5754F" w:rsidRPr="00550561">
              <w:rPr>
                <w:sz w:val="20"/>
                <w:szCs w:val="20"/>
              </w:rPr>
              <w:t>’s priorities</w:t>
            </w:r>
          </w:p>
        </w:tc>
      </w:tr>
      <w:tr w:rsidR="00A35B55" w:rsidRPr="00550561" w14:paraId="6283B210" w14:textId="77777777" w:rsidTr="00321C11">
        <w:tc>
          <w:tcPr>
            <w:tcW w:w="1287" w:type="dxa"/>
            <w:vAlign w:val="center"/>
          </w:tcPr>
          <w:p w14:paraId="1F5C97F1" w14:textId="52C53970" w:rsidR="00A35B55" w:rsidRPr="00550561" w:rsidRDefault="00A35B55" w:rsidP="00A35B55">
            <w:pPr>
              <w:rPr>
                <w:b/>
                <w:bCs/>
                <w:sz w:val="20"/>
                <w:szCs w:val="20"/>
              </w:rPr>
            </w:pPr>
            <w:r w:rsidRPr="00550561">
              <w:rPr>
                <w:b/>
                <w:bCs/>
                <w:sz w:val="20"/>
                <w:szCs w:val="20"/>
              </w:rPr>
              <w:t>Perceived effectiveness</w:t>
            </w:r>
          </w:p>
        </w:tc>
        <w:tc>
          <w:tcPr>
            <w:tcW w:w="2304" w:type="dxa"/>
            <w:tcBorders>
              <w:top w:val="single" w:sz="4" w:space="0" w:color="auto"/>
              <w:bottom w:val="single" w:sz="4" w:space="0" w:color="auto"/>
              <w:right w:val="nil"/>
            </w:tcBorders>
            <w:vAlign w:val="center"/>
          </w:tcPr>
          <w:p w14:paraId="3E3DAECD" w14:textId="3E5300B0" w:rsidR="00A35B55" w:rsidRPr="00550561" w:rsidRDefault="00A35B55" w:rsidP="00A35B55">
            <w:pPr>
              <w:rPr>
                <w:sz w:val="20"/>
                <w:szCs w:val="20"/>
              </w:rPr>
            </w:pPr>
            <w:r w:rsidRPr="00550561">
              <w:rPr>
                <w:sz w:val="20"/>
                <w:szCs w:val="20"/>
              </w:rPr>
              <w:t>Optimistic that PROMPPT will be successful in achieving its aims and will successfully taper down opioids</w:t>
            </w:r>
          </w:p>
        </w:tc>
        <w:tc>
          <w:tcPr>
            <w:tcW w:w="4265" w:type="dxa"/>
            <w:tcBorders>
              <w:top w:val="single" w:sz="4" w:space="0" w:color="auto"/>
              <w:left w:val="nil"/>
              <w:bottom w:val="single" w:sz="4" w:space="0" w:color="auto"/>
            </w:tcBorders>
            <w:vAlign w:val="center"/>
          </w:tcPr>
          <w:p w14:paraId="5F67B56E" w14:textId="3DA19B66" w:rsidR="00A35B55" w:rsidRPr="00550561" w:rsidRDefault="00737ABC" w:rsidP="00737ABC">
            <w:pPr>
              <w:rPr>
                <w:sz w:val="20"/>
                <w:szCs w:val="20"/>
              </w:rPr>
            </w:pPr>
            <w:r w:rsidRPr="00550561">
              <w:rPr>
                <w:sz w:val="20"/>
                <w:szCs w:val="20"/>
              </w:rPr>
              <w:t xml:space="preserve">Acceptable – </w:t>
            </w:r>
            <w:r w:rsidR="00E52271" w:rsidRPr="00550561">
              <w:rPr>
                <w:sz w:val="20"/>
                <w:szCs w:val="20"/>
              </w:rPr>
              <w:t>continue to deliver reviews as planned</w:t>
            </w:r>
          </w:p>
        </w:tc>
        <w:tc>
          <w:tcPr>
            <w:tcW w:w="2507" w:type="dxa"/>
            <w:tcBorders>
              <w:top w:val="single" w:sz="4" w:space="0" w:color="auto"/>
              <w:bottom w:val="single" w:sz="4" w:space="0" w:color="auto"/>
              <w:right w:val="nil"/>
            </w:tcBorders>
            <w:vAlign w:val="center"/>
          </w:tcPr>
          <w:p w14:paraId="28A81754" w14:textId="7B2B916A" w:rsidR="00A35B55" w:rsidRPr="00550561" w:rsidRDefault="00A35B55" w:rsidP="00A35B55">
            <w:pPr>
              <w:rPr>
                <w:sz w:val="20"/>
                <w:szCs w:val="20"/>
              </w:rPr>
            </w:pPr>
            <w:r w:rsidRPr="00550561">
              <w:rPr>
                <w:sz w:val="20"/>
                <w:szCs w:val="20"/>
              </w:rPr>
              <w:t xml:space="preserve">PROMPPT review exceeded expectations, was effective in achieving </w:t>
            </w:r>
            <w:r w:rsidR="00C6391D" w:rsidRPr="00550561">
              <w:rPr>
                <w:sz w:val="20"/>
                <w:szCs w:val="20"/>
              </w:rPr>
              <w:t>its</w:t>
            </w:r>
            <w:r w:rsidRPr="00550561">
              <w:rPr>
                <w:sz w:val="20"/>
                <w:szCs w:val="20"/>
              </w:rPr>
              <w:t xml:space="preserve"> aims and pharmacists optimistic that it will be successful in the long-term</w:t>
            </w:r>
          </w:p>
        </w:tc>
        <w:tc>
          <w:tcPr>
            <w:tcW w:w="4091" w:type="dxa"/>
            <w:tcBorders>
              <w:top w:val="single" w:sz="4" w:space="0" w:color="auto"/>
              <w:left w:val="nil"/>
              <w:bottom w:val="single" w:sz="4" w:space="0" w:color="auto"/>
            </w:tcBorders>
            <w:vAlign w:val="center"/>
          </w:tcPr>
          <w:p w14:paraId="5393A73D" w14:textId="10C28359" w:rsidR="00A35B55" w:rsidRPr="00550561" w:rsidRDefault="00737ABC" w:rsidP="00737ABC">
            <w:pPr>
              <w:rPr>
                <w:sz w:val="20"/>
                <w:szCs w:val="20"/>
              </w:rPr>
            </w:pPr>
            <w:r w:rsidRPr="00550561">
              <w:rPr>
                <w:sz w:val="20"/>
                <w:szCs w:val="20"/>
              </w:rPr>
              <w:t xml:space="preserve">Acceptable – </w:t>
            </w:r>
            <w:r w:rsidR="00D5754F" w:rsidRPr="00550561">
              <w:rPr>
                <w:sz w:val="20"/>
                <w:szCs w:val="20"/>
              </w:rPr>
              <w:t xml:space="preserve">continue to deliver reviews as </w:t>
            </w:r>
            <w:r w:rsidR="00E52271" w:rsidRPr="00550561">
              <w:rPr>
                <w:sz w:val="20"/>
                <w:szCs w:val="20"/>
              </w:rPr>
              <w:t>planned</w:t>
            </w:r>
          </w:p>
        </w:tc>
      </w:tr>
      <w:tr w:rsidR="00A35B55" w:rsidRPr="00550561" w14:paraId="2E5208B2" w14:textId="77777777" w:rsidTr="00737ABC">
        <w:tc>
          <w:tcPr>
            <w:tcW w:w="1287" w:type="dxa"/>
            <w:vMerge w:val="restart"/>
            <w:vAlign w:val="center"/>
          </w:tcPr>
          <w:p w14:paraId="062D2AB2" w14:textId="15920BE3" w:rsidR="00A35B55" w:rsidRPr="00550561" w:rsidRDefault="00A35B55" w:rsidP="00A35B55">
            <w:pPr>
              <w:rPr>
                <w:b/>
                <w:bCs/>
                <w:sz w:val="20"/>
                <w:szCs w:val="20"/>
              </w:rPr>
            </w:pPr>
            <w:r w:rsidRPr="00550561">
              <w:rPr>
                <w:b/>
                <w:bCs/>
                <w:sz w:val="20"/>
                <w:szCs w:val="20"/>
              </w:rPr>
              <w:t>Self-efficacy</w:t>
            </w:r>
          </w:p>
        </w:tc>
        <w:tc>
          <w:tcPr>
            <w:tcW w:w="2304" w:type="dxa"/>
            <w:tcBorders>
              <w:top w:val="single" w:sz="4" w:space="0" w:color="auto"/>
              <w:bottom w:val="dashSmallGap" w:sz="4" w:space="0" w:color="7F7F7F" w:themeColor="text1" w:themeTint="80"/>
              <w:right w:val="nil"/>
            </w:tcBorders>
            <w:vAlign w:val="center"/>
          </w:tcPr>
          <w:p w14:paraId="0DCB9136" w14:textId="152118D0" w:rsidR="00A35B55" w:rsidRPr="00550561" w:rsidRDefault="00A35B55" w:rsidP="00A35B55">
            <w:pPr>
              <w:rPr>
                <w:sz w:val="20"/>
                <w:szCs w:val="20"/>
              </w:rPr>
            </w:pPr>
            <w:r w:rsidRPr="00550561">
              <w:rPr>
                <w:sz w:val="20"/>
                <w:szCs w:val="20"/>
              </w:rPr>
              <w:t>P</w:t>
            </w:r>
            <w:r w:rsidR="002E2117" w:rsidRPr="00550561">
              <w:rPr>
                <w:sz w:val="20"/>
                <w:szCs w:val="20"/>
              </w:rPr>
              <w:t>atients</w:t>
            </w:r>
            <w:r w:rsidRPr="00550561">
              <w:rPr>
                <w:sz w:val="20"/>
                <w:szCs w:val="20"/>
              </w:rPr>
              <w:t xml:space="preserve"> confident to discuss their pain with a pharmacist</w:t>
            </w:r>
          </w:p>
        </w:tc>
        <w:tc>
          <w:tcPr>
            <w:tcW w:w="4265" w:type="dxa"/>
            <w:tcBorders>
              <w:left w:val="nil"/>
              <w:bottom w:val="dashSmallGap" w:sz="4" w:space="0" w:color="7F7F7F" w:themeColor="text1" w:themeTint="80"/>
            </w:tcBorders>
            <w:vAlign w:val="center"/>
          </w:tcPr>
          <w:p w14:paraId="558E6DFA" w14:textId="29917DBD" w:rsidR="00A35B55" w:rsidRPr="00550561" w:rsidRDefault="00737ABC" w:rsidP="00737ABC">
            <w:pPr>
              <w:rPr>
                <w:sz w:val="20"/>
                <w:szCs w:val="20"/>
              </w:rPr>
            </w:pPr>
            <w:r w:rsidRPr="00550561">
              <w:rPr>
                <w:sz w:val="20"/>
                <w:szCs w:val="20"/>
              </w:rPr>
              <w:t xml:space="preserve">Acceptable – </w:t>
            </w:r>
            <w:r w:rsidR="00F06FF5" w:rsidRPr="00550561">
              <w:rPr>
                <w:sz w:val="20"/>
                <w:szCs w:val="20"/>
              </w:rPr>
              <w:t xml:space="preserve">continue to </w:t>
            </w:r>
            <w:r w:rsidR="003B23AB" w:rsidRPr="00550561">
              <w:rPr>
                <w:sz w:val="20"/>
                <w:szCs w:val="20"/>
              </w:rPr>
              <w:t xml:space="preserve">deliver reviews </w:t>
            </w:r>
            <w:r w:rsidR="003E6A3D" w:rsidRPr="00550561">
              <w:rPr>
                <w:sz w:val="20"/>
                <w:szCs w:val="20"/>
              </w:rPr>
              <w:t>as planned</w:t>
            </w:r>
            <w:r w:rsidRPr="00550561">
              <w:rPr>
                <w:sz w:val="20"/>
                <w:szCs w:val="20"/>
              </w:rPr>
              <w:t xml:space="preserve"> </w:t>
            </w:r>
          </w:p>
        </w:tc>
        <w:tc>
          <w:tcPr>
            <w:tcW w:w="2507" w:type="dxa"/>
            <w:tcBorders>
              <w:bottom w:val="dashSmallGap" w:sz="4" w:space="0" w:color="7F7F7F" w:themeColor="text1" w:themeTint="80"/>
              <w:right w:val="nil"/>
            </w:tcBorders>
            <w:vAlign w:val="center"/>
          </w:tcPr>
          <w:p w14:paraId="541DF3D9" w14:textId="71A60E98" w:rsidR="00A35B55" w:rsidRPr="00550561" w:rsidRDefault="00A35B55" w:rsidP="00A35B55">
            <w:pPr>
              <w:rPr>
                <w:sz w:val="20"/>
                <w:szCs w:val="20"/>
              </w:rPr>
            </w:pPr>
            <w:r w:rsidRPr="00550561">
              <w:rPr>
                <w:sz w:val="20"/>
                <w:szCs w:val="20"/>
              </w:rPr>
              <w:t>P</w:t>
            </w:r>
            <w:r w:rsidR="002E2117" w:rsidRPr="00550561">
              <w:rPr>
                <w:sz w:val="20"/>
                <w:szCs w:val="20"/>
              </w:rPr>
              <w:t>atients</w:t>
            </w:r>
            <w:r w:rsidRPr="00550561">
              <w:rPr>
                <w:sz w:val="20"/>
                <w:szCs w:val="20"/>
              </w:rPr>
              <w:t xml:space="preserve"> confident to participate in the review</w:t>
            </w:r>
          </w:p>
        </w:tc>
        <w:tc>
          <w:tcPr>
            <w:tcW w:w="4091" w:type="dxa"/>
            <w:tcBorders>
              <w:left w:val="nil"/>
              <w:bottom w:val="dashSmallGap" w:sz="4" w:space="0" w:color="7F7F7F" w:themeColor="text1" w:themeTint="80"/>
            </w:tcBorders>
            <w:vAlign w:val="center"/>
          </w:tcPr>
          <w:p w14:paraId="1C20B87B" w14:textId="01D2F247" w:rsidR="00A35B55" w:rsidRPr="00550561" w:rsidRDefault="00737ABC" w:rsidP="00737ABC">
            <w:pPr>
              <w:rPr>
                <w:sz w:val="20"/>
                <w:szCs w:val="20"/>
              </w:rPr>
            </w:pPr>
            <w:r w:rsidRPr="00550561">
              <w:rPr>
                <w:sz w:val="20"/>
                <w:szCs w:val="20"/>
              </w:rPr>
              <w:t xml:space="preserve">Acceptable – </w:t>
            </w:r>
            <w:r w:rsidR="003E6A3D" w:rsidRPr="00550561">
              <w:rPr>
                <w:sz w:val="20"/>
                <w:szCs w:val="20"/>
              </w:rPr>
              <w:t>continue to deliver reviews as planned</w:t>
            </w:r>
          </w:p>
        </w:tc>
      </w:tr>
      <w:tr w:rsidR="00A35B55" w:rsidRPr="00550561" w14:paraId="4C70A0B6" w14:textId="77777777" w:rsidTr="00A35B55">
        <w:tc>
          <w:tcPr>
            <w:tcW w:w="1287" w:type="dxa"/>
            <w:vMerge/>
            <w:vAlign w:val="center"/>
          </w:tcPr>
          <w:p w14:paraId="46565C99" w14:textId="0D7E4820" w:rsidR="00A35B55" w:rsidRPr="00550561" w:rsidRDefault="00A35B55" w:rsidP="00A35B55">
            <w:pPr>
              <w:rPr>
                <w:sz w:val="20"/>
                <w:szCs w:val="20"/>
              </w:rPr>
            </w:pPr>
          </w:p>
        </w:tc>
        <w:tc>
          <w:tcPr>
            <w:tcW w:w="2304" w:type="dxa"/>
            <w:tcBorders>
              <w:top w:val="single" w:sz="4" w:space="0" w:color="auto"/>
              <w:bottom w:val="dashSmallGap" w:sz="4" w:space="0" w:color="7F7F7F" w:themeColor="text1" w:themeTint="80"/>
              <w:right w:val="nil"/>
            </w:tcBorders>
            <w:vAlign w:val="center"/>
          </w:tcPr>
          <w:p w14:paraId="7A2B25C8" w14:textId="117BDC95" w:rsidR="00A35B55" w:rsidRPr="00550561" w:rsidRDefault="00A35B55" w:rsidP="00A35B55">
            <w:pPr>
              <w:rPr>
                <w:sz w:val="20"/>
                <w:szCs w:val="20"/>
              </w:rPr>
            </w:pPr>
            <w:r w:rsidRPr="00550561">
              <w:rPr>
                <w:sz w:val="20"/>
                <w:szCs w:val="20"/>
              </w:rPr>
              <w:t>Pharmacists need confidence to deliver PROMPPT and the individual review components – lack of confidence in making a management plan with the patient</w:t>
            </w:r>
          </w:p>
        </w:tc>
        <w:tc>
          <w:tcPr>
            <w:tcW w:w="4265" w:type="dxa"/>
            <w:tcBorders>
              <w:left w:val="nil"/>
              <w:bottom w:val="dashSmallGap" w:sz="4" w:space="0" w:color="7F7F7F" w:themeColor="text1" w:themeTint="80"/>
            </w:tcBorders>
            <w:vAlign w:val="center"/>
          </w:tcPr>
          <w:p w14:paraId="64555F71" w14:textId="57C9EF1C" w:rsidR="00A35B55" w:rsidRPr="00550561" w:rsidRDefault="00A35B55" w:rsidP="00A35B55">
            <w:pPr>
              <w:rPr>
                <w:sz w:val="20"/>
                <w:szCs w:val="20"/>
              </w:rPr>
            </w:pPr>
            <w:r w:rsidRPr="00550561">
              <w:rPr>
                <w:sz w:val="20"/>
                <w:szCs w:val="20"/>
              </w:rPr>
              <w:t>Pharmacist training to include guidance on working together with a patient to create a management plan</w:t>
            </w:r>
          </w:p>
        </w:tc>
        <w:tc>
          <w:tcPr>
            <w:tcW w:w="2507" w:type="dxa"/>
            <w:tcBorders>
              <w:bottom w:val="dashSmallGap" w:sz="4" w:space="0" w:color="7F7F7F" w:themeColor="text1" w:themeTint="80"/>
              <w:right w:val="nil"/>
            </w:tcBorders>
            <w:vAlign w:val="center"/>
          </w:tcPr>
          <w:p w14:paraId="3A3B6092" w14:textId="78E6DABD" w:rsidR="00A35B55" w:rsidRPr="00550561" w:rsidRDefault="00A35B55" w:rsidP="00A35B55">
            <w:pPr>
              <w:jc w:val="center"/>
              <w:rPr>
                <w:sz w:val="20"/>
                <w:szCs w:val="20"/>
              </w:rPr>
            </w:pPr>
            <w:r w:rsidRPr="00550561">
              <w:rPr>
                <w:sz w:val="20"/>
                <w:szCs w:val="20"/>
              </w:rPr>
              <w:t>-</w:t>
            </w:r>
          </w:p>
        </w:tc>
        <w:tc>
          <w:tcPr>
            <w:tcW w:w="4091" w:type="dxa"/>
            <w:tcBorders>
              <w:left w:val="nil"/>
              <w:bottom w:val="dashSmallGap" w:sz="4" w:space="0" w:color="7F7F7F" w:themeColor="text1" w:themeTint="80"/>
            </w:tcBorders>
            <w:vAlign w:val="center"/>
          </w:tcPr>
          <w:p w14:paraId="12F497CF" w14:textId="4B626F22" w:rsidR="00A35B55" w:rsidRPr="00550561" w:rsidRDefault="00A35B55" w:rsidP="00A35B55">
            <w:pPr>
              <w:jc w:val="center"/>
              <w:rPr>
                <w:sz w:val="20"/>
                <w:szCs w:val="20"/>
              </w:rPr>
            </w:pPr>
            <w:r w:rsidRPr="00550561">
              <w:rPr>
                <w:sz w:val="20"/>
                <w:szCs w:val="20"/>
              </w:rPr>
              <w:t>-</w:t>
            </w:r>
          </w:p>
        </w:tc>
      </w:tr>
      <w:tr w:rsidR="00A35B55" w:rsidRPr="00550561" w14:paraId="129049DE" w14:textId="77777777" w:rsidTr="00A35B55">
        <w:tc>
          <w:tcPr>
            <w:tcW w:w="1287" w:type="dxa"/>
            <w:vMerge/>
            <w:vAlign w:val="center"/>
          </w:tcPr>
          <w:p w14:paraId="7C12768B" w14:textId="63FC7BC9" w:rsidR="00A35B55" w:rsidRPr="00550561" w:rsidRDefault="00A35B55" w:rsidP="00A35B55">
            <w:pPr>
              <w:rPr>
                <w:sz w:val="20"/>
                <w:szCs w:val="20"/>
              </w:rPr>
            </w:pPr>
          </w:p>
        </w:tc>
        <w:tc>
          <w:tcPr>
            <w:tcW w:w="2304" w:type="dxa"/>
            <w:tcBorders>
              <w:top w:val="dashSmallGap" w:sz="4" w:space="0" w:color="7F7F7F" w:themeColor="text1" w:themeTint="80"/>
              <w:right w:val="nil"/>
            </w:tcBorders>
            <w:vAlign w:val="center"/>
          </w:tcPr>
          <w:p w14:paraId="6B5AAB21" w14:textId="4867F2F9" w:rsidR="00A35B55" w:rsidRPr="00550561" w:rsidRDefault="00A35B55" w:rsidP="00A35B55">
            <w:pPr>
              <w:rPr>
                <w:sz w:val="20"/>
                <w:szCs w:val="20"/>
              </w:rPr>
            </w:pPr>
            <w:r w:rsidRPr="00550561">
              <w:rPr>
                <w:sz w:val="20"/>
                <w:szCs w:val="20"/>
              </w:rPr>
              <w:t>-</w:t>
            </w:r>
          </w:p>
        </w:tc>
        <w:tc>
          <w:tcPr>
            <w:tcW w:w="4265" w:type="dxa"/>
            <w:tcBorders>
              <w:top w:val="dashSmallGap" w:sz="4" w:space="0" w:color="7F7F7F" w:themeColor="text1" w:themeTint="80"/>
              <w:left w:val="nil"/>
            </w:tcBorders>
            <w:vAlign w:val="center"/>
          </w:tcPr>
          <w:p w14:paraId="1063FBEA" w14:textId="12700952" w:rsidR="00A35B55" w:rsidRPr="00550561" w:rsidRDefault="00A35B55" w:rsidP="00A35B55">
            <w:pPr>
              <w:rPr>
                <w:sz w:val="20"/>
                <w:szCs w:val="20"/>
              </w:rPr>
            </w:pPr>
            <w:r w:rsidRPr="00550561">
              <w:rPr>
                <w:sz w:val="20"/>
                <w:szCs w:val="20"/>
              </w:rPr>
              <w:t>-</w:t>
            </w:r>
          </w:p>
        </w:tc>
        <w:tc>
          <w:tcPr>
            <w:tcW w:w="2507" w:type="dxa"/>
            <w:tcBorders>
              <w:top w:val="dashSmallGap" w:sz="4" w:space="0" w:color="7F7F7F" w:themeColor="text1" w:themeTint="80"/>
              <w:right w:val="nil"/>
            </w:tcBorders>
            <w:vAlign w:val="center"/>
          </w:tcPr>
          <w:p w14:paraId="66C3FB46" w14:textId="121B27F2" w:rsidR="00A35B55" w:rsidRPr="00550561" w:rsidRDefault="00A35B55" w:rsidP="00A35B55">
            <w:pPr>
              <w:rPr>
                <w:sz w:val="20"/>
                <w:szCs w:val="20"/>
              </w:rPr>
            </w:pPr>
            <w:r w:rsidRPr="00550561">
              <w:rPr>
                <w:sz w:val="20"/>
                <w:szCs w:val="20"/>
              </w:rPr>
              <w:t xml:space="preserve">Pharmacists would benefit from having a better knowledge of available services to refer to </w:t>
            </w:r>
          </w:p>
        </w:tc>
        <w:tc>
          <w:tcPr>
            <w:tcW w:w="4091" w:type="dxa"/>
            <w:tcBorders>
              <w:top w:val="dashSmallGap" w:sz="4" w:space="0" w:color="7F7F7F" w:themeColor="text1" w:themeTint="80"/>
              <w:left w:val="nil"/>
            </w:tcBorders>
            <w:vAlign w:val="center"/>
          </w:tcPr>
          <w:p w14:paraId="078BA046" w14:textId="1D5D11E2" w:rsidR="00A35B55" w:rsidRPr="00550561" w:rsidRDefault="00A35B55" w:rsidP="00A35B55">
            <w:pPr>
              <w:rPr>
                <w:sz w:val="20"/>
                <w:szCs w:val="20"/>
              </w:rPr>
            </w:pPr>
            <w:r w:rsidRPr="00550561">
              <w:rPr>
                <w:sz w:val="20"/>
                <w:szCs w:val="20"/>
              </w:rPr>
              <w:t>Encourage pharmacists to explore available referral services in their area in readiness for reviews</w:t>
            </w:r>
          </w:p>
        </w:tc>
      </w:tr>
    </w:tbl>
    <w:p w14:paraId="262230DD" w14:textId="77777777" w:rsidR="00401999" w:rsidRPr="00550561" w:rsidRDefault="00401999" w:rsidP="003B3D48">
      <w:pPr>
        <w:pStyle w:val="paragraph"/>
        <w:spacing w:before="0" w:beforeAutospacing="0" w:after="0" w:afterAutospacing="0" w:line="360" w:lineRule="auto"/>
        <w:textAlignment w:val="baseline"/>
        <w:rPr>
          <w:rStyle w:val="normaltextrun"/>
          <w:rFonts w:asciiTheme="minorHAnsi" w:eastAsiaTheme="majorEastAsia" w:hAnsiTheme="minorHAnsi" w:cstheme="minorHAnsi"/>
          <w:sz w:val="22"/>
          <w:szCs w:val="22"/>
        </w:rPr>
        <w:sectPr w:rsidR="00401999" w:rsidRPr="00550561" w:rsidSect="007F2A61">
          <w:pgSz w:w="16838" w:h="11906" w:orient="landscape"/>
          <w:pgMar w:top="1440" w:right="1440" w:bottom="1440" w:left="1440" w:header="708" w:footer="708" w:gutter="0"/>
          <w:cols w:space="708"/>
          <w:docGrid w:linePitch="360"/>
        </w:sectPr>
      </w:pPr>
    </w:p>
    <w:p w14:paraId="1B5D06C2" w14:textId="7291D675" w:rsidR="00072FF5" w:rsidRPr="00550561" w:rsidRDefault="00072FF5" w:rsidP="003B3D48">
      <w:pPr>
        <w:spacing w:line="360" w:lineRule="auto"/>
        <w:rPr>
          <w:i/>
          <w:iCs/>
          <w:u w:val="single"/>
        </w:rPr>
      </w:pPr>
      <w:r w:rsidRPr="00550561">
        <w:rPr>
          <w:i/>
          <w:iCs/>
          <w:u w:val="single"/>
        </w:rPr>
        <w:t>Reflections on</w:t>
      </w:r>
      <w:r w:rsidR="009769A3" w:rsidRPr="00550561">
        <w:rPr>
          <w:i/>
          <w:iCs/>
          <w:u w:val="single"/>
        </w:rPr>
        <w:t xml:space="preserve"> using</w:t>
      </w:r>
      <w:r w:rsidRPr="00550561">
        <w:rPr>
          <w:i/>
          <w:iCs/>
          <w:u w:val="single"/>
        </w:rPr>
        <w:t xml:space="preserve"> the TFA</w:t>
      </w:r>
    </w:p>
    <w:p w14:paraId="1823A5F3" w14:textId="675D05AC" w:rsidR="009C3B27" w:rsidRPr="00550561" w:rsidRDefault="006601C7" w:rsidP="003B3D48">
      <w:pPr>
        <w:spacing w:line="360" w:lineRule="auto"/>
      </w:pPr>
      <w:r w:rsidRPr="00550561">
        <w:t xml:space="preserve">The TFA has been used </w:t>
      </w:r>
      <w:r w:rsidR="008F0307" w:rsidRPr="00550561">
        <w:t xml:space="preserve">at </w:t>
      </w:r>
      <w:r w:rsidR="00A2154F" w:rsidRPr="00550561">
        <w:t xml:space="preserve">singular </w:t>
      </w:r>
      <w:r w:rsidR="00C76407" w:rsidRPr="00550561">
        <w:t xml:space="preserve">timepoints </w:t>
      </w:r>
      <w:r w:rsidR="00FB304C" w:rsidRPr="00550561">
        <w:t>(prospective</w:t>
      </w:r>
      <w:r w:rsidR="00BC448D" w:rsidRPr="00BC448D">
        <w:rPr>
          <w:noProof/>
          <w:vertAlign w:val="superscript"/>
        </w:rPr>
        <w:t>19, 20</w:t>
      </w:r>
      <w:r w:rsidR="0022542A" w:rsidRPr="00550561">
        <w:t>, concurrent</w:t>
      </w:r>
      <w:r w:rsidR="00BC448D" w:rsidRPr="00BC448D">
        <w:rPr>
          <w:noProof/>
          <w:vertAlign w:val="superscript"/>
        </w:rPr>
        <w:t>21</w:t>
      </w:r>
      <w:r w:rsidR="0022542A" w:rsidRPr="00550561">
        <w:t xml:space="preserve"> </w:t>
      </w:r>
      <w:r w:rsidR="00FB304C" w:rsidRPr="00550561">
        <w:t>and retrospective</w:t>
      </w:r>
      <w:r w:rsidR="00BC448D" w:rsidRPr="00BC448D">
        <w:rPr>
          <w:noProof/>
          <w:vertAlign w:val="superscript"/>
        </w:rPr>
        <w:t>22, 23</w:t>
      </w:r>
      <w:r w:rsidR="00FB304C" w:rsidRPr="00550561">
        <w:t xml:space="preserve">) </w:t>
      </w:r>
      <w:r w:rsidR="00A2154F" w:rsidRPr="00550561">
        <w:t>and across timepoints</w:t>
      </w:r>
      <w:r w:rsidR="00BC448D" w:rsidRPr="00BC448D">
        <w:rPr>
          <w:noProof/>
          <w:vertAlign w:val="superscript"/>
        </w:rPr>
        <w:t>24, 25</w:t>
      </w:r>
      <w:r w:rsidR="00A2154F" w:rsidRPr="00550561">
        <w:t xml:space="preserve"> </w:t>
      </w:r>
      <w:r w:rsidR="008F0307" w:rsidRPr="00550561">
        <w:t>in intervention development and evaluation</w:t>
      </w:r>
      <w:r w:rsidR="00FF7371" w:rsidRPr="00550561">
        <w:t>.</w:t>
      </w:r>
      <w:r w:rsidR="008F0307" w:rsidRPr="00550561">
        <w:t xml:space="preserve"> </w:t>
      </w:r>
      <w:r w:rsidR="00070442" w:rsidRPr="00550561">
        <w:t xml:space="preserve">We applied the </w:t>
      </w:r>
      <w:r w:rsidR="00DD4DA7" w:rsidRPr="00550561">
        <w:t>TFA during the first phase of PROMPPT intervention</w:t>
      </w:r>
      <w:r w:rsidR="00532F5E" w:rsidRPr="00550561">
        <w:t xml:space="preserve"> development</w:t>
      </w:r>
      <w:r w:rsidR="00070442" w:rsidRPr="00550561">
        <w:t>, including both prospective and experience</w:t>
      </w:r>
      <w:r w:rsidR="0024523B" w:rsidRPr="00550561">
        <w:t>d</w:t>
      </w:r>
      <w:r w:rsidR="00070442" w:rsidRPr="00550561">
        <w:t xml:space="preserve"> </w:t>
      </w:r>
      <w:r w:rsidR="005246FE" w:rsidRPr="00550561">
        <w:t xml:space="preserve">acceptability, </w:t>
      </w:r>
      <w:r w:rsidR="00BF6A4C" w:rsidRPr="00550561">
        <w:t>allo</w:t>
      </w:r>
      <w:r w:rsidR="00070442" w:rsidRPr="00550561">
        <w:t>wing</w:t>
      </w:r>
      <w:r w:rsidR="00BC7162" w:rsidRPr="00550561">
        <w:t xml:space="preserve"> </w:t>
      </w:r>
      <w:r w:rsidR="00011BD6" w:rsidRPr="00550561">
        <w:t>key concerns</w:t>
      </w:r>
      <w:r w:rsidR="004B2C47" w:rsidRPr="00550561">
        <w:t xml:space="preserve"> </w:t>
      </w:r>
      <w:r w:rsidR="00173AFA" w:rsidRPr="00550561">
        <w:t xml:space="preserve">(about </w:t>
      </w:r>
      <w:r w:rsidR="00945720" w:rsidRPr="00550561">
        <w:t>implementation or</w:t>
      </w:r>
      <w:r w:rsidR="00D2442E" w:rsidRPr="00550561">
        <w:t xml:space="preserve"> uptake</w:t>
      </w:r>
      <w:r w:rsidR="00173AFA" w:rsidRPr="00550561">
        <w:t>)</w:t>
      </w:r>
      <w:r w:rsidR="00D2442E" w:rsidRPr="00550561">
        <w:t xml:space="preserve"> </w:t>
      </w:r>
      <w:r w:rsidR="00173AFA" w:rsidRPr="00550561">
        <w:t>to be identified and</w:t>
      </w:r>
      <w:r w:rsidR="00BC7162" w:rsidRPr="00550561">
        <w:t xml:space="preserve"> </w:t>
      </w:r>
      <w:r w:rsidR="00173AFA" w:rsidRPr="00550561">
        <w:t>addressed.</w:t>
      </w:r>
      <w:r w:rsidR="00C506D3" w:rsidRPr="00550561">
        <w:t xml:space="preserve"> </w:t>
      </w:r>
      <w:r w:rsidR="00987A21" w:rsidRPr="00550561">
        <w:t>Exploring</w:t>
      </w:r>
      <w:r w:rsidR="009A3A02" w:rsidRPr="00550561">
        <w:t xml:space="preserve"> prospective and experienced</w:t>
      </w:r>
      <w:r w:rsidR="00987A21" w:rsidRPr="00550561">
        <w:t xml:space="preserve"> acceptability, </w:t>
      </w:r>
      <w:r w:rsidR="00D5286E" w:rsidRPr="00550561">
        <w:t>highlighted how different constructs apply at different time</w:t>
      </w:r>
      <w:r w:rsidR="005F5997" w:rsidRPr="00550561">
        <w:t xml:space="preserve">s. For example, </w:t>
      </w:r>
      <w:r w:rsidR="0075038F" w:rsidRPr="00550561">
        <w:t xml:space="preserve">patients </w:t>
      </w:r>
      <w:r w:rsidR="005E7645" w:rsidRPr="00550561">
        <w:t>expressed their concerns that PROMPPT reviews would need to be undertaken for the right reasons</w:t>
      </w:r>
      <w:r w:rsidR="002C4307" w:rsidRPr="00550561">
        <w:t xml:space="preserve"> to help patients manage their pain</w:t>
      </w:r>
      <w:r w:rsidR="005E7645" w:rsidRPr="00550561">
        <w:t xml:space="preserve"> and no</w:t>
      </w:r>
      <w:r w:rsidR="002C4307" w:rsidRPr="00550561">
        <w:t>t be for NHS cost-saving</w:t>
      </w:r>
      <w:r w:rsidR="009A2850" w:rsidRPr="00550561">
        <w:t xml:space="preserve"> when discussing ethicality. Following </w:t>
      </w:r>
      <w:r w:rsidR="009F7501" w:rsidRPr="00550561">
        <w:t>IPT</w:t>
      </w:r>
      <w:r w:rsidR="009A2850" w:rsidRPr="00550561">
        <w:t xml:space="preserve">, </w:t>
      </w:r>
      <w:r w:rsidR="0031779C" w:rsidRPr="00550561">
        <w:t>patients</w:t>
      </w:r>
      <w:r w:rsidR="00543972" w:rsidRPr="00550561">
        <w:t xml:space="preserve"> understood that </w:t>
      </w:r>
      <w:r w:rsidR="001F63E4" w:rsidRPr="00550561">
        <w:t xml:space="preserve">the </w:t>
      </w:r>
      <w:r w:rsidR="00A140C8" w:rsidRPr="00550561">
        <w:t xml:space="preserve">purpose of </w:t>
      </w:r>
      <w:r w:rsidR="0041151A" w:rsidRPr="00550561">
        <w:t xml:space="preserve">PROMPPT was to support </w:t>
      </w:r>
      <w:r w:rsidR="00D275B7" w:rsidRPr="00550561">
        <w:t xml:space="preserve">them to live well with pain and that </w:t>
      </w:r>
      <w:r w:rsidR="0012266C" w:rsidRPr="00550561">
        <w:t xml:space="preserve">cost saving for the NHS and the GP practice was an additional </w:t>
      </w:r>
      <w:r w:rsidR="004D3853" w:rsidRPr="00550561">
        <w:t>outcome</w:t>
      </w:r>
      <w:r w:rsidR="00E32127" w:rsidRPr="00550561">
        <w:t xml:space="preserve">, demonstrating a shift from ethicality to intervention coherence. </w:t>
      </w:r>
    </w:p>
    <w:p w14:paraId="67E8AB3A" w14:textId="0C99BBCF" w:rsidR="006F2EDA" w:rsidRPr="00550561" w:rsidRDefault="00173AFA" w:rsidP="003B3D48">
      <w:pPr>
        <w:spacing w:line="360" w:lineRule="auto"/>
      </w:pPr>
      <w:r w:rsidRPr="00550561">
        <w:t>U</w:t>
      </w:r>
      <w:r w:rsidR="00B940AD" w:rsidRPr="00550561">
        <w:t xml:space="preserve">sing the TFA to identify </w:t>
      </w:r>
      <w:r w:rsidR="00FA44BB" w:rsidRPr="00550561">
        <w:t>and address key concerns according to the different constructs</w:t>
      </w:r>
      <w:r w:rsidR="00466742" w:rsidRPr="00550561">
        <w:t>,</w:t>
      </w:r>
      <w:r w:rsidR="00FA44BB" w:rsidRPr="00550561">
        <w:t xml:space="preserve"> </w:t>
      </w:r>
      <w:r w:rsidR="002936E4" w:rsidRPr="00550561">
        <w:t xml:space="preserve">supports the assertion from Sekhon and colleagues that acceptability is not a </w:t>
      </w:r>
      <w:r w:rsidR="00011BD6" w:rsidRPr="00550561">
        <w:t xml:space="preserve">fixed construct with binary (acceptable/ not acceptable) </w:t>
      </w:r>
      <w:r w:rsidR="00F27264" w:rsidRPr="00550561">
        <w:t xml:space="preserve">outcomes. </w:t>
      </w:r>
      <w:r w:rsidR="009473E1" w:rsidRPr="00550561">
        <w:t xml:space="preserve">This is shared by </w:t>
      </w:r>
      <w:r w:rsidR="008D25B1" w:rsidRPr="00550561">
        <w:t>Deja et al.,</w:t>
      </w:r>
      <w:r w:rsidR="00BC448D" w:rsidRPr="00BC448D">
        <w:rPr>
          <w:noProof/>
          <w:vertAlign w:val="superscript"/>
        </w:rPr>
        <w:t>25</w:t>
      </w:r>
      <w:r w:rsidR="00F2439A" w:rsidRPr="00550561">
        <w:t xml:space="preserve"> </w:t>
      </w:r>
      <w:r w:rsidR="008D25B1" w:rsidRPr="00550561">
        <w:t xml:space="preserve">who acknowledged the merit in adopting the TFA to identify and address </w:t>
      </w:r>
      <w:r w:rsidR="00CB79C5" w:rsidRPr="00550561">
        <w:t>key issues that threatened the acceptability of their trial.</w:t>
      </w:r>
      <w:r w:rsidR="00BC448D" w:rsidRPr="00BC448D">
        <w:rPr>
          <w:noProof/>
          <w:vertAlign w:val="superscript"/>
        </w:rPr>
        <w:t>25</w:t>
      </w:r>
      <w:r w:rsidR="00CB79C5" w:rsidRPr="00550561">
        <w:t xml:space="preserve"> </w:t>
      </w:r>
      <w:r w:rsidR="00F27264" w:rsidRPr="00550561">
        <w:t xml:space="preserve"> </w:t>
      </w:r>
      <w:r w:rsidR="00B8338D" w:rsidRPr="00550561">
        <w:t xml:space="preserve">The </w:t>
      </w:r>
      <w:r w:rsidR="00A06080" w:rsidRPr="00550561">
        <w:t xml:space="preserve">TFA </w:t>
      </w:r>
      <w:r w:rsidR="00B8338D" w:rsidRPr="00550561">
        <w:t xml:space="preserve">was developed as a tool to help understand what makes health interventions acceptable and what needs to be addressed to improve </w:t>
      </w:r>
      <w:r w:rsidR="00707C49" w:rsidRPr="00550561">
        <w:t>its</w:t>
      </w:r>
      <w:r w:rsidR="00B8338D" w:rsidRPr="00550561">
        <w:t xml:space="preserve"> </w:t>
      </w:r>
      <w:r w:rsidR="00707C49" w:rsidRPr="00550561">
        <w:t>acceptability</w:t>
      </w:r>
      <w:r w:rsidR="00F2439A" w:rsidRPr="00550561">
        <w:t xml:space="preserve"> </w:t>
      </w:r>
      <w:r w:rsidR="00A42564" w:rsidRPr="00550561">
        <w:rPr>
          <w:vertAlign w:val="superscript"/>
        </w:rPr>
        <w:t>12, 13</w:t>
      </w:r>
      <w:r w:rsidR="00707C49" w:rsidRPr="00550561">
        <w:t xml:space="preserve"> </w:t>
      </w:r>
      <w:r w:rsidR="00E629E2" w:rsidRPr="00550561">
        <w:t xml:space="preserve">rather </w:t>
      </w:r>
      <w:r w:rsidR="00D5658C" w:rsidRPr="00550561">
        <w:t xml:space="preserve">than defining criteria to assess whether something is acceptable or </w:t>
      </w:r>
      <w:r w:rsidR="00564084" w:rsidRPr="00550561">
        <w:t>not according to set cut-offs.</w:t>
      </w:r>
      <w:r w:rsidR="00FB1383" w:rsidRPr="00550561">
        <w:t xml:space="preserve"> </w:t>
      </w:r>
      <w:r w:rsidR="00575E63" w:rsidRPr="00550561">
        <w:t xml:space="preserve">We used the </w:t>
      </w:r>
      <w:r w:rsidR="00F22A71" w:rsidRPr="00550561">
        <w:t xml:space="preserve">construct of ‘Global acceptability’ as an overall marker of whether the intervention was </w:t>
      </w:r>
      <w:r w:rsidR="006612E7" w:rsidRPr="00550561">
        <w:t>acceptable or not</w:t>
      </w:r>
      <w:r w:rsidR="00237F5F" w:rsidRPr="00550561">
        <w:t xml:space="preserve"> and used</w:t>
      </w:r>
      <w:r w:rsidR="00E30A59" w:rsidRPr="00550561">
        <w:t xml:space="preserve"> other </w:t>
      </w:r>
      <w:r w:rsidR="00575E63" w:rsidRPr="00550561">
        <w:t xml:space="preserve">constructs to identify areas that </w:t>
      </w:r>
      <w:r w:rsidR="00F8694D" w:rsidRPr="00550561">
        <w:t>required no change and recommendations for improvement. As n</w:t>
      </w:r>
      <w:r w:rsidR="006612E7" w:rsidRPr="00550561">
        <w:t>o ‘red flags’ were identified</w:t>
      </w:r>
      <w:r w:rsidR="00575E63" w:rsidRPr="00550561">
        <w:t xml:space="preserve"> </w:t>
      </w:r>
      <w:r w:rsidR="007A59C4" w:rsidRPr="00550561">
        <w:t>in the key findings</w:t>
      </w:r>
      <w:r w:rsidR="004C0A10" w:rsidRPr="00550561">
        <w:t xml:space="preserve"> for each construct</w:t>
      </w:r>
      <w:r w:rsidR="007A59C4" w:rsidRPr="00550561">
        <w:t xml:space="preserve">, we </w:t>
      </w:r>
      <w:r w:rsidR="00013334" w:rsidRPr="00550561">
        <w:t xml:space="preserve">were </w:t>
      </w:r>
      <w:r w:rsidR="00D640A3" w:rsidRPr="00550561">
        <w:t xml:space="preserve">reassured that the intervention was generally acceptable but </w:t>
      </w:r>
      <w:r w:rsidR="00FB1383" w:rsidRPr="00550561">
        <w:t xml:space="preserve">could be improved by actioning the recommendations. </w:t>
      </w:r>
      <w:r w:rsidR="005246FE" w:rsidRPr="00550561">
        <w:t xml:space="preserve">We also observed a </w:t>
      </w:r>
      <w:r w:rsidR="009B6190" w:rsidRPr="00550561">
        <w:t xml:space="preserve">significant overlap in the </w:t>
      </w:r>
      <w:r w:rsidR="00F55ED9" w:rsidRPr="00550561">
        <w:t xml:space="preserve">constructs </w:t>
      </w:r>
      <w:r w:rsidR="009B6190" w:rsidRPr="00550561">
        <w:t>‘Global acceptability’ and ‘Affective attitude’</w:t>
      </w:r>
      <w:r w:rsidR="00723B86" w:rsidRPr="00550561">
        <w:t xml:space="preserve"> when participants were discussing their feelings towards the PROMPPT</w:t>
      </w:r>
      <w:r w:rsidR="000108C7" w:rsidRPr="00550561">
        <w:t xml:space="preserve"> intervention. This supported our </w:t>
      </w:r>
      <w:r w:rsidR="004E02CF" w:rsidRPr="00550561">
        <w:t xml:space="preserve">decision to use ‘Global Acceptability’ as a marker to judge </w:t>
      </w:r>
      <w:r w:rsidR="00454178" w:rsidRPr="00550561">
        <w:t xml:space="preserve">overall acceptability rather than to use it to identify aspects of acceptability as a separate construct. </w:t>
      </w:r>
      <w:r w:rsidR="009B6190" w:rsidRPr="00550561">
        <w:t xml:space="preserve"> </w:t>
      </w:r>
      <w:r w:rsidR="00955614" w:rsidRPr="00550561">
        <w:t>To support future research using the TFA, s</w:t>
      </w:r>
      <w:r w:rsidR="00B8338D" w:rsidRPr="00550561">
        <w:t>ome clari</w:t>
      </w:r>
      <w:r w:rsidR="00E629E2" w:rsidRPr="00550561">
        <w:t xml:space="preserve">fication </w:t>
      </w:r>
      <w:r w:rsidR="00B8338D" w:rsidRPr="00550561">
        <w:t xml:space="preserve">is required </w:t>
      </w:r>
      <w:r w:rsidR="008D2086" w:rsidRPr="00550561">
        <w:t xml:space="preserve">with regards </w:t>
      </w:r>
      <w:r w:rsidR="00AE12F2" w:rsidRPr="00550561">
        <w:t xml:space="preserve">to </w:t>
      </w:r>
      <w:r w:rsidR="008D2086" w:rsidRPr="00550561">
        <w:t xml:space="preserve">assessing acceptability and </w:t>
      </w:r>
      <w:r w:rsidR="00AE12F2" w:rsidRPr="00550561">
        <w:t xml:space="preserve">whether </w:t>
      </w:r>
      <w:r w:rsidR="008D2086" w:rsidRPr="00550561">
        <w:t>w</w:t>
      </w:r>
      <w:r w:rsidR="007C2EC1" w:rsidRPr="00550561">
        <w:t>hen an intervention or aspects of</w:t>
      </w:r>
      <w:r w:rsidR="0038291D" w:rsidRPr="00550561">
        <w:t>,</w:t>
      </w:r>
      <w:r w:rsidR="007C2EC1" w:rsidRPr="00550561">
        <w:t xml:space="preserve"> can be classified as ‘acceptable’</w:t>
      </w:r>
      <w:r w:rsidR="00D007E8" w:rsidRPr="00550561">
        <w:t xml:space="preserve"> according to the constructs. </w:t>
      </w:r>
    </w:p>
    <w:p w14:paraId="18517846" w14:textId="77777777" w:rsidR="00965955" w:rsidRPr="00550561" w:rsidRDefault="00965955" w:rsidP="003B3D48">
      <w:pPr>
        <w:spacing w:line="360" w:lineRule="auto"/>
        <w:rPr>
          <w:i/>
          <w:iCs/>
          <w:u w:val="single"/>
        </w:rPr>
      </w:pPr>
      <w:r w:rsidRPr="00550561">
        <w:rPr>
          <w:i/>
          <w:iCs/>
          <w:u w:val="single"/>
        </w:rPr>
        <w:t>Strengths and limitations</w:t>
      </w:r>
    </w:p>
    <w:p w14:paraId="45F7C201" w14:textId="682F79B2" w:rsidR="00A578DF" w:rsidRPr="00550561" w:rsidRDefault="00985285" w:rsidP="003B3D48">
      <w:pPr>
        <w:spacing w:line="360" w:lineRule="auto"/>
      </w:pPr>
      <w:r w:rsidRPr="00550561">
        <w:t>We have</w:t>
      </w:r>
      <w:r w:rsidR="000E38A0" w:rsidRPr="00550561">
        <w:t xml:space="preserve"> </w:t>
      </w:r>
      <w:r w:rsidR="00834E9D" w:rsidRPr="00550561">
        <w:t xml:space="preserve">adopted </w:t>
      </w:r>
      <w:r w:rsidR="00A4403B" w:rsidRPr="00550561">
        <w:t xml:space="preserve">a multi-component approach </w:t>
      </w:r>
      <w:r w:rsidR="0031779C" w:rsidRPr="00550561">
        <w:t>using</w:t>
      </w:r>
      <w:r w:rsidR="00D20E3E" w:rsidRPr="00550561">
        <w:t xml:space="preserve"> compl</w:t>
      </w:r>
      <w:r w:rsidR="008B57DB" w:rsidRPr="00550561">
        <w:t>e</w:t>
      </w:r>
      <w:r w:rsidR="00D20E3E" w:rsidRPr="00550561">
        <w:t xml:space="preserve">mentary </w:t>
      </w:r>
      <w:r w:rsidR="00A4403B" w:rsidRPr="00550561">
        <w:t>qualitative</w:t>
      </w:r>
      <w:r w:rsidR="00C46051" w:rsidRPr="00550561">
        <w:t xml:space="preserve"> research</w:t>
      </w:r>
      <w:r w:rsidR="00A4403B" w:rsidRPr="00550561">
        <w:t xml:space="preserve"> methods</w:t>
      </w:r>
      <w:r w:rsidR="00834E9D" w:rsidRPr="00550561">
        <w:t xml:space="preserve"> </w:t>
      </w:r>
      <w:r w:rsidR="001A158D" w:rsidRPr="00550561">
        <w:t xml:space="preserve">to support the </w:t>
      </w:r>
      <w:r w:rsidR="006E1CE5" w:rsidRPr="00550561">
        <w:t xml:space="preserve">early </w:t>
      </w:r>
      <w:r w:rsidR="001A158D" w:rsidRPr="00550561">
        <w:t>development phase</w:t>
      </w:r>
      <w:r w:rsidR="006E1CE5" w:rsidRPr="00550561">
        <w:t>s</w:t>
      </w:r>
      <w:r w:rsidR="001A158D" w:rsidRPr="00550561">
        <w:t xml:space="preserve"> of </w:t>
      </w:r>
      <w:r w:rsidR="006E1CE5" w:rsidRPr="00550561">
        <w:t>PROMPPT</w:t>
      </w:r>
      <w:r w:rsidR="001A158D" w:rsidRPr="00550561">
        <w:t>.</w:t>
      </w:r>
      <w:r w:rsidR="00A50275" w:rsidRPr="00550561">
        <w:t xml:space="preserve"> </w:t>
      </w:r>
      <w:r w:rsidR="003F75EA" w:rsidRPr="00550561">
        <w:t>Recruiting</w:t>
      </w:r>
      <w:r w:rsidR="003A40B0" w:rsidRPr="00550561">
        <w:t xml:space="preserve"> participants </w:t>
      </w:r>
      <w:r w:rsidR="00E7148C" w:rsidRPr="00550561">
        <w:t xml:space="preserve">through a range of routes </w:t>
      </w:r>
      <w:r w:rsidR="00477A4D" w:rsidRPr="00550561">
        <w:t xml:space="preserve">allowed us to capture </w:t>
      </w:r>
      <w:r w:rsidR="00E7148C" w:rsidRPr="00550561">
        <w:t xml:space="preserve">perspectives from </w:t>
      </w:r>
      <w:r w:rsidR="00477A4D" w:rsidRPr="00550561">
        <w:t>a wider range of</w:t>
      </w:r>
      <w:r w:rsidR="00E60F38" w:rsidRPr="00550561">
        <w:t xml:space="preserve"> </w:t>
      </w:r>
      <w:r w:rsidR="00E1523A" w:rsidRPr="00550561">
        <w:t>people</w:t>
      </w:r>
      <w:r w:rsidR="00477A4D" w:rsidRPr="00550561">
        <w:t xml:space="preserve"> </w:t>
      </w:r>
      <w:r w:rsidR="00E60F38" w:rsidRPr="00550561">
        <w:t xml:space="preserve">with </w:t>
      </w:r>
      <w:r w:rsidR="00276540" w:rsidRPr="00550561">
        <w:t>experience of taking opioids</w:t>
      </w:r>
      <w:r w:rsidR="00AB56CC" w:rsidRPr="00550561">
        <w:t xml:space="preserve"> </w:t>
      </w:r>
      <w:r w:rsidR="00E74572" w:rsidRPr="00550561">
        <w:t xml:space="preserve">for PNCP, </w:t>
      </w:r>
      <w:r w:rsidR="00AB56CC" w:rsidRPr="00550561">
        <w:t xml:space="preserve">including both those </w:t>
      </w:r>
      <w:r w:rsidR="00477A4D" w:rsidRPr="00550561">
        <w:t xml:space="preserve">currently </w:t>
      </w:r>
      <w:r w:rsidR="00AB56CC" w:rsidRPr="00550561">
        <w:t xml:space="preserve">using </w:t>
      </w:r>
      <w:r w:rsidR="00477A4D" w:rsidRPr="00550561">
        <w:t>opioids and those who had experience</w:t>
      </w:r>
      <w:r w:rsidR="004034E7" w:rsidRPr="00550561">
        <w:t xml:space="preserve"> of tapering and stopping their opioids.</w:t>
      </w:r>
      <w:r w:rsidR="00C4330E" w:rsidRPr="00550561">
        <w:t xml:space="preserve"> </w:t>
      </w:r>
      <w:r w:rsidR="00C5251D" w:rsidRPr="00550561">
        <w:t>Interviewing</w:t>
      </w:r>
      <w:r w:rsidR="00F2448C" w:rsidRPr="00550561">
        <w:t xml:space="preserve"> patients </w:t>
      </w:r>
      <w:r w:rsidR="0069550F" w:rsidRPr="00550561">
        <w:t>and</w:t>
      </w:r>
      <w:r w:rsidR="004E4383" w:rsidRPr="00550561">
        <w:t xml:space="preserve"> pharmacists </w:t>
      </w:r>
      <w:r w:rsidR="006E1CE5" w:rsidRPr="00550561">
        <w:t xml:space="preserve">means that </w:t>
      </w:r>
      <w:r w:rsidR="000C68E0" w:rsidRPr="00550561">
        <w:t xml:space="preserve">we have investigated </w:t>
      </w:r>
      <w:r w:rsidR="00BF6E23" w:rsidRPr="00550561">
        <w:t xml:space="preserve">potential problems for those </w:t>
      </w:r>
      <w:r w:rsidR="00723E42" w:rsidRPr="00550561">
        <w:t xml:space="preserve">either </w:t>
      </w:r>
      <w:r w:rsidR="00A44673" w:rsidRPr="00550561">
        <w:t>receiving</w:t>
      </w:r>
      <w:r w:rsidR="00723E42" w:rsidRPr="00550561">
        <w:t xml:space="preserve"> or</w:t>
      </w:r>
      <w:r w:rsidR="00CD6CB9" w:rsidRPr="00550561">
        <w:t xml:space="preserve"> </w:t>
      </w:r>
      <w:r w:rsidR="00A44673" w:rsidRPr="00550561">
        <w:t>deliver</w:t>
      </w:r>
      <w:r w:rsidR="00BF6E23" w:rsidRPr="00550561">
        <w:t xml:space="preserve">ing </w:t>
      </w:r>
      <w:r w:rsidR="00A44673" w:rsidRPr="00550561">
        <w:t>the intervention.</w:t>
      </w:r>
      <w:r w:rsidR="0069550F" w:rsidRPr="00550561">
        <w:t xml:space="preserve"> </w:t>
      </w:r>
      <w:r w:rsidR="00594C91" w:rsidRPr="00550561">
        <w:t xml:space="preserve">The study was further strengthened with the inclusion of prototype testing during </w:t>
      </w:r>
      <w:r w:rsidR="00351732" w:rsidRPr="00550561">
        <w:t>IPT</w:t>
      </w:r>
      <w:r w:rsidR="00522ABA" w:rsidRPr="00550561">
        <w:t>, allowing</w:t>
      </w:r>
      <w:r w:rsidR="00063427" w:rsidRPr="00550561">
        <w:t xml:space="preserve"> for potential barriers to implementation and issues of acceptability to be addressed to increase probability of intervention success.</w:t>
      </w:r>
    </w:p>
    <w:p w14:paraId="73A441D5" w14:textId="77C0D932" w:rsidR="0036630C" w:rsidRPr="00550561" w:rsidRDefault="00852B51" w:rsidP="003B3D48">
      <w:pPr>
        <w:spacing w:line="360" w:lineRule="auto"/>
      </w:pPr>
      <w:r w:rsidRPr="00550561">
        <w:t xml:space="preserve">During </w:t>
      </w:r>
      <w:r w:rsidR="00806C6C" w:rsidRPr="00550561">
        <w:t>IPT</w:t>
      </w:r>
      <w:r w:rsidRPr="00550561">
        <w:t xml:space="preserve">, </w:t>
      </w:r>
      <w:r w:rsidR="00F2448C" w:rsidRPr="00550561">
        <w:t>patients</w:t>
      </w:r>
      <w:r w:rsidRPr="00550561">
        <w:t xml:space="preserve"> were asked to </w:t>
      </w:r>
      <w:r w:rsidR="00741A82" w:rsidRPr="00550561">
        <w:t xml:space="preserve">‘think-aloud’ during the </w:t>
      </w:r>
      <w:r w:rsidR="006457A7" w:rsidRPr="00550561">
        <w:t xml:space="preserve">PROMPPT </w:t>
      </w:r>
      <w:r w:rsidR="00741A82" w:rsidRPr="00550561">
        <w:t>review by saying any thoughts or feelings that came up</w:t>
      </w:r>
      <w:r w:rsidR="00B900D9" w:rsidRPr="00550561">
        <w:t xml:space="preserve"> concurrently.</w:t>
      </w:r>
      <w:r w:rsidR="00741A82" w:rsidRPr="00550561">
        <w:t xml:space="preserve"> </w:t>
      </w:r>
      <w:r w:rsidR="000B7696" w:rsidRPr="00550561">
        <w:t>However,</w:t>
      </w:r>
      <w:r w:rsidR="00BA3FC6" w:rsidRPr="00550561">
        <w:t xml:space="preserve"> n</w:t>
      </w:r>
      <w:r w:rsidR="00741A82" w:rsidRPr="00550561">
        <w:t>one of the</w:t>
      </w:r>
      <w:r w:rsidR="00A6163A" w:rsidRPr="00550561">
        <w:t xml:space="preserve">m </w:t>
      </w:r>
      <w:r w:rsidR="000B7696" w:rsidRPr="00550561">
        <w:t>did this</w:t>
      </w:r>
      <w:r w:rsidR="00A86C81" w:rsidRPr="00550561">
        <w:t xml:space="preserve">, and </w:t>
      </w:r>
      <w:r w:rsidR="00B900D9" w:rsidRPr="00550561">
        <w:t xml:space="preserve">so </w:t>
      </w:r>
      <w:r w:rsidR="00A86C81" w:rsidRPr="00550561">
        <w:t xml:space="preserve">we asked retrospectively about the review in the interviews afterwards. </w:t>
      </w:r>
      <w:r w:rsidR="000B7696" w:rsidRPr="00550561">
        <w:t xml:space="preserve"> </w:t>
      </w:r>
      <w:r w:rsidR="00B900D9" w:rsidRPr="00550561">
        <w:t xml:space="preserve">Concurrent think aloud </w:t>
      </w:r>
      <w:r w:rsidR="00E34935" w:rsidRPr="00550561">
        <w:t>method</w:t>
      </w:r>
      <w:r w:rsidR="00B900D9" w:rsidRPr="00550561">
        <w:t>s</w:t>
      </w:r>
      <w:r w:rsidR="00E34935" w:rsidRPr="00550561">
        <w:t xml:space="preserve"> </w:t>
      </w:r>
      <w:r w:rsidR="0092588B" w:rsidRPr="00550561">
        <w:t>ha</w:t>
      </w:r>
      <w:r w:rsidR="00B900D9" w:rsidRPr="00550561">
        <w:t>ve</w:t>
      </w:r>
      <w:r w:rsidR="0092588B" w:rsidRPr="00550561">
        <w:t xml:space="preserve"> been used previously in questionnaire design</w:t>
      </w:r>
      <w:r w:rsidR="00F2439A" w:rsidRPr="00550561">
        <w:t xml:space="preserve"> </w:t>
      </w:r>
      <w:r w:rsidR="00BC448D" w:rsidRPr="00BC448D">
        <w:rPr>
          <w:noProof/>
          <w:vertAlign w:val="superscript"/>
        </w:rPr>
        <w:t>26-28</w:t>
      </w:r>
      <w:r w:rsidR="0092588B" w:rsidRPr="00550561">
        <w:t xml:space="preserve"> </w:t>
      </w:r>
      <w:r w:rsidR="00810BBE" w:rsidRPr="00550561">
        <w:t xml:space="preserve">and </w:t>
      </w:r>
      <w:r w:rsidR="00A87A29" w:rsidRPr="00550561">
        <w:t xml:space="preserve">intervention development </w:t>
      </w:r>
      <w:r w:rsidR="00B900D9" w:rsidRPr="00550561">
        <w:t>studies</w:t>
      </w:r>
      <w:r w:rsidR="00A87A29" w:rsidRPr="00550561">
        <w:t>.</w:t>
      </w:r>
      <w:r w:rsidR="00BC448D" w:rsidRPr="00BC448D">
        <w:rPr>
          <w:noProof/>
          <w:vertAlign w:val="superscript"/>
        </w:rPr>
        <w:t>29</w:t>
      </w:r>
      <w:r w:rsidR="00A87A29" w:rsidRPr="00550561">
        <w:t xml:space="preserve"> However</w:t>
      </w:r>
      <w:r w:rsidR="00D859DF" w:rsidRPr="00550561">
        <w:t>,</w:t>
      </w:r>
      <w:r w:rsidR="00A87A29" w:rsidRPr="00550561">
        <w:t xml:space="preserve"> in the context of a </w:t>
      </w:r>
      <w:r w:rsidR="005E784C" w:rsidRPr="00550561">
        <w:t xml:space="preserve">primary care consultation, </w:t>
      </w:r>
      <w:r w:rsidR="00D859DF" w:rsidRPr="00550561">
        <w:t>‘</w:t>
      </w:r>
      <w:r w:rsidR="005E784C" w:rsidRPr="00550561">
        <w:t>think</w:t>
      </w:r>
      <w:r w:rsidR="00A927E7" w:rsidRPr="00550561">
        <w:t>-</w:t>
      </w:r>
      <w:proofErr w:type="spellStart"/>
      <w:r w:rsidR="005E784C" w:rsidRPr="00550561">
        <w:t>alouds</w:t>
      </w:r>
      <w:proofErr w:type="spellEnd"/>
      <w:r w:rsidR="00D859DF" w:rsidRPr="00550561">
        <w:t>’</w:t>
      </w:r>
      <w:r w:rsidR="005E784C" w:rsidRPr="00550561">
        <w:t xml:space="preserve"> did not </w:t>
      </w:r>
      <w:r w:rsidR="009E56A7" w:rsidRPr="00550561">
        <w:t xml:space="preserve">work so well as it </w:t>
      </w:r>
      <w:r w:rsidR="00BE4A06" w:rsidRPr="00550561">
        <w:t>disrupts</w:t>
      </w:r>
      <w:r w:rsidR="00B900D9" w:rsidRPr="00550561">
        <w:t xml:space="preserve"> </w:t>
      </w:r>
      <w:r w:rsidR="00C349A6" w:rsidRPr="00550561">
        <w:t>t</w:t>
      </w:r>
      <w:r w:rsidR="00D859DF" w:rsidRPr="00550561">
        <w:t>he</w:t>
      </w:r>
      <w:r w:rsidR="00C349A6" w:rsidRPr="00550561">
        <w:t xml:space="preserve"> flow of the</w:t>
      </w:r>
      <w:r w:rsidR="006457A7" w:rsidRPr="00550561">
        <w:t xml:space="preserve"> </w:t>
      </w:r>
      <w:r w:rsidR="00C349A6" w:rsidRPr="00550561">
        <w:t>review and the dialogue between the patient and the pharmacist</w:t>
      </w:r>
      <w:r w:rsidR="00B95CD1" w:rsidRPr="00550561">
        <w:t>.</w:t>
      </w:r>
    </w:p>
    <w:p w14:paraId="77757976" w14:textId="1E789509" w:rsidR="00913BE4" w:rsidRPr="00550561" w:rsidRDefault="00987A34" w:rsidP="003B3D48">
      <w:pPr>
        <w:spacing w:line="360" w:lineRule="auto"/>
      </w:pPr>
      <w:r w:rsidRPr="00550561">
        <w:t xml:space="preserve">Issues highlighted during each stage of </w:t>
      </w:r>
      <w:r w:rsidR="00B315EE" w:rsidRPr="00550561">
        <w:t>IPT</w:t>
      </w:r>
      <w:r w:rsidRPr="00550561">
        <w:t xml:space="preserve"> were addressed where possible, but a short timeframe between each cycle limited how much could be addressed.</w:t>
      </w:r>
      <w:r w:rsidR="006429A5" w:rsidRPr="00550561">
        <w:t xml:space="preserve"> A</w:t>
      </w:r>
      <w:r w:rsidRPr="00550561">
        <w:t>ny recommendations not implemented during cycles</w:t>
      </w:r>
      <w:r w:rsidR="00A27FC3" w:rsidRPr="00550561">
        <w:t xml:space="preserve"> (</w:t>
      </w:r>
      <w:proofErr w:type="spellStart"/>
      <w:r w:rsidR="00A27FC3" w:rsidRPr="00550561">
        <w:t>e.g</w:t>
      </w:r>
      <w:proofErr w:type="spellEnd"/>
      <w:r w:rsidR="006B2BE5" w:rsidRPr="00550561">
        <w:t xml:space="preserve"> </w:t>
      </w:r>
      <w:r w:rsidR="004C73DD" w:rsidRPr="00550561">
        <w:t>summary of pharmacist training for other</w:t>
      </w:r>
      <w:r w:rsidR="00EB1458" w:rsidRPr="00550561">
        <w:t xml:space="preserve"> practice staff including GPs</w:t>
      </w:r>
      <w:r w:rsidR="004C73DD" w:rsidRPr="00550561">
        <w:t xml:space="preserve"> and</w:t>
      </w:r>
      <w:r w:rsidR="00574CDB" w:rsidRPr="00550561">
        <w:t xml:space="preserve"> guidance for</w:t>
      </w:r>
      <w:r w:rsidR="004C73DD" w:rsidRPr="00550561">
        <w:t xml:space="preserve"> admin</w:t>
      </w:r>
      <w:r w:rsidR="00574CDB" w:rsidRPr="00550561">
        <w:t>istrative teams</w:t>
      </w:r>
      <w:r w:rsidR="003338EA" w:rsidRPr="00550561">
        <w:t>)</w:t>
      </w:r>
      <w:r w:rsidR="00A27FC3" w:rsidRPr="00550561">
        <w:t xml:space="preserve"> </w:t>
      </w:r>
      <w:r w:rsidRPr="00550561">
        <w:t xml:space="preserve">were addressed </w:t>
      </w:r>
      <w:r w:rsidR="006429A5" w:rsidRPr="00550561">
        <w:t xml:space="preserve">following the final cycle </w:t>
      </w:r>
      <w:r w:rsidR="00B315EE" w:rsidRPr="00550561">
        <w:t>of IPT</w:t>
      </w:r>
      <w:r w:rsidR="006429A5" w:rsidRPr="00550561">
        <w:t xml:space="preserve"> </w:t>
      </w:r>
      <w:r w:rsidRPr="00550561">
        <w:t xml:space="preserve">and helped to inform the intervention tested in a single-armed feasibility study to assess the acceptability and credibility of the pain management review.  </w:t>
      </w:r>
    </w:p>
    <w:p w14:paraId="124D839E" w14:textId="7DB95101" w:rsidR="0095603D" w:rsidRPr="00550561" w:rsidRDefault="0095603D" w:rsidP="003B3D48">
      <w:pPr>
        <w:spacing w:line="360" w:lineRule="auto"/>
        <w:rPr>
          <w:b/>
          <w:bCs/>
        </w:rPr>
      </w:pPr>
      <w:r w:rsidRPr="00550561">
        <w:rPr>
          <w:b/>
          <w:bCs/>
          <w:u w:val="single"/>
        </w:rPr>
        <w:t>Conclusion</w:t>
      </w:r>
    </w:p>
    <w:p w14:paraId="0C3419F5" w14:textId="1B31DDA1" w:rsidR="00897CE4" w:rsidRPr="00550561" w:rsidRDefault="00AE10C5" w:rsidP="003B3D48">
      <w:pPr>
        <w:spacing w:line="360" w:lineRule="auto"/>
      </w:pPr>
      <w:r w:rsidRPr="00550561">
        <w:t>This paper highlights how assessing acceptability at multiple time points during early intervention development allows for refinement and development to optimise implementation in relation to acceptability</w:t>
      </w:r>
      <w:r w:rsidR="00213585" w:rsidRPr="00550561">
        <w:t>.</w:t>
      </w:r>
      <w:r w:rsidR="00A42564" w:rsidRPr="00550561">
        <w:rPr>
          <w:vertAlign w:val="superscript"/>
        </w:rPr>
        <w:t>12</w:t>
      </w:r>
      <w:r w:rsidR="006429A5" w:rsidRPr="00550561">
        <w:t xml:space="preserve"> </w:t>
      </w:r>
      <w:r w:rsidR="000D230F" w:rsidRPr="00550561">
        <w:t>Using ‘Global acceptability’ as a marker</w:t>
      </w:r>
      <w:r w:rsidR="00252661" w:rsidRPr="00550561">
        <w:t xml:space="preserve">, we were reassured </w:t>
      </w:r>
      <w:r w:rsidR="000D230F" w:rsidRPr="00550561">
        <w:t xml:space="preserve">of </w:t>
      </w:r>
      <w:r w:rsidR="00252661" w:rsidRPr="00550561">
        <w:t xml:space="preserve">the </w:t>
      </w:r>
      <w:r w:rsidR="000D230F" w:rsidRPr="00550561">
        <w:t>overall acceptability</w:t>
      </w:r>
      <w:r w:rsidR="00252661" w:rsidRPr="00550561">
        <w:t xml:space="preserve"> of the </w:t>
      </w:r>
      <w:r w:rsidR="004C6CAA" w:rsidRPr="00550561">
        <w:t xml:space="preserve">PROMPPT </w:t>
      </w:r>
      <w:r w:rsidR="00352F32" w:rsidRPr="00550561">
        <w:t>intervention</w:t>
      </w:r>
      <w:r w:rsidR="00A202F5" w:rsidRPr="00550561">
        <w:t>. R</w:t>
      </w:r>
      <w:r w:rsidR="00352F32" w:rsidRPr="00550561">
        <w:t xml:space="preserve">ecommendations </w:t>
      </w:r>
      <w:r w:rsidR="006429A5" w:rsidRPr="00550561">
        <w:t xml:space="preserve">identified </w:t>
      </w:r>
      <w:r w:rsidR="00064A9C" w:rsidRPr="00550561">
        <w:t>according to the TFA constructs</w:t>
      </w:r>
      <w:r w:rsidR="00A202F5" w:rsidRPr="00550561">
        <w:t xml:space="preserve"> </w:t>
      </w:r>
      <w:r w:rsidR="006429A5" w:rsidRPr="00550561">
        <w:t>allow</w:t>
      </w:r>
      <w:r w:rsidR="00A202F5" w:rsidRPr="00550561">
        <w:t>ed</w:t>
      </w:r>
      <w:r w:rsidR="006429A5" w:rsidRPr="00550561">
        <w:t xml:space="preserve"> an acceptable intervention to be developed</w:t>
      </w:r>
      <w:r w:rsidR="00CB7B46" w:rsidRPr="00550561">
        <w:t xml:space="preserve"> that was</w:t>
      </w:r>
      <w:r w:rsidR="006429A5" w:rsidRPr="00550561">
        <w:t xml:space="preserve"> </w:t>
      </w:r>
      <w:r w:rsidR="00A202F5" w:rsidRPr="00550561">
        <w:t xml:space="preserve">ready </w:t>
      </w:r>
      <w:r w:rsidR="000D36B7" w:rsidRPr="00550561">
        <w:t>to</w:t>
      </w:r>
      <w:r w:rsidR="00CB7B46" w:rsidRPr="00550561">
        <w:t xml:space="preserve"> be</w:t>
      </w:r>
      <w:r w:rsidR="000D36B7" w:rsidRPr="00550561">
        <w:t xml:space="preserve"> test</w:t>
      </w:r>
      <w:r w:rsidR="00CB7B46" w:rsidRPr="00550561">
        <w:t>ed</w:t>
      </w:r>
      <w:r w:rsidR="000D36B7" w:rsidRPr="00550561">
        <w:t xml:space="preserve"> in a </w:t>
      </w:r>
      <w:r w:rsidR="006429A5" w:rsidRPr="00550561">
        <w:t xml:space="preserve">formal feasibility study. The </w:t>
      </w:r>
      <w:r w:rsidR="00032701" w:rsidRPr="00550561">
        <w:t>TFA w</w:t>
      </w:r>
      <w:r w:rsidR="00897CE4" w:rsidRPr="00550561">
        <w:t xml:space="preserve">as used </w:t>
      </w:r>
      <w:r w:rsidR="00032701" w:rsidRPr="00550561">
        <w:t>during feasibility testing</w:t>
      </w:r>
      <w:r w:rsidR="00897CE4" w:rsidRPr="00550561">
        <w:t xml:space="preserve"> and is </w:t>
      </w:r>
      <w:r w:rsidR="006429A5" w:rsidRPr="00550561">
        <w:t xml:space="preserve">now currently </w:t>
      </w:r>
      <w:r w:rsidR="00897CE4" w:rsidRPr="00550561">
        <w:t xml:space="preserve">being used </w:t>
      </w:r>
      <w:r w:rsidR="00A55187" w:rsidRPr="00550561">
        <w:t xml:space="preserve">for evaluation of </w:t>
      </w:r>
      <w:r w:rsidR="00EC407D" w:rsidRPr="00550561">
        <w:t xml:space="preserve">the </w:t>
      </w:r>
      <w:r w:rsidR="006429A5" w:rsidRPr="00550561">
        <w:t>intervention in a</w:t>
      </w:r>
      <w:r w:rsidR="00A55187" w:rsidRPr="00550561">
        <w:t xml:space="preserve"> main cluster-randomised</w:t>
      </w:r>
      <w:r w:rsidR="00EE1976" w:rsidRPr="00550561">
        <w:t xml:space="preserve"> controlled</w:t>
      </w:r>
      <w:r w:rsidR="00A55187" w:rsidRPr="00550561">
        <w:t xml:space="preserve"> trial</w:t>
      </w:r>
      <w:r w:rsidR="007128FC" w:rsidRPr="00550561">
        <w:t xml:space="preserve"> as recommended</w:t>
      </w:r>
      <w:r w:rsidR="00F2439A" w:rsidRPr="00550561">
        <w:t xml:space="preserve">. </w:t>
      </w:r>
      <w:r w:rsidR="00A42564" w:rsidRPr="00550561">
        <w:rPr>
          <w:vertAlign w:val="superscript"/>
        </w:rPr>
        <w:t>12, 13</w:t>
      </w:r>
    </w:p>
    <w:p w14:paraId="1B1ED4DF" w14:textId="77777777" w:rsidR="00D7761C" w:rsidRPr="00550561" w:rsidRDefault="003B3D48" w:rsidP="00F71B45">
      <w:r w:rsidRPr="00550561">
        <w:br w:type="page"/>
      </w:r>
    </w:p>
    <w:p w14:paraId="293B8E4A" w14:textId="77777777" w:rsidR="00A26D8C" w:rsidRPr="00A26D8C" w:rsidRDefault="00A26D8C" w:rsidP="00A26D8C">
      <w:pPr>
        <w:rPr>
          <w:b/>
          <w:bCs/>
        </w:rPr>
      </w:pPr>
      <w:r w:rsidRPr="00A26D8C">
        <w:rPr>
          <w:b/>
          <w:bCs/>
        </w:rPr>
        <w:t>Acknowledgements:</w:t>
      </w:r>
    </w:p>
    <w:p w14:paraId="6CCE7BA1" w14:textId="77777777" w:rsidR="00A26D8C" w:rsidRDefault="00A26D8C" w:rsidP="00A26D8C">
      <w:r>
        <w:t>We would like to thank all the participants for sharing their views and experiences in interviews or online via the discussion forum. We would also like to thank all participants who gave us their time to take part in the in-practice testing. Our appreciation is also extended to members of the PROMPPT research user group, and members of the public, who helped develop topic guides. We would like to thank Dr Mandeep Sekhon who helped us to understand TFA constructs and provided an example TFA topic guide for us to use. We would also like to thank Keele University’s Clinical Trials Unit in supporting study management and the NIHR West Midlands Clinical Research Network in supporting recruitment processes.</w:t>
      </w:r>
    </w:p>
    <w:p w14:paraId="4869CC05" w14:textId="77777777" w:rsidR="00A26D8C" w:rsidRPr="00A26D8C" w:rsidRDefault="00A26D8C" w:rsidP="00A26D8C">
      <w:pPr>
        <w:rPr>
          <w:b/>
          <w:bCs/>
        </w:rPr>
      </w:pPr>
      <w:r w:rsidRPr="00A26D8C">
        <w:rPr>
          <w:b/>
          <w:bCs/>
        </w:rPr>
        <w:t xml:space="preserve">Declaration of Conflicting Interests: </w:t>
      </w:r>
    </w:p>
    <w:p w14:paraId="6C53665D" w14:textId="1DC4B176" w:rsidR="00F71B45" w:rsidRPr="00550561" w:rsidRDefault="00A26D8C" w:rsidP="00A26D8C">
      <w:r>
        <w:t>The Authors declare that there is no conflict of interest.</w:t>
      </w:r>
    </w:p>
    <w:p w14:paraId="460803CC" w14:textId="77777777" w:rsidR="00A26D8C" w:rsidRPr="00F750A8" w:rsidRDefault="00A26D8C" w:rsidP="00A26D8C">
      <w:pPr>
        <w:rPr>
          <w:b/>
          <w:bCs/>
        </w:rPr>
      </w:pPr>
      <w:r w:rsidRPr="00F750A8">
        <w:rPr>
          <w:b/>
          <w:bCs/>
        </w:rPr>
        <w:t>Data availability statement:</w:t>
      </w:r>
    </w:p>
    <w:p w14:paraId="3C868CFD" w14:textId="77777777" w:rsidR="00A26D8C" w:rsidRPr="00F750A8" w:rsidRDefault="00A26D8C" w:rsidP="00A26D8C">
      <w:r w:rsidRPr="00F750A8">
        <w:t>Supplementary material</w:t>
      </w:r>
      <w:r>
        <w:t>s</w:t>
      </w:r>
      <w:r w:rsidRPr="00F750A8">
        <w:t xml:space="preserve"> for this article are available online including topic guides and illustrative quotes. </w:t>
      </w:r>
    </w:p>
    <w:p w14:paraId="1E24488A" w14:textId="0D4C56DA" w:rsidR="00F71B45" w:rsidRPr="00550561" w:rsidRDefault="00F71B45" w:rsidP="00F71B45">
      <w:r w:rsidRPr="00550561">
        <w:br w:type="page"/>
      </w:r>
    </w:p>
    <w:p w14:paraId="2B435A2D" w14:textId="47DE8DE2" w:rsidR="00010F8C" w:rsidRPr="00550561" w:rsidRDefault="00854425" w:rsidP="003B3D48">
      <w:pPr>
        <w:spacing w:line="360" w:lineRule="auto"/>
        <w:rPr>
          <w:b/>
          <w:bCs/>
        </w:rPr>
      </w:pPr>
      <w:r w:rsidRPr="00550561">
        <w:rPr>
          <w:b/>
          <w:bCs/>
        </w:rPr>
        <w:t>References</w:t>
      </w:r>
    </w:p>
    <w:p w14:paraId="24335099" w14:textId="16F440FE" w:rsidR="00BC448D" w:rsidRPr="00BC448D" w:rsidRDefault="00BC448D" w:rsidP="00BE4A99">
      <w:pPr>
        <w:pStyle w:val="EndNoteBibliography"/>
        <w:tabs>
          <w:tab w:val="left" w:pos="567"/>
        </w:tabs>
        <w:spacing w:after="0"/>
        <w:ind w:left="567" w:hanging="567"/>
      </w:pPr>
      <w:r w:rsidRPr="00BC448D">
        <w:t>1.</w:t>
      </w:r>
      <w:r w:rsidRPr="00BC448D">
        <w:tab/>
        <w:t xml:space="preserve">Fayaz A, Croft P, Langford RM, et al. Prevalence of chronic pain in the UK: a systematic review and meta-analysis of population studies. </w:t>
      </w:r>
      <w:r w:rsidRPr="00BC448D">
        <w:rPr>
          <w:i/>
        </w:rPr>
        <w:t>BMJ Open</w:t>
      </w:r>
      <w:r w:rsidRPr="00BC448D">
        <w:t xml:space="preserve"> 2016; 6: e010364. 2016/06/22. DOI: 10.1136/bmjopen-2015-010364.</w:t>
      </w:r>
    </w:p>
    <w:p w14:paraId="408A9325" w14:textId="77777777" w:rsidR="00BC448D" w:rsidRPr="00BC448D" w:rsidRDefault="00BC448D" w:rsidP="00BE4A99">
      <w:pPr>
        <w:pStyle w:val="EndNoteBibliography"/>
        <w:tabs>
          <w:tab w:val="left" w:pos="567"/>
        </w:tabs>
        <w:spacing w:after="0"/>
        <w:ind w:left="567" w:hanging="567"/>
      </w:pPr>
      <w:r w:rsidRPr="00BC448D">
        <w:t>2.</w:t>
      </w:r>
      <w:r w:rsidRPr="00BC448D">
        <w:tab/>
        <w:t xml:space="preserve">Curtis HJ, Croker R, Walker AJ, et al. Opioid prescribing trends and geographical variation in England, 1998-2018: a retrospective database study. </w:t>
      </w:r>
      <w:r w:rsidRPr="00BC448D">
        <w:rPr>
          <w:i/>
        </w:rPr>
        <w:t>Lancet Psychiatry</w:t>
      </w:r>
      <w:r w:rsidRPr="00BC448D">
        <w:t xml:space="preserve"> 2019; 6: 140-150. 2018/12/26. DOI: 10.1016/s2215-0366(18)30471-1.</w:t>
      </w:r>
    </w:p>
    <w:p w14:paraId="06B614C8" w14:textId="77777777" w:rsidR="00BC448D" w:rsidRPr="00BC448D" w:rsidRDefault="00BC448D" w:rsidP="00BE4A99">
      <w:pPr>
        <w:pStyle w:val="EndNoteBibliography"/>
        <w:tabs>
          <w:tab w:val="left" w:pos="567"/>
        </w:tabs>
        <w:spacing w:after="0"/>
        <w:ind w:left="567" w:hanging="567"/>
      </w:pPr>
      <w:r w:rsidRPr="00BC448D">
        <w:t>3.</w:t>
      </w:r>
      <w:r w:rsidRPr="00BC448D">
        <w:tab/>
        <w:t xml:space="preserve">Chou R, Turner JA, Devine EB, et al. The effectiveness and risks of long-term opioid therapy for chronic pain: a systematic review for a National Institutes of Health Pathways to Prevention Workshop. </w:t>
      </w:r>
      <w:r w:rsidRPr="00BC448D">
        <w:rPr>
          <w:i/>
        </w:rPr>
        <w:t>Ann Intern Med</w:t>
      </w:r>
      <w:r w:rsidRPr="00BC448D">
        <w:t xml:space="preserve"> 2015; 162: 276-286. 2015/01/13. DOI: 10.7326/m14-2559.</w:t>
      </w:r>
    </w:p>
    <w:p w14:paraId="6921C564" w14:textId="7FCE3AD8" w:rsidR="00BC448D" w:rsidRPr="00BC448D" w:rsidRDefault="00BC448D" w:rsidP="00BE4A99">
      <w:pPr>
        <w:pStyle w:val="EndNoteBibliography"/>
        <w:tabs>
          <w:tab w:val="left" w:pos="567"/>
        </w:tabs>
        <w:spacing w:after="0"/>
        <w:ind w:left="567" w:hanging="567"/>
      </w:pPr>
      <w:r w:rsidRPr="00BC448D">
        <w:t>4.</w:t>
      </w:r>
      <w:r w:rsidRPr="00BC448D">
        <w:tab/>
        <w:t xml:space="preserve">Faculty of Pain Medicine of the Royal College of Anaesthetists. Opioids Aware: A resource for patients and healthcare providers to support prescribing of opioid medicines for pain, </w:t>
      </w:r>
      <w:r w:rsidRPr="00C72047">
        <w:t>http://www.fpm.ac.uk/faculty-of-pain-medicine/opioids-aware</w:t>
      </w:r>
      <w:r w:rsidRPr="00BC448D">
        <w:t xml:space="preserve"> (accessed 01 November 2022).</w:t>
      </w:r>
    </w:p>
    <w:p w14:paraId="3ADA7683" w14:textId="77777777" w:rsidR="00BC448D" w:rsidRPr="00BC448D" w:rsidRDefault="00BC448D" w:rsidP="00BE4A99">
      <w:pPr>
        <w:pStyle w:val="EndNoteBibliography"/>
        <w:tabs>
          <w:tab w:val="left" w:pos="567"/>
        </w:tabs>
        <w:spacing w:after="0"/>
        <w:ind w:left="567" w:hanging="567"/>
      </w:pPr>
      <w:r w:rsidRPr="00BC448D">
        <w:t>5.</w:t>
      </w:r>
      <w:r w:rsidRPr="00BC448D">
        <w:tab/>
        <w:t xml:space="preserve">Dowell D, Haegerich TM and Chou R. CDC Guideline for Prescribing Opioids for Chronic Pain--United States, 2016. </w:t>
      </w:r>
      <w:r w:rsidRPr="00BC448D">
        <w:rPr>
          <w:i/>
        </w:rPr>
        <w:t>Jama</w:t>
      </w:r>
      <w:r w:rsidRPr="00BC448D">
        <w:t xml:space="preserve"> 2016; 315: 1624-1645. 2016/03/16. DOI: 10.1001/jama.2016.1464.</w:t>
      </w:r>
    </w:p>
    <w:p w14:paraId="475DAE93" w14:textId="77777777" w:rsidR="00BC448D" w:rsidRPr="00BC448D" w:rsidRDefault="00BC448D" w:rsidP="00BE4A99">
      <w:pPr>
        <w:pStyle w:val="EndNoteBibliography"/>
        <w:tabs>
          <w:tab w:val="left" w:pos="567"/>
        </w:tabs>
        <w:spacing w:after="0"/>
        <w:ind w:left="567" w:hanging="567"/>
      </w:pPr>
      <w:r w:rsidRPr="00BC448D">
        <w:t>6.</w:t>
      </w:r>
      <w:r w:rsidRPr="00BC448D">
        <w:tab/>
        <w:t xml:space="preserve">O'Brien T, Christrup LL, Drewes AM, et al. European Pain Federation position paper on appropriate opioid use in chronic pain management. </w:t>
      </w:r>
      <w:r w:rsidRPr="00BC448D">
        <w:rPr>
          <w:i/>
        </w:rPr>
        <w:t>Eur J Pain</w:t>
      </w:r>
      <w:r w:rsidRPr="00BC448D">
        <w:t xml:space="preserve"> 2017; 21: 3-19. 2016/12/20. DOI: 10.1002/ejp.970.</w:t>
      </w:r>
    </w:p>
    <w:p w14:paraId="0EFB3326" w14:textId="57BC5F24" w:rsidR="00BC448D" w:rsidRPr="00BC448D" w:rsidRDefault="00BC448D" w:rsidP="00BE4A99">
      <w:pPr>
        <w:pStyle w:val="EndNoteBibliography"/>
        <w:tabs>
          <w:tab w:val="left" w:pos="567"/>
        </w:tabs>
        <w:spacing w:after="0"/>
        <w:ind w:left="567" w:hanging="567"/>
      </w:pPr>
      <w:r w:rsidRPr="00BC448D">
        <w:t>7.</w:t>
      </w:r>
      <w:r w:rsidRPr="00BC448D">
        <w:tab/>
        <w:t xml:space="preserve">Krebs EE, Bergman AA, Coffing JM, et al. Barriers to Guideline-Concordant Opioid Management in Primary Care—A Qualitative Study. </w:t>
      </w:r>
      <w:r w:rsidRPr="00BC448D">
        <w:rPr>
          <w:i/>
        </w:rPr>
        <w:t>The Journal of Pain</w:t>
      </w:r>
      <w:r w:rsidRPr="00BC448D">
        <w:t xml:space="preserve"> 2014; 15: 1148-1155. DOI: </w:t>
      </w:r>
      <w:r w:rsidRPr="00C72047">
        <w:t>https://doi.org/10.1016/j.jpain.2014.08.006</w:t>
      </w:r>
      <w:r w:rsidRPr="00BC448D">
        <w:t>.</w:t>
      </w:r>
    </w:p>
    <w:p w14:paraId="0AF30756" w14:textId="77777777" w:rsidR="00BC448D" w:rsidRPr="00BC448D" w:rsidRDefault="00BC448D" w:rsidP="00BE4A99">
      <w:pPr>
        <w:pStyle w:val="EndNoteBibliography"/>
        <w:tabs>
          <w:tab w:val="left" w:pos="567"/>
        </w:tabs>
        <w:spacing w:after="0"/>
        <w:ind w:left="567" w:hanging="567"/>
      </w:pPr>
      <w:r w:rsidRPr="00BC448D">
        <w:t>8.</w:t>
      </w:r>
      <w:r w:rsidRPr="00BC448D">
        <w:tab/>
        <w:t xml:space="preserve">Starrels JL, Becker WC, Weiner MG, et al. Low use of opioid risk reduction strategies in primary care even for high risk patients with chronic pain. </w:t>
      </w:r>
      <w:r w:rsidRPr="00BC448D">
        <w:rPr>
          <w:i/>
        </w:rPr>
        <w:t>J Gen Intern Med</w:t>
      </w:r>
      <w:r w:rsidRPr="00BC448D">
        <w:t xml:space="preserve"> 2011; 26: 958-964. 2011/02/25. DOI: 10.1007/s11606-011-1648-2.</w:t>
      </w:r>
    </w:p>
    <w:p w14:paraId="7E76D8B8" w14:textId="5116BB87" w:rsidR="00BC448D" w:rsidRPr="00BC448D" w:rsidRDefault="00BC448D" w:rsidP="00BE4A99">
      <w:pPr>
        <w:pStyle w:val="EndNoteBibliography"/>
        <w:tabs>
          <w:tab w:val="left" w:pos="567"/>
        </w:tabs>
        <w:spacing w:after="0"/>
        <w:ind w:left="567" w:hanging="567"/>
      </w:pPr>
      <w:r w:rsidRPr="00BC448D">
        <w:t>9.</w:t>
      </w:r>
      <w:r w:rsidRPr="00BC448D">
        <w:tab/>
        <w:t xml:space="preserve">NHS England. General Practice Forward View, </w:t>
      </w:r>
      <w:r w:rsidRPr="00C72047">
        <w:t>https://www.england.nhs.uk/gp/gpfv/</w:t>
      </w:r>
      <w:r w:rsidRPr="00BC448D">
        <w:t xml:space="preserve"> (accessed 01 November 2022).</w:t>
      </w:r>
    </w:p>
    <w:p w14:paraId="1FB9F2E2" w14:textId="70245FE7" w:rsidR="00BC448D" w:rsidRPr="00BC448D" w:rsidRDefault="00BC448D" w:rsidP="00BE4A99">
      <w:pPr>
        <w:pStyle w:val="EndNoteBibliography"/>
        <w:tabs>
          <w:tab w:val="left" w:pos="567"/>
        </w:tabs>
        <w:spacing w:after="0"/>
        <w:ind w:left="567" w:hanging="567"/>
      </w:pPr>
      <w:r w:rsidRPr="00BC448D">
        <w:t>10.</w:t>
      </w:r>
      <w:r w:rsidRPr="00BC448D">
        <w:tab/>
        <w:t xml:space="preserve">NHS England. Clinical Pharmacists in General Practice, </w:t>
      </w:r>
      <w:r w:rsidRPr="00C72047">
        <w:t>https://www.england.nhs.uk/contact-us/privacy-notice/how-we-use-your-information/public-and-partners/clinical-pharmacists-in-general-practice/</w:t>
      </w:r>
      <w:r w:rsidRPr="00BC448D">
        <w:t xml:space="preserve"> (accessed 01 November 2022).</w:t>
      </w:r>
    </w:p>
    <w:p w14:paraId="23167FA4" w14:textId="77777777" w:rsidR="00BC448D" w:rsidRPr="00BC448D" w:rsidRDefault="00BC448D" w:rsidP="00BE4A99">
      <w:pPr>
        <w:pStyle w:val="EndNoteBibliography"/>
        <w:tabs>
          <w:tab w:val="left" w:pos="567"/>
        </w:tabs>
        <w:spacing w:after="0"/>
        <w:ind w:left="567" w:hanging="567"/>
      </w:pPr>
      <w:r w:rsidRPr="00BC448D">
        <w:t>11.</w:t>
      </w:r>
      <w:r w:rsidRPr="00BC448D">
        <w:tab/>
        <w:t xml:space="preserve">Skivington K, Matthews L, Simpson SA, et al. A new framework for developing and evaluating complex interventions: update of Medical Research Council guidance. </w:t>
      </w:r>
      <w:r w:rsidRPr="00BC448D">
        <w:rPr>
          <w:i/>
        </w:rPr>
        <w:t>BMJ</w:t>
      </w:r>
      <w:r w:rsidRPr="00BC448D">
        <w:t xml:space="preserve"> 2021; 374: n2061. 2021/10/02. DOI: 10.1136/bmj.n2061.</w:t>
      </w:r>
    </w:p>
    <w:p w14:paraId="4A5B18A5" w14:textId="77777777" w:rsidR="00BC448D" w:rsidRPr="00BC448D" w:rsidRDefault="00BC448D" w:rsidP="00BE4A99">
      <w:pPr>
        <w:pStyle w:val="EndNoteBibliography"/>
        <w:tabs>
          <w:tab w:val="left" w:pos="567"/>
        </w:tabs>
        <w:spacing w:after="0"/>
        <w:ind w:left="567" w:hanging="567"/>
      </w:pPr>
      <w:r w:rsidRPr="00BC448D">
        <w:t>12.</w:t>
      </w:r>
      <w:r w:rsidRPr="00BC448D">
        <w:tab/>
        <w:t xml:space="preserve">Sekhon M, Cartwright M and Francis JJ. Acceptability of healthcare interventions: an overview of reviews and development of a theoretical framework. </w:t>
      </w:r>
      <w:r w:rsidRPr="00BC448D">
        <w:rPr>
          <w:i/>
        </w:rPr>
        <w:t>BMC Health Serv Res</w:t>
      </w:r>
      <w:r w:rsidRPr="00BC448D">
        <w:t xml:space="preserve"> 2017; 17: 88. 2017/01/28. DOI: 10.1186/s12913-017-2031-8.</w:t>
      </w:r>
    </w:p>
    <w:p w14:paraId="6318C779" w14:textId="62C13B80" w:rsidR="00BC448D" w:rsidRPr="00BC448D" w:rsidRDefault="00BC448D" w:rsidP="00BE4A99">
      <w:pPr>
        <w:pStyle w:val="EndNoteBibliography"/>
        <w:tabs>
          <w:tab w:val="left" w:pos="567"/>
        </w:tabs>
        <w:spacing w:after="0"/>
        <w:ind w:left="567" w:hanging="567"/>
      </w:pPr>
      <w:r w:rsidRPr="00BC448D">
        <w:t>13.</w:t>
      </w:r>
      <w:r w:rsidRPr="00BC448D">
        <w:tab/>
        <w:t xml:space="preserve">Sekhon M, Cartwright M and Francis JJ. Acceptability of health care interventions: A theoretical framework and proposed research agenda. </w:t>
      </w:r>
      <w:r w:rsidRPr="00BC448D">
        <w:rPr>
          <w:i/>
        </w:rPr>
        <w:t>British Journal of Health Psychology</w:t>
      </w:r>
      <w:r w:rsidRPr="00BC448D">
        <w:t xml:space="preserve"> 2018; 23: 519-531. DOI: </w:t>
      </w:r>
      <w:r w:rsidRPr="00C72047">
        <w:t>https://doi.org/10.1111/bjhp.12295</w:t>
      </w:r>
      <w:r w:rsidRPr="00BC448D">
        <w:t>.</w:t>
      </w:r>
    </w:p>
    <w:p w14:paraId="7E4D36D2" w14:textId="77777777" w:rsidR="00BC448D" w:rsidRPr="00BC448D" w:rsidRDefault="00BC448D" w:rsidP="00BE4A99">
      <w:pPr>
        <w:pStyle w:val="EndNoteBibliography"/>
        <w:tabs>
          <w:tab w:val="left" w:pos="567"/>
        </w:tabs>
        <w:spacing w:after="0"/>
        <w:ind w:left="567" w:hanging="567"/>
      </w:pPr>
      <w:r w:rsidRPr="00BC448D">
        <w:t>14.</w:t>
      </w:r>
      <w:r w:rsidRPr="00BC448D">
        <w:tab/>
        <w:t xml:space="preserve">Saunders B, Sim J, Kingstone T, et al. Saturation in qualitative research: exploring its conceptualization and operationalization. </w:t>
      </w:r>
      <w:r w:rsidRPr="00BC448D">
        <w:rPr>
          <w:i/>
        </w:rPr>
        <w:t>Qual Quant</w:t>
      </w:r>
      <w:r w:rsidRPr="00BC448D">
        <w:t xml:space="preserve"> 2018; 52: 1893-1907. 2018/06/26. DOI: 10.1007/s11135-017-0574-8.</w:t>
      </w:r>
    </w:p>
    <w:p w14:paraId="61C2FD86" w14:textId="28A7491E" w:rsidR="00BC448D" w:rsidRPr="00BC448D" w:rsidRDefault="00BC448D" w:rsidP="00BE4A99">
      <w:pPr>
        <w:pStyle w:val="EndNoteBibliography"/>
        <w:tabs>
          <w:tab w:val="left" w:pos="567"/>
        </w:tabs>
        <w:spacing w:after="0"/>
        <w:ind w:left="567" w:hanging="567"/>
      </w:pPr>
      <w:r w:rsidRPr="00BC448D">
        <w:t>15.</w:t>
      </w:r>
      <w:r w:rsidRPr="00BC448D">
        <w:tab/>
        <w:t xml:space="preserve">Bedson J, Belcher J, Martino OI, et al. The effectiveness of national guidance in changing analgesic prescribing in primary care from 2002 to 2009: An observational database study. </w:t>
      </w:r>
      <w:r w:rsidRPr="00BC448D">
        <w:rPr>
          <w:i/>
        </w:rPr>
        <w:t>European Journal of Pain</w:t>
      </w:r>
      <w:r w:rsidRPr="00BC448D">
        <w:t xml:space="preserve"> 2013; 17: 434-443. DOI: </w:t>
      </w:r>
      <w:r w:rsidRPr="00C72047">
        <w:t>https://doi.org/10.1002/j.1532-2149.2012.00189.x</w:t>
      </w:r>
      <w:r w:rsidRPr="00BC448D">
        <w:t>.</w:t>
      </w:r>
    </w:p>
    <w:p w14:paraId="18AA8904" w14:textId="7CE28201" w:rsidR="00BC448D" w:rsidRPr="00BC448D" w:rsidRDefault="00BC448D" w:rsidP="00BE4A99">
      <w:pPr>
        <w:pStyle w:val="EndNoteBibliography"/>
        <w:tabs>
          <w:tab w:val="left" w:pos="567"/>
        </w:tabs>
        <w:spacing w:after="0"/>
        <w:ind w:left="567" w:hanging="567"/>
      </w:pPr>
      <w:r w:rsidRPr="00BC448D">
        <w:t>16.</w:t>
      </w:r>
      <w:r w:rsidRPr="00BC448D">
        <w:tab/>
        <w:t xml:space="preserve">National Institute for Health and Care Excellence. Medicines optimisation: the safe and effective use of medicines to enable the best possible outcomes, </w:t>
      </w:r>
      <w:r w:rsidRPr="00C72047">
        <w:t>https://www.nice.org.uk/guidance/ng5</w:t>
      </w:r>
      <w:r w:rsidRPr="00BC448D">
        <w:t xml:space="preserve"> (2015, accessed 22 November 2023).</w:t>
      </w:r>
    </w:p>
    <w:p w14:paraId="66A7CE7D" w14:textId="4D07AC34" w:rsidR="00BC448D" w:rsidRPr="00BC448D" w:rsidRDefault="00BC448D" w:rsidP="00BE4A99">
      <w:pPr>
        <w:pStyle w:val="EndNoteBibliography"/>
        <w:tabs>
          <w:tab w:val="left" w:pos="567"/>
        </w:tabs>
        <w:spacing w:after="0"/>
        <w:ind w:left="567" w:hanging="567"/>
      </w:pPr>
      <w:r w:rsidRPr="00BC448D">
        <w:t>17.</w:t>
      </w:r>
      <w:r w:rsidRPr="00BC448D">
        <w:tab/>
        <w:t xml:space="preserve">NHS England. Structured medication reviews and medicines optimisation, </w:t>
      </w:r>
      <w:r w:rsidRPr="00C72047">
        <w:t>https://www.england.nhs.uk/primary-care/pharmacy/smr/</w:t>
      </w:r>
      <w:r w:rsidRPr="00BC448D">
        <w:t xml:space="preserve"> (accessed 22 November 2023).</w:t>
      </w:r>
    </w:p>
    <w:p w14:paraId="4C302D11" w14:textId="7CA13C7C" w:rsidR="00BC448D" w:rsidRPr="00BC448D" w:rsidRDefault="00BC448D" w:rsidP="00BE4A99">
      <w:pPr>
        <w:pStyle w:val="EndNoteBibliography"/>
        <w:tabs>
          <w:tab w:val="left" w:pos="567"/>
        </w:tabs>
        <w:spacing w:after="0"/>
        <w:ind w:left="567" w:hanging="567"/>
      </w:pPr>
      <w:r w:rsidRPr="00BC448D">
        <w:t>18.</w:t>
      </w:r>
      <w:r w:rsidRPr="00BC448D">
        <w:tab/>
        <w:t xml:space="preserve">NHS England. Optimising personalised care for adults prescribed medicines associated with dependence or withdrawal symptoms: Framework for action for integrated care boards (ICBs) and primary care, </w:t>
      </w:r>
      <w:r w:rsidRPr="00C72047">
        <w:t>https://www.england.nhs.uk/long-read/optimising-personalised-care-for-adults-prescribed-medicines-associated-with-dependence-or-withdrawal-symptoms/</w:t>
      </w:r>
      <w:r w:rsidRPr="00BC448D">
        <w:t xml:space="preserve"> (2023, accessed 22 November 2023).</w:t>
      </w:r>
    </w:p>
    <w:p w14:paraId="456CC59B" w14:textId="77777777" w:rsidR="00BC448D" w:rsidRPr="00BC448D" w:rsidRDefault="00BC448D" w:rsidP="00BE4A99">
      <w:pPr>
        <w:pStyle w:val="EndNoteBibliography"/>
        <w:tabs>
          <w:tab w:val="left" w:pos="567"/>
        </w:tabs>
        <w:spacing w:after="0"/>
        <w:ind w:left="567" w:hanging="567"/>
      </w:pPr>
      <w:r w:rsidRPr="00BC448D">
        <w:t>19.</w:t>
      </w:r>
      <w:r w:rsidRPr="00BC448D">
        <w:tab/>
        <w:t xml:space="preserve">Bailey R, Bartlett YK, Hassan L, et al. Acceptability of reducing sedentariness using a mobile-phone application based on ‘if then’ plans for people with psychosis: A focus-group study conducted in North West England, UK. </w:t>
      </w:r>
      <w:r w:rsidRPr="00BC448D">
        <w:rPr>
          <w:i/>
        </w:rPr>
        <w:t>International Journal of Social Psychiatry</w:t>
      </w:r>
      <w:r w:rsidRPr="00BC448D">
        <w:t xml:space="preserve"> 2022; 68: 1100-1107. DOI: 10.1177/00207640221102733.</w:t>
      </w:r>
    </w:p>
    <w:p w14:paraId="22A5C497" w14:textId="77777777" w:rsidR="00BC448D" w:rsidRPr="00BC448D" w:rsidRDefault="00BC448D" w:rsidP="00BE4A99">
      <w:pPr>
        <w:pStyle w:val="EndNoteBibliography"/>
        <w:tabs>
          <w:tab w:val="left" w:pos="567"/>
        </w:tabs>
        <w:spacing w:after="0"/>
        <w:ind w:left="567" w:hanging="567"/>
      </w:pPr>
      <w:r w:rsidRPr="00BC448D">
        <w:t>20.</w:t>
      </w:r>
      <w:r w:rsidRPr="00BC448D">
        <w:tab/>
        <w:t xml:space="preserve">Gerards MHG, Sieben J, Marcellis R, et al. Acceptability of a perturbation-based balance training programme for falls prevention in older adults: a qualitative study. </w:t>
      </w:r>
      <w:r w:rsidRPr="00BC448D">
        <w:rPr>
          <w:i/>
        </w:rPr>
        <w:t>BMJ Open</w:t>
      </w:r>
      <w:r w:rsidRPr="00BC448D">
        <w:t xml:space="preserve"> 2022; 12: e056623. DOI: 10.1136/bmjopen-2021-056623.</w:t>
      </w:r>
    </w:p>
    <w:p w14:paraId="27E46562" w14:textId="77777777" w:rsidR="00BC448D" w:rsidRPr="00BC448D" w:rsidRDefault="00BC448D" w:rsidP="00BE4A99">
      <w:pPr>
        <w:pStyle w:val="EndNoteBibliography"/>
        <w:tabs>
          <w:tab w:val="left" w:pos="567"/>
        </w:tabs>
        <w:spacing w:after="0"/>
        <w:ind w:left="567" w:hanging="567"/>
      </w:pPr>
      <w:r w:rsidRPr="00BC448D">
        <w:t>21.</w:t>
      </w:r>
      <w:r w:rsidRPr="00BC448D">
        <w:tab/>
        <w:t xml:space="preserve">Pavlova N, Teychenne M and Olander EK. The Concurrent Acceptability of a Postnatal Walking Group: A Qualitative Study Using the Theoretical Framework of Acceptability. </w:t>
      </w:r>
      <w:r w:rsidRPr="00BC448D">
        <w:rPr>
          <w:i/>
        </w:rPr>
        <w:t>Int J Environ Res Public Health</w:t>
      </w:r>
      <w:r w:rsidRPr="00BC448D">
        <w:t xml:space="preserve"> 2020; 17 2020/07/17. DOI: 10.3390/ijerph17145027.</w:t>
      </w:r>
    </w:p>
    <w:p w14:paraId="738B3760" w14:textId="77777777" w:rsidR="00BC448D" w:rsidRPr="00BC448D" w:rsidRDefault="00BC448D" w:rsidP="00BE4A99">
      <w:pPr>
        <w:pStyle w:val="EndNoteBibliography"/>
        <w:tabs>
          <w:tab w:val="left" w:pos="567"/>
        </w:tabs>
        <w:spacing w:after="0"/>
        <w:ind w:left="567" w:hanging="567"/>
      </w:pPr>
      <w:r w:rsidRPr="00BC448D">
        <w:t>22.</w:t>
      </w:r>
      <w:r w:rsidRPr="00BC448D">
        <w:tab/>
        <w:t xml:space="preserve">Herron D, Chew-Graham CA, Hider S, et al. Acceptability of nurse-led reviews for inflammatory rheumatological conditions: A qualitative study. </w:t>
      </w:r>
      <w:r w:rsidRPr="00BC448D">
        <w:rPr>
          <w:i/>
        </w:rPr>
        <w:t>J Multimorb Comorb</w:t>
      </w:r>
      <w:r w:rsidRPr="00BC448D">
        <w:t xml:space="preserve"> 2021; 11: 26335565211002402. 2021/04/30. DOI: 10.1177/26335565211002402.</w:t>
      </w:r>
    </w:p>
    <w:p w14:paraId="18401F86" w14:textId="77777777" w:rsidR="00BC448D" w:rsidRPr="00BC448D" w:rsidRDefault="00BC448D" w:rsidP="00BE4A99">
      <w:pPr>
        <w:pStyle w:val="EndNoteBibliography"/>
        <w:tabs>
          <w:tab w:val="left" w:pos="567"/>
        </w:tabs>
        <w:spacing w:after="0"/>
        <w:ind w:left="567" w:hanging="567"/>
      </w:pPr>
      <w:r w:rsidRPr="00BC448D">
        <w:t>23.</w:t>
      </w:r>
      <w:r w:rsidRPr="00BC448D">
        <w:tab/>
        <w:t xml:space="preserve">Booth G, Zala S, Mitchell C, et al. The patient acceptability of a remotely delivered pain management programme for people with persistent musculoskeletal pain: A qualitative evaluation. </w:t>
      </w:r>
      <w:r w:rsidRPr="00BC448D">
        <w:rPr>
          <w:i/>
        </w:rPr>
        <w:t>Br J Pain</w:t>
      </w:r>
      <w:r w:rsidRPr="00BC448D">
        <w:t xml:space="preserve"> 2022; 16: 581-592. 2022/12/02. DOI: 10.1177/20494637221106411.</w:t>
      </w:r>
    </w:p>
    <w:p w14:paraId="6D4DC6FF" w14:textId="77777777" w:rsidR="00BC448D" w:rsidRPr="00BC448D" w:rsidRDefault="00BC448D" w:rsidP="00BE4A99">
      <w:pPr>
        <w:pStyle w:val="EndNoteBibliography"/>
        <w:tabs>
          <w:tab w:val="left" w:pos="567"/>
        </w:tabs>
        <w:spacing w:after="0"/>
        <w:ind w:left="567" w:hanging="567"/>
      </w:pPr>
      <w:r w:rsidRPr="00BC448D">
        <w:t>24.</w:t>
      </w:r>
      <w:r w:rsidRPr="00BC448D">
        <w:tab/>
        <w:t xml:space="preserve">Bartlett YK, Kenning C, Crosland J, et al. Understanding acceptability in the context of text messages to encourage medication adherence in people with type 2 diabetes. </w:t>
      </w:r>
      <w:r w:rsidRPr="00BC448D">
        <w:rPr>
          <w:i/>
        </w:rPr>
        <w:t>BMC Health Services Research</w:t>
      </w:r>
      <w:r w:rsidRPr="00BC448D">
        <w:t xml:space="preserve"> 2021; 21: 608. DOI: 10.1186/s12913-021-06663-2.</w:t>
      </w:r>
    </w:p>
    <w:p w14:paraId="35C685F6" w14:textId="77777777" w:rsidR="00BC448D" w:rsidRPr="00BC448D" w:rsidRDefault="00BC448D" w:rsidP="00BE4A99">
      <w:pPr>
        <w:pStyle w:val="EndNoteBibliography"/>
        <w:tabs>
          <w:tab w:val="left" w:pos="567"/>
        </w:tabs>
        <w:spacing w:after="0"/>
        <w:ind w:left="567" w:hanging="567"/>
      </w:pPr>
      <w:r w:rsidRPr="00BC448D">
        <w:t>25.</w:t>
      </w:r>
      <w:r w:rsidRPr="00BC448D">
        <w:tab/>
        <w:t xml:space="preserve">Deja E, Peters MJ, Khan I, et al. Establishing and augmenting views on the acceptability of a paediatric critical care randomised controlled trial (the FEVER trial): a mixed methods study. </w:t>
      </w:r>
      <w:r w:rsidRPr="00BC448D">
        <w:rPr>
          <w:i/>
        </w:rPr>
        <w:t>BMJ Open</w:t>
      </w:r>
      <w:r w:rsidRPr="00BC448D">
        <w:t xml:space="preserve"> 2021; 11: e041952. 2021/03/12. DOI: 10.1136/bmjopen-2020-041952.</w:t>
      </w:r>
    </w:p>
    <w:p w14:paraId="5D6418B5" w14:textId="77777777" w:rsidR="00BC448D" w:rsidRPr="00BC448D" w:rsidRDefault="00BC448D" w:rsidP="00BE4A99">
      <w:pPr>
        <w:pStyle w:val="EndNoteBibliography"/>
        <w:tabs>
          <w:tab w:val="left" w:pos="567"/>
        </w:tabs>
        <w:spacing w:after="0"/>
        <w:ind w:left="567" w:hanging="567"/>
      </w:pPr>
      <w:r w:rsidRPr="00BC448D">
        <w:t>26.</w:t>
      </w:r>
      <w:r w:rsidRPr="00BC448D">
        <w:tab/>
        <w:t xml:space="preserve">Collins D. Pretesting survey instruments: an overview of cognitive methods. </w:t>
      </w:r>
      <w:r w:rsidRPr="00BC448D">
        <w:rPr>
          <w:i/>
        </w:rPr>
        <w:t>Qual Life Res</w:t>
      </w:r>
      <w:r w:rsidRPr="00BC448D">
        <w:t xml:space="preserve"> 2003; 12: 229-238. 2003/05/29. DOI: 10.1023/a:1023254226592.</w:t>
      </w:r>
    </w:p>
    <w:p w14:paraId="0FFDF532" w14:textId="77777777" w:rsidR="00BC448D" w:rsidRPr="00BC448D" w:rsidRDefault="00BC448D" w:rsidP="00BE4A99">
      <w:pPr>
        <w:pStyle w:val="EndNoteBibliography"/>
        <w:tabs>
          <w:tab w:val="left" w:pos="567"/>
        </w:tabs>
        <w:spacing w:after="0"/>
        <w:ind w:left="567" w:hanging="567"/>
      </w:pPr>
      <w:r w:rsidRPr="00BC448D">
        <w:t>27.</w:t>
      </w:r>
      <w:r w:rsidRPr="00BC448D">
        <w:tab/>
        <w:t xml:space="preserve">Paap MC, Lange L, van der Palen J, et al. Using the Three-Step Test Interview to understand how patients perceive the St. George's Respiratory Questionnaire for COPD patients (SGRQ-C). </w:t>
      </w:r>
      <w:r w:rsidRPr="00BC448D">
        <w:rPr>
          <w:i/>
        </w:rPr>
        <w:t>Qual Life Res</w:t>
      </w:r>
      <w:r w:rsidRPr="00BC448D">
        <w:t xml:space="preserve"> 2016; 25: 1561-1570. 2015/11/30. DOI: 10.1007/s11136-015-1192-3.</w:t>
      </w:r>
    </w:p>
    <w:p w14:paraId="477215FA" w14:textId="77777777" w:rsidR="00BC448D" w:rsidRPr="00BC448D" w:rsidRDefault="00BC448D" w:rsidP="00BE4A99">
      <w:pPr>
        <w:pStyle w:val="EndNoteBibliography"/>
        <w:tabs>
          <w:tab w:val="left" w:pos="567"/>
        </w:tabs>
        <w:spacing w:after="0"/>
        <w:ind w:left="567" w:hanging="567"/>
      </w:pPr>
      <w:r w:rsidRPr="00BC448D">
        <w:t>28.</w:t>
      </w:r>
      <w:r w:rsidRPr="00BC448D">
        <w:tab/>
        <w:t xml:space="preserve">Sekhon M, Cartwright M and Francis JJ. Development of a theory-informed questionnaire to assess the acceptability of healthcare interventions. </w:t>
      </w:r>
      <w:r w:rsidRPr="00BC448D">
        <w:rPr>
          <w:i/>
        </w:rPr>
        <w:t>BMC Health Serv Res</w:t>
      </w:r>
      <w:r w:rsidRPr="00BC448D">
        <w:t xml:space="preserve"> 2022; 22: 279. 2022/03/03. DOI: 10.1186/s12913-022-07577-3.</w:t>
      </w:r>
    </w:p>
    <w:p w14:paraId="3DA5E367" w14:textId="77777777" w:rsidR="00BC448D" w:rsidRPr="00BC448D" w:rsidRDefault="00BC448D" w:rsidP="00BE4A99">
      <w:pPr>
        <w:pStyle w:val="EndNoteBibliography"/>
        <w:tabs>
          <w:tab w:val="left" w:pos="567"/>
        </w:tabs>
        <w:ind w:left="567" w:hanging="567"/>
      </w:pPr>
      <w:r w:rsidRPr="00BC448D">
        <w:t>29.</w:t>
      </w:r>
      <w:r w:rsidRPr="00BC448D">
        <w:tab/>
        <w:t xml:space="preserve">Yardley L, Spring BJ, Riper H, et al. Understanding and Promoting Effective Engagement With Digital Behavior Change Interventions. </w:t>
      </w:r>
      <w:r w:rsidRPr="00BC448D">
        <w:rPr>
          <w:i/>
        </w:rPr>
        <w:t>Am J Prev Med</w:t>
      </w:r>
      <w:r w:rsidRPr="00BC448D">
        <w:t xml:space="preserve"> 2016; 51: 833-842. 2016/10/18. DOI: 10.1016/j.amepre.2016.06.015.</w:t>
      </w:r>
    </w:p>
    <w:p w14:paraId="6B2D74F1" w14:textId="25B474DE" w:rsidR="008E3B64" w:rsidRPr="00010F8C" w:rsidRDefault="008E3B64" w:rsidP="003B3D48">
      <w:pPr>
        <w:spacing w:line="360" w:lineRule="auto"/>
        <w:rPr>
          <w:lang w:val="en-US"/>
        </w:rPr>
      </w:pPr>
    </w:p>
    <w:sectPr w:rsidR="008E3B64" w:rsidRPr="00010F8C" w:rsidSect="00C168D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462CB" w14:textId="77777777" w:rsidR="00336548" w:rsidRPr="00550561" w:rsidRDefault="00336548" w:rsidP="001D0999">
      <w:pPr>
        <w:spacing w:after="0" w:line="240" w:lineRule="auto"/>
      </w:pPr>
      <w:r w:rsidRPr="00550561">
        <w:separator/>
      </w:r>
    </w:p>
  </w:endnote>
  <w:endnote w:type="continuationSeparator" w:id="0">
    <w:p w14:paraId="3FBC6C3F" w14:textId="77777777" w:rsidR="00336548" w:rsidRPr="00550561" w:rsidRDefault="00336548" w:rsidP="001D0999">
      <w:pPr>
        <w:spacing w:after="0" w:line="240" w:lineRule="auto"/>
      </w:pPr>
      <w:r w:rsidRPr="0055056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1808479"/>
      <w:docPartObj>
        <w:docPartGallery w:val="Page Numbers (Bottom of Page)"/>
        <w:docPartUnique/>
      </w:docPartObj>
    </w:sdtPr>
    <w:sdtContent>
      <w:p w14:paraId="2B57B500" w14:textId="19781EE8" w:rsidR="00F74998" w:rsidRPr="00550561" w:rsidRDefault="00F74998">
        <w:pPr>
          <w:pStyle w:val="Footer"/>
          <w:jc w:val="center"/>
        </w:pPr>
        <w:r w:rsidRPr="00550561">
          <w:fldChar w:fldCharType="begin"/>
        </w:r>
        <w:r w:rsidRPr="00550561">
          <w:instrText xml:space="preserve"> PAGE   \* MERGEFORMAT </w:instrText>
        </w:r>
        <w:r w:rsidRPr="00550561">
          <w:fldChar w:fldCharType="separate"/>
        </w:r>
        <w:r w:rsidR="00770DC1">
          <w:rPr>
            <w:noProof/>
          </w:rPr>
          <w:t>28</w:t>
        </w:r>
        <w:r w:rsidRPr="00550561">
          <w:fldChar w:fldCharType="end"/>
        </w:r>
      </w:p>
    </w:sdtContent>
  </w:sdt>
  <w:p w14:paraId="0DD56B5C" w14:textId="77777777" w:rsidR="00F74998" w:rsidRPr="00550561" w:rsidRDefault="00F749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DE33F" w14:textId="77777777" w:rsidR="00336548" w:rsidRPr="00550561" w:rsidRDefault="00336548" w:rsidP="001D0999">
      <w:pPr>
        <w:spacing w:after="0" w:line="240" w:lineRule="auto"/>
      </w:pPr>
      <w:r w:rsidRPr="00550561">
        <w:separator/>
      </w:r>
    </w:p>
  </w:footnote>
  <w:footnote w:type="continuationSeparator" w:id="0">
    <w:p w14:paraId="5DC4995D" w14:textId="77777777" w:rsidR="00336548" w:rsidRPr="00550561" w:rsidRDefault="00336548" w:rsidP="001D0999">
      <w:pPr>
        <w:spacing w:after="0" w:line="240" w:lineRule="auto"/>
      </w:pPr>
      <w:r w:rsidRPr="00550561">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575B"/>
    <w:multiLevelType w:val="hybridMultilevel"/>
    <w:tmpl w:val="B5EA693C"/>
    <w:lvl w:ilvl="0" w:tplc="08F85B44">
      <w:start w:val="4"/>
      <w:numFmt w:val="bullet"/>
      <w:lvlText w:val="-"/>
      <w:lvlJc w:val="left"/>
      <w:pPr>
        <w:ind w:left="972" w:hanging="360"/>
      </w:pPr>
      <w:rPr>
        <w:rFonts w:ascii="Calibri" w:eastAsiaTheme="minorHAnsi" w:hAnsi="Calibri" w:cs="Calibri" w:hint="default"/>
      </w:rPr>
    </w:lvl>
    <w:lvl w:ilvl="1" w:tplc="08090003" w:tentative="1">
      <w:start w:val="1"/>
      <w:numFmt w:val="bullet"/>
      <w:lvlText w:val="o"/>
      <w:lvlJc w:val="left"/>
      <w:pPr>
        <w:ind w:left="1692" w:hanging="360"/>
      </w:pPr>
      <w:rPr>
        <w:rFonts w:ascii="Courier New" w:hAnsi="Courier New" w:cs="Courier New" w:hint="default"/>
      </w:rPr>
    </w:lvl>
    <w:lvl w:ilvl="2" w:tplc="08090005" w:tentative="1">
      <w:start w:val="1"/>
      <w:numFmt w:val="bullet"/>
      <w:lvlText w:val=""/>
      <w:lvlJc w:val="left"/>
      <w:pPr>
        <w:ind w:left="2412" w:hanging="360"/>
      </w:pPr>
      <w:rPr>
        <w:rFonts w:ascii="Wingdings" w:hAnsi="Wingdings" w:hint="default"/>
      </w:rPr>
    </w:lvl>
    <w:lvl w:ilvl="3" w:tplc="08090001" w:tentative="1">
      <w:start w:val="1"/>
      <w:numFmt w:val="bullet"/>
      <w:lvlText w:val=""/>
      <w:lvlJc w:val="left"/>
      <w:pPr>
        <w:ind w:left="3132" w:hanging="360"/>
      </w:pPr>
      <w:rPr>
        <w:rFonts w:ascii="Symbol" w:hAnsi="Symbol" w:hint="default"/>
      </w:rPr>
    </w:lvl>
    <w:lvl w:ilvl="4" w:tplc="08090003" w:tentative="1">
      <w:start w:val="1"/>
      <w:numFmt w:val="bullet"/>
      <w:lvlText w:val="o"/>
      <w:lvlJc w:val="left"/>
      <w:pPr>
        <w:ind w:left="3852" w:hanging="360"/>
      </w:pPr>
      <w:rPr>
        <w:rFonts w:ascii="Courier New" w:hAnsi="Courier New" w:cs="Courier New" w:hint="default"/>
      </w:rPr>
    </w:lvl>
    <w:lvl w:ilvl="5" w:tplc="08090005" w:tentative="1">
      <w:start w:val="1"/>
      <w:numFmt w:val="bullet"/>
      <w:lvlText w:val=""/>
      <w:lvlJc w:val="left"/>
      <w:pPr>
        <w:ind w:left="4572" w:hanging="360"/>
      </w:pPr>
      <w:rPr>
        <w:rFonts w:ascii="Wingdings" w:hAnsi="Wingdings" w:hint="default"/>
      </w:rPr>
    </w:lvl>
    <w:lvl w:ilvl="6" w:tplc="08090001" w:tentative="1">
      <w:start w:val="1"/>
      <w:numFmt w:val="bullet"/>
      <w:lvlText w:val=""/>
      <w:lvlJc w:val="left"/>
      <w:pPr>
        <w:ind w:left="5292" w:hanging="360"/>
      </w:pPr>
      <w:rPr>
        <w:rFonts w:ascii="Symbol" w:hAnsi="Symbol" w:hint="default"/>
      </w:rPr>
    </w:lvl>
    <w:lvl w:ilvl="7" w:tplc="08090003" w:tentative="1">
      <w:start w:val="1"/>
      <w:numFmt w:val="bullet"/>
      <w:lvlText w:val="o"/>
      <w:lvlJc w:val="left"/>
      <w:pPr>
        <w:ind w:left="6012" w:hanging="360"/>
      </w:pPr>
      <w:rPr>
        <w:rFonts w:ascii="Courier New" w:hAnsi="Courier New" w:cs="Courier New" w:hint="default"/>
      </w:rPr>
    </w:lvl>
    <w:lvl w:ilvl="8" w:tplc="08090005" w:tentative="1">
      <w:start w:val="1"/>
      <w:numFmt w:val="bullet"/>
      <w:lvlText w:val=""/>
      <w:lvlJc w:val="left"/>
      <w:pPr>
        <w:ind w:left="6732" w:hanging="360"/>
      </w:pPr>
      <w:rPr>
        <w:rFonts w:ascii="Wingdings" w:hAnsi="Wingdings" w:hint="default"/>
      </w:rPr>
    </w:lvl>
  </w:abstractNum>
  <w:abstractNum w:abstractNumId="1" w15:restartNumberingAfterBreak="0">
    <w:nsid w:val="051E6E49"/>
    <w:multiLevelType w:val="hybridMultilevel"/>
    <w:tmpl w:val="61685500"/>
    <w:lvl w:ilvl="0" w:tplc="2070E994">
      <w:start w:val="1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DF7572"/>
    <w:multiLevelType w:val="hybridMultilevel"/>
    <w:tmpl w:val="BC92A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ED27B5"/>
    <w:multiLevelType w:val="hybridMultilevel"/>
    <w:tmpl w:val="288CD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E10092"/>
    <w:multiLevelType w:val="hybridMultilevel"/>
    <w:tmpl w:val="1B945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264A92"/>
    <w:multiLevelType w:val="hybridMultilevel"/>
    <w:tmpl w:val="1EC0F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851F67"/>
    <w:multiLevelType w:val="hybridMultilevel"/>
    <w:tmpl w:val="10C6D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263E92"/>
    <w:multiLevelType w:val="hybridMultilevel"/>
    <w:tmpl w:val="2C3A0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5160A0"/>
    <w:multiLevelType w:val="hybridMultilevel"/>
    <w:tmpl w:val="44E6A2F8"/>
    <w:lvl w:ilvl="0" w:tplc="8B641BF8">
      <w:numFmt w:val="bullet"/>
      <w:lvlText w:val="-"/>
      <w:lvlJc w:val="left"/>
      <w:pPr>
        <w:ind w:left="720" w:hanging="360"/>
      </w:pPr>
      <w:rPr>
        <w:rFonts w:ascii="Calibri" w:eastAsiaTheme="maj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063F7C"/>
    <w:multiLevelType w:val="hybridMultilevel"/>
    <w:tmpl w:val="E6EA2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DC4974"/>
    <w:multiLevelType w:val="hybridMultilevel"/>
    <w:tmpl w:val="C24EC708"/>
    <w:lvl w:ilvl="0" w:tplc="2E0E586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6D0602"/>
    <w:multiLevelType w:val="hybridMultilevel"/>
    <w:tmpl w:val="8D08E9DA"/>
    <w:lvl w:ilvl="0" w:tplc="2070E994">
      <w:start w:val="1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621FB1"/>
    <w:multiLevelType w:val="hybridMultilevel"/>
    <w:tmpl w:val="88D4CBF0"/>
    <w:lvl w:ilvl="0" w:tplc="184A50B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265934"/>
    <w:multiLevelType w:val="hybridMultilevel"/>
    <w:tmpl w:val="CF6E3A4A"/>
    <w:lvl w:ilvl="0" w:tplc="0809000F">
      <w:start w:val="1"/>
      <w:numFmt w:val="decimal"/>
      <w:lvlText w:val="%1."/>
      <w:lvlJc w:val="left"/>
      <w:pPr>
        <w:ind w:left="785"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F80D0E"/>
    <w:multiLevelType w:val="hybridMultilevel"/>
    <w:tmpl w:val="F796D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2910CA"/>
    <w:multiLevelType w:val="hybridMultilevel"/>
    <w:tmpl w:val="906E5536"/>
    <w:lvl w:ilvl="0" w:tplc="55AE6168">
      <w:start w:val="1"/>
      <w:numFmt w:val="decimal"/>
      <w:lvlText w:val="%1."/>
      <w:lvlJc w:val="left"/>
      <w:pPr>
        <w:ind w:left="1500" w:hanging="360"/>
      </w:pPr>
    </w:lvl>
    <w:lvl w:ilvl="1" w:tplc="65B0AB3C">
      <w:start w:val="1"/>
      <w:numFmt w:val="decimal"/>
      <w:lvlText w:val="%2."/>
      <w:lvlJc w:val="left"/>
      <w:pPr>
        <w:ind w:left="1500" w:hanging="360"/>
      </w:pPr>
    </w:lvl>
    <w:lvl w:ilvl="2" w:tplc="BD2E3D2E">
      <w:start w:val="1"/>
      <w:numFmt w:val="decimal"/>
      <w:lvlText w:val="%3."/>
      <w:lvlJc w:val="left"/>
      <w:pPr>
        <w:ind w:left="1500" w:hanging="360"/>
      </w:pPr>
    </w:lvl>
    <w:lvl w:ilvl="3" w:tplc="5C28D878">
      <w:start w:val="1"/>
      <w:numFmt w:val="decimal"/>
      <w:lvlText w:val="%4."/>
      <w:lvlJc w:val="left"/>
      <w:pPr>
        <w:ind w:left="1500" w:hanging="360"/>
      </w:pPr>
    </w:lvl>
    <w:lvl w:ilvl="4" w:tplc="32460BB6">
      <w:start w:val="1"/>
      <w:numFmt w:val="decimal"/>
      <w:lvlText w:val="%5."/>
      <w:lvlJc w:val="left"/>
      <w:pPr>
        <w:ind w:left="1500" w:hanging="360"/>
      </w:pPr>
    </w:lvl>
    <w:lvl w:ilvl="5" w:tplc="82CE7BBA">
      <w:start w:val="1"/>
      <w:numFmt w:val="decimal"/>
      <w:lvlText w:val="%6."/>
      <w:lvlJc w:val="left"/>
      <w:pPr>
        <w:ind w:left="1500" w:hanging="360"/>
      </w:pPr>
    </w:lvl>
    <w:lvl w:ilvl="6" w:tplc="0130E0F2">
      <w:start w:val="1"/>
      <w:numFmt w:val="decimal"/>
      <w:lvlText w:val="%7."/>
      <w:lvlJc w:val="left"/>
      <w:pPr>
        <w:ind w:left="1500" w:hanging="360"/>
      </w:pPr>
    </w:lvl>
    <w:lvl w:ilvl="7" w:tplc="3CE8F9B8">
      <w:start w:val="1"/>
      <w:numFmt w:val="decimal"/>
      <w:lvlText w:val="%8."/>
      <w:lvlJc w:val="left"/>
      <w:pPr>
        <w:ind w:left="1500" w:hanging="360"/>
      </w:pPr>
    </w:lvl>
    <w:lvl w:ilvl="8" w:tplc="AF6E9534">
      <w:start w:val="1"/>
      <w:numFmt w:val="decimal"/>
      <w:lvlText w:val="%9."/>
      <w:lvlJc w:val="left"/>
      <w:pPr>
        <w:ind w:left="1500" w:hanging="360"/>
      </w:pPr>
    </w:lvl>
  </w:abstractNum>
  <w:abstractNum w:abstractNumId="16" w15:restartNumberingAfterBreak="0">
    <w:nsid w:val="5A665206"/>
    <w:multiLevelType w:val="hybridMultilevel"/>
    <w:tmpl w:val="D15A1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C244AF"/>
    <w:multiLevelType w:val="multilevel"/>
    <w:tmpl w:val="77EE8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EF3BE0"/>
    <w:multiLevelType w:val="hybridMultilevel"/>
    <w:tmpl w:val="DB747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E914DD"/>
    <w:multiLevelType w:val="hybridMultilevel"/>
    <w:tmpl w:val="B194F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380D6D"/>
    <w:multiLevelType w:val="hybridMultilevel"/>
    <w:tmpl w:val="AF98CF72"/>
    <w:lvl w:ilvl="0" w:tplc="D2A8F39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35541135">
    <w:abstractNumId w:val="12"/>
  </w:num>
  <w:num w:numId="2" w16cid:durableId="1647858942">
    <w:abstractNumId w:val="11"/>
  </w:num>
  <w:num w:numId="3" w16cid:durableId="917517509">
    <w:abstractNumId w:val="17"/>
  </w:num>
  <w:num w:numId="4" w16cid:durableId="1125461371">
    <w:abstractNumId w:val="1"/>
  </w:num>
  <w:num w:numId="5" w16cid:durableId="425198212">
    <w:abstractNumId w:val="13"/>
  </w:num>
  <w:num w:numId="6" w16cid:durableId="1293243052">
    <w:abstractNumId w:val="5"/>
  </w:num>
  <w:num w:numId="7" w16cid:durableId="1037897660">
    <w:abstractNumId w:val="19"/>
  </w:num>
  <w:num w:numId="8" w16cid:durableId="1829588079">
    <w:abstractNumId w:val="18"/>
  </w:num>
  <w:num w:numId="9" w16cid:durableId="1516766179">
    <w:abstractNumId w:val="9"/>
  </w:num>
  <w:num w:numId="10" w16cid:durableId="1529371050">
    <w:abstractNumId w:val="6"/>
  </w:num>
  <w:num w:numId="11" w16cid:durableId="1981349999">
    <w:abstractNumId w:val="2"/>
  </w:num>
  <w:num w:numId="12" w16cid:durableId="754909348">
    <w:abstractNumId w:val="7"/>
  </w:num>
  <w:num w:numId="13" w16cid:durableId="1826554773">
    <w:abstractNumId w:val="16"/>
  </w:num>
  <w:num w:numId="14" w16cid:durableId="220753440">
    <w:abstractNumId w:val="14"/>
  </w:num>
  <w:num w:numId="15" w16cid:durableId="1158889095">
    <w:abstractNumId w:val="4"/>
  </w:num>
  <w:num w:numId="16" w16cid:durableId="1926303971">
    <w:abstractNumId w:val="3"/>
  </w:num>
  <w:num w:numId="17" w16cid:durableId="118426956">
    <w:abstractNumId w:val="15"/>
  </w:num>
  <w:num w:numId="18" w16cid:durableId="515390305">
    <w:abstractNumId w:val="0"/>
  </w:num>
  <w:num w:numId="19" w16cid:durableId="1372224231">
    <w:abstractNumId w:val="8"/>
  </w:num>
  <w:num w:numId="20" w16cid:durableId="311835946">
    <w:abstractNumId w:val="20"/>
  </w:num>
  <w:num w:numId="21" w16cid:durableId="134729007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Sage 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vedtdpz69srxnerxd3xfae6xrxdsxsfzvdp&quot;&gt;Acceptability paper&lt;record-ids&gt;&lt;item&gt;1&lt;/item&gt;&lt;item&gt;3&lt;/item&gt;&lt;item&gt;4&lt;/item&gt;&lt;item&gt;5&lt;/item&gt;&lt;item&gt;7&lt;/item&gt;&lt;item&gt;8&lt;/item&gt;&lt;item&gt;9&lt;/item&gt;&lt;item&gt;10&lt;/item&gt;&lt;item&gt;11&lt;/item&gt;&lt;item&gt;12&lt;/item&gt;&lt;item&gt;13&lt;/item&gt;&lt;item&gt;14&lt;/item&gt;&lt;item&gt;15&lt;/item&gt;&lt;item&gt;17&lt;/item&gt;&lt;item&gt;18&lt;/item&gt;&lt;item&gt;19&lt;/item&gt;&lt;item&gt;20&lt;/item&gt;&lt;item&gt;21&lt;/item&gt;&lt;item&gt;22&lt;/item&gt;&lt;item&gt;23&lt;/item&gt;&lt;item&gt;24&lt;/item&gt;&lt;item&gt;25&lt;/item&gt;&lt;item&gt;26&lt;/item&gt;&lt;item&gt;27&lt;/item&gt;&lt;item&gt;29&lt;/item&gt;&lt;item&gt;31&lt;/item&gt;&lt;item&gt;32&lt;/item&gt;&lt;item&gt;33&lt;/item&gt;&lt;item&gt;34&lt;/item&gt;&lt;/record-ids&gt;&lt;/item&gt;&lt;/Libraries&gt;"/>
  </w:docVars>
  <w:rsids>
    <w:rsidRoot w:val="008301CB"/>
    <w:rsid w:val="0000006B"/>
    <w:rsid w:val="000003EC"/>
    <w:rsid w:val="00000825"/>
    <w:rsid w:val="0000082B"/>
    <w:rsid w:val="000015A9"/>
    <w:rsid w:val="00001859"/>
    <w:rsid w:val="00001B27"/>
    <w:rsid w:val="000022F8"/>
    <w:rsid w:val="00002C90"/>
    <w:rsid w:val="00002CAE"/>
    <w:rsid w:val="00002E00"/>
    <w:rsid w:val="00003D84"/>
    <w:rsid w:val="000041B9"/>
    <w:rsid w:val="000047EB"/>
    <w:rsid w:val="00005E69"/>
    <w:rsid w:val="000060A6"/>
    <w:rsid w:val="0000680F"/>
    <w:rsid w:val="00006A47"/>
    <w:rsid w:val="00007369"/>
    <w:rsid w:val="0000743D"/>
    <w:rsid w:val="00007DA1"/>
    <w:rsid w:val="000108C7"/>
    <w:rsid w:val="00010F8C"/>
    <w:rsid w:val="000110ED"/>
    <w:rsid w:val="00011BD6"/>
    <w:rsid w:val="00011DA0"/>
    <w:rsid w:val="0001232F"/>
    <w:rsid w:val="00012E4B"/>
    <w:rsid w:val="00013334"/>
    <w:rsid w:val="00013A05"/>
    <w:rsid w:val="00013B31"/>
    <w:rsid w:val="00013DA9"/>
    <w:rsid w:val="00014187"/>
    <w:rsid w:val="00014795"/>
    <w:rsid w:val="00015268"/>
    <w:rsid w:val="000152FB"/>
    <w:rsid w:val="000161AD"/>
    <w:rsid w:val="0001622B"/>
    <w:rsid w:val="00016C49"/>
    <w:rsid w:val="00017A45"/>
    <w:rsid w:val="00020250"/>
    <w:rsid w:val="0002058B"/>
    <w:rsid w:val="0002152D"/>
    <w:rsid w:val="000219EB"/>
    <w:rsid w:val="000221A2"/>
    <w:rsid w:val="00022504"/>
    <w:rsid w:val="00022EE8"/>
    <w:rsid w:val="00023A1E"/>
    <w:rsid w:val="00023C2C"/>
    <w:rsid w:val="00023E47"/>
    <w:rsid w:val="0002451F"/>
    <w:rsid w:val="000246CB"/>
    <w:rsid w:val="00026ED0"/>
    <w:rsid w:val="00027583"/>
    <w:rsid w:val="000275D3"/>
    <w:rsid w:val="00027E5F"/>
    <w:rsid w:val="00030029"/>
    <w:rsid w:val="0003088F"/>
    <w:rsid w:val="000313FA"/>
    <w:rsid w:val="000317BB"/>
    <w:rsid w:val="00031833"/>
    <w:rsid w:val="00031C84"/>
    <w:rsid w:val="000320F3"/>
    <w:rsid w:val="00032345"/>
    <w:rsid w:val="00032701"/>
    <w:rsid w:val="00033377"/>
    <w:rsid w:val="00033922"/>
    <w:rsid w:val="00033B20"/>
    <w:rsid w:val="000342A1"/>
    <w:rsid w:val="00034607"/>
    <w:rsid w:val="00034C13"/>
    <w:rsid w:val="000354A5"/>
    <w:rsid w:val="000360F1"/>
    <w:rsid w:val="000361E2"/>
    <w:rsid w:val="00036BF2"/>
    <w:rsid w:val="00036F92"/>
    <w:rsid w:val="000376B9"/>
    <w:rsid w:val="0004073B"/>
    <w:rsid w:val="00040AC9"/>
    <w:rsid w:val="00040ED7"/>
    <w:rsid w:val="00041596"/>
    <w:rsid w:val="00042086"/>
    <w:rsid w:val="00042814"/>
    <w:rsid w:val="00042900"/>
    <w:rsid w:val="00042A07"/>
    <w:rsid w:val="00043830"/>
    <w:rsid w:val="00043BB4"/>
    <w:rsid w:val="0004447F"/>
    <w:rsid w:val="00045BF5"/>
    <w:rsid w:val="00045FF6"/>
    <w:rsid w:val="00046779"/>
    <w:rsid w:val="00047474"/>
    <w:rsid w:val="000476E1"/>
    <w:rsid w:val="00047954"/>
    <w:rsid w:val="000503A6"/>
    <w:rsid w:val="000513E9"/>
    <w:rsid w:val="00051AC6"/>
    <w:rsid w:val="000522FF"/>
    <w:rsid w:val="000529CD"/>
    <w:rsid w:val="00052B40"/>
    <w:rsid w:val="000534C9"/>
    <w:rsid w:val="000536AE"/>
    <w:rsid w:val="00053A0F"/>
    <w:rsid w:val="00053C93"/>
    <w:rsid w:val="0005428B"/>
    <w:rsid w:val="000543CF"/>
    <w:rsid w:val="000543DA"/>
    <w:rsid w:val="00054929"/>
    <w:rsid w:val="00054D77"/>
    <w:rsid w:val="00055258"/>
    <w:rsid w:val="000555AA"/>
    <w:rsid w:val="000565AF"/>
    <w:rsid w:val="00056B08"/>
    <w:rsid w:val="000570FC"/>
    <w:rsid w:val="000571F4"/>
    <w:rsid w:val="000578D1"/>
    <w:rsid w:val="00057929"/>
    <w:rsid w:val="00057980"/>
    <w:rsid w:val="0006165B"/>
    <w:rsid w:val="00061D0D"/>
    <w:rsid w:val="00061E87"/>
    <w:rsid w:val="000620E4"/>
    <w:rsid w:val="00063427"/>
    <w:rsid w:val="00063506"/>
    <w:rsid w:val="00063A9B"/>
    <w:rsid w:val="00064706"/>
    <w:rsid w:val="00064A41"/>
    <w:rsid w:val="00064A9C"/>
    <w:rsid w:val="00064AF9"/>
    <w:rsid w:val="00065A6F"/>
    <w:rsid w:val="00065DDC"/>
    <w:rsid w:val="00066047"/>
    <w:rsid w:val="00067839"/>
    <w:rsid w:val="000678AF"/>
    <w:rsid w:val="00067D53"/>
    <w:rsid w:val="00070442"/>
    <w:rsid w:val="000705F2"/>
    <w:rsid w:val="0007121B"/>
    <w:rsid w:val="00071DD2"/>
    <w:rsid w:val="00072138"/>
    <w:rsid w:val="00072707"/>
    <w:rsid w:val="000729B0"/>
    <w:rsid w:val="00072FF5"/>
    <w:rsid w:val="00073313"/>
    <w:rsid w:val="0007354E"/>
    <w:rsid w:val="00073C4C"/>
    <w:rsid w:val="00074C21"/>
    <w:rsid w:val="00075117"/>
    <w:rsid w:val="000756F3"/>
    <w:rsid w:val="00076008"/>
    <w:rsid w:val="0007654B"/>
    <w:rsid w:val="00080200"/>
    <w:rsid w:val="000802B3"/>
    <w:rsid w:val="000812ED"/>
    <w:rsid w:val="0008193D"/>
    <w:rsid w:val="00081CF6"/>
    <w:rsid w:val="00081D84"/>
    <w:rsid w:val="00081FD0"/>
    <w:rsid w:val="000822DC"/>
    <w:rsid w:val="00083119"/>
    <w:rsid w:val="0008375D"/>
    <w:rsid w:val="0008573E"/>
    <w:rsid w:val="00085F99"/>
    <w:rsid w:val="00086C52"/>
    <w:rsid w:val="00086D49"/>
    <w:rsid w:val="00087C0F"/>
    <w:rsid w:val="00087ED8"/>
    <w:rsid w:val="000901AB"/>
    <w:rsid w:val="000904FC"/>
    <w:rsid w:val="00090C7C"/>
    <w:rsid w:val="00091790"/>
    <w:rsid w:val="000929E0"/>
    <w:rsid w:val="00094AF2"/>
    <w:rsid w:val="0009603E"/>
    <w:rsid w:val="00096141"/>
    <w:rsid w:val="00096522"/>
    <w:rsid w:val="0009675E"/>
    <w:rsid w:val="00096BC1"/>
    <w:rsid w:val="000970A3"/>
    <w:rsid w:val="000A0346"/>
    <w:rsid w:val="000A0595"/>
    <w:rsid w:val="000A0ED6"/>
    <w:rsid w:val="000A0F0B"/>
    <w:rsid w:val="000A1004"/>
    <w:rsid w:val="000A1009"/>
    <w:rsid w:val="000A1B0B"/>
    <w:rsid w:val="000A2876"/>
    <w:rsid w:val="000A31A4"/>
    <w:rsid w:val="000A34CB"/>
    <w:rsid w:val="000A3945"/>
    <w:rsid w:val="000A47BB"/>
    <w:rsid w:val="000A55DD"/>
    <w:rsid w:val="000A5627"/>
    <w:rsid w:val="000A6768"/>
    <w:rsid w:val="000A68E2"/>
    <w:rsid w:val="000A6FAE"/>
    <w:rsid w:val="000A71DB"/>
    <w:rsid w:val="000A798F"/>
    <w:rsid w:val="000B006A"/>
    <w:rsid w:val="000B0CC1"/>
    <w:rsid w:val="000B1A99"/>
    <w:rsid w:val="000B24C3"/>
    <w:rsid w:val="000B2A52"/>
    <w:rsid w:val="000B2C4B"/>
    <w:rsid w:val="000B2D4D"/>
    <w:rsid w:val="000B3A92"/>
    <w:rsid w:val="000B3E8D"/>
    <w:rsid w:val="000B4A8F"/>
    <w:rsid w:val="000B4B56"/>
    <w:rsid w:val="000B4E75"/>
    <w:rsid w:val="000B5152"/>
    <w:rsid w:val="000B5392"/>
    <w:rsid w:val="000B5450"/>
    <w:rsid w:val="000B6028"/>
    <w:rsid w:val="000B60D2"/>
    <w:rsid w:val="000B6175"/>
    <w:rsid w:val="000B68EA"/>
    <w:rsid w:val="000B68EF"/>
    <w:rsid w:val="000B7696"/>
    <w:rsid w:val="000B7BCE"/>
    <w:rsid w:val="000C16C2"/>
    <w:rsid w:val="000C1835"/>
    <w:rsid w:val="000C2406"/>
    <w:rsid w:val="000C2CF6"/>
    <w:rsid w:val="000C3030"/>
    <w:rsid w:val="000C3196"/>
    <w:rsid w:val="000C326D"/>
    <w:rsid w:val="000C3406"/>
    <w:rsid w:val="000C41FB"/>
    <w:rsid w:val="000C48EC"/>
    <w:rsid w:val="000C4FA0"/>
    <w:rsid w:val="000C50E3"/>
    <w:rsid w:val="000C61ED"/>
    <w:rsid w:val="000C68E0"/>
    <w:rsid w:val="000C6964"/>
    <w:rsid w:val="000C6EDC"/>
    <w:rsid w:val="000C735D"/>
    <w:rsid w:val="000D0868"/>
    <w:rsid w:val="000D0B23"/>
    <w:rsid w:val="000D230F"/>
    <w:rsid w:val="000D23CE"/>
    <w:rsid w:val="000D283B"/>
    <w:rsid w:val="000D31BA"/>
    <w:rsid w:val="000D3315"/>
    <w:rsid w:val="000D36B7"/>
    <w:rsid w:val="000D3A4B"/>
    <w:rsid w:val="000D4989"/>
    <w:rsid w:val="000D4F3F"/>
    <w:rsid w:val="000D52D9"/>
    <w:rsid w:val="000D532B"/>
    <w:rsid w:val="000D5787"/>
    <w:rsid w:val="000D5CFE"/>
    <w:rsid w:val="000D6854"/>
    <w:rsid w:val="000D6A8A"/>
    <w:rsid w:val="000D6E56"/>
    <w:rsid w:val="000D7DB9"/>
    <w:rsid w:val="000E01D6"/>
    <w:rsid w:val="000E02F9"/>
    <w:rsid w:val="000E05E5"/>
    <w:rsid w:val="000E07A0"/>
    <w:rsid w:val="000E1662"/>
    <w:rsid w:val="000E1A84"/>
    <w:rsid w:val="000E1F0E"/>
    <w:rsid w:val="000E22FF"/>
    <w:rsid w:val="000E2330"/>
    <w:rsid w:val="000E2597"/>
    <w:rsid w:val="000E29ED"/>
    <w:rsid w:val="000E38A0"/>
    <w:rsid w:val="000E3D2D"/>
    <w:rsid w:val="000E46DF"/>
    <w:rsid w:val="000E5730"/>
    <w:rsid w:val="000E5B74"/>
    <w:rsid w:val="000E5E09"/>
    <w:rsid w:val="000E73A5"/>
    <w:rsid w:val="000E7EE2"/>
    <w:rsid w:val="000F0994"/>
    <w:rsid w:val="000F1515"/>
    <w:rsid w:val="000F2CA8"/>
    <w:rsid w:val="000F2E60"/>
    <w:rsid w:val="000F3197"/>
    <w:rsid w:val="000F3250"/>
    <w:rsid w:val="000F37CE"/>
    <w:rsid w:val="000F380D"/>
    <w:rsid w:val="000F3A2D"/>
    <w:rsid w:val="000F3BAA"/>
    <w:rsid w:val="000F47FF"/>
    <w:rsid w:val="000F537D"/>
    <w:rsid w:val="000F53E5"/>
    <w:rsid w:val="000F55F8"/>
    <w:rsid w:val="000F5941"/>
    <w:rsid w:val="000F5FD6"/>
    <w:rsid w:val="000F626F"/>
    <w:rsid w:val="000F6629"/>
    <w:rsid w:val="00100304"/>
    <w:rsid w:val="00100908"/>
    <w:rsid w:val="00100AE3"/>
    <w:rsid w:val="00100D7E"/>
    <w:rsid w:val="00100ECB"/>
    <w:rsid w:val="0010164C"/>
    <w:rsid w:val="00101A6B"/>
    <w:rsid w:val="00102174"/>
    <w:rsid w:val="00102BDA"/>
    <w:rsid w:val="00104325"/>
    <w:rsid w:val="001050F8"/>
    <w:rsid w:val="00105862"/>
    <w:rsid w:val="00105984"/>
    <w:rsid w:val="00105DA9"/>
    <w:rsid w:val="0010696E"/>
    <w:rsid w:val="00106A0C"/>
    <w:rsid w:val="001078EB"/>
    <w:rsid w:val="00107E58"/>
    <w:rsid w:val="0011042C"/>
    <w:rsid w:val="00111000"/>
    <w:rsid w:val="001110B9"/>
    <w:rsid w:val="0011138D"/>
    <w:rsid w:val="001115D8"/>
    <w:rsid w:val="00111B21"/>
    <w:rsid w:val="00111F0F"/>
    <w:rsid w:val="00112603"/>
    <w:rsid w:val="00113415"/>
    <w:rsid w:val="00113426"/>
    <w:rsid w:val="00113597"/>
    <w:rsid w:val="001137DF"/>
    <w:rsid w:val="00113976"/>
    <w:rsid w:val="00113B2F"/>
    <w:rsid w:val="0011434E"/>
    <w:rsid w:val="00114477"/>
    <w:rsid w:val="001149F4"/>
    <w:rsid w:val="0011537E"/>
    <w:rsid w:val="00115616"/>
    <w:rsid w:val="0011576D"/>
    <w:rsid w:val="00115A54"/>
    <w:rsid w:val="00116A64"/>
    <w:rsid w:val="00116C62"/>
    <w:rsid w:val="0012049D"/>
    <w:rsid w:val="0012053B"/>
    <w:rsid w:val="001205D1"/>
    <w:rsid w:val="0012208F"/>
    <w:rsid w:val="001221B3"/>
    <w:rsid w:val="001223AE"/>
    <w:rsid w:val="0012266C"/>
    <w:rsid w:val="0012365B"/>
    <w:rsid w:val="00124B0B"/>
    <w:rsid w:val="00125253"/>
    <w:rsid w:val="00125299"/>
    <w:rsid w:val="0012532A"/>
    <w:rsid w:val="00125999"/>
    <w:rsid w:val="00125EFD"/>
    <w:rsid w:val="00126063"/>
    <w:rsid w:val="0012634E"/>
    <w:rsid w:val="00126937"/>
    <w:rsid w:val="00126AA2"/>
    <w:rsid w:val="00126BE0"/>
    <w:rsid w:val="00126E2E"/>
    <w:rsid w:val="001274D4"/>
    <w:rsid w:val="00127B7E"/>
    <w:rsid w:val="00130882"/>
    <w:rsid w:val="00130890"/>
    <w:rsid w:val="00130CCD"/>
    <w:rsid w:val="00131298"/>
    <w:rsid w:val="001318D9"/>
    <w:rsid w:val="00131937"/>
    <w:rsid w:val="001324A0"/>
    <w:rsid w:val="00132635"/>
    <w:rsid w:val="0013347F"/>
    <w:rsid w:val="00133C67"/>
    <w:rsid w:val="00135684"/>
    <w:rsid w:val="001357D8"/>
    <w:rsid w:val="00135965"/>
    <w:rsid w:val="001359CF"/>
    <w:rsid w:val="00135A36"/>
    <w:rsid w:val="001369C1"/>
    <w:rsid w:val="0013736D"/>
    <w:rsid w:val="00137827"/>
    <w:rsid w:val="0013792B"/>
    <w:rsid w:val="00137F1F"/>
    <w:rsid w:val="0014061F"/>
    <w:rsid w:val="0014082B"/>
    <w:rsid w:val="00140B62"/>
    <w:rsid w:val="00140C10"/>
    <w:rsid w:val="00141B44"/>
    <w:rsid w:val="00142A07"/>
    <w:rsid w:val="00142AF5"/>
    <w:rsid w:val="00143BED"/>
    <w:rsid w:val="00143D3C"/>
    <w:rsid w:val="00143E47"/>
    <w:rsid w:val="00144545"/>
    <w:rsid w:val="00145DF6"/>
    <w:rsid w:val="00145DF8"/>
    <w:rsid w:val="00147156"/>
    <w:rsid w:val="00147DDC"/>
    <w:rsid w:val="00147E30"/>
    <w:rsid w:val="0015009E"/>
    <w:rsid w:val="00151610"/>
    <w:rsid w:val="0015170C"/>
    <w:rsid w:val="001518D4"/>
    <w:rsid w:val="001524B2"/>
    <w:rsid w:val="001531C8"/>
    <w:rsid w:val="001533F0"/>
    <w:rsid w:val="00154176"/>
    <w:rsid w:val="00154A53"/>
    <w:rsid w:val="00154F4C"/>
    <w:rsid w:val="00155198"/>
    <w:rsid w:val="0015562E"/>
    <w:rsid w:val="001556D2"/>
    <w:rsid w:val="0015616E"/>
    <w:rsid w:val="00156197"/>
    <w:rsid w:val="00157236"/>
    <w:rsid w:val="001575FF"/>
    <w:rsid w:val="00157C7A"/>
    <w:rsid w:val="00157E88"/>
    <w:rsid w:val="00160102"/>
    <w:rsid w:val="0016048B"/>
    <w:rsid w:val="00160BCF"/>
    <w:rsid w:val="00162798"/>
    <w:rsid w:val="00162902"/>
    <w:rsid w:val="00163AA9"/>
    <w:rsid w:val="00163AC8"/>
    <w:rsid w:val="00164230"/>
    <w:rsid w:val="001643EB"/>
    <w:rsid w:val="001646F0"/>
    <w:rsid w:val="00164BD1"/>
    <w:rsid w:val="00164BF6"/>
    <w:rsid w:val="00164FE3"/>
    <w:rsid w:val="001654C6"/>
    <w:rsid w:val="00165625"/>
    <w:rsid w:val="00166910"/>
    <w:rsid w:val="00166A0A"/>
    <w:rsid w:val="00166ABB"/>
    <w:rsid w:val="00167A29"/>
    <w:rsid w:val="00170D52"/>
    <w:rsid w:val="00170D6E"/>
    <w:rsid w:val="00172020"/>
    <w:rsid w:val="00172070"/>
    <w:rsid w:val="00172740"/>
    <w:rsid w:val="00172B42"/>
    <w:rsid w:val="0017350F"/>
    <w:rsid w:val="0017354A"/>
    <w:rsid w:val="00173AFA"/>
    <w:rsid w:val="00174179"/>
    <w:rsid w:val="001751CC"/>
    <w:rsid w:val="001754BC"/>
    <w:rsid w:val="0017686A"/>
    <w:rsid w:val="00176C8F"/>
    <w:rsid w:val="001774C9"/>
    <w:rsid w:val="001776B2"/>
    <w:rsid w:val="00181458"/>
    <w:rsid w:val="001815C6"/>
    <w:rsid w:val="001817C8"/>
    <w:rsid w:val="001828AA"/>
    <w:rsid w:val="00183155"/>
    <w:rsid w:val="001839BC"/>
    <w:rsid w:val="00183A34"/>
    <w:rsid w:val="00183C36"/>
    <w:rsid w:val="00183EBD"/>
    <w:rsid w:val="00184AAC"/>
    <w:rsid w:val="0018634A"/>
    <w:rsid w:val="001877CF"/>
    <w:rsid w:val="001918F1"/>
    <w:rsid w:val="00192F3E"/>
    <w:rsid w:val="0019320E"/>
    <w:rsid w:val="0019328C"/>
    <w:rsid w:val="0019371A"/>
    <w:rsid w:val="00193E44"/>
    <w:rsid w:val="00193E48"/>
    <w:rsid w:val="00193EDC"/>
    <w:rsid w:val="0019406D"/>
    <w:rsid w:val="00194783"/>
    <w:rsid w:val="001952E4"/>
    <w:rsid w:val="00195414"/>
    <w:rsid w:val="00195681"/>
    <w:rsid w:val="0019569C"/>
    <w:rsid w:val="00195B50"/>
    <w:rsid w:val="001967BB"/>
    <w:rsid w:val="00196E05"/>
    <w:rsid w:val="00196F11"/>
    <w:rsid w:val="00197829"/>
    <w:rsid w:val="00197A92"/>
    <w:rsid w:val="001A0E6C"/>
    <w:rsid w:val="001A10B9"/>
    <w:rsid w:val="001A158D"/>
    <w:rsid w:val="001A15F1"/>
    <w:rsid w:val="001A269E"/>
    <w:rsid w:val="001A2C40"/>
    <w:rsid w:val="001A2CD2"/>
    <w:rsid w:val="001A3367"/>
    <w:rsid w:val="001A414F"/>
    <w:rsid w:val="001A4526"/>
    <w:rsid w:val="001A45AB"/>
    <w:rsid w:val="001A4ABE"/>
    <w:rsid w:val="001A5EB4"/>
    <w:rsid w:val="001A5EFB"/>
    <w:rsid w:val="001A619C"/>
    <w:rsid w:val="001A644E"/>
    <w:rsid w:val="001A65A3"/>
    <w:rsid w:val="001A77AC"/>
    <w:rsid w:val="001A7CE0"/>
    <w:rsid w:val="001B0465"/>
    <w:rsid w:val="001B0DDA"/>
    <w:rsid w:val="001B0FC1"/>
    <w:rsid w:val="001B2FED"/>
    <w:rsid w:val="001B3616"/>
    <w:rsid w:val="001B3C33"/>
    <w:rsid w:val="001B3CC1"/>
    <w:rsid w:val="001B47CB"/>
    <w:rsid w:val="001B4898"/>
    <w:rsid w:val="001B5213"/>
    <w:rsid w:val="001B561C"/>
    <w:rsid w:val="001B5634"/>
    <w:rsid w:val="001B6C76"/>
    <w:rsid w:val="001B6D64"/>
    <w:rsid w:val="001B7093"/>
    <w:rsid w:val="001B7598"/>
    <w:rsid w:val="001B76A7"/>
    <w:rsid w:val="001B7AB0"/>
    <w:rsid w:val="001C0D2C"/>
    <w:rsid w:val="001C1755"/>
    <w:rsid w:val="001C2C55"/>
    <w:rsid w:val="001C3896"/>
    <w:rsid w:val="001C3DC6"/>
    <w:rsid w:val="001C45AD"/>
    <w:rsid w:val="001C46BE"/>
    <w:rsid w:val="001C4C64"/>
    <w:rsid w:val="001C4FFF"/>
    <w:rsid w:val="001C54C6"/>
    <w:rsid w:val="001C5654"/>
    <w:rsid w:val="001C71EA"/>
    <w:rsid w:val="001C7FA9"/>
    <w:rsid w:val="001D01EC"/>
    <w:rsid w:val="001D0939"/>
    <w:rsid w:val="001D0999"/>
    <w:rsid w:val="001D0D55"/>
    <w:rsid w:val="001D1098"/>
    <w:rsid w:val="001D452E"/>
    <w:rsid w:val="001D59FE"/>
    <w:rsid w:val="001D684C"/>
    <w:rsid w:val="001D745A"/>
    <w:rsid w:val="001E1CDD"/>
    <w:rsid w:val="001E1EFC"/>
    <w:rsid w:val="001E20B8"/>
    <w:rsid w:val="001E2271"/>
    <w:rsid w:val="001E2598"/>
    <w:rsid w:val="001E3191"/>
    <w:rsid w:val="001E4055"/>
    <w:rsid w:val="001E4A37"/>
    <w:rsid w:val="001E4B84"/>
    <w:rsid w:val="001E60E2"/>
    <w:rsid w:val="001E63BB"/>
    <w:rsid w:val="001E6DD9"/>
    <w:rsid w:val="001E70A1"/>
    <w:rsid w:val="001E7751"/>
    <w:rsid w:val="001E7B80"/>
    <w:rsid w:val="001E7F65"/>
    <w:rsid w:val="001F069F"/>
    <w:rsid w:val="001F0C1A"/>
    <w:rsid w:val="001F0D25"/>
    <w:rsid w:val="001F1C6A"/>
    <w:rsid w:val="001F2C69"/>
    <w:rsid w:val="001F3A44"/>
    <w:rsid w:val="001F4CEE"/>
    <w:rsid w:val="001F63E4"/>
    <w:rsid w:val="001F6CCA"/>
    <w:rsid w:val="001F71F2"/>
    <w:rsid w:val="001F7583"/>
    <w:rsid w:val="001F76A4"/>
    <w:rsid w:val="001F7906"/>
    <w:rsid w:val="001F7C29"/>
    <w:rsid w:val="0020044F"/>
    <w:rsid w:val="002006BF"/>
    <w:rsid w:val="00201974"/>
    <w:rsid w:val="00201BAD"/>
    <w:rsid w:val="00202702"/>
    <w:rsid w:val="00203F4E"/>
    <w:rsid w:val="0020467B"/>
    <w:rsid w:val="0020470B"/>
    <w:rsid w:val="00204C91"/>
    <w:rsid w:val="00204D8A"/>
    <w:rsid w:val="00204D91"/>
    <w:rsid w:val="00206149"/>
    <w:rsid w:val="00206400"/>
    <w:rsid w:val="002069C7"/>
    <w:rsid w:val="00207BA1"/>
    <w:rsid w:val="00211BB2"/>
    <w:rsid w:val="00212CBD"/>
    <w:rsid w:val="00213233"/>
    <w:rsid w:val="00213585"/>
    <w:rsid w:val="00213E9A"/>
    <w:rsid w:val="002144AF"/>
    <w:rsid w:val="0021493F"/>
    <w:rsid w:val="00214A9D"/>
    <w:rsid w:val="00214FB7"/>
    <w:rsid w:val="002151BC"/>
    <w:rsid w:val="0021655F"/>
    <w:rsid w:val="00217232"/>
    <w:rsid w:val="002172C5"/>
    <w:rsid w:val="00217725"/>
    <w:rsid w:val="00217AD3"/>
    <w:rsid w:val="00220221"/>
    <w:rsid w:val="0022026E"/>
    <w:rsid w:val="002205EA"/>
    <w:rsid w:val="0022063D"/>
    <w:rsid w:val="002211D7"/>
    <w:rsid w:val="00221608"/>
    <w:rsid w:val="002220A3"/>
    <w:rsid w:val="00222B5E"/>
    <w:rsid w:val="00222C37"/>
    <w:rsid w:val="002236DD"/>
    <w:rsid w:val="0022486C"/>
    <w:rsid w:val="0022494C"/>
    <w:rsid w:val="0022535B"/>
    <w:rsid w:val="0022542A"/>
    <w:rsid w:val="00225682"/>
    <w:rsid w:val="002268D8"/>
    <w:rsid w:val="002274A6"/>
    <w:rsid w:val="00227FF0"/>
    <w:rsid w:val="0023064F"/>
    <w:rsid w:val="002318C2"/>
    <w:rsid w:val="002327B2"/>
    <w:rsid w:val="0023387B"/>
    <w:rsid w:val="002345CA"/>
    <w:rsid w:val="00234B29"/>
    <w:rsid w:val="00235717"/>
    <w:rsid w:val="00235D2E"/>
    <w:rsid w:val="00236451"/>
    <w:rsid w:val="00236DFE"/>
    <w:rsid w:val="00237222"/>
    <w:rsid w:val="00237560"/>
    <w:rsid w:val="00237F5F"/>
    <w:rsid w:val="002408D5"/>
    <w:rsid w:val="0024099D"/>
    <w:rsid w:val="00240DED"/>
    <w:rsid w:val="00240ECC"/>
    <w:rsid w:val="00240EDD"/>
    <w:rsid w:val="00241EF9"/>
    <w:rsid w:val="002420A1"/>
    <w:rsid w:val="0024265F"/>
    <w:rsid w:val="002435A4"/>
    <w:rsid w:val="00243A79"/>
    <w:rsid w:val="0024523B"/>
    <w:rsid w:val="00245A90"/>
    <w:rsid w:val="00245D26"/>
    <w:rsid w:val="00245D2F"/>
    <w:rsid w:val="002465F6"/>
    <w:rsid w:val="002469A1"/>
    <w:rsid w:val="0025133A"/>
    <w:rsid w:val="00251BAA"/>
    <w:rsid w:val="002524F1"/>
    <w:rsid w:val="00252661"/>
    <w:rsid w:val="00252A75"/>
    <w:rsid w:val="00252A87"/>
    <w:rsid w:val="0025346E"/>
    <w:rsid w:val="00254139"/>
    <w:rsid w:val="0025426C"/>
    <w:rsid w:val="0025591D"/>
    <w:rsid w:val="00256293"/>
    <w:rsid w:val="0025648F"/>
    <w:rsid w:val="0025669C"/>
    <w:rsid w:val="002572A7"/>
    <w:rsid w:val="00257403"/>
    <w:rsid w:val="0025790F"/>
    <w:rsid w:val="00257D06"/>
    <w:rsid w:val="002600C2"/>
    <w:rsid w:val="002608CB"/>
    <w:rsid w:val="00260960"/>
    <w:rsid w:val="00261961"/>
    <w:rsid w:val="00261DD9"/>
    <w:rsid w:val="00261E25"/>
    <w:rsid w:val="00261E56"/>
    <w:rsid w:val="0026214C"/>
    <w:rsid w:val="002623C5"/>
    <w:rsid w:val="00262403"/>
    <w:rsid w:val="00262570"/>
    <w:rsid w:val="00262E8B"/>
    <w:rsid w:val="00263618"/>
    <w:rsid w:val="0026375F"/>
    <w:rsid w:val="00264230"/>
    <w:rsid w:val="00265109"/>
    <w:rsid w:val="0026511D"/>
    <w:rsid w:val="002657C3"/>
    <w:rsid w:val="00266117"/>
    <w:rsid w:val="00266139"/>
    <w:rsid w:val="0026649D"/>
    <w:rsid w:val="00266CC2"/>
    <w:rsid w:val="00266FB5"/>
    <w:rsid w:val="00270558"/>
    <w:rsid w:val="00270AD0"/>
    <w:rsid w:val="002718A9"/>
    <w:rsid w:val="00271B53"/>
    <w:rsid w:val="00272B57"/>
    <w:rsid w:val="0027324E"/>
    <w:rsid w:val="00273D55"/>
    <w:rsid w:val="002755A0"/>
    <w:rsid w:val="002764D3"/>
    <w:rsid w:val="00276540"/>
    <w:rsid w:val="00276DB9"/>
    <w:rsid w:val="002814CC"/>
    <w:rsid w:val="00281921"/>
    <w:rsid w:val="002822D4"/>
    <w:rsid w:val="00282B7C"/>
    <w:rsid w:val="00283009"/>
    <w:rsid w:val="0028352B"/>
    <w:rsid w:val="002839A2"/>
    <w:rsid w:val="00284839"/>
    <w:rsid w:val="00284B7A"/>
    <w:rsid w:val="002850CF"/>
    <w:rsid w:val="0028512D"/>
    <w:rsid w:val="00285DBB"/>
    <w:rsid w:val="00286423"/>
    <w:rsid w:val="00287442"/>
    <w:rsid w:val="002879B7"/>
    <w:rsid w:val="00287ADC"/>
    <w:rsid w:val="00287FFB"/>
    <w:rsid w:val="00290712"/>
    <w:rsid w:val="00291125"/>
    <w:rsid w:val="0029125C"/>
    <w:rsid w:val="0029167F"/>
    <w:rsid w:val="00291780"/>
    <w:rsid w:val="002918A9"/>
    <w:rsid w:val="00292DB6"/>
    <w:rsid w:val="002930ED"/>
    <w:rsid w:val="00293575"/>
    <w:rsid w:val="002936E4"/>
    <w:rsid w:val="00293E8B"/>
    <w:rsid w:val="0029497B"/>
    <w:rsid w:val="002955A3"/>
    <w:rsid w:val="00296347"/>
    <w:rsid w:val="0029791D"/>
    <w:rsid w:val="002A2722"/>
    <w:rsid w:val="002A3916"/>
    <w:rsid w:val="002A41B4"/>
    <w:rsid w:val="002A5444"/>
    <w:rsid w:val="002A550D"/>
    <w:rsid w:val="002A734B"/>
    <w:rsid w:val="002A7A46"/>
    <w:rsid w:val="002B0566"/>
    <w:rsid w:val="002B11B3"/>
    <w:rsid w:val="002B124D"/>
    <w:rsid w:val="002B181D"/>
    <w:rsid w:val="002B1B3F"/>
    <w:rsid w:val="002B1C3F"/>
    <w:rsid w:val="002B1F77"/>
    <w:rsid w:val="002B21F2"/>
    <w:rsid w:val="002B22BC"/>
    <w:rsid w:val="002B23A9"/>
    <w:rsid w:val="002B2B69"/>
    <w:rsid w:val="002B2E10"/>
    <w:rsid w:val="002B30FB"/>
    <w:rsid w:val="002B34DD"/>
    <w:rsid w:val="002B3898"/>
    <w:rsid w:val="002B3A6D"/>
    <w:rsid w:val="002B3ABD"/>
    <w:rsid w:val="002B3AD1"/>
    <w:rsid w:val="002B5F79"/>
    <w:rsid w:val="002B6198"/>
    <w:rsid w:val="002B6315"/>
    <w:rsid w:val="002B7125"/>
    <w:rsid w:val="002C04DE"/>
    <w:rsid w:val="002C0773"/>
    <w:rsid w:val="002C0934"/>
    <w:rsid w:val="002C0FCC"/>
    <w:rsid w:val="002C169F"/>
    <w:rsid w:val="002C1E3C"/>
    <w:rsid w:val="002C207F"/>
    <w:rsid w:val="002C2366"/>
    <w:rsid w:val="002C23CE"/>
    <w:rsid w:val="002C23D0"/>
    <w:rsid w:val="002C29B8"/>
    <w:rsid w:val="002C4307"/>
    <w:rsid w:val="002C4FA5"/>
    <w:rsid w:val="002C55E5"/>
    <w:rsid w:val="002C5D92"/>
    <w:rsid w:val="002C618C"/>
    <w:rsid w:val="002C61A5"/>
    <w:rsid w:val="002C6B37"/>
    <w:rsid w:val="002D0DEA"/>
    <w:rsid w:val="002D0ED6"/>
    <w:rsid w:val="002D22B4"/>
    <w:rsid w:val="002D27D5"/>
    <w:rsid w:val="002D2D99"/>
    <w:rsid w:val="002D4165"/>
    <w:rsid w:val="002D4910"/>
    <w:rsid w:val="002D5842"/>
    <w:rsid w:val="002D669E"/>
    <w:rsid w:val="002D66E0"/>
    <w:rsid w:val="002D67A3"/>
    <w:rsid w:val="002E0245"/>
    <w:rsid w:val="002E05B9"/>
    <w:rsid w:val="002E12DF"/>
    <w:rsid w:val="002E1A39"/>
    <w:rsid w:val="002E1C79"/>
    <w:rsid w:val="002E2117"/>
    <w:rsid w:val="002E2861"/>
    <w:rsid w:val="002E38EA"/>
    <w:rsid w:val="002E3C17"/>
    <w:rsid w:val="002E4056"/>
    <w:rsid w:val="002E42B5"/>
    <w:rsid w:val="002E456D"/>
    <w:rsid w:val="002E5012"/>
    <w:rsid w:val="002E524D"/>
    <w:rsid w:val="002E536A"/>
    <w:rsid w:val="002E5EA9"/>
    <w:rsid w:val="002E6074"/>
    <w:rsid w:val="002E620B"/>
    <w:rsid w:val="002E68F7"/>
    <w:rsid w:val="002E6D19"/>
    <w:rsid w:val="002E6D83"/>
    <w:rsid w:val="002F08A4"/>
    <w:rsid w:val="002F09F6"/>
    <w:rsid w:val="002F1351"/>
    <w:rsid w:val="002F18AC"/>
    <w:rsid w:val="002F295F"/>
    <w:rsid w:val="002F2FE6"/>
    <w:rsid w:val="002F4582"/>
    <w:rsid w:val="002F4745"/>
    <w:rsid w:val="002F48CE"/>
    <w:rsid w:val="002F49D7"/>
    <w:rsid w:val="002F4E6F"/>
    <w:rsid w:val="002F5013"/>
    <w:rsid w:val="002F5160"/>
    <w:rsid w:val="002F561A"/>
    <w:rsid w:val="002F58FB"/>
    <w:rsid w:val="002F5BCB"/>
    <w:rsid w:val="002F61D6"/>
    <w:rsid w:val="002F646B"/>
    <w:rsid w:val="002F691C"/>
    <w:rsid w:val="002F6C96"/>
    <w:rsid w:val="002F70A0"/>
    <w:rsid w:val="002F72D4"/>
    <w:rsid w:val="002F7333"/>
    <w:rsid w:val="002F788C"/>
    <w:rsid w:val="0030049B"/>
    <w:rsid w:val="0030065E"/>
    <w:rsid w:val="00302128"/>
    <w:rsid w:val="0030257F"/>
    <w:rsid w:val="00302A84"/>
    <w:rsid w:val="00302D66"/>
    <w:rsid w:val="00303814"/>
    <w:rsid w:val="00304C90"/>
    <w:rsid w:val="00304E68"/>
    <w:rsid w:val="00305444"/>
    <w:rsid w:val="00305ECE"/>
    <w:rsid w:val="00305F3D"/>
    <w:rsid w:val="00306F61"/>
    <w:rsid w:val="003075CB"/>
    <w:rsid w:val="00307F8E"/>
    <w:rsid w:val="003100FF"/>
    <w:rsid w:val="003107B8"/>
    <w:rsid w:val="003111CE"/>
    <w:rsid w:val="0031128C"/>
    <w:rsid w:val="00311616"/>
    <w:rsid w:val="003117A2"/>
    <w:rsid w:val="00311935"/>
    <w:rsid w:val="003128B3"/>
    <w:rsid w:val="00313155"/>
    <w:rsid w:val="003133AF"/>
    <w:rsid w:val="00313E63"/>
    <w:rsid w:val="00314646"/>
    <w:rsid w:val="00314A8F"/>
    <w:rsid w:val="00314C05"/>
    <w:rsid w:val="00314DFC"/>
    <w:rsid w:val="00315898"/>
    <w:rsid w:val="003163EC"/>
    <w:rsid w:val="003167C8"/>
    <w:rsid w:val="00316993"/>
    <w:rsid w:val="003173C7"/>
    <w:rsid w:val="003174B8"/>
    <w:rsid w:val="0031779C"/>
    <w:rsid w:val="00320324"/>
    <w:rsid w:val="003206FD"/>
    <w:rsid w:val="00320BD5"/>
    <w:rsid w:val="00320FC8"/>
    <w:rsid w:val="00321ABB"/>
    <w:rsid w:val="00321C11"/>
    <w:rsid w:val="0032273A"/>
    <w:rsid w:val="003229B2"/>
    <w:rsid w:val="0032346E"/>
    <w:rsid w:val="0032388A"/>
    <w:rsid w:val="00323E7F"/>
    <w:rsid w:val="00324434"/>
    <w:rsid w:val="00324ED9"/>
    <w:rsid w:val="00325118"/>
    <w:rsid w:val="0032552F"/>
    <w:rsid w:val="00325DEA"/>
    <w:rsid w:val="00326374"/>
    <w:rsid w:val="00327CFA"/>
    <w:rsid w:val="0033050C"/>
    <w:rsid w:val="003307B8"/>
    <w:rsid w:val="00331461"/>
    <w:rsid w:val="00331898"/>
    <w:rsid w:val="00332720"/>
    <w:rsid w:val="003338EA"/>
    <w:rsid w:val="00333A2A"/>
    <w:rsid w:val="00333B90"/>
    <w:rsid w:val="00335BDD"/>
    <w:rsid w:val="00335DBD"/>
    <w:rsid w:val="003362A9"/>
    <w:rsid w:val="00336548"/>
    <w:rsid w:val="0033693E"/>
    <w:rsid w:val="00340458"/>
    <w:rsid w:val="00341C1B"/>
    <w:rsid w:val="00342C21"/>
    <w:rsid w:val="00343151"/>
    <w:rsid w:val="003433BB"/>
    <w:rsid w:val="0034345F"/>
    <w:rsid w:val="003439DE"/>
    <w:rsid w:val="003451DC"/>
    <w:rsid w:val="003452C0"/>
    <w:rsid w:val="0034584A"/>
    <w:rsid w:val="003459F3"/>
    <w:rsid w:val="00345ED0"/>
    <w:rsid w:val="00346107"/>
    <w:rsid w:val="0034739A"/>
    <w:rsid w:val="00350116"/>
    <w:rsid w:val="00350AD8"/>
    <w:rsid w:val="00350BFA"/>
    <w:rsid w:val="00351732"/>
    <w:rsid w:val="00351896"/>
    <w:rsid w:val="00351CE2"/>
    <w:rsid w:val="00351D6B"/>
    <w:rsid w:val="00351FE6"/>
    <w:rsid w:val="00352F0F"/>
    <w:rsid w:val="00352F32"/>
    <w:rsid w:val="00353005"/>
    <w:rsid w:val="00353227"/>
    <w:rsid w:val="003532C5"/>
    <w:rsid w:val="0035364E"/>
    <w:rsid w:val="00354788"/>
    <w:rsid w:val="00354C29"/>
    <w:rsid w:val="00354DFC"/>
    <w:rsid w:val="00355483"/>
    <w:rsid w:val="00355EF6"/>
    <w:rsid w:val="00357A56"/>
    <w:rsid w:val="003612D3"/>
    <w:rsid w:val="00362A96"/>
    <w:rsid w:val="00362D2F"/>
    <w:rsid w:val="0036380F"/>
    <w:rsid w:val="00363899"/>
    <w:rsid w:val="00363C05"/>
    <w:rsid w:val="00364127"/>
    <w:rsid w:val="00364381"/>
    <w:rsid w:val="00364FDD"/>
    <w:rsid w:val="003654C1"/>
    <w:rsid w:val="003655FB"/>
    <w:rsid w:val="00365F2C"/>
    <w:rsid w:val="0036630C"/>
    <w:rsid w:val="00366428"/>
    <w:rsid w:val="00366509"/>
    <w:rsid w:val="00366B0B"/>
    <w:rsid w:val="00367163"/>
    <w:rsid w:val="00367536"/>
    <w:rsid w:val="00367724"/>
    <w:rsid w:val="003717FA"/>
    <w:rsid w:val="00371C29"/>
    <w:rsid w:val="00371EDF"/>
    <w:rsid w:val="00372B4C"/>
    <w:rsid w:val="003730EB"/>
    <w:rsid w:val="0037315A"/>
    <w:rsid w:val="003732C1"/>
    <w:rsid w:val="003735F1"/>
    <w:rsid w:val="0037436A"/>
    <w:rsid w:val="00374800"/>
    <w:rsid w:val="0037528B"/>
    <w:rsid w:val="00375E0E"/>
    <w:rsid w:val="00375FD2"/>
    <w:rsid w:val="00376540"/>
    <w:rsid w:val="00376E81"/>
    <w:rsid w:val="00377375"/>
    <w:rsid w:val="003778EC"/>
    <w:rsid w:val="003800EE"/>
    <w:rsid w:val="00381FFF"/>
    <w:rsid w:val="0038212D"/>
    <w:rsid w:val="00382433"/>
    <w:rsid w:val="0038291D"/>
    <w:rsid w:val="00382C36"/>
    <w:rsid w:val="00383371"/>
    <w:rsid w:val="00383E52"/>
    <w:rsid w:val="003845E0"/>
    <w:rsid w:val="00385C7A"/>
    <w:rsid w:val="003865AE"/>
    <w:rsid w:val="003877AD"/>
    <w:rsid w:val="00387A0B"/>
    <w:rsid w:val="00387D21"/>
    <w:rsid w:val="00387D79"/>
    <w:rsid w:val="003901E3"/>
    <w:rsid w:val="00391750"/>
    <w:rsid w:val="00391951"/>
    <w:rsid w:val="003925FA"/>
    <w:rsid w:val="00392811"/>
    <w:rsid w:val="00392971"/>
    <w:rsid w:val="00393765"/>
    <w:rsid w:val="00393866"/>
    <w:rsid w:val="00394659"/>
    <w:rsid w:val="00396F8D"/>
    <w:rsid w:val="00397965"/>
    <w:rsid w:val="003A054C"/>
    <w:rsid w:val="003A06A9"/>
    <w:rsid w:val="003A0B4F"/>
    <w:rsid w:val="003A1341"/>
    <w:rsid w:val="003A2245"/>
    <w:rsid w:val="003A29B1"/>
    <w:rsid w:val="003A30C7"/>
    <w:rsid w:val="003A39F2"/>
    <w:rsid w:val="003A3B8C"/>
    <w:rsid w:val="003A40B0"/>
    <w:rsid w:val="003A47BD"/>
    <w:rsid w:val="003A5144"/>
    <w:rsid w:val="003A60A2"/>
    <w:rsid w:val="003A652B"/>
    <w:rsid w:val="003A6DDA"/>
    <w:rsid w:val="003A7B72"/>
    <w:rsid w:val="003A7BD9"/>
    <w:rsid w:val="003A7D43"/>
    <w:rsid w:val="003B0442"/>
    <w:rsid w:val="003B1187"/>
    <w:rsid w:val="003B1222"/>
    <w:rsid w:val="003B23AB"/>
    <w:rsid w:val="003B2A76"/>
    <w:rsid w:val="003B2FCA"/>
    <w:rsid w:val="003B3D48"/>
    <w:rsid w:val="003B4F20"/>
    <w:rsid w:val="003B564A"/>
    <w:rsid w:val="003B5C07"/>
    <w:rsid w:val="003B628E"/>
    <w:rsid w:val="003B63FD"/>
    <w:rsid w:val="003B6756"/>
    <w:rsid w:val="003B77AE"/>
    <w:rsid w:val="003B7CDE"/>
    <w:rsid w:val="003C05DC"/>
    <w:rsid w:val="003C1721"/>
    <w:rsid w:val="003C23FD"/>
    <w:rsid w:val="003C27D5"/>
    <w:rsid w:val="003C3738"/>
    <w:rsid w:val="003C390E"/>
    <w:rsid w:val="003C447C"/>
    <w:rsid w:val="003C455D"/>
    <w:rsid w:val="003C4783"/>
    <w:rsid w:val="003C4930"/>
    <w:rsid w:val="003C5520"/>
    <w:rsid w:val="003C55C1"/>
    <w:rsid w:val="003C56E1"/>
    <w:rsid w:val="003C5E63"/>
    <w:rsid w:val="003C642D"/>
    <w:rsid w:val="003C7CBE"/>
    <w:rsid w:val="003C7EDD"/>
    <w:rsid w:val="003D0312"/>
    <w:rsid w:val="003D08E9"/>
    <w:rsid w:val="003D0E74"/>
    <w:rsid w:val="003D0F74"/>
    <w:rsid w:val="003D11FC"/>
    <w:rsid w:val="003D16EB"/>
    <w:rsid w:val="003D19B9"/>
    <w:rsid w:val="003D1E85"/>
    <w:rsid w:val="003D3153"/>
    <w:rsid w:val="003D3F70"/>
    <w:rsid w:val="003D3FAC"/>
    <w:rsid w:val="003D40D5"/>
    <w:rsid w:val="003D4A89"/>
    <w:rsid w:val="003D4B0C"/>
    <w:rsid w:val="003D53A9"/>
    <w:rsid w:val="003D5EA0"/>
    <w:rsid w:val="003D62DC"/>
    <w:rsid w:val="003D6761"/>
    <w:rsid w:val="003D70E3"/>
    <w:rsid w:val="003E0E0A"/>
    <w:rsid w:val="003E2E36"/>
    <w:rsid w:val="003E2E4E"/>
    <w:rsid w:val="003E35FD"/>
    <w:rsid w:val="003E3D53"/>
    <w:rsid w:val="003E3E47"/>
    <w:rsid w:val="003E4E2E"/>
    <w:rsid w:val="003E59D1"/>
    <w:rsid w:val="003E5C0F"/>
    <w:rsid w:val="003E6841"/>
    <w:rsid w:val="003E6A3D"/>
    <w:rsid w:val="003E6B02"/>
    <w:rsid w:val="003E6D5D"/>
    <w:rsid w:val="003F0B8F"/>
    <w:rsid w:val="003F3D27"/>
    <w:rsid w:val="003F3F7D"/>
    <w:rsid w:val="003F4631"/>
    <w:rsid w:val="003F7187"/>
    <w:rsid w:val="003F7439"/>
    <w:rsid w:val="003F75EA"/>
    <w:rsid w:val="003F7F88"/>
    <w:rsid w:val="004009D3"/>
    <w:rsid w:val="00401447"/>
    <w:rsid w:val="00401999"/>
    <w:rsid w:val="00401B25"/>
    <w:rsid w:val="00402274"/>
    <w:rsid w:val="004034E7"/>
    <w:rsid w:val="00403537"/>
    <w:rsid w:val="00404198"/>
    <w:rsid w:val="00405ED1"/>
    <w:rsid w:val="004060D2"/>
    <w:rsid w:val="00406AD0"/>
    <w:rsid w:val="00407820"/>
    <w:rsid w:val="0040796C"/>
    <w:rsid w:val="00407B83"/>
    <w:rsid w:val="00407C1D"/>
    <w:rsid w:val="004103A1"/>
    <w:rsid w:val="00410CCE"/>
    <w:rsid w:val="004110D6"/>
    <w:rsid w:val="0041151A"/>
    <w:rsid w:val="004131EE"/>
    <w:rsid w:val="004132A7"/>
    <w:rsid w:val="00413B08"/>
    <w:rsid w:val="00413FC4"/>
    <w:rsid w:val="00414772"/>
    <w:rsid w:val="00414D25"/>
    <w:rsid w:val="00415B73"/>
    <w:rsid w:val="004165B4"/>
    <w:rsid w:val="00416AFE"/>
    <w:rsid w:val="00416B1C"/>
    <w:rsid w:val="00417443"/>
    <w:rsid w:val="00417593"/>
    <w:rsid w:val="00417665"/>
    <w:rsid w:val="0041780F"/>
    <w:rsid w:val="00417A47"/>
    <w:rsid w:val="00421B48"/>
    <w:rsid w:val="004223C0"/>
    <w:rsid w:val="0042333F"/>
    <w:rsid w:val="004238CA"/>
    <w:rsid w:val="004242D2"/>
    <w:rsid w:val="0042478D"/>
    <w:rsid w:val="00425A4B"/>
    <w:rsid w:val="00425C94"/>
    <w:rsid w:val="00427488"/>
    <w:rsid w:val="0042748E"/>
    <w:rsid w:val="00427E69"/>
    <w:rsid w:val="0043027B"/>
    <w:rsid w:val="00430F6F"/>
    <w:rsid w:val="00431533"/>
    <w:rsid w:val="00432728"/>
    <w:rsid w:val="00432A44"/>
    <w:rsid w:val="00433273"/>
    <w:rsid w:val="0043378B"/>
    <w:rsid w:val="00434568"/>
    <w:rsid w:val="00434E11"/>
    <w:rsid w:val="0043518A"/>
    <w:rsid w:val="004353EA"/>
    <w:rsid w:val="00435A07"/>
    <w:rsid w:val="00435B0A"/>
    <w:rsid w:val="004362C8"/>
    <w:rsid w:val="004367CE"/>
    <w:rsid w:val="0043691C"/>
    <w:rsid w:val="00436D2D"/>
    <w:rsid w:val="00436F12"/>
    <w:rsid w:val="00437641"/>
    <w:rsid w:val="00437D7D"/>
    <w:rsid w:val="00440AC0"/>
    <w:rsid w:val="00441529"/>
    <w:rsid w:val="00441C72"/>
    <w:rsid w:val="00441E56"/>
    <w:rsid w:val="00442924"/>
    <w:rsid w:val="00443058"/>
    <w:rsid w:val="004444B0"/>
    <w:rsid w:val="004450E5"/>
    <w:rsid w:val="004458B9"/>
    <w:rsid w:val="00446062"/>
    <w:rsid w:val="0044636B"/>
    <w:rsid w:val="00446C90"/>
    <w:rsid w:val="00446D85"/>
    <w:rsid w:val="004474E5"/>
    <w:rsid w:val="0045025F"/>
    <w:rsid w:val="004515BF"/>
    <w:rsid w:val="00452424"/>
    <w:rsid w:val="00452734"/>
    <w:rsid w:val="00452B26"/>
    <w:rsid w:val="0045366D"/>
    <w:rsid w:val="004538A3"/>
    <w:rsid w:val="00454178"/>
    <w:rsid w:val="004546A9"/>
    <w:rsid w:val="00454D27"/>
    <w:rsid w:val="00455031"/>
    <w:rsid w:val="004558D8"/>
    <w:rsid w:val="00456640"/>
    <w:rsid w:val="00456BEB"/>
    <w:rsid w:val="004571A5"/>
    <w:rsid w:val="0045732B"/>
    <w:rsid w:val="004575A9"/>
    <w:rsid w:val="0045765B"/>
    <w:rsid w:val="004603E7"/>
    <w:rsid w:val="004604F3"/>
    <w:rsid w:val="00460783"/>
    <w:rsid w:val="00460C3C"/>
    <w:rsid w:val="004612C0"/>
    <w:rsid w:val="00461519"/>
    <w:rsid w:val="00462664"/>
    <w:rsid w:val="004629D3"/>
    <w:rsid w:val="004632B7"/>
    <w:rsid w:val="00463A7F"/>
    <w:rsid w:val="00463CB3"/>
    <w:rsid w:val="00464090"/>
    <w:rsid w:val="0046463E"/>
    <w:rsid w:val="004655BC"/>
    <w:rsid w:val="00465737"/>
    <w:rsid w:val="0046634C"/>
    <w:rsid w:val="00466742"/>
    <w:rsid w:val="00466CD1"/>
    <w:rsid w:val="00466F2D"/>
    <w:rsid w:val="004677E1"/>
    <w:rsid w:val="00467977"/>
    <w:rsid w:val="00470E5C"/>
    <w:rsid w:val="004716A0"/>
    <w:rsid w:val="00471996"/>
    <w:rsid w:val="00472BE6"/>
    <w:rsid w:val="00472C23"/>
    <w:rsid w:val="00472DB7"/>
    <w:rsid w:val="00473107"/>
    <w:rsid w:val="00473147"/>
    <w:rsid w:val="00473B69"/>
    <w:rsid w:val="00474363"/>
    <w:rsid w:val="00475142"/>
    <w:rsid w:val="004759B9"/>
    <w:rsid w:val="00476FE2"/>
    <w:rsid w:val="00477936"/>
    <w:rsid w:val="00477A4D"/>
    <w:rsid w:val="004807C5"/>
    <w:rsid w:val="00480CD3"/>
    <w:rsid w:val="004813C1"/>
    <w:rsid w:val="00481A11"/>
    <w:rsid w:val="00481CA3"/>
    <w:rsid w:val="004824E3"/>
    <w:rsid w:val="00482A53"/>
    <w:rsid w:val="00484766"/>
    <w:rsid w:val="00484E8F"/>
    <w:rsid w:val="00485002"/>
    <w:rsid w:val="004850E1"/>
    <w:rsid w:val="00485512"/>
    <w:rsid w:val="004855DE"/>
    <w:rsid w:val="00485626"/>
    <w:rsid w:val="00485691"/>
    <w:rsid w:val="004859D0"/>
    <w:rsid w:val="00485DE5"/>
    <w:rsid w:val="0048738B"/>
    <w:rsid w:val="00487CE0"/>
    <w:rsid w:val="00487EC3"/>
    <w:rsid w:val="004904D5"/>
    <w:rsid w:val="00490992"/>
    <w:rsid w:val="004911B4"/>
    <w:rsid w:val="00492672"/>
    <w:rsid w:val="004930E2"/>
    <w:rsid w:val="00493407"/>
    <w:rsid w:val="0049356C"/>
    <w:rsid w:val="004936E4"/>
    <w:rsid w:val="0049440E"/>
    <w:rsid w:val="0049463C"/>
    <w:rsid w:val="0049606E"/>
    <w:rsid w:val="004960BC"/>
    <w:rsid w:val="0049700B"/>
    <w:rsid w:val="00497BB5"/>
    <w:rsid w:val="004A09EA"/>
    <w:rsid w:val="004A0A91"/>
    <w:rsid w:val="004A0E81"/>
    <w:rsid w:val="004A192F"/>
    <w:rsid w:val="004A2ACE"/>
    <w:rsid w:val="004A44BA"/>
    <w:rsid w:val="004A48A0"/>
    <w:rsid w:val="004A4CE3"/>
    <w:rsid w:val="004A65AC"/>
    <w:rsid w:val="004A6F14"/>
    <w:rsid w:val="004B0468"/>
    <w:rsid w:val="004B0AD9"/>
    <w:rsid w:val="004B1118"/>
    <w:rsid w:val="004B1F11"/>
    <w:rsid w:val="004B279D"/>
    <w:rsid w:val="004B2C47"/>
    <w:rsid w:val="004B2D65"/>
    <w:rsid w:val="004B3119"/>
    <w:rsid w:val="004B3293"/>
    <w:rsid w:val="004B35D9"/>
    <w:rsid w:val="004B4290"/>
    <w:rsid w:val="004B43F5"/>
    <w:rsid w:val="004B4C89"/>
    <w:rsid w:val="004B536B"/>
    <w:rsid w:val="004B552C"/>
    <w:rsid w:val="004B5C84"/>
    <w:rsid w:val="004B7318"/>
    <w:rsid w:val="004B734C"/>
    <w:rsid w:val="004B7645"/>
    <w:rsid w:val="004B7B4B"/>
    <w:rsid w:val="004B7B76"/>
    <w:rsid w:val="004C0722"/>
    <w:rsid w:val="004C0911"/>
    <w:rsid w:val="004C0A10"/>
    <w:rsid w:val="004C23F8"/>
    <w:rsid w:val="004C2E15"/>
    <w:rsid w:val="004C2EB6"/>
    <w:rsid w:val="004C4029"/>
    <w:rsid w:val="004C4302"/>
    <w:rsid w:val="004C4BA2"/>
    <w:rsid w:val="004C5485"/>
    <w:rsid w:val="004C5CAF"/>
    <w:rsid w:val="004C6785"/>
    <w:rsid w:val="004C6A54"/>
    <w:rsid w:val="004C6CAA"/>
    <w:rsid w:val="004C6CEA"/>
    <w:rsid w:val="004C6F79"/>
    <w:rsid w:val="004C73DD"/>
    <w:rsid w:val="004C7695"/>
    <w:rsid w:val="004C7D66"/>
    <w:rsid w:val="004D0577"/>
    <w:rsid w:val="004D193E"/>
    <w:rsid w:val="004D3853"/>
    <w:rsid w:val="004D4318"/>
    <w:rsid w:val="004D4330"/>
    <w:rsid w:val="004D443A"/>
    <w:rsid w:val="004D45CF"/>
    <w:rsid w:val="004D4718"/>
    <w:rsid w:val="004D4B70"/>
    <w:rsid w:val="004D4D4A"/>
    <w:rsid w:val="004D533A"/>
    <w:rsid w:val="004D54F1"/>
    <w:rsid w:val="004D607D"/>
    <w:rsid w:val="004D6282"/>
    <w:rsid w:val="004D672F"/>
    <w:rsid w:val="004D6CB6"/>
    <w:rsid w:val="004D7A0E"/>
    <w:rsid w:val="004E02CF"/>
    <w:rsid w:val="004E10D5"/>
    <w:rsid w:val="004E14B4"/>
    <w:rsid w:val="004E2210"/>
    <w:rsid w:val="004E2263"/>
    <w:rsid w:val="004E288A"/>
    <w:rsid w:val="004E3463"/>
    <w:rsid w:val="004E4383"/>
    <w:rsid w:val="004E563E"/>
    <w:rsid w:val="004E5A37"/>
    <w:rsid w:val="004E62CE"/>
    <w:rsid w:val="004E73F3"/>
    <w:rsid w:val="004E7832"/>
    <w:rsid w:val="004E7CF9"/>
    <w:rsid w:val="004F0185"/>
    <w:rsid w:val="004F01A7"/>
    <w:rsid w:val="004F033E"/>
    <w:rsid w:val="004F03C2"/>
    <w:rsid w:val="004F0711"/>
    <w:rsid w:val="004F07F1"/>
    <w:rsid w:val="004F16E4"/>
    <w:rsid w:val="004F1CAF"/>
    <w:rsid w:val="004F1E5E"/>
    <w:rsid w:val="004F1F23"/>
    <w:rsid w:val="004F28F8"/>
    <w:rsid w:val="004F2CCC"/>
    <w:rsid w:val="004F3101"/>
    <w:rsid w:val="004F33ED"/>
    <w:rsid w:val="004F34FD"/>
    <w:rsid w:val="004F39B4"/>
    <w:rsid w:val="004F39C3"/>
    <w:rsid w:val="004F3A80"/>
    <w:rsid w:val="004F524F"/>
    <w:rsid w:val="004F53A7"/>
    <w:rsid w:val="004F60FC"/>
    <w:rsid w:val="004F6910"/>
    <w:rsid w:val="004F7401"/>
    <w:rsid w:val="004F7B6A"/>
    <w:rsid w:val="005003B1"/>
    <w:rsid w:val="0050051C"/>
    <w:rsid w:val="00500796"/>
    <w:rsid w:val="005011CD"/>
    <w:rsid w:val="00501EFB"/>
    <w:rsid w:val="00502A74"/>
    <w:rsid w:val="005033CE"/>
    <w:rsid w:val="005037E7"/>
    <w:rsid w:val="00505613"/>
    <w:rsid w:val="0050630C"/>
    <w:rsid w:val="00506615"/>
    <w:rsid w:val="00506B3D"/>
    <w:rsid w:val="00507592"/>
    <w:rsid w:val="00507EBA"/>
    <w:rsid w:val="00510768"/>
    <w:rsid w:val="005109F7"/>
    <w:rsid w:val="00510D1F"/>
    <w:rsid w:val="00511275"/>
    <w:rsid w:val="005123B8"/>
    <w:rsid w:val="005125A8"/>
    <w:rsid w:val="00512631"/>
    <w:rsid w:val="00512E9C"/>
    <w:rsid w:val="005132E7"/>
    <w:rsid w:val="0051411B"/>
    <w:rsid w:val="00514683"/>
    <w:rsid w:val="00514E9D"/>
    <w:rsid w:val="00514F4E"/>
    <w:rsid w:val="00515405"/>
    <w:rsid w:val="0051565C"/>
    <w:rsid w:val="005159C8"/>
    <w:rsid w:val="00516276"/>
    <w:rsid w:val="00516347"/>
    <w:rsid w:val="00516E55"/>
    <w:rsid w:val="005203BA"/>
    <w:rsid w:val="005204F6"/>
    <w:rsid w:val="00520716"/>
    <w:rsid w:val="00520CCB"/>
    <w:rsid w:val="00522285"/>
    <w:rsid w:val="0052299D"/>
    <w:rsid w:val="00522ABA"/>
    <w:rsid w:val="00523B32"/>
    <w:rsid w:val="005242FA"/>
    <w:rsid w:val="005244F4"/>
    <w:rsid w:val="005246FE"/>
    <w:rsid w:val="00525457"/>
    <w:rsid w:val="00525515"/>
    <w:rsid w:val="005256D5"/>
    <w:rsid w:val="005257CE"/>
    <w:rsid w:val="005270B9"/>
    <w:rsid w:val="00527C0E"/>
    <w:rsid w:val="00530595"/>
    <w:rsid w:val="00530798"/>
    <w:rsid w:val="0053155B"/>
    <w:rsid w:val="00531CD8"/>
    <w:rsid w:val="00532154"/>
    <w:rsid w:val="00532731"/>
    <w:rsid w:val="00532F5E"/>
    <w:rsid w:val="0053320A"/>
    <w:rsid w:val="005332D3"/>
    <w:rsid w:val="0053383E"/>
    <w:rsid w:val="00533935"/>
    <w:rsid w:val="00534582"/>
    <w:rsid w:val="005346C9"/>
    <w:rsid w:val="00534FAE"/>
    <w:rsid w:val="00535CEB"/>
    <w:rsid w:val="0053620C"/>
    <w:rsid w:val="00536903"/>
    <w:rsid w:val="00536CC7"/>
    <w:rsid w:val="0053715D"/>
    <w:rsid w:val="0054000C"/>
    <w:rsid w:val="0054003C"/>
    <w:rsid w:val="0054017F"/>
    <w:rsid w:val="0054035A"/>
    <w:rsid w:val="00540645"/>
    <w:rsid w:val="0054214D"/>
    <w:rsid w:val="00542F84"/>
    <w:rsid w:val="005430A8"/>
    <w:rsid w:val="00543972"/>
    <w:rsid w:val="00544099"/>
    <w:rsid w:val="005442A4"/>
    <w:rsid w:val="00544732"/>
    <w:rsid w:val="00545117"/>
    <w:rsid w:val="005451B6"/>
    <w:rsid w:val="005454B6"/>
    <w:rsid w:val="00546336"/>
    <w:rsid w:val="0054661C"/>
    <w:rsid w:val="005473BC"/>
    <w:rsid w:val="00547A33"/>
    <w:rsid w:val="00547C35"/>
    <w:rsid w:val="0055040B"/>
    <w:rsid w:val="00550561"/>
    <w:rsid w:val="00550975"/>
    <w:rsid w:val="00550E6B"/>
    <w:rsid w:val="0055137E"/>
    <w:rsid w:val="005515F2"/>
    <w:rsid w:val="00551FF0"/>
    <w:rsid w:val="00553323"/>
    <w:rsid w:val="00554D2D"/>
    <w:rsid w:val="00554E16"/>
    <w:rsid w:val="0055563D"/>
    <w:rsid w:val="00555E6C"/>
    <w:rsid w:val="00556826"/>
    <w:rsid w:val="00556BAC"/>
    <w:rsid w:val="00557240"/>
    <w:rsid w:val="00560534"/>
    <w:rsid w:val="00561697"/>
    <w:rsid w:val="00561789"/>
    <w:rsid w:val="0056235D"/>
    <w:rsid w:val="005623EA"/>
    <w:rsid w:val="00562BD1"/>
    <w:rsid w:val="00564084"/>
    <w:rsid w:val="00564580"/>
    <w:rsid w:val="00564991"/>
    <w:rsid w:val="00564D31"/>
    <w:rsid w:val="00565015"/>
    <w:rsid w:val="0056585D"/>
    <w:rsid w:val="0056598E"/>
    <w:rsid w:val="0056727A"/>
    <w:rsid w:val="0056786D"/>
    <w:rsid w:val="00567A34"/>
    <w:rsid w:val="005704EA"/>
    <w:rsid w:val="005705D5"/>
    <w:rsid w:val="0057118D"/>
    <w:rsid w:val="005714B5"/>
    <w:rsid w:val="0057170B"/>
    <w:rsid w:val="00571877"/>
    <w:rsid w:val="005718B1"/>
    <w:rsid w:val="00572BC0"/>
    <w:rsid w:val="0057405E"/>
    <w:rsid w:val="0057429A"/>
    <w:rsid w:val="005742D2"/>
    <w:rsid w:val="0057481A"/>
    <w:rsid w:val="00574B5B"/>
    <w:rsid w:val="00574CDB"/>
    <w:rsid w:val="00574CF8"/>
    <w:rsid w:val="00575ACD"/>
    <w:rsid w:val="00575E63"/>
    <w:rsid w:val="005762E3"/>
    <w:rsid w:val="005775AB"/>
    <w:rsid w:val="00577789"/>
    <w:rsid w:val="005779C7"/>
    <w:rsid w:val="00577DCC"/>
    <w:rsid w:val="005802D8"/>
    <w:rsid w:val="00580A31"/>
    <w:rsid w:val="00581331"/>
    <w:rsid w:val="00581FCF"/>
    <w:rsid w:val="00582D5A"/>
    <w:rsid w:val="00582E4A"/>
    <w:rsid w:val="0058353C"/>
    <w:rsid w:val="00583A29"/>
    <w:rsid w:val="00584241"/>
    <w:rsid w:val="00584637"/>
    <w:rsid w:val="0058507C"/>
    <w:rsid w:val="005866AE"/>
    <w:rsid w:val="00586D5E"/>
    <w:rsid w:val="00586EB9"/>
    <w:rsid w:val="005877B0"/>
    <w:rsid w:val="00587DFC"/>
    <w:rsid w:val="00591BC9"/>
    <w:rsid w:val="005926E4"/>
    <w:rsid w:val="005940B6"/>
    <w:rsid w:val="00594C91"/>
    <w:rsid w:val="00595A22"/>
    <w:rsid w:val="005960FF"/>
    <w:rsid w:val="00596535"/>
    <w:rsid w:val="0059684E"/>
    <w:rsid w:val="00597EB9"/>
    <w:rsid w:val="005A09F0"/>
    <w:rsid w:val="005A1532"/>
    <w:rsid w:val="005A16CB"/>
    <w:rsid w:val="005A2D90"/>
    <w:rsid w:val="005A331E"/>
    <w:rsid w:val="005A3671"/>
    <w:rsid w:val="005A3BF2"/>
    <w:rsid w:val="005A6425"/>
    <w:rsid w:val="005A678C"/>
    <w:rsid w:val="005A7171"/>
    <w:rsid w:val="005A7499"/>
    <w:rsid w:val="005A7EF2"/>
    <w:rsid w:val="005A7F0B"/>
    <w:rsid w:val="005B0F42"/>
    <w:rsid w:val="005B281A"/>
    <w:rsid w:val="005B32B4"/>
    <w:rsid w:val="005B3770"/>
    <w:rsid w:val="005B3887"/>
    <w:rsid w:val="005B4650"/>
    <w:rsid w:val="005B6132"/>
    <w:rsid w:val="005B7384"/>
    <w:rsid w:val="005B7614"/>
    <w:rsid w:val="005B7DEC"/>
    <w:rsid w:val="005C1685"/>
    <w:rsid w:val="005C1AC8"/>
    <w:rsid w:val="005C1EA8"/>
    <w:rsid w:val="005C2630"/>
    <w:rsid w:val="005C27A5"/>
    <w:rsid w:val="005C2E96"/>
    <w:rsid w:val="005C36FC"/>
    <w:rsid w:val="005C4225"/>
    <w:rsid w:val="005C4557"/>
    <w:rsid w:val="005C4DDD"/>
    <w:rsid w:val="005C4DFF"/>
    <w:rsid w:val="005C5568"/>
    <w:rsid w:val="005C5BCB"/>
    <w:rsid w:val="005C6639"/>
    <w:rsid w:val="005C6EE8"/>
    <w:rsid w:val="005C6FD4"/>
    <w:rsid w:val="005C73B8"/>
    <w:rsid w:val="005D010C"/>
    <w:rsid w:val="005D04B9"/>
    <w:rsid w:val="005D0944"/>
    <w:rsid w:val="005D0D0A"/>
    <w:rsid w:val="005D0D0F"/>
    <w:rsid w:val="005D11D8"/>
    <w:rsid w:val="005D18B0"/>
    <w:rsid w:val="005D1DE4"/>
    <w:rsid w:val="005D2EBB"/>
    <w:rsid w:val="005D506E"/>
    <w:rsid w:val="005D5220"/>
    <w:rsid w:val="005D5500"/>
    <w:rsid w:val="005D5EFF"/>
    <w:rsid w:val="005E0749"/>
    <w:rsid w:val="005E0760"/>
    <w:rsid w:val="005E11F9"/>
    <w:rsid w:val="005E16B4"/>
    <w:rsid w:val="005E1E89"/>
    <w:rsid w:val="005E1EA5"/>
    <w:rsid w:val="005E2010"/>
    <w:rsid w:val="005E322E"/>
    <w:rsid w:val="005E3590"/>
    <w:rsid w:val="005E4014"/>
    <w:rsid w:val="005E4CED"/>
    <w:rsid w:val="005E4DCC"/>
    <w:rsid w:val="005E5438"/>
    <w:rsid w:val="005E5632"/>
    <w:rsid w:val="005E585E"/>
    <w:rsid w:val="005E59B2"/>
    <w:rsid w:val="005E5EF1"/>
    <w:rsid w:val="005E5F5B"/>
    <w:rsid w:val="005E648A"/>
    <w:rsid w:val="005E7200"/>
    <w:rsid w:val="005E7645"/>
    <w:rsid w:val="005E784C"/>
    <w:rsid w:val="005E78AD"/>
    <w:rsid w:val="005E7B82"/>
    <w:rsid w:val="005F0ADD"/>
    <w:rsid w:val="005F0BAB"/>
    <w:rsid w:val="005F2ABF"/>
    <w:rsid w:val="005F2FAE"/>
    <w:rsid w:val="005F332A"/>
    <w:rsid w:val="005F3344"/>
    <w:rsid w:val="005F4057"/>
    <w:rsid w:val="005F4EC1"/>
    <w:rsid w:val="005F4EEA"/>
    <w:rsid w:val="005F50CE"/>
    <w:rsid w:val="005F589B"/>
    <w:rsid w:val="005F5997"/>
    <w:rsid w:val="005F653B"/>
    <w:rsid w:val="005F6630"/>
    <w:rsid w:val="005F6FBC"/>
    <w:rsid w:val="005F7623"/>
    <w:rsid w:val="005F7B3A"/>
    <w:rsid w:val="005F7DBC"/>
    <w:rsid w:val="005F7FCF"/>
    <w:rsid w:val="0060001A"/>
    <w:rsid w:val="0060126B"/>
    <w:rsid w:val="00601FEE"/>
    <w:rsid w:val="0060241C"/>
    <w:rsid w:val="00602D89"/>
    <w:rsid w:val="00602ECA"/>
    <w:rsid w:val="006036B4"/>
    <w:rsid w:val="00603AC2"/>
    <w:rsid w:val="00603B8B"/>
    <w:rsid w:val="00603C9C"/>
    <w:rsid w:val="00605189"/>
    <w:rsid w:val="0060663A"/>
    <w:rsid w:val="006072B4"/>
    <w:rsid w:val="00607A17"/>
    <w:rsid w:val="00607BAC"/>
    <w:rsid w:val="00611236"/>
    <w:rsid w:val="006112F5"/>
    <w:rsid w:val="00611B73"/>
    <w:rsid w:val="00612C4B"/>
    <w:rsid w:val="0061354A"/>
    <w:rsid w:val="00614104"/>
    <w:rsid w:val="00614AD9"/>
    <w:rsid w:val="00615ECE"/>
    <w:rsid w:val="0061682B"/>
    <w:rsid w:val="00616C70"/>
    <w:rsid w:val="00616CE2"/>
    <w:rsid w:val="00616FEB"/>
    <w:rsid w:val="00617B6C"/>
    <w:rsid w:val="00617C29"/>
    <w:rsid w:val="00621529"/>
    <w:rsid w:val="00622463"/>
    <w:rsid w:val="00622750"/>
    <w:rsid w:val="00622813"/>
    <w:rsid w:val="00622ED4"/>
    <w:rsid w:val="00623800"/>
    <w:rsid w:val="00623975"/>
    <w:rsid w:val="00623A97"/>
    <w:rsid w:val="00623D41"/>
    <w:rsid w:val="00624A78"/>
    <w:rsid w:val="00624DD1"/>
    <w:rsid w:val="00625567"/>
    <w:rsid w:val="006257E6"/>
    <w:rsid w:val="0062588C"/>
    <w:rsid w:val="00626AAF"/>
    <w:rsid w:val="00627435"/>
    <w:rsid w:val="00627C3B"/>
    <w:rsid w:val="006301F4"/>
    <w:rsid w:val="006304B1"/>
    <w:rsid w:val="00632591"/>
    <w:rsid w:val="00633103"/>
    <w:rsid w:val="006336F1"/>
    <w:rsid w:val="00634AF9"/>
    <w:rsid w:val="00634CBE"/>
    <w:rsid w:val="00634EA9"/>
    <w:rsid w:val="00635644"/>
    <w:rsid w:val="006375B4"/>
    <w:rsid w:val="006377E2"/>
    <w:rsid w:val="00637C78"/>
    <w:rsid w:val="0064055A"/>
    <w:rsid w:val="00640784"/>
    <w:rsid w:val="00640AE4"/>
    <w:rsid w:val="006419AC"/>
    <w:rsid w:val="00641B7C"/>
    <w:rsid w:val="00641C13"/>
    <w:rsid w:val="00642034"/>
    <w:rsid w:val="00642757"/>
    <w:rsid w:val="006429A5"/>
    <w:rsid w:val="00642D3F"/>
    <w:rsid w:val="0064376B"/>
    <w:rsid w:val="0064429A"/>
    <w:rsid w:val="00644758"/>
    <w:rsid w:val="00644AB3"/>
    <w:rsid w:val="00644EB2"/>
    <w:rsid w:val="00644FA3"/>
    <w:rsid w:val="00645089"/>
    <w:rsid w:val="006457A7"/>
    <w:rsid w:val="006460EF"/>
    <w:rsid w:val="006461BA"/>
    <w:rsid w:val="006461E2"/>
    <w:rsid w:val="00646AF2"/>
    <w:rsid w:val="00646F90"/>
    <w:rsid w:val="0064732E"/>
    <w:rsid w:val="006477B6"/>
    <w:rsid w:val="006478E1"/>
    <w:rsid w:val="006500EE"/>
    <w:rsid w:val="00650407"/>
    <w:rsid w:val="00652046"/>
    <w:rsid w:val="00652EC4"/>
    <w:rsid w:val="00653190"/>
    <w:rsid w:val="0065390B"/>
    <w:rsid w:val="00654AA4"/>
    <w:rsid w:val="00655052"/>
    <w:rsid w:val="0065526D"/>
    <w:rsid w:val="0065577F"/>
    <w:rsid w:val="006560C2"/>
    <w:rsid w:val="00656A9F"/>
    <w:rsid w:val="00657298"/>
    <w:rsid w:val="00657CBD"/>
    <w:rsid w:val="006600F1"/>
    <w:rsid w:val="006601C7"/>
    <w:rsid w:val="00660F27"/>
    <w:rsid w:val="006612E7"/>
    <w:rsid w:val="00661620"/>
    <w:rsid w:val="00661E2C"/>
    <w:rsid w:val="006621FD"/>
    <w:rsid w:val="00662C0B"/>
    <w:rsid w:val="00662D34"/>
    <w:rsid w:val="00662FCF"/>
    <w:rsid w:val="006633BA"/>
    <w:rsid w:val="0066358E"/>
    <w:rsid w:val="006637DE"/>
    <w:rsid w:val="00663C56"/>
    <w:rsid w:val="00663E22"/>
    <w:rsid w:val="00664584"/>
    <w:rsid w:val="0066476F"/>
    <w:rsid w:val="006649C7"/>
    <w:rsid w:val="006652AE"/>
    <w:rsid w:val="00665C8E"/>
    <w:rsid w:val="006665C4"/>
    <w:rsid w:val="00666774"/>
    <w:rsid w:val="0066688A"/>
    <w:rsid w:val="006672D8"/>
    <w:rsid w:val="00667E4D"/>
    <w:rsid w:val="006702E5"/>
    <w:rsid w:val="00670C79"/>
    <w:rsid w:val="00670D3E"/>
    <w:rsid w:val="006716D5"/>
    <w:rsid w:val="00671C62"/>
    <w:rsid w:val="0067232B"/>
    <w:rsid w:val="00672DC8"/>
    <w:rsid w:val="0067302B"/>
    <w:rsid w:val="00673D67"/>
    <w:rsid w:val="00675B4B"/>
    <w:rsid w:val="0067666F"/>
    <w:rsid w:val="00676F1D"/>
    <w:rsid w:val="00682934"/>
    <w:rsid w:val="00682C4C"/>
    <w:rsid w:val="006842C6"/>
    <w:rsid w:val="006847B3"/>
    <w:rsid w:val="00684CF8"/>
    <w:rsid w:val="00685932"/>
    <w:rsid w:val="00686477"/>
    <w:rsid w:val="00686E3B"/>
    <w:rsid w:val="006874BF"/>
    <w:rsid w:val="00687B0D"/>
    <w:rsid w:val="00687EAE"/>
    <w:rsid w:val="0069045E"/>
    <w:rsid w:val="00690D8A"/>
    <w:rsid w:val="00692629"/>
    <w:rsid w:val="006935F4"/>
    <w:rsid w:val="00693A56"/>
    <w:rsid w:val="0069470C"/>
    <w:rsid w:val="006947D0"/>
    <w:rsid w:val="00694F53"/>
    <w:rsid w:val="0069536B"/>
    <w:rsid w:val="006953A4"/>
    <w:rsid w:val="0069550F"/>
    <w:rsid w:val="00697334"/>
    <w:rsid w:val="00697948"/>
    <w:rsid w:val="006A02F7"/>
    <w:rsid w:val="006A0E9C"/>
    <w:rsid w:val="006A2408"/>
    <w:rsid w:val="006A305E"/>
    <w:rsid w:val="006A3C33"/>
    <w:rsid w:val="006A4B32"/>
    <w:rsid w:val="006A5C5B"/>
    <w:rsid w:val="006A627E"/>
    <w:rsid w:val="006A778A"/>
    <w:rsid w:val="006A778F"/>
    <w:rsid w:val="006A7941"/>
    <w:rsid w:val="006B0020"/>
    <w:rsid w:val="006B1A70"/>
    <w:rsid w:val="006B1EC5"/>
    <w:rsid w:val="006B28E4"/>
    <w:rsid w:val="006B2BE5"/>
    <w:rsid w:val="006B2DC3"/>
    <w:rsid w:val="006B3635"/>
    <w:rsid w:val="006B3666"/>
    <w:rsid w:val="006B3770"/>
    <w:rsid w:val="006B3E31"/>
    <w:rsid w:val="006B3EDB"/>
    <w:rsid w:val="006B5C95"/>
    <w:rsid w:val="006B605D"/>
    <w:rsid w:val="006B6521"/>
    <w:rsid w:val="006B66B8"/>
    <w:rsid w:val="006B6B91"/>
    <w:rsid w:val="006B7546"/>
    <w:rsid w:val="006B7609"/>
    <w:rsid w:val="006B7F77"/>
    <w:rsid w:val="006C0233"/>
    <w:rsid w:val="006C0848"/>
    <w:rsid w:val="006C0D52"/>
    <w:rsid w:val="006C161A"/>
    <w:rsid w:val="006C171B"/>
    <w:rsid w:val="006C188C"/>
    <w:rsid w:val="006C1B88"/>
    <w:rsid w:val="006C458B"/>
    <w:rsid w:val="006C4CCD"/>
    <w:rsid w:val="006C4D63"/>
    <w:rsid w:val="006C4EDD"/>
    <w:rsid w:val="006C4F07"/>
    <w:rsid w:val="006C4F2E"/>
    <w:rsid w:val="006C5210"/>
    <w:rsid w:val="006C5372"/>
    <w:rsid w:val="006C540E"/>
    <w:rsid w:val="006C5712"/>
    <w:rsid w:val="006C5BC1"/>
    <w:rsid w:val="006C617E"/>
    <w:rsid w:val="006C6681"/>
    <w:rsid w:val="006C7952"/>
    <w:rsid w:val="006C7D12"/>
    <w:rsid w:val="006D1BEA"/>
    <w:rsid w:val="006D2D8C"/>
    <w:rsid w:val="006D2D8E"/>
    <w:rsid w:val="006D302E"/>
    <w:rsid w:val="006D31D1"/>
    <w:rsid w:val="006D4CB0"/>
    <w:rsid w:val="006D50ED"/>
    <w:rsid w:val="006D5A8F"/>
    <w:rsid w:val="006D6142"/>
    <w:rsid w:val="006D6317"/>
    <w:rsid w:val="006D6332"/>
    <w:rsid w:val="006D743D"/>
    <w:rsid w:val="006D7D91"/>
    <w:rsid w:val="006D7F78"/>
    <w:rsid w:val="006E0034"/>
    <w:rsid w:val="006E0DC7"/>
    <w:rsid w:val="006E0FFF"/>
    <w:rsid w:val="006E1271"/>
    <w:rsid w:val="006E17C1"/>
    <w:rsid w:val="006E1CE5"/>
    <w:rsid w:val="006E29D3"/>
    <w:rsid w:val="006E34E3"/>
    <w:rsid w:val="006E4892"/>
    <w:rsid w:val="006E4AC2"/>
    <w:rsid w:val="006E5842"/>
    <w:rsid w:val="006E794A"/>
    <w:rsid w:val="006E7A8B"/>
    <w:rsid w:val="006E7C5A"/>
    <w:rsid w:val="006F0B8C"/>
    <w:rsid w:val="006F1A22"/>
    <w:rsid w:val="006F2977"/>
    <w:rsid w:val="006F2EDA"/>
    <w:rsid w:val="006F30AF"/>
    <w:rsid w:val="006F4394"/>
    <w:rsid w:val="006F4809"/>
    <w:rsid w:val="006F4CED"/>
    <w:rsid w:val="006F5163"/>
    <w:rsid w:val="006F5212"/>
    <w:rsid w:val="006F547A"/>
    <w:rsid w:val="006F66CE"/>
    <w:rsid w:val="006F695F"/>
    <w:rsid w:val="006F6FF8"/>
    <w:rsid w:val="006F7EB8"/>
    <w:rsid w:val="006F7FA7"/>
    <w:rsid w:val="0070170B"/>
    <w:rsid w:val="007020EB"/>
    <w:rsid w:val="007022A5"/>
    <w:rsid w:val="0070249A"/>
    <w:rsid w:val="00702A72"/>
    <w:rsid w:val="00703500"/>
    <w:rsid w:val="0070374E"/>
    <w:rsid w:val="00703889"/>
    <w:rsid w:val="00706906"/>
    <w:rsid w:val="00706CF1"/>
    <w:rsid w:val="0070708E"/>
    <w:rsid w:val="00707402"/>
    <w:rsid w:val="00707810"/>
    <w:rsid w:val="00707C49"/>
    <w:rsid w:val="0071038B"/>
    <w:rsid w:val="0071129F"/>
    <w:rsid w:val="00711A66"/>
    <w:rsid w:val="007128FC"/>
    <w:rsid w:val="00712C06"/>
    <w:rsid w:val="007138E6"/>
    <w:rsid w:val="00713E08"/>
    <w:rsid w:val="00713F02"/>
    <w:rsid w:val="0071418C"/>
    <w:rsid w:val="007151C3"/>
    <w:rsid w:val="00715219"/>
    <w:rsid w:val="00715D68"/>
    <w:rsid w:val="00715F6A"/>
    <w:rsid w:val="007168A0"/>
    <w:rsid w:val="0071745C"/>
    <w:rsid w:val="007202BA"/>
    <w:rsid w:val="00720963"/>
    <w:rsid w:val="00720F81"/>
    <w:rsid w:val="0072184F"/>
    <w:rsid w:val="00721884"/>
    <w:rsid w:val="00721B81"/>
    <w:rsid w:val="00721FB0"/>
    <w:rsid w:val="00722D6A"/>
    <w:rsid w:val="00722D96"/>
    <w:rsid w:val="00722EDC"/>
    <w:rsid w:val="00723B86"/>
    <w:rsid w:val="00723E42"/>
    <w:rsid w:val="00724022"/>
    <w:rsid w:val="00725119"/>
    <w:rsid w:val="007253CE"/>
    <w:rsid w:val="00725F6E"/>
    <w:rsid w:val="0072638E"/>
    <w:rsid w:val="00726884"/>
    <w:rsid w:val="00727012"/>
    <w:rsid w:val="0072701C"/>
    <w:rsid w:val="00727BAE"/>
    <w:rsid w:val="00730076"/>
    <w:rsid w:val="007310C4"/>
    <w:rsid w:val="00731D8C"/>
    <w:rsid w:val="00731F3E"/>
    <w:rsid w:val="00731FDC"/>
    <w:rsid w:val="00732328"/>
    <w:rsid w:val="007323B0"/>
    <w:rsid w:val="00732B31"/>
    <w:rsid w:val="00732E4D"/>
    <w:rsid w:val="00733B5F"/>
    <w:rsid w:val="00734019"/>
    <w:rsid w:val="0073561F"/>
    <w:rsid w:val="00735973"/>
    <w:rsid w:val="00735A1E"/>
    <w:rsid w:val="00735BD3"/>
    <w:rsid w:val="00735BDD"/>
    <w:rsid w:val="00736319"/>
    <w:rsid w:val="00737086"/>
    <w:rsid w:val="007376D1"/>
    <w:rsid w:val="00737ABC"/>
    <w:rsid w:val="00740302"/>
    <w:rsid w:val="00740F05"/>
    <w:rsid w:val="00741464"/>
    <w:rsid w:val="00741A82"/>
    <w:rsid w:val="00741E9B"/>
    <w:rsid w:val="00741EE0"/>
    <w:rsid w:val="007422BA"/>
    <w:rsid w:val="00743182"/>
    <w:rsid w:val="00743472"/>
    <w:rsid w:val="007441EF"/>
    <w:rsid w:val="00744543"/>
    <w:rsid w:val="0074469F"/>
    <w:rsid w:val="0074647C"/>
    <w:rsid w:val="00746DD5"/>
    <w:rsid w:val="00746E9F"/>
    <w:rsid w:val="00746FDC"/>
    <w:rsid w:val="007470C0"/>
    <w:rsid w:val="0075038F"/>
    <w:rsid w:val="00751ADC"/>
    <w:rsid w:val="00752667"/>
    <w:rsid w:val="00753BDC"/>
    <w:rsid w:val="00754723"/>
    <w:rsid w:val="007548F3"/>
    <w:rsid w:val="00754CF7"/>
    <w:rsid w:val="0075508C"/>
    <w:rsid w:val="007567B9"/>
    <w:rsid w:val="00756CEF"/>
    <w:rsid w:val="00756EB5"/>
    <w:rsid w:val="007575BD"/>
    <w:rsid w:val="00757BAA"/>
    <w:rsid w:val="007601F6"/>
    <w:rsid w:val="0076083B"/>
    <w:rsid w:val="0076087E"/>
    <w:rsid w:val="007609B4"/>
    <w:rsid w:val="00761365"/>
    <w:rsid w:val="00761D18"/>
    <w:rsid w:val="00763404"/>
    <w:rsid w:val="00763D09"/>
    <w:rsid w:val="007655AA"/>
    <w:rsid w:val="00765EA2"/>
    <w:rsid w:val="00765FA4"/>
    <w:rsid w:val="007670B4"/>
    <w:rsid w:val="007676DC"/>
    <w:rsid w:val="0076781A"/>
    <w:rsid w:val="00767B0B"/>
    <w:rsid w:val="007702A6"/>
    <w:rsid w:val="00770543"/>
    <w:rsid w:val="00770DC1"/>
    <w:rsid w:val="00770FB7"/>
    <w:rsid w:val="007722FB"/>
    <w:rsid w:val="00772B19"/>
    <w:rsid w:val="00773521"/>
    <w:rsid w:val="0077354D"/>
    <w:rsid w:val="00773B64"/>
    <w:rsid w:val="00773FB6"/>
    <w:rsid w:val="00774422"/>
    <w:rsid w:val="00775878"/>
    <w:rsid w:val="00775AD1"/>
    <w:rsid w:val="00775C79"/>
    <w:rsid w:val="007760A7"/>
    <w:rsid w:val="00776355"/>
    <w:rsid w:val="0077699B"/>
    <w:rsid w:val="00777404"/>
    <w:rsid w:val="00777832"/>
    <w:rsid w:val="00777B11"/>
    <w:rsid w:val="00781B75"/>
    <w:rsid w:val="0078241D"/>
    <w:rsid w:val="00782918"/>
    <w:rsid w:val="00782C17"/>
    <w:rsid w:val="00784234"/>
    <w:rsid w:val="0078510E"/>
    <w:rsid w:val="0078529C"/>
    <w:rsid w:val="00785339"/>
    <w:rsid w:val="007861B5"/>
    <w:rsid w:val="00786BB9"/>
    <w:rsid w:val="00787302"/>
    <w:rsid w:val="00787EBD"/>
    <w:rsid w:val="00790DF7"/>
    <w:rsid w:val="00790E44"/>
    <w:rsid w:val="00790FFE"/>
    <w:rsid w:val="00791679"/>
    <w:rsid w:val="00792B77"/>
    <w:rsid w:val="00792DE9"/>
    <w:rsid w:val="0079361E"/>
    <w:rsid w:val="007936C9"/>
    <w:rsid w:val="00793B88"/>
    <w:rsid w:val="00794CD7"/>
    <w:rsid w:val="00795176"/>
    <w:rsid w:val="007954A3"/>
    <w:rsid w:val="00795C6E"/>
    <w:rsid w:val="007967CD"/>
    <w:rsid w:val="00796FA3"/>
    <w:rsid w:val="007975AB"/>
    <w:rsid w:val="007A00B4"/>
    <w:rsid w:val="007A06B6"/>
    <w:rsid w:val="007A07D5"/>
    <w:rsid w:val="007A0D9F"/>
    <w:rsid w:val="007A1F36"/>
    <w:rsid w:val="007A33CC"/>
    <w:rsid w:val="007A3749"/>
    <w:rsid w:val="007A3807"/>
    <w:rsid w:val="007A387C"/>
    <w:rsid w:val="007A3AB3"/>
    <w:rsid w:val="007A3EE1"/>
    <w:rsid w:val="007A4086"/>
    <w:rsid w:val="007A42A5"/>
    <w:rsid w:val="007A486A"/>
    <w:rsid w:val="007A5126"/>
    <w:rsid w:val="007A59C4"/>
    <w:rsid w:val="007A629B"/>
    <w:rsid w:val="007A6BA2"/>
    <w:rsid w:val="007A6DE1"/>
    <w:rsid w:val="007A7B90"/>
    <w:rsid w:val="007B00B4"/>
    <w:rsid w:val="007B098E"/>
    <w:rsid w:val="007B1125"/>
    <w:rsid w:val="007B1B12"/>
    <w:rsid w:val="007B1B47"/>
    <w:rsid w:val="007B1CE8"/>
    <w:rsid w:val="007B1FF2"/>
    <w:rsid w:val="007B2AC0"/>
    <w:rsid w:val="007B2F5D"/>
    <w:rsid w:val="007B2F9C"/>
    <w:rsid w:val="007B3A47"/>
    <w:rsid w:val="007B462E"/>
    <w:rsid w:val="007B5083"/>
    <w:rsid w:val="007B6854"/>
    <w:rsid w:val="007B6AC1"/>
    <w:rsid w:val="007B6BE1"/>
    <w:rsid w:val="007B6D73"/>
    <w:rsid w:val="007B7617"/>
    <w:rsid w:val="007B7BA1"/>
    <w:rsid w:val="007C027D"/>
    <w:rsid w:val="007C035C"/>
    <w:rsid w:val="007C055D"/>
    <w:rsid w:val="007C1742"/>
    <w:rsid w:val="007C2ACF"/>
    <w:rsid w:val="007C2EC1"/>
    <w:rsid w:val="007C4991"/>
    <w:rsid w:val="007C4CE2"/>
    <w:rsid w:val="007C56C5"/>
    <w:rsid w:val="007C6D0A"/>
    <w:rsid w:val="007D01B4"/>
    <w:rsid w:val="007D0670"/>
    <w:rsid w:val="007D09FD"/>
    <w:rsid w:val="007D15EF"/>
    <w:rsid w:val="007D3B08"/>
    <w:rsid w:val="007D3DE2"/>
    <w:rsid w:val="007D5652"/>
    <w:rsid w:val="007D57E5"/>
    <w:rsid w:val="007D58F7"/>
    <w:rsid w:val="007D6877"/>
    <w:rsid w:val="007D6A59"/>
    <w:rsid w:val="007D6E07"/>
    <w:rsid w:val="007D6F1C"/>
    <w:rsid w:val="007D721F"/>
    <w:rsid w:val="007D72DF"/>
    <w:rsid w:val="007D72EE"/>
    <w:rsid w:val="007D7661"/>
    <w:rsid w:val="007D7915"/>
    <w:rsid w:val="007E0338"/>
    <w:rsid w:val="007E2ADE"/>
    <w:rsid w:val="007E3DEE"/>
    <w:rsid w:val="007E4254"/>
    <w:rsid w:val="007E42F7"/>
    <w:rsid w:val="007E43D2"/>
    <w:rsid w:val="007E546A"/>
    <w:rsid w:val="007E54F5"/>
    <w:rsid w:val="007E6590"/>
    <w:rsid w:val="007E67D2"/>
    <w:rsid w:val="007E692D"/>
    <w:rsid w:val="007E74E6"/>
    <w:rsid w:val="007F0B88"/>
    <w:rsid w:val="007F0E19"/>
    <w:rsid w:val="007F0FBF"/>
    <w:rsid w:val="007F13F0"/>
    <w:rsid w:val="007F18DB"/>
    <w:rsid w:val="007F1FCD"/>
    <w:rsid w:val="007F2336"/>
    <w:rsid w:val="007F2A61"/>
    <w:rsid w:val="007F3883"/>
    <w:rsid w:val="007F41C5"/>
    <w:rsid w:val="007F4F33"/>
    <w:rsid w:val="007F4FA9"/>
    <w:rsid w:val="007F5469"/>
    <w:rsid w:val="007F73E8"/>
    <w:rsid w:val="007F7596"/>
    <w:rsid w:val="007F7825"/>
    <w:rsid w:val="007F7CAA"/>
    <w:rsid w:val="008006CC"/>
    <w:rsid w:val="00800D87"/>
    <w:rsid w:val="00800DC4"/>
    <w:rsid w:val="00800E14"/>
    <w:rsid w:val="00801C34"/>
    <w:rsid w:val="00802150"/>
    <w:rsid w:val="0080238B"/>
    <w:rsid w:val="008034DA"/>
    <w:rsid w:val="00803980"/>
    <w:rsid w:val="00804429"/>
    <w:rsid w:val="008052F6"/>
    <w:rsid w:val="00805A49"/>
    <w:rsid w:val="00805BEB"/>
    <w:rsid w:val="00806510"/>
    <w:rsid w:val="00806C6C"/>
    <w:rsid w:val="0080702D"/>
    <w:rsid w:val="00807F3D"/>
    <w:rsid w:val="00810453"/>
    <w:rsid w:val="00810BBE"/>
    <w:rsid w:val="0081130B"/>
    <w:rsid w:val="00812BA6"/>
    <w:rsid w:val="0081370C"/>
    <w:rsid w:val="00814037"/>
    <w:rsid w:val="00814A9E"/>
    <w:rsid w:val="00814C49"/>
    <w:rsid w:val="00815002"/>
    <w:rsid w:val="008151F6"/>
    <w:rsid w:val="00815CBF"/>
    <w:rsid w:val="008166F3"/>
    <w:rsid w:val="00816E04"/>
    <w:rsid w:val="00817389"/>
    <w:rsid w:val="008174B6"/>
    <w:rsid w:val="008174EC"/>
    <w:rsid w:val="0081760D"/>
    <w:rsid w:val="008201A9"/>
    <w:rsid w:val="0082052B"/>
    <w:rsid w:val="008207A0"/>
    <w:rsid w:val="00820AEE"/>
    <w:rsid w:val="00820E18"/>
    <w:rsid w:val="00821111"/>
    <w:rsid w:val="008216A6"/>
    <w:rsid w:val="00822146"/>
    <w:rsid w:val="00822191"/>
    <w:rsid w:val="00822FC3"/>
    <w:rsid w:val="00823737"/>
    <w:rsid w:val="00824C3B"/>
    <w:rsid w:val="008250EF"/>
    <w:rsid w:val="00826270"/>
    <w:rsid w:val="008262E3"/>
    <w:rsid w:val="0082666D"/>
    <w:rsid w:val="00826926"/>
    <w:rsid w:val="0082725F"/>
    <w:rsid w:val="00830057"/>
    <w:rsid w:val="008301CB"/>
    <w:rsid w:val="0083032F"/>
    <w:rsid w:val="008306D3"/>
    <w:rsid w:val="0083191E"/>
    <w:rsid w:val="008329AC"/>
    <w:rsid w:val="00834619"/>
    <w:rsid w:val="00834AC9"/>
    <w:rsid w:val="00834E7E"/>
    <w:rsid w:val="00834E9D"/>
    <w:rsid w:val="00834F3F"/>
    <w:rsid w:val="008368FE"/>
    <w:rsid w:val="0083778D"/>
    <w:rsid w:val="00840161"/>
    <w:rsid w:val="008405B2"/>
    <w:rsid w:val="0084064D"/>
    <w:rsid w:val="0084098D"/>
    <w:rsid w:val="00840BBA"/>
    <w:rsid w:val="008410B9"/>
    <w:rsid w:val="00842AE0"/>
    <w:rsid w:val="008435D0"/>
    <w:rsid w:val="00843D92"/>
    <w:rsid w:val="00844B51"/>
    <w:rsid w:val="00846751"/>
    <w:rsid w:val="0084756D"/>
    <w:rsid w:val="00847CEF"/>
    <w:rsid w:val="00850675"/>
    <w:rsid w:val="0085115F"/>
    <w:rsid w:val="0085118A"/>
    <w:rsid w:val="00851F8B"/>
    <w:rsid w:val="00852491"/>
    <w:rsid w:val="008525AF"/>
    <w:rsid w:val="00852B51"/>
    <w:rsid w:val="00853606"/>
    <w:rsid w:val="00854425"/>
    <w:rsid w:val="008547B2"/>
    <w:rsid w:val="00854875"/>
    <w:rsid w:val="008553B6"/>
    <w:rsid w:val="008563C5"/>
    <w:rsid w:val="008566FE"/>
    <w:rsid w:val="008569DB"/>
    <w:rsid w:val="00856FBF"/>
    <w:rsid w:val="008602F6"/>
    <w:rsid w:val="0086068C"/>
    <w:rsid w:val="00860C07"/>
    <w:rsid w:val="00860CF8"/>
    <w:rsid w:val="0086145F"/>
    <w:rsid w:val="0086184C"/>
    <w:rsid w:val="00861E4A"/>
    <w:rsid w:val="00862131"/>
    <w:rsid w:val="008629DE"/>
    <w:rsid w:val="00862AFA"/>
    <w:rsid w:val="00862CDA"/>
    <w:rsid w:val="00862E4D"/>
    <w:rsid w:val="00862F26"/>
    <w:rsid w:val="0086303F"/>
    <w:rsid w:val="00863B17"/>
    <w:rsid w:val="0086471F"/>
    <w:rsid w:val="00864E7D"/>
    <w:rsid w:val="008660BC"/>
    <w:rsid w:val="00866ADC"/>
    <w:rsid w:val="00867441"/>
    <w:rsid w:val="008676F2"/>
    <w:rsid w:val="00867980"/>
    <w:rsid w:val="00867F12"/>
    <w:rsid w:val="00870006"/>
    <w:rsid w:val="0087012C"/>
    <w:rsid w:val="0087018B"/>
    <w:rsid w:val="00870C93"/>
    <w:rsid w:val="00871F6C"/>
    <w:rsid w:val="00872E4D"/>
    <w:rsid w:val="008739E5"/>
    <w:rsid w:val="00873A74"/>
    <w:rsid w:val="00873FD3"/>
    <w:rsid w:val="00874085"/>
    <w:rsid w:val="00874982"/>
    <w:rsid w:val="00874C3A"/>
    <w:rsid w:val="00875BBE"/>
    <w:rsid w:val="00876B29"/>
    <w:rsid w:val="00876EF2"/>
    <w:rsid w:val="00877219"/>
    <w:rsid w:val="008774FB"/>
    <w:rsid w:val="00877C2B"/>
    <w:rsid w:val="00877F73"/>
    <w:rsid w:val="00880495"/>
    <w:rsid w:val="0088065D"/>
    <w:rsid w:val="008808FC"/>
    <w:rsid w:val="00881100"/>
    <w:rsid w:val="00881CA9"/>
    <w:rsid w:val="008822E3"/>
    <w:rsid w:val="00882727"/>
    <w:rsid w:val="00882AE4"/>
    <w:rsid w:val="0088629B"/>
    <w:rsid w:val="00886AFA"/>
    <w:rsid w:val="00886ED0"/>
    <w:rsid w:val="00887870"/>
    <w:rsid w:val="00887BE0"/>
    <w:rsid w:val="0089014E"/>
    <w:rsid w:val="00890258"/>
    <w:rsid w:val="00890D03"/>
    <w:rsid w:val="00891ABC"/>
    <w:rsid w:val="00891B7F"/>
    <w:rsid w:val="00891D5E"/>
    <w:rsid w:val="00891DA1"/>
    <w:rsid w:val="00891E66"/>
    <w:rsid w:val="0089240B"/>
    <w:rsid w:val="008924B8"/>
    <w:rsid w:val="008924F2"/>
    <w:rsid w:val="008928A9"/>
    <w:rsid w:val="008929D1"/>
    <w:rsid w:val="00892AFA"/>
    <w:rsid w:val="00892CFC"/>
    <w:rsid w:val="00893B42"/>
    <w:rsid w:val="00893BBC"/>
    <w:rsid w:val="008940F5"/>
    <w:rsid w:val="0089493D"/>
    <w:rsid w:val="00894F17"/>
    <w:rsid w:val="008952E6"/>
    <w:rsid w:val="00895447"/>
    <w:rsid w:val="00895589"/>
    <w:rsid w:val="008956AC"/>
    <w:rsid w:val="00896566"/>
    <w:rsid w:val="008969DE"/>
    <w:rsid w:val="00896D85"/>
    <w:rsid w:val="00897242"/>
    <w:rsid w:val="0089783B"/>
    <w:rsid w:val="00897CE4"/>
    <w:rsid w:val="00897D18"/>
    <w:rsid w:val="008A074C"/>
    <w:rsid w:val="008A0A8D"/>
    <w:rsid w:val="008A1364"/>
    <w:rsid w:val="008A1595"/>
    <w:rsid w:val="008A172B"/>
    <w:rsid w:val="008A2211"/>
    <w:rsid w:val="008A3FA5"/>
    <w:rsid w:val="008A5380"/>
    <w:rsid w:val="008A58D5"/>
    <w:rsid w:val="008A6C71"/>
    <w:rsid w:val="008A7162"/>
    <w:rsid w:val="008A746E"/>
    <w:rsid w:val="008A7819"/>
    <w:rsid w:val="008B0B4E"/>
    <w:rsid w:val="008B1438"/>
    <w:rsid w:val="008B1525"/>
    <w:rsid w:val="008B2462"/>
    <w:rsid w:val="008B26EF"/>
    <w:rsid w:val="008B28E4"/>
    <w:rsid w:val="008B2B9E"/>
    <w:rsid w:val="008B3FBC"/>
    <w:rsid w:val="008B3FDD"/>
    <w:rsid w:val="008B4059"/>
    <w:rsid w:val="008B454B"/>
    <w:rsid w:val="008B50C0"/>
    <w:rsid w:val="008B5149"/>
    <w:rsid w:val="008B516F"/>
    <w:rsid w:val="008B5526"/>
    <w:rsid w:val="008B55C7"/>
    <w:rsid w:val="008B57DB"/>
    <w:rsid w:val="008B595F"/>
    <w:rsid w:val="008B5C3F"/>
    <w:rsid w:val="008B61D0"/>
    <w:rsid w:val="008B65A0"/>
    <w:rsid w:val="008B7170"/>
    <w:rsid w:val="008B749C"/>
    <w:rsid w:val="008C0544"/>
    <w:rsid w:val="008C0B79"/>
    <w:rsid w:val="008C1961"/>
    <w:rsid w:val="008C1B70"/>
    <w:rsid w:val="008C1B9D"/>
    <w:rsid w:val="008C1F98"/>
    <w:rsid w:val="008C295F"/>
    <w:rsid w:val="008C2AC0"/>
    <w:rsid w:val="008C333A"/>
    <w:rsid w:val="008C4357"/>
    <w:rsid w:val="008C4898"/>
    <w:rsid w:val="008C4EBC"/>
    <w:rsid w:val="008C520A"/>
    <w:rsid w:val="008C5E97"/>
    <w:rsid w:val="008C6580"/>
    <w:rsid w:val="008C68DF"/>
    <w:rsid w:val="008C6910"/>
    <w:rsid w:val="008C6CD9"/>
    <w:rsid w:val="008C7537"/>
    <w:rsid w:val="008C7932"/>
    <w:rsid w:val="008D0344"/>
    <w:rsid w:val="008D0662"/>
    <w:rsid w:val="008D06F2"/>
    <w:rsid w:val="008D0AA3"/>
    <w:rsid w:val="008D1366"/>
    <w:rsid w:val="008D1441"/>
    <w:rsid w:val="008D1666"/>
    <w:rsid w:val="008D17C0"/>
    <w:rsid w:val="008D2086"/>
    <w:rsid w:val="008D21A1"/>
    <w:rsid w:val="008D25B1"/>
    <w:rsid w:val="008D3494"/>
    <w:rsid w:val="008D3F02"/>
    <w:rsid w:val="008D408E"/>
    <w:rsid w:val="008D4B17"/>
    <w:rsid w:val="008D5F97"/>
    <w:rsid w:val="008D62F3"/>
    <w:rsid w:val="008D6587"/>
    <w:rsid w:val="008D7019"/>
    <w:rsid w:val="008E01CE"/>
    <w:rsid w:val="008E04A1"/>
    <w:rsid w:val="008E0EE3"/>
    <w:rsid w:val="008E1747"/>
    <w:rsid w:val="008E2214"/>
    <w:rsid w:val="008E232D"/>
    <w:rsid w:val="008E2B13"/>
    <w:rsid w:val="008E3B64"/>
    <w:rsid w:val="008E3D48"/>
    <w:rsid w:val="008E4CE8"/>
    <w:rsid w:val="008E5227"/>
    <w:rsid w:val="008E5B6C"/>
    <w:rsid w:val="008E5CD3"/>
    <w:rsid w:val="008E698C"/>
    <w:rsid w:val="008E7B71"/>
    <w:rsid w:val="008F0307"/>
    <w:rsid w:val="008F099D"/>
    <w:rsid w:val="008F10CF"/>
    <w:rsid w:val="008F1528"/>
    <w:rsid w:val="008F29F5"/>
    <w:rsid w:val="008F2ACD"/>
    <w:rsid w:val="008F35CB"/>
    <w:rsid w:val="008F3B30"/>
    <w:rsid w:val="008F3EA9"/>
    <w:rsid w:val="008F4932"/>
    <w:rsid w:val="008F4958"/>
    <w:rsid w:val="008F56A4"/>
    <w:rsid w:val="008F5952"/>
    <w:rsid w:val="008F5C7C"/>
    <w:rsid w:val="008F5DC2"/>
    <w:rsid w:val="008F6062"/>
    <w:rsid w:val="008F67F2"/>
    <w:rsid w:val="008F7506"/>
    <w:rsid w:val="008F7FD7"/>
    <w:rsid w:val="0090128D"/>
    <w:rsid w:val="0090130F"/>
    <w:rsid w:val="00901B6E"/>
    <w:rsid w:val="00902698"/>
    <w:rsid w:val="00902E2C"/>
    <w:rsid w:val="00902ED1"/>
    <w:rsid w:val="0090312B"/>
    <w:rsid w:val="00903FC5"/>
    <w:rsid w:val="00904EC3"/>
    <w:rsid w:val="00905F07"/>
    <w:rsid w:val="00906E71"/>
    <w:rsid w:val="00906EDF"/>
    <w:rsid w:val="009073EA"/>
    <w:rsid w:val="00907F4D"/>
    <w:rsid w:val="00907F5D"/>
    <w:rsid w:val="009105C3"/>
    <w:rsid w:val="00910838"/>
    <w:rsid w:val="0091107D"/>
    <w:rsid w:val="0091171F"/>
    <w:rsid w:val="009120C8"/>
    <w:rsid w:val="0091246C"/>
    <w:rsid w:val="00912D1A"/>
    <w:rsid w:val="00913B24"/>
    <w:rsid w:val="00913BE4"/>
    <w:rsid w:val="00913C14"/>
    <w:rsid w:val="009145A0"/>
    <w:rsid w:val="00916940"/>
    <w:rsid w:val="00916E29"/>
    <w:rsid w:val="00917275"/>
    <w:rsid w:val="00917573"/>
    <w:rsid w:val="00917951"/>
    <w:rsid w:val="00920261"/>
    <w:rsid w:val="009205B7"/>
    <w:rsid w:val="0092070B"/>
    <w:rsid w:val="00922B0C"/>
    <w:rsid w:val="00922DBC"/>
    <w:rsid w:val="00922FCA"/>
    <w:rsid w:val="0092397C"/>
    <w:rsid w:val="00923CF5"/>
    <w:rsid w:val="00924035"/>
    <w:rsid w:val="009245E3"/>
    <w:rsid w:val="00924F57"/>
    <w:rsid w:val="00925580"/>
    <w:rsid w:val="0092568F"/>
    <w:rsid w:val="0092588B"/>
    <w:rsid w:val="0092625A"/>
    <w:rsid w:val="009265A0"/>
    <w:rsid w:val="00930228"/>
    <w:rsid w:val="00930698"/>
    <w:rsid w:val="009306F4"/>
    <w:rsid w:val="00931414"/>
    <w:rsid w:val="00931F24"/>
    <w:rsid w:val="00932028"/>
    <w:rsid w:val="00932F75"/>
    <w:rsid w:val="009334B0"/>
    <w:rsid w:val="00933DF2"/>
    <w:rsid w:val="009348F0"/>
    <w:rsid w:val="00934B5B"/>
    <w:rsid w:val="00934B62"/>
    <w:rsid w:val="00934C49"/>
    <w:rsid w:val="00935149"/>
    <w:rsid w:val="00935165"/>
    <w:rsid w:val="009352D5"/>
    <w:rsid w:val="0093544C"/>
    <w:rsid w:val="009358B0"/>
    <w:rsid w:val="00935D7F"/>
    <w:rsid w:val="00935FFD"/>
    <w:rsid w:val="0093665B"/>
    <w:rsid w:val="00937161"/>
    <w:rsid w:val="00937563"/>
    <w:rsid w:val="00937ACD"/>
    <w:rsid w:val="00937AFD"/>
    <w:rsid w:val="00937BEA"/>
    <w:rsid w:val="00940D6D"/>
    <w:rsid w:val="00941AF9"/>
    <w:rsid w:val="00941BA4"/>
    <w:rsid w:val="009423F4"/>
    <w:rsid w:val="0094312D"/>
    <w:rsid w:val="00943686"/>
    <w:rsid w:val="00944214"/>
    <w:rsid w:val="00945259"/>
    <w:rsid w:val="00945720"/>
    <w:rsid w:val="00945A39"/>
    <w:rsid w:val="00945B82"/>
    <w:rsid w:val="009464E4"/>
    <w:rsid w:val="00946681"/>
    <w:rsid w:val="00946946"/>
    <w:rsid w:val="009473E1"/>
    <w:rsid w:val="00947C39"/>
    <w:rsid w:val="00950F7D"/>
    <w:rsid w:val="00951122"/>
    <w:rsid w:val="00951423"/>
    <w:rsid w:val="009523B1"/>
    <w:rsid w:val="0095258D"/>
    <w:rsid w:val="00952758"/>
    <w:rsid w:val="00952B39"/>
    <w:rsid w:val="009536FC"/>
    <w:rsid w:val="009549EC"/>
    <w:rsid w:val="00955614"/>
    <w:rsid w:val="0095582B"/>
    <w:rsid w:val="00955B9C"/>
    <w:rsid w:val="0095603D"/>
    <w:rsid w:val="00956929"/>
    <w:rsid w:val="009569DB"/>
    <w:rsid w:val="00956B4F"/>
    <w:rsid w:val="00957081"/>
    <w:rsid w:val="0096097A"/>
    <w:rsid w:val="00961000"/>
    <w:rsid w:val="009613AC"/>
    <w:rsid w:val="00961994"/>
    <w:rsid w:val="00962240"/>
    <w:rsid w:val="009631C5"/>
    <w:rsid w:val="00963624"/>
    <w:rsid w:val="00964103"/>
    <w:rsid w:val="009642FF"/>
    <w:rsid w:val="0096552B"/>
    <w:rsid w:val="00965955"/>
    <w:rsid w:val="00965F33"/>
    <w:rsid w:val="00966634"/>
    <w:rsid w:val="0096663F"/>
    <w:rsid w:val="00966B4A"/>
    <w:rsid w:val="00966D43"/>
    <w:rsid w:val="0096716C"/>
    <w:rsid w:val="0096752D"/>
    <w:rsid w:val="00967619"/>
    <w:rsid w:val="00970166"/>
    <w:rsid w:val="00970404"/>
    <w:rsid w:val="00971629"/>
    <w:rsid w:val="00971B2B"/>
    <w:rsid w:val="00971EF9"/>
    <w:rsid w:val="00972C92"/>
    <w:rsid w:val="00972E0C"/>
    <w:rsid w:val="00973D28"/>
    <w:rsid w:val="00974011"/>
    <w:rsid w:val="00975D5D"/>
    <w:rsid w:val="00975DAD"/>
    <w:rsid w:val="00975DC6"/>
    <w:rsid w:val="00976158"/>
    <w:rsid w:val="009764B3"/>
    <w:rsid w:val="009769A3"/>
    <w:rsid w:val="00976B69"/>
    <w:rsid w:val="009779D8"/>
    <w:rsid w:val="00977F94"/>
    <w:rsid w:val="0098032E"/>
    <w:rsid w:val="00980A9C"/>
    <w:rsid w:val="00980CDA"/>
    <w:rsid w:val="00980F4E"/>
    <w:rsid w:val="00981062"/>
    <w:rsid w:val="00982BAE"/>
    <w:rsid w:val="00983F5F"/>
    <w:rsid w:val="00983F72"/>
    <w:rsid w:val="0098415F"/>
    <w:rsid w:val="009848F7"/>
    <w:rsid w:val="00984CD5"/>
    <w:rsid w:val="00985285"/>
    <w:rsid w:val="00985355"/>
    <w:rsid w:val="00985607"/>
    <w:rsid w:val="009859DB"/>
    <w:rsid w:val="00985CC2"/>
    <w:rsid w:val="0098619B"/>
    <w:rsid w:val="009870AE"/>
    <w:rsid w:val="009874C7"/>
    <w:rsid w:val="00987550"/>
    <w:rsid w:val="009876B3"/>
    <w:rsid w:val="00987A21"/>
    <w:rsid w:val="00987A34"/>
    <w:rsid w:val="009901E5"/>
    <w:rsid w:val="00990BF2"/>
    <w:rsid w:val="009922F1"/>
    <w:rsid w:val="00992525"/>
    <w:rsid w:val="00992935"/>
    <w:rsid w:val="0099304E"/>
    <w:rsid w:val="00993F49"/>
    <w:rsid w:val="00994305"/>
    <w:rsid w:val="00995233"/>
    <w:rsid w:val="00995654"/>
    <w:rsid w:val="00996A3B"/>
    <w:rsid w:val="00996D95"/>
    <w:rsid w:val="009970D8"/>
    <w:rsid w:val="00997341"/>
    <w:rsid w:val="009973AC"/>
    <w:rsid w:val="00997C1F"/>
    <w:rsid w:val="009A0017"/>
    <w:rsid w:val="009A03E6"/>
    <w:rsid w:val="009A0808"/>
    <w:rsid w:val="009A0E10"/>
    <w:rsid w:val="009A263D"/>
    <w:rsid w:val="009A27D1"/>
    <w:rsid w:val="009A2850"/>
    <w:rsid w:val="009A3664"/>
    <w:rsid w:val="009A3A02"/>
    <w:rsid w:val="009A3D83"/>
    <w:rsid w:val="009A4A16"/>
    <w:rsid w:val="009A62B5"/>
    <w:rsid w:val="009A70F7"/>
    <w:rsid w:val="009B0076"/>
    <w:rsid w:val="009B0FE6"/>
    <w:rsid w:val="009B209D"/>
    <w:rsid w:val="009B3209"/>
    <w:rsid w:val="009B3BC9"/>
    <w:rsid w:val="009B400A"/>
    <w:rsid w:val="009B4D39"/>
    <w:rsid w:val="009B4F93"/>
    <w:rsid w:val="009B5CC1"/>
    <w:rsid w:val="009B6190"/>
    <w:rsid w:val="009B657A"/>
    <w:rsid w:val="009B759E"/>
    <w:rsid w:val="009C05D6"/>
    <w:rsid w:val="009C0B23"/>
    <w:rsid w:val="009C119F"/>
    <w:rsid w:val="009C2F91"/>
    <w:rsid w:val="009C3125"/>
    <w:rsid w:val="009C3A86"/>
    <w:rsid w:val="009C3B27"/>
    <w:rsid w:val="009C3E0D"/>
    <w:rsid w:val="009C5A4A"/>
    <w:rsid w:val="009C5CA2"/>
    <w:rsid w:val="009C5EC0"/>
    <w:rsid w:val="009C663D"/>
    <w:rsid w:val="009C67C3"/>
    <w:rsid w:val="009C7F80"/>
    <w:rsid w:val="009D0911"/>
    <w:rsid w:val="009D09DC"/>
    <w:rsid w:val="009D0BE4"/>
    <w:rsid w:val="009D1324"/>
    <w:rsid w:val="009D1AC6"/>
    <w:rsid w:val="009D1BF1"/>
    <w:rsid w:val="009D2086"/>
    <w:rsid w:val="009D20DF"/>
    <w:rsid w:val="009D214E"/>
    <w:rsid w:val="009D323C"/>
    <w:rsid w:val="009D3C0A"/>
    <w:rsid w:val="009D3E31"/>
    <w:rsid w:val="009D5E0F"/>
    <w:rsid w:val="009D61FA"/>
    <w:rsid w:val="009D67A6"/>
    <w:rsid w:val="009D749B"/>
    <w:rsid w:val="009E070C"/>
    <w:rsid w:val="009E1551"/>
    <w:rsid w:val="009E1732"/>
    <w:rsid w:val="009E18D3"/>
    <w:rsid w:val="009E22F2"/>
    <w:rsid w:val="009E24F5"/>
    <w:rsid w:val="009E284B"/>
    <w:rsid w:val="009E28D7"/>
    <w:rsid w:val="009E293D"/>
    <w:rsid w:val="009E2DA9"/>
    <w:rsid w:val="009E3C74"/>
    <w:rsid w:val="009E4157"/>
    <w:rsid w:val="009E48D2"/>
    <w:rsid w:val="009E5259"/>
    <w:rsid w:val="009E56A7"/>
    <w:rsid w:val="009E57E2"/>
    <w:rsid w:val="009E6935"/>
    <w:rsid w:val="009E72E5"/>
    <w:rsid w:val="009F0237"/>
    <w:rsid w:val="009F037A"/>
    <w:rsid w:val="009F0E02"/>
    <w:rsid w:val="009F14F8"/>
    <w:rsid w:val="009F15B2"/>
    <w:rsid w:val="009F2595"/>
    <w:rsid w:val="009F29BE"/>
    <w:rsid w:val="009F303D"/>
    <w:rsid w:val="009F34CA"/>
    <w:rsid w:val="009F355C"/>
    <w:rsid w:val="009F3F0C"/>
    <w:rsid w:val="009F43E3"/>
    <w:rsid w:val="009F4BC9"/>
    <w:rsid w:val="009F5806"/>
    <w:rsid w:val="009F6498"/>
    <w:rsid w:val="009F6505"/>
    <w:rsid w:val="009F677F"/>
    <w:rsid w:val="009F6F43"/>
    <w:rsid w:val="009F7501"/>
    <w:rsid w:val="009F7AFB"/>
    <w:rsid w:val="009F7D5D"/>
    <w:rsid w:val="00A0041D"/>
    <w:rsid w:val="00A00EE6"/>
    <w:rsid w:val="00A013A2"/>
    <w:rsid w:val="00A01411"/>
    <w:rsid w:val="00A015EC"/>
    <w:rsid w:val="00A02530"/>
    <w:rsid w:val="00A0276E"/>
    <w:rsid w:val="00A02E0B"/>
    <w:rsid w:val="00A030F0"/>
    <w:rsid w:val="00A03930"/>
    <w:rsid w:val="00A04BF0"/>
    <w:rsid w:val="00A050A7"/>
    <w:rsid w:val="00A05300"/>
    <w:rsid w:val="00A05429"/>
    <w:rsid w:val="00A05F08"/>
    <w:rsid w:val="00A06080"/>
    <w:rsid w:val="00A060F4"/>
    <w:rsid w:val="00A070BC"/>
    <w:rsid w:val="00A07B13"/>
    <w:rsid w:val="00A1082B"/>
    <w:rsid w:val="00A11F7D"/>
    <w:rsid w:val="00A12A55"/>
    <w:rsid w:val="00A12E14"/>
    <w:rsid w:val="00A137BC"/>
    <w:rsid w:val="00A140C8"/>
    <w:rsid w:val="00A150EE"/>
    <w:rsid w:val="00A1553F"/>
    <w:rsid w:val="00A15593"/>
    <w:rsid w:val="00A16C23"/>
    <w:rsid w:val="00A20227"/>
    <w:rsid w:val="00A202F5"/>
    <w:rsid w:val="00A20309"/>
    <w:rsid w:val="00A2047E"/>
    <w:rsid w:val="00A20581"/>
    <w:rsid w:val="00A2111C"/>
    <w:rsid w:val="00A21214"/>
    <w:rsid w:val="00A2138B"/>
    <w:rsid w:val="00A2154F"/>
    <w:rsid w:val="00A21898"/>
    <w:rsid w:val="00A218EE"/>
    <w:rsid w:val="00A21E31"/>
    <w:rsid w:val="00A2307B"/>
    <w:rsid w:val="00A2308A"/>
    <w:rsid w:val="00A25931"/>
    <w:rsid w:val="00A25F91"/>
    <w:rsid w:val="00A26D8C"/>
    <w:rsid w:val="00A27872"/>
    <w:rsid w:val="00A27FC3"/>
    <w:rsid w:val="00A30644"/>
    <w:rsid w:val="00A3087F"/>
    <w:rsid w:val="00A30D29"/>
    <w:rsid w:val="00A3112A"/>
    <w:rsid w:val="00A31698"/>
    <w:rsid w:val="00A32FBE"/>
    <w:rsid w:val="00A3337A"/>
    <w:rsid w:val="00A335D3"/>
    <w:rsid w:val="00A35050"/>
    <w:rsid w:val="00A35B55"/>
    <w:rsid w:val="00A35CD4"/>
    <w:rsid w:val="00A35F89"/>
    <w:rsid w:val="00A363BE"/>
    <w:rsid w:val="00A368FF"/>
    <w:rsid w:val="00A373A0"/>
    <w:rsid w:val="00A403D8"/>
    <w:rsid w:val="00A4063D"/>
    <w:rsid w:val="00A40767"/>
    <w:rsid w:val="00A41AB3"/>
    <w:rsid w:val="00A42215"/>
    <w:rsid w:val="00A422F7"/>
    <w:rsid w:val="00A42564"/>
    <w:rsid w:val="00A42D83"/>
    <w:rsid w:val="00A42F5A"/>
    <w:rsid w:val="00A4390B"/>
    <w:rsid w:val="00A43E6D"/>
    <w:rsid w:val="00A43E97"/>
    <w:rsid w:val="00A4403B"/>
    <w:rsid w:val="00A44673"/>
    <w:rsid w:val="00A449B4"/>
    <w:rsid w:val="00A44F74"/>
    <w:rsid w:val="00A46B30"/>
    <w:rsid w:val="00A475E9"/>
    <w:rsid w:val="00A47B5A"/>
    <w:rsid w:val="00A47BF5"/>
    <w:rsid w:val="00A47C41"/>
    <w:rsid w:val="00A50275"/>
    <w:rsid w:val="00A50571"/>
    <w:rsid w:val="00A50A09"/>
    <w:rsid w:val="00A50DAC"/>
    <w:rsid w:val="00A51F26"/>
    <w:rsid w:val="00A523A2"/>
    <w:rsid w:val="00A526FE"/>
    <w:rsid w:val="00A5289C"/>
    <w:rsid w:val="00A52C29"/>
    <w:rsid w:val="00A540FC"/>
    <w:rsid w:val="00A54D43"/>
    <w:rsid w:val="00A54D60"/>
    <w:rsid w:val="00A5517F"/>
    <w:rsid w:val="00A55187"/>
    <w:rsid w:val="00A55F0B"/>
    <w:rsid w:val="00A56361"/>
    <w:rsid w:val="00A564C2"/>
    <w:rsid w:val="00A5665F"/>
    <w:rsid w:val="00A56EBB"/>
    <w:rsid w:val="00A57795"/>
    <w:rsid w:val="00A578DF"/>
    <w:rsid w:val="00A57F88"/>
    <w:rsid w:val="00A602D0"/>
    <w:rsid w:val="00A60B8B"/>
    <w:rsid w:val="00A6163A"/>
    <w:rsid w:val="00A62213"/>
    <w:rsid w:val="00A62608"/>
    <w:rsid w:val="00A62FF3"/>
    <w:rsid w:val="00A64964"/>
    <w:rsid w:val="00A64BFA"/>
    <w:rsid w:val="00A64E25"/>
    <w:rsid w:val="00A65692"/>
    <w:rsid w:val="00A6593B"/>
    <w:rsid w:val="00A65946"/>
    <w:rsid w:val="00A65C3C"/>
    <w:rsid w:val="00A664B1"/>
    <w:rsid w:val="00A66741"/>
    <w:rsid w:val="00A67D48"/>
    <w:rsid w:val="00A702D1"/>
    <w:rsid w:val="00A708D7"/>
    <w:rsid w:val="00A70B34"/>
    <w:rsid w:val="00A70DE2"/>
    <w:rsid w:val="00A71545"/>
    <w:rsid w:val="00A71BFE"/>
    <w:rsid w:val="00A71E65"/>
    <w:rsid w:val="00A72C91"/>
    <w:rsid w:val="00A73ABA"/>
    <w:rsid w:val="00A73B7D"/>
    <w:rsid w:val="00A75DBD"/>
    <w:rsid w:val="00A75F5E"/>
    <w:rsid w:val="00A76697"/>
    <w:rsid w:val="00A77033"/>
    <w:rsid w:val="00A77CDE"/>
    <w:rsid w:val="00A80451"/>
    <w:rsid w:val="00A809BD"/>
    <w:rsid w:val="00A80AFE"/>
    <w:rsid w:val="00A80D0F"/>
    <w:rsid w:val="00A80E76"/>
    <w:rsid w:val="00A81578"/>
    <w:rsid w:val="00A81607"/>
    <w:rsid w:val="00A82481"/>
    <w:rsid w:val="00A83609"/>
    <w:rsid w:val="00A841DB"/>
    <w:rsid w:val="00A84431"/>
    <w:rsid w:val="00A84521"/>
    <w:rsid w:val="00A845EE"/>
    <w:rsid w:val="00A8608A"/>
    <w:rsid w:val="00A86C81"/>
    <w:rsid w:val="00A86E22"/>
    <w:rsid w:val="00A876B0"/>
    <w:rsid w:val="00A87A29"/>
    <w:rsid w:val="00A87E09"/>
    <w:rsid w:val="00A90101"/>
    <w:rsid w:val="00A90469"/>
    <w:rsid w:val="00A90746"/>
    <w:rsid w:val="00A90E7D"/>
    <w:rsid w:val="00A917DF"/>
    <w:rsid w:val="00A920FA"/>
    <w:rsid w:val="00A9224B"/>
    <w:rsid w:val="00A927E7"/>
    <w:rsid w:val="00A92BA5"/>
    <w:rsid w:val="00A9409C"/>
    <w:rsid w:val="00A94D4C"/>
    <w:rsid w:val="00A95315"/>
    <w:rsid w:val="00A95847"/>
    <w:rsid w:val="00A95F46"/>
    <w:rsid w:val="00A96483"/>
    <w:rsid w:val="00A96EEA"/>
    <w:rsid w:val="00A975F5"/>
    <w:rsid w:val="00A97EBE"/>
    <w:rsid w:val="00AA0C75"/>
    <w:rsid w:val="00AA13C4"/>
    <w:rsid w:val="00AA1B0C"/>
    <w:rsid w:val="00AA21F5"/>
    <w:rsid w:val="00AA2311"/>
    <w:rsid w:val="00AA2510"/>
    <w:rsid w:val="00AA2F70"/>
    <w:rsid w:val="00AA3253"/>
    <w:rsid w:val="00AA3794"/>
    <w:rsid w:val="00AA38C7"/>
    <w:rsid w:val="00AA5559"/>
    <w:rsid w:val="00AA575F"/>
    <w:rsid w:val="00AA5E9F"/>
    <w:rsid w:val="00AA6055"/>
    <w:rsid w:val="00AA6CFC"/>
    <w:rsid w:val="00AA7A08"/>
    <w:rsid w:val="00AB059D"/>
    <w:rsid w:val="00AB15BD"/>
    <w:rsid w:val="00AB1DD5"/>
    <w:rsid w:val="00AB1F3F"/>
    <w:rsid w:val="00AB21C6"/>
    <w:rsid w:val="00AB21CC"/>
    <w:rsid w:val="00AB2482"/>
    <w:rsid w:val="00AB28ED"/>
    <w:rsid w:val="00AB2ED2"/>
    <w:rsid w:val="00AB3F4A"/>
    <w:rsid w:val="00AB43E0"/>
    <w:rsid w:val="00AB4425"/>
    <w:rsid w:val="00AB513E"/>
    <w:rsid w:val="00AB54B4"/>
    <w:rsid w:val="00AB56CC"/>
    <w:rsid w:val="00AB6BC4"/>
    <w:rsid w:val="00AB6F6A"/>
    <w:rsid w:val="00AB7003"/>
    <w:rsid w:val="00AB7892"/>
    <w:rsid w:val="00AB79DE"/>
    <w:rsid w:val="00AC0119"/>
    <w:rsid w:val="00AC0BB8"/>
    <w:rsid w:val="00AC1702"/>
    <w:rsid w:val="00AC2CF6"/>
    <w:rsid w:val="00AC30D9"/>
    <w:rsid w:val="00AC32AF"/>
    <w:rsid w:val="00AC34BF"/>
    <w:rsid w:val="00AC359B"/>
    <w:rsid w:val="00AC39E1"/>
    <w:rsid w:val="00AC3CAE"/>
    <w:rsid w:val="00AC42A8"/>
    <w:rsid w:val="00AC43D4"/>
    <w:rsid w:val="00AC47EF"/>
    <w:rsid w:val="00AC4C36"/>
    <w:rsid w:val="00AC5A1C"/>
    <w:rsid w:val="00AC6A5D"/>
    <w:rsid w:val="00AD0175"/>
    <w:rsid w:val="00AD079C"/>
    <w:rsid w:val="00AD0FBD"/>
    <w:rsid w:val="00AD14CB"/>
    <w:rsid w:val="00AD18C9"/>
    <w:rsid w:val="00AD1929"/>
    <w:rsid w:val="00AD1CC4"/>
    <w:rsid w:val="00AD219B"/>
    <w:rsid w:val="00AD2D41"/>
    <w:rsid w:val="00AD3680"/>
    <w:rsid w:val="00AD370A"/>
    <w:rsid w:val="00AD3831"/>
    <w:rsid w:val="00AD4558"/>
    <w:rsid w:val="00AD462F"/>
    <w:rsid w:val="00AD471F"/>
    <w:rsid w:val="00AD5683"/>
    <w:rsid w:val="00AD5842"/>
    <w:rsid w:val="00AE0C76"/>
    <w:rsid w:val="00AE0F8E"/>
    <w:rsid w:val="00AE10C5"/>
    <w:rsid w:val="00AE12F2"/>
    <w:rsid w:val="00AE13DD"/>
    <w:rsid w:val="00AE1487"/>
    <w:rsid w:val="00AE17A2"/>
    <w:rsid w:val="00AE333D"/>
    <w:rsid w:val="00AE3418"/>
    <w:rsid w:val="00AE375D"/>
    <w:rsid w:val="00AE3D3E"/>
    <w:rsid w:val="00AE3D4D"/>
    <w:rsid w:val="00AE409E"/>
    <w:rsid w:val="00AE4542"/>
    <w:rsid w:val="00AE4BF7"/>
    <w:rsid w:val="00AE58C4"/>
    <w:rsid w:val="00AE5BEA"/>
    <w:rsid w:val="00AE6157"/>
    <w:rsid w:val="00AE7477"/>
    <w:rsid w:val="00AE7559"/>
    <w:rsid w:val="00AF061E"/>
    <w:rsid w:val="00AF07B9"/>
    <w:rsid w:val="00AF0C90"/>
    <w:rsid w:val="00AF1C97"/>
    <w:rsid w:val="00AF1E4B"/>
    <w:rsid w:val="00AF1F0C"/>
    <w:rsid w:val="00AF2CF6"/>
    <w:rsid w:val="00AF2D2A"/>
    <w:rsid w:val="00AF3930"/>
    <w:rsid w:val="00AF4556"/>
    <w:rsid w:val="00AF57CF"/>
    <w:rsid w:val="00AF6BC8"/>
    <w:rsid w:val="00AF6D45"/>
    <w:rsid w:val="00AF6D51"/>
    <w:rsid w:val="00AF6FBB"/>
    <w:rsid w:val="00AF74B3"/>
    <w:rsid w:val="00AF7962"/>
    <w:rsid w:val="00AF7E76"/>
    <w:rsid w:val="00AF7FEE"/>
    <w:rsid w:val="00B00767"/>
    <w:rsid w:val="00B00D26"/>
    <w:rsid w:val="00B01731"/>
    <w:rsid w:val="00B01D24"/>
    <w:rsid w:val="00B021A4"/>
    <w:rsid w:val="00B030AA"/>
    <w:rsid w:val="00B0369B"/>
    <w:rsid w:val="00B03A33"/>
    <w:rsid w:val="00B03BDC"/>
    <w:rsid w:val="00B04E2D"/>
    <w:rsid w:val="00B0563D"/>
    <w:rsid w:val="00B06F3A"/>
    <w:rsid w:val="00B0777C"/>
    <w:rsid w:val="00B07BA2"/>
    <w:rsid w:val="00B10165"/>
    <w:rsid w:val="00B10207"/>
    <w:rsid w:val="00B1121B"/>
    <w:rsid w:val="00B11250"/>
    <w:rsid w:val="00B124B6"/>
    <w:rsid w:val="00B12A2D"/>
    <w:rsid w:val="00B134E9"/>
    <w:rsid w:val="00B13597"/>
    <w:rsid w:val="00B13CE7"/>
    <w:rsid w:val="00B15301"/>
    <w:rsid w:val="00B16B76"/>
    <w:rsid w:val="00B20541"/>
    <w:rsid w:val="00B20BB8"/>
    <w:rsid w:val="00B214FD"/>
    <w:rsid w:val="00B221EF"/>
    <w:rsid w:val="00B22FE5"/>
    <w:rsid w:val="00B24356"/>
    <w:rsid w:val="00B253AB"/>
    <w:rsid w:val="00B25457"/>
    <w:rsid w:val="00B258BA"/>
    <w:rsid w:val="00B25B27"/>
    <w:rsid w:val="00B25C57"/>
    <w:rsid w:val="00B25CE3"/>
    <w:rsid w:val="00B26B7A"/>
    <w:rsid w:val="00B27252"/>
    <w:rsid w:val="00B27349"/>
    <w:rsid w:val="00B27919"/>
    <w:rsid w:val="00B30C2B"/>
    <w:rsid w:val="00B30E83"/>
    <w:rsid w:val="00B315EE"/>
    <w:rsid w:val="00B31828"/>
    <w:rsid w:val="00B32538"/>
    <w:rsid w:val="00B32D34"/>
    <w:rsid w:val="00B335F5"/>
    <w:rsid w:val="00B357BF"/>
    <w:rsid w:val="00B35FFF"/>
    <w:rsid w:val="00B37323"/>
    <w:rsid w:val="00B377E9"/>
    <w:rsid w:val="00B37828"/>
    <w:rsid w:val="00B37E92"/>
    <w:rsid w:val="00B4038E"/>
    <w:rsid w:val="00B40AAE"/>
    <w:rsid w:val="00B40ED1"/>
    <w:rsid w:val="00B421B0"/>
    <w:rsid w:val="00B4271D"/>
    <w:rsid w:val="00B427D1"/>
    <w:rsid w:val="00B439C4"/>
    <w:rsid w:val="00B43A7C"/>
    <w:rsid w:val="00B44EB1"/>
    <w:rsid w:val="00B45A8C"/>
    <w:rsid w:val="00B461F0"/>
    <w:rsid w:val="00B4636C"/>
    <w:rsid w:val="00B475EF"/>
    <w:rsid w:val="00B4795E"/>
    <w:rsid w:val="00B50010"/>
    <w:rsid w:val="00B50535"/>
    <w:rsid w:val="00B50582"/>
    <w:rsid w:val="00B5099B"/>
    <w:rsid w:val="00B5151E"/>
    <w:rsid w:val="00B516FE"/>
    <w:rsid w:val="00B5239F"/>
    <w:rsid w:val="00B524D1"/>
    <w:rsid w:val="00B52910"/>
    <w:rsid w:val="00B5350F"/>
    <w:rsid w:val="00B53817"/>
    <w:rsid w:val="00B54B34"/>
    <w:rsid w:val="00B554E3"/>
    <w:rsid w:val="00B55529"/>
    <w:rsid w:val="00B57446"/>
    <w:rsid w:val="00B57BC9"/>
    <w:rsid w:val="00B60E04"/>
    <w:rsid w:val="00B6188A"/>
    <w:rsid w:val="00B61C84"/>
    <w:rsid w:val="00B61F7E"/>
    <w:rsid w:val="00B61FFB"/>
    <w:rsid w:val="00B6260D"/>
    <w:rsid w:val="00B6304C"/>
    <w:rsid w:val="00B6312E"/>
    <w:rsid w:val="00B6374A"/>
    <w:rsid w:val="00B64A4D"/>
    <w:rsid w:val="00B64AD0"/>
    <w:rsid w:val="00B64FCE"/>
    <w:rsid w:val="00B65003"/>
    <w:rsid w:val="00B65390"/>
    <w:rsid w:val="00B67399"/>
    <w:rsid w:val="00B67C00"/>
    <w:rsid w:val="00B706C7"/>
    <w:rsid w:val="00B71299"/>
    <w:rsid w:val="00B71440"/>
    <w:rsid w:val="00B7147D"/>
    <w:rsid w:val="00B723C6"/>
    <w:rsid w:val="00B723E5"/>
    <w:rsid w:val="00B72D87"/>
    <w:rsid w:val="00B739D8"/>
    <w:rsid w:val="00B73CB9"/>
    <w:rsid w:val="00B745B0"/>
    <w:rsid w:val="00B752FD"/>
    <w:rsid w:val="00B757DE"/>
    <w:rsid w:val="00B75C43"/>
    <w:rsid w:val="00B76471"/>
    <w:rsid w:val="00B7678D"/>
    <w:rsid w:val="00B767D9"/>
    <w:rsid w:val="00B769FF"/>
    <w:rsid w:val="00B76CB1"/>
    <w:rsid w:val="00B77D70"/>
    <w:rsid w:val="00B77ECE"/>
    <w:rsid w:val="00B8023A"/>
    <w:rsid w:val="00B803E5"/>
    <w:rsid w:val="00B8090F"/>
    <w:rsid w:val="00B80B00"/>
    <w:rsid w:val="00B80FDF"/>
    <w:rsid w:val="00B81082"/>
    <w:rsid w:val="00B81A9F"/>
    <w:rsid w:val="00B81E8C"/>
    <w:rsid w:val="00B829F2"/>
    <w:rsid w:val="00B8338D"/>
    <w:rsid w:val="00B83CB0"/>
    <w:rsid w:val="00B84CEB"/>
    <w:rsid w:val="00B85286"/>
    <w:rsid w:val="00B852EE"/>
    <w:rsid w:val="00B8534C"/>
    <w:rsid w:val="00B859D9"/>
    <w:rsid w:val="00B85B6C"/>
    <w:rsid w:val="00B862B6"/>
    <w:rsid w:val="00B863FF"/>
    <w:rsid w:val="00B868E6"/>
    <w:rsid w:val="00B870A5"/>
    <w:rsid w:val="00B87B7A"/>
    <w:rsid w:val="00B87C1F"/>
    <w:rsid w:val="00B87DFD"/>
    <w:rsid w:val="00B900D9"/>
    <w:rsid w:val="00B90356"/>
    <w:rsid w:val="00B91027"/>
    <w:rsid w:val="00B91F49"/>
    <w:rsid w:val="00B9319B"/>
    <w:rsid w:val="00B93ACF"/>
    <w:rsid w:val="00B940AD"/>
    <w:rsid w:val="00B9471D"/>
    <w:rsid w:val="00B94DB1"/>
    <w:rsid w:val="00B95713"/>
    <w:rsid w:val="00B9584E"/>
    <w:rsid w:val="00B95ACC"/>
    <w:rsid w:val="00B95CD1"/>
    <w:rsid w:val="00B95D63"/>
    <w:rsid w:val="00B9638C"/>
    <w:rsid w:val="00B96FD1"/>
    <w:rsid w:val="00B970B6"/>
    <w:rsid w:val="00B97A09"/>
    <w:rsid w:val="00BA09F7"/>
    <w:rsid w:val="00BA0EA9"/>
    <w:rsid w:val="00BA11BE"/>
    <w:rsid w:val="00BA1D40"/>
    <w:rsid w:val="00BA3208"/>
    <w:rsid w:val="00BA3512"/>
    <w:rsid w:val="00BA3590"/>
    <w:rsid w:val="00BA3F1B"/>
    <w:rsid w:val="00BA3FC6"/>
    <w:rsid w:val="00BA4699"/>
    <w:rsid w:val="00BA47A5"/>
    <w:rsid w:val="00BA4E19"/>
    <w:rsid w:val="00BA527E"/>
    <w:rsid w:val="00BA55F1"/>
    <w:rsid w:val="00BA5D42"/>
    <w:rsid w:val="00BA6B3C"/>
    <w:rsid w:val="00BA745D"/>
    <w:rsid w:val="00BA78F6"/>
    <w:rsid w:val="00BA7A5F"/>
    <w:rsid w:val="00BB0765"/>
    <w:rsid w:val="00BB10EA"/>
    <w:rsid w:val="00BB1AC8"/>
    <w:rsid w:val="00BB1C3F"/>
    <w:rsid w:val="00BB1EF2"/>
    <w:rsid w:val="00BB282F"/>
    <w:rsid w:val="00BB304D"/>
    <w:rsid w:val="00BB3361"/>
    <w:rsid w:val="00BB3C3C"/>
    <w:rsid w:val="00BB3ECD"/>
    <w:rsid w:val="00BB3F2A"/>
    <w:rsid w:val="00BB59CF"/>
    <w:rsid w:val="00BB5DC9"/>
    <w:rsid w:val="00BB64B8"/>
    <w:rsid w:val="00BB66FB"/>
    <w:rsid w:val="00BB6BC9"/>
    <w:rsid w:val="00BB7332"/>
    <w:rsid w:val="00BB7D3A"/>
    <w:rsid w:val="00BC2987"/>
    <w:rsid w:val="00BC2A06"/>
    <w:rsid w:val="00BC31E7"/>
    <w:rsid w:val="00BC448D"/>
    <w:rsid w:val="00BC5ECA"/>
    <w:rsid w:val="00BC6790"/>
    <w:rsid w:val="00BC6B9D"/>
    <w:rsid w:val="00BC7162"/>
    <w:rsid w:val="00BC72C8"/>
    <w:rsid w:val="00BD031B"/>
    <w:rsid w:val="00BD15E5"/>
    <w:rsid w:val="00BD20B1"/>
    <w:rsid w:val="00BD34C5"/>
    <w:rsid w:val="00BD40D6"/>
    <w:rsid w:val="00BD43ED"/>
    <w:rsid w:val="00BD4933"/>
    <w:rsid w:val="00BD4F68"/>
    <w:rsid w:val="00BD722C"/>
    <w:rsid w:val="00BD76B2"/>
    <w:rsid w:val="00BD7888"/>
    <w:rsid w:val="00BE018F"/>
    <w:rsid w:val="00BE0461"/>
    <w:rsid w:val="00BE0677"/>
    <w:rsid w:val="00BE0C7F"/>
    <w:rsid w:val="00BE1DDA"/>
    <w:rsid w:val="00BE31CC"/>
    <w:rsid w:val="00BE3599"/>
    <w:rsid w:val="00BE393A"/>
    <w:rsid w:val="00BE3CBE"/>
    <w:rsid w:val="00BE41BE"/>
    <w:rsid w:val="00BE4324"/>
    <w:rsid w:val="00BE436B"/>
    <w:rsid w:val="00BE48A7"/>
    <w:rsid w:val="00BE4A06"/>
    <w:rsid w:val="00BE4A99"/>
    <w:rsid w:val="00BE6032"/>
    <w:rsid w:val="00BE6093"/>
    <w:rsid w:val="00BE7112"/>
    <w:rsid w:val="00BE7374"/>
    <w:rsid w:val="00BE7C0D"/>
    <w:rsid w:val="00BF031D"/>
    <w:rsid w:val="00BF0660"/>
    <w:rsid w:val="00BF0828"/>
    <w:rsid w:val="00BF2421"/>
    <w:rsid w:val="00BF2924"/>
    <w:rsid w:val="00BF2B58"/>
    <w:rsid w:val="00BF4138"/>
    <w:rsid w:val="00BF4F35"/>
    <w:rsid w:val="00BF52B0"/>
    <w:rsid w:val="00BF5526"/>
    <w:rsid w:val="00BF5AEE"/>
    <w:rsid w:val="00BF5B83"/>
    <w:rsid w:val="00BF6341"/>
    <w:rsid w:val="00BF6A4C"/>
    <w:rsid w:val="00BF6E23"/>
    <w:rsid w:val="00BF7467"/>
    <w:rsid w:val="00BF76AF"/>
    <w:rsid w:val="00C00308"/>
    <w:rsid w:val="00C003D8"/>
    <w:rsid w:val="00C00D70"/>
    <w:rsid w:val="00C0131D"/>
    <w:rsid w:val="00C014F4"/>
    <w:rsid w:val="00C01874"/>
    <w:rsid w:val="00C0241F"/>
    <w:rsid w:val="00C02529"/>
    <w:rsid w:val="00C02F32"/>
    <w:rsid w:val="00C03312"/>
    <w:rsid w:val="00C04A43"/>
    <w:rsid w:val="00C05D1D"/>
    <w:rsid w:val="00C05FAA"/>
    <w:rsid w:val="00C05FEA"/>
    <w:rsid w:val="00C062A8"/>
    <w:rsid w:val="00C07A25"/>
    <w:rsid w:val="00C07C41"/>
    <w:rsid w:val="00C07E11"/>
    <w:rsid w:val="00C10B77"/>
    <w:rsid w:val="00C11D18"/>
    <w:rsid w:val="00C12FFD"/>
    <w:rsid w:val="00C13BB5"/>
    <w:rsid w:val="00C14164"/>
    <w:rsid w:val="00C14594"/>
    <w:rsid w:val="00C14898"/>
    <w:rsid w:val="00C14FFB"/>
    <w:rsid w:val="00C15555"/>
    <w:rsid w:val="00C15CFD"/>
    <w:rsid w:val="00C168D2"/>
    <w:rsid w:val="00C16D78"/>
    <w:rsid w:val="00C16DCA"/>
    <w:rsid w:val="00C17578"/>
    <w:rsid w:val="00C21950"/>
    <w:rsid w:val="00C2196F"/>
    <w:rsid w:val="00C21C12"/>
    <w:rsid w:val="00C23643"/>
    <w:rsid w:val="00C2462C"/>
    <w:rsid w:val="00C24C91"/>
    <w:rsid w:val="00C25003"/>
    <w:rsid w:val="00C250EC"/>
    <w:rsid w:val="00C25398"/>
    <w:rsid w:val="00C2624B"/>
    <w:rsid w:val="00C2645F"/>
    <w:rsid w:val="00C26F34"/>
    <w:rsid w:val="00C279EA"/>
    <w:rsid w:val="00C27B53"/>
    <w:rsid w:val="00C30C5D"/>
    <w:rsid w:val="00C30D5E"/>
    <w:rsid w:val="00C316DC"/>
    <w:rsid w:val="00C31719"/>
    <w:rsid w:val="00C31B89"/>
    <w:rsid w:val="00C32152"/>
    <w:rsid w:val="00C32523"/>
    <w:rsid w:val="00C326B5"/>
    <w:rsid w:val="00C347EB"/>
    <w:rsid w:val="00C349A6"/>
    <w:rsid w:val="00C34A46"/>
    <w:rsid w:val="00C34B7A"/>
    <w:rsid w:val="00C34CE7"/>
    <w:rsid w:val="00C34E6B"/>
    <w:rsid w:val="00C350EB"/>
    <w:rsid w:val="00C35934"/>
    <w:rsid w:val="00C3654B"/>
    <w:rsid w:val="00C36E1D"/>
    <w:rsid w:val="00C378B5"/>
    <w:rsid w:val="00C401BE"/>
    <w:rsid w:val="00C40C4D"/>
    <w:rsid w:val="00C40E6A"/>
    <w:rsid w:val="00C41AAD"/>
    <w:rsid w:val="00C42186"/>
    <w:rsid w:val="00C422E2"/>
    <w:rsid w:val="00C427FD"/>
    <w:rsid w:val="00C42858"/>
    <w:rsid w:val="00C42941"/>
    <w:rsid w:val="00C4298A"/>
    <w:rsid w:val="00C42B2F"/>
    <w:rsid w:val="00C4330E"/>
    <w:rsid w:val="00C44509"/>
    <w:rsid w:val="00C44900"/>
    <w:rsid w:val="00C4566F"/>
    <w:rsid w:val="00C45708"/>
    <w:rsid w:val="00C458E8"/>
    <w:rsid w:val="00C46051"/>
    <w:rsid w:val="00C47B7B"/>
    <w:rsid w:val="00C47D49"/>
    <w:rsid w:val="00C500B2"/>
    <w:rsid w:val="00C506D3"/>
    <w:rsid w:val="00C5087F"/>
    <w:rsid w:val="00C5179F"/>
    <w:rsid w:val="00C5196D"/>
    <w:rsid w:val="00C51A5C"/>
    <w:rsid w:val="00C51E3B"/>
    <w:rsid w:val="00C51ED1"/>
    <w:rsid w:val="00C51F76"/>
    <w:rsid w:val="00C520EB"/>
    <w:rsid w:val="00C52439"/>
    <w:rsid w:val="00C5251D"/>
    <w:rsid w:val="00C52DCB"/>
    <w:rsid w:val="00C53764"/>
    <w:rsid w:val="00C53F36"/>
    <w:rsid w:val="00C543A8"/>
    <w:rsid w:val="00C54404"/>
    <w:rsid w:val="00C54C7D"/>
    <w:rsid w:val="00C55057"/>
    <w:rsid w:val="00C55ECD"/>
    <w:rsid w:val="00C560DC"/>
    <w:rsid w:val="00C56929"/>
    <w:rsid w:val="00C56D17"/>
    <w:rsid w:val="00C56D83"/>
    <w:rsid w:val="00C57C19"/>
    <w:rsid w:val="00C60695"/>
    <w:rsid w:val="00C60C19"/>
    <w:rsid w:val="00C61DF4"/>
    <w:rsid w:val="00C62C5F"/>
    <w:rsid w:val="00C6391D"/>
    <w:rsid w:val="00C648E7"/>
    <w:rsid w:val="00C64A34"/>
    <w:rsid w:val="00C64FCB"/>
    <w:rsid w:val="00C650DD"/>
    <w:rsid w:val="00C65172"/>
    <w:rsid w:val="00C656DA"/>
    <w:rsid w:val="00C65921"/>
    <w:rsid w:val="00C67AE5"/>
    <w:rsid w:val="00C70468"/>
    <w:rsid w:val="00C7161D"/>
    <w:rsid w:val="00C71AB5"/>
    <w:rsid w:val="00C72047"/>
    <w:rsid w:val="00C72A3E"/>
    <w:rsid w:val="00C73333"/>
    <w:rsid w:val="00C73A82"/>
    <w:rsid w:val="00C74F34"/>
    <w:rsid w:val="00C76016"/>
    <w:rsid w:val="00C7604F"/>
    <w:rsid w:val="00C7616C"/>
    <w:rsid w:val="00C762B3"/>
    <w:rsid w:val="00C76407"/>
    <w:rsid w:val="00C768F1"/>
    <w:rsid w:val="00C770EE"/>
    <w:rsid w:val="00C77543"/>
    <w:rsid w:val="00C77573"/>
    <w:rsid w:val="00C809D0"/>
    <w:rsid w:val="00C80CE4"/>
    <w:rsid w:val="00C80DBF"/>
    <w:rsid w:val="00C81BDD"/>
    <w:rsid w:val="00C82113"/>
    <w:rsid w:val="00C8234B"/>
    <w:rsid w:val="00C82AC5"/>
    <w:rsid w:val="00C82B76"/>
    <w:rsid w:val="00C82C2F"/>
    <w:rsid w:val="00C82D75"/>
    <w:rsid w:val="00C82F92"/>
    <w:rsid w:val="00C832C3"/>
    <w:rsid w:val="00C8400C"/>
    <w:rsid w:val="00C84449"/>
    <w:rsid w:val="00C84ACC"/>
    <w:rsid w:val="00C84DE6"/>
    <w:rsid w:val="00C85145"/>
    <w:rsid w:val="00C85260"/>
    <w:rsid w:val="00C85349"/>
    <w:rsid w:val="00C85F9C"/>
    <w:rsid w:val="00C86707"/>
    <w:rsid w:val="00C867F1"/>
    <w:rsid w:val="00C86E89"/>
    <w:rsid w:val="00C8719B"/>
    <w:rsid w:val="00C87221"/>
    <w:rsid w:val="00C8741B"/>
    <w:rsid w:val="00C87530"/>
    <w:rsid w:val="00C9075D"/>
    <w:rsid w:val="00C90C05"/>
    <w:rsid w:val="00C91BA8"/>
    <w:rsid w:val="00C92B4D"/>
    <w:rsid w:val="00C92E3F"/>
    <w:rsid w:val="00C9335A"/>
    <w:rsid w:val="00C93755"/>
    <w:rsid w:val="00C93AE0"/>
    <w:rsid w:val="00C93E26"/>
    <w:rsid w:val="00C93E33"/>
    <w:rsid w:val="00C951FD"/>
    <w:rsid w:val="00C9526B"/>
    <w:rsid w:val="00C95299"/>
    <w:rsid w:val="00C953B4"/>
    <w:rsid w:val="00C958BA"/>
    <w:rsid w:val="00C95A31"/>
    <w:rsid w:val="00C95ACD"/>
    <w:rsid w:val="00C95B73"/>
    <w:rsid w:val="00C965B4"/>
    <w:rsid w:val="00C96745"/>
    <w:rsid w:val="00C97074"/>
    <w:rsid w:val="00C97B89"/>
    <w:rsid w:val="00CA011B"/>
    <w:rsid w:val="00CA144C"/>
    <w:rsid w:val="00CA1C67"/>
    <w:rsid w:val="00CA30D9"/>
    <w:rsid w:val="00CA34DB"/>
    <w:rsid w:val="00CA42B3"/>
    <w:rsid w:val="00CA4351"/>
    <w:rsid w:val="00CA43C3"/>
    <w:rsid w:val="00CA4425"/>
    <w:rsid w:val="00CA4583"/>
    <w:rsid w:val="00CA4918"/>
    <w:rsid w:val="00CA4D9B"/>
    <w:rsid w:val="00CA63A5"/>
    <w:rsid w:val="00CA738B"/>
    <w:rsid w:val="00CA75C0"/>
    <w:rsid w:val="00CA75E0"/>
    <w:rsid w:val="00CA7E1A"/>
    <w:rsid w:val="00CB03BD"/>
    <w:rsid w:val="00CB052C"/>
    <w:rsid w:val="00CB09AD"/>
    <w:rsid w:val="00CB468C"/>
    <w:rsid w:val="00CB4AE2"/>
    <w:rsid w:val="00CB57AA"/>
    <w:rsid w:val="00CB5C9D"/>
    <w:rsid w:val="00CB673D"/>
    <w:rsid w:val="00CB79C5"/>
    <w:rsid w:val="00CB7B46"/>
    <w:rsid w:val="00CB7E3D"/>
    <w:rsid w:val="00CC0E3A"/>
    <w:rsid w:val="00CC145D"/>
    <w:rsid w:val="00CC15A3"/>
    <w:rsid w:val="00CC202D"/>
    <w:rsid w:val="00CC3736"/>
    <w:rsid w:val="00CC3D87"/>
    <w:rsid w:val="00CC48BB"/>
    <w:rsid w:val="00CC4B35"/>
    <w:rsid w:val="00CC50BD"/>
    <w:rsid w:val="00CC5161"/>
    <w:rsid w:val="00CC554C"/>
    <w:rsid w:val="00CC565C"/>
    <w:rsid w:val="00CC59C9"/>
    <w:rsid w:val="00CC5A31"/>
    <w:rsid w:val="00CC622C"/>
    <w:rsid w:val="00CC77EA"/>
    <w:rsid w:val="00CC79A7"/>
    <w:rsid w:val="00CD04D9"/>
    <w:rsid w:val="00CD0D73"/>
    <w:rsid w:val="00CD0D8E"/>
    <w:rsid w:val="00CD1244"/>
    <w:rsid w:val="00CD1A92"/>
    <w:rsid w:val="00CD1E0E"/>
    <w:rsid w:val="00CD25F3"/>
    <w:rsid w:val="00CD3292"/>
    <w:rsid w:val="00CD3C3C"/>
    <w:rsid w:val="00CD3E69"/>
    <w:rsid w:val="00CD42A1"/>
    <w:rsid w:val="00CD4A4E"/>
    <w:rsid w:val="00CD510F"/>
    <w:rsid w:val="00CD51AF"/>
    <w:rsid w:val="00CD5ABA"/>
    <w:rsid w:val="00CD5B82"/>
    <w:rsid w:val="00CD62A5"/>
    <w:rsid w:val="00CD6CB9"/>
    <w:rsid w:val="00CD716D"/>
    <w:rsid w:val="00CD7297"/>
    <w:rsid w:val="00CE0CC9"/>
    <w:rsid w:val="00CE1A0C"/>
    <w:rsid w:val="00CE2553"/>
    <w:rsid w:val="00CE2565"/>
    <w:rsid w:val="00CE2857"/>
    <w:rsid w:val="00CE3B7E"/>
    <w:rsid w:val="00CE5351"/>
    <w:rsid w:val="00CE6637"/>
    <w:rsid w:val="00CE69F2"/>
    <w:rsid w:val="00CE6FDD"/>
    <w:rsid w:val="00CE71F3"/>
    <w:rsid w:val="00CE76DA"/>
    <w:rsid w:val="00CF092E"/>
    <w:rsid w:val="00CF0B16"/>
    <w:rsid w:val="00CF10D1"/>
    <w:rsid w:val="00CF13A7"/>
    <w:rsid w:val="00CF16DE"/>
    <w:rsid w:val="00CF21AD"/>
    <w:rsid w:val="00CF5267"/>
    <w:rsid w:val="00CF5B22"/>
    <w:rsid w:val="00CF63A4"/>
    <w:rsid w:val="00CF7038"/>
    <w:rsid w:val="00CF727C"/>
    <w:rsid w:val="00D007E8"/>
    <w:rsid w:val="00D0154B"/>
    <w:rsid w:val="00D01D4B"/>
    <w:rsid w:val="00D02092"/>
    <w:rsid w:val="00D0268D"/>
    <w:rsid w:val="00D0331C"/>
    <w:rsid w:val="00D04141"/>
    <w:rsid w:val="00D070A2"/>
    <w:rsid w:val="00D076F0"/>
    <w:rsid w:val="00D077A7"/>
    <w:rsid w:val="00D07835"/>
    <w:rsid w:val="00D078A8"/>
    <w:rsid w:val="00D10436"/>
    <w:rsid w:val="00D10533"/>
    <w:rsid w:val="00D10B33"/>
    <w:rsid w:val="00D10B69"/>
    <w:rsid w:val="00D10DD4"/>
    <w:rsid w:val="00D11720"/>
    <w:rsid w:val="00D1176B"/>
    <w:rsid w:val="00D12806"/>
    <w:rsid w:val="00D129F7"/>
    <w:rsid w:val="00D13251"/>
    <w:rsid w:val="00D13F85"/>
    <w:rsid w:val="00D1452C"/>
    <w:rsid w:val="00D1467F"/>
    <w:rsid w:val="00D155EF"/>
    <w:rsid w:val="00D17ABE"/>
    <w:rsid w:val="00D17C88"/>
    <w:rsid w:val="00D20359"/>
    <w:rsid w:val="00D20438"/>
    <w:rsid w:val="00D20664"/>
    <w:rsid w:val="00D20E3E"/>
    <w:rsid w:val="00D21DA6"/>
    <w:rsid w:val="00D22111"/>
    <w:rsid w:val="00D22119"/>
    <w:rsid w:val="00D223D8"/>
    <w:rsid w:val="00D23487"/>
    <w:rsid w:val="00D24209"/>
    <w:rsid w:val="00D24265"/>
    <w:rsid w:val="00D2442E"/>
    <w:rsid w:val="00D2586E"/>
    <w:rsid w:val="00D275B7"/>
    <w:rsid w:val="00D277F3"/>
    <w:rsid w:val="00D27A18"/>
    <w:rsid w:val="00D30727"/>
    <w:rsid w:val="00D3105B"/>
    <w:rsid w:val="00D31A41"/>
    <w:rsid w:val="00D32286"/>
    <w:rsid w:val="00D33069"/>
    <w:rsid w:val="00D33133"/>
    <w:rsid w:val="00D335BB"/>
    <w:rsid w:val="00D33699"/>
    <w:rsid w:val="00D349B8"/>
    <w:rsid w:val="00D34BAB"/>
    <w:rsid w:val="00D34CBB"/>
    <w:rsid w:val="00D36B6A"/>
    <w:rsid w:val="00D37566"/>
    <w:rsid w:val="00D40C56"/>
    <w:rsid w:val="00D4218C"/>
    <w:rsid w:val="00D42A27"/>
    <w:rsid w:val="00D445F7"/>
    <w:rsid w:val="00D44999"/>
    <w:rsid w:val="00D4617E"/>
    <w:rsid w:val="00D46E57"/>
    <w:rsid w:val="00D472F5"/>
    <w:rsid w:val="00D507B7"/>
    <w:rsid w:val="00D5238F"/>
    <w:rsid w:val="00D5255A"/>
    <w:rsid w:val="00D525AD"/>
    <w:rsid w:val="00D5286E"/>
    <w:rsid w:val="00D531C5"/>
    <w:rsid w:val="00D53DCE"/>
    <w:rsid w:val="00D547AD"/>
    <w:rsid w:val="00D555EC"/>
    <w:rsid w:val="00D555ED"/>
    <w:rsid w:val="00D55D06"/>
    <w:rsid w:val="00D562F7"/>
    <w:rsid w:val="00D56301"/>
    <w:rsid w:val="00D5658C"/>
    <w:rsid w:val="00D56604"/>
    <w:rsid w:val="00D56711"/>
    <w:rsid w:val="00D56F08"/>
    <w:rsid w:val="00D5754F"/>
    <w:rsid w:val="00D57C57"/>
    <w:rsid w:val="00D6064E"/>
    <w:rsid w:val="00D60B20"/>
    <w:rsid w:val="00D60DE8"/>
    <w:rsid w:val="00D60FA4"/>
    <w:rsid w:val="00D61766"/>
    <w:rsid w:val="00D6177E"/>
    <w:rsid w:val="00D6267F"/>
    <w:rsid w:val="00D62A76"/>
    <w:rsid w:val="00D62FAF"/>
    <w:rsid w:val="00D633FD"/>
    <w:rsid w:val="00D63852"/>
    <w:rsid w:val="00D63B8D"/>
    <w:rsid w:val="00D63E7A"/>
    <w:rsid w:val="00D640A3"/>
    <w:rsid w:val="00D64588"/>
    <w:rsid w:val="00D656DD"/>
    <w:rsid w:val="00D65EAC"/>
    <w:rsid w:val="00D66BB6"/>
    <w:rsid w:val="00D66CBB"/>
    <w:rsid w:val="00D6704E"/>
    <w:rsid w:val="00D67258"/>
    <w:rsid w:val="00D67E87"/>
    <w:rsid w:val="00D70049"/>
    <w:rsid w:val="00D7058A"/>
    <w:rsid w:val="00D706EA"/>
    <w:rsid w:val="00D7097B"/>
    <w:rsid w:val="00D70C4B"/>
    <w:rsid w:val="00D70D29"/>
    <w:rsid w:val="00D71947"/>
    <w:rsid w:val="00D71A9E"/>
    <w:rsid w:val="00D71B5E"/>
    <w:rsid w:val="00D72339"/>
    <w:rsid w:val="00D732F9"/>
    <w:rsid w:val="00D733D9"/>
    <w:rsid w:val="00D73AD3"/>
    <w:rsid w:val="00D73FEE"/>
    <w:rsid w:val="00D74908"/>
    <w:rsid w:val="00D75506"/>
    <w:rsid w:val="00D767E6"/>
    <w:rsid w:val="00D76CE0"/>
    <w:rsid w:val="00D76F8C"/>
    <w:rsid w:val="00D7745B"/>
    <w:rsid w:val="00D7761C"/>
    <w:rsid w:val="00D77F5E"/>
    <w:rsid w:val="00D80429"/>
    <w:rsid w:val="00D805C6"/>
    <w:rsid w:val="00D80EBF"/>
    <w:rsid w:val="00D817D4"/>
    <w:rsid w:val="00D81DED"/>
    <w:rsid w:val="00D821F5"/>
    <w:rsid w:val="00D82B69"/>
    <w:rsid w:val="00D839C5"/>
    <w:rsid w:val="00D85070"/>
    <w:rsid w:val="00D859C6"/>
    <w:rsid w:val="00D859DF"/>
    <w:rsid w:val="00D85ED6"/>
    <w:rsid w:val="00D85FC2"/>
    <w:rsid w:val="00D86365"/>
    <w:rsid w:val="00D86731"/>
    <w:rsid w:val="00D87A71"/>
    <w:rsid w:val="00D87AD8"/>
    <w:rsid w:val="00D902EE"/>
    <w:rsid w:val="00D90B50"/>
    <w:rsid w:val="00D90D54"/>
    <w:rsid w:val="00D90FD7"/>
    <w:rsid w:val="00D913A9"/>
    <w:rsid w:val="00D91682"/>
    <w:rsid w:val="00D926B3"/>
    <w:rsid w:val="00D92CBE"/>
    <w:rsid w:val="00D93C8D"/>
    <w:rsid w:val="00D94AC6"/>
    <w:rsid w:val="00D95752"/>
    <w:rsid w:val="00D962E5"/>
    <w:rsid w:val="00D96DD4"/>
    <w:rsid w:val="00D96F18"/>
    <w:rsid w:val="00D97BAF"/>
    <w:rsid w:val="00DA023E"/>
    <w:rsid w:val="00DA0520"/>
    <w:rsid w:val="00DA1234"/>
    <w:rsid w:val="00DA12EF"/>
    <w:rsid w:val="00DA189F"/>
    <w:rsid w:val="00DA199B"/>
    <w:rsid w:val="00DA1B3B"/>
    <w:rsid w:val="00DA28EE"/>
    <w:rsid w:val="00DA2FEC"/>
    <w:rsid w:val="00DA332B"/>
    <w:rsid w:val="00DA339D"/>
    <w:rsid w:val="00DA39E6"/>
    <w:rsid w:val="00DA3D14"/>
    <w:rsid w:val="00DA3ED1"/>
    <w:rsid w:val="00DA4559"/>
    <w:rsid w:val="00DA4908"/>
    <w:rsid w:val="00DA4E5A"/>
    <w:rsid w:val="00DA5084"/>
    <w:rsid w:val="00DA555C"/>
    <w:rsid w:val="00DA5750"/>
    <w:rsid w:val="00DA5847"/>
    <w:rsid w:val="00DA666B"/>
    <w:rsid w:val="00DA6769"/>
    <w:rsid w:val="00DA710C"/>
    <w:rsid w:val="00DB07CC"/>
    <w:rsid w:val="00DB0D15"/>
    <w:rsid w:val="00DB0FFB"/>
    <w:rsid w:val="00DB18CD"/>
    <w:rsid w:val="00DB1B53"/>
    <w:rsid w:val="00DB2CA3"/>
    <w:rsid w:val="00DB30E4"/>
    <w:rsid w:val="00DB423E"/>
    <w:rsid w:val="00DB57EF"/>
    <w:rsid w:val="00DB5AE0"/>
    <w:rsid w:val="00DB6C20"/>
    <w:rsid w:val="00DB6C68"/>
    <w:rsid w:val="00DB7064"/>
    <w:rsid w:val="00DB720D"/>
    <w:rsid w:val="00DB74B1"/>
    <w:rsid w:val="00DC0149"/>
    <w:rsid w:val="00DC0D21"/>
    <w:rsid w:val="00DC1791"/>
    <w:rsid w:val="00DC20C2"/>
    <w:rsid w:val="00DC2CE1"/>
    <w:rsid w:val="00DC2F21"/>
    <w:rsid w:val="00DC3352"/>
    <w:rsid w:val="00DC3709"/>
    <w:rsid w:val="00DC3BB5"/>
    <w:rsid w:val="00DC4054"/>
    <w:rsid w:val="00DC511C"/>
    <w:rsid w:val="00DC61E6"/>
    <w:rsid w:val="00DC6359"/>
    <w:rsid w:val="00DC6B3B"/>
    <w:rsid w:val="00DC6FEE"/>
    <w:rsid w:val="00DD08D8"/>
    <w:rsid w:val="00DD10AF"/>
    <w:rsid w:val="00DD1823"/>
    <w:rsid w:val="00DD322F"/>
    <w:rsid w:val="00DD3767"/>
    <w:rsid w:val="00DD4764"/>
    <w:rsid w:val="00DD4DA7"/>
    <w:rsid w:val="00DD5867"/>
    <w:rsid w:val="00DD5DB1"/>
    <w:rsid w:val="00DD5EF1"/>
    <w:rsid w:val="00DD79A3"/>
    <w:rsid w:val="00DE0A15"/>
    <w:rsid w:val="00DE105E"/>
    <w:rsid w:val="00DE2686"/>
    <w:rsid w:val="00DE3728"/>
    <w:rsid w:val="00DE3B0A"/>
    <w:rsid w:val="00DE3B69"/>
    <w:rsid w:val="00DE3E14"/>
    <w:rsid w:val="00DE58D8"/>
    <w:rsid w:val="00DE78B3"/>
    <w:rsid w:val="00DE78C6"/>
    <w:rsid w:val="00DE7A35"/>
    <w:rsid w:val="00DF0442"/>
    <w:rsid w:val="00DF1495"/>
    <w:rsid w:val="00DF217F"/>
    <w:rsid w:val="00DF256C"/>
    <w:rsid w:val="00DF25CF"/>
    <w:rsid w:val="00DF30DF"/>
    <w:rsid w:val="00DF4676"/>
    <w:rsid w:val="00DF51CC"/>
    <w:rsid w:val="00DF5B07"/>
    <w:rsid w:val="00DF5F6F"/>
    <w:rsid w:val="00DF7F1B"/>
    <w:rsid w:val="00E0096A"/>
    <w:rsid w:val="00E00C8E"/>
    <w:rsid w:val="00E00D6A"/>
    <w:rsid w:val="00E00F1F"/>
    <w:rsid w:val="00E01C35"/>
    <w:rsid w:val="00E02A28"/>
    <w:rsid w:val="00E02C0C"/>
    <w:rsid w:val="00E03FFA"/>
    <w:rsid w:val="00E043FD"/>
    <w:rsid w:val="00E04512"/>
    <w:rsid w:val="00E04A90"/>
    <w:rsid w:val="00E050CA"/>
    <w:rsid w:val="00E0634A"/>
    <w:rsid w:val="00E06C23"/>
    <w:rsid w:val="00E06EFD"/>
    <w:rsid w:val="00E07ADB"/>
    <w:rsid w:val="00E1012B"/>
    <w:rsid w:val="00E10DF2"/>
    <w:rsid w:val="00E11B39"/>
    <w:rsid w:val="00E12903"/>
    <w:rsid w:val="00E12A69"/>
    <w:rsid w:val="00E12EFD"/>
    <w:rsid w:val="00E1371F"/>
    <w:rsid w:val="00E13F4A"/>
    <w:rsid w:val="00E15229"/>
    <w:rsid w:val="00E1523A"/>
    <w:rsid w:val="00E16CF9"/>
    <w:rsid w:val="00E16F2E"/>
    <w:rsid w:val="00E204C8"/>
    <w:rsid w:val="00E208EF"/>
    <w:rsid w:val="00E210F3"/>
    <w:rsid w:val="00E2171F"/>
    <w:rsid w:val="00E23D57"/>
    <w:rsid w:val="00E23DE9"/>
    <w:rsid w:val="00E24814"/>
    <w:rsid w:val="00E2549D"/>
    <w:rsid w:val="00E25C4A"/>
    <w:rsid w:val="00E26051"/>
    <w:rsid w:val="00E2611B"/>
    <w:rsid w:val="00E262A2"/>
    <w:rsid w:val="00E26533"/>
    <w:rsid w:val="00E271F4"/>
    <w:rsid w:val="00E2738E"/>
    <w:rsid w:val="00E277AC"/>
    <w:rsid w:val="00E27B28"/>
    <w:rsid w:val="00E30564"/>
    <w:rsid w:val="00E30A59"/>
    <w:rsid w:val="00E315AB"/>
    <w:rsid w:val="00E3194C"/>
    <w:rsid w:val="00E32127"/>
    <w:rsid w:val="00E3251E"/>
    <w:rsid w:val="00E32A85"/>
    <w:rsid w:val="00E33383"/>
    <w:rsid w:val="00E33D64"/>
    <w:rsid w:val="00E34451"/>
    <w:rsid w:val="00E34935"/>
    <w:rsid w:val="00E34CA2"/>
    <w:rsid w:val="00E34ECC"/>
    <w:rsid w:val="00E351DD"/>
    <w:rsid w:val="00E362FF"/>
    <w:rsid w:val="00E36C72"/>
    <w:rsid w:val="00E37F0B"/>
    <w:rsid w:val="00E42035"/>
    <w:rsid w:val="00E4337B"/>
    <w:rsid w:val="00E44EF7"/>
    <w:rsid w:val="00E44FE1"/>
    <w:rsid w:val="00E454BD"/>
    <w:rsid w:val="00E458F3"/>
    <w:rsid w:val="00E45F79"/>
    <w:rsid w:val="00E460B2"/>
    <w:rsid w:val="00E46168"/>
    <w:rsid w:val="00E462A2"/>
    <w:rsid w:val="00E46D08"/>
    <w:rsid w:val="00E47183"/>
    <w:rsid w:val="00E47429"/>
    <w:rsid w:val="00E4797A"/>
    <w:rsid w:val="00E47983"/>
    <w:rsid w:val="00E47BE9"/>
    <w:rsid w:val="00E511D0"/>
    <w:rsid w:val="00E511EE"/>
    <w:rsid w:val="00E51BEE"/>
    <w:rsid w:val="00E52271"/>
    <w:rsid w:val="00E53441"/>
    <w:rsid w:val="00E538DC"/>
    <w:rsid w:val="00E54502"/>
    <w:rsid w:val="00E54979"/>
    <w:rsid w:val="00E549A5"/>
    <w:rsid w:val="00E54C8A"/>
    <w:rsid w:val="00E55A07"/>
    <w:rsid w:val="00E55CB6"/>
    <w:rsid w:val="00E574AC"/>
    <w:rsid w:val="00E60D0A"/>
    <w:rsid w:val="00E60F38"/>
    <w:rsid w:val="00E610B4"/>
    <w:rsid w:val="00E61C24"/>
    <w:rsid w:val="00E629E2"/>
    <w:rsid w:val="00E63140"/>
    <w:rsid w:val="00E63459"/>
    <w:rsid w:val="00E6523C"/>
    <w:rsid w:val="00E654A6"/>
    <w:rsid w:val="00E65A84"/>
    <w:rsid w:val="00E660C6"/>
    <w:rsid w:val="00E66540"/>
    <w:rsid w:val="00E667B7"/>
    <w:rsid w:val="00E669BF"/>
    <w:rsid w:val="00E67FC5"/>
    <w:rsid w:val="00E67FE9"/>
    <w:rsid w:val="00E7148C"/>
    <w:rsid w:val="00E718A7"/>
    <w:rsid w:val="00E72209"/>
    <w:rsid w:val="00E72475"/>
    <w:rsid w:val="00E72587"/>
    <w:rsid w:val="00E73966"/>
    <w:rsid w:val="00E73BB6"/>
    <w:rsid w:val="00E74471"/>
    <w:rsid w:val="00E74572"/>
    <w:rsid w:val="00E748D1"/>
    <w:rsid w:val="00E74BE0"/>
    <w:rsid w:val="00E75393"/>
    <w:rsid w:val="00E75C2B"/>
    <w:rsid w:val="00E75D7B"/>
    <w:rsid w:val="00E76B85"/>
    <w:rsid w:val="00E77644"/>
    <w:rsid w:val="00E77BD3"/>
    <w:rsid w:val="00E804B5"/>
    <w:rsid w:val="00E8056E"/>
    <w:rsid w:val="00E80B4B"/>
    <w:rsid w:val="00E80C3E"/>
    <w:rsid w:val="00E823A9"/>
    <w:rsid w:val="00E82CD2"/>
    <w:rsid w:val="00E83652"/>
    <w:rsid w:val="00E83854"/>
    <w:rsid w:val="00E83ED5"/>
    <w:rsid w:val="00E84A67"/>
    <w:rsid w:val="00E84DD5"/>
    <w:rsid w:val="00E85EA7"/>
    <w:rsid w:val="00E862E2"/>
    <w:rsid w:val="00E86E1C"/>
    <w:rsid w:val="00E86FC1"/>
    <w:rsid w:val="00E874D2"/>
    <w:rsid w:val="00E90397"/>
    <w:rsid w:val="00E91334"/>
    <w:rsid w:val="00E913A6"/>
    <w:rsid w:val="00E9148E"/>
    <w:rsid w:val="00E91ABA"/>
    <w:rsid w:val="00E91BC0"/>
    <w:rsid w:val="00E91D8E"/>
    <w:rsid w:val="00E91DB2"/>
    <w:rsid w:val="00E9209B"/>
    <w:rsid w:val="00E92195"/>
    <w:rsid w:val="00E926BF"/>
    <w:rsid w:val="00E92C51"/>
    <w:rsid w:val="00E92E30"/>
    <w:rsid w:val="00E9411C"/>
    <w:rsid w:val="00E949C4"/>
    <w:rsid w:val="00E94F8B"/>
    <w:rsid w:val="00E95635"/>
    <w:rsid w:val="00E95BE9"/>
    <w:rsid w:val="00E95DE7"/>
    <w:rsid w:val="00E962CE"/>
    <w:rsid w:val="00E9671B"/>
    <w:rsid w:val="00E96D07"/>
    <w:rsid w:val="00E97A93"/>
    <w:rsid w:val="00E97DB0"/>
    <w:rsid w:val="00EA02F8"/>
    <w:rsid w:val="00EA059B"/>
    <w:rsid w:val="00EA0AA2"/>
    <w:rsid w:val="00EA0B29"/>
    <w:rsid w:val="00EA0B33"/>
    <w:rsid w:val="00EA1057"/>
    <w:rsid w:val="00EA1A81"/>
    <w:rsid w:val="00EA2864"/>
    <w:rsid w:val="00EA2C72"/>
    <w:rsid w:val="00EA3D66"/>
    <w:rsid w:val="00EA52CA"/>
    <w:rsid w:val="00EA588C"/>
    <w:rsid w:val="00EA6BAF"/>
    <w:rsid w:val="00EA786C"/>
    <w:rsid w:val="00EA7BDF"/>
    <w:rsid w:val="00EA7E6C"/>
    <w:rsid w:val="00EB0E81"/>
    <w:rsid w:val="00EB1458"/>
    <w:rsid w:val="00EB16D5"/>
    <w:rsid w:val="00EB212A"/>
    <w:rsid w:val="00EB2661"/>
    <w:rsid w:val="00EB3A8C"/>
    <w:rsid w:val="00EB464D"/>
    <w:rsid w:val="00EB4884"/>
    <w:rsid w:val="00EB5326"/>
    <w:rsid w:val="00EB598B"/>
    <w:rsid w:val="00EB6500"/>
    <w:rsid w:val="00EB6B8E"/>
    <w:rsid w:val="00EC02A2"/>
    <w:rsid w:val="00EC02C6"/>
    <w:rsid w:val="00EC10E1"/>
    <w:rsid w:val="00EC1315"/>
    <w:rsid w:val="00EC13E4"/>
    <w:rsid w:val="00EC1C0C"/>
    <w:rsid w:val="00EC2D6A"/>
    <w:rsid w:val="00EC2EC7"/>
    <w:rsid w:val="00EC3021"/>
    <w:rsid w:val="00EC3FF8"/>
    <w:rsid w:val="00EC407D"/>
    <w:rsid w:val="00EC4590"/>
    <w:rsid w:val="00EC5D55"/>
    <w:rsid w:val="00EC5F2B"/>
    <w:rsid w:val="00EC6984"/>
    <w:rsid w:val="00EC754A"/>
    <w:rsid w:val="00EC7CFA"/>
    <w:rsid w:val="00EC7CFD"/>
    <w:rsid w:val="00ED07E7"/>
    <w:rsid w:val="00ED140C"/>
    <w:rsid w:val="00ED153F"/>
    <w:rsid w:val="00ED1B1A"/>
    <w:rsid w:val="00ED229C"/>
    <w:rsid w:val="00ED3131"/>
    <w:rsid w:val="00ED5753"/>
    <w:rsid w:val="00ED5FCC"/>
    <w:rsid w:val="00ED710D"/>
    <w:rsid w:val="00ED720D"/>
    <w:rsid w:val="00ED77D0"/>
    <w:rsid w:val="00ED7F3B"/>
    <w:rsid w:val="00EE0906"/>
    <w:rsid w:val="00EE0A36"/>
    <w:rsid w:val="00EE11EB"/>
    <w:rsid w:val="00EE1976"/>
    <w:rsid w:val="00EE1B56"/>
    <w:rsid w:val="00EE3C4F"/>
    <w:rsid w:val="00EE4286"/>
    <w:rsid w:val="00EE4C2C"/>
    <w:rsid w:val="00EE574B"/>
    <w:rsid w:val="00EE5D95"/>
    <w:rsid w:val="00EE6146"/>
    <w:rsid w:val="00EF02BA"/>
    <w:rsid w:val="00EF09FD"/>
    <w:rsid w:val="00EF1EFB"/>
    <w:rsid w:val="00EF2256"/>
    <w:rsid w:val="00EF2F33"/>
    <w:rsid w:val="00EF37B6"/>
    <w:rsid w:val="00EF3CA5"/>
    <w:rsid w:val="00EF40F8"/>
    <w:rsid w:val="00EF45B4"/>
    <w:rsid w:val="00EF75C0"/>
    <w:rsid w:val="00F005DF"/>
    <w:rsid w:val="00F009D5"/>
    <w:rsid w:val="00F0163F"/>
    <w:rsid w:val="00F01C12"/>
    <w:rsid w:val="00F01FC9"/>
    <w:rsid w:val="00F025DE"/>
    <w:rsid w:val="00F02C88"/>
    <w:rsid w:val="00F02DE2"/>
    <w:rsid w:val="00F03238"/>
    <w:rsid w:val="00F032D3"/>
    <w:rsid w:val="00F0356B"/>
    <w:rsid w:val="00F03652"/>
    <w:rsid w:val="00F042EC"/>
    <w:rsid w:val="00F0493E"/>
    <w:rsid w:val="00F05364"/>
    <w:rsid w:val="00F0559A"/>
    <w:rsid w:val="00F0610B"/>
    <w:rsid w:val="00F06FF5"/>
    <w:rsid w:val="00F07324"/>
    <w:rsid w:val="00F10393"/>
    <w:rsid w:val="00F11443"/>
    <w:rsid w:val="00F12549"/>
    <w:rsid w:val="00F12BCA"/>
    <w:rsid w:val="00F12DB4"/>
    <w:rsid w:val="00F13622"/>
    <w:rsid w:val="00F1398F"/>
    <w:rsid w:val="00F1411C"/>
    <w:rsid w:val="00F1418F"/>
    <w:rsid w:val="00F147F9"/>
    <w:rsid w:val="00F1535F"/>
    <w:rsid w:val="00F1603F"/>
    <w:rsid w:val="00F163C4"/>
    <w:rsid w:val="00F167F6"/>
    <w:rsid w:val="00F16DED"/>
    <w:rsid w:val="00F17009"/>
    <w:rsid w:val="00F206F3"/>
    <w:rsid w:val="00F20D9C"/>
    <w:rsid w:val="00F20EFC"/>
    <w:rsid w:val="00F2111D"/>
    <w:rsid w:val="00F215FE"/>
    <w:rsid w:val="00F21880"/>
    <w:rsid w:val="00F22A71"/>
    <w:rsid w:val="00F23219"/>
    <w:rsid w:val="00F239B9"/>
    <w:rsid w:val="00F241B3"/>
    <w:rsid w:val="00F2439A"/>
    <w:rsid w:val="00F2448C"/>
    <w:rsid w:val="00F249B9"/>
    <w:rsid w:val="00F24AAE"/>
    <w:rsid w:val="00F24D7C"/>
    <w:rsid w:val="00F24F69"/>
    <w:rsid w:val="00F25453"/>
    <w:rsid w:val="00F25550"/>
    <w:rsid w:val="00F25DCD"/>
    <w:rsid w:val="00F26502"/>
    <w:rsid w:val="00F26BB0"/>
    <w:rsid w:val="00F26D7F"/>
    <w:rsid w:val="00F27264"/>
    <w:rsid w:val="00F27EC8"/>
    <w:rsid w:val="00F306AF"/>
    <w:rsid w:val="00F30AE8"/>
    <w:rsid w:val="00F30DB8"/>
    <w:rsid w:val="00F3169E"/>
    <w:rsid w:val="00F3185C"/>
    <w:rsid w:val="00F32EEC"/>
    <w:rsid w:val="00F3327C"/>
    <w:rsid w:val="00F336A8"/>
    <w:rsid w:val="00F3381D"/>
    <w:rsid w:val="00F33B13"/>
    <w:rsid w:val="00F33B20"/>
    <w:rsid w:val="00F34FE9"/>
    <w:rsid w:val="00F3550C"/>
    <w:rsid w:val="00F35C38"/>
    <w:rsid w:val="00F36B9D"/>
    <w:rsid w:val="00F4006F"/>
    <w:rsid w:val="00F400DF"/>
    <w:rsid w:val="00F402C9"/>
    <w:rsid w:val="00F4081F"/>
    <w:rsid w:val="00F41693"/>
    <w:rsid w:val="00F4176E"/>
    <w:rsid w:val="00F41A05"/>
    <w:rsid w:val="00F4265E"/>
    <w:rsid w:val="00F42AFD"/>
    <w:rsid w:val="00F42F43"/>
    <w:rsid w:val="00F434EA"/>
    <w:rsid w:val="00F43BD3"/>
    <w:rsid w:val="00F43FB2"/>
    <w:rsid w:val="00F44D92"/>
    <w:rsid w:val="00F44DE1"/>
    <w:rsid w:val="00F44FA7"/>
    <w:rsid w:val="00F45979"/>
    <w:rsid w:val="00F47FFD"/>
    <w:rsid w:val="00F502F6"/>
    <w:rsid w:val="00F50EF3"/>
    <w:rsid w:val="00F50F6E"/>
    <w:rsid w:val="00F52737"/>
    <w:rsid w:val="00F530EE"/>
    <w:rsid w:val="00F532F0"/>
    <w:rsid w:val="00F532F5"/>
    <w:rsid w:val="00F553C9"/>
    <w:rsid w:val="00F55837"/>
    <w:rsid w:val="00F558DB"/>
    <w:rsid w:val="00F55B14"/>
    <w:rsid w:val="00F55BEF"/>
    <w:rsid w:val="00F55ED9"/>
    <w:rsid w:val="00F562B1"/>
    <w:rsid w:val="00F57B1E"/>
    <w:rsid w:val="00F60491"/>
    <w:rsid w:val="00F6064B"/>
    <w:rsid w:val="00F609F3"/>
    <w:rsid w:val="00F60EA2"/>
    <w:rsid w:val="00F61267"/>
    <w:rsid w:val="00F614DE"/>
    <w:rsid w:val="00F62149"/>
    <w:rsid w:val="00F62465"/>
    <w:rsid w:val="00F62881"/>
    <w:rsid w:val="00F63EFB"/>
    <w:rsid w:val="00F6513F"/>
    <w:rsid w:val="00F6524C"/>
    <w:rsid w:val="00F6620E"/>
    <w:rsid w:val="00F66B15"/>
    <w:rsid w:val="00F66BA6"/>
    <w:rsid w:val="00F67828"/>
    <w:rsid w:val="00F679B5"/>
    <w:rsid w:val="00F67B12"/>
    <w:rsid w:val="00F70133"/>
    <w:rsid w:val="00F70990"/>
    <w:rsid w:val="00F709ED"/>
    <w:rsid w:val="00F70B69"/>
    <w:rsid w:val="00F70EF6"/>
    <w:rsid w:val="00F71552"/>
    <w:rsid w:val="00F718F8"/>
    <w:rsid w:val="00F719EC"/>
    <w:rsid w:val="00F71A49"/>
    <w:rsid w:val="00F71B45"/>
    <w:rsid w:val="00F71CCF"/>
    <w:rsid w:val="00F730FD"/>
    <w:rsid w:val="00F73314"/>
    <w:rsid w:val="00F7374B"/>
    <w:rsid w:val="00F73CFF"/>
    <w:rsid w:val="00F74492"/>
    <w:rsid w:val="00F7490B"/>
    <w:rsid w:val="00F74998"/>
    <w:rsid w:val="00F74F16"/>
    <w:rsid w:val="00F74FD9"/>
    <w:rsid w:val="00F76763"/>
    <w:rsid w:val="00F76C74"/>
    <w:rsid w:val="00F7767A"/>
    <w:rsid w:val="00F776FA"/>
    <w:rsid w:val="00F80688"/>
    <w:rsid w:val="00F806F7"/>
    <w:rsid w:val="00F80B9E"/>
    <w:rsid w:val="00F8331A"/>
    <w:rsid w:val="00F83909"/>
    <w:rsid w:val="00F845BE"/>
    <w:rsid w:val="00F846F6"/>
    <w:rsid w:val="00F8502B"/>
    <w:rsid w:val="00F85CE3"/>
    <w:rsid w:val="00F86085"/>
    <w:rsid w:val="00F8694D"/>
    <w:rsid w:val="00F86A18"/>
    <w:rsid w:val="00F86C60"/>
    <w:rsid w:val="00F86EF4"/>
    <w:rsid w:val="00F9027F"/>
    <w:rsid w:val="00F90D06"/>
    <w:rsid w:val="00F9143D"/>
    <w:rsid w:val="00F91AB0"/>
    <w:rsid w:val="00F91B9F"/>
    <w:rsid w:val="00F926D6"/>
    <w:rsid w:val="00F926E4"/>
    <w:rsid w:val="00F92807"/>
    <w:rsid w:val="00F92CEE"/>
    <w:rsid w:val="00F938FA"/>
    <w:rsid w:val="00F94093"/>
    <w:rsid w:val="00F94162"/>
    <w:rsid w:val="00F9433F"/>
    <w:rsid w:val="00F946CD"/>
    <w:rsid w:val="00F9476E"/>
    <w:rsid w:val="00F952FC"/>
    <w:rsid w:val="00F95CEC"/>
    <w:rsid w:val="00F96733"/>
    <w:rsid w:val="00F96BE7"/>
    <w:rsid w:val="00F97752"/>
    <w:rsid w:val="00FA143F"/>
    <w:rsid w:val="00FA1745"/>
    <w:rsid w:val="00FA2F91"/>
    <w:rsid w:val="00FA3348"/>
    <w:rsid w:val="00FA3771"/>
    <w:rsid w:val="00FA3972"/>
    <w:rsid w:val="00FA3B8B"/>
    <w:rsid w:val="00FA3CCB"/>
    <w:rsid w:val="00FA43F5"/>
    <w:rsid w:val="00FA44BB"/>
    <w:rsid w:val="00FA5BB3"/>
    <w:rsid w:val="00FA630F"/>
    <w:rsid w:val="00FA63B0"/>
    <w:rsid w:val="00FA6721"/>
    <w:rsid w:val="00FA6DD0"/>
    <w:rsid w:val="00FA73C1"/>
    <w:rsid w:val="00FB012F"/>
    <w:rsid w:val="00FB0579"/>
    <w:rsid w:val="00FB0742"/>
    <w:rsid w:val="00FB0819"/>
    <w:rsid w:val="00FB087E"/>
    <w:rsid w:val="00FB0A2E"/>
    <w:rsid w:val="00FB0E64"/>
    <w:rsid w:val="00FB1383"/>
    <w:rsid w:val="00FB19E1"/>
    <w:rsid w:val="00FB1B4C"/>
    <w:rsid w:val="00FB2698"/>
    <w:rsid w:val="00FB2D38"/>
    <w:rsid w:val="00FB2FD4"/>
    <w:rsid w:val="00FB304C"/>
    <w:rsid w:val="00FB3201"/>
    <w:rsid w:val="00FB3829"/>
    <w:rsid w:val="00FB3B4F"/>
    <w:rsid w:val="00FB3D8C"/>
    <w:rsid w:val="00FB486B"/>
    <w:rsid w:val="00FB48E4"/>
    <w:rsid w:val="00FB4E56"/>
    <w:rsid w:val="00FB541F"/>
    <w:rsid w:val="00FB5679"/>
    <w:rsid w:val="00FB670C"/>
    <w:rsid w:val="00FB6883"/>
    <w:rsid w:val="00FB69E6"/>
    <w:rsid w:val="00FB7DE2"/>
    <w:rsid w:val="00FC0259"/>
    <w:rsid w:val="00FC0369"/>
    <w:rsid w:val="00FC0D04"/>
    <w:rsid w:val="00FC11F4"/>
    <w:rsid w:val="00FC1BBE"/>
    <w:rsid w:val="00FC1FEC"/>
    <w:rsid w:val="00FC2207"/>
    <w:rsid w:val="00FC29BD"/>
    <w:rsid w:val="00FC2E80"/>
    <w:rsid w:val="00FC3316"/>
    <w:rsid w:val="00FC35BD"/>
    <w:rsid w:val="00FC387E"/>
    <w:rsid w:val="00FC3AB5"/>
    <w:rsid w:val="00FC4032"/>
    <w:rsid w:val="00FC46BA"/>
    <w:rsid w:val="00FC490C"/>
    <w:rsid w:val="00FC5149"/>
    <w:rsid w:val="00FC5A3D"/>
    <w:rsid w:val="00FC5AAA"/>
    <w:rsid w:val="00FC5DF3"/>
    <w:rsid w:val="00FC5EFB"/>
    <w:rsid w:val="00FC71B6"/>
    <w:rsid w:val="00FC766F"/>
    <w:rsid w:val="00FD03EF"/>
    <w:rsid w:val="00FD05DC"/>
    <w:rsid w:val="00FD0C4F"/>
    <w:rsid w:val="00FD0C93"/>
    <w:rsid w:val="00FD1796"/>
    <w:rsid w:val="00FD24C7"/>
    <w:rsid w:val="00FD29DC"/>
    <w:rsid w:val="00FD2C41"/>
    <w:rsid w:val="00FD41C9"/>
    <w:rsid w:val="00FD5C25"/>
    <w:rsid w:val="00FD60BF"/>
    <w:rsid w:val="00FD6339"/>
    <w:rsid w:val="00FD6CAE"/>
    <w:rsid w:val="00FD6D5B"/>
    <w:rsid w:val="00FD71A5"/>
    <w:rsid w:val="00FE0128"/>
    <w:rsid w:val="00FE0674"/>
    <w:rsid w:val="00FE08AF"/>
    <w:rsid w:val="00FE0A89"/>
    <w:rsid w:val="00FE0BFB"/>
    <w:rsid w:val="00FE0ECD"/>
    <w:rsid w:val="00FE1864"/>
    <w:rsid w:val="00FE230E"/>
    <w:rsid w:val="00FE24AA"/>
    <w:rsid w:val="00FE27FA"/>
    <w:rsid w:val="00FE2D78"/>
    <w:rsid w:val="00FE2DB2"/>
    <w:rsid w:val="00FE349C"/>
    <w:rsid w:val="00FE3FAE"/>
    <w:rsid w:val="00FE4052"/>
    <w:rsid w:val="00FE4B58"/>
    <w:rsid w:val="00FE580B"/>
    <w:rsid w:val="00FE58D1"/>
    <w:rsid w:val="00FE7F53"/>
    <w:rsid w:val="00FF0229"/>
    <w:rsid w:val="00FF1586"/>
    <w:rsid w:val="00FF207A"/>
    <w:rsid w:val="00FF242C"/>
    <w:rsid w:val="00FF265E"/>
    <w:rsid w:val="00FF2692"/>
    <w:rsid w:val="00FF4B24"/>
    <w:rsid w:val="00FF669A"/>
    <w:rsid w:val="00FF669F"/>
    <w:rsid w:val="00FF7371"/>
    <w:rsid w:val="00FF7D4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1E725"/>
  <w15:docId w15:val="{3758ABC4-D3FA-45F4-88F1-87BFB77CD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57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3571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571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571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35717"/>
    <w:pPr>
      <w:ind w:left="720"/>
      <w:contextualSpacing/>
    </w:pPr>
  </w:style>
  <w:style w:type="character" w:customStyle="1" w:styleId="Heading2Char">
    <w:name w:val="Heading 2 Char"/>
    <w:basedOn w:val="DefaultParagraphFont"/>
    <w:link w:val="Heading2"/>
    <w:uiPriority w:val="9"/>
    <w:rsid w:val="0023571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5717"/>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0C24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C2406"/>
    <w:rPr>
      <w:rFonts w:asciiTheme="majorHAnsi" w:eastAsiaTheme="majorEastAsia" w:hAnsiTheme="majorHAnsi" w:cstheme="majorBidi"/>
      <w:spacing w:val="-10"/>
      <w:kern w:val="28"/>
      <w:sz w:val="56"/>
      <w:szCs w:val="56"/>
    </w:rPr>
  </w:style>
  <w:style w:type="character" w:customStyle="1" w:styleId="normaltextrun">
    <w:name w:val="normaltextrun"/>
    <w:basedOn w:val="DefaultParagraphFont"/>
    <w:rsid w:val="003D5EA0"/>
  </w:style>
  <w:style w:type="character" w:customStyle="1" w:styleId="eop">
    <w:name w:val="eop"/>
    <w:basedOn w:val="DefaultParagraphFont"/>
    <w:rsid w:val="003D5EA0"/>
  </w:style>
  <w:style w:type="paragraph" w:customStyle="1" w:styleId="paragraph">
    <w:name w:val="paragraph"/>
    <w:basedOn w:val="Normal"/>
    <w:rsid w:val="0088272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D330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33069"/>
  </w:style>
  <w:style w:type="character" w:styleId="CommentReference">
    <w:name w:val="annotation reference"/>
    <w:basedOn w:val="DefaultParagraphFont"/>
    <w:uiPriority w:val="99"/>
    <w:semiHidden/>
    <w:unhideWhenUsed/>
    <w:rsid w:val="00BB1AC8"/>
    <w:rPr>
      <w:sz w:val="16"/>
      <w:szCs w:val="16"/>
    </w:rPr>
  </w:style>
  <w:style w:type="paragraph" w:styleId="CommentText">
    <w:name w:val="annotation text"/>
    <w:basedOn w:val="Normal"/>
    <w:link w:val="CommentTextChar"/>
    <w:uiPriority w:val="99"/>
    <w:unhideWhenUsed/>
    <w:rsid w:val="00BB1AC8"/>
    <w:pPr>
      <w:spacing w:line="240" w:lineRule="auto"/>
    </w:pPr>
    <w:rPr>
      <w:sz w:val="20"/>
      <w:szCs w:val="20"/>
    </w:rPr>
  </w:style>
  <w:style w:type="character" w:customStyle="1" w:styleId="CommentTextChar">
    <w:name w:val="Comment Text Char"/>
    <w:basedOn w:val="DefaultParagraphFont"/>
    <w:link w:val="CommentText"/>
    <w:uiPriority w:val="99"/>
    <w:rsid w:val="00BB1AC8"/>
    <w:rPr>
      <w:sz w:val="20"/>
      <w:szCs w:val="20"/>
    </w:rPr>
  </w:style>
  <w:style w:type="paragraph" w:styleId="CommentSubject">
    <w:name w:val="annotation subject"/>
    <w:basedOn w:val="CommentText"/>
    <w:next w:val="CommentText"/>
    <w:link w:val="CommentSubjectChar"/>
    <w:uiPriority w:val="99"/>
    <w:semiHidden/>
    <w:unhideWhenUsed/>
    <w:rsid w:val="00BB1AC8"/>
    <w:rPr>
      <w:b/>
      <w:bCs/>
    </w:rPr>
  </w:style>
  <w:style w:type="character" w:customStyle="1" w:styleId="CommentSubjectChar">
    <w:name w:val="Comment Subject Char"/>
    <w:basedOn w:val="CommentTextChar"/>
    <w:link w:val="CommentSubject"/>
    <w:uiPriority w:val="99"/>
    <w:semiHidden/>
    <w:rsid w:val="00BB1AC8"/>
    <w:rPr>
      <w:b/>
      <w:bCs/>
      <w:sz w:val="20"/>
      <w:szCs w:val="20"/>
    </w:rPr>
  </w:style>
  <w:style w:type="paragraph" w:styleId="NormalWeb">
    <w:name w:val="Normal (Web)"/>
    <w:basedOn w:val="Normal"/>
    <w:uiPriority w:val="99"/>
    <w:semiHidden/>
    <w:unhideWhenUsed/>
    <w:rsid w:val="0036389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6926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74B8"/>
    <w:rPr>
      <w:color w:val="0563C1" w:themeColor="hyperlink"/>
      <w:u w:val="single"/>
    </w:rPr>
  </w:style>
  <w:style w:type="paragraph" w:styleId="Caption">
    <w:name w:val="caption"/>
    <w:basedOn w:val="Normal"/>
    <w:next w:val="Normal"/>
    <w:uiPriority w:val="35"/>
    <w:unhideWhenUsed/>
    <w:qFormat/>
    <w:rsid w:val="00621529"/>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446C90"/>
    <w:rPr>
      <w:color w:val="954F72" w:themeColor="followedHyperlink"/>
      <w:u w:val="single"/>
    </w:rPr>
  </w:style>
  <w:style w:type="paragraph" w:styleId="Revision">
    <w:name w:val="Revision"/>
    <w:hidden/>
    <w:uiPriority w:val="99"/>
    <w:semiHidden/>
    <w:rsid w:val="00CA1C67"/>
    <w:pPr>
      <w:spacing w:after="0" w:line="240" w:lineRule="auto"/>
    </w:pPr>
  </w:style>
  <w:style w:type="character" w:customStyle="1" w:styleId="UnresolvedMention1">
    <w:name w:val="Unresolved Mention1"/>
    <w:basedOn w:val="DefaultParagraphFont"/>
    <w:uiPriority w:val="99"/>
    <w:semiHidden/>
    <w:unhideWhenUsed/>
    <w:rsid w:val="00BC2A06"/>
    <w:rPr>
      <w:color w:val="605E5C"/>
      <w:shd w:val="clear" w:color="auto" w:fill="E1DFDD"/>
    </w:rPr>
  </w:style>
  <w:style w:type="paragraph" w:styleId="Header">
    <w:name w:val="header"/>
    <w:basedOn w:val="Normal"/>
    <w:link w:val="HeaderChar"/>
    <w:uiPriority w:val="99"/>
    <w:unhideWhenUsed/>
    <w:rsid w:val="001D09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999"/>
  </w:style>
  <w:style w:type="paragraph" w:styleId="Footer">
    <w:name w:val="footer"/>
    <w:basedOn w:val="Normal"/>
    <w:link w:val="FooterChar"/>
    <w:uiPriority w:val="99"/>
    <w:unhideWhenUsed/>
    <w:rsid w:val="001D09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999"/>
  </w:style>
  <w:style w:type="paragraph" w:customStyle="1" w:styleId="EndNoteBibliographyTitle">
    <w:name w:val="EndNote Bibliography Title"/>
    <w:basedOn w:val="Normal"/>
    <w:link w:val="EndNoteBibliographyTitleChar"/>
    <w:rsid w:val="00460C3C"/>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460C3C"/>
    <w:rPr>
      <w:rFonts w:ascii="Calibri" w:hAnsi="Calibri" w:cs="Calibri"/>
      <w:noProof/>
      <w:lang w:val="en-US"/>
    </w:rPr>
  </w:style>
  <w:style w:type="paragraph" w:customStyle="1" w:styleId="EndNoteBibliography">
    <w:name w:val="EndNote Bibliography"/>
    <w:basedOn w:val="Normal"/>
    <w:link w:val="EndNoteBibliographyChar"/>
    <w:rsid w:val="00460C3C"/>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460C3C"/>
    <w:rPr>
      <w:rFonts w:ascii="Calibri" w:hAnsi="Calibri" w:cs="Calibri"/>
      <w:noProof/>
      <w:lang w:val="en-US"/>
    </w:rPr>
  </w:style>
  <w:style w:type="table" w:styleId="GridTable3-Accent1">
    <w:name w:val="Grid Table 3 Accent 1"/>
    <w:basedOn w:val="TableNormal"/>
    <w:uiPriority w:val="48"/>
    <w:rsid w:val="00BD43E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5">
    <w:name w:val="Grid Table 3 Accent 5"/>
    <w:basedOn w:val="TableNormal"/>
    <w:uiPriority w:val="48"/>
    <w:rsid w:val="00E460B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2-Accent1">
    <w:name w:val="Grid Table 2 Accent 1"/>
    <w:basedOn w:val="TableNormal"/>
    <w:uiPriority w:val="47"/>
    <w:rsid w:val="00E460B2"/>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3">
    <w:name w:val="Grid Table 2 Accent 3"/>
    <w:basedOn w:val="TableNormal"/>
    <w:uiPriority w:val="47"/>
    <w:rsid w:val="002144AF"/>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lainTable2">
    <w:name w:val="Plain Table 2"/>
    <w:basedOn w:val="TableNormal"/>
    <w:uiPriority w:val="42"/>
    <w:rsid w:val="00007DA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3C47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783"/>
    <w:rPr>
      <w:rFonts w:ascii="Segoe UI" w:hAnsi="Segoe UI" w:cs="Segoe UI"/>
      <w:sz w:val="18"/>
      <w:szCs w:val="18"/>
    </w:rPr>
  </w:style>
  <w:style w:type="character" w:customStyle="1" w:styleId="UnresolvedMention2">
    <w:name w:val="Unresolved Mention2"/>
    <w:basedOn w:val="DefaultParagraphFont"/>
    <w:uiPriority w:val="99"/>
    <w:semiHidden/>
    <w:unhideWhenUsed/>
    <w:rsid w:val="004E5A37"/>
    <w:rPr>
      <w:color w:val="605E5C"/>
      <w:shd w:val="clear" w:color="auto" w:fill="E1DFDD"/>
    </w:rPr>
  </w:style>
  <w:style w:type="character" w:customStyle="1" w:styleId="UnresolvedMention3">
    <w:name w:val="Unresolved Mention3"/>
    <w:basedOn w:val="DefaultParagraphFont"/>
    <w:uiPriority w:val="99"/>
    <w:semiHidden/>
    <w:unhideWhenUsed/>
    <w:rsid w:val="00313155"/>
    <w:rPr>
      <w:color w:val="605E5C"/>
      <w:shd w:val="clear" w:color="auto" w:fill="E1DFDD"/>
    </w:rPr>
  </w:style>
  <w:style w:type="character" w:styleId="UnresolvedMention">
    <w:name w:val="Unresolved Mention"/>
    <w:basedOn w:val="DefaultParagraphFont"/>
    <w:uiPriority w:val="99"/>
    <w:semiHidden/>
    <w:unhideWhenUsed/>
    <w:rsid w:val="00C02F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997166">
      <w:bodyDiv w:val="1"/>
      <w:marLeft w:val="0"/>
      <w:marRight w:val="0"/>
      <w:marTop w:val="0"/>
      <w:marBottom w:val="0"/>
      <w:divBdr>
        <w:top w:val="none" w:sz="0" w:space="0" w:color="auto"/>
        <w:left w:val="none" w:sz="0" w:space="0" w:color="auto"/>
        <w:bottom w:val="none" w:sz="0" w:space="0" w:color="auto"/>
        <w:right w:val="none" w:sz="0" w:space="0" w:color="auto"/>
      </w:divBdr>
    </w:div>
    <w:div w:id="951284535">
      <w:bodyDiv w:val="1"/>
      <w:marLeft w:val="0"/>
      <w:marRight w:val="0"/>
      <w:marTop w:val="0"/>
      <w:marBottom w:val="0"/>
      <w:divBdr>
        <w:top w:val="none" w:sz="0" w:space="0" w:color="auto"/>
        <w:left w:val="none" w:sz="0" w:space="0" w:color="auto"/>
        <w:bottom w:val="none" w:sz="0" w:space="0" w:color="auto"/>
        <w:right w:val="none" w:sz="0" w:space="0" w:color="auto"/>
      </w:divBdr>
    </w:div>
    <w:div w:id="1240871078">
      <w:bodyDiv w:val="1"/>
      <w:marLeft w:val="0"/>
      <w:marRight w:val="0"/>
      <w:marTop w:val="0"/>
      <w:marBottom w:val="0"/>
      <w:divBdr>
        <w:top w:val="none" w:sz="0" w:space="0" w:color="auto"/>
        <w:left w:val="none" w:sz="0" w:space="0" w:color="auto"/>
        <w:bottom w:val="none" w:sz="0" w:space="0" w:color="auto"/>
        <w:right w:val="none" w:sz="0" w:space="0" w:color="auto"/>
      </w:divBdr>
    </w:div>
    <w:div w:id="1331367793">
      <w:bodyDiv w:val="1"/>
      <w:marLeft w:val="0"/>
      <w:marRight w:val="0"/>
      <w:marTop w:val="0"/>
      <w:marBottom w:val="0"/>
      <w:divBdr>
        <w:top w:val="none" w:sz="0" w:space="0" w:color="auto"/>
        <w:left w:val="none" w:sz="0" w:space="0" w:color="auto"/>
        <w:bottom w:val="none" w:sz="0" w:space="0" w:color="auto"/>
        <w:right w:val="none" w:sz="0" w:space="0" w:color="auto"/>
      </w:divBdr>
    </w:div>
    <w:div w:id="1711108787">
      <w:bodyDiv w:val="1"/>
      <w:marLeft w:val="0"/>
      <w:marRight w:val="0"/>
      <w:marTop w:val="0"/>
      <w:marBottom w:val="0"/>
      <w:divBdr>
        <w:top w:val="none" w:sz="0" w:space="0" w:color="auto"/>
        <w:left w:val="none" w:sz="0" w:space="0" w:color="auto"/>
        <w:bottom w:val="none" w:sz="0" w:space="0" w:color="auto"/>
        <w:right w:val="none" w:sz="0" w:space="0" w:color="auto"/>
      </w:divBdr>
      <w:divsChild>
        <w:div w:id="58746195">
          <w:marLeft w:val="0"/>
          <w:marRight w:val="0"/>
          <w:marTop w:val="0"/>
          <w:marBottom w:val="0"/>
          <w:divBdr>
            <w:top w:val="none" w:sz="0" w:space="0" w:color="auto"/>
            <w:left w:val="none" w:sz="0" w:space="0" w:color="auto"/>
            <w:bottom w:val="none" w:sz="0" w:space="0" w:color="auto"/>
            <w:right w:val="none" w:sz="0" w:space="0" w:color="auto"/>
          </w:divBdr>
        </w:div>
        <w:div w:id="143476313">
          <w:marLeft w:val="0"/>
          <w:marRight w:val="0"/>
          <w:marTop w:val="0"/>
          <w:marBottom w:val="0"/>
          <w:divBdr>
            <w:top w:val="none" w:sz="0" w:space="0" w:color="auto"/>
            <w:left w:val="none" w:sz="0" w:space="0" w:color="auto"/>
            <w:bottom w:val="none" w:sz="0" w:space="0" w:color="auto"/>
            <w:right w:val="none" w:sz="0" w:space="0" w:color="auto"/>
          </w:divBdr>
        </w:div>
        <w:div w:id="430052817">
          <w:marLeft w:val="0"/>
          <w:marRight w:val="0"/>
          <w:marTop w:val="0"/>
          <w:marBottom w:val="0"/>
          <w:divBdr>
            <w:top w:val="none" w:sz="0" w:space="0" w:color="auto"/>
            <w:left w:val="none" w:sz="0" w:space="0" w:color="auto"/>
            <w:bottom w:val="none" w:sz="0" w:space="0" w:color="auto"/>
            <w:right w:val="none" w:sz="0" w:space="0" w:color="auto"/>
          </w:divBdr>
        </w:div>
        <w:div w:id="452478050">
          <w:marLeft w:val="0"/>
          <w:marRight w:val="0"/>
          <w:marTop w:val="0"/>
          <w:marBottom w:val="0"/>
          <w:divBdr>
            <w:top w:val="none" w:sz="0" w:space="0" w:color="auto"/>
            <w:left w:val="none" w:sz="0" w:space="0" w:color="auto"/>
            <w:bottom w:val="none" w:sz="0" w:space="0" w:color="auto"/>
            <w:right w:val="none" w:sz="0" w:space="0" w:color="auto"/>
          </w:divBdr>
        </w:div>
        <w:div w:id="792014990">
          <w:marLeft w:val="0"/>
          <w:marRight w:val="0"/>
          <w:marTop w:val="0"/>
          <w:marBottom w:val="0"/>
          <w:divBdr>
            <w:top w:val="none" w:sz="0" w:space="0" w:color="auto"/>
            <w:left w:val="none" w:sz="0" w:space="0" w:color="auto"/>
            <w:bottom w:val="none" w:sz="0" w:space="0" w:color="auto"/>
            <w:right w:val="none" w:sz="0" w:space="0" w:color="auto"/>
          </w:divBdr>
        </w:div>
        <w:div w:id="1302155596">
          <w:marLeft w:val="0"/>
          <w:marRight w:val="0"/>
          <w:marTop w:val="0"/>
          <w:marBottom w:val="0"/>
          <w:divBdr>
            <w:top w:val="none" w:sz="0" w:space="0" w:color="auto"/>
            <w:left w:val="none" w:sz="0" w:space="0" w:color="auto"/>
            <w:bottom w:val="none" w:sz="0" w:space="0" w:color="auto"/>
            <w:right w:val="none" w:sz="0" w:space="0" w:color="auto"/>
          </w:divBdr>
        </w:div>
        <w:div w:id="1367021248">
          <w:marLeft w:val="0"/>
          <w:marRight w:val="0"/>
          <w:marTop w:val="0"/>
          <w:marBottom w:val="0"/>
          <w:divBdr>
            <w:top w:val="none" w:sz="0" w:space="0" w:color="auto"/>
            <w:left w:val="none" w:sz="0" w:space="0" w:color="auto"/>
            <w:bottom w:val="none" w:sz="0" w:space="0" w:color="auto"/>
            <w:right w:val="none" w:sz="0" w:space="0" w:color="auto"/>
          </w:divBdr>
        </w:div>
        <w:div w:id="1413232618">
          <w:marLeft w:val="0"/>
          <w:marRight w:val="0"/>
          <w:marTop w:val="0"/>
          <w:marBottom w:val="0"/>
          <w:divBdr>
            <w:top w:val="none" w:sz="0" w:space="0" w:color="auto"/>
            <w:left w:val="none" w:sz="0" w:space="0" w:color="auto"/>
            <w:bottom w:val="none" w:sz="0" w:space="0" w:color="auto"/>
            <w:right w:val="none" w:sz="0" w:space="0" w:color="auto"/>
          </w:divBdr>
        </w:div>
        <w:div w:id="1489705535">
          <w:marLeft w:val="0"/>
          <w:marRight w:val="0"/>
          <w:marTop w:val="0"/>
          <w:marBottom w:val="0"/>
          <w:divBdr>
            <w:top w:val="none" w:sz="0" w:space="0" w:color="auto"/>
            <w:left w:val="none" w:sz="0" w:space="0" w:color="auto"/>
            <w:bottom w:val="none" w:sz="0" w:space="0" w:color="auto"/>
            <w:right w:val="none" w:sz="0" w:space="0" w:color="auto"/>
          </w:divBdr>
        </w:div>
        <w:div w:id="1669596371">
          <w:marLeft w:val="0"/>
          <w:marRight w:val="0"/>
          <w:marTop w:val="0"/>
          <w:marBottom w:val="0"/>
          <w:divBdr>
            <w:top w:val="none" w:sz="0" w:space="0" w:color="auto"/>
            <w:left w:val="none" w:sz="0" w:space="0" w:color="auto"/>
            <w:bottom w:val="none" w:sz="0" w:space="0" w:color="auto"/>
            <w:right w:val="none" w:sz="0" w:space="0" w:color="auto"/>
          </w:divBdr>
        </w:div>
        <w:div w:id="1925725642">
          <w:marLeft w:val="0"/>
          <w:marRight w:val="0"/>
          <w:marTop w:val="0"/>
          <w:marBottom w:val="0"/>
          <w:divBdr>
            <w:top w:val="none" w:sz="0" w:space="0" w:color="auto"/>
            <w:left w:val="none" w:sz="0" w:space="0" w:color="auto"/>
            <w:bottom w:val="none" w:sz="0" w:space="0" w:color="auto"/>
            <w:right w:val="none" w:sz="0" w:space="0" w:color="auto"/>
          </w:divBdr>
        </w:div>
        <w:div w:id="1974096874">
          <w:marLeft w:val="0"/>
          <w:marRight w:val="0"/>
          <w:marTop w:val="0"/>
          <w:marBottom w:val="0"/>
          <w:divBdr>
            <w:top w:val="none" w:sz="0" w:space="0" w:color="auto"/>
            <w:left w:val="none" w:sz="0" w:space="0" w:color="auto"/>
            <w:bottom w:val="none" w:sz="0" w:space="0" w:color="auto"/>
            <w:right w:val="none" w:sz="0" w:space="0" w:color="auto"/>
          </w:divBdr>
        </w:div>
        <w:div w:id="2072654662">
          <w:marLeft w:val="0"/>
          <w:marRight w:val="0"/>
          <w:marTop w:val="0"/>
          <w:marBottom w:val="0"/>
          <w:divBdr>
            <w:top w:val="none" w:sz="0" w:space="0" w:color="auto"/>
            <w:left w:val="none" w:sz="0" w:space="0" w:color="auto"/>
            <w:bottom w:val="none" w:sz="0" w:space="0" w:color="auto"/>
            <w:right w:val="none" w:sz="0" w:space="0" w:color="auto"/>
          </w:divBdr>
        </w:div>
      </w:divsChild>
    </w:div>
    <w:div w:id="1908026137">
      <w:bodyDiv w:val="1"/>
      <w:marLeft w:val="0"/>
      <w:marRight w:val="0"/>
      <w:marTop w:val="0"/>
      <w:marBottom w:val="0"/>
      <w:divBdr>
        <w:top w:val="none" w:sz="0" w:space="0" w:color="auto"/>
        <w:left w:val="none" w:sz="0" w:space="0" w:color="auto"/>
        <w:bottom w:val="none" w:sz="0" w:space="0" w:color="auto"/>
        <w:right w:val="none" w:sz="0" w:space="0" w:color="auto"/>
      </w:divBdr>
    </w:div>
    <w:div w:id="1977754377">
      <w:bodyDiv w:val="1"/>
      <w:marLeft w:val="0"/>
      <w:marRight w:val="0"/>
      <w:marTop w:val="0"/>
      <w:marBottom w:val="0"/>
      <w:divBdr>
        <w:top w:val="none" w:sz="0" w:space="0" w:color="auto"/>
        <w:left w:val="none" w:sz="0" w:space="0" w:color="auto"/>
        <w:bottom w:val="none" w:sz="0" w:space="0" w:color="auto"/>
        <w:right w:val="none" w:sz="0" w:space="0" w:color="auto"/>
      </w:divBdr>
      <w:divsChild>
        <w:div w:id="4678533">
          <w:marLeft w:val="0"/>
          <w:marRight w:val="0"/>
          <w:marTop w:val="0"/>
          <w:marBottom w:val="0"/>
          <w:divBdr>
            <w:top w:val="none" w:sz="0" w:space="0" w:color="auto"/>
            <w:left w:val="none" w:sz="0" w:space="0" w:color="auto"/>
            <w:bottom w:val="none" w:sz="0" w:space="0" w:color="auto"/>
            <w:right w:val="none" w:sz="0" w:space="0" w:color="auto"/>
          </w:divBdr>
        </w:div>
        <w:div w:id="222058531">
          <w:marLeft w:val="0"/>
          <w:marRight w:val="0"/>
          <w:marTop w:val="0"/>
          <w:marBottom w:val="0"/>
          <w:divBdr>
            <w:top w:val="none" w:sz="0" w:space="0" w:color="auto"/>
            <w:left w:val="none" w:sz="0" w:space="0" w:color="auto"/>
            <w:bottom w:val="none" w:sz="0" w:space="0" w:color="auto"/>
            <w:right w:val="none" w:sz="0" w:space="0" w:color="auto"/>
          </w:divBdr>
        </w:div>
        <w:div w:id="531915933">
          <w:marLeft w:val="0"/>
          <w:marRight w:val="0"/>
          <w:marTop w:val="0"/>
          <w:marBottom w:val="0"/>
          <w:divBdr>
            <w:top w:val="none" w:sz="0" w:space="0" w:color="auto"/>
            <w:left w:val="none" w:sz="0" w:space="0" w:color="auto"/>
            <w:bottom w:val="none" w:sz="0" w:space="0" w:color="auto"/>
            <w:right w:val="none" w:sz="0" w:space="0" w:color="auto"/>
          </w:divBdr>
        </w:div>
        <w:div w:id="1424911055">
          <w:marLeft w:val="0"/>
          <w:marRight w:val="0"/>
          <w:marTop w:val="0"/>
          <w:marBottom w:val="0"/>
          <w:divBdr>
            <w:top w:val="none" w:sz="0" w:space="0" w:color="auto"/>
            <w:left w:val="none" w:sz="0" w:space="0" w:color="auto"/>
            <w:bottom w:val="none" w:sz="0" w:space="0" w:color="auto"/>
            <w:right w:val="none" w:sz="0" w:space="0" w:color="auto"/>
          </w:divBdr>
        </w:div>
      </w:divsChild>
    </w:div>
    <w:div w:id="2000764577">
      <w:bodyDiv w:val="1"/>
      <w:marLeft w:val="0"/>
      <w:marRight w:val="0"/>
      <w:marTop w:val="0"/>
      <w:marBottom w:val="0"/>
      <w:divBdr>
        <w:top w:val="none" w:sz="0" w:space="0" w:color="auto"/>
        <w:left w:val="none" w:sz="0" w:space="0" w:color="auto"/>
        <w:bottom w:val="none" w:sz="0" w:space="0" w:color="auto"/>
        <w:right w:val="none" w:sz="0" w:space="0" w:color="auto"/>
      </w:divBdr>
      <w:divsChild>
        <w:div w:id="309598930">
          <w:marLeft w:val="0"/>
          <w:marRight w:val="0"/>
          <w:marTop w:val="0"/>
          <w:marBottom w:val="0"/>
          <w:divBdr>
            <w:top w:val="none" w:sz="0" w:space="0" w:color="auto"/>
            <w:left w:val="none" w:sz="0" w:space="0" w:color="auto"/>
            <w:bottom w:val="none" w:sz="0" w:space="0" w:color="auto"/>
            <w:right w:val="none" w:sz="0" w:space="0" w:color="auto"/>
          </w:divBdr>
          <w:divsChild>
            <w:div w:id="1912763594">
              <w:marLeft w:val="0"/>
              <w:marRight w:val="0"/>
              <w:marTop w:val="0"/>
              <w:marBottom w:val="0"/>
              <w:divBdr>
                <w:top w:val="none" w:sz="0" w:space="0" w:color="auto"/>
                <w:left w:val="none" w:sz="0" w:space="0" w:color="auto"/>
                <w:bottom w:val="none" w:sz="0" w:space="0" w:color="auto"/>
                <w:right w:val="none" w:sz="0" w:space="0" w:color="auto"/>
              </w:divBdr>
              <w:divsChild>
                <w:div w:id="698891645">
                  <w:marLeft w:val="0"/>
                  <w:marRight w:val="0"/>
                  <w:marTop w:val="0"/>
                  <w:marBottom w:val="0"/>
                  <w:divBdr>
                    <w:top w:val="none" w:sz="0" w:space="0" w:color="auto"/>
                    <w:left w:val="none" w:sz="0" w:space="0" w:color="auto"/>
                    <w:bottom w:val="none" w:sz="0" w:space="0" w:color="auto"/>
                    <w:right w:val="none" w:sz="0" w:space="0" w:color="auto"/>
                  </w:divBdr>
                  <w:divsChild>
                    <w:div w:id="66466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791644">
      <w:bodyDiv w:val="1"/>
      <w:marLeft w:val="0"/>
      <w:marRight w:val="0"/>
      <w:marTop w:val="0"/>
      <w:marBottom w:val="0"/>
      <w:divBdr>
        <w:top w:val="none" w:sz="0" w:space="0" w:color="auto"/>
        <w:left w:val="none" w:sz="0" w:space="0" w:color="auto"/>
        <w:bottom w:val="none" w:sz="0" w:space="0" w:color="auto"/>
        <w:right w:val="none" w:sz="0" w:space="0" w:color="auto"/>
      </w:divBdr>
      <w:divsChild>
        <w:div w:id="675112530">
          <w:marLeft w:val="0"/>
          <w:marRight w:val="0"/>
          <w:marTop w:val="0"/>
          <w:marBottom w:val="0"/>
          <w:divBdr>
            <w:top w:val="none" w:sz="0" w:space="0" w:color="auto"/>
            <w:left w:val="none" w:sz="0" w:space="0" w:color="auto"/>
            <w:bottom w:val="none" w:sz="0" w:space="0" w:color="auto"/>
            <w:right w:val="none" w:sz="0" w:space="0" w:color="auto"/>
          </w:divBdr>
        </w:div>
        <w:div w:id="202428154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sv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214BA-91D7-4E42-9091-FBAFD5CA4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8452</Words>
  <Characters>48180</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Cornwall</dc:creator>
  <cp:keywords/>
  <dc:description/>
  <cp:lastModifiedBy>Tamar</cp:lastModifiedBy>
  <cp:revision>2</cp:revision>
  <cp:lastPrinted>2023-09-28T08:38:00Z</cp:lastPrinted>
  <dcterms:created xsi:type="dcterms:W3CDTF">2023-12-07T14:11:00Z</dcterms:created>
  <dcterms:modified xsi:type="dcterms:W3CDTF">2023-12-07T14:11:00Z</dcterms:modified>
</cp:coreProperties>
</file>