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D23BD" w14:textId="4D6AF3CC" w:rsidR="00260F16" w:rsidRPr="00CA2336" w:rsidRDefault="678C46D7" w:rsidP="0062703F">
      <w:pPr>
        <w:spacing w:after="200" w:line="360" w:lineRule="auto"/>
        <w:jc w:val="both"/>
        <w:rPr>
          <w:rFonts w:ascii="Arial" w:eastAsia="Arial" w:hAnsi="Arial" w:cs="Arial"/>
          <w:b/>
          <w:bCs/>
        </w:rPr>
      </w:pPr>
      <w:bookmarkStart w:id="0" w:name="_Hlk151379002"/>
      <w:r w:rsidRPr="00CA2336">
        <w:rPr>
          <w:rFonts w:ascii="Arial" w:eastAsia="Arial" w:hAnsi="Arial" w:cs="Arial"/>
          <w:b/>
          <w:bCs/>
        </w:rPr>
        <w:t>Fracture risk and health profiles differ according to relationship status</w:t>
      </w:r>
      <w:r w:rsidR="74D5968E" w:rsidRPr="00CA2336">
        <w:rPr>
          <w:rFonts w:ascii="Arial" w:eastAsia="Arial" w:hAnsi="Arial" w:cs="Arial"/>
          <w:b/>
          <w:bCs/>
        </w:rPr>
        <w:t>: findings from the Hertfordshire Cohort Study</w:t>
      </w:r>
    </w:p>
    <w:p w14:paraId="5708C70D" w14:textId="47EF4E46" w:rsidR="00260F16" w:rsidRPr="00CA2336" w:rsidRDefault="74D5968E" w:rsidP="0062703F">
      <w:pPr>
        <w:spacing w:after="200" w:line="360" w:lineRule="auto"/>
        <w:jc w:val="both"/>
        <w:rPr>
          <w:rFonts w:ascii="Arial" w:eastAsia="Arial" w:hAnsi="Arial" w:cs="Arial"/>
          <w:b/>
          <w:bCs/>
          <w:vertAlign w:val="superscript"/>
        </w:rPr>
      </w:pPr>
      <w:bookmarkStart w:id="1" w:name="_Hlk151379015"/>
      <w:bookmarkEnd w:id="0"/>
      <w:r w:rsidRPr="00CA2336">
        <w:rPr>
          <w:rFonts w:ascii="Arial" w:eastAsia="Arial" w:hAnsi="Arial" w:cs="Arial"/>
          <w:b/>
          <w:bCs/>
        </w:rPr>
        <w:t>Leo D Westbury</w:t>
      </w:r>
      <w:r w:rsidRPr="00CA2336">
        <w:rPr>
          <w:rFonts w:ascii="Arial" w:eastAsia="Arial" w:hAnsi="Arial" w:cs="Arial"/>
          <w:b/>
          <w:bCs/>
          <w:vertAlign w:val="superscript"/>
        </w:rPr>
        <w:t>1</w:t>
      </w:r>
      <w:r w:rsidRPr="00CA2336">
        <w:rPr>
          <w:rFonts w:ascii="Arial" w:eastAsia="Arial" w:hAnsi="Arial" w:cs="Arial"/>
          <w:b/>
          <w:bCs/>
        </w:rPr>
        <w:t>, Camille Pearse</w:t>
      </w:r>
      <w:r w:rsidRPr="00CA2336">
        <w:rPr>
          <w:rFonts w:ascii="Arial" w:eastAsia="Arial" w:hAnsi="Arial" w:cs="Arial"/>
          <w:b/>
          <w:bCs/>
          <w:vertAlign w:val="superscript"/>
        </w:rPr>
        <w:t>1</w:t>
      </w:r>
      <w:r w:rsidRPr="00CA2336">
        <w:rPr>
          <w:rFonts w:ascii="Arial" w:eastAsia="Arial" w:hAnsi="Arial" w:cs="Arial"/>
          <w:b/>
          <w:bCs/>
        </w:rPr>
        <w:t xml:space="preserve">, </w:t>
      </w:r>
      <w:r w:rsidR="0062703F">
        <w:rPr>
          <w:rFonts w:ascii="Arial" w:eastAsia="Arial" w:hAnsi="Arial" w:cs="Arial"/>
          <w:b/>
          <w:bCs/>
        </w:rPr>
        <w:t>Gregorio Bevilacqua</w:t>
      </w:r>
      <w:r w:rsidR="0062703F" w:rsidRPr="00CA2336">
        <w:rPr>
          <w:rFonts w:ascii="Arial" w:eastAsia="Arial" w:hAnsi="Arial" w:cs="Arial"/>
          <w:b/>
          <w:bCs/>
          <w:vertAlign w:val="superscript"/>
        </w:rPr>
        <w:t>1</w:t>
      </w:r>
      <w:r w:rsidR="0062703F">
        <w:rPr>
          <w:rFonts w:ascii="Arial" w:eastAsia="Arial" w:hAnsi="Arial" w:cs="Arial"/>
          <w:b/>
          <w:bCs/>
        </w:rPr>
        <w:t xml:space="preserve">, </w:t>
      </w:r>
      <w:r w:rsidRPr="00CA2336">
        <w:rPr>
          <w:rFonts w:ascii="Arial" w:eastAsia="Arial" w:hAnsi="Arial" w:cs="Arial"/>
          <w:b/>
          <w:bCs/>
        </w:rPr>
        <w:t>Nicholas R Fuggle</w:t>
      </w:r>
      <w:r w:rsidRPr="00CA2336">
        <w:rPr>
          <w:rFonts w:ascii="Arial" w:eastAsia="Arial" w:hAnsi="Arial" w:cs="Arial"/>
          <w:b/>
          <w:bCs/>
          <w:vertAlign w:val="superscript"/>
        </w:rPr>
        <w:t>1,2</w:t>
      </w:r>
      <w:r w:rsidRPr="00CA2336">
        <w:rPr>
          <w:rFonts w:ascii="Arial" w:eastAsia="Arial" w:hAnsi="Arial" w:cs="Arial"/>
          <w:b/>
          <w:bCs/>
        </w:rPr>
        <w:t>, Kate A Ward</w:t>
      </w:r>
      <w:r w:rsidRPr="00CA2336">
        <w:rPr>
          <w:rFonts w:ascii="Arial" w:eastAsia="Arial" w:hAnsi="Arial" w:cs="Arial"/>
          <w:b/>
          <w:bCs/>
          <w:vertAlign w:val="superscript"/>
        </w:rPr>
        <w:t>1</w:t>
      </w:r>
      <w:r w:rsidR="003C0218">
        <w:rPr>
          <w:rFonts w:ascii="Arial" w:eastAsia="Arial" w:hAnsi="Arial" w:cs="Arial"/>
          <w:b/>
          <w:bCs/>
          <w:vertAlign w:val="superscript"/>
        </w:rPr>
        <w:t>,3</w:t>
      </w:r>
      <w:r w:rsidRPr="00CA2336">
        <w:rPr>
          <w:rFonts w:ascii="Arial" w:eastAsia="Arial" w:hAnsi="Arial" w:cs="Arial"/>
          <w:b/>
          <w:bCs/>
        </w:rPr>
        <w:t>, Cyrus Cooper</w:t>
      </w:r>
      <w:r w:rsidRPr="00CA2336">
        <w:rPr>
          <w:rFonts w:ascii="Arial" w:eastAsia="Arial" w:hAnsi="Arial" w:cs="Arial"/>
          <w:b/>
          <w:bCs/>
          <w:vertAlign w:val="superscript"/>
        </w:rPr>
        <w:t>1,3,4</w:t>
      </w:r>
      <w:r w:rsidRPr="00CA2336">
        <w:rPr>
          <w:rFonts w:ascii="Arial" w:eastAsia="Arial" w:hAnsi="Arial" w:cs="Arial"/>
          <w:b/>
          <w:bCs/>
        </w:rPr>
        <w:t>, Elaine M Dennison</w:t>
      </w:r>
      <w:r w:rsidRPr="00CA2336">
        <w:rPr>
          <w:rFonts w:ascii="Arial" w:eastAsia="Arial" w:hAnsi="Arial" w:cs="Arial"/>
          <w:b/>
          <w:bCs/>
          <w:vertAlign w:val="superscript"/>
        </w:rPr>
        <w:t>1,5</w:t>
      </w:r>
    </w:p>
    <w:bookmarkEnd w:id="1"/>
    <w:p w14:paraId="5B67C494" w14:textId="3E9C1540" w:rsidR="00260F16" w:rsidRPr="00CA2336" w:rsidRDefault="74D5968E" w:rsidP="0062703F">
      <w:pPr>
        <w:spacing w:after="200" w:line="360" w:lineRule="auto"/>
        <w:jc w:val="both"/>
        <w:rPr>
          <w:rFonts w:ascii="Arial" w:eastAsia="Arial" w:hAnsi="Arial" w:cs="Arial"/>
        </w:rPr>
      </w:pPr>
      <w:r w:rsidRPr="00CA2336">
        <w:rPr>
          <w:rFonts w:ascii="Arial" w:eastAsia="Arial" w:hAnsi="Arial" w:cs="Arial"/>
          <w:vertAlign w:val="superscript"/>
        </w:rPr>
        <w:t>1</w:t>
      </w:r>
      <w:r w:rsidRPr="00CA2336">
        <w:rPr>
          <w:rFonts w:ascii="Arial" w:eastAsia="Arial" w:hAnsi="Arial" w:cs="Arial"/>
        </w:rPr>
        <w:t>MRC Lifecourse Epidemiology Centre, University of Southampton, Southampton, United Kingdom</w:t>
      </w:r>
    </w:p>
    <w:p w14:paraId="64B9334F" w14:textId="462FC1BB" w:rsidR="00260F16" w:rsidRPr="00CA2336" w:rsidRDefault="74D5968E" w:rsidP="0062703F">
      <w:pPr>
        <w:spacing w:after="200" w:line="360" w:lineRule="auto"/>
        <w:jc w:val="both"/>
        <w:rPr>
          <w:rFonts w:ascii="Arial" w:eastAsia="Arial" w:hAnsi="Arial" w:cs="Arial"/>
        </w:rPr>
      </w:pPr>
      <w:r w:rsidRPr="00CA2336">
        <w:rPr>
          <w:rFonts w:ascii="Arial" w:eastAsia="Arial" w:hAnsi="Arial" w:cs="Arial"/>
          <w:vertAlign w:val="superscript"/>
        </w:rPr>
        <w:t>2</w:t>
      </w:r>
      <w:r w:rsidRPr="00CA2336">
        <w:rPr>
          <w:rFonts w:ascii="Arial" w:eastAsia="Arial" w:hAnsi="Arial" w:cs="Arial"/>
        </w:rPr>
        <w:t>The Alan Turing Institute, London, United Kingdom</w:t>
      </w:r>
    </w:p>
    <w:p w14:paraId="39504EE9" w14:textId="2E153248" w:rsidR="00260F16" w:rsidRPr="00CA2336" w:rsidRDefault="74D5968E" w:rsidP="0062703F">
      <w:pPr>
        <w:spacing w:after="200" w:line="360" w:lineRule="auto"/>
        <w:jc w:val="both"/>
        <w:rPr>
          <w:rFonts w:ascii="Arial" w:eastAsia="Arial" w:hAnsi="Arial" w:cs="Arial"/>
        </w:rPr>
      </w:pPr>
      <w:r w:rsidRPr="00CA2336">
        <w:rPr>
          <w:rFonts w:ascii="Arial" w:eastAsia="Arial" w:hAnsi="Arial" w:cs="Arial"/>
          <w:vertAlign w:val="superscript"/>
        </w:rPr>
        <w:t>3</w:t>
      </w:r>
      <w:r w:rsidRPr="00CA2336">
        <w:rPr>
          <w:rFonts w:ascii="Arial" w:eastAsia="Arial" w:hAnsi="Arial" w:cs="Arial"/>
        </w:rPr>
        <w:t>NIHR Southampton Biomedical Research Centre, University of Southampton and University Hospital Southampton NHS Foundation Trust, Southampton, United Kingdom</w:t>
      </w:r>
    </w:p>
    <w:p w14:paraId="15550FED" w14:textId="0977DFCE" w:rsidR="00260F16" w:rsidRPr="00CA2336" w:rsidRDefault="74D5968E" w:rsidP="0062703F">
      <w:pPr>
        <w:spacing w:after="200" w:line="360" w:lineRule="auto"/>
        <w:jc w:val="both"/>
        <w:rPr>
          <w:rFonts w:ascii="Arial" w:eastAsia="Arial" w:hAnsi="Arial" w:cs="Arial"/>
        </w:rPr>
      </w:pPr>
      <w:r w:rsidRPr="00CA2336">
        <w:rPr>
          <w:rFonts w:ascii="Arial" w:eastAsia="Arial" w:hAnsi="Arial" w:cs="Arial"/>
          <w:vertAlign w:val="superscript"/>
        </w:rPr>
        <w:t>4</w:t>
      </w:r>
      <w:r w:rsidRPr="00CA2336">
        <w:rPr>
          <w:rFonts w:ascii="Arial" w:eastAsia="Arial" w:hAnsi="Arial" w:cs="Arial"/>
        </w:rPr>
        <w:t>NIHR Oxford Biomedical Research Centre, University of Oxford, Oxford, United Kingdom</w:t>
      </w:r>
    </w:p>
    <w:p w14:paraId="513EDF63" w14:textId="636F98AC" w:rsidR="00260F16" w:rsidRPr="00CA2336" w:rsidRDefault="74D5968E" w:rsidP="0062703F">
      <w:pPr>
        <w:spacing w:after="200" w:line="360" w:lineRule="auto"/>
        <w:jc w:val="both"/>
        <w:rPr>
          <w:rFonts w:ascii="Arial" w:eastAsia="Arial" w:hAnsi="Arial" w:cs="Arial"/>
        </w:rPr>
      </w:pPr>
      <w:r w:rsidRPr="00CA2336">
        <w:rPr>
          <w:rFonts w:ascii="Arial" w:eastAsia="Arial" w:hAnsi="Arial" w:cs="Arial"/>
          <w:vertAlign w:val="superscript"/>
        </w:rPr>
        <w:t>5</w:t>
      </w:r>
      <w:bookmarkStart w:id="2" w:name="_Hlk151379088"/>
      <w:r w:rsidRPr="00CA2336">
        <w:rPr>
          <w:rFonts w:ascii="Arial" w:eastAsia="Arial" w:hAnsi="Arial" w:cs="Arial"/>
        </w:rPr>
        <w:t>Victoria University of Wellington, Wellington, New Zealand</w:t>
      </w:r>
    </w:p>
    <w:bookmarkEnd w:id="2"/>
    <w:p w14:paraId="4CFAB9E0" w14:textId="6FB9DBE0" w:rsidR="00260F16" w:rsidRPr="00CA2336" w:rsidRDefault="00260F16" w:rsidP="0062703F">
      <w:pPr>
        <w:spacing w:after="200" w:line="360" w:lineRule="auto"/>
        <w:jc w:val="both"/>
        <w:rPr>
          <w:rFonts w:ascii="Arial" w:eastAsia="Arial" w:hAnsi="Arial" w:cs="Arial"/>
        </w:rPr>
      </w:pPr>
    </w:p>
    <w:p w14:paraId="0E8BF6FD" w14:textId="515300E7" w:rsidR="00260F16" w:rsidRPr="00CA2336" w:rsidRDefault="789BB7BA" w:rsidP="0062703F">
      <w:pPr>
        <w:pStyle w:val="Heading1"/>
        <w:spacing w:before="0" w:after="200" w:line="360" w:lineRule="auto"/>
        <w:jc w:val="both"/>
        <w:rPr>
          <w:rFonts w:ascii="Arial" w:eastAsia="Arial" w:hAnsi="Arial" w:cs="Arial"/>
          <w:color w:val="auto"/>
          <w:sz w:val="22"/>
          <w:szCs w:val="22"/>
        </w:rPr>
      </w:pPr>
      <w:r w:rsidRPr="00CA2336">
        <w:rPr>
          <w:rFonts w:ascii="Arial" w:eastAsia="Arial" w:hAnsi="Arial" w:cs="Arial"/>
          <w:color w:val="auto"/>
          <w:sz w:val="22"/>
          <w:szCs w:val="22"/>
        </w:rPr>
        <w:t>Corresponding author:</w:t>
      </w:r>
    </w:p>
    <w:p w14:paraId="40648268" w14:textId="46EF0BAF" w:rsidR="00260F16" w:rsidRPr="00CA2336" w:rsidRDefault="789BB7BA" w:rsidP="0062703F">
      <w:pPr>
        <w:spacing w:after="200" w:line="360" w:lineRule="auto"/>
        <w:jc w:val="both"/>
        <w:rPr>
          <w:rFonts w:ascii="Arial" w:eastAsia="Arial" w:hAnsi="Arial" w:cs="Arial"/>
        </w:rPr>
      </w:pPr>
      <w:r w:rsidRPr="00CA2336">
        <w:rPr>
          <w:rFonts w:ascii="Arial" w:eastAsia="Arial" w:hAnsi="Arial" w:cs="Arial"/>
        </w:rPr>
        <w:t xml:space="preserve">Prof. Elaine Dennison, </w:t>
      </w:r>
      <w:hyperlink r:id="rId11">
        <w:r w:rsidRPr="00CA2336">
          <w:rPr>
            <w:rStyle w:val="Hyperlink"/>
            <w:rFonts w:ascii="Arial" w:eastAsia="Arial" w:hAnsi="Arial" w:cs="Arial"/>
            <w:color w:val="auto"/>
          </w:rPr>
          <w:t>emd@mrc.soton.ac.uk</w:t>
        </w:r>
      </w:hyperlink>
      <w:r w:rsidRPr="00CA2336">
        <w:rPr>
          <w:rFonts w:ascii="Arial" w:eastAsia="Arial" w:hAnsi="Arial" w:cs="Arial"/>
        </w:rPr>
        <w:t xml:space="preserve"> </w:t>
      </w:r>
    </w:p>
    <w:p w14:paraId="393B0E62" w14:textId="77777777" w:rsidR="00E32029" w:rsidRPr="00D10656" w:rsidRDefault="00BC33E3" w:rsidP="00E32029">
      <w:pPr>
        <w:spacing w:line="360" w:lineRule="auto"/>
        <w:jc w:val="both"/>
        <w:rPr>
          <w:rFonts w:ascii="Arial" w:hAnsi="Arial" w:cs="Arial"/>
          <w:b/>
          <w:bCs/>
        </w:rPr>
      </w:pPr>
      <w:r w:rsidRPr="00CA2336">
        <w:br/>
      </w:r>
      <w:r w:rsidR="00E32029" w:rsidRPr="00D10656">
        <w:rPr>
          <w:rFonts w:ascii="Arial" w:hAnsi="Arial" w:cs="Arial"/>
          <w:b/>
          <w:bCs/>
        </w:rPr>
        <w:t>Acknowledgements</w:t>
      </w:r>
    </w:p>
    <w:p w14:paraId="29A3A1C4" w14:textId="77777777" w:rsidR="00E32029" w:rsidRPr="003E6F65" w:rsidRDefault="00E32029" w:rsidP="00E32029">
      <w:pPr>
        <w:spacing w:line="360" w:lineRule="auto"/>
        <w:jc w:val="both"/>
        <w:rPr>
          <w:rFonts w:ascii="Arial" w:hAnsi="Arial" w:cs="Arial"/>
        </w:rPr>
      </w:pPr>
      <w:r w:rsidRPr="00D10656">
        <w:rPr>
          <w:rFonts w:ascii="Arial" w:hAnsi="Arial" w:cs="Arial"/>
        </w:rPr>
        <w:t>The Hertfordshire Cohort Study was supported by the Medical Research Council University Unit Partnership grant number MRC_MC_UP_A620_1014. The authors were supported by the UK Medical Research Council [MC_PC_21003; MC_PC_21001].</w:t>
      </w:r>
    </w:p>
    <w:p w14:paraId="2B743528" w14:textId="05819FB8" w:rsidR="00E32029" w:rsidRDefault="00E32029" w:rsidP="0062703F">
      <w:pPr>
        <w:spacing w:after="200" w:line="360" w:lineRule="auto"/>
        <w:jc w:val="both"/>
        <w:rPr>
          <w:rFonts w:ascii="Arial" w:eastAsia="Arial" w:hAnsi="Arial" w:cs="Arial"/>
          <w:b/>
          <w:bCs/>
        </w:rPr>
      </w:pPr>
    </w:p>
    <w:p w14:paraId="1BA148F0" w14:textId="77777777" w:rsidR="00E32029" w:rsidRDefault="00E32029" w:rsidP="0062703F">
      <w:pPr>
        <w:spacing w:after="200" w:line="360" w:lineRule="auto"/>
        <w:jc w:val="both"/>
        <w:rPr>
          <w:rFonts w:ascii="Arial" w:eastAsia="Arial" w:hAnsi="Arial" w:cs="Arial"/>
          <w:b/>
          <w:bCs/>
        </w:rPr>
      </w:pPr>
    </w:p>
    <w:p w14:paraId="1A72BAC4" w14:textId="77777777" w:rsidR="00E32029" w:rsidRDefault="00E32029" w:rsidP="0062703F">
      <w:pPr>
        <w:spacing w:after="200" w:line="360" w:lineRule="auto"/>
        <w:jc w:val="both"/>
        <w:rPr>
          <w:rFonts w:ascii="Arial" w:eastAsia="Arial" w:hAnsi="Arial" w:cs="Arial"/>
          <w:b/>
          <w:bCs/>
        </w:rPr>
      </w:pPr>
    </w:p>
    <w:p w14:paraId="732A5CA8" w14:textId="77777777" w:rsidR="00E32029" w:rsidRDefault="00E32029" w:rsidP="0062703F">
      <w:pPr>
        <w:spacing w:after="200" w:line="360" w:lineRule="auto"/>
        <w:jc w:val="both"/>
        <w:rPr>
          <w:rFonts w:ascii="Arial" w:eastAsia="Arial" w:hAnsi="Arial" w:cs="Arial"/>
          <w:b/>
          <w:bCs/>
        </w:rPr>
      </w:pPr>
    </w:p>
    <w:p w14:paraId="2A430F5C" w14:textId="77777777" w:rsidR="00E32029" w:rsidRDefault="00E32029" w:rsidP="0062703F">
      <w:pPr>
        <w:spacing w:after="200" w:line="360" w:lineRule="auto"/>
        <w:jc w:val="both"/>
        <w:rPr>
          <w:rFonts w:ascii="Arial" w:eastAsia="Arial" w:hAnsi="Arial" w:cs="Arial"/>
          <w:b/>
          <w:bCs/>
        </w:rPr>
      </w:pPr>
    </w:p>
    <w:p w14:paraId="64D3C557" w14:textId="77777777" w:rsidR="00E32029" w:rsidRDefault="00E32029" w:rsidP="0062703F">
      <w:pPr>
        <w:spacing w:after="200" w:line="360" w:lineRule="auto"/>
        <w:jc w:val="both"/>
        <w:rPr>
          <w:rFonts w:ascii="Arial" w:eastAsia="Arial" w:hAnsi="Arial" w:cs="Arial"/>
          <w:b/>
          <w:bCs/>
        </w:rPr>
      </w:pPr>
    </w:p>
    <w:p w14:paraId="0C91C8FC" w14:textId="77777777" w:rsidR="00E32029" w:rsidRDefault="00E32029" w:rsidP="0062703F">
      <w:pPr>
        <w:spacing w:after="200" w:line="360" w:lineRule="auto"/>
        <w:jc w:val="both"/>
        <w:rPr>
          <w:rFonts w:ascii="Arial" w:eastAsia="Arial" w:hAnsi="Arial" w:cs="Arial"/>
          <w:b/>
          <w:bCs/>
        </w:rPr>
      </w:pPr>
    </w:p>
    <w:p w14:paraId="7AC163DC" w14:textId="77777777" w:rsidR="00405231" w:rsidRDefault="00405231" w:rsidP="0062703F">
      <w:pPr>
        <w:spacing w:after="200" w:line="360" w:lineRule="auto"/>
        <w:jc w:val="both"/>
        <w:rPr>
          <w:rFonts w:ascii="Arial" w:eastAsia="Arial" w:hAnsi="Arial" w:cs="Arial"/>
          <w:b/>
          <w:bCs/>
        </w:rPr>
      </w:pPr>
    </w:p>
    <w:p w14:paraId="7F244734" w14:textId="66D454AD" w:rsidR="00260F16" w:rsidRPr="00CA2336" w:rsidRDefault="4DEADF89" w:rsidP="0062703F">
      <w:pPr>
        <w:spacing w:after="200" w:line="360" w:lineRule="auto"/>
        <w:jc w:val="both"/>
        <w:rPr>
          <w:rFonts w:ascii="Arial" w:eastAsia="Arial" w:hAnsi="Arial" w:cs="Arial"/>
        </w:rPr>
      </w:pPr>
      <w:r w:rsidRPr="00CA2336">
        <w:rPr>
          <w:rFonts w:ascii="Arial" w:eastAsia="Arial" w:hAnsi="Arial" w:cs="Arial"/>
          <w:b/>
          <w:bCs/>
        </w:rPr>
        <w:lastRenderedPageBreak/>
        <w:t>Abstract</w:t>
      </w:r>
    </w:p>
    <w:p w14:paraId="28FAA335" w14:textId="4BA3A5C6" w:rsidR="003866C0" w:rsidRPr="003F1846" w:rsidRDefault="003866C0" w:rsidP="003866C0">
      <w:pPr>
        <w:spacing w:after="200" w:line="360" w:lineRule="auto"/>
        <w:jc w:val="both"/>
        <w:rPr>
          <w:rFonts w:ascii="Arial" w:eastAsia="Arial" w:hAnsi="Arial" w:cs="Arial"/>
        </w:rPr>
      </w:pPr>
      <w:r>
        <w:rPr>
          <w:rFonts w:ascii="Arial" w:eastAsia="Arial" w:hAnsi="Arial" w:cs="Arial"/>
        </w:rPr>
        <w:t>R</w:t>
      </w:r>
      <w:r w:rsidRPr="0062703F">
        <w:rPr>
          <w:rFonts w:ascii="Arial" w:eastAsia="Arial" w:hAnsi="Arial" w:cs="Arial"/>
        </w:rPr>
        <w:t xml:space="preserve">egistry studies have suggested associations between relationship status and fracture risk. </w:t>
      </w:r>
      <w:r w:rsidRPr="00155247">
        <w:rPr>
          <w:rFonts w:ascii="Arial" w:eastAsia="Arial" w:hAnsi="Arial" w:cs="Arial"/>
        </w:rPr>
        <w:t xml:space="preserve">We considered associations between relationship status and incident fracture in the Hertfordshire Cohort Study, </w:t>
      </w:r>
      <w:r w:rsidR="001D1D18">
        <w:rPr>
          <w:rFonts w:ascii="Arial" w:eastAsia="Arial" w:hAnsi="Arial" w:cs="Arial"/>
        </w:rPr>
        <w:t>comprising</w:t>
      </w:r>
      <w:r w:rsidR="003C0218">
        <w:rPr>
          <w:rFonts w:ascii="Arial" w:eastAsia="Arial" w:hAnsi="Arial" w:cs="Arial"/>
        </w:rPr>
        <w:t xml:space="preserve"> </w:t>
      </w:r>
      <w:r w:rsidRPr="00155247">
        <w:rPr>
          <w:rFonts w:ascii="Arial" w:eastAsia="Arial" w:hAnsi="Arial" w:cs="Arial"/>
        </w:rPr>
        <w:t>community-dwelling</w:t>
      </w:r>
      <w:r w:rsidR="003C0218">
        <w:rPr>
          <w:rFonts w:ascii="Arial" w:eastAsia="Arial" w:hAnsi="Arial" w:cs="Arial"/>
        </w:rPr>
        <w:t xml:space="preserve"> </w:t>
      </w:r>
      <w:r w:rsidRPr="003F1846">
        <w:rPr>
          <w:rFonts w:ascii="Arial" w:eastAsia="Arial" w:hAnsi="Arial" w:cs="Arial"/>
        </w:rPr>
        <w:t>older adults,</w:t>
      </w:r>
      <w:r>
        <w:rPr>
          <w:rFonts w:ascii="Arial" w:eastAsia="Arial" w:hAnsi="Arial" w:cs="Arial"/>
        </w:rPr>
        <w:t xml:space="preserve"> </w:t>
      </w:r>
      <w:r w:rsidR="001D1D18">
        <w:rPr>
          <w:rFonts w:ascii="Arial" w:eastAsia="Arial" w:hAnsi="Arial" w:cs="Arial"/>
        </w:rPr>
        <w:t>and</w:t>
      </w:r>
      <w:r w:rsidRPr="003F1846">
        <w:rPr>
          <w:rFonts w:ascii="Arial" w:eastAsia="Arial" w:hAnsi="Arial" w:cs="Arial"/>
        </w:rPr>
        <w:t xml:space="preserve"> explored associations between socioeconomic and lifestyle factors </w:t>
      </w:r>
      <w:r>
        <w:rPr>
          <w:rFonts w:ascii="Arial" w:eastAsia="Arial" w:hAnsi="Arial" w:cs="Arial"/>
        </w:rPr>
        <w:t>with</w:t>
      </w:r>
      <w:r w:rsidRPr="003F1846">
        <w:rPr>
          <w:rFonts w:ascii="Arial" w:eastAsia="Arial" w:hAnsi="Arial" w:cs="Arial"/>
        </w:rPr>
        <w:t xml:space="preserve"> relationship status.</w:t>
      </w:r>
      <w:r>
        <w:rPr>
          <w:rFonts w:ascii="Arial" w:eastAsia="Arial" w:hAnsi="Arial" w:cs="Arial"/>
        </w:rPr>
        <w:t xml:space="preserve"> </w:t>
      </w:r>
      <w:r w:rsidRPr="003F1846">
        <w:rPr>
          <w:rFonts w:ascii="Arial" w:eastAsia="Arial" w:hAnsi="Arial" w:cs="Arial"/>
        </w:rPr>
        <w:t>2,997 participants completed a baseline questionnaire (1998-2004) and clinic visit. Participants were followed up until Dec</w:t>
      </w:r>
      <w:r w:rsidR="00045E4A">
        <w:rPr>
          <w:rFonts w:ascii="Arial" w:eastAsia="Arial" w:hAnsi="Arial" w:cs="Arial"/>
        </w:rPr>
        <w:t>ember</w:t>
      </w:r>
      <w:r w:rsidRPr="003F1846">
        <w:rPr>
          <w:rFonts w:ascii="Arial" w:eastAsia="Arial" w:hAnsi="Arial" w:cs="Arial"/>
        </w:rPr>
        <w:t xml:space="preserve"> 2018 using Hospital Episode Statistics</w:t>
      </w:r>
      <w:r w:rsidR="003C0218">
        <w:rPr>
          <w:rFonts w:ascii="Arial" w:eastAsia="Arial" w:hAnsi="Arial" w:cs="Arial"/>
        </w:rPr>
        <w:t>,</w:t>
      </w:r>
      <w:r w:rsidRPr="003F1846">
        <w:rPr>
          <w:rFonts w:ascii="Arial" w:eastAsia="Arial" w:hAnsi="Arial" w:cs="Arial"/>
        </w:rPr>
        <w:t xml:space="preserve"> which report clinical outcomes using</w:t>
      </w:r>
      <w:r w:rsidR="003C0218">
        <w:rPr>
          <w:rFonts w:ascii="Arial" w:eastAsia="Arial" w:hAnsi="Arial" w:cs="Arial"/>
        </w:rPr>
        <w:t xml:space="preserve"> codes from the </w:t>
      </w:r>
      <w:r w:rsidR="003C0218" w:rsidRPr="003C0218">
        <w:rPr>
          <w:rFonts w:ascii="Arial" w:eastAsia="Arial" w:hAnsi="Arial" w:cs="Arial"/>
        </w:rPr>
        <w:t>10th revision of the International Classification of Diseases</w:t>
      </w:r>
      <w:r w:rsidRPr="003F1846">
        <w:rPr>
          <w:rFonts w:ascii="Arial" w:eastAsia="Arial" w:hAnsi="Arial" w:cs="Arial"/>
        </w:rPr>
        <w:t xml:space="preserve"> </w:t>
      </w:r>
      <w:r w:rsidR="003C0218">
        <w:rPr>
          <w:rFonts w:ascii="Arial" w:eastAsia="Arial" w:hAnsi="Arial" w:cs="Arial"/>
        </w:rPr>
        <w:t>(</w:t>
      </w:r>
      <w:r w:rsidRPr="003F1846">
        <w:rPr>
          <w:rFonts w:ascii="Arial" w:eastAsia="Arial" w:hAnsi="Arial" w:cs="Arial"/>
        </w:rPr>
        <w:t>ICD-10</w:t>
      </w:r>
      <w:r w:rsidR="003C0218">
        <w:rPr>
          <w:rFonts w:ascii="Arial" w:eastAsia="Arial" w:hAnsi="Arial" w:cs="Arial"/>
        </w:rPr>
        <w:t>)</w:t>
      </w:r>
      <w:r w:rsidRPr="003F1846">
        <w:rPr>
          <w:rFonts w:ascii="Arial" w:eastAsia="Arial" w:hAnsi="Arial" w:cs="Arial"/>
        </w:rPr>
        <w:t>; these codes were used to ascertain incident fractures. Relationship status (not currently married/cohabiting vs currently married/cohabiting) at baseline was examined in relation to incident fracture using Cox regression. Associations between baseline characteristics and relationship status were examined using logistic regression.</w:t>
      </w:r>
      <w:r>
        <w:rPr>
          <w:rFonts w:ascii="Arial" w:eastAsia="Arial" w:hAnsi="Arial" w:cs="Arial"/>
        </w:rPr>
        <w:t xml:space="preserve"> </w:t>
      </w:r>
      <w:bookmarkStart w:id="3" w:name="_Hlk157431998"/>
      <w:r w:rsidRPr="003F1846">
        <w:rPr>
          <w:rFonts w:ascii="Arial" w:eastAsia="Arial" w:hAnsi="Arial" w:cs="Arial"/>
        </w:rPr>
        <w:t xml:space="preserve">Mean </w:t>
      </w:r>
      <w:r w:rsidR="001D1D18">
        <w:rPr>
          <w:rFonts w:ascii="Arial" w:eastAsia="Arial" w:hAnsi="Arial" w:cs="Arial"/>
        </w:rPr>
        <w:t xml:space="preserve">baseline </w:t>
      </w:r>
      <w:r w:rsidRPr="003F1846">
        <w:rPr>
          <w:rFonts w:ascii="Arial" w:eastAsia="Arial" w:hAnsi="Arial" w:cs="Arial"/>
        </w:rPr>
        <w:t>age was 66.2 years</w:t>
      </w:r>
      <w:r w:rsidR="00485D40">
        <w:rPr>
          <w:rFonts w:ascii="Arial" w:eastAsia="Arial" w:hAnsi="Arial" w:cs="Arial"/>
        </w:rPr>
        <w:t>.</w:t>
      </w:r>
      <w:r w:rsidRPr="003F1846">
        <w:rPr>
          <w:rFonts w:ascii="Arial" w:eastAsia="Arial" w:hAnsi="Arial" w:cs="Arial"/>
        </w:rPr>
        <w:t xml:space="preserve"> 80% were married</w:t>
      </w:r>
      <w:r w:rsidR="00045E4A">
        <w:rPr>
          <w:rFonts w:ascii="Arial" w:eastAsia="Arial" w:hAnsi="Arial" w:cs="Arial"/>
        </w:rPr>
        <w:t>/</w:t>
      </w:r>
      <w:r w:rsidRPr="003F1846">
        <w:rPr>
          <w:rFonts w:ascii="Arial" w:eastAsia="Arial" w:hAnsi="Arial" w:cs="Arial"/>
        </w:rPr>
        <w:t xml:space="preserve">cohabiting at baseline; </w:t>
      </w:r>
      <w:bookmarkStart w:id="4" w:name="_Hlk157507598"/>
      <w:r w:rsidRPr="003F1846">
        <w:rPr>
          <w:rFonts w:ascii="Arial" w:eastAsia="Arial" w:hAnsi="Arial" w:cs="Arial"/>
        </w:rPr>
        <w:t>15% had an incident fracture</w:t>
      </w:r>
      <w:r w:rsidR="00D175CB">
        <w:rPr>
          <w:rFonts w:ascii="Arial" w:eastAsia="Arial" w:hAnsi="Arial" w:cs="Arial"/>
        </w:rPr>
        <w:t xml:space="preserve"> </w:t>
      </w:r>
      <w:r w:rsidR="001D1D18">
        <w:rPr>
          <w:rFonts w:ascii="Arial" w:eastAsia="Arial" w:hAnsi="Arial" w:cs="Arial"/>
        </w:rPr>
        <w:t>(</w:t>
      </w:r>
      <w:r w:rsidR="00D175CB">
        <w:rPr>
          <w:rFonts w:ascii="Arial" w:eastAsia="Arial" w:hAnsi="Arial" w:cs="Arial"/>
        </w:rPr>
        <w:t xml:space="preserve">mean (SD) follow-up </w:t>
      </w:r>
      <w:r w:rsidR="000F6FC8">
        <w:rPr>
          <w:rFonts w:ascii="Arial" w:eastAsia="Arial" w:hAnsi="Arial" w:cs="Arial"/>
        </w:rPr>
        <w:t>duration</w:t>
      </w:r>
      <w:r w:rsidR="001D1D18">
        <w:rPr>
          <w:rFonts w:ascii="Arial" w:eastAsia="Arial" w:hAnsi="Arial" w:cs="Arial"/>
        </w:rPr>
        <w:t xml:space="preserve">: </w:t>
      </w:r>
      <w:r w:rsidR="00AA4739" w:rsidRPr="00AA4739">
        <w:rPr>
          <w:rFonts w:ascii="Arial" w:eastAsia="Arial" w:hAnsi="Arial" w:cs="Arial"/>
        </w:rPr>
        <w:t>14.4</w:t>
      </w:r>
      <w:r w:rsidR="001D1D18">
        <w:rPr>
          <w:rFonts w:ascii="Arial" w:eastAsia="Arial" w:hAnsi="Arial" w:cs="Arial"/>
        </w:rPr>
        <w:t xml:space="preserve"> </w:t>
      </w:r>
      <w:r w:rsidR="00AA4739" w:rsidRPr="00AA4739">
        <w:rPr>
          <w:rFonts w:ascii="Arial" w:eastAsia="Arial" w:hAnsi="Arial" w:cs="Arial"/>
        </w:rPr>
        <w:t>(4.5)</w:t>
      </w:r>
      <w:r w:rsidR="00D175CB">
        <w:rPr>
          <w:rFonts w:ascii="Arial" w:eastAsia="Arial" w:hAnsi="Arial" w:cs="Arial"/>
        </w:rPr>
        <w:t xml:space="preserve"> years</w:t>
      </w:r>
      <w:bookmarkEnd w:id="4"/>
      <w:r w:rsidR="001D1D18">
        <w:rPr>
          <w:rFonts w:ascii="Arial" w:eastAsia="Arial" w:hAnsi="Arial" w:cs="Arial"/>
        </w:rPr>
        <w:t>)</w:t>
      </w:r>
      <w:r w:rsidRPr="003F1846">
        <w:rPr>
          <w:rFonts w:ascii="Arial" w:eastAsia="Arial" w:hAnsi="Arial" w:cs="Arial"/>
        </w:rPr>
        <w:t>.</w:t>
      </w:r>
      <w:bookmarkEnd w:id="3"/>
      <w:r w:rsidRPr="003F1846">
        <w:rPr>
          <w:rFonts w:ascii="Arial" w:eastAsia="Arial" w:hAnsi="Arial" w:cs="Arial"/>
        </w:rPr>
        <w:t xml:space="preserve"> The following were related to greater likelihood of not being married</w:t>
      </w:r>
      <w:r w:rsidR="00045E4A">
        <w:rPr>
          <w:rFonts w:ascii="Arial" w:eastAsia="Arial" w:hAnsi="Arial" w:cs="Arial"/>
        </w:rPr>
        <w:t>/</w:t>
      </w:r>
      <w:r w:rsidRPr="003F1846">
        <w:rPr>
          <w:rFonts w:ascii="Arial" w:eastAsia="Arial" w:hAnsi="Arial" w:cs="Arial"/>
        </w:rPr>
        <w:t xml:space="preserve">cohabiting: older age (women only); higher BMI (women only); current smoking; high alcohol consumption (men only); poorer diet quality (men only); lower physical activity; leaving school before age 15 (women only); and not </w:t>
      </w:r>
      <w:r w:rsidR="006C29BC">
        <w:rPr>
          <w:rFonts w:ascii="Arial" w:eastAsia="Arial" w:hAnsi="Arial" w:cs="Arial"/>
        </w:rPr>
        <w:t>owning</w:t>
      </w:r>
      <w:r w:rsidRPr="003F1846">
        <w:rPr>
          <w:rFonts w:ascii="Arial" w:eastAsia="Arial" w:hAnsi="Arial" w:cs="Arial"/>
        </w:rPr>
        <w:t xml:space="preserve"> one’s home.</w:t>
      </w:r>
      <w:r>
        <w:rPr>
          <w:rFonts w:ascii="Arial" w:eastAsia="Arial" w:hAnsi="Arial" w:cs="Arial"/>
        </w:rPr>
        <w:t xml:space="preserve"> </w:t>
      </w:r>
      <w:r w:rsidRPr="003F1846">
        <w:rPr>
          <w:rFonts w:ascii="Arial" w:eastAsia="Arial" w:hAnsi="Arial" w:cs="Arial"/>
        </w:rPr>
        <w:t>Those not married</w:t>
      </w:r>
      <w:r w:rsidR="00045E4A">
        <w:rPr>
          <w:rFonts w:ascii="Arial" w:eastAsia="Arial" w:hAnsi="Arial" w:cs="Arial"/>
        </w:rPr>
        <w:t>/</w:t>
      </w:r>
      <w:r w:rsidRPr="003F1846">
        <w:rPr>
          <w:rFonts w:ascii="Arial" w:eastAsia="Arial" w:hAnsi="Arial" w:cs="Arial"/>
        </w:rPr>
        <w:t xml:space="preserve">cohabiting had greater risk of incident fracture compared to those who were (age-adjusted hazard ratios (95%CI): 1.58(1.06,2.38) among men, 1.35(1.06,1.72) among women); </w:t>
      </w:r>
      <w:r w:rsidRPr="003866C0">
        <w:rPr>
          <w:rFonts w:ascii="Arial" w:eastAsia="Arial" w:hAnsi="Arial" w:cs="Arial"/>
        </w:rPr>
        <w:t xml:space="preserve">associations were attenuated after accounting for the above factors associated with relationship status in the corresponding sex. </w:t>
      </w:r>
      <w:bookmarkStart w:id="5" w:name="_Hlk157580442"/>
      <w:r>
        <w:rPr>
          <w:rFonts w:ascii="Arial" w:eastAsia="Arial" w:hAnsi="Arial" w:cs="Arial"/>
        </w:rPr>
        <w:t>This suggests d</w:t>
      </w:r>
      <w:r w:rsidRPr="003F1846">
        <w:rPr>
          <w:rFonts w:ascii="Arial" w:eastAsia="Arial" w:hAnsi="Arial" w:cs="Arial"/>
        </w:rPr>
        <w:t xml:space="preserve">ifferences in health profiles </w:t>
      </w:r>
      <w:r w:rsidR="000F6FC8">
        <w:rPr>
          <w:rFonts w:ascii="Arial" w:eastAsia="Arial" w:hAnsi="Arial" w:cs="Arial"/>
        </w:rPr>
        <w:t xml:space="preserve">and lifestyle </w:t>
      </w:r>
      <w:r w:rsidRPr="003F1846">
        <w:rPr>
          <w:rFonts w:ascii="Arial" w:eastAsia="Arial" w:hAnsi="Arial" w:cs="Arial"/>
        </w:rPr>
        <w:t>according to relationship status may explain the association between relationship status and fracture risk.</w:t>
      </w:r>
    </w:p>
    <w:bookmarkEnd w:id="5"/>
    <w:p w14:paraId="1111A2BF" w14:textId="77777777" w:rsidR="00405231" w:rsidRDefault="00405231">
      <w:pPr>
        <w:spacing w:after="200" w:line="360" w:lineRule="auto"/>
        <w:jc w:val="both"/>
        <w:rPr>
          <w:rFonts w:ascii="Arial" w:eastAsia="Arial" w:hAnsi="Arial" w:cs="Arial"/>
        </w:rPr>
      </w:pPr>
    </w:p>
    <w:p w14:paraId="3A67AC85" w14:textId="780FCBFD" w:rsidR="00260F16" w:rsidRPr="003F1846" w:rsidRDefault="789BB7BA">
      <w:pPr>
        <w:spacing w:after="200" w:line="360" w:lineRule="auto"/>
        <w:jc w:val="both"/>
        <w:rPr>
          <w:rFonts w:ascii="Arial" w:eastAsia="Arial" w:hAnsi="Arial" w:cs="Arial"/>
        </w:rPr>
      </w:pPr>
      <w:r w:rsidRPr="003F1846">
        <w:rPr>
          <w:rFonts w:ascii="Arial" w:eastAsia="Arial" w:hAnsi="Arial" w:cs="Arial"/>
          <w:b/>
          <w:bCs/>
        </w:rPr>
        <w:t>Keywords</w:t>
      </w:r>
      <w:r w:rsidR="48087B47" w:rsidRPr="003F1846">
        <w:rPr>
          <w:rFonts w:ascii="Arial" w:eastAsia="Arial" w:hAnsi="Arial" w:cs="Arial"/>
          <w:b/>
          <w:bCs/>
        </w:rPr>
        <w:t xml:space="preserve">: </w:t>
      </w:r>
      <w:r w:rsidR="003E6F65">
        <w:rPr>
          <w:rFonts w:ascii="Arial" w:eastAsia="Arial" w:hAnsi="Arial" w:cs="Arial"/>
        </w:rPr>
        <w:t>Relationship</w:t>
      </w:r>
      <w:r w:rsidR="003E6F65" w:rsidRPr="003F1846">
        <w:rPr>
          <w:rFonts w:ascii="Arial" w:eastAsia="Arial" w:hAnsi="Arial" w:cs="Arial"/>
        </w:rPr>
        <w:t xml:space="preserve"> </w:t>
      </w:r>
      <w:r w:rsidR="48087B47" w:rsidRPr="003F1846">
        <w:rPr>
          <w:rFonts w:ascii="Arial" w:eastAsia="Arial" w:hAnsi="Arial" w:cs="Arial"/>
        </w:rPr>
        <w:t>status; Fracture; Lifestyle</w:t>
      </w:r>
      <w:r w:rsidR="003E6F65">
        <w:rPr>
          <w:rFonts w:ascii="Arial" w:eastAsia="Arial" w:hAnsi="Arial" w:cs="Arial"/>
        </w:rPr>
        <w:t>; Socioeconomic; Osteoporosis; Epidemiology</w:t>
      </w:r>
    </w:p>
    <w:p w14:paraId="1A27F03B" w14:textId="6C9D3A59" w:rsidR="00260F16" w:rsidRPr="00CA2336" w:rsidRDefault="00BC33E3" w:rsidP="00C97B41">
      <w:pPr>
        <w:spacing w:after="200" w:line="360" w:lineRule="auto"/>
        <w:jc w:val="both"/>
        <w:rPr>
          <w:rFonts w:ascii="Arial" w:eastAsia="Arial" w:hAnsi="Arial" w:cs="Arial"/>
        </w:rPr>
      </w:pPr>
      <w:r w:rsidRPr="00CA2336">
        <w:br/>
      </w:r>
      <w:r w:rsidR="789BB7BA" w:rsidRPr="003F1846">
        <w:rPr>
          <w:rFonts w:ascii="Arial" w:eastAsia="Arial" w:hAnsi="Arial" w:cs="Arial"/>
          <w:b/>
          <w:bCs/>
        </w:rPr>
        <w:t>Introduction</w:t>
      </w:r>
    </w:p>
    <w:p w14:paraId="3199B087" w14:textId="1FA1873F" w:rsidR="00F015DC" w:rsidRPr="00211961" w:rsidRDefault="5D6008D4" w:rsidP="00C97B41">
      <w:pPr>
        <w:spacing w:line="360" w:lineRule="auto"/>
        <w:jc w:val="both"/>
        <w:rPr>
          <w:rFonts w:ascii="Arial" w:hAnsi="Arial" w:cs="Arial"/>
        </w:rPr>
      </w:pPr>
      <w:r w:rsidRPr="003F1846">
        <w:rPr>
          <w:rFonts w:ascii="Arial" w:eastAsia="Arial" w:hAnsi="Arial" w:cs="Arial"/>
        </w:rPr>
        <w:t xml:space="preserve">Osteoporotic fractures are a cause of significant mortality and morbidity, with huge personal and societal costs. </w:t>
      </w:r>
      <w:r w:rsidR="2A871C85" w:rsidRPr="003F1846">
        <w:rPr>
          <w:rFonts w:ascii="Arial" w:eastAsia="Arial" w:hAnsi="Arial" w:cs="Arial"/>
        </w:rPr>
        <w:t xml:space="preserve">For example, </w:t>
      </w:r>
      <w:r w:rsidR="2B7AF849" w:rsidRPr="003F1846">
        <w:rPr>
          <w:rFonts w:ascii="Arial" w:eastAsia="Arial" w:hAnsi="Arial" w:cs="Arial"/>
        </w:rPr>
        <w:t xml:space="preserve">among Caucasians, </w:t>
      </w:r>
      <w:r w:rsidR="39F705D7" w:rsidRPr="003F1846">
        <w:rPr>
          <w:rFonts w:ascii="Arial" w:eastAsia="Arial" w:hAnsi="Arial" w:cs="Arial"/>
        </w:rPr>
        <w:t xml:space="preserve">approximately </w:t>
      </w:r>
      <w:r w:rsidR="105D2E47" w:rsidRPr="003F1846">
        <w:rPr>
          <w:rFonts w:ascii="Arial" w:eastAsia="Arial" w:hAnsi="Arial" w:cs="Arial"/>
        </w:rPr>
        <w:t>one in two women and one i</w:t>
      </w:r>
      <w:r w:rsidR="00AD5176">
        <w:rPr>
          <w:rFonts w:ascii="Arial" w:eastAsia="Arial" w:hAnsi="Arial" w:cs="Arial"/>
        </w:rPr>
        <w:t>n</w:t>
      </w:r>
      <w:r w:rsidR="105D2E47" w:rsidRPr="003F1846">
        <w:rPr>
          <w:rFonts w:ascii="Arial" w:eastAsia="Arial" w:hAnsi="Arial" w:cs="Arial"/>
        </w:rPr>
        <w:t xml:space="preserve"> five men over the age of 50 years will sustain an osteoporotic fracture at some point in their remaining lifetime</w:t>
      </w:r>
      <w:r w:rsidR="00B05E78">
        <w:rPr>
          <w:rFonts w:ascii="Arial" w:eastAsia="Arial" w:hAnsi="Arial" w:cs="Arial"/>
        </w:rPr>
        <w:t xml:space="preserve"> </w:t>
      </w:r>
      <w:r w:rsidR="00B05E78">
        <w:rPr>
          <w:rFonts w:ascii="Arial" w:eastAsia="Arial" w:hAnsi="Arial" w:cs="Arial"/>
        </w:rPr>
        <w:fldChar w:fldCharType="begin"/>
      </w:r>
      <w:r w:rsidR="002D5573">
        <w:rPr>
          <w:rFonts w:ascii="Arial" w:eastAsia="Arial" w:hAnsi="Arial" w:cs="Arial"/>
        </w:rPr>
        <w:instrText xml:space="preserve"> ADDIN EN.CITE &lt;EndNote&gt;&lt;Cite&gt;&lt;Author&gt;Couris&lt;/Author&gt;&lt;Year&gt;2012&lt;/Year&gt;&lt;RecNum&gt;1536&lt;/RecNum&gt;&lt;DisplayText&gt;[1]&lt;/DisplayText&gt;&lt;record&gt;&lt;rec-number&gt;1536&lt;/rec-number&gt;&lt;foreign-keys&gt;&lt;key app="EN" db-id="pzdf5rvs9wzts6erav6v0rpowttawpd0ztaa" timestamp="1700471174"&gt;1536&lt;/key&gt;&lt;/foreign-keys&gt;&lt;ref-type name="Journal Article"&gt;17&lt;/ref-type&gt;&lt;contributors&gt;&lt;authors&gt;&lt;author&gt;Couris, C M&lt;/author&gt;&lt;author&gt;Chapurlat, Roland D&lt;/author&gt;&lt;author&gt;Kanis, John A&lt;/author&gt;&lt;author&gt;Johansson, Helena&lt;/author&gt;&lt;author&gt;Burlet, N&lt;/author&gt;&lt;author&gt;Delmas, P D&lt;/author&gt;&lt;author&gt;Schott, A M&lt;/author&gt;&lt;/authors&gt;&lt;/contributors&gt;&lt;titles&gt;&lt;title&gt;FRAX® probabilities and risk of major osteoporotic fracture in France&lt;/title&gt;&lt;secondary-title&gt;Osteoporosis International&lt;/secondary-title&gt;&lt;/titles&gt;&lt;periodical&gt;&lt;full-title&gt;Osteoporosis international&lt;/full-title&gt;&lt;/periodical&gt;&lt;pages&gt;2321-2327&lt;/pages&gt;&lt;volume&gt;23&lt;/volume&gt;&lt;number&gt;9&lt;/number&gt;&lt;dates&gt;&lt;year&gt;2012&lt;/year&gt;&lt;/dates&gt;&lt;urls&gt;&lt;/urls&gt;&lt;electronic-resource-num&gt;https://doi.org/10.1007/s00198-011-1883-8&lt;/electronic-resource-num&gt;&lt;/record&gt;&lt;/Cite&gt;&lt;/EndNote&gt;</w:instrText>
      </w:r>
      <w:r w:rsidR="00B05E78">
        <w:rPr>
          <w:rFonts w:ascii="Arial" w:eastAsia="Arial" w:hAnsi="Arial" w:cs="Arial"/>
        </w:rPr>
        <w:fldChar w:fldCharType="separate"/>
      </w:r>
      <w:r w:rsidR="00B05E78">
        <w:rPr>
          <w:rFonts w:ascii="Arial" w:eastAsia="Arial" w:hAnsi="Arial" w:cs="Arial"/>
          <w:noProof/>
        </w:rPr>
        <w:t>[1]</w:t>
      </w:r>
      <w:r w:rsidR="00B05E78">
        <w:rPr>
          <w:rFonts w:ascii="Arial" w:eastAsia="Arial" w:hAnsi="Arial" w:cs="Arial"/>
        </w:rPr>
        <w:fldChar w:fldCharType="end"/>
      </w:r>
      <w:r w:rsidR="000D54CC">
        <w:rPr>
          <w:rFonts w:ascii="Arial" w:eastAsia="Arial" w:hAnsi="Arial" w:cs="Arial"/>
        </w:rPr>
        <w:t>,</w:t>
      </w:r>
      <w:r w:rsidR="0F9F3E8F" w:rsidRPr="003F1846">
        <w:rPr>
          <w:rFonts w:ascii="Arial" w:eastAsia="Arial" w:hAnsi="Arial" w:cs="Arial"/>
        </w:rPr>
        <w:t xml:space="preserve"> </w:t>
      </w:r>
      <w:r w:rsidR="2B7773EB" w:rsidRPr="003F1846">
        <w:rPr>
          <w:rFonts w:ascii="Arial" w:eastAsia="Arial" w:hAnsi="Arial" w:cs="Arial"/>
        </w:rPr>
        <w:t xml:space="preserve">and the economic burden of osteoporotic fractures in the European Union was estimated </w:t>
      </w:r>
      <w:r w:rsidR="002D6DBA" w:rsidRPr="003F1846">
        <w:rPr>
          <w:rFonts w:ascii="Arial" w:eastAsia="Arial" w:hAnsi="Arial" w:cs="Arial"/>
        </w:rPr>
        <w:t>to be</w:t>
      </w:r>
      <w:r w:rsidR="2B7773EB" w:rsidRPr="003F1846">
        <w:rPr>
          <w:rFonts w:ascii="Arial" w:eastAsia="Arial" w:hAnsi="Arial" w:cs="Arial"/>
        </w:rPr>
        <w:t xml:space="preserve"> €37 billion in 2010</w:t>
      </w:r>
      <w:r w:rsidR="00EE0E6D">
        <w:rPr>
          <w:rFonts w:ascii="Arial" w:eastAsia="Arial" w:hAnsi="Arial" w:cs="Arial"/>
        </w:rPr>
        <w:t xml:space="preserve"> </w:t>
      </w:r>
      <w:r w:rsidR="00EE0E6D">
        <w:rPr>
          <w:rFonts w:ascii="Arial" w:eastAsia="Arial" w:hAnsi="Arial" w:cs="Arial"/>
        </w:rPr>
        <w:fldChar w:fldCharType="begin"/>
      </w:r>
      <w:r w:rsidR="00EE0E6D">
        <w:rPr>
          <w:rFonts w:ascii="Arial" w:eastAsia="Arial" w:hAnsi="Arial" w:cs="Arial"/>
        </w:rPr>
        <w:instrText xml:space="preserve"> ADDIN EN.CITE &lt;EndNote&gt;&lt;Cite&gt;&lt;Author&gt;Hernlund&lt;/Author&gt;&lt;Year&gt;2013&lt;/Year&gt;&lt;RecNum&gt;1106&lt;/RecNum&gt;&lt;DisplayText&gt;[2]&lt;/DisplayText&gt;&lt;record&gt;&lt;rec-number&gt;1106&lt;/rec-number&gt;&lt;foreign-keys&gt;&lt;key app="EN" db-id="pzdf5rvs9wzts6erav6v0rpowttawpd0ztaa" timestamp="1517748890"&gt;1106&lt;/key&gt;&lt;/foreign-keys&gt;&lt;ref-type name="Journal Article"&gt;17&lt;/ref-type&gt;&lt;contributors&gt;&lt;authors&gt;&lt;author&gt;Hernlund, E&lt;/author&gt;&lt;author&gt;Svedbom, A&lt;/author&gt;&lt;author&gt;Ivergård, M&lt;/author&gt;&lt;author&gt;Compston, J&lt;/author&gt;&lt;author&gt;Cooper, Cyrus&lt;/author&gt;&lt;author&gt;Stenmark, J&lt;/author&gt;&lt;author&gt;McCloskey, Eugene V&lt;/author&gt;&lt;author&gt;Jönsson, Bengt&lt;/author&gt;&lt;author&gt;Kanis, John A&lt;/author&gt;&lt;/authors&gt;&lt;/contributors&gt;&lt;titles&gt;&lt;title&gt;Osteoporosis in the European Union: medical management, epidemiology and economic burden. A report prepared in collaboration with the International Osteoporosis Foundation (IOF) and the European Federation of Pharmaceutical Industry Associations (EFPIA)&lt;/title&gt;&lt;secondary-title&gt;Archives of Osteoporosis&lt;/secondary-title&gt;&lt;/titles&gt;&lt;periodical&gt;&lt;full-title&gt;Archives of osteoporosis&lt;/full-title&gt;&lt;/periodical&gt;&lt;pages&gt;136&lt;/pages&gt;&lt;volume&gt;8&lt;/volume&gt;&lt;number&gt;1&lt;/number&gt;&lt;dates&gt;&lt;year&gt;2013&lt;/year&gt;&lt;/dates&gt;&lt;urls&gt;&lt;related-urls&gt;&lt;url&gt;https://link.springer.com/content/pdf/10.1007/s11657-013-0136-1.pdf&lt;/url&gt;&lt;/related-urls&gt;&lt;/urls&gt;&lt;electronic-resource-num&gt;https://doi.org/10.1007/s11657-013-0136-1&lt;/electronic-resource-num&gt;&lt;/record&gt;&lt;/Cite&gt;&lt;/EndNote&gt;</w:instrText>
      </w:r>
      <w:r w:rsidR="00EE0E6D">
        <w:rPr>
          <w:rFonts w:ascii="Arial" w:eastAsia="Arial" w:hAnsi="Arial" w:cs="Arial"/>
        </w:rPr>
        <w:fldChar w:fldCharType="separate"/>
      </w:r>
      <w:r w:rsidR="00EE0E6D">
        <w:rPr>
          <w:rFonts w:ascii="Arial" w:eastAsia="Arial" w:hAnsi="Arial" w:cs="Arial"/>
          <w:noProof/>
        </w:rPr>
        <w:t>[2]</w:t>
      </w:r>
      <w:r w:rsidR="00EE0E6D">
        <w:rPr>
          <w:rFonts w:ascii="Arial" w:eastAsia="Arial" w:hAnsi="Arial" w:cs="Arial"/>
        </w:rPr>
        <w:fldChar w:fldCharType="end"/>
      </w:r>
      <w:r w:rsidR="6D474A0B" w:rsidRPr="003F1846">
        <w:rPr>
          <w:rFonts w:ascii="Arial" w:eastAsia="Arial" w:hAnsi="Arial" w:cs="Arial"/>
        </w:rPr>
        <w:t>.</w:t>
      </w:r>
      <w:r w:rsidR="00EE2858">
        <w:rPr>
          <w:rFonts w:ascii="Arial" w:eastAsia="Arial" w:hAnsi="Arial" w:cs="Arial"/>
        </w:rPr>
        <w:t xml:space="preserve"> </w:t>
      </w:r>
      <w:r w:rsidR="00F015DC">
        <w:rPr>
          <w:rFonts w:ascii="Arial" w:eastAsia="Arial" w:hAnsi="Arial" w:cs="Arial"/>
        </w:rPr>
        <w:t xml:space="preserve">Relationship status has previously been associated with health outcomes including </w:t>
      </w:r>
      <w:r w:rsidR="00F015DC">
        <w:rPr>
          <w:rFonts w:ascii="Arial" w:hAnsi="Arial" w:cs="Arial"/>
        </w:rPr>
        <w:t>premature mortality</w:t>
      </w:r>
      <w:r w:rsidR="00EE0E6D">
        <w:rPr>
          <w:rFonts w:ascii="Arial" w:hAnsi="Arial" w:cs="Arial"/>
        </w:rPr>
        <w:t xml:space="preserve"> </w:t>
      </w:r>
      <w:r w:rsidR="00EE0E6D">
        <w:rPr>
          <w:rFonts w:ascii="Arial" w:hAnsi="Arial" w:cs="Arial"/>
        </w:rPr>
        <w:fldChar w:fldCharType="begin"/>
      </w:r>
      <w:r w:rsidR="00EE0E6D">
        <w:rPr>
          <w:rFonts w:ascii="Arial" w:hAnsi="Arial" w:cs="Arial"/>
        </w:rPr>
        <w:instrText xml:space="preserve"> ADDIN EN.CITE &lt;EndNote&gt;&lt;Cite&gt;&lt;Author&gt;Manzoli&lt;/Author&gt;&lt;Year&gt;2007&lt;/Year&gt;&lt;RecNum&gt;1537&lt;/RecNum&gt;&lt;DisplayText&gt;[3]&lt;/DisplayText&gt;&lt;record&gt;&lt;rec-number&gt;1537&lt;/rec-number&gt;&lt;foreign-keys&gt;&lt;key app="EN" db-id="pzdf5rvs9wzts6erav6v0rpowttawpd0ztaa" timestamp="1700473814"&gt;1537&lt;/key&gt;&lt;/foreign-keys&gt;&lt;ref-type name="Journal Article"&gt;17&lt;/ref-type&gt;&lt;contributors&gt;&lt;authors&gt;&lt;author&gt;Manzoli, Lamberto&lt;/author&gt;&lt;author&gt;Villari, Paolo&lt;/author&gt;&lt;author&gt;Pirone, Giovanni M&lt;/author&gt;&lt;author&gt;Boccia, Antonio&lt;/author&gt;&lt;/authors&gt;&lt;/contributors&gt;&lt;titles&gt;&lt;title&gt;Marital status and mortality in the elderly: a systematic review and meta-analysis&lt;/title&gt;&lt;secondary-title&gt;Social Science &amp;amp; Medicine&lt;/secondary-title&gt;&lt;/titles&gt;&lt;periodical&gt;&lt;full-title&gt;Social science &amp;amp; medicine&lt;/full-title&gt;&lt;/periodical&gt;&lt;pages&gt;77-94&lt;/pages&gt;&lt;volume&gt;64&lt;/volume&gt;&lt;number&gt;1&lt;/number&gt;&lt;dates&gt;&lt;year&gt;2007&lt;/year&gt;&lt;/dates&gt;&lt;urls&gt;&lt;/urls&gt;&lt;electronic-resource-num&gt;https://doi.org/10.1016/j.socscimed.2006.08.031&lt;/electronic-resource-num&gt;&lt;/record&gt;&lt;/Cite&gt;&lt;/EndNote&gt;</w:instrText>
      </w:r>
      <w:r w:rsidR="00EE0E6D">
        <w:rPr>
          <w:rFonts w:ascii="Arial" w:hAnsi="Arial" w:cs="Arial"/>
        </w:rPr>
        <w:fldChar w:fldCharType="separate"/>
      </w:r>
      <w:r w:rsidR="00EE0E6D">
        <w:rPr>
          <w:rFonts w:ascii="Arial" w:hAnsi="Arial" w:cs="Arial"/>
          <w:noProof/>
        </w:rPr>
        <w:t>[3]</w:t>
      </w:r>
      <w:r w:rsidR="00EE0E6D">
        <w:rPr>
          <w:rFonts w:ascii="Arial" w:hAnsi="Arial" w:cs="Arial"/>
        </w:rPr>
        <w:fldChar w:fldCharType="end"/>
      </w:r>
      <w:r w:rsidR="00F015DC">
        <w:rPr>
          <w:rFonts w:ascii="Arial" w:hAnsi="Arial" w:cs="Arial"/>
        </w:rPr>
        <w:t>, cardiovascular disease</w:t>
      </w:r>
      <w:r w:rsidR="00E50C6A">
        <w:rPr>
          <w:rFonts w:ascii="Arial" w:hAnsi="Arial" w:cs="Arial"/>
        </w:rPr>
        <w:t xml:space="preserve"> </w:t>
      </w:r>
      <w:r w:rsidR="00E50C6A">
        <w:rPr>
          <w:rFonts w:ascii="Arial" w:hAnsi="Arial" w:cs="Arial"/>
        </w:rPr>
        <w:fldChar w:fldCharType="begin"/>
      </w:r>
      <w:r w:rsidR="00E50C6A">
        <w:rPr>
          <w:rFonts w:ascii="Arial" w:hAnsi="Arial" w:cs="Arial"/>
        </w:rPr>
        <w:instrText xml:space="preserve"> ADDIN EN.CITE &lt;EndNote&gt;&lt;Cite&gt;&lt;Author&gt;Chen&lt;/Author&gt;&lt;Year&gt;2020&lt;/Year&gt;&lt;RecNum&gt;1538&lt;/RecNum&gt;&lt;DisplayText&gt;[4]&lt;/DisplayText&gt;&lt;record&gt;&lt;rec-number&gt;1538&lt;/rec-number&gt;&lt;foreign-keys&gt;&lt;key app="EN" db-id="pzdf5rvs9wzts6erav6v0rpowttawpd0ztaa" timestamp="1700474111"&gt;1538&lt;/key&gt;&lt;/foreign-keys&gt;&lt;ref-type name="Journal Article"&gt;17&lt;/ref-type&gt;&lt;contributors&gt;&lt;authors&gt;&lt;author&gt;Chen, Ruoqing&lt;/author&gt;&lt;author&gt;Zhan, Yiqiang&lt;/author&gt;&lt;author&gt;Pedersen, Nancy&lt;/author&gt;&lt;author&gt;Fall, Katja&lt;/author&gt;&lt;author&gt;Valdimarsdóttir, Unnur A&lt;/author&gt;&lt;author&gt;Hägg, Sara&lt;/author&gt;&lt;author&gt;Fang, Fang&lt;/author&gt;&lt;/authors&gt;&lt;/contributors&gt;&lt;titles&gt;&lt;title&gt;Marital status, telomere length and cardiovascular disease risk in a Swedish prospective cohort&lt;/title&gt;&lt;secondary-title&gt;Heart&lt;/secondary-title&gt;&lt;/titles&gt;&lt;periodical&gt;&lt;full-title&gt;Heart&lt;/full-title&gt;&lt;/periodical&gt;&lt;pages&gt;267-272&lt;/pages&gt;&lt;volume&gt;106&lt;/volume&gt;&lt;number&gt;4&lt;/number&gt;&lt;dates&gt;&lt;year&gt;2020&lt;/year&gt;&lt;/dates&gt;&lt;urls&gt;&lt;/urls&gt;&lt;electronic-resource-num&gt;https://doi.org/10.1136/heartjnl-2019-315629&lt;/electronic-resource-num&gt;&lt;/record&gt;&lt;/Cite&gt;&lt;/EndNote&gt;</w:instrText>
      </w:r>
      <w:r w:rsidR="00E50C6A">
        <w:rPr>
          <w:rFonts w:ascii="Arial" w:hAnsi="Arial" w:cs="Arial"/>
        </w:rPr>
        <w:fldChar w:fldCharType="separate"/>
      </w:r>
      <w:r w:rsidR="00E50C6A">
        <w:rPr>
          <w:rFonts w:ascii="Arial" w:hAnsi="Arial" w:cs="Arial"/>
          <w:noProof/>
        </w:rPr>
        <w:t>[4]</w:t>
      </w:r>
      <w:r w:rsidR="00E50C6A">
        <w:rPr>
          <w:rFonts w:ascii="Arial" w:hAnsi="Arial" w:cs="Arial"/>
        </w:rPr>
        <w:fldChar w:fldCharType="end"/>
      </w:r>
      <w:r w:rsidR="00F015DC">
        <w:rPr>
          <w:rFonts w:ascii="Arial" w:hAnsi="Arial" w:cs="Arial"/>
        </w:rPr>
        <w:t xml:space="preserve">  </w:t>
      </w:r>
      <w:r w:rsidR="00F015DC">
        <w:rPr>
          <w:rFonts w:ascii="Arial" w:hAnsi="Arial" w:cs="Arial"/>
        </w:rPr>
        <w:lastRenderedPageBreak/>
        <w:t>and falls</w:t>
      </w:r>
      <w:r w:rsidR="00E50C6A">
        <w:rPr>
          <w:rFonts w:ascii="Arial" w:hAnsi="Arial" w:cs="Arial"/>
        </w:rPr>
        <w:t xml:space="preserve"> </w:t>
      </w:r>
      <w:r w:rsidR="00E50C6A">
        <w:rPr>
          <w:rFonts w:ascii="Arial" w:hAnsi="Arial" w:cs="Arial"/>
        </w:rPr>
        <w:fldChar w:fldCharType="begin"/>
      </w:r>
      <w:r w:rsidR="00E50C6A">
        <w:rPr>
          <w:rFonts w:ascii="Arial" w:hAnsi="Arial" w:cs="Arial"/>
        </w:rPr>
        <w:instrText xml:space="preserve"> ADDIN EN.CITE &lt;EndNote&gt;&lt;Cite&gt;&lt;Author&gt;Jin Choi&lt;/Author&gt;&lt;Year&gt;2014&lt;/Year&gt;&lt;RecNum&gt;1539&lt;/RecNum&gt;&lt;DisplayText&gt;[5]&lt;/DisplayText&gt;&lt;record&gt;&lt;rec-number&gt;1539&lt;/rec-number&gt;&lt;foreign-keys&gt;&lt;key app="EN" db-id="pzdf5rvs9wzts6erav6v0rpowttawpd0ztaa" timestamp="1700474338"&gt;1539&lt;/key&gt;&lt;/foreign-keys&gt;&lt;ref-type name="Journal Article"&gt;17&lt;/ref-type&gt;&lt;contributors&gt;&lt;authors&gt;&lt;author&gt;Jin Choi, Eun&lt;/author&gt;&lt;author&gt;Kim, Sun A&lt;/author&gt;&lt;author&gt;Kim, Nu Ri&lt;/author&gt;&lt;author&gt;Rhee, Jung-Ae&lt;/author&gt;&lt;author&gt;Yun, Yong-Woon&lt;/author&gt;&lt;author&gt;Shin, Min-Ho&lt;/author&gt;&lt;/authors&gt;&lt;/contributors&gt;&lt;titles&gt;&lt;title&gt;Risk factors for falls in older Korean adults: the 2011 Community Health Survey&lt;/title&gt;&lt;secondary-title&gt;Journal of Korean Medical Science&lt;/secondary-title&gt;&lt;/titles&gt;&lt;periodical&gt;&lt;full-title&gt;Journal of Korean medical science&lt;/full-title&gt;&lt;/periodical&gt;&lt;pages&gt;1482-1487&lt;/pages&gt;&lt;volume&gt;29&lt;/volume&gt;&lt;number&gt;11&lt;/number&gt;&lt;dates&gt;&lt;year&gt;2014&lt;/year&gt;&lt;/dates&gt;&lt;urls&gt;&lt;/urls&gt;&lt;electronic-resource-num&gt;https://doi.org/10.3346/jkms.2014.29.11.1482&lt;/electronic-resource-num&gt;&lt;/record&gt;&lt;/Cite&gt;&lt;/EndNote&gt;</w:instrText>
      </w:r>
      <w:r w:rsidR="00E50C6A">
        <w:rPr>
          <w:rFonts w:ascii="Arial" w:hAnsi="Arial" w:cs="Arial"/>
        </w:rPr>
        <w:fldChar w:fldCharType="separate"/>
      </w:r>
      <w:r w:rsidR="00E50C6A">
        <w:rPr>
          <w:rFonts w:ascii="Arial" w:hAnsi="Arial" w:cs="Arial"/>
          <w:noProof/>
        </w:rPr>
        <w:t>[5]</w:t>
      </w:r>
      <w:r w:rsidR="00E50C6A">
        <w:rPr>
          <w:rFonts w:ascii="Arial" w:hAnsi="Arial" w:cs="Arial"/>
        </w:rPr>
        <w:fldChar w:fldCharType="end"/>
      </w:r>
      <w:r w:rsidR="00F015DC">
        <w:rPr>
          <w:rFonts w:ascii="Arial" w:hAnsi="Arial" w:cs="Arial"/>
        </w:rPr>
        <w:t xml:space="preserve"> ; some studies have also suggested that relationship status is associated with hip fracture </w:t>
      </w:r>
      <w:r w:rsidR="00AB3B1D">
        <w:rPr>
          <w:rFonts w:ascii="Arial" w:hAnsi="Arial" w:cs="Arial"/>
        </w:rPr>
        <w:fldChar w:fldCharType="begin">
          <w:fldData xml:space="preserve">PEVuZE5vdGU+PENpdGU+PEF1dGhvcj5CZW5ldG91PC9BdXRob3I+PFllYXI+MjAxNTwvWWVhcj48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</w:fldData>
        </w:fldChar>
      </w:r>
      <w:r w:rsidR="007241C0">
        <w:rPr>
          <w:rFonts w:ascii="Arial" w:hAnsi="Arial" w:cs="Arial"/>
        </w:rPr>
        <w:instrText xml:space="preserve"> ADDIN EN.CITE </w:instrText>
      </w:r>
      <w:r w:rsidR="007241C0">
        <w:rPr>
          <w:rFonts w:ascii="Arial" w:hAnsi="Arial" w:cs="Arial"/>
        </w:rPr>
        <w:fldChar w:fldCharType="begin">
          <w:fldData xml:space="preserve">PEVuZE5vdGU+PENpdGU+PEF1dGhvcj5CZW5ldG91PC9BdXRob3I+PFllYXI+MjAxNTwvWWVhcj48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</w:fldData>
        </w:fldChar>
      </w:r>
      <w:r w:rsidR="007241C0">
        <w:rPr>
          <w:rFonts w:ascii="Arial" w:hAnsi="Arial" w:cs="Arial"/>
        </w:rPr>
        <w:instrText xml:space="preserve"> ADDIN EN.CITE.DATA </w:instrText>
      </w:r>
      <w:r w:rsidR="007241C0">
        <w:rPr>
          <w:rFonts w:ascii="Arial" w:hAnsi="Arial" w:cs="Arial"/>
        </w:rPr>
      </w:r>
      <w:r w:rsidR="007241C0">
        <w:rPr>
          <w:rFonts w:ascii="Arial" w:hAnsi="Arial" w:cs="Arial"/>
        </w:rPr>
        <w:fldChar w:fldCharType="end"/>
      </w:r>
      <w:r w:rsidR="00AB3B1D">
        <w:rPr>
          <w:rFonts w:ascii="Arial" w:hAnsi="Arial" w:cs="Arial"/>
        </w:rPr>
      </w:r>
      <w:r w:rsidR="00AB3B1D">
        <w:rPr>
          <w:rFonts w:ascii="Arial" w:hAnsi="Arial" w:cs="Arial"/>
        </w:rPr>
        <w:fldChar w:fldCharType="separate"/>
      </w:r>
      <w:r w:rsidR="007241C0">
        <w:rPr>
          <w:rFonts w:ascii="Arial" w:hAnsi="Arial" w:cs="Arial"/>
          <w:noProof/>
        </w:rPr>
        <w:t>[6-9]</w:t>
      </w:r>
      <w:r w:rsidR="00AB3B1D">
        <w:rPr>
          <w:rFonts w:ascii="Arial" w:hAnsi="Arial" w:cs="Arial"/>
        </w:rPr>
        <w:fldChar w:fldCharType="end"/>
      </w:r>
      <w:r w:rsidR="00F015DC">
        <w:rPr>
          <w:rFonts w:ascii="Arial" w:hAnsi="Arial" w:cs="Arial"/>
        </w:rPr>
        <w:t>.</w:t>
      </w:r>
    </w:p>
    <w:p w14:paraId="07438EAA" w14:textId="1588177C" w:rsidR="00260F16" w:rsidRPr="00F35ED8" w:rsidRDefault="00155247">
      <w:pPr>
        <w:spacing w:after="200" w:line="360" w:lineRule="auto"/>
        <w:jc w:val="both"/>
        <w:rPr>
          <w:rFonts w:ascii="Arial" w:eastAsia="Arial" w:hAnsi="Arial" w:cs="Arial"/>
        </w:rPr>
      </w:pPr>
      <w:r>
        <w:rPr>
          <w:rFonts w:ascii="Arial" w:eastAsia="Arial" w:hAnsi="Arial" w:cs="Arial"/>
        </w:rPr>
        <w:t>A</w:t>
      </w:r>
      <w:r w:rsidR="5D6008D4" w:rsidRPr="003F1846">
        <w:rPr>
          <w:rFonts w:ascii="Arial" w:eastAsia="Arial" w:hAnsi="Arial" w:cs="Arial"/>
        </w:rPr>
        <w:t>nthropometric factors such as BMI, and</w:t>
      </w:r>
      <w:r w:rsidR="137D69DF" w:rsidRPr="003F1846">
        <w:rPr>
          <w:rFonts w:ascii="Arial" w:eastAsia="Arial" w:hAnsi="Arial" w:cs="Arial"/>
        </w:rPr>
        <w:t xml:space="preserve"> lifestyle factors such as</w:t>
      </w:r>
      <w:r w:rsidR="5D6008D4" w:rsidRPr="003F1846">
        <w:rPr>
          <w:rFonts w:ascii="Arial" w:eastAsia="Arial" w:hAnsi="Arial" w:cs="Arial"/>
        </w:rPr>
        <w:t xml:space="preserve"> smoking and excess</w:t>
      </w:r>
      <w:r w:rsidR="65EED1CE" w:rsidRPr="003F1846">
        <w:rPr>
          <w:rFonts w:ascii="Arial" w:eastAsia="Arial" w:hAnsi="Arial" w:cs="Arial"/>
        </w:rPr>
        <w:t>ive</w:t>
      </w:r>
      <w:r w:rsidR="5D6008D4" w:rsidRPr="003F1846">
        <w:rPr>
          <w:rFonts w:ascii="Arial" w:eastAsia="Arial" w:hAnsi="Arial" w:cs="Arial"/>
        </w:rPr>
        <w:t xml:space="preserve"> alcohol consumption are widely established risk factors for osteoporotic fractures</w:t>
      </w:r>
      <w:r w:rsidR="409D6169" w:rsidRPr="003F1846">
        <w:rPr>
          <w:rFonts w:ascii="Arial" w:eastAsia="Arial" w:hAnsi="Arial" w:cs="Arial"/>
        </w:rPr>
        <w:t xml:space="preserve"> </w:t>
      </w:r>
      <w:r w:rsidR="006D1A65">
        <w:rPr>
          <w:rFonts w:ascii="Arial" w:eastAsia="Arial" w:hAnsi="Arial" w:cs="Arial"/>
        </w:rPr>
        <w:fldChar w:fldCharType="begin"/>
      </w:r>
      <w:r w:rsidR="006D1A65">
        <w:rPr>
          <w:rFonts w:ascii="Arial" w:eastAsia="Arial" w:hAnsi="Arial" w:cs="Arial"/>
        </w:rPr>
        <w:instrText xml:space="preserve"> ADDIN EN.CITE &lt;EndNote&gt;&lt;Cite&gt;&lt;Author&gt;Kanis&lt;/Author&gt;&lt;Year&gt;2008&lt;/Year&gt;&lt;RecNum&gt;1460&lt;/RecNum&gt;&lt;DisplayText&gt;[10]&lt;/DisplayText&gt;&lt;record&gt;&lt;rec-number&gt;1460&lt;/rec-number&gt;&lt;foreign-keys&gt;&lt;key app="EN" db-id="pzdf5rvs9wzts6erav6v0rpowttawpd0ztaa" timestamp="1616487108"&gt;1460&lt;/key&gt;&lt;/foreign-keys&gt;&lt;ref-type name="Journal Article"&gt;17&lt;/ref-type&gt;&lt;contributors&gt;&lt;authors&gt;&lt;author&gt;Kanis, JA&lt;/author&gt;&lt;author&gt;Johnell, Olof&lt;/author&gt;&lt;author&gt;Oden, Anders&lt;/author&gt;&lt;author&gt;Johansson, Helena&lt;/author&gt;&lt;author&gt;McCloskey, E&lt;/author&gt;&lt;/authors&gt;&lt;/contributors&gt;&lt;titles&gt;&lt;title&gt;FRAX™ and the assessment of fracture probability in men and women from the UK&lt;/title&gt;&lt;secondary-title&gt;Osteoporos International&lt;/secondary-title&gt;&lt;/titles&gt;&lt;periodical&gt;&lt;full-title&gt;Osteoporos International&lt;/full-title&gt;&lt;/periodical&gt;&lt;pages&gt;385-397&lt;/pages&gt;&lt;volume&gt;19&lt;/volume&gt;&lt;number&gt;4&lt;/number&gt;&lt;dates&gt;&lt;year&gt;2008&lt;/year&gt;&lt;/dates&gt;&lt;urls&gt;&lt;/urls&gt;&lt;electronic-resource-num&gt;https://doi.org/10.1007/s00198-007-0543-5&lt;/electronic-resource-num&gt;&lt;/record&gt;&lt;/Cite&gt;&lt;/EndNote&gt;</w:instrText>
      </w:r>
      <w:r w:rsidR="006D1A65">
        <w:rPr>
          <w:rFonts w:ascii="Arial" w:eastAsia="Arial" w:hAnsi="Arial" w:cs="Arial"/>
        </w:rPr>
        <w:fldChar w:fldCharType="separate"/>
      </w:r>
      <w:r w:rsidR="006D1A65">
        <w:rPr>
          <w:rFonts w:ascii="Arial" w:eastAsia="Arial" w:hAnsi="Arial" w:cs="Arial"/>
          <w:noProof/>
        </w:rPr>
        <w:t>[10]</w:t>
      </w:r>
      <w:r w:rsidR="006D1A65">
        <w:rPr>
          <w:rFonts w:ascii="Arial" w:eastAsia="Arial" w:hAnsi="Arial" w:cs="Arial"/>
        </w:rPr>
        <w:fldChar w:fldCharType="end"/>
      </w:r>
      <w:r w:rsidR="1C30C895" w:rsidRPr="003F1846">
        <w:rPr>
          <w:rFonts w:ascii="Arial" w:eastAsia="Arial" w:hAnsi="Arial" w:cs="Arial"/>
        </w:rPr>
        <w:t>.</w:t>
      </w:r>
      <w:r w:rsidR="6F616E47" w:rsidRPr="003F1846">
        <w:rPr>
          <w:rFonts w:ascii="Arial" w:eastAsia="Arial" w:hAnsi="Arial" w:cs="Arial"/>
        </w:rPr>
        <w:t xml:space="preserve"> </w:t>
      </w:r>
      <w:r w:rsidR="00EE2858">
        <w:rPr>
          <w:rFonts w:ascii="Arial" w:eastAsia="Arial" w:hAnsi="Arial" w:cs="Arial"/>
        </w:rPr>
        <w:t>T</w:t>
      </w:r>
      <w:r w:rsidR="00CA2336" w:rsidRPr="003F1846">
        <w:rPr>
          <w:rFonts w:ascii="Arial" w:eastAsia="Arial" w:hAnsi="Arial" w:cs="Arial"/>
        </w:rPr>
        <w:t xml:space="preserve">here is evidence that single people </w:t>
      </w:r>
      <w:r w:rsidR="00EE2858">
        <w:rPr>
          <w:rFonts w:ascii="Arial" w:eastAsia="Arial" w:hAnsi="Arial" w:cs="Arial"/>
        </w:rPr>
        <w:t xml:space="preserve">may </w:t>
      </w:r>
      <w:r w:rsidR="00CA2336" w:rsidRPr="003F1846">
        <w:rPr>
          <w:rFonts w:ascii="Arial" w:eastAsia="Arial" w:hAnsi="Arial" w:cs="Arial"/>
        </w:rPr>
        <w:t>have poorer health behaviours than those in relationships</w:t>
      </w:r>
      <w:r w:rsidR="00AE5EDC">
        <w:rPr>
          <w:rFonts w:ascii="Arial" w:eastAsia="Arial" w:hAnsi="Arial" w:cs="Arial"/>
        </w:rPr>
        <w:t xml:space="preserve"> </w:t>
      </w:r>
      <w:r w:rsidR="006D1A65">
        <w:rPr>
          <w:rFonts w:ascii="Arial" w:eastAsia="Arial" w:hAnsi="Arial" w:cs="Arial"/>
        </w:rPr>
        <w:fldChar w:fldCharType="begin">
          <w:fldData xml:space="preserve">PEVuZE5vdGU+PENpdGU+PEF1dGhvcj5TY2hvZXBwZTwvQXV0aG9yPjxZZWFyPjIwMTg8L1llYXI+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</w:fldData>
        </w:fldChar>
      </w:r>
      <w:r w:rsidR="00D879A7">
        <w:rPr>
          <w:rFonts w:ascii="Arial" w:eastAsia="Arial" w:hAnsi="Arial" w:cs="Arial"/>
        </w:rPr>
        <w:instrText xml:space="preserve"> ADDIN EN.CITE </w:instrText>
      </w:r>
      <w:r w:rsidR="00D879A7">
        <w:rPr>
          <w:rFonts w:ascii="Arial" w:eastAsia="Arial" w:hAnsi="Arial" w:cs="Arial"/>
        </w:rPr>
        <w:fldChar w:fldCharType="begin">
          <w:fldData xml:space="preserve">PEVuZE5vdGU+PENpdGU+PEF1dGhvcj5TY2hvZXBwZTwvQXV0aG9yPjxZZWFyPjIwMTg8L1llYXI+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</w:fldData>
        </w:fldChar>
      </w:r>
      <w:r w:rsidR="00D879A7">
        <w:rPr>
          <w:rFonts w:ascii="Arial" w:eastAsia="Arial" w:hAnsi="Arial" w:cs="Arial"/>
        </w:rPr>
        <w:instrText xml:space="preserve"> ADDIN EN.CITE.DATA </w:instrText>
      </w:r>
      <w:r w:rsidR="00D879A7">
        <w:rPr>
          <w:rFonts w:ascii="Arial" w:eastAsia="Arial" w:hAnsi="Arial" w:cs="Arial"/>
        </w:rPr>
      </w:r>
      <w:r w:rsidR="00D879A7">
        <w:rPr>
          <w:rFonts w:ascii="Arial" w:eastAsia="Arial" w:hAnsi="Arial" w:cs="Arial"/>
        </w:rPr>
        <w:fldChar w:fldCharType="end"/>
      </w:r>
      <w:r w:rsidR="006D1A65">
        <w:rPr>
          <w:rFonts w:ascii="Arial" w:eastAsia="Arial" w:hAnsi="Arial" w:cs="Arial"/>
        </w:rPr>
      </w:r>
      <w:r w:rsidR="006D1A65">
        <w:rPr>
          <w:rFonts w:ascii="Arial" w:eastAsia="Arial" w:hAnsi="Arial" w:cs="Arial"/>
        </w:rPr>
        <w:fldChar w:fldCharType="separate"/>
      </w:r>
      <w:r w:rsidR="006D1A65">
        <w:rPr>
          <w:rFonts w:ascii="Arial" w:eastAsia="Arial" w:hAnsi="Arial" w:cs="Arial"/>
          <w:noProof/>
        </w:rPr>
        <w:t>[11, 12]</w:t>
      </w:r>
      <w:r w:rsidR="006D1A65">
        <w:rPr>
          <w:rFonts w:ascii="Arial" w:eastAsia="Arial" w:hAnsi="Arial" w:cs="Arial"/>
        </w:rPr>
        <w:fldChar w:fldCharType="end"/>
      </w:r>
      <w:r w:rsidR="00EE2858">
        <w:rPr>
          <w:rFonts w:ascii="Arial" w:eastAsia="Arial" w:hAnsi="Arial" w:cs="Arial"/>
        </w:rPr>
        <w:t xml:space="preserve">, making it plausible that </w:t>
      </w:r>
      <w:r w:rsidR="00CA2336">
        <w:rPr>
          <w:rFonts w:ascii="Arial" w:eastAsia="Arial" w:hAnsi="Arial" w:cs="Arial"/>
        </w:rPr>
        <w:t>relationship status may be related to</w:t>
      </w:r>
      <w:r w:rsidR="003F1846">
        <w:rPr>
          <w:rFonts w:ascii="Arial" w:eastAsia="Arial" w:hAnsi="Arial" w:cs="Arial"/>
        </w:rPr>
        <w:t xml:space="preserve"> fracture risk through the established association between relationship status and lifestyle. </w:t>
      </w:r>
      <w:r w:rsidR="000D54CC" w:rsidRPr="000D54CC">
        <w:rPr>
          <w:rFonts w:ascii="Arial" w:eastAsia="Arial" w:hAnsi="Arial" w:cs="Arial"/>
        </w:rPr>
        <w:t xml:space="preserve">However, few studies that have contemporaneous detailed information on lifestyle </w:t>
      </w:r>
      <w:r w:rsidR="000D54CC">
        <w:rPr>
          <w:rFonts w:ascii="Arial" w:eastAsia="Arial" w:hAnsi="Arial" w:cs="Arial"/>
        </w:rPr>
        <w:t xml:space="preserve">factors </w:t>
      </w:r>
      <w:r w:rsidR="000D54CC" w:rsidRPr="000D54CC">
        <w:rPr>
          <w:rFonts w:ascii="Arial" w:eastAsia="Arial" w:hAnsi="Arial" w:cs="Arial"/>
        </w:rPr>
        <w:t xml:space="preserve">have explored the association between relationship status and fracture risk while accounting for these factors, </w:t>
      </w:r>
      <w:proofErr w:type="gramStart"/>
      <w:r w:rsidR="000D54CC" w:rsidRPr="000D54CC">
        <w:rPr>
          <w:rFonts w:ascii="Arial" w:eastAsia="Arial" w:hAnsi="Arial" w:cs="Arial"/>
        </w:rPr>
        <w:t>and also</w:t>
      </w:r>
      <w:proofErr w:type="gramEnd"/>
      <w:r w:rsidR="000D54CC" w:rsidRPr="000D54CC">
        <w:rPr>
          <w:rFonts w:ascii="Arial" w:eastAsia="Arial" w:hAnsi="Arial" w:cs="Arial"/>
        </w:rPr>
        <w:t xml:space="preserve"> examined whether these factors differ according to relationships status.</w:t>
      </w:r>
      <w:r w:rsidR="000D54CC">
        <w:rPr>
          <w:rFonts w:ascii="Arial" w:eastAsia="Arial" w:hAnsi="Arial" w:cs="Arial"/>
        </w:rPr>
        <w:t xml:space="preserve"> </w:t>
      </w:r>
      <w:r w:rsidR="000D54CC" w:rsidRPr="000D54CC">
        <w:rPr>
          <w:rFonts w:ascii="Arial" w:eastAsia="Arial" w:hAnsi="Arial" w:cs="Arial"/>
        </w:rPr>
        <w:t>To address this, we considered these associations in the Hertfordshire Cohort Study, a cohort of community-dwelling older adults for whom detailed lifestyle information was available.</w:t>
      </w:r>
    </w:p>
    <w:p w14:paraId="62776B50" w14:textId="4CAB267E" w:rsidR="00260F16" w:rsidRPr="00F35ED8" w:rsidRDefault="00260F16">
      <w:pPr>
        <w:spacing w:after="200" w:line="360" w:lineRule="auto"/>
        <w:jc w:val="both"/>
        <w:rPr>
          <w:rFonts w:ascii="Arial" w:eastAsia="Arial" w:hAnsi="Arial" w:cs="Arial"/>
        </w:rPr>
      </w:pPr>
    </w:p>
    <w:p w14:paraId="62E9AB4B" w14:textId="4E5B8EE7" w:rsidR="00260F16" w:rsidRPr="00F35ED8" w:rsidRDefault="789BB7BA" w:rsidP="00C97B41">
      <w:pPr>
        <w:pStyle w:val="Heading1"/>
        <w:spacing w:before="0" w:after="200" w:line="360" w:lineRule="auto"/>
        <w:jc w:val="both"/>
        <w:rPr>
          <w:rFonts w:ascii="Arial" w:eastAsia="Arial" w:hAnsi="Arial" w:cs="Arial"/>
          <w:b/>
          <w:bCs/>
          <w:color w:val="auto"/>
          <w:sz w:val="22"/>
          <w:szCs w:val="22"/>
        </w:rPr>
      </w:pPr>
      <w:r w:rsidRPr="00F35ED8">
        <w:rPr>
          <w:rFonts w:ascii="Arial" w:eastAsia="Arial" w:hAnsi="Arial" w:cs="Arial"/>
          <w:b/>
          <w:bCs/>
          <w:color w:val="auto"/>
          <w:sz w:val="22"/>
          <w:szCs w:val="22"/>
        </w:rPr>
        <w:t>Methods</w:t>
      </w:r>
    </w:p>
    <w:p w14:paraId="2F4C28E3" w14:textId="132D8728" w:rsidR="00260F16" w:rsidRPr="00CA2336" w:rsidRDefault="789BB7BA" w:rsidP="00C97B41">
      <w:pPr>
        <w:pStyle w:val="Heading2"/>
        <w:spacing w:before="0" w:after="200" w:line="360" w:lineRule="auto"/>
        <w:jc w:val="both"/>
        <w:rPr>
          <w:rFonts w:ascii="Arial" w:eastAsia="Arial" w:hAnsi="Arial" w:cs="Arial"/>
          <w:i/>
          <w:iCs/>
          <w:color w:val="auto"/>
          <w:sz w:val="22"/>
          <w:szCs w:val="22"/>
        </w:rPr>
      </w:pPr>
      <w:r w:rsidRPr="00CA2336">
        <w:rPr>
          <w:rFonts w:ascii="Arial" w:eastAsia="Arial" w:hAnsi="Arial" w:cs="Arial"/>
          <w:i/>
          <w:iCs/>
          <w:color w:val="auto"/>
          <w:sz w:val="22"/>
          <w:szCs w:val="22"/>
        </w:rPr>
        <w:t xml:space="preserve">The Hertfordshire Cohort Study </w:t>
      </w:r>
    </w:p>
    <w:p w14:paraId="2822CCCD" w14:textId="69658DEF" w:rsidR="00260F16" w:rsidRPr="003F1846" w:rsidRDefault="789BB7BA">
      <w:pPr>
        <w:spacing w:after="200" w:line="360" w:lineRule="auto"/>
        <w:jc w:val="both"/>
        <w:rPr>
          <w:rFonts w:ascii="Arial" w:eastAsia="Arial" w:hAnsi="Arial" w:cs="Arial"/>
        </w:rPr>
      </w:pPr>
      <w:r w:rsidRPr="003F1846">
        <w:rPr>
          <w:rFonts w:ascii="Arial" w:eastAsia="Arial" w:hAnsi="Arial" w:cs="Arial"/>
        </w:rPr>
        <w:t xml:space="preserve">The Hertfordshire Cohort Study (HCS) comprises 2997 </w:t>
      </w:r>
      <w:r w:rsidR="799C4496" w:rsidRPr="003F1846">
        <w:rPr>
          <w:rFonts w:ascii="Arial" w:eastAsia="Arial" w:hAnsi="Arial" w:cs="Arial"/>
        </w:rPr>
        <w:t xml:space="preserve">men and women </w:t>
      </w:r>
      <w:r w:rsidRPr="003F1846">
        <w:rPr>
          <w:rFonts w:ascii="Arial" w:eastAsia="Arial" w:hAnsi="Arial" w:cs="Arial"/>
        </w:rPr>
        <w:t xml:space="preserve">born in Hertfordshire </w:t>
      </w:r>
      <w:r w:rsidR="000D54CC">
        <w:rPr>
          <w:rFonts w:ascii="Arial" w:eastAsia="Arial" w:hAnsi="Arial" w:cs="Arial"/>
        </w:rPr>
        <w:t>between</w:t>
      </w:r>
      <w:r w:rsidRPr="003F1846">
        <w:rPr>
          <w:rFonts w:ascii="Arial" w:eastAsia="Arial" w:hAnsi="Arial" w:cs="Arial"/>
        </w:rPr>
        <w:t xml:space="preserve"> 1931</w:t>
      </w:r>
      <w:r w:rsidR="2F64FD4D" w:rsidRPr="003F1846">
        <w:rPr>
          <w:rFonts w:ascii="Arial" w:eastAsia="Arial" w:hAnsi="Arial" w:cs="Arial"/>
        </w:rPr>
        <w:t xml:space="preserve"> </w:t>
      </w:r>
      <w:r w:rsidR="000D54CC">
        <w:rPr>
          <w:rFonts w:ascii="Arial" w:eastAsia="Arial" w:hAnsi="Arial" w:cs="Arial"/>
        </w:rPr>
        <w:t>and</w:t>
      </w:r>
      <w:r w:rsidR="2F64FD4D" w:rsidRPr="003F1846">
        <w:rPr>
          <w:rFonts w:ascii="Arial" w:eastAsia="Arial" w:hAnsi="Arial" w:cs="Arial"/>
        </w:rPr>
        <w:t xml:space="preserve"> </w:t>
      </w:r>
      <w:r w:rsidRPr="003F1846">
        <w:rPr>
          <w:rFonts w:ascii="Arial" w:eastAsia="Arial" w:hAnsi="Arial" w:cs="Arial"/>
        </w:rPr>
        <w:t>1939</w:t>
      </w:r>
      <w:r w:rsidR="00A6744A">
        <w:rPr>
          <w:rFonts w:ascii="Arial" w:eastAsia="Arial" w:hAnsi="Arial" w:cs="Arial"/>
        </w:rPr>
        <w:t>,</w:t>
      </w:r>
      <w:r w:rsidRPr="003F1846">
        <w:rPr>
          <w:rFonts w:ascii="Arial" w:eastAsia="Arial" w:hAnsi="Arial" w:cs="Arial"/>
        </w:rPr>
        <w:t xml:space="preserve"> </w:t>
      </w:r>
      <w:r w:rsidR="3C1F2594" w:rsidRPr="003F1846">
        <w:rPr>
          <w:rFonts w:ascii="Arial" w:eastAsia="Arial" w:hAnsi="Arial" w:cs="Arial"/>
        </w:rPr>
        <w:t xml:space="preserve">and </w:t>
      </w:r>
      <w:r w:rsidRPr="003F1846">
        <w:rPr>
          <w:rFonts w:ascii="Arial" w:eastAsia="Arial" w:hAnsi="Arial" w:cs="Arial"/>
        </w:rPr>
        <w:t xml:space="preserve">who </w:t>
      </w:r>
      <w:r w:rsidR="1C395CF5" w:rsidRPr="003F1846">
        <w:rPr>
          <w:rFonts w:ascii="Arial" w:eastAsia="Arial" w:hAnsi="Arial" w:cs="Arial"/>
        </w:rPr>
        <w:t xml:space="preserve">still </w:t>
      </w:r>
      <w:r w:rsidRPr="003F1846">
        <w:rPr>
          <w:rFonts w:ascii="Arial" w:eastAsia="Arial" w:hAnsi="Arial" w:cs="Arial"/>
        </w:rPr>
        <w:t>lived there in 1998-2004 whe</w:t>
      </w:r>
      <w:r w:rsidR="7C174F2E" w:rsidRPr="003F1846">
        <w:rPr>
          <w:rFonts w:ascii="Arial" w:eastAsia="Arial" w:hAnsi="Arial" w:cs="Arial"/>
        </w:rPr>
        <w:t xml:space="preserve">n </w:t>
      </w:r>
      <w:r w:rsidRPr="003F1846">
        <w:rPr>
          <w:rFonts w:ascii="Arial" w:eastAsia="Arial" w:hAnsi="Arial" w:cs="Arial"/>
        </w:rPr>
        <w:t xml:space="preserve">they completed a home interview and clinic visit </w:t>
      </w:r>
      <w:r w:rsidR="66FC0FC2" w:rsidRPr="003F1846">
        <w:rPr>
          <w:rFonts w:ascii="Arial" w:eastAsia="Arial" w:hAnsi="Arial" w:cs="Arial"/>
        </w:rPr>
        <w:t>for a health assessment</w:t>
      </w:r>
      <w:r w:rsidRPr="003F1846">
        <w:rPr>
          <w:rFonts w:ascii="Arial" w:eastAsia="Arial" w:hAnsi="Arial" w:cs="Arial"/>
        </w:rPr>
        <w:t>.</w:t>
      </w:r>
      <w:r w:rsidR="1D399E65" w:rsidRPr="003F1846">
        <w:rPr>
          <w:rFonts w:ascii="Arial" w:eastAsia="Arial" w:hAnsi="Arial" w:cs="Arial"/>
        </w:rPr>
        <w:t xml:space="preserve"> </w:t>
      </w:r>
      <w:r w:rsidRPr="003F1846">
        <w:rPr>
          <w:rFonts w:ascii="Arial" w:eastAsia="Arial" w:hAnsi="Arial" w:cs="Arial"/>
        </w:rPr>
        <w:t>The HCS had ethical approval from the Hertfordshire and Bedfordshire Local Research Ethics Committee and all participants provided written informed consent</w:t>
      </w:r>
      <w:r w:rsidR="55E1CB7C" w:rsidRPr="003F1846">
        <w:rPr>
          <w:rFonts w:ascii="Arial" w:eastAsia="Arial" w:hAnsi="Arial" w:cs="Arial"/>
        </w:rPr>
        <w:t xml:space="preserve"> for the investigations they underwent in clinic and for researchers to access their medical records in the future. </w:t>
      </w:r>
      <w:r w:rsidRPr="003F1846">
        <w:rPr>
          <w:rFonts w:ascii="Arial" w:eastAsia="Arial" w:hAnsi="Arial" w:cs="Arial"/>
        </w:rPr>
        <w:t>Further details of HCS have been described previously</w:t>
      </w:r>
      <w:r w:rsidR="00B8141C">
        <w:rPr>
          <w:rFonts w:ascii="Arial" w:eastAsia="Arial" w:hAnsi="Arial" w:cs="Arial"/>
        </w:rPr>
        <w:t xml:space="preserve"> </w:t>
      </w:r>
      <w:r w:rsidR="00B8141C">
        <w:rPr>
          <w:rFonts w:ascii="Arial" w:eastAsia="Arial" w:hAnsi="Arial" w:cs="Arial"/>
        </w:rPr>
        <w:fldChar w:fldCharType="begin">
          <w:fldData xml:space="preserve">PEVuZE5vdGU+PENpdGU+PEF1dGhvcj5TeWRkYWxsPC9BdXRob3I+PFllYXI+MjAwNTwvWWVhcj48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</w:fldData>
        </w:fldChar>
      </w:r>
      <w:r w:rsidR="00B8141C">
        <w:rPr>
          <w:rFonts w:ascii="Arial" w:eastAsia="Arial" w:hAnsi="Arial" w:cs="Arial"/>
        </w:rPr>
        <w:instrText xml:space="preserve"> ADDIN EN.CITE </w:instrText>
      </w:r>
      <w:r w:rsidR="00B8141C">
        <w:rPr>
          <w:rFonts w:ascii="Arial" w:eastAsia="Arial" w:hAnsi="Arial" w:cs="Arial"/>
        </w:rPr>
        <w:fldChar w:fldCharType="begin">
          <w:fldData xml:space="preserve">PEVuZE5vdGU+PENpdGU+PEF1dGhvcj5TeWRkYWxsPC9BdXRob3I+PFllYXI+MjAwNTwvWWVhcj48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</w:fldData>
        </w:fldChar>
      </w:r>
      <w:r w:rsidR="00B8141C">
        <w:rPr>
          <w:rFonts w:ascii="Arial" w:eastAsia="Arial" w:hAnsi="Arial" w:cs="Arial"/>
        </w:rPr>
        <w:instrText xml:space="preserve"> ADDIN EN.CITE.DATA </w:instrText>
      </w:r>
      <w:r w:rsidR="00B8141C">
        <w:rPr>
          <w:rFonts w:ascii="Arial" w:eastAsia="Arial" w:hAnsi="Arial" w:cs="Arial"/>
        </w:rPr>
      </w:r>
      <w:r w:rsidR="00B8141C">
        <w:rPr>
          <w:rFonts w:ascii="Arial" w:eastAsia="Arial" w:hAnsi="Arial" w:cs="Arial"/>
        </w:rPr>
        <w:fldChar w:fldCharType="end"/>
      </w:r>
      <w:r w:rsidR="00B8141C">
        <w:rPr>
          <w:rFonts w:ascii="Arial" w:eastAsia="Arial" w:hAnsi="Arial" w:cs="Arial"/>
        </w:rPr>
      </w:r>
      <w:r w:rsidR="00B8141C">
        <w:rPr>
          <w:rFonts w:ascii="Arial" w:eastAsia="Arial" w:hAnsi="Arial" w:cs="Arial"/>
        </w:rPr>
        <w:fldChar w:fldCharType="separate"/>
      </w:r>
      <w:r w:rsidR="00B8141C">
        <w:rPr>
          <w:rFonts w:ascii="Arial" w:eastAsia="Arial" w:hAnsi="Arial" w:cs="Arial"/>
          <w:noProof/>
        </w:rPr>
        <w:t>[13, 14]</w:t>
      </w:r>
      <w:r w:rsidR="00B8141C">
        <w:rPr>
          <w:rFonts w:ascii="Arial" w:eastAsia="Arial" w:hAnsi="Arial" w:cs="Arial"/>
        </w:rPr>
        <w:fldChar w:fldCharType="end"/>
      </w:r>
      <w:r w:rsidR="00B8141C">
        <w:rPr>
          <w:rFonts w:ascii="Arial" w:eastAsia="Arial" w:hAnsi="Arial" w:cs="Arial"/>
        </w:rPr>
        <w:t>.</w:t>
      </w:r>
    </w:p>
    <w:p w14:paraId="748B6311" w14:textId="587DD095" w:rsidR="00260F16" w:rsidRPr="003F1846" w:rsidRDefault="00260F16">
      <w:pPr>
        <w:spacing w:after="200" w:line="360" w:lineRule="auto"/>
        <w:jc w:val="both"/>
        <w:rPr>
          <w:rFonts w:ascii="Arial" w:eastAsia="Arial" w:hAnsi="Arial" w:cs="Arial"/>
        </w:rPr>
      </w:pPr>
    </w:p>
    <w:p w14:paraId="5E6E1523" w14:textId="28142E85" w:rsidR="00260F16" w:rsidRPr="003F1846" w:rsidRDefault="789BB7BA" w:rsidP="00C97B41">
      <w:pPr>
        <w:pStyle w:val="Heading2"/>
        <w:spacing w:before="0" w:after="200" w:line="360" w:lineRule="auto"/>
        <w:jc w:val="both"/>
        <w:rPr>
          <w:rFonts w:ascii="Arial" w:eastAsia="Arial" w:hAnsi="Arial" w:cs="Arial"/>
          <w:i/>
          <w:iCs/>
          <w:color w:val="auto"/>
          <w:sz w:val="22"/>
          <w:szCs w:val="22"/>
        </w:rPr>
      </w:pPr>
      <w:bookmarkStart w:id="6" w:name="_Hlk157429970"/>
      <w:r w:rsidRPr="003F1846">
        <w:rPr>
          <w:rFonts w:ascii="Arial" w:eastAsia="Arial" w:hAnsi="Arial" w:cs="Arial"/>
          <w:i/>
          <w:iCs/>
          <w:color w:val="auto"/>
          <w:sz w:val="22"/>
          <w:szCs w:val="22"/>
        </w:rPr>
        <w:t xml:space="preserve">Ascertainment of participant information in 1998-2004 </w:t>
      </w:r>
    </w:p>
    <w:p w14:paraId="4500BBF7" w14:textId="36D96F05" w:rsidR="00260F16" w:rsidRPr="003F1846" w:rsidRDefault="64CFD079">
      <w:pPr>
        <w:spacing w:after="200" w:line="360" w:lineRule="auto"/>
        <w:jc w:val="both"/>
        <w:rPr>
          <w:rFonts w:ascii="Arial" w:eastAsia="Arial" w:hAnsi="Arial" w:cs="Arial"/>
        </w:rPr>
      </w:pPr>
      <w:bookmarkStart w:id="7" w:name="_Hlk157507075"/>
      <w:bookmarkStart w:id="8" w:name="_Hlk157430000"/>
      <w:bookmarkEnd w:id="6"/>
      <w:r w:rsidRPr="003F1846">
        <w:rPr>
          <w:rFonts w:ascii="Arial" w:eastAsia="Arial" w:hAnsi="Arial" w:cs="Arial"/>
        </w:rPr>
        <w:t>Marital status</w:t>
      </w:r>
      <w:r w:rsidR="0D9496FB" w:rsidRPr="003F1846">
        <w:rPr>
          <w:rFonts w:ascii="Arial" w:eastAsia="Arial" w:hAnsi="Arial" w:cs="Arial"/>
        </w:rPr>
        <w:t xml:space="preserve"> (</w:t>
      </w:r>
      <w:r w:rsidR="00B90154">
        <w:rPr>
          <w:rFonts w:ascii="Arial" w:eastAsia="Arial" w:hAnsi="Arial" w:cs="Arial"/>
        </w:rPr>
        <w:t>out of the options ‘</w:t>
      </w:r>
      <w:r w:rsidR="002D6DBA" w:rsidRPr="003F1846">
        <w:rPr>
          <w:rFonts w:ascii="Arial" w:eastAsia="Arial" w:hAnsi="Arial" w:cs="Arial"/>
        </w:rPr>
        <w:t>s</w:t>
      </w:r>
      <w:r w:rsidR="0D9496FB" w:rsidRPr="003F1846">
        <w:rPr>
          <w:rFonts w:ascii="Arial" w:eastAsia="Arial" w:hAnsi="Arial" w:cs="Arial"/>
        </w:rPr>
        <w:t>ingle</w:t>
      </w:r>
      <w:r w:rsidR="00B90154">
        <w:rPr>
          <w:rFonts w:ascii="Arial" w:eastAsia="Arial" w:hAnsi="Arial" w:cs="Arial"/>
        </w:rPr>
        <w:t>’</w:t>
      </w:r>
      <w:r w:rsidR="0D9496FB" w:rsidRPr="003F1846">
        <w:rPr>
          <w:rFonts w:ascii="Arial" w:eastAsia="Arial" w:hAnsi="Arial" w:cs="Arial"/>
        </w:rPr>
        <w:t xml:space="preserve">, </w:t>
      </w:r>
      <w:r w:rsidR="00B90154">
        <w:rPr>
          <w:rFonts w:ascii="Arial" w:eastAsia="Arial" w:hAnsi="Arial" w:cs="Arial"/>
        </w:rPr>
        <w:t>‘</w:t>
      </w:r>
      <w:r w:rsidR="0D9496FB" w:rsidRPr="003F1846">
        <w:rPr>
          <w:rFonts w:ascii="Arial" w:eastAsia="Arial" w:hAnsi="Arial" w:cs="Arial"/>
        </w:rPr>
        <w:t>married</w:t>
      </w:r>
      <w:r w:rsidR="00B90154">
        <w:rPr>
          <w:rFonts w:ascii="Arial" w:eastAsia="Arial" w:hAnsi="Arial" w:cs="Arial"/>
        </w:rPr>
        <w:t>’</w:t>
      </w:r>
      <w:r w:rsidR="0D9496FB" w:rsidRPr="003F1846">
        <w:rPr>
          <w:rFonts w:ascii="Arial" w:eastAsia="Arial" w:hAnsi="Arial" w:cs="Arial"/>
        </w:rPr>
        <w:t xml:space="preserve">, </w:t>
      </w:r>
      <w:r w:rsidR="00B90154">
        <w:rPr>
          <w:rFonts w:ascii="Arial" w:eastAsia="Arial" w:hAnsi="Arial" w:cs="Arial"/>
        </w:rPr>
        <w:t>‘</w:t>
      </w:r>
      <w:r w:rsidR="0D9496FB" w:rsidRPr="003F1846">
        <w:rPr>
          <w:rFonts w:ascii="Arial" w:eastAsia="Arial" w:hAnsi="Arial" w:cs="Arial"/>
        </w:rPr>
        <w:t>divorced or separated</w:t>
      </w:r>
      <w:r w:rsidR="00B90154">
        <w:rPr>
          <w:rFonts w:ascii="Arial" w:eastAsia="Arial" w:hAnsi="Arial" w:cs="Arial"/>
        </w:rPr>
        <w:t>’</w:t>
      </w:r>
      <w:r w:rsidR="0D9496FB" w:rsidRPr="003F1846">
        <w:rPr>
          <w:rFonts w:ascii="Arial" w:eastAsia="Arial" w:hAnsi="Arial" w:cs="Arial"/>
        </w:rPr>
        <w:t xml:space="preserve">, </w:t>
      </w:r>
      <w:r w:rsidR="00B90154">
        <w:rPr>
          <w:rFonts w:ascii="Arial" w:eastAsia="Arial" w:hAnsi="Arial" w:cs="Arial"/>
        </w:rPr>
        <w:t>‘</w:t>
      </w:r>
      <w:r w:rsidR="0D9496FB" w:rsidRPr="003F1846">
        <w:rPr>
          <w:rFonts w:ascii="Arial" w:eastAsia="Arial" w:hAnsi="Arial" w:cs="Arial"/>
        </w:rPr>
        <w:t>widowed</w:t>
      </w:r>
      <w:r w:rsidR="00B90154">
        <w:rPr>
          <w:rFonts w:ascii="Arial" w:eastAsia="Arial" w:hAnsi="Arial" w:cs="Arial"/>
        </w:rPr>
        <w:t>’</w:t>
      </w:r>
      <w:r w:rsidR="00952457">
        <w:rPr>
          <w:rFonts w:ascii="Arial" w:eastAsia="Arial" w:hAnsi="Arial" w:cs="Arial"/>
        </w:rPr>
        <w:t>,</w:t>
      </w:r>
      <w:r w:rsidR="000537CF">
        <w:rPr>
          <w:rFonts w:ascii="Arial" w:eastAsia="Arial" w:hAnsi="Arial" w:cs="Arial"/>
        </w:rPr>
        <w:t xml:space="preserve"> or</w:t>
      </w:r>
      <w:r w:rsidR="0D9496FB" w:rsidRPr="003F1846">
        <w:rPr>
          <w:rFonts w:ascii="Arial" w:eastAsia="Arial" w:hAnsi="Arial" w:cs="Arial"/>
        </w:rPr>
        <w:t xml:space="preserve"> </w:t>
      </w:r>
      <w:r w:rsidR="00B90154">
        <w:rPr>
          <w:rFonts w:ascii="Arial" w:eastAsia="Arial" w:hAnsi="Arial" w:cs="Arial"/>
        </w:rPr>
        <w:t>‘</w:t>
      </w:r>
      <w:r w:rsidR="0D9496FB" w:rsidRPr="003F1846">
        <w:rPr>
          <w:rFonts w:ascii="Arial" w:eastAsia="Arial" w:hAnsi="Arial" w:cs="Arial"/>
        </w:rPr>
        <w:t>cohabiting</w:t>
      </w:r>
      <w:r w:rsidR="00B90154">
        <w:rPr>
          <w:rFonts w:ascii="Arial" w:eastAsia="Arial" w:hAnsi="Arial" w:cs="Arial"/>
        </w:rPr>
        <w:t>’</w:t>
      </w:r>
      <w:r w:rsidR="0D9496FB" w:rsidRPr="003F1846">
        <w:rPr>
          <w:rFonts w:ascii="Arial" w:eastAsia="Arial" w:hAnsi="Arial" w:cs="Arial"/>
        </w:rPr>
        <w:t xml:space="preserve">) was </w:t>
      </w:r>
      <w:r w:rsidR="00B90154">
        <w:rPr>
          <w:rFonts w:ascii="Arial" w:eastAsia="Arial" w:hAnsi="Arial" w:cs="Arial"/>
        </w:rPr>
        <w:t xml:space="preserve">reported by participants and then </w:t>
      </w:r>
      <w:r w:rsidR="00BD4EAC" w:rsidRPr="003F1846">
        <w:rPr>
          <w:rFonts w:ascii="Arial" w:eastAsia="Arial" w:hAnsi="Arial" w:cs="Arial"/>
        </w:rPr>
        <w:t>dichotomi</w:t>
      </w:r>
      <w:r w:rsidR="00AA4739">
        <w:rPr>
          <w:rFonts w:ascii="Arial" w:eastAsia="Arial" w:hAnsi="Arial" w:cs="Arial"/>
        </w:rPr>
        <w:t>s</w:t>
      </w:r>
      <w:r w:rsidR="00BD4EAC" w:rsidRPr="003F1846">
        <w:rPr>
          <w:rFonts w:ascii="Arial" w:eastAsia="Arial" w:hAnsi="Arial" w:cs="Arial"/>
        </w:rPr>
        <w:t xml:space="preserve">ed </w:t>
      </w:r>
      <w:r w:rsidR="008D2B60" w:rsidRPr="003F1846">
        <w:rPr>
          <w:rFonts w:ascii="Arial" w:eastAsia="Arial" w:hAnsi="Arial" w:cs="Arial"/>
        </w:rPr>
        <w:t xml:space="preserve">for all analyses </w:t>
      </w:r>
      <w:bookmarkStart w:id="9" w:name="_Hlk157429743"/>
      <w:r w:rsidR="00BD4EAC" w:rsidRPr="003F1846">
        <w:rPr>
          <w:rFonts w:ascii="Arial" w:eastAsia="Arial" w:hAnsi="Arial" w:cs="Arial"/>
        </w:rPr>
        <w:t xml:space="preserve">into </w:t>
      </w:r>
      <w:r w:rsidR="008D2B60" w:rsidRPr="003F1846">
        <w:rPr>
          <w:rFonts w:ascii="Arial" w:eastAsia="Arial" w:hAnsi="Arial" w:cs="Arial"/>
        </w:rPr>
        <w:t xml:space="preserve">not </w:t>
      </w:r>
      <w:r w:rsidR="00961A86" w:rsidRPr="003F1846">
        <w:rPr>
          <w:rFonts w:ascii="Arial" w:eastAsia="Arial" w:hAnsi="Arial" w:cs="Arial"/>
        </w:rPr>
        <w:t xml:space="preserve">currently </w:t>
      </w:r>
      <w:r w:rsidR="008D2B60" w:rsidRPr="003F1846">
        <w:rPr>
          <w:rFonts w:ascii="Arial" w:eastAsia="Arial" w:hAnsi="Arial" w:cs="Arial"/>
        </w:rPr>
        <w:t>married/cohabiting (comprising participants who were single, divorced</w:t>
      </w:r>
      <w:r w:rsidR="00952457">
        <w:rPr>
          <w:rFonts w:ascii="Arial" w:eastAsia="Arial" w:hAnsi="Arial" w:cs="Arial"/>
        </w:rPr>
        <w:t>,</w:t>
      </w:r>
      <w:r w:rsidR="008D2B60" w:rsidRPr="003F1846">
        <w:rPr>
          <w:rFonts w:ascii="Arial" w:eastAsia="Arial" w:hAnsi="Arial" w:cs="Arial"/>
        </w:rPr>
        <w:t xml:space="preserve"> </w:t>
      </w:r>
      <w:proofErr w:type="gramStart"/>
      <w:r w:rsidR="008D2B60" w:rsidRPr="003F1846">
        <w:rPr>
          <w:rFonts w:ascii="Arial" w:eastAsia="Arial" w:hAnsi="Arial" w:cs="Arial"/>
        </w:rPr>
        <w:t>separated</w:t>
      </w:r>
      <w:proofErr w:type="gramEnd"/>
      <w:r w:rsidR="00952457">
        <w:rPr>
          <w:rFonts w:ascii="Arial" w:eastAsia="Arial" w:hAnsi="Arial" w:cs="Arial"/>
        </w:rPr>
        <w:t xml:space="preserve"> or widowed</w:t>
      </w:r>
      <w:r w:rsidR="008D2B60" w:rsidRPr="003F1846">
        <w:rPr>
          <w:rFonts w:ascii="Arial" w:eastAsia="Arial" w:hAnsi="Arial" w:cs="Arial"/>
        </w:rPr>
        <w:t>) and currently married/cohabiting</w:t>
      </w:r>
      <w:bookmarkEnd w:id="9"/>
      <w:r w:rsidR="0D9496FB" w:rsidRPr="003F1846">
        <w:rPr>
          <w:rFonts w:ascii="Arial" w:eastAsia="Arial" w:hAnsi="Arial" w:cs="Arial"/>
        </w:rPr>
        <w:t>.</w:t>
      </w:r>
      <w:bookmarkEnd w:id="7"/>
      <w:r w:rsidR="0D9496FB" w:rsidRPr="003F1846">
        <w:rPr>
          <w:rFonts w:ascii="Arial" w:eastAsia="Arial" w:hAnsi="Arial" w:cs="Arial"/>
        </w:rPr>
        <w:t xml:space="preserve"> </w:t>
      </w:r>
      <w:bookmarkEnd w:id="8"/>
      <w:r w:rsidR="0D9496FB" w:rsidRPr="003F1846">
        <w:rPr>
          <w:rFonts w:ascii="Arial" w:eastAsia="Arial" w:hAnsi="Arial" w:cs="Arial"/>
        </w:rPr>
        <w:t xml:space="preserve">Smoking status, alcohol </w:t>
      </w:r>
      <w:r w:rsidR="19D9DECE" w:rsidRPr="003F1846">
        <w:rPr>
          <w:rFonts w:ascii="Arial" w:eastAsia="Arial" w:hAnsi="Arial" w:cs="Arial"/>
        </w:rPr>
        <w:t>consumpt</w:t>
      </w:r>
      <w:r w:rsidR="0D9496FB" w:rsidRPr="003F1846">
        <w:rPr>
          <w:rFonts w:ascii="Arial" w:eastAsia="Arial" w:hAnsi="Arial" w:cs="Arial"/>
        </w:rPr>
        <w:t>ion and physical activity</w:t>
      </w:r>
      <w:r w:rsidR="1F42F41F" w:rsidRPr="003F1846">
        <w:rPr>
          <w:rFonts w:ascii="Arial" w:eastAsia="Arial" w:hAnsi="Arial" w:cs="Arial"/>
        </w:rPr>
        <w:t xml:space="preserve"> </w:t>
      </w:r>
      <w:r w:rsidR="789BB7BA" w:rsidRPr="003F1846">
        <w:rPr>
          <w:rFonts w:ascii="Arial" w:eastAsia="Arial" w:hAnsi="Arial" w:cs="Arial"/>
        </w:rPr>
        <w:t>(</w:t>
      </w:r>
      <w:proofErr w:type="spellStart"/>
      <w:r w:rsidR="789BB7BA" w:rsidRPr="003F1846">
        <w:rPr>
          <w:rFonts w:ascii="Arial" w:eastAsia="Arial" w:hAnsi="Arial" w:cs="Arial"/>
        </w:rPr>
        <w:t>Dallosso</w:t>
      </w:r>
      <w:proofErr w:type="spellEnd"/>
      <w:r w:rsidR="789BB7BA" w:rsidRPr="003F1846">
        <w:rPr>
          <w:rFonts w:ascii="Arial" w:eastAsia="Arial" w:hAnsi="Arial" w:cs="Arial"/>
        </w:rPr>
        <w:t xml:space="preserve"> questionnaire</w:t>
      </w:r>
      <w:r w:rsidR="000537CF">
        <w:rPr>
          <w:rFonts w:ascii="Arial" w:eastAsia="Arial" w:hAnsi="Arial" w:cs="Arial"/>
        </w:rPr>
        <w:t xml:space="preserve"> </w:t>
      </w:r>
      <w:r w:rsidR="000537CF">
        <w:rPr>
          <w:rFonts w:ascii="Arial" w:eastAsia="Arial" w:hAnsi="Arial" w:cs="Arial"/>
        </w:rPr>
        <w:fldChar w:fldCharType="begin"/>
      </w:r>
      <w:r w:rsidR="000537CF">
        <w:rPr>
          <w:rFonts w:ascii="Arial" w:eastAsia="Arial" w:hAnsi="Arial" w:cs="Arial"/>
        </w:rPr>
        <w:instrText xml:space="preserve"> ADDIN EN.CITE &lt;EndNote&gt;&lt;Cite&gt;&lt;Author&gt;Dallosso&lt;/Author&gt;&lt;Year&gt;1988&lt;/Year&gt;&lt;RecNum&gt;1075&lt;/RecNum&gt;&lt;DisplayText&gt;[15]&lt;/DisplayText&gt;&lt;record&gt;&lt;rec-number&gt;1075&lt;/rec-number&gt;&lt;foreign-keys&gt;&lt;key app="EN" db-id="pzdf5rvs9wzts6erav6v0rpowttawpd0ztaa" timestamp="1512129172"&gt;1075&lt;/key&gt;&lt;/foreign-keys&gt;&lt;ref-type name="Journal Article"&gt;17&lt;/ref-type&gt;&lt;contributors&gt;&lt;authors&gt;&lt;author&gt;Dallosso, H M&lt;/author&gt;&lt;author&gt;Morgan, K&lt;/author&gt;&lt;author&gt;Bassey, E J&lt;/author&gt;&lt;author&gt;Ebrahim, S B &lt;/author&gt;&lt;author&gt;Fentem, P H&lt;/author&gt;&lt;author&gt;Arie, T H&lt;/author&gt;&lt;/authors&gt;&lt;/contributors&gt;&lt;auth-address&gt;Department of Physiology, University of Nottingham Medical School, Queen&amp;apos;s Medical Centre&lt;/auth-address&gt;&lt;titles&gt;&lt;title&gt;Levels of customary physical activity among the old and the very old living at home&lt;/title&gt;&lt;secondary-title&gt;Journal of Epidemiology and Community Health&lt;/secondary-title&gt;&lt;/titles&gt;&lt;periodical&gt;&lt;full-title&gt;Journal of Epidemiology and Community Health&lt;/full-title&gt;&lt;/periodical&gt;&lt;pages&gt;121-127&lt;/pages&gt;&lt;volume&gt;42&lt;/volume&gt;&lt;number&gt;2&lt;/number&gt;&lt;keywords&gt;&lt;keyword&gt;Activities of Daily Living&lt;/keyword&gt;&lt;keyword&gt;age&lt;/keyword&gt;&lt;keyword&gt;Aged&lt;/keyword&gt;&lt;keyword&gt;Aged,80 and over&lt;/keyword&gt;&lt;keyword&gt;article&lt;/keyword&gt;&lt;keyword&gt;Exercise&lt;/keyword&gt;&lt;keyword&gt;Female&lt;/keyword&gt;&lt;keyword&gt;Humans&lt;/keyword&gt;&lt;keyword&gt;Leisure Activities&lt;/keyword&gt;&lt;keyword&gt;Locomotion&lt;/keyword&gt;&lt;keyword&gt;Male&lt;/keyword&gt;&lt;keyword&gt;physiology&lt;/keyword&gt;&lt;keyword&gt;Random Allocation&lt;/keyword&gt;&lt;keyword&gt;Sex Factors&lt;/keyword&gt;&lt;keyword&gt;Time Factors&lt;/keyword&gt;&lt;keyword&gt;Walking&lt;/keyword&gt;&lt;/keywords&gt;&lt;dates&gt;&lt;year&gt;1988&lt;/year&gt;&lt;/dates&gt;&lt;label&gt;1016&lt;/label&gt;&lt;urls&gt;&lt;related-urls&gt;&lt;url&gt;http://www.ncbi.nlm.nih.gov/pubmed/3221161&lt;/url&gt;&lt;url&gt;http://jech.bmj.com/content/42/2/121.full.pdf&lt;/url&gt;&lt;url&gt;https://jech.bmj.com/content/jech/42/2/121.full.pdf&lt;/url&gt;&lt;/related-urls&gt;&lt;/urls&gt;&lt;electronic-resource-num&gt;https://doi.org/10.1136/jech.42.2.121&lt;/electronic-resource-num&gt;&lt;/record&gt;&lt;/Cite&gt;&lt;/EndNote&gt;</w:instrText>
      </w:r>
      <w:r w:rsidR="000537CF">
        <w:rPr>
          <w:rFonts w:ascii="Arial" w:eastAsia="Arial" w:hAnsi="Arial" w:cs="Arial"/>
        </w:rPr>
        <w:fldChar w:fldCharType="separate"/>
      </w:r>
      <w:r w:rsidR="000537CF">
        <w:rPr>
          <w:rFonts w:ascii="Arial" w:eastAsia="Arial" w:hAnsi="Arial" w:cs="Arial"/>
          <w:noProof/>
        </w:rPr>
        <w:t>[15]</w:t>
      </w:r>
      <w:r w:rsidR="000537CF">
        <w:rPr>
          <w:rFonts w:ascii="Arial" w:eastAsia="Arial" w:hAnsi="Arial" w:cs="Arial"/>
        </w:rPr>
        <w:fldChar w:fldCharType="end"/>
      </w:r>
      <w:r w:rsidR="000537CF">
        <w:rPr>
          <w:rFonts w:ascii="Arial" w:eastAsia="Arial" w:hAnsi="Arial" w:cs="Arial"/>
        </w:rPr>
        <w:t>)</w:t>
      </w:r>
      <w:r w:rsidR="789BB7BA" w:rsidRPr="003F1846">
        <w:rPr>
          <w:rFonts w:ascii="Arial" w:eastAsia="Arial" w:hAnsi="Arial" w:cs="Arial"/>
        </w:rPr>
        <w:t xml:space="preserve"> was ascertained by a </w:t>
      </w:r>
      <w:r w:rsidR="000D54CC">
        <w:rPr>
          <w:rFonts w:ascii="Arial" w:eastAsia="Arial" w:hAnsi="Arial" w:cs="Arial"/>
        </w:rPr>
        <w:t>clinician</w:t>
      </w:r>
      <w:r w:rsidR="789BB7BA" w:rsidRPr="003F1846">
        <w:rPr>
          <w:rFonts w:ascii="Arial" w:eastAsia="Arial" w:hAnsi="Arial" w:cs="Arial"/>
        </w:rPr>
        <w:t>-administered questionnaire.</w:t>
      </w:r>
      <w:r w:rsidR="6A485455" w:rsidRPr="003F1846">
        <w:rPr>
          <w:rFonts w:ascii="Arial" w:eastAsia="Arial" w:hAnsi="Arial" w:cs="Arial"/>
        </w:rPr>
        <w:t xml:space="preserve"> Participants completed a food-frequency questionnaire from which a prudent diet score was derived</w:t>
      </w:r>
      <w:r w:rsidR="000D54CC">
        <w:rPr>
          <w:rFonts w:ascii="Arial" w:eastAsia="Arial" w:hAnsi="Arial" w:cs="Arial"/>
        </w:rPr>
        <w:t xml:space="preserve"> with</w:t>
      </w:r>
      <w:r w:rsidR="6A485455" w:rsidRPr="003F1846">
        <w:rPr>
          <w:rFonts w:ascii="Arial" w:eastAsia="Arial" w:hAnsi="Arial" w:cs="Arial"/>
        </w:rPr>
        <w:t xml:space="preserve"> h</w:t>
      </w:r>
      <w:r w:rsidR="2521A58E" w:rsidRPr="003F1846">
        <w:rPr>
          <w:rFonts w:ascii="Arial" w:eastAsia="Arial" w:hAnsi="Arial" w:cs="Arial"/>
        </w:rPr>
        <w:t xml:space="preserve">igher scores </w:t>
      </w:r>
      <w:r w:rsidR="000D54CC">
        <w:rPr>
          <w:rFonts w:ascii="Arial" w:eastAsia="Arial" w:hAnsi="Arial" w:cs="Arial"/>
        </w:rPr>
        <w:t>reflecting</w:t>
      </w:r>
      <w:r w:rsidR="2521A58E" w:rsidRPr="003F1846">
        <w:rPr>
          <w:rFonts w:ascii="Arial" w:eastAsia="Arial" w:hAnsi="Arial" w:cs="Arial"/>
        </w:rPr>
        <w:t xml:space="preserve"> healthier diets.</w:t>
      </w:r>
    </w:p>
    <w:p w14:paraId="41FB8AA2" w14:textId="370D2D69" w:rsidR="00260F16" w:rsidRPr="003F1846" w:rsidRDefault="002D6DBA">
      <w:pPr>
        <w:spacing w:after="200" w:line="360" w:lineRule="auto"/>
        <w:jc w:val="both"/>
        <w:rPr>
          <w:rFonts w:ascii="Arial" w:eastAsia="Arial" w:hAnsi="Arial" w:cs="Arial"/>
        </w:rPr>
      </w:pPr>
      <w:r w:rsidRPr="003F1846">
        <w:rPr>
          <w:rFonts w:ascii="Arial" w:eastAsia="Arial" w:hAnsi="Arial" w:cs="Arial"/>
        </w:rPr>
        <w:lastRenderedPageBreak/>
        <w:t xml:space="preserve">Social class was ascertained from current or most recent full-time occupation for all men </w:t>
      </w:r>
      <w:r w:rsidR="00A04629" w:rsidRPr="003F1846">
        <w:rPr>
          <w:rFonts w:ascii="Arial" w:eastAsia="Arial" w:hAnsi="Arial" w:cs="Arial"/>
        </w:rPr>
        <w:t>and</w:t>
      </w:r>
      <w:r w:rsidRPr="003F1846">
        <w:rPr>
          <w:rFonts w:ascii="Arial" w:eastAsia="Arial" w:hAnsi="Arial" w:cs="Arial"/>
        </w:rPr>
        <w:t xml:space="preserve"> among women who never married, and from husband's occupation for ever-married women. </w:t>
      </w:r>
      <w:r w:rsidR="32552CC0" w:rsidRPr="003F1846">
        <w:rPr>
          <w:rFonts w:ascii="Arial" w:eastAsia="Arial" w:hAnsi="Arial" w:cs="Arial"/>
        </w:rPr>
        <w:t xml:space="preserve">Social class was </w:t>
      </w:r>
      <w:r w:rsidR="4163FBA1" w:rsidRPr="003F1846">
        <w:rPr>
          <w:rFonts w:ascii="Arial" w:eastAsia="Arial" w:hAnsi="Arial" w:cs="Arial"/>
        </w:rPr>
        <w:t>coded from the 1990 OPCS Standard Occupational Classification (SOC90) unit group for occupation</w:t>
      </w:r>
      <w:r w:rsidR="000D751E">
        <w:rPr>
          <w:rFonts w:ascii="Arial" w:eastAsia="Arial" w:hAnsi="Arial" w:cs="Arial"/>
        </w:rPr>
        <w:t xml:space="preserve"> </w:t>
      </w:r>
      <w:r w:rsidR="000D751E">
        <w:rPr>
          <w:rFonts w:ascii="Arial" w:eastAsia="Arial" w:hAnsi="Arial" w:cs="Arial"/>
        </w:rPr>
        <w:fldChar w:fldCharType="begin"/>
      </w:r>
      <w:r w:rsidR="000D751E">
        <w:rPr>
          <w:rFonts w:ascii="Arial" w:eastAsia="Arial" w:hAnsi="Arial" w:cs="Arial"/>
        </w:rPr>
        <w:instrText xml:space="preserve"> ADDIN EN.CITE &lt;EndNote&gt;&lt;Cite&gt;&lt;Author&gt;Office of Population Censuses and Surveys&lt;/Author&gt;&lt;RecNum&gt;1546&lt;/RecNum&gt;&lt;DisplayText&gt;[16]&lt;/DisplayText&gt;&lt;record&gt;&lt;rec-number&gt;1546&lt;/rec-number&gt;&lt;foreign-keys&gt;&lt;key app="EN" db-id="pzdf5rvs9wzts6erav6v0rpowttawpd0ztaa" timestamp="1700484702"&gt;1546&lt;/key&gt;&lt;/foreign-keys&gt;&lt;ref-type name="Journal Article"&gt;17&lt;/ref-type&gt;&lt;contributors&gt;&lt;authors&gt;&lt;author&gt;Office of Population Censuses and Surveys,&lt;/author&gt;&lt;/authors&gt;&lt;/contributors&gt;&lt;titles&gt;&lt;secondary-title&gt;. Standard occupational classification, Vol 1 Structure and definition of major, minor and unit groups. HMSO; London: 1990&lt;/secondary-title&gt;&lt;/titles&gt;&lt;periodical&gt;&lt;full-title&gt;. Standard occupational classification, Vol 1 Structure and definition of major, minor and unit groups. HMSO; London: 1990&lt;/full-title&gt;&lt;/periodical&gt;&lt;dates&gt;&lt;/dates&gt;&lt;urls&gt;&lt;/urls&gt;&lt;/record&gt;&lt;/Cite&gt;&lt;/EndNote&gt;</w:instrText>
      </w:r>
      <w:r w:rsidR="000D751E">
        <w:rPr>
          <w:rFonts w:ascii="Arial" w:eastAsia="Arial" w:hAnsi="Arial" w:cs="Arial"/>
        </w:rPr>
        <w:fldChar w:fldCharType="separate"/>
      </w:r>
      <w:r w:rsidR="000D751E">
        <w:rPr>
          <w:rFonts w:ascii="Arial" w:eastAsia="Arial" w:hAnsi="Arial" w:cs="Arial"/>
          <w:noProof/>
        </w:rPr>
        <w:t>[16]</w:t>
      </w:r>
      <w:r w:rsidR="000D751E">
        <w:rPr>
          <w:rFonts w:ascii="Arial" w:eastAsia="Arial" w:hAnsi="Arial" w:cs="Arial"/>
        </w:rPr>
        <w:fldChar w:fldCharType="end"/>
      </w:r>
      <w:r w:rsidR="4163FBA1" w:rsidRPr="003F1846">
        <w:rPr>
          <w:rFonts w:ascii="Arial" w:eastAsia="Arial" w:hAnsi="Arial" w:cs="Arial"/>
        </w:rPr>
        <w:t xml:space="preserve">. </w:t>
      </w:r>
      <w:r w:rsidRPr="003F1846">
        <w:rPr>
          <w:rFonts w:ascii="Arial" w:eastAsia="Arial" w:hAnsi="Arial" w:cs="Arial"/>
        </w:rPr>
        <w:t>Socioeconomic characteristics ascertained included: age left education (</w:t>
      </w:r>
      <w:r w:rsidR="00D43BDF" w:rsidRPr="003F1846">
        <w:rPr>
          <w:rFonts w:ascii="Arial" w:eastAsia="Arial" w:hAnsi="Arial" w:cs="Arial"/>
        </w:rPr>
        <w:t>dichotomised</w:t>
      </w:r>
      <w:r w:rsidRPr="003F1846">
        <w:rPr>
          <w:rFonts w:ascii="Arial" w:eastAsia="Arial" w:hAnsi="Arial" w:cs="Arial"/>
        </w:rPr>
        <w:t xml:space="preserve"> as &lt;15 years versus ≥15 years); social class (manual vs non-manual) and housing tenure (</w:t>
      </w:r>
      <w:r w:rsidR="00A04629" w:rsidRPr="003F1846">
        <w:rPr>
          <w:rFonts w:ascii="Arial" w:eastAsia="Arial" w:hAnsi="Arial" w:cs="Arial"/>
        </w:rPr>
        <w:t>owned/mortgaged</w:t>
      </w:r>
      <w:r w:rsidRPr="003F1846">
        <w:rPr>
          <w:rFonts w:ascii="Arial" w:eastAsia="Arial" w:hAnsi="Arial" w:cs="Arial"/>
        </w:rPr>
        <w:t xml:space="preserve"> vs not).</w:t>
      </w:r>
    </w:p>
    <w:p w14:paraId="5151A287" w14:textId="3B7B25E7" w:rsidR="00260F16" w:rsidRPr="003F1846" w:rsidRDefault="4163FBA1">
      <w:pPr>
        <w:spacing w:after="200" w:line="360" w:lineRule="auto"/>
        <w:jc w:val="both"/>
        <w:rPr>
          <w:rFonts w:ascii="Arial" w:eastAsia="Arial" w:hAnsi="Arial" w:cs="Arial"/>
        </w:rPr>
      </w:pPr>
      <w:r w:rsidRPr="003F1846">
        <w:rPr>
          <w:rFonts w:ascii="Arial" w:eastAsia="Arial" w:hAnsi="Arial" w:cs="Arial"/>
        </w:rPr>
        <w:t xml:space="preserve">At the baseline clinic, measurements were made of height (Harpenden pocket stadiometer, </w:t>
      </w:r>
      <w:proofErr w:type="spellStart"/>
      <w:r w:rsidRPr="003F1846">
        <w:rPr>
          <w:rFonts w:ascii="Arial" w:eastAsia="Arial" w:hAnsi="Arial" w:cs="Arial"/>
        </w:rPr>
        <w:t>Chasmors</w:t>
      </w:r>
      <w:proofErr w:type="spellEnd"/>
      <w:r w:rsidRPr="003F1846">
        <w:rPr>
          <w:rFonts w:ascii="Arial" w:eastAsia="Arial" w:hAnsi="Arial" w:cs="Arial"/>
        </w:rPr>
        <w:t xml:space="preserve"> Ltd, London, UK) and weight (SECA floor scale, </w:t>
      </w:r>
      <w:proofErr w:type="spellStart"/>
      <w:r w:rsidRPr="003F1846">
        <w:rPr>
          <w:rFonts w:ascii="Arial" w:eastAsia="Arial" w:hAnsi="Arial" w:cs="Arial"/>
        </w:rPr>
        <w:t>Chasmors</w:t>
      </w:r>
      <w:proofErr w:type="spellEnd"/>
      <w:r w:rsidRPr="003F1846">
        <w:rPr>
          <w:rFonts w:ascii="Arial" w:eastAsia="Arial" w:hAnsi="Arial" w:cs="Arial"/>
        </w:rPr>
        <w:t xml:space="preserve"> Ltd, London, UK) which were used to derive body mass index (BMI).</w:t>
      </w:r>
    </w:p>
    <w:p w14:paraId="703D2177" w14:textId="44B9B200" w:rsidR="00260F16" w:rsidRPr="003F1846" w:rsidRDefault="00260F16">
      <w:pPr>
        <w:spacing w:after="200" w:line="360" w:lineRule="auto"/>
        <w:jc w:val="both"/>
        <w:rPr>
          <w:rFonts w:ascii="Arial" w:eastAsia="Arial" w:hAnsi="Arial" w:cs="Arial"/>
        </w:rPr>
      </w:pPr>
    </w:p>
    <w:p w14:paraId="4CAA5837" w14:textId="6CC438C7" w:rsidR="00260F16" w:rsidRPr="003F1846" w:rsidRDefault="0013E4D3">
      <w:pPr>
        <w:spacing w:after="200" w:line="360" w:lineRule="auto"/>
        <w:jc w:val="both"/>
        <w:rPr>
          <w:rFonts w:ascii="Arial" w:eastAsia="Arial" w:hAnsi="Arial" w:cs="Arial"/>
          <w:i/>
          <w:iCs/>
        </w:rPr>
      </w:pPr>
      <w:r w:rsidRPr="003F1846">
        <w:rPr>
          <w:rFonts w:ascii="Arial" w:eastAsia="Arial" w:hAnsi="Arial" w:cs="Arial"/>
          <w:i/>
          <w:iCs/>
        </w:rPr>
        <w:t>Ascertainment of incident fractures</w:t>
      </w:r>
    </w:p>
    <w:p w14:paraId="3EC32E9E" w14:textId="7C857B48" w:rsidR="00A04629" w:rsidRPr="003F1846" w:rsidRDefault="00A04629">
      <w:pPr>
        <w:spacing w:after="200" w:line="360" w:lineRule="auto"/>
        <w:jc w:val="both"/>
        <w:rPr>
          <w:rFonts w:ascii="Arial" w:eastAsia="Arial" w:hAnsi="Arial" w:cs="Arial"/>
        </w:rPr>
      </w:pPr>
      <w:r w:rsidRPr="003F1846">
        <w:rPr>
          <w:rFonts w:ascii="Arial" w:eastAsia="Arial" w:hAnsi="Arial" w:cs="Arial"/>
        </w:rPr>
        <w:t xml:space="preserve">Hospital Episode Statistics (HES) data were used to identify incident fractures; data on mortality were also available. Permission to access these data from participants </w:t>
      </w:r>
      <w:r w:rsidR="00D43BDF">
        <w:rPr>
          <w:rFonts w:ascii="Arial" w:eastAsia="Arial" w:hAnsi="Arial" w:cs="Arial"/>
        </w:rPr>
        <w:t>from HCS baseline</w:t>
      </w:r>
      <w:r w:rsidRPr="003F1846">
        <w:rPr>
          <w:rFonts w:ascii="Arial" w:eastAsia="Arial" w:hAnsi="Arial" w:cs="Arial"/>
        </w:rPr>
        <w:t xml:space="preserve"> to 31/12/2018 was provided by NHS Digital and the Ethics and Confidentiality Committee of the National Information Governance Board. The process of linking the HCS cohort with HES data has been explained in a previous publication </w:t>
      </w:r>
      <w:r w:rsidR="000D751E">
        <w:rPr>
          <w:rFonts w:ascii="Arial" w:eastAsia="Arial" w:hAnsi="Arial" w:cs="Arial"/>
        </w:rPr>
        <w:fldChar w:fldCharType="begin"/>
      </w:r>
      <w:r w:rsidR="000D751E">
        <w:rPr>
          <w:rFonts w:ascii="Arial" w:eastAsia="Arial" w:hAnsi="Arial" w:cs="Arial"/>
        </w:rPr>
        <w:instrText xml:space="preserve"> ADDIN EN.CITE &lt;EndNote&gt;&lt;Cite&gt;&lt;Author&gt;Simmonds&lt;/Author&gt;&lt;Year&gt;2014&lt;/Year&gt;&lt;RecNum&gt;1547&lt;/RecNum&gt;&lt;DisplayText&gt;[17]&lt;/DisplayText&gt;&lt;record&gt;&lt;rec-number&gt;1547&lt;/rec-number&gt;&lt;foreign-keys&gt;&lt;key app="EN" db-id="pzdf5rvs9wzts6erav6v0rpowttawpd0ztaa" timestamp="1700484977"&gt;1547&lt;/key&gt;&lt;/foreign-keys&gt;&lt;ref-type name="Journal Article"&gt;17&lt;/ref-type&gt;&lt;contributors&gt;&lt;authors&gt;&lt;author&gt;Simmonds, Shirley J&lt;/author&gt;&lt;author&gt;Syddall, Holly E&lt;/author&gt;&lt;author&gt;Walsh, Bronagh&lt;/author&gt;&lt;author&gt;Evandrou, Maria&lt;/author&gt;&lt;author&gt;Dennison, Elaine M&lt;/author&gt;&lt;author&gt;Cooper, Cyrus&lt;/author&gt;&lt;author&gt;Sayer, Avan Aihie &lt;/author&gt;&lt;/authors&gt;&lt;/contributors&gt;&lt;titles&gt;&lt;title&gt;Understanding NHS hospital admissions in England: linkage of Hospital Episode Statistics to the Hertfordshire Cohort Study&lt;/title&gt;&lt;secondary-title&gt;Age and Ageing&lt;/secondary-title&gt;&lt;/titles&gt;&lt;periodical&gt;&lt;full-title&gt;Age and ageing&lt;/full-title&gt;&lt;/periodical&gt;&lt;pages&gt;653-660&lt;/pages&gt;&lt;volume&gt;43&lt;/volume&gt;&lt;number&gt;5&lt;/number&gt;&lt;dates&gt;&lt;year&gt;2014&lt;/year&gt;&lt;/dates&gt;&lt;urls&gt;&lt;/urls&gt;&lt;electronic-resource-num&gt;https://doi.org/10.1093/ageing/afu020&lt;/electronic-resource-num&gt;&lt;/record&gt;&lt;/Cite&gt;&lt;/EndNote&gt;</w:instrText>
      </w:r>
      <w:r w:rsidR="000D751E">
        <w:rPr>
          <w:rFonts w:ascii="Arial" w:eastAsia="Arial" w:hAnsi="Arial" w:cs="Arial"/>
        </w:rPr>
        <w:fldChar w:fldCharType="separate"/>
      </w:r>
      <w:r w:rsidR="000D751E">
        <w:rPr>
          <w:rFonts w:ascii="Arial" w:eastAsia="Arial" w:hAnsi="Arial" w:cs="Arial"/>
          <w:noProof/>
        </w:rPr>
        <w:t>[17]</w:t>
      </w:r>
      <w:r w:rsidR="000D751E">
        <w:rPr>
          <w:rFonts w:ascii="Arial" w:eastAsia="Arial" w:hAnsi="Arial" w:cs="Arial"/>
        </w:rPr>
        <w:fldChar w:fldCharType="end"/>
      </w:r>
      <w:r w:rsidRPr="003F1846">
        <w:rPr>
          <w:rFonts w:ascii="Arial" w:eastAsia="Arial" w:hAnsi="Arial" w:cs="Arial"/>
        </w:rPr>
        <w:t xml:space="preserve">. The extracted HES data for each participant included details regarding hospital admissions, including diagnoses categorized </w:t>
      </w:r>
      <w:r w:rsidR="00CF3A40" w:rsidRPr="00CF3A40">
        <w:rPr>
          <w:rFonts w:ascii="Arial" w:eastAsia="Arial" w:hAnsi="Arial" w:cs="Arial"/>
        </w:rPr>
        <w:t>using codes from the 10th revision of the International Classification of Diseases (ICD-10).</w:t>
      </w:r>
      <w:r w:rsidR="00CF3A40">
        <w:rPr>
          <w:rFonts w:ascii="Arial" w:eastAsia="Arial" w:hAnsi="Arial" w:cs="Arial"/>
        </w:rPr>
        <w:t xml:space="preserve"> </w:t>
      </w:r>
      <w:r w:rsidRPr="003F1846">
        <w:rPr>
          <w:rFonts w:ascii="Arial" w:eastAsia="Arial" w:hAnsi="Arial" w:cs="Arial"/>
        </w:rPr>
        <w:t xml:space="preserve">Adverse health events </w:t>
      </w:r>
      <w:r w:rsidR="008A76FE" w:rsidRPr="003F1846">
        <w:rPr>
          <w:rFonts w:ascii="Arial" w:eastAsia="Arial" w:hAnsi="Arial" w:cs="Arial"/>
        </w:rPr>
        <w:t xml:space="preserve">considered included </w:t>
      </w:r>
      <w:r w:rsidRPr="003F1846">
        <w:rPr>
          <w:rFonts w:ascii="Arial" w:eastAsia="Arial" w:hAnsi="Arial" w:cs="Arial"/>
        </w:rPr>
        <w:t xml:space="preserve">fractures of any kind, as well as specifically hip fractures. These </w:t>
      </w:r>
      <w:r w:rsidR="008A76FE" w:rsidRPr="003F1846">
        <w:rPr>
          <w:rFonts w:ascii="Arial" w:eastAsia="Arial" w:hAnsi="Arial" w:cs="Arial"/>
        </w:rPr>
        <w:t>fracture events</w:t>
      </w:r>
      <w:r w:rsidRPr="003F1846">
        <w:rPr>
          <w:rFonts w:ascii="Arial" w:eastAsia="Arial" w:hAnsi="Arial" w:cs="Arial"/>
        </w:rPr>
        <w:t xml:space="preserve"> were identified using the ICD-10</w:t>
      </w:r>
      <w:r w:rsidR="008A76FE" w:rsidRPr="003F1846">
        <w:rPr>
          <w:rFonts w:ascii="Arial" w:eastAsia="Arial" w:hAnsi="Arial" w:cs="Arial"/>
        </w:rPr>
        <w:t xml:space="preserve"> codes</w:t>
      </w:r>
      <w:r w:rsidRPr="003F1846">
        <w:rPr>
          <w:rFonts w:ascii="Arial" w:eastAsia="Arial" w:hAnsi="Arial" w:cs="Arial"/>
        </w:rPr>
        <w:t xml:space="preserve"> outlined in</w:t>
      </w:r>
      <w:r w:rsidR="00272F37">
        <w:rPr>
          <w:rFonts w:ascii="Arial" w:eastAsia="Arial" w:hAnsi="Arial" w:cs="Arial"/>
        </w:rPr>
        <w:t xml:space="preserve"> </w:t>
      </w:r>
      <w:r w:rsidR="00272F37" w:rsidRPr="00272F37">
        <w:rPr>
          <w:rFonts w:ascii="Arial" w:eastAsia="Arial" w:hAnsi="Arial" w:cs="Arial"/>
        </w:rPr>
        <w:t xml:space="preserve">eTable </w:t>
      </w:r>
      <w:r w:rsidR="00272F37">
        <w:rPr>
          <w:rFonts w:ascii="Arial" w:eastAsia="Arial" w:hAnsi="Arial" w:cs="Arial"/>
        </w:rPr>
        <w:t>1</w:t>
      </w:r>
      <w:r w:rsidR="00272F37" w:rsidRPr="00272F37">
        <w:rPr>
          <w:rFonts w:ascii="Arial" w:eastAsia="Arial" w:hAnsi="Arial" w:cs="Arial"/>
        </w:rPr>
        <w:t xml:space="preserve"> </w:t>
      </w:r>
      <w:r w:rsidR="00272F37">
        <w:rPr>
          <w:rFonts w:ascii="Arial" w:eastAsia="Arial" w:hAnsi="Arial" w:cs="Arial"/>
        </w:rPr>
        <w:t>(</w:t>
      </w:r>
      <w:r w:rsidR="00272F37" w:rsidRPr="00272F37">
        <w:rPr>
          <w:rFonts w:ascii="Arial" w:eastAsia="Arial" w:hAnsi="Arial" w:cs="Arial"/>
        </w:rPr>
        <w:t>Online Resource)</w:t>
      </w:r>
      <w:r w:rsidRPr="003F1846">
        <w:rPr>
          <w:rFonts w:ascii="Arial" w:eastAsia="Arial" w:hAnsi="Arial" w:cs="Arial"/>
        </w:rPr>
        <w:t>.</w:t>
      </w:r>
      <w:r w:rsidR="008A76FE" w:rsidRPr="00CA2336">
        <w:t xml:space="preserve"> </w:t>
      </w:r>
      <w:r w:rsidR="008A76FE" w:rsidRPr="003F1846">
        <w:rPr>
          <w:rFonts w:ascii="Arial" w:eastAsia="Arial" w:hAnsi="Arial" w:cs="Arial"/>
        </w:rPr>
        <w:t xml:space="preserve">These ICD-10 codes </w:t>
      </w:r>
      <w:r w:rsidR="009B540C">
        <w:rPr>
          <w:rFonts w:ascii="Arial" w:eastAsia="Arial" w:hAnsi="Arial" w:cs="Arial"/>
        </w:rPr>
        <w:t>for identification of</w:t>
      </w:r>
      <w:r w:rsidR="008A76FE" w:rsidRPr="003F1846">
        <w:rPr>
          <w:rFonts w:ascii="Arial" w:eastAsia="Arial" w:hAnsi="Arial" w:cs="Arial"/>
        </w:rPr>
        <w:t xml:space="preserve"> any fractures</w:t>
      </w:r>
      <w:r w:rsidR="009B540C">
        <w:rPr>
          <w:rFonts w:ascii="Arial" w:eastAsia="Arial" w:hAnsi="Arial" w:cs="Arial"/>
        </w:rPr>
        <w:t xml:space="preserve"> </w:t>
      </w:r>
      <w:r w:rsidR="009B540C">
        <w:rPr>
          <w:rFonts w:ascii="Arial" w:eastAsia="Arial" w:hAnsi="Arial" w:cs="Arial"/>
        </w:rPr>
        <w:fldChar w:fldCharType="begin">
          <w:fldData xml:space="preserve">PEVuZE5vdGU+PENpdGU+PEF1dGhvcj5TdHViYnM8L0F1dGhvcj48WWVhcj4yMDE4PC9ZZWFyPjxS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</w:fldData>
        </w:fldChar>
      </w:r>
      <w:r w:rsidR="009B540C">
        <w:rPr>
          <w:rFonts w:ascii="Arial" w:eastAsia="Arial" w:hAnsi="Arial" w:cs="Arial"/>
        </w:rPr>
        <w:instrText xml:space="preserve"> ADDIN EN.CITE </w:instrText>
      </w:r>
      <w:r w:rsidR="009B540C">
        <w:rPr>
          <w:rFonts w:ascii="Arial" w:eastAsia="Arial" w:hAnsi="Arial" w:cs="Arial"/>
        </w:rPr>
        <w:fldChar w:fldCharType="begin">
          <w:fldData xml:space="preserve">PEVuZE5vdGU+PENpdGU+PEF1dGhvcj5TdHViYnM8L0F1dGhvcj48WWVhcj4yMDE4PC9ZZWFyPjxS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</w:fldData>
        </w:fldChar>
      </w:r>
      <w:r w:rsidR="009B540C">
        <w:rPr>
          <w:rFonts w:ascii="Arial" w:eastAsia="Arial" w:hAnsi="Arial" w:cs="Arial"/>
        </w:rPr>
        <w:instrText xml:space="preserve"> ADDIN EN.CITE.DATA </w:instrText>
      </w:r>
      <w:r w:rsidR="009B540C">
        <w:rPr>
          <w:rFonts w:ascii="Arial" w:eastAsia="Arial" w:hAnsi="Arial" w:cs="Arial"/>
        </w:rPr>
      </w:r>
      <w:r w:rsidR="009B540C">
        <w:rPr>
          <w:rFonts w:ascii="Arial" w:eastAsia="Arial" w:hAnsi="Arial" w:cs="Arial"/>
        </w:rPr>
        <w:fldChar w:fldCharType="end"/>
      </w:r>
      <w:r w:rsidR="009B540C">
        <w:rPr>
          <w:rFonts w:ascii="Arial" w:eastAsia="Arial" w:hAnsi="Arial" w:cs="Arial"/>
        </w:rPr>
      </w:r>
      <w:r w:rsidR="009B540C">
        <w:rPr>
          <w:rFonts w:ascii="Arial" w:eastAsia="Arial" w:hAnsi="Arial" w:cs="Arial"/>
        </w:rPr>
        <w:fldChar w:fldCharType="separate"/>
      </w:r>
      <w:r w:rsidR="009B540C">
        <w:rPr>
          <w:rFonts w:ascii="Arial" w:eastAsia="Arial" w:hAnsi="Arial" w:cs="Arial"/>
          <w:noProof/>
        </w:rPr>
        <w:t>[18, 19]</w:t>
      </w:r>
      <w:r w:rsidR="009B540C">
        <w:rPr>
          <w:rFonts w:ascii="Arial" w:eastAsia="Arial" w:hAnsi="Arial" w:cs="Arial"/>
        </w:rPr>
        <w:fldChar w:fldCharType="end"/>
      </w:r>
      <w:r w:rsidR="009B540C">
        <w:rPr>
          <w:rFonts w:ascii="Arial" w:eastAsia="Arial" w:hAnsi="Arial" w:cs="Arial"/>
        </w:rPr>
        <w:t xml:space="preserve"> </w:t>
      </w:r>
      <w:r w:rsidR="008A76FE" w:rsidRPr="003F1846">
        <w:rPr>
          <w:rFonts w:ascii="Arial" w:eastAsia="Arial" w:hAnsi="Arial" w:cs="Arial"/>
        </w:rPr>
        <w:t xml:space="preserve">and hip fractures </w:t>
      </w:r>
      <w:r w:rsidR="00A7104F">
        <w:rPr>
          <w:rFonts w:ascii="Arial" w:eastAsia="Arial" w:hAnsi="Arial" w:cs="Arial"/>
        </w:rPr>
        <w:fldChar w:fldCharType="begin">
          <w:fldData xml:space="preserve">PEVuZE5vdGU+PENpdGU+PEF1dGhvcj5QYXRlbDwvQXV0aG9yPjxZZWFyPjIwMjE8L1llYXI+PFJl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</w:fldData>
        </w:fldChar>
      </w:r>
      <w:r w:rsidR="00A7104F">
        <w:rPr>
          <w:rFonts w:ascii="Arial" w:eastAsia="Arial" w:hAnsi="Arial" w:cs="Arial"/>
        </w:rPr>
        <w:instrText xml:space="preserve"> ADDIN EN.CITE </w:instrText>
      </w:r>
      <w:r w:rsidR="00A7104F">
        <w:rPr>
          <w:rFonts w:ascii="Arial" w:eastAsia="Arial" w:hAnsi="Arial" w:cs="Arial"/>
        </w:rPr>
        <w:fldChar w:fldCharType="begin">
          <w:fldData xml:space="preserve">PEVuZE5vdGU+PENpdGU+PEF1dGhvcj5QYXRlbDwvQXV0aG9yPjxZZWFyPjIwMjE8L1llYXI+PFJl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</w:fldData>
        </w:fldChar>
      </w:r>
      <w:r w:rsidR="00A7104F">
        <w:rPr>
          <w:rFonts w:ascii="Arial" w:eastAsia="Arial" w:hAnsi="Arial" w:cs="Arial"/>
        </w:rPr>
        <w:instrText xml:space="preserve"> ADDIN EN.CITE.DATA </w:instrText>
      </w:r>
      <w:r w:rsidR="00A7104F">
        <w:rPr>
          <w:rFonts w:ascii="Arial" w:eastAsia="Arial" w:hAnsi="Arial" w:cs="Arial"/>
        </w:rPr>
      </w:r>
      <w:r w:rsidR="00A7104F">
        <w:rPr>
          <w:rFonts w:ascii="Arial" w:eastAsia="Arial" w:hAnsi="Arial" w:cs="Arial"/>
        </w:rPr>
        <w:fldChar w:fldCharType="end"/>
      </w:r>
      <w:r w:rsidR="00A7104F">
        <w:rPr>
          <w:rFonts w:ascii="Arial" w:eastAsia="Arial" w:hAnsi="Arial" w:cs="Arial"/>
        </w:rPr>
      </w:r>
      <w:r w:rsidR="00A7104F">
        <w:rPr>
          <w:rFonts w:ascii="Arial" w:eastAsia="Arial" w:hAnsi="Arial" w:cs="Arial"/>
        </w:rPr>
        <w:fldChar w:fldCharType="separate"/>
      </w:r>
      <w:r w:rsidR="00A7104F">
        <w:rPr>
          <w:rFonts w:ascii="Arial" w:eastAsia="Arial" w:hAnsi="Arial" w:cs="Arial"/>
          <w:noProof/>
        </w:rPr>
        <w:t>[20-22]</w:t>
      </w:r>
      <w:r w:rsidR="00A7104F">
        <w:rPr>
          <w:rFonts w:ascii="Arial" w:eastAsia="Arial" w:hAnsi="Arial" w:cs="Arial"/>
        </w:rPr>
        <w:fldChar w:fldCharType="end"/>
      </w:r>
      <w:r w:rsidR="00A7104F">
        <w:rPr>
          <w:rFonts w:ascii="Arial" w:eastAsia="Arial" w:hAnsi="Arial" w:cs="Arial"/>
        </w:rPr>
        <w:t xml:space="preserve"> </w:t>
      </w:r>
      <w:r w:rsidR="008A76FE" w:rsidRPr="003F1846">
        <w:rPr>
          <w:rFonts w:ascii="Arial" w:eastAsia="Arial" w:hAnsi="Arial" w:cs="Arial"/>
        </w:rPr>
        <w:t>have been used in previous studies.</w:t>
      </w:r>
    </w:p>
    <w:p w14:paraId="23364AC7" w14:textId="726F334E" w:rsidR="1FC8908D" w:rsidRPr="003F1846" w:rsidRDefault="1FC8908D" w:rsidP="00C97B41">
      <w:pPr>
        <w:jc w:val="both"/>
      </w:pPr>
    </w:p>
    <w:p w14:paraId="19523959" w14:textId="7C87B75F" w:rsidR="00260F16" w:rsidRPr="003F1846" w:rsidRDefault="789BB7BA" w:rsidP="00C97B41">
      <w:pPr>
        <w:pStyle w:val="Heading2"/>
        <w:spacing w:before="0" w:after="200" w:line="360" w:lineRule="auto"/>
        <w:jc w:val="both"/>
        <w:rPr>
          <w:rFonts w:ascii="Arial" w:eastAsia="Arial" w:hAnsi="Arial" w:cs="Arial"/>
          <w:i/>
          <w:iCs/>
          <w:color w:val="auto"/>
          <w:sz w:val="22"/>
          <w:szCs w:val="22"/>
        </w:rPr>
      </w:pPr>
      <w:r w:rsidRPr="003F1846">
        <w:rPr>
          <w:rFonts w:ascii="Arial" w:eastAsia="Arial" w:hAnsi="Arial" w:cs="Arial"/>
          <w:i/>
          <w:iCs/>
          <w:color w:val="auto"/>
          <w:sz w:val="22"/>
          <w:szCs w:val="22"/>
        </w:rPr>
        <w:t>Statistical methods</w:t>
      </w:r>
    </w:p>
    <w:p w14:paraId="7D18BDE4" w14:textId="67757900" w:rsidR="00260F16" w:rsidRPr="003F1846" w:rsidRDefault="789BB7BA">
      <w:pPr>
        <w:spacing w:after="200" w:line="360" w:lineRule="auto"/>
        <w:jc w:val="both"/>
        <w:rPr>
          <w:rFonts w:ascii="Arial" w:eastAsia="Arial" w:hAnsi="Arial" w:cs="Arial"/>
        </w:rPr>
      </w:pPr>
      <w:r w:rsidRPr="003F1846">
        <w:rPr>
          <w:rFonts w:ascii="Arial" w:eastAsia="Arial" w:hAnsi="Arial" w:cs="Arial"/>
        </w:rPr>
        <w:t>Participant characteristics were described using summary statistics.</w:t>
      </w:r>
      <w:r w:rsidR="008A76FE" w:rsidRPr="003F1846">
        <w:rPr>
          <w:rFonts w:ascii="Arial" w:eastAsia="Arial" w:hAnsi="Arial" w:cs="Arial"/>
        </w:rPr>
        <w:t xml:space="preserve"> </w:t>
      </w:r>
      <w:r w:rsidR="008D2B60" w:rsidRPr="003F1846">
        <w:rPr>
          <w:rFonts w:ascii="Arial" w:eastAsia="Arial" w:hAnsi="Arial" w:cs="Arial"/>
        </w:rPr>
        <w:t>Cross-sectional associations between baseline characteristics and r</w:t>
      </w:r>
      <w:r w:rsidR="5140564D" w:rsidRPr="003F1846">
        <w:rPr>
          <w:rFonts w:ascii="Arial" w:eastAsia="Arial" w:hAnsi="Arial" w:cs="Arial"/>
        </w:rPr>
        <w:t>elationship status (</w:t>
      </w:r>
      <w:r w:rsidR="008D2B60" w:rsidRPr="003F1846">
        <w:rPr>
          <w:rFonts w:ascii="Arial" w:eastAsia="Arial" w:hAnsi="Arial" w:cs="Arial"/>
        </w:rPr>
        <w:t>n</w:t>
      </w:r>
      <w:r w:rsidR="00595846" w:rsidRPr="003F1846">
        <w:rPr>
          <w:rFonts w:ascii="Arial" w:eastAsia="Arial" w:hAnsi="Arial" w:cs="Arial"/>
        </w:rPr>
        <w:t xml:space="preserve">ot </w:t>
      </w:r>
      <w:r w:rsidR="008D2B60" w:rsidRPr="003F1846">
        <w:rPr>
          <w:rFonts w:ascii="Arial" w:eastAsia="Arial" w:hAnsi="Arial" w:cs="Arial"/>
        </w:rPr>
        <w:t>married/cohabiting</w:t>
      </w:r>
      <w:r w:rsidR="5140564D" w:rsidRPr="003F1846">
        <w:rPr>
          <w:rFonts w:ascii="Arial" w:eastAsia="Arial" w:hAnsi="Arial" w:cs="Arial"/>
        </w:rPr>
        <w:t xml:space="preserve"> vs</w:t>
      </w:r>
      <w:r w:rsidR="00595846" w:rsidRPr="003F1846">
        <w:rPr>
          <w:rFonts w:ascii="Arial" w:eastAsia="Arial" w:hAnsi="Arial" w:cs="Arial"/>
        </w:rPr>
        <w:t xml:space="preserve"> </w:t>
      </w:r>
      <w:r w:rsidR="5140564D" w:rsidRPr="003F1846">
        <w:rPr>
          <w:rFonts w:ascii="Arial" w:eastAsia="Arial" w:hAnsi="Arial" w:cs="Arial"/>
        </w:rPr>
        <w:t>married/cohabiting)</w:t>
      </w:r>
      <w:r w:rsidR="008D2B60" w:rsidRPr="003F1846">
        <w:rPr>
          <w:rFonts w:ascii="Arial" w:eastAsia="Arial" w:hAnsi="Arial" w:cs="Arial"/>
        </w:rPr>
        <w:t xml:space="preserve"> were examined using sex-stratified logistic regression.</w:t>
      </w:r>
      <w:r w:rsidR="5140564D" w:rsidRPr="003F1846">
        <w:rPr>
          <w:rFonts w:ascii="Arial" w:eastAsia="Arial" w:hAnsi="Arial" w:cs="Arial"/>
        </w:rPr>
        <w:t xml:space="preserve"> </w:t>
      </w:r>
      <w:r w:rsidR="008D2B60" w:rsidRPr="003F1846">
        <w:rPr>
          <w:rFonts w:ascii="Arial" w:eastAsia="Arial" w:hAnsi="Arial" w:cs="Arial"/>
        </w:rPr>
        <w:t>Baseline relationship status</w:t>
      </w:r>
      <w:r w:rsidR="5140564D" w:rsidRPr="003F1846">
        <w:rPr>
          <w:rFonts w:ascii="Arial" w:eastAsia="Arial" w:hAnsi="Arial" w:cs="Arial"/>
        </w:rPr>
        <w:t xml:space="preserve"> </w:t>
      </w:r>
      <w:r w:rsidR="008D2B60" w:rsidRPr="003F1846">
        <w:rPr>
          <w:rFonts w:ascii="Arial" w:eastAsia="Arial" w:hAnsi="Arial" w:cs="Arial"/>
        </w:rPr>
        <w:t xml:space="preserve">was </w:t>
      </w:r>
      <w:r w:rsidR="5140564D" w:rsidRPr="003F1846">
        <w:rPr>
          <w:rFonts w:ascii="Arial" w:eastAsia="Arial" w:hAnsi="Arial" w:cs="Arial"/>
        </w:rPr>
        <w:t>examined in relation to incident fracture</w:t>
      </w:r>
      <w:r w:rsidR="00F31655" w:rsidRPr="003F1846">
        <w:rPr>
          <w:rFonts w:ascii="Arial" w:eastAsia="Arial" w:hAnsi="Arial" w:cs="Arial"/>
        </w:rPr>
        <w:t xml:space="preserve"> outcomes</w:t>
      </w:r>
      <w:r w:rsidR="008D2B60" w:rsidRPr="003F1846">
        <w:rPr>
          <w:rFonts w:ascii="Arial" w:eastAsia="Arial" w:hAnsi="Arial" w:cs="Arial"/>
        </w:rPr>
        <w:t xml:space="preserve"> (any fracture and hip fracture)</w:t>
      </w:r>
      <w:r w:rsidR="5140564D" w:rsidRPr="003F1846">
        <w:rPr>
          <w:rFonts w:ascii="Arial" w:eastAsia="Arial" w:hAnsi="Arial" w:cs="Arial"/>
        </w:rPr>
        <w:t xml:space="preserve"> using </w:t>
      </w:r>
      <w:r w:rsidR="008D2B60" w:rsidRPr="003F1846">
        <w:rPr>
          <w:rFonts w:ascii="Arial" w:eastAsia="Arial" w:hAnsi="Arial" w:cs="Arial"/>
        </w:rPr>
        <w:t xml:space="preserve">sex-stratified </w:t>
      </w:r>
      <w:r w:rsidR="5140564D" w:rsidRPr="003F1846">
        <w:rPr>
          <w:rFonts w:ascii="Arial" w:eastAsia="Arial" w:hAnsi="Arial" w:cs="Arial"/>
        </w:rPr>
        <w:t>time-to-first-event Cox regression with adjustment for age</w:t>
      </w:r>
      <w:r w:rsidR="00F31655" w:rsidRPr="003F1846">
        <w:rPr>
          <w:rFonts w:ascii="Arial" w:eastAsia="Arial" w:hAnsi="Arial" w:cs="Arial"/>
        </w:rPr>
        <w:t xml:space="preserve"> and with death as a censoring event</w:t>
      </w:r>
      <w:r w:rsidR="003735B4" w:rsidRPr="003F1846">
        <w:rPr>
          <w:rFonts w:ascii="Arial" w:eastAsia="Arial" w:hAnsi="Arial" w:cs="Arial"/>
        </w:rPr>
        <w:t>.</w:t>
      </w:r>
      <w:r w:rsidR="008A76FE" w:rsidRPr="003F1846">
        <w:rPr>
          <w:rFonts w:ascii="Arial" w:eastAsia="Arial" w:hAnsi="Arial" w:cs="Arial"/>
        </w:rPr>
        <w:t xml:space="preserve"> </w:t>
      </w:r>
      <w:r w:rsidR="00CF3A40">
        <w:rPr>
          <w:rFonts w:ascii="Arial" w:eastAsia="Arial" w:hAnsi="Arial" w:cs="Arial"/>
        </w:rPr>
        <w:t>Fully adjusted</w:t>
      </w:r>
      <w:r w:rsidR="008A76FE" w:rsidRPr="003F1846">
        <w:rPr>
          <w:rFonts w:ascii="Arial" w:eastAsia="Arial" w:hAnsi="Arial" w:cs="Arial"/>
        </w:rPr>
        <w:t xml:space="preserve"> </w:t>
      </w:r>
      <w:r w:rsidR="00961A86" w:rsidRPr="003F1846">
        <w:rPr>
          <w:rFonts w:ascii="Arial" w:eastAsia="Arial" w:hAnsi="Arial" w:cs="Arial"/>
        </w:rPr>
        <w:t xml:space="preserve">sex-stratified </w:t>
      </w:r>
      <w:r w:rsidR="003735B4" w:rsidRPr="003F1846">
        <w:rPr>
          <w:rFonts w:ascii="Arial" w:eastAsia="Arial" w:hAnsi="Arial" w:cs="Arial"/>
        </w:rPr>
        <w:t xml:space="preserve">Cox </w:t>
      </w:r>
      <w:r w:rsidR="00961A86" w:rsidRPr="003F1846">
        <w:rPr>
          <w:rFonts w:ascii="Arial" w:eastAsia="Arial" w:hAnsi="Arial" w:cs="Arial"/>
        </w:rPr>
        <w:t xml:space="preserve">models were then implemented where each model </w:t>
      </w:r>
      <w:r w:rsidR="003735B4" w:rsidRPr="003F1846">
        <w:rPr>
          <w:rFonts w:ascii="Arial" w:eastAsia="Arial" w:hAnsi="Arial" w:cs="Arial"/>
        </w:rPr>
        <w:t>was additionally adjusted for</w:t>
      </w:r>
      <w:r w:rsidR="00961A86" w:rsidRPr="003F1846">
        <w:rPr>
          <w:rFonts w:ascii="Arial" w:eastAsia="Arial" w:hAnsi="Arial" w:cs="Arial"/>
        </w:rPr>
        <w:t xml:space="preserve"> </w:t>
      </w:r>
      <w:r w:rsidR="003735B4" w:rsidRPr="003F1846">
        <w:rPr>
          <w:rFonts w:ascii="Arial" w:eastAsia="Arial" w:hAnsi="Arial" w:cs="Arial"/>
        </w:rPr>
        <w:t xml:space="preserve">the </w:t>
      </w:r>
      <w:r w:rsidR="00961A86" w:rsidRPr="003F1846">
        <w:rPr>
          <w:rFonts w:ascii="Arial" w:eastAsia="Arial" w:hAnsi="Arial" w:cs="Arial"/>
        </w:rPr>
        <w:t>baseline characteristics which were significantly associated with relationship status in the corresponding sex</w:t>
      </w:r>
      <w:r w:rsidR="008D2B60" w:rsidRPr="003F1846">
        <w:rPr>
          <w:rFonts w:ascii="Arial" w:eastAsia="Arial" w:hAnsi="Arial" w:cs="Arial"/>
        </w:rPr>
        <w:t>.</w:t>
      </w:r>
      <w:r w:rsidR="00116FDE" w:rsidRPr="003F1846">
        <w:rPr>
          <w:rFonts w:ascii="Arial" w:eastAsia="Arial" w:hAnsi="Arial" w:cs="Arial"/>
        </w:rPr>
        <w:t xml:space="preserve"> </w:t>
      </w:r>
      <w:r w:rsidRPr="003F1846">
        <w:rPr>
          <w:rFonts w:ascii="Arial" w:eastAsia="Arial" w:hAnsi="Arial" w:cs="Arial"/>
        </w:rPr>
        <w:t>Analyses were conducted using Stata, release 17.0</w:t>
      </w:r>
      <w:r w:rsidR="008D2B60" w:rsidRPr="003F1846">
        <w:rPr>
          <w:rFonts w:ascii="Arial" w:eastAsia="Arial" w:hAnsi="Arial" w:cs="Arial"/>
        </w:rPr>
        <w:t>; p&lt;0.05 was regarded as statistically significant.</w:t>
      </w:r>
    </w:p>
    <w:p w14:paraId="5172892F" w14:textId="12035CC4" w:rsidR="15068A9F" w:rsidRPr="003F1846" w:rsidRDefault="15068A9F" w:rsidP="00C97B41">
      <w:pPr>
        <w:pStyle w:val="Heading2"/>
        <w:spacing w:before="0" w:after="200" w:line="360" w:lineRule="auto"/>
        <w:jc w:val="both"/>
        <w:rPr>
          <w:rFonts w:ascii="Arial" w:eastAsia="Arial" w:hAnsi="Arial" w:cs="Arial"/>
          <w:color w:val="auto"/>
          <w:sz w:val="22"/>
          <w:szCs w:val="22"/>
        </w:rPr>
      </w:pPr>
      <w:r w:rsidRPr="003F1846">
        <w:rPr>
          <w:rFonts w:ascii="Arial" w:eastAsia="Arial" w:hAnsi="Arial" w:cs="Arial"/>
          <w:color w:val="auto"/>
          <w:sz w:val="22"/>
          <w:szCs w:val="22"/>
        </w:rPr>
        <w:lastRenderedPageBreak/>
        <w:t>For s</w:t>
      </w:r>
      <w:r w:rsidR="64176E5C" w:rsidRPr="003F1846">
        <w:rPr>
          <w:rFonts w:ascii="Arial" w:eastAsia="Arial" w:hAnsi="Arial" w:cs="Arial"/>
          <w:color w:val="auto"/>
          <w:sz w:val="22"/>
          <w:szCs w:val="22"/>
        </w:rPr>
        <w:t>ensitivity analyses</w:t>
      </w:r>
      <w:r w:rsidR="00A1F7DE" w:rsidRPr="003F1846">
        <w:rPr>
          <w:rFonts w:ascii="Arial" w:eastAsia="Arial" w:hAnsi="Arial" w:cs="Arial"/>
          <w:color w:val="auto"/>
          <w:sz w:val="22"/>
          <w:szCs w:val="22"/>
        </w:rPr>
        <w:t xml:space="preserve">, </w:t>
      </w:r>
      <w:r w:rsidR="008D2B60" w:rsidRPr="003F1846">
        <w:rPr>
          <w:rFonts w:ascii="Arial" w:eastAsia="Arial" w:hAnsi="Arial" w:cs="Arial"/>
          <w:color w:val="auto"/>
          <w:sz w:val="22"/>
          <w:szCs w:val="22"/>
        </w:rPr>
        <w:t>c</w:t>
      </w:r>
      <w:r w:rsidR="1AE8EEE1" w:rsidRPr="003F1846">
        <w:rPr>
          <w:rFonts w:ascii="Arial" w:eastAsia="Arial" w:hAnsi="Arial" w:cs="Arial"/>
          <w:color w:val="auto"/>
          <w:sz w:val="22"/>
          <w:szCs w:val="22"/>
        </w:rPr>
        <w:t xml:space="preserve">ompeting risk analyses were performed for </w:t>
      </w:r>
      <w:r w:rsidR="0051016F">
        <w:rPr>
          <w:rFonts w:ascii="Arial" w:eastAsia="Arial" w:hAnsi="Arial" w:cs="Arial"/>
          <w:color w:val="auto"/>
          <w:sz w:val="22"/>
          <w:szCs w:val="22"/>
        </w:rPr>
        <w:t>the</w:t>
      </w:r>
      <w:r w:rsidR="1AE8EEE1" w:rsidRPr="003F1846">
        <w:rPr>
          <w:rFonts w:ascii="Arial" w:eastAsia="Arial" w:hAnsi="Arial" w:cs="Arial"/>
          <w:color w:val="auto"/>
          <w:sz w:val="22"/>
          <w:szCs w:val="22"/>
        </w:rPr>
        <w:t xml:space="preserve"> fracture </w:t>
      </w:r>
      <w:r w:rsidR="6F9CC4FE" w:rsidRPr="003F1846">
        <w:rPr>
          <w:rFonts w:ascii="Arial" w:eastAsia="Arial" w:hAnsi="Arial" w:cs="Arial"/>
          <w:color w:val="auto"/>
          <w:sz w:val="22"/>
          <w:szCs w:val="22"/>
        </w:rPr>
        <w:t>outcome</w:t>
      </w:r>
      <w:r w:rsidR="1AE8EEE1" w:rsidRPr="003F1846">
        <w:rPr>
          <w:rFonts w:ascii="Arial" w:eastAsia="Arial" w:hAnsi="Arial" w:cs="Arial"/>
          <w:color w:val="auto"/>
          <w:sz w:val="22"/>
          <w:szCs w:val="22"/>
        </w:rPr>
        <w:t>s using the Fine-Gray sub</w:t>
      </w:r>
      <w:r w:rsidR="00CF3A40">
        <w:rPr>
          <w:rFonts w:ascii="Arial" w:eastAsia="Arial" w:hAnsi="Arial" w:cs="Arial"/>
          <w:color w:val="auto"/>
          <w:sz w:val="22"/>
          <w:szCs w:val="22"/>
        </w:rPr>
        <w:t>-</w:t>
      </w:r>
      <w:r w:rsidR="1AE8EEE1" w:rsidRPr="003F1846">
        <w:rPr>
          <w:rFonts w:ascii="Arial" w:eastAsia="Arial" w:hAnsi="Arial" w:cs="Arial"/>
          <w:color w:val="auto"/>
          <w:sz w:val="22"/>
          <w:szCs w:val="22"/>
        </w:rPr>
        <w:t xml:space="preserve">distribution hazards model with death as a competing event </w:t>
      </w:r>
      <w:r w:rsidR="00871803">
        <w:rPr>
          <w:rFonts w:ascii="Arial" w:eastAsia="Arial" w:hAnsi="Arial" w:cs="Arial"/>
          <w:color w:val="auto"/>
          <w:sz w:val="22"/>
          <w:szCs w:val="22"/>
        </w:rPr>
        <w:fldChar w:fldCharType="begin"/>
      </w:r>
      <w:r w:rsidR="00871803">
        <w:rPr>
          <w:rFonts w:ascii="Arial" w:eastAsia="Arial" w:hAnsi="Arial" w:cs="Arial"/>
          <w:color w:val="auto"/>
          <w:sz w:val="22"/>
          <w:szCs w:val="22"/>
        </w:rPr>
        <w:instrText xml:space="preserve"> ADDIN EN.CITE &lt;EndNote&gt;&lt;Cite&gt;&lt;Author&gt;Fine&lt;/Author&gt;&lt;Year&gt;1999&lt;/Year&gt;&lt;RecNum&gt;1370&lt;/RecNum&gt;&lt;DisplayText&gt;[23]&lt;/DisplayText&gt;&lt;record&gt;&lt;rec-number&gt;1370&lt;/rec-number&gt;&lt;foreign-keys&gt;&lt;key app="EN" db-id="pzdf5rvs9wzts6erav6v0rpowttawpd0ztaa" timestamp="1564487605"&gt;1370&lt;/key&gt;&lt;/foreign-keys&gt;&lt;ref-type name="Journal Article"&gt;17&lt;/ref-type&gt;&lt;contributors&gt;&lt;authors&gt;&lt;author&gt;Fine, Jason P&lt;/author&gt;&lt;author&gt;Gray, Robert J&lt;/author&gt;&lt;/authors&gt;&lt;/contributors&gt;&lt;titles&gt;&lt;title&gt;A proportional hazards model for the subdistribution of a competing risk&lt;/title&gt;&lt;secondary-title&gt;Journal of the American Statistical Association&lt;/secondary-title&gt;&lt;/titles&gt;&lt;periodical&gt;&lt;full-title&gt;Journal of the American statistical association&lt;/full-title&gt;&lt;/periodical&gt;&lt;pages&gt;496-509&lt;/pages&gt;&lt;volume&gt;94&lt;/volume&gt;&lt;number&gt;446&lt;/number&gt;&lt;dates&gt;&lt;year&gt;1999&lt;/year&gt;&lt;/dates&gt;&lt;urls&gt;&lt;/urls&gt;&lt;electronic-resource-num&gt;https://doi.org/10.2307/2670170&lt;/electronic-resource-num&gt;&lt;/record&gt;&lt;/Cite&gt;&lt;/EndNote&gt;</w:instrText>
      </w:r>
      <w:r w:rsidR="00871803">
        <w:rPr>
          <w:rFonts w:ascii="Arial" w:eastAsia="Arial" w:hAnsi="Arial" w:cs="Arial"/>
          <w:color w:val="auto"/>
          <w:sz w:val="22"/>
          <w:szCs w:val="22"/>
        </w:rPr>
        <w:fldChar w:fldCharType="separate"/>
      </w:r>
      <w:r w:rsidR="00871803">
        <w:rPr>
          <w:rFonts w:ascii="Arial" w:eastAsia="Arial" w:hAnsi="Arial" w:cs="Arial"/>
          <w:noProof/>
          <w:color w:val="auto"/>
          <w:sz w:val="22"/>
          <w:szCs w:val="22"/>
        </w:rPr>
        <w:t>[23]</w:t>
      </w:r>
      <w:r w:rsidR="00871803">
        <w:rPr>
          <w:rFonts w:ascii="Arial" w:eastAsia="Arial" w:hAnsi="Arial" w:cs="Arial"/>
          <w:color w:val="auto"/>
          <w:sz w:val="22"/>
          <w:szCs w:val="22"/>
        </w:rPr>
        <w:fldChar w:fldCharType="end"/>
      </w:r>
      <w:r w:rsidR="00871803">
        <w:rPr>
          <w:rFonts w:ascii="Arial" w:eastAsia="Arial" w:hAnsi="Arial" w:cs="Arial"/>
          <w:color w:val="auto"/>
          <w:sz w:val="22"/>
          <w:szCs w:val="22"/>
        </w:rPr>
        <w:t>.</w:t>
      </w:r>
    </w:p>
    <w:p w14:paraId="2192A967" w14:textId="710D8120" w:rsidR="7C5E6BE8" w:rsidRPr="003F1846" w:rsidRDefault="7C5E6BE8" w:rsidP="00C97B41">
      <w:pPr>
        <w:jc w:val="both"/>
      </w:pPr>
    </w:p>
    <w:p w14:paraId="6F97324F" w14:textId="5CCD4374" w:rsidR="00260F16" w:rsidRPr="003F1846" w:rsidRDefault="789BB7BA" w:rsidP="00C97B41">
      <w:pPr>
        <w:pStyle w:val="Heading1"/>
        <w:spacing w:before="0" w:after="200" w:line="360" w:lineRule="auto"/>
        <w:jc w:val="both"/>
        <w:rPr>
          <w:rFonts w:ascii="Arial" w:eastAsia="Arial" w:hAnsi="Arial" w:cs="Arial"/>
          <w:color w:val="auto"/>
          <w:sz w:val="22"/>
          <w:szCs w:val="22"/>
        </w:rPr>
      </w:pPr>
      <w:r w:rsidRPr="003F1846">
        <w:rPr>
          <w:rFonts w:ascii="Arial" w:eastAsia="Arial" w:hAnsi="Arial" w:cs="Arial"/>
          <w:b/>
          <w:bCs/>
          <w:color w:val="auto"/>
          <w:sz w:val="22"/>
          <w:szCs w:val="22"/>
        </w:rPr>
        <w:t>Results</w:t>
      </w:r>
    </w:p>
    <w:p w14:paraId="24CF1CC4" w14:textId="6596D244" w:rsidR="00260F16" w:rsidRPr="003F1846" w:rsidRDefault="789BB7BA" w:rsidP="00C97B41">
      <w:pPr>
        <w:pStyle w:val="Heading2"/>
        <w:spacing w:before="0" w:after="200" w:line="360" w:lineRule="auto"/>
        <w:jc w:val="both"/>
        <w:rPr>
          <w:rFonts w:ascii="Arial" w:eastAsia="Arial" w:hAnsi="Arial" w:cs="Arial"/>
          <w:i/>
          <w:iCs/>
          <w:color w:val="auto"/>
          <w:sz w:val="22"/>
          <w:szCs w:val="22"/>
        </w:rPr>
      </w:pPr>
      <w:bookmarkStart w:id="10" w:name="_Hlk157431464"/>
      <w:r w:rsidRPr="003F1846">
        <w:rPr>
          <w:rFonts w:ascii="Arial" w:eastAsia="Arial" w:hAnsi="Arial" w:cs="Arial"/>
          <w:i/>
          <w:iCs/>
          <w:color w:val="auto"/>
          <w:sz w:val="22"/>
          <w:szCs w:val="22"/>
        </w:rPr>
        <w:t>Descriptive statistics</w:t>
      </w:r>
    </w:p>
    <w:bookmarkEnd w:id="10"/>
    <w:p w14:paraId="2E078624" w14:textId="0E71C61A" w:rsidR="3A476F7B" w:rsidRPr="003F1846" w:rsidRDefault="15068C0A">
      <w:pPr>
        <w:spacing w:after="200" w:line="360" w:lineRule="auto"/>
        <w:jc w:val="both"/>
        <w:rPr>
          <w:rFonts w:ascii="Arial" w:eastAsia="Arial" w:hAnsi="Arial" w:cs="Arial"/>
        </w:rPr>
      </w:pPr>
      <w:r w:rsidRPr="003F1846">
        <w:rPr>
          <w:rFonts w:ascii="Arial" w:eastAsia="Arial" w:hAnsi="Arial" w:cs="Arial"/>
        </w:rPr>
        <w:t xml:space="preserve">Participant characteristics of the analysis sample are illustrated in Table </w:t>
      </w:r>
      <w:r w:rsidR="00272F37">
        <w:rPr>
          <w:rFonts w:ascii="Arial" w:eastAsia="Arial" w:hAnsi="Arial" w:cs="Arial"/>
        </w:rPr>
        <w:t>1</w:t>
      </w:r>
      <w:r w:rsidRPr="003F1846">
        <w:rPr>
          <w:rFonts w:ascii="Arial" w:eastAsia="Arial" w:hAnsi="Arial" w:cs="Arial"/>
        </w:rPr>
        <w:t>. M</w:t>
      </w:r>
      <w:r w:rsidR="1F4023B6" w:rsidRPr="003F1846">
        <w:rPr>
          <w:rFonts w:ascii="Arial" w:eastAsia="Arial" w:hAnsi="Arial" w:cs="Arial"/>
        </w:rPr>
        <w:t xml:space="preserve">ean (SD) age of participants </w:t>
      </w:r>
      <w:r w:rsidR="00C07125" w:rsidRPr="003F1846">
        <w:rPr>
          <w:rFonts w:ascii="Arial" w:eastAsia="Arial" w:hAnsi="Arial" w:cs="Arial"/>
        </w:rPr>
        <w:t xml:space="preserve">at baseline </w:t>
      </w:r>
      <w:r w:rsidR="1F4023B6" w:rsidRPr="003F1846">
        <w:rPr>
          <w:rFonts w:ascii="Arial" w:eastAsia="Arial" w:hAnsi="Arial" w:cs="Arial"/>
        </w:rPr>
        <w:t xml:space="preserve">was </w:t>
      </w:r>
      <w:r w:rsidR="00C07125" w:rsidRPr="003F1846">
        <w:rPr>
          <w:rFonts w:ascii="Arial" w:eastAsia="Arial" w:hAnsi="Arial" w:cs="Arial"/>
        </w:rPr>
        <w:t>65.7 (2.9) and 66.6 (2.7) years among men and women respectively</w:t>
      </w:r>
      <w:r w:rsidR="59B806F9" w:rsidRPr="003F1846">
        <w:rPr>
          <w:rFonts w:ascii="Arial" w:eastAsia="Arial" w:hAnsi="Arial" w:cs="Arial"/>
        </w:rPr>
        <w:t>.</w:t>
      </w:r>
      <w:r w:rsidR="1F4023B6" w:rsidRPr="003F1846">
        <w:rPr>
          <w:rFonts w:ascii="Arial" w:eastAsia="Arial" w:hAnsi="Arial" w:cs="Arial"/>
        </w:rPr>
        <w:t xml:space="preserve"> </w:t>
      </w:r>
      <w:r w:rsidR="0C0BC69B" w:rsidRPr="003F1846">
        <w:rPr>
          <w:rFonts w:ascii="Arial" w:eastAsia="Arial" w:hAnsi="Arial" w:cs="Arial"/>
        </w:rPr>
        <w:t xml:space="preserve">Overall, </w:t>
      </w:r>
      <w:r w:rsidR="1F4023B6" w:rsidRPr="003F1846">
        <w:rPr>
          <w:rFonts w:ascii="Arial" w:eastAsia="Arial" w:hAnsi="Arial" w:cs="Arial"/>
        </w:rPr>
        <w:t xml:space="preserve">14% of men and 27% of women were </w:t>
      </w:r>
      <w:r w:rsidR="00C07125" w:rsidRPr="003F1846">
        <w:rPr>
          <w:rFonts w:ascii="Arial" w:eastAsia="Arial" w:hAnsi="Arial" w:cs="Arial"/>
        </w:rPr>
        <w:t>not married or cohabiting at baseline (were either single, divorced, separated</w:t>
      </w:r>
      <w:r w:rsidR="00952457">
        <w:rPr>
          <w:rFonts w:ascii="Arial" w:eastAsia="Arial" w:hAnsi="Arial" w:cs="Arial"/>
        </w:rPr>
        <w:t>,</w:t>
      </w:r>
      <w:r w:rsidR="00C07125" w:rsidRPr="003F1846">
        <w:rPr>
          <w:rFonts w:ascii="Arial" w:eastAsia="Arial" w:hAnsi="Arial" w:cs="Arial"/>
        </w:rPr>
        <w:t xml:space="preserve"> or widowed).</w:t>
      </w:r>
      <w:r w:rsidR="002D665C">
        <w:rPr>
          <w:rFonts w:ascii="Arial" w:eastAsia="Arial" w:hAnsi="Arial" w:cs="Arial"/>
        </w:rPr>
        <w:t xml:space="preserve"> </w:t>
      </w:r>
      <w:bookmarkStart w:id="11" w:name="_Hlk157432871"/>
      <w:bookmarkStart w:id="12" w:name="_Hlk157432091"/>
      <w:r w:rsidR="002D665C" w:rsidRPr="002D665C">
        <w:rPr>
          <w:rFonts w:ascii="Arial" w:eastAsia="Arial" w:hAnsi="Arial" w:cs="Arial"/>
        </w:rPr>
        <w:t xml:space="preserve">Mean (SD) follow-up </w:t>
      </w:r>
      <w:r w:rsidR="000F6FC8">
        <w:rPr>
          <w:rFonts w:ascii="Arial" w:eastAsia="Arial" w:hAnsi="Arial" w:cs="Arial"/>
        </w:rPr>
        <w:t>duration</w:t>
      </w:r>
      <w:r w:rsidR="002D665C" w:rsidRPr="002D665C">
        <w:rPr>
          <w:rFonts w:ascii="Arial" w:eastAsia="Arial" w:hAnsi="Arial" w:cs="Arial"/>
        </w:rPr>
        <w:t xml:space="preserve"> until the </w:t>
      </w:r>
      <w:r w:rsidR="002D665C">
        <w:rPr>
          <w:rFonts w:ascii="Arial" w:eastAsia="Arial" w:hAnsi="Arial" w:cs="Arial"/>
        </w:rPr>
        <w:t>‘any fracture’</w:t>
      </w:r>
      <w:r w:rsidR="002D665C" w:rsidRPr="002D665C">
        <w:rPr>
          <w:rFonts w:ascii="Arial" w:eastAsia="Arial" w:hAnsi="Arial" w:cs="Arial"/>
        </w:rPr>
        <w:t xml:space="preserve"> event or until participants were censored was </w:t>
      </w:r>
      <w:r w:rsidR="00AA4739" w:rsidRPr="00AA4739">
        <w:rPr>
          <w:rFonts w:ascii="Arial" w:eastAsia="Arial" w:hAnsi="Arial" w:cs="Arial"/>
        </w:rPr>
        <w:t>14.4 (4.5)</w:t>
      </w:r>
      <w:r w:rsidR="002D665C" w:rsidRPr="002D665C">
        <w:rPr>
          <w:rFonts w:ascii="Arial" w:eastAsia="Arial" w:hAnsi="Arial" w:cs="Arial"/>
        </w:rPr>
        <w:t xml:space="preserve"> years</w:t>
      </w:r>
      <w:bookmarkEnd w:id="11"/>
      <w:r w:rsidR="00D175CB">
        <w:rPr>
          <w:rFonts w:ascii="Arial" w:eastAsia="Arial" w:hAnsi="Arial" w:cs="Arial"/>
        </w:rPr>
        <w:t>.</w:t>
      </w:r>
      <w:bookmarkEnd w:id="12"/>
      <w:r w:rsidR="00D175CB">
        <w:rPr>
          <w:rFonts w:ascii="Arial" w:eastAsia="Arial" w:hAnsi="Arial" w:cs="Arial"/>
        </w:rPr>
        <w:t xml:space="preserve"> </w:t>
      </w:r>
      <w:r w:rsidR="00C07125" w:rsidRPr="003F1846">
        <w:rPr>
          <w:rFonts w:ascii="Arial" w:eastAsia="Arial" w:hAnsi="Arial" w:cs="Arial"/>
        </w:rPr>
        <w:t>Over the</w:t>
      </w:r>
      <w:r w:rsidR="1F4023B6" w:rsidRPr="003F1846">
        <w:rPr>
          <w:rFonts w:ascii="Arial" w:eastAsia="Arial" w:hAnsi="Arial" w:cs="Arial"/>
        </w:rPr>
        <w:t xml:space="preserve"> follow-up</w:t>
      </w:r>
      <w:r w:rsidR="00C07125" w:rsidRPr="003F1846">
        <w:rPr>
          <w:rFonts w:ascii="Arial" w:eastAsia="Arial" w:hAnsi="Arial" w:cs="Arial"/>
        </w:rPr>
        <w:t xml:space="preserve"> period</w:t>
      </w:r>
      <w:r w:rsidR="1F4023B6" w:rsidRPr="003F1846">
        <w:rPr>
          <w:rFonts w:ascii="Arial" w:eastAsia="Arial" w:hAnsi="Arial" w:cs="Arial"/>
        </w:rPr>
        <w:t xml:space="preserve">, </w:t>
      </w:r>
      <w:r w:rsidR="538E2B37" w:rsidRPr="003F1846">
        <w:rPr>
          <w:rFonts w:ascii="Arial" w:eastAsia="Arial" w:hAnsi="Arial" w:cs="Arial"/>
        </w:rPr>
        <w:t>22</w:t>
      </w:r>
      <w:r w:rsidR="1F4023B6" w:rsidRPr="003F1846">
        <w:rPr>
          <w:rFonts w:ascii="Arial" w:eastAsia="Arial" w:hAnsi="Arial" w:cs="Arial"/>
        </w:rPr>
        <w:t xml:space="preserve">% </w:t>
      </w:r>
      <w:r w:rsidR="164DB732" w:rsidRPr="003F1846">
        <w:rPr>
          <w:rFonts w:ascii="Arial" w:eastAsia="Arial" w:hAnsi="Arial" w:cs="Arial"/>
        </w:rPr>
        <w:t xml:space="preserve">of </w:t>
      </w:r>
      <w:r w:rsidR="1F4023B6" w:rsidRPr="003F1846">
        <w:rPr>
          <w:rFonts w:ascii="Arial" w:eastAsia="Arial" w:hAnsi="Arial" w:cs="Arial"/>
        </w:rPr>
        <w:t xml:space="preserve">women sustained a fracture, including 5% who sustained a hip fracture; corresponding figures in men were </w:t>
      </w:r>
      <w:r w:rsidR="38FF78E4" w:rsidRPr="003F1846">
        <w:rPr>
          <w:rFonts w:ascii="Arial" w:eastAsia="Arial" w:hAnsi="Arial" w:cs="Arial"/>
        </w:rPr>
        <w:t>9</w:t>
      </w:r>
      <w:r w:rsidR="1F4023B6" w:rsidRPr="003F1846">
        <w:rPr>
          <w:rFonts w:ascii="Arial" w:eastAsia="Arial" w:hAnsi="Arial" w:cs="Arial"/>
        </w:rPr>
        <w:t>% and 2%.</w:t>
      </w:r>
      <w:bookmarkStart w:id="13" w:name="_Hlk157507497"/>
      <w:r w:rsidR="00965874">
        <w:rPr>
          <w:rFonts w:ascii="Arial" w:eastAsia="Arial" w:hAnsi="Arial" w:cs="Arial"/>
        </w:rPr>
        <w:t xml:space="preserve"> </w:t>
      </w:r>
      <w:bookmarkStart w:id="14" w:name="_Hlk157431879"/>
      <w:r w:rsidR="00965874">
        <w:rPr>
          <w:rFonts w:ascii="Arial" w:eastAsia="Arial" w:hAnsi="Arial" w:cs="Arial"/>
        </w:rPr>
        <w:t xml:space="preserve">Of those who experienced fractures during follow-up, </w:t>
      </w:r>
      <w:r w:rsidR="00AA4739">
        <w:rPr>
          <w:rFonts w:ascii="Arial" w:eastAsia="Arial" w:hAnsi="Arial" w:cs="Arial"/>
        </w:rPr>
        <w:t>around 55</w:t>
      </w:r>
      <w:r w:rsidR="00965874">
        <w:rPr>
          <w:rFonts w:ascii="Arial" w:eastAsia="Arial" w:hAnsi="Arial" w:cs="Arial"/>
        </w:rPr>
        <w:t>% o</w:t>
      </w:r>
      <w:r w:rsidR="00AA4739">
        <w:rPr>
          <w:rFonts w:ascii="Arial" w:eastAsia="Arial" w:hAnsi="Arial" w:cs="Arial"/>
        </w:rPr>
        <w:t xml:space="preserve">f men and women </w:t>
      </w:r>
      <w:r w:rsidR="00965874">
        <w:rPr>
          <w:rFonts w:ascii="Arial" w:eastAsia="Arial" w:hAnsi="Arial" w:cs="Arial"/>
        </w:rPr>
        <w:t xml:space="preserve">had fractures with the following ICD-10 codes which are common locations of major osteoporotic fractures: </w:t>
      </w:r>
      <w:r w:rsidR="00965874" w:rsidRPr="00965874">
        <w:rPr>
          <w:rFonts w:ascii="Arial" w:eastAsia="Arial" w:hAnsi="Arial" w:cs="Arial"/>
        </w:rPr>
        <w:t>S32 (</w:t>
      </w:r>
      <w:r w:rsidR="00965874">
        <w:rPr>
          <w:rFonts w:ascii="Arial" w:eastAsia="Arial" w:hAnsi="Arial" w:cs="Arial"/>
        </w:rPr>
        <w:t>f</w:t>
      </w:r>
      <w:r w:rsidR="00965874" w:rsidRPr="00965874">
        <w:rPr>
          <w:rFonts w:ascii="Arial" w:eastAsia="Arial" w:hAnsi="Arial" w:cs="Arial"/>
        </w:rPr>
        <w:t>racture of lumbar spine and pelvis); S42 (</w:t>
      </w:r>
      <w:r w:rsidR="00965874">
        <w:rPr>
          <w:rFonts w:ascii="Arial" w:eastAsia="Arial" w:hAnsi="Arial" w:cs="Arial"/>
        </w:rPr>
        <w:t>f</w:t>
      </w:r>
      <w:r w:rsidR="00965874" w:rsidRPr="00965874">
        <w:rPr>
          <w:rFonts w:ascii="Arial" w:eastAsia="Arial" w:hAnsi="Arial" w:cs="Arial"/>
        </w:rPr>
        <w:t>racture of shoulder and upper arm); S52 (</w:t>
      </w:r>
      <w:r w:rsidR="00965874">
        <w:rPr>
          <w:rFonts w:ascii="Arial" w:eastAsia="Arial" w:hAnsi="Arial" w:cs="Arial"/>
        </w:rPr>
        <w:t>f</w:t>
      </w:r>
      <w:r w:rsidR="00965874" w:rsidRPr="00965874">
        <w:rPr>
          <w:rFonts w:ascii="Arial" w:eastAsia="Arial" w:hAnsi="Arial" w:cs="Arial"/>
        </w:rPr>
        <w:t>racture of forearm); S62 (</w:t>
      </w:r>
      <w:r w:rsidR="00965874">
        <w:rPr>
          <w:rFonts w:ascii="Arial" w:eastAsia="Arial" w:hAnsi="Arial" w:cs="Arial"/>
        </w:rPr>
        <w:t>f</w:t>
      </w:r>
      <w:r w:rsidR="00965874" w:rsidRPr="00965874">
        <w:rPr>
          <w:rFonts w:ascii="Arial" w:eastAsia="Arial" w:hAnsi="Arial" w:cs="Arial"/>
        </w:rPr>
        <w:t>racture at wrist and hand level); S72 (</w:t>
      </w:r>
      <w:r w:rsidR="00965874">
        <w:rPr>
          <w:rFonts w:ascii="Arial" w:eastAsia="Arial" w:hAnsi="Arial" w:cs="Arial"/>
        </w:rPr>
        <w:t>f</w:t>
      </w:r>
      <w:r w:rsidR="00965874" w:rsidRPr="00965874">
        <w:rPr>
          <w:rFonts w:ascii="Arial" w:eastAsia="Arial" w:hAnsi="Arial" w:cs="Arial"/>
        </w:rPr>
        <w:t xml:space="preserve">racture of femur); </w:t>
      </w:r>
      <w:r w:rsidR="000F6FC8">
        <w:rPr>
          <w:rFonts w:ascii="Arial" w:eastAsia="Arial" w:hAnsi="Arial" w:cs="Arial"/>
        </w:rPr>
        <w:t>or</w:t>
      </w:r>
      <w:r w:rsidR="00AA4739">
        <w:rPr>
          <w:rFonts w:ascii="Arial" w:eastAsia="Arial" w:hAnsi="Arial" w:cs="Arial"/>
        </w:rPr>
        <w:t xml:space="preserve"> </w:t>
      </w:r>
      <w:r w:rsidR="00965874" w:rsidRPr="00965874">
        <w:rPr>
          <w:rFonts w:ascii="Arial" w:eastAsia="Arial" w:hAnsi="Arial" w:cs="Arial"/>
        </w:rPr>
        <w:t>T08 (</w:t>
      </w:r>
      <w:r w:rsidR="00965874">
        <w:rPr>
          <w:rFonts w:ascii="Arial" w:eastAsia="Arial" w:hAnsi="Arial" w:cs="Arial"/>
        </w:rPr>
        <w:t>f</w:t>
      </w:r>
      <w:r w:rsidR="00965874" w:rsidRPr="00965874">
        <w:rPr>
          <w:rFonts w:ascii="Arial" w:eastAsia="Arial" w:hAnsi="Arial" w:cs="Arial"/>
        </w:rPr>
        <w:t>racture of spine, level unspecified).</w:t>
      </w:r>
      <w:bookmarkEnd w:id="13"/>
      <w:bookmarkEnd w:id="14"/>
    </w:p>
    <w:p w14:paraId="4110CE1B" w14:textId="77777777" w:rsidR="00595846" w:rsidRPr="003F1846" w:rsidRDefault="00595846">
      <w:pPr>
        <w:spacing w:after="200" w:line="360" w:lineRule="auto"/>
        <w:jc w:val="both"/>
        <w:rPr>
          <w:rFonts w:ascii="Arial" w:eastAsia="Arial" w:hAnsi="Arial" w:cs="Arial"/>
        </w:rPr>
      </w:pPr>
    </w:p>
    <w:p w14:paraId="097F88FF" w14:textId="7F25DA37" w:rsidR="00595846" w:rsidRPr="003F1846" w:rsidRDefault="000130D6">
      <w:pPr>
        <w:spacing w:after="200" w:line="360" w:lineRule="auto"/>
        <w:jc w:val="both"/>
        <w:rPr>
          <w:rFonts w:ascii="Arial" w:eastAsia="Arial" w:hAnsi="Arial" w:cs="Arial"/>
          <w:i/>
          <w:iCs/>
        </w:rPr>
      </w:pPr>
      <w:r w:rsidRPr="003F1846">
        <w:rPr>
          <w:rFonts w:ascii="Arial" w:eastAsia="Arial" w:hAnsi="Arial" w:cs="Arial"/>
          <w:i/>
          <w:iCs/>
        </w:rPr>
        <w:t>Associations between baseline participant characteristics and relationship status</w:t>
      </w:r>
    </w:p>
    <w:p w14:paraId="225243B2" w14:textId="4F5E4E04" w:rsidR="00595846" w:rsidRPr="003F1846" w:rsidRDefault="00595846">
      <w:pPr>
        <w:spacing w:after="200" w:line="360" w:lineRule="auto"/>
        <w:jc w:val="both"/>
        <w:rPr>
          <w:rFonts w:ascii="Arial" w:eastAsia="Arial" w:hAnsi="Arial" w:cs="Arial"/>
        </w:rPr>
      </w:pPr>
      <w:r w:rsidRPr="003F1846">
        <w:rPr>
          <w:rFonts w:ascii="Arial" w:eastAsia="Arial" w:hAnsi="Arial" w:cs="Arial"/>
        </w:rPr>
        <w:t xml:space="preserve">Univariate cross-sectional associations between baseline participant characteristics and relationship status are presented in Table </w:t>
      </w:r>
      <w:r w:rsidR="00272F37">
        <w:rPr>
          <w:rFonts w:ascii="Arial" w:eastAsia="Arial" w:hAnsi="Arial" w:cs="Arial"/>
        </w:rPr>
        <w:t>2</w:t>
      </w:r>
      <w:r w:rsidRPr="003F1846">
        <w:rPr>
          <w:rFonts w:ascii="Arial" w:eastAsia="Arial" w:hAnsi="Arial" w:cs="Arial"/>
        </w:rPr>
        <w:t xml:space="preserve">. The following characteristics </w:t>
      </w:r>
      <w:r w:rsidR="00012DF1" w:rsidRPr="003F1846">
        <w:rPr>
          <w:rFonts w:ascii="Arial" w:eastAsia="Arial" w:hAnsi="Arial" w:cs="Arial"/>
        </w:rPr>
        <w:t xml:space="preserve">were related to greater likelihood of not </w:t>
      </w:r>
      <w:r w:rsidR="00C07125" w:rsidRPr="003F1846">
        <w:rPr>
          <w:rFonts w:ascii="Arial" w:eastAsia="Arial" w:hAnsi="Arial" w:cs="Arial"/>
        </w:rPr>
        <w:t>being married or cohabiting at baseline</w:t>
      </w:r>
      <w:r w:rsidR="00012DF1" w:rsidRPr="003F1846">
        <w:rPr>
          <w:rFonts w:ascii="Arial" w:eastAsia="Arial" w:hAnsi="Arial" w:cs="Arial"/>
        </w:rPr>
        <w:t xml:space="preserve">: </w:t>
      </w:r>
      <w:bookmarkStart w:id="15" w:name="_Hlk148425496"/>
      <w:r w:rsidR="00012DF1" w:rsidRPr="003F1846">
        <w:rPr>
          <w:rFonts w:ascii="Arial" w:eastAsia="Arial" w:hAnsi="Arial" w:cs="Arial"/>
        </w:rPr>
        <w:t>older age (women only); higher BMI (women only); current smoking; high alcohol consumption (men only); poorer diet quality (men only);</w:t>
      </w:r>
      <w:r w:rsidR="00700D0F" w:rsidRPr="003F1846">
        <w:rPr>
          <w:rFonts w:ascii="Arial" w:eastAsia="Arial" w:hAnsi="Arial" w:cs="Arial"/>
        </w:rPr>
        <w:t xml:space="preserve"> lower physical activity; leaving school before age 15 (women only); and not owner-occupying </w:t>
      </w:r>
      <w:r w:rsidR="00116FDE" w:rsidRPr="003F1846">
        <w:rPr>
          <w:rFonts w:ascii="Arial" w:eastAsia="Arial" w:hAnsi="Arial" w:cs="Arial"/>
        </w:rPr>
        <w:t>one’s home.</w:t>
      </w:r>
      <w:r w:rsidR="00012DF1" w:rsidRPr="003F1846">
        <w:rPr>
          <w:rFonts w:ascii="Arial" w:eastAsia="Arial" w:hAnsi="Arial" w:cs="Arial"/>
        </w:rPr>
        <w:t xml:space="preserve"> </w:t>
      </w:r>
      <w:bookmarkEnd w:id="15"/>
    </w:p>
    <w:p w14:paraId="4E2CF8D4" w14:textId="63E0757A" w:rsidR="799A98EA" w:rsidRPr="003F1846" w:rsidRDefault="799A98EA">
      <w:pPr>
        <w:spacing w:after="200" w:line="360" w:lineRule="auto"/>
        <w:jc w:val="both"/>
        <w:rPr>
          <w:rFonts w:ascii="Arial" w:eastAsia="Arial" w:hAnsi="Arial" w:cs="Arial"/>
        </w:rPr>
      </w:pPr>
    </w:p>
    <w:p w14:paraId="15A50291" w14:textId="6F536C3C" w:rsidR="00260F16" w:rsidRPr="003F1846" w:rsidRDefault="41C248C6">
      <w:pPr>
        <w:spacing w:after="200" w:line="360" w:lineRule="auto"/>
        <w:jc w:val="both"/>
        <w:rPr>
          <w:rFonts w:ascii="Arial" w:eastAsia="Arial" w:hAnsi="Arial" w:cs="Arial"/>
          <w:i/>
          <w:iCs/>
        </w:rPr>
      </w:pPr>
      <w:r w:rsidRPr="003F1846">
        <w:rPr>
          <w:rFonts w:ascii="Arial" w:eastAsia="Arial" w:hAnsi="Arial" w:cs="Arial"/>
          <w:i/>
          <w:iCs/>
        </w:rPr>
        <w:t xml:space="preserve">Associations between </w:t>
      </w:r>
      <w:r w:rsidR="00426290" w:rsidRPr="003F1846">
        <w:rPr>
          <w:rFonts w:ascii="Arial" w:eastAsia="Arial" w:hAnsi="Arial" w:cs="Arial"/>
          <w:i/>
          <w:iCs/>
        </w:rPr>
        <w:t>relationship status</w:t>
      </w:r>
      <w:r w:rsidRPr="003F1846">
        <w:rPr>
          <w:rFonts w:ascii="Arial" w:eastAsia="Arial" w:hAnsi="Arial" w:cs="Arial"/>
          <w:i/>
          <w:iCs/>
        </w:rPr>
        <w:t xml:space="preserve"> and incident fracture outcomes</w:t>
      </w:r>
    </w:p>
    <w:p w14:paraId="571B7417" w14:textId="0F01C731" w:rsidR="00B337CE" w:rsidRPr="003F1846" w:rsidRDefault="00426290">
      <w:pPr>
        <w:spacing w:after="200" w:line="360" w:lineRule="auto"/>
        <w:jc w:val="both"/>
        <w:rPr>
          <w:rFonts w:ascii="Arial" w:eastAsia="Arial" w:hAnsi="Arial" w:cs="Arial"/>
        </w:rPr>
      </w:pPr>
      <w:r w:rsidRPr="003F1846">
        <w:rPr>
          <w:rFonts w:ascii="Arial" w:eastAsia="Arial" w:hAnsi="Arial" w:cs="Arial"/>
        </w:rPr>
        <w:t xml:space="preserve">Associations between relationship status and risk of incident fracture are presented in Table </w:t>
      </w:r>
      <w:r w:rsidR="00272F37">
        <w:rPr>
          <w:rFonts w:ascii="Arial" w:eastAsia="Arial" w:hAnsi="Arial" w:cs="Arial"/>
        </w:rPr>
        <w:t>3</w:t>
      </w:r>
      <w:r w:rsidRPr="003F1846">
        <w:rPr>
          <w:rFonts w:ascii="Arial" w:eastAsia="Arial" w:hAnsi="Arial" w:cs="Arial"/>
        </w:rPr>
        <w:t xml:space="preserve">. Among men and women, those who were not married or cohabiting at baseline had greater risk of incident fracture compared to those who were after adjustment for age (hazard ratios (95% CI): 1.58 (1.06,2.38) among men, 1.35 (1.06,1.72) among women). However, these associations were attenuated among both sexes (p=0.078 among men, p=0.079 among </w:t>
      </w:r>
      <w:r w:rsidRPr="003F1846">
        <w:rPr>
          <w:rFonts w:ascii="Arial" w:eastAsia="Arial" w:hAnsi="Arial" w:cs="Arial"/>
        </w:rPr>
        <w:lastRenderedPageBreak/>
        <w:t xml:space="preserve">women) after adjustment for the participant characteristics that were associated with relationship status </w:t>
      </w:r>
      <w:r w:rsidR="000130D6" w:rsidRPr="003F1846">
        <w:rPr>
          <w:rFonts w:ascii="Arial" w:eastAsia="Arial" w:hAnsi="Arial" w:cs="Arial"/>
        </w:rPr>
        <w:t xml:space="preserve">in </w:t>
      </w:r>
      <w:r w:rsidRPr="003F1846">
        <w:rPr>
          <w:rFonts w:ascii="Arial" w:eastAsia="Arial" w:hAnsi="Arial" w:cs="Arial"/>
        </w:rPr>
        <w:t xml:space="preserve">Table </w:t>
      </w:r>
      <w:r w:rsidR="00272F37">
        <w:rPr>
          <w:rFonts w:ascii="Arial" w:eastAsia="Arial" w:hAnsi="Arial" w:cs="Arial"/>
        </w:rPr>
        <w:t>2</w:t>
      </w:r>
      <w:r w:rsidRPr="003F1846">
        <w:rPr>
          <w:rFonts w:ascii="Arial" w:eastAsia="Arial" w:hAnsi="Arial" w:cs="Arial"/>
        </w:rPr>
        <w:t>.</w:t>
      </w:r>
    </w:p>
    <w:p w14:paraId="6935EC54" w14:textId="221924CB" w:rsidR="00426290" w:rsidRPr="003F1846" w:rsidRDefault="00426290">
      <w:pPr>
        <w:spacing w:after="200" w:line="360" w:lineRule="auto"/>
        <w:jc w:val="both"/>
        <w:rPr>
          <w:rFonts w:ascii="Arial" w:eastAsia="Arial" w:hAnsi="Arial" w:cs="Arial"/>
        </w:rPr>
      </w:pPr>
      <w:r w:rsidRPr="003F1846">
        <w:rPr>
          <w:rFonts w:ascii="Arial" w:eastAsia="Arial" w:hAnsi="Arial" w:cs="Arial"/>
        </w:rPr>
        <w:t xml:space="preserve">Associations between relationship status and risk of incident hip fracture were weak among women </w:t>
      </w:r>
      <w:r w:rsidR="00CF3A40">
        <w:rPr>
          <w:rFonts w:ascii="Arial" w:eastAsia="Arial" w:hAnsi="Arial" w:cs="Arial"/>
        </w:rPr>
        <w:t>after adjustment for age and in fully adjusted</w:t>
      </w:r>
      <w:r w:rsidRPr="003F1846">
        <w:rPr>
          <w:rFonts w:ascii="Arial" w:eastAsia="Arial" w:hAnsi="Arial" w:cs="Arial"/>
        </w:rPr>
        <w:t xml:space="preserve"> analysis. Stronger associations were observed among men between not being married or cohabiting</w:t>
      </w:r>
      <w:r w:rsidR="000130D6" w:rsidRPr="003F1846">
        <w:rPr>
          <w:rFonts w:ascii="Arial" w:eastAsia="Arial" w:hAnsi="Arial" w:cs="Arial"/>
        </w:rPr>
        <w:t xml:space="preserve"> </w:t>
      </w:r>
      <w:r w:rsidRPr="003F1846">
        <w:rPr>
          <w:rFonts w:ascii="Arial" w:eastAsia="Arial" w:hAnsi="Arial" w:cs="Arial"/>
        </w:rPr>
        <w:t>and increased risk of hip fracture (2.07 (0.98,4.39)</w:t>
      </w:r>
      <w:r w:rsidR="0051016F">
        <w:rPr>
          <w:rFonts w:ascii="Arial" w:eastAsia="Arial" w:hAnsi="Arial" w:cs="Arial"/>
        </w:rPr>
        <w:t xml:space="preserve"> after adjustment for age</w:t>
      </w:r>
      <w:r w:rsidRPr="003F1846">
        <w:rPr>
          <w:rFonts w:ascii="Arial" w:eastAsia="Arial" w:hAnsi="Arial" w:cs="Arial"/>
        </w:rPr>
        <w:t xml:space="preserve">, p=0.057); this association was attenuated in </w:t>
      </w:r>
      <w:r w:rsidR="00CF3A40">
        <w:rPr>
          <w:rFonts w:ascii="Arial" w:eastAsia="Arial" w:hAnsi="Arial" w:cs="Arial"/>
        </w:rPr>
        <w:t>fully adjusted</w:t>
      </w:r>
      <w:r w:rsidRPr="003F1846">
        <w:rPr>
          <w:rFonts w:ascii="Arial" w:eastAsia="Arial" w:hAnsi="Arial" w:cs="Arial"/>
        </w:rPr>
        <w:t xml:space="preserve"> analysis (p=0.095).</w:t>
      </w:r>
    </w:p>
    <w:p w14:paraId="1B3089E0" w14:textId="0A4DE424" w:rsidR="00426290" w:rsidRPr="003F1846" w:rsidRDefault="00426290">
      <w:pPr>
        <w:spacing w:after="200" w:line="360" w:lineRule="auto"/>
        <w:jc w:val="both"/>
        <w:rPr>
          <w:rFonts w:ascii="Arial" w:eastAsia="Arial" w:hAnsi="Arial" w:cs="Arial"/>
        </w:rPr>
      </w:pPr>
      <w:r w:rsidRPr="003F1846">
        <w:rPr>
          <w:rFonts w:ascii="Arial" w:eastAsia="Arial" w:hAnsi="Arial" w:cs="Arial"/>
        </w:rPr>
        <w:t xml:space="preserve"> </w:t>
      </w:r>
    </w:p>
    <w:p w14:paraId="6DB98C6A" w14:textId="6D55D651" w:rsidR="784219F2" w:rsidRPr="00CA2336" w:rsidRDefault="784219F2">
      <w:pPr>
        <w:spacing w:after="200" w:line="360" w:lineRule="auto"/>
        <w:jc w:val="both"/>
      </w:pPr>
      <w:r w:rsidRPr="003F1846">
        <w:rPr>
          <w:rFonts w:ascii="Arial" w:eastAsia="Arial" w:hAnsi="Arial" w:cs="Arial"/>
          <w:i/>
          <w:iCs/>
        </w:rPr>
        <w:t>Sensitivity analyses</w:t>
      </w:r>
    </w:p>
    <w:p w14:paraId="2B639D5A" w14:textId="52435620" w:rsidR="00D71210" w:rsidRPr="003F1846" w:rsidRDefault="00D71210">
      <w:pPr>
        <w:spacing w:after="200" w:line="360" w:lineRule="auto"/>
        <w:jc w:val="both"/>
        <w:rPr>
          <w:rFonts w:ascii="Arial" w:eastAsia="Arial" w:hAnsi="Arial" w:cs="Arial"/>
        </w:rPr>
      </w:pPr>
      <w:r w:rsidRPr="003F1846">
        <w:rPr>
          <w:rFonts w:ascii="Arial" w:eastAsia="Arial" w:hAnsi="Arial" w:cs="Arial"/>
        </w:rPr>
        <w:t>Associations were attenuated in competing risk analyses compared to associations estimated using Cox regression</w:t>
      </w:r>
      <w:r w:rsidR="006C7FA4" w:rsidRPr="003F1846">
        <w:rPr>
          <w:rFonts w:ascii="Arial" w:eastAsia="Arial" w:hAnsi="Arial" w:cs="Arial"/>
        </w:rPr>
        <w:t xml:space="preserve"> (</w:t>
      </w:r>
      <w:r w:rsidR="00AE7254">
        <w:rPr>
          <w:rFonts w:ascii="Arial" w:eastAsia="Arial" w:hAnsi="Arial" w:cs="Arial"/>
        </w:rPr>
        <w:t>e</w:t>
      </w:r>
      <w:r w:rsidR="006C7FA4" w:rsidRPr="003F1846">
        <w:rPr>
          <w:rFonts w:ascii="Arial" w:eastAsia="Arial" w:hAnsi="Arial" w:cs="Arial"/>
        </w:rPr>
        <w:t xml:space="preserve">Table </w:t>
      </w:r>
      <w:r w:rsidR="00272F37">
        <w:rPr>
          <w:rFonts w:ascii="Arial" w:eastAsia="Arial" w:hAnsi="Arial" w:cs="Arial"/>
        </w:rPr>
        <w:t>2</w:t>
      </w:r>
      <w:r w:rsidR="00AE7254">
        <w:rPr>
          <w:rFonts w:ascii="Arial" w:eastAsia="Arial" w:hAnsi="Arial" w:cs="Arial"/>
        </w:rPr>
        <w:t>, Online Resource</w:t>
      </w:r>
      <w:r w:rsidR="006C7FA4" w:rsidRPr="003F1846">
        <w:rPr>
          <w:rFonts w:ascii="Arial" w:eastAsia="Arial" w:hAnsi="Arial" w:cs="Arial"/>
        </w:rPr>
        <w:t>)</w:t>
      </w:r>
      <w:r w:rsidRPr="003F1846">
        <w:rPr>
          <w:rFonts w:ascii="Arial" w:eastAsia="Arial" w:hAnsi="Arial" w:cs="Arial"/>
        </w:rPr>
        <w:t>. However, similar effect sizes were observed from the two techniques and the direction of associations was the same.</w:t>
      </w:r>
    </w:p>
    <w:p w14:paraId="2E9A4C3E" w14:textId="7894E31C" w:rsidR="00260F16" w:rsidRPr="003F1846" w:rsidRDefault="00260F16">
      <w:pPr>
        <w:spacing w:after="200" w:line="360" w:lineRule="auto"/>
        <w:jc w:val="both"/>
        <w:rPr>
          <w:rFonts w:ascii="Arial" w:eastAsia="Arial" w:hAnsi="Arial" w:cs="Arial"/>
        </w:rPr>
      </w:pPr>
    </w:p>
    <w:p w14:paraId="142CA61E" w14:textId="76FEEACD" w:rsidR="00260F16" w:rsidRPr="003F1846" w:rsidRDefault="789BB7BA">
      <w:pPr>
        <w:pStyle w:val="Heading1"/>
        <w:spacing w:before="0" w:after="200" w:line="360" w:lineRule="auto"/>
        <w:jc w:val="both"/>
        <w:rPr>
          <w:rFonts w:ascii="Arial" w:eastAsia="Arial" w:hAnsi="Arial" w:cs="Arial"/>
          <w:b/>
          <w:bCs/>
          <w:color w:val="auto"/>
          <w:sz w:val="22"/>
          <w:szCs w:val="22"/>
        </w:rPr>
      </w:pPr>
      <w:r w:rsidRPr="003F1846">
        <w:rPr>
          <w:rFonts w:ascii="Arial" w:eastAsia="Arial" w:hAnsi="Arial" w:cs="Arial"/>
          <w:b/>
          <w:bCs/>
          <w:color w:val="auto"/>
          <w:sz w:val="22"/>
          <w:szCs w:val="22"/>
        </w:rPr>
        <w:t>Discussion</w:t>
      </w:r>
    </w:p>
    <w:p w14:paraId="7E087567" w14:textId="297F4F77" w:rsidR="00211961" w:rsidRPr="00211961" w:rsidRDefault="00211961" w:rsidP="00FB37DD">
      <w:pPr>
        <w:spacing w:line="360" w:lineRule="auto"/>
        <w:jc w:val="both"/>
        <w:rPr>
          <w:rFonts w:ascii="Arial" w:hAnsi="Arial" w:cs="Arial"/>
        </w:rPr>
      </w:pPr>
      <w:r w:rsidRPr="00211961">
        <w:rPr>
          <w:rFonts w:ascii="Arial" w:hAnsi="Arial" w:cs="Arial"/>
        </w:rPr>
        <w:t xml:space="preserve">In this study of community-dwelling older people, not being married or cohabiting was associated with increased risk of </w:t>
      </w:r>
      <w:r w:rsidR="009F6FFF">
        <w:rPr>
          <w:rFonts w:ascii="Arial" w:hAnsi="Arial" w:cs="Arial"/>
        </w:rPr>
        <w:t xml:space="preserve">incident </w:t>
      </w:r>
      <w:r w:rsidRPr="00211961">
        <w:rPr>
          <w:rFonts w:ascii="Arial" w:hAnsi="Arial" w:cs="Arial"/>
        </w:rPr>
        <w:t>fracture in both sexes after adjustment for age. However, these associations were attenuated after adjustment for sociodemographic, anthropometric and lifestyle factors that were associated with relationship status. This suggests that differences in these factors between those who were married or cohabiting and those who were not may explain the fracture associations observed. Our results suggest that relationship status is not an independent risk factor for fracture in our cohort, but rather a marker of other factors that influence bone health and fracture risk</w:t>
      </w:r>
      <w:r w:rsidR="00EE2858">
        <w:rPr>
          <w:rFonts w:ascii="Arial" w:hAnsi="Arial" w:cs="Arial"/>
        </w:rPr>
        <w:t xml:space="preserve"> as might be anticipated</w:t>
      </w:r>
      <w:r w:rsidRPr="00211961">
        <w:rPr>
          <w:rFonts w:ascii="Arial" w:hAnsi="Arial" w:cs="Arial"/>
        </w:rPr>
        <w:t>. We also found that participants who were not married or cohabiting had poorer health behaviours and lower socioeconomic position in general compared to those who were.</w:t>
      </w:r>
      <w:r w:rsidR="00EE2858">
        <w:rPr>
          <w:rFonts w:ascii="Arial" w:hAnsi="Arial" w:cs="Arial"/>
        </w:rPr>
        <w:t xml:space="preserve"> </w:t>
      </w:r>
    </w:p>
    <w:p w14:paraId="2BFD69D1" w14:textId="516127C0" w:rsidR="00211961" w:rsidRPr="00211961" w:rsidRDefault="00211961" w:rsidP="00FB37DD">
      <w:pPr>
        <w:spacing w:line="360" w:lineRule="auto"/>
        <w:jc w:val="both"/>
        <w:rPr>
          <w:rFonts w:ascii="Arial" w:hAnsi="Arial" w:cs="Arial"/>
        </w:rPr>
      </w:pPr>
      <w:r w:rsidRPr="00211961">
        <w:rPr>
          <w:rFonts w:ascii="Arial" w:hAnsi="Arial" w:cs="Arial"/>
        </w:rPr>
        <w:t xml:space="preserve">Previous studies have explored associations between relationship status and risk of incident fracture. Among 155,940 participants, aged 60 years and older from seven European and US cohorts, those living alone had greater risk of hip fracture compared to those who were married/cohabiting after accounting for socioeconomic and lifestyle factors and comorbidity history </w:t>
      </w:r>
      <w:r w:rsidR="00DA42D1">
        <w:rPr>
          <w:rFonts w:ascii="Arial" w:hAnsi="Arial" w:cs="Arial"/>
        </w:rPr>
        <w:fldChar w:fldCharType="begin"/>
      </w:r>
      <w:r w:rsidR="00DA42D1">
        <w:rPr>
          <w:rFonts w:ascii="Arial" w:hAnsi="Arial" w:cs="Arial"/>
        </w:rPr>
        <w:instrText xml:space="preserve"> ADDIN EN.CITE &lt;EndNote&gt;&lt;Cite&gt;&lt;Author&gt;Benetou&lt;/Author&gt;&lt;Year&gt;2015&lt;/Year&gt;&lt;RecNum&gt;1540&lt;/RecNum&gt;&lt;DisplayText&gt;[6]&lt;/DisplayText&gt;&lt;record&gt;&lt;rec-number&gt;1540&lt;/rec-number&gt;&lt;foreign-keys&gt;&lt;key app="EN" db-id="pzdf5rvs9wzts6erav6v0rpowttawpd0ztaa" timestamp="1700474711"&gt;1540&lt;/key&gt;&lt;/foreign-keys&gt;&lt;ref-type name="Journal Article"&gt;17&lt;/ref-type&gt;&lt;contributors&gt;&lt;authors&gt;&lt;author&gt;Benetou, V&lt;/author&gt;&lt;author&gt;Orfanos, P&lt;/author&gt;&lt;author&gt;Feskanich, D&lt;/author&gt;&lt;author&gt;Michaëlsson, Karl&lt;/author&gt;&lt;author&gt;Pettersson-Kymmer, Ulrika&lt;/author&gt;&lt;author&gt;Ahmed, L A&lt;/author&gt;&lt;author&gt;Peasey, A&lt;/author&gt;&lt;author&gt;Wolk, A&lt;/author&gt;&lt;author&gt;Brenner, H&lt;/author&gt;&lt;author&gt;Bobak, M&lt;/author&gt;&lt;/authors&gt;&lt;/contributors&gt;&lt;titles&gt;&lt;title&gt;Education, marital status, and risk of hip fractures in older men and women: the CHANCES project&lt;/title&gt;&lt;secondary-title&gt;Osteoporosis International&lt;/secondary-title&gt;&lt;/titles&gt;&lt;periodical&gt;&lt;full-title&gt;Osteoporosis international&lt;/full-title&gt;&lt;/periodical&gt;&lt;pages&gt;1733-1746&lt;/pages&gt;&lt;volume&gt;26&lt;/volume&gt;&lt;number&gt;6&lt;/number&gt;&lt;dates&gt;&lt;year&gt;2015&lt;/year&gt;&lt;/dates&gt;&lt;urls&gt;&lt;/urls&gt;&lt;electronic-resource-num&gt;https://doi.org/10.1007/s00198-015-3054-9&lt;/electronic-resource-num&gt;&lt;/record&gt;&lt;/Cite&gt;&lt;/EndNote&gt;</w:instrText>
      </w:r>
      <w:r w:rsidR="00DA42D1">
        <w:rPr>
          <w:rFonts w:ascii="Arial" w:hAnsi="Arial" w:cs="Arial"/>
        </w:rPr>
        <w:fldChar w:fldCharType="separate"/>
      </w:r>
      <w:r w:rsidR="00DA42D1">
        <w:rPr>
          <w:rFonts w:ascii="Arial" w:hAnsi="Arial" w:cs="Arial"/>
          <w:noProof/>
        </w:rPr>
        <w:t>[6]</w:t>
      </w:r>
      <w:r w:rsidR="00DA42D1">
        <w:rPr>
          <w:rFonts w:ascii="Arial" w:hAnsi="Arial" w:cs="Arial"/>
        </w:rPr>
        <w:fldChar w:fldCharType="end"/>
      </w:r>
      <w:r w:rsidRPr="00211961">
        <w:rPr>
          <w:rFonts w:ascii="Arial" w:hAnsi="Arial" w:cs="Arial"/>
        </w:rPr>
        <w:t xml:space="preserve">. In a Swedish study comprising approximately 250,000 residents of Stockholm County from 1993-1995, age-standardised odds of hip fracture among both men and women were greater among unmarried, divorced/separated, and widowed participants compared to those who were married </w:t>
      </w:r>
      <w:r w:rsidR="00DA42D1">
        <w:rPr>
          <w:rFonts w:ascii="Arial" w:hAnsi="Arial" w:cs="Arial"/>
        </w:rPr>
        <w:fldChar w:fldCharType="begin"/>
      </w:r>
      <w:r w:rsidR="00DA42D1">
        <w:rPr>
          <w:rFonts w:ascii="Arial" w:hAnsi="Arial" w:cs="Arial"/>
        </w:rPr>
        <w:instrText xml:space="preserve"> ADDIN EN.CITE &lt;EndNote&gt;&lt;Cite&gt;&lt;Author&gt;Hökby&lt;/Author&gt;&lt;Year&gt;2003&lt;/Year&gt;&lt;RecNum&gt;1541&lt;/RecNum&gt;&lt;DisplayText&gt;[7]&lt;/DisplayText&gt;&lt;record&gt;&lt;rec-number&gt;1541&lt;/rec-number&gt;&lt;foreign-keys&gt;&lt;key app="EN" db-id="pzdf5rvs9wzts6erav6v0rpowttawpd0ztaa" timestamp="1700475120"&gt;1541&lt;/key&gt;&lt;/foreign-keys&gt;&lt;ref-type name="Journal Article"&gt;17&lt;/ref-type&gt;&lt;contributors&gt;&lt;authors&gt;&lt;author&gt;Hökby, A&lt;/author&gt;&lt;author&gt;Reimers, Anne&lt;/author&gt;&lt;author&gt;Laflamme, Lucie&lt;/author&gt;&lt;/authors&gt;&lt;/contributors&gt;&lt;titles&gt;&lt;title&gt;Hip fractures among older people: do marital status and type of residence matter?&lt;/title&gt;&lt;secondary-title&gt;Public Health&lt;/secondary-title&gt;&lt;/titles&gt;&lt;periodical&gt;&lt;full-title&gt;Public health&lt;/full-title&gt;&lt;/periodical&gt;&lt;pages&gt;196-201&lt;/pages&gt;&lt;volume&gt;117&lt;/volume&gt;&lt;number&gt;3&lt;/number&gt;&lt;dates&gt;&lt;year&gt;2003&lt;/year&gt;&lt;/dates&gt;&lt;urls&gt;&lt;/urls&gt;&lt;electronic-resource-num&gt;https://doi.org/10.1016/S0033-3506(03)00033-7&lt;/electronic-resource-num&gt;&lt;/record&gt;&lt;/Cite&gt;&lt;/EndNote&gt;</w:instrText>
      </w:r>
      <w:r w:rsidR="00DA42D1">
        <w:rPr>
          <w:rFonts w:ascii="Arial" w:hAnsi="Arial" w:cs="Arial"/>
        </w:rPr>
        <w:fldChar w:fldCharType="separate"/>
      </w:r>
      <w:r w:rsidR="00DA42D1">
        <w:rPr>
          <w:rFonts w:ascii="Arial" w:hAnsi="Arial" w:cs="Arial"/>
          <w:noProof/>
        </w:rPr>
        <w:t>[7]</w:t>
      </w:r>
      <w:r w:rsidR="00DA42D1">
        <w:rPr>
          <w:rFonts w:ascii="Arial" w:hAnsi="Arial" w:cs="Arial"/>
        </w:rPr>
        <w:fldChar w:fldCharType="end"/>
      </w:r>
      <w:r w:rsidRPr="00211961">
        <w:rPr>
          <w:rFonts w:ascii="Arial" w:hAnsi="Arial" w:cs="Arial"/>
        </w:rPr>
        <w:t>. In another Swedish study of 4589 postmenopausal women (aged 50–81 years</w:t>
      </w:r>
      <w:r w:rsidR="00CF3A40">
        <w:rPr>
          <w:rFonts w:ascii="Arial" w:hAnsi="Arial" w:cs="Arial"/>
        </w:rPr>
        <w:t>)</w:t>
      </w:r>
      <w:r w:rsidRPr="00211961">
        <w:rPr>
          <w:rFonts w:ascii="Arial" w:hAnsi="Arial" w:cs="Arial"/>
        </w:rPr>
        <w:t xml:space="preserve"> during 1993</w:t>
      </w:r>
      <w:r w:rsidR="00CF3A40">
        <w:rPr>
          <w:rFonts w:ascii="Arial" w:hAnsi="Arial" w:cs="Arial"/>
        </w:rPr>
        <w:t>-</w:t>
      </w:r>
      <w:r w:rsidRPr="00211961">
        <w:rPr>
          <w:rFonts w:ascii="Arial" w:hAnsi="Arial" w:cs="Arial"/>
        </w:rPr>
        <w:t xml:space="preserve">1995, </w:t>
      </w:r>
      <w:r w:rsidR="00CF3A40">
        <w:rPr>
          <w:rFonts w:ascii="Arial" w:hAnsi="Arial" w:cs="Arial"/>
        </w:rPr>
        <w:t xml:space="preserve">those who were </w:t>
      </w:r>
      <w:r w:rsidRPr="00211961">
        <w:rPr>
          <w:rFonts w:ascii="Arial" w:hAnsi="Arial" w:cs="Arial"/>
        </w:rPr>
        <w:t xml:space="preserve">divorced, widowed or unmarried had a higher </w:t>
      </w:r>
      <w:r w:rsidRPr="00211961">
        <w:rPr>
          <w:rFonts w:ascii="Arial" w:hAnsi="Arial" w:cs="Arial"/>
        </w:rPr>
        <w:lastRenderedPageBreak/>
        <w:t>risk of hip fracture than married or cohabiting women (odds ratio (95% CI): 1.40 (1.06, 1.85)</w:t>
      </w:r>
      <w:r w:rsidR="00CF3A40">
        <w:rPr>
          <w:rFonts w:ascii="Arial" w:hAnsi="Arial" w:cs="Arial"/>
        </w:rPr>
        <w:t>)</w:t>
      </w:r>
      <w:r w:rsidRPr="00211961">
        <w:rPr>
          <w:rFonts w:ascii="Arial" w:hAnsi="Arial" w:cs="Arial"/>
        </w:rPr>
        <w:t xml:space="preserve"> after adjustment for age, employment, housing type, household income, number of persons living in household, BMI, smoking, physical activity, use of HRT and parity </w:t>
      </w:r>
      <w:r w:rsidR="00DA42D1">
        <w:rPr>
          <w:rFonts w:ascii="Arial" w:hAnsi="Arial" w:cs="Arial"/>
        </w:rPr>
        <w:fldChar w:fldCharType="begin"/>
      </w:r>
      <w:r w:rsidR="00DA42D1">
        <w:rPr>
          <w:rFonts w:ascii="Arial" w:hAnsi="Arial" w:cs="Arial"/>
        </w:rPr>
        <w:instrText xml:space="preserve"> ADDIN EN.CITE &lt;EndNote&gt;&lt;Cite&gt;&lt;Author&gt;Farahmand&lt;/Author&gt;&lt;Year&gt;2000&lt;/Year&gt;&lt;RecNum&gt;1542&lt;/RecNum&gt;&lt;DisplayText&gt;[8]&lt;/DisplayText&gt;&lt;record&gt;&lt;rec-number&gt;1542&lt;/rec-number&gt;&lt;foreign-keys&gt;&lt;key app="EN" db-id="pzdf5rvs9wzts6erav6v0rpowttawpd0ztaa" timestamp="1700475286"&gt;1542&lt;/key&gt;&lt;/foreign-keys&gt;&lt;ref-type name="Journal Article"&gt;17&lt;/ref-type&gt;&lt;contributors&gt;&lt;authors&gt;&lt;author&gt;Farahmand, Bahman Y&lt;/author&gt;&lt;author&gt;Persson, P G&lt;/author&gt;&lt;author&gt;Michaëlsson, Karl&lt;/author&gt;&lt;author&gt;Baron, John A&lt;/author&gt;&lt;author&gt;Parker, M G&lt;/author&gt;&lt;author&gt;Ljunghall, Sverker&lt;/author&gt;&lt;author&gt;Swedish Hip Fracture Study Group,&lt;/author&gt;&lt;/authors&gt;&lt;/contributors&gt;&lt;titles&gt;&lt;title&gt;Socioeconomic status, marital status and hip fracture risk: a population-based case-control study&lt;/title&gt;&lt;secondary-title&gt;Osteoporosis International&lt;/secondary-title&gt;&lt;/titles&gt;&lt;periodical&gt;&lt;full-title&gt;Osteoporosis international&lt;/full-title&gt;&lt;/periodical&gt;&lt;pages&gt;803-808&lt;/pages&gt;&lt;volume&gt;11&lt;/volume&gt;&lt;number&gt;9&lt;/number&gt;&lt;dates&gt;&lt;year&gt;2000&lt;/year&gt;&lt;/dates&gt;&lt;urls&gt;&lt;/urls&gt;&lt;electronic-resource-num&gt;https://doi.org/10.1007/s001980070060&lt;/electronic-resource-num&gt;&lt;/record&gt;&lt;/Cite&gt;&lt;/EndNote&gt;</w:instrText>
      </w:r>
      <w:r w:rsidR="00DA42D1">
        <w:rPr>
          <w:rFonts w:ascii="Arial" w:hAnsi="Arial" w:cs="Arial"/>
        </w:rPr>
        <w:fldChar w:fldCharType="separate"/>
      </w:r>
      <w:r w:rsidR="00DA42D1">
        <w:rPr>
          <w:rFonts w:ascii="Arial" w:hAnsi="Arial" w:cs="Arial"/>
          <w:noProof/>
        </w:rPr>
        <w:t>[8]</w:t>
      </w:r>
      <w:r w:rsidR="00DA42D1">
        <w:rPr>
          <w:rFonts w:ascii="Arial" w:hAnsi="Arial" w:cs="Arial"/>
        </w:rPr>
        <w:fldChar w:fldCharType="end"/>
      </w:r>
      <w:r w:rsidRPr="00211961">
        <w:rPr>
          <w:rFonts w:ascii="Arial" w:hAnsi="Arial" w:cs="Arial"/>
        </w:rPr>
        <w:t xml:space="preserve">. In a Swiss study which recorded 2454 hip fractures from 1991-2000 among community-dwelling adults aged 50 years and over in Geneva University Hospital, men with a hip fracture who were married were approximately three years older compared to their counterparts with a hip fracture who were not married (p=0.002). In contrast, married hip fractured women were over four years younger compared to women with a hip fracture who were not married (p &lt; 0.001) </w:t>
      </w:r>
      <w:r w:rsidR="00DA42D1">
        <w:rPr>
          <w:rFonts w:ascii="Arial" w:hAnsi="Arial" w:cs="Arial"/>
        </w:rPr>
        <w:fldChar w:fldCharType="begin"/>
      </w:r>
      <w:r w:rsidR="00DA42D1">
        <w:rPr>
          <w:rFonts w:ascii="Arial" w:hAnsi="Arial" w:cs="Arial"/>
        </w:rPr>
        <w:instrText xml:space="preserve"> ADDIN EN.CITE &lt;EndNote&gt;&lt;Cite&gt;&lt;Author&gt;Guilley&lt;/Author&gt;&lt;Year&gt;2011&lt;/Year&gt;&lt;RecNum&gt;1543&lt;/RecNum&gt;&lt;DisplayText&gt;[9]&lt;/DisplayText&gt;&lt;record&gt;&lt;rec-number&gt;1543&lt;/rec-number&gt;&lt;foreign-keys&gt;&lt;key app="EN" db-id="pzdf5rvs9wzts6erav6v0rpowttawpd0ztaa" timestamp="1700475573"&gt;1543&lt;/key&gt;&lt;/foreign-keys&gt;&lt;ref-type name="Journal Article"&gt;17&lt;/ref-type&gt;&lt;contributors&gt;&lt;authors&gt;&lt;author&gt;Guilley, Edith&lt;/author&gt;&lt;author&gt;Herrmann, F&lt;/author&gt;&lt;author&gt;Rapin, C-H&lt;/author&gt;&lt;author&gt;Hoffmeyer, P&lt;/author&gt;&lt;author&gt;Rizzoli, R&lt;/author&gt;&lt;author&gt;Chevalley, T&lt;/author&gt;&lt;/authors&gt;&lt;/contributors&gt;&lt;titles&gt;&lt;title&gt;Socioeconomic and living conditions are determinants of hip fracture incidence and age occurrence among community-dwelling elderly&lt;/title&gt;&lt;secondary-title&gt;Osteoporosis International&lt;/secondary-title&gt;&lt;/titles&gt;&lt;periodical&gt;&lt;full-title&gt;Osteoporosis international&lt;/full-title&gt;&lt;/periodical&gt;&lt;pages&gt;647-653&lt;/pages&gt;&lt;volume&gt;22&lt;/volume&gt;&lt;number&gt;2&lt;/number&gt;&lt;dates&gt;&lt;year&gt;2011&lt;/year&gt;&lt;/dates&gt;&lt;urls&gt;&lt;/urls&gt;&lt;electronic-resource-num&gt;https://doi.org/10.1007/s00198-010-1287-1&lt;/electronic-resource-num&gt;&lt;/record&gt;&lt;/Cite&gt;&lt;/EndNote&gt;</w:instrText>
      </w:r>
      <w:r w:rsidR="00DA42D1">
        <w:rPr>
          <w:rFonts w:ascii="Arial" w:hAnsi="Arial" w:cs="Arial"/>
        </w:rPr>
        <w:fldChar w:fldCharType="separate"/>
      </w:r>
      <w:r w:rsidR="00DA42D1">
        <w:rPr>
          <w:rFonts w:ascii="Arial" w:hAnsi="Arial" w:cs="Arial"/>
          <w:noProof/>
        </w:rPr>
        <w:t>[9]</w:t>
      </w:r>
      <w:r w:rsidR="00DA42D1">
        <w:rPr>
          <w:rFonts w:ascii="Arial" w:hAnsi="Arial" w:cs="Arial"/>
        </w:rPr>
        <w:fldChar w:fldCharType="end"/>
      </w:r>
      <w:r w:rsidRPr="00211961">
        <w:rPr>
          <w:rFonts w:ascii="Arial" w:hAnsi="Arial" w:cs="Arial"/>
        </w:rPr>
        <w:t>. This was the case after adjustment for area-level income and area type (urban/rural).</w:t>
      </w:r>
    </w:p>
    <w:p w14:paraId="49A2D6B8" w14:textId="79062C2E" w:rsidR="00F015DC" w:rsidRDefault="00211961" w:rsidP="00FB37DD">
      <w:pPr>
        <w:spacing w:line="360" w:lineRule="auto"/>
        <w:jc w:val="both"/>
        <w:rPr>
          <w:rFonts w:ascii="Arial" w:hAnsi="Arial" w:cs="Arial"/>
        </w:rPr>
      </w:pPr>
      <w:r w:rsidRPr="00211961">
        <w:rPr>
          <w:rFonts w:ascii="Arial" w:hAnsi="Arial" w:cs="Arial"/>
        </w:rPr>
        <w:t xml:space="preserve">These previous studies broadly support our study findings that being in a relationship is protective against fractures. However, in the Hertfordshire Cohort Study, associations </w:t>
      </w:r>
      <w:r w:rsidR="00CF3A40">
        <w:rPr>
          <w:rFonts w:ascii="Arial" w:hAnsi="Arial" w:cs="Arial"/>
        </w:rPr>
        <w:t>with</w:t>
      </w:r>
      <w:r w:rsidRPr="00211961">
        <w:rPr>
          <w:rFonts w:ascii="Arial" w:hAnsi="Arial" w:cs="Arial"/>
        </w:rPr>
        <w:t xml:space="preserve"> hip fracture were weak, regardless of adjustments used. </w:t>
      </w:r>
      <w:r w:rsidR="00EE2858">
        <w:rPr>
          <w:rFonts w:ascii="Arial" w:hAnsi="Arial" w:cs="Arial"/>
        </w:rPr>
        <w:t>This may reflect our own sample size relative to the studies described above</w:t>
      </w:r>
      <w:r w:rsidR="00155247">
        <w:rPr>
          <w:rFonts w:ascii="Arial" w:hAnsi="Arial" w:cs="Arial"/>
        </w:rPr>
        <w:t>. Despite our smaller sample size, ou</w:t>
      </w:r>
      <w:r w:rsidR="00AD5176">
        <w:rPr>
          <w:rFonts w:ascii="Arial" w:hAnsi="Arial" w:cs="Arial"/>
        </w:rPr>
        <w:t>r</w:t>
      </w:r>
      <w:r w:rsidR="00155247">
        <w:rPr>
          <w:rFonts w:ascii="Arial" w:hAnsi="Arial" w:cs="Arial"/>
        </w:rPr>
        <w:t xml:space="preserve"> study may be considered valuable as it provides detailed lifestyle information according to relationship status in a cohort studied at a point in the lifecourse where fractures are becoming more common</w:t>
      </w:r>
      <w:r w:rsidR="00EE2858">
        <w:rPr>
          <w:rFonts w:ascii="Arial" w:hAnsi="Arial" w:cs="Arial"/>
        </w:rPr>
        <w:t xml:space="preserve">. </w:t>
      </w:r>
    </w:p>
    <w:p w14:paraId="5638F36D" w14:textId="0F389B16" w:rsidR="00211961" w:rsidRPr="00211961" w:rsidRDefault="00F015DC" w:rsidP="00FB37DD">
      <w:pPr>
        <w:spacing w:line="360" w:lineRule="auto"/>
        <w:jc w:val="both"/>
        <w:rPr>
          <w:rFonts w:ascii="Arial" w:hAnsi="Arial" w:cs="Arial"/>
        </w:rPr>
      </w:pPr>
      <w:r>
        <w:rPr>
          <w:rFonts w:ascii="Arial" w:hAnsi="Arial" w:cs="Arial"/>
        </w:rPr>
        <w:t>Sexual dimorphism is apparent in some previous literature reports. For example</w:t>
      </w:r>
      <w:r w:rsidR="002824EB">
        <w:rPr>
          <w:rFonts w:ascii="Arial" w:hAnsi="Arial" w:cs="Arial"/>
        </w:rPr>
        <w:t>,</w:t>
      </w:r>
      <w:r>
        <w:rPr>
          <w:rFonts w:ascii="Arial" w:hAnsi="Arial" w:cs="Arial"/>
        </w:rPr>
        <w:t xml:space="preserve"> t</w:t>
      </w:r>
      <w:r w:rsidR="00211961" w:rsidRPr="00211961">
        <w:rPr>
          <w:rFonts w:ascii="Arial" w:hAnsi="Arial" w:cs="Arial"/>
        </w:rPr>
        <w:t xml:space="preserve">he study based in Geneva University Hospital suggested that being married appeared to delay hip fracture occurrence only among men while being married was associated with earlier hip fracture occurrence among women. </w:t>
      </w:r>
      <w:r>
        <w:rPr>
          <w:rFonts w:ascii="Arial" w:hAnsi="Arial" w:cs="Arial"/>
        </w:rPr>
        <w:t>We hypothesize that these differences may reflect different lifestyles among men and women living alone. Certainly</w:t>
      </w:r>
      <w:r w:rsidR="002824EB">
        <w:rPr>
          <w:rFonts w:ascii="Arial" w:hAnsi="Arial" w:cs="Arial"/>
        </w:rPr>
        <w:t>,</w:t>
      </w:r>
      <w:r>
        <w:rPr>
          <w:rFonts w:ascii="Arial" w:hAnsi="Arial" w:cs="Arial"/>
        </w:rPr>
        <w:t xml:space="preserve"> i</w:t>
      </w:r>
      <w:r w:rsidR="00211961" w:rsidRPr="00211961">
        <w:rPr>
          <w:rFonts w:ascii="Arial" w:hAnsi="Arial" w:cs="Arial"/>
        </w:rPr>
        <w:t xml:space="preserve">n agreement with our </w:t>
      </w:r>
      <w:r>
        <w:rPr>
          <w:rFonts w:ascii="Arial" w:hAnsi="Arial" w:cs="Arial"/>
        </w:rPr>
        <w:t>own f</w:t>
      </w:r>
      <w:r w:rsidR="00211961" w:rsidRPr="00211961">
        <w:rPr>
          <w:rFonts w:ascii="Arial" w:hAnsi="Arial" w:cs="Arial"/>
        </w:rPr>
        <w:t xml:space="preserve">indings, previous studies have reported healthier lifestyles among individuals in relationships compared to those who are not. For example, among 15001 Australian adults (mean age: 52.9 years) who participated in the </w:t>
      </w:r>
      <w:r w:rsidR="00456024">
        <w:rPr>
          <w:rFonts w:ascii="Arial" w:hAnsi="Arial" w:cs="Arial"/>
        </w:rPr>
        <w:t xml:space="preserve">annual </w:t>
      </w:r>
      <w:r w:rsidR="00211961" w:rsidRPr="00211961">
        <w:rPr>
          <w:rFonts w:ascii="Arial" w:hAnsi="Arial" w:cs="Arial"/>
        </w:rPr>
        <w:t>Queensland Social Survey</w:t>
      </w:r>
      <w:r w:rsidR="00456024">
        <w:rPr>
          <w:rFonts w:ascii="Arial" w:hAnsi="Arial" w:cs="Arial"/>
        </w:rPr>
        <w:t xml:space="preserve"> during the years </w:t>
      </w:r>
      <w:r w:rsidR="00456024" w:rsidRPr="00211961">
        <w:rPr>
          <w:rFonts w:ascii="Arial" w:hAnsi="Arial" w:cs="Arial"/>
        </w:rPr>
        <w:t>2005</w:t>
      </w:r>
      <w:r w:rsidR="00456024">
        <w:rPr>
          <w:rFonts w:ascii="Arial" w:hAnsi="Arial" w:cs="Arial"/>
        </w:rPr>
        <w:t xml:space="preserve"> to </w:t>
      </w:r>
      <w:r w:rsidR="00456024" w:rsidRPr="00211961">
        <w:rPr>
          <w:rFonts w:ascii="Arial" w:hAnsi="Arial" w:cs="Arial"/>
        </w:rPr>
        <w:t>2014</w:t>
      </w:r>
      <w:r w:rsidR="00211961" w:rsidRPr="00211961">
        <w:rPr>
          <w:rFonts w:ascii="Arial" w:hAnsi="Arial" w:cs="Arial"/>
        </w:rPr>
        <w:t>, couples were significantly more likely to be non-smokers and meet recommendations for alcohol consumption and fruit and vegetable intake</w:t>
      </w:r>
      <w:r w:rsidR="005408D1">
        <w:rPr>
          <w:rFonts w:ascii="Arial" w:hAnsi="Arial" w:cs="Arial"/>
        </w:rPr>
        <w:t xml:space="preserve"> compared to those who were single</w:t>
      </w:r>
      <w:r w:rsidR="00D879A7">
        <w:rPr>
          <w:rFonts w:ascii="Arial" w:hAnsi="Arial" w:cs="Arial"/>
        </w:rPr>
        <w:t xml:space="preserve"> </w:t>
      </w:r>
      <w:r w:rsidR="00D879A7">
        <w:rPr>
          <w:rFonts w:ascii="Arial" w:hAnsi="Arial" w:cs="Arial"/>
        </w:rPr>
        <w:fldChar w:fldCharType="begin"/>
      </w:r>
      <w:r w:rsidR="00D879A7">
        <w:rPr>
          <w:rFonts w:ascii="Arial" w:hAnsi="Arial" w:cs="Arial"/>
        </w:rPr>
        <w:instrText xml:space="preserve"> ADDIN EN.CITE &lt;EndNote&gt;&lt;Cite&gt;&lt;Author&gt;Schoeppe&lt;/Author&gt;&lt;Year&gt;2018&lt;/Year&gt;&lt;RecNum&gt;1544&lt;/RecNum&gt;&lt;DisplayText&gt;[11]&lt;/DisplayText&gt;&lt;record&gt;&lt;rec-number&gt;1544&lt;/rec-number&gt;&lt;foreign-keys&gt;&lt;key app="EN" db-id="pzdf5rvs9wzts6erav6v0rpowttawpd0ztaa" timestamp="1700476093"&gt;1544&lt;/key&gt;&lt;/foreign-keys&gt;&lt;ref-type name="Journal Article"&gt;17&lt;/ref-type&gt;&lt;contributors&gt;&lt;authors&gt;&lt;author&gt;Schoeppe, Stephanie&lt;/author&gt;&lt;author&gt;Vandelanotte, Corneel&lt;/author&gt;&lt;author&gt;Rebar, Amanda L&lt;/author&gt;&lt;author&gt;Hayman, Melanie&lt;/author&gt;&lt;author&gt;Duncan, Mitch J&lt;/author&gt;&lt;author&gt;Alley, Stephanie J&lt;/author&gt;&lt;/authors&gt;&lt;/contributors&gt;&lt;titles&gt;&lt;title&gt;Do singles or couples live healthier lifestyles? Trends in Queensland between 2005-2014&lt;/title&gt;&lt;secondary-title&gt;PLOS One&lt;/secondary-title&gt;&lt;/titles&gt;&lt;periodical&gt;&lt;full-title&gt;PLoS One.&lt;/full-title&gt;&lt;abbr-1&gt;PloS one&lt;/abbr-1&gt;&lt;/periodical&gt;&lt;pages&gt;e0192584&lt;/pages&gt;&lt;volume&gt;13&lt;/volume&gt;&lt;number&gt;2&lt;/number&gt;&lt;dates&gt;&lt;year&gt;2018&lt;/year&gt;&lt;/dates&gt;&lt;urls&gt;&lt;/urls&gt;&lt;electronic-resource-num&gt;https://doi.org/10.1371/journal.pone.0192584&lt;/electronic-resource-num&gt;&lt;/record&gt;&lt;/Cite&gt;&lt;/EndNote&gt;</w:instrText>
      </w:r>
      <w:r w:rsidR="00D879A7">
        <w:rPr>
          <w:rFonts w:ascii="Arial" w:hAnsi="Arial" w:cs="Arial"/>
        </w:rPr>
        <w:fldChar w:fldCharType="separate"/>
      </w:r>
      <w:r w:rsidR="00D879A7">
        <w:rPr>
          <w:rFonts w:ascii="Arial" w:hAnsi="Arial" w:cs="Arial"/>
          <w:noProof/>
        </w:rPr>
        <w:t>[11]</w:t>
      </w:r>
      <w:r w:rsidR="00D879A7">
        <w:rPr>
          <w:rFonts w:ascii="Arial" w:hAnsi="Arial" w:cs="Arial"/>
        </w:rPr>
        <w:fldChar w:fldCharType="end"/>
      </w:r>
      <w:r w:rsidR="00211961" w:rsidRPr="00211961">
        <w:rPr>
          <w:rFonts w:ascii="Arial" w:hAnsi="Arial" w:cs="Arial"/>
        </w:rPr>
        <w:t>. Similarly, being married</w:t>
      </w:r>
      <w:r w:rsidR="0061105E">
        <w:rPr>
          <w:rFonts w:ascii="Arial" w:hAnsi="Arial" w:cs="Arial"/>
        </w:rPr>
        <w:t xml:space="preserve"> or cohabiting</w:t>
      </w:r>
      <w:r w:rsidR="00211961" w:rsidRPr="00211961">
        <w:rPr>
          <w:rFonts w:ascii="Arial" w:hAnsi="Arial" w:cs="Arial"/>
        </w:rPr>
        <w:t xml:space="preserve"> was protective against smoking and heavy drinking in a study comprising 4014 Americans, aged 60 and over, who participated in the 1999–2004 waves of the US National Health and Nutrition Examination Survey (NHANES) </w:t>
      </w:r>
      <w:r w:rsidR="00D879A7">
        <w:rPr>
          <w:rFonts w:ascii="Arial" w:hAnsi="Arial" w:cs="Arial"/>
        </w:rPr>
        <w:fldChar w:fldCharType="begin"/>
      </w:r>
      <w:r w:rsidR="00D879A7">
        <w:rPr>
          <w:rFonts w:ascii="Arial" w:hAnsi="Arial" w:cs="Arial"/>
        </w:rPr>
        <w:instrText xml:space="preserve"> ADDIN EN.CITE &lt;EndNote&gt;&lt;Cite&gt;&lt;Author&gt;Watt&lt;/Author&gt;&lt;Year&gt;2014&lt;/Year&gt;&lt;RecNum&gt;1545&lt;/RecNum&gt;&lt;DisplayText&gt;[12]&lt;/DisplayText&gt;&lt;record&gt;&lt;rec-number&gt;1545&lt;/rec-number&gt;&lt;foreign-keys&gt;&lt;key app="EN" db-id="pzdf5rvs9wzts6erav6v0rpowttawpd0ztaa" timestamp="1700476283"&gt;1545&lt;/key&gt;&lt;/foreign-keys&gt;&lt;ref-type name="Journal Article"&gt;17&lt;/ref-type&gt;&lt;contributors&gt;&lt;authors&gt;&lt;author&gt;Watt, Richard G&lt;/author&gt;&lt;author&gt;Heilmann, Anja&lt;/author&gt;&lt;author&gt;Sabbah, Wael&lt;/author&gt;&lt;author&gt;Newton, Tim&lt;/author&gt;&lt;author&gt;Chandola, Tarani&lt;/author&gt;&lt;author&gt;Aida, Jun&lt;/author&gt;&lt;author&gt;Sheiham, Aubrey&lt;/author&gt;&lt;author&gt;Marmot, Michael&lt;/author&gt;&lt;author&gt;Kawachi, Ichiro&lt;/author&gt;&lt;author&gt;Tsakos, Georgios&lt;/author&gt;&lt;/authors&gt;&lt;/contributors&gt;&lt;titles&gt;&lt;title&gt;Social relationships and health related behaviors among older US adults&lt;/title&gt;&lt;secondary-title&gt;BMC Public Health&lt;/secondary-title&gt;&lt;/titles&gt;&lt;periodical&gt;&lt;full-title&gt;BMC public health&lt;/full-title&gt;&lt;/periodical&gt;&lt;pages&gt;533&lt;/pages&gt;&lt;volume&gt;14&lt;/volume&gt;&lt;number&gt;1&lt;/number&gt;&lt;dates&gt;&lt;year&gt;2014&lt;/year&gt;&lt;/dates&gt;&lt;urls&gt;&lt;/urls&gt;&lt;electronic-resource-num&gt;https://doi.org/10.1186/1471-2458-14-533&lt;/electronic-resource-num&gt;&lt;/record&gt;&lt;/Cite&gt;&lt;/EndNote&gt;</w:instrText>
      </w:r>
      <w:r w:rsidR="00D879A7">
        <w:rPr>
          <w:rFonts w:ascii="Arial" w:hAnsi="Arial" w:cs="Arial"/>
        </w:rPr>
        <w:fldChar w:fldCharType="separate"/>
      </w:r>
      <w:r w:rsidR="00D879A7">
        <w:rPr>
          <w:rFonts w:ascii="Arial" w:hAnsi="Arial" w:cs="Arial"/>
          <w:noProof/>
        </w:rPr>
        <w:t>[12]</w:t>
      </w:r>
      <w:r w:rsidR="00D879A7">
        <w:rPr>
          <w:rFonts w:ascii="Arial" w:hAnsi="Arial" w:cs="Arial"/>
        </w:rPr>
        <w:fldChar w:fldCharType="end"/>
      </w:r>
      <w:r w:rsidR="00211961" w:rsidRPr="00211961">
        <w:rPr>
          <w:rFonts w:ascii="Arial" w:hAnsi="Arial" w:cs="Arial"/>
        </w:rPr>
        <w:t>.</w:t>
      </w:r>
      <w:r w:rsidR="0004157E">
        <w:rPr>
          <w:rFonts w:ascii="Arial" w:hAnsi="Arial" w:cs="Arial"/>
        </w:rPr>
        <w:t xml:space="preserve"> Unlike the Australian study, the NHANES </w:t>
      </w:r>
      <w:r w:rsidR="00D96DE5">
        <w:rPr>
          <w:rFonts w:ascii="Arial" w:hAnsi="Arial" w:cs="Arial"/>
        </w:rPr>
        <w:t>study also explored sex-differences in associations.</w:t>
      </w:r>
      <w:r w:rsidR="0004157E">
        <w:rPr>
          <w:rFonts w:ascii="Arial" w:hAnsi="Arial" w:cs="Arial"/>
        </w:rPr>
        <w:t xml:space="preserve"> </w:t>
      </w:r>
      <w:r w:rsidR="0004157E" w:rsidRPr="0004157E">
        <w:rPr>
          <w:rFonts w:ascii="Arial" w:hAnsi="Arial" w:cs="Arial"/>
        </w:rPr>
        <w:t>For example, while heavy drinking was no more common among divorced/separated and widowed women than among married</w:t>
      </w:r>
      <w:r w:rsidR="0004157E">
        <w:rPr>
          <w:rFonts w:ascii="Arial" w:hAnsi="Arial" w:cs="Arial"/>
        </w:rPr>
        <w:t>/cohabiting women</w:t>
      </w:r>
      <w:r w:rsidR="0004157E" w:rsidRPr="0004157E">
        <w:rPr>
          <w:rFonts w:ascii="Arial" w:hAnsi="Arial" w:cs="Arial"/>
        </w:rPr>
        <w:t xml:space="preserve">, </w:t>
      </w:r>
      <w:r w:rsidR="0004157E">
        <w:rPr>
          <w:rFonts w:ascii="Arial" w:hAnsi="Arial" w:cs="Arial"/>
        </w:rPr>
        <w:t xml:space="preserve">heavy drinking </w:t>
      </w:r>
      <w:r w:rsidR="0004157E" w:rsidRPr="0004157E">
        <w:rPr>
          <w:rFonts w:ascii="Arial" w:hAnsi="Arial" w:cs="Arial"/>
        </w:rPr>
        <w:t xml:space="preserve">was 2.59 (95% CI: 1.89, 3.54) times more common among divorced/separated men </w:t>
      </w:r>
      <w:r w:rsidR="0004157E">
        <w:rPr>
          <w:rFonts w:ascii="Arial" w:hAnsi="Arial" w:cs="Arial"/>
        </w:rPr>
        <w:t>compared to married/cohabiting men; w</w:t>
      </w:r>
      <w:r w:rsidR="0004157E" w:rsidRPr="0004157E">
        <w:rPr>
          <w:rFonts w:ascii="Arial" w:hAnsi="Arial" w:cs="Arial"/>
        </w:rPr>
        <w:t xml:space="preserve">idowed men had a 1.67 (1.13, 2.47) times higher prevalence of </w:t>
      </w:r>
      <w:r w:rsidR="0004157E">
        <w:rPr>
          <w:rFonts w:ascii="Arial" w:hAnsi="Arial" w:cs="Arial"/>
        </w:rPr>
        <w:t>heavy drinking in comparison</w:t>
      </w:r>
      <w:r w:rsidR="0004157E" w:rsidRPr="0004157E">
        <w:rPr>
          <w:rFonts w:ascii="Arial" w:hAnsi="Arial" w:cs="Arial"/>
        </w:rPr>
        <w:t xml:space="preserve"> to married/cohabiting men. Being married</w:t>
      </w:r>
      <w:r w:rsidR="0004157E">
        <w:rPr>
          <w:rFonts w:ascii="Arial" w:hAnsi="Arial" w:cs="Arial"/>
        </w:rPr>
        <w:t xml:space="preserve">/cohabiting </w:t>
      </w:r>
      <w:r w:rsidR="0004157E" w:rsidRPr="0004157E">
        <w:rPr>
          <w:rFonts w:ascii="Arial" w:hAnsi="Arial" w:cs="Arial"/>
        </w:rPr>
        <w:t>had a protective effect regarding smoking among both men and women</w:t>
      </w:r>
      <w:r w:rsidR="0004157E">
        <w:rPr>
          <w:rFonts w:ascii="Arial" w:hAnsi="Arial" w:cs="Arial"/>
        </w:rPr>
        <w:t xml:space="preserve"> in the NHANES study.</w:t>
      </w:r>
    </w:p>
    <w:p w14:paraId="57FCF3C2" w14:textId="54C0DAC7" w:rsidR="00211961" w:rsidRPr="00211961" w:rsidRDefault="00211961" w:rsidP="00FB37DD">
      <w:pPr>
        <w:spacing w:line="360" w:lineRule="auto"/>
        <w:jc w:val="both"/>
        <w:rPr>
          <w:rFonts w:ascii="Arial" w:hAnsi="Arial" w:cs="Arial"/>
        </w:rPr>
      </w:pPr>
      <w:r w:rsidRPr="00211961">
        <w:rPr>
          <w:rFonts w:ascii="Arial" w:hAnsi="Arial" w:cs="Arial"/>
        </w:rPr>
        <w:lastRenderedPageBreak/>
        <w:t xml:space="preserve">Our findings have several </w:t>
      </w:r>
      <w:r w:rsidR="00AD5176">
        <w:rPr>
          <w:rFonts w:ascii="Arial" w:hAnsi="Arial" w:cs="Arial"/>
        </w:rPr>
        <w:t xml:space="preserve">potential public health </w:t>
      </w:r>
      <w:r w:rsidRPr="00211961">
        <w:rPr>
          <w:rFonts w:ascii="Arial" w:hAnsi="Arial" w:cs="Arial"/>
        </w:rPr>
        <w:t>implications. Interventions to improve health behaviours could be targeted among older people who are not in relationships to address the greater prevalence of less favourable lifestyle factors in this age group. Examples of these interventions could include health education programmes, fitness and wellness classes and social support programmes.</w:t>
      </w:r>
      <w:r w:rsidR="00FD45EC">
        <w:rPr>
          <w:rFonts w:ascii="Arial" w:hAnsi="Arial" w:cs="Arial"/>
        </w:rPr>
        <w:t xml:space="preserve"> </w:t>
      </w:r>
      <w:r w:rsidRPr="00211961">
        <w:rPr>
          <w:rFonts w:ascii="Arial" w:hAnsi="Arial" w:cs="Arial"/>
        </w:rPr>
        <w:t xml:space="preserve">These activities may also help combat feelings of social isolation and loneliness </w:t>
      </w:r>
      <w:r w:rsidR="00FD45EC">
        <w:rPr>
          <w:rFonts w:ascii="Arial" w:hAnsi="Arial" w:cs="Arial"/>
        </w:rPr>
        <w:t xml:space="preserve">which have been found to be related to poor health behaviours </w:t>
      </w:r>
      <w:r w:rsidR="00D879A7">
        <w:rPr>
          <w:rFonts w:ascii="Arial" w:hAnsi="Arial" w:cs="Arial"/>
        </w:rPr>
        <w:fldChar w:fldCharType="begin"/>
      </w:r>
      <w:r w:rsidR="00D879A7">
        <w:rPr>
          <w:rFonts w:ascii="Arial" w:hAnsi="Arial" w:cs="Arial"/>
        </w:rPr>
        <w:instrText xml:space="preserve"> ADDIN EN.CITE &lt;EndNote&gt;&lt;Cite&gt;&lt;Author&gt;Kobayashi&lt;/Author&gt;&lt;Year&gt;2018&lt;/Year&gt;&lt;RecNum&gt;1554&lt;/RecNum&gt;&lt;DisplayText&gt;[24]&lt;/DisplayText&gt;&lt;record&gt;&lt;rec-number&gt;1554&lt;/rec-number&gt;&lt;foreign-keys&gt;&lt;key app="EN" db-id="pzdf5rvs9wzts6erav6v0rpowttawpd0ztaa" timestamp="1700488446"&gt;1554&lt;/key&gt;&lt;/foreign-keys&gt;&lt;ref-type name="Journal Article"&gt;17&lt;/ref-type&gt;&lt;contributors&gt;&lt;authors&gt;&lt;author&gt;Kobayashi, Lindsay C&lt;/author&gt;&lt;author&gt;Steptoe, Andrew&lt;/author&gt;&lt;/authors&gt;&lt;/contributors&gt;&lt;titles&gt;&lt;title&gt;Social Isolation, Loneliness, and Health Behaviors at Older Ages: Longitudinal Cohort Study&lt;/title&gt;&lt;secondary-title&gt;Annals of Behavioral Medicine&lt;/secondary-title&gt;&lt;/titles&gt;&lt;periodical&gt;&lt;full-title&gt;Annals of Behavioral Medicine&lt;/full-title&gt;&lt;/periodical&gt;&lt;pages&gt;582-593&lt;/pages&gt;&lt;volume&gt;52&lt;/volume&gt;&lt;number&gt;7&lt;/number&gt;&lt;dates&gt;&lt;year&gt;2018&lt;/year&gt;&lt;/dates&gt;&lt;urls&gt;&lt;/urls&gt;&lt;electronic-resource-num&gt;https://doi.org/10.1093/abm/kax033&lt;/electronic-resource-num&gt;&lt;/record&gt;&lt;/Cite&gt;&lt;/EndNote&gt;</w:instrText>
      </w:r>
      <w:r w:rsidR="00D879A7">
        <w:rPr>
          <w:rFonts w:ascii="Arial" w:hAnsi="Arial" w:cs="Arial"/>
        </w:rPr>
        <w:fldChar w:fldCharType="separate"/>
      </w:r>
      <w:r w:rsidR="00D879A7">
        <w:rPr>
          <w:rFonts w:ascii="Arial" w:hAnsi="Arial" w:cs="Arial"/>
          <w:noProof/>
        </w:rPr>
        <w:t>[24]</w:t>
      </w:r>
      <w:r w:rsidR="00D879A7">
        <w:rPr>
          <w:rFonts w:ascii="Arial" w:hAnsi="Arial" w:cs="Arial"/>
        </w:rPr>
        <w:fldChar w:fldCharType="end"/>
      </w:r>
      <w:r w:rsidRPr="00211961">
        <w:rPr>
          <w:rFonts w:ascii="Arial" w:hAnsi="Arial" w:cs="Arial"/>
        </w:rPr>
        <w:t>. Healthcare workers could also be educated about the poorer health and increased risk of adverse health outcomes such as fracture and premature mortality among older people who are single and those who may have suffered a recent bereavement. Awareness of this and of the support available may improve patient health and wellbeing</w:t>
      </w:r>
      <w:r>
        <w:rPr>
          <w:rFonts w:ascii="Arial" w:hAnsi="Arial" w:cs="Arial"/>
        </w:rPr>
        <w:t>.</w:t>
      </w:r>
    </w:p>
    <w:p w14:paraId="57BEB52B" w14:textId="48CCAF6A" w:rsidR="00211961" w:rsidRPr="00211961" w:rsidRDefault="00211961" w:rsidP="00FB37DD">
      <w:pPr>
        <w:spacing w:line="360" w:lineRule="auto"/>
        <w:jc w:val="both"/>
        <w:rPr>
          <w:rFonts w:ascii="Arial" w:hAnsi="Arial" w:cs="Arial"/>
        </w:rPr>
      </w:pPr>
      <w:r w:rsidRPr="00211961">
        <w:rPr>
          <w:rFonts w:ascii="Arial" w:hAnsi="Arial" w:cs="Arial"/>
        </w:rPr>
        <w:t xml:space="preserve">This study has many strengths. Fracture outcomes were recorded over approximately two decades from the time participants enrolled (1998-2004) until December 2018. The linkage of the cohort with HES data provides almost complete follow-up of fracture outcomes and avoids some biases that often affect longitudinal studies, such as healthy survivor effects. </w:t>
      </w:r>
      <w:r w:rsidR="00076C7B">
        <w:rPr>
          <w:rFonts w:ascii="Arial" w:hAnsi="Arial" w:cs="Arial"/>
        </w:rPr>
        <w:t xml:space="preserve">However, this study does have limitations. First, </w:t>
      </w:r>
      <w:r w:rsidRPr="00211961">
        <w:rPr>
          <w:rFonts w:ascii="Arial" w:hAnsi="Arial" w:cs="Arial"/>
        </w:rPr>
        <w:t>this stud</w:t>
      </w:r>
      <w:r w:rsidR="00076C7B">
        <w:rPr>
          <w:rFonts w:ascii="Arial" w:hAnsi="Arial" w:cs="Arial"/>
        </w:rPr>
        <w:t xml:space="preserve">y </w:t>
      </w:r>
      <w:r w:rsidRPr="00211961">
        <w:rPr>
          <w:rFonts w:ascii="Arial" w:hAnsi="Arial" w:cs="Arial"/>
        </w:rPr>
        <w:t>relied on self-reported information on physical activity and diet quality, which may be influenced by recall bias.</w:t>
      </w:r>
      <w:r w:rsidR="00CF3A40">
        <w:rPr>
          <w:rFonts w:ascii="Arial" w:hAnsi="Arial" w:cs="Arial"/>
        </w:rPr>
        <w:t xml:space="preserve"> </w:t>
      </w:r>
      <w:bookmarkStart w:id="16" w:name="_Hlk153452432"/>
      <w:r w:rsidR="00076C7B">
        <w:rPr>
          <w:rFonts w:ascii="Arial" w:hAnsi="Arial" w:cs="Arial"/>
        </w:rPr>
        <w:t>Second, occupational social class was determined differently for married women and non-married women, where the husband’s occupational social class was used as a proxy only for married women.</w:t>
      </w:r>
      <w:bookmarkEnd w:id="16"/>
      <w:r w:rsidR="00076C7B">
        <w:rPr>
          <w:rFonts w:ascii="Arial" w:hAnsi="Arial" w:cs="Arial"/>
        </w:rPr>
        <w:t xml:space="preserve"> Third</w:t>
      </w:r>
      <w:r w:rsidRPr="00211961">
        <w:rPr>
          <w:rFonts w:ascii="Arial" w:hAnsi="Arial" w:cs="Arial"/>
        </w:rPr>
        <w:t>, participants were all community-dwelling, Caucasian and from the relatively wealthy county of Hertfordshire, so these findings may not apply to other people of this age range and in different settings. However, the representativeness of HCS was found to be similar to the Health Survey for England which is nationally representative</w:t>
      </w:r>
      <w:r w:rsidR="008B244B">
        <w:rPr>
          <w:rFonts w:ascii="Arial" w:hAnsi="Arial" w:cs="Arial"/>
        </w:rPr>
        <w:t xml:space="preserve"> </w:t>
      </w:r>
      <w:r w:rsidR="00D879A7">
        <w:rPr>
          <w:rFonts w:ascii="Arial" w:hAnsi="Arial" w:cs="Arial"/>
        </w:rPr>
        <w:fldChar w:fldCharType="begin"/>
      </w:r>
      <w:r w:rsidR="00D879A7">
        <w:rPr>
          <w:rFonts w:ascii="Arial" w:hAnsi="Arial" w:cs="Arial"/>
        </w:rPr>
        <w:instrText xml:space="preserve"> ADDIN EN.CITE &lt;EndNote&gt;&lt;Cite&gt;&lt;Author&gt;Syddall&lt;/Author&gt;&lt;Year&gt;2005&lt;/Year&gt;&lt;RecNum&gt;1074&lt;/RecNum&gt;&lt;DisplayText&gt;[13]&lt;/DisplayText&gt;&lt;record&gt;&lt;rec-number&gt;1074&lt;/rec-number&gt;&lt;foreign-keys&gt;&lt;key app="EN" db-id="pzdf5rvs9wzts6erav6v0rpowttawpd0ztaa" timestamp="1512129172"&gt;1074&lt;/key&gt;&lt;/foreign-keys&gt;&lt;ref-type name="Journal Article"&gt;17&lt;/ref-type&gt;&lt;contributors&gt;&lt;authors&gt;&lt;author&gt;Syddall, H E&lt;/author&gt;&lt;author&gt;Sayer, A Aihie&lt;/author&gt;&lt;author&gt;Dennison, E M&lt;/author&gt;&lt;author&gt;Martin, H J&lt;/author&gt;&lt;author&gt;Barker, D J P&lt;/author&gt;&lt;author&gt;Cooper, C&lt;/author&gt;&lt;/authors&gt;&lt;/contributors&gt;&lt;titles&gt;&lt;title&gt;Cohort profile: the Hertfordshire Cohort Study&lt;/title&gt;&lt;secondary-title&gt;International Journal of Epidemiology&lt;/secondary-title&gt;&lt;/titles&gt;&lt;periodical&gt;&lt;full-title&gt;International journal of epidemiology&lt;/full-title&gt;&lt;/periodical&gt;&lt;pages&gt;1234-1242&lt;/pages&gt;&lt;volume&gt;34&lt;/volume&gt;&lt;number&gt;6&lt;/number&gt;&lt;dates&gt;&lt;year&gt;2005&lt;/year&gt;&lt;/dates&gt;&lt;urls&gt;&lt;related-urls&gt;&lt;url&gt;https://watermark.silverchair.com/dyi127.pdf?token=AQECAHi208BE49Ooan9kkhW_Ercy7Dm3ZL_9Cf3qfKAc485ysgAAAi8wggIrBgkqhkiG9w0BBwagggIcMIICGAIBADCCAhEGCSqGSIb3DQEHATAeBglghkgBZQMEAS4wEQQMxMPbP8PVYG4mgTzPAgEQgIIB4sH1pcLO4gNQk2AJf0J3qv3ltypmVuZCWJR8RQhuciVtV61zg8GVOsg-ztqFFjkyqfDkEup2f2fsSfiABRHybfC53ZCrxe6ckUXMCYj0z-3gsXVI2jvFPNTJ9ixxLExJgWl3M99-hANQmNq3MEv1x7I-9g0Cp1_hlbXZXcleEBiUVbXAQcc0ViQHJ3xJmIvToqf1XYDNFrEZ2D81J7jDrXZDmpKHRPJhagQCc__3K6nSY_b7uexbTfAGuU61sX4KTBHrsziyPFnDolG4jgtB4n3Yj9pmbirsX2WRqch2E2GhFJved6zfZ-K2w6xugCxRNbfJX8hHxD1W-nkdDq4jcf_GajMAU0pCMf5y8E8IFqISpDTJhOAYq3SZSfnEoX3IJd-odnWPFXv8U-nrrP6g96Uq1GgQPH0IGSXurnItVbgg7dY0OhzwDXHhRU59zlN4Sxki6hRlLLX7Hr1_mPbXK7jCJSwV4azSsdIBA32nV1pys2rByRh-rQCWgHT-ib7MJJzqcdr49YecbIcIqyUIaJbcnJefOKpY0GCCYyA7FNJWaRMH-9AdxMA2NdGOmdk3O44WwH4hqvuiqse6eUv7ImtV1IjrKwxKbEn0TNWI7n_TVZ2UYmSABsmpCTm_SONp0_SV&lt;/url&gt;&lt;/related-urls&gt;&lt;/urls&gt;&lt;electronic-resource-num&gt;https://doi.org/10.1093/ije/dyi127&lt;/electronic-resource-num&gt;&lt;/record&gt;&lt;/Cite&gt;&lt;/EndNote&gt;</w:instrText>
      </w:r>
      <w:r w:rsidR="00D879A7">
        <w:rPr>
          <w:rFonts w:ascii="Arial" w:hAnsi="Arial" w:cs="Arial"/>
        </w:rPr>
        <w:fldChar w:fldCharType="separate"/>
      </w:r>
      <w:r w:rsidR="00D879A7">
        <w:rPr>
          <w:rFonts w:ascii="Arial" w:hAnsi="Arial" w:cs="Arial"/>
          <w:noProof/>
        </w:rPr>
        <w:t>[13]</w:t>
      </w:r>
      <w:r w:rsidR="00D879A7">
        <w:rPr>
          <w:rFonts w:ascii="Arial" w:hAnsi="Arial" w:cs="Arial"/>
        </w:rPr>
        <w:fldChar w:fldCharType="end"/>
      </w:r>
      <w:r w:rsidR="008B244B">
        <w:rPr>
          <w:rFonts w:ascii="Arial" w:hAnsi="Arial" w:cs="Arial"/>
        </w:rPr>
        <w:t xml:space="preserve">. </w:t>
      </w:r>
      <w:r w:rsidR="00076C7B">
        <w:rPr>
          <w:rFonts w:ascii="Arial" w:hAnsi="Arial" w:cs="Arial"/>
        </w:rPr>
        <w:t xml:space="preserve">Fourth, there was a </w:t>
      </w:r>
      <w:r w:rsidR="008B244B">
        <w:rPr>
          <w:rFonts w:ascii="Arial" w:hAnsi="Arial" w:cs="Arial"/>
        </w:rPr>
        <w:t>lack of cohort data on psychosocial and mental health characteristics which may differ substantially between participants who were and were not in relationships.</w:t>
      </w:r>
      <w:r w:rsidR="00B90154">
        <w:rPr>
          <w:rFonts w:ascii="Arial" w:hAnsi="Arial" w:cs="Arial"/>
        </w:rPr>
        <w:t xml:space="preserve"> </w:t>
      </w:r>
      <w:bookmarkStart w:id="17" w:name="_Hlk157430158"/>
      <w:bookmarkStart w:id="18" w:name="_Hlk157507121"/>
      <w:r w:rsidR="00B03472">
        <w:rPr>
          <w:rFonts w:ascii="Arial" w:hAnsi="Arial" w:cs="Arial"/>
        </w:rPr>
        <w:t>Fifth</w:t>
      </w:r>
      <w:r w:rsidR="00B90154">
        <w:rPr>
          <w:rFonts w:ascii="Arial" w:hAnsi="Arial" w:cs="Arial"/>
        </w:rPr>
        <w:t>, participants only reported their current relationship status at baseline; information on the length of relationships or changes in relationship status during follow-up was not available.</w:t>
      </w:r>
      <w:bookmarkEnd w:id="17"/>
      <w:r w:rsidR="00B03472">
        <w:rPr>
          <w:rFonts w:ascii="Arial" w:hAnsi="Arial" w:cs="Arial"/>
        </w:rPr>
        <w:t xml:space="preserve"> </w:t>
      </w:r>
      <w:bookmarkStart w:id="19" w:name="_Hlk157430679"/>
      <w:bookmarkEnd w:id="18"/>
      <w:r w:rsidR="00B03472">
        <w:rPr>
          <w:rFonts w:ascii="Arial" w:hAnsi="Arial" w:cs="Arial"/>
        </w:rPr>
        <w:t xml:space="preserve">Finally, HES data </w:t>
      </w:r>
      <w:r w:rsidR="00AA4739">
        <w:rPr>
          <w:rFonts w:ascii="Arial" w:hAnsi="Arial" w:cs="Arial"/>
        </w:rPr>
        <w:t>do</w:t>
      </w:r>
      <w:r w:rsidR="00B03472">
        <w:rPr>
          <w:rFonts w:ascii="Arial" w:hAnsi="Arial" w:cs="Arial"/>
        </w:rPr>
        <w:t xml:space="preserve"> not provide complete coverage of fracture outcomes</w:t>
      </w:r>
      <w:r w:rsidR="00AA4739">
        <w:rPr>
          <w:rFonts w:ascii="Arial" w:hAnsi="Arial" w:cs="Arial"/>
        </w:rPr>
        <w:t xml:space="preserve">, for example, </w:t>
      </w:r>
      <w:r w:rsidR="00B03472">
        <w:rPr>
          <w:rFonts w:ascii="Arial" w:hAnsi="Arial" w:cs="Arial"/>
        </w:rPr>
        <w:t xml:space="preserve">fractures experienced by </w:t>
      </w:r>
      <w:r w:rsidR="00B03472" w:rsidRPr="00B03472">
        <w:rPr>
          <w:rFonts w:ascii="Arial" w:hAnsi="Arial" w:cs="Arial"/>
        </w:rPr>
        <w:t xml:space="preserve">privately funded patients attending private hospitals and </w:t>
      </w:r>
      <w:r w:rsidR="00B03472">
        <w:rPr>
          <w:rFonts w:ascii="Arial" w:hAnsi="Arial" w:cs="Arial"/>
        </w:rPr>
        <w:t>those treated in other jurisdictions would not be captured.</w:t>
      </w:r>
      <w:bookmarkEnd w:id="19"/>
    </w:p>
    <w:p w14:paraId="0D62D138" w14:textId="17D626DF" w:rsidR="00211961" w:rsidRPr="0024502D" w:rsidRDefault="00211961" w:rsidP="00D10656">
      <w:pPr>
        <w:spacing w:line="360" w:lineRule="auto"/>
        <w:jc w:val="both"/>
        <w:rPr>
          <w:rFonts w:ascii="Arial" w:hAnsi="Arial" w:cs="Arial"/>
        </w:rPr>
      </w:pPr>
      <w:r w:rsidRPr="00211961">
        <w:rPr>
          <w:rFonts w:ascii="Arial" w:hAnsi="Arial" w:cs="Arial"/>
        </w:rPr>
        <w:t xml:space="preserve">In conclusion, we have shown that not being married or cohabiting was related to increased risk of fracture in this </w:t>
      </w:r>
      <w:r w:rsidR="00E02EBE">
        <w:rPr>
          <w:rFonts w:ascii="Arial" w:hAnsi="Arial" w:cs="Arial"/>
        </w:rPr>
        <w:t xml:space="preserve">community-dwelling older </w:t>
      </w:r>
      <w:r w:rsidRPr="00211961">
        <w:rPr>
          <w:rFonts w:ascii="Arial" w:hAnsi="Arial" w:cs="Arial"/>
        </w:rPr>
        <w:t>cohort, possibly due to the greater prevalence of poor health behaviours and socioeconomic deprivation in this group. Intervention strategies to improve lifestyle factors and overall health in this group may reduce the occurrence of fractures and other adverse health outcomes.</w:t>
      </w:r>
    </w:p>
    <w:p w14:paraId="647713B4" w14:textId="77777777" w:rsidR="00D10656" w:rsidRDefault="00D10656" w:rsidP="00D10656">
      <w:pPr>
        <w:spacing w:line="360" w:lineRule="auto"/>
        <w:jc w:val="both"/>
        <w:rPr>
          <w:rFonts w:ascii="Arial" w:hAnsi="Arial" w:cs="Arial"/>
        </w:rPr>
      </w:pPr>
    </w:p>
    <w:p w14:paraId="70480DE0" w14:textId="283716EC" w:rsidR="003E6F65" w:rsidRPr="00D10656" w:rsidRDefault="003E6F65" w:rsidP="00D10656">
      <w:pPr>
        <w:spacing w:line="360" w:lineRule="auto"/>
        <w:jc w:val="both"/>
        <w:rPr>
          <w:rFonts w:ascii="Arial" w:hAnsi="Arial" w:cs="Arial"/>
          <w:b/>
          <w:bCs/>
        </w:rPr>
      </w:pPr>
      <w:bookmarkStart w:id="20" w:name="_Hlk151362958"/>
      <w:r w:rsidRPr="00D10656">
        <w:rPr>
          <w:rFonts w:ascii="Arial" w:hAnsi="Arial" w:cs="Arial"/>
          <w:b/>
          <w:bCs/>
        </w:rPr>
        <w:lastRenderedPageBreak/>
        <w:t>Acknowledgements</w:t>
      </w:r>
    </w:p>
    <w:p w14:paraId="6D3595C2" w14:textId="7C25C34D" w:rsidR="003E6F65" w:rsidRPr="003E6F65" w:rsidRDefault="00D10656" w:rsidP="00D10656">
      <w:pPr>
        <w:spacing w:line="360" w:lineRule="auto"/>
        <w:jc w:val="both"/>
        <w:rPr>
          <w:rFonts w:ascii="Arial" w:hAnsi="Arial" w:cs="Arial"/>
        </w:rPr>
      </w:pPr>
      <w:r w:rsidRPr="00D10656">
        <w:rPr>
          <w:rFonts w:ascii="Arial" w:hAnsi="Arial" w:cs="Arial"/>
        </w:rPr>
        <w:t>The Hertfordshire Cohort Study was supported by the Medical Research Council University Unit Partnership grant number MRC_MC_UP_A620_1014. The authors were supported by the UK Medical Research Council [MC_PC_21003; MC_PC_21001].</w:t>
      </w:r>
    </w:p>
    <w:bookmarkEnd w:id="20"/>
    <w:p w14:paraId="0CB068B1" w14:textId="77777777" w:rsidR="00D10656" w:rsidRDefault="00D10656" w:rsidP="00D10656">
      <w:pPr>
        <w:spacing w:line="360" w:lineRule="auto"/>
        <w:jc w:val="both"/>
        <w:rPr>
          <w:rFonts w:ascii="Arial" w:hAnsi="Arial" w:cs="Arial"/>
          <w:b/>
          <w:bCs/>
        </w:rPr>
      </w:pPr>
    </w:p>
    <w:p w14:paraId="2EB3289D" w14:textId="4A4D25D0" w:rsidR="003E6F65" w:rsidRPr="00D10656" w:rsidRDefault="003E6F65" w:rsidP="00D10656">
      <w:pPr>
        <w:spacing w:line="360" w:lineRule="auto"/>
        <w:jc w:val="both"/>
        <w:rPr>
          <w:rFonts w:ascii="Arial" w:hAnsi="Arial" w:cs="Arial"/>
          <w:b/>
          <w:bCs/>
        </w:rPr>
      </w:pPr>
      <w:r w:rsidRPr="00D10656">
        <w:rPr>
          <w:rFonts w:ascii="Arial" w:hAnsi="Arial" w:cs="Arial"/>
          <w:b/>
          <w:bCs/>
        </w:rPr>
        <w:t>Author Contributions</w:t>
      </w:r>
    </w:p>
    <w:p w14:paraId="255EC4F8" w14:textId="31FCA5F7" w:rsidR="003E6F65" w:rsidRDefault="00D10656" w:rsidP="00D10656">
      <w:pPr>
        <w:spacing w:line="360" w:lineRule="auto"/>
        <w:jc w:val="both"/>
        <w:rPr>
          <w:rFonts w:ascii="Arial" w:hAnsi="Arial" w:cs="Arial"/>
        </w:rPr>
      </w:pPr>
      <w:r w:rsidRPr="00D10656">
        <w:rPr>
          <w:rFonts w:ascii="Arial" w:hAnsi="Arial" w:cs="Arial"/>
        </w:rPr>
        <w:t xml:space="preserve">KAW, CC and EMD were involved in the design and conception of the study. </w:t>
      </w:r>
      <w:r w:rsidR="00A47D33">
        <w:rPr>
          <w:rFonts w:ascii="Arial" w:hAnsi="Arial" w:cs="Arial"/>
        </w:rPr>
        <w:t xml:space="preserve">LDW conducted the statistical analysis. </w:t>
      </w:r>
      <w:r w:rsidRPr="00D10656">
        <w:rPr>
          <w:rFonts w:ascii="Arial" w:hAnsi="Arial" w:cs="Arial"/>
        </w:rPr>
        <w:t xml:space="preserve">LDW, CP and EMD drafted the first version of the manuscript. </w:t>
      </w:r>
      <w:r w:rsidR="00A47D33">
        <w:rPr>
          <w:rFonts w:ascii="Arial" w:hAnsi="Arial" w:cs="Arial"/>
        </w:rPr>
        <w:t xml:space="preserve">GB and NRF revised the first draft of the manuscript. </w:t>
      </w:r>
      <w:r w:rsidRPr="00D10656">
        <w:rPr>
          <w:rFonts w:ascii="Arial" w:hAnsi="Arial" w:cs="Arial"/>
        </w:rPr>
        <w:t>All authors made substantial contributions to the manuscript and approved the final version.</w:t>
      </w:r>
    </w:p>
    <w:p w14:paraId="53C274CF" w14:textId="77777777" w:rsidR="00D10656" w:rsidRPr="003E6F65" w:rsidRDefault="00D10656" w:rsidP="00D10656">
      <w:pPr>
        <w:spacing w:line="360" w:lineRule="auto"/>
        <w:jc w:val="both"/>
        <w:rPr>
          <w:rFonts w:ascii="Arial" w:hAnsi="Arial" w:cs="Arial"/>
        </w:rPr>
      </w:pPr>
    </w:p>
    <w:p w14:paraId="72908181" w14:textId="77777777" w:rsidR="003E6F65" w:rsidRPr="00D10656" w:rsidRDefault="003E6F65" w:rsidP="00D10656">
      <w:pPr>
        <w:spacing w:line="360" w:lineRule="auto"/>
        <w:jc w:val="both"/>
        <w:rPr>
          <w:rFonts w:ascii="Arial" w:hAnsi="Arial" w:cs="Arial"/>
          <w:b/>
          <w:bCs/>
        </w:rPr>
      </w:pPr>
      <w:r w:rsidRPr="00D10656">
        <w:rPr>
          <w:rFonts w:ascii="Arial" w:hAnsi="Arial" w:cs="Arial"/>
          <w:b/>
          <w:bCs/>
        </w:rPr>
        <w:t>Compliance with Ethical Standards</w:t>
      </w:r>
    </w:p>
    <w:p w14:paraId="2CC517EB" w14:textId="77777777" w:rsidR="003E6F65" w:rsidRPr="00D10656" w:rsidRDefault="003E6F65" w:rsidP="00D10656">
      <w:pPr>
        <w:spacing w:line="360" w:lineRule="auto"/>
        <w:jc w:val="both"/>
        <w:rPr>
          <w:rFonts w:ascii="Arial" w:hAnsi="Arial" w:cs="Arial"/>
          <w:i/>
          <w:iCs/>
        </w:rPr>
      </w:pPr>
      <w:r w:rsidRPr="00D10656">
        <w:rPr>
          <w:rFonts w:ascii="Arial" w:hAnsi="Arial" w:cs="Arial"/>
          <w:i/>
          <w:iCs/>
        </w:rPr>
        <w:t>Conflict of interest</w:t>
      </w:r>
    </w:p>
    <w:p w14:paraId="6C55CD1E" w14:textId="1368578A" w:rsidR="003E6F65" w:rsidRDefault="00D10656" w:rsidP="00D10656">
      <w:pPr>
        <w:spacing w:line="360" w:lineRule="auto"/>
        <w:jc w:val="both"/>
        <w:rPr>
          <w:rFonts w:ascii="Arial" w:hAnsi="Arial" w:cs="Arial"/>
        </w:rPr>
      </w:pPr>
      <w:r w:rsidRPr="00D10656">
        <w:rPr>
          <w:rFonts w:ascii="Arial" w:hAnsi="Arial" w:cs="Arial"/>
        </w:rPr>
        <w:t xml:space="preserve">EMD declares consultancy and speaker fees from Pfizer, UCB and Lilly. </w:t>
      </w:r>
      <w:r w:rsidR="00076C7B" w:rsidRPr="00076C7B">
        <w:rPr>
          <w:rFonts w:ascii="Arial" w:hAnsi="Arial" w:cs="Arial"/>
        </w:rPr>
        <w:t xml:space="preserve">NRF declares speaker fees for </w:t>
      </w:r>
      <w:proofErr w:type="spellStart"/>
      <w:r w:rsidR="00076C7B" w:rsidRPr="00076C7B">
        <w:rPr>
          <w:rFonts w:ascii="Arial" w:hAnsi="Arial" w:cs="Arial"/>
        </w:rPr>
        <w:t>Viatris</w:t>
      </w:r>
      <w:proofErr w:type="spellEnd"/>
      <w:r w:rsidR="00076C7B" w:rsidRPr="00076C7B">
        <w:rPr>
          <w:rFonts w:ascii="Arial" w:hAnsi="Arial" w:cs="Arial"/>
        </w:rPr>
        <w:t xml:space="preserve"> and travel bursaries from Pfizer and Eli Lilly.</w:t>
      </w:r>
      <w:r w:rsidR="00076C7B">
        <w:rPr>
          <w:rFonts w:ascii="Arial" w:hAnsi="Arial" w:cs="Arial"/>
        </w:rPr>
        <w:t xml:space="preserve"> </w:t>
      </w:r>
      <w:r w:rsidRPr="00D10656">
        <w:rPr>
          <w:rFonts w:ascii="Arial" w:hAnsi="Arial" w:cs="Arial"/>
        </w:rPr>
        <w:t>KAW</w:t>
      </w:r>
      <w:r w:rsidR="00535D6A">
        <w:rPr>
          <w:rFonts w:ascii="Arial" w:hAnsi="Arial" w:cs="Arial"/>
        </w:rPr>
        <w:t xml:space="preserve">, </w:t>
      </w:r>
      <w:proofErr w:type="gramStart"/>
      <w:r w:rsidR="00535D6A">
        <w:rPr>
          <w:rFonts w:ascii="Arial" w:hAnsi="Arial" w:cs="Arial"/>
        </w:rPr>
        <w:t>GB</w:t>
      </w:r>
      <w:proofErr w:type="gramEnd"/>
      <w:r w:rsidR="00535D6A">
        <w:rPr>
          <w:rFonts w:ascii="Arial" w:hAnsi="Arial" w:cs="Arial"/>
        </w:rPr>
        <w:t xml:space="preserve"> and </w:t>
      </w:r>
      <w:r w:rsidRPr="00D10656">
        <w:rPr>
          <w:rFonts w:ascii="Arial" w:hAnsi="Arial" w:cs="Arial"/>
        </w:rPr>
        <w:t>CP declare no conflicts of interest.</w:t>
      </w:r>
      <w:r w:rsidRPr="00D10656">
        <w:t xml:space="preserve"> </w:t>
      </w:r>
      <w:r w:rsidRPr="00D10656">
        <w:rPr>
          <w:rFonts w:ascii="Arial" w:hAnsi="Arial" w:cs="Arial"/>
        </w:rPr>
        <w:t>CC, EMD, NRF, and LDW are on the Editorial Board for Calcified Tissue International</w:t>
      </w:r>
      <w:r w:rsidR="0061105E">
        <w:rPr>
          <w:rFonts w:ascii="Arial" w:hAnsi="Arial" w:cs="Arial"/>
        </w:rPr>
        <w:t xml:space="preserve"> and Musculoskeletal Research</w:t>
      </w:r>
      <w:r w:rsidRPr="00D10656">
        <w:rPr>
          <w:rFonts w:ascii="Arial" w:hAnsi="Arial" w:cs="Arial"/>
        </w:rPr>
        <w:t>.</w:t>
      </w:r>
    </w:p>
    <w:p w14:paraId="25742EB2" w14:textId="77777777" w:rsidR="00D10656" w:rsidRPr="003E6F65" w:rsidRDefault="00D10656" w:rsidP="00D10656">
      <w:pPr>
        <w:spacing w:line="360" w:lineRule="auto"/>
        <w:jc w:val="both"/>
        <w:rPr>
          <w:rFonts w:ascii="Arial" w:hAnsi="Arial" w:cs="Arial"/>
        </w:rPr>
      </w:pPr>
    </w:p>
    <w:p w14:paraId="32AAFAF3" w14:textId="77777777" w:rsidR="003E6F65" w:rsidRPr="00D10656" w:rsidRDefault="003E6F65" w:rsidP="00D10656">
      <w:pPr>
        <w:spacing w:line="360" w:lineRule="auto"/>
        <w:jc w:val="both"/>
        <w:rPr>
          <w:rFonts w:ascii="Arial" w:hAnsi="Arial" w:cs="Arial"/>
          <w:i/>
          <w:iCs/>
        </w:rPr>
      </w:pPr>
      <w:r w:rsidRPr="00D10656">
        <w:rPr>
          <w:rFonts w:ascii="Arial" w:hAnsi="Arial" w:cs="Arial"/>
          <w:i/>
          <w:iCs/>
        </w:rPr>
        <w:t>Ethical Approval</w:t>
      </w:r>
    </w:p>
    <w:p w14:paraId="646A0A47" w14:textId="5B3CB610" w:rsidR="003E6F65" w:rsidRPr="003E6F65" w:rsidRDefault="003E6F65" w:rsidP="00D10656">
      <w:pPr>
        <w:spacing w:line="360" w:lineRule="auto"/>
        <w:jc w:val="both"/>
        <w:rPr>
          <w:rFonts w:ascii="Arial" w:hAnsi="Arial" w:cs="Arial"/>
        </w:rPr>
      </w:pPr>
      <w:r w:rsidRPr="003E6F65">
        <w:rPr>
          <w:rFonts w:ascii="Arial" w:hAnsi="Arial" w:cs="Arial"/>
        </w:rPr>
        <w:t xml:space="preserve">The study was approved by </w:t>
      </w:r>
      <w:r>
        <w:rPr>
          <w:rFonts w:ascii="Arial" w:hAnsi="Arial" w:cs="Arial"/>
        </w:rPr>
        <w:t xml:space="preserve">the </w:t>
      </w:r>
      <w:r w:rsidRPr="003E6F65">
        <w:rPr>
          <w:rFonts w:ascii="Arial" w:hAnsi="Arial" w:cs="Arial"/>
        </w:rPr>
        <w:t>Hertfordshire and Bedfordshire Local Research Ethics Committee and NHS Digital</w:t>
      </w:r>
      <w:r>
        <w:rPr>
          <w:rFonts w:ascii="Arial" w:hAnsi="Arial" w:cs="Arial"/>
        </w:rPr>
        <w:t>.</w:t>
      </w:r>
    </w:p>
    <w:p w14:paraId="53192301" w14:textId="77777777" w:rsidR="003E6F65" w:rsidRPr="003E6F65" w:rsidRDefault="003E6F65" w:rsidP="00D10656">
      <w:pPr>
        <w:spacing w:line="360" w:lineRule="auto"/>
        <w:jc w:val="both"/>
        <w:rPr>
          <w:rFonts w:ascii="Arial" w:hAnsi="Arial" w:cs="Arial"/>
        </w:rPr>
      </w:pPr>
    </w:p>
    <w:p w14:paraId="0660B5B5" w14:textId="77777777" w:rsidR="003E6F65" w:rsidRPr="00D10656" w:rsidRDefault="003E6F65" w:rsidP="00D10656">
      <w:pPr>
        <w:spacing w:line="360" w:lineRule="auto"/>
        <w:jc w:val="both"/>
        <w:rPr>
          <w:rFonts w:ascii="Arial" w:hAnsi="Arial" w:cs="Arial"/>
          <w:i/>
          <w:iCs/>
        </w:rPr>
      </w:pPr>
      <w:r w:rsidRPr="00D10656">
        <w:rPr>
          <w:rFonts w:ascii="Arial" w:hAnsi="Arial" w:cs="Arial"/>
          <w:i/>
          <w:iCs/>
        </w:rPr>
        <w:t>Human and Animal Rights</w:t>
      </w:r>
    </w:p>
    <w:p w14:paraId="555182E3" w14:textId="653FB05A" w:rsidR="003E6F65" w:rsidRDefault="003E6F65" w:rsidP="00D10656">
      <w:pPr>
        <w:spacing w:line="360" w:lineRule="auto"/>
        <w:jc w:val="both"/>
        <w:rPr>
          <w:rFonts w:ascii="Arial" w:hAnsi="Arial" w:cs="Arial"/>
        </w:rPr>
      </w:pPr>
      <w:r w:rsidRPr="003E6F65">
        <w:rPr>
          <w:rFonts w:ascii="Arial" w:hAnsi="Arial" w:cs="Arial"/>
        </w:rPr>
        <w:t>All procedures performed in studies involving human participants were in accordance with the ethical standards of the institutional and/or national research committee and with the 1964 Helsinki declaration and its later amendments or comparable ethical standards.</w:t>
      </w:r>
    </w:p>
    <w:p w14:paraId="575D4D47" w14:textId="77777777" w:rsidR="00D10656" w:rsidRPr="003E6F65" w:rsidRDefault="00D10656" w:rsidP="00D10656">
      <w:pPr>
        <w:spacing w:line="360" w:lineRule="auto"/>
        <w:jc w:val="both"/>
        <w:rPr>
          <w:rFonts w:ascii="Arial" w:hAnsi="Arial" w:cs="Arial"/>
        </w:rPr>
      </w:pPr>
    </w:p>
    <w:p w14:paraId="33172B90" w14:textId="77777777" w:rsidR="003E6F65" w:rsidRPr="00D10656" w:rsidRDefault="003E6F65" w:rsidP="00D10656">
      <w:pPr>
        <w:spacing w:line="360" w:lineRule="auto"/>
        <w:jc w:val="both"/>
        <w:rPr>
          <w:rFonts w:ascii="Arial" w:hAnsi="Arial" w:cs="Arial"/>
          <w:i/>
          <w:iCs/>
        </w:rPr>
      </w:pPr>
      <w:r w:rsidRPr="00D10656">
        <w:rPr>
          <w:rFonts w:ascii="Arial" w:hAnsi="Arial" w:cs="Arial"/>
          <w:i/>
          <w:iCs/>
        </w:rPr>
        <w:t>Informed Consent</w:t>
      </w:r>
    </w:p>
    <w:p w14:paraId="2F6B008E" w14:textId="1AEEF8C6" w:rsidR="0024502D" w:rsidRPr="0024502D" w:rsidRDefault="003E6F65" w:rsidP="00D10656">
      <w:pPr>
        <w:spacing w:line="360" w:lineRule="auto"/>
        <w:jc w:val="both"/>
        <w:rPr>
          <w:rFonts w:ascii="Arial" w:hAnsi="Arial" w:cs="Arial"/>
        </w:rPr>
      </w:pPr>
      <w:r w:rsidRPr="003E6F65">
        <w:rPr>
          <w:rFonts w:ascii="Arial" w:hAnsi="Arial" w:cs="Arial"/>
        </w:rPr>
        <w:t>Written informed consent was provided by all participants.</w:t>
      </w:r>
    </w:p>
    <w:p w14:paraId="11785A1E" w14:textId="6E0EE46B" w:rsidR="00B05E78" w:rsidRPr="00EE0E6D" w:rsidRDefault="00EE0E6D" w:rsidP="00D10656">
      <w:pPr>
        <w:spacing w:after="200" w:line="360" w:lineRule="auto"/>
        <w:jc w:val="both"/>
        <w:rPr>
          <w:rFonts w:ascii="Arial" w:eastAsia="Arial" w:hAnsi="Arial" w:cs="Arial"/>
          <w:b/>
          <w:bCs/>
        </w:rPr>
      </w:pPr>
      <w:r w:rsidRPr="00EE0E6D">
        <w:rPr>
          <w:rFonts w:ascii="Arial" w:eastAsia="Arial" w:hAnsi="Arial" w:cs="Arial"/>
          <w:b/>
          <w:bCs/>
        </w:rPr>
        <w:lastRenderedPageBreak/>
        <w:t>References</w:t>
      </w:r>
    </w:p>
    <w:p w14:paraId="73E60598" w14:textId="67AEF645" w:rsidR="00D879A7" w:rsidRPr="00D879A7" w:rsidRDefault="00B05E78" w:rsidP="00D879A7">
      <w:pPr>
        <w:pStyle w:val="EndNoteBibliography"/>
        <w:spacing w:after="0"/>
        <w:ind w:left="720" w:hanging="720"/>
      </w:pPr>
      <w:r>
        <w:rPr>
          <w:rFonts w:ascii="Arial" w:eastAsia="Arial" w:hAnsi="Arial" w:cs="Arial"/>
        </w:rPr>
        <w:fldChar w:fldCharType="begin"/>
      </w:r>
      <w:r>
        <w:rPr>
          <w:rFonts w:ascii="Arial" w:eastAsia="Arial" w:hAnsi="Arial" w:cs="Arial"/>
        </w:rPr>
        <w:instrText xml:space="preserve"> ADDIN EN.REFLIST </w:instrText>
      </w:r>
      <w:r>
        <w:rPr>
          <w:rFonts w:ascii="Arial" w:eastAsia="Arial" w:hAnsi="Arial" w:cs="Arial"/>
        </w:rPr>
        <w:fldChar w:fldCharType="separate"/>
      </w:r>
      <w:r w:rsidR="00D879A7" w:rsidRPr="00D879A7">
        <w:t>1.</w:t>
      </w:r>
      <w:r w:rsidR="00D879A7" w:rsidRPr="00D879A7">
        <w:tab/>
        <w:t xml:space="preserve">Couris CM, Chapurlat RD, Kanis JA, Johansson H, Burlet N, Delmas PD, Schott AM (2012) FRAX® probabilities and risk of major osteoporotic fracture in France. Osteoporosis International 23(9):2321-2327. </w:t>
      </w:r>
      <w:hyperlink r:id="rId12" w:history="1">
        <w:r w:rsidR="00D879A7" w:rsidRPr="00D879A7">
          <w:rPr>
            <w:rStyle w:val="Hyperlink"/>
          </w:rPr>
          <w:t>https://doi.org/10.1007/s00198-011-1883-8</w:t>
        </w:r>
      </w:hyperlink>
    </w:p>
    <w:p w14:paraId="432EE1C4" w14:textId="6C8E29A8" w:rsidR="00D879A7" w:rsidRPr="00D879A7" w:rsidRDefault="00D879A7" w:rsidP="00D879A7">
      <w:pPr>
        <w:pStyle w:val="EndNoteBibliography"/>
        <w:spacing w:after="0"/>
        <w:ind w:left="720" w:hanging="720"/>
      </w:pPr>
      <w:r w:rsidRPr="00D879A7">
        <w:t>2.</w:t>
      </w:r>
      <w:r w:rsidRPr="00D879A7">
        <w:tab/>
        <w:t xml:space="preserve">Hernlund E, Svedbom A, Ivergård M, Compston J, Cooper C, Stenmark J, McCloskey EV, et al. (2013) Osteoporosis in the European Union: medical management, epidemiology and economic burden. A report prepared in collaboration with the International Osteoporosis Foundation (IOF) and the European Federation of Pharmaceutical Industry Associations (EFPIA). Archives of Osteoporosis 8(1):136. </w:t>
      </w:r>
      <w:hyperlink r:id="rId13" w:history="1">
        <w:r w:rsidRPr="00D879A7">
          <w:rPr>
            <w:rStyle w:val="Hyperlink"/>
          </w:rPr>
          <w:t>https://doi.org/10.1007/s11657-013-0136-1</w:t>
        </w:r>
      </w:hyperlink>
    </w:p>
    <w:p w14:paraId="650F229C" w14:textId="73FA5A0B" w:rsidR="00D879A7" w:rsidRPr="00D879A7" w:rsidRDefault="00D879A7" w:rsidP="00D879A7">
      <w:pPr>
        <w:pStyle w:val="EndNoteBibliography"/>
        <w:spacing w:after="0"/>
        <w:ind w:left="720" w:hanging="720"/>
      </w:pPr>
      <w:r w:rsidRPr="00D879A7">
        <w:t>3.</w:t>
      </w:r>
      <w:r w:rsidRPr="00D879A7">
        <w:tab/>
        <w:t xml:space="preserve">Manzoli L, Villari P, Pirone GM, Boccia A (2007) Marital status and mortality in the elderly: a systematic review and meta-analysis. Social Science &amp; Medicine 64(1):77-94. </w:t>
      </w:r>
      <w:hyperlink r:id="rId14" w:history="1">
        <w:r w:rsidRPr="00D879A7">
          <w:rPr>
            <w:rStyle w:val="Hyperlink"/>
          </w:rPr>
          <w:t>https://doi.org/10.1016/j.socscimed.2006.08.031</w:t>
        </w:r>
      </w:hyperlink>
    </w:p>
    <w:p w14:paraId="082ECC0E" w14:textId="52AE6D63" w:rsidR="00D879A7" w:rsidRPr="00D879A7" w:rsidRDefault="00D879A7" w:rsidP="00D879A7">
      <w:pPr>
        <w:pStyle w:val="EndNoteBibliography"/>
        <w:spacing w:after="0"/>
        <w:ind w:left="720" w:hanging="720"/>
      </w:pPr>
      <w:r w:rsidRPr="00D879A7">
        <w:t>4.</w:t>
      </w:r>
      <w:r w:rsidRPr="00D879A7">
        <w:tab/>
        <w:t xml:space="preserve">Chen R, Zhan Y, Pedersen N, Fall K, Valdimarsdóttir UA, Hägg S, Fang F (2020) Marital status, telomere length and cardiovascular disease risk in a Swedish prospective cohort. Heart 106(4):267-272. </w:t>
      </w:r>
      <w:hyperlink r:id="rId15" w:history="1">
        <w:r w:rsidRPr="00D879A7">
          <w:rPr>
            <w:rStyle w:val="Hyperlink"/>
          </w:rPr>
          <w:t>https://doi.org/10.1136/heartjnl-2019-315629</w:t>
        </w:r>
      </w:hyperlink>
    </w:p>
    <w:p w14:paraId="767A6B73" w14:textId="1F88231D" w:rsidR="00D879A7" w:rsidRPr="00D879A7" w:rsidRDefault="00D879A7" w:rsidP="00D879A7">
      <w:pPr>
        <w:pStyle w:val="EndNoteBibliography"/>
        <w:spacing w:after="0"/>
        <w:ind w:left="720" w:hanging="720"/>
      </w:pPr>
      <w:r w:rsidRPr="00D879A7">
        <w:t>5.</w:t>
      </w:r>
      <w:r w:rsidRPr="00D879A7">
        <w:tab/>
        <w:t xml:space="preserve">Jin Choi E, Kim SA, Kim NR, Rhee J-A, Yun Y-W, Shin M-H (2014) Risk factors for falls in older Korean adults: the 2011 Community Health Survey. Journal of Korean Medical Science 29(11):1482-1487. </w:t>
      </w:r>
      <w:hyperlink r:id="rId16" w:history="1">
        <w:r w:rsidRPr="00D879A7">
          <w:rPr>
            <w:rStyle w:val="Hyperlink"/>
          </w:rPr>
          <w:t>https://doi.org/10.3346/jkms.2014.29.11.1482</w:t>
        </w:r>
      </w:hyperlink>
    </w:p>
    <w:p w14:paraId="48DE995A" w14:textId="3DE4AA27" w:rsidR="00D879A7" w:rsidRPr="00D879A7" w:rsidRDefault="00D879A7" w:rsidP="00D879A7">
      <w:pPr>
        <w:pStyle w:val="EndNoteBibliography"/>
        <w:spacing w:after="0"/>
        <w:ind w:left="720" w:hanging="720"/>
      </w:pPr>
      <w:r w:rsidRPr="00D879A7">
        <w:t>6.</w:t>
      </w:r>
      <w:r w:rsidRPr="00D879A7">
        <w:tab/>
        <w:t xml:space="preserve">Benetou V, Orfanos P, Feskanich D, Michaëlsson K, Pettersson-Kymmer U, Ahmed LA, Peasey A, et al. (2015) Education, marital status, and risk of hip fractures in older men and women: the CHANCES project. Osteoporosis International 26(6):1733-1746. </w:t>
      </w:r>
      <w:hyperlink r:id="rId17" w:history="1">
        <w:r w:rsidRPr="00D879A7">
          <w:rPr>
            <w:rStyle w:val="Hyperlink"/>
          </w:rPr>
          <w:t>https://doi.org/10.1007/s00198-015-3054-9</w:t>
        </w:r>
      </w:hyperlink>
    </w:p>
    <w:p w14:paraId="767E2C10" w14:textId="64366D40" w:rsidR="00D879A7" w:rsidRPr="00D879A7" w:rsidRDefault="00D879A7" w:rsidP="00D879A7">
      <w:pPr>
        <w:pStyle w:val="EndNoteBibliography"/>
        <w:spacing w:after="0"/>
        <w:ind w:left="720" w:hanging="720"/>
      </w:pPr>
      <w:r w:rsidRPr="00D879A7">
        <w:t>7.</w:t>
      </w:r>
      <w:r w:rsidRPr="00D879A7">
        <w:tab/>
        <w:t xml:space="preserve">Hökby A, Reimers A, Laflamme L (2003) Hip fractures among older people: do marital status and type of residence matter? Public Health 117(3):196-201. </w:t>
      </w:r>
      <w:hyperlink r:id="rId18" w:history="1">
        <w:r w:rsidRPr="00D879A7">
          <w:rPr>
            <w:rStyle w:val="Hyperlink"/>
          </w:rPr>
          <w:t>https://doi.org/10.1016/S0033-3506(03)00033-7</w:t>
        </w:r>
      </w:hyperlink>
    </w:p>
    <w:p w14:paraId="2D701319" w14:textId="2076AE76" w:rsidR="00D879A7" w:rsidRPr="00D879A7" w:rsidRDefault="00D879A7" w:rsidP="00D879A7">
      <w:pPr>
        <w:pStyle w:val="EndNoteBibliography"/>
        <w:spacing w:after="0"/>
        <w:ind w:left="720" w:hanging="720"/>
      </w:pPr>
      <w:r w:rsidRPr="00D879A7">
        <w:t>8.</w:t>
      </w:r>
      <w:r w:rsidRPr="00D879A7">
        <w:tab/>
        <w:t xml:space="preserve">Farahmand BY, Persson PG, Michaëlsson K, Baron JA, Parker MG, Ljunghall S, Swedish Hip Fracture Study Group (2000) Socioeconomic status, marital status and hip fracture risk: a population-based case-control study. Osteoporosis International 11(9):803-808. </w:t>
      </w:r>
      <w:hyperlink r:id="rId19" w:history="1">
        <w:r w:rsidRPr="00D879A7">
          <w:rPr>
            <w:rStyle w:val="Hyperlink"/>
          </w:rPr>
          <w:t>https://doi.org/10.1007/s001980070060</w:t>
        </w:r>
      </w:hyperlink>
    </w:p>
    <w:p w14:paraId="404C657F" w14:textId="377ED97A" w:rsidR="00D879A7" w:rsidRPr="00D879A7" w:rsidRDefault="00D879A7" w:rsidP="00D879A7">
      <w:pPr>
        <w:pStyle w:val="EndNoteBibliography"/>
        <w:spacing w:after="0"/>
        <w:ind w:left="720" w:hanging="720"/>
      </w:pPr>
      <w:r w:rsidRPr="00D879A7">
        <w:t>9.</w:t>
      </w:r>
      <w:r w:rsidRPr="00D879A7">
        <w:tab/>
        <w:t xml:space="preserve">Guilley E, Herrmann F, Rapin C-H, Hoffmeyer P, Rizzoli R, Chevalley T (2011) Socioeconomic and living conditions are determinants of hip fracture incidence and age occurrence among community-dwelling elderly. Osteoporosis International 22(2):647-653. </w:t>
      </w:r>
      <w:hyperlink r:id="rId20" w:history="1">
        <w:r w:rsidRPr="00D879A7">
          <w:rPr>
            <w:rStyle w:val="Hyperlink"/>
          </w:rPr>
          <w:t>https://doi.org/10.1007/s00198-010-1287-1</w:t>
        </w:r>
      </w:hyperlink>
    </w:p>
    <w:p w14:paraId="448797BC" w14:textId="67D97B3C" w:rsidR="00D879A7" w:rsidRPr="00D879A7" w:rsidRDefault="00D879A7" w:rsidP="00D879A7">
      <w:pPr>
        <w:pStyle w:val="EndNoteBibliography"/>
        <w:spacing w:after="0"/>
        <w:ind w:left="720" w:hanging="720"/>
      </w:pPr>
      <w:r w:rsidRPr="00D879A7">
        <w:t>10.</w:t>
      </w:r>
      <w:r w:rsidRPr="00D879A7">
        <w:tab/>
        <w:t xml:space="preserve">Kanis J, Johnell O, Oden A, Johansson H, McCloskey E (2008) FRAX™ and the assessment of fracture probability in men and women from the UK. Osteoporos International 19(4):385-397. </w:t>
      </w:r>
      <w:hyperlink r:id="rId21" w:history="1">
        <w:r w:rsidRPr="00D879A7">
          <w:rPr>
            <w:rStyle w:val="Hyperlink"/>
          </w:rPr>
          <w:t>https://doi.org/10.1007/s00198-007-0543-5</w:t>
        </w:r>
      </w:hyperlink>
    </w:p>
    <w:p w14:paraId="24D74201" w14:textId="53A34BDA" w:rsidR="00D879A7" w:rsidRPr="00D879A7" w:rsidRDefault="00D879A7" w:rsidP="00D879A7">
      <w:pPr>
        <w:pStyle w:val="EndNoteBibliography"/>
        <w:spacing w:after="0"/>
        <w:ind w:left="720" w:hanging="720"/>
      </w:pPr>
      <w:r w:rsidRPr="00D879A7">
        <w:t>11.</w:t>
      </w:r>
      <w:r w:rsidRPr="00D879A7">
        <w:tab/>
        <w:t xml:space="preserve">Schoeppe S, Vandelanotte C, Rebar AL, Hayman M, Duncan MJ, Alley SJ (2018) Do singles or couples live healthier lifestyles? Trends in Queensland between 2005-2014. PloS one 13(2):e0192584. </w:t>
      </w:r>
      <w:hyperlink r:id="rId22" w:history="1">
        <w:r w:rsidRPr="00D879A7">
          <w:rPr>
            <w:rStyle w:val="Hyperlink"/>
          </w:rPr>
          <w:t>https://doi.org/10.1371/journal.pone.0192584</w:t>
        </w:r>
      </w:hyperlink>
    </w:p>
    <w:p w14:paraId="01785703" w14:textId="683F8EE8" w:rsidR="00D879A7" w:rsidRPr="00D879A7" w:rsidRDefault="00D879A7" w:rsidP="00D879A7">
      <w:pPr>
        <w:pStyle w:val="EndNoteBibliography"/>
        <w:spacing w:after="0"/>
        <w:ind w:left="720" w:hanging="720"/>
      </w:pPr>
      <w:r w:rsidRPr="00D879A7">
        <w:t>12.</w:t>
      </w:r>
      <w:r w:rsidRPr="00D879A7">
        <w:tab/>
        <w:t xml:space="preserve">Watt RG, Heilmann A, Sabbah W, Newton T, Chandola T, Aida J, Sheiham A, et al. (2014) Social relationships and health related behaviors among older US adults. BMC Public Health 14(1):533. </w:t>
      </w:r>
      <w:hyperlink r:id="rId23" w:history="1">
        <w:r w:rsidRPr="00D879A7">
          <w:rPr>
            <w:rStyle w:val="Hyperlink"/>
          </w:rPr>
          <w:t>https://doi.org/10.1186/1471-2458-14-533</w:t>
        </w:r>
      </w:hyperlink>
    </w:p>
    <w:p w14:paraId="4DC5ED0F" w14:textId="0E42D3EB" w:rsidR="00D879A7" w:rsidRPr="00D879A7" w:rsidRDefault="00D879A7" w:rsidP="00D879A7">
      <w:pPr>
        <w:pStyle w:val="EndNoteBibliography"/>
        <w:spacing w:after="0"/>
        <w:ind w:left="720" w:hanging="720"/>
      </w:pPr>
      <w:r w:rsidRPr="00D879A7">
        <w:t>13.</w:t>
      </w:r>
      <w:r w:rsidRPr="00D879A7">
        <w:tab/>
        <w:t xml:space="preserve">Syddall HE, Sayer AA, Dennison EM, Martin HJ, Barker DJP, Cooper C (2005) Cohort profile: the Hertfordshire Cohort Study. International Journal of Epidemiology 34(6):1234-1242. </w:t>
      </w:r>
      <w:hyperlink r:id="rId24" w:history="1">
        <w:r w:rsidRPr="00D879A7">
          <w:rPr>
            <w:rStyle w:val="Hyperlink"/>
          </w:rPr>
          <w:t>https://doi.org/10.1093/ije/dyi127</w:t>
        </w:r>
      </w:hyperlink>
    </w:p>
    <w:p w14:paraId="5C49B449" w14:textId="25313B37" w:rsidR="00D879A7" w:rsidRPr="00D879A7" w:rsidRDefault="00D879A7" w:rsidP="00D879A7">
      <w:pPr>
        <w:pStyle w:val="EndNoteBibliography"/>
        <w:spacing w:after="0"/>
        <w:ind w:left="720" w:hanging="720"/>
      </w:pPr>
      <w:r w:rsidRPr="00D879A7">
        <w:t>14.</w:t>
      </w:r>
      <w:r w:rsidRPr="00D879A7">
        <w:tab/>
        <w:t xml:space="preserve">Syddall HE, Simmonds SJ, Carter SA, Robinson SM, Dennison EM, Cooper C, The Hertfordshire Cohort Study Research Group (2019) The Hertfordshire Cohort Study: an overview. F1000 Research 8(82). </w:t>
      </w:r>
      <w:hyperlink r:id="rId25" w:history="1">
        <w:r w:rsidRPr="00D879A7">
          <w:rPr>
            <w:rStyle w:val="Hyperlink"/>
          </w:rPr>
          <w:t>https://doi.org/10.12688/f1000research.17457.1</w:t>
        </w:r>
      </w:hyperlink>
    </w:p>
    <w:p w14:paraId="204DB8A3" w14:textId="020D88E8" w:rsidR="00D879A7" w:rsidRPr="00D879A7" w:rsidRDefault="00D879A7" w:rsidP="00D879A7">
      <w:pPr>
        <w:pStyle w:val="EndNoteBibliography"/>
        <w:spacing w:after="0"/>
        <w:ind w:left="720" w:hanging="720"/>
      </w:pPr>
      <w:r w:rsidRPr="00D879A7">
        <w:lastRenderedPageBreak/>
        <w:t>15.</w:t>
      </w:r>
      <w:r w:rsidRPr="00D879A7">
        <w:tab/>
        <w:t xml:space="preserve">Dallosso HM, Morgan K, Bassey EJ, Ebrahim SB, Fentem PH, Arie TH (1988) Levels of customary physical activity among the old and the very old living at home. Journal of Epidemiology and Community Health 42(2):121-127. </w:t>
      </w:r>
      <w:hyperlink r:id="rId26" w:history="1">
        <w:r w:rsidRPr="00D879A7">
          <w:rPr>
            <w:rStyle w:val="Hyperlink"/>
          </w:rPr>
          <w:t>https://doi.org/10.1136/jech.42.2.121</w:t>
        </w:r>
      </w:hyperlink>
    </w:p>
    <w:p w14:paraId="03B10867" w14:textId="77777777" w:rsidR="00D879A7" w:rsidRPr="00D879A7" w:rsidRDefault="00D879A7" w:rsidP="00D879A7">
      <w:pPr>
        <w:pStyle w:val="EndNoteBibliography"/>
        <w:spacing w:after="0"/>
        <w:ind w:left="720" w:hanging="720"/>
      </w:pPr>
      <w:r w:rsidRPr="00D879A7">
        <w:t>16.</w:t>
      </w:r>
      <w:r w:rsidRPr="00D879A7">
        <w:tab/>
        <w:t>Office of Population Censuses and Surveys. Standard occupational classification, Vol 1 Structure and definition of major, minor and unit groups. HMSO; London: 1990</w:t>
      </w:r>
    </w:p>
    <w:p w14:paraId="5B5E263D" w14:textId="3FA473D8" w:rsidR="00D879A7" w:rsidRPr="00D879A7" w:rsidRDefault="00D879A7" w:rsidP="00D879A7">
      <w:pPr>
        <w:pStyle w:val="EndNoteBibliography"/>
        <w:spacing w:after="0"/>
        <w:ind w:left="720" w:hanging="720"/>
      </w:pPr>
      <w:r w:rsidRPr="00D879A7">
        <w:t>17.</w:t>
      </w:r>
      <w:r w:rsidRPr="00D879A7">
        <w:tab/>
        <w:t xml:space="preserve">Simmonds SJ, Syddall HE, Walsh B, Evandrou M, Dennison EM, Cooper C, Sayer AA (2014) Understanding NHS hospital admissions in England: linkage of Hospital Episode Statistics to the Hertfordshire Cohort Study. Age and Ageing 43(5):653-660. </w:t>
      </w:r>
      <w:hyperlink r:id="rId27" w:history="1">
        <w:r w:rsidRPr="00D879A7">
          <w:rPr>
            <w:rStyle w:val="Hyperlink"/>
          </w:rPr>
          <w:t>https://doi.org/10.1093/ageing/afu020</w:t>
        </w:r>
      </w:hyperlink>
    </w:p>
    <w:p w14:paraId="12C031E1" w14:textId="2860FDB7" w:rsidR="00D879A7" w:rsidRPr="00D879A7" w:rsidRDefault="00D879A7" w:rsidP="00D879A7">
      <w:pPr>
        <w:pStyle w:val="EndNoteBibliography"/>
        <w:spacing w:after="0"/>
        <w:ind w:left="720" w:hanging="720"/>
      </w:pPr>
      <w:r w:rsidRPr="00D879A7">
        <w:t>18.</w:t>
      </w:r>
      <w:r w:rsidRPr="00D879A7">
        <w:tab/>
      </w:r>
      <w:bookmarkStart w:id="21" w:name="_Hlk157431091"/>
      <w:r w:rsidRPr="00D879A7">
        <w:t xml:space="preserve">Stubbs B, Mueller C, Gaughran F, Lally J, Vancampfort D, Lamb SE, Koyanagi A, et al. (2018) Predictors of falls and fractures leading to hospitalization in people with schizophrenia spectrum disorder: A large representative cohort study. Schizophrenia Research 201(1):70-78. </w:t>
      </w:r>
      <w:hyperlink r:id="rId28" w:history="1">
        <w:r w:rsidRPr="00D879A7">
          <w:rPr>
            <w:rStyle w:val="Hyperlink"/>
          </w:rPr>
          <w:t>https://doi.org/10.1016/j.schres.2018.05.010</w:t>
        </w:r>
      </w:hyperlink>
    </w:p>
    <w:p w14:paraId="7DE28B17" w14:textId="7FCF74B9" w:rsidR="00D879A7" w:rsidRPr="00D879A7" w:rsidRDefault="00D879A7" w:rsidP="00D879A7">
      <w:pPr>
        <w:pStyle w:val="EndNoteBibliography"/>
        <w:spacing w:after="0"/>
        <w:ind w:left="720" w:hanging="720"/>
      </w:pPr>
      <w:r w:rsidRPr="00D879A7">
        <w:t>19.</w:t>
      </w:r>
      <w:r w:rsidRPr="00D879A7">
        <w:tab/>
        <w:t xml:space="preserve">Sharma S, Mueller C, Stewart R, Veronese N, Vancampfort D, Koyanagi A, Lamb SE, et al. (2018) Predictors of Falls and Fractures Leading to Hospitalization in People With Dementia: A Representative Cohort Study. Journal of the American Medical Directors Association 19(7):607-612. </w:t>
      </w:r>
      <w:hyperlink r:id="rId29" w:history="1">
        <w:r w:rsidRPr="00D879A7">
          <w:rPr>
            <w:rStyle w:val="Hyperlink"/>
          </w:rPr>
          <w:t>https://doi.org/10.1016/j.jamda.2018.03.009</w:t>
        </w:r>
      </w:hyperlink>
    </w:p>
    <w:bookmarkEnd w:id="21"/>
    <w:p w14:paraId="13439382" w14:textId="4369BD99" w:rsidR="00D879A7" w:rsidRPr="00D879A7" w:rsidRDefault="00D879A7" w:rsidP="00D879A7">
      <w:pPr>
        <w:pStyle w:val="EndNoteBibliography"/>
        <w:spacing w:after="0"/>
        <w:ind w:left="720" w:hanging="720"/>
      </w:pPr>
      <w:r w:rsidRPr="00D879A7">
        <w:t>20.</w:t>
      </w:r>
      <w:r w:rsidRPr="00D879A7">
        <w:tab/>
        <w:t xml:space="preserve">Patel R, Bhimjiyani A, Ben-Shlomo Y, Gregson CL (2021) Social deprivation predicts adverse health outcomes after hospital admission with hip fracture in England. Osteoporosis International 32(6):1129-1141. </w:t>
      </w:r>
      <w:hyperlink r:id="rId30" w:history="1">
        <w:r w:rsidRPr="00D879A7">
          <w:rPr>
            <w:rStyle w:val="Hyperlink"/>
          </w:rPr>
          <w:t>https://doi.org/10.1007/s00198-020-05768-4</w:t>
        </w:r>
      </w:hyperlink>
    </w:p>
    <w:p w14:paraId="7F4462BF" w14:textId="4C16CBB4" w:rsidR="00D879A7" w:rsidRPr="00D879A7" w:rsidRDefault="00D879A7" w:rsidP="00D879A7">
      <w:pPr>
        <w:pStyle w:val="EndNoteBibliography"/>
        <w:spacing w:after="0"/>
        <w:ind w:left="720" w:hanging="720"/>
      </w:pPr>
      <w:r w:rsidRPr="00D879A7">
        <w:t>21.</w:t>
      </w:r>
      <w:r w:rsidRPr="00D879A7">
        <w:tab/>
        <w:t xml:space="preserve">Bhimjiyani A, Neuburger J, Jones T, Ben-Shlomo Y, Gregson CL (2018) The effect of social deprivation on hip fracture incidence in England has not changed over 14 years: an analysis of the English Hospital Episodes Statistics (2001-2015). Osteoporosis International 29(1):115-124. </w:t>
      </w:r>
      <w:hyperlink r:id="rId31" w:history="1">
        <w:r w:rsidRPr="00D879A7">
          <w:rPr>
            <w:rStyle w:val="Hyperlink"/>
          </w:rPr>
          <w:t>https://doi.org/10.1007/s00198-017-4238-2</w:t>
        </w:r>
      </w:hyperlink>
    </w:p>
    <w:p w14:paraId="666779B2" w14:textId="440DA025" w:rsidR="00D879A7" w:rsidRPr="00D879A7" w:rsidRDefault="00D879A7" w:rsidP="00D879A7">
      <w:pPr>
        <w:pStyle w:val="EndNoteBibliography"/>
        <w:spacing w:after="0"/>
        <w:ind w:left="720" w:hanging="720"/>
      </w:pPr>
      <w:r w:rsidRPr="00D879A7">
        <w:t>22.</w:t>
      </w:r>
      <w:r w:rsidRPr="00D879A7">
        <w:tab/>
        <w:t xml:space="preserve">Klop C, de Vries F, Bijlsma JWJ, Leufkens HGM, Welsing PMJ (2016) Predicting the 10-year risk of hip and major osteoporotic fracture in rheumatoid arthritis and in the general population: an independent validation and update of UK FRAX without bone mineral density. Annals of the Rheumatic Diseases 75(12):2095-2100. </w:t>
      </w:r>
      <w:hyperlink r:id="rId32" w:history="1">
        <w:r w:rsidRPr="00D879A7">
          <w:rPr>
            <w:rStyle w:val="Hyperlink"/>
          </w:rPr>
          <w:t>https://doi.org/10.1136/annrheumdis-2015-208958</w:t>
        </w:r>
      </w:hyperlink>
    </w:p>
    <w:p w14:paraId="0B3B87E5" w14:textId="24C46CA0" w:rsidR="00D879A7" w:rsidRPr="00D879A7" w:rsidRDefault="00D879A7" w:rsidP="00D879A7">
      <w:pPr>
        <w:pStyle w:val="EndNoteBibliography"/>
        <w:spacing w:after="0"/>
        <w:ind w:left="720" w:hanging="720"/>
      </w:pPr>
      <w:r w:rsidRPr="00D879A7">
        <w:t>23.</w:t>
      </w:r>
      <w:r w:rsidRPr="00D879A7">
        <w:tab/>
        <w:t xml:space="preserve">Fine JP, Gray RJ (1999) A proportional hazards model for the subdistribution of a competing risk. Journal of the American Statistical Association 94(446):496-509. </w:t>
      </w:r>
      <w:hyperlink r:id="rId33" w:history="1">
        <w:r w:rsidRPr="00D879A7">
          <w:rPr>
            <w:rStyle w:val="Hyperlink"/>
          </w:rPr>
          <w:t>https://doi.org/10.2307/2670170</w:t>
        </w:r>
      </w:hyperlink>
    </w:p>
    <w:p w14:paraId="73E75D08" w14:textId="75401C29" w:rsidR="00D879A7" w:rsidRPr="00D879A7" w:rsidRDefault="00D879A7" w:rsidP="00D879A7">
      <w:pPr>
        <w:pStyle w:val="EndNoteBibliography"/>
        <w:ind w:left="720" w:hanging="720"/>
      </w:pPr>
      <w:r w:rsidRPr="00D879A7">
        <w:t>24.</w:t>
      </w:r>
      <w:r w:rsidRPr="00D879A7">
        <w:tab/>
        <w:t xml:space="preserve">Kobayashi LC, Steptoe A (2018) Social Isolation, Loneliness, and Health Behaviors at Older Ages: Longitudinal Cohort Study. Annals of Behavioral Medicine 52(7):582-593. </w:t>
      </w:r>
      <w:hyperlink r:id="rId34" w:history="1">
        <w:r w:rsidRPr="00D879A7">
          <w:rPr>
            <w:rStyle w:val="Hyperlink"/>
          </w:rPr>
          <w:t>https://doi.org/10.1093/abm/kax033</w:t>
        </w:r>
      </w:hyperlink>
    </w:p>
    <w:p w14:paraId="065CF753" w14:textId="63A68B29" w:rsidR="00B05E78" w:rsidRDefault="00B05E78" w:rsidP="00B05E78">
      <w:pPr>
        <w:spacing w:after="200" w:line="360" w:lineRule="auto"/>
        <w:jc w:val="both"/>
        <w:rPr>
          <w:rFonts w:ascii="Arial" w:eastAsia="Arial" w:hAnsi="Arial" w:cs="Arial"/>
        </w:rPr>
      </w:pPr>
      <w:r>
        <w:rPr>
          <w:rFonts w:ascii="Arial" w:eastAsia="Arial" w:hAnsi="Arial" w:cs="Arial"/>
        </w:rPr>
        <w:fldChar w:fldCharType="end"/>
      </w:r>
    </w:p>
    <w:p w14:paraId="07358561" w14:textId="2B4A99C7" w:rsidR="00227255" w:rsidRDefault="00227255" w:rsidP="00B05E78">
      <w:pPr>
        <w:spacing w:after="200" w:line="360" w:lineRule="auto"/>
        <w:jc w:val="both"/>
        <w:rPr>
          <w:rFonts w:ascii="Arial" w:eastAsia="Arial" w:hAnsi="Arial" w:cs="Arial"/>
        </w:rPr>
      </w:pPr>
    </w:p>
    <w:p w14:paraId="67FA4254" w14:textId="06CF84F5" w:rsidR="00227255" w:rsidRDefault="00227255" w:rsidP="00B05E78">
      <w:pPr>
        <w:spacing w:after="200" w:line="360" w:lineRule="auto"/>
        <w:jc w:val="both"/>
        <w:rPr>
          <w:rFonts w:ascii="Arial" w:eastAsia="Arial" w:hAnsi="Arial" w:cs="Arial"/>
        </w:rPr>
      </w:pPr>
    </w:p>
    <w:p w14:paraId="622C68D1" w14:textId="5CBE1482" w:rsidR="00227255" w:rsidRDefault="00227255" w:rsidP="00B05E78">
      <w:pPr>
        <w:spacing w:after="200" w:line="360" w:lineRule="auto"/>
        <w:jc w:val="both"/>
        <w:rPr>
          <w:rFonts w:ascii="Arial" w:eastAsia="Arial" w:hAnsi="Arial" w:cs="Arial"/>
        </w:rPr>
      </w:pPr>
    </w:p>
    <w:p w14:paraId="03259F5D" w14:textId="555F67FC" w:rsidR="00227255" w:rsidRDefault="00227255" w:rsidP="00B05E78">
      <w:pPr>
        <w:spacing w:after="200" w:line="360" w:lineRule="auto"/>
        <w:jc w:val="both"/>
        <w:rPr>
          <w:rFonts w:ascii="Arial" w:eastAsia="Arial" w:hAnsi="Arial" w:cs="Arial"/>
        </w:rPr>
      </w:pPr>
    </w:p>
    <w:p w14:paraId="4825070A" w14:textId="4F8BE8F8" w:rsidR="00227255" w:rsidRDefault="00227255" w:rsidP="00B05E78">
      <w:pPr>
        <w:spacing w:after="200" w:line="360" w:lineRule="auto"/>
        <w:jc w:val="both"/>
        <w:rPr>
          <w:rFonts w:ascii="Arial" w:eastAsia="Arial" w:hAnsi="Arial" w:cs="Arial"/>
        </w:rPr>
      </w:pPr>
    </w:p>
    <w:p w14:paraId="45753FDF" w14:textId="3E201651" w:rsidR="00227255" w:rsidRDefault="00227255" w:rsidP="00B05E78">
      <w:pPr>
        <w:spacing w:after="200" w:line="360" w:lineRule="auto"/>
        <w:jc w:val="both"/>
        <w:rPr>
          <w:rFonts w:ascii="Arial" w:eastAsia="Arial" w:hAnsi="Arial" w:cs="Arial"/>
        </w:rPr>
      </w:pPr>
    </w:p>
    <w:p w14:paraId="70050620" w14:textId="0BC8FEA0" w:rsidR="00227255" w:rsidRDefault="00227255" w:rsidP="00B05E78">
      <w:pPr>
        <w:spacing w:after="200" w:line="360" w:lineRule="auto"/>
        <w:jc w:val="both"/>
        <w:rPr>
          <w:rFonts w:ascii="Arial" w:eastAsia="Arial" w:hAnsi="Arial" w:cs="Arial"/>
        </w:rPr>
      </w:pPr>
    </w:p>
    <w:p w14:paraId="7C0A506E" w14:textId="77777777" w:rsidR="00B05E78" w:rsidRPr="00CA2336" w:rsidRDefault="00B05E78" w:rsidP="00B05E78">
      <w:pPr>
        <w:spacing w:after="200" w:line="360" w:lineRule="auto"/>
        <w:jc w:val="both"/>
        <w:rPr>
          <w:rFonts w:ascii="Arial" w:eastAsia="Arial" w:hAnsi="Arial" w:cs="Arial"/>
          <w:b/>
          <w:bCs/>
        </w:rPr>
        <w:sectPr w:rsidR="00B05E78" w:rsidRPr="00CA2336">
          <w:footerReference w:type="default" r:id="rId35"/>
          <w:pgSz w:w="11906" w:h="16838"/>
          <w:pgMar w:top="1440" w:right="1440" w:bottom="1440" w:left="1440" w:header="720" w:footer="720" w:gutter="0"/>
          <w:cols w:space="720"/>
          <w:docGrid w:linePitch="360"/>
        </w:sectPr>
      </w:pPr>
    </w:p>
    <w:tbl>
      <w:tblPr>
        <w:tblpPr w:leftFromText="180" w:rightFromText="180" w:vertAnchor="page" w:horzAnchor="margin" w:tblpY="1275"/>
        <w:tblW w:w="0" w:type="auto"/>
        <w:tblLayout w:type="fixed"/>
        <w:tblLook w:val="04A0" w:firstRow="1" w:lastRow="0" w:firstColumn="1" w:lastColumn="0" w:noHBand="0" w:noVBand="1"/>
      </w:tblPr>
      <w:tblGrid>
        <w:gridCol w:w="5357"/>
        <w:gridCol w:w="1786"/>
        <w:gridCol w:w="1873"/>
      </w:tblGrid>
      <w:tr w:rsidR="00B05E78" w:rsidRPr="00CA2336" w14:paraId="6029E07E" w14:textId="77777777" w:rsidTr="00B40618">
        <w:trPr>
          <w:trHeight w:val="170"/>
        </w:trPr>
        <w:tc>
          <w:tcPr>
            <w:tcW w:w="9016" w:type="dxa"/>
            <w:gridSpan w:val="3"/>
            <w:tcBorders>
              <w:bottom w:val="single" w:sz="4" w:space="0" w:color="auto"/>
            </w:tcBorders>
            <w:tcMar>
              <w:left w:w="108" w:type="dxa"/>
              <w:right w:w="108" w:type="dxa"/>
            </w:tcMar>
            <w:vAlign w:val="center"/>
          </w:tcPr>
          <w:p w14:paraId="32BC8FD6" w14:textId="682580CB" w:rsidR="00B05E78" w:rsidRPr="00CA2336" w:rsidRDefault="00B05E78" w:rsidP="00B40618">
            <w:pPr>
              <w:spacing w:after="0" w:line="276" w:lineRule="auto"/>
              <w:jc w:val="both"/>
              <w:rPr>
                <w:rFonts w:ascii="Arial" w:eastAsia="Arial" w:hAnsi="Arial" w:cs="Arial"/>
                <w:b/>
                <w:bCs/>
                <w:color w:val="000000" w:themeColor="text1"/>
                <w:sz w:val="20"/>
                <w:szCs w:val="20"/>
              </w:rPr>
            </w:pPr>
            <w:bookmarkStart w:id="22" w:name="_Hlk144290041"/>
            <w:r w:rsidRPr="00CA2336">
              <w:rPr>
                <w:rFonts w:ascii="Arial" w:eastAsia="Arial" w:hAnsi="Arial" w:cs="Arial"/>
                <w:b/>
                <w:bCs/>
                <w:color w:val="000000" w:themeColor="text1"/>
                <w:sz w:val="20"/>
                <w:szCs w:val="20"/>
              </w:rPr>
              <w:lastRenderedPageBreak/>
              <w:t xml:space="preserve">Table </w:t>
            </w:r>
            <w:r w:rsidR="00272F37">
              <w:rPr>
                <w:rFonts w:ascii="Arial" w:eastAsia="Arial" w:hAnsi="Arial" w:cs="Arial"/>
                <w:b/>
                <w:bCs/>
                <w:color w:val="000000" w:themeColor="text1"/>
                <w:sz w:val="20"/>
                <w:szCs w:val="20"/>
              </w:rPr>
              <w:t>1</w:t>
            </w:r>
            <w:r w:rsidRPr="00CA2336">
              <w:rPr>
                <w:rFonts w:ascii="Arial" w:eastAsia="Arial" w:hAnsi="Arial" w:cs="Arial"/>
                <w:b/>
                <w:bCs/>
                <w:color w:val="000000" w:themeColor="text1"/>
                <w:sz w:val="20"/>
                <w:szCs w:val="20"/>
              </w:rPr>
              <w:t>: Participant characteristics</w:t>
            </w:r>
          </w:p>
          <w:p w14:paraId="06E6D299" w14:textId="77777777" w:rsidR="00B05E78" w:rsidRPr="00CA2336" w:rsidRDefault="00B05E78" w:rsidP="00B40618">
            <w:pPr>
              <w:spacing w:after="0" w:line="276" w:lineRule="auto"/>
              <w:jc w:val="both"/>
              <w:rPr>
                <w:rFonts w:ascii="Arial" w:hAnsi="Arial" w:cs="Arial"/>
                <w:sz w:val="20"/>
                <w:szCs w:val="20"/>
              </w:rPr>
            </w:pPr>
          </w:p>
        </w:tc>
      </w:tr>
      <w:tr w:rsidR="00B05E78" w:rsidRPr="00CA2336" w14:paraId="2AE99FEB" w14:textId="77777777" w:rsidTr="00B40618">
        <w:trPr>
          <w:trHeight w:val="170"/>
        </w:trPr>
        <w:tc>
          <w:tcPr>
            <w:tcW w:w="5357" w:type="dxa"/>
            <w:tcBorders>
              <w:top w:val="single" w:sz="4" w:space="0" w:color="auto"/>
              <w:bottom w:val="single" w:sz="4" w:space="0" w:color="auto"/>
            </w:tcBorders>
            <w:tcMar>
              <w:left w:w="108" w:type="dxa"/>
              <w:right w:w="108" w:type="dxa"/>
            </w:tcMar>
            <w:vAlign w:val="center"/>
          </w:tcPr>
          <w:p w14:paraId="4196225B"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b/>
                <w:bCs/>
                <w:color w:val="000000" w:themeColor="text1"/>
                <w:sz w:val="20"/>
                <w:szCs w:val="20"/>
              </w:rPr>
              <w:t>Participant characteristic [mean (SD), median (lower quartile, upper quartile), or %]</w:t>
            </w:r>
          </w:p>
        </w:tc>
        <w:tc>
          <w:tcPr>
            <w:tcW w:w="1786" w:type="dxa"/>
            <w:tcBorders>
              <w:top w:val="single" w:sz="4" w:space="0" w:color="auto"/>
              <w:bottom w:val="single" w:sz="4" w:space="0" w:color="auto"/>
            </w:tcBorders>
            <w:tcMar>
              <w:left w:w="108" w:type="dxa"/>
              <w:right w:w="108" w:type="dxa"/>
            </w:tcMar>
            <w:vAlign w:val="center"/>
          </w:tcPr>
          <w:p w14:paraId="37B0DC12"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b/>
                <w:bCs/>
                <w:color w:val="000000" w:themeColor="text1"/>
                <w:sz w:val="20"/>
                <w:szCs w:val="20"/>
              </w:rPr>
              <w:t>Men (n=1579)</w:t>
            </w:r>
          </w:p>
        </w:tc>
        <w:tc>
          <w:tcPr>
            <w:tcW w:w="1873" w:type="dxa"/>
            <w:tcBorders>
              <w:top w:val="single" w:sz="4" w:space="0" w:color="auto"/>
              <w:bottom w:val="single" w:sz="4" w:space="0" w:color="auto"/>
            </w:tcBorders>
            <w:tcMar>
              <w:left w:w="108" w:type="dxa"/>
              <w:right w:w="108" w:type="dxa"/>
            </w:tcMar>
            <w:vAlign w:val="center"/>
          </w:tcPr>
          <w:p w14:paraId="16F75E4E"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b/>
                <w:bCs/>
                <w:color w:val="000000" w:themeColor="text1"/>
                <w:sz w:val="20"/>
                <w:szCs w:val="20"/>
              </w:rPr>
              <w:t>Women (n=1418)</w:t>
            </w:r>
          </w:p>
        </w:tc>
      </w:tr>
      <w:tr w:rsidR="00B05E78" w:rsidRPr="00CA2336" w14:paraId="64C8AF5D" w14:textId="77777777" w:rsidTr="00B40618">
        <w:trPr>
          <w:trHeight w:val="170"/>
        </w:trPr>
        <w:tc>
          <w:tcPr>
            <w:tcW w:w="5357" w:type="dxa"/>
            <w:tcBorders>
              <w:top w:val="single" w:sz="4" w:space="0" w:color="auto"/>
            </w:tcBorders>
            <w:tcMar>
              <w:left w:w="108" w:type="dxa"/>
              <w:right w:w="108" w:type="dxa"/>
            </w:tcMar>
            <w:vAlign w:val="center"/>
          </w:tcPr>
          <w:p w14:paraId="5FA8BC15" w14:textId="77777777" w:rsidR="00B05E78" w:rsidRPr="00CA2336" w:rsidRDefault="00B05E78" w:rsidP="00B40618">
            <w:pPr>
              <w:spacing w:after="0" w:line="276" w:lineRule="auto"/>
              <w:jc w:val="both"/>
              <w:rPr>
                <w:rFonts w:ascii="Arial" w:hAnsi="Arial" w:cs="Arial"/>
                <w:sz w:val="20"/>
                <w:szCs w:val="20"/>
              </w:rPr>
            </w:pPr>
          </w:p>
        </w:tc>
        <w:tc>
          <w:tcPr>
            <w:tcW w:w="1786" w:type="dxa"/>
            <w:tcBorders>
              <w:top w:val="single" w:sz="4" w:space="0" w:color="auto"/>
            </w:tcBorders>
            <w:tcMar>
              <w:left w:w="108" w:type="dxa"/>
              <w:right w:w="108" w:type="dxa"/>
            </w:tcMar>
            <w:vAlign w:val="center"/>
          </w:tcPr>
          <w:p w14:paraId="674456EE" w14:textId="77777777" w:rsidR="00B05E78" w:rsidRPr="00CA2336" w:rsidRDefault="00B05E78" w:rsidP="00B40618">
            <w:pPr>
              <w:spacing w:after="0" w:line="276" w:lineRule="auto"/>
              <w:jc w:val="both"/>
              <w:rPr>
                <w:rFonts w:ascii="Arial" w:hAnsi="Arial" w:cs="Arial"/>
                <w:sz w:val="20"/>
                <w:szCs w:val="20"/>
              </w:rPr>
            </w:pPr>
          </w:p>
        </w:tc>
        <w:tc>
          <w:tcPr>
            <w:tcW w:w="1873" w:type="dxa"/>
            <w:tcBorders>
              <w:top w:val="single" w:sz="4" w:space="0" w:color="auto"/>
            </w:tcBorders>
            <w:tcMar>
              <w:left w:w="108" w:type="dxa"/>
              <w:right w:w="108" w:type="dxa"/>
            </w:tcMar>
            <w:vAlign w:val="center"/>
          </w:tcPr>
          <w:p w14:paraId="43C7D87B" w14:textId="77777777" w:rsidR="00B05E78" w:rsidRPr="00CA2336" w:rsidRDefault="00B05E78" w:rsidP="00B40618">
            <w:pPr>
              <w:spacing w:after="0" w:line="276" w:lineRule="auto"/>
              <w:jc w:val="both"/>
              <w:rPr>
                <w:rFonts w:ascii="Arial" w:hAnsi="Arial" w:cs="Arial"/>
                <w:sz w:val="20"/>
                <w:szCs w:val="20"/>
              </w:rPr>
            </w:pPr>
          </w:p>
        </w:tc>
      </w:tr>
      <w:tr w:rsidR="00B05E78" w:rsidRPr="00CA2336" w14:paraId="238ED59A" w14:textId="77777777" w:rsidTr="00B40618">
        <w:trPr>
          <w:trHeight w:val="170"/>
        </w:trPr>
        <w:tc>
          <w:tcPr>
            <w:tcW w:w="5357" w:type="dxa"/>
            <w:tcMar>
              <w:left w:w="108" w:type="dxa"/>
              <w:right w:w="108" w:type="dxa"/>
            </w:tcMar>
            <w:vAlign w:val="center"/>
          </w:tcPr>
          <w:p w14:paraId="01FC63F9"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b/>
                <w:bCs/>
                <w:i/>
                <w:iCs/>
                <w:color w:val="000000" w:themeColor="text1"/>
                <w:sz w:val="20"/>
                <w:szCs w:val="20"/>
              </w:rPr>
              <w:t>Characteristics at baseline (1998-2004)</w:t>
            </w:r>
          </w:p>
        </w:tc>
        <w:tc>
          <w:tcPr>
            <w:tcW w:w="1786" w:type="dxa"/>
            <w:tcMar>
              <w:left w:w="108" w:type="dxa"/>
              <w:right w:w="108" w:type="dxa"/>
            </w:tcMar>
            <w:vAlign w:val="center"/>
          </w:tcPr>
          <w:p w14:paraId="4A93EB1F" w14:textId="77777777" w:rsidR="00B05E78" w:rsidRPr="00CA2336" w:rsidRDefault="00B05E78" w:rsidP="00B40618">
            <w:pPr>
              <w:spacing w:after="0" w:line="276" w:lineRule="auto"/>
              <w:jc w:val="both"/>
              <w:rPr>
                <w:rFonts w:ascii="Arial" w:hAnsi="Arial" w:cs="Arial"/>
                <w:sz w:val="20"/>
                <w:szCs w:val="20"/>
              </w:rPr>
            </w:pPr>
          </w:p>
        </w:tc>
        <w:tc>
          <w:tcPr>
            <w:tcW w:w="1873" w:type="dxa"/>
            <w:tcMar>
              <w:left w:w="108" w:type="dxa"/>
              <w:right w:w="108" w:type="dxa"/>
            </w:tcMar>
            <w:vAlign w:val="center"/>
          </w:tcPr>
          <w:p w14:paraId="27AFEFCA" w14:textId="77777777" w:rsidR="00B05E78" w:rsidRPr="00CA2336" w:rsidRDefault="00B05E78" w:rsidP="00B40618">
            <w:pPr>
              <w:spacing w:after="0" w:line="276" w:lineRule="auto"/>
              <w:jc w:val="both"/>
              <w:rPr>
                <w:rFonts w:ascii="Arial" w:hAnsi="Arial" w:cs="Arial"/>
                <w:sz w:val="20"/>
                <w:szCs w:val="20"/>
              </w:rPr>
            </w:pPr>
          </w:p>
        </w:tc>
      </w:tr>
      <w:tr w:rsidR="00B05E78" w:rsidRPr="00CA2336" w14:paraId="031B9F48" w14:textId="77777777" w:rsidTr="00B40618">
        <w:trPr>
          <w:trHeight w:val="170"/>
        </w:trPr>
        <w:tc>
          <w:tcPr>
            <w:tcW w:w="5357" w:type="dxa"/>
            <w:tcMar>
              <w:left w:w="108" w:type="dxa"/>
              <w:right w:w="108" w:type="dxa"/>
            </w:tcMar>
            <w:vAlign w:val="center"/>
          </w:tcPr>
          <w:p w14:paraId="39A537C8"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Age (years)</w:t>
            </w:r>
          </w:p>
        </w:tc>
        <w:tc>
          <w:tcPr>
            <w:tcW w:w="1786" w:type="dxa"/>
            <w:tcMar>
              <w:left w:w="108" w:type="dxa"/>
              <w:right w:w="108" w:type="dxa"/>
            </w:tcMar>
            <w:vAlign w:val="center"/>
          </w:tcPr>
          <w:p w14:paraId="1259CE66"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65.7 (2.9)</w:t>
            </w:r>
          </w:p>
        </w:tc>
        <w:tc>
          <w:tcPr>
            <w:tcW w:w="1873" w:type="dxa"/>
            <w:tcMar>
              <w:left w:w="108" w:type="dxa"/>
              <w:right w:w="108" w:type="dxa"/>
            </w:tcMar>
            <w:vAlign w:val="center"/>
          </w:tcPr>
          <w:p w14:paraId="1A4FD142"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66.6 (2.7)</w:t>
            </w:r>
          </w:p>
        </w:tc>
      </w:tr>
      <w:tr w:rsidR="00B05E78" w:rsidRPr="00CA2336" w14:paraId="2CF5C3CD" w14:textId="77777777" w:rsidTr="00B40618">
        <w:trPr>
          <w:trHeight w:val="170"/>
        </w:trPr>
        <w:tc>
          <w:tcPr>
            <w:tcW w:w="5357" w:type="dxa"/>
            <w:tcMar>
              <w:left w:w="108" w:type="dxa"/>
              <w:right w:w="108" w:type="dxa"/>
            </w:tcMar>
            <w:vAlign w:val="center"/>
          </w:tcPr>
          <w:p w14:paraId="55BA3983"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Height (cm)</w:t>
            </w:r>
          </w:p>
        </w:tc>
        <w:tc>
          <w:tcPr>
            <w:tcW w:w="1786" w:type="dxa"/>
            <w:tcMar>
              <w:left w:w="108" w:type="dxa"/>
              <w:right w:w="108" w:type="dxa"/>
            </w:tcMar>
            <w:vAlign w:val="center"/>
          </w:tcPr>
          <w:p w14:paraId="643D44CF"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174.2 (6.5)</w:t>
            </w:r>
          </w:p>
        </w:tc>
        <w:tc>
          <w:tcPr>
            <w:tcW w:w="1873" w:type="dxa"/>
            <w:tcMar>
              <w:left w:w="108" w:type="dxa"/>
              <w:right w:w="108" w:type="dxa"/>
            </w:tcMar>
            <w:vAlign w:val="center"/>
          </w:tcPr>
          <w:p w14:paraId="1D85B176"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160.8 (5.9)</w:t>
            </w:r>
          </w:p>
        </w:tc>
      </w:tr>
      <w:tr w:rsidR="00B05E78" w:rsidRPr="00CA2336" w14:paraId="17004906" w14:textId="77777777" w:rsidTr="00B40618">
        <w:trPr>
          <w:trHeight w:val="170"/>
        </w:trPr>
        <w:tc>
          <w:tcPr>
            <w:tcW w:w="5357" w:type="dxa"/>
            <w:tcMar>
              <w:left w:w="108" w:type="dxa"/>
              <w:right w:w="108" w:type="dxa"/>
            </w:tcMar>
            <w:vAlign w:val="center"/>
          </w:tcPr>
          <w:p w14:paraId="6B655155"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Weight (kg)</w:t>
            </w:r>
          </w:p>
        </w:tc>
        <w:tc>
          <w:tcPr>
            <w:tcW w:w="1786" w:type="dxa"/>
            <w:tcMar>
              <w:left w:w="108" w:type="dxa"/>
              <w:right w:w="108" w:type="dxa"/>
            </w:tcMar>
            <w:vAlign w:val="center"/>
          </w:tcPr>
          <w:p w14:paraId="28EE1D1F"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82.4 (12.7)</w:t>
            </w:r>
          </w:p>
        </w:tc>
        <w:tc>
          <w:tcPr>
            <w:tcW w:w="1873" w:type="dxa"/>
            <w:tcMar>
              <w:left w:w="108" w:type="dxa"/>
              <w:right w:w="108" w:type="dxa"/>
            </w:tcMar>
            <w:vAlign w:val="center"/>
          </w:tcPr>
          <w:p w14:paraId="51DFEFD3"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71.4 (13.4)</w:t>
            </w:r>
          </w:p>
        </w:tc>
      </w:tr>
      <w:tr w:rsidR="00B05E78" w:rsidRPr="00CA2336" w14:paraId="29F5EAE4" w14:textId="77777777" w:rsidTr="00B40618">
        <w:trPr>
          <w:trHeight w:val="170"/>
        </w:trPr>
        <w:tc>
          <w:tcPr>
            <w:tcW w:w="5357" w:type="dxa"/>
            <w:tcMar>
              <w:left w:w="108" w:type="dxa"/>
              <w:right w:w="108" w:type="dxa"/>
            </w:tcMar>
            <w:vAlign w:val="center"/>
          </w:tcPr>
          <w:p w14:paraId="00FE16B8"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BMI (kg/m</w:t>
            </w:r>
            <w:r w:rsidRPr="00CA2336">
              <w:rPr>
                <w:rFonts w:ascii="Arial" w:eastAsia="Arial" w:hAnsi="Arial" w:cs="Arial"/>
                <w:color w:val="000000" w:themeColor="text1"/>
                <w:sz w:val="20"/>
                <w:szCs w:val="20"/>
                <w:vertAlign w:val="superscript"/>
              </w:rPr>
              <w:t>2</w:t>
            </w:r>
            <w:r w:rsidRPr="00CA2336">
              <w:rPr>
                <w:rFonts w:ascii="Arial" w:eastAsia="Arial" w:hAnsi="Arial" w:cs="Arial"/>
                <w:color w:val="000000" w:themeColor="text1"/>
                <w:sz w:val="20"/>
                <w:szCs w:val="20"/>
              </w:rPr>
              <w:t>)</w:t>
            </w:r>
          </w:p>
        </w:tc>
        <w:tc>
          <w:tcPr>
            <w:tcW w:w="1786" w:type="dxa"/>
            <w:tcMar>
              <w:left w:w="108" w:type="dxa"/>
              <w:right w:w="108" w:type="dxa"/>
            </w:tcMar>
            <w:vAlign w:val="center"/>
          </w:tcPr>
          <w:p w14:paraId="2EBA326A"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27.2 (3.8)</w:t>
            </w:r>
          </w:p>
        </w:tc>
        <w:tc>
          <w:tcPr>
            <w:tcW w:w="1873" w:type="dxa"/>
            <w:tcMar>
              <w:left w:w="108" w:type="dxa"/>
              <w:right w:w="108" w:type="dxa"/>
            </w:tcMar>
            <w:vAlign w:val="center"/>
          </w:tcPr>
          <w:p w14:paraId="382CCE5F"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27.6 (4.9)</w:t>
            </w:r>
          </w:p>
        </w:tc>
      </w:tr>
      <w:tr w:rsidR="00B05E78" w:rsidRPr="00CA2336" w14:paraId="398BEA61" w14:textId="77777777" w:rsidTr="00B40618">
        <w:trPr>
          <w:trHeight w:val="170"/>
        </w:trPr>
        <w:tc>
          <w:tcPr>
            <w:tcW w:w="5357" w:type="dxa"/>
            <w:tcMar>
              <w:left w:w="108" w:type="dxa"/>
              <w:right w:w="108" w:type="dxa"/>
            </w:tcMar>
            <w:vAlign w:val="center"/>
          </w:tcPr>
          <w:p w14:paraId="5A40FCDA"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Current smoking</w:t>
            </w:r>
          </w:p>
        </w:tc>
        <w:tc>
          <w:tcPr>
            <w:tcW w:w="1786" w:type="dxa"/>
            <w:tcMar>
              <w:left w:w="108" w:type="dxa"/>
              <w:right w:w="108" w:type="dxa"/>
            </w:tcMar>
            <w:vAlign w:val="center"/>
          </w:tcPr>
          <w:p w14:paraId="0A3110BD"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15%</w:t>
            </w:r>
          </w:p>
        </w:tc>
        <w:tc>
          <w:tcPr>
            <w:tcW w:w="1873" w:type="dxa"/>
            <w:tcMar>
              <w:left w:w="108" w:type="dxa"/>
              <w:right w:w="108" w:type="dxa"/>
            </w:tcMar>
            <w:vAlign w:val="center"/>
          </w:tcPr>
          <w:p w14:paraId="175BD876"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10%</w:t>
            </w:r>
          </w:p>
        </w:tc>
      </w:tr>
      <w:tr w:rsidR="00B05E78" w:rsidRPr="00CA2336" w14:paraId="21CF0182" w14:textId="77777777" w:rsidTr="00B40618">
        <w:trPr>
          <w:trHeight w:val="170"/>
        </w:trPr>
        <w:tc>
          <w:tcPr>
            <w:tcW w:w="5357" w:type="dxa"/>
            <w:tcMar>
              <w:left w:w="108" w:type="dxa"/>
              <w:right w:w="108" w:type="dxa"/>
            </w:tcMar>
            <w:vAlign w:val="center"/>
          </w:tcPr>
          <w:p w14:paraId="47AB57F7"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High alcohol intake (units per week: &gt;21 men, &gt;14 women)</w:t>
            </w:r>
          </w:p>
        </w:tc>
        <w:tc>
          <w:tcPr>
            <w:tcW w:w="1786" w:type="dxa"/>
            <w:tcMar>
              <w:left w:w="108" w:type="dxa"/>
              <w:right w:w="108" w:type="dxa"/>
            </w:tcMar>
            <w:vAlign w:val="center"/>
          </w:tcPr>
          <w:p w14:paraId="135A7893"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22%</w:t>
            </w:r>
          </w:p>
        </w:tc>
        <w:tc>
          <w:tcPr>
            <w:tcW w:w="1873" w:type="dxa"/>
            <w:tcMar>
              <w:left w:w="108" w:type="dxa"/>
              <w:right w:w="108" w:type="dxa"/>
            </w:tcMar>
            <w:vAlign w:val="center"/>
          </w:tcPr>
          <w:p w14:paraId="10D04AB7"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5%</w:t>
            </w:r>
          </w:p>
        </w:tc>
      </w:tr>
      <w:tr w:rsidR="00B05E78" w:rsidRPr="00CA2336" w14:paraId="0D796E82" w14:textId="77777777" w:rsidTr="00B40618">
        <w:trPr>
          <w:trHeight w:val="170"/>
        </w:trPr>
        <w:tc>
          <w:tcPr>
            <w:tcW w:w="5357" w:type="dxa"/>
            <w:tcMar>
              <w:left w:w="108" w:type="dxa"/>
              <w:right w:w="108" w:type="dxa"/>
            </w:tcMar>
            <w:vAlign w:val="center"/>
          </w:tcPr>
          <w:p w14:paraId="1D79A674"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Prudent diet score</w:t>
            </w:r>
          </w:p>
        </w:tc>
        <w:tc>
          <w:tcPr>
            <w:tcW w:w="1786" w:type="dxa"/>
            <w:tcMar>
              <w:left w:w="108" w:type="dxa"/>
              <w:right w:w="108" w:type="dxa"/>
            </w:tcMar>
            <w:vAlign w:val="center"/>
          </w:tcPr>
          <w:p w14:paraId="5EF37BE4"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-0.6 (2.1)</w:t>
            </w:r>
          </w:p>
        </w:tc>
        <w:tc>
          <w:tcPr>
            <w:tcW w:w="1873" w:type="dxa"/>
            <w:tcMar>
              <w:left w:w="108" w:type="dxa"/>
              <w:right w:w="108" w:type="dxa"/>
            </w:tcMar>
            <w:vAlign w:val="center"/>
          </w:tcPr>
          <w:p w14:paraId="3DE4CC2B"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0.7 (1.7)</w:t>
            </w:r>
          </w:p>
        </w:tc>
      </w:tr>
      <w:tr w:rsidR="00B05E78" w:rsidRPr="00CA2336" w14:paraId="21E154B9" w14:textId="77777777" w:rsidTr="00B40618">
        <w:trPr>
          <w:trHeight w:val="170"/>
        </w:trPr>
        <w:tc>
          <w:tcPr>
            <w:tcW w:w="5357" w:type="dxa"/>
            <w:tcMar>
              <w:left w:w="108" w:type="dxa"/>
              <w:right w:w="108" w:type="dxa"/>
            </w:tcMar>
            <w:vAlign w:val="center"/>
          </w:tcPr>
          <w:p w14:paraId="06911F63" w14:textId="77777777" w:rsidR="00B05E78" w:rsidRPr="00CA2336" w:rsidRDefault="00B05E78" w:rsidP="00B40618">
            <w:pPr>
              <w:spacing w:after="0" w:line="276" w:lineRule="auto"/>
              <w:jc w:val="both"/>
              <w:rPr>
                <w:rFonts w:ascii="Arial" w:hAnsi="Arial" w:cs="Arial"/>
                <w:sz w:val="20"/>
                <w:szCs w:val="20"/>
              </w:rPr>
            </w:pPr>
            <w:proofErr w:type="spellStart"/>
            <w:r w:rsidRPr="00CA2336">
              <w:rPr>
                <w:rFonts w:ascii="Arial" w:eastAsia="Arial" w:hAnsi="Arial" w:cs="Arial"/>
                <w:color w:val="000000" w:themeColor="text1"/>
                <w:sz w:val="20"/>
                <w:szCs w:val="20"/>
              </w:rPr>
              <w:t>Dallosso</w:t>
            </w:r>
            <w:proofErr w:type="spellEnd"/>
            <w:r w:rsidRPr="00CA2336">
              <w:rPr>
                <w:rFonts w:ascii="Arial" w:eastAsia="Arial" w:hAnsi="Arial" w:cs="Arial"/>
                <w:color w:val="000000" w:themeColor="text1"/>
                <w:sz w:val="20"/>
                <w:szCs w:val="20"/>
              </w:rPr>
              <w:t xml:space="preserve"> physical activity score</w:t>
            </w:r>
          </w:p>
        </w:tc>
        <w:tc>
          <w:tcPr>
            <w:tcW w:w="1786" w:type="dxa"/>
            <w:tcMar>
              <w:left w:w="108" w:type="dxa"/>
              <w:right w:w="108" w:type="dxa"/>
            </w:tcMar>
            <w:vAlign w:val="center"/>
          </w:tcPr>
          <w:p w14:paraId="086DC840"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60.9 (15.3)</w:t>
            </w:r>
          </w:p>
        </w:tc>
        <w:tc>
          <w:tcPr>
            <w:tcW w:w="1873" w:type="dxa"/>
            <w:tcMar>
              <w:left w:w="108" w:type="dxa"/>
              <w:right w:w="108" w:type="dxa"/>
            </w:tcMar>
            <w:vAlign w:val="center"/>
          </w:tcPr>
          <w:p w14:paraId="76A7E3F6"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59.0 (15.7)</w:t>
            </w:r>
          </w:p>
        </w:tc>
      </w:tr>
      <w:tr w:rsidR="00B05E78" w:rsidRPr="00CA2336" w14:paraId="0E1F16D6" w14:textId="77777777" w:rsidTr="00B40618">
        <w:trPr>
          <w:trHeight w:val="170"/>
        </w:trPr>
        <w:tc>
          <w:tcPr>
            <w:tcW w:w="5357" w:type="dxa"/>
            <w:tcMar>
              <w:left w:w="108" w:type="dxa"/>
              <w:right w:w="108" w:type="dxa"/>
            </w:tcMar>
            <w:vAlign w:val="center"/>
          </w:tcPr>
          <w:p w14:paraId="5C7BF687"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Left school before age 15</w:t>
            </w:r>
          </w:p>
        </w:tc>
        <w:tc>
          <w:tcPr>
            <w:tcW w:w="1786" w:type="dxa"/>
            <w:tcMar>
              <w:left w:w="108" w:type="dxa"/>
              <w:right w:w="108" w:type="dxa"/>
            </w:tcMar>
            <w:vAlign w:val="center"/>
          </w:tcPr>
          <w:p w14:paraId="1AAD7129"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19%</w:t>
            </w:r>
          </w:p>
        </w:tc>
        <w:tc>
          <w:tcPr>
            <w:tcW w:w="1873" w:type="dxa"/>
            <w:tcMar>
              <w:left w:w="108" w:type="dxa"/>
              <w:right w:w="108" w:type="dxa"/>
            </w:tcMar>
            <w:vAlign w:val="center"/>
          </w:tcPr>
          <w:p w14:paraId="0ADAFCC0"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17%</w:t>
            </w:r>
          </w:p>
        </w:tc>
      </w:tr>
      <w:tr w:rsidR="00B05E78" w:rsidRPr="00CA2336" w14:paraId="6CA79CC3" w14:textId="77777777" w:rsidTr="00B40618">
        <w:trPr>
          <w:trHeight w:val="170"/>
        </w:trPr>
        <w:tc>
          <w:tcPr>
            <w:tcW w:w="5357" w:type="dxa"/>
            <w:tcMar>
              <w:left w:w="108" w:type="dxa"/>
              <w:right w:w="108" w:type="dxa"/>
            </w:tcMar>
            <w:vAlign w:val="center"/>
          </w:tcPr>
          <w:p w14:paraId="59BBD559"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Social class (manual)</w:t>
            </w:r>
          </w:p>
        </w:tc>
        <w:tc>
          <w:tcPr>
            <w:tcW w:w="1786" w:type="dxa"/>
            <w:tcMar>
              <w:left w:w="108" w:type="dxa"/>
              <w:right w:w="108" w:type="dxa"/>
            </w:tcMar>
            <w:vAlign w:val="center"/>
          </w:tcPr>
          <w:p w14:paraId="15F4ADB9"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59%</w:t>
            </w:r>
          </w:p>
        </w:tc>
        <w:tc>
          <w:tcPr>
            <w:tcW w:w="1873" w:type="dxa"/>
            <w:tcMar>
              <w:left w:w="108" w:type="dxa"/>
              <w:right w:w="108" w:type="dxa"/>
            </w:tcMar>
            <w:vAlign w:val="center"/>
          </w:tcPr>
          <w:p w14:paraId="66B94562"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58%</w:t>
            </w:r>
          </w:p>
        </w:tc>
      </w:tr>
      <w:tr w:rsidR="00B05E78" w:rsidRPr="00CA2336" w14:paraId="1EB03A27" w14:textId="77777777" w:rsidTr="00B40618">
        <w:trPr>
          <w:trHeight w:val="170"/>
        </w:trPr>
        <w:tc>
          <w:tcPr>
            <w:tcW w:w="5357" w:type="dxa"/>
            <w:tcMar>
              <w:left w:w="108" w:type="dxa"/>
              <w:right w:w="108" w:type="dxa"/>
            </w:tcMar>
            <w:vAlign w:val="center"/>
          </w:tcPr>
          <w:p w14:paraId="7535CEB6"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Home ownership (not owned or mortgaged)</w:t>
            </w:r>
          </w:p>
        </w:tc>
        <w:tc>
          <w:tcPr>
            <w:tcW w:w="1786" w:type="dxa"/>
            <w:tcMar>
              <w:left w:w="108" w:type="dxa"/>
              <w:right w:w="108" w:type="dxa"/>
            </w:tcMar>
            <w:vAlign w:val="center"/>
          </w:tcPr>
          <w:p w14:paraId="2C480F49"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19%</w:t>
            </w:r>
          </w:p>
        </w:tc>
        <w:tc>
          <w:tcPr>
            <w:tcW w:w="1873" w:type="dxa"/>
            <w:tcMar>
              <w:left w:w="108" w:type="dxa"/>
              <w:right w:w="108" w:type="dxa"/>
            </w:tcMar>
            <w:vAlign w:val="center"/>
          </w:tcPr>
          <w:p w14:paraId="637F1E09"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22%</w:t>
            </w:r>
          </w:p>
        </w:tc>
      </w:tr>
      <w:tr w:rsidR="00B05E78" w:rsidRPr="00CA2336" w14:paraId="44C61449" w14:textId="77777777" w:rsidTr="00B40618">
        <w:trPr>
          <w:trHeight w:val="170"/>
        </w:trPr>
        <w:tc>
          <w:tcPr>
            <w:tcW w:w="5357" w:type="dxa"/>
            <w:tcMar>
              <w:left w:w="108" w:type="dxa"/>
              <w:right w:w="108" w:type="dxa"/>
            </w:tcMar>
            <w:vAlign w:val="center"/>
          </w:tcPr>
          <w:p w14:paraId="69B3BFCF" w14:textId="77777777" w:rsidR="00B05E78" w:rsidRPr="00CA2336" w:rsidRDefault="00B05E78" w:rsidP="00B40618">
            <w:pPr>
              <w:spacing w:after="0" w:line="276" w:lineRule="auto"/>
              <w:jc w:val="both"/>
              <w:rPr>
                <w:rFonts w:ascii="Arial" w:eastAsia="Arial" w:hAnsi="Arial" w:cs="Arial"/>
                <w:color w:val="000000" w:themeColor="text1"/>
                <w:sz w:val="20"/>
                <w:szCs w:val="20"/>
              </w:rPr>
            </w:pPr>
          </w:p>
        </w:tc>
        <w:tc>
          <w:tcPr>
            <w:tcW w:w="1786" w:type="dxa"/>
            <w:tcMar>
              <w:left w:w="108" w:type="dxa"/>
              <w:right w:w="108" w:type="dxa"/>
            </w:tcMar>
            <w:vAlign w:val="center"/>
          </w:tcPr>
          <w:p w14:paraId="2FD259A4" w14:textId="77777777" w:rsidR="00B05E78" w:rsidRPr="00CA2336" w:rsidRDefault="00B05E78" w:rsidP="00B40618">
            <w:pPr>
              <w:spacing w:after="0" w:line="276" w:lineRule="auto"/>
              <w:jc w:val="both"/>
              <w:rPr>
                <w:rFonts w:ascii="Arial" w:eastAsia="Arial" w:hAnsi="Arial" w:cs="Arial"/>
                <w:color w:val="000000" w:themeColor="text1"/>
                <w:sz w:val="20"/>
                <w:szCs w:val="20"/>
              </w:rPr>
            </w:pPr>
          </w:p>
        </w:tc>
        <w:tc>
          <w:tcPr>
            <w:tcW w:w="1873" w:type="dxa"/>
            <w:tcMar>
              <w:left w:w="108" w:type="dxa"/>
              <w:right w:w="108" w:type="dxa"/>
            </w:tcMar>
            <w:vAlign w:val="center"/>
          </w:tcPr>
          <w:p w14:paraId="33C5C291" w14:textId="77777777" w:rsidR="00B05E78" w:rsidRPr="00CA2336" w:rsidRDefault="00B05E78" w:rsidP="00B40618">
            <w:pPr>
              <w:spacing w:after="0" w:line="276" w:lineRule="auto"/>
              <w:jc w:val="both"/>
              <w:rPr>
                <w:rFonts w:ascii="Arial" w:eastAsia="Arial" w:hAnsi="Arial" w:cs="Arial"/>
                <w:color w:val="000000" w:themeColor="text1"/>
                <w:sz w:val="20"/>
                <w:szCs w:val="20"/>
              </w:rPr>
            </w:pPr>
          </w:p>
        </w:tc>
      </w:tr>
      <w:tr w:rsidR="00B05E78" w:rsidRPr="00CA2336" w14:paraId="66C3CB9E" w14:textId="77777777" w:rsidTr="00B40618">
        <w:trPr>
          <w:trHeight w:val="170"/>
        </w:trPr>
        <w:tc>
          <w:tcPr>
            <w:tcW w:w="5357" w:type="dxa"/>
            <w:tcMar>
              <w:left w:w="108" w:type="dxa"/>
              <w:right w:w="108" w:type="dxa"/>
            </w:tcMar>
            <w:vAlign w:val="bottom"/>
          </w:tcPr>
          <w:p w14:paraId="7E0505AA"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Relationship status</w:t>
            </w:r>
          </w:p>
        </w:tc>
        <w:tc>
          <w:tcPr>
            <w:tcW w:w="1786" w:type="dxa"/>
            <w:tcMar>
              <w:left w:w="108" w:type="dxa"/>
              <w:right w:w="108" w:type="dxa"/>
            </w:tcMar>
            <w:vAlign w:val="bottom"/>
          </w:tcPr>
          <w:p w14:paraId="21B74019" w14:textId="77777777" w:rsidR="00B05E78" w:rsidRPr="00CA2336" w:rsidRDefault="00B05E78" w:rsidP="00B40618">
            <w:pPr>
              <w:spacing w:after="0" w:line="276" w:lineRule="auto"/>
              <w:jc w:val="both"/>
              <w:rPr>
                <w:rFonts w:ascii="Arial" w:eastAsia="Arial" w:hAnsi="Arial" w:cs="Arial"/>
                <w:color w:val="000000" w:themeColor="text1"/>
                <w:sz w:val="20"/>
                <w:szCs w:val="20"/>
              </w:rPr>
            </w:pPr>
          </w:p>
        </w:tc>
        <w:tc>
          <w:tcPr>
            <w:tcW w:w="1873" w:type="dxa"/>
            <w:tcMar>
              <w:left w:w="108" w:type="dxa"/>
              <w:right w:w="108" w:type="dxa"/>
            </w:tcMar>
            <w:vAlign w:val="bottom"/>
          </w:tcPr>
          <w:p w14:paraId="0E22C3F2" w14:textId="77777777" w:rsidR="00B05E78" w:rsidRPr="00CA2336" w:rsidRDefault="00B05E78" w:rsidP="00B40618">
            <w:pPr>
              <w:spacing w:after="0" w:line="276" w:lineRule="auto"/>
              <w:jc w:val="both"/>
              <w:rPr>
                <w:rFonts w:ascii="Arial" w:eastAsia="Arial" w:hAnsi="Arial" w:cs="Arial"/>
                <w:color w:val="000000" w:themeColor="text1"/>
                <w:sz w:val="20"/>
                <w:szCs w:val="20"/>
              </w:rPr>
            </w:pPr>
          </w:p>
        </w:tc>
      </w:tr>
      <w:tr w:rsidR="00B05E78" w:rsidRPr="00CA2336" w14:paraId="377AF80E" w14:textId="77777777" w:rsidTr="00B40618">
        <w:trPr>
          <w:trHeight w:val="170"/>
        </w:trPr>
        <w:tc>
          <w:tcPr>
            <w:tcW w:w="5357" w:type="dxa"/>
            <w:tcMar>
              <w:left w:w="108" w:type="dxa"/>
              <w:right w:w="108" w:type="dxa"/>
            </w:tcMar>
            <w:vAlign w:val="bottom"/>
          </w:tcPr>
          <w:p w14:paraId="006748CA"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     Single</w:t>
            </w:r>
          </w:p>
        </w:tc>
        <w:tc>
          <w:tcPr>
            <w:tcW w:w="1786" w:type="dxa"/>
            <w:tcMar>
              <w:left w:w="108" w:type="dxa"/>
              <w:right w:w="108" w:type="dxa"/>
            </w:tcMar>
            <w:vAlign w:val="bottom"/>
          </w:tcPr>
          <w:p w14:paraId="15601F70"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5%</w:t>
            </w:r>
          </w:p>
        </w:tc>
        <w:tc>
          <w:tcPr>
            <w:tcW w:w="1873" w:type="dxa"/>
            <w:tcMar>
              <w:left w:w="108" w:type="dxa"/>
              <w:right w:w="108" w:type="dxa"/>
            </w:tcMar>
            <w:vAlign w:val="bottom"/>
          </w:tcPr>
          <w:p w14:paraId="23A2CC0E"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4%</w:t>
            </w:r>
          </w:p>
        </w:tc>
      </w:tr>
      <w:tr w:rsidR="00B05E78" w:rsidRPr="00CA2336" w14:paraId="74771FD9" w14:textId="77777777" w:rsidTr="00B40618">
        <w:trPr>
          <w:trHeight w:val="170"/>
        </w:trPr>
        <w:tc>
          <w:tcPr>
            <w:tcW w:w="5357" w:type="dxa"/>
            <w:tcMar>
              <w:left w:w="108" w:type="dxa"/>
              <w:right w:w="108" w:type="dxa"/>
            </w:tcMar>
            <w:vAlign w:val="bottom"/>
          </w:tcPr>
          <w:p w14:paraId="038AFB45"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     Married</w:t>
            </w:r>
          </w:p>
        </w:tc>
        <w:tc>
          <w:tcPr>
            <w:tcW w:w="1786" w:type="dxa"/>
            <w:tcMar>
              <w:left w:w="108" w:type="dxa"/>
              <w:right w:w="108" w:type="dxa"/>
            </w:tcMar>
            <w:vAlign w:val="bottom"/>
          </w:tcPr>
          <w:p w14:paraId="05D632CD"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84%</w:t>
            </w:r>
          </w:p>
        </w:tc>
        <w:tc>
          <w:tcPr>
            <w:tcW w:w="1873" w:type="dxa"/>
            <w:tcMar>
              <w:left w:w="108" w:type="dxa"/>
              <w:right w:w="108" w:type="dxa"/>
            </w:tcMar>
            <w:vAlign w:val="bottom"/>
          </w:tcPr>
          <w:p w14:paraId="0567A6D0"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71%</w:t>
            </w:r>
          </w:p>
        </w:tc>
      </w:tr>
      <w:tr w:rsidR="00B05E78" w:rsidRPr="00CA2336" w14:paraId="0CF7DCB4" w14:textId="77777777" w:rsidTr="00B40618">
        <w:trPr>
          <w:trHeight w:val="170"/>
        </w:trPr>
        <w:tc>
          <w:tcPr>
            <w:tcW w:w="5357" w:type="dxa"/>
            <w:tcMar>
              <w:left w:w="108" w:type="dxa"/>
              <w:right w:w="108" w:type="dxa"/>
            </w:tcMar>
            <w:vAlign w:val="bottom"/>
          </w:tcPr>
          <w:p w14:paraId="190DC112"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     Divorced or separated</w:t>
            </w:r>
          </w:p>
        </w:tc>
        <w:tc>
          <w:tcPr>
            <w:tcW w:w="1786" w:type="dxa"/>
            <w:tcMar>
              <w:left w:w="108" w:type="dxa"/>
              <w:right w:w="108" w:type="dxa"/>
            </w:tcMar>
            <w:vAlign w:val="bottom"/>
          </w:tcPr>
          <w:p w14:paraId="3FB47F1E"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6%</w:t>
            </w:r>
          </w:p>
        </w:tc>
        <w:tc>
          <w:tcPr>
            <w:tcW w:w="1873" w:type="dxa"/>
            <w:tcMar>
              <w:left w:w="108" w:type="dxa"/>
              <w:right w:w="108" w:type="dxa"/>
            </w:tcMar>
            <w:vAlign w:val="bottom"/>
          </w:tcPr>
          <w:p w14:paraId="0A7D88DA"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7%</w:t>
            </w:r>
          </w:p>
        </w:tc>
      </w:tr>
      <w:tr w:rsidR="00B05E78" w:rsidRPr="00CA2336" w14:paraId="4FC40B9B" w14:textId="77777777" w:rsidTr="00B40618">
        <w:trPr>
          <w:trHeight w:val="170"/>
        </w:trPr>
        <w:tc>
          <w:tcPr>
            <w:tcW w:w="5357" w:type="dxa"/>
            <w:tcMar>
              <w:left w:w="108" w:type="dxa"/>
              <w:right w:w="108" w:type="dxa"/>
            </w:tcMar>
            <w:vAlign w:val="bottom"/>
          </w:tcPr>
          <w:p w14:paraId="1BDAA023"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     Widowed</w:t>
            </w:r>
          </w:p>
        </w:tc>
        <w:tc>
          <w:tcPr>
            <w:tcW w:w="1786" w:type="dxa"/>
            <w:tcMar>
              <w:left w:w="108" w:type="dxa"/>
              <w:right w:w="108" w:type="dxa"/>
            </w:tcMar>
            <w:vAlign w:val="bottom"/>
          </w:tcPr>
          <w:p w14:paraId="2D3E21C7"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4%</w:t>
            </w:r>
          </w:p>
        </w:tc>
        <w:tc>
          <w:tcPr>
            <w:tcW w:w="1873" w:type="dxa"/>
            <w:tcMar>
              <w:left w:w="108" w:type="dxa"/>
              <w:right w:w="108" w:type="dxa"/>
            </w:tcMar>
            <w:vAlign w:val="bottom"/>
          </w:tcPr>
          <w:p w14:paraId="43A29893"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17%</w:t>
            </w:r>
          </w:p>
        </w:tc>
      </w:tr>
      <w:tr w:rsidR="00B05E78" w:rsidRPr="00CA2336" w14:paraId="05FBBF29" w14:textId="77777777" w:rsidTr="00B40618">
        <w:trPr>
          <w:trHeight w:val="170"/>
        </w:trPr>
        <w:tc>
          <w:tcPr>
            <w:tcW w:w="5357" w:type="dxa"/>
            <w:tcMar>
              <w:left w:w="108" w:type="dxa"/>
              <w:right w:w="108" w:type="dxa"/>
            </w:tcMar>
            <w:vAlign w:val="bottom"/>
          </w:tcPr>
          <w:p w14:paraId="2EFE08BC"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     Cohabiting</w:t>
            </w:r>
          </w:p>
        </w:tc>
        <w:tc>
          <w:tcPr>
            <w:tcW w:w="1786" w:type="dxa"/>
            <w:tcMar>
              <w:left w:w="108" w:type="dxa"/>
              <w:right w:w="108" w:type="dxa"/>
            </w:tcMar>
            <w:vAlign w:val="bottom"/>
          </w:tcPr>
          <w:p w14:paraId="62A1DC73"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2%</w:t>
            </w:r>
          </w:p>
        </w:tc>
        <w:tc>
          <w:tcPr>
            <w:tcW w:w="1873" w:type="dxa"/>
            <w:tcMar>
              <w:left w:w="108" w:type="dxa"/>
              <w:right w:w="108" w:type="dxa"/>
            </w:tcMar>
            <w:vAlign w:val="bottom"/>
          </w:tcPr>
          <w:p w14:paraId="769324E8"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2%</w:t>
            </w:r>
          </w:p>
        </w:tc>
      </w:tr>
      <w:tr w:rsidR="00B05E78" w:rsidRPr="00CA2336" w14:paraId="0779E56B" w14:textId="77777777" w:rsidTr="00B40618">
        <w:trPr>
          <w:trHeight w:val="170"/>
        </w:trPr>
        <w:tc>
          <w:tcPr>
            <w:tcW w:w="5357" w:type="dxa"/>
            <w:tcMar>
              <w:left w:w="108" w:type="dxa"/>
              <w:right w:w="108" w:type="dxa"/>
            </w:tcMar>
            <w:vAlign w:val="center"/>
          </w:tcPr>
          <w:p w14:paraId="25E14A82" w14:textId="77777777" w:rsidR="00B05E78" w:rsidRPr="00CA2336" w:rsidRDefault="00B05E78" w:rsidP="00B40618">
            <w:pPr>
              <w:spacing w:after="0" w:line="276" w:lineRule="auto"/>
              <w:jc w:val="both"/>
              <w:rPr>
                <w:rFonts w:ascii="Arial" w:eastAsia="Arial" w:hAnsi="Arial" w:cs="Arial"/>
                <w:color w:val="000000" w:themeColor="text1"/>
                <w:sz w:val="20"/>
                <w:szCs w:val="20"/>
              </w:rPr>
            </w:pPr>
          </w:p>
        </w:tc>
        <w:tc>
          <w:tcPr>
            <w:tcW w:w="1786" w:type="dxa"/>
            <w:tcMar>
              <w:left w:w="108" w:type="dxa"/>
              <w:right w:w="108" w:type="dxa"/>
            </w:tcMar>
            <w:vAlign w:val="center"/>
          </w:tcPr>
          <w:p w14:paraId="4EF4230F" w14:textId="77777777" w:rsidR="00B05E78" w:rsidRPr="00CA2336" w:rsidRDefault="00B05E78" w:rsidP="00B40618">
            <w:pPr>
              <w:spacing w:after="0" w:line="276" w:lineRule="auto"/>
              <w:jc w:val="both"/>
              <w:rPr>
                <w:rFonts w:ascii="Arial" w:eastAsia="Arial" w:hAnsi="Arial" w:cs="Arial"/>
                <w:color w:val="000000" w:themeColor="text1"/>
                <w:sz w:val="20"/>
                <w:szCs w:val="20"/>
              </w:rPr>
            </w:pPr>
          </w:p>
        </w:tc>
        <w:tc>
          <w:tcPr>
            <w:tcW w:w="1873" w:type="dxa"/>
            <w:tcMar>
              <w:left w:w="108" w:type="dxa"/>
              <w:right w:w="108" w:type="dxa"/>
            </w:tcMar>
            <w:vAlign w:val="center"/>
          </w:tcPr>
          <w:p w14:paraId="06F1DB62" w14:textId="77777777" w:rsidR="00B05E78" w:rsidRPr="00CA2336" w:rsidRDefault="00B05E78" w:rsidP="00B40618">
            <w:pPr>
              <w:spacing w:after="0" w:line="276" w:lineRule="auto"/>
              <w:jc w:val="both"/>
              <w:rPr>
                <w:rFonts w:ascii="Arial" w:eastAsia="Arial" w:hAnsi="Arial" w:cs="Arial"/>
                <w:color w:val="000000" w:themeColor="text1"/>
                <w:sz w:val="20"/>
                <w:szCs w:val="20"/>
              </w:rPr>
            </w:pPr>
          </w:p>
        </w:tc>
      </w:tr>
      <w:tr w:rsidR="00B05E78" w:rsidRPr="00CA2336" w14:paraId="179ACFBE" w14:textId="77777777" w:rsidTr="00B40618">
        <w:trPr>
          <w:trHeight w:val="170"/>
        </w:trPr>
        <w:tc>
          <w:tcPr>
            <w:tcW w:w="5357" w:type="dxa"/>
            <w:tcMar>
              <w:left w:w="108" w:type="dxa"/>
              <w:right w:w="108" w:type="dxa"/>
            </w:tcMar>
            <w:vAlign w:val="bottom"/>
          </w:tcPr>
          <w:p w14:paraId="6A62F0CB" w14:textId="01CADCF8"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Relationship status (</w:t>
            </w:r>
            <w:r w:rsidR="00272F37">
              <w:rPr>
                <w:rFonts w:ascii="Arial" w:eastAsia="Arial" w:hAnsi="Arial" w:cs="Arial"/>
                <w:color w:val="000000" w:themeColor="text1"/>
                <w:sz w:val="20"/>
                <w:szCs w:val="20"/>
              </w:rPr>
              <w:t xml:space="preserve">not married or </w:t>
            </w:r>
            <w:proofErr w:type="gramStart"/>
            <w:r w:rsidR="00272F37">
              <w:rPr>
                <w:rFonts w:ascii="Arial" w:eastAsia="Arial" w:hAnsi="Arial" w:cs="Arial"/>
                <w:color w:val="000000" w:themeColor="text1"/>
                <w:sz w:val="20"/>
                <w:szCs w:val="20"/>
              </w:rPr>
              <w:t>cohabiting</w:t>
            </w:r>
            <w:r w:rsidRPr="00CA2336">
              <w:rPr>
                <w:rFonts w:ascii="Arial" w:eastAsia="Arial" w:hAnsi="Arial" w:cs="Arial"/>
                <w:color w:val="000000" w:themeColor="text1"/>
                <w:sz w:val="20"/>
                <w:szCs w:val="20"/>
              </w:rPr>
              <w:t>)*</w:t>
            </w:r>
            <w:proofErr w:type="gramEnd"/>
          </w:p>
        </w:tc>
        <w:tc>
          <w:tcPr>
            <w:tcW w:w="1786" w:type="dxa"/>
            <w:tcMar>
              <w:left w:w="108" w:type="dxa"/>
              <w:right w:w="108" w:type="dxa"/>
            </w:tcMar>
            <w:vAlign w:val="bottom"/>
          </w:tcPr>
          <w:p w14:paraId="70BC7B0D"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14%</w:t>
            </w:r>
          </w:p>
        </w:tc>
        <w:tc>
          <w:tcPr>
            <w:tcW w:w="1873" w:type="dxa"/>
            <w:tcMar>
              <w:left w:w="108" w:type="dxa"/>
              <w:right w:w="108" w:type="dxa"/>
            </w:tcMar>
            <w:vAlign w:val="bottom"/>
          </w:tcPr>
          <w:p w14:paraId="09C9A3BA"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27%</w:t>
            </w:r>
          </w:p>
        </w:tc>
      </w:tr>
      <w:tr w:rsidR="00B05E78" w:rsidRPr="00CA2336" w14:paraId="0C3E068B" w14:textId="77777777" w:rsidTr="00B40618">
        <w:trPr>
          <w:trHeight w:val="170"/>
        </w:trPr>
        <w:tc>
          <w:tcPr>
            <w:tcW w:w="5357" w:type="dxa"/>
            <w:tcMar>
              <w:left w:w="108" w:type="dxa"/>
              <w:right w:w="108" w:type="dxa"/>
            </w:tcMar>
            <w:vAlign w:val="center"/>
          </w:tcPr>
          <w:p w14:paraId="29207634" w14:textId="77777777" w:rsidR="00B05E78" w:rsidRPr="00CA2336" w:rsidRDefault="00B05E78" w:rsidP="00B40618">
            <w:pPr>
              <w:spacing w:after="0" w:line="276" w:lineRule="auto"/>
              <w:jc w:val="both"/>
              <w:rPr>
                <w:rFonts w:ascii="Arial" w:hAnsi="Arial" w:cs="Arial"/>
                <w:sz w:val="20"/>
                <w:szCs w:val="20"/>
              </w:rPr>
            </w:pPr>
          </w:p>
        </w:tc>
        <w:tc>
          <w:tcPr>
            <w:tcW w:w="1786" w:type="dxa"/>
            <w:tcMar>
              <w:left w:w="108" w:type="dxa"/>
              <w:right w:w="108" w:type="dxa"/>
            </w:tcMar>
            <w:vAlign w:val="center"/>
          </w:tcPr>
          <w:p w14:paraId="5D637BFC" w14:textId="77777777" w:rsidR="00B05E78" w:rsidRPr="00CA2336" w:rsidRDefault="00B05E78" w:rsidP="00B40618">
            <w:pPr>
              <w:spacing w:after="0" w:line="276" w:lineRule="auto"/>
              <w:jc w:val="both"/>
              <w:rPr>
                <w:rFonts w:ascii="Arial" w:hAnsi="Arial" w:cs="Arial"/>
                <w:sz w:val="20"/>
                <w:szCs w:val="20"/>
              </w:rPr>
            </w:pPr>
          </w:p>
        </w:tc>
        <w:tc>
          <w:tcPr>
            <w:tcW w:w="1873" w:type="dxa"/>
            <w:tcMar>
              <w:left w:w="108" w:type="dxa"/>
              <w:right w:w="108" w:type="dxa"/>
            </w:tcMar>
            <w:vAlign w:val="center"/>
          </w:tcPr>
          <w:p w14:paraId="4C985D3F" w14:textId="77777777" w:rsidR="00B05E78" w:rsidRPr="00CA2336" w:rsidRDefault="00B05E78" w:rsidP="00B40618">
            <w:pPr>
              <w:spacing w:after="0" w:line="276" w:lineRule="auto"/>
              <w:jc w:val="both"/>
              <w:rPr>
                <w:rFonts w:ascii="Arial" w:hAnsi="Arial" w:cs="Arial"/>
                <w:sz w:val="20"/>
                <w:szCs w:val="20"/>
              </w:rPr>
            </w:pPr>
          </w:p>
        </w:tc>
      </w:tr>
      <w:tr w:rsidR="00B05E78" w:rsidRPr="00CA2336" w14:paraId="4E9E2E9B" w14:textId="77777777" w:rsidTr="00B40618">
        <w:trPr>
          <w:trHeight w:val="170"/>
        </w:trPr>
        <w:tc>
          <w:tcPr>
            <w:tcW w:w="5357" w:type="dxa"/>
            <w:tcMar>
              <w:left w:w="108" w:type="dxa"/>
              <w:right w:w="108" w:type="dxa"/>
            </w:tcMar>
            <w:vAlign w:val="center"/>
          </w:tcPr>
          <w:p w14:paraId="428DAF01" w14:textId="77777777" w:rsidR="00B05E78" w:rsidRPr="00951A89" w:rsidRDefault="00B05E78" w:rsidP="00B40618">
            <w:pPr>
              <w:spacing w:after="0" w:line="276" w:lineRule="auto"/>
              <w:jc w:val="both"/>
              <w:rPr>
                <w:rFonts w:ascii="Arial" w:hAnsi="Arial" w:cs="Arial"/>
                <w:i/>
                <w:iCs/>
                <w:sz w:val="20"/>
                <w:szCs w:val="20"/>
              </w:rPr>
            </w:pPr>
            <w:r w:rsidRPr="00951A89">
              <w:rPr>
                <w:rFonts w:ascii="Arial" w:eastAsia="Arial" w:hAnsi="Arial" w:cs="Arial"/>
                <w:b/>
                <w:bCs/>
                <w:i/>
                <w:iCs/>
                <w:color w:val="000000" w:themeColor="text1"/>
                <w:sz w:val="20"/>
                <w:szCs w:val="20"/>
              </w:rPr>
              <w:t>Events during follow-up (ever had)</w:t>
            </w:r>
          </w:p>
        </w:tc>
        <w:tc>
          <w:tcPr>
            <w:tcW w:w="1786" w:type="dxa"/>
            <w:tcMar>
              <w:left w:w="108" w:type="dxa"/>
              <w:right w:w="108" w:type="dxa"/>
            </w:tcMar>
            <w:vAlign w:val="center"/>
          </w:tcPr>
          <w:p w14:paraId="507F8F28" w14:textId="77777777" w:rsidR="00B05E78" w:rsidRPr="00CA2336" w:rsidRDefault="00B05E78" w:rsidP="00B40618">
            <w:pPr>
              <w:spacing w:after="0" w:line="276" w:lineRule="auto"/>
              <w:jc w:val="both"/>
              <w:rPr>
                <w:rFonts w:ascii="Arial" w:hAnsi="Arial" w:cs="Arial"/>
                <w:sz w:val="20"/>
                <w:szCs w:val="20"/>
              </w:rPr>
            </w:pPr>
          </w:p>
        </w:tc>
        <w:tc>
          <w:tcPr>
            <w:tcW w:w="1873" w:type="dxa"/>
            <w:tcMar>
              <w:left w:w="108" w:type="dxa"/>
              <w:right w:w="108" w:type="dxa"/>
            </w:tcMar>
            <w:vAlign w:val="center"/>
          </w:tcPr>
          <w:p w14:paraId="48A3CA8C" w14:textId="77777777" w:rsidR="00B05E78" w:rsidRPr="00CA2336" w:rsidRDefault="00B05E78" w:rsidP="00B40618">
            <w:pPr>
              <w:spacing w:after="0" w:line="276" w:lineRule="auto"/>
              <w:jc w:val="both"/>
              <w:rPr>
                <w:rFonts w:ascii="Arial" w:hAnsi="Arial" w:cs="Arial"/>
                <w:sz w:val="20"/>
                <w:szCs w:val="20"/>
              </w:rPr>
            </w:pPr>
          </w:p>
        </w:tc>
      </w:tr>
      <w:tr w:rsidR="00B05E78" w:rsidRPr="00CA2336" w14:paraId="23861FFC" w14:textId="77777777" w:rsidTr="00B40618">
        <w:trPr>
          <w:trHeight w:val="170"/>
        </w:trPr>
        <w:tc>
          <w:tcPr>
            <w:tcW w:w="5357" w:type="dxa"/>
            <w:tcMar>
              <w:left w:w="108" w:type="dxa"/>
              <w:right w:w="108" w:type="dxa"/>
            </w:tcMar>
            <w:vAlign w:val="center"/>
          </w:tcPr>
          <w:p w14:paraId="256ED0AB"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 xml:space="preserve">        Any fracture</w:t>
            </w:r>
          </w:p>
        </w:tc>
        <w:tc>
          <w:tcPr>
            <w:tcW w:w="1786" w:type="dxa"/>
            <w:tcMar>
              <w:left w:w="108" w:type="dxa"/>
              <w:right w:w="108" w:type="dxa"/>
            </w:tcMar>
            <w:vAlign w:val="center"/>
          </w:tcPr>
          <w:p w14:paraId="2747FA3A"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9%</w:t>
            </w:r>
          </w:p>
        </w:tc>
        <w:tc>
          <w:tcPr>
            <w:tcW w:w="1873" w:type="dxa"/>
            <w:tcMar>
              <w:left w:w="108" w:type="dxa"/>
              <w:right w:w="108" w:type="dxa"/>
            </w:tcMar>
            <w:vAlign w:val="center"/>
          </w:tcPr>
          <w:p w14:paraId="0F574F33" w14:textId="77777777" w:rsidR="00B05E78" w:rsidRPr="00CA2336" w:rsidRDefault="00B05E78" w:rsidP="00B40618">
            <w:pPr>
              <w:spacing w:after="0" w:line="276" w:lineRule="auto"/>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22%</w:t>
            </w:r>
          </w:p>
        </w:tc>
      </w:tr>
      <w:tr w:rsidR="00B05E78" w:rsidRPr="00CA2336" w14:paraId="47BF20B4" w14:textId="77777777" w:rsidTr="00B40618">
        <w:trPr>
          <w:trHeight w:val="170"/>
        </w:trPr>
        <w:tc>
          <w:tcPr>
            <w:tcW w:w="5357" w:type="dxa"/>
            <w:tcMar>
              <w:left w:w="108" w:type="dxa"/>
              <w:right w:w="108" w:type="dxa"/>
            </w:tcMar>
            <w:vAlign w:val="center"/>
          </w:tcPr>
          <w:p w14:paraId="6B85D2D2"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 xml:space="preserve">        Hip fracture</w:t>
            </w:r>
          </w:p>
        </w:tc>
        <w:tc>
          <w:tcPr>
            <w:tcW w:w="1786" w:type="dxa"/>
            <w:tcMar>
              <w:left w:w="108" w:type="dxa"/>
              <w:right w:w="108" w:type="dxa"/>
            </w:tcMar>
            <w:vAlign w:val="center"/>
          </w:tcPr>
          <w:p w14:paraId="07F5BF0C"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2%</w:t>
            </w:r>
          </w:p>
        </w:tc>
        <w:tc>
          <w:tcPr>
            <w:tcW w:w="1873" w:type="dxa"/>
            <w:tcMar>
              <w:left w:w="108" w:type="dxa"/>
              <w:right w:w="108" w:type="dxa"/>
            </w:tcMar>
            <w:vAlign w:val="center"/>
          </w:tcPr>
          <w:p w14:paraId="79AEF377"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5%</w:t>
            </w:r>
          </w:p>
        </w:tc>
      </w:tr>
      <w:tr w:rsidR="00B05E78" w:rsidRPr="00CA2336" w14:paraId="3EFB225A" w14:textId="77777777" w:rsidTr="00B40618">
        <w:trPr>
          <w:trHeight w:val="170"/>
        </w:trPr>
        <w:tc>
          <w:tcPr>
            <w:tcW w:w="5357" w:type="dxa"/>
            <w:tcBorders>
              <w:top w:val="single" w:sz="4" w:space="0" w:color="auto"/>
            </w:tcBorders>
            <w:tcMar>
              <w:left w:w="108" w:type="dxa"/>
              <w:right w:w="108" w:type="dxa"/>
            </w:tcMar>
            <w:vAlign w:val="center"/>
          </w:tcPr>
          <w:p w14:paraId="0A5678A1" w14:textId="77777777" w:rsidR="00B05E78" w:rsidRPr="00CA2336" w:rsidRDefault="00B05E78" w:rsidP="00B40618">
            <w:pPr>
              <w:spacing w:after="0" w:line="276" w:lineRule="auto"/>
              <w:jc w:val="both"/>
              <w:rPr>
                <w:rFonts w:ascii="Arial" w:hAnsi="Arial" w:cs="Arial"/>
                <w:sz w:val="20"/>
                <w:szCs w:val="20"/>
              </w:rPr>
            </w:pPr>
          </w:p>
        </w:tc>
        <w:tc>
          <w:tcPr>
            <w:tcW w:w="1786" w:type="dxa"/>
            <w:tcBorders>
              <w:top w:val="single" w:sz="4" w:space="0" w:color="auto"/>
            </w:tcBorders>
            <w:tcMar>
              <w:left w:w="108" w:type="dxa"/>
              <w:right w:w="108" w:type="dxa"/>
            </w:tcMar>
            <w:vAlign w:val="center"/>
          </w:tcPr>
          <w:p w14:paraId="325E66CC" w14:textId="77777777" w:rsidR="00B05E78" w:rsidRPr="00CA2336" w:rsidRDefault="00B05E78" w:rsidP="00B40618">
            <w:pPr>
              <w:spacing w:after="0" w:line="276" w:lineRule="auto"/>
              <w:jc w:val="both"/>
              <w:rPr>
                <w:rFonts w:ascii="Arial" w:hAnsi="Arial" w:cs="Arial"/>
                <w:sz w:val="20"/>
                <w:szCs w:val="20"/>
              </w:rPr>
            </w:pPr>
          </w:p>
        </w:tc>
        <w:tc>
          <w:tcPr>
            <w:tcW w:w="1873" w:type="dxa"/>
            <w:tcBorders>
              <w:top w:val="single" w:sz="4" w:space="0" w:color="auto"/>
            </w:tcBorders>
            <w:tcMar>
              <w:left w:w="108" w:type="dxa"/>
              <w:right w:w="108" w:type="dxa"/>
            </w:tcMar>
            <w:vAlign w:val="center"/>
          </w:tcPr>
          <w:p w14:paraId="6A9A5D53" w14:textId="77777777" w:rsidR="00B05E78" w:rsidRPr="00CA2336" w:rsidRDefault="00B05E78" w:rsidP="00B40618">
            <w:pPr>
              <w:spacing w:after="0" w:line="276" w:lineRule="auto"/>
              <w:jc w:val="both"/>
              <w:rPr>
                <w:rFonts w:ascii="Arial" w:hAnsi="Arial" w:cs="Arial"/>
                <w:sz w:val="20"/>
                <w:szCs w:val="20"/>
              </w:rPr>
            </w:pPr>
          </w:p>
        </w:tc>
      </w:tr>
      <w:tr w:rsidR="00B05E78" w:rsidRPr="00CA2336" w14:paraId="6B614420" w14:textId="77777777" w:rsidTr="00B40618">
        <w:trPr>
          <w:trHeight w:val="170"/>
        </w:trPr>
        <w:tc>
          <w:tcPr>
            <w:tcW w:w="7143" w:type="dxa"/>
            <w:gridSpan w:val="2"/>
            <w:tcMar>
              <w:left w:w="108" w:type="dxa"/>
              <w:right w:w="108" w:type="dxa"/>
            </w:tcMar>
            <w:vAlign w:val="center"/>
          </w:tcPr>
          <w:p w14:paraId="4361B16F" w14:textId="77777777" w:rsidR="00B05E78" w:rsidRPr="00CA2336" w:rsidRDefault="00B05E78" w:rsidP="00B40618">
            <w:pPr>
              <w:spacing w:after="0" w:line="276" w:lineRule="auto"/>
              <w:jc w:val="both"/>
              <w:rPr>
                <w:rFonts w:ascii="Arial" w:hAnsi="Arial" w:cs="Arial"/>
                <w:sz w:val="20"/>
                <w:szCs w:val="20"/>
              </w:rPr>
            </w:pPr>
            <w:r w:rsidRPr="00CA2336">
              <w:rPr>
                <w:rFonts w:ascii="Arial" w:eastAsia="Arial" w:hAnsi="Arial" w:cs="Arial"/>
                <w:color w:val="000000" w:themeColor="text1"/>
                <w:sz w:val="20"/>
                <w:szCs w:val="20"/>
              </w:rPr>
              <w:t>Follow-up period lasted from baseline (1998-2004) until 31st December 2018</w:t>
            </w:r>
          </w:p>
        </w:tc>
        <w:tc>
          <w:tcPr>
            <w:tcW w:w="1873" w:type="dxa"/>
            <w:tcMar>
              <w:left w:w="108" w:type="dxa"/>
              <w:right w:w="108" w:type="dxa"/>
            </w:tcMar>
            <w:vAlign w:val="center"/>
          </w:tcPr>
          <w:p w14:paraId="15E0C7E4" w14:textId="77777777" w:rsidR="00B05E78" w:rsidRPr="00CA2336" w:rsidRDefault="00B05E78" w:rsidP="00B40618">
            <w:pPr>
              <w:spacing w:after="0" w:line="276" w:lineRule="auto"/>
              <w:jc w:val="both"/>
              <w:rPr>
                <w:rFonts w:ascii="Arial" w:hAnsi="Arial" w:cs="Arial"/>
                <w:sz w:val="20"/>
                <w:szCs w:val="20"/>
              </w:rPr>
            </w:pPr>
          </w:p>
        </w:tc>
      </w:tr>
      <w:tr w:rsidR="00272F37" w:rsidRPr="00CA2336" w14:paraId="76BA7C9E" w14:textId="77777777" w:rsidTr="0020410C">
        <w:trPr>
          <w:trHeight w:val="170"/>
        </w:trPr>
        <w:tc>
          <w:tcPr>
            <w:tcW w:w="9016" w:type="dxa"/>
            <w:gridSpan w:val="3"/>
            <w:tcMar>
              <w:left w:w="108" w:type="dxa"/>
              <w:right w:w="108" w:type="dxa"/>
            </w:tcMar>
            <w:vAlign w:val="center"/>
          </w:tcPr>
          <w:p w14:paraId="2E3307AE" w14:textId="28137DEC" w:rsidR="00272F37" w:rsidRPr="00CA2336" w:rsidRDefault="00272F37" w:rsidP="00B40618">
            <w:pPr>
              <w:spacing w:after="0" w:line="276" w:lineRule="auto"/>
              <w:jc w:val="both"/>
              <w:rPr>
                <w:rFonts w:ascii="Arial" w:hAnsi="Arial" w:cs="Arial"/>
                <w:sz w:val="20"/>
                <w:szCs w:val="20"/>
              </w:rPr>
            </w:pPr>
            <w:r>
              <w:rPr>
                <w:rFonts w:ascii="Arial" w:eastAsia="Arial" w:hAnsi="Arial" w:cs="Arial"/>
                <w:color w:val="000000" w:themeColor="text1"/>
                <w:sz w:val="20"/>
                <w:szCs w:val="20"/>
              </w:rPr>
              <w:t>*Participants who reported their baseline relationship status as ‘single’, ‘divorced or separated’, or ‘widowed’ were regarded as not married or cohabiting at baseline</w:t>
            </w:r>
          </w:p>
        </w:tc>
      </w:tr>
    </w:tbl>
    <w:p w14:paraId="0D7F78B6" w14:textId="77777777" w:rsidR="00B05E78" w:rsidRPr="00CA2336" w:rsidRDefault="00B05E78" w:rsidP="00B05E78">
      <w:pPr>
        <w:spacing w:after="200" w:line="360" w:lineRule="auto"/>
        <w:jc w:val="both"/>
        <w:rPr>
          <w:rFonts w:ascii="Arial" w:eastAsia="Arial" w:hAnsi="Arial" w:cs="Arial"/>
        </w:rPr>
      </w:pPr>
    </w:p>
    <w:p w14:paraId="6E46A5F9" w14:textId="77777777" w:rsidR="00B05E78" w:rsidRPr="00CA2336" w:rsidRDefault="00B05E78" w:rsidP="00B05E78">
      <w:pPr>
        <w:spacing w:after="200" w:line="360" w:lineRule="auto"/>
        <w:jc w:val="both"/>
        <w:rPr>
          <w:rFonts w:ascii="Arial" w:eastAsia="Arial" w:hAnsi="Arial" w:cs="Arial"/>
        </w:rPr>
      </w:pPr>
    </w:p>
    <w:p w14:paraId="275A22B7" w14:textId="77777777" w:rsidR="00B05E78" w:rsidRPr="00CA2336" w:rsidRDefault="00B05E78" w:rsidP="00B05E78">
      <w:pPr>
        <w:spacing w:after="200" w:line="360" w:lineRule="auto"/>
        <w:jc w:val="both"/>
        <w:rPr>
          <w:rFonts w:ascii="Arial" w:eastAsia="Arial" w:hAnsi="Arial" w:cs="Arial"/>
        </w:rPr>
      </w:pPr>
    </w:p>
    <w:p w14:paraId="47F297A1" w14:textId="77777777" w:rsidR="00B05E78" w:rsidRPr="00CA2336" w:rsidRDefault="00B05E78" w:rsidP="00B05E78">
      <w:pPr>
        <w:spacing w:after="200" w:line="360" w:lineRule="auto"/>
        <w:jc w:val="both"/>
        <w:rPr>
          <w:rFonts w:ascii="Arial" w:eastAsia="Arial" w:hAnsi="Arial" w:cs="Arial"/>
        </w:rPr>
      </w:pPr>
    </w:p>
    <w:p w14:paraId="40AFCA77" w14:textId="77777777" w:rsidR="00B05E78" w:rsidRPr="00CA2336" w:rsidRDefault="00B05E78" w:rsidP="00B05E78">
      <w:pPr>
        <w:spacing w:after="200" w:line="360" w:lineRule="auto"/>
        <w:jc w:val="both"/>
        <w:rPr>
          <w:rFonts w:ascii="Arial" w:eastAsia="Arial" w:hAnsi="Arial" w:cs="Arial"/>
        </w:rPr>
      </w:pPr>
    </w:p>
    <w:p w14:paraId="32F6FBF1" w14:textId="77777777" w:rsidR="00B05E78" w:rsidRPr="00CA2336" w:rsidRDefault="00B05E78" w:rsidP="00B05E78">
      <w:pPr>
        <w:spacing w:after="200" w:line="360" w:lineRule="auto"/>
        <w:jc w:val="both"/>
        <w:rPr>
          <w:rFonts w:ascii="Arial" w:eastAsia="Arial" w:hAnsi="Arial" w:cs="Arial"/>
        </w:rPr>
      </w:pPr>
    </w:p>
    <w:p w14:paraId="5E4898D7" w14:textId="5337E2BC" w:rsidR="00B05E78" w:rsidRDefault="00B05E78" w:rsidP="00B05E78">
      <w:pPr>
        <w:spacing w:after="200" w:line="360" w:lineRule="auto"/>
        <w:jc w:val="both"/>
        <w:rPr>
          <w:rFonts w:ascii="Arial" w:eastAsia="Arial" w:hAnsi="Arial" w:cs="Arial"/>
        </w:rPr>
      </w:pPr>
    </w:p>
    <w:p w14:paraId="2202356B" w14:textId="77777777" w:rsidR="00227255" w:rsidRDefault="00227255" w:rsidP="00B05E78">
      <w:pPr>
        <w:spacing w:after="200" w:line="360" w:lineRule="auto"/>
        <w:jc w:val="both"/>
        <w:rPr>
          <w:rFonts w:ascii="Arial" w:eastAsia="Arial" w:hAnsi="Arial" w:cs="Arial"/>
        </w:rPr>
      </w:pPr>
    </w:p>
    <w:p w14:paraId="221C47C6" w14:textId="77777777" w:rsidR="00B05E78" w:rsidRPr="00CA2336" w:rsidRDefault="00B05E78" w:rsidP="00B05E78">
      <w:pPr>
        <w:spacing w:after="200" w:line="360" w:lineRule="auto"/>
        <w:jc w:val="both"/>
        <w:rPr>
          <w:rFonts w:ascii="Arial" w:eastAsia="Arial" w:hAnsi="Arial" w:cs="Arial"/>
        </w:rPr>
      </w:pPr>
    </w:p>
    <w:tbl>
      <w:tblPr>
        <w:tblW w:w="9780" w:type="dxa"/>
        <w:tblLayout w:type="fixed"/>
        <w:tblLook w:val="04A0" w:firstRow="1" w:lastRow="0" w:firstColumn="1" w:lastColumn="0" w:noHBand="0" w:noVBand="1"/>
      </w:tblPr>
      <w:tblGrid>
        <w:gridCol w:w="4111"/>
        <w:gridCol w:w="1701"/>
        <w:gridCol w:w="992"/>
        <w:gridCol w:w="1701"/>
        <w:gridCol w:w="993"/>
        <w:gridCol w:w="282"/>
      </w:tblGrid>
      <w:tr w:rsidR="00B05E78" w:rsidRPr="00CA2336" w14:paraId="6836470D" w14:textId="77777777" w:rsidTr="00B40618">
        <w:trPr>
          <w:gridAfter w:val="1"/>
          <w:wAfter w:w="282" w:type="dxa"/>
          <w:trHeight w:val="450"/>
        </w:trPr>
        <w:tc>
          <w:tcPr>
            <w:tcW w:w="9498" w:type="dxa"/>
            <w:gridSpan w:val="5"/>
            <w:vMerge w:val="restart"/>
            <w:tcBorders>
              <w:top w:val="nil"/>
              <w:left w:val="nil"/>
              <w:bottom w:val="nil"/>
              <w:right w:val="nil"/>
            </w:tcBorders>
            <w:shd w:val="clear" w:color="auto" w:fill="auto"/>
            <w:vAlign w:val="bottom"/>
            <w:hideMark/>
          </w:tcPr>
          <w:p w14:paraId="31FA3E56" w14:textId="5E8BB4D0" w:rsidR="00B05E78" w:rsidRPr="00CA2336" w:rsidRDefault="00B05E78" w:rsidP="00B40618">
            <w:pPr>
              <w:spacing w:after="0" w:line="240" w:lineRule="auto"/>
              <w:jc w:val="both"/>
              <w:rPr>
                <w:rFonts w:ascii="Arial" w:eastAsia="Times New Roman" w:hAnsi="Arial" w:cs="Arial"/>
                <w:b/>
                <w:bCs/>
                <w:color w:val="000000"/>
                <w:sz w:val="20"/>
                <w:szCs w:val="20"/>
                <w:lang w:eastAsia="en-GB"/>
              </w:rPr>
            </w:pPr>
            <w:bookmarkStart w:id="23" w:name="_Hlk151447497"/>
            <w:r w:rsidRPr="00CA2336">
              <w:rPr>
                <w:rFonts w:ascii="Arial" w:eastAsia="Times New Roman" w:hAnsi="Arial" w:cs="Arial"/>
                <w:b/>
                <w:bCs/>
                <w:color w:val="000000"/>
                <w:sz w:val="20"/>
                <w:szCs w:val="20"/>
                <w:lang w:eastAsia="en-GB"/>
              </w:rPr>
              <w:lastRenderedPageBreak/>
              <w:t xml:space="preserve">Table </w:t>
            </w:r>
            <w:r w:rsidR="00272F37">
              <w:rPr>
                <w:rFonts w:ascii="Arial" w:eastAsia="Times New Roman" w:hAnsi="Arial" w:cs="Arial"/>
                <w:b/>
                <w:bCs/>
                <w:color w:val="000000"/>
                <w:sz w:val="20"/>
                <w:szCs w:val="20"/>
                <w:lang w:eastAsia="en-GB"/>
              </w:rPr>
              <w:t>2</w:t>
            </w:r>
            <w:r w:rsidRPr="00CA2336">
              <w:rPr>
                <w:rFonts w:ascii="Arial" w:eastAsia="Times New Roman" w:hAnsi="Arial" w:cs="Arial"/>
                <w:b/>
                <w:bCs/>
                <w:color w:val="000000"/>
                <w:sz w:val="20"/>
                <w:szCs w:val="20"/>
                <w:lang w:eastAsia="en-GB"/>
              </w:rPr>
              <w:t>: Univariate odds ratios for not being married or cohabiting at baseline according to baseline participant characteristics</w:t>
            </w:r>
          </w:p>
        </w:tc>
      </w:tr>
      <w:tr w:rsidR="00B05E78" w:rsidRPr="00CA2336" w14:paraId="38C08DC2" w14:textId="77777777" w:rsidTr="00B40618">
        <w:trPr>
          <w:trHeight w:val="280"/>
        </w:trPr>
        <w:tc>
          <w:tcPr>
            <w:tcW w:w="9498" w:type="dxa"/>
            <w:gridSpan w:val="5"/>
            <w:vMerge/>
            <w:tcBorders>
              <w:top w:val="nil"/>
              <w:left w:val="nil"/>
              <w:bottom w:val="nil"/>
              <w:right w:val="nil"/>
            </w:tcBorders>
            <w:vAlign w:val="center"/>
            <w:hideMark/>
          </w:tcPr>
          <w:p w14:paraId="0550A773" w14:textId="77777777" w:rsidR="00B05E78" w:rsidRPr="00CA2336" w:rsidRDefault="00B05E78" w:rsidP="00B40618">
            <w:pPr>
              <w:spacing w:after="0" w:line="240" w:lineRule="auto"/>
              <w:jc w:val="both"/>
              <w:rPr>
                <w:rFonts w:ascii="Arial" w:eastAsia="Times New Roman" w:hAnsi="Arial" w:cs="Arial"/>
                <w:b/>
                <w:bCs/>
                <w:color w:val="000000"/>
                <w:sz w:val="20"/>
                <w:szCs w:val="20"/>
                <w:lang w:eastAsia="en-GB"/>
              </w:rPr>
            </w:pPr>
          </w:p>
        </w:tc>
        <w:tc>
          <w:tcPr>
            <w:tcW w:w="282" w:type="dxa"/>
            <w:tcBorders>
              <w:top w:val="nil"/>
              <w:left w:val="nil"/>
              <w:bottom w:val="nil"/>
              <w:right w:val="nil"/>
            </w:tcBorders>
            <w:shd w:val="clear" w:color="auto" w:fill="auto"/>
            <w:noWrap/>
            <w:vAlign w:val="bottom"/>
            <w:hideMark/>
          </w:tcPr>
          <w:p w14:paraId="0234A592" w14:textId="77777777" w:rsidR="00B05E78" w:rsidRPr="00CA2336" w:rsidRDefault="00B05E78" w:rsidP="00B40618">
            <w:pPr>
              <w:spacing w:after="0" w:line="240" w:lineRule="auto"/>
              <w:jc w:val="both"/>
              <w:rPr>
                <w:rFonts w:ascii="Arial" w:eastAsia="Times New Roman" w:hAnsi="Arial" w:cs="Arial"/>
                <w:b/>
                <w:bCs/>
                <w:color w:val="000000"/>
                <w:sz w:val="20"/>
                <w:szCs w:val="20"/>
                <w:lang w:eastAsia="en-GB"/>
              </w:rPr>
            </w:pPr>
          </w:p>
        </w:tc>
      </w:tr>
      <w:tr w:rsidR="00B05E78" w:rsidRPr="00CA2336" w14:paraId="644D670D" w14:textId="77777777" w:rsidTr="00B40618">
        <w:trPr>
          <w:trHeight w:val="280"/>
        </w:trPr>
        <w:tc>
          <w:tcPr>
            <w:tcW w:w="4111" w:type="dxa"/>
            <w:tcBorders>
              <w:top w:val="nil"/>
              <w:left w:val="nil"/>
              <w:bottom w:val="nil"/>
              <w:right w:val="nil"/>
            </w:tcBorders>
            <w:shd w:val="clear" w:color="auto" w:fill="auto"/>
            <w:noWrap/>
            <w:vAlign w:val="bottom"/>
            <w:hideMark/>
          </w:tcPr>
          <w:p w14:paraId="4E0B1C67"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c>
          <w:tcPr>
            <w:tcW w:w="1701" w:type="dxa"/>
            <w:tcBorders>
              <w:top w:val="nil"/>
              <w:left w:val="nil"/>
              <w:bottom w:val="nil"/>
              <w:right w:val="nil"/>
            </w:tcBorders>
            <w:shd w:val="clear" w:color="auto" w:fill="auto"/>
            <w:noWrap/>
            <w:vAlign w:val="bottom"/>
            <w:hideMark/>
          </w:tcPr>
          <w:p w14:paraId="1B4D6C7E"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0447E5C9"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c>
          <w:tcPr>
            <w:tcW w:w="1701" w:type="dxa"/>
            <w:tcBorders>
              <w:top w:val="nil"/>
              <w:left w:val="nil"/>
              <w:bottom w:val="nil"/>
              <w:right w:val="nil"/>
            </w:tcBorders>
            <w:shd w:val="clear" w:color="auto" w:fill="auto"/>
            <w:noWrap/>
            <w:vAlign w:val="bottom"/>
            <w:hideMark/>
          </w:tcPr>
          <w:p w14:paraId="5546F27C"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c>
          <w:tcPr>
            <w:tcW w:w="993" w:type="dxa"/>
            <w:tcBorders>
              <w:top w:val="nil"/>
              <w:left w:val="nil"/>
              <w:bottom w:val="nil"/>
              <w:right w:val="nil"/>
            </w:tcBorders>
            <w:shd w:val="clear" w:color="auto" w:fill="auto"/>
            <w:noWrap/>
            <w:vAlign w:val="bottom"/>
            <w:hideMark/>
          </w:tcPr>
          <w:p w14:paraId="1DD16E2B"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c>
          <w:tcPr>
            <w:tcW w:w="282" w:type="dxa"/>
            <w:vAlign w:val="center"/>
            <w:hideMark/>
          </w:tcPr>
          <w:p w14:paraId="067C2969"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r>
      <w:tr w:rsidR="00B05E78" w:rsidRPr="00CA2336" w14:paraId="786E5B2F" w14:textId="77777777" w:rsidTr="00B40618">
        <w:trPr>
          <w:trHeight w:val="280"/>
        </w:trPr>
        <w:tc>
          <w:tcPr>
            <w:tcW w:w="4111" w:type="dxa"/>
            <w:vMerge w:val="restart"/>
            <w:tcBorders>
              <w:top w:val="single" w:sz="4" w:space="0" w:color="auto"/>
              <w:left w:val="nil"/>
              <w:bottom w:val="single" w:sz="4" w:space="0" w:color="000000"/>
              <w:right w:val="nil"/>
            </w:tcBorders>
            <w:shd w:val="clear" w:color="auto" w:fill="auto"/>
            <w:vAlign w:val="center"/>
            <w:hideMark/>
          </w:tcPr>
          <w:p w14:paraId="087749A0" w14:textId="77777777" w:rsidR="00B05E78" w:rsidRPr="00CA2336" w:rsidRDefault="00B05E78" w:rsidP="00B40618">
            <w:pPr>
              <w:spacing w:after="0" w:line="240" w:lineRule="auto"/>
              <w:jc w:val="both"/>
              <w:rPr>
                <w:rFonts w:ascii="Arial" w:eastAsia="Times New Roman" w:hAnsi="Arial" w:cs="Arial"/>
                <w:b/>
                <w:bCs/>
                <w:color w:val="000000"/>
                <w:sz w:val="20"/>
                <w:szCs w:val="20"/>
                <w:lang w:eastAsia="en-GB"/>
              </w:rPr>
            </w:pPr>
            <w:r w:rsidRPr="00CA2336">
              <w:rPr>
                <w:rFonts w:ascii="Arial" w:eastAsia="Times New Roman" w:hAnsi="Arial" w:cs="Arial"/>
                <w:b/>
                <w:bCs/>
                <w:color w:val="000000"/>
                <w:sz w:val="20"/>
                <w:szCs w:val="20"/>
                <w:lang w:eastAsia="en-GB"/>
              </w:rPr>
              <w:t>Participant characteristic</w:t>
            </w:r>
          </w:p>
        </w:tc>
        <w:tc>
          <w:tcPr>
            <w:tcW w:w="2693" w:type="dxa"/>
            <w:gridSpan w:val="2"/>
            <w:tcBorders>
              <w:top w:val="single" w:sz="4" w:space="0" w:color="auto"/>
              <w:left w:val="nil"/>
              <w:bottom w:val="nil"/>
              <w:right w:val="nil"/>
            </w:tcBorders>
            <w:shd w:val="clear" w:color="auto" w:fill="auto"/>
            <w:vAlign w:val="center"/>
            <w:hideMark/>
          </w:tcPr>
          <w:p w14:paraId="635021D1" w14:textId="34DCB551" w:rsidR="00B05E78" w:rsidRPr="00CA2336" w:rsidRDefault="00B05E78" w:rsidP="00EA5B4E">
            <w:pPr>
              <w:spacing w:after="0" w:line="240" w:lineRule="auto"/>
              <w:jc w:val="center"/>
              <w:rPr>
                <w:rFonts w:ascii="Arial" w:eastAsia="Times New Roman" w:hAnsi="Arial" w:cs="Arial"/>
                <w:b/>
                <w:bCs/>
                <w:color w:val="000000"/>
                <w:sz w:val="20"/>
                <w:szCs w:val="20"/>
                <w:lang w:eastAsia="en-GB"/>
              </w:rPr>
            </w:pPr>
            <w:r w:rsidRPr="00CA2336">
              <w:rPr>
                <w:rFonts w:ascii="Arial" w:eastAsia="Times New Roman" w:hAnsi="Arial" w:cs="Arial"/>
                <w:b/>
                <w:bCs/>
                <w:color w:val="000000"/>
                <w:sz w:val="20"/>
                <w:szCs w:val="20"/>
                <w:lang w:eastAsia="en-GB"/>
              </w:rPr>
              <w:t>Men</w:t>
            </w:r>
          </w:p>
        </w:tc>
        <w:tc>
          <w:tcPr>
            <w:tcW w:w="2694" w:type="dxa"/>
            <w:gridSpan w:val="2"/>
            <w:tcBorders>
              <w:top w:val="single" w:sz="4" w:space="0" w:color="auto"/>
              <w:left w:val="nil"/>
              <w:bottom w:val="nil"/>
              <w:right w:val="nil"/>
            </w:tcBorders>
            <w:shd w:val="clear" w:color="auto" w:fill="auto"/>
            <w:vAlign w:val="center"/>
            <w:hideMark/>
          </w:tcPr>
          <w:p w14:paraId="142E2C97" w14:textId="77777777" w:rsidR="00B05E78" w:rsidRPr="00CA2336" w:rsidRDefault="00B05E78" w:rsidP="00EA5B4E">
            <w:pPr>
              <w:spacing w:after="0" w:line="240" w:lineRule="auto"/>
              <w:jc w:val="center"/>
              <w:rPr>
                <w:rFonts w:ascii="Arial" w:eastAsia="Times New Roman" w:hAnsi="Arial" w:cs="Arial"/>
                <w:b/>
                <w:bCs/>
                <w:color w:val="000000"/>
                <w:sz w:val="20"/>
                <w:szCs w:val="20"/>
                <w:lang w:eastAsia="en-GB"/>
              </w:rPr>
            </w:pPr>
            <w:r w:rsidRPr="00CA2336">
              <w:rPr>
                <w:rFonts w:ascii="Arial" w:eastAsia="Times New Roman" w:hAnsi="Arial" w:cs="Arial"/>
                <w:b/>
                <w:bCs/>
                <w:color w:val="000000"/>
                <w:sz w:val="20"/>
                <w:szCs w:val="20"/>
                <w:lang w:eastAsia="en-GB"/>
              </w:rPr>
              <w:t>Women</w:t>
            </w:r>
          </w:p>
        </w:tc>
        <w:tc>
          <w:tcPr>
            <w:tcW w:w="282" w:type="dxa"/>
            <w:vAlign w:val="center"/>
            <w:hideMark/>
          </w:tcPr>
          <w:p w14:paraId="4A715247"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r>
      <w:tr w:rsidR="00B05E78" w:rsidRPr="00CA2336" w14:paraId="55789B9B" w14:textId="77777777" w:rsidTr="00B40618">
        <w:trPr>
          <w:trHeight w:val="280"/>
        </w:trPr>
        <w:tc>
          <w:tcPr>
            <w:tcW w:w="4111" w:type="dxa"/>
            <w:vMerge/>
            <w:tcBorders>
              <w:top w:val="single" w:sz="4" w:space="0" w:color="auto"/>
              <w:left w:val="nil"/>
              <w:bottom w:val="single" w:sz="4" w:space="0" w:color="000000"/>
              <w:right w:val="nil"/>
            </w:tcBorders>
            <w:vAlign w:val="center"/>
            <w:hideMark/>
          </w:tcPr>
          <w:p w14:paraId="3CAD21C5" w14:textId="77777777" w:rsidR="00B05E78" w:rsidRPr="00CA2336" w:rsidRDefault="00B05E78" w:rsidP="00B40618">
            <w:pPr>
              <w:spacing w:after="0" w:line="240" w:lineRule="auto"/>
              <w:jc w:val="both"/>
              <w:rPr>
                <w:rFonts w:ascii="Arial" w:eastAsia="Times New Roman" w:hAnsi="Arial" w:cs="Arial"/>
                <w:b/>
                <w:bCs/>
                <w:color w:val="000000"/>
                <w:sz w:val="20"/>
                <w:szCs w:val="20"/>
                <w:lang w:eastAsia="en-GB"/>
              </w:rPr>
            </w:pPr>
          </w:p>
        </w:tc>
        <w:tc>
          <w:tcPr>
            <w:tcW w:w="1701" w:type="dxa"/>
            <w:tcBorders>
              <w:top w:val="nil"/>
              <w:left w:val="nil"/>
              <w:bottom w:val="single" w:sz="4" w:space="0" w:color="auto"/>
              <w:right w:val="nil"/>
            </w:tcBorders>
            <w:shd w:val="clear" w:color="auto" w:fill="auto"/>
            <w:noWrap/>
            <w:vAlign w:val="center"/>
            <w:hideMark/>
          </w:tcPr>
          <w:p w14:paraId="58F55A9B" w14:textId="785A2224" w:rsidR="00B05E78" w:rsidRPr="00CA2336" w:rsidRDefault="00B05E78" w:rsidP="00EA5B4E">
            <w:pPr>
              <w:spacing w:after="0" w:line="240" w:lineRule="auto"/>
              <w:jc w:val="center"/>
              <w:rPr>
                <w:rFonts w:ascii="Arial" w:eastAsia="Times New Roman" w:hAnsi="Arial" w:cs="Arial"/>
                <w:b/>
                <w:bCs/>
                <w:color w:val="000000"/>
                <w:sz w:val="20"/>
                <w:szCs w:val="20"/>
                <w:lang w:eastAsia="en-GB"/>
              </w:rPr>
            </w:pPr>
            <w:r w:rsidRPr="00CA2336">
              <w:rPr>
                <w:rFonts w:ascii="Arial" w:eastAsia="Times New Roman" w:hAnsi="Arial" w:cs="Arial"/>
                <w:b/>
                <w:bCs/>
                <w:color w:val="000000"/>
                <w:sz w:val="20"/>
                <w:szCs w:val="20"/>
                <w:lang w:eastAsia="en-GB"/>
              </w:rPr>
              <w:t>Odds</w:t>
            </w:r>
            <w:r w:rsidR="00EA5B4E">
              <w:rPr>
                <w:rFonts w:ascii="Arial" w:eastAsia="Times New Roman" w:hAnsi="Arial" w:cs="Arial"/>
                <w:b/>
                <w:bCs/>
                <w:color w:val="000000"/>
                <w:sz w:val="20"/>
                <w:szCs w:val="20"/>
                <w:lang w:eastAsia="en-GB"/>
              </w:rPr>
              <w:t xml:space="preserve"> </w:t>
            </w:r>
            <w:r w:rsidRPr="00CA2336">
              <w:rPr>
                <w:rFonts w:ascii="Arial" w:eastAsia="Times New Roman" w:hAnsi="Arial" w:cs="Arial"/>
                <w:b/>
                <w:bCs/>
                <w:color w:val="000000"/>
                <w:sz w:val="20"/>
                <w:szCs w:val="20"/>
                <w:lang w:eastAsia="en-GB"/>
              </w:rPr>
              <w:t>ratio (95% CI)</w:t>
            </w:r>
          </w:p>
        </w:tc>
        <w:tc>
          <w:tcPr>
            <w:tcW w:w="992" w:type="dxa"/>
            <w:tcBorders>
              <w:top w:val="nil"/>
              <w:left w:val="nil"/>
              <w:bottom w:val="single" w:sz="4" w:space="0" w:color="auto"/>
              <w:right w:val="nil"/>
            </w:tcBorders>
            <w:shd w:val="clear" w:color="auto" w:fill="auto"/>
            <w:noWrap/>
            <w:vAlign w:val="center"/>
            <w:hideMark/>
          </w:tcPr>
          <w:p w14:paraId="57A1D68E" w14:textId="77777777" w:rsidR="00B05E78" w:rsidRPr="00CA2336" w:rsidRDefault="00B05E78" w:rsidP="00EA5B4E">
            <w:pPr>
              <w:spacing w:after="0" w:line="240" w:lineRule="auto"/>
              <w:jc w:val="center"/>
              <w:rPr>
                <w:rFonts w:ascii="Arial" w:eastAsia="Times New Roman" w:hAnsi="Arial" w:cs="Arial"/>
                <w:b/>
                <w:bCs/>
                <w:color w:val="000000"/>
                <w:sz w:val="20"/>
                <w:szCs w:val="20"/>
                <w:lang w:eastAsia="en-GB"/>
              </w:rPr>
            </w:pPr>
            <w:r w:rsidRPr="00CA2336">
              <w:rPr>
                <w:rFonts w:ascii="Arial" w:eastAsia="Times New Roman" w:hAnsi="Arial" w:cs="Arial"/>
                <w:b/>
                <w:bCs/>
                <w:color w:val="000000"/>
                <w:sz w:val="20"/>
                <w:szCs w:val="20"/>
                <w:lang w:eastAsia="en-GB"/>
              </w:rPr>
              <w:t>P-value</w:t>
            </w:r>
          </w:p>
        </w:tc>
        <w:tc>
          <w:tcPr>
            <w:tcW w:w="1701" w:type="dxa"/>
            <w:tcBorders>
              <w:top w:val="nil"/>
              <w:left w:val="nil"/>
              <w:bottom w:val="single" w:sz="4" w:space="0" w:color="auto"/>
              <w:right w:val="nil"/>
            </w:tcBorders>
            <w:shd w:val="clear" w:color="auto" w:fill="auto"/>
            <w:noWrap/>
            <w:vAlign w:val="center"/>
            <w:hideMark/>
          </w:tcPr>
          <w:p w14:paraId="76B0F527" w14:textId="77777777" w:rsidR="00B05E78" w:rsidRPr="00CA2336" w:rsidRDefault="00B05E78" w:rsidP="00EA5B4E">
            <w:pPr>
              <w:spacing w:after="0" w:line="240" w:lineRule="auto"/>
              <w:jc w:val="center"/>
              <w:rPr>
                <w:rFonts w:ascii="Arial" w:eastAsia="Times New Roman" w:hAnsi="Arial" w:cs="Arial"/>
                <w:b/>
                <w:bCs/>
                <w:color w:val="000000"/>
                <w:sz w:val="20"/>
                <w:szCs w:val="20"/>
                <w:lang w:eastAsia="en-GB"/>
              </w:rPr>
            </w:pPr>
            <w:r w:rsidRPr="00CA2336">
              <w:rPr>
                <w:rFonts w:ascii="Arial" w:eastAsia="Times New Roman" w:hAnsi="Arial" w:cs="Arial"/>
                <w:b/>
                <w:bCs/>
                <w:color w:val="000000"/>
                <w:sz w:val="20"/>
                <w:szCs w:val="20"/>
                <w:lang w:eastAsia="en-GB"/>
              </w:rPr>
              <w:t>Odds ratio (95% CI)</w:t>
            </w:r>
          </w:p>
        </w:tc>
        <w:tc>
          <w:tcPr>
            <w:tcW w:w="993" w:type="dxa"/>
            <w:tcBorders>
              <w:top w:val="nil"/>
              <w:left w:val="nil"/>
              <w:bottom w:val="single" w:sz="4" w:space="0" w:color="auto"/>
              <w:right w:val="nil"/>
            </w:tcBorders>
            <w:shd w:val="clear" w:color="auto" w:fill="auto"/>
            <w:noWrap/>
            <w:vAlign w:val="center"/>
            <w:hideMark/>
          </w:tcPr>
          <w:p w14:paraId="7DB9C4C3" w14:textId="77777777" w:rsidR="00B05E78" w:rsidRPr="00CA2336" w:rsidRDefault="00B05E78" w:rsidP="00EA5B4E">
            <w:pPr>
              <w:spacing w:after="0" w:line="240" w:lineRule="auto"/>
              <w:jc w:val="center"/>
              <w:rPr>
                <w:rFonts w:ascii="Arial" w:eastAsia="Times New Roman" w:hAnsi="Arial" w:cs="Arial"/>
                <w:b/>
                <w:bCs/>
                <w:color w:val="000000"/>
                <w:sz w:val="20"/>
                <w:szCs w:val="20"/>
                <w:lang w:eastAsia="en-GB"/>
              </w:rPr>
            </w:pPr>
            <w:r w:rsidRPr="00CA2336">
              <w:rPr>
                <w:rFonts w:ascii="Arial" w:eastAsia="Times New Roman" w:hAnsi="Arial" w:cs="Arial"/>
                <w:b/>
                <w:bCs/>
                <w:color w:val="000000"/>
                <w:sz w:val="20"/>
                <w:szCs w:val="20"/>
                <w:lang w:eastAsia="en-GB"/>
              </w:rPr>
              <w:t>P-value</w:t>
            </w:r>
          </w:p>
        </w:tc>
        <w:tc>
          <w:tcPr>
            <w:tcW w:w="282" w:type="dxa"/>
            <w:vAlign w:val="center"/>
            <w:hideMark/>
          </w:tcPr>
          <w:p w14:paraId="5ABE66BF"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r>
      <w:tr w:rsidR="00B05E78" w:rsidRPr="00CA2336" w14:paraId="3635E640" w14:textId="77777777" w:rsidTr="00B40618">
        <w:trPr>
          <w:trHeight w:val="280"/>
        </w:trPr>
        <w:tc>
          <w:tcPr>
            <w:tcW w:w="4111" w:type="dxa"/>
            <w:tcBorders>
              <w:top w:val="nil"/>
              <w:left w:val="nil"/>
              <w:bottom w:val="nil"/>
              <w:right w:val="nil"/>
            </w:tcBorders>
            <w:shd w:val="clear" w:color="auto" w:fill="auto"/>
            <w:noWrap/>
            <w:vAlign w:val="bottom"/>
            <w:hideMark/>
          </w:tcPr>
          <w:p w14:paraId="0EF66A92" w14:textId="77777777" w:rsidR="00B05E78" w:rsidRPr="00CA2336" w:rsidRDefault="00B05E78" w:rsidP="00B40618">
            <w:pPr>
              <w:spacing w:after="0" w:line="240" w:lineRule="auto"/>
              <w:jc w:val="both"/>
              <w:rPr>
                <w:rFonts w:ascii="Arial" w:eastAsia="Times New Roman" w:hAnsi="Arial" w:cs="Arial"/>
                <w:color w:val="000000"/>
                <w:sz w:val="20"/>
                <w:szCs w:val="20"/>
                <w:lang w:eastAsia="en-GB"/>
              </w:rPr>
            </w:pPr>
            <w:r w:rsidRPr="00CA2336">
              <w:rPr>
                <w:rFonts w:ascii="Arial" w:eastAsia="Times New Roman" w:hAnsi="Arial" w:cs="Arial"/>
                <w:color w:val="000000"/>
                <w:sz w:val="20"/>
                <w:szCs w:val="20"/>
                <w:lang w:eastAsia="en-GB"/>
              </w:rPr>
              <w:t>Age (years)</w:t>
            </w:r>
          </w:p>
        </w:tc>
        <w:tc>
          <w:tcPr>
            <w:tcW w:w="1701" w:type="dxa"/>
            <w:tcBorders>
              <w:top w:val="nil"/>
              <w:left w:val="nil"/>
              <w:bottom w:val="nil"/>
              <w:right w:val="nil"/>
            </w:tcBorders>
            <w:shd w:val="clear" w:color="auto" w:fill="auto"/>
            <w:noWrap/>
            <w:vAlign w:val="bottom"/>
            <w:hideMark/>
          </w:tcPr>
          <w:p w14:paraId="1E630DAD" w14:textId="77777777" w:rsidR="00B05E78" w:rsidRPr="000231B5" w:rsidRDefault="00B05E78" w:rsidP="00EA5B4E">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1.01 (0.96,1.06)</w:t>
            </w:r>
          </w:p>
        </w:tc>
        <w:tc>
          <w:tcPr>
            <w:tcW w:w="992" w:type="dxa"/>
            <w:tcBorders>
              <w:top w:val="nil"/>
              <w:left w:val="nil"/>
              <w:bottom w:val="nil"/>
              <w:right w:val="nil"/>
            </w:tcBorders>
            <w:shd w:val="clear" w:color="auto" w:fill="auto"/>
            <w:noWrap/>
            <w:vAlign w:val="bottom"/>
            <w:hideMark/>
          </w:tcPr>
          <w:p w14:paraId="591066E2" w14:textId="77777777" w:rsidR="00B05E78" w:rsidRPr="000231B5" w:rsidRDefault="00B05E78" w:rsidP="00EA5B4E">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0.790</w:t>
            </w:r>
          </w:p>
        </w:tc>
        <w:tc>
          <w:tcPr>
            <w:tcW w:w="1701" w:type="dxa"/>
            <w:tcBorders>
              <w:top w:val="nil"/>
              <w:left w:val="nil"/>
              <w:bottom w:val="nil"/>
              <w:right w:val="nil"/>
            </w:tcBorders>
            <w:shd w:val="clear" w:color="auto" w:fill="auto"/>
            <w:noWrap/>
            <w:vAlign w:val="bottom"/>
            <w:hideMark/>
          </w:tcPr>
          <w:p w14:paraId="6547DF6A"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1.09 (1.05,1.14)</w:t>
            </w:r>
          </w:p>
        </w:tc>
        <w:tc>
          <w:tcPr>
            <w:tcW w:w="993" w:type="dxa"/>
            <w:tcBorders>
              <w:top w:val="nil"/>
              <w:left w:val="nil"/>
              <w:bottom w:val="nil"/>
              <w:right w:val="nil"/>
            </w:tcBorders>
            <w:shd w:val="clear" w:color="auto" w:fill="auto"/>
            <w:noWrap/>
            <w:vAlign w:val="bottom"/>
            <w:hideMark/>
          </w:tcPr>
          <w:p w14:paraId="1152D441"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&lt;0.001</w:t>
            </w:r>
          </w:p>
        </w:tc>
        <w:tc>
          <w:tcPr>
            <w:tcW w:w="282" w:type="dxa"/>
            <w:vAlign w:val="center"/>
            <w:hideMark/>
          </w:tcPr>
          <w:p w14:paraId="31A586EC"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r>
      <w:tr w:rsidR="00B05E78" w:rsidRPr="00CA2336" w14:paraId="664173C5" w14:textId="77777777" w:rsidTr="00B40618">
        <w:trPr>
          <w:trHeight w:val="280"/>
        </w:trPr>
        <w:tc>
          <w:tcPr>
            <w:tcW w:w="4111" w:type="dxa"/>
            <w:tcBorders>
              <w:top w:val="nil"/>
              <w:left w:val="nil"/>
              <w:bottom w:val="nil"/>
              <w:right w:val="nil"/>
            </w:tcBorders>
            <w:shd w:val="clear" w:color="auto" w:fill="auto"/>
            <w:noWrap/>
            <w:vAlign w:val="bottom"/>
            <w:hideMark/>
          </w:tcPr>
          <w:p w14:paraId="4CCEE8E9" w14:textId="77777777" w:rsidR="00B05E78" w:rsidRPr="00CA2336" w:rsidRDefault="00B05E78" w:rsidP="00B40618">
            <w:pPr>
              <w:spacing w:after="0" w:line="240" w:lineRule="auto"/>
              <w:jc w:val="both"/>
              <w:rPr>
                <w:rFonts w:ascii="Arial" w:eastAsia="Times New Roman" w:hAnsi="Arial" w:cs="Arial"/>
                <w:color w:val="000000"/>
                <w:sz w:val="20"/>
                <w:szCs w:val="20"/>
                <w:lang w:eastAsia="en-GB"/>
              </w:rPr>
            </w:pPr>
            <w:r w:rsidRPr="00CA2336">
              <w:rPr>
                <w:rFonts w:ascii="Arial" w:eastAsia="Times New Roman" w:hAnsi="Arial" w:cs="Arial"/>
                <w:color w:val="000000"/>
                <w:sz w:val="20"/>
                <w:szCs w:val="20"/>
                <w:lang w:eastAsia="en-GB"/>
              </w:rPr>
              <w:t>Height (cm)</w:t>
            </w:r>
          </w:p>
        </w:tc>
        <w:tc>
          <w:tcPr>
            <w:tcW w:w="1701" w:type="dxa"/>
            <w:tcBorders>
              <w:top w:val="nil"/>
              <w:left w:val="nil"/>
              <w:bottom w:val="nil"/>
              <w:right w:val="nil"/>
            </w:tcBorders>
            <w:shd w:val="clear" w:color="auto" w:fill="auto"/>
            <w:noWrap/>
            <w:vAlign w:val="bottom"/>
            <w:hideMark/>
          </w:tcPr>
          <w:p w14:paraId="38CA0D4F" w14:textId="77777777" w:rsidR="00B05E78" w:rsidRPr="000231B5" w:rsidRDefault="00B05E78" w:rsidP="00EA5B4E">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0.99 (0.97,1.01)</w:t>
            </w:r>
          </w:p>
        </w:tc>
        <w:tc>
          <w:tcPr>
            <w:tcW w:w="992" w:type="dxa"/>
            <w:tcBorders>
              <w:top w:val="nil"/>
              <w:left w:val="nil"/>
              <w:bottom w:val="nil"/>
              <w:right w:val="nil"/>
            </w:tcBorders>
            <w:shd w:val="clear" w:color="auto" w:fill="auto"/>
            <w:noWrap/>
            <w:vAlign w:val="bottom"/>
            <w:hideMark/>
          </w:tcPr>
          <w:p w14:paraId="3A6D614C" w14:textId="77777777" w:rsidR="00B05E78" w:rsidRPr="000231B5" w:rsidRDefault="00B05E78" w:rsidP="00EA5B4E">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0.371</w:t>
            </w:r>
          </w:p>
        </w:tc>
        <w:tc>
          <w:tcPr>
            <w:tcW w:w="1701" w:type="dxa"/>
            <w:tcBorders>
              <w:top w:val="nil"/>
              <w:left w:val="nil"/>
              <w:bottom w:val="nil"/>
              <w:right w:val="nil"/>
            </w:tcBorders>
            <w:shd w:val="clear" w:color="auto" w:fill="auto"/>
            <w:noWrap/>
            <w:vAlign w:val="bottom"/>
            <w:hideMark/>
          </w:tcPr>
          <w:p w14:paraId="113A7309" w14:textId="77777777" w:rsidR="00B05E78" w:rsidRPr="000231B5" w:rsidRDefault="00B05E78" w:rsidP="00EA5B4E">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0.99 (0.97,1.01)</w:t>
            </w:r>
          </w:p>
        </w:tc>
        <w:tc>
          <w:tcPr>
            <w:tcW w:w="993" w:type="dxa"/>
            <w:tcBorders>
              <w:top w:val="nil"/>
              <w:left w:val="nil"/>
              <w:bottom w:val="nil"/>
              <w:right w:val="nil"/>
            </w:tcBorders>
            <w:shd w:val="clear" w:color="auto" w:fill="auto"/>
            <w:noWrap/>
            <w:vAlign w:val="bottom"/>
            <w:hideMark/>
          </w:tcPr>
          <w:p w14:paraId="0A5BCC42" w14:textId="77777777" w:rsidR="00B05E78" w:rsidRPr="000231B5" w:rsidRDefault="00B05E78" w:rsidP="00EA5B4E">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0.509</w:t>
            </w:r>
          </w:p>
        </w:tc>
        <w:tc>
          <w:tcPr>
            <w:tcW w:w="282" w:type="dxa"/>
            <w:vAlign w:val="center"/>
            <w:hideMark/>
          </w:tcPr>
          <w:p w14:paraId="7EB7A4FD"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r>
      <w:tr w:rsidR="00B05E78" w:rsidRPr="00CA2336" w14:paraId="07EBB535" w14:textId="77777777" w:rsidTr="00B40618">
        <w:trPr>
          <w:trHeight w:val="330"/>
        </w:trPr>
        <w:tc>
          <w:tcPr>
            <w:tcW w:w="4111" w:type="dxa"/>
            <w:tcBorders>
              <w:top w:val="nil"/>
              <w:left w:val="nil"/>
              <w:bottom w:val="nil"/>
              <w:right w:val="nil"/>
            </w:tcBorders>
            <w:shd w:val="clear" w:color="auto" w:fill="auto"/>
            <w:noWrap/>
            <w:vAlign w:val="bottom"/>
            <w:hideMark/>
          </w:tcPr>
          <w:p w14:paraId="78034220" w14:textId="77777777" w:rsidR="00B05E78" w:rsidRPr="00CA2336" w:rsidRDefault="00B05E78" w:rsidP="00B40618">
            <w:pPr>
              <w:spacing w:after="0" w:line="240" w:lineRule="auto"/>
              <w:jc w:val="both"/>
              <w:rPr>
                <w:rFonts w:ascii="Arial" w:eastAsia="Times New Roman" w:hAnsi="Arial" w:cs="Arial"/>
                <w:color w:val="000000"/>
                <w:sz w:val="20"/>
                <w:szCs w:val="20"/>
                <w:lang w:eastAsia="en-GB"/>
              </w:rPr>
            </w:pPr>
            <w:r w:rsidRPr="00CA2336">
              <w:rPr>
                <w:rFonts w:ascii="Arial" w:eastAsia="Times New Roman" w:hAnsi="Arial" w:cs="Arial"/>
                <w:color w:val="000000"/>
                <w:sz w:val="20"/>
                <w:szCs w:val="20"/>
                <w:lang w:eastAsia="en-GB"/>
              </w:rPr>
              <w:t>BMI (kg/m</w:t>
            </w:r>
            <w:r w:rsidRPr="00CA2336">
              <w:rPr>
                <w:rFonts w:ascii="Arial" w:eastAsia="Times New Roman" w:hAnsi="Arial" w:cs="Arial"/>
                <w:color w:val="000000"/>
                <w:sz w:val="20"/>
                <w:szCs w:val="20"/>
                <w:vertAlign w:val="superscript"/>
                <w:lang w:eastAsia="en-GB"/>
              </w:rPr>
              <w:t>2</w:t>
            </w:r>
            <w:r w:rsidRPr="00CA2336">
              <w:rPr>
                <w:rFonts w:ascii="Arial" w:eastAsia="Times New Roman" w:hAnsi="Arial" w:cs="Arial"/>
                <w:color w:val="000000"/>
                <w:sz w:val="20"/>
                <w:szCs w:val="20"/>
                <w:lang w:eastAsia="en-GB"/>
              </w:rPr>
              <w:t>)</w:t>
            </w:r>
          </w:p>
        </w:tc>
        <w:tc>
          <w:tcPr>
            <w:tcW w:w="1701" w:type="dxa"/>
            <w:tcBorders>
              <w:top w:val="nil"/>
              <w:left w:val="nil"/>
              <w:bottom w:val="nil"/>
              <w:right w:val="nil"/>
            </w:tcBorders>
            <w:shd w:val="clear" w:color="auto" w:fill="auto"/>
            <w:noWrap/>
            <w:vAlign w:val="bottom"/>
            <w:hideMark/>
          </w:tcPr>
          <w:p w14:paraId="300CC59B" w14:textId="77777777" w:rsidR="00B05E78" w:rsidRPr="000231B5" w:rsidRDefault="00B05E78" w:rsidP="00EA5B4E">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1.00 (0.96,1.04)</w:t>
            </w:r>
          </w:p>
        </w:tc>
        <w:tc>
          <w:tcPr>
            <w:tcW w:w="992" w:type="dxa"/>
            <w:tcBorders>
              <w:top w:val="nil"/>
              <w:left w:val="nil"/>
              <w:bottom w:val="nil"/>
              <w:right w:val="nil"/>
            </w:tcBorders>
            <w:shd w:val="clear" w:color="auto" w:fill="auto"/>
            <w:noWrap/>
            <w:vAlign w:val="bottom"/>
            <w:hideMark/>
          </w:tcPr>
          <w:p w14:paraId="75058813" w14:textId="77777777" w:rsidR="00B05E78" w:rsidRPr="000231B5" w:rsidRDefault="00B05E78" w:rsidP="00EA5B4E">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0.934</w:t>
            </w:r>
          </w:p>
        </w:tc>
        <w:tc>
          <w:tcPr>
            <w:tcW w:w="1701" w:type="dxa"/>
            <w:tcBorders>
              <w:top w:val="nil"/>
              <w:left w:val="nil"/>
              <w:bottom w:val="nil"/>
              <w:right w:val="nil"/>
            </w:tcBorders>
            <w:shd w:val="clear" w:color="auto" w:fill="auto"/>
            <w:noWrap/>
            <w:vAlign w:val="bottom"/>
            <w:hideMark/>
          </w:tcPr>
          <w:p w14:paraId="704226A7"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1.03 (1.01,1.05)</w:t>
            </w:r>
          </w:p>
        </w:tc>
        <w:tc>
          <w:tcPr>
            <w:tcW w:w="993" w:type="dxa"/>
            <w:tcBorders>
              <w:top w:val="nil"/>
              <w:left w:val="nil"/>
              <w:bottom w:val="nil"/>
              <w:right w:val="nil"/>
            </w:tcBorders>
            <w:shd w:val="clear" w:color="auto" w:fill="auto"/>
            <w:noWrap/>
            <w:vAlign w:val="bottom"/>
            <w:hideMark/>
          </w:tcPr>
          <w:p w14:paraId="34D1C849"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0.016</w:t>
            </w:r>
          </w:p>
        </w:tc>
        <w:tc>
          <w:tcPr>
            <w:tcW w:w="282" w:type="dxa"/>
            <w:vAlign w:val="center"/>
            <w:hideMark/>
          </w:tcPr>
          <w:p w14:paraId="6EFD567C"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r>
      <w:tr w:rsidR="00B05E78" w:rsidRPr="00CA2336" w14:paraId="1656928B" w14:textId="77777777" w:rsidTr="00B40618">
        <w:trPr>
          <w:trHeight w:val="280"/>
        </w:trPr>
        <w:tc>
          <w:tcPr>
            <w:tcW w:w="4111" w:type="dxa"/>
            <w:tcBorders>
              <w:top w:val="nil"/>
              <w:left w:val="nil"/>
              <w:bottom w:val="nil"/>
              <w:right w:val="nil"/>
            </w:tcBorders>
            <w:shd w:val="clear" w:color="auto" w:fill="auto"/>
            <w:noWrap/>
            <w:vAlign w:val="bottom"/>
            <w:hideMark/>
          </w:tcPr>
          <w:p w14:paraId="789363EE" w14:textId="77777777" w:rsidR="00B05E78" w:rsidRPr="00CA2336" w:rsidRDefault="00B05E78" w:rsidP="00B40618">
            <w:pPr>
              <w:spacing w:after="0" w:line="240" w:lineRule="auto"/>
              <w:jc w:val="both"/>
              <w:rPr>
                <w:rFonts w:ascii="Arial" w:eastAsia="Times New Roman" w:hAnsi="Arial" w:cs="Arial"/>
                <w:color w:val="000000"/>
                <w:sz w:val="20"/>
                <w:szCs w:val="20"/>
                <w:lang w:eastAsia="en-GB"/>
              </w:rPr>
            </w:pPr>
            <w:r w:rsidRPr="00CA2336">
              <w:rPr>
                <w:rFonts w:ascii="Arial" w:eastAsia="Times New Roman" w:hAnsi="Arial" w:cs="Arial"/>
                <w:color w:val="000000"/>
                <w:sz w:val="20"/>
                <w:szCs w:val="20"/>
                <w:lang w:eastAsia="en-GB"/>
              </w:rPr>
              <w:t>Current smoker</w:t>
            </w:r>
          </w:p>
        </w:tc>
        <w:tc>
          <w:tcPr>
            <w:tcW w:w="1701" w:type="dxa"/>
            <w:tcBorders>
              <w:top w:val="nil"/>
              <w:left w:val="nil"/>
              <w:bottom w:val="nil"/>
              <w:right w:val="nil"/>
            </w:tcBorders>
            <w:shd w:val="clear" w:color="auto" w:fill="auto"/>
            <w:noWrap/>
            <w:vAlign w:val="bottom"/>
            <w:hideMark/>
          </w:tcPr>
          <w:p w14:paraId="496D8BB6"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1.75 (1.23,2.48)</w:t>
            </w:r>
          </w:p>
        </w:tc>
        <w:tc>
          <w:tcPr>
            <w:tcW w:w="992" w:type="dxa"/>
            <w:tcBorders>
              <w:top w:val="nil"/>
              <w:left w:val="nil"/>
              <w:bottom w:val="nil"/>
              <w:right w:val="nil"/>
            </w:tcBorders>
            <w:shd w:val="clear" w:color="auto" w:fill="auto"/>
            <w:noWrap/>
            <w:vAlign w:val="bottom"/>
            <w:hideMark/>
          </w:tcPr>
          <w:p w14:paraId="0A958E7A"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0.002</w:t>
            </w:r>
          </w:p>
        </w:tc>
        <w:tc>
          <w:tcPr>
            <w:tcW w:w="1701" w:type="dxa"/>
            <w:tcBorders>
              <w:top w:val="nil"/>
              <w:left w:val="nil"/>
              <w:bottom w:val="nil"/>
              <w:right w:val="nil"/>
            </w:tcBorders>
            <w:shd w:val="clear" w:color="auto" w:fill="auto"/>
            <w:noWrap/>
            <w:vAlign w:val="bottom"/>
            <w:hideMark/>
          </w:tcPr>
          <w:p w14:paraId="26878B21"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1.70 (1.18,2.45)</w:t>
            </w:r>
          </w:p>
        </w:tc>
        <w:tc>
          <w:tcPr>
            <w:tcW w:w="993" w:type="dxa"/>
            <w:tcBorders>
              <w:top w:val="nil"/>
              <w:left w:val="nil"/>
              <w:bottom w:val="nil"/>
              <w:right w:val="nil"/>
            </w:tcBorders>
            <w:shd w:val="clear" w:color="auto" w:fill="auto"/>
            <w:noWrap/>
            <w:vAlign w:val="bottom"/>
            <w:hideMark/>
          </w:tcPr>
          <w:p w14:paraId="38F13C4B"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0.004</w:t>
            </w:r>
          </w:p>
        </w:tc>
        <w:tc>
          <w:tcPr>
            <w:tcW w:w="282" w:type="dxa"/>
            <w:vAlign w:val="center"/>
            <w:hideMark/>
          </w:tcPr>
          <w:p w14:paraId="19A2D1C8"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r>
      <w:tr w:rsidR="00B05E78" w:rsidRPr="00CA2336" w14:paraId="1DE8CA0A" w14:textId="77777777" w:rsidTr="00B40618">
        <w:trPr>
          <w:trHeight w:val="280"/>
        </w:trPr>
        <w:tc>
          <w:tcPr>
            <w:tcW w:w="4111" w:type="dxa"/>
            <w:tcBorders>
              <w:top w:val="nil"/>
              <w:left w:val="nil"/>
              <w:bottom w:val="nil"/>
              <w:right w:val="nil"/>
            </w:tcBorders>
            <w:shd w:val="clear" w:color="auto" w:fill="auto"/>
            <w:noWrap/>
            <w:vAlign w:val="bottom"/>
            <w:hideMark/>
          </w:tcPr>
          <w:p w14:paraId="12408A68" w14:textId="77777777" w:rsidR="00B05E78" w:rsidRPr="00CA2336" w:rsidRDefault="00B05E78" w:rsidP="00B40618">
            <w:pPr>
              <w:spacing w:after="0" w:line="240" w:lineRule="auto"/>
              <w:jc w:val="both"/>
              <w:rPr>
                <w:rFonts w:ascii="Arial" w:eastAsia="Times New Roman" w:hAnsi="Arial" w:cs="Arial"/>
                <w:color w:val="000000"/>
                <w:sz w:val="20"/>
                <w:szCs w:val="20"/>
                <w:lang w:eastAsia="en-GB"/>
              </w:rPr>
            </w:pPr>
            <w:r w:rsidRPr="00CA2336">
              <w:rPr>
                <w:rFonts w:ascii="Arial" w:eastAsia="Times New Roman" w:hAnsi="Arial" w:cs="Arial"/>
                <w:color w:val="000000"/>
                <w:sz w:val="20"/>
                <w:szCs w:val="20"/>
                <w:lang w:eastAsia="en-GB"/>
              </w:rPr>
              <w:t xml:space="preserve">High alcohol intake </w:t>
            </w:r>
          </w:p>
        </w:tc>
        <w:tc>
          <w:tcPr>
            <w:tcW w:w="1701" w:type="dxa"/>
            <w:tcBorders>
              <w:top w:val="nil"/>
              <w:left w:val="nil"/>
              <w:bottom w:val="nil"/>
              <w:right w:val="nil"/>
            </w:tcBorders>
            <w:shd w:val="clear" w:color="auto" w:fill="auto"/>
            <w:noWrap/>
            <w:vAlign w:val="bottom"/>
            <w:hideMark/>
          </w:tcPr>
          <w:p w14:paraId="510A7C31"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1.45 (1.05,2.00)</w:t>
            </w:r>
          </w:p>
        </w:tc>
        <w:tc>
          <w:tcPr>
            <w:tcW w:w="992" w:type="dxa"/>
            <w:tcBorders>
              <w:top w:val="nil"/>
              <w:left w:val="nil"/>
              <w:bottom w:val="nil"/>
              <w:right w:val="nil"/>
            </w:tcBorders>
            <w:shd w:val="clear" w:color="auto" w:fill="auto"/>
            <w:noWrap/>
            <w:vAlign w:val="bottom"/>
            <w:hideMark/>
          </w:tcPr>
          <w:p w14:paraId="1A4B376C"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0.023</w:t>
            </w:r>
          </w:p>
        </w:tc>
        <w:tc>
          <w:tcPr>
            <w:tcW w:w="1701" w:type="dxa"/>
            <w:tcBorders>
              <w:top w:val="nil"/>
              <w:left w:val="nil"/>
              <w:bottom w:val="nil"/>
              <w:right w:val="nil"/>
            </w:tcBorders>
            <w:shd w:val="clear" w:color="auto" w:fill="auto"/>
            <w:noWrap/>
            <w:vAlign w:val="bottom"/>
            <w:hideMark/>
          </w:tcPr>
          <w:p w14:paraId="5299F8FC" w14:textId="77777777" w:rsidR="00B05E78" w:rsidRPr="000231B5" w:rsidRDefault="00B05E78" w:rsidP="00EA5B4E">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0.97 (0.56,1.68)</w:t>
            </w:r>
          </w:p>
        </w:tc>
        <w:tc>
          <w:tcPr>
            <w:tcW w:w="993" w:type="dxa"/>
            <w:tcBorders>
              <w:top w:val="nil"/>
              <w:left w:val="nil"/>
              <w:bottom w:val="nil"/>
              <w:right w:val="nil"/>
            </w:tcBorders>
            <w:shd w:val="clear" w:color="auto" w:fill="auto"/>
            <w:noWrap/>
            <w:vAlign w:val="bottom"/>
            <w:hideMark/>
          </w:tcPr>
          <w:p w14:paraId="77F1B1B6" w14:textId="77777777" w:rsidR="00B05E78" w:rsidRPr="000231B5" w:rsidRDefault="00B05E78" w:rsidP="00EA5B4E">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0.908</w:t>
            </w:r>
          </w:p>
        </w:tc>
        <w:tc>
          <w:tcPr>
            <w:tcW w:w="282" w:type="dxa"/>
            <w:vAlign w:val="center"/>
            <w:hideMark/>
          </w:tcPr>
          <w:p w14:paraId="0E3B8EFA"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r>
      <w:tr w:rsidR="00B05E78" w:rsidRPr="00CA2336" w14:paraId="7F9BA188" w14:textId="77777777" w:rsidTr="00B40618">
        <w:trPr>
          <w:trHeight w:val="280"/>
        </w:trPr>
        <w:tc>
          <w:tcPr>
            <w:tcW w:w="4111" w:type="dxa"/>
            <w:tcBorders>
              <w:top w:val="nil"/>
              <w:left w:val="nil"/>
              <w:bottom w:val="nil"/>
              <w:right w:val="nil"/>
            </w:tcBorders>
            <w:shd w:val="clear" w:color="auto" w:fill="auto"/>
            <w:noWrap/>
            <w:vAlign w:val="bottom"/>
            <w:hideMark/>
          </w:tcPr>
          <w:p w14:paraId="069BA479" w14:textId="77777777" w:rsidR="00B05E78" w:rsidRPr="00CA2336" w:rsidRDefault="00B05E78" w:rsidP="00B40618">
            <w:pPr>
              <w:spacing w:after="0" w:line="240" w:lineRule="auto"/>
              <w:jc w:val="both"/>
              <w:rPr>
                <w:rFonts w:ascii="Arial" w:eastAsia="Times New Roman" w:hAnsi="Arial" w:cs="Arial"/>
                <w:color w:val="000000"/>
                <w:sz w:val="20"/>
                <w:szCs w:val="20"/>
                <w:lang w:eastAsia="en-GB"/>
              </w:rPr>
            </w:pPr>
            <w:r w:rsidRPr="00CA2336">
              <w:rPr>
                <w:rFonts w:ascii="Arial" w:eastAsia="Times New Roman" w:hAnsi="Arial" w:cs="Arial"/>
                <w:color w:val="000000"/>
                <w:sz w:val="20"/>
                <w:szCs w:val="20"/>
                <w:lang w:eastAsia="en-GB"/>
              </w:rPr>
              <w:t>Prudent diet score</w:t>
            </w:r>
          </w:p>
        </w:tc>
        <w:tc>
          <w:tcPr>
            <w:tcW w:w="1701" w:type="dxa"/>
            <w:tcBorders>
              <w:top w:val="nil"/>
              <w:left w:val="nil"/>
              <w:bottom w:val="nil"/>
              <w:right w:val="nil"/>
            </w:tcBorders>
            <w:shd w:val="clear" w:color="auto" w:fill="auto"/>
            <w:noWrap/>
            <w:vAlign w:val="bottom"/>
            <w:hideMark/>
          </w:tcPr>
          <w:p w14:paraId="1C016A56"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0.91 (0.85,0.98)</w:t>
            </w:r>
          </w:p>
        </w:tc>
        <w:tc>
          <w:tcPr>
            <w:tcW w:w="992" w:type="dxa"/>
            <w:tcBorders>
              <w:top w:val="nil"/>
              <w:left w:val="nil"/>
              <w:bottom w:val="nil"/>
              <w:right w:val="nil"/>
            </w:tcBorders>
            <w:shd w:val="clear" w:color="auto" w:fill="auto"/>
            <w:noWrap/>
            <w:vAlign w:val="bottom"/>
            <w:hideMark/>
          </w:tcPr>
          <w:p w14:paraId="7D591771"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0.008</w:t>
            </w:r>
          </w:p>
        </w:tc>
        <w:tc>
          <w:tcPr>
            <w:tcW w:w="1701" w:type="dxa"/>
            <w:tcBorders>
              <w:top w:val="nil"/>
              <w:left w:val="nil"/>
              <w:bottom w:val="nil"/>
              <w:right w:val="nil"/>
            </w:tcBorders>
            <w:shd w:val="clear" w:color="auto" w:fill="auto"/>
            <w:noWrap/>
            <w:vAlign w:val="bottom"/>
            <w:hideMark/>
          </w:tcPr>
          <w:p w14:paraId="5DE53EB6" w14:textId="77777777" w:rsidR="00B05E78" w:rsidRPr="000231B5" w:rsidRDefault="00B05E78" w:rsidP="00EA5B4E">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0.95 (0.89,1.02)</w:t>
            </w:r>
          </w:p>
        </w:tc>
        <w:tc>
          <w:tcPr>
            <w:tcW w:w="993" w:type="dxa"/>
            <w:tcBorders>
              <w:top w:val="nil"/>
              <w:left w:val="nil"/>
              <w:bottom w:val="nil"/>
              <w:right w:val="nil"/>
            </w:tcBorders>
            <w:shd w:val="clear" w:color="auto" w:fill="auto"/>
            <w:noWrap/>
            <w:vAlign w:val="bottom"/>
            <w:hideMark/>
          </w:tcPr>
          <w:p w14:paraId="3EA3C547" w14:textId="77777777" w:rsidR="00B05E78" w:rsidRPr="000231B5" w:rsidRDefault="00B05E78" w:rsidP="00EA5B4E">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0.164</w:t>
            </w:r>
          </w:p>
        </w:tc>
        <w:tc>
          <w:tcPr>
            <w:tcW w:w="282" w:type="dxa"/>
            <w:vAlign w:val="center"/>
            <w:hideMark/>
          </w:tcPr>
          <w:p w14:paraId="2BD4039E"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r>
      <w:tr w:rsidR="00B05E78" w:rsidRPr="00CA2336" w14:paraId="328739D7" w14:textId="77777777" w:rsidTr="00B40618">
        <w:trPr>
          <w:trHeight w:val="280"/>
        </w:trPr>
        <w:tc>
          <w:tcPr>
            <w:tcW w:w="4111" w:type="dxa"/>
            <w:tcBorders>
              <w:top w:val="nil"/>
              <w:left w:val="nil"/>
              <w:bottom w:val="nil"/>
              <w:right w:val="nil"/>
            </w:tcBorders>
            <w:shd w:val="clear" w:color="auto" w:fill="auto"/>
            <w:noWrap/>
            <w:vAlign w:val="bottom"/>
            <w:hideMark/>
          </w:tcPr>
          <w:p w14:paraId="1090D625" w14:textId="77777777" w:rsidR="00B05E78" w:rsidRPr="00CA2336" w:rsidRDefault="00B05E78" w:rsidP="00B40618">
            <w:pPr>
              <w:spacing w:after="0" w:line="240" w:lineRule="auto"/>
              <w:jc w:val="both"/>
              <w:rPr>
                <w:rFonts w:ascii="Arial" w:eastAsia="Times New Roman" w:hAnsi="Arial" w:cs="Arial"/>
                <w:color w:val="000000"/>
                <w:sz w:val="20"/>
                <w:szCs w:val="20"/>
                <w:lang w:eastAsia="en-GB"/>
              </w:rPr>
            </w:pPr>
            <w:proofErr w:type="spellStart"/>
            <w:r w:rsidRPr="00CA2336">
              <w:rPr>
                <w:rFonts w:ascii="Arial" w:eastAsia="Times New Roman" w:hAnsi="Arial" w:cs="Arial"/>
                <w:color w:val="000000"/>
                <w:sz w:val="20"/>
                <w:szCs w:val="20"/>
                <w:lang w:eastAsia="en-GB"/>
              </w:rPr>
              <w:t>Dallosso</w:t>
            </w:r>
            <w:proofErr w:type="spellEnd"/>
            <w:r w:rsidRPr="00CA2336">
              <w:rPr>
                <w:rFonts w:ascii="Arial" w:eastAsia="Times New Roman" w:hAnsi="Arial" w:cs="Arial"/>
                <w:color w:val="000000"/>
                <w:sz w:val="20"/>
                <w:szCs w:val="20"/>
                <w:lang w:eastAsia="en-GB"/>
              </w:rPr>
              <w:t xml:space="preserve"> physical activity score</w:t>
            </w:r>
          </w:p>
        </w:tc>
        <w:tc>
          <w:tcPr>
            <w:tcW w:w="1701" w:type="dxa"/>
            <w:tcBorders>
              <w:top w:val="nil"/>
              <w:left w:val="nil"/>
              <w:bottom w:val="nil"/>
              <w:right w:val="nil"/>
            </w:tcBorders>
            <w:shd w:val="clear" w:color="auto" w:fill="auto"/>
            <w:noWrap/>
            <w:vAlign w:val="bottom"/>
            <w:hideMark/>
          </w:tcPr>
          <w:p w14:paraId="1F74071C"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0.99 (0.98,1.00)</w:t>
            </w:r>
          </w:p>
        </w:tc>
        <w:tc>
          <w:tcPr>
            <w:tcW w:w="992" w:type="dxa"/>
            <w:tcBorders>
              <w:top w:val="nil"/>
              <w:left w:val="nil"/>
              <w:bottom w:val="nil"/>
              <w:right w:val="nil"/>
            </w:tcBorders>
            <w:shd w:val="clear" w:color="auto" w:fill="auto"/>
            <w:noWrap/>
            <w:vAlign w:val="bottom"/>
            <w:hideMark/>
          </w:tcPr>
          <w:p w14:paraId="41418374"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0.044</w:t>
            </w:r>
          </w:p>
        </w:tc>
        <w:tc>
          <w:tcPr>
            <w:tcW w:w="1701" w:type="dxa"/>
            <w:tcBorders>
              <w:top w:val="nil"/>
              <w:left w:val="nil"/>
              <w:bottom w:val="nil"/>
              <w:right w:val="nil"/>
            </w:tcBorders>
            <w:shd w:val="clear" w:color="auto" w:fill="auto"/>
            <w:noWrap/>
            <w:vAlign w:val="bottom"/>
            <w:hideMark/>
          </w:tcPr>
          <w:p w14:paraId="095CE185"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0.99 (0.98,1.00)</w:t>
            </w:r>
          </w:p>
        </w:tc>
        <w:tc>
          <w:tcPr>
            <w:tcW w:w="993" w:type="dxa"/>
            <w:tcBorders>
              <w:top w:val="nil"/>
              <w:left w:val="nil"/>
              <w:bottom w:val="nil"/>
              <w:right w:val="nil"/>
            </w:tcBorders>
            <w:shd w:val="clear" w:color="auto" w:fill="auto"/>
            <w:noWrap/>
            <w:vAlign w:val="bottom"/>
            <w:hideMark/>
          </w:tcPr>
          <w:p w14:paraId="4B445FC4"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0.003</w:t>
            </w:r>
          </w:p>
        </w:tc>
        <w:tc>
          <w:tcPr>
            <w:tcW w:w="282" w:type="dxa"/>
            <w:vAlign w:val="center"/>
            <w:hideMark/>
          </w:tcPr>
          <w:p w14:paraId="191AC1BD"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r>
      <w:tr w:rsidR="00B05E78" w:rsidRPr="00CA2336" w14:paraId="36EB87FA" w14:textId="77777777" w:rsidTr="00B40618">
        <w:trPr>
          <w:trHeight w:val="280"/>
        </w:trPr>
        <w:tc>
          <w:tcPr>
            <w:tcW w:w="4111" w:type="dxa"/>
            <w:tcBorders>
              <w:top w:val="nil"/>
              <w:left w:val="nil"/>
              <w:bottom w:val="nil"/>
              <w:right w:val="nil"/>
            </w:tcBorders>
            <w:shd w:val="clear" w:color="auto" w:fill="auto"/>
            <w:noWrap/>
            <w:vAlign w:val="bottom"/>
            <w:hideMark/>
          </w:tcPr>
          <w:p w14:paraId="08C2C034" w14:textId="77777777" w:rsidR="00B05E78" w:rsidRPr="00CA2336" w:rsidRDefault="00B05E78" w:rsidP="00B40618">
            <w:pPr>
              <w:spacing w:after="0" w:line="240" w:lineRule="auto"/>
              <w:jc w:val="both"/>
              <w:rPr>
                <w:rFonts w:ascii="Arial" w:eastAsia="Times New Roman" w:hAnsi="Arial" w:cs="Arial"/>
                <w:color w:val="000000"/>
                <w:sz w:val="20"/>
                <w:szCs w:val="20"/>
                <w:lang w:eastAsia="en-GB"/>
              </w:rPr>
            </w:pPr>
            <w:r w:rsidRPr="00CA2336">
              <w:rPr>
                <w:rFonts w:ascii="Arial" w:eastAsia="Times New Roman" w:hAnsi="Arial" w:cs="Arial"/>
                <w:color w:val="000000"/>
                <w:sz w:val="20"/>
                <w:szCs w:val="20"/>
                <w:lang w:eastAsia="en-GB"/>
              </w:rPr>
              <w:t>Left school before age 15</w:t>
            </w:r>
          </w:p>
        </w:tc>
        <w:tc>
          <w:tcPr>
            <w:tcW w:w="1701" w:type="dxa"/>
            <w:tcBorders>
              <w:top w:val="nil"/>
              <w:left w:val="nil"/>
              <w:bottom w:val="nil"/>
              <w:right w:val="nil"/>
            </w:tcBorders>
            <w:shd w:val="clear" w:color="auto" w:fill="auto"/>
            <w:noWrap/>
            <w:vAlign w:val="bottom"/>
            <w:hideMark/>
          </w:tcPr>
          <w:p w14:paraId="32544F3A" w14:textId="77777777" w:rsidR="00B05E78" w:rsidRPr="000231B5" w:rsidRDefault="00B05E78" w:rsidP="00EA5B4E">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1.25 (0.89,1.76)</w:t>
            </w:r>
          </w:p>
        </w:tc>
        <w:tc>
          <w:tcPr>
            <w:tcW w:w="992" w:type="dxa"/>
            <w:tcBorders>
              <w:top w:val="nil"/>
              <w:left w:val="nil"/>
              <w:bottom w:val="nil"/>
              <w:right w:val="nil"/>
            </w:tcBorders>
            <w:shd w:val="clear" w:color="auto" w:fill="auto"/>
            <w:noWrap/>
            <w:vAlign w:val="bottom"/>
            <w:hideMark/>
          </w:tcPr>
          <w:p w14:paraId="677030B8" w14:textId="77777777" w:rsidR="00B05E78" w:rsidRPr="000231B5" w:rsidRDefault="00B05E78" w:rsidP="00EA5B4E">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0.198</w:t>
            </w:r>
          </w:p>
        </w:tc>
        <w:tc>
          <w:tcPr>
            <w:tcW w:w="1701" w:type="dxa"/>
            <w:tcBorders>
              <w:top w:val="nil"/>
              <w:left w:val="nil"/>
              <w:bottom w:val="nil"/>
              <w:right w:val="nil"/>
            </w:tcBorders>
            <w:shd w:val="clear" w:color="auto" w:fill="auto"/>
            <w:noWrap/>
            <w:vAlign w:val="bottom"/>
            <w:hideMark/>
          </w:tcPr>
          <w:p w14:paraId="5609FC14"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1.37 (1.02,1.85)</w:t>
            </w:r>
          </w:p>
        </w:tc>
        <w:tc>
          <w:tcPr>
            <w:tcW w:w="993" w:type="dxa"/>
            <w:tcBorders>
              <w:top w:val="nil"/>
              <w:left w:val="nil"/>
              <w:bottom w:val="nil"/>
              <w:right w:val="nil"/>
            </w:tcBorders>
            <w:shd w:val="clear" w:color="auto" w:fill="auto"/>
            <w:noWrap/>
            <w:vAlign w:val="bottom"/>
            <w:hideMark/>
          </w:tcPr>
          <w:p w14:paraId="5818610F"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0.037</w:t>
            </w:r>
          </w:p>
        </w:tc>
        <w:tc>
          <w:tcPr>
            <w:tcW w:w="282" w:type="dxa"/>
            <w:vAlign w:val="center"/>
            <w:hideMark/>
          </w:tcPr>
          <w:p w14:paraId="3A505577"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r>
      <w:tr w:rsidR="00B05E78" w:rsidRPr="00CA2336" w14:paraId="4D1B9930" w14:textId="77777777" w:rsidTr="00B40618">
        <w:trPr>
          <w:trHeight w:val="280"/>
        </w:trPr>
        <w:tc>
          <w:tcPr>
            <w:tcW w:w="4111" w:type="dxa"/>
            <w:tcBorders>
              <w:top w:val="nil"/>
              <w:left w:val="nil"/>
              <w:bottom w:val="nil"/>
              <w:right w:val="nil"/>
            </w:tcBorders>
            <w:shd w:val="clear" w:color="auto" w:fill="auto"/>
            <w:noWrap/>
            <w:vAlign w:val="bottom"/>
            <w:hideMark/>
          </w:tcPr>
          <w:p w14:paraId="04CC622F" w14:textId="77777777" w:rsidR="00B05E78" w:rsidRPr="00CA2336" w:rsidRDefault="00B05E78" w:rsidP="00B40618">
            <w:pPr>
              <w:spacing w:after="0" w:line="240" w:lineRule="auto"/>
              <w:jc w:val="both"/>
              <w:rPr>
                <w:rFonts w:ascii="Arial" w:eastAsia="Times New Roman" w:hAnsi="Arial" w:cs="Arial"/>
                <w:color w:val="000000"/>
                <w:sz w:val="20"/>
                <w:szCs w:val="20"/>
                <w:lang w:eastAsia="en-GB"/>
              </w:rPr>
            </w:pPr>
            <w:r w:rsidRPr="00CA2336">
              <w:rPr>
                <w:rFonts w:ascii="Arial" w:eastAsia="Times New Roman" w:hAnsi="Arial" w:cs="Arial"/>
                <w:color w:val="000000"/>
                <w:sz w:val="20"/>
                <w:szCs w:val="20"/>
                <w:lang w:eastAsia="en-GB"/>
              </w:rPr>
              <w:t>Social class (manual)</w:t>
            </w:r>
          </w:p>
        </w:tc>
        <w:tc>
          <w:tcPr>
            <w:tcW w:w="1701" w:type="dxa"/>
            <w:tcBorders>
              <w:top w:val="nil"/>
              <w:left w:val="nil"/>
              <w:bottom w:val="nil"/>
              <w:right w:val="nil"/>
            </w:tcBorders>
            <w:shd w:val="clear" w:color="auto" w:fill="auto"/>
            <w:noWrap/>
            <w:vAlign w:val="bottom"/>
            <w:hideMark/>
          </w:tcPr>
          <w:p w14:paraId="2FDF48D1" w14:textId="77777777" w:rsidR="00B05E78" w:rsidRPr="000231B5" w:rsidRDefault="00B05E78" w:rsidP="00EA5B4E">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1.29 (0.96,1.74)</w:t>
            </w:r>
          </w:p>
        </w:tc>
        <w:tc>
          <w:tcPr>
            <w:tcW w:w="992" w:type="dxa"/>
            <w:tcBorders>
              <w:top w:val="nil"/>
              <w:left w:val="nil"/>
              <w:bottom w:val="nil"/>
              <w:right w:val="nil"/>
            </w:tcBorders>
            <w:shd w:val="clear" w:color="auto" w:fill="auto"/>
            <w:noWrap/>
            <w:vAlign w:val="bottom"/>
            <w:hideMark/>
          </w:tcPr>
          <w:p w14:paraId="23F9460E" w14:textId="77777777" w:rsidR="00B05E78" w:rsidRPr="000231B5" w:rsidRDefault="00B05E78" w:rsidP="00EA5B4E">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0.090</w:t>
            </w:r>
          </w:p>
        </w:tc>
        <w:tc>
          <w:tcPr>
            <w:tcW w:w="1701" w:type="dxa"/>
            <w:tcBorders>
              <w:top w:val="nil"/>
              <w:left w:val="nil"/>
              <w:bottom w:val="nil"/>
              <w:right w:val="nil"/>
            </w:tcBorders>
            <w:shd w:val="clear" w:color="auto" w:fill="auto"/>
            <w:noWrap/>
            <w:vAlign w:val="bottom"/>
            <w:hideMark/>
          </w:tcPr>
          <w:p w14:paraId="2D014F8B" w14:textId="77777777" w:rsidR="00B05E78" w:rsidRPr="000231B5" w:rsidRDefault="00B05E78" w:rsidP="00EA5B4E">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0.91 (0.72,1.15)</w:t>
            </w:r>
          </w:p>
        </w:tc>
        <w:tc>
          <w:tcPr>
            <w:tcW w:w="993" w:type="dxa"/>
            <w:tcBorders>
              <w:top w:val="nil"/>
              <w:left w:val="nil"/>
              <w:bottom w:val="nil"/>
              <w:right w:val="nil"/>
            </w:tcBorders>
            <w:shd w:val="clear" w:color="auto" w:fill="auto"/>
            <w:noWrap/>
            <w:vAlign w:val="bottom"/>
            <w:hideMark/>
          </w:tcPr>
          <w:p w14:paraId="265553C6" w14:textId="77777777" w:rsidR="00B05E78" w:rsidRPr="000231B5" w:rsidRDefault="00B05E78" w:rsidP="00EA5B4E">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0.428</w:t>
            </w:r>
          </w:p>
        </w:tc>
        <w:tc>
          <w:tcPr>
            <w:tcW w:w="282" w:type="dxa"/>
            <w:vAlign w:val="center"/>
            <w:hideMark/>
          </w:tcPr>
          <w:p w14:paraId="327BA953"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r>
      <w:tr w:rsidR="00B05E78" w:rsidRPr="00CA2336" w14:paraId="15B0A9D3" w14:textId="77777777" w:rsidTr="00B40618">
        <w:trPr>
          <w:trHeight w:val="280"/>
        </w:trPr>
        <w:tc>
          <w:tcPr>
            <w:tcW w:w="4111" w:type="dxa"/>
            <w:tcBorders>
              <w:top w:val="nil"/>
              <w:left w:val="nil"/>
              <w:bottom w:val="single" w:sz="4" w:space="0" w:color="auto"/>
              <w:right w:val="nil"/>
            </w:tcBorders>
            <w:shd w:val="clear" w:color="auto" w:fill="auto"/>
            <w:noWrap/>
            <w:vAlign w:val="bottom"/>
            <w:hideMark/>
          </w:tcPr>
          <w:p w14:paraId="36D09D94" w14:textId="77777777" w:rsidR="00B05E78" w:rsidRPr="00CA2336" w:rsidRDefault="00B05E78" w:rsidP="00B40618">
            <w:pPr>
              <w:spacing w:after="0" w:line="240" w:lineRule="auto"/>
              <w:jc w:val="both"/>
              <w:rPr>
                <w:rFonts w:ascii="Arial" w:eastAsia="Times New Roman" w:hAnsi="Arial" w:cs="Arial"/>
                <w:color w:val="000000"/>
                <w:sz w:val="20"/>
                <w:szCs w:val="20"/>
                <w:lang w:eastAsia="en-GB"/>
              </w:rPr>
            </w:pPr>
            <w:r w:rsidRPr="00CA2336">
              <w:rPr>
                <w:rFonts w:ascii="Arial" w:eastAsia="Times New Roman" w:hAnsi="Arial" w:cs="Arial"/>
                <w:color w:val="000000"/>
                <w:sz w:val="20"/>
                <w:szCs w:val="20"/>
                <w:lang w:eastAsia="en-GB"/>
              </w:rPr>
              <w:t>Home ownership (Not owned or mortgaged)</w:t>
            </w:r>
          </w:p>
        </w:tc>
        <w:tc>
          <w:tcPr>
            <w:tcW w:w="1701" w:type="dxa"/>
            <w:tcBorders>
              <w:top w:val="nil"/>
              <w:left w:val="nil"/>
              <w:bottom w:val="single" w:sz="4" w:space="0" w:color="auto"/>
              <w:right w:val="nil"/>
            </w:tcBorders>
            <w:shd w:val="clear" w:color="auto" w:fill="auto"/>
            <w:noWrap/>
            <w:vAlign w:val="bottom"/>
            <w:hideMark/>
          </w:tcPr>
          <w:p w14:paraId="7C3A1A1E"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3.65 (2.69,4.94)</w:t>
            </w:r>
          </w:p>
        </w:tc>
        <w:tc>
          <w:tcPr>
            <w:tcW w:w="992" w:type="dxa"/>
            <w:tcBorders>
              <w:top w:val="nil"/>
              <w:left w:val="nil"/>
              <w:bottom w:val="single" w:sz="4" w:space="0" w:color="auto"/>
              <w:right w:val="nil"/>
            </w:tcBorders>
            <w:shd w:val="clear" w:color="auto" w:fill="auto"/>
            <w:noWrap/>
            <w:vAlign w:val="bottom"/>
            <w:hideMark/>
          </w:tcPr>
          <w:p w14:paraId="5C08EB8E"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&lt;0.001</w:t>
            </w:r>
          </w:p>
        </w:tc>
        <w:tc>
          <w:tcPr>
            <w:tcW w:w="1701" w:type="dxa"/>
            <w:tcBorders>
              <w:top w:val="nil"/>
              <w:left w:val="nil"/>
              <w:bottom w:val="single" w:sz="4" w:space="0" w:color="auto"/>
              <w:right w:val="nil"/>
            </w:tcBorders>
            <w:shd w:val="clear" w:color="auto" w:fill="auto"/>
            <w:noWrap/>
            <w:vAlign w:val="bottom"/>
            <w:hideMark/>
          </w:tcPr>
          <w:p w14:paraId="5D418DC3"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2.25 (1.73,2.94)</w:t>
            </w:r>
          </w:p>
        </w:tc>
        <w:tc>
          <w:tcPr>
            <w:tcW w:w="993" w:type="dxa"/>
            <w:tcBorders>
              <w:top w:val="nil"/>
              <w:left w:val="nil"/>
              <w:bottom w:val="single" w:sz="4" w:space="0" w:color="auto"/>
              <w:right w:val="nil"/>
            </w:tcBorders>
            <w:shd w:val="clear" w:color="auto" w:fill="auto"/>
            <w:noWrap/>
            <w:vAlign w:val="bottom"/>
            <w:hideMark/>
          </w:tcPr>
          <w:p w14:paraId="36E85040" w14:textId="77777777" w:rsidR="00B05E78" w:rsidRPr="000231B5" w:rsidRDefault="00B05E78" w:rsidP="00EA5B4E">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&lt;0.001</w:t>
            </w:r>
          </w:p>
        </w:tc>
        <w:tc>
          <w:tcPr>
            <w:tcW w:w="282" w:type="dxa"/>
            <w:vAlign w:val="center"/>
            <w:hideMark/>
          </w:tcPr>
          <w:p w14:paraId="095B7BFF"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r>
      <w:tr w:rsidR="00B05E78" w:rsidRPr="00CA2336" w14:paraId="36D451A3" w14:textId="77777777" w:rsidTr="00B40618">
        <w:trPr>
          <w:trHeight w:val="280"/>
        </w:trPr>
        <w:tc>
          <w:tcPr>
            <w:tcW w:w="4111" w:type="dxa"/>
            <w:tcBorders>
              <w:top w:val="nil"/>
              <w:left w:val="nil"/>
              <w:bottom w:val="nil"/>
              <w:right w:val="nil"/>
            </w:tcBorders>
            <w:shd w:val="clear" w:color="auto" w:fill="auto"/>
            <w:noWrap/>
            <w:vAlign w:val="bottom"/>
            <w:hideMark/>
          </w:tcPr>
          <w:p w14:paraId="356FC25E" w14:textId="77777777" w:rsidR="00B05E78" w:rsidRPr="00CA2336" w:rsidRDefault="00B05E78" w:rsidP="00B40618">
            <w:pPr>
              <w:spacing w:after="0" w:line="240" w:lineRule="auto"/>
              <w:jc w:val="both"/>
              <w:rPr>
                <w:rFonts w:ascii="Arial" w:eastAsia="Times New Roman" w:hAnsi="Arial" w:cs="Arial"/>
                <w:b/>
                <w:bCs/>
                <w:color w:val="FF0000"/>
                <w:sz w:val="20"/>
                <w:szCs w:val="20"/>
                <w:lang w:eastAsia="en-GB"/>
              </w:rPr>
            </w:pPr>
          </w:p>
        </w:tc>
        <w:tc>
          <w:tcPr>
            <w:tcW w:w="1701" w:type="dxa"/>
            <w:tcBorders>
              <w:top w:val="nil"/>
              <w:left w:val="nil"/>
              <w:bottom w:val="nil"/>
              <w:right w:val="nil"/>
            </w:tcBorders>
            <w:shd w:val="clear" w:color="auto" w:fill="auto"/>
            <w:noWrap/>
            <w:vAlign w:val="bottom"/>
            <w:hideMark/>
          </w:tcPr>
          <w:p w14:paraId="1B806B44"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289FBE63"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c>
          <w:tcPr>
            <w:tcW w:w="1701" w:type="dxa"/>
            <w:tcBorders>
              <w:top w:val="nil"/>
              <w:left w:val="nil"/>
              <w:bottom w:val="nil"/>
              <w:right w:val="nil"/>
            </w:tcBorders>
            <w:shd w:val="clear" w:color="auto" w:fill="auto"/>
            <w:noWrap/>
            <w:vAlign w:val="bottom"/>
            <w:hideMark/>
          </w:tcPr>
          <w:p w14:paraId="135795AA"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c>
          <w:tcPr>
            <w:tcW w:w="993" w:type="dxa"/>
            <w:tcBorders>
              <w:top w:val="nil"/>
              <w:left w:val="nil"/>
              <w:bottom w:val="nil"/>
              <w:right w:val="nil"/>
            </w:tcBorders>
            <w:shd w:val="clear" w:color="auto" w:fill="auto"/>
            <w:noWrap/>
            <w:vAlign w:val="bottom"/>
            <w:hideMark/>
          </w:tcPr>
          <w:p w14:paraId="221548FE"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c>
          <w:tcPr>
            <w:tcW w:w="282" w:type="dxa"/>
            <w:vAlign w:val="center"/>
            <w:hideMark/>
          </w:tcPr>
          <w:p w14:paraId="259DEE86"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r>
      <w:tr w:rsidR="00B05E78" w:rsidRPr="00CA2336" w14:paraId="2D5B271A" w14:textId="77777777" w:rsidTr="00B40618">
        <w:trPr>
          <w:trHeight w:val="290"/>
        </w:trPr>
        <w:tc>
          <w:tcPr>
            <w:tcW w:w="9498" w:type="dxa"/>
            <w:gridSpan w:val="5"/>
            <w:tcBorders>
              <w:top w:val="nil"/>
              <w:left w:val="nil"/>
              <w:bottom w:val="nil"/>
              <w:right w:val="nil"/>
            </w:tcBorders>
            <w:shd w:val="clear" w:color="auto" w:fill="auto"/>
            <w:noWrap/>
            <w:vAlign w:val="bottom"/>
            <w:hideMark/>
          </w:tcPr>
          <w:p w14:paraId="0A4CB495" w14:textId="77777777" w:rsidR="00B05E78" w:rsidRPr="00CA2336" w:rsidRDefault="00B05E78" w:rsidP="00B40618">
            <w:pPr>
              <w:spacing w:after="0" w:line="240" w:lineRule="auto"/>
              <w:jc w:val="both"/>
              <w:rPr>
                <w:rFonts w:ascii="Arial" w:eastAsia="Times New Roman" w:hAnsi="Arial" w:cs="Arial"/>
                <w:color w:val="000000"/>
                <w:sz w:val="20"/>
                <w:szCs w:val="20"/>
                <w:lang w:eastAsia="en-GB"/>
              </w:rPr>
            </w:pPr>
            <w:r w:rsidRPr="00CA2336">
              <w:rPr>
                <w:rFonts w:ascii="Arial" w:eastAsia="Times New Roman" w:hAnsi="Arial" w:cs="Arial"/>
                <w:color w:val="000000"/>
                <w:sz w:val="20"/>
                <w:szCs w:val="20"/>
                <w:lang w:eastAsia="en-GB"/>
              </w:rPr>
              <w:t>Odds ratios correspond to unit increases in the characteristic or the presence versus absence of the characteristic</w:t>
            </w:r>
          </w:p>
        </w:tc>
        <w:tc>
          <w:tcPr>
            <w:tcW w:w="282" w:type="dxa"/>
            <w:vAlign w:val="center"/>
            <w:hideMark/>
          </w:tcPr>
          <w:p w14:paraId="3BB86DDA"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r>
      <w:tr w:rsidR="00B05E78" w:rsidRPr="00CA2336" w14:paraId="24E8C250" w14:textId="77777777" w:rsidTr="00B40618">
        <w:trPr>
          <w:trHeight w:val="280"/>
        </w:trPr>
        <w:tc>
          <w:tcPr>
            <w:tcW w:w="9498" w:type="dxa"/>
            <w:gridSpan w:val="5"/>
            <w:tcBorders>
              <w:top w:val="nil"/>
              <w:left w:val="nil"/>
              <w:bottom w:val="nil"/>
              <w:right w:val="nil"/>
            </w:tcBorders>
            <w:shd w:val="clear" w:color="auto" w:fill="auto"/>
            <w:hideMark/>
          </w:tcPr>
          <w:p w14:paraId="1CF7E14C" w14:textId="77777777" w:rsidR="00B05E78" w:rsidRPr="00CA2336" w:rsidRDefault="00B05E78" w:rsidP="00B40618">
            <w:pPr>
              <w:spacing w:after="0" w:line="240" w:lineRule="auto"/>
              <w:jc w:val="both"/>
              <w:rPr>
                <w:rFonts w:ascii="Arial" w:eastAsia="Times New Roman" w:hAnsi="Arial" w:cs="Arial"/>
                <w:color w:val="000000"/>
                <w:sz w:val="20"/>
                <w:szCs w:val="20"/>
                <w:lang w:eastAsia="en-GB"/>
              </w:rPr>
            </w:pPr>
            <w:r w:rsidRPr="00CA2336">
              <w:rPr>
                <w:rFonts w:ascii="Arial" w:eastAsia="Times New Roman" w:hAnsi="Arial" w:cs="Arial"/>
                <w:color w:val="000000"/>
                <w:sz w:val="20"/>
                <w:szCs w:val="20"/>
                <w:lang w:eastAsia="en-GB"/>
              </w:rPr>
              <w:t>High alcohol intake: &gt;21 units per week for men and &gt;14 units per week for women</w:t>
            </w:r>
          </w:p>
        </w:tc>
        <w:tc>
          <w:tcPr>
            <w:tcW w:w="282" w:type="dxa"/>
            <w:vAlign w:val="center"/>
            <w:hideMark/>
          </w:tcPr>
          <w:p w14:paraId="6C8AD3B5" w14:textId="77777777" w:rsidR="00B05E78" w:rsidRPr="00CA2336" w:rsidRDefault="00B05E78" w:rsidP="00B40618">
            <w:pPr>
              <w:spacing w:after="0" w:line="240" w:lineRule="auto"/>
              <w:jc w:val="both"/>
              <w:rPr>
                <w:rFonts w:ascii="Arial" w:eastAsia="Times New Roman" w:hAnsi="Arial" w:cs="Arial"/>
                <w:sz w:val="20"/>
                <w:szCs w:val="20"/>
                <w:lang w:eastAsia="en-GB"/>
              </w:rPr>
            </w:pPr>
          </w:p>
        </w:tc>
      </w:tr>
      <w:tr w:rsidR="000231B5" w:rsidRPr="00CA2336" w14:paraId="53F188E2" w14:textId="77777777" w:rsidTr="00B40618">
        <w:trPr>
          <w:trHeight w:val="280"/>
        </w:trPr>
        <w:tc>
          <w:tcPr>
            <w:tcW w:w="9498" w:type="dxa"/>
            <w:gridSpan w:val="5"/>
            <w:tcBorders>
              <w:top w:val="nil"/>
              <w:left w:val="nil"/>
              <w:bottom w:val="nil"/>
              <w:right w:val="nil"/>
            </w:tcBorders>
            <w:shd w:val="clear" w:color="auto" w:fill="auto"/>
          </w:tcPr>
          <w:p w14:paraId="13F15801" w14:textId="3C9D060D" w:rsidR="000231B5" w:rsidRPr="00CA2336" w:rsidRDefault="000231B5" w:rsidP="00B40618">
            <w:pPr>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Statistically significant associations (p&lt;0.05) were highlighted in bold</w:t>
            </w:r>
          </w:p>
        </w:tc>
        <w:tc>
          <w:tcPr>
            <w:tcW w:w="282" w:type="dxa"/>
            <w:vAlign w:val="center"/>
          </w:tcPr>
          <w:p w14:paraId="2CC9C75A" w14:textId="77777777" w:rsidR="000231B5" w:rsidRPr="00CA2336" w:rsidRDefault="000231B5" w:rsidP="00B40618">
            <w:pPr>
              <w:spacing w:after="0" w:line="240" w:lineRule="auto"/>
              <w:jc w:val="both"/>
              <w:rPr>
                <w:rFonts w:ascii="Arial" w:eastAsia="Times New Roman" w:hAnsi="Arial" w:cs="Arial"/>
                <w:sz w:val="20"/>
                <w:szCs w:val="20"/>
                <w:lang w:eastAsia="en-GB"/>
              </w:rPr>
            </w:pPr>
          </w:p>
        </w:tc>
      </w:tr>
      <w:bookmarkEnd w:id="23"/>
    </w:tbl>
    <w:p w14:paraId="10733EC6" w14:textId="77777777" w:rsidR="00B05E78" w:rsidRPr="00CA2336" w:rsidRDefault="00B05E78" w:rsidP="00B05E78">
      <w:pPr>
        <w:spacing w:after="200" w:line="360" w:lineRule="auto"/>
        <w:jc w:val="both"/>
        <w:rPr>
          <w:rFonts w:ascii="Arial" w:eastAsia="Arial" w:hAnsi="Arial" w:cs="Arial"/>
        </w:rPr>
      </w:pPr>
    </w:p>
    <w:p w14:paraId="303BDEE3" w14:textId="77777777" w:rsidR="00B05E78" w:rsidRPr="00CA2336" w:rsidRDefault="00B05E78" w:rsidP="00B05E78">
      <w:pPr>
        <w:spacing w:after="200" w:line="360" w:lineRule="auto"/>
        <w:jc w:val="both"/>
        <w:rPr>
          <w:rFonts w:ascii="Arial" w:eastAsia="Arial" w:hAnsi="Arial" w:cs="Arial"/>
        </w:rPr>
      </w:pPr>
    </w:p>
    <w:tbl>
      <w:tblPr>
        <w:tblW w:w="9325" w:type="dxa"/>
        <w:tblLayout w:type="fixed"/>
        <w:tblCellMar>
          <w:top w:w="15" w:type="dxa"/>
        </w:tblCellMar>
        <w:tblLook w:val="04A0" w:firstRow="1" w:lastRow="0" w:firstColumn="1" w:lastColumn="0" w:noHBand="0" w:noVBand="1"/>
      </w:tblPr>
      <w:tblGrid>
        <w:gridCol w:w="948"/>
        <w:gridCol w:w="1683"/>
        <w:gridCol w:w="2092"/>
        <w:gridCol w:w="1039"/>
        <w:gridCol w:w="2230"/>
        <w:gridCol w:w="1097"/>
        <w:gridCol w:w="236"/>
      </w:tblGrid>
      <w:tr w:rsidR="00B05E78" w:rsidRPr="00CA2336" w14:paraId="23E3770B" w14:textId="77777777" w:rsidTr="00B40618">
        <w:trPr>
          <w:gridAfter w:val="1"/>
          <w:wAfter w:w="236" w:type="dxa"/>
          <w:trHeight w:val="450"/>
        </w:trPr>
        <w:tc>
          <w:tcPr>
            <w:tcW w:w="9089" w:type="dxa"/>
            <w:gridSpan w:val="6"/>
            <w:vMerge w:val="restart"/>
            <w:tcBorders>
              <w:top w:val="nil"/>
              <w:left w:val="nil"/>
              <w:bottom w:val="nil"/>
              <w:right w:val="nil"/>
            </w:tcBorders>
            <w:shd w:val="clear" w:color="auto" w:fill="auto"/>
            <w:hideMark/>
          </w:tcPr>
          <w:bookmarkEnd w:id="22"/>
          <w:p w14:paraId="03E283B5" w14:textId="4C35901D" w:rsidR="00B05E78" w:rsidRPr="00CA2336" w:rsidRDefault="00B05E78" w:rsidP="00B40618">
            <w:pPr>
              <w:spacing w:after="0" w:line="240" w:lineRule="auto"/>
              <w:jc w:val="both"/>
              <w:rPr>
                <w:rFonts w:ascii="Arial" w:eastAsia="Times New Roman" w:hAnsi="Arial" w:cs="Arial"/>
                <w:b/>
                <w:bCs/>
                <w:color w:val="000000"/>
                <w:sz w:val="20"/>
                <w:szCs w:val="20"/>
                <w:lang w:eastAsia="en-GB"/>
              </w:rPr>
            </w:pPr>
            <w:r w:rsidRPr="00CA2336">
              <w:rPr>
                <w:rFonts w:ascii="Arial" w:eastAsia="Times New Roman" w:hAnsi="Arial" w:cs="Arial"/>
                <w:b/>
                <w:bCs/>
                <w:color w:val="000000"/>
                <w:sz w:val="20"/>
                <w:szCs w:val="20"/>
                <w:lang w:eastAsia="en-GB"/>
              </w:rPr>
              <w:t xml:space="preserve">Table </w:t>
            </w:r>
            <w:r w:rsidR="00272F37">
              <w:rPr>
                <w:rFonts w:ascii="Arial" w:eastAsia="Times New Roman" w:hAnsi="Arial" w:cs="Arial"/>
                <w:b/>
                <w:bCs/>
                <w:color w:val="000000"/>
                <w:sz w:val="20"/>
                <w:szCs w:val="20"/>
                <w:lang w:eastAsia="en-GB"/>
              </w:rPr>
              <w:t>3</w:t>
            </w:r>
            <w:r w:rsidRPr="00CA2336">
              <w:rPr>
                <w:rFonts w:ascii="Arial" w:eastAsia="Times New Roman" w:hAnsi="Arial" w:cs="Arial"/>
                <w:b/>
                <w:bCs/>
                <w:color w:val="000000"/>
                <w:sz w:val="20"/>
                <w:szCs w:val="20"/>
                <w:lang w:eastAsia="en-GB"/>
              </w:rPr>
              <w:t>: Hazard ratios for incident fracture outcomes for participants who were not married or cohabiting at baseline compared to those who were</w:t>
            </w:r>
          </w:p>
        </w:tc>
      </w:tr>
      <w:tr w:rsidR="00B05E78" w:rsidRPr="00CA2336" w14:paraId="3B36F96D" w14:textId="77777777" w:rsidTr="00B40618">
        <w:trPr>
          <w:trHeight w:val="290"/>
        </w:trPr>
        <w:tc>
          <w:tcPr>
            <w:tcW w:w="9089" w:type="dxa"/>
            <w:gridSpan w:val="6"/>
            <w:vMerge/>
            <w:tcBorders>
              <w:top w:val="nil"/>
              <w:left w:val="nil"/>
              <w:bottom w:val="nil"/>
              <w:right w:val="nil"/>
            </w:tcBorders>
            <w:vAlign w:val="center"/>
            <w:hideMark/>
          </w:tcPr>
          <w:p w14:paraId="685AB4FD" w14:textId="77777777" w:rsidR="00B05E78" w:rsidRPr="00CA2336" w:rsidRDefault="00B05E78" w:rsidP="00B40618">
            <w:pPr>
              <w:spacing w:after="0" w:line="240" w:lineRule="auto"/>
              <w:jc w:val="both"/>
              <w:rPr>
                <w:rFonts w:ascii="Arial" w:eastAsia="Times New Roman" w:hAnsi="Arial" w:cs="Arial"/>
                <w:b/>
                <w:bCs/>
                <w:color w:val="000000"/>
                <w:sz w:val="20"/>
                <w:szCs w:val="20"/>
                <w:lang w:eastAsia="en-GB"/>
              </w:rPr>
            </w:pPr>
          </w:p>
        </w:tc>
        <w:tc>
          <w:tcPr>
            <w:tcW w:w="236" w:type="dxa"/>
            <w:tcBorders>
              <w:top w:val="nil"/>
              <w:left w:val="nil"/>
              <w:bottom w:val="nil"/>
              <w:right w:val="nil"/>
            </w:tcBorders>
            <w:shd w:val="clear" w:color="auto" w:fill="auto"/>
            <w:noWrap/>
            <w:vAlign w:val="bottom"/>
            <w:hideMark/>
          </w:tcPr>
          <w:p w14:paraId="7ADE3F80" w14:textId="77777777" w:rsidR="00B05E78" w:rsidRPr="00CA2336" w:rsidRDefault="00B05E78" w:rsidP="00B40618">
            <w:pPr>
              <w:spacing w:after="0" w:line="240" w:lineRule="auto"/>
              <w:jc w:val="both"/>
              <w:rPr>
                <w:rFonts w:ascii="Arial" w:eastAsia="Times New Roman" w:hAnsi="Arial" w:cs="Arial"/>
                <w:b/>
                <w:bCs/>
                <w:color w:val="000000"/>
                <w:sz w:val="20"/>
                <w:szCs w:val="20"/>
                <w:lang w:eastAsia="en-GB"/>
              </w:rPr>
            </w:pPr>
          </w:p>
        </w:tc>
      </w:tr>
      <w:tr w:rsidR="00E56FA4" w:rsidRPr="00CA2336" w14:paraId="5D29123D" w14:textId="77777777" w:rsidTr="00391151">
        <w:trPr>
          <w:trHeight w:val="290"/>
        </w:trPr>
        <w:tc>
          <w:tcPr>
            <w:tcW w:w="948" w:type="dxa"/>
            <w:vMerge w:val="restart"/>
            <w:tcBorders>
              <w:top w:val="single" w:sz="4" w:space="0" w:color="auto"/>
              <w:left w:val="nil"/>
              <w:bottom w:val="single" w:sz="4" w:space="0" w:color="000000"/>
              <w:right w:val="nil"/>
            </w:tcBorders>
            <w:shd w:val="clear" w:color="auto" w:fill="auto"/>
            <w:vAlign w:val="center"/>
            <w:hideMark/>
          </w:tcPr>
          <w:p w14:paraId="470BA20A" w14:textId="77777777" w:rsidR="00E56FA4" w:rsidRPr="00CA2336" w:rsidRDefault="00E56FA4" w:rsidP="00B40618">
            <w:pPr>
              <w:spacing w:after="0" w:line="240" w:lineRule="auto"/>
              <w:jc w:val="both"/>
              <w:rPr>
                <w:rFonts w:ascii="Arial" w:eastAsia="Times New Roman" w:hAnsi="Arial" w:cs="Arial"/>
                <w:b/>
                <w:bCs/>
                <w:color w:val="000000"/>
                <w:sz w:val="20"/>
                <w:szCs w:val="20"/>
                <w:lang w:eastAsia="en-GB"/>
              </w:rPr>
            </w:pPr>
            <w:r w:rsidRPr="00CA2336">
              <w:rPr>
                <w:rFonts w:ascii="Arial" w:eastAsia="Times New Roman" w:hAnsi="Arial" w:cs="Arial"/>
                <w:b/>
                <w:bCs/>
                <w:color w:val="000000"/>
                <w:sz w:val="20"/>
                <w:szCs w:val="20"/>
                <w:lang w:eastAsia="en-GB"/>
              </w:rPr>
              <w:t>Sex</w:t>
            </w:r>
          </w:p>
        </w:tc>
        <w:tc>
          <w:tcPr>
            <w:tcW w:w="1683" w:type="dxa"/>
            <w:vMerge w:val="restart"/>
            <w:tcBorders>
              <w:top w:val="single" w:sz="4" w:space="0" w:color="auto"/>
              <w:left w:val="nil"/>
              <w:bottom w:val="single" w:sz="4" w:space="0" w:color="000000"/>
              <w:right w:val="nil"/>
            </w:tcBorders>
            <w:shd w:val="clear" w:color="auto" w:fill="auto"/>
            <w:vAlign w:val="center"/>
            <w:hideMark/>
          </w:tcPr>
          <w:p w14:paraId="24543280" w14:textId="77777777" w:rsidR="00E56FA4" w:rsidRPr="00CA2336" w:rsidRDefault="00E56FA4" w:rsidP="00B40618">
            <w:pPr>
              <w:spacing w:after="0" w:line="240" w:lineRule="auto"/>
              <w:jc w:val="both"/>
              <w:rPr>
                <w:rFonts w:ascii="Arial" w:eastAsia="Times New Roman" w:hAnsi="Arial" w:cs="Arial"/>
                <w:b/>
                <w:bCs/>
                <w:color w:val="000000"/>
                <w:sz w:val="20"/>
                <w:szCs w:val="20"/>
                <w:lang w:eastAsia="en-GB"/>
              </w:rPr>
            </w:pPr>
            <w:r w:rsidRPr="00CA2336">
              <w:rPr>
                <w:rFonts w:ascii="Arial" w:eastAsia="Times New Roman" w:hAnsi="Arial" w:cs="Arial"/>
                <w:b/>
                <w:bCs/>
                <w:color w:val="000000"/>
                <w:sz w:val="20"/>
                <w:szCs w:val="20"/>
                <w:lang w:eastAsia="en-GB"/>
              </w:rPr>
              <w:t>Model</w:t>
            </w:r>
          </w:p>
        </w:tc>
        <w:tc>
          <w:tcPr>
            <w:tcW w:w="3131" w:type="dxa"/>
            <w:gridSpan w:val="2"/>
            <w:tcBorders>
              <w:top w:val="single" w:sz="4" w:space="0" w:color="auto"/>
              <w:left w:val="nil"/>
              <w:bottom w:val="nil"/>
              <w:right w:val="nil"/>
            </w:tcBorders>
            <w:shd w:val="clear" w:color="auto" w:fill="auto"/>
            <w:vAlign w:val="center"/>
            <w:hideMark/>
          </w:tcPr>
          <w:p w14:paraId="4D221C4F" w14:textId="77777777" w:rsidR="00E56FA4" w:rsidRPr="00CA2336" w:rsidRDefault="00E56FA4" w:rsidP="00E56FA4">
            <w:pPr>
              <w:spacing w:after="0" w:line="240" w:lineRule="auto"/>
              <w:jc w:val="center"/>
              <w:rPr>
                <w:rFonts w:ascii="Arial" w:eastAsia="Times New Roman" w:hAnsi="Arial" w:cs="Arial"/>
                <w:b/>
                <w:bCs/>
                <w:color w:val="000000"/>
                <w:sz w:val="20"/>
                <w:szCs w:val="20"/>
                <w:lang w:eastAsia="en-GB"/>
              </w:rPr>
            </w:pPr>
            <w:r w:rsidRPr="00CA2336">
              <w:rPr>
                <w:rFonts w:ascii="Arial" w:eastAsia="Times New Roman" w:hAnsi="Arial" w:cs="Arial"/>
                <w:b/>
                <w:bCs/>
                <w:color w:val="000000"/>
                <w:sz w:val="20"/>
                <w:szCs w:val="20"/>
                <w:lang w:eastAsia="en-GB"/>
              </w:rPr>
              <w:t>Any fracture</w:t>
            </w:r>
          </w:p>
        </w:tc>
        <w:tc>
          <w:tcPr>
            <w:tcW w:w="3327" w:type="dxa"/>
            <w:gridSpan w:val="2"/>
            <w:tcBorders>
              <w:top w:val="single" w:sz="4" w:space="0" w:color="auto"/>
              <w:left w:val="nil"/>
              <w:bottom w:val="nil"/>
              <w:right w:val="nil"/>
            </w:tcBorders>
            <w:shd w:val="clear" w:color="auto" w:fill="auto"/>
            <w:vAlign w:val="center"/>
            <w:hideMark/>
          </w:tcPr>
          <w:p w14:paraId="41E3B254" w14:textId="3864D809" w:rsidR="00E56FA4" w:rsidRPr="00CA2336" w:rsidRDefault="00E56FA4" w:rsidP="00E56FA4">
            <w:pPr>
              <w:spacing w:after="0" w:line="240" w:lineRule="auto"/>
              <w:jc w:val="center"/>
              <w:rPr>
                <w:rFonts w:ascii="Arial" w:eastAsia="Times New Roman" w:hAnsi="Arial" w:cs="Arial"/>
                <w:b/>
                <w:bCs/>
                <w:color w:val="000000"/>
                <w:sz w:val="20"/>
                <w:szCs w:val="20"/>
                <w:lang w:eastAsia="en-GB"/>
              </w:rPr>
            </w:pPr>
            <w:r w:rsidRPr="00CA2336">
              <w:rPr>
                <w:rFonts w:ascii="Arial" w:eastAsia="Arial" w:hAnsi="Arial" w:cs="Arial"/>
                <w:b/>
                <w:bCs/>
                <w:color w:val="000000"/>
                <w:sz w:val="20"/>
                <w:szCs w:val="20"/>
                <w:lang w:eastAsia="en-GB"/>
              </w:rPr>
              <w:t>Hip fracture</w:t>
            </w:r>
          </w:p>
        </w:tc>
        <w:tc>
          <w:tcPr>
            <w:tcW w:w="236" w:type="dxa"/>
            <w:vAlign w:val="center"/>
            <w:hideMark/>
          </w:tcPr>
          <w:p w14:paraId="573D13AF" w14:textId="77777777" w:rsidR="00E56FA4" w:rsidRPr="00CA2336" w:rsidRDefault="00E56FA4" w:rsidP="00B40618">
            <w:pPr>
              <w:spacing w:after="0" w:line="240" w:lineRule="auto"/>
              <w:jc w:val="both"/>
              <w:rPr>
                <w:rFonts w:ascii="Times New Roman" w:eastAsia="Times New Roman" w:hAnsi="Times New Roman" w:cs="Times New Roman"/>
                <w:sz w:val="20"/>
                <w:szCs w:val="20"/>
                <w:lang w:eastAsia="en-GB"/>
              </w:rPr>
            </w:pPr>
          </w:p>
        </w:tc>
      </w:tr>
      <w:tr w:rsidR="00B05E78" w:rsidRPr="00CA2336" w14:paraId="1EDD2E45" w14:textId="77777777" w:rsidTr="00B40618">
        <w:trPr>
          <w:trHeight w:val="290"/>
        </w:trPr>
        <w:tc>
          <w:tcPr>
            <w:tcW w:w="948" w:type="dxa"/>
            <w:vMerge/>
            <w:tcBorders>
              <w:top w:val="single" w:sz="4" w:space="0" w:color="auto"/>
              <w:left w:val="nil"/>
              <w:bottom w:val="single" w:sz="4" w:space="0" w:color="000000"/>
              <w:right w:val="nil"/>
            </w:tcBorders>
            <w:vAlign w:val="center"/>
            <w:hideMark/>
          </w:tcPr>
          <w:p w14:paraId="0BAD9D0F" w14:textId="77777777" w:rsidR="00B05E78" w:rsidRPr="00CA2336" w:rsidRDefault="00B05E78" w:rsidP="00B40618">
            <w:pPr>
              <w:spacing w:after="0" w:line="240" w:lineRule="auto"/>
              <w:jc w:val="both"/>
              <w:rPr>
                <w:rFonts w:ascii="Arial" w:eastAsia="Times New Roman" w:hAnsi="Arial" w:cs="Arial"/>
                <w:b/>
                <w:bCs/>
                <w:color w:val="000000"/>
                <w:sz w:val="20"/>
                <w:szCs w:val="20"/>
                <w:lang w:eastAsia="en-GB"/>
              </w:rPr>
            </w:pPr>
          </w:p>
        </w:tc>
        <w:tc>
          <w:tcPr>
            <w:tcW w:w="1683" w:type="dxa"/>
            <w:vMerge/>
            <w:tcBorders>
              <w:top w:val="single" w:sz="4" w:space="0" w:color="auto"/>
              <w:left w:val="nil"/>
              <w:bottom w:val="single" w:sz="4" w:space="0" w:color="000000"/>
              <w:right w:val="nil"/>
            </w:tcBorders>
            <w:vAlign w:val="center"/>
            <w:hideMark/>
          </w:tcPr>
          <w:p w14:paraId="1E6EF555" w14:textId="77777777" w:rsidR="00B05E78" w:rsidRPr="00CA2336" w:rsidRDefault="00B05E78" w:rsidP="00B40618">
            <w:pPr>
              <w:spacing w:after="0" w:line="240" w:lineRule="auto"/>
              <w:jc w:val="both"/>
              <w:rPr>
                <w:rFonts w:ascii="Arial" w:eastAsia="Times New Roman" w:hAnsi="Arial" w:cs="Arial"/>
                <w:b/>
                <w:bCs/>
                <w:color w:val="000000"/>
                <w:sz w:val="20"/>
                <w:szCs w:val="20"/>
                <w:lang w:eastAsia="en-GB"/>
              </w:rPr>
            </w:pPr>
          </w:p>
        </w:tc>
        <w:tc>
          <w:tcPr>
            <w:tcW w:w="2092" w:type="dxa"/>
            <w:tcBorders>
              <w:top w:val="nil"/>
              <w:left w:val="nil"/>
              <w:bottom w:val="single" w:sz="4" w:space="0" w:color="auto"/>
              <w:right w:val="nil"/>
            </w:tcBorders>
            <w:shd w:val="clear" w:color="auto" w:fill="auto"/>
            <w:vAlign w:val="center"/>
            <w:hideMark/>
          </w:tcPr>
          <w:p w14:paraId="21C69027" w14:textId="77777777" w:rsidR="00B05E78" w:rsidRPr="00CA2336" w:rsidRDefault="00B05E78" w:rsidP="00E56FA4">
            <w:pPr>
              <w:spacing w:after="0" w:line="240" w:lineRule="auto"/>
              <w:jc w:val="center"/>
              <w:rPr>
                <w:rFonts w:ascii="Arial" w:eastAsia="Times New Roman" w:hAnsi="Arial" w:cs="Arial"/>
                <w:b/>
                <w:bCs/>
                <w:color w:val="000000"/>
                <w:sz w:val="20"/>
                <w:szCs w:val="20"/>
                <w:lang w:eastAsia="en-GB"/>
              </w:rPr>
            </w:pPr>
            <w:r w:rsidRPr="00CA2336">
              <w:rPr>
                <w:rFonts w:ascii="Arial" w:eastAsia="Times New Roman" w:hAnsi="Arial" w:cs="Arial"/>
                <w:b/>
                <w:bCs/>
                <w:color w:val="000000"/>
                <w:sz w:val="20"/>
                <w:szCs w:val="20"/>
                <w:lang w:eastAsia="en-GB"/>
              </w:rPr>
              <w:t>Hazard ratio</w:t>
            </w:r>
          </w:p>
          <w:p w14:paraId="5994EC94" w14:textId="77777777" w:rsidR="00B05E78" w:rsidRPr="00CA2336" w:rsidRDefault="00B05E78" w:rsidP="00E56FA4">
            <w:pPr>
              <w:spacing w:after="0" w:line="240" w:lineRule="auto"/>
              <w:jc w:val="center"/>
              <w:rPr>
                <w:rFonts w:ascii="Arial" w:eastAsia="Times New Roman" w:hAnsi="Arial" w:cs="Arial"/>
                <w:b/>
                <w:bCs/>
                <w:color w:val="000000"/>
                <w:sz w:val="20"/>
                <w:szCs w:val="20"/>
                <w:lang w:eastAsia="en-GB"/>
              </w:rPr>
            </w:pPr>
            <w:r w:rsidRPr="00CA2336">
              <w:rPr>
                <w:rFonts w:ascii="Arial" w:eastAsia="Times New Roman" w:hAnsi="Arial" w:cs="Arial"/>
                <w:b/>
                <w:bCs/>
                <w:color w:val="000000"/>
                <w:sz w:val="20"/>
                <w:szCs w:val="20"/>
                <w:lang w:eastAsia="en-GB"/>
              </w:rPr>
              <w:t>(95% CI)</w:t>
            </w:r>
          </w:p>
        </w:tc>
        <w:tc>
          <w:tcPr>
            <w:tcW w:w="1039" w:type="dxa"/>
            <w:tcBorders>
              <w:top w:val="nil"/>
              <w:left w:val="nil"/>
              <w:bottom w:val="single" w:sz="4" w:space="0" w:color="auto"/>
              <w:right w:val="nil"/>
            </w:tcBorders>
            <w:shd w:val="clear" w:color="auto" w:fill="auto"/>
            <w:vAlign w:val="center"/>
            <w:hideMark/>
          </w:tcPr>
          <w:p w14:paraId="4144BD63" w14:textId="77777777" w:rsidR="00B05E78" w:rsidRPr="00CA2336" w:rsidRDefault="00B05E78" w:rsidP="00E56FA4">
            <w:pPr>
              <w:spacing w:after="0" w:line="240" w:lineRule="auto"/>
              <w:jc w:val="center"/>
              <w:rPr>
                <w:rFonts w:ascii="Arial" w:eastAsia="Times New Roman" w:hAnsi="Arial" w:cs="Arial"/>
                <w:b/>
                <w:bCs/>
                <w:color w:val="000000"/>
                <w:sz w:val="20"/>
                <w:szCs w:val="20"/>
                <w:lang w:eastAsia="en-GB"/>
              </w:rPr>
            </w:pPr>
            <w:r w:rsidRPr="00CA2336">
              <w:rPr>
                <w:rFonts w:ascii="Arial" w:eastAsia="Arial" w:hAnsi="Arial" w:cs="Arial"/>
                <w:b/>
                <w:bCs/>
                <w:color w:val="000000"/>
                <w:sz w:val="20"/>
                <w:szCs w:val="20"/>
                <w:lang w:eastAsia="en-GB"/>
              </w:rPr>
              <w:t>P-value</w:t>
            </w:r>
          </w:p>
        </w:tc>
        <w:tc>
          <w:tcPr>
            <w:tcW w:w="2230" w:type="dxa"/>
            <w:tcBorders>
              <w:top w:val="nil"/>
              <w:left w:val="nil"/>
              <w:bottom w:val="single" w:sz="4" w:space="0" w:color="auto"/>
              <w:right w:val="nil"/>
            </w:tcBorders>
            <w:shd w:val="clear" w:color="auto" w:fill="auto"/>
            <w:vAlign w:val="center"/>
            <w:hideMark/>
          </w:tcPr>
          <w:p w14:paraId="05224DB8" w14:textId="77777777" w:rsidR="00B05E78" w:rsidRPr="00CA2336" w:rsidRDefault="00B05E78" w:rsidP="00E56FA4">
            <w:pPr>
              <w:spacing w:after="0" w:line="240" w:lineRule="auto"/>
              <w:jc w:val="center"/>
              <w:rPr>
                <w:rFonts w:ascii="Arial" w:eastAsia="Arial" w:hAnsi="Arial" w:cs="Arial"/>
                <w:b/>
                <w:bCs/>
                <w:color w:val="000000"/>
                <w:sz w:val="20"/>
                <w:szCs w:val="20"/>
                <w:lang w:eastAsia="en-GB"/>
              </w:rPr>
            </w:pPr>
            <w:r w:rsidRPr="00CA2336">
              <w:rPr>
                <w:rFonts w:ascii="Arial" w:eastAsia="Arial" w:hAnsi="Arial" w:cs="Arial"/>
                <w:b/>
                <w:bCs/>
                <w:color w:val="000000"/>
                <w:sz w:val="20"/>
                <w:szCs w:val="20"/>
                <w:lang w:eastAsia="en-GB"/>
              </w:rPr>
              <w:t>Hazard ratio</w:t>
            </w:r>
          </w:p>
          <w:p w14:paraId="100C3BA7" w14:textId="77777777" w:rsidR="00B05E78" w:rsidRPr="00CA2336" w:rsidRDefault="00B05E78" w:rsidP="00E56FA4">
            <w:pPr>
              <w:spacing w:after="0" w:line="240" w:lineRule="auto"/>
              <w:jc w:val="center"/>
              <w:rPr>
                <w:rFonts w:ascii="Arial" w:eastAsia="Times New Roman" w:hAnsi="Arial" w:cs="Arial"/>
                <w:b/>
                <w:bCs/>
                <w:color w:val="000000"/>
                <w:sz w:val="20"/>
                <w:szCs w:val="20"/>
                <w:lang w:eastAsia="en-GB"/>
              </w:rPr>
            </w:pPr>
            <w:r w:rsidRPr="00CA2336">
              <w:rPr>
                <w:rFonts w:ascii="Arial" w:eastAsia="Arial" w:hAnsi="Arial" w:cs="Arial"/>
                <w:b/>
                <w:bCs/>
                <w:color w:val="000000"/>
                <w:sz w:val="20"/>
                <w:szCs w:val="20"/>
                <w:lang w:eastAsia="en-GB"/>
              </w:rPr>
              <w:t>(95% CI)</w:t>
            </w:r>
          </w:p>
        </w:tc>
        <w:tc>
          <w:tcPr>
            <w:tcW w:w="1097" w:type="dxa"/>
            <w:tcBorders>
              <w:top w:val="nil"/>
              <w:left w:val="nil"/>
              <w:bottom w:val="single" w:sz="4" w:space="0" w:color="auto"/>
              <w:right w:val="nil"/>
            </w:tcBorders>
            <w:shd w:val="clear" w:color="auto" w:fill="auto"/>
            <w:vAlign w:val="center"/>
            <w:hideMark/>
          </w:tcPr>
          <w:p w14:paraId="405924CC" w14:textId="77777777" w:rsidR="00B05E78" w:rsidRPr="00CA2336" w:rsidRDefault="00B05E78" w:rsidP="00E56FA4">
            <w:pPr>
              <w:spacing w:after="0" w:line="240" w:lineRule="auto"/>
              <w:jc w:val="center"/>
              <w:rPr>
                <w:rFonts w:ascii="Arial" w:eastAsia="Times New Roman" w:hAnsi="Arial" w:cs="Arial"/>
                <w:b/>
                <w:bCs/>
                <w:color w:val="000000"/>
                <w:sz w:val="20"/>
                <w:szCs w:val="20"/>
                <w:lang w:eastAsia="en-GB"/>
              </w:rPr>
            </w:pPr>
            <w:r w:rsidRPr="00CA2336">
              <w:rPr>
                <w:rFonts w:ascii="Arial" w:eastAsia="Arial" w:hAnsi="Arial" w:cs="Arial"/>
                <w:b/>
                <w:bCs/>
                <w:color w:val="000000"/>
                <w:sz w:val="20"/>
                <w:szCs w:val="20"/>
                <w:lang w:eastAsia="en-GB"/>
              </w:rPr>
              <w:t>P-value</w:t>
            </w:r>
          </w:p>
        </w:tc>
        <w:tc>
          <w:tcPr>
            <w:tcW w:w="236" w:type="dxa"/>
            <w:vAlign w:val="center"/>
            <w:hideMark/>
          </w:tcPr>
          <w:p w14:paraId="36E5899D" w14:textId="77777777" w:rsidR="00B05E78" w:rsidRPr="00CA2336" w:rsidRDefault="00B05E78" w:rsidP="00B40618">
            <w:pPr>
              <w:spacing w:after="0" w:line="240" w:lineRule="auto"/>
              <w:jc w:val="both"/>
              <w:rPr>
                <w:rFonts w:ascii="Times New Roman" w:eastAsia="Times New Roman" w:hAnsi="Times New Roman" w:cs="Times New Roman"/>
                <w:sz w:val="20"/>
                <w:szCs w:val="20"/>
                <w:lang w:eastAsia="en-GB"/>
              </w:rPr>
            </w:pPr>
          </w:p>
        </w:tc>
      </w:tr>
      <w:tr w:rsidR="00B05E78" w:rsidRPr="00CA2336" w14:paraId="62991FA8" w14:textId="77777777" w:rsidTr="00B40618">
        <w:trPr>
          <w:trHeight w:val="290"/>
        </w:trPr>
        <w:tc>
          <w:tcPr>
            <w:tcW w:w="948" w:type="dxa"/>
            <w:tcBorders>
              <w:top w:val="nil"/>
              <w:left w:val="nil"/>
              <w:bottom w:val="nil"/>
              <w:right w:val="nil"/>
            </w:tcBorders>
            <w:shd w:val="clear" w:color="auto" w:fill="auto"/>
            <w:vAlign w:val="center"/>
            <w:hideMark/>
          </w:tcPr>
          <w:p w14:paraId="2644C590" w14:textId="77777777" w:rsidR="00B05E78" w:rsidRPr="00CA2336" w:rsidRDefault="00B05E78" w:rsidP="00B40618">
            <w:pPr>
              <w:spacing w:after="0" w:line="240" w:lineRule="auto"/>
              <w:jc w:val="both"/>
              <w:rPr>
                <w:rFonts w:ascii="Arial" w:eastAsia="Times New Roman" w:hAnsi="Arial" w:cs="Arial"/>
                <w:b/>
                <w:bCs/>
                <w:color w:val="000000"/>
                <w:sz w:val="20"/>
                <w:szCs w:val="20"/>
                <w:lang w:eastAsia="en-GB"/>
              </w:rPr>
            </w:pPr>
          </w:p>
        </w:tc>
        <w:tc>
          <w:tcPr>
            <w:tcW w:w="1683" w:type="dxa"/>
            <w:tcBorders>
              <w:top w:val="nil"/>
              <w:left w:val="nil"/>
              <w:bottom w:val="nil"/>
              <w:right w:val="nil"/>
            </w:tcBorders>
            <w:shd w:val="clear" w:color="auto" w:fill="auto"/>
            <w:vAlign w:val="center"/>
            <w:hideMark/>
          </w:tcPr>
          <w:p w14:paraId="375BFD81" w14:textId="77777777" w:rsidR="00B05E78" w:rsidRPr="00CA2336" w:rsidRDefault="00B05E78" w:rsidP="00B40618">
            <w:pPr>
              <w:spacing w:after="0" w:line="240" w:lineRule="auto"/>
              <w:jc w:val="both"/>
              <w:rPr>
                <w:rFonts w:ascii="Times New Roman" w:eastAsia="Times New Roman" w:hAnsi="Times New Roman" w:cs="Times New Roman"/>
                <w:sz w:val="20"/>
                <w:szCs w:val="20"/>
                <w:lang w:eastAsia="en-GB"/>
              </w:rPr>
            </w:pPr>
          </w:p>
        </w:tc>
        <w:tc>
          <w:tcPr>
            <w:tcW w:w="2092" w:type="dxa"/>
            <w:tcBorders>
              <w:top w:val="nil"/>
              <w:left w:val="nil"/>
              <w:bottom w:val="nil"/>
              <w:right w:val="nil"/>
            </w:tcBorders>
            <w:shd w:val="clear" w:color="auto" w:fill="auto"/>
            <w:vAlign w:val="center"/>
            <w:hideMark/>
          </w:tcPr>
          <w:p w14:paraId="5F190FAF" w14:textId="77777777" w:rsidR="00B05E78" w:rsidRPr="00CA2336" w:rsidRDefault="00B05E78" w:rsidP="00E56FA4">
            <w:pPr>
              <w:spacing w:after="0" w:line="240" w:lineRule="auto"/>
              <w:jc w:val="center"/>
              <w:rPr>
                <w:rFonts w:ascii="Times New Roman" w:eastAsia="Times New Roman" w:hAnsi="Times New Roman" w:cs="Times New Roman"/>
                <w:sz w:val="20"/>
                <w:szCs w:val="20"/>
                <w:lang w:eastAsia="en-GB"/>
              </w:rPr>
            </w:pPr>
          </w:p>
        </w:tc>
        <w:tc>
          <w:tcPr>
            <w:tcW w:w="1039" w:type="dxa"/>
            <w:tcBorders>
              <w:top w:val="nil"/>
              <w:left w:val="nil"/>
              <w:bottom w:val="nil"/>
              <w:right w:val="nil"/>
            </w:tcBorders>
            <w:shd w:val="clear" w:color="auto" w:fill="auto"/>
            <w:vAlign w:val="center"/>
            <w:hideMark/>
          </w:tcPr>
          <w:p w14:paraId="5F7B93E6" w14:textId="77777777" w:rsidR="00B05E78" w:rsidRPr="00CA2336" w:rsidRDefault="00B05E78" w:rsidP="00E56FA4">
            <w:pPr>
              <w:spacing w:after="0" w:line="240" w:lineRule="auto"/>
              <w:jc w:val="center"/>
              <w:rPr>
                <w:rFonts w:ascii="Times New Roman" w:eastAsia="Times New Roman" w:hAnsi="Times New Roman" w:cs="Times New Roman"/>
                <w:sz w:val="20"/>
                <w:szCs w:val="20"/>
                <w:lang w:eastAsia="en-GB"/>
              </w:rPr>
            </w:pPr>
          </w:p>
        </w:tc>
        <w:tc>
          <w:tcPr>
            <w:tcW w:w="2230" w:type="dxa"/>
            <w:tcBorders>
              <w:top w:val="nil"/>
              <w:left w:val="nil"/>
              <w:bottom w:val="nil"/>
              <w:right w:val="nil"/>
            </w:tcBorders>
            <w:shd w:val="clear" w:color="auto" w:fill="auto"/>
            <w:vAlign w:val="center"/>
            <w:hideMark/>
          </w:tcPr>
          <w:p w14:paraId="22E5CAE7" w14:textId="77777777" w:rsidR="00B05E78" w:rsidRPr="00CA2336" w:rsidRDefault="00B05E78" w:rsidP="00E56FA4">
            <w:pPr>
              <w:spacing w:after="0" w:line="240" w:lineRule="auto"/>
              <w:jc w:val="center"/>
              <w:rPr>
                <w:rFonts w:ascii="Times New Roman" w:eastAsia="Times New Roman" w:hAnsi="Times New Roman" w:cs="Times New Roman"/>
                <w:sz w:val="20"/>
                <w:szCs w:val="20"/>
                <w:lang w:eastAsia="en-GB"/>
              </w:rPr>
            </w:pPr>
          </w:p>
        </w:tc>
        <w:tc>
          <w:tcPr>
            <w:tcW w:w="1097" w:type="dxa"/>
            <w:tcBorders>
              <w:top w:val="nil"/>
              <w:left w:val="nil"/>
              <w:bottom w:val="nil"/>
              <w:right w:val="nil"/>
            </w:tcBorders>
            <w:shd w:val="clear" w:color="auto" w:fill="auto"/>
            <w:vAlign w:val="center"/>
            <w:hideMark/>
          </w:tcPr>
          <w:p w14:paraId="64A5CC6B" w14:textId="77777777" w:rsidR="00B05E78" w:rsidRPr="00CA2336" w:rsidRDefault="00B05E78" w:rsidP="00E56FA4">
            <w:pPr>
              <w:spacing w:after="0" w:line="240" w:lineRule="auto"/>
              <w:jc w:val="center"/>
              <w:rPr>
                <w:rFonts w:ascii="Times New Roman" w:eastAsia="Times New Roman" w:hAnsi="Times New Roman" w:cs="Times New Roman"/>
                <w:sz w:val="20"/>
                <w:szCs w:val="20"/>
                <w:lang w:eastAsia="en-GB"/>
              </w:rPr>
            </w:pPr>
          </w:p>
        </w:tc>
        <w:tc>
          <w:tcPr>
            <w:tcW w:w="236" w:type="dxa"/>
            <w:vAlign w:val="center"/>
            <w:hideMark/>
          </w:tcPr>
          <w:p w14:paraId="47A0102B" w14:textId="77777777" w:rsidR="00B05E78" w:rsidRPr="00CA2336" w:rsidRDefault="00B05E78" w:rsidP="00B40618">
            <w:pPr>
              <w:spacing w:after="0" w:line="240" w:lineRule="auto"/>
              <w:jc w:val="both"/>
              <w:rPr>
                <w:rFonts w:ascii="Times New Roman" w:eastAsia="Times New Roman" w:hAnsi="Times New Roman" w:cs="Times New Roman"/>
                <w:sz w:val="20"/>
                <w:szCs w:val="20"/>
                <w:lang w:eastAsia="en-GB"/>
              </w:rPr>
            </w:pPr>
          </w:p>
        </w:tc>
      </w:tr>
      <w:tr w:rsidR="00B05E78" w:rsidRPr="00CA2336" w14:paraId="49D8DE50" w14:textId="77777777" w:rsidTr="00B40618">
        <w:trPr>
          <w:trHeight w:val="290"/>
        </w:trPr>
        <w:tc>
          <w:tcPr>
            <w:tcW w:w="948" w:type="dxa"/>
            <w:tcBorders>
              <w:top w:val="nil"/>
              <w:left w:val="nil"/>
              <w:bottom w:val="nil"/>
              <w:right w:val="nil"/>
            </w:tcBorders>
            <w:shd w:val="clear" w:color="auto" w:fill="auto"/>
            <w:vAlign w:val="center"/>
            <w:hideMark/>
          </w:tcPr>
          <w:p w14:paraId="2760484C" w14:textId="77777777" w:rsidR="00B05E78" w:rsidRPr="00CA2336" w:rsidRDefault="00B05E78" w:rsidP="00B40618">
            <w:pPr>
              <w:spacing w:after="0" w:line="240" w:lineRule="auto"/>
              <w:jc w:val="both"/>
              <w:rPr>
                <w:rFonts w:ascii="Arial" w:eastAsia="Times New Roman" w:hAnsi="Arial" w:cs="Arial"/>
                <w:b/>
                <w:bCs/>
                <w:color w:val="000000"/>
                <w:sz w:val="20"/>
                <w:szCs w:val="20"/>
                <w:lang w:eastAsia="en-GB"/>
              </w:rPr>
            </w:pPr>
            <w:r w:rsidRPr="00CA2336">
              <w:rPr>
                <w:rFonts w:ascii="Arial" w:eastAsia="Times New Roman" w:hAnsi="Arial" w:cs="Arial"/>
                <w:b/>
                <w:bCs/>
                <w:color w:val="000000"/>
                <w:sz w:val="20"/>
                <w:szCs w:val="20"/>
                <w:lang w:eastAsia="en-GB"/>
              </w:rPr>
              <w:t>Men</w:t>
            </w:r>
          </w:p>
        </w:tc>
        <w:tc>
          <w:tcPr>
            <w:tcW w:w="1683" w:type="dxa"/>
            <w:tcBorders>
              <w:top w:val="nil"/>
              <w:left w:val="nil"/>
              <w:bottom w:val="nil"/>
              <w:right w:val="nil"/>
            </w:tcBorders>
            <w:shd w:val="clear" w:color="auto" w:fill="auto"/>
            <w:vAlign w:val="center"/>
            <w:hideMark/>
          </w:tcPr>
          <w:p w14:paraId="33C26467" w14:textId="77777777" w:rsidR="00B05E78" w:rsidRPr="00CA2336" w:rsidRDefault="00B05E78" w:rsidP="00B40618">
            <w:pPr>
              <w:spacing w:after="0" w:line="240" w:lineRule="auto"/>
              <w:jc w:val="both"/>
              <w:rPr>
                <w:rFonts w:ascii="Arial" w:eastAsia="Times New Roman" w:hAnsi="Arial" w:cs="Arial"/>
                <w:b/>
                <w:bCs/>
                <w:color w:val="000000"/>
                <w:sz w:val="20"/>
                <w:szCs w:val="20"/>
                <w:lang w:eastAsia="en-GB"/>
              </w:rPr>
            </w:pPr>
            <w:r w:rsidRPr="00CA2336">
              <w:rPr>
                <w:rFonts w:ascii="Arial" w:eastAsia="Times New Roman" w:hAnsi="Arial" w:cs="Arial"/>
                <w:b/>
                <w:bCs/>
                <w:color w:val="000000"/>
                <w:sz w:val="20"/>
                <w:szCs w:val="20"/>
                <w:lang w:eastAsia="en-GB"/>
              </w:rPr>
              <w:t>Age-adjusted</w:t>
            </w:r>
          </w:p>
        </w:tc>
        <w:tc>
          <w:tcPr>
            <w:tcW w:w="2092" w:type="dxa"/>
            <w:tcBorders>
              <w:top w:val="nil"/>
              <w:left w:val="nil"/>
              <w:bottom w:val="nil"/>
              <w:right w:val="nil"/>
            </w:tcBorders>
            <w:shd w:val="clear" w:color="auto" w:fill="auto"/>
            <w:noWrap/>
            <w:vAlign w:val="center"/>
            <w:hideMark/>
          </w:tcPr>
          <w:p w14:paraId="43928043" w14:textId="77777777" w:rsidR="00B05E78" w:rsidRPr="000231B5" w:rsidRDefault="00B05E78" w:rsidP="00E56FA4">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1.58 (1.06,2.38)</w:t>
            </w:r>
          </w:p>
        </w:tc>
        <w:tc>
          <w:tcPr>
            <w:tcW w:w="1039" w:type="dxa"/>
            <w:tcBorders>
              <w:top w:val="nil"/>
              <w:left w:val="nil"/>
              <w:bottom w:val="nil"/>
              <w:right w:val="nil"/>
            </w:tcBorders>
            <w:shd w:val="clear" w:color="auto" w:fill="auto"/>
            <w:noWrap/>
            <w:vAlign w:val="center"/>
            <w:hideMark/>
          </w:tcPr>
          <w:p w14:paraId="664F50B2" w14:textId="77777777" w:rsidR="00B05E78" w:rsidRPr="000231B5" w:rsidRDefault="00B05E78" w:rsidP="00E56FA4">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0.027</w:t>
            </w:r>
          </w:p>
        </w:tc>
        <w:tc>
          <w:tcPr>
            <w:tcW w:w="2230" w:type="dxa"/>
            <w:tcBorders>
              <w:top w:val="nil"/>
              <w:left w:val="nil"/>
              <w:bottom w:val="nil"/>
              <w:right w:val="nil"/>
            </w:tcBorders>
            <w:shd w:val="clear" w:color="auto" w:fill="auto"/>
            <w:noWrap/>
            <w:vAlign w:val="center"/>
            <w:hideMark/>
          </w:tcPr>
          <w:p w14:paraId="0BD7AC03" w14:textId="77777777" w:rsidR="00B05E78" w:rsidRPr="000231B5" w:rsidRDefault="00B05E78" w:rsidP="00E56FA4">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2.07 (0.98,4.39)</w:t>
            </w:r>
          </w:p>
        </w:tc>
        <w:tc>
          <w:tcPr>
            <w:tcW w:w="1097" w:type="dxa"/>
            <w:tcBorders>
              <w:top w:val="nil"/>
              <w:left w:val="nil"/>
              <w:bottom w:val="nil"/>
              <w:right w:val="nil"/>
            </w:tcBorders>
            <w:shd w:val="clear" w:color="auto" w:fill="auto"/>
            <w:noWrap/>
            <w:vAlign w:val="center"/>
            <w:hideMark/>
          </w:tcPr>
          <w:p w14:paraId="6BEE9F6B" w14:textId="77777777" w:rsidR="00B05E78" w:rsidRPr="000231B5" w:rsidRDefault="00B05E78" w:rsidP="00E56FA4">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0.057</w:t>
            </w:r>
          </w:p>
        </w:tc>
        <w:tc>
          <w:tcPr>
            <w:tcW w:w="236" w:type="dxa"/>
            <w:vAlign w:val="center"/>
            <w:hideMark/>
          </w:tcPr>
          <w:p w14:paraId="3C66ABC8" w14:textId="77777777" w:rsidR="00B05E78" w:rsidRPr="00CA2336" w:rsidRDefault="00B05E78" w:rsidP="00B40618">
            <w:pPr>
              <w:spacing w:after="0" w:line="240" w:lineRule="auto"/>
              <w:jc w:val="both"/>
              <w:rPr>
                <w:rFonts w:ascii="Times New Roman" w:eastAsia="Times New Roman" w:hAnsi="Times New Roman" w:cs="Times New Roman"/>
                <w:sz w:val="20"/>
                <w:szCs w:val="20"/>
                <w:lang w:eastAsia="en-GB"/>
              </w:rPr>
            </w:pPr>
          </w:p>
        </w:tc>
      </w:tr>
      <w:tr w:rsidR="00B05E78" w:rsidRPr="00CA2336" w14:paraId="67CB5140" w14:textId="77777777" w:rsidTr="00B40618">
        <w:trPr>
          <w:trHeight w:val="290"/>
        </w:trPr>
        <w:tc>
          <w:tcPr>
            <w:tcW w:w="948" w:type="dxa"/>
            <w:tcBorders>
              <w:top w:val="nil"/>
              <w:left w:val="nil"/>
              <w:bottom w:val="nil"/>
              <w:right w:val="nil"/>
            </w:tcBorders>
            <w:shd w:val="clear" w:color="auto" w:fill="auto"/>
            <w:vAlign w:val="center"/>
            <w:hideMark/>
          </w:tcPr>
          <w:p w14:paraId="1FD587EB" w14:textId="77777777" w:rsidR="00B05E78" w:rsidRPr="00CA2336" w:rsidRDefault="00B05E78" w:rsidP="00B40618">
            <w:pPr>
              <w:spacing w:after="0" w:line="240" w:lineRule="auto"/>
              <w:jc w:val="both"/>
              <w:rPr>
                <w:rFonts w:ascii="Arial" w:eastAsia="Times New Roman" w:hAnsi="Arial" w:cs="Arial"/>
                <w:color w:val="000000"/>
                <w:sz w:val="20"/>
                <w:szCs w:val="20"/>
                <w:lang w:eastAsia="en-GB"/>
              </w:rPr>
            </w:pPr>
          </w:p>
        </w:tc>
        <w:tc>
          <w:tcPr>
            <w:tcW w:w="1683" w:type="dxa"/>
            <w:tcBorders>
              <w:top w:val="nil"/>
              <w:left w:val="nil"/>
              <w:bottom w:val="nil"/>
              <w:right w:val="nil"/>
            </w:tcBorders>
            <w:shd w:val="clear" w:color="auto" w:fill="auto"/>
            <w:vAlign w:val="center"/>
            <w:hideMark/>
          </w:tcPr>
          <w:p w14:paraId="5DCC0894" w14:textId="31181061" w:rsidR="00B05E78" w:rsidRPr="00CA2336" w:rsidRDefault="00CF3A40" w:rsidP="00B40618">
            <w:pPr>
              <w:spacing w:after="0" w:line="240" w:lineRule="auto"/>
              <w:jc w:val="both"/>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Fully adjusted</w:t>
            </w:r>
          </w:p>
        </w:tc>
        <w:tc>
          <w:tcPr>
            <w:tcW w:w="2092" w:type="dxa"/>
            <w:tcBorders>
              <w:top w:val="nil"/>
              <w:left w:val="nil"/>
              <w:bottom w:val="nil"/>
              <w:right w:val="nil"/>
            </w:tcBorders>
            <w:shd w:val="clear" w:color="auto" w:fill="auto"/>
            <w:noWrap/>
            <w:vAlign w:val="center"/>
            <w:hideMark/>
          </w:tcPr>
          <w:p w14:paraId="7771F72B" w14:textId="77777777" w:rsidR="00B05E78" w:rsidRPr="000231B5" w:rsidRDefault="00B05E78" w:rsidP="00E56FA4">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1.46 (0.96,2.23)</w:t>
            </w:r>
          </w:p>
        </w:tc>
        <w:tc>
          <w:tcPr>
            <w:tcW w:w="1039" w:type="dxa"/>
            <w:tcBorders>
              <w:top w:val="nil"/>
              <w:left w:val="nil"/>
              <w:bottom w:val="nil"/>
              <w:right w:val="nil"/>
            </w:tcBorders>
            <w:shd w:val="clear" w:color="auto" w:fill="auto"/>
            <w:noWrap/>
            <w:vAlign w:val="center"/>
            <w:hideMark/>
          </w:tcPr>
          <w:p w14:paraId="6A2431EB" w14:textId="77777777" w:rsidR="00B05E78" w:rsidRPr="000231B5" w:rsidRDefault="00B05E78" w:rsidP="00E56FA4">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0.078</w:t>
            </w:r>
          </w:p>
        </w:tc>
        <w:tc>
          <w:tcPr>
            <w:tcW w:w="2230" w:type="dxa"/>
            <w:tcBorders>
              <w:top w:val="nil"/>
              <w:left w:val="nil"/>
              <w:bottom w:val="nil"/>
              <w:right w:val="nil"/>
            </w:tcBorders>
            <w:shd w:val="clear" w:color="auto" w:fill="auto"/>
            <w:noWrap/>
            <w:vAlign w:val="center"/>
            <w:hideMark/>
          </w:tcPr>
          <w:p w14:paraId="099BE39C" w14:textId="77777777" w:rsidR="00B05E78" w:rsidRPr="000231B5" w:rsidRDefault="00B05E78" w:rsidP="00E56FA4">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1.95 (0.89,4.28)</w:t>
            </w:r>
          </w:p>
        </w:tc>
        <w:tc>
          <w:tcPr>
            <w:tcW w:w="1097" w:type="dxa"/>
            <w:tcBorders>
              <w:top w:val="nil"/>
              <w:left w:val="nil"/>
              <w:bottom w:val="nil"/>
              <w:right w:val="nil"/>
            </w:tcBorders>
            <w:shd w:val="clear" w:color="auto" w:fill="auto"/>
            <w:noWrap/>
            <w:vAlign w:val="center"/>
            <w:hideMark/>
          </w:tcPr>
          <w:p w14:paraId="3C7785FA" w14:textId="77777777" w:rsidR="00B05E78" w:rsidRPr="000231B5" w:rsidRDefault="00B05E78" w:rsidP="00E56FA4">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0.095</w:t>
            </w:r>
          </w:p>
        </w:tc>
        <w:tc>
          <w:tcPr>
            <w:tcW w:w="236" w:type="dxa"/>
            <w:vAlign w:val="center"/>
            <w:hideMark/>
          </w:tcPr>
          <w:p w14:paraId="505BAB66" w14:textId="77777777" w:rsidR="00B05E78" w:rsidRPr="00CA2336" w:rsidRDefault="00B05E78" w:rsidP="00B40618">
            <w:pPr>
              <w:spacing w:after="0" w:line="240" w:lineRule="auto"/>
              <w:jc w:val="both"/>
              <w:rPr>
                <w:rFonts w:ascii="Times New Roman" w:eastAsia="Times New Roman" w:hAnsi="Times New Roman" w:cs="Times New Roman"/>
                <w:sz w:val="20"/>
                <w:szCs w:val="20"/>
                <w:lang w:eastAsia="en-GB"/>
              </w:rPr>
            </w:pPr>
          </w:p>
        </w:tc>
      </w:tr>
      <w:tr w:rsidR="00B05E78" w:rsidRPr="00CA2336" w14:paraId="6B45F7CF" w14:textId="77777777" w:rsidTr="00B40618">
        <w:trPr>
          <w:trHeight w:val="290"/>
        </w:trPr>
        <w:tc>
          <w:tcPr>
            <w:tcW w:w="948" w:type="dxa"/>
            <w:tcBorders>
              <w:top w:val="nil"/>
              <w:left w:val="nil"/>
              <w:bottom w:val="nil"/>
              <w:right w:val="nil"/>
            </w:tcBorders>
            <w:shd w:val="clear" w:color="auto" w:fill="auto"/>
            <w:vAlign w:val="center"/>
            <w:hideMark/>
          </w:tcPr>
          <w:p w14:paraId="7DF90559" w14:textId="77777777" w:rsidR="00B05E78" w:rsidRPr="00CA2336" w:rsidRDefault="00B05E78" w:rsidP="00B40618">
            <w:pPr>
              <w:spacing w:after="0" w:line="240" w:lineRule="auto"/>
              <w:jc w:val="both"/>
              <w:rPr>
                <w:rFonts w:ascii="Arial" w:eastAsia="Times New Roman" w:hAnsi="Arial" w:cs="Arial"/>
                <w:color w:val="000000"/>
                <w:sz w:val="20"/>
                <w:szCs w:val="20"/>
                <w:lang w:eastAsia="en-GB"/>
              </w:rPr>
            </w:pPr>
          </w:p>
        </w:tc>
        <w:tc>
          <w:tcPr>
            <w:tcW w:w="1683" w:type="dxa"/>
            <w:tcBorders>
              <w:top w:val="nil"/>
              <w:left w:val="nil"/>
              <w:bottom w:val="nil"/>
              <w:right w:val="nil"/>
            </w:tcBorders>
            <w:shd w:val="clear" w:color="auto" w:fill="auto"/>
            <w:vAlign w:val="center"/>
            <w:hideMark/>
          </w:tcPr>
          <w:p w14:paraId="554F2642" w14:textId="77777777" w:rsidR="00B05E78" w:rsidRPr="00CA2336" w:rsidRDefault="00B05E78" w:rsidP="00B40618">
            <w:pPr>
              <w:spacing w:after="0" w:line="240" w:lineRule="auto"/>
              <w:jc w:val="both"/>
              <w:rPr>
                <w:rFonts w:ascii="Times New Roman" w:eastAsia="Times New Roman" w:hAnsi="Times New Roman" w:cs="Times New Roman"/>
                <w:sz w:val="20"/>
                <w:szCs w:val="20"/>
                <w:lang w:eastAsia="en-GB"/>
              </w:rPr>
            </w:pPr>
          </w:p>
        </w:tc>
        <w:tc>
          <w:tcPr>
            <w:tcW w:w="2092" w:type="dxa"/>
            <w:tcBorders>
              <w:top w:val="nil"/>
              <w:left w:val="nil"/>
              <w:bottom w:val="nil"/>
              <w:right w:val="nil"/>
            </w:tcBorders>
            <w:shd w:val="clear" w:color="auto" w:fill="auto"/>
            <w:vAlign w:val="center"/>
            <w:hideMark/>
          </w:tcPr>
          <w:p w14:paraId="587BA6CA" w14:textId="77777777" w:rsidR="00B05E78" w:rsidRPr="000231B5" w:rsidRDefault="00B05E78" w:rsidP="00E56FA4">
            <w:pPr>
              <w:spacing w:after="0" w:line="240" w:lineRule="auto"/>
              <w:jc w:val="center"/>
              <w:rPr>
                <w:rFonts w:ascii="Times New Roman" w:eastAsia="Times New Roman" w:hAnsi="Times New Roman" w:cs="Times New Roman"/>
                <w:sz w:val="20"/>
                <w:szCs w:val="20"/>
                <w:lang w:eastAsia="en-GB"/>
              </w:rPr>
            </w:pPr>
          </w:p>
        </w:tc>
        <w:tc>
          <w:tcPr>
            <w:tcW w:w="1039" w:type="dxa"/>
            <w:tcBorders>
              <w:top w:val="nil"/>
              <w:left w:val="nil"/>
              <w:bottom w:val="nil"/>
              <w:right w:val="nil"/>
            </w:tcBorders>
            <w:shd w:val="clear" w:color="auto" w:fill="auto"/>
            <w:vAlign w:val="center"/>
            <w:hideMark/>
          </w:tcPr>
          <w:p w14:paraId="1ABA740B" w14:textId="77777777" w:rsidR="00B05E78" w:rsidRPr="000231B5" w:rsidRDefault="00B05E78" w:rsidP="00E56FA4">
            <w:pPr>
              <w:spacing w:after="0" w:line="240" w:lineRule="auto"/>
              <w:jc w:val="center"/>
              <w:rPr>
                <w:rFonts w:ascii="Times New Roman" w:eastAsia="Times New Roman" w:hAnsi="Times New Roman" w:cs="Times New Roman"/>
                <w:sz w:val="20"/>
                <w:szCs w:val="20"/>
                <w:lang w:eastAsia="en-GB"/>
              </w:rPr>
            </w:pPr>
          </w:p>
        </w:tc>
        <w:tc>
          <w:tcPr>
            <w:tcW w:w="2230" w:type="dxa"/>
            <w:tcBorders>
              <w:top w:val="nil"/>
              <w:left w:val="nil"/>
              <w:bottom w:val="nil"/>
              <w:right w:val="nil"/>
            </w:tcBorders>
            <w:shd w:val="clear" w:color="auto" w:fill="auto"/>
            <w:vAlign w:val="center"/>
            <w:hideMark/>
          </w:tcPr>
          <w:p w14:paraId="7E02899B" w14:textId="77777777" w:rsidR="00B05E78" w:rsidRPr="000231B5" w:rsidRDefault="00B05E78" w:rsidP="00E56FA4">
            <w:pPr>
              <w:spacing w:after="0" w:line="240" w:lineRule="auto"/>
              <w:jc w:val="center"/>
              <w:rPr>
                <w:rFonts w:ascii="Times New Roman" w:eastAsia="Times New Roman" w:hAnsi="Times New Roman" w:cs="Times New Roman"/>
                <w:sz w:val="20"/>
                <w:szCs w:val="20"/>
                <w:lang w:eastAsia="en-GB"/>
              </w:rPr>
            </w:pPr>
          </w:p>
        </w:tc>
        <w:tc>
          <w:tcPr>
            <w:tcW w:w="1097" w:type="dxa"/>
            <w:tcBorders>
              <w:top w:val="nil"/>
              <w:left w:val="nil"/>
              <w:bottom w:val="nil"/>
              <w:right w:val="nil"/>
            </w:tcBorders>
            <w:shd w:val="clear" w:color="auto" w:fill="auto"/>
            <w:vAlign w:val="center"/>
            <w:hideMark/>
          </w:tcPr>
          <w:p w14:paraId="426607AE" w14:textId="77777777" w:rsidR="00B05E78" w:rsidRPr="000231B5" w:rsidRDefault="00B05E78" w:rsidP="00E56FA4">
            <w:pPr>
              <w:spacing w:after="0" w:line="240" w:lineRule="auto"/>
              <w:jc w:val="center"/>
              <w:rPr>
                <w:rFonts w:ascii="Times New Roman" w:eastAsia="Times New Roman" w:hAnsi="Times New Roman" w:cs="Times New Roman"/>
                <w:sz w:val="20"/>
                <w:szCs w:val="20"/>
                <w:lang w:eastAsia="en-GB"/>
              </w:rPr>
            </w:pPr>
          </w:p>
        </w:tc>
        <w:tc>
          <w:tcPr>
            <w:tcW w:w="236" w:type="dxa"/>
            <w:vAlign w:val="center"/>
            <w:hideMark/>
          </w:tcPr>
          <w:p w14:paraId="5F41682A" w14:textId="77777777" w:rsidR="00B05E78" w:rsidRPr="00CA2336" w:rsidRDefault="00B05E78" w:rsidP="00B40618">
            <w:pPr>
              <w:spacing w:after="0" w:line="240" w:lineRule="auto"/>
              <w:jc w:val="both"/>
              <w:rPr>
                <w:rFonts w:ascii="Times New Roman" w:eastAsia="Times New Roman" w:hAnsi="Times New Roman" w:cs="Times New Roman"/>
                <w:sz w:val="20"/>
                <w:szCs w:val="20"/>
                <w:lang w:eastAsia="en-GB"/>
              </w:rPr>
            </w:pPr>
          </w:p>
        </w:tc>
      </w:tr>
      <w:tr w:rsidR="00B05E78" w:rsidRPr="00CA2336" w14:paraId="3ADA2583" w14:textId="77777777" w:rsidTr="000231B5">
        <w:trPr>
          <w:trHeight w:val="290"/>
        </w:trPr>
        <w:tc>
          <w:tcPr>
            <w:tcW w:w="948" w:type="dxa"/>
            <w:tcBorders>
              <w:top w:val="nil"/>
              <w:left w:val="nil"/>
              <w:right w:val="nil"/>
            </w:tcBorders>
            <w:shd w:val="clear" w:color="auto" w:fill="auto"/>
            <w:vAlign w:val="center"/>
            <w:hideMark/>
          </w:tcPr>
          <w:p w14:paraId="7640B742" w14:textId="77777777" w:rsidR="00B05E78" w:rsidRPr="00CA2336" w:rsidRDefault="00B05E78" w:rsidP="00B40618">
            <w:pPr>
              <w:spacing w:after="0" w:line="240" w:lineRule="auto"/>
              <w:jc w:val="both"/>
              <w:rPr>
                <w:rFonts w:ascii="Arial" w:eastAsia="Times New Roman" w:hAnsi="Arial" w:cs="Arial"/>
                <w:b/>
                <w:bCs/>
                <w:color w:val="000000"/>
                <w:sz w:val="20"/>
                <w:szCs w:val="20"/>
                <w:lang w:eastAsia="en-GB"/>
              </w:rPr>
            </w:pPr>
            <w:r w:rsidRPr="00CA2336">
              <w:rPr>
                <w:rFonts w:ascii="Arial" w:eastAsia="Arial" w:hAnsi="Arial" w:cs="Arial"/>
                <w:b/>
                <w:bCs/>
                <w:color w:val="000000"/>
                <w:sz w:val="20"/>
                <w:szCs w:val="20"/>
                <w:lang w:eastAsia="en-GB"/>
              </w:rPr>
              <w:t>Women</w:t>
            </w:r>
          </w:p>
        </w:tc>
        <w:tc>
          <w:tcPr>
            <w:tcW w:w="1683" w:type="dxa"/>
            <w:tcBorders>
              <w:top w:val="nil"/>
              <w:left w:val="nil"/>
              <w:right w:val="nil"/>
            </w:tcBorders>
            <w:shd w:val="clear" w:color="auto" w:fill="auto"/>
            <w:vAlign w:val="center"/>
            <w:hideMark/>
          </w:tcPr>
          <w:p w14:paraId="2BC350F2" w14:textId="77777777" w:rsidR="00B05E78" w:rsidRPr="00CA2336" w:rsidRDefault="00B05E78" w:rsidP="00B40618">
            <w:pPr>
              <w:spacing w:after="0" w:line="240" w:lineRule="auto"/>
              <w:jc w:val="both"/>
              <w:rPr>
                <w:rFonts w:ascii="Arial" w:eastAsia="Times New Roman" w:hAnsi="Arial" w:cs="Arial"/>
                <w:b/>
                <w:bCs/>
                <w:color w:val="000000"/>
                <w:sz w:val="20"/>
                <w:szCs w:val="20"/>
                <w:lang w:eastAsia="en-GB"/>
              </w:rPr>
            </w:pPr>
            <w:r w:rsidRPr="00CA2336">
              <w:rPr>
                <w:rFonts w:ascii="Arial" w:eastAsia="Times New Roman" w:hAnsi="Arial" w:cs="Arial"/>
                <w:b/>
                <w:bCs/>
                <w:color w:val="000000"/>
                <w:sz w:val="20"/>
                <w:szCs w:val="20"/>
                <w:lang w:eastAsia="en-GB"/>
              </w:rPr>
              <w:t>Age-adjusted</w:t>
            </w:r>
          </w:p>
        </w:tc>
        <w:tc>
          <w:tcPr>
            <w:tcW w:w="2092" w:type="dxa"/>
            <w:tcBorders>
              <w:top w:val="nil"/>
              <w:left w:val="nil"/>
              <w:right w:val="nil"/>
            </w:tcBorders>
            <w:shd w:val="clear" w:color="auto" w:fill="auto"/>
            <w:noWrap/>
            <w:vAlign w:val="center"/>
            <w:hideMark/>
          </w:tcPr>
          <w:p w14:paraId="7F051207" w14:textId="77777777" w:rsidR="00B05E78" w:rsidRPr="000231B5" w:rsidRDefault="00B05E78" w:rsidP="00E56FA4">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1.35 (1.06,1.72)</w:t>
            </w:r>
          </w:p>
        </w:tc>
        <w:tc>
          <w:tcPr>
            <w:tcW w:w="1039" w:type="dxa"/>
            <w:tcBorders>
              <w:top w:val="nil"/>
              <w:left w:val="nil"/>
              <w:right w:val="nil"/>
            </w:tcBorders>
            <w:shd w:val="clear" w:color="auto" w:fill="auto"/>
            <w:noWrap/>
            <w:vAlign w:val="center"/>
            <w:hideMark/>
          </w:tcPr>
          <w:p w14:paraId="009186A4" w14:textId="77777777" w:rsidR="00B05E78" w:rsidRPr="000231B5" w:rsidRDefault="00B05E78" w:rsidP="00E56FA4">
            <w:pPr>
              <w:spacing w:after="0" w:line="240" w:lineRule="auto"/>
              <w:jc w:val="center"/>
              <w:rPr>
                <w:rFonts w:ascii="Arial" w:eastAsia="Times New Roman" w:hAnsi="Arial" w:cs="Arial"/>
                <w:b/>
                <w:bCs/>
                <w:sz w:val="20"/>
                <w:szCs w:val="20"/>
                <w:lang w:eastAsia="en-GB"/>
              </w:rPr>
            </w:pPr>
            <w:r w:rsidRPr="000231B5">
              <w:rPr>
                <w:rFonts w:ascii="Arial" w:eastAsia="Times New Roman" w:hAnsi="Arial" w:cs="Arial"/>
                <w:b/>
                <w:bCs/>
                <w:sz w:val="20"/>
                <w:szCs w:val="20"/>
                <w:lang w:eastAsia="en-GB"/>
              </w:rPr>
              <w:t>0.014</w:t>
            </w:r>
          </w:p>
        </w:tc>
        <w:tc>
          <w:tcPr>
            <w:tcW w:w="2230" w:type="dxa"/>
            <w:tcBorders>
              <w:top w:val="nil"/>
              <w:left w:val="nil"/>
              <w:right w:val="nil"/>
            </w:tcBorders>
            <w:shd w:val="clear" w:color="auto" w:fill="auto"/>
            <w:noWrap/>
            <w:vAlign w:val="center"/>
            <w:hideMark/>
          </w:tcPr>
          <w:p w14:paraId="69E6EADD" w14:textId="77777777" w:rsidR="00B05E78" w:rsidRPr="000231B5" w:rsidRDefault="00B05E78" w:rsidP="00E56FA4">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1.27 (0.78,2.06)</w:t>
            </w:r>
          </w:p>
        </w:tc>
        <w:tc>
          <w:tcPr>
            <w:tcW w:w="1097" w:type="dxa"/>
            <w:tcBorders>
              <w:top w:val="nil"/>
              <w:left w:val="nil"/>
              <w:right w:val="nil"/>
            </w:tcBorders>
            <w:shd w:val="clear" w:color="auto" w:fill="auto"/>
            <w:noWrap/>
            <w:vAlign w:val="center"/>
            <w:hideMark/>
          </w:tcPr>
          <w:p w14:paraId="5ACCFD59" w14:textId="77777777" w:rsidR="00B05E78" w:rsidRPr="000231B5" w:rsidRDefault="00B05E78" w:rsidP="00E56FA4">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0.333</w:t>
            </w:r>
          </w:p>
        </w:tc>
        <w:tc>
          <w:tcPr>
            <w:tcW w:w="236" w:type="dxa"/>
            <w:vAlign w:val="center"/>
            <w:hideMark/>
          </w:tcPr>
          <w:p w14:paraId="05201534" w14:textId="77777777" w:rsidR="00B05E78" w:rsidRPr="00CA2336" w:rsidRDefault="00B05E78" w:rsidP="00B40618">
            <w:pPr>
              <w:spacing w:after="0" w:line="240" w:lineRule="auto"/>
              <w:jc w:val="both"/>
              <w:rPr>
                <w:rFonts w:ascii="Times New Roman" w:eastAsia="Times New Roman" w:hAnsi="Times New Roman" w:cs="Times New Roman"/>
                <w:sz w:val="20"/>
                <w:szCs w:val="20"/>
                <w:lang w:eastAsia="en-GB"/>
              </w:rPr>
            </w:pPr>
          </w:p>
        </w:tc>
      </w:tr>
      <w:tr w:rsidR="00B05E78" w:rsidRPr="00CA2336" w14:paraId="131F69F7" w14:textId="77777777" w:rsidTr="000231B5">
        <w:trPr>
          <w:trHeight w:val="290"/>
        </w:trPr>
        <w:tc>
          <w:tcPr>
            <w:tcW w:w="948" w:type="dxa"/>
            <w:tcBorders>
              <w:top w:val="nil"/>
              <w:left w:val="nil"/>
              <w:bottom w:val="single" w:sz="4" w:space="0" w:color="auto"/>
              <w:right w:val="nil"/>
            </w:tcBorders>
            <w:shd w:val="clear" w:color="auto" w:fill="auto"/>
            <w:vAlign w:val="center"/>
            <w:hideMark/>
          </w:tcPr>
          <w:p w14:paraId="5DDDE037" w14:textId="77777777" w:rsidR="00B05E78" w:rsidRPr="00CA2336" w:rsidRDefault="00B05E78" w:rsidP="00B40618">
            <w:pPr>
              <w:spacing w:after="0" w:line="240" w:lineRule="auto"/>
              <w:jc w:val="both"/>
              <w:rPr>
                <w:rFonts w:ascii="Arial" w:eastAsia="Times New Roman" w:hAnsi="Arial" w:cs="Arial"/>
                <w:color w:val="000000"/>
                <w:sz w:val="20"/>
                <w:szCs w:val="20"/>
                <w:lang w:eastAsia="en-GB"/>
              </w:rPr>
            </w:pPr>
            <w:r w:rsidRPr="00CA2336">
              <w:rPr>
                <w:rFonts w:ascii="Arial" w:eastAsia="Times New Roman" w:hAnsi="Arial" w:cs="Arial"/>
                <w:color w:val="000000"/>
                <w:sz w:val="20"/>
                <w:szCs w:val="20"/>
                <w:lang w:eastAsia="en-GB"/>
              </w:rPr>
              <w:t> </w:t>
            </w:r>
          </w:p>
        </w:tc>
        <w:tc>
          <w:tcPr>
            <w:tcW w:w="1683" w:type="dxa"/>
            <w:tcBorders>
              <w:top w:val="nil"/>
              <w:left w:val="nil"/>
              <w:bottom w:val="single" w:sz="4" w:space="0" w:color="auto"/>
              <w:right w:val="nil"/>
            </w:tcBorders>
            <w:shd w:val="clear" w:color="auto" w:fill="auto"/>
            <w:vAlign w:val="center"/>
            <w:hideMark/>
          </w:tcPr>
          <w:p w14:paraId="23EF7EB7" w14:textId="42A04C80" w:rsidR="00B05E78" w:rsidRPr="00CA2336" w:rsidRDefault="00CF3A40" w:rsidP="00B40618">
            <w:pPr>
              <w:spacing w:after="0" w:line="240" w:lineRule="auto"/>
              <w:jc w:val="both"/>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Fully adjusted</w:t>
            </w:r>
          </w:p>
        </w:tc>
        <w:tc>
          <w:tcPr>
            <w:tcW w:w="2092" w:type="dxa"/>
            <w:tcBorders>
              <w:top w:val="nil"/>
              <w:left w:val="nil"/>
              <w:bottom w:val="single" w:sz="4" w:space="0" w:color="auto"/>
              <w:right w:val="nil"/>
            </w:tcBorders>
            <w:shd w:val="clear" w:color="auto" w:fill="auto"/>
            <w:noWrap/>
            <w:vAlign w:val="center"/>
            <w:hideMark/>
          </w:tcPr>
          <w:p w14:paraId="35DCF910" w14:textId="77777777" w:rsidR="00B05E78" w:rsidRPr="000231B5" w:rsidRDefault="00B05E78" w:rsidP="00E56FA4">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1.25 (0.97,1.60)</w:t>
            </w:r>
          </w:p>
        </w:tc>
        <w:tc>
          <w:tcPr>
            <w:tcW w:w="1039" w:type="dxa"/>
            <w:tcBorders>
              <w:top w:val="nil"/>
              <w:left w:val="nil"/>
              <w:bottom w:val="single" w:sz="4" w:space="0" w:color="auto"/>
              <w:right w:val="nil"/>
            </w:tcBorders>
            <w:shd w:val="clear" w:color="auto" w:fill="auto"/>
            <w:noWrap/>
            <w:vAlign w:val="center"/>
            <w:hideMark/>
          </w:tcPr>
          <w:p w14:paraId="794BB8B2" w14:textId="77777777" w:rsidR="00B05E78" w:rsidRPr="000231B5" w:rsidRDefault="00B05E78" w:rsidP="00E56FA4">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0.079</w:t>
            </w:r>
          </w:p>
        </w:tc>
        <w:tc>
          <w:tcPr>
            <w:tcW w:w="2230" w:type="dxa"/>
            <w:tcBorders>
              <w:top w:val="nil"/>
              <w:left w:val="nil"/>
              <w:bottom w:val="single" w:sz="4" w:space="0" w:color="auto"/>
              <w:right w:val="nil"/>
            </w:tcBorders>
            <w:shd w:val="clear" w:color="auto" w:fill="auto"/>
            <w:noWrap/>
            <w:vAlign w:val="center"/>
            <w:hideMark/>
          </w:tcPr>
          <w:p w14:paraId="68F9755B" w14:textId="77777777" w:rsidR="00B05E78" w:rsidRPr="000231B5" w:rsidRDefault="00B05E78" w:rsidP="00E56FA4">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1.19 (0.73,1.95)</w:t>
            </w:r>
          </w:p>
        </w:tc>
        <w:tc>
          <w:tcPr>
            <w:tcW w:w="1097" w:type="dxa"/>
            <w:tcBorders>
              <w:top w:val="nil"/>
              <w:left w:val="nil"/>
              <w:bottom w:val="single" w:sz="4" w:space="0" w:color="auto"/>
              <w:right w:val="nil"/>
            </w:tcBorders>
            <w:shd w:val="clear" w:color="auto" w:fill="auto"/>
            <w:noWrap/>
            <w:vAlign w:val="center"/>
            <w:hideMark/>
          </w:tcPr>
          <w:p w14:paraId="45180517" w14:textId="77777777" w:rsidR="00B05E78" w:rsidRPr="000231B5" w:rsidRDefault="00B05E78" w:rsidP="00E56FA4">
            <w:pPr>
              <w:spacing w:after="0" w:line="240" w:lineRule="auto"/>
              <w:jc w:val="center"/>
              <w:rPr>
                <w:rFonts w:ascii="Arial" w:eastAsia="Times New Roman" w:hAnsi="Arial" w:cs="Arial"/>
                <w:sz w:val="20"/>
                <w:szCs w:val="20"/>
                <w:lang w:eastAsia="en-GB"/>
              </w:rPr>
            </w:pPr>
            <w:r w:rsidRPr="000231B5">
              <w:rPr>
                <w:rFonts w:ascii="Arial" w:eastAsia="Times New Roman" w:hAnsi="Arial" w:cs="Arial"/>
                <w:sz w:val="20"/>
                <w:szCs w:val="20"/>
                <w:lang w:eastAsia="en-GB"/>
              </w:rPr>
              <w:t>0.487</w:t>
            </w:r>
          </w:p>
        </w:tc>
        <w:tc>
          <w:tcPr>
            <w:tcW w:w="236" w:type="dxa"/>
            <w:vAlign w:val="center"/>
            <w:hideMark/>
          </w:tcPr>
          <w:p w14:paraId="458825D0" w14:textId="77777777" w:rsidR="00B05E78" w:rsidRPr="00CA2336" w:rsidRDefault="00B05E78" w:rsidP="00B40618">
            <w:pPr>
              <w:spacing w:after="0" w:line="240" w:lineRule="auto"/>
              <w:jc w:val="both"/>
              <w:rPr>
                <w:rFonts w:ascii="Times New Roman" w:eastAsia="Times New Roman" w:hAnsi="Times New Roman" w:cs="Times New Roman"/>
                <w:sz w:val="20"/>
                <w:szCs w:val="20"/>
                <w:lang w:eastAsia="en-GB"/>
              </w:rPr>
            </w:pPr>
          </w:p>
        </w:tc>
      </w:tr>
      <w:tr w:rsidR="00B05E78" w:rsidRPr="00CA2336" w14:paraId="648ECF80" w14:textId="77777777" w:rsidTr="000231B5">
        <w:trPr>
          <w:trHeight w:val="290"/>
        </w:trPr>
        <w:tc>
          <w:tcPr>
            <w:tcW w:w="948" w:type="dxa"/>
            <w:tcBorders>
              <w:top w:val="single" w:sz="4" w:space="0" w:color="auto"/>
            </w:tcBorders>
            <w:shd w:val="clear" w:color="auto" w:fill="auto"/>
            <w:vAlign w:val="center"/>
            <w:hideMark/>
          </w:tcPr>
          <w:p w14:paraId="3730F48F" w14:textId="77777777" w:rsidR="00B05E78" w:rsidRPr="00CA2336" w:rsidRDefault="00B05E78" w:rsidP="00B40618">
            <w:pPr>
              <w:spacing w:after="0" w:line="240" w:lineRule="auto"/>
              <w:jc w:val="both"/>
              <w:rPr>
                <w:rFonts w:ascii="Arial" w:eastAsia="Times New Roman" w:hAnsi="Arial" w:cs="Arial"/>
                <w:color w:val="000000"/>
                <w:sz w:val="20"/>
                <w:szCs w:val="20"/>
                <w:lang w:eastAsia="en-GB"/>
              </w:rPr>
            </w:pPr>
          </w:p>
        </w:tc>
        <w:tc>
          <w:tcPr>
            <w:tcW w:w="1683" w:type="dxa"/>
            <w:tcBorders>
              <w:top w:val="single" w:sz="4" w:space="0" w:color="auto"/>
            </w:tcBorders>
            <w:shd w:val="clear" w:color="auto" w:fill="auto"/>
            <w:vAlign w:val="center"/>
            <w:hideMark/>
          </w:tcPr>
          <w:p w14:paraId="6C22E4E4" w14:textId="77777777" w:rsidR="00B05E78" w:rsidRPr="00CA2336" w:rsidRDefault="00B05E78" w:rsidP="00B40618">
            <w:pPr>
              <w:spacing w:after="0" w:line="240" w:lineRule="auto"/>
              <w:jc w:val="both"/>
              <w:rPr>
                <w:rFonts w:ascii="Times New Roman" w:eastAsia="Times New Roman" w:hAnsi="Times New Roman" w:cs="Times New Roman"/>
                <w:sz w:val="20"/>
                <w:szCs w:val="20"/>
                <w:lang w:eastAsia="en-GB"/>
              </w:rPr>
            </w:pPr>
          </w:p>
        </w:tc>
        <w:tc>
          <w:tcPr>
            <w:tcW w:w="2092" w:type="dxa"/>
            <w:tcBorders>
              <w:top w:val="single" w:sz="4" w:space="0" w:color="auto"/>
            </w:tcBorders>
            <w:shd w:val="clear" w:color="auto" w:fill="auto"/>
            <w:vAlign w:val="center"/>
            <w:hideMark/>
          </w:tcPr>
          <w:p w14:paraId="11B401F5" w14:textId="77777777" w:rsidR="00B05E78" w:rsidRPr="00CA2336" w:rsidRDefault="00B05E78" w:rsidP="00B40618">
            <w:pPr>
              <w:spacing w:after="0" w:line="240" w:lineRule="auto"/>
              <w:jc w:val="both"/>
              <w:rPr>
                <w:rFonts w:ascii="Times New Roman" w:eastAsia="Times New Roman" w:hAnsi="Times New Roman" w:cs="Times New Roman"/>
                <w:sz w:val="20"/>
                <w:szCs w:val="20"/>
                <w:lang w:eastAsia="en-GB"/>
              </w:rPr>
            </w:pPr>
          </w:p>
        </w:tc>
        <w:tc>
          <w:tcPr>
            <w:tcW w:w="1039" w:type="dxa"/>
            <w:tcBorders>
              <w:top w:val="single" w:sz="4" w:space="0" w:color="auto"/>
            </w:tcBorders>
            <w:shd w:val="clear" w:color="auto" w:fill="auto"/>
            <w:vAlign w:val="center"/>
            <w:hideMark/>
          </w:tcPr>
          <w:p w14:paraId="41BBC2AF" w14:textId="77777777" w:rsidR="00B05E78" w:rsidRPr="00CA2336" w:rsidRDefault="00B05E78" w:rsidP="00B40618">
            <w:pPr>
              <w:spacing w:after="0" w:line="240" w:lineRule="auto"/>
              <w:jc w:val="both"/>
              <w:rPr>
                <w:rFonts w:ascii="Times New Roman" w:eastAsia="Times New Roman" w:hAnsi="Times New Roman" w:cs="Times New Roman"/>
                <w:sz w:val="20"/>
                <w:szCs w:val="20"/>
                <w:lang w:eastAsia="en-GB"/>
              </w:rPr>
            </w:pPr>
          </w:p>
        </w:tc>
        <w:tc>
          <w:tcPr>
            <w:tcW w:w="2230" w:type="dxa"/>
            <w:tcBorders>
              <w:top w:val="single" w:sz="4" w:space="0" w:color="auto"/>
            </w:tcBorders>
            <w:shd w:val="clear" w:color="auto" w:fill="auto"/>
            <w:vAlign w:val="center"/>
            <w:hideMark/>
          </w:tcPr>
          <w:p w14:paraId="5B2893A2" w14:textId="77777777" w:rsidR="00B05E78" w:rsidRPr="00CA2336" w:rsidRDefault="00B05E78" w:rsidP="00B40618">
            <w:pPr>
              <w:spacing w:after="0" w:line="240" w:lineRule="auto"/>
              <w:jc w:val="both"/>
              <w:rPr>
                <w:rFonts w:ascii="Times New Roman" w:eastAsia="Times New Roman" w:hAnsi="Times New Roman" w:cs="Times New Roman"/>
                <w:sz w:val="20"/>
                <w:szCs w:val="20"/>
                <w:lang w:eastAsia="en-GB"/>
              </w:rPr>
            </w:pPr>
          </w:p>
        </w:tc>
        <w:tc>
          <w:tcPr>
            <w:tcW w:w="1097" w:type="dxa"/>
            <w:tcBorders>
              <w:top w:val="single" w:sz="4" w:space="0" w:color="auto"/>
            </w:tcBorders>
            <w:shd w:val="clear" w:color="auto" w:fill="auto"/>
            <w:vAlign w:val="center"/>
            <w:hideMark/>
          </w:tcPr>
          <w:p w14:paraId="3EB48272" w14:textId="77777777" w:rsidR="00B05E78" w:rsidRPr="00CA2336" w:rsidRDefault="00B05E78" w:rsidP="00B40618">
            <w:pPr>
              <w:spacing w:after="0" w:line="240" w:lineRule="auto"/>
              <w:jc w:val="both"/>
              <w:rPr>
                <w:rFonts w:ascii="Times New Roman" w:eastAsia="Times New Roman" w:hAnsi="Times New Roman" w:cs="Times New Roman"/>
                <w:sz w:val="20"/>
                <w:szCs w:val="20"/>
                <w:lang w:eastAsia="en-GB"/>
              </w:rPr>
            </w:pPr>
          </w:p>
        </w:tc>
        <w:tc>
          <w:tcPr>
            <w:tcW w:w="236" w:type="dxa"/>
            <w:vAlign w:val="center"/>
            <w:hideMark/>
          </w:tcPr>
          <w:p w14:paraId="2DFD2C07" w14:textId="77777777" w:rsidR="00B05E78" w:rsidRPr="00CA2336" w:rsidRDefault="00B05E78" w:rsidP="00B40618">
            <w:pPr>
              <w:spacing w:after="0" w:line="240" w:lineRule="auto"/>
              <w:jc w:val="both"/>
              <w:rPr>
                <w:rFonts w:ascii="Times New Roman" w:eastAsia="Times New Roman" w:hAnsi="Times New Roman" w:cs="Times New Roman"/>
                <w:sz w:val="20"/>
                <w:szCs w:val="20"/>
                <w:lang w:eastAsia="en-GB"/>
              </w:rPr>
            </w:pPr>
          </w:p>
        </w:tc>
      </w:tr>
      <w:tr w:rsidR="00B05E78" w:rsidRPr="00CA2336" w14:paraId="5D7B446A" w14:textId="77777777" w:rsidTr="000231B5">
        <w:trPr>
          <w:trHeight w:val="290"/>
        </w:trPr>
        <w:tc>
          <w:tcPr>
            <w:tcW w:w="9089" w:type="dxa"/>
            <w:gridSpan w:val="6"/>
            <w:shd w:val="clear" w:color="auto" w:fill="auto"/>
            <w:vAlign w:val="center"/>
            <w:hideMark/>
          </w:tcPr>
          <w:p w14:paraId="55BB3BDD" w14:textId="77777777" w:rsidR="00B05E78" w:rsidRPr="00CA2336" w:rsidRDefault="00B05E78" w:rsidP="000231B5">
            <w:pPr>
              <w:spacing w:after="0" w:line="240" w:lineRule="auto"/>
              <w:rPr>
                <w:rFonts w:ascii="Arial" w:eastAsia="Times New Roman" w:hAnsi="Arial" w:cs="Arial"/>
                <w:color w:val="000000"/>
                <w:sz w:val="20"/>
                <w:szCs w:val="20"/>
                <w:lang w:eastAsia="en-GB"/>
              </w:rPr>
            </w:pPr>
            <w:r w:rsidRPr="00CA2336">
              <w:rPr>
                <w:rFonts w:ascii="Arial" w:eastAsia="Arial" w:hAnsi="Arial" w:cs="Arial"/>
                <w:color w:val="000000"/>
                <w:sz w:val="20"/>
                <w:szCs w:val="20"/>
                <w:lang w:eastAsia="en-GB"/>
              </w:rPr>
              <w:t>Time-to-first-event Cox regression was used; death was regarded as a censoring event</w:t>
            </w:r>
          </w:p>
        </w:tc>
        <w:tc>
          <w:tcPr>
            <w:tcW w:w="236" w:type="dxa"/>
            <w:vAlign w:val="center"/>
            <w:hideMark/>
          </w:tcPr>
          <w:p w14:paraId="0AF46960" w14:textId="77777777" w:rsidR="00B05E78" w:rsidRPr="00CA2336" w:rsidRDefault="00B05E78" w:rsidP="00B40618">
            <w:pPr>
              <w:spacing w:after="0" w:line="240" w:lineRule="auto"/>
              <w:jc w:val="both"/>
              <w:rPr>
                <w:rFonts w:ascii="Times New Roman" w:eastAsia="Times New Roman" w:hAnsi="Times New Roman" w:cs="Times New Roman"/>
                <w:sz w:val="20"/>
                <w:szCs w:val="20"/>
                <w:lang w:eastAsia="en-GB"/>
              </w:rPr>
            </w:pPr>
          </w:p>
        </w:tc>
      </w:tr>
      <w:tr w:rsidR="00B05E78" w:rsidRPr="00CA2336" w14:paraId="22339CE5" w14:textId="77777777" w:rsidTr="000231B5">
        <w:trPr>
          <w:trHeight w:val="290"/>
        </w:trPr>
        <w:tc>
          <w:tcPr>
            <w:tcW w:w="9089" w:type="dxa"/>
            <w:gridSpan w:val="6"/>
            <w:vMerge w:val="restart"/>
            <w:shd w:val="clear" w:color="auto" w:fill="auto"/>
            <w:vAlign w:val="center"/>
            <w:hideMark/>
          </w:tcPr>
          <w:p w14:paraId="5CFC8DB8" w14:textId="12AADB3A" w:rsidR="00B05E78" w:rsidRPr="00CA2336" w:rsidRDefault="00CF3A40" w:rsidP="000231B5">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Fully adjusted</w:t>
            </w:r>
            <w:r w:rsidR="00B05E78" w:rsidRPr="00CA2336">
              <w:rPr>
                <w:rFonts w:ascii="Arial" w:eastAsia="Times New Roman" w:hAnsi="Arial" w:cs="Arial"/>
                <w:color w:val="000000"/>
                <w:sz w:val="20"/>
                <w:szCs w:val="20"/>
                <w:lang w:eastAsia="en-GB"/>
              </w:rPr>
              <w:t xml:space="preserve"> models for men accounted for age, smoking status, alcohol consumption, diet quality, physical </w:t>
            </w:r>
            <w:proofErr w:type="gramStart"/>
            <w:r w:rsidR="00B05E78" w:rsidRPr="00CA2336">
              <w:rPr>
                <w:rFonts w:ascii="Arial" w:eastAsia="Times New Roman" w:hAnsi="Arial" w:cs="Arial"/>
                <w:color w:val="000000"/>
                <w:sz w:val="20"/>
                <w:szCs w:val="20"/>
                <w:lang w:eastAsia="en-GB"/>
              </w:rPr>
              <w:t>activity</w:t>
            </w:r>
            <w:proofErr w:type="gramEnd"/>
            <w:r w:rsidR="00B05E78" w:rsidRPr="00CA2336">
              <w:rPr>
                <w:rFonts w:ascii="Arial" w:eastAsia="Times New Roman" w:hAnsi="Arial" w:cs="Arial"/>
                <w:color w:val="000000"/>
                <w:sz w:val="20"/>
                <w:szCs w:val="20"/>
                <w:lang w:eastAsia="en-GB"/>
              </w:rPr>
              <w:t xml:space="preserve"> and housing tenure; </w:t>
            </w:r>
            <w:r>
              <w:rPr>
                <w:rFonts w:ascii="Arial" w:eastAsia="Times New Roman" w:hAnsi="Arial" w:cs="Arial"/>
                <w:color w:val="000000"/>
                <w:sz w:val="20"/>
                <w:szCs w:val="20"/>
                <w:lang w:eastAsia="en-GB"/>
              </w:rPr>
              <w:t>fully adjusted</w:t>
            </w:r>
            <w:r w:rsidR="00B05E78" w:rsidRPr="00CA2336">
              <w:rPr>
                <w:rFonts w:ascii="Arial" w:eastAsia="Times New Roman" w:hAnsi="Arial" w:cs="Arial"/>
                <w:color w:val="000000"/>
                <w:sz w:val="20"/>
                <w:szCs w:val="20"/>
                <w:lang w:eastAsia="en-GB"/>
              </w:rPr>
              <w:t xml:space="preserve"> models for women accounted for age, BMI, smoking status, physical activity, age left education and housing tenure</w:t>
            </w:r>
          </w:p>
        </w:tc>
        <w:tc>
          <w:tcPr>
            <w:tcW w:w="236" w:type="dxa"/>
            <w:vAlign w:val="center"/>
            <w:hideMark/>
          </w:tcPr>
          <w:p w14:paraId="5FD5A54E" w14:textId="77777777" w:rsidR="00B05E78" w:rsidRPr="00CA2336" w:rsidRDefault="00B05E78" w:rsidP="00B40618">
            <w:pPr>
              <w:spacing w:after="0" w:line="240" w:lineRule="auto"/>
              <w:jc w:val="both"/>
              <w:rPr>
                <w:rFonts w:ascii="Times New Roman" w:eastAsia="Times New Roman" w:hAnsi="Times New Roman" w:cs="Times New Roman"/>
                <w:sz w:val="20"/>
                <w:szCs w:val="20"/>
                <w:lang w:eastAsia="en-GB"/>
              </w:rPr>
            </w:pPr>
          </w:p>
        </w:tc>
      </w:tr>
      <w:tr w:rsidR="00B05E78" w:rsidRPr="00CA2336" w14:paraId="27A5C6BA" w14:textId="77777777" w:rsidTr="000231B5">
        <w:trPr>
          <w:trHeight w:val="290"/>
        </w:trPr>
        <w:tc>
          <w:tcPr>
            <w:tcW w:w="9089" w:type="dxa"/>
            <w:gridSpan w:val="6"/>
            <w:vMerge/>
            <w:vAlign w:val="center"/>
            <w:hideMark/>
          </w:tcPr>
          <w:p w14:paraId="3116C4D3" w14:textId="77777777" w:rsidR="00B05E78" w:rsidRPr="00CA2336" w:rsidRDefault="00B05E78" w:rsidP="000231B5">
            <w:pPr>
              <w:spacing w:after="0" w:line="240" w:lineRule="auto"/>
              <w:rPr>
                <w:rFonts w:ascii="Arial" w:eastAsia="Times New Roman" w:hAnsi="Arial" w:cs="Arial"/>
                <w:color w:val="000000"/>
                <w:sz w:val="20"/>
                <w:szCs w:val="20"/>
                <w:lang w:eastAsia="en-GB"/>
              </w:rPr>
            </w:pPr>
          </w:p>
        </w:tc>
        <w:tc>
          <w:tcPr>
            <w:tcW w:w="236" w:type="dxa"/>
            <w:shd w:val="clear" w:color="auto" w:fill="auto"/>
            <w:noWrap/>
            <w:vAlign w:val="bottom"/>
            <w:hideMark/>
          </w:tcPr>
          <w:p w14:paraId="51899F01" w14:textId="77777777" w:rsidR="00B05E78" w:rsidRPr="00CA2336" w:rsidRDefault="00B05E78" w:rsidP="00B40618">
            <w:pPr>
              <w:spacing w:after="0" w:line="240" w:lineRule="auto"/>
              <w:jc w:val="both"/>
              <w:rPr>
                <w:rFonts w:ascii="Arial" w:eastAsia="Times New Roman" w:hAnsi="Arial" w:cs="Arial"/>
                <w:color w:val="000000"/>
                <w:sz w:val="20"/>
                <w:szCs w:val="20"/>
                <w:lang w:eastAsia="en-GB"/>
              </w:rPr>
            </w:pPr>
          </w:p>
        </w:tc>
      </w:tr>
      <w:tr w:rsidR="00B05E78" w:rsidRPr="00CA2336" w14:paraId="0BC96526" w14:textId="77777777" w:rsidTr="000231B5">
        <w:trPr>
          <w:trHeight w:val="26"/>
        </w:trPr>
        <w:tc>
          <w:tcPr>
            <w:tcW w:w="9089" w:type="dxa"/>
            <w:gridSpan w:val="6"/>
            <w:vMerge/>
            <w:vAlign w:val="center"/>
            <w:hideMark/>
          </w:tcPr>
          <w:p w14:paraId="1DC58D7D" w14:textId="77777777" w:rsidR="00B05E78" w:rsidRPr="00CA2336" w:rsidRDefault="00B05E78" w:rsidP="000231B5">
            <w:pPr>
              <w:spacing w:after="0" w:line="240" w:lineRule="auto"/>
              <w:rPr>
                <w:rFonts w:ascii="Arial" w:eastAsia="Times New Roman" w:hAnsi="Arial" w:cs="Arial"/>
                <w:color w:val="000000"/>
                <w:sz w:val="20"/>
                <w:szCs w:val="20"/>
                <w:lang w:eastAsia="en-GB"/>
              </w:rPr>
            </w:pPr>
          </w:p>
        </w:tc>
        <w:tc>
          <w:tcPr>
            <w:tcW w:w="236" w:type="dxa"/>
            <w:shd w:val="clear" w:color="auto" w:fill="auto"/>
            <w:noWrap/>
            <w:vAlign w:val="bottom"/>
            <w:hideMark/>
          </w:tcPr>
          <w:p w14:paraId="3ED1A590" w14:textId="77777777" w:rsidR="00B05E78" w:rsidRPr="00CA2336" w:rsidRDefault="00B05E78" w:rsidP="00B40618">
            <w:pPr>
              <w:spacing w:after="0" w:line="240" w:lineRule="auto"/>
              <w:jc w:val="both"/>
              <w:rPr>
                <w:rFonts w:ascii="Times New Roman" w:eastAsia="Times New Roman" w:hAnsi="Times New Roman" w:cs="Times New Roman"/>
                <w:sz w:val="20"/>
                <w:szCs w:val="20"/>
                <w:lang w:eastAsia="en-GB"/>
              </w:rPr>
            </w:pPr>
          </w:p>
        </w:tc>
      </w:tr>
      <w:tr w:rsidR="000231B5" w:rsidRPr="00CA2336" w14:paraId="7F595FA7" w14:textId="77777777" w:rsidTr="000231B5">
        <w:trPr>
          <w:trHeight w:val="288"/>
        </w:trPr>
        <w:tc>
          <w:tcPr>
            <w:tcW w:w="9089" w:type="dxa"/>
            <w:gridSpan w:val="6"/>
            <w:vAlign w:val="center"/>
          </w:tcPr>
          <w:p w14:paraId="42A085CD" w14:textId="6930B6FB" w:rsidR="000231B5" w:rsidRPr="00CA2336" w:rsidRDefault="000231B5" w:rsidP="000231B5">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Statistically significant associations (p&lt;0.05) were highlighted in bold</w:t>
            </w:r>
          </w:p>
        </w:tc>
        <w:tc>
          <w:tcPr>
            <w:tcW w:w="236" w:type="dxa"/>
            <w:shd w:val="clear" w:color="auto" w:fill="auto"/>
            <w:noWrap/>
            <w:vAlign w:val="bottom"/>
          </w:tcPr>
          <w:p w14:paraId="2339E6D6" w14:textId="77777777" w:rsidR="000231B5" w:rsidRPr="00CA2336" w:rsidRDefault="000231B5" w:rsidP="000231B5">
            <w:pPr>
              <w:spacing w:after="0" w:line="240" w:lineRule="auto"/>
              <w:jc w:val="both"/>
              <w:rPr>
                <w:rFonts w:ascii="Times New Roman" w:eastAsia="Times New Roman" w:hAnsi="Times New Roman" w:cs="Times New Roman"/>
                <w:sz w:val="20"/>
                <w:szCs w:val="20"/>
                <w:lang w:eastAsia="en-GB"/>
              </w:rPr>
            </w:pPr>
          </w:p>
        </w:tc>
      </w:tr>
      <w:tr w:rsidR="000231B5" w:rsidRPr="00CA2336" w14:paraId="76939D5A" w14:textId="77777777" w:rsidTr="000231B5">
        <w:trPr>
          <w:trHeight w:val="290"/>
        </w:trPr>
        <w:tc>
          <w:tcPr>
            <w:tcW w:w="9089" w:type="dxa"/>
            <w:gridSpan w:val="6"/>
            <w:vAlign w:val="center"/>
          </w:tcPr>
          <w:p w14:paraId="22B7878D" w14:textId="77777777" w:rsidR="000231B5" w:rsidRPr="00CA2336" w:rsidRDefault="000231B5" w:rsidP="000231B5">
            <w:pPr>
              <w:spacing w:after="0" w:line="240" w:lineRule="auto"/>
              <w:jc w:val="both"/>
              <w:rPr>
                <w:rFonts w:ascii="Arial" w:eastAsia="Times New Roman" w:hAnsi="Arial" w:cs="Arial"/>
                <w:color w:val="000000"/>
                <w:sz w:val="20"/>
                <w:szCs w:val="20"/>
                <w:lang w:eastAsia="en-GB"/>
              </w:rPr>
            </w:pPr>
          </w:p>
        </w:tc>
        <w:tc>
          <w:tcPr>
            <w:tcW w:w="236" w:type="dxa"/>
            <w:shd w:val="clear" w:color="auto" w:fill="auto"/>
            <w:noWrap/>
            <w:vAlign w:val="bottom"/>
          </w:tcPr>
          <w:p w14:paraId="75D7E5B1" w14:textId="77777777" w:rsidR="000231B5" w:rsidRPr="00CA2336" w:rsidRDefault="000231B5" w:rsidP="000231B5">
            <w:pPr>
              <w:spacing w:after="0" w:line="240" w:lineRule="auto"/>
              <w:jc w:val="both"/>
              <w:rPr>
                <w:rFonts w:ascii="Times New Roman" w:eastAsia="Times New Roman" w:hAnsi="Times New Roman" w:cs="Times New Roman"/>
                <w:sz w:val="20"/>
                <w:szCs w:val="20"/>
                <w:lang w:eastAsia="en-GB"/>
              </w:rPr>
            </w:pPr>
          </w:p>
        </w:tc>
      </w:tr>
      <w:tr w:rsidR="000231B5" w:rsidRPr="00CA2336" w14:paraId="3745F602" w14:textId="77777777" w:rsidTr="000231B5">
        <w:trPr>
          <w:trHeight w:val="290"/>
        </w:trPr>
        <w:tc>
          <w:tcPr>
            <w:tcW w:w="9089" w:type="dxa"/>
            <w:gridSpan w:val="6"/>
            <w:vAlign w:val="center"/>
          </w:tcPr>
          <w:p w14:paraId="18086ED3" w14:textId="77777777" w:rsidR="000231B5" w:rsidRPr="00CA2336" w:rsidRDefault="000231B5" w:rsidP="000231B5">
            <w:pPr>
              <w:spacing w:after="0" w:line="240" w:lineRule="auto"/>
              <w:jc w:val="both"/>
              <w:rPr>
                <w:rFonts w:ascii="Arial" w:eastAsia="Times New Roman" w:hAnsi="Arial" w:cs="Arial"/>
                <w:color w:val="000000"/>
                <w:sz w:val="20"/>
                <w:szCs w:val="20"/>
                <w:lang w:eastAsia="en-GB"/>
              </w:rPr>
            </w:pPr>
          </w:p>
        </w:tc>
        <w:tc>
          <w:tcPr>
            <w:tcW w:w="236" w:type="dxa"/>
            <w:shd w:val="clear" w:color="auto" w:fill="auto"/>
            <w:noWrap/>
            <w:vAlign w:val="bottom"/>
          </w:tcPr>
          <w:p w14:paraId="16904223" w14:textId="77777777" w:rsidR="000231B5" w:rsidRPr="00CA2336" w:rsidRDefault="000231B5" w:rsidP="000231B5">
            <w:pPr>
              <w:spacing w:after="0" w:line="240" w:lineRule="auto"/>
              <w:jc w:val="both"/>
              <w:rPr>
                <w:rFonts w:ascii="Times New Roman" w:eastAsia="Times New Roman" w:hAnsi="Times New Roman" w:cs="Times New Roman"/>
                <w:sz w:val="20"/>
                <w:szCs w:val="20"/>
                <w:lang w:eastAsia="en-GB"/>
              </w:rPr>
            </w:pPr>
          </w:p>
        </w:tc>
      </w:tr>
    </w:tbl>
    <w:p w14:paraId="46F14DAF" w14:textId="77777777" w:rsidR="00227255" w:rsidRDefault="00227255" w:rsidP="00B05E78">
      <w:pPr>
        <w:spacing w:after="200" w:line="360" w:lineRule="auto"/>
        <w:jc w:val="both"/>
        <w:rPr>
          <w:rFonts w:ascii="Arial" w:eastAsia="Arial" w:hAnsi="Arial" w:cs="Arial"/>
        </w:rPr>
      </w:pPr>
    </w:p>
    <w:p w14:paraId="1DDEE2A5" w14:textId="77777777" w:rsidR="00D2628C" w:rsidRDefault="00D2628C" w:rsidP="00B05E78">
      <w:pPr>
        <w:spacing w:after="200" w:line="360" w:lineRule="auto"/>
        <w:jc w:val="both"/>
        <w:rPr>
          <w:rFonts w:ascii="Arial" w:eastAsia="Arial" w:hAnsi="Arial" w:cs="Arial"/>
        </w:rPr>
      </w:pPr>
    </w:p>
    <w:p w14:paraId="4C028D5D" w14:textId="77777777" w:rsidR="00D2628C" w:rsidRDefault="00D2628C" w:rsidP="00D2628C">
      <w:pPr>
        <w:spacing w:line="240" w:lineRule="auto"/>
        <w:contextualSpacing/>
        <w:rPr>
          <w:rFonts w:ascii="Times New Roman" w:eastAsiaTheme="minorEastAsia" w:hAnsi="Times New Roman" w:cs="Times New Roman"/>
          <w:lang w:eastAsia="en-GB"/>
        </w:rPr>
      </w:pPr>
    </w:p>
    <w:tbl>
      <w:tblPr>
        <w:tblW w:w="9015" w:type="dxa"/>
        <w:tblLayout w:type="fixed"/>
        <w:tblLook w:val="04A0" w:firstRow="1" w:lastRow="0" w:firstColumn="1" w:lastColumn="0" w:noHBand="0" w:noVBand="1"/>
      </w:tblPr>
      <w:tblGrid>
        <w:gridCol w:w="1679"/>
        <w:gridCol w:w="7336"/>
      </w:tblGrid>
      <w:tr w:rsidR="00D2628C" w:rsidRPr="00CA2336" w14:paraId="32BB0FAF" w14:textId="77777777" w:rsidTr="00762659">
        <w:trPr>
          <w:trHeight w:val="540"/>
        </w:trPr>
        <w:tc>
          <w:tcPr>
            <w:tcW w:w="9015" w:type="dxa"/>
            <w:gridSpan w:val="2"/>
            <w:tcBorders>
              <w:bottom w:val="single" w:sz="4" w:space="0" w:color="auto"/>
            </w:tcBorders>
            <w:tcMar>
              <w:left w:w="105" w:type="dxa"/>
              <w:right w:w="105" w:type="dxa"/>
            </w:tcMar>
            <w:vAlign w:val="center"/>
          </w:tcPr>
          <w:p w14:paraId="18F60F71" w14:textId="77777777" w:rsidR="00D2628C" w:rsidRPr="00CA2336" w:rsidRDefault="00D2628C" w:rsidP="00762659">
            <w:pPr>
              <w:spacing w:after="0"/>
              <w:jc w:val="both"/>
              <w:rPr>
                <w:rFonts w:ascii="Arial" w:eastAsia="Arial" w:hAnsi="Arial" w:cs="Arial"/>
                <w:color w:val="000000" w:themeColor="text1"/>
                <w:sz w:val="20"/>
                <w:szCs w:val="20"/>
              </w:rPr>
            </w:pPr>
            <w:r>
              <w:rPr>
                <w:rFonts w:ascii="Arial" w:eastAsia="Arial" w:hAnsi="Arial" w:cs="Arial"/>
                <w:b/>
                <w:bCs/>
                <w:color w:val="000000" w:themeColor="text1"/>
                <w:sz w:val="20"/>
                <w:szCs w:val="20"/>
              </w:rPr>
              <w:t>e</w:t>
            </w:r>
            <w:r w:rsidRPr="00CA2336">
              <w:rPr>
                <w:rFonts w:ascii="Arial" w:eastAsia="Arial" w:hAnsi="Arial" w:cs="Arial"/>
                <w:b/>
                <w:bCs/>
                <w:color w:val="000000" w:themeColor="text1"/>
                <w:sz w:val="20"/>
                <w:szCs w:val="20"/>
              </w:rPr>
              <w:t>Table 1: ICD-10 codes used to identify incident fractures in Hospital Episode Statistics data</w:t>
            </w:r>
          </w:p>
        </w:tc>
      </w:tr>
      <w:tr w:rsidR="00D2628C" w:rsidRPr="00CA2336" w14:paraId="68189421" w14:textId="77777777" w:rsidTr="00762659">
        <w:trPr>
          <w:trHeight w:val="300"/>
        </w:trPr>
        <w:tc>
          <w:tcPr>
            <w:tcW w:w="1679" w:type="dxa"/>
            <w:tcBorders>
              <w:top w:val="single" w:sz="4" w:space="0" w:color="auto"/>
              <w:bottom w:val="single" w:sz="4" w:space="0" w:color="auto"/>
            </w:tcBorders>
            <w:tcMar>
              <w:left w:w="105" w:type="dxa"/>
              <w:right w:w="105" w:type="dxa"/>
            </w:tcMar>
          </w:tcPr>
          <w:p w14:paraId="4D5577CD" w14:textId="77777777" w:rsidR="00D2628C" w:rsidRPr="00CA2336" w:rsidRDefault="00D2628C" w:rsidP="00762659">
            <w:pPr>
              <w:spacing w:after="0"/>
              <w:jc w:val="both"/>
              <w:rPr>
                <w:rFonts w:ascii="Arial" w:eastAsia="Arial" w:hAnsi="Arial" w:cs="Arial"/>
                <w:b/>
                <w:bCs/>
                <w:color w:val="000000" w:themeColor="text1"/>
                <w:sz w:val="20"/>
                <w:szCs w:val="20"/>
              </w:rPr>
            </w:pPr>
            <w:r w:rsidRPr="00CA2336">
              <w:rPr>
                <w:rFonts w:ascii="Arial" w:eastAsia="Arial" w:hAnsi="Arial" w:cs="Arial"/>
                <w:b/>
                <w:bCs/>
                <w:color w:val="000000" w:themeColor="text1"/>
                <w:sz w:val="20"/>
                <w:szCs w:val="20"/>
              </w:rPr>
              <w:t>Fracture event</w:t>
            </w:r>
          </w:p>
        </w:tc>
        <w:tc>
          <w:tcPr>
            <w:tcW w:w="7336" w:type="dxa"/>
            <w:tcBorders>
              <w:top w:val="single" w:sz="4" w:space="0" w:color="auto"/>
              <w:bottom w:val="single" w:sz="4" w:space="0" w:color="auto"/>
            </w:tcBorders>
            <w:tcMar>
              <w:left w:w="105" w:type="dxa"/>
              <w:right w:w="105" w:type="dxa"/>
            </w:tcMar>
          </w:tcPr>
          <w:p w14:paraId="62E1DB65" w14:textId="77777777" w:rsidR="00D2628C" w:rsidRPr="00CA2336" w:rsidRDefault="00D2628C" w:rsidP="00762659">
            <w:pPr>
              <w:spacing w:after="0"/>
              <w:jc w:val="both"/>
              <w:rPr>
                <w:rFonts w:ascii="Arial" w:eastAsia="Arial" w:hAnsi="Arial" w:cs="Arial"/>
                <w:b/>
                <w:bCs/>
                <w:color w:val="000000" w:themeColor="text1"/>
                <w:sz w:val="20"/>
                <w:szCs w:val="20"/>
              </w:rPr>
            </w:pPr>
            <w:r w:rsidRPr="00CA2336">
              <w:rPr>
                <w:rFonts w:ascii="Arial" w:eastAsia="Arial" w:hAnsi="Arial" w:cs="Arial"/>
                <w:b/>
                <w:bCs/>
                <w:color w:val="000000" w:themeColor="text1"/>
                <w:sz w:val="20"/>
                <w:szCs w:val="20"/>
              </w:rPr>
              <w:t>ICD-10 codes</w:t>
            </w:r>
          </w:p>
          <w:p w14:paraId="0DAAAF6D" w14:textId="77777777" w:rsidR="00D2628C" w:rsidRPr="00CA2336" w:rsidRDefault="00D2628C" w:rsidP="00762659">
            <w:pPr>
              <w:spacing w:after="0"/>
              <w:jc w:val="both"/>
              <w:rPr>
                <w:rFonts w:ascii="Arial" w:eastAsia="Arial" w:hAnsi="Arial" w:cs="Arial"/>
                <w:color w:val="000000" w:themeColor="text1"/>
                <w:sz w:val="20"/>
                <w:szCs w:val="20"/>
              </w:rPr>
            </w:pPr>
          </w:p>
        </w:tc>
      </w:tr>
      <w:tr w:rsidR="00D2628C" w:rsidRPr="00CA2336" w14:paraId="05EEB5B9" w14:textId="77777777" w:rsidTr="00762659">
        <w:trPr>
          <w:trHeight w:val="300"/>
        </w:trPr>
        <w:tc>
          <w:tcPr>
            <w:tcW w:w="1679" w:type="dxa"/>
            <w:tcBorders>
              <w:top w:val="single" w:sz="4" w:space="0" w:color="auto"/>
            </w:tcBorders>
            <w:tcMar>
              <w:left w:w="105" w:type="dxa"/>
              <w:right w:w="105" w:type="dxa"/>
            </w:tcMar>
          </w:tcPr>
          <w:p w14:paraId="11F7A449"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b/>
                <w:bCs/>
                <w:color w:val="000000" w:themeColor="text1"/>
                <w:sz w:val="20"/>
                <w:szCs w:val="20"/>
              </w:rPr>
              <w:t>Any fracture</w:t>
            </w:r>
          </w:p>
        </w:tc>
        <w:tc>
          <w:tcPr>
            <w:tcW w:w="7336" w:type="dxa"/>
            <w:tcBorders>
              <w:top w:val="single" w:sz="4" w:space="0" w:color="auto"/>
            </w:tcBorders>
            <w:tcMar>
              <w:left w:w="105" w:type="dxa"/>
              <w:right w:w="105" w:type="dxa"/>
            </w:tcMar>
          </w:tcPr>
          <w:p w14:paraId="64664661"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M80: Osteoporosis with pathological fracture   </w:t>
            </w:r>
          </w:p>
          <w:p w14:paraId="42A6EA7A"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M84: Disorders of continuity of bone   </w:t>
            </w:r>
          </w:p>
          <w:p w14:paraId="187E3219"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S22: Fracture of rib(s), </w:t>
            </w:r>
            <w:proofErr w:type="gramStart"/>
            <w:r w:rsidRPr="00CA2336">
              <w:rPr>
                <w:rFonts w:ascii="Arial" w:eastAsia="Arial" w:hAnsi="Arial" w:cs="Arial"/>
                <w:color w:val="000000" w:themeColor="text1"/>
                <w:sz w:val="20"/>
                <w:szCs w:val="20"/>
              </w:rPr>
              <w:t>sternum</w:t>
            </w:r>
            <w:proofErr w:type="gramEnd"/>
            <w:r w:rsidRPr="00CA2336">
              <w:rPr>
                <w:rFonts w:ascii="Arial" w:eastAsia="Arial" w:hAnsi="Arial" w:cs="Arial"/>
                <w:color w:val="000000" w:themeColor="text1"/>
                <w:sz w:val="20"/>
                <w:szCs w:val="20"/>
              </w:rPr>
              <w:t xml:space="preserve"> and thoracic spine    </w:t>
            </w:r>
          </w:p>
          <w:p w14:paraId="3C54B283"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S32: Fracture of lumbar spine and pelvis  </w:t>
            </w:r>
          </w:p>
          <w:p w14:paraId="185125BB"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S42: Fracture of shoulder and upper arm   </w:t>
            </w:r>
          </w:p>
          <w:p w14:paraId="7C213E1D"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S52: Fracture of forearm   </w:t>
            </w:r>
          </w:p>
          <w:p w14:paraId="2258CDCE"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S62: Fracture at wrist and hand level   </w:t>
            </w:r>
          </w:p>
          <w:p w14:paraId="43DC27A2"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S72: Fracture of femur   </w:t>
            </w:r>
          </w:p>
          <w:p w14:paraId="6FE95CD9"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S82: Fracture of lower leg, including ankle   </w:t>
            </w:r>
          </w:p>
          <w:p w14:paraId="669BD95B"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S92: Fracture of foot, except ankle   </w:t>
            </w:r>
          </w:p>
          <w:p w14:paraId="03EE60E3"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T02: Fractures involving multiple body regions   </w:t>
            </w:r>
          </w:p>
          <w:p w14:paraId="6B079C5C"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T08: Fracture of spine, level unspecified   </w:t>
            </w:r>
          </w:p>
          <w:p w14:paraId="1E066298"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T10: Fracture of upper limb, level unspecified   </w:t>
            </w:r>
          </w:p>
          <w:p w14:paraId="76012DB8"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T12: Fracture of lower limb, level unspecified</w:t>
            </w:r>
          </w:p>
          <w:p w14:paraId="2643D725"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M81: Osteoporosis without pathological fracture  </w:t>
            </w:r>
          </w:p>
          <w:p w14:paraId="13A15E1E"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M82: Osteoporosis in diseases classified elsewhere  </w:t>
            </w:r>
          </w:p>
          <w:p w14:paraId="30A456CD"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M83: Adult </w:t>
            </w:r>
            <w:proofErr w:type="spellStart"/>
            <w:r w:rsidRPr="00CA2336">
              <w:rPr>
                <w:rFonts w:ascii="Arial" w:eastAsia="Arial" w:hAnsi="Arial" w:cs="Arial"/>
                <w:color w:val="000000" w:themeColor="text1"/>
                <w:sz w:val="20"/>
                <w:szCs w:val="20"/>
              </w:rPr>
              <w:t>osteomalacia</w:t>
            </w:r>
            <w:proofErr w:type="spellEnd"/>
            <w:r w:rsidRPr="00CA2336">
              <w:rPr>
                <w:rFonts w:ascii="Arial" w:eastAsia="Arial" w:hAnsi="Arial" w:cs="Arial"/>
                <w:color w:val="000000" w:themeColor="text1"/>
                <w:sz w:val="20"/>
                <w:szCs w:val="20"/>
              </w:rPr>
              <w:t xml:space="preserve">  </w:t>
            </w:r>
          </w:p>
          <w:p w14:paraId="2BA2CF44"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M90.7: Fracture of bone in neoplastic disease  </w:t>
            </w:r>
          </w:p>
          <w:p w14:paraId="1FF6208C"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S02: Fracture of skull and facial bones  </w:t>
            </w:r>
          </w:p>
          <w:p w14:paraId="404B6138"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S12: Fracture of neck  </w:t>
            </w:r>
          </w:p>
          <w:p w14:paraId="26DD6A53"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T90.2: Sequelae of fracture of skull and facial bones  </w:t>
            </w:r>
          </w:p>
          <w:p w14:paraId="1744C8D9"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T91.1: Sequelae of fracture of spine  </w:t>
            </w:r>
          </w:p>
          <w:p w14:paraId="44D9E661"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T91.2: Sequelae of other fracture of thorax and pelvis  </w:t>
            </w:r>
          </w:p>
          <w:p w14:paraId="7667DDE5"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T92.1: Sequelae of fracture of arm  </w:t>
            </w:r>
          </w:p>
          <w:p w14:paraId="09B87F0C" w14:textId="77777777" w:rsidR="00D2628C" w:rsidRPr="00CA2336" w:rsidRDefault="00D2628C" w:rsidP="00762659">
            <w:pPr>
              <w:spacing w:after="0"/>
              <w:jc w:val="both"/>
              <w:rPr>
                <w:rFonts w:ascii="Arial" w:eastAsia="Arial" w:hAnsi="Arial" w:cs="Arial"/>
                <w:color w:val="000000" w:themeColor="text1"/>
                <w:sz w:val="20"/>
                <w:szCs w:val="20"/>
              </w:rPr>
            </w:pPr>
          </w:p>
        </w:tc>
      </w:tr>
      <w:tr w:rsidR="00D2628C" w:rsidRPr="00CA2336" w14:paraId="6E09F611" w14:textId="77777777" w:rsidTr="00762659">
        <w:trPr>
          <w:trHeight w:val="300"/>
        </w:trPr>
        <w:tc>
          <w:tcPr>
            <w:tcW w:w="1679" w:type="dxa"/>
            <w:tcBorders>
              <w:bottom w:val="single" w:sz="4" w:space="0" w:color="auto"/>
            </w:tcBorders>
            <w:tcMar>
              <w:left w:w="105" w:type="dxa"/>
              <w:right w:w="105" w:type="dxa"/>
            </w:tcMar>
          </w:tcPr>
          <w:p w14:paraId="31BE1CD3"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b/>
                <w:bCs/>
                <w:color w:val="000000" w:themeColor="text1"/>
                <w:sz w:val="20"/>
                <w:szCs w:val="20"/>
              </w:rPr>
              <w:t>Hip fracture</w:t>
            </w:r>
          </w:p>
        </w:tc>
        <w:tc>
          <w:tcPr>
            <w:tcW w:w="7336" w:type="dxa"/>
            <w:tcBorders>
              <w:bottom w:val="single" w:sz="4" w:space="0" w:color="auto"/>
            </w:tcBorders>
            <w:tcMar>
              <w:left w:w="105" w:type="dxa"/>
              <w:right w:w="105" w:type="dxa"/>
            </w:tcMar>
          </w:tcPr>
          <w:p w14:paraId="6564A158"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S72.0 Fracture of neck of femur; Fracture of hip NOS   </w:t>
            </w:r>
          </w:p>
          <w:p w14:paraId="608E8CE0"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 xml:space="preserve">S72.1 </w:t>
            </w:r>
            <w:proofErr w:type="spellStart"/>
            <w:r w:rsidRPr="00CA2336">
              <w:rPr>
                <w:rFonts w:ascii="Arial" w:eastAsia="Arial" w:hAnsi="Arial" w:cs="Arial"/>
                <w:color w:val="000000" w:themeColor="text1"/>
                <w:sz w:val="20"/>
                <w:szCs w:val="20"/>
              </w:rPr>
              <w:t>Pertrochanteric</w:t>
            </w:r>
            <w:proofErr w:type="spellEnd"/>
            <w:r w:rsidRPr="00CA2336">
              <w:rPr>
                <w:rFonts w:ascii="Arial" w:eastAsia="Arial" w:hAnsi="Arial" w:cs="Arial"/>
                <w:color w:val="000000" w:themeColor="text1"/>
                <w:sz w:val="20"/>
                <w:szCs w:val="20"/>
              </w:rPr>
              <w:t xml:space="preserve"> fracture; intertrochanteric fracture; trochanteric fracture   </w:t>
            </w:r>
          </w:p>
          <w:p w14:paraId="57BF5A65" w14:textId="77777777" w:rsidR="00D2628C" w:rsidRPr="00CA2336" w:rsidRDefault="00D2628C" w:rsidP="00762659">
            <w:pPr>
              <w:spacing w:after="0"/>
              <w:jc w:val="both"/>
              <w:rPr>
                <w:rFonts w:ascii="Arial" w:eastAsia="Arial" w:hAnsi="Arial" w:cs="Arial"/>
                <w:color w:val="000000" w:themeColor="text1"/>
                <w:sz w:val="20"/>
                <w:szCs w:val="20"/>
              </w:rPr>
            </w:pPr>
            <w:r w:rsidRPr="00CA2336">
              <w:rPr>
                <w:rFonts w:ascii="Arial" w:eastAsia="Arial" w:hAnsi="Arial" w:cs="Arial"/>
                <w:color w:val="000000" w:themeColor="text1"/>
                <w:sz w:val="20"/>
                <w:szCs w:val="20"/>
              </w:rPr>
              <w:t>S72.2 Subtrochanteric fracture</w:t>
            </w:r>
          </w:p>
          <w:p w14:paraId="62FBB98B" w14:textId="77777777" w:rsidR="00D2628C" w:rsidRPr="00CA2336" w:rsidRDefault="00D2628C" w:rsidP="00762659">
            <w:pPr>
              <w:spacing w:after="0"/>
              <w:jc w:val="both"/>
              <w:rPr>
                <w:rFonts w:ascii="Arial" w:eastAsia="Arial" w:hAnsi="Arial" w:cs="Arial"/>
                <w:color w:val="000000" w:themeColor="text1"/>
                <w:sz w:val="20"/>
                <w:szCs w:val="20"/>
              </w:rPr>
            </w:pPr>
          </w:p>
        </w:tc>
      </w:tr>
    </w:tbl>
    <w:p w14:paraId="0F31CB96" w14:textId="77777777" w:rsidR="00D2628C" w:rsidRDefault="00D2628C" w:rsidP="00D2628C"/>
    <w:p w14:paraId="045BF211" w14:textId="77777777" w:rsidR="00D2628C" w:rsidRDefault="00D2628C" w:rsidP="00D2628C"/>
    <w:p w14:paraId="56622EF8" w14:textId="77777777" w:rsidR="00D2628C" w:rsidRDefault="00D2628C" w:rsidP="00D2628C"/>
    <w:p w14:paraId="0FB0D429" w14:textId="77777777" w:rsidR="00D2628C" w:rsidRDefault="00D2628C" w:rsidP="00D2628C"/>
    <w:p w14:paraId="0DC7EA3C" w14:textId="77777777" w:rsidR="00D2628C" w:rsidRDefault="00D2628C" w:rsidP="00D2628C"/>
    <w:p w14:paraId="4971C242" w14:textId="77777777" w:rsidR="00D2628C" w:rsidRDefault="00D2628C" w:rsidP="00D2628C"/>
    <w:p w14:paraId="2C363C3D" w14:textId="77777777" w:rsidR="00D2628C" w:rsidRDefault="00D2628C" w:rsidP="00D2628C"/>
    <w:p w14:paraId="37B1B6F8" w14:textId="77777777" w:rsidR="00D2628C" w:rsidRDefault="00D2628C" w:rsidP="00D2628C"/>
    <w:p w14:paraId="37C51485" w14:textId="77777777" w:rsidR="00D2628C" w:rsidRDefault="00D2628C" w:rsidP="00D2628C"/>
    <w:p w14:paraId="1EB116A6" w14:textId="77777777" w:rsidR="00D2628C" w:rsidRDefault="00D2628C" w:rsidP="00D2628C"/>
    <w:p w14:paraId="0ABE9A1A" w14:textId="77777777" w:rsidR="00D2628C" w:rsidRDefault="00D2628C" w:rsidP="00D2628C"/>
    <w:tbl>
      <w:tblPr>
        <w:tblW w:w="9315" w:type="dxa"/>
        <w:tblLayout w:type="fixed"/>
        <w:tblLook w:val="04A0" w:firstRow="1" w:lastRow="0" w:firstColumn="1" w:lastColumn="0" w:noHBand="0" w:noVBand="1"/>
      </w:tblPr>
      <w:tblGrid>
        <w:gridCol w:w="948"/>
        <w:gridCol w:w="1681"/>
        <w:gridCol w:w="2090"/>
        <w:gridCol w:w="1038"/>
        <w:gridCol w:w="2227"/>
        <w:gridCol w:w="1095"/>
        <w:gridCol w:w="236"/>
      </w:tblGrid>
      <w:tr w:rsidR="00D2628C" w14:paraId="73D594C4" w14:textId="77777777" w:rsidTr="00762659">
        <w:trPr>
          <w:gridAfter w:val="1"/>
          <w:wAfter w:w="236" w:type="dxa"/>
          <w:trHeight w:val="450"/>
        </w:trPr>
        <w:tc>
          <w:tcPr>
            <w:tcW w:w="9075" w:type="dxa"/>
            <w:gridSpan w:val="6"/>
            <w:vMerge w:val="restart"/>
            <w:tcMar>
              <w:top w:w="15" w:type="dxa"/>
              <w:left w:w="108" w:type="dxa"/>
              <w:bottom w:w="0" w:type="dxa"/>
              <w:right w:w="108" w:type="dxa"/>
            </w:tcMar>
            <w:hideMark/>
          </w:tcPr>
          <w:p w14:paraId="4D2A88F9" w14:textId="77777777" w:rsidR="00D2628C" w:rsidRDefault="00D2628C" w:rsidP="00762659">
            <w:pPr>
              <w:spacing w:after="0" w:line="240" w:lineRule="auto"/>
              <w:jc w:val="both"/>
              <w:rPr>
                <w:rFonts w:ascii="Arial" w:eastAsia="Times New Roman" w:hAnsi="Arial" w:cs="Arial"/>
                <w:b/>
                <w:bCs/>
                <w:color w:val="000000"/>
                <w:sz w:val="20"/>
                <w:szCs w:val="20"/>
                <w:lang w:eastAsia="en-GB"/>
              </w:rPr>
            </w:pPr>
            <w:proofErr w:type="spellStart"/>
            <w:r>
              <w:rPr>
                <w:rFonts w:ascii="Arial" w:eastAsia="Times New Roman" w:hAnsi="Arial" w:cs="Arial"/>
                <w:b/>
                <w:bCs/>
                <w:color w:val="000000"/>
                <w:sz w:val="20"/>
                <w:szCs w:val="20"/>
                <w:lang w:eastAsia="en-GB"/>
              </w:rPr>
              <w:t>eTable</w:t>
            </w:r>
            <w:proofErr w:type="spellEnd"/>
            <w:r>
              <w:rPr>
                <w:rFonts w:ascii="Arial" w:eastAsia="Times New Roman" w:hAnsi="Arial" w:cs="Arial"/>
                <w:b/>
                <w:bCs/>
                <w:color w:val="000000"/>
                <w:sz w:val="20"/>
                <w:szCs w:val="20"/>
                <w:lang w:eastAsia="en-GB"/>
              </w:rPr>
              <w:t xml:space="preserve"> 2: </w:t>
            </w:r>
            <w:proofErr w:type="spellStart"/>
            <w:r>
              <w:rPr>
                <w:rFonts w:ascii="Arial" w:eastAsia="Times New Roman" w:hAnsi="Arial" w:cs="Arial"/>
                <w:b/>
                <w:bCs/>
                <w:color w:val="000000"/>
                <w:sz w:val="20"/>
                <w:szCs w:val="20"/>
                <w:lang w:eastAsia="en-GB"/>
              </w:rPr>
              <w:t>Subhazard</w:t>
            </w:r>
            <w:proofErr w:type="spellEnd"/>
            <w:r>
              <w:rPr>
                <w:rFonts w:ascii="Arial" w:eastAsia="Times New Roman" w:hAnsi="Arial" w:cs="Arial"/>
                <w:b/>
                <w:bCs/>
                <w:color w:val="000000"/>
                <w:sz w:val="20"/>
                <w:szCs w:val="20"/>
                <w:lang w:eastAsia="en-GB"/>
              </w:rPr>
              <w:t xml:space="preserve"> ratios for incident fracture outcomes for participants who were not married or cohabiting at baseline compared to those who were, with death as a competing event</w:t>
            </w:r>
          </w:p>
        </w:tc>
      </w:tr>
      <w:tr w:rsidR="00D2628C" w14:paraId="0521ADA7" w14:textId="77777777" w:rsidTr="00762659">
        <w:trPr>
          <w:trHeight w:val="290"/>
        </w:trPr>
        <w:tc>
          <w:tcPr>
            <w:tcW w:w="19336" w:type="dxa"/>
            <w:gridSpan w:val="6"/>
            <w:vMerge/>
            <w:vAlign w:val="center"/>
            <w:hideMark/>
          </w:tcPr>
          <w:p w14:paraId="63B91B03" w14:textId="77777777" w:rsidR="00D2628C" w:rsidRDefault="00D2628C" w:rsidP="00762659">
            <w:pPr>
              <w:spacing w:after="0"/>
              <w:rPr>
                <w:rFonts w:ascii="Arial" w:eastAsia="Times New Roman" w:hAnsi="Arial" w:cs="Arial"/>
                <w:b/>
                <w:bCs/>
                <w:color w:val="000000"/>
                <w:sz w:val="20"/>
                <w:szCs w:val="20"/>
                <w:lang w:eastAsia="en-GB"/>
              </w:rPr>
            </w:pPr>
          </w:p>
        </w:tc>
        <w:tc>
          <w:tcPr>
            <w:tcW w:w="236" w:type="dxa"/>
            <w:noWrap/>
            <w:tcMar>
              <w:top w:w="15" w:type="dxa"/>
              <w:left w:w="108" w:type="dxa"/>
              <w:bottom w:w="0" w:type="dxa"/>
              <w:right w:w="108" w:type="dxa"/>
            </w:tcMar>
            <w:vAlign w:val="bottom"/>
            <w:hideMark/>
          </w:tcPr>
          <w:p w14:paraId="4F4E2D03" w14:textId="77777777" w:rsidR="00D2628C" w:rsidRDefault="00D2628C" w:rsidP="00762659"/>
        </w:tc>
      </w:tr>
      <w:tr w:rsidR="00D2628C" w14:paraId="7855AE21" w14:textId="77777777" w:rsidTr="00762659">
        <w:trPr>
          <w:trHeight w:val="290"/>
        </w:trPr>
        <w:tc>
          <w:tcPr>
            <w:tcW w:w="19336" w:type="dxa"/>
            <w:gridSpan w:val="6"/>
            <w:vMerge/>
            <w:vAlign w:val="center"/>
            <w:hideMark/>
          </w:tcPr>
          <w:p w14:paraId="780F7FCF" w14:textId="77777777" w:rsidR="00D2628C" w:rsidRDefault="00D2628C" w:rsidP="00762659">
            <w:pPr>
              <w:spacing w:after="0"/>
              <w:rPr>
                <w:rFonts w:ascii="Arial" w:eastAsia="Times New Roman" w:hAnsi="Arial" w:cs="Arial"/>
                <w:b/>
                <w:bCs/>
                <w:color w:val="000000"/>
                <w:sz w:val="20"/>
                <w:szCs w:val="20"/>
                <w:lang w:eastAsia="en-GB"/>
              </w:rPr>
            </w:pPr>
          </w:p>
        </w:tc>
        <w:tc>
          <w:tcPr>
            <w:tcW w:w="236" w:type="dxa"/>
            <w:noWrap/>
            <w:tcMar>
              <w:top w:w="15" w:type="dxa"/>
              <w:left w:w="108" w:type="dxa"/>
              <w:bottom w:w="0" w:type="dxa"/>
              <w:right w:w="108" w:type="dxa"/>
            </w:tcMar>
            <w:vAlign w:val="bottom"/>
            <w:hideMark/>
          </w:tcPr>
          <w:p w14:paraId="05A7257C" w14:textId="77777777" w:rsidR="00D2628C" w:rsidRDefault="00D2628C" w:rsidP="00762659">
            <w:pPr>
              <w:spacing w:after="0"/>
              <w:rPr>
                <w:sz w:val="20"/>
                <w:szCs w:val="20"/>
                <w:lang w:eastAsia="en-GB"/>
              </w:rPr>
            </w:pPr>
          </w:p>
        </w:tc>
      </w:tr>
      <w:tr w:rsidR="00D2628C" w14:paraId="367C9D98" w14:textId="77777777" w:rsidTr="00762659">
        <w:trPr>
          <w:trHeight w:val="290"/>
        </w:trPr>
        <w:tc>
          <w:tcPr>
            <w:tcW w:w="947" w:type="dxa"/>
            <w:vMerge w:val="restart"/>
            <w:tcBorders>
              <w:top w:val="single" w:sz="4" w:space="0" w:color="auto"/>
              <w:left w:val="nil"/>
              <w:bottom w:val="single" w:sz="4" w:space="0" w:color="000000"/>
              <w:right w:val="nil"/>
            </w:tcBorders>
            <w:tcMar>
              <w:top w:w="15" w:type="dxa"/>
              <w:left w:w="108" w:type="dxa"/>
              <w:bottom w:w="0" w:type="dxa"/>
              <w:right w:w="108" w:type="dxa"/>
            </w:tcMar>
            <w:vAlign w:val="center"/>
            <w:hideMark/>
          </w:tcPr>
          <w:p w14:paraId="0A062F03" w14:textId="77777777" w:rsidR="00D2628C" w:rsidRDefault="00D2628C" w:rsidP="0076265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Sex</w:t>
            </w:r>
          </w:p>
        </w:tc>
        <w:tc>
          <w:tcPr>
            <w:tcW w:w="1680" w:type="dxa"/>
            <w:vMerge w:val="restart"/>
            <w:tcBorders>
              <w:top w:val="single" w:sz="4" w:space="0" w:color="auto"/>
              <w:left w:val="nil"/>
              <w:bottom w:val="single" w:sz="4" w:space="0" w:color="000000"/>
              <w:right w:val="nil"/>
            </w:tcBorders>
            <w:tcMar>
              <w:top w:w="15" w:type="dxa"/>
              <w:left w:w="108" w:type="dxa"/>
              <w:bottom w:w="0" w:type="dxa"/>
              <w:right w:w="108" w:type="dxa"/>
            </w:tcMar>
            <w:vAlign w:val="center"/>
            <w:hideMark/>
          </w:tcPr>
          <w:p w14:paraId="2A4645DB" w14:textId="77777777" w:rsidR="00D2628C" w:rsidRDefault="00D2628C" w:rsidP="0076265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Model</w:t>
            </w:r>
          </w:p>
        </w:tc>
        <w:tc>
          <w:tcPr>
            <w:tcW w:w="3127" w:type="dxa"/>
            <w:gridSpan w:val="2"/>
            <w:tcBorders>
              <w:top w:val="single" w:sz="4" w:space="0" w:color="auto"/>
              <w:left w:val="nil"/>
              <w:bottom w:val="nil"/>
              <w:right w:val="nil"/>
            </w:tcBorders>
            <w:tcMar>
              <w:top w:w="15" w:type="dxa"/>
              <w:left w:w="108" w:type="dxa"/>
              <w:bottom w:w="0" w:type="dxa"/>
              <w:right w:w="108" w:type="dxa"/>
            </w:tcMar>
            <w:vAlign w:val="center"/>
            <w:hideMark/>
          </w:tcPr>
          <w:p w14:paraId="64F2AC23" w14:textId="77777777" w:rsidR="00D2628C" w:rsidRDefault="00D2628C" w:rsidP="00762659">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Any fracture</w:t>
            </w:r>
          </w:p>
        </w:tc>
        <w:tc>
          <w:tcPr>
            <w:tcW w:w="3321" w:type="dxa"/>
            <w:gridSpan w:val="2"/>
            <w:tcBorders>
              <w:top w:val="single" w:sz="4" w:space="0" w:color="auto"/>
              <w:left w:val="nil"/>
              <w:bottom w:val="nil"/>
              <w:right w:val="nil"/>
            </w:tcBorders>
            <w:tcMar>
              <w:top w:w="15" w:type="dxa"/>
              <w:left w:w="108" w:type="dxa"/>
              <w:bottom w:w="0" w:type="dxa"/>
              <w:right w:w="108" w:type="dxa"/>
            </w:tcMar>
            <w:vAlign w:val="center"/>
            <w:hideMark/>
          </w:tcPr>
          <w:p w14:paraId="4CC2A2CA" w14:textId="77777777" w:rsidR="00D2628C" w:rsidRDefault="00D2628C" w:rsidP="00762659">
            <w:pPr>
              <w:spacing w:after="0" w:line="240" w:lineRule="auto"/>
              <w:jc w:val="center"/>
              <w:rPr>
                <w:rFonts w:ascii="Arial" w:eastAsia="Times New Roman" w:hAnsi="Arial" w:cs="Arial"/>
                <w:b/>
                <w:bCs/>
                <w:color w:val="000000"/>
                <w:sz w:val="20"/>
                <w:szCs w:val="20"/>
                <w:lang w:eastAsia="en-GB"/>
              </w:rPr>
            </w:pPr>
            <w:r>
              <w:rPr>
                <w:rFonts w:ascii="Arial" w:eastAsia="Arial" w:hAnsi="Arial" w:cs="Arial"/>
                <w:b/>
                <w:bCs/>
                <w:color w:val="000000"/>
                <w:sz w:val="20"/>
                <w:szCs w:val="20"/>
                <w:lang w:eastAsia="en-GB"/>
              </w:rPr>
              <w:t>Hip fracture</w:t>
            </w:r>
          </w:p>
        </w:tc>
        <w:tc>
          <w:tcPr>
            <w:tcW w:w="236" w:type="dxa"/>
            <w:tcMar>
              <w:top w:w="15" w:type="dxa"/>
              <w:left w:w="108" w:type="dxa"/>
              <w:bottom w:w="0" w:type="dxa"/>
              <w:right w:w="108" w:type="dxa"/>
            </w:tcMar>
            <w:vAlign w:val="center"/>
            <w:hideMark/>
          </w:tcPr>
          <w:p w14:paraId="61EC04AF" w14:textId="77777777" w:rsidR="00D2628C" w:rsidRDefault="00D2628C" w:rsidP="00762659">
            <w:pPr>
              <w:rPr>
                <w:rFonts w:ascii="Arial" w:eastAsia="Times New Roman" w:hAnsi="Arial" w:cs="Arial"/>
                <w:b/>
                <w:bCs/>
                <w:color w:val="000000"/>
                <w:sz w:val="20"/>
                <w:szCs w:val="20"/>
                <w:lang w:eastAsia="en-GB"/>
              </w:rPr>
            </w:pPr>
          </w:p>
        </w:tc>
      </w:tr>
      <w:tr w:rsidR="00D2628C" w14:paraId="3670C5E6" w14:textId="77777777" w:rsidTr="00762659">
        <w:trPr>
          <w:trHeight w:val="290"/>
        </w:trPr>
        <w:tc>
          <w:tcPr>
            <w:tcW w:w="9075" w:type="dxa"/>
            <w:vMerge/>
            <w:tcBorders>
              <w:top w:val="single" w:sz="4" w:space="0" w:color="auto"/>
              <w:left w:val="nil"/>
              <w:bottom w:val="single" w:sz="4" w:space="0" w:color="000000"/>
              <w:right w:val="nil"/>
            </w:tcBorders>
            <w:vAlign w:val="center"/>
            <w:hideMark/>
          </w:tcPr>
          <w:p w14:paraId="65B698E6" w14:textId="77777777" w:rsidR="00D2628C" w:rsidRDefault="00D2628C" w:rsidP="00762659">
            <w:pPr>
              <w:spacing w:after="0"/>
              <w:rPr>
                <w:rFonts w:ascii="Arial" w:eastAsia="Times New Roman" w:hAnsi="Arial" w:cs="Arial"/>
                <w:b/>
                <w:bCs/>
                <w:color w:val="000000"/>
                <w:sz w:val="20"/>
                <w:szCs w:val="20"/>
                <w:lang w:eastAsia="en-GB"/>
              </w:rPr>
            </w:pPr>
          </w:p>
        </w:tc>
        <w:tc>
          <w:tcPr>
            <w:tcW w:w="1680" w:type="dxa"/>
            <w:vMerge/>
            <w:tcBorders>
              <w:top w:val="single" w:sz="4" w:space="0" w:color="auto"/>
              <w:left w:val="nil"/>
              <w:bottom w:val="single" w:sz="4" w:space="0" w:color="000000"/>
              <w:right w:val="nil"/>
            </w:tcBorders>
            <w:vAlign w:val="center"/>
            <w:hideMark/>
          </w:tcPr>
          <w:p w14:paraId="291490BD" w14:textId="77777777" w:rsidR="00D2628C" w:rsidRDefault="00D2628C" w:rsidP="00762659">
            <w:pPr>
              <w:spacing w:after="0"/>
              <w:rPr>
                <w:rFonts w:ascii="Arial" w:eastAsia="Times New Roman" w:hAnsi="Arial" w:cs="Arial"/>
                <w:b/>
                <w:bCs/>
                <w:color w:val="000000"/>
                <w:sz w:val="20"/>
                <w:szCs w:val="20"/>
                <w:lang w:eastAsia="en-GB"/>
              </w:rPr>
            </w:pPr>
          </w:p>
        </w:tc>
        <w:tc>
          <w:tcPr>
            <w:tcW w:w="2089" w:type="dxa"/>
            <w:vMerge w:val="restart"/>
            <w:tcBorders>
              <w:top w:val="nil"/>
              <w:left w:val="nil"/>
              <w:bottom w:val="single" w:sz="4" w:space="0" w:color="000000"/>
              <w:right w:val="nil"/>
            </w:tcBorders>
            <w:tcMar>
              <w:top w:w="15" w:type="dxa"/>
              <w:left w:w="108" w:type="dxa"/>
              <w:bottom w:w="0" w:type="dxa"/>
              <w:right w:w="108" w:type="dxa"/>
            </w:tcMar>
            <w:vAlign w:val="center"/>
            <w:hideMark/>
          </w:tcPr>
          <w:p w14:paraId="15016CB1" w14:textId="77777777" w:rsidR="00D2628C" w:rsidRDefault="00D2628C" w:rsidP="00762659">
            <w:pPr>
              <w:spacing w:after="0" w:line="240" w:lineRule="auto"/>
              <w:jc w:val="center"/>
              <w:rPr>
                <w:rFonts w:ascii="Arial" w:eastAsia="Times New Roman" w:hAnsi="Arial" w:cs="Arial"/>
                <w:b/>
                <w:bCs/>
                <w:color w:val="000000"/>
                <w:sz w:val="20"/>
                <w:szCs w:val="20"/>
                <w:lang w:eastAsia="en-GB"/>
              </w:rPr>
            </w:pPr>
            <w:proofErr w:type="spellStart"/>
            <w:r>
              <w:rPr>
                <w:rFonts w:ascii="Arial" w:eastAsia="Times New Roman" w:hAnsi="Arial" w:cs="Arial"/>
                <w:b/>
                <w:bCs/>
                <w:color w:val="000000"/>
                <w:sz w:val="20"/>
                <w:szCs w:val="20"/>
                <w:lang w:eastAsia="en-GB"/>
              </w:rPr>
              <w:t>Subhazard</w:t>
            </w:r>
            <w:proofErr w:type="spellEnd"/>
            <w:r>
              <w:rPr>
                <w:rFonts w:ascii="Arial" w:eastAsia="Times New Roman" w:hAnsi="Arial" w:cs="Arial"/>
                <w:b/>
                <w:bCs/>
                <w:color w:val="000000"/>
                <w:sz w:val="20"/>
                <w:szCs w:val="20"/>
                <w:lang w:eastAsia="en-GB"/>
              </w:rPr>
              <w:t xml:space="preserve"> ratio </w:t>
            </w:r>
            <w:r>
              <w:rPr>
                <w:rFonts w:ascii="Arial" w:eastAsia="Times New Roman" w:hAnsi="Arial" w:cs="Arial"/>
                <w:b/>
                <w:bCs/>
                <w:color w:val="000000"/>
                <w:sz w:val="20"/>
                <w:szCs w:val="20"/>
                <w:lang w:eastAsia="en-GB"/>
              </w:rPr>
              <w:br/>
              <w:t>(95% CI)</w:t>
            </w:r>
          </w:p>
        </w:tc>
        <w:tc>
          <w:tcPr>
            <w:tcW w:w="1038" w:type="dxa"/>
            <w:vMerge w:val="restart"/>
            <w:tcBorders>
              <w:top w:val="nil"/>
              <w:left w:val="nil"/>
              <w:bottom w:val="single" w:sz="4" w:space="0" w:color="000000"/>
              <w:right w:val="nil"/>
            </w:tcBorders>
            <w:tcMar>
              <w:top w:w="15" w:type="dxa"/>
              <w:left w:w="108" w:type="dxa"/>
              <w:bottom w:w="0" w:type="dxa"/>
              <w:right w:w="108" w:type="dxa"/>
            </w:tcMar>
            <w:vAlign w:val="center"/>
            <w:hideMark/>
          </w:tcPr>
          <w:p w14:paraId="72B38775" w14:textId="77777777" w:rsidR="00D2628C" w:rsidRDefault="00D2628C" w:rsidP="00762659">
            <w:pPr>
              <w:spacing w:after="0" w:line="240" w:lineRule="auto"/>
              <w:jc w:val="center"/>
              <w:rPr>
                <w:rFonts w:ascii="Arial" w:eastAsia="Times New Roman" w:hAnsi="Arial" w:cs="Arial"/>
                <w:b/>
                <w:bCs/>
                <w:color w:val="000000"/>
                <w:sz w:val="20"/>
                <w:szCs w:val="20"/>
                <w:lang w:eastAsia="en-GB"/>
              </w:rPr>
            </w:pPr>
            <w:r>
              <w:rPr>
                <w:rFonts w:ascii="Arial" w:eastAsia="Arial" w:hAnsi="Arial" w:cs="Arial"/>
                <w:b/>
                <w:bCs/>
                <w:color w:val="000000"/>
                <w:sz w:val="20"/>
                <w:szCs w:val="20"/>
                <w:lang w:eastAsia="en-GB"/>
              </w:rPr>
              <w:t>P-value</w:t>
            </w:r>
          </w:p>
        </w:tc>
        <w:tc>
          <w:tcPr>
            <w:tcW w:w="2226" w:type="dxa"/>
            <w:vMerge w:val="restart"/>
            <w:tcBorders>
              <w:top w:val="nil"/>
              <w:left w:val="nil"/>
              <w:bottom w:val="single" w:sz="4" w:space="0" w:color="000000"/>
              <w:right w:val="nil"/>
            </w:tcBorders>
            <w:tcMar>
              <w:top w:w="15" w:type="dxa"/>
              <w:left w:w="108" w:type="dxa"/>
              <w:bottom w:w="0" w:type="dxa"/>
              <w:right w:w="108" w:type="dxa"/>
            </w:tcMar>
            <w:vAlign w:val="center"/>
            <w:hideMark/>
          </w:tcPr>
          <w:p w14:paraId="6C608671" w14:textId="77777777" w:rsidR="00D2628C" w:rsidRDefault="00D2628C" w:rsidP="00762659">
            <w:pPr>
              <w:spacing w:after="0" w:line="240" w:lineRule="auto"/>
              <w:jc w:val="center"/>
              <w:rPr>
                <w:rFonts w:ascii="Arial" w:eastAsia="Times New Roman" w:hAnsi="Arial" w:cs="Arial"/>
                <w:b/>
                <w:bCs/>
                <w:color w:val="000000"/>
                <w:sz w:val="20"/>
                <w:szCs w:val="20"/>
                <w:lang w:eastAsia="en-GB"/>
              </w:rPr>
            </w:pPr>
            <w:proofErr w:type="spellStart"/>
            <w:r>
              <w:rPr>
                <w:rFonts w:ascii="Arial" w:eastAsia="Times New Roman" w:hAnsi="Arial" w:cs="Arial"/>
                <w:b/>
                <w:bCs/>
                <w:color w:val="000000"/>
                <w:sz w:val="20"/>
                <w:szCs w:val="20"/>
                <w:lang w:eastAsia="en-GB"/>
              </w:rPr>
              <w:t>Subhazard</w:t>
            </w:r>
            <w:proofErr w:type="spellEnd"/>
            <w:r>
              <w:rPr>
                <w:rFonts w:ascii="Arial" w:eastAsia="Times New Roman" w:hAnsi="Arial" w:cs="Arial"/>
                <w:b/>
                <w:bCs/>
                <w:color w:val="000000"/>
                <w:sz w:val="20"/>
                <w:szCs w:val="20"/>
                <w:lang w:eastAsia="en-GB"/>
              </w:rPr>
              <w:t xml:space="preserve"> ratio</w:t>
            </w:r>
            <w:r>
              <w:rPr>
                <w:rFonts w:ascii="Arial" w:eastAsia="Times New Roman" w:hAnsi="Arial" w:cs="Arial"/>
                <w:b/>
                <w:bCs/>
                <w:color w:val="000000"/>
                <w:sz w:val="20"/>
                <w:szCs w:val="20"/>
                <w:lang w:eastAsia="en-GB"/>
              </w:rPr>
              <w:br/>
              <w:t>(95% CI)</w:t>
            </w:r>
          </w:p>
        </w:tc>
        <w:tc>
          <w:tcPr>
            <w:tcW w:w="1095" w:type="dxa"/>
            <w:vMerge w:val="restart"/>
            <w:tcBorders>
              <w:top w:val="nil"/>
              <w:left w:val="nil"/>
              <w:bottom w:val="single" w:sz="4" w:space="0" w:color="000000"/>
              <w:right w:val="nil"/>
            </w:tcBorders>
            <w:tcMar>
              <w:top w:w="15" w:type="dxa"/>
              <w:left w:w="108" w:type="dxa"/>
              <w:bottom w:w="0" w:type="dxa"/>
              <w:right w:w="108" w:type="dxa"/>
            </w:tcMar>
            <w:vAlign w:val="center"/>
            <w:hideMark/>
          </w:tcPr>
          <w:p w14:paraId="4E128F77" w14:textId="77777777" w:rsidR="00D2628C" w:rsidRDefault="00D2628C" w:rsidP="00762659">
            <w:pPr>
              <w:spacing w:after="0" w:line="240" w:lineRule="auto"/>
              <w:jc w:val="center"/>
              <w:rPr>
                <w:rFonts w:ascii="Arial" w:eastAsia="Times New Roman" w:hAnsi="Arial" w:cs="Arial"/>
                <w:b/>
                <w:bCs/>
                <w:color w:val="000000"/>
                <w:sz w:val="20"/>
                <w:szCs w:val="20"/>
                <w:lang w:eastAsia="en-GB"/>
              </w:rPr>
            </w:pPr>
            <w:r>
              <w:rPr>
                <w:rFonts w:ascii="Arial" w:eastAsia="Arial" w:hAnsi="Arial" w:cs="Arial"/>
                <w:b/>
                <w:bCs/>
                <w:color w:val="000000"/>
                <w:sz w:val="20"/>
                <w:szCs w:val="20"/>
                <w:lang w:eastAsia="en-GB"/>
              </w:rPr>
              <w:t>P-value</w:t>
            </w:r>
          </w:p>
        </w:tc>
        <w:tc>
          <w:tcPr>
            <w:tcW w:w="236" w:type="dxa"/>
            <w:tcMar>
              <w:top w:w="15" w:type="dxa"/>
              <w:left w:w="108" w:type="dxa"/>
              <w:bottom w:w="0" w:type="dxa"/>
              <w:right w:w="108" w:type="dxa"/>
            </w:tcMar>
            <w:vAlign w:val="center"/>
            <w:hideMark/>
          </w:tcPr>
          <w:p w14:paraId="3916B028" w14:textId="77777777" w:rsidR="00D2628C" w:rsidRDefault="00D2628C" w:rsidP="00762659">
            <w:pPr>
              <w:rPr>
                <w:rFonts w:ascii="Arial" w:eastAsia="Times New Roman" w:hAnsi="Arial" w:cs="Arial"/>
                <w:b/>
                <w:bCs/>
                <w:color w:val="000000"/>
                <w:sz w:val="20"/>
                <w:szCs w:val="20"/>
                <w:lang w:eastAsia="en-GB"/>
              </w:rPr>
            </w:pPr>
          </w:p>
        </w:tc>
      </w:tr>
      <w:tr w:rsidR="00D2628C" w14:paraId="60B72836" w14:textId="77777777" w:rsidTr="00762659">
        <w:trPr>
          <w:trHeight w:val="290"/>
        </w:trPr>
        <w:tc>
          <w:tcPr>
            <w:tcW w:w="9075" w:type="dxa"/>
            <w:vMerge/>
            <w:tcBorders>
              <w:top w:val="single" w:sz="4" w:space="0" w:color="auto"/>
              <w:left w:val="nil"/>
              <w:bottom w:val="single" w:sz="4" w:space="0" w:color="000000"/>
              <w:right w:val="nil"/>
            </w:tcBorders>
            <w:vAlign w:val="center"/>
            <w:hideMark/>
          </w:tcPr>
          <w:p w14:paraId="1F64DA74" w14:textId="77777777" w:rsidR="00D2628C" w:rsidRDefault="00D2628C" w:rsidP="00762659">
            <w:pPr>
              <w:spacing w:after="0"/>
              <w:rPr>
                <w:rFonts w:ascii="Arial" w:eastAsia="Times New Roman" w:hAnsi="Arial" w:cs="Arial"/>
                <w:b/>
                <w:bCs/>
                <w:color w:val="000000"/>
                <w:sz w:val="20"/>
                <w:szCs w:val="20"/>
                <w:lang w:eastAsia="en-GB"/>
              </w:rPr>
            </w:pPr>
          </w:p>
        </w:tc>
        <w:tc>
          <w:tcPr>
            <w:tcW w:w="1680" w:type="dxa"/>
            <w:vMerge/>
            <w:tcBorders>
              <w:top w:val="single" w:sz="4" w:space="0" w:color="auto"/>
              <w:left w:val="nil"/>
              <w:bottom w:val="single" w:sz="4" w:space="0" w:color="000000"/>
              <w:right w:val="nil"/>
            </w:tcBorders>
            <w:vAlign w:val="center"/>
            <w:hideMark/>
          </w:tcPr>
          <w:p w14:paraId="7B1D5C12" w14:textId="77777777" w:rsidR="00D2628C" w:rsidRDefault="00D2628C" w:rsidP="00762659">
            <w:pPr>
              <w:spacing w:after="0"/>
              <w:rPr>
                <w:rFonts w:ascii="Arial" w:eastAsia="Times New Roman" w:hAnsi="Arial" w:cs="Arial"/>
                <w:b/>
                <w:bCs/>
                <w:color w:val="000000"/>
                <w:sz w:val="20"/>
                <w:szCs w:val="20"/>
                <w:lang w:eastAsia="en-GB"/>
              </w:rPr>
            </w:pPr>
          </w:p>
        </w:tc>
        <w:tc>
          <w:tcPr>
            <w:tcW w:w="3127" w:type="dxa"/>
            <w:vMerge/>
            <w:tcBorders>
              <w:top w:val="nil"/>
              <w:left w:val="nil"/>
              <w:bottom w:val="single" w:sz="4" w:space="0" w:color="000000"/>
              <w:right w:val="nil"/>
            </w:tcBorders>
            <w:vAlign w:val="center"/>
            <w:hideMark/>
          </w:tcPr>
          <w:p w14:paraId="306206C4" w14:textId="77777777" w:rsidR="00D2628C" w:rsidRDefault="00D2628C" w:rsidP="00762659">
            <w:pPr>
              <w:spacing w:after="0"/>
              <w:rPr>
                <w:rFonts w:ascii="Arial" w:eastAsia="Times New Roman" w:hAnsi="Arial" w:cs="Arial"/>
                <w:b/>
                <w:bCs/>
                <w:color w:val="000000"/>
                <w:sz w:val="20"/>
                <w:szCs w:val="20"/>
                <w:lang w:eastAsia="en-GB"/>
              </w:rPr>
            </w:pPr>
          </w:p>
        </w:tc>
        <w:tc>
          <w:tcPr>
            <w:tcW w:w="1038" w:type="dxa"/>
            <w:vMerge/>
            <w:tcBorders>
              <w:top w:val="nil"/>
              <w:left w:val="nil"/>
              <w:bottom w:val="single" w:sz="4" w:space="0" w:color="000000"/>
              <w:right w:val="nil"/>
            </w:tcBorders>
            <w:vAlign w:val="center"/>
            <w:hideMark/>
          </w:tcPr>
          <w:p w14:paraId="3BAA5A28" w14:textId="77777777" w:rsidR="00D2628C" w:rsidRDefault="00D2628C" w:rsidP="00762659">
            <w:pPr>
              <w:spacing w:after="0"/>
              <w:rPr>
                <w:rFonts w:ascii="Arial" w:eastAsia="Times New Roman" w:hAnsi="Arial" w:cs="Arial"/>
                <w:b/>
                <w:bCs/>
                <w:color w:val="000000"/>
                <w:sz w:val="20"/>
                <w:szCs w:val="20"/>
                <w:lang w:eastAsia="en-GB"/>
              </w:rPr>
            </w:pPr>
          </w:p>
        </w:tc>
        <w:tc>
          <w:tcPr>
            <w:tcW w:w="3321" w:type="dxa"/>
            <w:vMerge/>
            <w:tcBorders>
              <w:top w:val="nil"/>
              <w:left w:val="nil"/>
              <w:bottom w:val="single" w:sz="4" w:space="0" w:color="000000"/>
              <w:right w:val="nil"/>
            </w:tcBorders>
            <w:vAlign w:val="center"/>
            <w:hideMark/>
          </w:tcPr>
          <w:p w14:paraId="115178EA" w14:textId="77777777" w:rsidR="00D2628C" w:rsidRDefault="00D2628C" w:rsidP="00762659">
            <w:pPr>
              <w:spacing w:after="0"/>
              <w:rPr>
                <w:rFonts w:ascii="Arial" w:eastAsia="Times New Roman" w:hAnsi="Arial" w:cs="Arial"/>
                <w:b/>
                <w:bCs/>
                <w:color w:val="000000"/>
                <w:sz w:val="20"/>
                <w:szCs w:val="20"/>
                <w:lang w:eastAsia="en-GB"/>
              </w:rPr>
            </w:pPr>
          </w:p>
        </w:tc>
        <w:tc>
          <w:tcPr>
            <w:tcW w:w="1095" w:type="dxa"/>
            <w:vMerge/>
            <w:tcBorders>
              <w:top w:val="nil"/>
              <w:left w:val="nil"/>
              <w:bottom w:val="single" w:sz="4" w:space="0" w:color="000000"/>
              <w:right w:val="nil"/>
            </w:tcBorders>
            <w:vAlign w:val="center"/>
            <w:hideMark/>
          </w:tcPr>
          <w:p w14:paraId="7D986E50" w14:textId="77777777" w:rsidR="00D2628C" w:rsidRDefault="00D2628C" w:rsidP="00762659">
            <w:pPr>
              <w:spacing w:after="0"/>
              <w:rPr>
                <w:rFonts w:ascii="Arial" w:eastAsia="Times New Roman" w:hAnsi="Arial" w:cs="Arial"/>
                <w:b/>
                <w:bCs/>
                <w:color w:val="000000"/>
                <w:sz w:val="20"/>
                <w:szCs w:val="20"/>
                <w:lang w:eastAsia="en-GB"/>
              </w:rPr>
            </w:pPr>
          </w:p>
        </w:tc>
        <w:tc>
          <w:tcPr>
            <w:tcW w:w="236" w:type="dxa"/>
            <w:noWrap/>
            <w:tcMar>
              <w:top w:w="15" w:type="dxa"/>
              <w:left w:w="108" w:type="dxa"/>
              <w:bottom w:w="0" w:type="dxa"/>
              <w:right w:w="108" w:type="dxa"/>
            </w:tcMar>
            <w:vAlign w:val="bottom"/>
            <w:hideMark/>
          </w:tcPr>
          <w:p w14:paraId="5BCCF3F0" w14:textId="77777777" w:rsidR="00D2628C" w:rsidRDefault="00D2628C" w:rsidP="00762659">
            <w:pPr>
              <w:spacing w:after="0"/>
              <w:rPr>
                <w:sz w:val="20"/>
                <w:szCs w:val="20"/>
                <w:lang w:eastAsia="en-GB"/>
              </w:rPr>
            </w:pPr>
          </w:p>
        </w:tc>
      </w:tr>
      <w:tr w:rsidR="00D2628C" w14:paraId="47B3AFCE" w14:textId="77777777" w:rsidTr="00762659">
        <w:trPr>
          <w:trHeight w:val="290"/>
        </w:trPr>
        <w:tc>
          <w:tcPr>
            <w:tcW w:w="947" w:type="dxa"/>
            <w:tcMar>
              <w:top w:w="15" w:type="dxa"/>
              <w:left w:w="108" w:type="dxa"/>
              <w:bottom w:w="0" w:type="dxa"/>
              <w:right w:w="108" w:type="dxa"/>
            </w:tcMar>
            <w:vAlign w:val="center"/>
            <w:hideMark/>
          </w:tcPr>
          <w:p w14:paraId="6D8E7A47" w14:textId="77777777" w:rsidR="00D2628C" w:rsidRDefault="00D2628C" w:rsidP="00762659">
            <w:pPr>
              <w:spacing w:after="0"/>
              <w:rPr>
                <w:sz w:val="20"/>
                <w:szCs w:val="20"/>
                <w:lang w:eastAsia="en-GB"/>
              </w:rPr>
            </w:pPr>
          </w:p>
        </w:tc>
        <w:tc>
          <w:tcPr>
            <w:tcW w:w="1680" w:type="dxa"/>
            <w:tcMar>
              <w:top w:w="15" w:type="dxa"/>
              <w:left w:w="108" w:type="dxa"/>
              <w:bottom w:w="0" w:type="dxa"/>
              <w:right w:w="108" w:type="dxa"/>
            </w:tcMar>
            <w:vAlign w:val="center"/>
            <w:hideMark/>
          </w:tcPr>
          <w:p w14:paraId="0DF5EDC2" w14:textId="77777777" w:rsidR="00D2628C" w:rsidRDefault="00D2628C" w:rsidP="00762659">
            <w:pPr>
              <w:spacing w:after="0"/>
              <w:rPr>
                <w:sz w:val="20"/>
                <w:szCs w:val="20"/>
                <w:lang w:eastAsia="en-GB"/>
              </w:rPr>
            </w:pPr>
          </w:p>
        </w:tc>
        <w:tc>
          <w:tcPr>
            <w:tcW w:w="2089" w:type="dxa"/>
            <w:tcMar>
              <w:top w:w="15" w:type="dxa"/>
              <w:left w:w="108" w:type="dxa"/>
              <w:bottom w:w="0" w:type="dxa"/>
              <w:right w:w="108" w:type="dxa"/>
            </w:tcMar>
            <w:vAlign w:val="center"/>
            <w:hideMark/>
          </w:tcPr>
          <w:p w14:paraId="2EAED79C" w14:textId="77777777" w:rsidR="00D2628C" w:rsidRDefault="00D2628C" w:rsidP="00762659">
            <w:pPr>
              <w:spacing w:after="0"/>
              <w:rPr>
                <w:sz w:val="20"/>
                <w:szCs w:val="20"/>
                <w:lang w:eastAsia="en-GB"/>
              </w:rPr>
            </w:pPr>
          </w:p>
        </w:tc>
        <w:tc>
          <w:tcPr>
            <w:tcW w:w="1038" w:type="dxa"/>
            <w:tcMar>
              <w:top w:w="15" w:type="dxa"/>
              <w:left w:w="108" w:type="dxa"/>
              <w:bottom w:w="0" w:type="dxa"/>
              <w:right w:w="108" w:type="dxa"/>
            </w:tcMar>
            <w:vAlign w:val="center"/>
            <w:hideMark/>
          </w:tcPr>
          <w:p w14:paraId="049254FE" w14:textId="77777777" w:rsidR="00D2628C" w:rsidRDefault="00D2628C" w:rsidP="00762659">
            <w:pPr>
              <w:spacing w:after="0"/>
              <w:rPr>
                <w:sz w:val="20"/>
                <w:szCs w:val="20"/>
                <w:lang w:eastAsia="en-GB"/>
              </w:rPr>
            </w:pPr>
          </w:p>
        </w:tc>
        <w:tc>
          <w:tcPr>
            <w:tcW w:w="2226" w:type="dxa"/>
            <w:tcMar>
              <w:top w:w="15" w:type="dxa"/>
              <w:left w:w="108" w:type="dxa"/>
              <w:bottom w:w="0" w:type="dxa"/>
              <w:right w:w="108" w:type="dxa"/>
            </w:tcMar>
            <w:vAlign w:val="center"/>
            <w:hideMark/>
          </w:tcPr>
          <w:p w14:paraId="7CD3352A" w14:textId="77777777" w:rsidR="00D2628C" w:rsidRDefault="00D2628C" w:rsidP="00762659">
            <w:pPr>
              <w:spacing w:after="0"/>
              <w:rPr>
                <w:sz w:val="20"/>
                <w:szCs w:val="20"/>
                <w:lang w:eastAsia="en-GB"/>
              </w:rPr>
            </w:pPr>
          </w:p>
        </w:tc>
        <w:tc>
          <w:tcPr>
            <w:tcW w:w="1095" w:type="dxa"/>
            <w:tcMar>
              <w:top w:w="15" w:type="dxa"/>
              <w:left w:w="108" w:type="dxa"/>
              <w:bottom w:w="0" w:type="dxa"/>
              <w:right w:w="108" w:type="dxa"/>
            </w:tcMar>
            <w:vAlign w:val="center"/>
            <w:hideMark/>
          </w:tcPr>
          <w:p w14:paraId="4DAB827F" w14:textId="77777777" w:rsidR="00D2628C" w:rsidRDefault="00D2628C" w:rsidP="00762659">
            <w:pPr>
              <w:spacing w:after="0"/>
              <w:rPr>
                <w:sz w:val="20"/>
                <w:szCs w:val="20"/>
                <w:lang w:eastAsia="en-GB"/>
              </w:rPr>
            </w:pPr>
          </w:p>
        </w:tc>
        <w:tc>
          <w:tcPr>
            <w:tcW w:w="236" w:type="dxa"/>
            <w:tcMar>
              <w:top w:w="15" w:type="dxa"/>
              <w:left w:w="108" w:type="dxa"/>
              <w:bottom w:w="0" w:type="dxa"/>
              <w:right w:w="108" w:type="dxa"/>
            </w:tcMar>
            <w:vAlign w:val="center"/>
            <w:hideMark/>
          </w:tcPr>
          <w:p w14:paraId="47BA0DE4" w14:textId="77777777" w:rsidR="00D2628C" w:rsidRDefault="00D2628C" w:rsidP="00762659">
            <w:pPr>
              <w:spacing w:after="0"/>
              <w:rPr>
                <w:sz w:val="20"/>
                <w:szCs w:val="20"/>
                <w:lang w:eastAsia="en-GB"/>
              </w:rPr>
            </w:pPr>
          </w:p>
        </w:tc>
      </w:tr>
      <w:tr w:rsidR="00D2628C" w14:paraId="3F0F1BBD" w14:textId="77777777" w:rsidTr="00762659">
        <w:trPr>
          <w:trHeight w:val="290"/>
        </w:trPr>
        <w:tc>
          <w:tcPr>
            <w:tcW w:w="947" w:type="dxa"/>
            <w:tcMar>
              <w:top w:w="15" w:type="dxa"/>
              <w:left w:w="108" w:type="dxa"/>
              <w:bottom w:w="0" w:type="dxa"/>
              <w:right w:w="108" w:type="dxa"/>
            </w:tcMar>
            <w:vAlign w:val="center"/>
            <w:hideMark/>
          </w:tcPr>
          <w:p w14:paraId="536C52B8" w14:textId="77777777" w:rsidR="00D2628C" w:rsidRDefault="00D2628C" w:rsidP="0076265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Men</w:t>
            </w:r>
          </w:p>
        </w:tc>
        <w:tc>
          <w:tcPr>
            <w:tcW w:w="1680" w:type="dxa"/>
            <w:tcMar>
              <w:top w:w="15" w:type="dxa"/>
              <w:left w:w="108" w:type="dxa"/>
              <w:bottom w:w="0" w:type="dxa"/>
              <w:right w:w="108" w:type="dxa"/>
            </w:tcMar>
            <w:vAlign w:val="center"/>
            <w:hideMark/>
          </w:tcPr>
          <w:p w14:paraId="7DAE315C" w14:textId="77777777" w:rsidR="00D2628C" w:rsidRDefault="00D2628C" w:rsidP="0076265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Age-adjusted</w:t>
            </w:r>
          </w:p>
        </w:tc>
        <w:tc>
          <w:tcPr>
            <w:tcW w:w="2089" w:type="dxa"/>
            <w:noWrap/>
            <w:tcMar>
              <w:top w:w="15" w:type="dxa"/>
              <w:left w:w="108" w:type="dxa"/>
              <w:bottom w:w="0" w:type="dxa"/>
              <w:right w:w="108" w:type="dxa"/>
            </w:tcMar>
            <w:vAlign w:val="center"/>
            <w:hideMark/>
          </w:tcPr>
          <w:p w14:paraId="1EA8926E" w14:textId="77777777" w:rsidR="00D2628C" w:rsidRDefault="00D2628C" w:rsidP="00762659">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1.44 (0.96,2.16)</w:t>
            </w:r>
          </w:p>
        </w:tc>
        <w:tc>
          <w:tcPr>
            <w:tcW w:w="1038" w:type="dxa"/>
            <w:noWrap/>
            <w:tcMar>
              <w:top w:w="15" w:type="dxa"/>
              <w:left w:w="108" w:type="dxa"/>
              <w:bottom w:w="0" w:type="dxa"/>
              <w:right w:w="108" w:type="dxa"/>
            </w:tcMar>
            <w:vAlign w:val="center"/>
            <w:hideMark/>
          </w:tcPr>
          <w:p w14:paraId="4406511D" w14:textId="77777777" w:rsidR="00D2628C" w:rsidRDefault="00D2628C" w:rsidP="00762659">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0.078</w:t>
            </w:r>
          </w:p>
        </w:tc>
        <w:tc>
          <w:tcPr>
            <w:tcW w:w="2226" w:type="dxa"/>
            <w:noWrap/>
            <w:tcMar>
              <w:top w:w="15" w:type="dxa"/>
              <w:left w:w="108" w:type="dxa"/>
              <w:bottom w:w="0" w:type="dxa"/>
              <w:right w:w="108" w:type="dxa"/>
            </w:tcMar>
            <w:vAlign w:val="center"/>
            <w:hideMark/>
          </w:tcPr>
          <w:p w14:paraId="4162A67E" w14:textId="77777777" w:rsidR="00D2628C" w:rsidRDefault="00D2628C" w:rsidP="00762659">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1.87 (0.88,3.94)</w:t>
            </w:r>
          </w:p>
        </w:tc>
        <w:tc>
          <w:tcPr>
            <w:tcW w:w="1095" w:type="dxa"/>
            <w:noWrap/>
            <w:tcMar>
              <w:top w:w="15" w:type="dxa"/>
              <w:left w:w="108" w:type="dxa"/>
              <w:bottom w:w="0" w:type="dxa"/>
              <w:right w:w="108" w:type="dxa"/>
            </w:tcMar>
            <w:vAlign w:val="center"/>
            <w:hideMark/>
          </w:tcPr>
          <w:p w14:paraId="009A0B44" w14:textId="77777777" w:rsidR="00D2628C" w:rsidRDefault="00D2628C" w:rsidP="00762659">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0.103</w:t>
            </w:r>
          </w:p>
        </w:tc>
        <w:tc>
          <w:tcPr>
            <w:tcW w:w="236" w:type="dxa"/>
            <w:tcMar>
              <w:top w:w="15" w:type="dxa"/>
              <w:left w:w="108" w:type="dxa"/>
              <w:bottom w:w="0" w:type="dxa"/>
              <w:right w:w="108" w:type="dxa"/>
            </w:tcMar>
            <w:vAlign w:val="center"/>
            <w:hideMark/>
          </w:tcPr>
          <w:p w14:paraId="30AEDADD" w14:textId="77777777" w:rsidR="00D2628C" w:rsidRDefault="00D2628C" w:rsidP="00762659">
            <w:pPr>
              <w:rPr>
                <w:rFonts w:ascii="Arial" w:eastAsia="Times New Roman" w:hAnsi="Arial" w:cs="Arial"/>
                <w:color w:val="000000"/>
                <w:sz w:val="20"/>
                <w:szCs w:val="20"/>
                <w:lang w:eastAsia="en-GB"/>
              </w:rPr>
            </w:pPr>
          </w:p>
        </w:tc>
      </w:tr>
      <w:tr w:rsidR="00D2628C" w14:paraId="25EEB8FD" w14:textId="77777777" w:rsidTr="00762659">
        <w:trPr>
          <w:trHeight w:val="290"/>
        </w:trPr>
        <w:tc>
          <w:tcPr>
            <w:tcW w:w="947" w:type="dxa"/>
            <w:tcMar>
              <w:top w:w="15" w:type="dxa"/>
              <w:left w:w="108" w:type="dxa"/>
              <w:bottom w:w="0" w:type="dxa"/>
              <w:right w:w="108" w:type="dxa"/>
            </w:tcMar>
            <w:vAlign w:val="center"/>
            <w:hideMark/>
          </w:tcPr>
          <w:p w14:paraId="41A803A1" w14:textId="77777777" w:rsidR="00D2628C" w:rsidRDefault="00D2628C" w:rsidP="00762659">
            <w:pPr>
              <w:spacing w:after="0"/>
              <w:rPr>
                <w:sz w:val="20"/>
                <w:szCs w:val="20"/>
                <w:lang w:eastAsia="en-GB"/>
              </w:rPr>
            </w:pPr>
          </w:p>
        </w:tc>
        <w:tc>
          <w:tcPr>
            <w:tcW w:w="1680" w:type="dxa"/>
            <w:tcMar>
              <w:top w:w="15" w:type="dxa"/>
              <w:left w:w="108" w:type="dxa"/>
              <w:bottom w:w="0" w:type="dxa"/>
              <w:right w:w="108" w:type="dxa"/>
            </w:tcMar>
            <w:vAlign w:val="center"/>
            <w:hideMark/>
          </w:tcPr>
          <w:p w14:paraId="65A0111A" w14:textId="77777777" w:rsidR="00D2628C" w:rsidRDefault="00D2628C" w:rsidP="0076265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Fully adjusted</w:t>
            </w:r>
          </w:p>
        </w:tc>
        <w:tc>
          <w:tcPr>
            <w:tcW w:w="2089" w:type="dxa"/>
            <w:noWrap/>
            <w:tcMar>
              <w:top w:w="15" w:type="dxa"/>
              <w:left w:w="108" w:type="dxa"/>
              <w:bottom w:w="0" w:type="dxa"/>
              <w:right w:w="108" w:type="dxa"/>
            </w:tcMar>
            <w:vAlign w:val="center"/>
            <w:hideMark/>
          </w:tcPr>
          <w:p w14:paraId="48BCF593" w14:textId="77777777" w:rsidR="00D2628C" w:rsidRDefault="00D2628C" w:rsidP="00762659">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1.40 (0.92,2.13)</w:t>
            </w:r>
          </w:p>
        </w:tc>
        <w:tc>
          <w:tcPr>
            <w:tcW w:w="1038" w:type="dxa"/>
            <w:noWrap/>
            <w:tcMar>
              <w:top w:w="15" w:type="dxa"/>
              <w:left w:w="108" w:type="dxa"/>
              <w:bottom w:w="0" w:type="dxa"/>
              <w:right w:w="108" w:type="dxa"/>
            </w:tcMar>
            <w:vAlign w:val="center"/>
            <w:hideMark/>
          </w:tcPr>
          <w:p w14:paraId="1425EE28" w14:textId="77777777" w:rsidR="00D2628C" w:rsidRDefault="00D2628C" w:rsidP="00762659">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0.115</w:t>
            </w:r>
          </w:p>
        </w:tc>
        <w:tc>
          <w:tcPr>
            <w:tcW w:w="2226" w:type="dxa"/>
            <w:noWrap/>
            <w:tcMar>
              <w:top w:w="15" w:type="dxa"/>
              <w:left w:w="108" w:type="dxa"/>
              <w:bottom w:w="0" w:type="dxa"/>
              <w:right w:w="108" w:type="dxa"/>
            </w:tcMar>
            <w:vAlign w:val="center"/>
            <w:hideMark/>
          </w:tcPr>
          <w:p w14:paraId="0E2E41A3" w14:textId="77777777" w:rsidR="00D2628C" w:rsidRDefault="00D2628C" w:rsidP="00762659">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1.84 (0.85,3.99)</w:t>
            </w:r>
          </w:p>
        </w:tc>
        <w:tc>
          <w:tcPr>
            <w:tcW w:w="1095" w:type="dxa"/>
            <w:noWrap/>
            <w:tcMar>
              <w:top w:w="15" w:type="dxa"/>
              <w:left w:w="108" w:type="dxa"/>
              <w:bottom w:w="0" w:type="dxa"/>
              <w:right w:w="108" w:type="dxa"/>
            </w:tcMar>
            <w:vAlign w:val="center"/>
            <w:hideMark/>
          </w:tcPr>
          <w:p w14:paraId="1F98BA2C" w14:textId="77777777" w:rsidR="00D2628C" w:rsidRDefault="00D2628C" w:rsidP="00762659">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0.120</w:t>
            </w:r>
          </w:p>
        </w:tc>
        <w:tc>
          <w:tcPr>
            <w:tcW w:w="236" w:type="dxa"/>
            <w:tcMar>
              <w:top w:w="15" w:type="dxa"/>
              <w:left w:w="108" w:type="dxa"/>
              <w:bottom w:w="0" w:type="dxa"/>
              <w:right w:w="108" w:type="dxa"/>
            </w:tcMar>
            <w:vAlign w:val="center"/>
            <w:hideMark/>
          </w:tcPr>
          <w:p w14:paraId="412AE70D" w14:textId="77777777" w:rsidR="00D2628C" w:rsidRDefault="00D2628C" w:rsidP="00762659">
            <w:pPr>
              <w:rPr>
                <w:rFonts w:ascii="Arial" w:eastAsia="Times New Roman" w:hAnsi="Arial" w:cs="Arial"/>
                <w:color w:val="000000"/>
                <w:sz w:val="20"/>
                <w:szCs w:val="20"/>
                <w:lang w:eastAsia="en-GB"/>
              </w:rPr>
            </w:pPr>
          </w:p>
        </w:tc>
      </w:tr>
      <w:tr w:rsidR="00D2628C" w14:paraId="4402C425" w14:textId="77777777" w:rsidTr="00762659">
        <w:trPr>
          <w:trHeight w:val="290"/>
        </w:trPr>
        <w:tc>
          <w:tcPr>
            <w:tcW w:w="947" w:type="dxa"/>
            <w:tcMar>
              <w:top w:w="15" w:type="dxa"/>
              <w:left w:w="108" w:type="dxa"/>
              <w:bottom w:w="0" w:type="dxa"/>
              <w:right w:w="108" w:type="dxa"/>
            </w:tcMar>
            <w:vAlign w:val="center"/>
            <w:hideMark/>
          </w:tcPr>
          <w:p w14:paraId="523B7E87" w14:textId="77777777" w:rsidR="00D2628C" w:rsidRDefault="00D2628C" w:rsidP="00762659">
            <w:pPr>
              <w:spacing w:after="0"/>
              <w:rPr>
                <w:sz w:val="20"/>
                <w:szCs w:val="20"/>
                <w:lang w:eastAsia="en-GB"/>
              </w:rPr>
            </w:pPr>
          </w:p>
        </w:tc>
        <w:tc>
          <w:tcPr>
            <w:tcW w:w="1680" w:type="dxa"/>
            <w:tcMar>
              <w:top w:w="15" w:type="dxa"/>
              <w:left w:w="108" w:type="dxa"/>
              <w:bottom w:w="0" w:type="dxa"/>
              <w:right w:w="108" w:type="dxa"/>
            </w:tcMar>
            <w:vAlign w:val="center"/>
            <w:hideMark/>
          </w:tcPr>
          <w:p w14:paraId="4F71D8DC" w14:textId="77777777" w:rsidR="00D2628C" w:rsidRDefault="00D2628C" w:rsidP="00762659">
            <w:pPr>
              <w:spacing w:after="0"/>
              <w:rPr>
                <w:sz w:val="20"/>
                <w:szCs w:val="20"/>
                <w:lang w:eastAsia="en-GB"/>
              </w:rPr>
            </w:pPr>
          </w:p>
        </w:tc>
        <w:tc>
          <w:tcPr>
            <w:tcW w:w="2089" w:type="dxa"/>
            <w:tcMar>
              <w:top w:w="15" w:type="dxa"/>
              <w:left w:w="108" w:type="dxa"/>
              <w:bottom w:w="0" w:type="dxa"/>
              <w:right w:w="108" w:type="dxa"/>
            </w:tcMar>
            <w:vAlign w:val="center"/>
            <w:hideMark/>
          </w:tcPr>
          <w:p w14:paraId="5D994544" w14:textId="77777777" w:rsidR="00D2628C" w:rsidRDefault="00D2628C" w:rsidP="00762659">
            <w:pPr>
              <w:spacing w:after="0"/>
              <w:rPr>
                <w:sz w:val="20"/>
                <w:szCs w:val="20"/>
                <w:lang w:eastAsia="en-GB"/>
              </w:rPr>
            </w:pPr>
          </w:p>
        </w:tc>
        <w:tc>
          <w:tcPr>
            <w:tcW w:w="1038" w:type="dxa"/>
            <w:tcMar>
              <w:top w:w="15" w:type="dxa"/>
              <w:left w:w="108" w:type="dxa"/>
              <w:bottom w:w="0" w:type="dxa"/>
              <w:right w:w="108" w:type="dxa"/>
            </w:tcMar>
            <w:vAlign w:val="center"/>
            <w:hideMark/>
          </w:tcPr>
          <w:p w14:paraId="5C031745" w14:textId="77777777" w:rsidR="00D2628C" w:rsidRDefault="00D2628C" w:rsidP="00762659">
            <w:pPr>
              <w:spacing w:after="0"/>
              <w:rPr>
                <w:sz w:val="20"/>
                <w:szCs w:val="20"/>
                <w:lang w:eastAsia="en-GB"/>
              </w:rPr>
            </w:pPr>
          </w:p>
        </w:tc>
        <w:tc>
          <w:tcPr>
            <w:tcW w:w="2226" w:type="dxa"/>
            <w:tcMar>
              <w:top w:w="15" w:type="dxa"/>
              <w:left w:w="108" w:type="dxa"/>
              <w:bottom w:w="0" w:type="dxa"/>
              <w:right w:w="108" w:type="dxa"/>
            </w:tcMar>
            <w:vAlign w:val="center"/>
            <w:hideMark/>
          </w:tcPr>
          <w:p w14:paraId="7DA09C89" w14:textId="77777777" w:rsidR="00D2628C" w:rsidRDefault="00D2628C" w:rsidP="00762659">
            <w:pPr>
              <w:spacing w:after="0"/>
              <w:rPr>
                <w:sz w:val="20"/>
                <w:szCs w:val="20"/>
                <w:lang w:eastAsia="en-GB"/>
              </w:rPr>
            </w:pPr>
          </w:p>
        </w:tc>
        <w:tc>
          <w:tcPr>
            <w:tcW w:w="1095" w:type="dxa"/>
            <w:tcMar>
              <w:top w:w="15" w:type="dxa"/>
              <w:left w:w="108" w:type="dxa"/>
              <w:bottom w:w="0" w:type="dxa"/>
              <w:right w:w="108" w:type="dxa"/>
            </w:tcMar>
            <w:vAlign w:val="center"/>
            <w:hideMark/>
          </w:tcPr>
          <w:p w14:paraId="15A2383F" w14:textId="77777777" w:rsidR="00D2628C" w:rsidRDefault="00D2628C" w:rsidP="00762659">
            <w:pPr>
              <w:spacing w:after="0"/>
              <w:rPr>
                <w:sz w:val="20"/>
                <w:szCs w:val="20"/>
                <w:lang w:eastAsia="en-GB"/>
              </w:rPr>
            </w:pPr>
          </w:p>
        </w:tc>
        <w:tc>
          <w:tcPr>
            <w:tcW w:w="236" w:type="dxa"/>
            <w:tcMar>
              <w:top w:w="15" w:type="dxa"/>
              <w:left w:w="108" w:type="dxa"/>
              <w:bottom w:w="0" w:type="dxa"/>
              <w:right w:w="108" w:type="dxa"/>
            </w:tcMar>
            <w:vAlign w:val="center"/>
            <w:hideMark/>
          </w:tcPr>
          <w:p w14:paraId="0B5481C3" w14:textId="77777777" w:rsidR="00D2628C" w:rsidRDefault="00D2628C" w:rsidP="00762659">
            <w:pPr>
              <w:spacing w:after="0"/>
              <w:rPr>
                <w:sz w:val="20"/>
                <w:szCs w:val="20"/>
                <w:lang w:eastAsia="en-GB"/>
              </w:rPr>
            </w:pPr>
          </w:p>
        </w:tc>
      </w:tr>
      <w:tr w:rsidR="00D2628C" w14:paraId="48C6C851" w14:textId="77777777" w:rsidTr="00762659">
        <w:trPr>
          <w:trHeight w:val="290"/>
        </w:trPr>
        <w:tc>
          <w:tcPr>
            <w:tcW w:w="947" w:type="dxa"/>
            <w:tcMar>
              <w:top w:w="15" w:type="dxa"/>
              <w:left w:w="108" w:type="dxa"/>
              <w:bottom w:w="0" w:type="dxa"/>
              <w:right w:w="108" w:type="dxa"/>
            </w:tcMar>
            <w:vAlign w:val="center"/>
            <w:hideMark/>
          </w:tcPr>
          <w:p w14:paraId="392BA306" w14:textId="77777777" w:rsidR="00D2628C" w:rsidRDefault="00D2628C" w:rsidP="00762659">
            <w:pPr>
              <w:spacing w:after="0" w:line="240" w:lineRule="auto"/>
              <w:rPr>
                <w:rFonts w:ascii="Arial" w:eastAsia="Times New Roman" w:hAnsi="Arial" w:cs="Arial"/>
                <w:b/>
                <w:bCs/>
                <w:color w:val="000000"/>
                <w:sz w:val="20"/>
                <w:szCs w:val="20"/>
                <w:lang w:eastAsia="en-GB"/>
              </w:rPr>
            </w:pPr>
            <w:r>
              <w:rPr>
                <w:rFonts w:ascii="Arial" w:eastAsia="Arial" w:hAnsi="Arial" w:cs="Arial"/>
                <w:b/>
                <w:bCs/>
                <w:color w:val="000000"/>
                <w:sz w:val="20"/>
                <w:szCs w:val="20"/>
                <w:lang w:eastAsia="en-GB"/>
              </w:rPr>
              <w:t>Women</w:t>
            </w:r>
          </w:p>
        </w:tc>
        <w:tc>
          <w:tcPr>
            <w:tcW w:w="1680" w:type="dxa"/>
            <w:tcMar>
              <w:top w:w="15" w:type="dxa"/>
              <w:left w:w="108" w:type="dxa"/>
              <w:bottom w:w="0" w:type="dxa"/>
              <w:right w:w="108" w:type="dxa"/>
            </w:tcMar>
            <w:vAlign w:val="center"/>
            <w:hideMark/>
          </w:tcPr>
          <w:p w14:paraId="5A19E004" w14:textId="77777777" w:rsidR="00D2628C" w:rsidRDefault="00D2628C" w:rsidP="0076265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Age-adjusted</w:t>
            </w:r>
          </w:p>
        </w:tc>
        <w:tc>
          <w:tcPr>
            <w:tcW w:w="2089" w:type="dxa"/>
            <w:noWrap/>
            <w:tcMar>
              <w:top w:w="15" w:type="dxa"/>
              <w:left w:w="108" w:type="dxa"/>
              <w:bottom w:w="0" w:type="dxa"/>
              <w:right w:w="108" w:type="dxa"/>
            </w:tcMar>
            <w:vAlign w:val="center"/>
            <w:hideMark/>
          </w:tcPr>
          <w:p w14:paraId="2DB3D431" w14:textId="77777777" w:rsidR="00D2628C" w:rsidRDefault="00D2628C" w:rsidP="00762659">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1.27 (0.99,1.62)</w:t>
            </w:r>
          </w:p>
        </w:tc>
        <w:tc>
          <w:tcPr>
            <w:tcW w:w="1038" w:type="dxa"/>
            <w:noWrap/>
            <w:tcMar>
              <w:top w:w="15" w:type="dxa"/>
              <w:left w:w="108" w:type="dxa"/>
              <w:bottom w:w="0" w:type="dxa"/>
              <w:right w:w="108" w:type="dxa"/>
            </w:tcMar>
            <w:vAlign w:val="center"/>
            <w:hideMark/>
          </w:tcPr>
          <w:p w14:paraId="66E0345D" w14:textId="77777777" w:rsidR="00D2628C" w:rsidRDefault="00D2628C" w:rsidP="00762659">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0.059</w:t>
            </w:r>
          </w:p>
        </w:tc>
        <w:tc>
          <w:tcPr>
            <w:tcW w:w="2226" w:type="dxa"/>
            <w:noWrap/>
            <w:tcMar>
              <w:top w:w="15" w:type="dxa"/>
              <w:left w:w="108" w:type="dxa"/>
              <w:bottom w:w="0" w:type="dxa"/>
              <w:right w:w="108" w:type="dxa"/>
            </w:tcMar>
            <w:vAlign w:val="center"/>
            <w:hideMark/>
          </w:tcPr>
          <w:p w14:paraId="4245C873" w14:textId="77777777" w:rsidR="00D2628C" w:rsidRDefault="00D2628C" w:rsidP="00762659">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1.19 (0.72,1.94)</w:t>
            </w:r>
          </w:p>
        </w:tc>
        <w:tc>
          <w:tcPr>
            <w:tcW w:w="1095" w:type="dxa"/>
            <w:noWrap/>
            <w:tcMar>
              <w:top w:w="15" w:type="dxa"/>
              <w:left w:w="108" w:type="dxa"/>
              <w:bottom w:w="0" w:type="dxa"/>
              <w:right w:w="108" w:type="dxa"/>
            </w:tcMar>
            <w:vAlign w:val="center"/>
            <w:hideMark/>
          </w:tcPr>
          <w:p w14:paraId="0A27B680" w14:textId="77777777" w:rsidR="00D2628C" w:rsidRDefault="00D2628C" w:rsidP="00762659">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0.496</w:t>
            </w:r>
          </w:p>
        </w:tc>
        <w:tc>
          <w:tcPr>
            <w:tcW w:w="236" w:type="dxa"/>
            <w:tcMar>
              <w:top w:w="15" w:type="dxa"/>
              <w:left w:w="108" w:type="dxa"/>
              <w:bottom w:w="0" w:type="dxa"/>
              <w:right w:w="108" w:type="dxa"/>
            </w:tcMar>
            <w:vAlign w:val="center"/>
            <w:hideMark/>
          </w:tcPr>
          <w:p w14:paraId="3091145C" w14:textId="77777777" w:rsidR="00D2628C" w:rsidRDefault="00D2628C" w:rsidP="00762659">
            <w:pPr>
              <w:rPr>
                <w:rFonts w:ascii="Arial" w:eastAsia="Times New Roman" w:hAnsi="Arial" w:cs="Arial"/>
                <w:color w:val="000000"/>
                <w:sz w:val="20"/>
                <w:szCs w:val="20"/>
                <w:lang w:eastAsia="en-GB"/>
              </w:rPr>
            </w:pPr>
          </w:p>
        </w:tc>
      </w:tr>
      <w:tr w:rsidR="00D2628C" w14:paraId="3BAF030F" w14:textId="77777777" w:rsidTr="00762659">
        <w:trPr>
          <w:trHeight w:val="290"/>
        </w:trPr>
        <w:tc>
          <w:tcPr>
            <w:tcW w:w="947" w:type="dxa"/>
            <w:tcBorders>
              <w:top w:val="nil"/>
              <w:left w:val="nil"/>
              <w:bottom w:val="single" w:sz="4" w:space="0" w:color="auto"/>
              <w:right w:val="nil"/>
            </w:tcBorders>
            <w:tcMar>
              <w:top w:w="15" w:type="dxa"/>
              <w:left w:w="108" w:type="dxa"/>
              <w:bottom w:w="0" w:type="dxa"/>
              <w:right w:w="108" w:type="dxa"/>
            </w:tcMar>
            <w:vAlign w:val="center"/>
            <w:hideMark/>
          </w:tcPr>
          <w:p w14:paraId="0CFF9C6D" w14:textId="77777777" w:rsidR="00D2628C" w:rsidRDefault="00D2628C" w:rsidP="00762659">
            <w:pPr>
              <w:spacing w:after="0"/>
              <w:rPr>
                <w:sz w:val="20"/>
                <w:szCs w:val="20"/>
                <w:lang w:eastAsia="en-GB"/>
              </w:rPr>
            </w:pPr>
          </w:p>
        </w:tc>
        <w:tc>
          <w:tcPr>
            <w:tcW w:w="1680" w:type="dxa"/>
            <w:tcBorders>
              <w:top w:val="nil"/>
              <w:left w:val="nil"/>
              <w:bottom w:val="single" w:sz="4" w:space="0" w:color="auto"/>
              <w:right w:val="nil"/>
            </w:tcBorders>
            <w:tcMar>
              <w:top w:w="15" w:type="dxa"/>
              <w:left w:w="108" w:type="dxa"/>
              <w:bottom w:w="0" w:type="dxa"/>
              <w:right w:w="108" w:type="dxa"/>
            </w:tcMar>
            <w:vAlign w:val="center"/>
            <w:hideMark/>
          </w:tcPr>
          <w:p w14:paraId="4520C2A3" w14:textId="77777777" w:rsidR="00D2628C" w:rsidRDefault="00D2628C" w:rsidP="0076265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Fully adjusted</w:t>
            </w:r>
          </w:p>
        </w:tc>
        <w:tc>
          <w:tcPr>
            <w:tcW w:w="2089" w:type="dxa"/>
            <w:tcBorders>
              <w:top w:val="nil"/>
              <w:left w:val="nil"/>
              <w:bottom w:val="single" w:sz="4" w:space="0" w:color="auto"/>
              <w:right w:val="nil"/>
            </w:tcBorders>
            <w:noWrap/>
            <w:tcMar>
              <w:top w:w="15" w:type="dxa"/>
              <w:left w:w="108" w:type="dxa"/>
              <w:bottom w:w="0" w:type="dxa"/>
              <w:right w:w="108" w:type="dxa"/>
            </w:tcMar>
            <w:vAlign w:val="center"/>
            <w:hideMark/>
          </w:tcPr>
          <w:p w14:paraId="14D7B42B" w14:textId="77777777" w:rsidR="00D2628C" w:rsidRDefault="00D2628C" w:rsidP="00762659">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1.19 (0.93,1.54)</w:t>
            </w:r>
          </w:p>
        </w:tc>
        <w:tc>
          <w:tcPr>
            <w:tcW w:w="1038" w:type="dxa"/>
            <w:tcBorders>
              <w:top w:val="nil"/>
              <w:left w:val="nil"/>
              <w:bottom w:val="single" w:sz="4" w:space="0" w:color="auto"/>
              <w:right w:val="nil"/>
            </w:tcBorders>
            <w:noWrap/>
            <w:tcMar>
              <w:top w:w="15" w:type="dxa"/>
              <w:left w:w="108" w:type="dxa"/>
              <w:bottom w:w="0" w:type="dxa"/>
              <w:right w:w="108" w:type="dxa"/>
            </w:tcMar>
            <w:vAlign w:val="center"/>
            <w:hideMark/>
          </w:tcPr>
          <w:p w14:paraId="32279E01" w14:textId="77777777" w:rsidR="00D2628C" w:rsidRDefault="00D2628C" w:rsidP="00762659">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0.167</w:t>
            </w:r>
          </w:p>
        </w:tc>
        <w:tc>
          <w:tcPr>
            <w:tcW w:w="2226" w:type="dxa"/>
            <w:tcBorders>
              <w:top w:val="nil"/>
              <w:left w:val="nil"/>
              <w:bottom w:val="single" w:sz="4" w:space="0" w:color="auto"/>
              <w:right w:val="nil"/>
            </w:tcBorders>
            <w:noWrap/>
            <w:tcMar>
              <w:top w:w="15" w:type="dxa"/>
              <w:left w:w="108" w:type="dxa"/>
              <w:bottom w:w="0" w:type="dxa"/>
              <w:right w:w="108" w:type="dxa"/>
            </w:tcMar>
            <w:vAlign w:val="center"/>
            <w:hideMark/>
          </w:tcPr>
          <w:p w14:paraId="34E551AC" w14:textId="77777777" w:rsidR="00D2628C" w:rsidRDefault="00D2628C" w:rsidP="00762659">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1.14 (0.69,1.88)</w:t>
            </w:r>
          </w:p>
        </w:tc>
        <w:tc>
          <w:tcPr>
            <w:tcW w:w="1095" w:type="dxa"/>
            <w:tcBorders>
              <w:top w:val="nil"/>
              <w:left w:val="nil"/>
              <w:bottom w:val="single" w:sz="4" w:space="0" w:color="auto"/>
              <w:right w:val="nil"/>
            </w:tcBorders>
            <w:noWrap/>
            <w:tcMar>
              <w:top w:w="15" w:type="dxa"/>
              <w:left w:w="108" w:type="dxa"/>
              <w:bottom w:w="0" w:type="dxa"/>
              <w:right w:w="108" w:type="dxa"/>
            </w:tcMar>
            <w:vAlign w:val="center"/>
            <w:hideMark/>
          </w:tcPr>
          <w:p w14:paraId="5C7B0DFF" w14:textId="77777777" w:rsidR="00D2628C" w:rsidRDefault="00D2628C" w:rsidP="00762659">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0.602</w:t>
            </w:r>
          </w:p>
        </w:tc>
        <w:tc>
          <w:tcPr>
            <w:tcW w:w="236" w:type="dxa"/>
            <w:tcMar>
              <w:top w:w="15" w:type="dxa"/>
              <w:left w:w="108" w:type="dxa"/>
              <w:bottom w:w="0" w:type="dxa"/>
              <w:right w:w="108" w:type="dxa"/>
            </w:tcMar>
            <w:vAlign w:val="center"/>
            <w:hideMark/>
          </w:tcPr>
          <w:p w14:paraId="77D4D9A8" w14:textId="77777777" w:rsidR="00D2628C" w:rsidRDefault="00D2628C" w:rsidP="00762659">
            <w:pPr>
              <w:rPr>
                <w:rFonts w:ascii="Arial" w:eastAsia="Times New Roman" w:hAnsi="Arial" w:cs="Arial"/>
                <w:color w:val="000000"/>
                <w:sz w:val="20"/>
                <w:szCs w:val="20"/>
                <w:lang w:eastAsia="en-GB"/>
              </w:rPr>
            </w:pPr>
          </w:p>
        </w:tc>
      </w:tr>
      <w:tr w:rsidR="00D2628C" w14:paraId="5497DD4D" w14:textId="77777777" w:rsidTr="00762659">
        <w:trPr>
          <w:trHeight w:val="290"/>
        </w:trPr>
        <w:tc>
          <w:tcPr>
            <w:tcW w:w="947" w:type="dxa"/>
            <w:tcMar>
              <w:top w:w="15" w:type="dxa"/>
              <w:left w:w="108" w:type="dxa"/>
              <w:bottom w:w="0" w:type="dxa"/>
              <w:right w:w="108" w:type="dxa"/>
            </w:tcMar>
            <w:vAlign w:val="center"/>
            <w:hideMark/>
          </w:tcPr>
          <w:p w14:paraId="44152832" w14:textId="77777777" w:rsidR="00D2628C" w:rsidRDefault="00D2628C" w:rsidP="00762659">
            <w:pPr>
              <w:spacing w:after="0"/>
              <w:rPr>
                <w:sz w:val="20"/>
                <w:szCs w:val="20"/>
                <w:lang w:eastAsia="en-GB"/>
              </w:rPr>
            </w:pPr>
          </w:p>
        </w:tc>
        <w:tc>
          <w:tcPr>
            <w:tcW w:w="1680" w:type="dxa"/>
            <w:tcMar>
              <w:top w:w="15" w:type="dxa"/>
              <w:left w:w="108" w:type="dxa"/>
              <w:bottom w:w="0" w:type="dxa"/>
              <w:right w:w="108" w:type="dxa"/>
            </w:tcMar>
            <w:vAlign w:val="center"/>
            <w:hideMark/>
          </w:tcPr>
          <w:p w14:paraId="7AB3E685" w14:textId="77777777" w:rsidR="00D2628C" w:rsidRDefault="00D2628C" w:rsidP="00762659">
            <w:pPr>
              <w:spacing w:after="0"/>
              <w:rPr>
                <w:sz w:val="20"/>
                <w:szCs w:val="20"/>
                <w:lang w:eastAsia="en-GB"/>
              </w:rPr>
            </w:pPr>
          </w:p>
        </w:tc>
        <w:tc>
          <w:tcPr>
            <w:tcW w:w="2089" w:type="dxa"/>
            <w:tcMar>
              <w:top w:w="15" w:type="dxa"/>
              <w:left w:w="108" w:type="dxa"/>
              <w:bottom w:w="0" w:type="dxa"/>
              <w:right w:w="108" w:type="dxa"/>
            </w:tcMar>
            <w:vAlign w:val="center"/>
            <w:hideMark/>
          </w:tcPr>
          <w:p w14:paraId="629F6CC8" w14:textId="77777777" w:rsidR="00D2628C" w:rsidRDefault="00D2628C" w:rsidP="00762659">
            <w:pPr>
              <w:spacing w:after="0"/>
              <w:rPr>
                <w:sz w:val="20"/>
                <w:szCs w:val="20"/>
                <w:lang w:eastAsia="en-GB"/>
              </w:rPr>
            </w:pPr>
          </w:p>
        </w:tc>
        <w:tc>
          <w:tcPr>
            <w:tcW w:w="1038" w:type="dxa"/>
            <w:tcMar>
              <w:top w:w="15" w:type="dxa"/>
              <w:left w:w="108" w:type="dxa"/>
              <w:bottom w:w="0" w:type="dxa"/>
              <w:right w:w="108" w:type="dxa"/>
            </w:tcMar>
            <w:vAlign w:val="center"/>
            <w:hideMark/>
          </w:tcPr>
          <w:p w14:paraId="191D2739" w14:textId="77777777" w:rsidR="00D2628C" w:rsidRDefault="00D2628C" w:rsidP="00762659">
            <w:pPr>
              <w:spacing w:after="0"/>
              <w:rPr>
                <w:sz w:val="20"/>
                <w:szCs w:val="20"/>
                <w:lang w:eastAsia="en-GB"/>
              </w:rPr>
            </w:pPr>
          </w:p>
        </w:tc>
        <w:tc>
          <w:tcPr>
            <w:tcW w:w="2226" w:type="dxa"/>
            <w:tcMar>
              <w:top w:w="15" w:type="dxa"/>
              <w:left w:w="108" w:type="dxa"/>
              <w:bottom w:w="0" w:type="dxa"/>
              <w:right w:w="108" w:type="dxa"/>
            </w:tcMar>
            <w:vAlign w:val="center"/>
            <w:hideMark/>
          </w:tcPr>
          <w:p w14:paraId="0E768522" w14:textId="77777777" w:rsidR="00D2628C" w:rsidRDefault="00D2628C" w:rsidP="00762659">
            <w:pPr>
              <w:spacing w:after="0"/>
              <w:rPr>
                <w:sz w:val="20"/>
                <w:szCs w:val="20"/>
                <w:lang w:eastAsia="en-GB"/>
              </w:rPr>
            </w:pPr>
          </w:p>
        </w:tc>
        <w:tc>
          <w:tcPr>
            <w:tcW w:w="1095" w:type="dxa"/>
            <w:tcMar>
              <w:top w:w="15" w:type="dxa"/>
              <w:left w:w="108" w:type="dxa"/>
              <w:bottom w:w="0" w:type="dxa"/>
              <w:right w:w="108" w:type="dxa"/>
            </w:tcMar>
            <w:vAlign w:val="center"/>
            <w:hideMark/>
          </w:tcPr>
          <w:p w14:paraId="73DE3181" w14:textId="77777777" w:rsidR="00D2628C" w:rsidRDefault="00D2628C" w:rsidP="00762659">
            <w:pPr>
              <w:spacing w:after="0"/>
              <w:rPr>
                <w:sz w:val="20"/>
                <w:szCs w:val="20"/>
                <w:lang w:eastAsia="en-GB"/>
              </w:rPr>
            </w:pPr>
          </w:p>
        </w:tc>
        <w:tc>
          <w:tcPr>
            <w:tcW w:w="236" w:type="dxa"/>
            <w:tcMar>
              <w:top w:w="15" w:type="dxa"/>
              <w:left w:w="108" w:type="dxa"/>
              <w:bottom w:w="0" w:type="dxa"/>
              <w:right w:w="108" w:type="dxa"/>
            </w:tcMar>
            <w:vAlign w:val="center"/>
            <w:hideMark/>
          </w:tcPr>
          <w:p w14:paraId="2E1E1EFF" w14:textId="77777777" w:rsidR="00D2628C" w:rsidRDefault="00D2628C" w:rsidP="00762659">
            <w:pPr>
              <w:spacing w:after="0"/>
              <w:rPr>
                <w:sz w:val="20"/>
                <w:szCs w:val="20"/>
                <w:lang w:eastAsia="en-GB"/>
              </w:rPr>
            </w:pPr>
          </w:p>
        </w:tc>
      </w:tr>
      <w:tr w:rsidR="00D2628C" w14:paraId="401917DB" w14:textId="77777777" w:rsidTr="00762659">
        <w:trPr>
          <w:trHeight w:val="290"/>
        </w:trPr>
        <w:tc>
          <w:tcPr>
            <w:tcW w:w="9075" w:type="dxa"/>
            <w:gridSpan w:val="6"/>
            <w:vMerge w:val="restart"/>
            <w:tcMar>
              <w:top w:w="15" w:type="dxa"/>
              <w:left w:w="108" w:type="dxa"/>
              <w:bottom w:w="0" w:type="dxa"/>
              <w:right w:w="108" w:type="dxa"/>
            </w:tcMar>
            <w:hideMark/>
          </w:tcPr>
          <w:p w14:paraId="6111A372" w14:textId="77777777" w:rsidR="00D2628C" w:rsidRDefault="00D2628C" w:rsidP="00762659">
            <w:pPr>
              <w:spacing w:after="0" w:line="240" w:lineRule="auto"/>
              <w:jc w:val="both"/>
              <w:rPr>
                <w:rFonts w:ascii="Arial" w:eastAsia="Times New Roman" w:hAnsi="Arial" w:cs="Arial"/>
                <w:color w:val="000000"/>
                <w:sz w:val="20"/>
                <w:szCs w:val="20"/>
                <w:lang w:eastAsia="en-GB"/>
              </w:rPr>
            </w:pPr>
            <w:r>
              <w:rPr>
                <w:rFonts w:ascii="Arial" w:eastAsia="Arial" w:hAnsi="Arial" w:cs="Arial"/>
                <w:color w:val="000000"/>
                <w:sz w:val="20"/>
                <w:szCs w:val="20"/>
                <w:lang w:eastAsia="en-GB"/>
              </w:rPr>
              <w:t>A competing risk analysis was implemented using the Fine-Gray sub-distribution hazards model; death was regarded as a competing event</w:t>
            </w:r>
          </w:p>
        </w:tc>
        <w:tc>
          <w:tcPr>
            <w:tcW w:w="236" w:type="dxa"/>
            <w:tcMar>
              <w:top w:w="15" w:type="dxa"/>
              <w:left w:w="108" w:type="dxa"/>
              <w:bottom w:w="0" w:type="dxa"/>
              <w:right w:w="108" w:type="dxa"/>
            </w:tcMar>
            <w:vAlign w:val="center"/>
            <w:hideMark/>
          </w:tcPr>
          <w:p w14:paraId="7CB82966" w14:textId="77777777" w:rsidR="00D2628C" w:rsidRDefault="00D2628C" w:rsidP="00762659">
            <w:pPr>
              <w:rPr>
                <w:rFonts w:ascii="Arial" w:eastAsia="Times New Roman" w:hAnsi="Arial" w:cs="Arial"/>
                <w:color w:val="000000"/>
                <w:sz w:val="20"/>
                <w:szCs w:val="20"/>
                <w:lang w:eastAsia="en-GB"/>
              </w:rPr>
            </w:pPr>
          </w:p>
        </w:tc>
      </w:tr>
      <w:tr w:rsidR="00D2628C" w14:paraId="21130644" w14:textId="77777777" w:rsidTr="00762659">
        <w:trPr>
          <w:trHeight w:val="290"/>
        </w:trPr>
        <w:tc>
          <w:tcPr>
            <w:tcW w:w="19336" w:type="dxa"/>
            <w:gridSpan w:val="6"/>
            <w:vMerge/>
            <w:vAlign w:val="center"/>
            <w:hideMark/>
          </w:tcPr>
          <w:p w14:paraId="1DB4F252" w14:textId="77777777" w:rsidR="00D2628C" w:rsidRDefault="00D2628C" w:rsidP="00762659">
            <w:pPr>
              <w:spacing w:after="0"/>
              <w:rPr>
                <w:rFonts w:ascii="Arial" w:eastAsia="Times New Roman" w:hAnsi="Arial" w:cs="Arial"/>
                <w:color w:val="000000"/>
                <w:sz w:val="20"/>
                <w:szCs w:val="20"/>
                <w:lang w:eastAsia="en-GB"/>
              </w:rPr>
            </w:pPr>
          </w:p>
        </w:tc>
        <w:tc>
          <w:tcPr>
            <w:tcW w:w="236" w:type="dxa"/>
            <w:noWrap/>
            <w:tcMar>
              <w:top w:w="15" w:type="dxa"/>
              <w:left w:w="108" w:type="dxa"/>
              <w:bottom w:w="0" w:type="dxa"/>
              <w:right w:w="108" w:type="dxa"/>
            </w:tcMar>
            <w:vAlign w:val="bottom"/>
            <w:hideMark/>
          </w:tcPr>
          <w:p w14:paraId="41C0EB63" w14:textId="77777777" w:rsidR="00D2628C" w:rsidRDefault="00D2628C" w:rsidP="00762659">
            <w:pPr>
              <w:spacing w:after="0"/>
              <w:rPr>
                <w:sz w:val="20"/>
                <w:szCs w:val="20"/>
                <w:lang w:eastAsia="en-GB"/>
              </w:rPr>
            </w:pPr>
          </w:p>
        </w:tc>
      </w:tr>
      <w:tr w:rsidR="00D2628C" w14:paraId="42EBBE95" w14:textId="77777777" w:rsidTr="00762659">
        <w:trPr>
          <w:trHeight w:val="290"/>
        </w:trPr>
        <w:tc>
          <w:tcPr>
            <w:tcW w:w="9075" w:type="dxa"/>
            <w:gridSpan w:val="6"/>
            <w:vMerge w:val="restart"/>
            <w:tcMar>
              <w:top w:w="15" w:type="dxa"/>
              <w:left w:w="108" w:type="dxa"/>
              <w:bottom w:w="0" w:type="dxa"/>
              <w:right w:w="108" w:type="dxa"/>
            </w:tcMar>
            <w:vAlign w:val="center"/>
            <w:hideMark/>
          </w:tcPr>
          <w:p w14:paraId="71E41540" w14:textId="77777777" w:rsidR="00D2628C" w:rsidRDefault="00D2628C" w:rsidP="00762659">
            <w:pPr>
              <w:spacing w:after="0" w:line="240" w:lineRule="auto"/>
              <w:jc w:val="both"/>
              <w:rPr>
                <w:rFonts w:ascii="Arial" w:eastAsia="Times New Roman" w:hAnsi="Arial" w:cs="Arial"/>
                <w:color w:val="000000"/>
                <w:sz w:val="20"/>
                <w:szCs w:val="20"/>
                <w:lang w:eastAsia="en-GB"/>
              </w:rPr>
            </w:pPr>
            <w:proofErr w:type="spellStart"/>
            <w:r>
              <w:rPr>
                <w:rFonts w:ascii="Arial" w:eastAsia="Times New Roman" w:hAnsi="Arial" w:cs="Arial"/>
                <w:color w:val="000000"/>
                <w:sz w:val="20"/>
                <w:szCs w:val="20"/>
                <w:lang w:eastAsia="en-GB"/>
              </w:rPr>
              <w:t>Subhazard</w:t>
            </w:r>
            <w:proofErr w:type="spellEnd"/>
            <w:r>
              <w:rPr>
                <w:rFonts w:ascii="Arial" w:eastAsia="Times New Roman" w:hAnsi="Arial" w:cs="Arial"/>
                <w:color w:val="000000"/>
                <w:sz w:val="20"/>
                <w:szCs w:val="20"/>
                <w:lang w:eastAsia="en-GB"/>
              </w:rPr>
              <w:t xml:space="preserve"> ratios of greater than one </w:t>
            </w:r>
            <w:proofErr w:type="gramStart"/>
            <w:r>
              <w:rPr>
                <w:rFonts w:ascii="Arial" w:eastAsia="Times New Roman" w:hAnsi="Arial" w:cs="Arial"/>
                <w:color w:val="000000"/>
                <w:sz w:val="20"/>
                <w:szCs w:val="20"/>
                <w:lang w:eastAsia="en-GB"/>
              </w:rPr>
              <w:t>indicate</w:t>
            </w:r>
            <w:proofErr w:type="gramEnd"/>
            <w:r>
              <w:rPr>
                <w:rFonts w:ascii="Arial" w:eastAsia="Times New Roman" w:hAnsi="Arial" w:cs="Arial"/>
                <w:color w:val="000000"/>
                <w:sz w:val="20"/>
                <w:szCs w:val="20"/>
                <w:lang w:eastAsia="en-GB"/>
              </w:rPr>
              <w:t xml:space="preserve"> that not being married or cohabiting was related to greater incidence of the fracture event; </w:t>
            </w:r>
            <w:proofErr w:type="spellStart"/>
            <w:r>
              <w:rPr>
                <w:rFonts w:ascii="Arial" w:eastAsia="Times New Roman" w:hAnsi="Arial" w:cs="Arial"/>
                <w:color w:val="000000"/>
                <w:sz w:val="20"/>
                <w:szCs w:val="20"/>
                <w:lang w:eastAsia="en-GB"/>
              </w:rPr>
              <w:t>subhazard</w:t>
            </w:r>
            <w:proofErr w:type="spellEnd"/>
            <w:r>
              <w:rPr>
                <w:rFonts w:ascii="Arial" w:eastAsia="Times New Roman" w:hAnsi="Arial" w:cs="Arial"/>
                <w:color w:val="000000"/>
                <w:sz w:val="20"/>
                <w:szCs w:val="20"/>
                <w:lang w:eastAsia="en-GB"/>
              </w:rPr>
              <w:t xml:space="preserve"> ratios of less than one correspond to reduced incidence  </w:t>
            </w:r>
          </w:p>
        </w:tc>
        <w:tc>
          <w:tcPr>
            <w:tcW w:w="236" w:type="dxa"/>
            <w:tcMar>
              <w:top w:w="15" w:type="dxa"/>
              <w:left w:w="108" w:type="dxa"/>
              <w:bottom w:w="0" w:type="dxa"/>
              <w:right w:w="108" w:type="dxa"/>
            </w:tcMar>
            <w:vAlign w:val="center"/>
            <w:hideMark/>
          </w:tcPr>
          <w:p w14:paraId="56101B14" w14:textId="77777777" w:rsidR="00D2628C" w:rsidRDefault="00D2628C" w:rsidP="00762659">
            <w:pPr>
              <w:rPr>
                <w:rFonts w:ascii="Arial" w:eastAsia="Times New Roman" w:hAnsi="Arial" w:cs="Arial"/>
                <w:color w:val="000000"/>
                <w:sz w:val="20"/>
                <w:szCs w:val="20"/>
                <w:lang w:eastAsia="en-GB"/>
              </w:rPr>
            </w:pPr>
          </w:p>
        </w:tc>
      </w:tr>
      <w:tr w:rsidR="00D2628C" w14:paraId="6FCB98F4" w14:textId="77777777" w:rsidTr="00762659">
        <w:trPr>
          <w:trHeight w:val="290"/>
        </w:trPr>
        <w:tc>
          <w:tcPr>
            <w:tcW w:w="19336" w:type="dxa"/>
            <w:gridSpan w:val="6"/>
            <w:vMerge/>
            <w:vAlign w:val="center"/>
            <w:hideMark/>
          </w:tcPr>
          <w:p w14:paraId="68FB3EAE" w14:textId="77777777" w:rsidR="00D2628C" w:rsidRDefault="00D2628C" w:rsidP="00762659">
            <w:pPr>
              <w:spacing w:after="0"/>
              <w:rPr>
                <w:rFonts w:ascii="Arial" w:eastAsia="Times New Roman" w:hAnsi="Arial" w:cs="Arial"/>
                <w:color w:val="000000"/>
                <w:sz w:val="20"/>
                <w:szCs w:val="20"/>
                <w:lang w:eastAsia="en-GB"/>
              </w:rPr>
            </w:pPr>
          </w:p>
        </w:tc>
        <w:tc>
          <w:tcPr>
            <w:tcW w:w="236" w:type="dxa"/>
            <w:noWrap/>
            <w:tcMar>
              <w:top w:w="15" w:type="dxa"/>
              <w:left w:w="108" w:type="dxa"/>
              <w:bottom w:w="0" w:type="dxa"/>
              <w:right w:w="108" w:type="dxa"/>
            </w:tcMar>
            <w:vAlign w:val="bottom"/>
            <w:hideMark/>
          </w:tcPr>
          <w:p w14:paraId="09A09047" w14:textId="77777777" w:rsidR="00D2628C" w:rsidRDefault="00D2628C" w:rsidP="00762659">
            <w:pPr>
              <w:spacing w:after="0"/>
              <w:rPr>
                <w:sz w:val="20"/>
                <w:szCs w:val="20"/>
                <w:lang w:eastAsia="en-GB"/>
              </w:rPr>
            </w:pPr>
          </w:p>
        </w:tc>
      </w:tr>
      <w:tr w:rsidR="00D2628C" w14:paraId="43C7712A" w14:textId="77777777" w:rsidTr="00762659">
        <w:trPr>
          <w:trHeight w:val="290"/>
        </w:trPr>
        <w:tc>
          <w:tcPr>
            <w:tcW w:w="19336" w:type="dxa"/>
            <w:gridSpan w:val="6"/>
            <w:vMerge/>
            <w:vAlign w:val="center"/>
            <w:hideMark/>
          </w:tcPr>
          <w:p w14:paraId="70B7CC70" w14:textId="77777777" w:rsidR="00D2628C" w:rsidRDefault="00D2628C" w:rsidP="00762659">
            <w:pPr>
              <w:spacing w:after="0"/>
              <w:rPr>
                <w:rFonts w:ascii="Arial" w:eastAsia="Times New Roman" w:hAnsi="Arial" w:cs="Arial"/>
                <w:color w:val="000000"/>
                <w:sz w:val="20"/>
                <w:szCs w:val="20"/>
                <w:lang w:eastAsia="en-GB"/>
              </w:rPr>
            </w:pPr>
          </w:p>
        </w:tc>
        <w:tc>
          <w:tcPr>
            <w:tcW w:w="236" w:type="dxa"/>
            <w:noWrap/>
            <w:tcMar>
              <w:top w:w="15" w:type="dxa"/>
              <w:left w:w="108" w:type="dxa"/>
              <w:bottom w:w="0" w:type="dxa"/>
              <w:right w:w="108" w:type="dxa"/>
            </w:tcMar>
            <w:vAlign w:val="bottom"/>
            <w:hideMark/>
          </w:tcPr>
          <w:p w14:paraId="562AD202" w14:textId="77777777" w:rsidR="00D2628C" w:rsidRDefault="00D2628C" w:rsidP="00762659">
            <w:pPr>
              <w:spacing w:after="0"/>
              <w:rPr>
                <w:sz w:val="20"/>
                <w:szCs w:val="20"/>
                <w:lang w:eastAsia="en-GB"/>
              </w:rPr>
            </w:pPr>
          </w:p>
        </w:tc>
      </w:tr>
      <w:tr w:rsidR="00D2628C" w14:paraId="26E9380E" w14:textId="77777777" w:rsidTr="00762659">
        <w:trPr>
          <w:trHeight w:val="290"/>
        </w:trPr>
        <w:tc>
          <w:tcPr>
            <w:tcW w:w="9075" w:type="dxa"/>
            <w:gridSpan w:val="6"/>
            <w:vMerge w:val="restart"/>
            <w:tcMar>
              <w:top w:w="15" w:type="dxa"/>
              <w:left w:w="108" w:type="dxa"/>
              <w:bottom w:w="0" w:type="dxa"/>
              <w:right w:w="108" w:type="dxa"/>
            </w:tcMar>
            <w:vAlign w:val="bottom"/>
            <w:hideMark/>
          </w:tcPr>
          <w:p w14:paraId="554D3B50" w14:textId="77777777" w:rsidR="00D2628C" w:rsidRDefault="00D2628C" w:rsidP="00762659">
            <w:pPr>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Fully adjusted models for men accounted for age, smoking status, alcohol consumption, diet quality, physical </w:t>
            </w:r>
            <w:proofErr w:type="gramStart"/>
            <w:r>
              <w:rPr>
                <w:rFonts w:ascii="Arial" w:eastAsia="Times New Roman" w:hAnsi="Arial" w:cs="Arial"/>
                <w:color w:val="000000"/>
                <w:sz w:val="20"/>
                <w:szCs w:val="20"/>
                <w:lang w:eastAsia="en-GB"/>
              </w:rPr>
              <w:t>activity</w:t>
            </w:r>
            <w:proofErr w:type="gramEnd"/>
            <w:r>
              <w:rPr>
                <w:rFonts w:ascii="Arial" w:eastAsia="Times New Roman" w:hAnsi="Arial" w:cs="Arial"/>
                <w:color w:val="000000"/>
                <w:sz w:val="20"/>
                <w:szCs w:val="20"/>
                <w:lang w:eastAsia="en-GB"/>
              </w:rPr>
              <w:t xml:space="preserve"> and housing tenure; fully adjusted models for women accounted for age, BMI, smoking status, physical activity, age left education and housing tenure</w:t>
            </w:r>
          </w:p>
        </w:tc>
        <w:tc>
          <w:tcPr>
            <w:tcW w:w="236" w:type="dxa"/>
            <w:tcMar>
              <w:top w:w="15" w:type="dxa"/>
              <w:left w:w="108" w:type="dxa"/>
              <w:bottom w:w="0" w:type="dxa"/>
              <w:right w:w="108" w:type="dxa"/>
            </w:tcMar>
            <w:vAlign w:val="center"/>
            <w:hideMark/>
          </w:tcPr>
          <w:p w14:paraId="0EE94ADA" w14:textId="77777777" w:rsidR="00D2628C" w:rsidRDefault="00D2628C" w:rsidP="00762659">
            <w:pPr>
              <w:rPr>
                <w:rFonts w:ascii="Arial" w:eastAsia="Times New Roman" w:hAnsi="Arial" w:cs="Arial"/>
                <w:color w:val="000000"/>
                <w:sz w:val="20"/>
                <w:szCs w:val="20"/>
                <w:lang w:eastAsia="en-GB"/>
              </w:rPr>
            </w:pPr>
          </w:p>
        </w:tc>
      </w:tr>
      <w:tr w:rsidR="00D2628C" w14:paraId="35BDD7A4" w14:textId="77777777" w:rsidTr="00762659">
        <w:trPr>
          <w:trHeight w:val="290"/>
        </w:trPr>
        <w:tc>
          <w:tcPr>
            <w:tcW w:w="19336" w:type="dxa"/>
            <w:gridSpan w:val="6"/>
            <w:vMerge/>
            <w:vAlign w:val="center"/>
            <w:hideMark/>
          </w:tcPr>
          <w:p w14:paraId="5C184707" w14:textId="77777777" w:rsidR="00D2628C" w:rsidRDefault="00D2628C" w:rsidP="00762659">
            <w:pPr>
              <w:spacing w:after="0"/>
              <w:rPr>
                <w:rFonts w:ascii="Arial" w:eastAsia="Times New Roman" w:hAnsi="Arial" w:cs="Arial"/>
                <w:color w:val="000000"/>
                <w:sz w:val="20"/>
                <w:szCs w:val="20"/>
                <w:lang w:eastAsia="en-GB"/>
              </w:rPr>
            </w:pPr>
          </w:p>
        </w:tc>
        <w:tc>
          <w:tcPr>
            <w:tcW w:w="236" w:type="dxa"/>
            <w:noWrap/>
            <w:tcMar>
              <w:top w:w="15" w:type="dxa"/>
              <w:left w:w="108" w:type="dxa"/>
              <w:bottom w:w="0" w:type="dxa"/>
              <w:right w:w="108" w:type="dxa"/>
            </w:tcMar>
            <w:vAlign w:val="bottom"/>
            <w:hideMark/>
          </w:tcPr>
          <w:p w14:paraId="2A69BE7F" w14:textId="77777777" w:rsidR="00D2628C" w:rsidRDefault="00D2628C" w:rsidP="00762659">
            <w:pPr>
              <w:spacing w:after="0"/>
              <w:rPr>
                <w:sz w:val="20"/>
                <w:szCs w:val="20"/>
                <w:lang w:eastAsia="en-GB"/>
              </w:rPr>
            </w:pPr>
          </w:p>
        </w:tc>
      </w:tr>
      <w:tr w:rsidR="00D2628C" w14:paraId="5C2FC747" w14:textId="77777777" w:rsidTr="00762659">
        <w:trPr>
          <w:trHeight w:val="290"/>
        </w:trPr>
        <w:tc>
          <w:tcPr>
            <w:tcW w:w="19336" w:type="dxa"/>
            <w:gridSpan w:val="6"/>
            <w:vMerge/>
            <w:vAlign w:val="center"/>
            <w:hideMark/>
          </w:tcPr>
          <w:p w14:paraId="4F068FAF" w14:textId="77777777" w:rsidR="00D2628C" w:rsidRDefault="00D2628C" w:rsidP="00762659">
            <w:pPr>
              <w:spacing w:after="0"/>
              <w:rPr>
                <w:rFonts w:ascii="Arial" w:eastAsia="Times New Roman" w:hAnsi="Arial" w:cs="Arial"/>
                <w:color w:val="000000"/>
                <w:sz w:val="20"/>
                <w:szCs w:val="20"/>
                <w:lang w:eastAsia="en-GB"/>
              </w:rPr>
            </w:pPr>
          </w:p>
        </w:tc>
        <w:tc>
          <w:tcPr>
            <w:tcW w:w="236" w:type="dxa"/>
            <w:noWrap/>
            <w:tcMar>
              <w:top w:w="15" w:type="dxa"/>
              <w:left w:w="108" w:type="dxa"/>
              <w:bottom w:w="0" w:type="dxa"/>
              <w:right w:w="108" w:type="dxa"/>
            </w:tcMar>
            <w:vAlign w:val="bottom"/>
            <w:hideMark/>
          </w:tcPr>
          <w:p w14:paraId="49C31600" w14:textId="77777777" w:rsidR="00D2628C" w:rsidRDefault="00D2628C" w:rsidP="00762659">
            <w:pPr>
              <w:spacing w:after="0"/>
              <w:rPr>
                <w:sz w:val="20"/>
                <w:szCs w:val="20"/>
                <w:lang w:eastAsia="en-GB"/>
              </w:rPr>
            </w:pPr>
          </w:p>
        </w:tc>
      </w:tr>
    </w:tbl>
    <w:p w14:paraId="2FFCE15C" w14:textId="77777777" w:rsidR="00D2628C" w:rsidRDefault="00D2628C" w:rsidP="00D2628C"/>
    <w:p w14:paraId="27C502A0" w14:textId="77777777" w:rsidR="00D2628C" w:rsidRPr="003F1846" w:rsidRDefault="00D2628C" w:rsidP="00B05E78">
      <w:pPr>
        <w:spacing w:after="200" w:line="360" w:lineRule="auto"/>
        <w:jc w:val="both"/>
        <w:rPr>
          <w:rFonts w:ascii="Arial" w:eastAsia="Arial" w:hAnsi="Arial" w:cs="Arial"/>
        </w:rPr>
      </w:pPr>
    </w:p>
    <w:sectPr w:rsidR="00D2628C" w:rsidRPr="003F1846" w:rsidSect="00426290">
      <w:footerReference w:type="default" r:id="rId3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646E" w14:textId="77777777" w:rsidR="008D095E" w:rsidRDefault="008D095E" w:rsidP="003E6F65">
      <w:pPr>
        <w:spacing w:after="0" w:line="240" w:lineRule="auto"/>
      </w:pPr>
      <w:r>
        <w:separator/>
      </w:r>
    </w:p>
  </w:endnote>
  <w:endnote w:type="continuationSeparator" w:id="0">
    <w:p w14:paraId="25E238F5" w14:textId="77777777" w:rsidR="008D095E" w:rsidRDefault="008D095E" w:rsidP="003E6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752599"/>
      <w:docPartObj>
        <w:docPartGallery w:val="Page Numbers (Bottom of Page)"/>
        <w:docPartUnique/>
      </w:docPartObj>
    </w:sdtPr>
    <w:sdtEndPr>
      <w:rPr>
        <w:noProof/>
      </w:rPr>
    </w:sdtEndPr>
    <w:sdtContent>
      <w:p w14:paraId="2236B868" w14:textId="77777777" w:rsidR="00B05E78" w:rsidRDefault="00B05E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4D2C59" w14:textId="77777777" w:rsidR="00B05E78" w:rsidRDefault="00B05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413140"/>
      <w:docPartObj>
        <w:docPartGallery w:val="Page Numbers (Bottom of Page)"/>
        <w:docPartUnique/>
      </w:docPartObj>
    </w:sdtPr>
    <w:sdtEndPr>
      <w:rPr>
        <w:noProof/>
      </w:rPr>
    </w:sdtEndPr>
    <w:sdtContent>
      <w:p w14:paraId="46850FAF" w14:textId="17958BEF" w:rsidR="00E32029" w:rsidRDefault="00E320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A5D0E" w14:textId="77777777" w:rsidR="00D10656" w:rsidRDefault="00D10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3AFCE" w14:textId="77777777" w:rsidR="008D095E" w:rsidRDefault="008D095E" w:rsidP="003E6F65">
      <w:pPr>
        <w:spacing w:after="0" w:line="240" w:lineRule="auto"/>
      </w:pPr>
      <w:r>
        <w:separator/>
      </w:r>
    </w:p>
  </w:footnote>
  <w:footnote w:type="continuationSeparator" w:id="0">
    <w:p w14:paraId="5BA5CDD0" w14:textId="77777777" w:rsidR="008D095E" w:rsidRDefault="008D095E" w:rsidP="003E6F6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F35B3"/>
    <w:multiLevelType w:val="hybridMultilevel"/>
    <w:tmpl w:val="EFB475E0"/>
    <w:lvl w:ilvl="0" w:tplc="89760438">
      <w:start w:val="1"/>
      <w:numFmt w:val="bullet"/>
      <w:lvlText w:val=""/>
      <w:lvlJc w:val="left"/>
      <w:pPr>
        <w:ind w:left="720" w:hanging="360"/>
      </w:pPr>
      <w:rPr>
        <w:rFonts w:ascii="Symbol" w:hAnsi="Symbol" w:hint="default"/>
      </w:rPr>
    </w:lvl>
    <w:lvl w:ilvl="1" w:tplc="351496A6">
      <w:start w:val="1"/>
      <w:numFmt w:val="bullet"/>
      <w:lvlText w:val="o"/>
      <w:lvlJc w:val="left"/>
      <w:pPr>
        <w:ind w:left="1440" w:hanging="360"/>
      </w:pPr>
      <w:rPr>
        <w:rFonts w:ascii="Courier New" w:hAnsi="Courier New" w:hint="default"/>
      </w:rPr>
    </w:lvl>
    <w:lvl w:ilvl="2" w:tplc="FB2ECC76">
      <w:start w:val="1"/>
      <w:numFmt w:val="bullet"/>
      <w:lvlText w:val=""/>
      <w:lvlJc w:val="left"/>
      <w:pPr>
        <w:ind w:left="2160" w:hanging="360"/>
      </w:pPr>
      <w:rPr>
        <w:rFonts w:ascii="Wingdings" w:hAnsi="Wingdings" w:hint="default"/>
      </w:rPr>
    </w:lvl>
    <w:lvl w:ilvl="3" w:tplc="53DA4F90">
      <w:start w:val="1"/>
      <w:numFmt w:val="bullet"/>
      <w:lvlText w:val=""/>
      <w:lvlJc w:val="left"/>
      <w:pPr>
        <w:ind w:left="2880" w:hanging="360"/>
      </w:pPr>
      <w:rPr>
        <w:rFonts w:ascii="Symbol" w:hAnsi="Symbol" w:hint="default"/>
      </w:rPr>
    </w:lvl>
    <w:lvl w:ilvl="4" w:tplc="9E0A8CDC">
      <w:start w:val="1"/>
      <w:numFmt w:val="bullet"/>
      <w:lvlText w:val="o"/>
      <w:lvlJc w:val="left"/>
      <w:pPr>
        <w:ind w:left="3600" w:hanging="360"/>
      </w:pPr>
      <w:rPr>
        <w:rFonts w:ascii="Courier New" w:hAnsi="Courier New" w:hint="default"/>
      </w:rPr>
    </w:lvl>
    <w:lvl w:ilvl="5" w:tplc="351AB16E">
      <w:start w:val="1"/>
      <w:numFmt w:val="bullet"/>
      <w:lvlText w:val=""/>
      <w:lvlJc w:val="left"/>
      <w:pPr>
        <w:ind w:left="4320" w:hanging="360"/>
      </w:pPr>
      <w:rPr>
        <w:rFonts w:ascii="Wingdings" w:hAnsi="Wingdings" w:hint="default"/>
      </w:rPr>
    </w:lvl>
    <w:lvl w:ilvl="6" w:tplc="7722B74C">
      <w:start w:val="1"/>
      <w:numFmt w:val="bullet"/>
      <w:lvlText w:val=""/>
      <w:lvlJc w:val="left"/>
      <w:pPr>
        <w:ind w:left="5040" w:hanging="360"/>
      </w:pPr>
      <w:rPr>
        <w:rFonts w:ascii="Symbol" w:hAnsi="Symbol" w:hint="default"/>
      </w:rPr>
    </w:lvl>
    <w:lvl w:ilvl="7" w:tplc="888278A2">
      <w:start w:val="1"/>
      <w:numFmt w:val="bullet"/>
      <w:lvlText w:val="o"/>
      <w:lvlJc w:val="left"/>
      <w:pPr>
        <w:ind w:left="5760" w:hanging="360"/>
      </w:pPr>
      <w:rPr>
        <w:rFonts w:ascii="Courier New" w:hAnsi="Courier New" w:hint="default"/>
      </w:rPr>
    </w:lvl>
    <w:lvl w:ilvl="8" w:tplc="761803F2">
      <w:start w:val="1"/>
      <w:numFmt w:val="bullet"/>
      <w:lvlText w:val=""/>
      <w:lvlJc w:val="left"/>
      <w:pPr>
        <w:ind w:left="6480" w:hanging="360"/>
      </w:pPr>
      <w:rPr>
        <w:rFonts w:ascii="Wingdings" w:hAnsi="Wingdings" w:hint="default"/>
      </w:rPr>
    </w:lvl>
  </w:abstractNum>
  <w:abstractNum w:abstractNumId="1" w15:restartNumberingAfterBreak="0">
    <w:nsid w:val="6C154CDC"/>
    <w:multiLevelType w:val="hybridMultilevel"/>
    <w:tmpl w:val="6D9C54C2"/>
    <w:lvl w:ilvl="0" w:tplc="06203F90">
      <w:start w:val="1"/>
      <w:numFmt w:val="bullet"/>
      <w:lvlText w:val=""/>
      <w:lvlJc w:val="left"/>
      <w:pPr>
        <w:ind w:left="720" w:hanging="360"/>
      </w:pPr>
      <w:rPr>
        <w:rFonts w:ascii="Symbol" w:hAnsi="Symbol" w:hint="default"/>
      </w:rPr>
    </w:lvl>
    <w:lvl w:ilvl="1" w:tplc="F64A3B48">
      <w:start w:val="1"/>
      <w:numFmt w:val="bullet"/>
      <w:lvlText w:val="o"/>
      <w:lvlJc w:val="left"/>
      <w:pPr>
        <w:ind w:left="1440" w:hanging="360"/>
      </w:pPr>
      <w:rPr>
        <w:rFonts w:ascii="Courier New" w:hAnsi="Courier New" w:hint="default"/>
      </w:rPr>
    </w:lvl>
    <w:lvl w:ilvl="2" w:tplc="95685FA8">
      <w:start w:val="1"/>
      <w:numFmt w:val="bullet"/>
      <w:lvlText w:val=""/>
      <w:lvlJc w:val="left"/>
      <w:pPr>
        <w:ind w:left="2160" w:hanging="360"/>
      </w:pPr>
      <w:rPr>
        <w:rFonts w:ascii="Wingdings" w:hAnsi="Wingdings" w:hint="default"/>
      </w:rPr>
    </w:lvl>
    <w:lvl w:ilvl="3" w:tplc="3286BB86">
      <w:start w:val="1"/>
      <w:numFmt w:val="bullet"/>
      <w:lvlText w:val=""/>
      <w:lvlJc w:val="left"/>
      <w:pPr>
        <w:ind w:left="2880" w:hanging="360"/>
      </w:pPr>
      <w:rPr>
        <w:rFonts w:ascii="Symbol" w:hAnsi="Symbol" w:hint="default"/>
      </w:rPr>
    </w:lvl>
    <w:lvl w:ilvl="4" w:tplc="85AA6BBC">
      <w:start w:val="1"/>
      <w:numFmt w:val="bullet"/>
      <w:lvlText w:val="o"/>
      <w:lvlJc w:val="left"/>
      <w:pPr>
        <w:ind w:left="3600" w:hanging="360"/>
      </w:pPr>
      <w:rPr>
        <w:rFonts w:ascii="Courier New" w:hAnsi="Courier New" w:hint="default"/>
      </w:rPr>
    </w:lvl>
    <w:lvl w:ilvl="5" w:tplc="9704064C">
      <w:start w:val="1"/>
      <w:numFmt w:val="bullet"/>
      <w:lvlText w:val=""/>
      <w:lvlJc w:val="left"/>
      <w:pPr>
        <w:ind w:left="4320" w:hanging="360"/>
      </w:pPr>
      <w:rPr>
        <w:rFonts w:ascii="Wingdings" w:hAnsi="Wingdings" w:hint="default"/>
      </w:rPr>
    </w:lvl>
    <w:lvl w:ilvl="6" w:tplc="F6FEF5C8">
      <w:start w:val="1"/>
      <w:numFmt w:val="bullet"/>
      <w:lvlText w:val=""/>
      <w:lvlJc w:val="left"/>
      <w:pPr>
        <w:ind w:left="5040" w:hanging="360"/>
      </w:pPr>
      <w:rPr>
        <w:rFonts w:ascii="Symbol" w:hAnsi="Symbol" w:hint="default"/>
      </w:rPr>
    </w:lvl>
    <w:lvl w:ilvl="7" w:tplc="80EAF786">
      <w:start w:val="1"/>
      <w:numFmt w:val="bullet"/>
      <w:lvlText w:val="o"/>
      <w:lvlJc w:val="left"/>
      <w:pPr>
        <w:ind w:left="5760" w:hanging="360"/>
      </w:pPr>
      <w:rPr>
        <w:rFonts w:ascii="Courier New" w:hAnsi="Courier New" w:hint="default"/>
      </w:rPr>
    </w:lvl>
    <w:lvl w:ilvl="8" w:tplc="5CD486B2">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alcified Tissue In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df5rvs9wzts6erav6v0rpowttawpd0ztaa&quot;&gt;HABCReferences_0-Converted&lt;record-ids&gt;&lt;item&gt;1074&lt;/item&gt;&lt;item&gt;1075&lt;/item&gt;&lt;item&gt;1106&lt;/item&gt;&lt;item&gt;1370&lt;/item&gt;&lt;item&gt;1448&lt;/item&gt;&lt;item&gt;1460&lt;/item&gt;&lt;item&gt;1536&lt;/item&gt;&lt;item&gt;1537&lt;/item&gt;&lt;item&gt;1538&lt;/item&gt;&lt;item&gt;1539&lt;/item&gt;&lt;item&gt;1540&lt;/item&gt;&lt;item&gt;1541&lt;/item&gt;&lt;item&gt;1542&lt;/item&gt;&lt;item&gt;1543&lt;/item&gt;&lt;item&gt;1544&lt;/item&gt;&lt;item&gt;1545&lt;/item&gt;&lt;item&gt;1546&lt;/item&gt;&lt;item&gt;1547&lt;/item&gt;&lt;item&gt;1548&lt;/item&gt;&lt;item&gt;1549&lt;/item&gt;&lt;item&gt;1550&lt;/item&gt;&lt;item&gt;1551&lt;/item&gt;&lt;item&gt;1552&lt;/item&gt;&lt;item&gt;1554&lt;/item&gt;&lt;/record-ids&gt;&lt;/item&gt;&lt;/Libraries&gt;"/>
  </w:docVars>
  <w:rsids>
    <w:rsidRoot w:val="0199B960"/>
    <w:rsid w:val="0000118F"/>
    <w:rsid w:val="00012DF1"/>
    <w:rsid w:val="000130D6"/>
    <w:rsid w:val="000231B5"/>
    <w:rsid w:val="00023A6A"/>
    <w:rsid w:val="00033475"/>
    <w:rsid w:val="0003532F"/>
    <w:rsid w:val="00041176"/>
    <w:rsid w:val="0004157E"/>
    <w:rsid w:val="00045E4A"/>
    <w:rsid w:val="000537CF"/>
    <w:rsid w:val="00076C7B"/>
    <w:rsid w:val="00096B47"/>
    <w:rsid w:val="00097479"/>
    <w:rsid w:val="000B25F8"/>
    <w:rsid w:val="000D54CC"/>
    <w:rsid w:val="000D751E"/>
    <w:rsid w:val="000F6FC8"/>
    <w:rsid w:val="00116FDE"/>
    <w:rsid w:val="001317E8"/>
    <w:rsid w:val="001331DE"/>
    <w:rsid w:val="0013469A"/>
    <w:rsid w:val="0013E4D3"/>
    <w:rsid w:val="00155247"/>
    <w:rsid w:val="001576A4"/>
    <w:rsid w:val="001827AB"/>
    <w:rsid w:val="001B6E82"/>
    <w:rsid w:val="001D1D18"/>
    <w:rsid w:val="001E4CA3"/>
    <w:rsid w:val="001F1BFE"/>
    <w:rsid w:val="00211961"/>
    <w:rsid w:val="00227255"/>
    <w:rsid w:val="0024473D"/>
    <w:rsid w:val="0024502D"/>
    <w:rsid w:val="00252AF8"/>
    <w:rsid w:val="0026063F"/>
    <w:rsid w:val="00260F16"/>
    <w:rsid w:val="00272F37"/>
    <w:rsid w:val="002824EB"/>
    <w:rsid w:val="002D5573"/>
    <w:rsid w:val="002D665C"/>
    <w:rsid w:val="002D6DBA"/>
    <w:rsid w:val="002E66AC"/>
    <w:rsid w:val="003157B5"/>
    <w:rsid w:val="00323C17"/>
    <w:rsid w:val="003735B4"/>
    <w:rsid w:val="003866C0"/>
    <w:rsid w:val="003869C7"/>
    <w:rsid w:val="003A7C4B"/>
    <w:rsid w:val="003B15C8"/>
    <w:rsid w:val="003B1D06"/>
    <w:rsid w:val="003C0218"/>
    <w:rsid w:val="003E6F65"/>
    <w:rsid w:val="003F1846"/>
    <w:rsid w:val="00405231"/>
    <w:rsid w:val="00426290"/>
    <w:rsid w:val="00456024"/>
    <w:rsid w:val="00485D40"/>
    <w:rsid w:val="004C0D57"/>
    <w:rsid w:val="00505ED1"/>
    <w:rsid w:val="0051016F"/>
    <w:rsid w:val="005132E2"/>
    <w:rsid w:val="00535D6A"/>
    <w:rsid w:val="005408D1"/>
    <w:rsid w:val="00571D21"/>
    <w:rsid w:val="00585A60"/>
    <w:rsid w:val="005926F3"/>
    <w:rsid w:val="00595846"/>
    <w:rsid w:val="00596088"/>
    <w:rsid w:val="0061105E"/>
    <w:rsid w:val="0062703F"/>
    <w:rsid w:val="006528DD"/>
    <w:rsid w:val="006A6D56"/>
    <w:rsid w:val="006B24DD"/>
    <w:rsid w:val="006C29BC"/>
    <w:rsid w:val="006C7FA4"/>
    <w:rsid w:val="006D1A65"/>
    <w:rsid w:val="006D24A8"/>
    <w:rsid w:val="00700D0F"/>
    <w:rsid w:val="007241C0"/>
    <w:rsid w:val="00762F37"/>
    <w:rsid w:val="007D35B7"/>
    <w:rsid w:val="007F1722"/>
    <w:rsid w:val="00802F15"/>
    <w:rsid w:val="00807F61"/>
    <w:rsid w:val="00871803"/>
    <w:rsid w:val="00880936"/>
    <w:rsid w:val="00882A94"/>
    <w:rsid w:val="008A76FE"/>
    <w:rsid w:val="008B244B"/>
    <w:rsid w:val="008D095E"/>
    <w:rsid w:val="008D2B60"/>
    <w:rsid w:val="008E17E8"/>
    <w:rsid w:val="00902F31"/>
    <w:rsid w:val="00943FBC"/>
    <w:rsid w:val="00951A89"/>
    <w:rsid w:val="00952457"/>
    <w:rsid w:val="00953D8C"/>
    <w:rsid w:val="00961A86"/>
    <w:rsid w:val="00965874"/>
    <w:rsid w:val="00972FCE"/>
    <w:rsid w:val="009B540C"/>
    <w:rsid w:val="009F6FFF"/>
    <w:rsid w:val="00A04629"/>
    <w:rsid w:val="00A07FB5"/>
    <w:rsid w:val="00A12C3F"/>
    <w:rsid w:val="00A1F7DE"/>
    <w:rsid w:val="00A47D33"/>
    <w:rsid w:val="00A47DCE"/>
    <w:rsid w:val="00A6744A"/>
    <w:rsid w:val="00A7104F"/>
    <w:rsid w:val="00A77EDB"/>
    <w:rsid w:val="00A82998"/>
    <w:rsid w:val="00AA4739"/>
    <w:rsid w:val="00AB3B1D"/>
    <w:rsid w:val="00AC7452"/>
    <w:rsid w:val="00AD5176"/>
    <w:rsid w:val="00AE0974"/>
    <w:rsid w:val="00AE5EDC"/>
    <w:rsid w:val="00AE7254"/>
    <w:rsid w:val="00B03472"/>
    <w:rsid w:val="00B04FE4"/>
    <w:rsid w:val="00B05E78"/>
    <w:rsid w:val="00B337CE"/>
    <w:rsid w:val="00B34F0E"/>
    <w:rsid w:val="00B45EA2"/>
    <w:rsid w:val="00B56A29"/>
    <w:rsid w:val="00B747F5"/>
    <w:rsid w:val="00B8141C"/>
    <w:rsid w:val="00B90154"/>
    <w:rsid w:val="00BB310A"/>
    <w:rsid w:val="00BB52D2"/>
    <w:rsid w:val="00BC33E3"/>
    <w:rsid w:val="00BD4EAC"/>
    <w:rsid w:val="00C01E01"/>
    <w:rsid w:val="00C07125"/>
    <w:rsid w:val="00C75C02"/>
    <w:rsid w:val="00C97B41"/>
    <w:rsid w:val="00CA2336"/>
    <w:rsid w:val="00CF3A40"/>
    <w:rsid w:val="00D10656"/>
    <w:rsid w:val="00D175CB"/>
    <w:rsid w:val="00D251D0"/>
    <w:rsid w:val="00D2628C"/>
    <w:rsid w:val="00D43BDF"/>
    <w:rsid w:val="00D62939"/>
    <w:rsid w:val="00D71210"/>
    <w:rsid w:val="00D85932"/>
    <w:rsid w:val="00D879A7"/>
    <w:rsid w:val="00D96DE5"/>
    <w:rsid w:val="00DA42D1"/>
    <w:rsid w:val="00DAC2DB"/>
    <w:rsid w:val="00E02EBE"/>
    <w:rsid w:val="00E2639B"/>
    <w:rsid w:val="00E32029"/>
    <w:rsid w:val="00E50C6A"/>
    <w:rsid w:val="00E56FA4"/>
    <w:rsid w:val="00E82B51"/>
    <w:rsid w:val="00EA5B4E"/>
    <w:rsid w:val="00EB2EAA"/>
    <w:rsid w:val="00EE0E6D"/>
    <w:rsid w:val="00EE2858"/>
    <w:rsid w:val="00EF2E73"/>
    <w:rsid w:val="00F015DC"/>
    <w:rsid w:val="00F31655"/>
    <w:rsid w:val="00F35ED8"/>
    <w:rsid w:val="00F60D93"/>
    <w:rsid w:val="00F65119"/>
    <w:rsid w:val="00FB37DD"/>
    <w:rsid w:val="00FD45EC"/>
    <w:rsid w:val="0130DDF7"/>
    <w:rsid w:val="0143656C"/>
    <w:rsid w:val="01563E48"/>
    <w:rsid w:val="019720FB"/>
    <w:rsid w:val="0199B960"/>
    <w:rsid w:val="02513A8A"/>
    <w:rsid w:val="0283F6B0"/>
    <w:rsid w:val="02BF1670"/>
    <w:rsid w:val="02C11075"/>
    <w:rsid w:val="02C3DDD4"/>
    <w:rsid w:val="02D3D48B"/>
    <w:rsid w:val="02F4A9F2"/>
    <w:rsid w:val="031D6395"/>
    <w:rsid w:val="0334D626"/>
    <w:rsid w:val="03645E1A"/>
    <w:rsid w:val="03CE5301"/>
    <w:rsid w:val="03E71394"/>
    <w:rsid w:val="03F7723F"/>
    <w:rsid w:val="04043B89"/>
    <w:rsid w:val="0426C819"/>
    <w:rsid w:val="0449F2A3"/>
    <w:rsid w:val="0524AADD"/>
    <w:rsid w:val="054817A6"/>
    <w:rsid w:val="05BB64E8"/>
    <w:rsid w:val="05EA2C88"/>
    <w:rsid w:val="066C421D"/>
    <w:rsid w:val="06833BF7"/>
    <w:rsid w:val="069B710B"/>
    <w:rsid w:val="06B68804"/>
    <w:rsid w:val="072F1301"/>
    <w:rsid w:val="0743BD64"/>
    <w:rsid w:val="07736027"/>
    <w:rsid w:val="0785EB3C"/>
    <w:rsid w:val="0785FCE9"/>
    <w:rsid w:val="07CBCF4D"/>
    <w:rsid w:val="0835F7DD"/>
    <w:rsid w:val="08453B82"/>
    <w:rsid w:val="08F64BED"/>
    <w:rsid w:val="09338901"/>
    <w:rsid w:val="095BAB63"/>
    <w:rsid w:val="09B6F8B9"/>
    <w:rsid w:val="09B8FE74"/>
    <w:rsid w:val="09C895B6"/>
    <w:rsid w:val="09E14D52"/>
    <w:rsid w:val="09F377AE"/>
    <w:rsid w:val="09F90B88"/>
    <w:rsid w:val="09FAEFE3"/>
    <w:rsid w:val="0A02F37B"/>
    <w:rsid w:val="0A5D7B5F"/>
    <w:rsid w:val="0AA76006"/>
    <w:rsid w:val="0AB2F9FD"/>
    <w:rsid w:val="0ABD6559"/>
    <w:rsid w:val="0ACD6AE2"/>
    <w:rsid w:val="0ADEE670"/>
    <w:rsid w:val="0AEA47B2"/>
    <w:rsid w:val="0AFA9B70"/>
    <w:rsid w:val="0B35C4DE"/>
    <w:rsid w:val="0B71560A"/>
    <w:rsid w:val="0B7CDC44"/>
    <w:rsid w:val="0B9B9216"/>
    <w:rsid w:val="0BCAC82A"/>
    <w:rsid w:val="0BEF1DFB"/>
    <w:rsid w:val="0C028424"/>
    <w:rsid w:val="0C0BC69B"/>
    <w:rsid w:val="0C2CEA66"/>
    <w:rsid w:val="0C3C0C0D"/>
    <w:rsid w:val="0C423CDB"/>
    <w:rsid w:val="0C49AB32"/>
    <w:rsid w:val="0C591F00"/>
    <w:rsid w:val="0C63637A"/>
    <w:rsid w:val="0C6AC01A"/>
    <w:rsid w:val="0C6C50E8"/>
    <w:rsid w:val="0C6E3F26"/>
    <w:rsid w:val="0D2778CF"/>
    <w:rsid w:val="0D403E03"/>
    <w:rsid w:val="0D5217AA"/>
    <w:rsid w:val="0D8AEE5C"/>
    <w:rsid w:val="0D9496FB"/>
    <w:rsid w:val="0D9C56BE"/>
    <w:rsid w:val="0DBD249B"/>
    <w:rsid w:val="0DE57B93"/>
    <w:rsid w:val="0DE993FE"/>
    <w:rsid w:val="0E0A0F87"/>
    <w:rsid w:val="0EBB9B17"/>
    <w:rsid w:val="0F697AC0"/>
    <w:rsid w:val="0F8CD52C"/>
    <w:rsid w:val="0F9F3E8F"/>
    <w:rsid w:val="0FF2DBBE"/>
    <w:rsid w:val="1014BF7C"/>
    <w:rsid w:val="1022E20C"/>
    <w:rsid w:val="105D2E47"/>
    <w:rsid w:val="10B26596"/>
    <w:rsid w:val="10D5F547"/>
    <w:rsid w:val="10DF1615"/>
    <w:rsid w:val="10FB328C"/>
    <w:rsid w:val="11090796"/>
    <w:rsid w:val="116BF1A5"/>
    <w:rsid w:val="11EF1F56"/>
    <w:rsid w:val="12070B54"/>
    <w:rsid w:val="126CCCA5"/>
    <w:rsid w:val="130095DC"/>
    <w:rsid w:val="13017D2C"/>
    <w:rsid w:val="132D5116"/>
    <w:rsid w:val="134144A2"/>
    <w:rsid w:val="137D69DF"/>
    <w:rsid w:val="13A9CB53"/>
    <w:rsid w:val="13CD2F4F"/>
    <w:rsid w:val="1440A858"/>
    <w:rsid w:val="147F582D"/>
    <w:rsid w:val="1485DD4E"/>
    <w:rsid w:val="1486B0AE"/>
    <w:rsid w:val="14F3E02D"/>
    <w:rsid w:val="14FEBF79"/>
    <w:rsid w:val="15068A9F"/>
    <w:rsid w:val="15068C0A"/>
    <w:rsid w:val="15302659"/>
    <w:rsid w:val="1534DCBB"/>
    <w:rsid w:val="15437C09"/>
    <w:rsid w:val="156BC48E"/>
    <w:rsid w:val="1574B881"/>
    <w:rsid w:val="15C8EA70"/>
    <w:rsid w:val="15C9C6F1"/>
    <w:rsid w:val="15D8BC44"/>
    <w:rsid w:val="15DC78B9"/>
    <w:rsid w:val="15F392EF"/>
    <w:rsid w:val="15F5A116"/>
    <w:rsid w:val="160346B6"/>
    <w:rsid w:val="161531A2"/>
    <w:rsid w:val="164DB732"/>
    <w:rsid w:val="1678E564"/>
    <w:rsid w:val="169B86CB"/>
    <w:rsid w:val="16A44EEF"/>
    <w:rsid w:val="16C84E26"/>
    <w:rsid w:val="16D567BF"/>
    <w:rsid w:val="16EC3CF6"/>
    <w:rsid w:val="16F674CA"/>
    <w:rsid w:val="1772178E"/>
    <w:rsid w:val="17748CA5"/>
    <w:rsid w:val="1799438D"/>
    <w:rsid w:val="17A4A639"/>
    <w:rsid w:val="17E3F5C3"/>
    <w:rsid w:val="17F7EF5E"/>
    <w:rsid w:val="1806A904"/>
    <w:rsid w:val="1814B5C5"/>
    <w:rsid w:val="1837800D"/>
    <w:rsid w:val="184236EF"/>
    <w:rsid w:val="185A3694"/>
    <w:rsid w:val="18626576"/>
    <w:rsid w:val="18A36550"/>
    <w:rsid w:val="19D9DECE"/>
    <w:rsid w:val="19DE0750"/>
    <w:rsid w:val="19F72FAD"/>
    <w:rsid w:val="1A4C15DD"/>
    <w:rsid w:val="1A8368C8"/>
    <w:rsid w:val="1AD0E44F"/>
    <w:rsid w:val="1AE8EEE1"/>
    <w:rsid w:val="1B79D7B1"/>
    <w:rsid w:val="1BCA196B"/>
    <w:rsid w:val="1BDB0612"/>
    <w:rsid w:val="1BFD05C3"/>
    <w:rsid w:val="1C1E492D"/>
    <w:rsid w:val="1C30C895"/>
    <w:rsid w:val="1C395CF5"/>
    <w:rsid w:val="1C89DC84"/>
    <w:rsid w:val="1CA78F95"/>
    <w:rsid w:val="1CC1DD14"/>
    <w:rsid w:val="1CDA1A27"/>
    <w:rsid w:val="1CDFE1C8"/>
    <w:rsid w:val="1CED7DE0"/>
    <w:rsid w:val="1D2D4770"/>
    <w:rsid w:val="1D399E65"/>
    <w:rsid w:val="1D52BB9A"/>
    <w:rsid w:val="1D716FB6"/>
    <w:rsid w:val="1DBB18AC"/>
    <w:rsid w:val="1E2CC02C"/>
    <w:rsid w:val="1E6D0F99"/>
    <w:rsid w:val="1E75EA88"/>
    <w:rsid w:val="1E840D18"/>
    <w:rsid w:val="1E8B76F0"/>
    <w:rsid w:val="1E8F12E5"/>
    <w:rsid w:val="1E918482"/>
    <w:rsid w:val="1EB17873"/>
    <w:rsid w:val="1EC917D1"/>
    <w:rsid w:val="1EE1C32B"/>
    <w:rsid w:val="1F12A6D4"/>
    <w:rsid w:val="1F4023B6"/>
    <w:rsid w:val="1F42F41F"/>
    <w:rsid w:val="1F504C36"/>
    <w:rsid w:val="1F7D8358"/>
    <w:rsid w:val="1FB4ECFE"/>
    <w:rsid w:val="1FB4ED3E"/>
    <w:rsid w:val="1FC8908D"/>
    <w:rsid w:val="2011BAE9"/>
    <w:rsid w:val="2019A86F"/>
    <w:rsid w:val="2028FF0F"/>
    <w:rsid w:val="2064E832"/>
    <w:rsid w:val="20C4A07F"/>
    <w:rsid w:val="20CBA0F7"/>
    <w:rsid w:val="20DD3597"/>
    <w:rsid w:val="219FFF51"/>
    <w:rsid w:val="21DE6B5E"/>
    <w:rsid w:val="221963ED"/>
    <w:rsid w:val="221A12C6"/>
    <w:rsid w:val="22677158"/>
    <w:rsid w:val="2274DE4B"/>
    <w:rsid w:val="22B08474"/>
    <w:rsid w:val="22D10E03"/>
    <w:rsid w:val="22F4F466"/>
    <w:rsid w:val="239C88F4"/>
    <w:rsid w:val="23D4DD20"/>
    <w:rsid w:val="23F64C24"/>
    <w:rsid w:val="23FDEFBC"/>
    <w:rsid w:val="240817A8"/>
    <w:rsid w:val="2458B6B6"/>
    <w:rsid w:val="24734DE8"/>
    <w:rsid w:val="24875A98"/>
    <w:rsid w:val="24B33CAD"/>
    <w:rsid w:val="24B89DBD"/>
    <w:rsid w:val="24ED1992"/>
    <w:rsid w:val="24F7800A"/>
    <w:rsid w:val="2521A58E"/>
    <w:rsid w:val="25385955"/>
    <w:rsid w:val="254A8F15"/>
    <w:rsid w:val="256E13EE"/>
    <w:rsid w:val="257077BE"/>
    <w:rsid w:val="259F121A"/>
    <w:rsid w:val="25F5A50D"/>
    <w:rsid w:val="25F75728"/>
    <w:rsid w:val="263332BC"/>
    <w:rsid w:val="2677AAAF"/>
    <w:rsid w:val="2688E9F3"/>
    <w:rsid w:val="26ED83E9"/>
    <w:rsid w:val="27018B9F"/>
    <w:rsid w:val="273FB86A"/>
    <w:rsid w:val="27558C43"/>
    <w:rsid w:val="279D7EDD"/>
    <w:rsid w:val="279E01A6"/>
    <w:rsid w:val="27B61D14"/>
    <w:rsid w:val="27E7F8D3"/>
    <w:rsid w:val="281C7E51"/>
    <w:rsid w:val="2824498B"/>
    <w:rsid w:val="2824BA54"/>
    <w:rsid w:val="2861007A"/>
    <w:rsid w:val="286FFA17"/>
    <w:rsid w:val="28B9891A"/>
    <w:rsid w:val="2907CC34"/>
    <w:rsid w:val="294AF4F4"/>
    <w:rsid w:val="294B5EB6"/>
    <w:rsid w:val="29590DF8"/>
    <w:rsid w:val="29845508"/>
    <w:rsid w:val="29C08AB5"/>
    <w:rsid w:val="29C75F5D"/>
    <w:rsid w:val="29CD8216"/>
    <w:rsid w:val="29F22613"/>
    <w:rsid w:val="29F60C4E"/>
    <w:rsid w:val="2A2475D2"/>
    <w:rsid w:val="2A2F6372"/>
    <w:rsid w:val="2A615625"/>
    <w:rsid w:val="2A648620"/>
    <w:rsid w:val="2A77592C"/>
    <w:rsid w:val="2A871C85"/>
    <w:rsid w:val="2AC7C9A0"/>
    <w:rsid w:val="2ACEC5B0"/>
    <w:rsid w:val="2AE6C555"/>
    <w:rsid w:val="2AE7EE0D"/>
    <w:rsid w:val="2B632FBE"/>
    <w:rsid w:val="2B6C29CF"/>
    <w:rsid w:val="2B6FE02D"/>
    <w:rsid w:val="2B7773EB"/>
    <w:rsid w:val="2B7AF849"/>
    <w:rsid w:val="2B7FDD86"/>
    <w:rsid w:val="2BF91762"/>
    <w:rsid w:val="2BFE34FA"/>
    <w:rsid w:val="2C13298D"/>
    <w:rsid w:val="2C3E2170"/>
    <w:rsid w:val="2C8295B6"/>
    <w:rsid w:val="2C974C05"/>
    <w:rsid w:val="2CB4C8A5"/>
    <w:rsid w:val="2CFF31F5"/>
    <w:rsid w:val="2D06EC80"/>
    <w:rsid w:val="2D0D450D"/>
    <w:rsid w:val="2D1BADE7"/>
    <w:rsid w:val="2D29C6D5"/>
    <w:rsid w:val="2D2F04D5"/>
    <w:rsid w:val="2D35676F"/>
    <w:rsid w:val="2D55A0FA"/>
    <w:rsid w:val="2E099702"/>
    <w:rsid w:val="2E377D4C"/>
    <w:rsid w:val="2EB77E48"/>
    <w:rsid w:val="2EFC37CE"/>
    <w:rsid w:val="2F1FF5FE"/>
    <w:rsid w:val="2F64FD4D"/>
    <w:rsid w:val="2FE6A1DD"/>
    <w:rsid w:val="302339D6"/>
    <w:rsid w:val="30534EA9"/>
    <w:rsid w:val="3076D64E"/>
    <w:rsid w:val="30B5DAAE"/>
    <w:rsid w:val="30BDA5D4"/>
    <w:rsid w:val="30F7E317"/>
    <w:rsid w:val="31639760"/>
    <w:rsid w:val="3184E9B1"/>
    <w:rsid w:val="31882922"/>
    <w:rsid w:val="32064FEA"/>
    <w:rsid w:val="3208D097"/>
    <w:rsid w:val="320C2D4B"/>
    <w:rsid w:val="3213210B"/>
    <w:rsid w:val="32197F0C"/>
    <w:rsid w:val="324D00ED"/>
    <w:rsid w:val="32552CC0"/>
    <w:rsid w:val="326858E6"/>
    <w:rsid w:val="327B31C2"/>
    <w:rsid w:val="32CA2A53"/>
    <w:rsid w:val="32EF171D"/>
    <w:rsid w:val="32F3B1BB"/>
    <w:rsid w:val="330B5904"/>
    <w:rsid w:val="330CDF8F"/>
    <w:rsid w:val="3323F983"/>
    <w:rsid w:val="334C194C"/>
    <w:rsid w:val="33A2BC71"/>
    <w:rsid w:val="33E87931"/>
    <w:rsid w:val="33F3A16A"/>
    <w:rsid w:val="34170223"/>
    <w:rsid w:val="341D3C86"/>
    <w:rsid w:val="34238DAF"/>
    <w:rsid w:val="346164F8"/>
    <w:rsid w:val="34A8AFF0"/>
    <w:rsid w:val="34B4DB6A"/>
    <w:rsid w:val="34D4BE65"/>
    <w:rsid w:val="356CECB5"/>
    <w:rsid w:val="3580A019"/>
    <w:rsid w:val="358C5332"/>
    <w:rsid w:val="359FF9A8"/>
    <w:rsid w:val="35AC4CE0"/>
    <w:rsid w:val="35BF5E10"/>
    <w:rsid w:val="36448051"/>
    <w:rsid w:val="364CC50C"/>
    <w:rsid w:val="3651049F"/>
    <w:rsid w:val="36523370"/>
    <w:rsid w:val="36A00A16"/>
    <w:rsid w:val="36A12056"/>
    <w:rsid w:val="36AC3B59"/>
    <w:rsid w:val="36DA9BA8"/>
    <w:rsid w:val="36F6157A"/>
    <w:rsid w:val="370CDE9E"/>
    <w:rsid w:val="371C7112"/>
    <w:rsid w:val="373BCA09"/>
    <w:rsid w:val="3786BCA3"/>
    <w:rsid w:val="378F8598"/>
    <w:rsid w:val="37E31B31"/>
    <w:rsid w:val="37F044DE"/>
    <w:rsid w:val="381A84C5"/>
    <w:rsid w:val="3844D3FD"/>
    <w:rsid w:val="386232A8"/>
    <w:rsid w:val="38ABA1D1"/>
    <w:rsid w:val="38CDA9CB"/>
    <w:rsid w:val="38FF78E4"/>
    <w:rsid w:val="390E7226"/>
    <w:rsid w:val="3924BBFD"/>
    <w:rsid w:val="39273BB9"/>
    <w:rsid w:val="39A1DA84"/>
    <w:rsid w:val="39CD4EFB"/>
    <w:rsid w:val="39DA71D5"/>
    <w:rsid w:val="39EDDF4E"/>
    <w:rsid w:val="39F705D7"/>
    <w:rsid w:val="3A22CDBB"/>
    <w:rsid w:val="3A3C1D16"/>
    <w:rsid w:val="3A476F7B"/>
    <w:rsid w:val="3A736ACB"/>
    <w:rsid w:val="3AC08C5E"/>
    <w:rsid w:val="3AFD653D"/>
    <w:rsid w:val="3B078530"/>
    <w:rsid w:val="3B3AB699"/>
    <w:rsid w:val="3B498799"/>
    <w:rsid w:val="3B5BB262"/>
    <w:rsid w:val="3BB6CC06"/>
    <w:rsid w:val="3C02207B"/>
    <w:rsid w:val="3C1F2594"/>
    <w:rsid w:val="3C298052"/>
    <w:rsid w:val="3C4B68F6"/>
    <w:rsid w:val="3C5C5CBF"/>
    <w:rsid w:val="3C5E544D"/>
    <w:rsid w:val="3C6C879D"/>
    <w:rsid w:val="3C74AABA"/>
    <w:rsid w:val="3CA35591"/>
    <w:rsid w:val="3CD2F79B"/>
    <w:rsid w:val="3D551CFC"/>
    <w:rsid w:val="3DA072D5"/>
    <w:rsid w:val="3DBB4626"/>
    <w:rsid w:val="3DE38E58"/>
    <w:rsid w:val="3E004901"/>
    <w:rsid w:val="3E243319"/>
    <w:rsid w:val="3E2477C2"/>
    <w:rsid w:val="3E2EEA95"/>
    <w:rsid w:val="3E670E60"/>
    <w:rsid w:val="3E754BA7"/>
    <w:rsid w:val="3E88113F"/>
    <w:rsid w:val="3F0F8E39"/>
    <w:rsid w:val="3F46DBEE"/>
    <w:rsid w:val="3F770BBC"/>
    <w:rsid w:val="3FF59315"/>
    <w:rsid w:val="40084E27"/>
    <w:rsid w:val="40111C08"/>
    <w:rsid w:val="409D6169"/>
    <w:rsid w:val="40AB5E9A"/>
    <w:rsid w:val="40C5CFBA"/>
    <w:rsid w:val="4163FBA1"/>
    <w:rsid w:val="41A41E88"/>
    <w:rsid w:val="41C248C6"/>
    <w:rsid w:val="42E95047"/>
    <w:rsid w:val="43083551"/>
    <w:rsid w:val="4309A0A9"/>
    <w:rsid w:val="433ECB62"/>
    <w:rsid w:val="43505052"/>
    <w:rsid w:val="4360D9AF"/>
    <w:rsid w:val="43C2D157"/>
    <w:rsid w:val="43D9E219"/>
    <w:rsid w:val="43DC26C4"/>
    <w:rsid w:val="43ECFCD7"/>
    <w:rsid w:val="43FDA6BC"/>
    <w:rsid w:val="442716BD"/>
    <w:rsid w:val="44935CD0"/>
    <w:rsid w:val="44CE517A"/>
    <w:rsid w:val="44D79BFD"/>
    <w:rsid w:val="4512AD8E"/>
    <w:rsid w:val="451F6068"/>
    <w:rsid w:val="45362810"/>
    <w:rsid w:val="455B6D35"/>
    <w:rsid w:val="457356A2"/>
    <w:rsid w:val="45820D56"/>
    <w:rsid w:val="458FD5DA"/>
    <w:rsid w:val="45B08844"/>
    <w:rsid w:val="45E8A295"/>
    <w:rsid w:val="45F9CBA8"/>
    <w:rsid w:val="45FB56FB"/>
    <w:rsid w:val="46736C5E"/>
    <w:rsid w:val="4675600F"/>
    <w:rsid w:val="46778FAB"/>
    <w:rsid w:val="46A33274"/>
    <w:rsid w:val="46A40A6A"/>
    <w:rsid w:val="46DCCF1B"/>
    <w:rsid w:val="4724666A"/>
    <w:rsid w:val="472983EE"/>
    <w:rsid w:val="4735967B"/>
    <w:rsid w:val="47811B74"/>
    <w:rsid w:val="47F5A096"/>
    <w:rsid w:val="48087B47"/>
    <w:rsid w:val="480F3CBF"/>
    <w:rsid w:val="48489A1F"/>
    <w:rsid w:val="486E5D07"/>
    <w:rsid w:val="489259C9"/>
    <w:rsid w:val="489828F6"/>
    <w:rsid w:val="48B0E7A5"/>
    <w:rsid w:val="48D166DC"/>
    <w:rsid w:val="48DB5EDB"/>
    <w:rsid w:val="493519C7"/>
    <w:rsid w:val="494FC22C"/>
    <w:rsid w:val="496089C0"/>
    <w:rsid w:val="497F2A0E"/>
    <w:rsid w:val="49893C52"/>
    <w:rsid w:val="4993D874"/>
    <w:rsid w:val="4995E62F"/>
    <w:rsid w:val="49ABF450"/>
    <w:rsid w:val="49B7FE4E"/>
    <w:rsid w:val="49D5CCD3"/>
    <w:rsid w:val="49DB31A6"/>
    <w:rsid w:val="4A15EA19"/>
    <w:rsid w:val="4A5166BB"/>
    <w:rsid w:val="4A560186"/>
    <w:rsid w:val="4A5ACB5B"/>
    <w:rsid w:val="4A8AAB5E"/>
    <w:rsid w:val="4A9769A5"/>
    <w:rsid w:val="4ABADA7C"/>
    <w:rsid w:val="4B0B34DE"/>
    <w:rsid w:val="4B0F6299"/>
    <w:rsid w:val="4BA8C4C6"/>
    <w:rsid w:val="4BE29826"/>
    <w:rsid w:val="4C0B7E1C"/>
    <w:rsid w:val="4C267BBF"/>
    <w:rsid w:val="4C56AADD"/>
    <w:rsid w:val="4CD548CF"/>
    <w:rsid w:val="4CE6D12F"/>
    <w:rsid w:val="4CF4984A"/>
    <w:rsid w:val="4D159B24"/>
    <w:rsid w:val="4D1D234E"/>
    <w:rsid w:val="4D51C02B"/>
    <w:rsid w:val="4D5C19D7"/>
    <w:rsid w:val="4DEADF89"/>
    <w:rsid w:val="4E5D3742"/>
    <w:rsid w:val="4E64553A"/>
    <w:rsid w:val="4E87D6FD"/>
    <w:rsid w:val="4EAC4E03"/>
    <w:rsid w:val="4EAFCB5D"/>
    <w:rsid w:val="4EEF857C"/>
    <w:rsid w:val="4EF02CC0"/>
    <w:rsid w:val="4FCA33DC"/>
    <w:rsid w:val="4FEE0B4B"/>
    <w:rsid w:val="50128AB4"/>
    <w:rsid w:val="50509816"/>
    <w:rsid w:val="5136AE63"/>
    <w:rsid w:val="5136E9D8"/>
    <w:rsid w:val="5140564D"/>
    <w:rsid w:val="51895EA9"/>
    <w:rsid w:val="51B812B6"/>
    <w:rsid w:val="51F7800D"/>
    <w:rsid w:val="52284604"/>
    <w:rsid w:val="52721480"/>
    <w:rsid w:val="52CA2D1D"/>
    <w:rsid w:val="52D27EC4"/>
    <w:rsid w:val="533E5767"/>
    <w:rsid w:val="536B86D8"/>
    <w:rsid w:val="538E2B37"/>
    <w:rsid w:val="5398D7C3"/>
    <w:rsid w:val="53DFEF3B"/>
    <w:rsid w:val="54191BE8"/>
    <w:rsid w:val="543A55E9"/>
    <w:rsid w:val="545C97FA"/>
    <w:rsid w:val="546E4F25"/>
    <w:rsid w:val="548EFA73"/>
    <w:rsid w:val="550B0B71"/>
    <w:rsid w:val="550C3455"/>
    <w:rsid w:val="5556482D"/>
    <w:rsid w:val="55739483"/>
    <w:rsid w:val="55DA72FB"/>
    <w:rsid w:val="55E1CB7C"/>
    <w:rsid w:val="55E5A607"/>
    <w:rsid w:val="566F8E1D"/>
    <w:rsid w:val="56A3279A"/>
    <w:rsid w:val="56B72F90"/>
    <w:rsid w:val="5712CD97"/>
    <w:rsid w:val="5801B496"/>
    <w:rsid w:val="580E2BDD"/>
    <w:rsid w:val="5831715C"/>
    <w:rsid w:val="58344A0A"/>
    <w:rsid w:val="584D9934"/>
    <w:rsid w:val="5890A898"/>
    <w:rsid w:val="58E65EF6"/>
    <w:rsid w:val="59473873"/>
    <w:rsid w:val="59530A2C"/>
    <w:rsid w:val="59592F38"/>
    <w:rsid w:val="599EF29B"/>
    <w:rsid w:val="59A9FC3E"/>
    <w:rsid w:val="59B806F9"/>
    <w:rsid w:val="59CD41BD"/>
    <w:rsid w:val="59EFEAEC"/>
    <w:rsid w:val="5A8B488D"/>
    <w:rsid w:val="5AC902C2"/>
    <w:rsid w:val="5ADD90A9"/>
    <w:rsid w:val="5AE5466D"/>
    <w:rsid w:val="5B163D0C"/>
    <w:rsid w:val="5B372A22"/>
    <w:rsid w:val="5BC63800"/>
    <w:rsid w:val="5BDE8396"/>
    <w:rsid w:val="5C3FE981"/>
    <w:rsid w:val="5C59D17C"/>
    <w:rsid w:val="5C65FAE1"/>
    <w:rsid w:val="5CB19CB5"/>
    <w:rsid w:val="5CB2233C"/>
    <w:rsid w:val="5CC9444A"/>
    <w:rsid w:val="5CE20D3A"/>
    <w:rsid w:val="5CE22519"/>
    <w:rsid w:val="5D2D2417"/>
    <w:rsid w:val="5D6008D4"/>
    <w:rsid w:val="5D7963FB"/>
    <w:rsid w:val="5DB519B7"/>
    <w:rsid w:val="5E1BD290"/>
    <w:rsid w:val="5E290056"/>
    <w:rsid w:val="5ED16924"/>
    <w:rsid w:val="5EE29BC3"/>
    <w:rsid w:val="5EE9ED68"/>
    <w:rsid w:val="5F305CB2"/>
    <w:rsid w:val="5F4BB4CD"/>
    <w:rsid w:val="5F76A648"/>
    <w:rsid w:val="5FB101CC"/>
    <w:rsid w:val="5FE057A6"/>
    <w:rsid w:val="5FFD3C78"/>
    <w:rsid w:val="6003B212"/>
    <w:rsid w:val="60212B48"/>
    <w:rsid w:val="608A57FF"/>
    <w:rsid w:val="608B9C62"/>
    <w:rsid w:val="6099BEF2"/>
    <w:rsid w:val="60DF29F2"/>
    <w:rsid w:val="60E13743"/>
    <w:rsid w:val="61493AF2"/>
    <w:rsid w:val="614CD22D"/>
    <w:rsid w:val="617FE47C"/>
    <w:rsid w:val="619CB56D"/>
    <w:rsid w:val="61CB4672"/>
    <w:rsid w:val="61ED8FDE"/>
    <w:rsid w:val="62262860"/>
    <w:rsid w:val="6266BE00"/>
    <w:rsid w:val="626F627D"/>
    <w:rsid w:val="6283EE90"/>
    <w:rsid w:val="62D53C65"/>
    <w:rsid w:val="62DC5455"/>
    <w:rsid w:val="62FA7B2E"/>
    <w:rsid w:val="630A6B6D"/>
    <w:rsid w:val="6317E49E"/>
    <w:rsid w:val="6320991B"/>
    <w:rsid w:val="63AA789C"/>
    <w:rsid w:val="63C1F8C1"/>
    <w:rsid w:val="64176E5C"/>
    <w:rsid w:val="642F15C7"/>
    <w:rsid w:val="6430F5F1"/>
    <w:rsid w:val="6454982E"/>
    <w:rsid w:val="6481F921"/>
    <w:rsid w:val="64A0EBC5"/>
    <w:rsid w:val="64A4D376"/>
    <w:rsid w:val="64B3B4FF"/>
    <w:rsid w:val="64CFD079"/>
    <w:rsid w:val="6507C6B6"/>
    <w:rsid w:val="6582D14D"/>
    <w:rsid w:val="65BD3726"/>
    <w:rsid w:val="65D4AD1C"/>
    <w:rsid w:val="65EED1CE"/>
    <w:rsid w:val="6628A2FA"/>
    <w:rsid w:val="667635D4"/>
    <w:rsid w:val="66962FFC"/>
    <w:rsid w:val="66C80B44"/>
    <w:rsid w:val="66C92EBC"/>
    <w:rsid w:val="66FC0FC2"/>
    <w:rsid w:val="6761AE7E"/>
    <w:rsid w:val="678C46D7"/>
    <w:rsid w:val="68288E59"/>
    <w:rsid w:val="682C3D2D"/>
    <w:rsid w:val="683B9A54"/>
    <w:rsid w:val="68AE1DFB"/>
    <w:rsid w:val="68C77925"/>
    <w:rsid w:val="694714AC"/>
    <w:rsid w:val="694C6599"/>
    <w:rsid w:val="697F6459"/>
    <w:rsid w:val="69B1C45E"/>
    <w:rsid w:val="69B281DE"/>
    <w:rsid w:val="69B6BB80"/>
    <w:rsid w:val="69C5FF25"/>
    <w:rsid w:val="69F9D29E"/>
    <w:rsid w:val="6A485455"/>
    <w:rsid w:val="6ABDD22C"/>
    <w:rsid w:val="6ACB86BC"/>
    <w:rsid w:val="6AEBB72A"/>
    <w:rsid w:val="6B528BE1"/>
    <w:rsid w:val="6B5E538E"/>
    <w:rsid w:val="6BB2A36B"/>
    <w:rsid w:val="6C4681B6"/>
    <w:rsid w:val="6C4E46C3"/>
    <w:rsid w:val="6C59D07E"/>
    <w:rsid w:val="6C957ACC"/>
    <w:rsid w:val="6CC29723"/>
    <w:rsid w:val="6D474A0B"/>
    <w:rsid w:val="6D53DAF7"/>
    <w:rsid w:val="6D66A8C3"/>
    <w:rsid w:val="6D705C70"/>
    <w:rsid w:val="6DB6CB86"/>
    <w:rsid w:val="6DE4B3B4"/>
    <w:rsid w:val="6DF6B310"/>
    <w:rsid w:val="6E3D4A35"/>
    <w:rsid w:val="6E3EDC13"/>
    <w:rsid w:val="6EF1B127"/>
    <w:rsid w:val="6F0925FF"/>
    <w:rsid w:val="6F616E47"/>
    <w:rsid w:val="6F825118"/>
    <w:rsid w:val="6F959166"/>
    <w:rsid w:val="6F9CC4FE"/>
    <w:rsid w:val="6FC4ABC8"/>
    <w:rsid w:val="702169FE"/>
    <w:rsid w:val="702483EE"/>
    <w:rsid w:val="704EF2D3"/>
    <w:rsid w:val="70908555"/>
    <w:rsid w:val="7099FC8A"/>
    <w:rsid w:val="70D11606"/>
    <w:rsid w:val="712E0662"/>
    <w:rsid w:val="716F0F84"/>
    <w:rsid w:val="71B7BD80"/>
    <w:rsid w:val="71C9BB2B"/>
    <w:rsid w:val="722EA336"/>
    <w:rsid w:val="725F2B97"/>
    <w:rsid w:val="726CE667"/>
    <w:rsid w:val="729040D3"/>
    <w:rsid w:val="72FDBF21"/>
    <w:rsid w:val="73440380"/>
    <w:rsid w:val="737BA36D"/>
    <w:rsid w:val="73C82617"/>
    <w:rsid w:val="73DF2322"/>
    <w:rsid w:val="7408B6C8"/>
    <w:rsid w:val="74200BFB"/>
    <w:rsid w:val="74420D1E"/>
    <w:rsid w:val="74498A6A"/>
    <w:rsid w:val="74CEF63F"/>
    <w:rsid w:val="74D5968E"/>
    <w:rsid w:val="74FC79BB"/>
    <w:rsid w:val="7507B233"/>
    <w:rsid w:val="7509539C"/>
    <w:rsid w:val="750AC035"/>
    <w:rsid w:val="7553E509"/>
    <w:rsid w:val="7558F43A"/>
    <w:rsid w:val="7563F678"/>
    <w:rsid w:val="759FEFA6"/>
    <w:rsid w:val="75B3F833"/>
    <w:rsid w:val="75B9C1BC"/>
    <w:rsid w:val="75C7E195"/>
    <w:rsid w:val="75EBA5F2"/>
    <w:rsid w:val="76139638"/>
    <w:rsid w:val="761E3477"/>
    <w:rsid w:val="76609C9F"/>
    <w:rsid w:val="76656EAF"/>
    <w:rsid w:val="7691B3BF"/>
    <w:rsid w:val="76AC4DB2"/>
    <w:rsid w:val="76EA5895"/>
    <w:rsid w:val="76FE1659"/>
    <w:rsid w:val="77347C88"/>
    <w:rsid w:val="7740578A"/>
    <w:rsid w:val="77508702"/>
    <w:rsid w:val="77852BDC"/>
    <w:rsid w:val="778E1550"/>
    <w:rsid w:val="779C8325"/>
    <w:rsid w:val="77A4C9F4"/>
    <w:rsid w:val="77D1975E"/>
    <w:rsid w:val="77E53E29"/>
    <w:rsid w:val="781151D9"/>
    <w:rsid w:val="7840528E"/>
    <w:rsid w:val="784219F2"/>
    <w:rsid w:val="785A89F5"/>
    <w:rsid w:val="785D916F"/>
    <w:rsid w:val="7880468C"/>
    <w:rsid w:val="789BA91F"/>
    <w:rsid w:val="789BB7BA"/>
    <w:rsid w:val="78A9A3FB"/>
    <w:rsid w:val="78E1D771"/>
    <w:rsid w:val="78EC54AC"/>
    <w:rsid w:val="78FE5A29"/>
    <w:rsid w:val="791A0730"/>
    <w:rsid w:val="792DC99F"/>
    <w:rsid w:val="79385386"/>
    <w:rsid w:val="793E35FF"/>
    <w:rsid w:val="7998BF08"/>
    <w:rsid w:val="799A98EA"/>
    <w:rsid w:val="799C4496"/>
    <w:rsid w:val="79A907B1"/>
    <w:rsid w:val="79AD9C2E"/>
    <w:rsid w:val="79E3EE74"/>
    <w:rsid w:val="79F65A56"/>
    <w:rsid w:val="79FB31EE"/>
    <w:rsid w:val="7A484838"/>
    <w:rsid w:val="7A4DA50E"/>
    <w:rsid w:val="7A579676"/>
    <w:rsid w:val="7A6902F9"/>
    <w:rsid w:val="7A736D34"/>
    <w:rsid w:val="7AB8CBEE"/>
    <w:rsid w:val="7ACC0EE0"/>
    <w:rsid w:val="7C0E85B8"/>
    <w:rsid w:val="7C13C8AD"/>
    <w:rsid w:val="7C174F2E"/>
    <w:rsid w:val="7C1E77BF"/>
    <w:rsid w:val="7C549C4F"/>
    <w:rsid w:val="7C5E6BE8"/>
    <w:rsid w:val="7CDFAD0B"/>
    <w:rsid w:val="7D075EE3"/>
    <w:rsid w:val="7D1D370A"/>
    <w:rsid w:val="7D5DAF35"/>
    <w:rsid w:val="7D82AFF7"/>
    <w:rsid w:val="7D8830BA"/>
    <w:rsid w:val="7D909477"/>
    <w:rsid w:val="7D9EB1B5"/>
    <w:rsid w:val="7DAF990E"/>
    <w:rsid w:val="7DD4DCD6"/>
    <w:rsid w:val="7DE727A2"/>
    <w:rsid w:val="7E03AFA2"/>
    <w:rsid w:val="7E5D6FD5"/>
    <w:rsid w:val="7EA9E178"/>
    <w:rsid w:val="7EC973AF"/>
    <w:rsid w:val="7F312EB7"/>
    <w:rsid w:val="7F5356F5"/>
    <w:rsid w:val="7F70AD37"/>
    <w:rsid w:val="7FA3A270"/>
    <w:rsid w:val="7FDDE729"/>
    <w:rsid w:val="7FF6D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9B960"/>
  <w15:chartTrackingRefBased/>
  <w15:docId w15:val="{B30FE20D-0A1B-4710-BB38-71601311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uiPriority w:val="1"/>
    <w:rsid w:val="17E3F5C3"/>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D6DBA"/>
    <w:rPr>
      <w:sz w:val="16"/>
      <w:szCs w:val="16"/>
    </w:rPr>
  </w:style>
  <w:style w:type="paragraph" w:styleId="CommentText">
    <w:name w:val="annotation text"/>
    <w:basedOn w:val="Normal"/>
    <w:link w:val="CommentTextChar"/>
    <w:uiPriority w:val="99"/>
    <w:unhideWhenUsed/>
    <w:rsid w:val="002D6DBA"/>
    <w:pPr>
      <w:spacing w:line="240" w:lineRule="auto"/>
    </w:pPr>
    <w:rPr>
      <w:sz w:val="20"/>
      <w:szCs w:val="20"/>
    </w:rPr>
  </w:style>
  <w:style w:type="character" w:customStyle="1" w:styleId="CommentTextChar">
    <w:name w:val="Comment Text Char"/>
    <w:basedOn w:val="DefaultParagraphFont"/>
    <w:link w:val="CommentText"/>
    <w:uiPriority w:val="99"/>
    <w:rsid w:val="002D6DBA"/>
    <w:rPr>
      <w:sz w:val="20"/>
      <w:szCs w:val="20"/>
    </w:rPr>
  </w:style>
  <w:style w:type="paragraph" w:styleId="CommentSubject">
    <w:name w:val="annotation subject"/>
    <w:basedOn w:val="CommentText"/>
    <w:next w:val="CommentText"/>
    <w:link w:val="CommentSubjectChar"/>
    <w:uiPriority w:val="99"/>
    <w:semiHidden/>
    <w:unhideWhenUsed/>
    <w:rsid w:val="002D6DBA"/>
    <w:rPr>
      <w:b/>
      <w:bCs/>
    </w:rPr>
  </w:style>
  <w:style w:type="character" w:customStyle="1" w:styleId="CommentSubjectChar">
    <w:name w:val="Comment Subject Char"/>
    <w:basedOn w:val="CommentTextChar"/>
    <w:link w:val="CommentSubject"/>
    <w:uiPriority w:val="99"/>
    <w:semiHidden/>
    <w:rsid w:val="002D6DBA"/>
    <w:rPr>
      <w:b/>
      <w:bCs/>
      <w:sz w:val="20"/>
      <w:szCs w:val="20"/>
    </w:rPr>
  </w:style>
  <w:style w:type="character" w:customStyle="1" w:styleId="normaltextrun">
    <w:name w:val="normaltextrun"/>
    <w:basedOn w:val="DefaultParagraphFont"/>
    <w:uiPriority w:val="1"/>
    <w:rsid w:val="33A2BC71"/>
  </w:style>
  <w:style w:type="character" w:customStyle="1" w:styleId="eop">
    <w:name w:val="eop"/>
    <w:basedOn w:val="DefaultParagraphFont"/>
    <w:uiPriority w:val="1"/>
    <w:rsid w:val="33A2BC71"/>
  </w:style>
  <w:style w:type="paragraph" w:customStyle="1" w:styleId="paragraph">
    <w:name w:val="paragraph"/>
    <w:basedOn w:val="Normal"/>
    <w:uiPriority w:val="1"/>
    <w:rsid w:val="33A2BC71"/>
    <w:pPr>
      <w:spacing w:beforeAutospacing="1"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8D2B60"/>
    <w:pPr>
      <w:spacing w:after="0" w:line="240" w:lineRule="auto"/>
    </w:pPr>
  </w:style>
  <w:style w:type="character" w:styleId="UnresolvedMention">
    <w:name w:val="Unresolved Mention"/>
    <w:basedOn w:val="DefaultParagraphFont"/>
    <w:uiPriority w:val="99"/>
    <w:semiHidden/>
    <w:unhideWhenUsed/>
    <w:rsid w:val="008A76FE"/>
    <w:rPr>
      <w:color w:val="605E5C"/>
      <w:shd w:val="clear" w:color="auto" w:fill="E1DFDD"/>
    </w:rPr>
  </w:style>
  <w:style w:type="paragraph" w:styleId="Header">
    <w:name w:val="header"/>
    <w:basedOn w:val="Normal"/>
    <w:link w:val="HeaderChar"/>
    <w:uiPriority w:val="99"/>
    <w:unhideWhenUsed/>
    <w:rsid w:val="003E6F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F65"/>
  </w:style>
  <w:style w:type="paragraph" w:styleId="Footer">
    <w:name w:val="footer"/>
    <w:basedOn w:val="Normal"/>
    <w:link w:val="FooterChar"/>
    <w:uiPriority w:val="99"/>
    <w:unhideWhenUsed/>
    <w:rsid w:val="003E6F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F65"/>
  </w:style>
  <w:style w:type="paragraph" w:customStyle="1" w:styleId="EndNoteBibliographyTitle">
    <w:name w:val="EndNote Bibliography Title"/>
    <w:basedOn w:val="Normal"/>
    <w:link w:val="EndNoteBibliographyTitleChar"/>
    <w:rsid w:val="00B05E7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05E78"/>
    <w:rPr>
      <w:rFonts w:ascii="Calibri" w:hAnsi="Calibri" w:cs="Calibri"/>
      <w:noProof/>
      <w:lang w:val="en-US"/>
    </w:rPr>
  </w:style>
  <w:style w:type="paragraph" w:customStyle="1" w:styleId="EndNoteBibliography">
    <w:name w:val="EndNote Bibliography"/>
    <w:basedOn w:val="Normal"/>
    <w:link w:val="EndNoteBibliographyChar"/>
    <w:rsid w:val="00B05E78"/>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B05E78"/>
    <w:rPr>
      <w:rFonts w:ascii="Calibri" w:hAnsi="Calibri" w:cs="Calibri"/>
      <w:noProof/>
      <w:lang w:val="en-US"/>
    </w:rPr>
  </w:style>
  <w:style w:type="character" w:styleId="FollowedHyperlink">
    <w:name w:val="FollowedHyperlink"/>
    <w:basedOn w:val="DefaultParagraphFont"/>
    <w:uiPriority w:val="99"/>
    <w:semiHidden/>
    <w:unhideWhenUsed/>
    <w:rsid w:val="00EE0E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0377">
      <w:bodyDiv w:val="1"/>
      <w:marLeft w:val="0"/>
      <w:marRight w:val="0"/>
      <w:marTop w:val="0"/>
      <w:marBottom w:val="0"/>
      <w:divBdr>
        <w:top w:val="none" w:sz="0" w:space="0" w:color="auto"/>
        <w:left w:val="none" w:sz="0" w:space="0" w:color="auto"/>
        <w:bottom w:val="none" w:sz="0" w:space="0" w:color="auto"/>
        <w:right w:val="none" w:sz="0" w:space="0" w:color="auto"/>
      </w:divBdr>
    </w:div>
    <w:div w:id="446434972">
      <w:bodyDiv w:val="1"/>
      <w:marLeft w:val="0"/>
      <w:marRight w:val="0"/>
      <w:marTop w:val="0"/>
      <w:marBottom w:val="0"/>
      <w:divBdr>
        <w:top w:val="none" w:sz="0" w:space="0" w:color="auto"/>
        <w:left w:val="none" w:sz="0" w:space="0" w:color="auto"/>
        <w:bottom w:val="none" w:sz="0" w:space="0" w:color="auto"/>
        <w:right w:val="none" w:sz="0" w:space="0" w:color="auto"/>
      </w:divBdr>
    </w:div>
    <w:div w:id="658309966">
      <w:bodyDiv w:val="1"/>
      <w:marLeft w:val="0"/>
      <w:marRight w:val="0"/>
      <w:marTop w:val="0"/>
      <w:marBottom w:val="0"/>
      <w:divBdr>
        <w:top w:val="none" w:sz="0" w:space="0" w:color="auto"/>
        <w:left w:val="none" w:sz="0" w:space="0" w:color="auto"/>
        <w:bottom w:val="none" w:sz="0" w:space="0" w:color="auto"/>
        <w:right w:val="none" w:sz="0" w:space="0" w:color="auto"/>
      </w:divBdr>
    </w:div>
    <w:div w:id="1696225721">
      <w:bodyDiv w:val="1"/>
      <w:marLeft w:val="0"/>
      <w:marRight w:val="0"/>
      <w:marTop w:val="0"/>
      <w:marBottom w:val="0"/>
      <w:divBdr>
        <w:top w:val="none" w:sz="0" w:space="0" w:color="auto"/>
        <w:left w:val="none" w:sz="0" w:space="0" w:color="auto"/>
        <w:bottom w:val="none" w:sz="0" w:space="0" w:color="auto"/>
        <w:right w:val="none" w:sz="0" w:space="0" w:color="auto"/>
      </w:divBdr>
    </w:div>
    <w:div w:id="1835368066">
      <w:bodyDiv w:val="1"/>
      <w:marLeft w:val="0"/>
      <w:marRight w:val="0"/>
      <w:marTop w:val="0"/>
      <w:marBottom w:val="0"/>
      <w:divBdr>
        <w:top w:val="none" w:sz="0" w:space="0" w:color="auto"/>
        <w:left w:val="none" w:sz="0" w:space="0" w:color="auto"/>
        <w:bottom w:val="none" w:sz="0" w:space="0" w:color="auto"/>
        <w:right w:val="none" w:sz="0" w:space="0" w:color="auto"/>
      </w:divBdr>
    </w:div>
    <w:div w:id="187677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07/s11657-013-0136-1" TargetMode="External"/><Relationship Id="rId18" Type="http://schemas.openxmlformats.org/officeDocument/2006/relationships/hyperlink" Target="https://doi.org/10.1016/S0033-3506(03)00033-7" TargetMode="External"/><Relationship Id="rId26" Type="http://schemas.openxmlformats.org/officeDocument/2006/relationships/hyperlink" Target="https://doi.org/10.1136/jech.42.2.121" TargetMode="External"/><Relationship Id="rId39"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doi.org/10.1007/s00198-007-0543-5" TargetMode="External"/><Relationship Id="rId34" Type="http://schemas.openxmlformats.org/officeDocument/2006/relationships/hyperlink" Target="https://doi.org/10.1093/abm/kax033" TargetMode="External"/><Relationship Id="rId7" Type="http://schemas.openxmlformats.org/officeDocument/2006/relationships/settings" Target="settings.xml"/><Relationship Id="rId12" Type="http://schemas.openxmlformats.org/officeDocument/2006/relationships/hyperlink" Target="https://doi.org/10.1007/s00198-011-1883-8" TargetMode="External"/><Relationship Id="rId17" Type="http://schemas.openxmlformats.org/officeDocument/2006/relationships/hyperlink" Target="https://doi.org/10.1007/s00198-015-3054-9" TargetMode="External"/><Relationship Id="rId25" Type="http://schemas.openxmlformats.org/officeDocument/2006/relationships/hyperlink" Target="https://doi.org/10.12688/f1000research.17457.1" TargetMode="External"/><Relationship Id="rId33" Type="http://schemas.openxmlformats.org/officeDocument/2006/relationships/hyperlink" Target="https://doi.org/10.2307/267017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3346/jkms.2014.29.11.1482" TargetMode="External"/><Relationship Id="rId20" Type="http://schemas.openxmlformats.org/officeDocument/2006/relationships/hyperlink" Target="https://doi.org/10.1007/s00198-010-1287-1" TargetMode="External"/><Relationship Id="rId29" Type="http://schemas.openxmlformats.org/officeDocument/2006/relationships/hyperlink" Target="https://doi.org/10.1016/j.jamda.2018.03.00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d@mrc.soton.ac.uk" TargetMode="External"/><Relationship Id="rId24" Type="http://schemas.openxmlformats.org/officeDocument/2006/relationships/hyperlink" Target="https://doi.org/10.1093/ije/dyi127" TargetMode="External"/><Relationship Id="rId32" Type="http://schemas.openxmlformats.org/officeDocument/2006/relationships/hyperlink" Target="https://doi.org/10.1136/annrheumdis-2015-208958"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1136/heartjnl-2019-315629" TargetMode="External"/><Relationship Id="rId23" Type="http://schemas.openxmlformats.org/officeDocument/2006/relationships/hyperlink" Target="https://doi.org/10.1186/1471-2458-14-533" TargetMode="External"/><Relationship Id="rId28" Type="http://schemas.openxmlformats.org/officeDocument/2006/relationships/hyperlink" Target="https://doi.org/10.1016/j.schres.2018.05.010"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oi.org/10.1007/s001980070060" TargetMode="External"/><Relationship Id="rId31" Type="http://schemas.openxmlformats.org/officeDocument/2006/relationships/hyperlink" Target="https://doi.org/10.1007/s00198-017-4238-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socscimed.2006.08.031" TargetMode="External"/><Relationship Id="rId22" Type="http://schemas.openxmlformats.org/officeDocument/2006/relationships/hyperlink" Target="https://doi.org/10.1371/journal.pone.0192584" TargetMode="External"/><Relationship Id="rId27" Type="http://schemas.openxmlformats.org/officeDocument/2006/relationships/hyperlink" Target="https://doi.org/10.1093/ageing/afu020" TargetMode="External"/><Relationship Id="rId30" Type="http://schemas.openxmlformats.org/officeDocument/2006/relationships/hyperlink" Target="https://doi.org/10.1007/s00198-020-05768-4"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BD1D48DC6BC443BD85CCBAB2981EFF" ma:contentTypeVersion="4" ma:contentTypeDescription="Create a new document." ma:contentTypeScope="" ma:versionID="b289c631a8a502690b93dc111299332e">
  <xsd:schema xmlns:xsd="http://www.w3.org/2001/XMLSchema" xmlns:xs="http://www.w3.org/2001/XMLSchema" xmlns:p="http://schemas.microsoft.com/office/2006/metadata/properties" xmlns:ns2="e7186b6a-f95d-405e-bc80-ff828e244a08" targetNamespace="http://schemas.microsoft.com/office/2006/metadata/properties" ma:root="true" ma:fieldsID="9263ad648df0a02957b66d8181aa5d69" ns2:_="">
    <xsd:import namespace="e7186b6a-f95d-405e-bc80-ff828e244a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86b6a-f95d-405e-bc80-ff828e244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CB9E2-5DDF-4560-86E9-8AC3CD2100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E3A386-39B4-452D-960F-1D9CE8293AAF}">
  <ds:schemaRefs>
    <ds:schemaRef ds:uri="http://schemas.microsoft.com/sharepoint/v3/contenttype/forms"/>
  </ds:schemaRefs>
</ds:datastoreItem>
</file>

<file path=customXml/itemProps3.xml><?xml version="1.0" encoding="utf-8"?>
<ds:datastoreItem xmlns:ds="http://schemas.openxmlformats.org/officeDocument/2006/customXml" ds:itemID="{01C84501-D67F-4C31-9E3B-0FFC5C50B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86b6a-f95d-405e-bc80-ff828e244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D0E5C-5E60-47D9-A0C5-F649536F5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8255</Words>
  <Characters>47060</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Westbury</dc:creator>
  <cp:keywords/>
  <dc:description/>
  <cp:lastModifiedBy>Karen Drake</cp:lastModifiedBy>
  <cp:revision>2</cp:revision>
  <cp:lastPrinted>2023-08-31T13:00:00Z</cp:lastPrinted>
  <dcterms:created xsi:type="dcterms:W3CDTF">2024-02-06T11:11:00Z</dcterms:created>
  <dcterms:modified xsi:type="dcterms:W3CDTF">2024-02-06T11:11:00Z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0x0101006FBD1D48DC6BC443BD85CCBAB2981EFF</vt:lpwstr>
  </property>
</Properties>
</file>