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ACE7" w14:textId="77777777" w:rsidR="00FF3EBD" w:rsidRPr="00D27442" w:rsidRDefault="00FF3EBD" w:rsidP="008F2303">
      <w:pPr>
        <w:jc w:val="both"/>
        <w:rPr>
          <w:b/>
          <w:bCs/>
          <w:sz w:val="28"/>
          <w:szCs w:val="28"/>
        </w:rPr>
      </w:pPr>
      <w:r w:rsidRPr="00D27442">
        <w:rPr>
          <w:b/>
          <w:bCs/>
          <w:sz w:val="28"/>
          <w:szCs w:val="28"/>
        </w:rPr>
        <w:t>Introduction</w:t>
      </w:r>
    </w:p>
    <w:p w14:paraId="40F434D4" w14:textId="68A18283" w:rsidR="0014364B" w:rsidRDefault="005B7DE8" w:rsidP="008F2303">
      <w:pPr>
        <w:jc w:val="both"/>
      </w:pPr>
      <w:r>
        <w:t xml:space="preserve">Access to medicines is </w:t>
      </w:r>
      <w:r w:rsidR="00505F21">
        <w:t xml:space="preserve">a </w:t>
      </w:r>
      <w:r w:rsidR="00F02F85">
        <w:t>vital</w:t>
      </w:r>
      <w:r w:rsidR="00603334">
        <w:t xml:space="preserve"> part of palliative and end</w:t>
      </w:r>
      <w:r w:rsidR="000D08DF">
        <w:t>-</w:t>
      </w:r>
      <w:r w:rsidR="00603334">
        <w:t>of</w:t>
      </w:r>
      <w:r w:rsidR="000D08DF">
        <w:t>-</w:t>
      </w:r>
      <w:r w:rsidR="00603334">
        <w:t xml:space="preserve">life care.  Without </w:t>
      </w:r>
      <w:r w:rsidR="004437EE">
        <w:t>it</w:t>
      </w:r>
      <w:r w:rsidR="004B1B73">
        <w:t xml:space="preserve"> </w:t>
      </w:r>
      <w:r w:rsidR="00683F32">
        <w:t>symptoms</w:t>
      </w:r>
      <w:r w:rsidR="0044370C">
        <w:t xml:space="preserve"> cannot be </w:t>
      </w:r>
      <w:r w:rsidR="004B09F7">
        <w:t xml:space="preserve">effectively </w:t>
      </w:r>
      <w:r w:rsidR="004437EE">
        <w:t>managed</w:t>
      </w:r>
      <w:r w:rsidR="008E2057">
        <w:t xml:space="preserve">, </w:t>
      </w:r>
      <w:r w:rsidR="00D17A22">
        <w:t>causing high levels of distress</w:t>
      </w:r>
      <w:r w:rsidR="00645B19">
        <w:t>.</w:t>
      </w:r>
      <w:r w:rsidR="005A2789">
        <w:t xml:space="preserve">  </w:t>
      </w:r>
      <w:r w:rsidR="004841CF">
        <w:t>P</w:t>
      </w:r>
      <w:r w:rsidR="008F50B2">
        <w:t xml:space="preserve">atient access to medicines at home </w:t>
      </w:r>
      <w:r w:rsidR="003568FB">
        <w:t xml:space="preserve">during the last 12 months of life is therefore critical for </w:t>
      </w:r>
      <w:r w:rsidR="00F54C2B">
        <w:t xml:space="preserve">symptom control, </w:t>
      </w:r>
      <w:r w:rsidR="00054749">
        <w:t xml:space="preserve">and to </w:t>
      </w:r>
      <w:r w:rsidR="00F54C2B">
        <w:t>prevent</w:t>
      </w:r>
      <w:r w:rsidR="009665B3">
        <w:t xml:space="preserve"> </w:t>
      </w:r>
      <w:r w:rsidR="00F54C2B">
        <w:t>distress and unplanned admission</w:t>
      </w:r>
      <w:r w:rsidR="009665B3">
        <w:t>s</w:t>
      </w:r>
      <w:r w:rsidR="00F54C2B">
        <w:t xml:space="preserve"> to hospital</w:t>
      </w:r>
      <w:r w:rsidR="00EC5FE9">
        <w:t xml:space="preserve">. </w:t>
      </w:r>
      <w:r w:rsidR="00BC759A">
        <w:t xml:space="preserve"> </w:t>
      </w:r>
    </w:p>
    <w:p w14:paraId="5E305016" w14:textId="1B86F459" w:rsidR="00197FC9" w:rsidRPr="00DF6AB1" w:rsidRDefault="009B29B8" w:rsidP="008F2303">
      <w:pPr>
        <w:jc w:val="both"/>
      </w:pPr>
      <w:r>
        <w:t>Anecdotal</w:t>
      </w:r>
      <w:r w:rsidR="00BC759A">
        <w:t xml:space="preserve"> </w:t>
      </w:r>
      <w:r w:rsidR="004B6E6A">
        <w:t>experiences from community practice</w:t>
      </w:r>
      <w:r>
        <w:t xml:space="preserve"> </w:t>
      </w:r>
      <w:r w:rsidR="00BC759A">
        <w:t xml:space="preserve">suggested problems with </w:t>
      </w:r>
      <w:r w:rsidR="00794B52">
        <w:t>different mod</w:t>
      </w:r>
      <w:r w:rsidR="00065E76">
        <w:t>els</w:t>
      </w:r>
      <w:r w:rsidR="00794B52">
        <w:t xml:space="preserve"> of service delivery </w:t>
      </w:r>
      <w:r w:rsidR="00065E76">
        <w:t xml:space="preserve">in relation to patient access to medicines in the last year of life </w:t>
      </w:r>
      <w:r w:rsidR="00794B52">
        <w:t xml:space="preserve">and </w:t>
      </w:r>
      <w:r w:rsidR="00EF6569">
        <w:t xml:space="preserve">innovative </w:t>
      </w:r>
      <w:r w:rsidR="00B558DE">
        <w:t xml:space="preserve">methods of service delivery </w:t>
      </w:r>
      <w:r w:rsidR="001F7DC5">
        <w:t>were unevaluated</w:t>
      </w:r>
      <w:r w:rsidR="000C3B7B">
        <w:t xml:space="preserve"> [1]</w:t>
      </w:r>
      <w:r w:rsidR="001F7DC5">
        <w:t xml:space="preserve">.  Therefore the response authors in collaboration </w:t>
      </w:r>
      <w:r w:rsidR="003F0FDE">
        <w:t xml:space="preserve">with colleagues at the Universities of </w:t>
      </w:r>
      <w:r w:rsidR="00B15244">
        <w:t>Bradford</w:t>
      </w:r>
      <w:r w:rsidR="003F0FDE">
        <w:t xml:space="preserve"> and Leeds, were </w:t>
      </w:r>
      <w:r w:rsidR="00DF6AB1">
        <w:t xml:space="preserve">successfully </w:t>
      </w:r>
      <w:r w:rsidR="003F0FDE">
        <w:t xml:space="preserve">awarded funds to </w:t>
      </w:r>
      <w:r w:rsidR="00B15244">
        <w:t>evaluate</w:t>
      </w:r>
      <w:r w:rsidR="006F5E53">
        <w:t xml:space="preserve"> patient and carer access medicines at </w:t>
      </w:r>
      <w:r w:rsidR="000D08DF">
        <w:t xml:space="preserve">end-of-life </w:t>
      </w:r>
      <w:r w:rsidR="006F5E53">
        <w:t xml:space="preserve">within the context of models of service delivery.  </w:t>
      </w:r>
      <w:r w:rsidR="00CF60B2">
        <w:t xml:space="preserve">The </w:t>
      </w:r>
      <w:r w:rsidR="00197FC9" w:rsidRPr="001B1B68">
        <w:rPr>
          <w:rFonts w:cstheme="minorHAnsi"/>
        </w:rPr>
        <w:t xml:space="preserve">NIHR funded </w:t>
      </w:r>
      <w:proofErr w:type="spellStart"/>
      <w:r w:rsidR="00197FC9" w:rsidRPr="001B1B68">
        <w:rPr>
          <w:rFonts w:cstheme="minorHAnsi"/>
        </w:rPr>
        <w:t>ActMed</w:t>
      </w:r>
      <w:proofErr w:type="spellEnd"/>
      <w:r w:rsidR="00197FC9" w:rsidRPr="001B1B68">
        <w:rPr>
          <w:rFonts w:cstheme="minorHAnsi"/>
        </w:rPr>
        <w:t xml:space="preserve"> Study </w:t>
      </w:r>
      <w:r w:rsidR="00197FC9" w:rsidRPr="00D50BBC">
        <w:rPr>
          <w:rFonts w:cstheme="minorHAnsi"/>
        </w:rPr>
        <w:t>(Accessing medicines at end-of-life: a multi-stakeholder, mixed method evaluation of service provision</w:t>
      </w:r>
      <w:r w:rsidR="008A68CD">
        <w:rPr>
          <w:rFonts w:cstheme="minorHAnsi"/>
        </w:rPr>
        <w:t xml:space="preserve"> </w:t>
      </w:r>
      <w:hyperlink r:id="rId7" w:history="1">
        <w:r w:rsidR="008A68CD" w:rsidRPr="003054AB">
          <w:rPr>
            <w:rStyle w:val="Hyperlink"/>
          </w:rPr>
          <w:t>https://www.journalslibrary.nihr.ac.uk/programmes/hsdr/165223/#/</w:t>
        </w:r>
      </w:hyperlink>
      <w:r w:rsidR="00197FC9" w:rsidRPr="00D50BBC">
        <w:rPr>
          <w:rFonts w:cstheme="minorHAnsi"/>
        </w:rPr>
        <w:t>)</w:t>
      </w:r>
      <w:r w:rsidR="00CF60B2">
        <w:rPr>
          <w:rFonts w:cstheme="minorHAnsi"/>
        </w:rPr>
        <w:t xml:space="preserve"> was </w:t>
      </w:r>
      <w:r w:rsidR="00B15244">
        <w:rPr>
          <w:rFonts w:cstheme="minorHAnsi"/>
        </w:rPr>
        <w:t>conducted</w:t>
      </w:r>
      <w:r w:rsidR="00CF60B2">
        <w:rPr>
          <w:rFonts w:cstheme="minorHAnsi"/>
        </w:rPr>
        <w:t xml:space="preserve"> between </w:t>
      </w:r>
      <w:r w:rsidR="002F4AFE">
        <w:rPr>
          <w:rFonts w:cstheme="minorHAnsi"/>
        </w:rPr>
        <w:t xml:space="preserve">February 2018 and </w:t>
      </w:r>
      <w:r w:rsidR="003D51F5">
        <w:rPr>
          <w:rFonts w:cstheme="minorHAnsi"/>
        </w:rPr>
        <w:t>November</w:t>
      </w:r>
      <w:r w:rsidR="002F4AFE">
        <w:rPr>
          <w:rFonts w:cstheme="minorHAnsi"/>
        </w:rPr>
        <w:t xml:space="preserve"> 2020, with the final report published in July 2022</w:t>
      </w:r>
      <w:r w:rsidR="000C3B7B">
        <w:rPr>
          <w:rFonts w:cstheme="minorHAnsi"/>
        </w:rPr>
        <w:t xml:space="preserve"> [2].</w:t>
      </w:r>
    </w:p>
    <w:p w14:paraId="638B47EB" w14:textId="77777777" w:rsidR="00F02F85" w:rsidRDefault="00F02F85" w:rsidP="008F2303">
      <w:pPr>
        <w:jc w:val="both"/>
      </w:pPr>
    </w:p>
    <w:p w14:paraId="22E31BC4" w14:textId="77777777" w:rsidR="00013830" w:rsidRPr="00D27442" w:rsidRDefault="00013830" w:rsidP="008F2303">
      <w:pPr>
        <w:jc w:val="both"/>
        <w:rPr>
          <w:rFonts w:cstheme="minorHAnsi"/>
          <w:b/>
          <w:bCs/>
          <w:sz w:val="28"/>
          <w:szCs w:val="28"/>
        </w:rPr>
      </w:pPr>
      <w:r w:rsidRPr="00D27442">
        <w:rPr>
          <w:rFonts w:cstheme="minorHAnsi"/>
          <w:b/>
          <w:bCs/>
          <w:sz w:val="28"/>
          <w:szCs w:val="28"/>
        </w:rPr>
        <w:t xml:space="preserve">Response authors: </w:t>
      </w:r>
    </w:p>
    <w:p w14:paraId="2701EF7B" w14:textId="29A5D4E8" w:rsidR="009E445A" w:rsidRPr="001B1B68" w:rsidRDefault="009E445A" w:rsidP="008F2303">
      <w:pPr>
        <w:jc w:val="both"/>
        <w:rPr>
          <w:rFonts w:cstheme="minorHAnsi"/>
        </w:rPr>
      </w:pPr>
      <w:r w:rsidRPr="001B1B68">
        <w:rPr>
          <w:rFonts w:cstheme="minorHAnsi"/>
        </w:rPr>
        <w:t>Natasha Campling is a Lecturer and Senior Research Fellow in Health Sciences, University of Southampton.</w:t>
      </w:r>
      <w:r>
        <w:rPr>
          <w:rFonts w:cstheme="minorHAnsi"/>
        </w:rPr>
        <w:t xml:space="preserve"> </w:t>
      </w:r>
      <w:r w:rsidRPr="001B1B68">
        <w:rPr>
          <w:rFonts w:cstheme="minorHAnsi"/>
        </w:rPr>
        <w:t xml:space="preserve"> She is the School of Health Sciences lead for pre-registration nursing palliative and end-of-life care education.  She has significant expertise in qualitative and mixed methods research in the context of end-of-life care, including evaluation of end-of-life medicines-related issues.  She was a Co-Investigator and the Senior Research Fellow for the </w:t>
      </w:r>
      <w:proofErr w:type="spellStart"/>
      <w:r w:rsidRPr="001B1B68">
        <w:rPr>
          <w:rFonts w:cstheme="minorHAnsi"/>
        </w:rPr>
        <w:t>ActMed</w:t>
      </w:r>
      <w:proofErr w:type="spellEnd"/>
      <w:r w:rsidRPr="001B1B68">
        <w:rPr>
          <w:rFonts w:cstheme="minorHAnsi"/>
        </w:rPr>
        <w:t xml:space="preserve"> Study and co-led one of the study phases. </w:t>
      </w:r>
    </w:p>
    <w:p w14:paraId="12BCAA73" w14:textId="5B12C0F9" w:rsidR="00013830" w:rsidRPr="00AC76C3" w:rsidRDefault="00013830" w:rsidP="008F2303">
      <w:pPr>
        <w:jc w:val="both"/>
        <w:rPr>
          <w:rFonts w:cstheme="minorHAnsi"/>
        </w:rPr>
      </w:pPr>
      <w:r w:rsidRPr="00AC76C3">
        <w:rPr>
          <w:rFonts w:cstheme="minorHAnsi"/>
        </w:rPr>
        <w:t>Sue Latter is Professor of Health Services Research, and leads the Medicines Management Research Group in Health Sciences, University of Southampton. For the last 20 years Professor Latter has led a research programme that focuses on large-scale, nationally funded studies, working with policy makers and health care professionals locally, nationally and internationally, to disseminate findings, and generate impact which has shaped health care professional policy, education and practice. Her research programme has included over 30 funded studies, from peer-reviewed Government, charity and industry funding bodies. She has led interdisciplinary teams of world-leading academics, delivering complex, large scale studies which have resulted in a sustained record of international quality publications and generation of knowledge exchange and global impact.</w:t>
      </w:r>
      <w:r w:rsidR="00F11B08">
        <w:rPr>
          <w:rFonts w:cstheme="minorHAnsi"/>
        </w:rPr>
        <w:t xml:space="preserve">  She was the Chief Investigator of the </w:t>
      </w:r>
      <w:proofErr w:type="spellStart"/>
      <w:r w:rsidR="00715275">
        <w:rPr>
          <w:rFonts w:cstheme="minorHAnsi"/>
        </w:rPr>
        <w:t>ActMed</w:t>
      </w:r>
      <w:proofErr w:type="spellEnd"/>
      <w:r w:rsidR="00715275">
        <w:rPr>
          <w:rFonts w:cstheme="minorHAnsi"/>
        </w:rPr>
        <w:t xml:space="preserve"> Study.</w:t>
      </w:r>
    </w:p>
    <w:p w14:paraId="2BEABB03" w14:textId="3265CB88" w:rsidR="005B7DE8" w:rsidRDefault="000D0264" w:rsidP="008F2303">
      <w:pPr>
        <w:jc w:val="both"/>
      </w:pPr>
      <w:r>
        <w:t xml:space="preserve">The authors are responding on behalf of the </w:t>
      </w:r>
      <w:proofErr w:type="spellStart"/>
      <w:r>
        <w:t>ActMed</w:t>
      </w:r>
      <w:proofErr w:type="spellEnd"/>
      <w:r>
        <w:t xml:space="preserve"> Study team</w:t>
      </w:r>
      <w:r w:rsidR="008A68CD">
        <w:t>.</w:t>
      </w:r>
      <w:r>
        <w:t xml:space="preserve"> </w:t>
      </w:r>
    </w:p>
    <w:p w14:paraId="063DFDB2" w14:textId="77777777" w:rsidR="00B7314B" w:rsidRDefault="00B7314B" w:rsidP="008F2303">
      <w:pPr>
        <w:jc w:val="both"/>
      </w:pPr>
    </w:p>
    <w:p w14:paraId="2DDB96FD" w14:textId="22A5CAFE" w:rsidR="00FF3EBD" w:rsidRPr="00D27442" w:rsidRDefault="00FF3EBD" w:rsidP="008F2303">
      <w:pPr>
        <w:jc w:val="both"/>
        <w:rPr>
          <w:b/>
          <w:bCs/>
          <w:sz w:val="28"/>
          <w:szCs w:val="28"/>
        </w:rPr>
      </w:pPr>
      <w:r w:rsidRPr="00D27442">
        <w:rPr>
          <w:b/>
          <w:bCs/>
          <w:sz w:val="28"/>
          <w:szCs w:val="28"/>
        </w:rPr>
        <w:t>To what extent do people in England have access to good palliative care?</w:t>
      </w:r>
    </w:p>
    <w:p w14:paraId="78BA6935" w14:textId="6BABD3A4" w:rsidR="00465A5C" w:rsidRDefault="00465A5C" w:rsidP="008F2303">
      <w:pPr>
        <w:jc w:val="both"/>
      </w:pPr>
      <w:r>
        <w:t>The study found access to good palliative care was far from universal - patients and carers experienced difficulties and  delays in being able to access medicines to control symptoms whilst being cared for at home.</w:t>
      </w:r>
    </w:p>
    <w:p w14:paraId="5005055E" w14:textId="41118AE7" w:rsidR="00465A5C" w:rsidRDefault="00465A5C" w:rsidP="008F2303">
      <w:pPr>
        <w:jc w:val="both"/>
      </w:pPr>
      <w:r>
        <w:t>The following factors were found to be limiting patient access to medicines as a key component of good palliative care:</w:t>
      </w:r>
    </w:p>
    <w:p w14:paraId="7BC2E172" w14:textId="77777777" w:rsidR="005C4959" w:rsidRDefault="005C4959" w:rsidP="005C4959">
      <w:pPr>
        <w:pStyle w:val="ListParagraph"/>
        <w:numPr>
          <w:ilvl w:val="0"/>
          <w:numId w:val="8"/>
        </w:numPr>
        <w:jc w:val="both"/>
      </w:pPr>
      <w:r w:rsidRPr="005B230E">
        <w:rPr>
          <w:b/>
          <w:bCs/>
        </w:rPr>
        <w:lastRenderedPageBreak/>
        <w:t>Coordinating access to medicines is time-consuming for patients, carers, and healthcare professionals alike and is burdensome.</w:t>
      </w:r>
      <w:r>
        <w:t xml:space="preserve">  Accessing medicines was found to be involve a complex set of activities from </w:t>
      </w:r>
      <w:r w:rsidR="00A44B42" w:rsidRPr="00A44B42">
        <w:t xml:space="preserve">getting prescriptions (new </w:t>
      </w:r>
      <w:r>
        <w:t>and</w:t>
      </w:r>
      <w:r w:rsidR="00A44B42" w:rsidRPr="00A44B42">
        <w:t xml:space="preserve"> repeat), liaising with community pharmacy/practice dispensaries (</w:t>
      </w:r>
      <w:r>
        <w:t>and</w:t>
      </w:r>
      <w:r w:rsidR="00A44B42" w:rsidRPr="00A44B42">
        <w:t xml:space="preserve"> at times hospital pharmacies and private healthcare systems), </w:t>
      </w:r>
      <w:r>
        <w:t xml:space="preserve">through </w:t>
      </w:r>
      <w:r w:rsidR="00A44B42" w:rsidRPr="00A44B42">
        <w:t>to arranging for collection/delivery</w:t>
      </w:r>
      <w:r>
        <w:t xml:space="preserve">.  </w:t>
      </w:r>
      <w:r w:rsidR="009F7639" w:rsidRPr="009F7639">
        <w:t>Patients accessed medicines and medical supplies from not just primary care, but secondary and private, paid-for care</w:t>
      </w:r>
      <w:r>
        <w:t>.  This was p</w:t>
      </w:r>
      <w:r w:rsidRPr="009F7639">
        <w:t>layed out against a clinical context of rapidly changing symptoms</w:t>
      </w:r>
      <w:r>
        <w:t xml:space="preserve">, </w:t>
      </w:r>
      <w:r w:rsidRPr="009F7639">
        <w:t>creating an urgent need for supply of medicines into the home</w:t>
      </w:r>
      <w:r>
        <w:t xml:space="preserve">. </w:t>
      </w:r>
      <w:r w:rsidRPr="009F7639">
        <w:t xml:space="preserve"> </w:t>
      </w:r>
    </w:p>
    <w:p w14:paraId="7E4FC7E6" w14:textId="77777777" w:rsidR="005C4959" w:rsidRDefault="005C4959" w:rsidP="005C4959">
      <w:pPr>
        <w:pStyle w:val="ListParagraph"/>
      </w:pPr>
    </w:p>
    <w:p w14:paraId="55B4BB90" w14:textId="3D8F5E7B" w:rsidR="005C4959" w:rsidRDefault="005C4959" w:rsidP="005C4959">
      <w:pPr>
        <w:pStyle w:val="ListParagraph"/>
        <w:ind w:left="360"/>
        <w:jc w:val="both"/>
      </w:pPr>
      <w:r w:rsidRPr="00A44B42">
        <w:t xml:space="preserve">The </w:t>
      </w:r>
      <w:r>
        <w:t xml:space="preserve">study </w:t>
      </w:r>
      <w:r w:rsidRPr="00A44B42">
        <w:t xml:space="preserve">data </w:t>
      </w:r>
      <w:r w:rsidR="00360774">
        <w:t xml:space="preserve">found </w:t>
      </w:r>
      <w:r w:rsidRPr="00A44B42">
        <w:t>that for some patients and carers this complex process was confusing and burdensome, additionally there were high levels of coordination work undertaken by healthcare professionals</w:t>
      </w:r>
      <w:r>
        <w:t xml:space="preserve">.  </w:t>
      </w:r>
      <w:r w:rsidRPr="00A44B42">
        <w:t>Some service delivery models were operating better than others to support timely access to medicines</w:t>
      </w:r>
      <w:r>
        <w:t xml:space="preserve"> [</w:t>
      </w:r>
      <w:r w:rsidR="00691481">
        <w:t>3</w:t>
      </w:r>
      <w:r>
        <w:t>].</w:t>
      </w:r>
    </w:p>
    <w:p w14:paraId="52E3DB8F" w14:textId="77777777" w:rsidR="005C4959" w:rsidRDefault="005C4959" w:rsidP="005C4959">
      <w:pPr>
        <w:pStyle w:val="ListParagraph"/>
        <w:ind w:left="360"/>
        <w:jc w:val="both"/>
      </w:pPr>
    </w:p>
    <w:p w14:paraId="4D994C0C" w14:textId="6744FD75" w:rsidR="005A1259" w:rsidRDefault="00510E41" w:rsidP="008F2303">
      <w:pPr>
        <w:pStyle w:val="ListParagraph"/>
        <w:numPr>
          <w:ilvl w:val="0"/>
          <w:numId w:val="8"/>
        </w:numPr>
        <w:jc w:val="both"/>
      </w:pPr>
      <w:r w:rsidRPr="00B1361A">
        <w:rPr>
          <w:b/>
          <w:bCs/>
        </w:rPr>
        <w:t xml:space="preserve">Over-reliance on </w:t>
      </w:r>
      <w:r w:rsidR="00D3093F" w:rsidRPr="00B1361A">
        <w:rPr>
          <w:b/>
          <w:bCs/>
        </w:rPr>
        <w:t>general practitioner</w:t>
      </w:r>
      <w:r w:rsidRPr="00B1361A">
        <w:rPr>
          <w:b/>
          <w:bCs/>
        </w:rPr>
        <w:t xml:space="preserve"> prescribing and </w:t>
      </w:r>
      <w:r w:rsidR="00D45B46" w:rsidRPr="00B1361A">
        <w:rPr>
          <w:b/>
          <w:bCs/>
        </w:rPr>
        <w:t>under-development of nurse prescribing is inefficient and causing delays</w:t>
      </w:r>
      <w:r w:rsidR="001265EE">
        <w:rPr>
          <w:b/>
          <w:bCs/>
        </w:rPr>
        <w:t xml:space="preserve"> in access</w:t>
      </w:r>
      <w:r w:rsidR="00D3093F" w:rsidRPr="00B1361A">
        <w:rPr>
          <w:b/>
          <w:bCs/>
        </w:rPr>
        <w:t>.</w:t>
      </w:r>
      <w:r w:rsidR="005A1259">
        <w:t xml:space="preserve">  </w:t>
      </w:r>
      <w:r w:rsidR="009C3A4D">
        <w:t xml:space="preserve">In our survey of 1327 community based healthcare professionals </w:t>
      </w:r>
      <w:r w:rsidR="005A1259" w:rsidRPr="005A1259">
        <w:t>less than a half (42%</w:t>
      </w:r>
      <w:r w:rsidR="00C01742">
        <w:t xml:space="preserve">, </w:t>
      </w:r>
      <w:r w:rsidR="00641B85">
        <w:t>160</w:t>
      </w:r>
      <w:r w:rsidR="00712F51">
        <w:t>/</w:t>
      </w:r>
      <w:r w:rsidR="00067679">
        <w:t>386</w:t>
      </w:r>
      <w:r w:rsidR="005A1259" w:rsidRPr="005A1259">
        <w:t xml:space="preserve">) of specialist </w:t>
      </w:r>
      <w:r w:rsidR="00F41413">
        <w:t xml:space="preserve">palliative care </w:t>
      </w:r>
      <w:r w:rsidR="005A1259" w:rsidRPr="005A1259">
        <w:t>nurses and only a quarter (27%</w:t>
      </w:r>
      <w:r w:rsidR="00712F51">
        <w:t>, 27</w:t>
      </w:r>
      <w:r w:rsidR="00067679">
        <w:t>/99</w:t>
      </w:r>
      <w:r w:rsidR="005A1259" w:rsidRPr="005A1259">
        <w:t>) of generalist community nurses were trained to prescribe</w:t>
      </w:r>
      <w:r w:rsidR="00CF6753">
        <w:t xml:space="preserve">. </w:t>
      </w:r>
      <w:r w:rsidR="00CF6753" w:rsidRPr="00CF6753">
        <w:t>Most common reasons for not training were:</w:t>
      </w:r>
      <w:r w:rsidR="009F34E9">
        <w:t xml:space="preserve"> </w:t>
      </w:r>
      <w:r w:rsidR="00CF6753" w:rsidRPr="00CF6753">
        <w:t>cost of training (31%</w:t>
      </w:r>
      <w:r w:rsidR="00C01742">
        <w:t>,</w:t>
      </w:r>
      <w:r w:rsidR="00CF6753" w:rsidRPr="00CF6753">
        <w:t xml:space="preserve"> 155</w:t>
      </w:r>
      <w:r w:rsidR="00067679">
        <w:t>/508</w:t>
      </w:r>
      <w:r w:rsidR="00CF6753" w:rsidRPr="00CF6753">
        <w:t>)</w:t>
      </w:r>
      <w:r w:rsidR="009F34E9">
        <w:t xml:space="preserve">, </w:t>
      </w:r>
      <w:r w:rsidR="00CF6753" w:rsidRPr="00CF6753">
        <w:t>lack of employer/colleague support (24%</w:t>
      </w:r>
      <w:r w:rsidR="00C01742">
        <w:t>,</w:t>
      </w:r>
      <w:r w:rsidR="00CF6753" w:rsidRPr="00CF6753">
        <w:t xml:space="preserve"> 122</w:t>
      </w:r>
      <w:r w:rsidR="00067679">
        <w:t>/508</w:t>
      </w:r>
      <w:r w:rsidR="00CF6753" w:rsidRPr="00CF6753">
        <w:t>)</w:t>
      </w:r>
      <w:r w:rsidR="009F34E9">
        <w:t xml:space="preserve">, </w:t>
      </w:r>
      <w:r w:rsidR="00CF6753" w:rsidRPr="00CF6753">
        <w:t>no backfill of their post available (18%</w:t>
      </w:r>
      <w:r w:rsidR="00C01742">
        <w:t>,</w:t>
      </w:r>
      <w:r w:rsidR="00CF6753" w:rsidRPr="00CF6753">
        <w:t xml:space="preserve"> 92</w:t>
      </w:r>
      <w:r w:rsidR="00DB6874">
        <w:t>/508</w:t>
      </w:r>
      <w:r w:rsidR="00CF6753" w:rsidRPr="00CF6753">
        <w:t>)</w:t>
      </w:r>
      <w:r w:rsidR="00B1361A">
        <w:t xml:space="preserve">, </w:t>
      </w:r>
      <w:r w:rsidR="00CF6753" w:rsidRPr="00CF6753">
        <w:t>no designated clinically-based trainer available (16%</w:t>
      </w:r>
      <w:r w:rsidR="00C01742">
        <w:t>,</w:t>
      </w:r>
      <w:r w:rsidR="00CF6753" w:rsidRPr="00CF6753">
        <w:t xml:space="preserve"> 80</w:t>
      </w:r>
      <w:r w:rsidR="00DB6874">
        <w:t>/508</w:t>
      </w:r>
      <w:r w:rsidR="00CF6753" w:rsidRPr="00CF6753">
        <w:t>)</w:t>
      </w:r>
      <w:r w:rsidR="00C3398B">
        <w:t xml:space="preserve"> [</w:t>
      </w:r>
      <w:r w:rsidR="00691481">
        <w:t>4</w:t>
      </w:r>
      <w:r w:rsidR="00C3398B">
        <w:t>].</w:t>
      </w:r>
    </w:p>
    <w:p w14:paraId="358075D7" w14:textId="77777777" w:rsidR="005A1259" w:rsidRPr="005A1259" w:rsidRDefault="005A1259" w:rsidP="008F2303">
      <w:pPr>
        <w:pStyle w:val="ListParagraph"/>
        <w:ind w:left="360"/>
        <w:jc w:val="both"/>
      </w:pPr>
    </w:p>
    <w:p w14:paraId="5E9B6660" w14:textId="1985C245" w:rsidR="00FF70B6" w:rsidRDefault="00881BBD" w:rsidP="008F2303">
      <w:pPr>
        <w:pStyle w:val="ListParagraph"/>
        <w:numPr>
          <w:ilvl w:val="0"/>
          <w:numId w:val="8"/>
        </w:numPr>
        <w:jc w:val="both"/>
      </w:pPr>
      <w:r w:rsidRPr="00B1361A">
        <w:rPr>
          <w:b/>
          <w:bCs/>
        </w:rPr>
        <w:t>Shared access to records between professional groups and across settings is inadequate and causing delays</w:t>
      </w:r>
      <w:r w:rsidR="00D3093F" w:rsidRPr="00B1361A">
        <w:rPr>
          <w:b/>
          <w:bCs/>
        </w:rPr>
        <w:t>.</w:t>
      </w:r>
      <w:r w:rsidR="0074727B">
        <w:t xml:space="preserve">  </w:t>
      </w:r>
      <w:r w:rsidR="0074722F" w:rsidRPr="0074722F">
        <w:t>Access to shared records was a further key issue affecting medicines access. Clearly, being able to access patient records to check details of a patient’s medical and drug history are important in being able to prescribe or advise others to prescribe safely and quickly.</w:t>
      </w:r>
      <w:r w:rsidR="005B230E">
        <w:t xml:space="preserve">  </w:t>
      </w:r>
    </w:p>
    <w:p w14:paraId="73351C0C" w14:textId="77777777" w:rsidR="00E5499F" w:rsidRDefault="00E5499F" w:rsidP="00E5499F">
      <w:pPr>
        <w:pStyle w:val="ListParagraph"/>
      </w:pPr>
    </w:p>
    <w:p w14:paraId="1E46A0A2" w14:textId="4171E04F" w:rsidR="00D27442" w:rsidRDefault="0074727B" w:rsidP="008F2303">
      <w:pPr>
        <w:pStyle w:val="ListParagraph"/>
        <w:ind w:left="360"/>
        <w:jc w:val="both"/>
      </w:pPr>
      <w:r w:rsidRPr="0074727B">
        <w:t>Data revealed a variable picture: those based in GP practice</w:t>
      </w:r>
      <w:r w:rsidR="00FF70B6">
        <w:t>s</w:t>
      </w:r>
      <w:r w:rsidRPr="0074727B">
        <w:t xml:space="preserve"> and community nurses had relatively high levels of access. </w:t>
      </w:r>
      <w:r w:rsidR="00FF70B6">
        <w:t xml:space="preserve"> For example</w:t>
      </w:r>
      <w:r w:rsidRPr="0074727B">
        <w:t xml:space="preserve"> 84% </w:t>
      </w:r>
      <w:r w:rsidR="00A47F54">
        <w:t>(421/</w:t>
      </w:r>
      <w:r w:rsidR="00D9358E">
        <w:t>499</w:t>
      </w:r>
      <w:r w:rsidR="00A47F54">
        <w:t xml:space="preserve">) </w:t>
      </w:r>
      <w:r w:rsidRPr="0074727B">
        <w:t xml:space="preserve">of GPs could access GP </w:t>
      </w:r>
      <w:r w:rsidR="00FF0587">
        <w:t>out</w:t>
      </w:r>
      <w:r w:rsidR="00CD396D">
        <w:t>-</w:t>
      </w:r>
      <w:r w:rsidR="00FF0587">
        <w:t>of</w:t>
      </w:r>
      <w:r w:rsidR="00CD396D">
        <w:t>-</w:t>
      </w:r>
      <w:r w:rsidR="00FF0587">
        <w:t>hours</w:t>
      </w:r>
      <w:r w:rsidRPr="0074727B">
        <w:t xml:space="preserve"> records; 83%</w:t>
      </w:r>
      <w:r w:rsidR="00A47F54">
        <w:t xml:space="preserve"> (</w:t>
      </w:r>
      <w:r w:rsidR="004F7BCB">
        <w:t>82/99)</w:t>
      </w:r>
      <w:r w:rsidRPr="0074727B">
        <w:t xml:space="preserve"> of </w:t>
      </w:r>
      <w:r w:rsidR="00FF0587">
        <w:t>community nurses</w:t>
      </w:r>
      <w:r w:rsidRPr="0074727B">
        <w:t xml:space="preserve"> could access GP records; 73% </w:t>
      </w:r>
      <w:r w:rsidR="00364FF4">
        <w:t>(</w:t>
      </w:r>
      <w:r w:rsidR="003118AE">
        <w:t>113/</w:t>
      </w:r>
      <w:r w:rsidR="00732279">
        <w:t>151</w:t>
      </w:r>
      <w:r w:rsidR="003118AE">
        <w:t xml:space="preserve">) </w:t>
      </w:r>
      <w:r w:rsidRPr="0074727B">
        <w:t xml:space="preserve">of </w:t>
      </w:r>
      <w:r w:rsidR="00FF0587">
        <w:t>primary care pharmacists (based in GP practices)</w:t>
      </w:r>
      <w:r w:rsidRPr="0074727B">
        <w:t xml:space="preserve"> could access GP </w:t>
      </w:r>
      <w:r w:rsidR="00FF0587">
        <w:t>out</w:t>
      </w:r>
      <w:r w:rsidR="00CD396D">
        <w:t>-</w:t>
      </w:r>
      <w:r w:rsidR="00FF0587">
        <w:t>of</w:t>
      </w:r>
      <w:r w:rsidR="00CD396D">
        <w:t>-</w:t>
      </w:r>
      <w:r w:rsidR="00FF0587">
        <w:t>hours</w:t>
      </w:r>
      <w:r w:rsidRPr="0074727B">
        <w:t xml:space="preserve"> records. </w:t>
      </w:r>
      <w:r w:rsidR="00D9199E">
        <w:t xml:space="preserve"> </w:t>
      </w:r>
      <w:r w:rsidRPr="0074727B">
        <w:t xml:space="preserve">However, </w:t>
      </w:r>
      <w:r w:rsidR="00E9337F">
        <w:t>palliative care specialist nurses</w:t>
      </w:r>
      <w:r w:rsidRPr="0074727B">
        <w:t xml:space="preserve"> in particular reported limited access to others’ records, whether paper or electronic: </w:t>
      </w:r>
      <w:r w:rsidRPr="005B230E">
        <w:t>44% (173</w:t>
      </w:r>
      <w:r w:rsidR="00DB3EC3">
        <w:t>/389</w:t>
      </w:r>
      <w:r w:rsidRPr="005B230E">
        <w:t>) reported no access to GP records and 6</w:t>
      </w:r>
      <w:r w:rsidR="0014631D">
        <w:t>8</w:t>
      </w:r>
      <w:r w:rsidRPr="005B230E">
        <w:t xml:space="preserve">% </w:t>
      </w:r>
      <w:r w:rsidR="00357E48">
        <w:t>(</w:t>
      </w:r>
      <w:r w:rsidR="00D029BC">
        <w:t xml:space="preserve">264/389) </w:t>
      </w:r>
      <w:r w:rsidRPr="005B230E">
        <w:t>were unable to access GP out-of-hours records.</w:t>
      </w:r>
      <w:r w:rsidR="00674EA8" w:rsidRPr="00B1361A">
        <w:rPr>
          <w:b/>
          <w:bCs/>
        </w:rPr>
        <w:t xml:space="preserve">  </w:t>
      </w:r>
      <w:r w:rsidRPr="0074727B">
        <w:t>Health care staff also identified this as one of the top four solutions to problems with current service delivery (</w:t>
      </w:r>
      <w:r w:rsidR="00E9337F" w:rsidRPr="0074727B">
        <w:t>21%</w:t>
      </w:r>
      <w:r w:rsidR="00E9337F">
        <w:t xml:space="preserve">, </w:t>
      </w:r>
      <w:r w:rsidRPr="0074727B">
        <w:t>148/703</w:t>
      </w:r>
      <w:r w:rsidR="00E9337F">
        <w:t>)</w:t>
      </w:r>
      <w:r w:rsidRPr="0074727B">
        <w:t xml:space="preserve"> </w:t>
      </w:r>
      <w:r w:rsidR="00C3398B">
        <w:t>[</w:t>
      </w:r>
      <w:r w:rsidR="00691481">
        <w:t>4</w:t>
      </w:r>
      <w:r w:rsidR="00C3398B">
        <w:t>].</w:t>
      </w:r>
    </w:p>
    <w:p w14:paraId="6E82E9F4" w14:textId="77777777" w:rsidR="00D27442" w:rsidRPr="0074727B" w:rsidRDefault="00D27442" w:rsidP="008F2303">
      <w:pPr>
        <w:pStyle w:val="ListParagraph"/>
        <w:ind w:left="360"/>
        <w:jc w:val="both"/>
      </w:pPr>
    </w:p>
    <w:p w14:paraId="3BD4C24C" w14:textId="32C5C703" w:rsidR="00881BBD" w:rsidRPr="00D27442" w:rsidRDefault="00293360" w:rsidP="008F2303">
      <w:pPr>
        <w:pStyle w:val="ListParagraph"/>
        <w:numPr>
          <w:ilvl w:val="0"/>
          <w:numId w:val="8"/>
        </w:numPr>
        <w:jc w:val="both"/>
      </w:pPr>
      <w:r w:rsidRPr="005B230E">
        <w:rPr>
          <w:b/>
          <w:bCs/>
        </w:rPr>
        <w:t xml:space="preserve">Access to electronic </w:t>
      </w:r>
      <w:r w:rsidR="00D05929" w:rsidRPr="005B230E">
        <w:rPr>
          <w:b/>
          <w:bCs/>
        </w:rPr>
        <w:t>prescribing</w:t>
      </w:r>
      <w:r w:rsidRPr="005B230E">
        <w:rPr>
          <w:b/>
          <w:bCs/>
        </w:rPr>
        <w:t xml:space="preserve"> systems by </w:t>
      </w:r>
      <w:r w:rsidR="009452C4" w:rsidRPr="005B230E">
        <w:rPr>
          <w:b/>
          <w:bCs/>
        </w:rPr>
        <w:t xml:space="preserve">specialist </w:t>
      </w:r>
      <w:r w:rsidRPr="005B230E">
        <w:rPr>
          <w:b/>
          <w:bCs/>
        </w:rPr>
        <w:t xml:space="preserve">palliative care nurse prescribers </w:t>
      </w:r>
      <w:r w:rsidR="000A67C3" w:rsidRPr="005B230E">
        <w:rPr>
          <w:b/>
          <w:bCs/>
        </w:rPr>
        <w:t>and community nurse prescribers is inadequate, delaying access</w:t>
      </w:r>
      <w:r w:rsidR="00D3093F" w:rsidRPr="005B230E">
        <w:rPr>
          <w:b/>
          <w:bCs/>
        </w:rPr>
        <w:t>.</w:t>
      </w:r>
      <w:r w:rsidR="00AA6571">
        <w:t xml:space="preserve">  </w:t>
      </w:r>
      <w:r w:rsidR="009E24E4">
        <w:t>N</w:t>
      </w:r>
      <w:r w:rsidR="00536867">
        <w:t xml:space="preserve">urse </w:t>
      </w:r>
      <w:r w:rsidR="00C3398B">
        <w:t>specialist</w:t>
      </w:r>
      <w:r w:rsidR="00536867">
        <w:t xml:space="preserve"> prescriber</w:t>
      </w:r>
      <w:r w:rsidR="00CB08FA">
        <w:t>s</w:t>
      </w:r>
      <w:r w:rsidR="009E24E4">
        <w:t xml:space="preserve">’ </w:t>
      </w:r>
      <w:r w:rsidR="007B65E6" w:rsidRPr="007B65E6">
        <w:t>ability to facilitate med</w:t>
      </w:r>
      <w:r w:rsidR="00AD02BF">
        <w:t>icines</w:t>
      </w:r>
      <w:r w:rsidR="007B65E6" w:rsidRPr="007B65E6">
        <w:t xml:space="preserve"> access was hampered by </w:t>
      </w:r>
      <w:r w:rsidR="009E24E4">
        <w:t>poor</w:t>
      </w:r>
      <w:r w:rsidR="007B65E6" w:rsidRPr="007B65E6">
        <w:t xml:space="preserve"> access to </w:t>
      </w:r>
      <w:r w:rsidR="00AB24B1">
        <w:t>electronic prescribing systems</w:t>
      </w:r>
      <w:r w:rsidR="00674EA8">
        <w:t xml:space="preserve">.  </w:t>
      </w:r>
      <w:r w:rsidR="009E24E4">
        <w:rPr>
          <w:lang w:val="en-US"/>
        </w:rPr>
        <w:t>This meant they</w:t>
      </w:r>
      <w:r w:rsidR="007B65E6" w:rsidRPr="007B65E6">
        <w:rPr>
          <w:lang w:val="en-US"/>
        </w:rPr>
        <w:t xml:space="preserve"> </w:t>
      </w:r>
      <w:r w:rsidR="00B258E1" w:rsidRPr="00686BB8">
        <w:rPr>
          <w:lang w:val="en-US"/>
        </w:rPr>
        <w:t xml:space="preserve">often </w:t>
      </w:r>
      <w:r w:rsidR="007B65E6" w:rsidRPr="007B65E6">
        <w:rPr>
          <w:lang w:val="en-US"/>
        </w:rPr>
        <w:t>deferr</w:t>
      </w:r>
      <w:r w:rsidR="009E24E4">
        <w:rPr>
          <w:lang w:val="en-US"/>
        </w:rPr>
        <w:t>ed</w:t>
      </w:r>
      <w:r w:rsidR="007B65E6" w:rsidRPr="007B65E6">
        <w:rPr>
          <w:lang w:val="en-US"/>
        </w:rPr>
        <w:t xml:space="preserve"> back to GPs to prescribe instead</w:t>
      </w:r>
      <w:r w:rsidR="00CE6948">
        <w:rPr>
          <w:lang w:val="en-US"/>
        </w:rPr>
        <w:t xml:space="preserve">, and only prescribed directly to patients using a hand-written prescription pad script in certain situations such as </w:t>
      </w:r>
      <w:r w:rsidR="00686BB8" w:rsidRPr="00686BB8">
        <w:rPr>
          <w:lang w:val="en-US"/>
        </w:rPr>
        <w:t xml:space="preserve">when </w:t>
      </w:r>
      <w:r w:rsidR="007B65E6" w:rsidRPr="007B65E6">
        <w:rPr>
          <w:lang w:val="en-US"/>
        </w:rPr>
        <w:t>GP</w:t>
      </w:r>
      <w:r w:rsidR="00CE6948">
        <w:rPr>
          <w:lang w:val="en-US"/>
        </w:rPr>
        <w:t>s were particularly</w:t>
      </w:r>
      <w:r w:rsidR="007B65E6" w:rsidRPr="007B65E6">
        <w:rPr>
          <w:lang w:val="en-US"/>
        </w:rPr>
        <w:t xml:space="preserve"> difficult to access e.g. late in the day or at the end of the week</w:t>
      </w:r>
      <w:r w:rsidR="00C3398B">
        <w:rPr>
          <w:lang w:val="en-US"/>
        </w:rPr>
        <w:t xml:space="preserve"> </w:t>
      </w:r>
      <w:r w:rsidR="00773386">
        <w:rPr>
          <w:lang w:val="en-US"/>
        </w:rPr>
        <w:t>[</w:t>
      </w:r>
      <w:r w:rsidR="00691481">
        <w:rPr>
          <w:lang w:val="en-US"/>
        </w:rPr>
        <w:t>3</w:t>
      </w:r>
      <w:r w:rsidR="00773386">
        <w:rPr>
          <w:lang w:val="en-US"/>
        </w:rPr>
        <w:t>].</w:t>
      </w:r>
      <w:r w:rsidR="00CE6948">
        <w:rPr>
          <w:lang w:val="en-US"/>
        </w:rPr>
        <w:t xml:space="preserve"> Patients or </w:t>
      </w:r>
      <w:proofErr w:type="spellStart"/>
      <w:r w:rsidR="00CE6948">
        <w:rPr>
          <w:lang w:val="en-US"/>
        </w:rPr>
        <w:t>carers</w:t>
      </w:r>
      <w:proofErr w:type="spellEnd"/>
      <w:r w:rsidR="00CE6948">
        <w:rPr>
          <w:lang w:val="en-US"/>
        </w:rPr>
        <w:t xml:space="preserve"> were then required to travel to a pharmacy with a hand-written script.</w:t>
      </w:r>
    </w:p>
    <w:p w14:paraId="3D6A5F2C" w14:textId="77777777" w:rsidR="00D27442" w:rsidRPr="00A44B42" w:rsidRDefault="00D27442" w:rsidP="008F2303">
      <w:pPr>
        <w:pStyle w:val="ListParagraph"/>
        <w:ind w:left="360"/>
        <w:jc w:val="both"/>
      </w:pPr>
    </w:p>
    <w:p w14:paraId="6AB000AC" w14:textId="3A6D3F07" w:rsidR="004A06B7" w:rsidRDefault="00DB3F10" w:rsidP="008F2303">
      <w:pPr>
        <w:pStyle w:val="ListParagraph"/>
        <w:numPr>
          <w:ilvl w:val="0"/>
          <w:numId w:val="8"/>
        </w:numPr>
        <w:jc w:val="both"/>
      </w:pPr>
      <w:r>
        <w:rPr>
          <w:b/>
          <w:bCs/>
        </w:rPr>
        <w:t>P</w:t>
      </w:r>
      <w:r w:rsidR="00AD5654" w:rsidRPr="005B230E">
        <w:rPr>
          <w:b/>
          <w:bCs/>
        </w:rPr>
        <w:t xml:space="preserve">harmacists are not integrated into the wider </w:t>
      </w:r>
      <w:r w:rsidR="000C62E8">
        <w:rPr>
          <w:b/>
          <w:bCs/>
        </w:rPr>
        <w:t xml:space="preserve">primary and </w:t>
      </w:r>
      <w:r w:rsidR="00F314FA">
        <w:rPr>
          <w:b/>
          <w:bCs/>
        </w:rPr>
        <w:t xml:space="preserve">community-based </w:t>
      </w:r>
      <w:r w:rsidR="00AD5654" w:rsidRPr="005B230E">
        <w:rPr>
          <w:b/>
          <w:bCs/>
        </w:rPr>
        <w:t>healthcare team</w:t>
      </w:r>
      <w:r w:rsidR="00F314FA">
        <w:rPr>
          <w:b/>
          <w:bCs/>
        </w:rPr>
        <w:t xml:space="preserve">.  </w:t>
      </w:r>
      <w:r w:rsidR="00CE6948">
        <w:t>M</w:t>
      </w:r>
      <w:r w:rsidR="00F11959" w:rsidRPr="000C62E8">
        <w:t xml:space="preserve">any community pharmacists reported a lack of </w:t>
      </w:r>
      <w:r w:rsidR="00AA1ADF" w:rsidRPr="000C62E8">
        <w:t xml:space="preserve">awareness </w:t>
      </w:r>
      <w:r w:rsidR="00FE535D" w:rsidRPr="000C62E8">
        <w:t>o</w:t>
      </w:r>
      <w:r w:rsidR="00AA1ADF" w:rsidRPr="000C62E8">
        <w:t xml:space="preserve">f </w:t>
      </w:r>
      <w:r w:rsidR="00D05929" w:rsidRPr="000C62E8">
        <w:t>patients’ palliative status</w:t>
      </w:r>
      <w:r w:rsidR="00F11959" w:rsidRPr="000C62E8">
        <w:t xml:space="preserve">, which </w:t>
      </w:r>
      <w:r w:rsidR="00D05929" w:rsidRPr="000C62E8">
        <w:t xml:space="preserve"> preclud</w:t>
      </w:r>
      <w:r w:rsidR="00F11959" w:rsidRPr="000C62E8">
        <w:t xml:space="preserve">ed </w:t>
      </w:r>
      <w:r w:rsidR="00D05929" w:rsidRPr="000C62E8">
        <w:t>their ability to help patients access medicines.</w:t>
      </w:r>
      <w:r w:rsidR="003A5908" w:rsidRPr="000C62E8">
        <w:t xml:space="preserve">  Community </w:t>
      </w:r>
      <w:r w:rsidR="000C62E8" w:rsidRPr="000C62E8">
        <w:t>pharmacists</w:t>
      </w:r>
      <w:r w:rsidR="003A5908" w:rsidRPr="000C62E8">
        <w:t xml:space="preserve">’ access </w:t>
      </w:r>
      <w:r w:rsidR="000C62E8" w:rsidRPr="000C62E8">
        <w:t>to</w:t>
      </w:r>
      <w:r w:rsidR="003A5908" w:rsidRPr="000C62E8">
        <w:t xml:space="preserve"> </w:t>
      </w:r>
      <w:r w:rsidR="00341EDE">
        <w:t xml:space="preserve">patient </w:t>
      </w:r>
      <w:r w:rsidR="003A5908" w:rsidRPr="000C62E8">
        <w:t xml:space="preserve">records was confined to the Summary Care </w:t>
      </w:r>
      <w:r w:rsidR="000C62E8" w:rsidRPr="000C62E8">
        <w:t>Record</w:t>
      </w:r>
      <w:r w:rsidR="0040525B">
        <w:t xml:space="preserve">.  </w:t>
      </w:r>
      <w:r w:rsidR="00C95E0C">
        <w:t xml:space="preserve">11% of </w:t>
      </w:r>
      <w:r w:rsidR="00511C58">
        <w:t xml:space="preserve">community </w:t>
      </w:r>
      <w:r w:rsidR="006F0BE7">
        <w:t>pharmacists</w:t>
      </w:r>
      <w:r w:rsidR="00511C58">
        <w:t xml:space="preserve"> </w:t>
      </w:r>
      <w:r w:rsidR="00511C58">
        <w:lastRenderedPageBreak/>
        <w:t>(25</w:t>
      </w:r>
      <w:r w:rsidR="00AB1904">
        <w:t>/219</w:t>
      </w:r>
      <w:r w:rsidR="00511C58">
        <w:t xml:space="preserve">) </w:t>
      </w:r>
      <w:r w:rsidR="009116BC">
        <w:t>“</w:t>
      </w:r>
      <w:r w:rsidR="00511C58">
        <w:t>always</w:t>
      </w:r>
      <w:r w:rsidR="009116BC">
        <w:t>”</w:t>
      </w:r>
      <w:r w:rsidR="00511C58">
        <w:t xml:space="preserve"> felt that </w:t>
      </w:r>
      <w:r w:rsidR="00C95E0C" w:rsidRPr="00C95E0C">
        <w:t>lack of awareness of patients’ palliative status influence</w:t>
      </w:r>
      <w:r w:rsidR="00A61DA1">
        <w:t xml:space="preserve">d their </w:t>
      </w:r>
      <w:r w:rsidR="00C95E0C" w:rsidRPr="00C95E0C">
        <w:t>ability to help patients access medicines</w:t>
      </w:r>
      <w:r w:rsidR="0040525B">
        <w:t xml:space="preserve">, </w:t>
      </w:r>
      <w:r w:rsidR="004A06B7">
        <w:t xml:space="preserve">40% </w:t>
      </w:r>
      <w:r w:rsidR="00184517">
        <w:t xml:space="preserve">(87/219) </w:t>
      </w:r>
      <w:r w:rsidR="006F0BE7">
        <w:t xml:space="preserve">answered </w:t>
      </w:r>
      <w:r w:rsidR="00EA45EA">
        <w:t>“often”</w:t>
      </w:r>
      <w:r w:rsidR="004A06B7">
        <w:t xml:space="preserve"> and 33% </w:t>
      </w:r>
      <w:r w:rsidR="00184517">
        <w:t xml:space="preserve">(71/219) </w:t>
      </w:r>
      <w:r w:rsidR="006F0BE7">
        <w:t xml:space="preserve">answered </w:t>
      </w:r>
      <w:r w:rsidR="00EA45EA">
        <w:t>“</w:t>
      </w:r>
      <w:r w:rsidR="004A06B7">
        <w:t>sometimes</w:t>
      </w:r>
      <w:r w:rsidR="00EA45EA">
        <w:t>”</w:t>
      </w:r>
      <w:r w:rsidR="00691481">
        <w:t xml:space="preserve"> [4]</w:t>
      </w:r>
      <w:r w:rsidR="004A06B7">
        <w:t>.</w:t>
      </w:r>
    </w:p>
    <w:p w14:paraId="69FC9B9E" w14:textId="77777777" w:rsidR="004A06B7" w:rsidRDefault="004A06B7" w:rsidP="008F2303">
      <w:pPr>
        <w:pStyle w:val="ListParagraph"/>
        <w:ind w:left="360"/>
        <w:jc w:val="both"/>
      </w:pPr>
    </w:p>
    <w:p w14:paraId="5F10ED95" w14:textId="40AFAC15" w:rsidR="002F4790" w:rsidRPr="002F4790" w:rsidRDefault="00AA1ADF" w:rsidP="008F2303">
      <w:pPr>
        <w:pStyle w:val="ListParagraph"/>
        <w:numPr>
          <w:ilvl w:val="0"/>
          <w:numId w:val="8"/>
        </w:numPr>
        <w:jc w:val="both"/>
      </w:pPr>
      <w:r w:rsidRPr="005B230E">
        <w:rPr>
          <w:b/>
          <w:bCs/>
        </w:rPr>
        <w:t xml:space="preserve">Community pharmacy stocks of palliative care medicines </w:t>
      </w:r>
      <w:r w:rsidR="00D3093F" w:rsidRPr="005B230E">
        <w:rPr>
          <w:b/>
          <w:bCs/>
        </w:rPr>
        <w:t>are unreliable</w:t>
      </w:r>
      <w:r w:rsidR="004E106E">
        <w:t xml:space="preserve">. </w:t>
      </w:r>
      <w:r w:rsidR="00E2210C">
        <w:t xml:space="preserve"> </w:t>
      </w:r>
      <w:r w:rsidR="00E2210C" w:rsidRPr="00E2210C">
        <w:rPr>
          <w:lang w:val="en-US"/>
        </w:rPr>
        <w:t xml:space="preserve">Lack of reliable stock of the right medicines in community pharmacies was a key finding, even at pharmacies commissioned to provide stocks of palliative care medicines. </w:t>
      </w:r>
      <w:r w:rsidR="003F012A">
        <w:rPr>
          <w:lang w:val="en-US"/>
        </w:rPr>
        <w:t xml:space="preserve"> </w:t>
      </w:r>
      <w:r w:rsidR="002F029B" w:rsidRPr="002F029B">
        <w:rPr>
          <w:lang w:val="en-US"/>
        </w:rPr>
        <w:t xml:space="preserve">This caused work for patients, </w:t>
      </w:r>
      <w:proofErr w:type="spellStart"/>
      <w:r w:rsidR="002F029B" w:rsidRPr="002F029B">
        <w:rPr>
          <w:lang w:val="en-US"/>
        </w:rPr>
        <w:t>carers</w:t>
      </w:r>
      <w:proofErr w:type="spellEnd"/>
      <w:r w:rsidR="002F029B" w:rsidRPr="002F029B">
        <w:rPr>
          <w:lang w:val="en-US"/>
        </w:rPr>
        <w:t xml:space="preserve"> and health professionals trying to source stock from other pharmacies, and delayed access and increased potential for distress</w:t>
      </w:r>
      <w:r w:rsidR="006F070C">
        <w:rPr>
          <w:lang w:val="en-US"/>
        </w:rPr>
        <w:t xml:space="preserve"> [</w:t>
      </w:r>
      <w:r w:rsidR="00691481">
        <w:rPr>
          <w:lang w:val="en-US"/>
        </w:rPr>
        <w:t>3</w:t>
      </w:r>
      <w:r w:rsidR="006F070C">
        <w:rPr>
          <w:lang w:val="en-US"/>
        </w:rPr>
        <w:t>]</w:t>
      </w:r>
      <w:r w:rsidR="002F029B" w:rsidRPr="002F029B">
        <w:rPr>
          <w:lang w:val="en-US"/>
        </w:rPr>
        <w:t>.</w:t>
      </w:r>
      <w:r w:rsidR="003F012A">
        <w:rPr>
          <w:lang w:val="en-US"/>
        </w:rPr>
        <w:t xml:space="preserve"> </w:t>
      </w:r>
      <w:r w:rsidR="002F029B" w:rsidRPr="002F029B">
        <w:rPr>
          <w:lang w:val="en-US"/>
        </w:rPr>
        <w:t xml:space="preserve"> </w:t>
      </w:r>
    </w:p>
    <w:p w14:paraId="27776730" w14:textId="77777777" w:rsidR="002F4790" w:rsidRPr="002F4790" w:rsidRDefault="002F4790" w:rsidP="002F4790">
      <w:pPr>
        <w:pStyle w:val="ListParagraph"/>
        <w:rPr>
          <w:lang w:val="en-US"/>
        </w:rPr>
      </w:pPr>
    </w:p>
    <w:p w14:paraId="6416AD3C" w14:textId="7B2A5FA4" w:rsidR="002F029B" w:rsidRPr="002F029B" w:rsidRDefault="002F029B" w:rsidP="002F4790">
      <w:pPr>
        <w:pStyle w:val="ListParagraph"/>
        <w:ind w:left="360"/>
        <w:jc w:val="both"/>
      </w:pPr>
      <w:r w:rsidRPr="002F029B">
        <w:rPr>
          <w:lang w:val="en-US"/>
        </w:rPr>
        <w:t>Where commissioned services worked well</w:t>
      </w:r>
      <w:r w:rsidR="00341EDE">
        <w:rPr>
          <w:lang w:val="en-US"/>
        </w:rPr>
        <w:t>, t</w:t>
      </w:r>
      <w:r w:rsidRPr="002F029B">
        <w:rPr>
          <w:lang w:val="en-US"/>
        </w:rPr>
        <w:t xml:space="preserve">hey were seen as providing a valuable service, however </w:t>
      </w:r>
      <w:r w:rsidR="00341EDE">
        <w:rPr>
          <w:lang w:val="en-US"/>
        </w:rPr>
        <w:t xml:space="preserve">study findings also </w:t>
      </w:r>
      <w:r w:rsidRPr="002F029B">
        <w:rPr>
          <w:lang w:val="en-US"/>
        </w:rPr>
        <w:t>showed there were an insufficient number and uneven geographical spread of pharmacies in some areas, low awareness of services, variable medicines’ lists between and within services, and not all offered out-of-hours access</w:t>
      </w:r>
      <w:r w:rsidR="00773386">
        <w:rPr>
          <w:lang w:val="en-US"/>
        </w:rPr>
        <w:t xml:space="preserve"> [</w:t>
      </w:r>
      <w:r w:rsidR="00691481">
        <w:rPr>
          <w:lang w:val="en-US"/>
        </w:rPr>
        <w:t>2, 4</w:t>
      </w:r>
      <w:r w:rsidR="006F070C">
        <w:rPr>
          <w:lang w:val="en-US"/>
        </w:rPr>
        <w:t>]</w:t>
      </w:r>
      <w:r w:rsidRPr="002F029B">
        <w:rPr>
          <w:lang w:val="en-US"/>
        </w:rPr>
        <w:t>.</w:t>
      </w:r>
    </w:p>
    <w:p w14:paraId="772BBC62" w14:textId="5500CCA8" w:rsidR="002F029B" w:rsidRPr="002F029B" w:rsidRDefault="002F029B" w:rsidP="008F2303">
      <w:pPr>
        <w:pStyle w:val="ListParagraph"/>
        <w:ind w:left="360"/>
        <w:jc w:val="both"/>
      </w:pPr>
    </w:p>
    <w:p w14:paraId="40BDB3CC" w14:textId="47C8DADE" w:rsidR="00FF3EBD" w:rsidRPr="00D27442" w:rsidRDefault="00FF3EBD" w:rsidP="008F2303">
      <w:pPr>
        <w:jc w:val="both"/>
        <w:rPr>
          <w:b/>
          <w:bCs/>
          <w:sz w:val="28"/>
          <w:szCs w:val="28"/>
        </w:rPr>
      </w:pPr>
      <w:r w:rsidRPr="00D27442">
        <w:rPr>
          <w:b/>
          <w:bCs/>
          <w:sz w:val="28"/>
          <w:szCs w:val="28"/>
        </w:rPr>
        <w:t>How can palliative care be improved?</w:t>
      </w:r>
    </w:p>
    <w:p w14:paraId="7F814A7D" w14:textId="6A46D4AD" w:rsidR="00FF3EBD" w:rsidRDefault="00341EDE" w:rsidP="008F2303">
      <w:pPr>
        <w:jc w:val="both"/>
      </w:pPr>
      <w:r>
        <w:t>We make t</w:t>
      </w:r>
      <w:r w:rsidR="005B3A1C">
        <w:t xml:space="preserve">he following </w:t>
      </w:r>
      <w:r w:rsidR="00FF3EBD">
        <w:t xml:space="preserve">policy recommendations </w:t>
      </w:r>
      <w:r w:rsidR="000D50F9">
        <w:t xml:space="preserve">to improve </w:t>
      </w:r>
      <w:r w:rsidR="00FF3EBD">
        <w:t>access to medicines</w:t>
      </w:r>
      <w:r w:rsidR="000D50F9">
        <w:t>,</w:t>
      </w:r>
      <w:r>
        <w:t xml:space="preserve"> as part of good </w:t>
      </w:r>
      <w:r w:rsidR="000D50F9">
        <w:t>palliative care</w:t>
      </w:r>
      <w:r w:rsidR="00570027">
        <w:t xml:space="preserve"> [5]</w:t>
      </w:r>
      <w:r w:rsidR="00FF3EBD">
        <w:t>:</w:t>
      </w:r>
    </w:p>
    <w:p w14:paraId="71F9FA52" w14:textId="64A6AAEF" w:rsidR="003F23A8" w:rsidRPr="003F23A8" w:rsidRDefault="009357AB" w:rsidP="008F2303">
      <w:pPr>
        <w:pStyle w:val="ListParagraph"/>
        <w:numPr>
          <w:ilvl w:val="0"/>
          <w:numId w:val="1"/>
        </w:numPr>
        <w:jc w:val="both"/>
        <w:rPr>
          <w:b/>
          <w:bCs/>
        </w:rPr>
      </w:pPr>
      <w:r w:rsidRPr="00311B0E">
        <w:rPr>
          <w:b/>
          <w:bCs/>
        </w:rPr>
        <w:t>Implement named end-of-life care coordinators</w:t>
      </w:r>
      <w:r w:rsidR="003066DB" w:rsidRPr="00311B0E">
        <w:rPr>
          <w:b/>
          <w:bCs/>
        </w:rPr>
        <w:t>.</w:t>
      </w:r>
      <w:r w:rsidR="00270D1D">
        <w:rPr>
          <w:b/>
          <w:bCs/>
        </w:rPr>
        <w:t xml:space="preserve">  </w:t>
      </w:r>
      <w:r w:rsidR="00270D1D" w:rsidRPr="002D0183">
        <w:t>End-of life care co-ordinators</w:t>
      </w:r>
      <w:r w:rsidR="002D0183" w:rsidRPr="002D0183">
        <w:t xml:space="preserve"> should be implemented</w:t>
      </w:r>
      <w:r w:rsidR="00270D1D" w:rsidRPr="002D0183">
        <w:t xml:space="preserve"> </w:t>
      </w:r>
      <w:r w:rsidR="009D20A5">
        <w:t>to</w:t>
      </w:r>
      <w:r w:rsidR="00270D1D" w:rsidRPr="002D0183">
        <w:t xml:space="preserve"> act as single points of contact for patients and healthcare professionals, including initiating new or repeat prescriptions.</w:t>
      </w:r>
    </w:p>
    <w:p w14:paraId="41105F0F" w14:textId="77777777" w:rsidR="003F23A8" w:rsidRDefault="003F23A8" w:rsidP="008F2303">
      <w:pPr>
        <w:pStyle w:val="ListParagraph"/>
        <w:ind w:left="360"/>
        <w:jc w:val="both"/>
        <w:rPr>
          <w:b/>
          <w:bCs/>
        </w:rPr>
      </w:pPr>
    </w:p>
    <w:p w14:paraId="5A57D132" w14:textId="3DB420AF" w:rsidR="009357AB" w:rsidRPr="003F23A8" w:rsidRDefault="009357AB" w:rsidP="008F2303">
      <w:pPr>
        <w:pStyle w:val="ListParagraph"/>
        <w:numPr>
          <w:ilvl w:val="0"/>
          <w:numId w:val="1"/>
        </w:numPr>
        <w:jc w:val="both"/>
        <w:rPr>
          <w:b/>
          <w:bCs/>
        </w:rPr>
      </w:pPr>
      <w:r w:rsidRPr="003F23A8">
        <w:rPr>
          <w:b/>
          <w:bCs/>
        </w:rPr>
        <w:t xml:space="preserve">Prioritise training for </w:t>
      </w:r>
      <w:r w:rsidR="00475D10">
        <w:rPr>
          <w:b/>
          <w:bCs/>
        </w:rPr>
        <w:t xml:space="preserve">specialist </w:t>
      </w:r>
      <w:r w:rsidRPr="003F23A8">
        <w:rPr>
          <w:b/>
          <w:bCs/>
        </w:rPr>
        <w:t>palliative care nurse</w:t>
      </w:r>
      <w:r w:rsidR="00475D10">
        <w:rPr>
          <w:b/>
          <w:bCs/>
        </w:rPr>
        <w:t>s</w:t>
      </w:r>
      <w:r w:rsidRPr="003F23A8">
        <w:rPr>
          <w:b/>
          <w:bCs/>
        </w:rPr>
        <w:t xml:space="preserve"> and community nurses to prescribe</w:t>
      </w:r>
      <w:r w:rsidR="003066DB" w:rsidRPr="003F23A8">
        <w:rPr>
          <w:b/>
          <w:bCs/>
        </w:rPr>
        <w:t>.</w:t>
      </w:r>
      <w:r w:rsidR="002D0D54" w:rsidRPr="003F23A8">
        <w:rPr>
          <w:b/>
          <w:bCs/>
        </w:rPr>
        <w:t xml:space="preserve">  </w:t>
      </w:r>
      <w:r w:rsidR="002D0D54">
        <w:t>Health Education England should make resources available to hospices and community trusts for prescriber training, in particular given hospice-employed specialist nurses’ important contribution to patient care, and the potential benefits and cost-effectiveness of this service.</w:t>
      </w:r>
      <w:r w:rsidR="00816206">
        <w:t xml:space="preserve">  Continued reliance on </w:t>
      </w:r>
      <w:r w:rsidR="00E720F2">
        <w:t xml:space="preserve">GP prescribing </w:t>
      </w:r>
      <w:r w:rsidR="00D72C40">
        <w:t>increases</w:t>
      </w:r>
      <w:r w:rsidR="003E7EC4">
        <w:t xml:space="preserve"> costs, </w:t>
      </w:r>
      <w:r w:rsidR="00A4012F">
        <w:t xml:space="preserve">work and time delays on an </w:t>
      </w:r>
      <w:r w:rsidR="003F23A8">
        <w:t>over-burdened s</w:t>
      </w:r>
      <w:r w:rsidR="003E7EC4">
        <w:t>ervice</w:t>
      </w:r>
      <w:r w:rsidR="00570027">
        <w:t xml:space="preserve"> [6]</w:t>
      </w:r>
      <w:r w:rsidR="00A4012F">
        <w:t>.</w:t>
      </w:r>
    </w:p>
    <w:p w14:paraId="48586826" w14:textId="77777777" w:rsidR="003F23A8" w:rsidRPr="003F23A8" w:rsidRDefault="003F23A8" w:rsidP="008F2303">
      <w:pPr>
        <w:pStyle w:val="ListParagraph"/>
        <w:jc w:val="both"/>
        <w:rPr>
          <w:b/>
          <w:bCs/>
        </w:rPr>
      </w:pPr>
    </w:p>
    <w:p w14:paraId="74930DB5" w14:textId="5DB4BD67" w:rsidR="003F23A8" w:rsidRDefault="009357AB" w:rsidP="008F2303">
      <w:pPr>
        <w:pStyle w:val="ListParagraph"/>
        <w:numPr>
          <w:ilvl w:val="0"/>
          <w:numId w:val="1"/>
        </w:numPr>
        <w:jc w:val="both"/>
      </w:pPr>
      <w:r w:rsidRPr="002776C6">
        <w:rPr>
          <w:b/>
          <w:bCs/>
        </w:rPr>
        <w:t>Harmonise IT systems</w:t>
      </w:r>
      <w:r w:rsidR="003066DB" w:rsidRPr="002776C6">
        <w:rPr>
          <w:b/>
          <w:bCs/>
        </w:rPr>
        <w:t>.</w:t>
      </w:r>
      <w:r w:rsidR="00A215D3" w:rsidRPr="002776C6">
        <w:rPr>
          <w:b/>
          <w:bCs/>
        </w:rPr>
        <w:t xml:space="preserve">  </w:t>
      </w:r>
      <w:r w:rsidR="00100E4D" w:rsidRPr="00100E4D">
        <w:t xml:space="preserve">NHS Digital and local IT system suppliers need to </w:t>
      </w:r>
      <w:r w:rsidR="007715A5">
        <w:t>collaborate</w:t>
      </w:r>
      <w:r w:rsidR="00100E4D" w:rsidRPr="00100E4D">
        <w:t xml:space="preserve"> to harmonise local IT systems so all health professionals have access to shared electronic patient records across GP, community and hospice interfaces, including remotely in patients’ homes.</w:t>
      </w:r>
      <w:r w:rsidR="000256CA">
        <w:t xml:space="preserve">  Continuing with </w:t>
      </w:r>
      <w:r w:rsidR="00FF78FD">
        <w:t>current levels of lack of shared access risks delayed and unsafe prescribing.</w:t>
      </w:r>
      <w:r w:rsidR="00100E4D" w:rsidRPr="00100E4D">
        <w:t xml:space="preserve"> </w:t>
      </w:r>
    </w:p>
    <w:p w14:paraId="4881C254" w14:textId="77777777" w:rsidR="003F23A8" w:rsidRPr="003F23A8" w:rsidRDefault="003F23A8" w:rsidP="008F2303">
      <w:pPr>
        <w:pStyle w:val="ListParagraph"/>
        <w:jc w:val="both"/>
        <w:rPr>
          <w:b/>
          <w:bCs/>
        </w:rPr>
      </w:pPr>
    </w:p>
    <w:p w14:paraId="3319C44D" w14:textId="59A1198A" w:rsidR="009357AB" w:rsidRPr="003F23A8" w:rsidRDefault="009357AB" w:rsidP="008F2303">
      <w:pPr>
        <w:pStyle w:val="ListParagraph"/>
        <w:numPr>
          <w:ilvl w:val="0"/>
          <w:numId w:val="1"/>
        </w:numPr>
        <w:jc w:val="both"/>
      </w:pPr>
      <w:r w:rsidRPr="003F23A8">
        <w:rPr>
          <w:b/>
          <w:bCs/>
        </w:rPr>
        <w:t>All prescribers require access to electronic prescribing systems, including in patients’ homes</w:t>
      </w:r>
      <w:r w:rsidR="003066DB" w:rsidRPr="003F23A8">
        <w:rPr>
          <w:b/>
          <w:bCs/>
        </w:rPr>
        <w:t>.</w:t>
      </w:r>
      <w:r w:rsidR="00D904A3" w:rsidRPr="00D904A3">
        <w:t xml:space="preserve"> </w:t>
      </w:r>
      <w:r w:rsidR="00D904A3" w:rsidRPr="00100E4D">
        <w:t xml:space="preserve">NHS Digital and local IT system suppliers need to work together to reduce current inequities in </w:t>
      </w:r>
      <w:r w:rsidR="00582291">
        <w:t xml:space="preserve">community-based </w:t>
      </w:r>
      <w:r w:rsidR="00D904A3" w:rsidRPr="00100E4D">
        <w:t xml:space="preserve">professionals’ access to electronic prescribing systems. </w:t>
      </w:r>
      <w:r w:rsidR="00D904A3">
        <w:t xml:space="preserve"> </w:t>
      </w:r>
      <w:r w:rsidR="00D904A3" w:rsidRPr="00100E4D">
        <w:t>Continued, enforced reliance on hand-written scripts will deter some professionals from prescribing directly to patients and/or cause unnecessary journeys to pharmacies for patients and carers at a distressing time</w:t>
      </w:r>
      <w:r w:rsidR="00570027">
        <w:t xml:space="preserve"> [6]</w:t>
      </w:r>
      <w:r w:rsidR="00D904A3" w:rsidRPr="00100E4D">
        <w:t>.</w:t>
      </w:r>
    </w:p>
    <w:p w14:paraId="526CAD1B" w14:textId="77777777" w:rsidR="009357AB" w:rsidRDefault="009357AB" w:rsidP="008F2303">
      <w:pPr>
        <w:pStyle w:val="ListParagraph"/>
        <w:ind w:left="360"/>
        <w:jc w:val="both"/>
      </w:pPr>
    </w:p>
    <w:p w14:paraId="6CCB3706" w14:textId="465FFF2A" w:rsidR="009357AB" w:rsidRDefault="009357AB" w:rsidP="008F2303">
      <w:pPr>
        <w:pStyle w:val="ListParagraph"/>
        <w:numPr>
          <w:ilvl w:val="0"/>
          <w:numId w:val="1"/>
        </w:numPr>
        <w:jc w:val="both"/>
      </w:pPr>
      <w:r w:rsidRPr="00FB13E1">
        <w:rPr>
          <w:b/>
          <w:bCs/>
        </w:rPr>
        <w:t>Improve integration of community pharmacists into healthcare teams</w:t>
      </w:r>
      <w:r w:rsidR="003066DB" w:rsidRPr="00FB13E1">
        <w:rPr>
          <w:b/>
          <w:bCs/>
        </w:rPr>
        <w:t>.</w:t>
      </w:r>
      <w:r w:rsidR="00E05614" w:rsidRPr="00FB13E1">
        <w:rPr>
          <w:b/>
          <w:bCs/>
        </w:rPr>
        <w:t xml:space="preserve">  </w:t>
      </w:r>
      <w:r w:rsidR="00FB13E1" w:rsidRPr="00FB13E1">
        <w:rPr>
          <w:lang w:val="en-US"/>
        </w:rPr>
        <w:t>NHS</w:t>
      </w:r>
      <w:r w:rsidR="00C55070">
        <w:rPr>
          <w:lang w:val="en-US"/>
        </w:rPr>
        <w:t xml:space="preserve"> England &amp; Improvement </w:t>
      </w:r>
      <w:r w:rsidR="00FB13E1" w:rsidRPr="00FB13E1">
        <w:rPr>
          <w:lang w:val="en-US"/>
        </w:rPr>
        <w:t xml:space="preserve">as well as Integrated Care Systems and Primary Care Networks, need to drive integration of community pharmacists within the wider community and primary healthcare team and allow </w:t>
      </w:r>
      <w:r w:rsidR="007C6732">
        <w:rPr>
          <w:lang w:val="en-US"/>
        </w:rPr>
        <w:t xml:space="preserve">community </w:t>
      </w:r>
      <w:r w:rsidR="00FB13E1" w:rsidRPr="00FB13E1">
        <w:rPr>
          <w:lang w:val="en-US"/>
        </w:rPr>
        <w:t>pharmacist access to information about patients’ palliative care status, with patient consent, via an enhanced Summary Care Record or patient record access.</w:t>
      </w:r>
      <w:r w:rsidR="00261F6F">
        <w:rPr>
          <w:lang w:val="en-US"/>
        </w:rPr>
        <w:t xml:space="preserve"> </w:t>
      </w:r>
      <w:r w:rsidR="008C16CB" w:rsidRPr="008C16CB">
        <w:t xml:space="preserve"> </w:t>
      </w:r>
      <w:r w:rsidR="008C16CB" w:rsidRPr="00E05614">
        <w:t>Failure to do so will mean the potential for the community pharmacist workforce to contribute to good palliative care medicines access will remain unfulfilled</w:t>
      </w:r>
      <w:r w:rsidR="00570027">
        <w:t xml:space="preserve"> [7]</w:t>
      </w:r>
      <w:r w:rsidR="008C16CB" w:rsidRPr="00E05614">
        <w:t>.</w:t>
      </w:r>
      <w:r w:rsidR="008C16CB">
        <w:t xml:space="preserve">  </w:t>
      </w:r>
    </w:p>
    <w:p w14:paraId="62C3B345" w14:textId="2E4A4DFC" w:rsidR="0012441C" w:rsidRPr="0012441C" w:rsidRDefault="009357AB" w:rsidP="008F2303">
      <w:pPr>
        <w:pStyle w:val="ListParagraph"/>
        <w:numPr>
          <w:ilvl w:val="0"/>
          <w:numId w:val="1"/>
        </w:numPr>
        <w:jc w:val="both"/>
        <w:rPr>
          <w:b/>
          <w:bCs/>
        </w:rPr>
      </w:pPr>
      <w:r w:rsidRPr="00311B0E">
        <w:rPr>
          <w:b/>
          <w:bCs/>
        </w:rPr>
        <w:lastRenderedPageBreak/>
        <w:t>Commission standardised, equitably distributed stocks of medicines</w:t>
      </w:r>
      <w:r w:rsidR="003066DB" w:rsidRPr="00311B0E">
        <w:rPr>
          <w:b/>
          <w:bCs/>
        </w:rPr>
        <w:t>.</w:t>
      </w:r>
      <w:r w:rsidR="0012441C">
        <w:rPr>
          <w:b/>
          <w:bCs/>
        </w:rPr>
        <w:t xml:space="preserve">  </w:t>
      </w:r>
      <w:r w:rsidR="0012441C" w:rsidRPr="0012441C">
        <w:rPr>
          <w:lang w:val="en-US"/>
        </w:rPr>
        <w:t>NHS</w:t>
      </w:r>
      <w:r w:rsidR="00A80E23">
        <w:rPr>
          <w:lang w:val="en-US"/>
        </w:rPr>
        <w:t xml:space="preserve"> England &amp; Improvement</w:t>
      </w:r>
      <w:r w:rsidR="0012441C" w:rsidRPr="0012441C">
        <w:rPr>
          <w:lang w:val="en-US"/>
        </w:rPr>
        <w:t xml:space="preserve"> and Integrated Care Systems should commission community pharmacy services for palliative care </w:t>
      </w:r>
      <w:r w:rsidR="006E33F6">
        <w:rPr>
          <w:lang w:val="en-US"/>
        </w:rPr>
        <w:t>of</w:t>
      </w:r>
      <w:r w:rsidR="0012441C" w:rsidRPr="0012441C">
        <w:rPr>
          <w:lang w:val="en-US"/>
        </w:rPr>
        <w:t xml:space="preserve"> </w:t>
      </w:r>
      <w:proofErr w:type="spellStart"/>
      <w:r w:rsidR="0012441C" w:rsidRPr="0012441C">
        <w:rPr>
          <w:lang w:val="en-US"/>
        </w:rPr>
        <w:t>rationalised</w:t>
      </w:r>
      <w:proofErr w:type="spellEnd"/>
      <w:r w:rsidR="0012441C" w:rsidRPr="0012441C">
        <w:rPr>
          <w:lang w:val="en-US"/>
        </w:rPr>
        <w:t>, commonly-agreed core list</w:t>
      </w:r>
      <w:r w:rsidR="00B72556">
        <w:rPr>
          <w:lang w:val="en-US"/>
        </w:rPr>
        <w:t>s</w:t>
      </w:r>
      <w:r w:rsidR="0012441C" w:rsidRPr="0012441C">
        <w:rPr>
          <w:lang w:val="en-US"/>
        </w:rPr>
        <w:t xml:space="preserve"> of medicines, with greater and more even distribution of pharmacies </w:t>
      </w:r>
      <w:r w:rsidR="00B72556">
        <w:rPr>
          <w:lang w:val="en-US"/>
        </w:rPr>
        <w:t>(</w:t>
      </w:r>
      <w:r w:rsidR="0012441C" w:rsidRPr="0012441C">
        <w:rPr>
          <w:lang w:val="en-US"/>
        </w:rPr>
        <w:t>or other community hubs holding stock which is also accessible out-of-hours</w:t>
      </w:r>
      <w:r w:rsidR="00B72556">
        <w:rPr>
          <w:lang w:val="en-US"/>
        </w:rPr>
        <w:t>)</w:t>
      </w:r>
      <w:r w:rsidR="0012441C" w:rsidRPr="0012441C">
        <w:rPr>
          <w:lang w:val="en-US"/>
        </w:rPr>
        <w:t>, delivered swiftly and free-of-charge to patients’ homes.</w:t>
      </w:r>
      <w:r w:rsidR="0012441C" w:rsidRPr="0012441C">
        <w:rPr>
          <w:b/>
          <w:bCs/>
          <w:lang w:val="en-US"/>
        </w:rPr>
        <w:t xml:space="preserve"> </w:t>
      </w:r>
    </w:p>
    <w:p w14:paraId="3F83925E" w14:textId="183F47B1" w:rsidR="00FF3EBD" w:rsidRDefault="00FF3EBD" w:rsidP="008F2303">
      <w:pPr>
        <w:jc w:val="both"/>
      </w:pPr>
    </w:p>
    <w:p w14:paraId="03FA5122" w14:textId="77777777" w:rsidR="00AF64E8" w:rsidRPr="00D27442" w:rsidRDefault="00AF64E8" w:rsidP="008F2303">
      <w:pPr>
        <w:pStyle w:val="CommentText"/>
        <w:jc w:val="both"/>
        <w:rPr>
          <w:rFonts w:cstheme="minorHAnsi"/>
          <w:b/>
          <w:bCs/>
          <w:sz w:val="28"/>
          <w:szCs w:val="28"/>
        </w:rPr>
      </w:pPr>
      <w:r w:rsidRPr="00D27442">
        <w:rPr>
          <w:rFonts w:cstheme="minorHAnsi"/>
          <w:b/>
          <w:bCs/>
          <w:sz w:val="28"/>
          <w:szCs w:val="28"/>
        </w:rPr>
        <w:t>Funding</w:t>
      </w:r>
    </w:p>
    <w:p w14:paraId="35074843" w14:textId="77777777" w:rsidR="00AF64E8" w:rsidRPr="00727C61" w:rsidRDefault="00AF64E8" w:rsidP="008F2303">
      <w:pPr>
        <w:pStyle w:val="CommentText"/>
        <w:jc w:val="both"/>
        <w:rPr>
          <w:rFonts w:cstheme="minorHAnsi"/>
          <w:sz w:val="22"/>
          <w:szCs w:val="22"/>
        </w:rPr>
      </w:pPr>
    </w:p>
    <w:p w14:paraId="736C140B" w14:textId="0E099128" w:rsidR="00AF64E8" w:rsidRPr="00727C61" w:rsidRDefault="00AF64E8" w:rsidP="008F2303">
      <w:pPr>
        <w:pStyle w:val="CommentText"/>
        <w:jc w:val="both"/>
        <w:rPr>
          <w:rFonts w:cstheme="minorHAnsi"/>
          <w:sz w:val="22"/>
          <w:szCs w:val="22"/>
        </w:rPr>
      </w:pPr>
      <w:r w:rsidRPr="00727C61">
        <w:rPr>
          <w:rFonts w:cstheme="minorHAnsi"/>
          <w:sz w:val="22"/>
          <w:szCs w:val="22"/>
        </w:rPr>
        <w:t>Th</w:t>
      </w:r>
      <w:r>
        <w:rPr>
          <w:rFonts w:cstheme="minorHAnsi"/>
          <w:sz w:val="22"/>
          <w:szCs w:val="22"/>
        </w:rPr>
        <w:t>e</w:t>
      </w:r>
      <w:r w:rsidR="00F07D79">
        <w:rPr>
          <w:rFonts w:cstheme="minorHAnsi"/>
          <w:sz w:val="22"/>
          <w:szCs w:val="22"/>
        </w:rPr>
        <w:t xml:space="preserve"> </w:t>
      </w:r>
      <w:proofErr w:type="spellStart"/>
      <w:r w:rsidR="00F07D79">
        <w:rPr>
          <w:rFonts w:cstheme="minorHAnsi"/>
          <w:sz w:val="22"/>
          <w:szCs w:val="22"/>
        </w:rPr>
        <w:t>Act</w:t>
      </w:r>
      <w:r w:rsidR="008C2E5B">
        <w:rPr>
          <w:rFonts w:cstheme="minorHAnsi"/>
          <w:sz w:val="22"/>
          <w:szCs w:val="22"/>
        </w:rPr>
        <w:t>Med</w:t>
      </w:r>
      <w:proofErr w:type="spellEnd"/>
      <w:r w:rsidR="008C2E5B">
        <w:rPr>
          <w:rFonts w:cstheme="minorHAnsi"/>
          <w:sz w:val="22"/>
          <w:szCs w:val="22"/>
        </w:rPr>
        <w:t xml:space="preserve"> St</w:t>
      </w:r>
      <w:r w:rsidRPr="00727C61">
        <w:rPr>
          <w:rFonts w:cstheme="minorHAnsi"/>
          <w:sz w:val="22"/>
          <w:szCs w:val="22"/>
        </w:rPr>
        <w:t xml:space="preserve">udy </w:t>
      </w:r>
      <w:r>
        <w:rPr>
          <w:rFonts w:cstheme="minorHAnsi"/>
          <w:sz w:val="22"/>
          <w:szCs w:val="22"/>
        </w:rPr>
        <w:t>was</w:t>
      </w:r>
      <w:r w:rsidRPr="00727C61">
        <w:rPr>
          <w:rFonts w:cstheme="minorHAnsi"/>
          <w:sz w:val="22"/>
          <w:szCs w:val="22"/>
        </w:rPr>
        <w:t xml:space="preserve"> funded by the National Institute for Health </w:t>
      </w:r>
      <w:r w:rsidR="00AB34FC">
        <w:rPr>
          <w:rFonts w:cstheme="minorHAnsi"/>
          <w:sz w:val="22"/>
          <w:szCs w:val="22"/>
        </w:rPr>
        <w:t xml:space="preserve">and Care </w:t>
      </w:r>
      <w:r w:rsidRPr="00727C61">
        <w:rPr>
          <w:rFonts w:cstheme="minorHAnsi"/>
          <w:sz w:val="22"/>
          <w:szCs w:val="22"/>
        </w:rPr>
        <w:t>Research (NIHR) [Health Services &amp; Delivery Research programme] (project number 16/52/23).  The views expressed are those of the author(s) and not necessarily those of the NIHR or the Department of Health and Social Care.</w:t>
      </w:r>
    </w:p>
    <w:p w14:paraId="4EADFE1C" w14:textId="77777777" w:rsidR="00AF64E8" w:rsidRDefault="00AF64E8" w:rsidP="008F2303">
      <w:pPr>
        <w:jc w:val="both"/>
      </w:pPr>
    </w:p>
    <w:p w14:paraId="52AB9643" w14:textId="291043E1" w:rsidR="001F15D8" w:rsidRPr="00D27442" w:rsidRDefault="001F15D8" w:rsidP="008F2303">
      <w:pPr>
        <w:jc w:val="both"/>
        <w:rPr>
          <w:b/>
          <w:bCs/>
          <w:sz w:val="28"/>
          <w:szCs w:val="28"/>
        </w:rPr>
      </w:pPr>
      <w:r w:rsidRPr="00D27442">
        <w:rPr>
          <w:b/>
          <w:bCs/>
          <w:sz w:val="28"/>
          <w:szCs w:val="28"/>
        </w:rPr>
        <w:t>References</w:t>
      </w:r>
    </w:p>
    <w:p w14:paraId="65CD050C" w14:textId="77777777" w:rsidR="000C3B7B" w:rsidRPr="00570027" w:rsidRDefault="000C3B7B" w:rsidP="008F2303">
      <w:pPr>
        <w:pStyle w:val="ListParagraph"/>
        <w:numPr>
          <w:ilvl w:val="0"/>
          <w:numId w:val="7"/>
        </w:numPr>
        <w:spacing w:after="120"/>
        <w:jc w:val="both"/>
        <w:rPr>
          <w:rFonts w:cstheme="minorHAnsi"/>
          <w:color w:val="000000" w:themeColor="text1"/>
        </w:rPr>
      </w:pPr>
      <w:bookmarkStart w:id="0" w:name="_Hlk63591046"/>
      <w:r w:rsidRPr="00570027">
        <w:rPr>
          <w:rFonts w:cstheme="minorHAnsi"/>
          <w:color w:val="000000" w:themeColor="text1"/>
        </w:rPr>
        <w:t xml:space="preserve">Ogi M, Campling N, Bennett M, Birtwistle J, Ewings S, Meads D, Santer M, Richardson A, Latter S (2021) Community access to palliative care medicines – patient and professional experience: systematic review and narrative synthesis </w:t>
      </w:r>
      <w:r w:rsidRPr="00570027">
        <w:rPr>
          <w:rFonts w:cstheme="minorHAnsi"/>
          <w:i/>
          <w:iCs/>
          <w:color w:val="000000" w:themeColor="text1"/>
        </w:rPr>
        <w:t>BMJ Supportive and Palliative Care</w:t>
      </w:r>
      <w:r w:rsidRPr="00570027">
        <w:rPr>
          <w:rFonts w:cstheme="minorHAnsi"/>
          <w:color w:val="000000" w:themeColor="text1"/>
        </w:rPr>
        <w:t xml:space="preserve"> DOI: </w:t>
      </w:r>
      <w:hyperlink r:id="rId8" w:history="1">
        <w:r w:rsidRPr="00570027">
          <w:rPr>
            <w:rStyle w:val="Hyperlink"/>
            <w:rFonts w:cstheme="minorHAnsi"/>
            <w:color w:val="000000" w:themeColor="text1"/>
          </w:rPr>
          <w:t>http://dx.doi.org/10.1136/bmjspcare-2020-002761</w:t>
        </w:r>
      </w:hyperlink>
    </w:p>
    <w:bookmarkEnd w:id="0"/>
    <w:p w14:paraId="35ABE51E" w14:textId="77777777" w:rsidR="000C3B7B" w:rsidRPr="00570027" w:rsidRDefault="000C3B7B" w:rsidP="008F2303">
      <w:pPr>
        <w:pStyle w:val="ListParagraph"/>
        <w:numPr>
          <w:ilvl w:val="0"/>
          <w:numId w:val="7"/>
        </w:numPr>
        <w:jc w:val="both"/>
        <w:rPr>
          <w:rFonts w:cstheme="minorHAnsi"/>
          <w:color w:val="000000" w:themeColor="text1"/>
        </w:rPr>
      </w:pPr>
      <w:r w:rsidRPr="00570027">
        <w:rPr>
          <w:rFonts w:cstheme="minorHAnsi"/>
          <w:color w:val="000000" w:themeColor="text1"/>
          <w:lang w:val="en-US"/>
        </w:rPr>
        <w:t>Latter S, Campling N, Birtwistle J, Richardson A, Bennett M.I, Meads D, </w:t>
      </w:r>
      <w:r w:rsidRPr="00570027">
        <w:rPr>
          <w:rFonts w:cstheme="minorHAnsi"/>
          <w:i/>
          <w:iCs/>
          <w:color w:val="000000" w:themeColor="text1"/>
          <w:lang w:val="en-US"/>
        </w:rPr>
        <w:t xml:space="preserve">et al. </w:t>
      </w:r>
      <w:r w:rsidRPr="00570027">
        <w:rPr>
          <w:rFonts w:cstheme="minorHAnsi"/>
          <w:color w:val="000000" w:themeColor="text1"/>
          <w:lang w:val="en-US"/>
        </w:rPr>
        <w:t xml:space="preserve">(2022). Patient and </w:t>
      </w:r>
      <w:proofErr w:type="spellStart"/>
      <w:r w:rsidRPr="00570027">
        <w:rPr>
          <w:rFonts w:cstheme="minorHAnsi"/>
          <w:color w:val="000000" w:themeColor="text1"/>
          <w:lang w:val="en-US"/>
        </w:rPr>
        <w:t>carer</w:t>
      </w:r>
      <w:proofErr w:type="spellEnd"/>
      <w:r w:rsidRPr="00570027">
        <w:rPr>
          <w:rFonts w:cstheme="minorHAnsi"/>
          <w:color w:val="000000" w:themeColor="text1"/>
          <w:lang w:val="en-US"/>
        </w:rPr>
        <w:t xml:space="preserve"> access to medicines at end of life: the </w:t>
      </w:r>
      <w:proofErr w:type="spellStart"/>
      <w:r w:rsidRPr="00570027">
        <w:rPr>
          <w:rFonts w:cstheme="minorHAnsi"/>
          <w:color w:val="000000" w:themeColor="text1"/>
          <w:lang w:val="en-US"/>
        </w:rPr>
        <w:t>ActMed</w:t>
      </w:r>
      <w:proofErr w:type="spellEnd"/>
      <w:r w:rsidRPr="00570027">
        <w:rPr>
          <w:rFonts w:cstheme="minorHAnsi"/>
          <w:color w:val="000000" w:themeColor="text1"/>
          <w:lang w:val="en-US"/>
        </w:rPr>
        <w:t xml:space="preserve"> mixed-methods study. </w:t>
      </w:r>
      <w:r w:rsidRPr="00570027">
        <w:rPr>
          <w:rFonts w:cstheme="minorHAnsi"/>
          <w:i/>
          <w:iCs/>
          <w:color w:val="000000" w:themeColor="text1"/>
          <w:lang w:val="en-US"/>
        </w:rPr>
        <w:t xml:space="preserve">Health &amp; Social Care Delivery Research </w:t>
      </w:r>
      <w:r w:rsidRPr="00570027">
        <w:rPr>
          <w:rFonts w:cstheme="minorHAnsi"/>
          <w:color w:val="000000" w:themeColor="text1"/>
          <w:lang w:val="en-US"/>
        </w:rPr>
        <w:t xml:space="preserve">10(20). </w:t>
      </w:r>
      <w:hyperlink r:id="rId9" w:anchor="/abstract" w:history="1">
        <w:r w:rsidRPr="00570027">
          <w:rPr>
            <w:rStyle w:val="Hyperlink"/>
            <w:rFonts w:cstheme="minorHAnsi"/>
            <w:color w:val="000000" w:themeColor="text1"/>
            <w:lang w:val="en-US"/>
          </w:rPr>
          <w:t>https://www.journalslibrary.nihr.ac.uk/hsdr/FIQE5189/#/abstract</w:t>
        </w:r>
      </w:hyperlink>
      <w:r w:rsidRPr="00570027">
        <w:rPr>
          <w:rFonts w:cstheme="minorHAnsi"/>
          <w:color w:val="000000" w:themeColor="text1"/>
          <w:lang w:val="en-US"/>
        </w:rPr>
        <w:t xml:space="preserve"> </w:t>
      </w:r>
    </w:p>
    <w:p w14:paraId="7D0DD758" w14:textId="77777777" w:rsidR="00691481" w:rsidRPr="00570027" w:rsidRDefault="00691481" w:rsidP="00691481">
      <w:pPr>
        <w:pStyle w:val="ListParagraph"/>
        <w:numPr>
          <w:ilvl w:val="0"/>
          <w:numId w:val="7"/>
        </w:numPr>
        <w:jc w:val="both"/>
        <w:rPr>
          <w:rStyle w:val="Hyperlink"/>
          <w:rFonts w:cstheme="minorHAnsi"/>
          <w:color w:val="000000" w:themeColor="text1"/>
          <w:u w:val="none"/>
        </w:rPr>
      </w:pPr>
      <w:r w:rsidRPr="00570027">
        <w:rPr>
          <w:rFonts w:cstheme="minorHAnsi"/>
          <w:color w:val="000000" w:themeColor="text1"/>
        </w:rPr>
        <w:t xml:space="preserve">Campling N, Birtwistle J, Richardson A, Bennett M.I, Meads D, Santer M &amp; Latter S (2022). Access to palliative care medicines in the community: an evaluation of practice and costs using case studies of service models in England. </w:t>
      </w:r>
      <w:r w:rsidRPr="00570027">
        <w:rPr>
          <w:rFonts w:cstheme="minorHAnsi"/>
          <w:i/>
          <w:iCs/>
          <w:color w:val="000000" w:themeColor="text1"/>
        </w:rPr>
        <w:t>International Journal of Nursing Studies</w:t>
      </w:r>
      <w:r w:rsidRPr="00570027">
        <w:rPr>
          <w:rFonts w:cstheme="minorHAnsi"/>
          <w:color w:val="000000" w:themeColor="text1"/>
        </w:rPr>
        <w:t xml:space="preserve"> 132: 104275. </w:t>
      </w:r>
      <w:hyperlink r:id="rId10" w:tgtFrame="_blank" w:tooltip="Persistent link using digital object identifier" w:history="1">
        <w:r w:rsidRPr="00570027">
          <w:rPr>
            <w:rStyle w:val="Hyperlink"/>
            <w:rFonts w:cstheme="minorHAnsi"/>
            <w:color w:val="000000" w:themeColor="text1"/>
          </w:rPr>
          <w:t>https://doi.org/10.1016/j.ijnurstu.2022.104275</w:t>
        </w:r>
      </w:hyperlink>
    </w:p>
    <w:p w14:paraId="5B660D82" w14:textId="77777777" w:rsidR="00CA4170" w:rsidRPr="00570027" w:rsidRDefault="00CA4170" w:rsidP="008F2303">
      <w:pPr>
        <w:pStyle w:val="ListParagraph"/>
        <w:numPr>
          <w:ilvl w:val="0"/>
          <w:numId w:val="7"/>
        </w:numPr>
        <w:jc w:val="both"/>
        <w:rPr>
          <w:rFonts w:cstheme="minorHAnsi"/>
          <w:color w:val="000000" w:themeColor="text1"/>
        </w:rPr>
      </w:pPr>
      <w:r w:rsidRPr="00570027">
        <w:rPr>
          <w:rFonts w:cstheme="minorHAnsi"/>
          <w:color w:val="000000" w:themeColor="text1"/>
          <w:lang w:val="en-US"/>
        </w:rPr>
        <w:t>Latter S, Campling N, Birtwistle J, Richardson A, Bennett M.I, Ewings S, Meads D &amp; Santer M (2020). Supporting patient access to medicines in community palliative care: on-line survey of health professionals’ practice, perceived effectiveness and influencing factors. </w:t>
      </w:r>
      <w:r w:rsidRPr="00570027">
        <w:rPr>
          <w:rFonts w:cstheme="minorHAnsi"/>
          <w:i/>
          <w:iCs/>
          <w:color w:val="000000" w:themeColor="text1"/>
          <w:lang w:val="en-US"/>
        </w:rPr>
        <w:t>BMC Palliative Care</w:t>
      </w:r>
      <w:r w:rsidRPr="00570027">
        <w:rPr>
          <w:rFonts w:cstheme="minorHAnsi"/>
          <w:color w:val="000000" w:themeColor="text1"/>
          <w:lang w:val="en-US"/>
        </w:rPr>
        <w:t xml:space="preserve"> 19(1), 1-9. </w:t>
      </w:r>
      <w:hyperlink r:id="rId11" w:history="1">
        <w:r w:rsidRPr="00570027">
          <w:rPr>
            <w:rStyle w:val="Hyperlink"/>
            <w:rFonts w:cstheme="minorHAnsi"/>
            <w:color w:val="000000" w:themeColor="text1"/>
            <w:shd w:val="clear" w:color="auto" w:fill="FFFFFF"/>
          </w:rPr>
          <w:t>https://doi.org/10.1186/s12904-020-00649-3</w:t>
        </w:r>
      </w:hyperlink>
    </w:p>
    <w:p w14:paraId="139577FF" w14:textId="0CB02D77" w:rsidR="00465A5C" w:rsidRPr="00570027" w:rsidRDefault="00465A5C" w:rsidP="00465A5C">
      <w:pPr>
        <w:pStyle w:val="ListParagraph"/>
        <w:numPr>
          <w:ilvl w:val="0"/>
          <w:numId w:val="7"/>
        </w:numPr>
        <w:spacing w:after="120"/>
        <w:jc w:val="both"/>
        <w:rPr>
          <w:rFonts w:cstheme="minorHAnsi"/>
          <w:color w:val="000000" w:themeColor="text1"/>
        </w:rPr>
      </w:pPr>
      <w:r w:rsidRPr="00570027">
        <w:rPr>
          <w:rFonts w:cstheme="minorHAnsi"/>
          <w:color w:val="000000" w:themeColor="text1"/>
        </w:rPr>
        <w:t>Latter S,</w:t>
      </w:r>
      <w:r w:rsidRPr="00570027">
        <w:rPr>
          <w:rFonts w:cstheme="minorHAnsi"/>
          <w:b/>
          <w:bCs/>
          <w:color w:val="000000" w:themeColor="text1"/>
        </w:rPr>
        <w:t xml:space="preserve"> </w:t>
      </w:r>
      <w:r w:rsidRPr="00611CE8">
        <w:rPr>
          <w:rFonts w:cstheme="minorHAnsi"/>
          <w:color w:val="000000" w:themeColor="text1"/>
        </w:rPr>
        <w:t>Campling N,</w:t>
      </w:r>
      <w:r w:rsidRPr="00570027">
        <w:rPr>
          <w:rFonts w:cstheme="minorHAnsi"/>
          <w:color w:val="000000" w:themeColor="text1"/>
        </w:rPr>
        <w:t xml:space="preserve"> Birtwistle J, Richardson A, Bennett M, Meads D, Blenkinsopp A, Breen L, Edwards Z, Sloan C, Miller E, Ewings S, Santer M, Roberts L (2022) </w:t>
      </w:r>
      <w:r w:rsidRPr="00570027">
        <w:rPr>
          <w:rFonts w:cstheme="minorHAnsi"/>
          <w:i/>
          <w:iCs/>
          <w:color w:val="000000" w:themeColor="text1"/>
        </w:rPr>
        <w:t xml:space="preserve">Improving access to medicines to support palliative care at home: challenges and opportunities </w:t>
      </w:r>
      <w:r w:rsidRPr="00570027">
        <w:rPr>
          <w:rFonts w:cstheme="minorHAnsi"/>
          <w:color w:val="000000" w:themeColor="text1"/>
        </w:rPr>
        <w:t xml:space="preserve">Policy brief, University of Southampton.  </w:t>
      </w:r>
      <w:hyperlink r:id="rId12" w:history="1">
        <w:r w:rsidRPr="00570027">
          <w:rPr>
            <w:rStyle w:val="Hyperlink"/>
            <w:rFonts w:cstheme="minorHAnsi"/>
            <w:color w:val="000000" w:themeColor="text1"/>
          </w:rPr>
          <w:t>https://www.southampton.ac.uk/~assets/doc/publicpolicy/85438%20-%20A4%204pp%20Policy%20Brief%20-%20ActMed.pdf</w:t>
        </w:r>
      </w:hyperlink>
      <w:r w:rsidRPr="00570027">
        <w:rPr>
          <w:rFonts w:cstheme="minorHAnsi"/>
          <w:color w:val="000000" w:themeColor="text1"/>
        </w:rPr>
        <w:t xml:space="preserve"> </w:t>
      </w:r>
    </w:p>
    <w:p w14:paraId="5A8DB166" w14:textId="2B2B989D" w:rsidR="00570027" w:rsidRPr="00570027" w:rsidRDefault="00570027" w:rsidP="00570027">
      <w:pPr>
        <w:pStyle w:val="ListParagraph"/>
        <w:numPr>
          <w:ilvl w:val="0"/>
          <w:numId w:val="7"/>
        </w:numPr>
        <w:jc w:val="both"/>
        <w:rPr>
          <w:rFonts w:cstheme="minorHAnsi"/>
          <w:color w:val="000000" w:themeColor="text1"/>
        </w:rPr>
      </w:pPr>
      <w:r w:rsidRPr="00570027">
        <w:rPr>
          <w:rFonts w:cstheme="minorHAnsi"/>
          <w:color w:val="000000" w:themeColor="text1"/>
        </w:rPr>
        <w:t xml:space="preserve">Latter S (2021) Nurses and pharmacists are key to improving access to end of life medicines for people being cared for at home </w:t>
      </w:r>
      <w:r w:rsidRPr="00570027">
        <w:rPr>
          <w:rFonts w:cstheme="minorHAnsi"/>
          <w:i/>
          <w:iCs/>
          <w:color w:val="000000" w:themeColor="text1"/>
        </w:rPr>
        <w:t>Health and Social Care Services Research</w:t>
      </w:r>
      <w:r w:rsidRPr="00570027">
        <w:rPr>
          <w:rFonts w:cstheme="minorHAnsi"/>
          <w:color w:val="000000" w:themeColor="text1"/>
        </w:rPr>
        <w:t xml:space="preserve"> 15.06.21 evidence alert </w:t>
      </w:r>
      <w:r w:rsidRPr="00570027">
        <w:rPr>
          <w:rFonts w:cstheme="minorHAnsi"/>
          <w:color w:val="000000" w:themeColor="text1"/>
          <w:shd w:val="clear" w:color="auto" w:fill="FEFEFE"/>
        </w:rPr>
        <w:t>DOI: </w:t>
      </w:r>
      <w:hyperlink r:id="rId13" w:tgtFrame="_blank" w:history="1">
        <w:r w:rsidRPr="00570027">
          <w:rPr>
            <w:rStyle w:val="Hyperlink"/>
            <w:rFonts w:cstheme="minorHAnsi"/>
            <w:color w:val="000000" w:themeColor="text1"/>
            <w:shd w:val="clear" w:color="auto" w:fill="FEFEFE"/>
          </w:rPr>
          <w:t>10.3310/alert_46494</w:t>
        </w:r>
      </w:hyperlink>
    </w:p>
    <w:p w14:paraId="5A3BE891" w14:textId="77777777" w:rsidR="00465A5C" w:rsidRPr="00570027" w:rsidRDefault="00465A5C" w:rsidP="00465A5C">
      <w:pPr>
        <w:pStyle w:val="ListParagraph"/>
        <w:numPr>
          <w:ilvl w:val="0"/>
          <w:numId w:val="7"/>
        </w:numPr>
        <w:spacing w:after="120" w:line="256" w:lineRule="auto"/>
        <w:jc w:val="both"/>
        <w:rPr>
          <w:rFonts w:cstheme="minorHAnsi"/>
          <w:color w:val="000000" w:themeColor="text1"/>
        </w:rPr>
      </w:pPr>
      <w:r w:rsidRPr="00570027">
        <w:rPr>
          <w:rFonts w:cstheme="minorHAnsi"/>
          <w:color w:val="000000" w:themeColor="text1"/>
        </w:rPr>
        <w:t xml:space="preserve">Campling N, Breen L, Miller E, Birtwistle J, Richardson A, Bennett M &amp; Latter S (2022) Issues affecting supply of palliative medicines into community pharmacy: a qualitative study of community pharmacist and pharmaceutical wholesaler/distributor perspectives </w:t>
      </w:r>
      <w:r w:rsidRPr="00570027">
        <w:rPr>
          <w:rFonts w:cstheme="minorHAnsi"/>
          <w:i/>
          <w:iCs/>
          <w:color w:val="000000" w:themeColor="text1"/>
        </w:rPr>
        <w:t>Exploratory Research in Clinical and Social Pharmacy</w:t>
      </w:r>
      <w:r w:rsidRPr="00570027">
        <w:rPr>
          <w:rFonts w:cstheme="minorHAnsi"/>
          <w:color w:val="000000" w:themeColor="text1"/>
        </w:rPr>
        <w:t xml:space="preserve"> 6: 100132. DOI: </w:t>
      </w:r>
      <w:hyperlink r:id="rId14" w:tgtFrame="_blank" w:history="1">
        <w:r w:rsidRPr="00570027">
          <w:rPr>
            <w:rStyle w:val="Emphasis"/>
            <w:rFonts w:cstheme="minorHAnsi"/>
            <w:i w:val="0"/>
            <w:iCs w:val="0"/>
            <w:color w:val="000000" w:themeColor="text1"/>
          </w:rPr>
          <w:t>https://doi.org/10.1016/j.rcsop.2022.100132</w:t>
        </w:r>
      </w:hyperlink>
      <w:r w:rsidRPr="00570027">
        <w:rPr>
          <w:rFonts w:cstheme="minorHAnsi"/>
          <w:i/>
          <w:iCs/>
          <w:color w:val="000000" w:themeColor="text1"/>
        </w:rPr>
        <w:t>.</w:t>
      </w:r>
    </w:p>
    <w:p w14:paraId="5F8DEE8D" w14:textId="77777777" w:rsidR="00B337DB" w:rsidRDefault="00B337DB"/>
    <w:sectPr w:rsidR="00B337DB" w:rsidSect="00997071">
      <w:headerReference w:type="default" r:id="rId15"/>
      <w:footerReference w:type="defaul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CB36" w14:textId="77777777" w:rsidR="005C6D97" w:rsidRDefault="005C6D97" w:rsidP="00FF3EBD">
      <w:pPr>
        <w:spacing w:after="0" w:line="240" w:lineRule="auto"/>
      </w:pPr>
      <w:r>
        <w:separator/>
      </w:r>
    </w:p>
  </w:endnote>
  <w:endnote w:type="continuationSeparator" w:id="0">
    <w:p w14:paraId="45C5A14F" w14:textId="77777777" w:rsidR="005C6D97" w:rsidRDefault="005C6D97" w:rsidP="00FF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BFDE" w14:textId="50DFDA05" w:rsidR="00AB614C" w:rsidRPr="00F867EF" w:rsidRDefault="00AB614C" w:rsidP="00AB614C">
    <w:pPr>
      <w:autoSpaceDE w:val="0"/>
      <w:autoSpaceDN w:val="0"/>
      <w:adjustRightInd w:val="0"/>
      <w:jc w:val="both"/>
      <w:rPr>
        <w:rFonts w:cstheme="minorHAnsi"/>
      </w:rPr>
    </w:pPr>
    <w:r w:rsidRPr="00AC76C3">
      <w:rPr>
        <w:rFonts w:cstheme="minorHAnsi"/>
        <w:b/>
        <w:bCs/>
      </w:rPr>
      <w:t xml:space="preserve">Citation: </w:t>
    </w:r>
    <w:r w:rsidR="00715275" w:rsidRPr="00AC76C3">
      <w:rPr>
        <w:rFonts w:cstheme="minorHAnsi"/>
      </w:rPr>
      <w:t xml:space="preserve">Campling N </w:t>
    </w:r>
    <w:r w:rsidR="00715275">
      <w:rPr>
        <w:rFonts w:cstheme="minorHAnsi"/>
      </w:rPr>
      <w:t xml:space="preserve">and </w:t>
    </w:r>
    <w:r w:rsidRPr="00AC76C3">
      <w:rPr>
        <w:rFonts w:cstheme="minorHAnsi"/>
      </w:rPr>
      <w:t>Latter S (202</w:t>
    </w:r>
    <w:r>
      <w:rPr>
        <w:rFonts w:cstheme="minorHAnsi"/>
      </w:rPr>
      <w:t>2</w:t>
    </w:r>
    <w:r w:rsidRPr="00AC76C3">
      <w:rPr>
        <w:rFonts w:cstheme="minorHAnsi"/>
      </w:rPr>
      <w:t xml:space="preserve">) A Response to: </w:t>
    </w:r>
    <w:r>
      <w:rPr>
        <w:rFonts w:cstheme="minorHAnsi"/>
      </w:rPr>
      <w:t>Assisted Dying/Suicide</w:t>
    </w:r>
    <w:r w:rsidRPr="00AC76C3">
      <w:rPr>
        <w:rFonts w:cstheme="minorHAnsi"/>
      </w:rPr>
      <w:t xml:space="preserve"> - a call for evidence from the Health and Social Care Committee</w:t>
    </w:r>
    <w:r>
      <w:rPr>
        <w:rFonts w:cstheme="minorHAnsi"/>
      </w:rPr>
      <w:t>.</w:t>
    </w:r>
  </w:p>
  <w:p w14:paraId="27DF25B4" w14:textId="77777777" w:rsidR="00AB614C" w:rsidRDefault="00AB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0706" w14:textId="77777777" w:rsidR="005C6D97" w:rsidRDefault="005C6D97" w:rsidP="00FF3EBD">
      <w:pPr>
        <w:spacing w:after="0" w:line="240" w:lineRule="auto"/>
      </w:pPr>
      <w:r>
        <w:separator/>
      </w:r>
    </w:p>
  </w:footnote>
  <w:footnote w:type="continuationSeparator" w:id="0">
    <w:p w14:paraId="5591032F" w14:textId="77777777" w:rsidR="005C6D97" w:rsidRDefault="005C6D97" w:rsidP="00FF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053B" w14:textId="7F45B7EE" w:rsidR="00FF3EBD" w:rsidRDefault="00FF3EBD">
    <w:pPr>
      <w:pStyle w:val="Header"/>
    </w:pPr>
    <w:r>
      <w:t>Call for evidence – Health and Social Care Committee – Assisted dying/suicide 20.1.23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54C"/>
    <w:multiLevelType w:val="hybridMultilevel"/>
    <w:tmpl w:val="C3760C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653DA4"/>
    <w:multiLevelType w:val="hybridMultilevel"/>
    <w:tmpl w:val="04D6C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C126C7"/>
    <w:multiLevelType w:val="hybridMultilevel"/>
    <w:tmpl w:val="B302F182"/>
    <w:lvl w:ilvl="0" w:tplc="BAA61C0A">
      <w:start w:val="1"/>
      <w:numFmt w:val="bullet"/>
      <w:lvlText w:val="•"/>
      <w:lvlJc w:val="left"/>
      <w:pPr>
        <w:tabs>
          <w:tab w:val="num" w:pos="720"/>
        </w:tabs>
        <w:ind w:left="720" w:hanging="360"/>
      </w:pPr>
      <w:rPr>
        <w:rFonts w:ascii="Arial" w:hAnsi="Arial" w:hint="default"/>
      </w:rPr>
    </w:lvl>
    <w:lvl w:ilvl="1" w:tplc="1B26F93A" w:tentative="1">
      <w:start w:val="1"/>
      <w:numFmt w:val="bullet"/>
      <w:lvlText w:val="•"/>
      <w:lvlJc w:val="left"/>
      <w:pPr>
        <w:tabs>
          <w:tab w:val="num" w:pos="1440"/>
        </w:tabs>
        <w:ind w:left="1440" w:hanging="360"/>
      </w:pPr>
      <w:rPr>
        <w:rFonts w:ascii="Arial" w:hAnsi="Arial" w:hint="default"/>
      </w:rPr>
    </w:lvl>
    <w:lvl w:ilvl="2" w:tplc="C80E40F6">
      <w:numFmt w:val="bullet"/>
      <w:lvlText w:val="•"/>
      <w:lvlJc w:val="left"/>
      <w:pPr>
        <w:tabs>
          <w:tab w:val="num" w:pos="2160"/>
        </w:tabs>
        <w:ind w:left="2160" w:hanging="360"/>
      </w:pPr>
      <w:rPr>
        <w:rFonts w:ascii="Arial" w:hAnsi="Arial" w:hint="default"/>
      </w:rPr>
    </w:lvl>
    <w:lvl w:ilvl="3" w:tplc="A4B4FA14" w:tentative="1">
      <w:start w:val="1"/>
      <w:numFmt w:val="bullet"/>
      <w:lvlText w:val="•"/>
      <w:lvlJc w:val="left"/>
      <w:pPr>
        <w:tabs>
          <w:tab w:val="num" w:pos="2880"/>
        </w:tabs>
        <w:ind w:left="2880" w:hanging="360"/>
      </w:pPr>
      <w:rPr>
        <w:rFonts w:ascii="Arial" w:hAnsi="Arial" w:hint="default"/>
      </w:rPr>
    </w:lvl>
    <w:lvl w:ilvl="4" w:tplc="82ECF856" w:tentative="1">
      <w:start w:val="1"/>
      <w:numFmt w:val="bullet"/>
      <w:lvlText w:val="•"/>
      <w:lvlJc w:val="left"/>
      <w:pPr>
        <w:tabs>
          <w:tab w:val="num" w:pos="3600"/>
        </w:tabs>
        <w:ind w:left="3600" w:hanging="360"/>
      </w:pPr>
      <w:rPr>
        <w:rFonts w:ascii="Arial" w:hAnsi="Arial" w:hint="default"/>
      </w:rPr>
    </w:lvl>
    <w:lvl w:ilvl="5" w:tplc="C450AB9A" w:tentative="1">
      <w:start w:val="1"/>
      <w:numFmt w:val="bullet"/>
      <w:lvlText w:val="•"/>
      <w:lvlJc w:val="left"/>
      <w:pPr>
        <w:tabs>
          <w:tab w:val="num" w:pos="4320"/>
        </w:tabs>
        <w:ind w:left="4320" w:hanging="360"/>
      </w:pPr>
      <w:rPr>
        <w:rFonts w:ascii="Arial" w:hAnsi="Arial" w:hint="default"/>
      </w:rPr>
    </w:lvl>
    <w:lvl w:ilvl="6" w:tplc="CADA9EDE" w:tentative="1">
      <w:start w:val="1"/>
      <w:numFmt w:val="bullet"/>
      <w:lvlText w:val="•"/>
      <w:lvlJc w:val="left"/>
      <w:pPr>
        <w:tabs>
          <w:tab w:val="num" w:pos="5040"/>
        </w:tabs>
        <w:ind w:left="5040" w:hanging="360"/>
      </w:pPr>
      <w:rPr>
        <w:rFonts w:ascii="Arial" w:hAnsi="Arial" w:hint="default"/>
      </w:rPr>
    </w:lvl>
    <w:lvl w:ilvl="7" w:tplc="290E7506" w:tentative="1">
      <w:start w:val="1"/>
      <w:numFmt w:val="bullet"/>
      <w:lvlText w:val="•"/>
      <w:lvlJc w:val="left"/>
      <w:pPr>
        <w:tabs>
          <w:tab w:val="num" w:pos="5760"/>
        </w:tabs>
        <w:ind w:left="5760" w:hanging="360"/>
      </w:pPr>
      <w:rPr>
        <w:rFonts w:ascii="Arial" w:hAnsi="Arial" w:hint="default"/>
      </w:rPr>
    </w:lvl>
    <w:lvl w:ilvl="8" w:tplc="E59877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B51439"/>
    <w:multiLevelType w:val="hybridMultilevel"/>
    <w:tmpl w:val="1924D216"/>
    <w:lvl w:ilvl="0" w:tplc="41745DC0">
      <w:start w:val="1"/>
      <w:numFmt w:val="bullet"/>
      <w:lvlText w:val="•"/>
      <w:lvlJc w:val="left"/>
      <w:pPr>
        <w:tabs>
          <w:tab w:val="num" w:pos="720"/>
        </w:tabs>
        <w:ind w:left="720" w:hanging="360"/>
      </w:pPr>
      <w:rPr>
        <w:rFonts w:ascii="Arial" w:hAnsi="Arial" w:hint="default"/>
      </w:rPr>
    </w:lvl>
    <w:lvl w:ilvl="1" w:tplc="2894FBE0" w:tentative="1">
      <w:start w:val="1"/>
      <w:numFmt w:val="bullet"/>
      <w:lvlText w:val="•"/>
      <w:lvlJc w:val="left"/>
      <w:pPr>
        <w:tabs>
          <w:tab w:val="num" w:pos="1440"/>
        </w:tabs>
        <w:ind w:left="1440" w:hanging="360"/>
      </w:pPr>
      <w:rPr>
        <w:rFonts w:ascii="Arial" w:hAnsi="Arial" w:hint="default"/>
      </w:rPr>
    </w:lvl>
    <w:lvl w:ilvl="2" w:tplc="506CBA60" w:tentative="1">
      <w:start w:val="1"/>
      <w:numFmt w:val="bullet"/>
      <w:lvlText w:val="•"/>
      <w:lvlJc w:val="left"/>
      <w:pPr>
        <w:tabs>
          <w:tab w:val="num" w:pos="2160"/>
        </w:tabs>
        <w:ind w:left="2160" w:hanging="360"/>
      </w:pPr>
      <w:rPr>
        <w:rFonts w:ascii="Arial" w:hAnsi="Arial" w:hint="default"/>
      </w:rPr>
    </w:lvl>
    <w:lvl w:ilvl="3" w:tplc="AB8A7DFC" w:tentative="1">
      <w:start w:val="1"/>
      <w:numFmt w:val="bullet"/>
      <w:lvlText w:val="•"/>
      <w:lvlJc w:val="left"/>
      <w:pPr>
        <w:tabs>
          <w:tab w:val="num" w:pos="2880"/>
        </w:tabs>
        <w:ind w:left="2880" w:hanging="360"/>
      </w:pPr>
      <w:rPr>
        <w:rFonts w:ascii="Arial" w:hAnsi="Arial" w:hint="default"/>
      </w:rPr>
    </w:lvl>
    <w:lvl w:ilvl="4" w:tplc="AF2CC50A" w:tentative="1">
      <w:start w:val="1"/>
      <w:numFmt w:val="bullet"/>
      <w:lvlText w:val="•"/>
      <w:lvlJc w:val="left"/>
      <w:pPr>
        <w:tabs>
          <w:tab w:val="num" w:pos="3600"/>
        </w:tabs>
        <w:ind w:left="3600" w:hanging="360"/>
      </w:pPr>
      <w:rPr>
        <w:rFonts w:ascii="Arial" w:hAnsi="Arial" w:hint="default"/>
      </w:rPr>
    </w:lvl>
    <w:lvl w:ilvl="5" w:tplc="9C481052" w:tentative="1">
      <w:start w:val="1"/>
      <w:numFmt w:val="bullet"/>
      <w:lvlText w:val="•"/>
      <w:lvlJc w:val="left"/>
      <w:pPr>
        <w:tabs>
          <w:tab w:val="num" w:pos="4320"/>
        </w:tabs>
        <w:ind w:left="4320" w:hanging="360"/>
      </w:pPr>
      <w:rPr>
        <w:rFonts w:ascii="Arial" w:hAnsi="Arial" w:hint="default"/>
      </w:rPr>
    </w:lvl>
    <w:lvl w:ilvl="6" w:tplc="69D47E94" w:tentative="1">
      <w:start w:val="1"/>
      <w:numFmt w:val="bullet"/>
      <w:lvlText w:val="•"/>
      <w:lvlJc w:val="left"/>
      <w:pPr>
        <w:tabs>
          <w:tab w:val="num" w:pos="5040"/>
        </w:tabs>
        <w:ind w:left="5040" w:hanging="360"/>
      </w:pPr>
      <w:rPr>
        <w:rFonts w:ascii="Arial" w:hAnsi="Arial" w:hint="default"/>
      </w:rPr>
    </w:lvl>
    <w:lvl w:ilvl="7" w:tplc="54B40AF0" w:tentative="1">
      <w:start w:val="1"/>
      <w:numFmt w:val="bullet"/>
      <w:lvlText w:val="•"/>
      <w:lvlJc w:val="left"/>
      <w:pPr>
        <w:tabs>
          <w:tab w:val="num" w:pos="5760"/>
        </w:tabs>
        <w:ind w:left="5760" w:hanging="360"/>
      </w:pPr>
      <w:rPr>
        <w:rFonts w:ascii="Arial" w:hAnsi="Arial" w:hint="default"/>
      </w:rPr>
    </w:lvl>
    <w:lvl w:ilvl="8" w:tplc="D9E6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64094"/>
    <w:multiLevelType w:val="hybridMultilevel"/>
    <w:tmpl w:val="79D459BE"/>
    <w:lvl w:ilvl="0" w:tplc="5B5C73B0">
      <w:start w:val="1"/>
      <w:numFmt w:val="bullet"/>
      <w:lvlText w:val="•"/>
      <w:lvlJc w:val="left"/>
      <w:pPr>
        <w:tabs>
          <w:tab w:val="num" w:pos="720"/>
        </w:tabs>
        <w:ind w:left="720" w:hanging="360"/>
      </w:pPr>
      <w:rPr>
        <w:rFonts w:ascii="Arial" w:hAnsi="Arial" w:hint="default"/>
      </w:rPr>
    </w:lvl>
    <w:lvl w:ilvl="1" w:tplc="B336D238" w:tentative="1">
      <w:start w:val="1"/>
      <w:numFmt w:val="bullet"/>
      <w:lvlText w:val="•"/>
      <w:lvlJc w:val="left"/>
      <w:pPr>
        <w:tabs>
          <w:tab w:val="num" w:pos="1440"/>
        </w:tabs>
        <w:ind w:left="1440" w:hanging="360"/>
      </w:pPr>
      <w:rPr>
        <w:rFonts w:ascii="Arial" w:hAnsi="Arial" w:hint="default"/>
      </w:rPr>
    </w:lvl>
    <w:lvl w:ilvl="2" w:tplc="35DCBD16" w:tentative="1">
      <w:start w:val="1"/>
      <w:numFmt w:val="bullet"/>
      <w:lvlText w:val="•"/>
      <w:lvlJc w:val="left"/>
      <w:pPr>
        <w:tabs>
          <w:tab w:val="num" w:pos="2160"/>
        </w:tabs>
        <w:ind w:left="2160" w:hanging="360"/>
      </w:pPr>
      <w:rPr>
        <w:rFonts w:ascii="Arial" w:hAnsi="Arial" w:hint="default"/>
      </w:rPr>
    </w:lvl>
    <w:lvl w:ilvl="3" w:tplc="788AD0A6" w:tentative="1">
      <w:start w:val="1"/>
      <w:numFmt w:val="bullet"/>
      <w:lvlText w:val="•"/>
      <w:lvlJc w:val="left"/>
      <w:pPr>
        <w:tabs>
          <w:tab w:val="num" w:pos="2880"/>
        </w:tabs>
        <w:ind w:left="2880" w:hanging="360"/>
      </w:pPr>
      <w:rPr>
        <w:rFonts w:ascii="Arial" w:hAnsi="Arial" w:hint="default"/>
      </w:rPr>
    </w:lvl>
    <w:lvl w:ilvl="4" w:tplc="13842A66" w:tentative="1">
      <w:start w:val="1"/>
      <w:numFmt w:val="bullet"/>
      <w:lvlText w:val="•"/>
      <w:lvlJc w:val="left"/>
      <w:pPr>
        <w:tabs>
          <w:tab w:val="num" w:pos="3600"/>
        </w:tabs>
        <w:ind w:left="3600" w:hanging="360"/>
      </w:pPr>
      <w:rPr>
        <w:rFonts w:ascii="Arial" w:hAnsi="Arial" w:hint="default"/>
      </w:rPr>
    </w:lvl>
    <w:lvl w:ilvl="5" w:tplc="11E279C6" w:tentative="1">
      <w:start w:val="1"/>
      <w:numFmt w:val="bullet"/>
      <w:lvlText w:val="•"/>
      <w:lvlJc w:val="left"/>
      <w:pPr>
        <w:tabs>
          <w:tab w:val="num" w:pos="4320"/>
        </w:tabs>
        <w:ind w:left="4320" w:hanging="360"/>
      </w:pPr>
      <w:rPr>
        <w:rFonts w:ascii="Arial" w:hAnsi="Arial" w:hint="default"/>
      </w:rPr>
    </w:lvl>
    <w:lvl w:ilvl="6" w:tplc="076AB448" w:tentative="1">
      <w:start w:val="1"/>
      <w:numFmt w:val="bullet"/>
      <w:lvlText w:val="•"/>
      <w:lvlJc w:val="left"/>
      <w:pPr>
        <w:tabs>
          <w:tab w:val="num" w:pos="5040"/>
        </w:tabs>
        <w:ind w:left="5040" w:hanging="360"/>
      </w:pPr>
      <w:rPr>
        <w:rFonts w:ascii="Arial" w:hAnsi="Arial" w:hint="default"/>
      </w:rPr>
    </w:lvl>
    <w:lvl w:ilvl="7" w:tplc="A934BF32" w:tentative="1">
      <w:start w:val="1"/>
      <w:numFmt w:val="bullet"/>
      <w:lvlText w:val="•"/>
      <w:lvlJc w:val="left"/>
      <w:pPr>
        <w:tabs>
          <w:tab w:val="num" w:pos="5760"/>
        </w:tabs>
        <w:ind w:left="5760" w:hanging="360"/>
      </w:pPr>
      <w:rPr>
        <w:rFonts w:ascii="Arial" w:hAnsi="Arial" w:hint="default"/>
      </w:rPr>
    </w:lvl>
    <w:lvl w:ilvl="8" w:tplc="732029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306983"/>
    <w:multiLevelType w:val="hybridMultilevel"/>
    <w:tmpl w:val="32569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5F0081"/>
    <w:multiLevelType w:val="hybridMultilevel"/>
    <w:tmpl w:val="FA065450"/>
    <w:lvl w:ilvl="0" w:tplc="F4F02916">
      <w:start w:val="1"/>
      <w:numFmt w:val="bullet"/>
      <w:lvlText w:val="•"/>
      <w:lvlJc w:val="left"/>
      <w:pPr>
        <w:tabs>
          <w:tab w:val="num" w:pos="720"/>
        </w:tabs>
        <w:ind w:left="720" w:hanging="360"/>
      </w:pPr>
      <w:rPr>
        <w:rFonts w:ascii="Arial" w:hAnsi="Arial" w:hint="default"/>
      </w:rPr>
    </w:lvl>
    <w:lvl w:ilvl="1" w:tplc="8910ACBA" w:tentative="1">
      <w:start w:val="1"/>
      <w:numFmt w:val="bullet"/>
      <w:lvlText w:val="•"/>
      <w:lvlJc w:val="left"/>
      <w:pPr>
        <w:tabs>
          <w:tab w:val="num" w:pos="1440"/>
        </w:tabs>
        <w:ind w:left="1440" w:hanging="360"/>
      </w:pPr>
      <w:rPr>
        <w:rFonts w:ascii="Arial" w:hAnsi="Arial" w:hint="default"/>
      </w:rPr>
    </w:lvl>
    <w:lvl w:ilvl="2" w:tplc="F3D8260C" w:tentative="1">
      <w:start w:val="1"/>
      <w:numFmt w:val="bullet"/>
      <w:lvlText w:val="•"/>
      <w:lvlJc w:val="left"/>
      <w:pPr>
        <w:tabs>
          <w:tab w:val="num" w:pos="2160"/>
        </w:tabs>
        <w:ind w:left="2160" w:hanging="360"/>
      </w:pPr>
      <w:rPr>
        <w:rFonts w:ascii="Arial" w:hAnsi="Arial" w:hint="default"/>
      </w:rPr>
    </w:lvl>
    <w:lvl w:ilvl="3" w:tplc="102835DA" w:tentative="1">
      <w:start w:val="1"/>
      <w:numFmt w:val="bullet"/>
      <w:lvlText w:val="•"/>
      <w:lvlJc w:val="left"/>
      <w:pPr>
        <w:tabs>
          <w:tab w:val="num" w:pos="2880"/>
        </w:tabs>
        <w:ind w:left="2880" w:hanging="360"/>
      </w:pPr>
      <w:rPr>
        <w:rFonts w:ascii="Arial" w:hAnsi="Arial" w:hint="default"/>
      </w:rPr>
    </w:lvl>
    <w:lvl w:ilvl="4" w:tplc="6C62857C" w:tentative="1">
      <w:start w:val="1"/>
      <w:numFmt w:val="bullet"/>
      <w:lvlText w:val="•"/>
      <w:lvlJc w:val="left"/>
      <w:pPr>
        <w:tabs>
          <w:tab w:val="num" w:pos="3600"/>
        </w:tabs>
        <w:ind w:left="3600" w:hanging="360"/>
      </w:pPr>
      <w:rPr>
        <w:rFonts w:ascii="Arial" w:hAnsi="Arial" w:hint="default"/>
      </w:rPr>
    </w:lvl>
    <w:lvl w:ilvl="5" w:tplc="6936D9AC" w:tentative="1">
      <w:start w:val="1"/>
      <w:numFmt w:val="bullet"/>
      <w:lvlText w:val="•"/>
      <w:lvlJc w:val="left"/>
      <w:pPr>
        <w:tabs>
          <w:tab w:val="num" w:pos="4320"/>
        </w:tabs>
        <w:ind w:left="4320" w:hanging="360"/>
      </w:pPr>
      <w:rPr>
        <w:rFonts w:ascii="Arial" w:hAnsi="Arial" w:hint="default"/>
      </w:rPr>
    </w:lvl>
    <w:lvl w:ilvl="6" w:tplc="245E704E" w:tentative="1">
      <w:start w:val="1"/>
      <w:numFmt w:val="bullet"/>
      <w:lvlText w:val="•"/>
      <w:lvlJc w:val="left"/>
      <w:pPr>
        <w:tabs>
          <w:tab w:val="num" w:pos="5040"/>
        </w:tabs>
        <w:ind w:left="5040" w:hanging="360"/>
      </w:pPr>
      <w:rPr>
        <w:rFonts w:ascii="Arial" w:hAnsi="Arial" w:hint="default"/>
      </w:rPr>
    </w:lvl>
    <w:lvl w:ilvl="7" w:tplc="FE6C2654" w:tentative="1">
      <w:start w:val="1"/>
      <w:numFmt w:val="bullet"/>
      <w:lvlText w:val="•"/>
      <w:lvlJc w:val="left"/>
      <w:pPr>
        <w:tabs>
          <w:tab w:val="num" w:pos="5760"/>
        </w:tabs>
        <w:ind w:left="5760" w:hanging="360"/>
      </w:pPr>
      <w:rPr>
        <w:rFonts w:ascii="Arial" w:hAnsi="Arial" w:hint="default"/>
      </w:rPr>
    </w:lvl>
    <w:lvl w:ilvl="8" w:tplc="D21C00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BD4798"/>
    <w:multiLevelType w:val="hybridMultilevel"/>
    <w:tmpl w:val="B9E8977E"/>
    <w:lvl w:ilvl="0" w:tplc="2FF08D0C">
      <w:start w:val="1"/>
      <w:numFmt w:val="bullet"/>
      <w:lvlText w:val="•"/>
      <w:lvlJc w:val="left"/>
      <w:pPr>
        <w:tabs>
          <w:tab w:val="num" w:pos="720"/>
        </w:tabs>
        <w:ind w:left="720" w:hanging="360"/>
      </w:pPr>
      <w:rPr>
        <w:rFonts w:ascii="Times New Roman" w:hAnsi="Times New Roman" w:hint="default"/>
      </w:rPr>
    </w:lvl>
    <w:lvl w:ilvl="1" w:tplc="88B0522A" w:tentative="1">
      <w:start w:val="1"/>
      <w:numFmt w:val="bullet"/>
      <w:lvlText w:val="•"/>
      <w:lvlJc w:val="left"/>
      <w:pPr>
        <w:tabs>
          <w:tab w:val="num" w:pos="1440"/>
        </w:tabs>
        <w:ind w:left="1440" w:hanging="360"/>
      </w:pPr>
      <w:rPr>
        <w:rFonts w:ascii="Times New Roman" w:hAnsi="Times New Roman" w:hint="default"/>
      </w:rPr>
    </w:lvl>
    <w:lvl w:ilvl="2" w:tplc="723AA53E" w:tentative="1">
      <w:start w:val="1"/>
      <w:numFmt w:val="bullet"/>
      <w:lvlText w:val="•"/>
      <w:lvlJc w:val="left"/>
      <w:pPr>
        <w:tabs>
          <w:tab w:val="num" w:pos="2160"/>
        </w:tabs>
        <w:ind w:left="2160" w:hanging="360"/>
      </w:pPr>
      <w:rPr>
        <w:rFonts w:ascii="Times New Roman" w:hAnsi="Times New Roman" w:hint="default"/>
      </w:rPr>
    </w:lvl>
    <w:lvl w:ilvl="3" w:tplc="B6463208" w:tentative="1">
      <w:start w:val="1"/>
      <w:numFmt w:val="bullet"/>
      <w:lvlText w:val="•"/>
      <w:lvlJc w:val="left"/>
      <w:pPr>
        <w:tabs>
          <w:tab w:val="num" w:pos="2880"/>
        </w:tabs>
        <w:ind w:left="2880" w:hanging="360"/>
      </w:pPr>
      <w:rPr>
        <w:rFonts w:ascii="Times New Roman" w:hAnsi="Times New Roman" w:hint="default"/>
      </w:rPr>
    </w:lvl>
    <w:lvl w:ilvl="4" w:tplc="D5D6F4D0" w:tentative="1">
      <w:start w:val="1"/>
      <w:numFmt w:val="bullet"/>
      <w:lvlText w:val="•"/>
      <w:lvlJc w:val="left"/>
      <w:pPr>
        <w:tabs>
          <w:tab w:val="num" w:pos="3600"/>
        </w:tabs>
        <w:ind w:left="3600" w:hanging="360"/>
      </w:pPr>
      <w:rPr>
        <w:rFonts w:ascii="Times New Roman" w:hAnsi="Times New Roman" w:hint="default"/>
      </w:rPr>
    </w:lvl>
    <w:lvl w:ilvl="5" w:tplc="64C8D106" w:tentative="1">
      <w:start w:val="1"/>
      <w:numFmt w:val="bullet"/>
      <w:lvlText w:val="•"/>
      <w:lvlJc w:val="left"/>
      <w:pPr>
        <w:tabs>
          <w:tab w:val="num" w:pos="4320"/>
        </w:tabs>
        <w:ind w:left="4320" w:hanging="360"/>
      </w:pPr>
      <w:rPr>
        <w:rFonts w:ascii="Times New Roman" w:hAnsi="Times New Roman" w:hint="default"/>
      </w:rPr>
    </w:lvl>
    <w:lvl w:ilvl="6" w:tplc="4B380820" w:tentative="1">
      <w:start w:val="1"/>
      <w:numFmt w:val="bullet"/>
      <w:lvlText w:val="•"/>
      <w:lvlJc w:val="left"/>
      <w:pPr>
        <w:tabs>
          <w:tab w:val="num" w:pos="5040"/>
        </w:tabs>
        <w:ind w:left="5040" w:hanging="360"/>
      </w:pPr>
      <w:rPr>
        <w:rFonts w:ascii="Times New Roman" w:hAnsi="Times New Roman" w:hint="default"/>
      </w:rPr>
    </w:lvl>
    <w:lvl w:ilvl="7" w:tplc="FFC2621E" w:tentative="1">
      <w:start w:val="1"/>
      <w:numFmt w:val="bullet"/>
      <w:lvlText w:val="•"/>
      <w:lvlJc w:val="left"/>
      <w:pPr>
        <w:tabs>
          <w:tab w:val="num" w:pos="5760"/>
        </w:tabs>
        <w:ind w:left="5760" w:hanging="360"/>
      </w:pPr>
      <w:rPr>
        <w:rFonts w:ascii="Times New Roman" w:hAnsi="Times New Roman" w:hint="default"/>
      </w:rPr>
    </w:lvl>
    <w:lvl w:ilvl="8" w:tplc="76761EE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32D150F"/>
    <w:multiLevelType w:val="hybridMultilevel"/>
    <w:tmpl w:val="340407BE"/>
    <w:lvl w:ilvl="0" w:tplc="52B8B814">
      <w:start w:val="1"/>
      <w:numFmt w:val="bullet"/>
      <w:lvlText w:val=""/>
      <w:lvlJc w:val="left"/>
      <w:pPr>
        <w:tabs>
          <w:tab w:val="num" w:pos="720"/>
        </w:tabs>
        <w:ind w:left="720" w:hanging="360"/>
      </w:pPr>
      <w:rPr>
        <w:rFonts w:ascii="Wingdings" w:hAnsi="Wingdings" w:hint="default"/>
      </w:rPr>
    </w:lvl>
    <w:lvl w:ilvl="1" w:tplc="448AF582">
      <w:numFmt w:val="bullet"/>
      <w:lvlText w:val=""/>
      <w:lvlJc w:val="left"/>
      <w:pPr>
        <w:tabs>
          <w:tab w:val="num" w:pos="1440"/>
        </w:tabs>
        <w:ind w:left="1440" w:hanging="360"/>
      </w:pPr>
      <w:rPr>
        <w:rFonts w:ascii="Wingdings" w:hAnsi="Wingdings" w:hint="default"/>
      </w:rPr>
    </w:lvl>
    <w:lvl w:ilvl="2" w:tplc="31BAFCAA" w:tentative="1">
      <w:start w:val="1"/>
      <w:numFmt w:val="bullet"/>
      <w:lvlText w:val=""/>
      <w:lvlJc w:val="left"/>
      <w:pPr>
        <w:tabs>
          <w:tab w:val="num" w:pos="2160"/>
        </w:tabs>
        <w:ind w:left="2160" w:hanging="360"/>
      </w:pPr>
      <w:rPr>
        <w:rFonts w:ascii="Wingdings" w:hAnsi="Wingdings" w:hint="default"/>
      </w:rPr>
    </w:lvl>
    <w:lvl w:ilvl="3" w:tplc="900CB8AE" w:tentative="1">
      <w:start w:val="1"/>
      <w:numFmt w:val="bullet"/>
      <w:lvlText w:val=""/>
      <w:lvlJc w:val="left"/>
      <w:pPr>
        <w:tabs>
          <w:tab w:val="num" w:pos="2880"/>
        </w:tabs>
        <w:ind w:left="2880" w:hanging="360"/>
      </w:pPr>
      <w:rPr>
        <w:rFonts w:ascii="Wingdings" w:hAnsi="Wingdings" w:hint="default"/>
      </w:rPr>
    </w:lvl>
    <w:lvl w:ilvl="4" w:tplc="9D14AA38" w:tentative="1">
      <w:start w:val="1"/>
      <w:numFmt w:val="bullet"/>
      <w:lvlText w:val=""/>
      <w:lvlJc w:val="left"/>
      <w:pPr>
        <w:tabs>
          <w:tab w:val="num" w:pos="3600"/>
        </w:tabs>
        <w:ind w:left="3600" w:hanging="360"/>
      </w:pPr>
      <w:rPr>
        <w:rFonts w:ascii="Wingdings" w:hAnsi="Wingdings" w:hint="default"/>
      </w:rPr>
    </w:lvl>
    <w:lvl w:ilvl="5" w:tplc="B05A1E4E" w:tentative="1">
      <w:start w:val="1"/>
      <w:numFmt w:val="bullet"/>
      <w:lvlText w:val=""/>
      <w:lvlJc w:val="left"/>
      <w:pPr>
        <w:tabs>
          <w:tab w:val="num" w:pos="4320"/>
        </w:tabs>
        <w:ind w:left="4320" w:hanging="360"/>
      </w:pPr>
      <w:rPr>
        <w:rFonts w:ascii="Wingdings" w:hAnsi="Wingdings" w:hint="default"/>
      </w:rPr>
    </w:lvl>
    <w:lvl w:ilvl="6" w:tplc="F44EFA20" w:tentative="1">
      <w:start w:val="1"/>
      <w:numFmt w:val="bullet"/>
      <w:lvlText w:val=""/>
      <w:lvlJc w:val="left"/>
      <w:pPr>
        <w:tabs>
          <w:tab w:val="num" w:pos="5040"/>
        </w:tabs>
        <w:ind w:left="5040" w:hanging="360"/>
      </w:pPr>
      <w:rPr>
        <w:rFonts w:ascii="Wingdings" w:hAnsi="Wingdings" w:hint="default"/>
      </w:rPr>
    </w:lvl>
    <w:lvl w:ilvl="7" w:tplc="6AF252E2" w:tentative="1">
      <w:start w:val="1"/>
      <w:numFmt w:val="bullet"/>
      <w:lvlText w:val=""/>
      <w:lvlJc w:val="left"/>
      <w:pPr>
        <w:tabs>
          <w:tab w:val="num" w:pos="5760"/>
        </w:tabs>
        <w:ind w:left="5760" w:hanging="360"/>
      </w:pPr>
      <w:rPr>
        <w:rFonts w:ascii="Wingdings" w:hAnsi="Wingdings" w:hint="default"/>
      </w:rPr>
    </w:lvl>
    <w:lvl w:ilvl="8" w:tplc="07EAD87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32C76"/>
    <w:multiLevelType w:val="hybridMultilevel"/>
    <w:tmpl w:val="C89CC36E"/>
    <w:lvl w:ilvl="0" w:tplc="E7E2652E">
      <w:start w:val="1"/>
      <w:numFmt w:val="bullet"/>
      <w:lvlText w:val="•"/>
      <w:lvlJc w:val="left"/>
      <w:pPr>
        <w:tabs>
          <w:tab w:val="num" w:pos="720"/>
        </w:tabs>
        <w:ind w:left="720" w:hanging="360"/>
      </w:pPr>
      <w:rPr>
        <w:rFonts w:ascii="Arial" w:hAnsi="Arial" w:hint="default"/>
      </w:rPr>
    </w:lvl>
    <w:lvl w:ilvl="1" w:tplc="08505B3E" w:tentative="1">
      <w:start w:val="1"/>
      <w:numFmt w:val="bullet"/>
      <w:lvlText w:val="•"/>
      <w:lvlJc w:val="left"/>
      <w:pPr>
        <w:tabs>
          <w:tab w:val="num" w:pos="1440"/>
        </w:tabs>
        <w:ind w:left="1440" w:hanging="360"/>
      </w:pPr>
      <w:rPr>
        <w:rFonts w:ascii="Arial" w:hAnsi="Arial" w:hint="default"/>
      </w:rPr>
    </w:lvl>
    <w:lvl w:ilvl="2" w:tplc="BADC1860" w:tentative="1">
      <w:start w:val="1"/>
      <w:numFmt w:val="bullet"/>
      <w:lvlText w:val="•"/>
      <w:lvlJc w:val="left"/>
      <w:pPr>
        <w:tabs>
          <w:tab w:val="num" w:pos="2160"/>
        </w:tabs>
        <w:ind w:left="2160" w:hanging="360"/>
      </w:pPr>
      <w:rPr>
        <w:rFonts w:ascii="Arial" w:hAnsi="Arial" w:hint="default"/>
      </w:rPr>
    </w:lvl>
    <w:lvl w:ilvl="3" w:tplc="61A44680" w:tentative="1">
      <w:start w:val="1"/>
      <w:numFmt w:val="bullet"/>
      <w:lvlText w:val="•"/>
      <w:lvlJc w:val="left"/>
      <w:pPr>
        <w:tabs>
          <w:tab w:val="num" w:pos="2880"/>
        </w:tabs>
        <w:ind w:left="2880" w:hanging="360"/>
      </w:pPr>
      <w:rPr>
        <w:rFonts w:ascii="Arial" w:hAnsi="Arial" w:hint="default"/>
      </w:rPr>
    </w:lvl>
    <w:lvl w:ilvl="4" w:tplc="02DE5AD2" w:tentative="1">
      <w:start w:val="1"/>
      <w:numFmt w:val="bullet"/>
      <w:lvlText w:val="•"/>
      <w:lvlJc w:val="left"/>
      <w:pPr>
        <w:tabs>
          <w:tab w:val="num" w:pos="3600"/>
        </w:tabs>
        <w:ind w:left="3600" w:hanging="360"/>
      </w:pPr>
      <w:rPr>
        <w:rFonts w:ascii="Arial" w:hAnsi="Arial" w:hint="default"/>
      </w:rPr>
    </w:lvl>
    <w:lvl w:ilvl="5" w:tplc="C4AEC6B2" w:tentative="1">
      <w:start w:val="1"/>
      <w:numFmt w:val="bullet"/>
      <w:lvlText w:val="•"/>
      <w:lvlJc w:val="left"/>
      <w:pPr>
        <w:tabs>
          <w:tab w:val="num" w:pos="4320"/>
        </w:tabs>
        <w:ind w:left="4320" w:hanging="360"/>
      </w:pPr>
      <w:rPr>
        <w:rFonts w:ascii="Arial" w:hAnsi="Arial" w:hint="default"/>
      </w:rPr>
    </w:lvl>
    <w:lvl w:ilvl="6" w:tplc="16340F6C" w:tentative="1">
      <w:start w:val="1"/>
      <w:numFmt w:val="bullet"/>
      <w:lvlText w:val="•"/>
      <w:lvlJc w:val="left"/>
      <w:pPr>
        <w:tabs>
          <w:tab w:val="num" w:pos="5040"/>
        </w:tabs>
        <w:ind w:left="5040" w:hanging="360"/>
      </w:pPr>
      <w:rPr>
        <w:rFonts w:ascii="Arial" w:hAnsi="Arial" w:hint="default"/>
      </w:rPr>
    </w:lvl>
    <w:lvl w:ilvl="7" w:tplc="FC88728E" w:tentative="1">
      <w:start w:val="1"/>
      <w:numFmt w:val="bullet"/>
      <w:lvlText w:val="•"/>
      <w:lvlJc w:val="left"/>
      <w:pPr>
        <w:tabs>
          <w:tab w:val="num" w:pos="5760"/>
        </w:tabs>
        <w:ind w:left="5760" w:hanging="360"/>
      </w:pPr>
      <w:rPr>
        <w:rFonts w:ascii="Arial" w:hAnsi="Arial" w:hint="default"/>
      </w:rPr>
    </w:lvl>
    <w:lvl w:ilvl="8" w:tplc="2E840C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202232"/>
    <w:multiLevelType w:val="hybridMultilevel"/>
    <w:tmpl w:val="79A087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2C3315"/>
    <w:multiLevelType w:val="hybridMultilevel"/>
    <w:tmpl w:val="C4C0B1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AB5D1C"/>
    <w:multiLevelType w:val="hybridMultilevel"/>
    <w:tmpl w:val="84867612"/>
    <w:lvl w:ilvl="0" w:tplc="1332A686">
      <w:start w:val="1"/>
      <w:numFmt w:val="bullet"/>
      <w:lvlText w:val="•"/>
      <w:lvlJc w:val="left"/>
      <w:pPr>
        <w:tabs>
          <w:tab w:val="num" w:pos="720"/>
        </w:tabs>
        <w:ind w:left="720" w:hanging="360"/>
      </w:pPr>
      <w:rPr>
        <w:rFonts w:ascii="Arial" w:hAnsi="Arial" w:hint="default"/>
      </w:rPr>
    </w:lvl>
    <w:lvl w:ilvl="1" w:tplc="121AD386" w:tentative="1">
      <w:start w:val="1"/>
      <w:numFmt w:val="bullet"/>
      <w:lvlText w:val="•"/>
      <w:lvlJc w:val="left"/>
      <w:pPr>
        <w:tabs>
          <w:tab w:val="num" w:pos="1440"/>
        </w:tabs>
        <w:ind w:left="1440" w:hanging="360"/>
      </w:pPr>
      <w:rPr>
        <w:rFonts w:ascii="Arial" w:hAnsi="Arial" w:hint="default"/>
      </w:rPr>
    </w:lvl>
    <w:lvl w:ilvl="2" w:tplc="6C50BBCC" w:tentative="1">
      <w:start w:val="1"/>
      <w:numFmt w:val="bullet"/>
      <w:lvlText w:val="•"/>
      <w:lvlJc w:val="left"/>
      <w:pPr>
        <w:tabs>
          <w:tab w:val="num" w:pos="2160"/>
        </w:tabs>
        <w:ind w:left="2160" w:hanging="360"/>
      </w:pPr>
      <w:rPr>
        <w:rFonts w:ascii="Arial" w:hAnsi="Arial" w:hint="default"/>
      </w:rPr>
    </w:lvl>
    <w:lvl w:ilvl="3" w:tplc="0DC6D4C0" w:tentative="1">
      <w:start w:val="1"/>
      <w:numFmt w:val="bullet"/>
      <w:lvlText w:val="•"/>
      <w:lvlJc w:val="left"/>
      <w:pPr>
        <w:tabs>
          <w:tab w:val="num" w:pos="2880"/>
        </w:tabs>
        <w:ind w:left="2880" w:hanging="360"/>
      </w:pPr>
      <w:rPr>
        <w:rFonts w:ascii="Arial" w:hAnsi="Arial" w:hint="default"/>
      </w:rPr>
    </w:lvl>
    <w:lvl w:ilvl="4" w:tplc="88E2C90E" w:tentative="1">
      <w:start w:val="1"/>
      <w:numFmt w:val="bullet"/>
      <w:lvlText w:val="•"/>
      <w:lvlJc w:val="left"/>
      <w:pPr>
        <w:tabs>
          <w:tab w:val="num" w:pos="3600"/>
        </w:tabs>
        <w:ind w:left="3600" w:hanging="360"/>
      </w:pPr>
      <w:rPr>
        <w:rFonts w:ascii="Arial" w:hAnsi="Arial" w:hint="default"/>
      </w:rPr>
    </w:lvl>
    <w:lvl w:ilvl="5" w:tplc="AE6A8F38" w:tentative="1">
      <w:start w:val="1"/>
      <w:numFmt w:val="bullet"/>
      <w:lvlText w:val="•"/>
      <w:lvlJc w:val="left"/>
      <w:pPr>
        <w:tabs>
          <w:tab w:val="num" w:pos="4320"/>
        </w:tabs>
        <w:ind w:left="4320" w:hanging="360"/>
      </w:pPr>
      <w:rPr>
        <w:rFonts w:ascii="Arial" w:hAnsi="Arial" w:hint="default"/>
      </w:rPr>
    </w:lvl>
    <w:lvl w:ilvl="6" w:tplc="BE80C30E" w:tentative="1">
      <w:start w:val="1"/>
      <w:numFmt w:val="bullet"/>
      <w:lvlText w:val="•"/>
      <w:lvlJc w:val="left"/>
      <w:pPr>
        <w:tabs>
          <w:tab w:val="num" w:pos="5040"/>
        </w:tabs>
        <w:ind w:left="5040" w:hanging="360"/>
      </w:pPr>
      <w:rPr>
        <w:rFonts w:ascii="Arial" w:hAnsi="Arial" w:hint="default"/>
      </w:rPr>
    </w:lvl>
    <w:lvl w:ilvl="7" w:tplc="67465C44" w:tentative="1">
      <w:start w:val="1"/>
      <w:numFmt w:val="bullet"/>
      <w:lvlText w:val="•"/>
      <w:lvlJc w:val="left"/>
      <w:pPr>
        <w:tabs>
          <w:tab w:val="num" w:pos="5760"/>
        </w:tabs>
        <w:ind w:left="5760" w:hanging="360"/>
      </w:pPr>
      <w:rPr>
        <w:rFonts w:ascii="Arial" w:hAnsi="Arial" w:hint="default"/>
      </w:rPr>
    </w:lvl>
    <w:lvl w:ilvl="8" w:tplc="F5DED2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CF49D2"/>
    <w:multiLevelType w:val="hybridMultilevel"/>
    <w:tmpl w:val="88D00EE6"/>
    <w:lvl w:ilvl="0" w:tplc="E842D698">
      <w:start w:val="1"/>
      <w:numFmt w:val="bullet"/>
      <w:lvlText w:val="•"/>
      <w:lvlJc w:val="left"/>
      <w:pPr>
        <w:tabs>
          <w:tab w:val="num" w:pos="360"/>
        </w:tabs>
        <w:ind w:left="360" w:hanging="360"/>
      </w:pPr>
      <w:rPr>
        <w:rFonts w:ascii="Times New Roman" w:hAnsi="Times New Roman" w:hint="default"/>
      </w:rPr>
    </w:lvl>
    <w:lvl w:ilvl="1" w:tplc="479A721E" w:tentative="1">
      <w:start w:val="1"/>
      <w:numFmt w:val="bullet"/>
      <w:lvlText w:val="•"/>
      <w:lvlJc w:val="left"/>
      <w:pPr>
        <w:tabs>
          <w:tab w:val="num" w:pos="1080"/>
        </w:tabs>
        <w:ind w:left="1080" w:hanging="360"/>
      </w:pPr>
      <w:rPr>
        <w:rFonts w:ascii="Times New Roman" w:hAnsi="Times New Roman" w:hint="default"/>
      </w:rPr>
    </w:lvl>
    <w:lvl w:ilvl="2" w:tplc="828A5EC8" w:tentative="1">
      <w:start w:val="1"/>
      <w:numFmt w:val="bullet"/>
      <w:lvlText w:val="•"/>
      <w:lvlJc w:val="left"/>
      <w:pPr>
        <w:tabs>
          <w:tab w:val="num" w:pos="1800"/>
        </w:tabs>
        <w:ind w:left="1800" w:hanging="360"/>
      </w:pPr>
      <w:rPr>
        <w:rFonts w:ascii="Times New Roman" w:hAnsi="Times New Roman" w:hint="default"/>
      </w:rPr>
    </w:lvl>
    <w:lvl w:ilvl="3" w:tplc="AB661080" w:tentative="1">
      <w:start w:val="1"/>
      <w:numFmt w:val="bullet"/>
      <w:lvlText w:val="•"/>
      <w:lvlJc w:val="left"/>
      <w:pPr>
        <w:tabs>
          <w:tab w:val="num" w:pos="2520"/>
        </w:tabs>
        <w:ind w:left="2520" w:hanging="360"/>
      </w:pPr>
      <w:rPr>
        <w:rFonts w:ascii="Times New Roman" w:hAnsi="Times New Roman" w:hint="default"/>
      </w:rPr>
    </w:lvl>
    <w:lvl w:ilvl="4" w:tplc="5190877E" w:tentative="1">
      <w:start w:val="1"/>
      <w:numFmt w:val="bullet"/>
      <w:lvlText w:val="•"/>
      <w:lvlJc w:val="left"/>
      <w:pPr>
        <w:tabs>
          <w:tab w:val="num" w:pos="3240"/>
        </w:tabs>
        <w:ind w:left="3240" w:hanging="360"/>
      </w:pPr>
      <w:rPr>
        <w:rFonts w:ascii="Times New Roman" w:hAnsi="Times New Roman" w:hint="default"/>
      </w:rPr>
    </w:lvl>
    <w:lvl w:ilvl="5" w:tplc="699627B0" w:tentative="1">
      <w:start w:val="1"/>
      <w:numFmt w:val="bullet"/>
      <w:lvlText w:val="•"/>
      <w:lvlJc w:val="left"/>
      <w:pPr>
        <w:tabs>
          <w:tab w:val="num" w:pos="3960"/>
        </w:tabs>
        <w:ind w:left="3960" w:hanging="360"/>
      </w:pPr>
      <w:rPr>
        <w:rFonts w:ascii="Times New Roman" w:hAnsi="Times New Roman" w:hint="default"/>
      </w:rPr>
    </w:lvl>
    <w:lvl w:ilvl="6" w:tplc="06A8BA66" w:tentative="1">
      <w:start w:val="1"/>
      <w:numFmt w:val="bullet"/>
      <w:lvlText w:val="•"/>
      <w:lvlJc w:val="left"/>
      <w:pPr>
        <w:tabs>
          <w:tab w:val="num" w:pos="4680"/>
        </w:tabs>
        <w:ind w:left="4680" w:hanging="360"/>
      </w:pPr>
      <w:rPr>
        <w:rFonts w:ascii="Times New Roman" w:hAnsi="Times New Roman" w:hint="default"/>
      </w:rPr>
    </w:lvl>
    <w:lvl w:ilvl="7" w:tplc="6E6219B8" w:tentative="1">
      <w:start w:val="1"/>
      <w:numFmt w:val="bullet"/>
      <w:lvlText w:val="•"/>
      <w:lvlJc w:val="left"/>
      <w:pPr>
        <w:tabs>
          <w:tab w:val="num" w:pos="5400"/>
        </w:tabs>
        <w:ind w:left="5400" w:hanging="360"/>
      </w:pPr>
      <w:rPr>
        <w:rFonts w:ascii="Times New Roman" w:hAnsi="Times New Roman" w:hint="default"/>
      </w:rPr>
    </w:lvl>
    <w:lvl w:ilvl="8" w:tplc="0E5091F6"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64B65F9A"/>
    <w:multiLevelType w:val="hybridMultilevel"/>
    <w:tmpl w:val="BBC0266C"/>
    <w:lvl w:ilvl="0" w:tplc="79B6A62E">
      <w:start w:val="1"/>
      <w:numFmt w:val="bullet"/>
      <w:lvlText w:val=""/>
      <w:lvlJc w:val="left"/>
      <w:pPr>
        <w:tabs>
          <w:tab w:val="num" w:pos="720"/>
        </w:tabs>
        <w:ind w:left="720" w:hanging="360"/>
      </w:pPr>
      <w:rPr>
        <w:rFonts w:ascii="Wingdings" w:hAnsi="Wingdings" w:hint="default"/>
      </w:rPr>
    </w:lvl>
    <w:lvl w:ilvl="1" w:tplc="C1765FAA" w:tentative="1">
      <w:start w:val="1"/>
      <w:numFmt w:val="bullet"/>
      <w:lvlText w:val=""/>
      <w:lvlJc w:val="left"/>
      <w:pPr>
        <w:tabs>
          <w:tab w:val="num" w:pos="1440"/>
        </w:tabs>
        <w:ind w:left="1440" w:hanging="360"/>
      </w:pPr>
      <w:rPr>
        <w:rFonts w:ascii="Wingdings" w:hAnsi="Wingdings" w:hint="default"/>
      </w:rPr>
    </w:lvl>
    <w:lvl w:ilvl="2" w:tplc="76D8C6B2" w:tentative="1">
      <w:start w:val="1"/>
      <w:numFmt w:val="bullet"/>
      <w:lvlText w:val=""/>
      <w:lvlJc w:val="left"/>
      <w:pPr>
        <w:tabs>
          <w:tab w:val="num" w:pos="2160"/>
        </w:tabs>
        <w:ind w:left="2160" w:hanging="360"/>
      </w:pPr>
      <w:rPr>
        <w:rFonts w:ascii="Wingdings" w:hAnsi="Wingdings" w:hint="default"/>
      </w:rPr>
    </w:lvl>
    <w:lvl w:ilvl="3" w:tplc="25DA9024" w:tentative="1">
      <w:start w:val="1"/>
      <w:numFmt w:val="bullet"/>
      <w:lvlText w:val=""/>
      <w:lvlJc w:val="left"/>
      <w:pPr>
        <w:tabs>
          <w:tab w:val="num" w:pos="2880"/>
        </w:tabs>
        <w:ind w:left="2880" w:hanging="360"/>
      </w:pPr>
      <w:rPr>
        <w:rFonts w:ascii="Wingdings" w:hAnsi="Wingdings" w:hint="default"/>
      </w:rPr>
    </w:lvl>
    <w:lvl w:ilvl="4" w:tplc="43E89F16" w:tentative="1">
      <w:start w:val="1"/>
      <w:numFmt w:val="bullet"/>
      <w:lvlText w:val=""/>
      <w:lvlJc w:val="left"/>
      <w:pPr>
        <w:tabs>
          <w:tab w:val="num" w:pos="3600"/>
        </w:tabs>
        <w:ind w:left="3600" w:hanging="360"/>
      </w:pPr>
      <w:rPr>
        <w:rFonts w:ascii="Wingdings" w:hAnsi="Wingdings" w:hint="default"/>
      </w:rPr>
    </w:lvl>
    <w:lvl w:ilvl="5" w:tplc="A3EABFBA" w:tentative="1">
      <w:start w:val="1"/>
      <w:numFmt w:val="bullet"/>
      <w:lvlText w:val=""/>
      <w:lvlJc w:val="left"/>
      <w:pPr>
        <w:tabs>
          <w:tab w:val="num" w:pos="4320"/>
        </w:tabs>
        <w:ind w:left="4320" w:hanging="360"/>
      </w:pPr>
      <w:rPr>
        <w:rFonts w:ascii="Wingdings" w:hAnsi="Wingdings" w:hint="default"/>
      </w:rPr>
    </w:lvl>
    <w:lvl w:ilvl="6" w:tplc="C3F89020" w:tentative="1">
      <w:start w:val="1"/>
      <w:numFmt w:val="bullet"/>
      <w:lvlText w:val=""/>
      <w:lvlJc w:val="left"/>
      <w:pPr>
        <w:tabs>
          <w:tab w:val="num" w:pos="5040"/>
        </w:tabs>
        <w:ind w:left="5040" w:hanging="360"/>
      </w:pPr>
      <w:rPr>
        <w:rFonts w:ascii="Wingdings" w:hAnsi="Wingdings" w:hint="default"/>
      </w:rPr>
    </w:lvl>
    <w:lvl w:ilvl="7" w:tplc="C27247BC" w:tentative="1">
      <w:start w:val="1"/>
      <w:numFmt w:val="bullet"/>
      <w:lvlText w:val=""/>
      <w:lvlJc w:val="left"/>
      <w:pPr>
        <w:tabs>
          <w:tab w:val="num" w:pos="5760"/>
        </w:tabs>
        <w:ind w:left="5760" w:hanging="360"/>
      </w:pPr>
      <w:rPr>
        <w:rFonts w:ascii="Wingdings" w:hAnsi="Wingdings" w:hint="default"/>
      </w:rPr>
    </w:lvl>
    <w:lvl w:ilvl="8" w:tplc="68B432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4361A7"/>
    <w:multiLevelType w:val="hybridMultilevel"/>
    <w:tmpl w:val="2D1AB2D4"/>
    <w:lvl w:ilvl="0" w:tplc="1CD8065E">
      <w:start w:val="1"/>
      <w:numFmt w:val="bullet"/>
      <w:lvlText w:val="•"/>
      <w:lvlJc w:val="left"/>
      <w:pPr>
        <w:tabs>
          <w:tab w:val="num" w:pos="720"/>
        </w:tabs>
        <w:ind w:left="720" w:hanging="360"/>
      </w:pPr>
      <w:rPr>
        <w:rFonts w:ascii="Times New Roman" w:hAnsi="Times New Roman" w:hint="default"/>
      </w:rPr>
    </w:lvl>
    <w:lvl w:ilvl="1" w:tplc="C066A812" w:tentative="1">
      <w:start w:val="1"/>
      <w:numFmt w:val="bullet"/>
      <w:lvlText w:val="•"/>
      <w:lvlJc w:val="left"/>
      <w:pPr>
        <w:tabs>
          <w:tab w:val="num" w:pos="1440"/>
        </w:tabs>
        <w:ind w:left="1440" w:hanging="360"/>
      </w:pPr>
      <w:rPr>
        <w:rFonts w:ascii="Times New Roman" w:hAnsi="Times New Roman" w:hint="default"/>
      </w:rPr>
    </w:lvl>
    <w:lvl w:ilvl="2" w:tplc="407C3C48" w:tentative="1">
      <w:start w:val="1"/>
      <w:numFmt w:val="bullet"/>
      <w:lvlText w:val="•"/>
      <w:lvlJc w:val="left"/>
      <w:pPr>
        <w:tabs>
          <w:tab w:val="num" w:pos="2160"/>
        </w:tabs>
        <w:ind w:left="2160" w:hanging="360"/>
      </w:pPr>
      <w:rPr>
        <w:rFonts w:ascii="Times New Roman" w:hAnsi="Times New Roman" w:hint="default"/>
      </w:rPr>
    </w:lvl>
    <w:lvl w:ilvl="3" w:tplc="02C230C8" w:tentative="1">
      <w:start w:val="1"/>
      <w:numFmt w:val="bullet"/>
      <w:lvlText w:val="•"/>
      <w:lvlJc w:val="left"/>
      <w:pPr>
        <w:tabs>
          <w:tab w:val="num" w:pos="2880"/>
        </w:tabs>
        <w:ind w:left="2880" w:hanging="360"/>
      </w:pPr>
      <w:rPr>
        <w:rFonts w:ascii="Times New Roman" w:hAnsi="Times New Roman" w:hint="default"/>
      </w:rPr>
    </w:lvl>
    <w:lvl w:ilvl="4" w:tplc="D102F1F0" w:tentative="1">
      <w:start w:val="1"/>
      <w:numFmt w:val="bullet"/>
      <w:lvlText w:val="•"/>
      <w:lvlJc w:val="left"/>
      <w:pPr>
        <w:tabs>
          <w:tab w:val="num" w:pos="3600"/>
        </w:tabs>
        <w:ind w:left="3600" w:hanging="360"/>
      </w:pPr>
      <w:rPr>
        <w:rFonts w:ascii="Times New Roman" w:hAnsi="Times New Roman" w:hint="default"/>
      </w:rPr>
    </w:lvl>
    <w:lvl w:ilvl="5" w:tplc="2DAA5D8E" w:tentative="1">
      <w:start w:val="1"/>
      <w:numFmt w:val="bullet"/>
      <w:lvlText w:val="•"/>
      <w:lvlJc w:val="left"/>
      <w:pPr>
        <w:tabs>
          <w:tab w:val="num" w:pos="4320"/>
        </w:tabs>
        <w:ind w:left="4320" w:hanging="360"/>
      </w:pPr>
      <w:rPr>
        <w:rFonts w:ascii="Times New Roman" w:hAnsi="Times New Roman" w:hint="default"/>
      </w:rPr>
    </w:lvl>
    <w:lvl w:ilvl="6" w:tplc="86B09CDC" w:tentative="1">
      <w:start w:val="1"/>
      <w:numFmt w:val="bullet"/>
      <w:lvlText w:val="•"/>
      <w:lvlJc w:val="left"/>
      <w:pPr>
        <w:tabs>
          <w:tab w:val="num" w:pos="5040"/>
        </w:tabs>
        <w:ind w:left="5040" w:hanging="360"/>
      </w:pPr>
      <w:rPr>
        <w:rFonts w:ascii="Times New Roman" w:hAnsi="Times New Roman" w:hint="default"/>
      </w:rPr>
    </w:lvl>
    <w:lvl w:ilvl="7" w:tplc="445CE3D8" w:tentative="1">
      <w:start w:val="1"/>
      <w:numFmt w:val="bullet"/>
      <w:lvlText w:val="•"/>
      <w:lvlJc w:val="left"/>
      <w:pPr>
        <w:tabs>
          <w:tab w:val="num" w:pos="5760"/>
        </w:tabs>
        <w:ind w:left="5760" w:hanging="360"/>
      </w:pPr>
      <w:rPr>
        <w:rFonts w:ascii="Times New Roman" w:hAnsi="Times New Roman" w:hint="default"/>
      </w:rPr>
    </w:lvl>
    <w:lvl w:ilvl="8" w:tplc="9BAEEBEC"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3"/>
  </w:num>
  <w:num w:numId="3">
    <w:abstractNumId w:val="15"/>
  </w:num>
  <w:num w:numId="4">
    <w:abstractNumId w:val="7"/>
  </w:num>
  <w:num w:numId="5">
    <w:abstractNumId w:val="5"/>
  </w:num>
  <w:num w:numId="6">
    <w:abstractNumId w:val="0"/>
  </w:num>
  <w:num w:numId="7">
    <w:abstractNumId w:val="1"/>
  </w:num>
  <w:num w:numId="8">
    <w:abstractNumId w:val="10"/>
  </w:num>
  <w:num w:numId="9">
    <w:abstractNumId w:val="3"/>
  </w:num>
  <w:num w:numId="10">
    <w:abstractNumId w:val="12"/>
  </w:num>
  <w:num w:numId="11">
    <w:abstractNumId w:val="14"/>
  </w:num>
  <w:num w:numId="12">
    <w:abstractNumId w:val="4"/>
  </w:num>
  <w:num w:numId="13">
    <w:abstractNumId w:val="8"/>
  </w:num>
  <w:num w:numId="14">
    <w:abstractNumId w:val="6"/>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BD"/>
    <w:rsid w:val="00013830"/>
    <w:rsid w:val="000256CA"/>
    <w:rsid w:val="00054749"/>
    <w:rsid w:val="00065E76"/>
    <w:rsid w:val="00067679"/>
    <w:rsid w:val="0008351A"/>
    <w:rsid w:val="000A67C3"/>
    <w:rsid w:val="000C3B7B"/>
    <w:rsid w:val="000C62E8"/>
    <w:rsid w:val="000D0264"/>
    <w:rsid w:val="000D08DF"/>
    <w:rsid w:val="000D50F9"/>
    <w:rsid w:val="00100E4D"/>
    <w:rsid w:val="001062CB"/>
    <w:rsid w:val="0012441C"/>
    <w:rsid w:val="001265EE"/>
    <w:rsid w:val="0014364B"/>
    <w:rsid w:val="0014631D"/>
    <w:rsid w:val="001708CB"/>
    <w:rsid w:val="00184517"/>
    <w:rsid w:val="00197FC9"/>
    <w:rsid w:val="001D36A1"/>
    <w:rsid w:val="001F15D8"/>
    <w:rsid w:val="001F7DC5"/>
    <w:rsid w:val="00261F6F"/>
    <w:rsid w:val="00270D1D"/>
    <w:rsid w:val="00270F77"/>
    <w:rsid w:val="002776C6"/>
    <w:rsid w:val="0028454C"/>
    <w:rsid w:val="00290F50"/>
    <w:rsid w:val="00293360"/>
    <w:rsid w:val="002D0183"/>
    <w:rsid w:val="002D0D54"/>
    <w:rsid w:val="002D1D48"/>
    <w:rsid w:val="002E44F1"/>
    <w:rsid w:val="002F029B"/>
    <w:rsid w:val="002F35E5"/>
    <w:rsid w:val="002F4790"/>
    <w:rsid w:val="002F4AFE"/>
    <w:rsid w:val="003054AB"/>
    <w:rsid w:val="003066DB"/>
    <w:rsid w:val="003118AE"/>
    <w:rsid w:val="00311B0E"/>
    <w:rsid w:val="00341EDE"/>
    <w:rsid w:val="003568FB"/>
    <w:rsid w:val="00357E48"/>
    <w:rsid w:val="00360774"/>
    <w:rsid w:val="003643E0"/>
    <w:rsid w:val="00364FF4"/>
    <w:rsid w:val="003A5908"/>
    <w:rsid w:val="003B3D01"/>
    <w:rsid w:val="003D51F5"/>
    <w:rsid w:val="003E4EE0"/>
    <w:rsid w:val="003E7EC4"/>
    <w:rsid w:val="003F012A"/>
    <w:rsid w:val="003F0FDE"/>
    <w:rsid w:val="003F23A8"/>
    <w:rsid w:val="0040525B"/>
    <w:rsid w:val="0044370C"/>
    <w:rsid w:val="004437EE"/>
    <w:rsid w:val="004455D5"/>
    <w:rsid w:val="00454F14"/>
    <w:rsid w:val="00465A5C"/>
    <w:rsid w:val="00475D10"/>
    <w:rsid w:val="004841CF"/>
    <w:rsid w:val="004A06B7"/>
    <w:rsid w:val="004B09F7"/>
    <w:rsid w:val="004B1B73"/>
    <w:rsid w:val="004B6E6A"/>
    <w:rsid w:val="004E106E"/>
    <w:rsid w:val="004F4089"/>
    <w:rsid w:val="004F7BCB"/>
    <w:rsid w:val="00505F21"/>
    <w:rsid w:val="00510E41"/>
    <w:rsid w:val="00511C58"/>
    <w:rsid w:val="00536867"/>
    <w:rsid w:val="005504CC"/>
    <w:rsid w:val="00570027"/>
    <w:rsid w:val="00582291"/>
    <w:rsid w:val="005A1259"/>
    <w:rsid w:val="005A2789"/>
    <w:rsid w:val="005B230E"/>
    <w:rsid w:val="005B3A1C"/>
    <w:rsid w:val="005B7DE8"/>
    <w:rsid w:val="005C4959"/>
    <w:rsid w:val="005C6D97"/>
    <w:rsid w:val="005E4EDD"/>
    <w:rsid w:val="00603334"/>
    <w:rsid w:val="00611CE8"/>
    <w:rsid w:val="00624FD9"/>
    <w:rsid w:val="00641B85"/>
    <w:rsid w:val="00645B19"/>
    <w:rsid w:val="00650C4D"/>
    <w:rsid w:val="00674EA8"/>
    <w:rsid w:val="00683F32"/>
    <w:rsid w:val="00686BB8"/>
    <w:rsid w:val="00691481"/>
    <w:rsid w:val="006A4B2D"/>
    <w:rsid w:val="006C1959"/>
    <w:rsid w:val="006D57C3"/>
    <w:rsid w:val="006E33F6"/>
    <w:rsid w:val="006E38D9"/>
    <w:rsid w:val="006F070C"/>
    <w:rsid w:val="006F0BE7"/>
    <w:rsid w:val="006F5E53"/>
    <w:rsid w:val="00712F51"/>
    <w:rsid w:val="00715275"/>
    <w:rsid w:val="00731755"/>
    <w:rsid w:val="00732279"/>
    <w:rsid w:val="0074722F"/>
    <w:rsid w:val="0074727B"/>
    <w:rsid w:val="00761F94"/>
    <w:rsid w:val="00767B73"/>
    <w:rsid w:val="007715A5"/>
    <w:rsid w:val="00773386"/>
    <w:rsid w:val="00794B52"/>
    <w:rsid w:val="0079721B"/>
    <w:rsid w:val="007B65E6"/>
    <w:rsid w:val="007C6732"/>
    <w:rsid w:val="007E2EEB"/>
    <w:rsid w:val="007E44CC"/>
    <w:rsid w:val="00816206"/>
    <w:rsid w:val="0088111F"/>
    <w:rsid w:val="00881BBD"/>
    <w:rsid w:val="00882D15"/>
    <w:rsid w:val="00887576"/>
    <w:rsid w:val="008A68CD"/>
    <w:rsid w:val="008C16CB"/>
    <w:rsid w:val="008C2E5B"/>
    <w:rsid w:val="008E2057"/>
    <w:rsid w:val="008F2303"/>
    <w:rsid w:val="008F50B2"/>
    <w:rsid w:val="009116BC"/>
    <w:rsid w:val="00916B9C"/>
    <w:rsid w:val="009212AB"/>
    <w:rsid w:val="009357AB"/>
    <w:rsid w:val="009452C4"/>
    <w:rsid w:val="00966273"/>
    <w:rsid w:val="009665B3"/>
    <w:rsid w:val="00971624"/>
    <w:rsid w:val="00997071"/>
    <w:rsid w:val="009B1B47"/>
    <w:rsid w:val="009B29B8"/>
    <w:rsid w:val="009C3A4D"/>
    <w:rsid w:val="009C678F"/>
    <w:rsid w:val="009D20A5"/>
    <w:rsid w:val="009D2489"/>
    <w:rsid w:val="009E24E4"/>
    <w:rsid w:val="009E445A"/>
    <w:rsid w:val="009F0140"/>
    <w:rsid w:val="009F34E9"/>
    <w:rsid w:val="009F7639"/>
    <w:rsid w:val="00A05518"/>
    <w:rsid w:val="00A12764"/>
    <w:rsid w:val="00A215D3"/>
    <w:rsid w:val="00A21ACF"/>
    <w:rsid w:val="00A4012F"/>
    <w:rsid w:val="00A44B42"/>
    <w:rsid w:val="00A47F54"/>
    <w:rsid w:val="00A61DA1"/>
    <w:rsid w:val="00A80E23"/>
    <w:rsid w:val="00A86CDA"/>
    <w:rsid w:val="00AA1ADF"/>
    <w:rsid w:val="00AA6571"/>
    <w:rsid w:val="00AB1904"/>
    <w:rsid w:val="00AB24B1"/>
    <w:rsid w:val="00AB34FC"/>
    <w:rsid w:val="00AB614C"/>
    <w:rsid w:val="00AD02BF"/>
    <w:rsid w:val="00AD5654"/>
    <w:rsid w:val="00AF64E8"/>
    <w:rsid w:val="00B1361A"/>
    <w:rsid w:val="00B15244"/>
    <w:rsid w:val="00B258E1"/>
    <w:rsid w:val="00B337DB"/>
    <w:rsid w:val="00B338F9"/>
    <w:rsid w:val="00B37E78"/>
    <w:rsid w:val="00B4630B"/>
    <w:rsid w:val="00B558DE"/>
    <w:rsid w:val="00B72556"/>
    <w:rsid w:val="00B7314B"/>
    <w:rsid w:val="00BC759A"/>
    <w:rsid w:val="00C01742"/>
    <w:rsid w:val="00C043D4"/>
    <w:rsid w:val="00C13135"/>
    <w:rsid w:val="00C3398B"/>
    <w:rsid w:val="00C55070"/>
    <w:rsid w:val="00C76587"/>
    <w:rsid w:val="00C95E0C"/>
    <w:rsid w:val="00CA4170"/>
    <w:rsid w:val="00CB08FA"/>
    <w:rsid w:val="00CD396D"/>
    <w:rsid w:val="00CE6948"/>
    <w:rsid w:val="00CF09F3"/>
    <w:rsid w:val="00CF60B2"/>
    <w:rsid w:val="00CF6753"/>
    <w:rsid w:val="00D029BC"/>
    <w:rsid w:val="00D05929"/>
    <w:rsid w:val="00D07E77"/>
    <w:rsid w:val="00D17A22"/>
    <w:rsid w:val="00D27442"/>
    <w:rsid w:val="00D3093F"/>
    <w:rsid w:val="00D45B46"/>
    <w:rsid w:val="00D72C40"/>
    <w:rsid w:val="00D904A3"/>
    <w:rsid w:val="00D9199E"/>
    <w:rsid w:val="00D9358E"/>
    <w:rsid w:val="00DA7B21"/>
    <w:rsid w:val="00DB199E"/>
    <w:rsid w:val="00DB3EC3"/>
    <w:rsid w:val="00DB3F10"/>
    <w:rsid w:val="00DB6874"/>
    <w:rsid w:val="00DD1F70"/>
    <w:rsid w:val="00DF6AB1"/>
    <w:rsid w:val="00DF7CC5"/>
    <w:rsid w:val="00E05614"/>
    <w:rsid w:val="00E2210C"/>
    <w:rsid w:val="00E27E7F"/>
    <w:rsid w:val="00E3152F"/>
    <w:rsid w:val="00E41BF3"/>
    <w:rsid w:val="00E43D11"/>
    <w:rsid w:val="00E515ED"/>
    <w:rsid w:val="00E5499F"/>
    <w:rsid w:val="00E62073"/>
    <w:rsid w:val="00E720F2"/>
    <w:rsid w:val="00E9337F"/>
    <w:rsid w:val="00E93C39"/>
    <w:rsid w:val="00EA45EA"/>
    <w:rsid w:val="00EB6DE5"/>
    <w:rsid w:val="00EC5FE9"/>
    <w:rsid w:val="00EE49AA"/>
    <w:rsid w:val="00EF6569"/>
    <w:rsid w:val="00EF702D"/>
    <w:rsid w:val="00F02F85"/>
    <w:rsid w:val="00F07D79"/>
    <w:rsid w:val="00F11959"/>
    <w:rsid w:val="00F11B08"/>
    <w:rsid w:val="00F134AC"/>
    <w:rsid w:val="00F314FA"/>
    <w:rsid w:val="00F41413"/>
    <w:rsid w:val="00F54C2B"/>
    <w:rsid w:val="00F93F23"/>
    <w:rsid w:val="00FB13E1"/>
    <w:rsid w:val="00FE535D"/>
    <w:rsid w:val="00FE6D1F"/>
    <w:rsid w:val="00FF0587"/>
    <w:rsid w:val="00FF3EBD"/>
    <w:rsid w:val="00FF70B6"/>
    <w:rsid w:val="00FF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329C"/>
  <w15:chartTrackingRefBased/>
  <w15:docId w15:val="{5A358FF5-3AFC-4287-AF84-2045BC6A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EBD"/>
  </w:style>
  <w:style w:type="paragraph" w:styleId="Footer">
    <w:name w:val="footer"/>
    <w:basedOn w:val="Normal"/>
    <w:link w:val="FooterChar"/>
    <w:uiPriority w:val="99"/>
    <w:unhideWhenUsed/>
    <w:rsid w:val="00FF3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EBD"/>
  </w:style>
  <w:style w:type="paragraph" w:styleId="ListParagraph">
    <w:name w:val="List Paragraph"/>
    <w:basedOn w:val="Normal"/>
    <w:uiPriority w:val="34"/>
    <w:qFormat/>
    <w:rsid w:val="009357AB"/>
    <w:pPr>
      <w:ind w:left="720"/>
      <w:contextualSpacing/>
    </w:pPr>
  </w:style>
  <w:style w:type="character" w:styleId="Hyperlink">
    <w:name w:val="Hyperlink"/>
    <w:basedOn w:val="DefaultParagraphFont"/>
    <w:uiPriority w:val="99"/>
    <w:unhideWhenUsed/>
    <w:rsid w:val="00013830"/>
    <w:rPr>
      <w:color w:val="0000FF"/>
      <w:u w:val="single"/>
    </w:rPr>
  </w:style>
  <w:style w:type="paragraph" w:styleId="NormalWeb">
    <w:name w:val="Normal (Web)"/>
    <w:basedOn w:val="Normal"/>
    <w:uiPriority w:val="99"/>
    <w:semiHidden/>
    <w:unhideWhenUsed/>
    <w:rsid w:val="003054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054AB"/>
    <w:rPr>
      <w:color w:val="605E5C"/>
      <w:shd w:val="clear" w:color="auto" w:fill="E1DFDD"/>
    </w:rPr>
  </w:style>
  <w:style w:type="character" w:styleId="FollowedHyperlink">
    <w:name w:val="FollowedHyperlink"/>
    <w:basedOn w:val="DefaultParagraphFont"/>
    <w:uiPriority w:val="99"/>
    <w:semiHidden/>
    <w:unhideWhenUsed/>
    <w:rsid w:val="002E44F1"/>
    <w:rPr>
      <w:color w:val="954F72" w:themeColor="followedHyperlink"/>
      <w:u w:val="single"/>
    </w:rPr>
  </w:style>
  <w:style w:type="paragraph" w:styleId="CommentText">
    <w:name w:val="annotation text"/>
    <w:basedOn w:val="Normal"/>
    <w:link w:val="CommentTextChar"/>
    <w:uiPriority w:val="99"/>
    <w:unhideWhenUsed/>
    <w:rsid w:val="00AF64E8"/>
    <w:pPr>
      <w:spacing w:after="0" w:line="240" w:lineRule="auto"/>
    </w:pPr>
    <w:rPr>
      <w:sz w:val="20"/>
      <w:szCs w:val="20"/>
    </w:rPr>
  </w:style>
  <w:style w:type="character" w:customStyle="1" w:styleId="CommentTextChar">
    <w:name w:val="Comment Text Char"/>
    <w:basedOn w:val="DefaultParagraphFont"/>
    <w:link w:val="CommentText"/>
    <w:uiPriority w:val="99"/>
    <w:rsid w:val="00AF64E8"/>
    <w:rPr>
      <w:sz w:val="20"/>
      <w:szCs w:val="20"/>
    </w:rPr>
  </w:style>
  <w:style w:type="paragraph" w:styleId="Revision">
    <w:name w:val="Revision"/>
    <w:hidden/>
    <w:uiPriority w:val="99"/>
    <w:semiHidden/>
    <w:rsid w:val="003D51F5"/>
    <w:pPr>
      <w:spacing w:after="0" w:line="240" w:lineRule="auto"/>
    </w:pPr>
  </w:style>
  <w:style w:type="character" w:styleId="CommentReference">
    <w:name w:val="annotation reference"/>
    <w:basedOn w:val="DefaultParagraphFont"/>
    <w:uiPriority w:val="99"/>
    <w:semiHidden/>
    <w:unhideWhenUsed/>
    <w:rsid w:val="003D51F5"/>
    <w:rPr>
      <w:sz w:val="16"/>
      <w:szCs w:val="16"/>
    </w:rPr>
  </w:style>
  <w:style w:type="paragraph" w:styleId="CommentSubject">
    <w:name w:val="annotation subject"/>
    <w:basedOn w:val="CommentText"/>
    <w:next w:val="CommentText"/>
    <w:link w:val="CommentSubjectChar"/>
    <w:uiPriority w:val="99"/>
    <w:semiHidden/>
    <w:unhideWhenUsed/>
    <w:rsid w:val="003D51F5"/>
    <w:pPr>
      <w:spacing w:after="160"/>
    </w:pPr>
    <w:rPr>
      <w:b/>
      <w:bCs/>
    </w:rPr>
  </w:style>
  <w:style w:type="character" w:customStyle="1" w:styleId="CommentSubjectChar">
    <w:name w:val="Comment Subject Char"/>
    <w:basedOn w:val="CommentTextChar"/>
    <w:link w:val="CommentSubject"/>
    <w:uiPriority w:val="99"/>
    <w:semiHidden/>
    <w:rsid w:val="003D51F5"/>
    <w:rPr>
      <w:b/>
      <w:bCs/>
      <w:sz w:val="20"/>
      <w:szCs w:val="20"/>
    </w:rPr>
  </w:style>
  <w:style w:type="character" w:styleId="Emphasis">
    <w:name w:val="Emphasis"/>
    <w:basedOn w:val="DefaultParagraphFont"/>
    <w:uiPriority w:val="20"/>
    <w:qFormat/>
    <w:rsid w:val="00465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019">
      <w:bodyDiv w:val="1"/>
      <w:marLeft w:val="0"/>
      <w:marRight w:val="0"/>
      <w:marTop w:val="0"/>
      <w:marBottom w:val="0"/>
      <w:divBdr>
        <w:top w:val="none" w:sz="0" w:space="0" w:color="auto"/>
        <w:left w:val="none" w:sz="0" w:space="0" w:color="auto"/>
        <w:bottom w:val="none" w:sz="0" w:space="0" w:color="auto"/>
        <w:right w:val="none" w:sz="0" w:space="0" w:color="auto"/>
      </w:divBdr>
      <w:divsChild>
        <w:div w:id="349382073">
          <w:marLeft w:val="547"/>
          <w:marRight w:val="0"/>
          <w:marTop w:val="0"/>
          <w:marBottom w:val="0"/>
          <w:divBdr>
            <w:top w:val="none" w:sz="0" w:space="0" w:color="auto"/>
            <w:left w:val="none" w:sz="0" w:space="0" w:color="auto"/>
            <w:bottom w:val="none" w:sz="0" w:space="0" w:color="auto"/>
            <w:right w:val="none" w:sz="0" w:space="0" w:color="auto"/>
          </w:divBdr>
        </w:div>
        <w:div w:id="589583593">
          <w:marLeft w:val="547"/>
          <w:marRight w:val="0"/>
          <w:marTop w:val="0"/>
          <w:marBottom w:val="0"/>
          <w:divBdr>
            <w:top w:val="none" w:sz="0" w:space="0" w:color="auto"/>
            <w:left w:val="none" w:sz="0" w:space="0" w:color="auto"/>
            <w:bottom w:val="none" w:sz="0" w:space="0" w:color="auto"/>
            <w:right w:val="none" w:sz="0" w:space="0" w:color="auto"/>
          </w:divBdr>
        </w:div>
      </w:divsChild>
    </w:div>
    <w:div w:id="81268418">
      <w:bodyDiv w:val="1"/>
      <w:marLeft w:val="0"/>
      <w:marRight w:val="0"/>
      <w:marTop w:val="0"/>
      <w:marBottom w:val="0"/>
      <w:divBdr>
        <w:top w:val="none" w:sz="0" w:space="0" w:color="auto"/>
        <w:left w:val="none" w:sz="0" w:space="0" w:color="auto"/>
        <w:bottom w:val="none" w:sz="0" w:space="0" w:color="auto"/>
        <w:right w:val="none" w:sz="0" w:space="0" w:color="auto"/>
      </w:divBdr>
    </w:div>
    <w:div w:id="147792421">
      <w:bodyDiv w:val="1"/>
      <w:marLeft w:val="0"/>
      <w:marRight w:val="0"/>
      <w:marTop w:val="0"/>
      <w:marBottom w:val="0"/>
      <w:divBdr>
        <w:top w:val="none" w:sz="0" w:space="0" w:color="auto"/>
        <w:left w:val="none" w:sz="0" w:space="0" w:color="auto"/>
        <w:bottom w:val="none" w:sz="0" w:space="0" w:color="auto"/>
        <w:right w:val="none" w:sz="0" w:space="0" w:color="auto"/>
      </w:divBdr>
    </w:div>
    <w:div w:id="181091534">
      <w:bodyDiv w:val="1"/>
      <w:marLeft w:val="0"/>
      <w:marRight w:val="0"/>
      <w:marTop w:val="0"/>
      <w:marBottom w:val="0"/>
      <w:divBdr>
        <w:top w:val="none" w:sz="0" w:space="0" w:color="auto"/>
        <w:left w:val="none" w:sz="0" w:space="0" w:color="auto"/>
        <w:bottom w:val="none" w:sz="0" w:space="0" w:color="auto"/>
        <w:right w:val="none" w:sz="0" w:space="0" w:color="auto"/>
      </w:divBdr>
      <w:divsChild>
        <w:div w:id="844244064">
          <w:marLeft w:val="547"/>
          <w:marRight w:val="0"/>
          <w:marTop w:val="240"/>
          <w:marBottom w:val="0"/>
          <w:divBdr>
            <w:top w:val="none" w:sz="0" w:space="0" w:color="auto"/>
            <w:left w:val="none" w:sz="0" w:space="0" w:color="auto"/>
            <w:bottom w:val="none" w:sz="0" w:space="0" w:color="auto"/>
            <w:right w:val="none" w:sz="0" w:space="0" w:color="auto"/>
          </w:divBdr>
        </w:div>
      </w:divsChild>
    </w:div>
    <w:div w:id="194923966">
      <w:bodyDiv w:val="1"/>
      <w:marLeft w:val="0"/>
      <w:marRight w:val="0"/>
      <w:marTop w:val="0"/>
      <w:marBottom w:val="0"/>
      <w:divBdr>
        <w:top w:val="none" w:sz="0" w:space="0" w:color="auto"/>
        <w:left w:val="none" w:sz="0" w:space="0" w:color="auto"/>
        <w:bottom w:val="none" w:sz="0" w:space="0" w:color="auto"/>
        <w:right w:val="none" w:sz="0" w:space="0" w:color="auto"/>
      </w:divBdr>
    </w:div>
    <w:div w:id="197398513">
      <w:bodyDiv w:val="1"/>
      <w:marLeft w:val="0"/>
      <w:marRight w:val="0"/>
      <w:marTop w:val="0"/>
      <w:marBottom w:val="0"/>
      <w:divBdr>
        <w:top w:val="none" w:sz="0" w:space="0" w:color="auto"/>
        <w:left w:val="none" w:sz="0" w:space="0" w:color="auto"/>
        <w:bottom w:val="none" w:sz="0" w:space="0" w:color="auto"/>
        <w:right w:val="none" w:sz="0" w:space="0" w:color="auto"/>
      </w:divBdr>
    </w:div>
    <w:div w:id="264770046">
      <w:bodyDiv w:val="1"/>
      <w:marLeft w:val="0"/>
      <w:marRight w:val="0"/>
      <w:marTop w:val="0"/>
      <w:marBottom w:val="0"/>
      <w:divBdr>
        <w:top w:val="none" w:sz="0" w:space="0" w:color="auto"/>
        <w:left w:val="none" w:sz="0" w:space="0" w:color="auto"/>
        <w:bottom w:val="none" w:sz="0" w:space="0" w:color="auto"/>
        <w:right w:val="none" w:sz="0" w:space="0" w:color="auto"/>
      </w:divBdr>
    </w:div>
    <w:div w:id="289361957">
      <w:bodyDiv w:val="1"/>
      <w:marLeft w:val="0"/>
      <w:marRight w:val="0"/>
      <w:marTop w:val="0"/>
      <w:marBottom w:val="0"/>
      <w:divBdr>
        <w:top w:val="none" w:sz="0" w:space="0" w:color="auto"/>
        <w:left w:val="none" w:sz="0" w:space="0" w:color="auto"/>
        <w:bottom w:val="none" w:sz="0" w:space="0" w:color="auto"/>
        <w:right w:val="none" w:sz="0" w:space="0" w:color="auto"/>
      </w:divBdr>
    </w:div>
    <w:div w:id="427891261">
      <w:bodyDiv w:val="1"/>
      <w:marLeft w:val="0"/>
      <w:marRight w:val="0"/>
      <w:marTop w:val="0"/>
      <w:marBottom w:val="0"/>
      <w:divBdr>
        <w:top w:val="none" w:sz="0" w:space="0" w:color="auto"/>
        <w:left w:val="none" w:sz="0" w:space="0" w:color="auto"/>
        <w:bottom w:val="none" w:sz="0" w:space="0" w:color="auto"/>
        <w:right w:val="none" w:sz="0" w:space="0" w:color="auto"/>
      </w:divBdr>
    </w:div>
    <w:div w:id="478689847">
      <w:bodyDiv w:val="1"/>
      <w:marLeft w:val="0"/>
      <w:marRight w:val="0"/>
      <w:marTop w:val="0"/>
      <w:marBottom w:val="0"/>
      <w:divBdr>
        <w:top w:val="none" w:sz="0" w:space="0" w:color="auto"/>
        <w:left w:val="none" w:sz="0" w:space="0" w:color="auto"/>
        <w:bottom w:val="none" w:sz="0" w:space="0" w:color="auto"/>
        <w:right w:val="none" w:sz="0" w:space="0" w:color="auto"/>
      </w:divBdr>
      <w:divsChild>
        <w:div w:id="10692261">
          <w:marLeft w:val="547"/>
          <w:marRight w:val="0"/>
          <w:marTop w:val="0"/>
          <w:marBottom w:val="0"/>
          <w:divBdr>
            <w:top w:val="none" w:sz="0" w:space="0" w:color="auto"/>
            <w:left w:val="none" w:sz="0" w:space="0" w:color="auto"/>
            <w:bottom w:val="none" w:sz="0" w:space="0" w:color="auto"/>
            <w:right w:val="none" w:sz="0" w:space="0" w:color="auto"/>
          </w:divBdr>
        </w:div>
      </w:divsChild>
    </w:div>
    <w:div w:id="515658104">
      <w:bodyDiv w:val="1"/>
      <w:marLeft w:val="0"/>
      <w:marRight w:val="0"/>
      <w:marTop w:val="0"/>
      <w:marBottom w:val="0"/>
      <w:divBdr>
        <w:top w:val="none" w:sz="0" w:space="0" w:color="auto"/>
        <w:left w:val="none" w:sz="0" w:space="0" w:color="auto"/>
        <w:bottom w:val="none" w:sz="0" w:space="0" w:color="auto"/>
        <w:right w:val="none" w:sz="0" w:space="0" w:color="auto"/>
      </w:divBdr>
    </w:div>
    <w:div w:id="841621859">
      <w:bodyDiv w:val="1"/>
      <w:marLeft w:val="0"/>
      <w:marRight w:val="0"/>
      <w:marTop w:val="0"/>
      <w:marBottom w:val="0"/>
      <w:divBdr>
        <w:top w:val="none" w:sz="0" w:space="0" w:color="auto"/>
        <w:left w:val="none" w:sz="0" w:space="0" w:color="auto"/>
        <w:bottom w:val="none" w:sz="0" w:space="0" w:color="auto"/>
        <w:right w:val="none" w:sz="0" w:space="0" w:color="auto"/>
      </w:divBdr>
      <w:divsChild>
        <w:div w:id="539362942">
          <w:marLeft w:val="274"/>
          <w:marRight w:val="0"/>
          <w:marTop w:val="0"/>
          <w:marBottom w:val="0"/>
          <w:divBdr>
            <w:top w:val="none" w:sz="0" w:space="0" w:color="auto"/>
            <w:left w:val="none" w:sz="0" w:space="0" w:color="auto"/>
            <w:bottom w:val="none" w:sz="0" w:space="0" w:color="auto"/>
            <w:right w:val="none" w:sz="0" w:space="0" w:color="auto"/>
          </w:divBdr>
        </w:div>
        <w:div w:id="84347052">
          <w:marLeft w:val="274"/>
          <w:marRight w:val="0"/>
          <w:marTop w:val="0"/>
          <w:marBottom w:val="0"/>
          <w:divBdr>
            <w:top w:val="none" w:sz="0" w:space="0" w:color="auto"/>
            <w:left w:val="none" w:sz="0" w:space="0" w:color="auto"/>
            <w:bottom w:val="none" w:sz="0" w:space="0" w:color="auto"/>
            <w:right w:val="none" w:sz="0" w:space="0" w:color="auto"/>
          </w:divBdr>
        </w:div>
        <w:div w:id="159784002">
          <w:marLeft w:val="274"/>
          <w:marRight w:val="0"/>
          <w:marTop w:val="0"/>
          <w:marBottom w:val="0"/>
          <w:divBdr>
            <w:top w:val="none" w:sz="0" w:space="0" w:color="auto"/>
            <w:left w:val="none" w:sz="0" w:space="0" w:color="auto"/>
            <w:bottom w:val="none" w:sz="0" w:space="0" w:color="auto"/>
            <w:right w:val="none" w:sz="0" w:space="0" w:color="auto"/>
          </w:divBdr>
        </w:div>
      </w:divsChild>
    </w:div>
    <w:div w:id="1161894362">
      <w:bodyDiv w:val="1"/>
      <w:marLeft w:val="0"/>
      <w:marRight w:val="0"/>
      <w:marTop w:val="0"/>
      <w:marBottom w:val="0"/>
      <w:divBdr>
        <w:top w:val="none" w:sz="0" w:space="0" w:color="auto"/>
        <w:left w:val="none" w:sz="0" w:space="0" w:color="auto"/>
        <w:bottom w:val="none" w:sz="0" w:space="0" w:color="auto"/>
        <w:right w:val="none" w:sz="0" w:space="0" w:color="auto"/>
      </w:divBdr>
    </w:div>
    <w:div w:id="1322929389">
      <w:bodyDiv w:val="1"/>
      <w:marLeft w:val="0"/>
      <w:marRight w:val="0"/>
      <w:marTop w:val="0"/>
      <w:marBottom w:val="0"/>
      <w:divBdr>
        <w:top w:val="none" w:sz="0" w:space="0" w:color="auto"/>
        <w:left w:val="none" w:sz="0" w:space="0" w:color="auto"/>
        <w:bottom w:val="none" w:sz="0" w:space="0" w:color="auto"/>
        <w:right w:val="none" w:sz="0" w:space="0" w:color="auto"/>
      </w:divBdr>
      <w:divsChild>
        <w:div w:id="211229703">
          <w:marLeft w:val="547"/>
          <w:marRight w:val="0"/>
          <w:marTop w:val="240"/>
          <w:marBottom w:val="0"/>
          <w:divBdr>
            <w:top w:val="none" w:sz="0" w:space="0" w:color="auto"/>
            <w:left w:val="none" w:sz="0" w:space="0" w:color="auto"/>
            <w:bottom w:val="none" w:sz="0" w:space="0" w:color="auto"/>
            <w:right w:val="none" w:sz="0" w:space="0" w:color="auto"/>
          </w:divBdr>
        </w:div>
        <w:div w:id="455681203">
          <w:marLeft w:val="965"/>
          <w:marRight w:val="0"/>
          <w:marTop w:val="120"/>
          <w:marBottom w:val="0"/>
          <w:divBdr>
            <w:top w:val="none" w:sz="0" w:space="0" w:color="auto"/>
            <w:left w:val="none" w:sz="0" w:space="0" w:color="auto"/>
            <w:bottom w:val="none" w:sz="0" w:space="0" w:color="auto"/>
            <w:right w:val="none" w:sz="0" w:space="0" w:color="auto"/>
          </w:divBdr>
        </w:div>
        <w:div w:id="220675559">
          <w:marLeft w:val="965"/>
          <w:marRight w:val="0"/>
          <w:marTop w:val="120"/>
          <w:marBottom w:val="0"/>
          <w:divBdr>
            <w:top w:val="none" w:sz="0" w:space="0" w:color="auto"/>
            <w:left w:val="none" w:sz="0" w:space="0" w:color="auto"/>
            <w:bottom w:val="none" w:sz="0" w:space="0" w:color="auto"/>
            <w:right w:val="none" w:sz="0" w:space="0" w:color="auto"/>
          </w:divBdr>
        </w:div>
        <w:div w:id="350302005">
          <w:marLeft w:val="965"/>
          <w:marRight w:val="0"/>
          <w:marTop w:val="120"/>
          <w:marBottom w:val="0"/>
          <w:divBdr>
            <w:top w:val="none" w:sz="0" w:space="0" w:color="auto"/>
            <w:left w:val="none" w:sz="0" w:space="0" w:color="auto"/>
            <w:bottom w:val="none" w:sz="0" w:space="0" w:color="auto"/>
            <w:right w:val="none" w:sz="0" w:space="0" w:color="auto"/>
          </w:divBdr>
        </w:div>
        <w:div w:id="466051051">
          <w:marLeft w:val="965"/>
          <w:marRight w:val="0"/>
          <w:marTop w:val="120"/>
          <w:marBottom w:val="0"/>
          <w:divBdr>
            <w:top w:val="none" w:sz="0" w:space="0" w:color="auto"/>
            <w:left w:val="none" w:sz="0" w:space="0" w:color="auto"/>
            <w:bottom w:val="none" w:sz="0" w:space="0" w:color="auto"/>
            <w:right w:val="none" w:sz="0" w:space="0" w:color="auto"/>
          </w:divBdr>
        </w:div>
      </w:divsChild>
    </w:div>
    <w:div w:id="1409763117">
      <w:bodyDiv w:val="1"/>
      <w:marLeft w:val="0"/>
      <w:marRight w:val="0"/>
      <w:marTop w:val="0"/>
      <w:marBottom w:val="0"/>
      <w:divBdr>
        <w:top w:val="none" w:sz="0" w:space="0" w:color="auto"/>
        <w:left w:val="none" w:sz="0" w:space="0" w:color="auto"/>
        <w:bottom w:val="none" w:sz="0" w:space="0" w:color="auto"/>
        <w:right w:val="none" w:sz="0" w:space="0" w:color="auto"/>
      </w:divBdr>
    </w:div>
    <w:div w:id="1529872844">
      <w:bodyDiv w:val="1"/>
      <w:marLeft w:val="0"/>
      <w:marRight w:val="0"/>
      <w:marTop w:val="0"/>
      <w:marBottom w:val="0"/>
      <w:divBdr>
        <w:top w:val="none" w:sz="0" w:space="0" w:color="auto"/>
        <w:left w:val="none" w:sz="0" w:space="0" w:color="auto"/>
        <w:bottom w:val="none" w:sz="0" w:space="0" w:color="auto"/>
        <w:right w:val="none" w:sz="0" w:space="0" w:color="auto"/>
      </w:divBdr>
      <w:divsChild>
        <w:div w:id="584847718">
          <w:marLeft w:val="720"/>
          <w:marRight w:val="0"/>
          <w:marTop w:val="240"/>
          <w:marBottom w:val="0"/>
          <w:divBdr>
            <w:top w:val="none" w:sz="0" w:space="0" w:color="auto"/>
            <w:left w:val="none" w:sz="0" w:space="0" w:color="auto"/>
            <w:bottom w:val="none" w:sz="0" w:space="0" w:color="auto"/>
            <w:right w:val="none" w:sz="0" w:space="0" w:color="auto"/>
          </w:divBdr>
        </w:div>
        <w:div w:id="382485243">
          <w:marLeft w:val="720"/>
          <w:marRight w:val="0"/>
          <w:marTop w:val="240"/>
          <w:marBottom w:val="0"/>
          <w:divBdr>
            <w:top w:val="none" w:sz="0" w:space="0" w:color="auto"/>
            <w:left w:val="none" w:sz="0" w:space="0" w:color="auto"/>
            <w:bottom w:val="none" w:sz="0" w:space="0" w:color="auto"/>
            <w:right w:val="none" w:sz="0" w:space="0" w:color="auto"/>
          </w:divBdr>
        </w:div>
        <w:div w:id="1569457245">
          <w:marLeft w:val="720"/>
          <w:marRight w:val="0"/>
          <w:marTop w:val="240"/>
          <w:marBottom w:val="0"/>
          <w:divBdr>
            <w:top w:val="none" w:sz="0" w:space="0" w:color="auto"/>
            <w:left w:val="none" w:sz="0" w:space="0" w:color="auto"/>
            <w:bottom w:val="none" w:sz="0" w:space="0" w:color="auto"/>
            <w:right w:val="none" w:sz="0" w:space="0" w:color="auto"/>
          </w:divBdr>
        </w:div>
      </w:divsChild>
    </w:div>
    <w:div w:id="1612862200">
      <w:bodyDiv w:val="1"/>
      <w:marLeft w:val="0"/>
      <w:marRight w:val="0"/>
      <w:marTop w:val="0"/>
      <w:marBottom w:val="0"/>
      <w:divBdr>
        <w:top w:val="none" w:sz="0" w:space="0" w:color="auto"/>
        <w:left w:val="none" w:sz="0" w:space="0" w:color="auto"/>
        <w:bottom w:val="none" w:sz="0" w:space="0" w:color="auto"/>
        <w:right w:val="none" w:sz="0" w:space="0" w:color="auto"/>
      </w:divBdr>
      <w:divsChild>
        <w:div w:id="2043508663">
          <w:marLeft w:val="547"/>
          <w:marRight w:val="0"/>
          <w:marTop w:val="0"/>
          <w:marBottom w:val="0"/>
          <w:divBdr>
            <w:top w:val="none" w:sz="0" w:space="0" w:color="auto"/>
            <w:left w:val="none" w:sz="0" w:space="0" w:color="auto"/>
            <w:bottom w:val="none" w:sz="0" w:space="0" w:color="auto"/>
            <w:right w:val="none" w:sz="0" w:space="0" w:color="auto"/>
          </w:divBdr>
        </w:div>
      </w:divsChild>
    </w:div>
    <w:div w:id="1670212942">
      <w:bodyDiv w:val="1"/>
      <w:marLeft w:val="0"/>
      <w:marRight w:val="0"/>
      <w:marTop w:val="0"/>
      <w:marBottom w:val="0"/>
      <w:divBdr>
        <w:top w:val="none" w:sz="0" w:space="0" w:color="auto"/>
        <w:left w:val="none" w:sz="0" w:space="0" w:color="auto"/>
        <w:bottom w:val="none" w:sz="0" w:space="0" w:color="auto"/>
        <w:right w:val="none" w:sz="0" w:space="0" w:color="auto"/>
      </w:divBdr>
      <w:divsChild>
        <w:div w:id="835728165">
          <w:marLeft w:val="274"/>
          <w:marRight w:val="0"/>
          <w:marTop w:val="0"/>
          <w:marBottom w:val="0"/>
          <w:divBdr>
            <w:top w:val="none" w:sz="0" w:space="0" w:color="auto"/>
            <w:left w:val="none" w:sz="0" w:space="0" w:color="auto"/>
            <w:bottom w:val="none" w:sz="0" w:space="0" w:color="auto"/>
            <w:right w:val="none" w:sz="0" w:space="0" w:color="auto"/>
          </w:divBdr>
        </w:div>
        <w:div w:id="1257250444">
          <w:marLeft w:val="720"/>
          <w:marRight w:val="0"/>
          <w:marTop w:val="0"/>
          <w:marBottom w:val="0"/>
          <w:divBdr>
            <w:top w:val="none" w:sz="0" w:space="0" w:color="auto"/>
            <w:left w:val="none" w:sz="0" w:space="0" w:color="auto"/>
            <w:bottom w:val="none" w:sz="0" w:space="0" w:color="auto"/>
            <w:right w:val="none" w:sz="0" w:space="0" w:color="auto"/>
          </w:divBdr>
        </w:div>
        <w:div w:id="1051810241">
          <w:marLeft w:val="720"/>
          <w:marRight w:val="0"/>
          <w:marTop w:val="0"/>
          <w:marBottom w:val="0"/>
          <w:divBdr>
            <w:top w:val="none" w:sz="0" w:space="0" w:color="auto"/>
            <w:left w:val="none" w:sz="0" w:space="0" w:color="auto"/>
            <w:bottom w:val="none" w:sz="0" w:space="0" w:color="auto"/>
            <w:right w:val="none" w:sz="0" w:space="0" w:color="auto"/>
          </w:divBdr>
        </w:div>
      </w:divsChild>
    </w:div>
    <w:div w:id="1708484133">
      <w:bodyDiv w:val="1"/>
      <w:marLeft w:val="0"/>
      <w:marRight w:val="0"/>
      <w:marTop w:val="0"/>
      <w:marBottom w:val="0"/>
      <w:divBdr>
        <w:top w:val="none" w:sz="0" w:space="0" w:color="auto"/>
        <w:left w:val="none" w:sz="0" w:space="0" w:color="auto"/>
        <w:bottom w:val="none" w:sz="0" w:space="0" w:color="auto"/>
        <w:right w:val="none" w:sz="0" w:space="0" w:color="auto"/>
      </w:divBdr>
    </w:div>
    <w:div w:id="1729455145">
      <w:bodyDiv w:val="1"/>
      <w:marLeft w:val="0"/>
      <w:marRight w:val="0"/>
      <w:marTop w:val="0"/>
      <w:marBottom w:val="0"/>
      <w:divBdr>
        <w:top w:val="none" w:sz="0" w:space="0" w:color="auto"/>
        <w:left w:val="none" w:sz="0" w:space="0" w:color="auto"/>
        <w:bottom w:val="none" w:sz="0" w:space="0" w:color="auto"/>
        <w:right w:val="none" w:sz="0" w:space="0" w:color="auto"/>
      </w:divBdr>
      <w:divsChild>
        <w:div w:id="2076778531">
          <w:marLeft w:val="547"/>
          <w:marRight w:val="0"/>
          <w:marTop w:val="0"/>
          <w:marBottom w:val="0"/>
          <w:divBdr>
            <w:top w:val="none" w:sz="0" w:space="0" w:color="auto"/>
            <w:left w:val="none" w:sz="0" w:space="0" w:color="auto"/>
            <w:bottom w:val="none" w:sz="0" w:space="0" w:color="auto"/>
            <w:right w:val="none" w:sz="0" w:space="0" w:color="auto"/>
          </w:divBdr>
        </w:div>
      </w:divsChild>
    </w:div>
    <w:div w:id="1909143143">
      <w:bodyDiv w:val="1"/>
      <w:marLeft w:val="0"/>
      <w:marRight w:val="0"/>
      <w:marTop w:val="0"/>
      <w:marBottom w:val="0"/>
      <w:divBdr>
        <w:top w:val="none" w:sz="0" w:space="0" w:color="auto"/>
        <w:left w:val="none" w:sz="0" w:space="0" w:color="auto"/>
        <w:bottom w:val="none" w:sz="0" w:space="0" w:color="auto"/>
        <w:right w:val="none" w:sz="0" w:space="0" w:color="auto"/>
      </w:divBdr>
      <w:divsChild>
        <w:div w:id="1685472841">
          <w:marLeft w:val="446"/>
          <w:marRight w:val="0"/>
          <w:marTop w:val="240"/>
          <w:marBottom w:val="0"/>
          <w:divBdr>
            <w:top w:val="none" w:sz="0" w:space="0" w:color="auto"/>
            <w:left w:val="none" w:sz="0" w:space="0" w:color="auto"/>
            <w:bottom w:val="none" w:sz="0" w:space="0" w:color="auto"/>
            <w:right w:val="none" w:sz="0" w:space="0" w:color="auto"/>
          </w:divBdr>
        </w:div>
      </w:divsChild>
    </w:div>
    <w:div w:id="21058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36/bmjspcare-2020-002761" TargetMode="External"/><Relationship Id="rId13" Type="http://schemas.openxmlformats.org/officeDocument/2006/relationships/hyperlink" Target="https://doi.org/10.3310/alert_4649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urnalslibrary.nihr.ac.uk/programmes/hsdr/165223/" TargetMode="External"/><Relationship Id="rId12" Type="http://schemas.openxmlformats.org/officeDocument/2006/relationships/hyperlink" Target="https://www.southampton.ac.uk/~assets/doc/publicpolicy/85438%20-%20A4%204pp%20Policy%20Brief%20-%20ActMe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04-020-00649-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ijnurstu.2022.104275" TargetMode="External"/><Relationship Id="rId4" Type="http://schemas.openxmlformats.org/officeDocument/2006/relationships/webSettings" Target="webSettings.xml"/><Relationship Id="rId9" Type="http://schemas.openxmlformats.org/officeDocument/2006/relationships/hyperlink" Target="https://www.journalslibrary.nihr.ac.uk/hsdr/FIQE5189/" TargetMode="External"/><Relationship Id="rId14" Type="http://schemas.openxmlformats.org/officeDocument/2006/relationships/hyperlink" Target="https://doi.org/10.1016/j.rcsop.2022.10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Campling</dc:creator>
  <cp:keywords/>
  <dc:description/>
  <cp:lastModifiedBy>Natasha Campling</cp:lastModifiedBy>
  <cp:revision>3</cp:revision>
  <dcterms:created xsi:type="dcterms:W3CDTF">2023-01-18T11:43:00Z</dcterms:created>
  <dcterms:modified xsi:type="dcterms:W3CDTF">2023-01-18T11:46:00Z</dcterms:modified>
</cp:coreProperties>
</file>