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06D46" w14:textId="23096AAA" w:rsidR="00A61E01" w:rsidRPr="00D65519" w:rsidRDefault="00A61E01" w:rsidP="00B21D15">
      <w:pPr>
        <w:spacing w:line="360" w:lineRule="auto"/>
        <w:rPr>
          <w:rFonts w:asciiTheme="majorBidi" w:hAnsiTheme="majorBidi" w:cstheme="majorBidi"/>
          <w:b/>
          <w:bCs/>
        </w:rPr>
      </w:pPr>
      <w:bookmarkStart w:id="0" w:name="_GoBack"/>
      <w:bookmarkEnd w:id="0"/>
      <w:r w:rsidRPr="00D65519">
        <w:rPr>
          <w:rFonts w:asciiTheme="majorBidi" w:hAnsiTheme="majorBidi" w:cstheme="majorBidi"/>
          <w:b/>
          <w:bCs/>
        </w:rPr>
        <w:t>Estimating the effect of proximity to school on cyclist safety using a simultaneous-equations model with</w:t>
      </w:r>
      <w:r w:rsidR="002A3C84" w:rsidRPr="00D65519">
        <w:rPr>
          <w:rFonts w:asciiTheme="majorBidi" w:hAnsiTheme="majorBidi" w:cstheme="majorBidi"/>
          <w:b/>
          <w:bCs/>
        </w:rPr>
        <w:t xml:space="preserve"> </w:t>
      </w:r>
      <w:r w:rsidRPr="00D65519">
        <w:rPr>
          <w:rFonts w:asciiTheme="majorBidi" w:hAnsiTheme="majorBidi" w:cstheme="majorBidi"/>
          <w:b/>
          <w:bCs/>
        </w:rPr>
        <w:t>heterogeneity in covariance to address potential endogeneity</w:t>
      </w:r>
    </w:p>
    <w:p w14:paraId="1302D8B4" w14:textId="77777777" w:rsidR="001A39CC" w:rsidRPr="00D65519" w:rsidRDefault="001A39CC" w:rsidP="001A39CC">
      <w:pPr>
        <w:spacing w:before="240" w:line="360" w:lineRule="auto"/>
        <w:rPr>
          <w:rFonts w:ascii="Times New Roman" w:eastAsia="Times New Roman" w:hAnsi="Times New Roman" w:cs="Times New Roman"/>
          <w:sz w:val="28"/>
          <w:szCs w:val="24"/>
          <w:lang w:eastAsia="en-GB"/>
        </w:rPr>
      </w:pPr>
    </w:p>
    <w:p w14:paraId="43DB2222" w14:textId="0CE6F2F2" w:rsidR="008C5F7D" w:rsidRPr="00D65519" w:rsidRDefault="001A39CC"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Shahram Heydari (Corresponding author)</w:t>
      </w:r>
    </w:p>
    <w:p w14:paraId="08A17C8B" w14:textId="726798A5" w:rsidR="003E64C3" w:rsidRPr="00D65519" w:rsidRDefault="001A39CC"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Lecturer (Assistant Professor)</w:t>
      </w:r>
    </w:p>
    <w:p w14:paraId="59373793" w14:textId="77777777" w:rsidR="003E64C3" w:rsidRPr="00D65519" w:rsidRDefault="001A39CC"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Transportation Research Group</w:t>
      </w:r>
    </w:p>
    <w:p w14:paraId="6B9CF06D" w14:textId="77777777" w:rsidR="003E64C3" w:rsidRPr="00D65519" w:rsidRDefault="001A39CC"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 xml:space="preserve"> Department of Civil, Maritime and Environmental Engineering</w:t>
      </w:r>
    </w:p>
    <w:p w14:paraId="38AC344F" w14:textId="77777777" w:rsidR="003E64C3" w:rsidRPr="00D65519" w:rsidRDefault="001A39CC"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 xml:space="preserve"> University of Southampton, Southampton, UK. </w:t>
      </w:r>
    </w:p>
    <w:p w14:paraId="7FE2D75A" w14:textId="7EC07743" w:rsidR="001A39CC" w:rsidRPr="00D65519" w:rsidRDefault="00D65519" w:rsidP="003E64C3">
      <w:pPr>
        <w:spacing w:before="240" w:line="240" w:lineRule="auto"/>
        <w:rPr>
          <w:rFonts w:asciiTheme="majorBidi" w:eastAsia="Times New Roman" w:hAnsiTheme="majorBidi" w:cstheme="majorBidi"/>
          <w:u w:val="single"/>
          <w:lang w:eastAsia="en-GB"/>
        </w:rPr>
      </w:pPr>
      <w:hyperlink r:id="rId11" w:history="1">
        <w:r w:rsidR="001A39CC" w:rsidRPr="00D65519">
          <w:rPr>
            <w:rFonts w:asciiTheme="majorBidi" w:eastAsia="Times New Roman" w:hAnsiTheme="majorBidi" w:cstheme="majorBidi"/>
            <w:u w:val="single"/>
            <w:lang w:eastAsia="en-GB"/>
          </w:rPr>
          <w:t>s.heydari@soton.ac.uk</w:t>
        </w:r>
      </w:hyperlink>
    </w:p>
    <w:p w14:paraId="0364D57E" w14:textId="77777777" w:rsidR="001A39CC" w:rsidRPr="00D65519" w:rsidRDefault="001A39CC" w:rsidP="001A39CC">
      <w:pPr>
        <w:spacing w:before="240" w:line="360" w:lineRule="auto"/>
        <w:rPr>
          <w:rFonts w:asciiTheme="majorBidi" w:eastAsia="Times New Roman" w:hAnsiTheme="majorBidi" w:cstheme="majorBidi"/>
          <w:u w:val="single"/>
          <w:lang w:eastAsia="en-GB"/>
        </w:rPr>
      </w:pPr>
    </w:p>
    <w:p w14:paraId="2143EF24" w14:textId="703DC47D" w:rsidR="001A39CC" w:rsidRPr="00D65519" w:rsidRDefault="001A39CC"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Michael Forrest</w:t>
      </w:r>
    </w:p>
    <w:p w14:paraId="331DEAF4" w14:textId="41139A65" w:rsidR="003E64C3" w:rsidRPr="00D65519" w:rsidRDefault="008C5F7D"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Research Assistant</w:t>
      </w:r>
    </w:p>
    <w:p w14:paraId="1284AC2F" w14:textId="77777777" w:rsidR="003E64C3" w:rsidRPr="00D65519" w:rsidRDefault="003E64C3"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Transportation Research Group</w:t>
      </w:r>
    </w:p>
    <w:p w14:paraId="06CE5048" w14:textId="77777777" w:rsidR="003E64C3" w:rsidRPr="00D65519" w:rsidRDefault="003E64C3"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 xml:space="preserve"> Department of Civil, Maritime and Environmental Engineering</w:t>
      </w:r>
    </w:p>
    <w:p w14:paraId="33EA9F64" w14:textId="77777777" w:rsidR="003E64C3" w:rsidRPr="00D65519" w:rsidRDefault="003E64C3"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 xml:space="preserve"> University of Southampton, Southampton, UK. </w:t>
      </w:r>
    </w:p>
    <w:p w14:paraId="48B94FC9" w14:textId="16C588CD" w:rsidR="008C5F7D" w:rsidRPr="00D65519" w:rsidRDefault="008C5F7D" w:rsidP="003E64C3">
      <w:pPr>
        <w:spacing w:before="240" w:line="240" w:lineRule="auto"/>
        <w:rPr>
          <w:rFonts w:asciiTheme="majorBidi" w:eastAsia="Times New Roman" w:hAnsiTheme="majorBidi" w:cstheme="majorBidi"/>
          <w:lang w:eastAsia="en-GB"/>
        </w:rPr>
      </w:pPr>
      <w:r w:rsidRPr="00D65519">
        <w:rPr>
          <w:rFonts w:asciiTheme="majorBidi" w:eastAsia="Times New Roman" w:hAnsiTheme="majorBidi" w:cstheme="majorBidi"/>
          <w:lang w:eastAsia="en-GB"/>
        </w:rPr>
        <w:t xml:space="preserve"> </w:t>
      </w:r>
      <w:hyperlink r:id="rId12" w:history="1">
        <w:r w:rsidR="001A39CC" w:rsidRPr="00D65519">
          <w:rPr>
            <w:rFonts w:asciiTheme="majorBidi" w:eastAsia="Times New Roman" w:hAnsiTheme="majorBidi" w:cstheme="majorBidi"/>
            <w:u w:val="single"/>
            <w:lang w:eastAsia="en-GB"/>
          </w:rPr>
          <w:t>mgf1g18@soton.ac.uk</w:t>
        </w:r>
      </w:hyperlink>
    </w:p>
    <w:p w14:paraId="66A56CA1" w14:textId="77777777" w:rsidR="003B2A11" w:rsidRPr="00D65519" w:rsidRDefault="003B2A11" w:rsidP="005765B0">
      <w:pPr>
        <w:spacing w:line="360" w:lineRule="auto"/>
        <w:rPr>
          <w:rFonts w:ascii="Times New Roman" w:eastAsia="Times New Roman" w:hAnsi="Times New Roman" w:cs="Times New Roman"/>
          <w:i/>
          <w:sz w:val="24"/>
          <w:szCs w:val="24"/>
          <w:u w:val="single"/>
          <w:lang w:eastAsia="en-GB"/>
        </w:rPr>
      </w:pPr>
    </w:p>
    <w:p w14:paraId="7ACD42CA" w14:textId="77777777" w:rsidR="003B2A11" w:rsidRPr="00D65519" w:rsidRDefault="003B2A11" w:rsidP="005765B0">
      <w:pPr>
        <w:spacing w:line="360" w:lineRule="auto"/>
        <w:rPr>
          <w:rFonts w:ascii="Times New Roman" w:eastAsia="Times New Roman" w:hAnsi="Times New Roman" w:cs="Times New Roman"/>
          <w:i/>
          <w:sz w:val="24"/>
          <w:szCs w:val="24"/>
          <w:u w:val="single"/>
          <w:lang w:eastAsia="en-GB"/>
        </w:rPr>
      </w:pPr>
    </w:p>
    <w:p w14:paraId="37F05FE8" w14:textId="64B28F52" w:rsidR="008C5F7D" w:rsidRPr="00D65519" w:rsidRDefault="008C5F7D" w:rsidP="006E7C80">
      <w:pPr>
        <w:spacing w:line="360" w:lineRule="auto"/>
        <w:rPr>
          <w:rFonts w:ascii="Times New Roman" w:eastAsia="Times New Roman" w:hAnsi="Times New Roman" w:cs="Times New Roman"/>
          <w:i/>
          <w:sz w:val="24"/>
          <w:szCs w:val="24"/>
          <w:u w:val="single"/>
          <w:lang w:eastAsia="en-GB"/>
        </w:rPr>
      </w:pPr>
      <w:r w:rsidRPr="00D65519">
        <w:rPr>
          <w:rFonts w:ascii="Times New Roman" w:eastAsia="Times New Roman" w:hAnsi="Times New Roman" w:cs="Times New Roman"/>
          <w:i/>
          <w:sz w:val="24"/>
          <w:szCs w:val="24"/>
          <w:u w:val="single"/>
          <w:lang w:eastAsia="en-GB"/>
        </w:rPr>
        <w:br w:type="page"/>
      </w:r>
    </w:p>
    <w:p w14:paraId="6AD85EA4" w14:textId="5A2249F7" w:rsidR="00E01FFF" w:rsidRPr="00D65519" w:rsidRDefault="00E01FFF" w:rsidP="00E01FFF">
      <w:pPr>
        <w:pStyle w:val="ThesisSub1"/>
        <w:numPr>
          <w:ilvl w:val="0"/>
          <w:numId w:val="0"/>
        </w:numPr>
        <w:ind w:left="360" w:hanging="360"/>
      </w:pPr>
      <w:r w:rsidRPr="00D65519">
        <w:lastRenderedPageBreak/>
        <w:t>Abstract</w:t>
      </w:r>
    </w:p>
    <w:p w14:paraId="4F29D74E" w14:textId="27F0E8F9" w:rsidR="00704DF5" w:rsidRPr="00D65519" w:rsidRDefault="00704DF5" w:rsidP="009322BA">
      <w:pPr>
        <w:pStyle w:val="ThesisText"/>
        <w:spacing w:line="360" w:lineRule="auto"/>
      </w:pPr>
      <w:r w:rsidRPr="00D65519">
        <w:t>T</w:t>
      </w:r>
      <w:r w:rsidR="00A70D63" w:rsidRPr="00D65519">
        <w:t xml:space="preserve">raffic </w:t>
      </w:r>
      <w:r w:rsidRPr="00D65519">
        <w:t xml:space="preserve">safety </w:t>
      </w:r>
      <w:r w:rsidR="00A70D63" w:rsidRPr="00D65519">
        <w:t>around schools is</w:t>
      </w:r>
      <w:r w:rsidRPr="00D65519">
        <w:t xml:space="preserve"> a </w:t>
      </w:r>
      <w:r w:rsidR="00A61E01" w:rsidRPr="00D65519">
        <w:t xml:space="preserve">major </w:t>
      </w:r>
      <w:r w:rsidRPr="00D65519">
        <w:t xml:space="preserve">concern for policy makers and as such safety interventions are often targeted near schools. </w:t>
      </w:r>
      <w:r w:rsidR="00114E35" w:rsidRPr="00D65519">
        <w:t>This paper shows the importance of accounting for the potential</w:t>
      </w:r>
      <w:r w:rsidRPr="00D65519">
        <w:t xml:space="preserve"> endogeneity of </w:t>
      </w:r>
      <w:r w:rsidR="007D2D46" w:rsidRPr="00D65519">
        <w:t xml:space="preserve">proximity to school </w:t>
      </w:r>
      <w:r w:rsidR="000F3E78" w:rsidRPr="00D65519">
        <w:t xml:space="preserve">when attempting to estimate its </w:t>
      </w:r>
      <w:r w:rsidR="003C707A" w:rsidRPr="00D65519">
        <w:t>impact</w:t>
      </w:r>
      <w:r w:rsidR="000F3E78" w:rsidRPr="00D65519">
        <w:t xml:space="preserve"> on </w:t>
      </w:r>
      <w:r w:rsidR="003C707A" w:rsidRPr="00D65519">
        <w:t xml:space="preserve">traffic </w:t>
      </w:r>
      <w:r w:rsidR="000F3E78" w:rsidRPr="00D65519">
        <w:t>safety</w:t>
      </w:r>
      <w:r w:rsidR="00F75DDA" w:rsidRPr="00D65519">
        <w:t xml:space="preserve">. </w:t>
      </w:r>
      <w:r w:rsidR="003C707A" w:rsidRPr="00D65519">
        <w:t>In this research, w</w:t>
      </w:r>
      <w:r w:rsidR="00DB25AA" w:rsidRPr="00D65519">
        <w:t xml:space="preserve">e </w:t>
      </w:r>
      <w:r w:rsidRPr="00D65519">
        <w:t xml:space="preserve">use a </w:t>
      </w:r>
      <w:r w:rsidR="001A39CC" w:rsidRPr="00D65519">
        <w:t xml:space="preserve">Bayesian </w:t>
      </w:r>
      <w:r w:rsidRPr="00D65519">
        <w:t xml:space="preserve">simultaneous econometric approach </w:t>
      </w:r>
      <w:r w:rsidR="007D2D46" w:rsidRPr="00D65519">
        <w:t xml:space="preserve">with heterogeneity in covariance </w:t>
      </w:r>
      <w:r w:rsidRPr="00D65519">
        <w:t xml:space="preserve">to </w:t>
      </w:r>
      <w:r w:rsidR="007D2D46" w:rsidRPr="00D65519">
        <w:t xml:space="preserve">disentangle the true </w:t>
      </w:r>
      <w:r w:rsidRPr="00D65519">
        <w:t>effect of proximity to school on cyclist injur</w:t>
      </w:r>
      <w:r w:rsidR="00DB25AA" w:rsidRPr="00D65519">
        <w:t>y frequencies</w:t>
      </w:r>
      <w:r w:rsidRPr="00D65519">
        <w:t xml:space="preserve"> at signalised intersections</w:t>
      </w:r>
      <w:r w:rsidR="007D2D46" w:rsidRPr="00D65519">
        <w:t xml:space="preserve"> in an urban setting</w:t>
      </w:r>
      <w:r w:rsidRPr="00D65519">
        <w:t xml:space="preserve">. </w:t>
      </w:r>
      <w:r w:rsidR="00231639" w:rsidRPr="00D65519">
        <w:t>We assess the</w:t>
      </w:r>
      <w:r w:rsidR="004A37B6" w:rsidRPr="00D65519">
        <w:t xml:space="preserve"> robustness</w:t>
      </w:r>
      <w:r w:rsidR="00231639" w:rsidRPr="00D65519">
        <w:t xml:space="preserve"> of </w:t>
      </w:r>
      <w:r w:rsidR="004A37B6" w:rsidRPr="00D65519">
        <w:t xml:space="preserve">the bivariate normal assumption, </w:t>
      </w:r>
      <w:r w:rsidR="00231639" w:rsidRPr="00D65519">
        <w:t>using</w:t>
      </w:r>
      <w:r w:rsidR="004A37B6" w:rsidRPr="00D65519">
        <w:t xml:space="preserve"> a scale mixing approach. </w:t>
      </w:r>
      <w:r w:rsidRPr="00D65519">
        <w:t xml:space="preserve">Notably, we found that proximity to school was associated with an increase in cyclist injuries and this association was stronger when endogeneity was accounted for in the model, confirming the importance of considering endogeneity in studies of </w:t>
      </w:r>
      <w:r w:rsidR="00315B25" w:rsidRPr="00D65519">
        <w:t xml:space="preserve">traffic </w:t>
      </w:r>
      <w:r w:rsidRPr="00D65519">
        <w:t xml:space="preserve">safety </w:t>
      </w:r>
      <w:r w:rsidR="00BC218F" w:rsidRPr="00D65519">
        <w:t>near schools</w:t>
      </w:r>
      <w:r w:rsidRPr="00D65519">
        <w:t xml:space="preserve">. </w:t>
      </w:r>
      <w:r w:rsidR="005472E7" w:rsidRPr="00D65519">
        <w:t xml:space="preserve">Our heterogeneity in covariance </w:t>
      </w:r>
      <w:r w:rsidR="00A62D04" w:rsidRPr="00D65519">
        <w:t xml:space="preserve">specification revealed systematic variations in the covariance structure, which would otherwise go unobserved, providing further insights into sources of heterogeneity with the same set of variables available in the data. </w:t>
      </w:r>
      <w:r w:rsidR="00A61E01" w:rsidRPr="00D65519">
        <w:t xml:space="preserve">A safety-in-numbers effect is also found for cyclists in the study area and period. </w:t>
      </w:r>
      <w:r w:rsidRPr="00D65519">
        <w:t>This research offers policy implications based on the findings of the analysis including the need for safety interventions at intersections with high vehicle</w:t>
      </w:r>
      <w:r w:rsidR="006731F9" w:rsidRPr="00D65519">
        <w:t xml:space="preserve"> turning</w:t>
      </w:r>
      <w:r w:rsidRPr="00D65519">
        <w:t xml:space="preserve"> counts and those in proximity to public transport stops</w:t>
      </w:r>
      <w:r w:rsidR="00EB1993" w:rsidRPr="00D65519">
        <w:t>,</w:t>
      </w:r>
      <w:r w:rsidR="005472E7" w:rsidRPr="00D65519">
        <w:t xml:space="preserve"> and better informing decision-makers regarding the magnitude of the impact of proximity to school on cyclist safety at intersections</w:t>
      </w:r>
      <w:r w:rsidRPr="00D65519">
        <w:t xml:space="preserve">. </w:t>
      </w:r>
    </w:p>
    <w:p w14:paraId="0930A4E3" w14:textId="5654E00E" w:rsidR="009F39F8" w:rsidRPr="00D65519" w:rsidRDefault="00704DF5" w:rsidP="001E5F12">
      <w:pPr>
        <w:pStyle w:val="ThesisText"/>
        <w:spacing w:line="360" w:lineRule="auto"/>
      </w:pPr>
      <w:r w:rsidRPr="00D65519">
        <w:t xml:space="preserve">Keywords: </w:t>
      </w:r>
      <w:r w:rsidR="00F1599D" w:rsidRPr="00D65519">
        <w:t>cyclist</w:t>
      </w:r>
      <w:r w:rsidR="00290E8A" w:rsidRPr="00D65519">
        <w:t xml:space="preserve"> </w:t>
      </w:r>
      <w:r w:rsidR="00F1599D" w:rsidRPr="00D65519">
        <w:t>injury, school</w:t>
      </w:r>
      <w:r w:rsidR="007A0F2F" w:rsidRPr="00D65519">
        <w:t xml:space="preserve"> </w:t>
      </w:r>
      <w:r w:rsidR="00F1599D" w:rsidRPr="00D65519">
        <w:t>s</w:t>
      </w:r>
      <w:r w:rsidR="007A0F2F" w:rsidRPr="00D65519">
        <w:t>iting</w:t>
      </w:r>
      <w:r w:rsidR="00F1599D" w:rsidRPr="00D65519">
        <w:t xml:space="preserve">, </w:t>
      </w:r>
      <w:r w:rsidRPr="00D65519">
        <w:t>endo</w:t>
      </w:r>
      <w:r w:rsidR="00F21351" w:rsidRPr="00D65519">
        <w:t xml:space="preserve">geneity, </w:t>
      </w:r>
      <w:r w:rsidR="00EB1993" w:rsidRPr="00D65519">
        <w:t>system-equation</w:t>
      </w:r>
      <w:r w:rsidR="00F21351" w:rsidRPr="00D65519">
        <w:t xml:space="preserve"> modelling,</w:t>
      </w:r>
      <w:r w:rsidR="00EB1993" w:rsidRPr="00D65519">
        <w:t xml:space="preserve"> </w:t>
      </w:r>
      <w:r w:rsidR="001E5F12" w:rsidRPr="00D65519">
        <w:t xml:space="preserve">scale mixing, </w:t>
      </w:r>
      <w:r w:rsidRPr="00D65519">
        <w:t>safety</w:t>
      </w:r>
      <w:r w:rsidR="00C347E3" w:rsidRPr="00D65519">
        <w:t>-</w:t>
      </w:r>
      <w:r w:rsidRPr="00D65519">
        <w:t>in</w:t>
      </w:r>
      <w:r w:rsidR="00C347E3" w:rsidRPr="00D65519">
        <w:t>-</w:t>
      </w:r>
      <w:r w:rsidRPr="00D65519">
        <w:t>numbers</w:t>
      </w:r>
    </w:p>
    <w:p w14:paraId="07F768D8" w14:textId="0EAF75AC" w:rsidR="00E007C3" w:rsidRPr="00D65519" w:rsidRDefault="00E007C3" w:rsidP="00F1599D">
      <w:pPr>
        <w:pStyle w:val="ThesisText"/>
        <w:spacing w:line="360" w:lineRule="auto"/>
      </w:pPr>
    </w:p>
    <w:p w14:paraId="7C41FA82" w14:textId="36487271" w:rsidR="00E007C3" w:rsidRPr="00D65519" w:rsidRDefault="00E007C3" w:rsidP="00F1599D">
      <w:pPr>
        <w:pStyle w:val="ThesisText"/>
        <w:spacing w:line="360" w:lineRule="auto"/>
      </w:pPr>
    </w:p>
    <w:p w14:paraId="145B3930" w14:textId="20864061" w:rsidR="00E007C3" w:rsidRPr="00D65519" w:rsidRDefault="00E007C3" w:rsidP="00F1599D">
      <w:pPr>
        <w:pStyle w:val="ThesisText"/>
        <w:spacing w:line="360" w:lineRule="auto"/>
      </w:pPr>
    </w:p>
    <w:p w14:paraId="596088DA" w14:textId="6C6E944C" w:rsidR="00E007C3" w:rsidRPr="00D65519" w:rsidRDefault="00E007C3" w:rsidP="00F1599D">
      <w:pPr>
        <w:pStyle w:val="ThesisText"/>
        <w:spacing w:line="360" w:lineRule="auto"/>
      </w:pPr>
    </w:p>
    <w:p w14:paraId="693C06EA" w14:textId="6C915D1A" w:rsidR="00E007C3" w:rsidRPr="00D65519" w:rsidRDefault="00E007C3" w:rsidP="00F1599D">
      <w:pPr>
        <w:pStyle w:val="ThesisText"/>
        <w:spacing w:line="360" w:lineRule="auto"/>
      </w:pPr>
    </w:p>
    <w:p w14:paraId="1FAD94CD" w14:textId="30679FAF" w:rsidR="00E007C3" w:rsidRPr="00D65519" w:rsidRDefault="00E007C3" w:rsidP="00F1599D">
      <w:pPr>
        <w:pStyle w:val="ThesisText"/>
        <w:spacing w:line="360" w:lineRule="auto"/>
      </w:pPr>
    </w:p>
    <w:p w14:paraId="1265D7D7" w14:textId="3D6B9777" w:rsidR="00E007C3" w:rsidRPr="00D65519" w:rsidRDefault="00E007C3" w:rsidP="00F1599D">
      <w:pPr>
        <w:pStyle w:val="ThesisText"/>
        <w:spacing w:line="360" w:lineRule="auto"/>
      </w:pPr>
    </w:p>
    <w:p w14:paraId="639E76F6" w14:textId="43237648" w:rsidR="00E007C3" w:rsidRPr="00D65519" w:rsidRDefault="00E007C3" w:rsidP="00F1599D">
      <w:pPr>
        <w:pStyle w:val="ThesisText"/>
        <w:spacing w:line="360" w:lineRule="auto"/>
      </w:pPr>
    </w:p>
    <w:p w14:paraId="427D7230" w14:textId="63DDC9CB" w:rsidR="00E007C3" w:rsidRPr="00D65519" w:rsidRDefault="00E007C3" w:rsidP="00F1599D">
      <w:pPr>
        <w:pStyle w:val="ThesisText"/>
        <w:spacing w:line="360" w:lineRule="auto"/>
      </w:pPr>
    </w:p>
    <w:p w14:paraId="4E9356A6" w14:textId="687A7434" w:rsidR="00E007C3" w:rsidRPr="00D65519" w:rsidRDefault="00E007C3" w:rsidP="00F1599D">
      <w:pPr>
        <w:pStyle w:val="ThesisText"/>
        <w:spacing w:line="360" w:lineRule="auto"/>
      </w:pPr>
    </w:p>
    <w:p w14:paraId="3CC8ED5F" w14:textId="2A83BA8F" w:rsidR="00E007C3" w:rsidRPr="00D65519" w:rsidRDefault="00E007C3" w:rsidP="00F1599D">
      <w:pPr>
        <w:pStyle w:val="ThesisText"/>
        <w:spacing w:line="360" w:lineRule="auto"/>
      </w:pPr>
    </w:p>
    <w:p w14:paraId="1A98C569" w14:textId="77777777" w:rsidR="00E007C3" w:rsidRPr="00D65519" w:rsidRDefault="00E007C3" w:rsidP="00F1599D">
      <w:pPr>
        <w:pStyle w:val="ThesisText"/>
        <w:spacing w:line="360" w:lineRule="auto"/>
      </w:pPr>
    </w:p>
    <w:p w14:paraId="27A6DC7F" w14:textId="6FF516CB" w:rsidR="00704DF5" w:rsidRPr="00D65519" w:rsidRDefault="009F39F8" w:rsidP="005765B0">
      <w:pPr>
        <w:pStyle w:val="ThesisSub1"/>
        <w:spacing w:line="360" w:lineRule="auto"/>
      </w:pPr>
      <w:r w:rsidRPr="00D65519">
        <w:lastRenderedPageBreak/>
        <w:t>Introduction</w:t>
      </w:r>
    </w:p>
    <w:p w14:paraId="28784D7A" w14:textId="0E7A7D0B" w:rsidR="009F39F8" w:rsidRPr="00D65519" w:rsidRDefault="00136ADF" w:rsidP="002C0D32">
      <w:pPr>
        <w:pStyle w:val="ThesisText"/>
        <w:spacing w:line="360" w:lineRule="auto"/>
      </w:pPr>
      <w:r w:rsidRPr="00D65519">
        <w:t>Cycling to school is encouraged by most governmental bod</w:t>
      </w:r>
      <w:r w:rsidR="00A3418E" w:rsidRPr="00D65519">
        <w:t xml:space="preserve">ies due to the health benefits </w:t>
      </w:r>
      <w:r w:rsidR="00903FCD" w:rsidRPr="00D65519">
        <w:t xml:space="preserve">that </w:t>
      </w:r>
      <w:r w:rsidRPr="00D65519">
        <w:t>come with travelling actively, as well as the positive aspects of reducing car trips for pollution and congestion. On the other hand, the safety of cyclists on the road is a</w:t>
      </w:r>
      <w:r w:rsidR="002C0D32" w:rsidRPr="00D65519">
        <w:t xml:space="preserve"> key</w:t>
      </w:r>
      <w:r w:rsidRPr="00D65519">
        <w:t xml:space="preserve"> factor </w:t>
      </w:r>
      <w:r w:rsidR="002C0D32" w:rsidRPr="00D65519">
        <w:t xml:space="preserve">that </w:t>
      </w:r>
      <w:r w:rsidRPr="00D65519">
        <w:t xml:space="preserve">needs to be considered and advocated. Owing to the lack of physical protection </w:t>
      </w:r>
      <w:r w:rsidR="002C0D32" w:rsidRPr="00D65519">
        <w:t xml:space="preserve">that </w:t>
      </w:r>
      <w:r w:rsidRPr="00D65519">
        <w:t>a cyclist has in the event of a collision, injury rates relative to distance travelled are notably higher for cyclists than motor vehicles and concerns over safety are a barrier to cycling uptake. Furthermore, children have been noted to be susceptible to being involved in traffic crashes due to their underdeveloped cognitive abilities as well as certain behavioural traits. In response to this perceived and observable danger, school areas are often targeted for safety interventions including cycling specific features such as cycle lanes, advanced stop lines and low traffic neighbourhoods.</w:t>
      </w:r>
    </w:p>
    <w:p w14:paraId="595C68D8" w14:textId="242F11AD" w:rsidR="00136ADF" w:rsidRPr="00D65519" w:rsidRDefault="00136ADF" w:rsidP="005765B0">
      <w:pPr>
        <w:pStyle w:val="ThesisSub2"/>
        <w:spacing w:line="360" w:lineRule="auto"/>
        <w:rPr>
          <w:color w:val="auto"/>
        </w:rPr>
      </w:pPr>
      <w:r w:rsidRPr="00D65519">
        <w:rPr>
          <w:color w:val="auto"/>
        </w:rPr>
        <w:t>Previous research</w:t>
      </w:r>
    </w:p>
    <w:p w14:paraId="707F6A05" w14:textId="6FABE983" w:rsidR="008903A8" w:rsidRPr="00D65519" w:rsidRDefault="002141A7" w:rsidP="00CB7247">
      <w:pPr>
        <w:pStyle w:val="ThesisText"/>
        <w:spacing w:line="360" w:lineRule="auto"/>
      </w:pPr>
      <w:r w:rsidRPr="00D65519">
        <w:t xml:space="preserve">The </w:t>
      </w:r>
      <w:r w:rsidR="008903A8" w:rsidRPr="00D65519">
        <w:t>safety</w:t>
      </w:r>
      <w:r w:rsidRPr="00D65519">
        <w:t xml:space="preserve"> of cyclists</w:t>
      </w:r>
      <w:r w:rsidR="008903A8" w:rsidRPr="00D65519">
        <w:t xml:space="preserve"> at intersections is the subject of a body of research as this is where a high proportion of cyclist crashes occur, 68% in Great Britain in 2020 for instance (</w:t>
      </w:r>
      <w:proofErr w:type="spellStart"/>
      <w:r w:rsidR="008903A8" w:rsidRPr="00D65519">
        <w:t>DfT</w:t>
      </w:r>
      <w:proofErr w:type="spellEnd"/>
      <w:r w:rsidR="008903A8" w:rsidRPr="00D65519">
        <w:t>, 2021). The nature of turning vehicles creates more conflicts as, by necessity, more than one road user attempts to use the same space. Many factors have been shown to be significantly associated with cyclist crash frequency at intersections both at an individual level such as gender (</w:t>
      </w:r>
      <w:proofErr w:type="spellStart"/>
      <w:r w:rsidR="008903A8" w:rsidRPr="00D65519">
        <w:t>Stipancic</w:t>
      </w:r>
      <w:proofErr w:type="spellEnd"/>
      <w:r w:rsidR="008903A8" w:rsidRPr="00D65519">
        <w:t xml:space="preserve"> et al., 2016) and at intersection level such as the type of roads intersecting (Harris et al., 2013).</w:t>
      </w:r>
      <w:r w:rsidR="000E1333" w:rsidRPr="00D65519">
        <w:t xml:space="preserve"> </w:t>
      </w:r>
      <w:r w:rsidR="00153B3D" w:rsidRPr="00D65519">
        <w:t xml:space="preserve">Cycle safety analyses generally </w:t>
      </w:r>
      <w:r w:rsidR="008E2A5D" w:rsidRPr="00D65519">
        <w:t xml:space="preserve">draw inferences at either a </w:t>
      </w:r>
      <w:r w:rsidR="00575F82" w:rsidRPr="00D65519">
        <w:t>macroscopic (</w:t>
      </w:r>
      <w:r w:rsidR="004B629E" w:rsidRPr="00D65519">
        <w:t xml:space="preserve">Osama et al., 2017; </w:t>
      </w:r>
      <w:r w:rsidR="004B16E1" w:rsidRPr="00D65519">
        <w:t>Guo et al.</w:t>
      </w:r>
      <w:r w:rsidR="00223349" w:rsidRPr="00D65519">
        <w:t>,</w:t>
      </w:r>
      <w:r w:rsidR="004B16E1" w:rsidRPr="00D65519">
        <w:t xml:space="preserve"> 2018</w:t>
      </w:r>
      <w:r w:rsidR="00575F82" w:rsidRPr="00D65519">
        <w:t xml:space="preserve">) </w:t>
      </w:r>
      <w:r w:rsidR="008E2A5D" w:rsidRPr="00D65519">
        <w:t>or</w:t>
      </w:r>
      <w:r w:rsidR="00575F82" w:rsidRPr="00D65519">
        <w:t xml:space="preserve"> microscopic (</w:t>
      </w:r>
      <w:r w:rsidR="00C4657B" w:rsidRPr="00D65519">
        <w:t xml:space="preserve">Behnood et al., </w:t>
      </w:r>
      <w:r w:rsidR="00496E4E" w:rsidRPr="00D65519">
        <w:t xml:space="preserve">2017; </w:t>
      </w:r>
      <w:r w:rsidR="0001136B" w:rsidRPr="00D65519">
        <w:t xml:space="preserve">Heydari et al., 2017; </w:t>
      </w:r>
      <w:r w:rsidR="002A4D47" w:rsidRPr="00D65519">
        <w:t>Fountas et al., 2021</w:t>
      </w:r>
      <w:r w:rsidR="00575F82" w:rsidRPr="00D65519">
        <w:t xml:space="preserve">) level. </w:t>
      </w:r>
    </w:p>
    <w:p w14:paraId="5411ACC2" w14:textId="2278D19A" w:rsidR="00E46250" w:rsidRPr="00D65519" w:rsidRDefault="00865173" w:rsidP="00BB0D06">
      <w:pPr>
        <w:pStyle w:val="ThesisText"/>
        <w:spacing w:line="360" w:lineRule="auto"/>
      </w:pPr>
      <w:r w:rsidRPr="00D65519">
        <w:t xml:space="preserve">The factors that would generally be assumed to have an effect on safety at an intersection in proximity to a school as opposed to an intersection not in the presence of a school would include: the demographics of the road users and their related behaviours such as distracted children; and the safety features that might be in place at these intersections such as reduced speed limits. </w:t>
      </w:r>
      <w:r w:rsidR="008903A8" w:rsidRPr="00D65519">
        <w:t xml:space="preserve">The extent to which proximity to a school or the number of schools in an area is associated with </w:t>
      </w:r>
      <w:r w:rsidR="00BB0D06" w:rsidRPr="00D65519">
        <w:t xml:space="preserve">pedestrian </w:t>
      </w:r>
      <w:r w:rsidR="008903A8" w:rsidRPr="00D65519">
        <w:t>safety has been studied as part of a number of investigations (Ukkusuri et al., 2012; Bhat et al., 2017</w:t>
      </w:r>
      <w:r w:rsidR="00857A3A" w:rsidRPr="00D65519">
        <w:t>; Heydari et al, 2020</w:t>
      </w:r>
      <w:r w:rsidR="008903A8" w:rsidRPr="00D65519">
        <w:t xml:space="preserve">). </w:t>
      </w:r>
      <w:r w:rsidR="00AD7125" w:rsidRPr="00D65519">
        <w:t>However, e</w:t>
      </w:r>
      <w:r w:rsidR="008903A8" w:rsidRPr="00D65519">
        <w:t xml:space="preserve">xploring cyclist safety in </w:t>
      </w:r>
      <w:r w:rsidR="00BB0D06" w:rsidRPr="00D65519">
        <w:t xml:space="preserve">relation to school siting </w:t>
      </w:r>
      <w:r w:rsidR="008903A8" w:rsidRPr="00D65519">
        <w:t xml:space="preserve">is </w:t>
      </w:r>
      <w:r w:rsidR="00BB0D06" w:rsidRPr="00D65519">
        <w:t xml:space="preserve">relatively </w:t>
      </w:r>
      <w:r w:rsidR="00AC6201" w:rsidRPr="00D65519">
        <w:t>limited</w:t>
      </w:r>
      <w:r w:rsidR="008903A8" w:rsidRPr="00D65519">
        <w:t xml:space="preserve"> in the literature. </w:t>
      </w:r>
    </w:p>
    <w:p w14:paraId="11F80EAF" w14:textId="1F6E5C0A" w:rsidR="00842125" w:rsidRPr="00D65519" w:rsidRDefault="008903A8" w:rsidP="005E74CE">
      <w:pPr>
        <w:pStyle w:val="ThesisText"/>
        <w:spacing w:line="360" w:lineRule="auto"/>
      </w:pPr>
      <w:r w:rsidRPr="00D65519">
        <w:t xml:space="preserve">Several papers have identified the effect which the volume of children has on crashes (Amoh-Gyimah et al., 2016; Bhat et al. 2017), and the proportion of children is naturally a key factor of intersections in proximity to a school. There is </w:t>
      </w:r>
      <w:r w:rsidR="00C647B3" w:rsidRPr="00D65519">
        <w:t xml:space="preserve">uncertainty </w:t>
      </w:r>
      <w:r w:rsidRPr="00D65519">
        <w:t xml:space="preserve">regarding the impact of a greater volume of children on safety. On the one hand, children exhibit behavioural traits such as recklessness and inattentiveness </w:t>
      </w:r>
      <w:r w:rsidR="00857A3A" w:rsidRPr="00D65519">
        <w:t xml:space="preserve">that </w:t>
      </w:r>
      <w:r w:rsidRPr="00D65519">
        <w:t xml:space="preserve">are often found to be associated with a higher </w:t>
      </w:r>
      <w:r w:rsidR="00857A3A" w:rsidRPr="00D65519">
        <w:t xml:space="preserve">crash </w:t>
      </w:r>
      <w:r w:rsidRPr="00D65519">
        <w:t>likelihood</w:t>
      </w:r>
      <w:r w:rsidR="00857A3A" w:rsidRPr="00D65519">
        <w:t xml:space="preserve"> </w:t>
      </w:r>
      <w:r w:rsidRPr="00D65519">
        <w:t>(</w:t>
      </w:r>
      <w:proofErr w:type="spellStart"/>
      <w:r w:rsidRPr="00D65519">
        <w:t>Gitelman</w:t>
      </w:r>
      <w:proofErr w:type="spellEnd"/>
      <w:r w:rsidRPr="00D65519">
        <w:t xml:space="preserve"> et al., 2019); however, some research shows that in certain circumstances other road users take more care around children</w:t>
      </w:r>
      <w:r w:rsidR="00AF28C6" w:rsidRPr="00D65519">
        <w:t>, which leads to increased safety</w:t>
      </w:r>
      <w:r w:rsidRPr="00D65519">
        <w:t xml:space="preserve"> (Johansson and </w:t>
      </w:r>
      <w:proofErr w:type="spellStart"/>
      <w:r w:rsidRPr="00D65519">
        <w:t>Leden</w:t>
      </w:r>
      <w:proofErr w:type="spellEnd"/>
      <w:r w:rsidRPr="00D65519">
        <w:t>, 2007). Safety improvement programmes are also often implemented around schools</w:t>
      </w:r>
      <w:r w:rsidR="00E46250" w:rsidRPr="00D65519">
        <w:t xml:space="preserve">. These </w:t>
      </w:r>
      <w:r w:rsidR="000E0ED4" w:rsidRPr="00D65519">
        <w:t xml:space="preserve">are </w:t>
      </w:r>
      <w:r w:rsidR="004C7D08" w:rsidRPr="00D65519">
        <w:t xml:space="preserve">deliberate policy interventions and thus </w:t>
      </w:r>
      <w:r w:rsidR="000E0ED4" w:rsidRPr="00D65519">
        <w:t>not random</w:t>
      </w:r>
      <w:r w:rsidR="004C7D08" w:rsidRPr="00D65519">
        <w:t>,</w:t>
      </w:r>
      <w:r w:rsidR="000E0ED4" w:rsidRPr="00D65519">
        <w:t xml:space="preserve"> leading to </w:t>
      </w:r>
      <w:r w:rsidR="00552A5B" w:rsidRPr="00D65519">
        <w:lastRenderedPageBreak/>
        <w:t xml:space="preserve">the </w:t>
      </w:r>
      <w:r w:rsidR="000E0ED4" w:rsidRPr="00D65519">
        <w:t xml:space="preserve">self-selection </w:t>
      </w:r>
      <w:r w:rsidR="009064F6" w:rsidRPr="00D65519">
        <w:t>problem</w:t>
      </w:r>
      <w:r w:rsidR="000E0ED4" w:rsidRPr="00D65519">
        <w:t xml:space="preserve"> (Cao et al., 2009). </w:t>
      </w:r>
      <w:r w:rsidR="00CE1C88" w:rsidRPr="00D65519">
        <w:t>In general, s</w:t>
      </w:r>
      <w:r w:rsidR="00E46250" w:rsidRPr="00D65519">
        <w:t xml:space="preserve">afety improvement </w:t>
      </w:r>
      <w:r w:rsidR="000E0ED4" w:rsidRPr="00D65519">
        <w:t>programmes</w:t>
      </w:r>
      <w:r w:rsidRPr="00D65519">
        <w:t xml:space="preserve"> have been shown to have a positive effect on walking and cycling safety (</w:t>
      </w:r>
      <w:proofErr w:type="spellStart"/>
      <w:r w:rsidR="00456AA8" w:rsidRPr="00D65519">
        <w:t>Boarnet</w:t>
      </w:r>
      <w:proofErr w:type="spellEnd"/>
      <w:r w:rsidR="00456AA8" w:rsidRPr="00D65519">
        <w:t xml:space="preserve"> et al., 2005; </w:t>
      </w:r>
      <w:r w:rsidRPr="00D65519">
        <w:t>Ragland et al., 2014), but there is also the potential for risk compensation</w:t>
      </w:r>
      <w:r w:rsidR="00857A3A" w:rsidRPr="00D65519">
        <w:t xml:space="preserve"> (Winston et al., 2006)</w:t>
      </w:r>
      <w:r w:rsidRPr="00D65519">
        <w:t xml:space="preserve"> from </w:t>
      </w:r>
      <w:r w:rsidR="00AD7125" w:rsidRPr="00D65519">
        <w:t>road users</w:t>
      </w:r>
      <w:r w:rsidRPr="00D65519">
        <w:t xml:space="preserve"> who assume </w:t>
      </w:r>
      <w:r w:rsidR="00AD7125" w:rsidRPr="00D65519">
        <w:t>an</w:t>
      </w:r>
      <w:r w:rsidRPr="00D65519">
        <w:t xml:space="preserve"> increased safety </w:t>
      </w:r>
      <w:r w:rsidR="00AD7125" w:rsidRPr="00D65519">
        <w:t>condition exist</w:t>
      </w:r>
      <w:r w:rsidR="00D23594" w:rsidRPr="00D65519">
        <w:t>s</w:t>
      </w:r>
      <w:r w:rsidR="00AD7125" w:rsidRPr="00D65519">
        <w:t xml:space="preserve"> in such locations </w:t>
      </w:r>
      <w:r w:rsidRPr="00D65519">
        <w:t>and respond by being less attentive in these areas.</w:t>
      </w:r>
      <w:r w:rsidR="002D0B6D" w:rsidRPr="00D65519">
        <w:t xml:space="preserve"> </w:t>
      </w:r>
      <w:r w:rsidRPr="00D65519">
        <w:t xml:space="preserve">The issue with </w:t>
      </w:r>
      <w:r w:rsidR="00F24AB8" w:rsidRPr="00D65519">
        <w:t>estimating</w:t>
      </w:r>
      <w:r w:rsidRPr="00D65519">
        <w:t xml:space="preserve"> the </w:t>
      </w:r>
      <w:r w:rsidR="008601B5" w:rsidRPr="00D65519">
        <w:t xml:space="preserve">“true” </w:t>
      </w:r>
      <w:r w:rsidRPr="00D65519">
        <w:t xml:space="preserve">effect </w:t>
      </w:r>
      <w:r w:rsidR="00AD7125" w:rsidRPr="00D65519">
        <w:t>of proximity</w:t>
      </w:r>
      <w:r w:rsidRPr="00D65519">
        <w:t xml:space="preserve"> to schools </w:t>
      </w:r>
      <w:r w:rsidR="00F24AB8" w:rsidRPr="00D65519">
        <w:t xml:space="preserve">on cyclist safety </w:t>
      </w:r>
      <w:r w:rsidRPr="00D65519">
        <w:t xml:space="preserve">is that factors </w:t>
      </w:r>
      <w:r w:rsidR="002C447A" w:rsidRPr="00D65519">
        <w:t>which</w:t>
      </w:r>
      <w:r w:rsidR="00F24AB8" w:rsidRPr="00D65519">
        <w:t xml:space="preserve"> </w:t>
      </w:r>
      <w:r w:rsidRPr="00D65519">
        <w:t xml:space="preserve">have an association with </w:t>
      </w:r>
      <w:r w:rsidR="008601B5" w:rsidRPr="00D65519">
        <w:t>school siting</w:t>
      </w:r>
      <w:r w:rsidRPr="00D65519">
        <w:t xml:space="preserve"> often themselves have an </w:t>
      </w:r>
      <w:r w:rsidR="001511A4" w:rsidRPr="00D65519">
        <w:t>association with cycling safety;</w:t>
      </w:r>
      <w:r w:rsidRPr="00D65519">
        <w:t xml:space="preserve"> </w:t>
      </w:r>
      <w:r w:rsidR="001511A4" w:rsidRPr="00D65519">
        <w:t>simultaneously</w:t>
      </w:r>
      <w:r w:rsidRPr="00D65519">
        <w:t xml:space="preserve">, the presence of </w:t>
      </w:r>
      <w:r w:rsidR="00AD7125" w:rsidRPr="00D65519">
        <w:t>school has</w:t>
      </w:r>
      <w:r w:rsidRPr="00D65519">
        <w:t xml:space="preserve"> a bearing on </w:t>
      </w:r>
      <w:r w:rsidR="001511A4" w:rsidRPr="00D65519">
        <w:t xml:space="preserve">cyclist </w:t>
      </w:r>
      <w:r w:rsidRPr="00D65519">
        <w:t>safety. The</w:t>
      </w:r>
      <w:r w:rsidR="009D20F6" w:rsidRPr="00D65519">
        <w:t>refore</w:t>
      </w:r>
      <w:r w:rsidR="00DE3365" w:rsidRPr="00D65519">
        <w:t xml:space="preserve">, </w:t>
      </w:r>
      <w:r w:rsidR="009D20F6" w:rsidRPr="00D65519">
        <w:t>issues of confounding</w:t>
      </w:r>
      <w:r w:rsidR="0094532B" w:rsidRPr="00D65519">
        <w:t xml:space="preserve"> would</w:t>
      </w:r>
      <w:r w:rsidR="009D20F6" w:rsidRPr="00D65519">
        <w:t xml:space="preserve"> </w:t>
      </w:r>
      <w:r w:rsidR="00DA310E" w:rsidRPr="00D65519">
        <w:t>a</w:t>
      </w:r>
      <w:r w:rsidR="009D20F6" w:rsidRPr="00D65519">
        <w:t>rise</w:t>
      </w:r>
      <w:r w:rsidRPr="00D65519">
        <w:t xml:space="preserve"> within any analysis </w:t>
      </w:r>
      <w:r w:rsidR="009D20F6" w:rsidRPr="00D65519">
        <w:t xml:space="preserve">that </w:t>
      </w:r>
      <w:r w:rsidRPr="00D65519">
        <w:t xml:space="preserve">seeks to </w:t>
      </w:r>
      <w:r w:rsidR="00BD0ABF" w:rsidRPr="00D65519">
        <w:t xml:space="preserve">estimate </w:t>
      </w:r>
      <w:r w:rsidRPr="00D65519">
        <w:t xml:space="preserve">the </w:t>
      </w:r>
      <w:r w:rsidR="0081374C" w:rsidRPr="00D65519">
        <w:t>e</w:t>
      </w:r>
      <w:r w:rsidRPr="00D65519">
        <w:t xml:space="preserve">ffect of proximity to school on traffic safety, including cyclist injury frequencies. </w:t>
      </w:r>
      <w:r w:rsidR="00AD1309" w:rsidRPr="00D65519">
        <w:t xml:space="preserve">Also, </w:t>
      </w:r>
      <w:r w:rsidR="00A968C3" w:rsidRPr="00D65519">
        <w:t>self-selective sampling</w:t>
      </w:r>
      <w:r w:rsidR="00AD1309" w:rsidRPr="00D65519">
        <w:t xml:space="preserve">, as discussed in Islam et al. (2023), may play a role here. For example, risk taking drivers may avoid intersections in proximity to schools. Therefore, the selective sample of cyclists </w:t>
      </w:r>
      <w:r w:rsidR="00A968C3" w:rsidRPr="00D65519">
        <w:t>and motorists in school areas would be distinct from cyclists and/or motorists</w:t>
      </w:r>
      <w:r w:rsidR="00AD1309" w:rsidRPr="00D65519">
        <w:t xml:space="preserve"> in other areas in the road network.</w:t>
      </w:r>
      <w:r w:rsidR="005E74CE" w:rsidRPr="00D65519">
        <w:t xml:space="preserve"> </w:t>
      </w:r>
      <w:r w:rsidR="00715B82" w:rsidRPr="00D65519">
        <w:t>Due to the abovementioned complexities, treating proximity to school as an exogenous variable may result in misleading inferences.</w:t>
      </w:r>
      <w:r w:rsidR="00CE0410" w:rsidRPr="00D65519">
        <w:t xml:space="preserve"> Therefore, statistical methods that </w:t>
      </w:r>
      <w:r w:rsidR="00D86BFE" w:rsidRPr="00D65519">
        <w:t>accommodate</w:t>
      </w:r>
      <w:r w:rsidR="00CE0410" w:rsidRPr="00D65519">
        <w:t xml:space="preserve"> endogenous variables should be considered.</w:t>
      </w:r>
    </w:p>
    <w:p w14:paraId="71C32857" w14:textId="5693566F" w:rsidR="00865173" w:rsidRPr="00D65519" w:rsidRDefault="008903A8" w:rsidP="00ED2F84">
      <w:pPr>
        <w:pStyle w:val="ThesisText"/>
        <w:spacing w:line="360" w:lineRule="auto"/>
      </w:pPr>
      <w:r w:rsidRPr="00D65519">
        <w:t>Endogeneity in traffic safety analysis has been explored in the safety literature (Eluru and Bhat, 2007; Oh and Shankar, 2011; Shin and Shankar, 2013; Bhat et al., 2014</w:t>
      </w:r>
      <w:r w:rsidR="005C3EE6" w:rsidRPr="00D65519">
        <w:t>;</w:t>
      </w:r>
      <w:r w:rsidRPr="00D65519">
        <w:t xml:space="preserve"> Heydari et al., 2020), but </w:t>
      </w:r>
      <w:r w:rsidR="006534FC" w:rsidRPr="00D65519">
        <w:t xml:space="preserve">it </w:t>
      </w:r>
      <w:r w:rsidRPr="00D65519">
        <w:t xml:space="preserve">remains an often overlooked factor in </w:t>
      </w:r>
      <w:r w:rsidR="00972D71" w:rsidRPr="00D65519">
        <w:t xml:space="preserve">safety </w:t>
      </w:r>
      <w:r w:rsidRPr="00D65519">
        <w:t>research despite the fact that biased inferences can be made when failing to account for endogeneity (Mannering et al.</w:t>
      </w:r>
      <w:r w:rsidR="00972D71" w:rsidRPr="00D65519">
        <w:t>,</w:t>
      </w:r>
      <w:r w:rsidRPr="00D65519">
        <w:t xml:space="preserve"> 2020).</w:t>
      </w:r>
      <w:r w:rsidR="00865173" w:rsidRPr="00D65519">
        <w:t xml:space="preserve"> </w:t>
      </w:r>
      <w:r w:rsidR="007731C4" w:rsidRPr="00D65519">
        <w:t>For a review of issues of endogeneity</w:t>
      </w:r>
      <w:r w:rsidR="00240576" w:rsidRPr="00D65519">
        <w:t xml:space="preserve"> in the safety literature</w:t>
      </w:r>
      <w:r w:rsidR="007731C4" w:rsidRPr="00D65519">
        <w:t>, see Mannering et al. (2020).</w:t>
      </w:r>
      <w:r w:rsidR="00ED2F84" w:rsidRPr="00D65519">
        <w:t xml:space="preserve"> </w:t>
      </w:r>
      <w:r w:rsidR="00554C2D" w:rsidRPr="00D65519">
        <w:t>Despite the importance of traffic safety nearby schools, to our knowledge only one study, Heydari et al. (2020), investigated t</w:t>
      </w:r>
      <w:r w:rsidR="00865173" w:rsidRPr="00D65519">
        <w:t xml:space="preserve">he </w:t>
      </w:r>
      <w:r w:rsidR="00554C2D" w:rsidRPr="00D65519">
        <w:t xml:space="preserve">issue of </w:t>
      </w:r>
      <w:r w:rsidR="00865173" w:rsidRPr="00D65519">
        <w:t xml:space="preserve">endogeneity </w:t>
      </w:r>
      <w:r w:rsidR="00554C2D" w:rsidRPr="00D65519">
        <w:t>relating to</w:t>
      </w:r>
      <w:r w:rsidR="00865173" w:rsidRPr="00D65519">
        <w:t xml:space="preserve"> the presence of a school nearby intersections</w:t>
      </w:r>
      <w:r w:rsidR="00554C2D" w:rsidRPr="00D65519">
        <w:t>. The authors</w:t>
      </w:r>
      <w:r w:rsidR="00865173" w:rsidRPr="00D65519">
        <w:t xml:space="preserve"> investigated </w:t>
      </w:r>
      <w:r w:rsidR="00554C2D" w:rsidRPr="00D65519">
        <w:t xml:space="preserve">this issue in the context of </w:t>
      </w:r>
      <w:r w:rsidR="00865173" w:rsidRPr="00D65519">
        <w:t>pedestrian safety. In the lat</w:t>
      </w:r>
      <w:r w:rsidR="00AA00F5" w:rsidRPr="00D65519">
        <w:t>t</w:t>
      </w:r>
      <w:r w:rsidR="00865173" w:rsidRPr="00D65519">
        <w:t>er study, the authors found that the presence of a school had a negative effect on pedestrian safety at intersections over the study period, but this was only the case when endogeneity was</w:t>
      </w:r>
      <w:r w:rsidR="002F39A3" w:rsidRPr="00D65519">
        <w:t xml:space="preserve"> accounted for.</w:t>
      </w:r>
    </w:p>
    <w:p w14:paraId="7801D1F9" w14:textId="46EC3B27" w:rsidR="00CB7247" w:rsidRPr="00D65519" w:rsidRDefault="00EF3F31" w:rsidP="00297CC5">
      <w:pPr>
        <w:pStyle w:val="ThesisText"/>
        <w:spacing w:line="360" w:lineRule="auto"/>
      </w:pPr>
      <w:r w:rsidRPr="00D65519">
        <w:t>With respect to theoretical aspects of modelling crash datasets, b</w:t>
      </w:r>
      <w:r w:rsidR="00CB7247" w:rsidRPr="00D65519">
        <w:t xml:space="preserve">eyond traditional models that assume a homogeneous dependence structure when modelling correlated outcomes simultaneously, success has been found in modelling multivariate outcomes using </w:t>
      </w:r>
      <w:r w:rsidR="007B1F16" w:rsidRPr="00D65519">
        <w:t>heterogeneous</w:t>
      </w:r>
      <w:r w:rsidR="00CB7247" w:rsidRPr="00D65519">
        <w:t xml:space="preserve"> covariance structures (</w:t>
      </w:r>
      <w:proofErr w:type="spellStart"/>
      <w:r w:rsidR="00CB7247" w:rsidRPr="00D65519">
        <w:t>Nashad</w:t>
      </w:r>
      <w:proofErr w:type="spellEnd"/>
      <w:r w:rsidR="00CB7247" w:rsidRPr="00D65519">
        <w:t xml:space="preserve"> et al., 2016; Heydari et al., 2017; Yasmin et al., 2018). </w:t>
      </w:r>
      <w:r w:rsidR="007B1F16" w:rsidRPr="00D65519">
        <w:t xml:space="preserve">The latter was found to improve model fit and address unobserved heterogeneity more fully. </w:t>
      </w:r>
      <w:r w:rsidR="00D24B16" w:rsidRPr="00D65519">
        <w:t>In traffic safety research, h</w:t>
      </w:r>
      <w:r w:rsidR="000D1CE4" w:rsidRPr="00D65519">
        <w:t xml:space="preserve">eterogeneous covariance structures </w:t>
      </w:r>
      <w:r w:rsidR="00B92A88" w:rsidRPr="00D65519">
        <w:t xml:space="preserve">are </w:t>
      </w:r>
      <w:r w:rsidR="00CB7247" w:rsidRPr="00D65519">
        <w:t xml:space="preserve">however applied </w:t>
      </w:r>
      <w:r w:rsidR="000D1CE4" w:rsidRPr="00D65519">
        <w:t xml:space="preserve">rarely and </w:t>
      </w:r>
      <w:r w:rsidR="009B2619" w:rsidRPr="00D65519">
        <w:t xml:space="preserve">mostly </w:t>
      </w:r>
      <w:r w:rsidR="00CB7247" w:rsidRPr="00D65519">
        <w:t xml:space="preserve">in multivariate settings </w:t>
      </w:r>
      <w:r w:rsidR="007B1F16" w:rsidRPr="00D65519">
        <w:t>(modelling the safety of different road user types</w:t>
      </w:r>
      <w:r w:rsidR="009B2619" w:rsidRPr="00D65519">
        <w:t xml:space="preserve"> or differing injury-severity levels</w:t>
      </w:r>
      <w:r w:rsidR="007B1F16" w:rsidRPr="00D65519">
        <w:t xml:space="preserve"> </w:t>
      </w:r>
      <w:r w:rsidR="00F918F0" w:rsidRPr="00D65519">
        <w:t>jointly)</w:t>
      </w:r>
      <w:r w:rsidR="00297CC5" w:rsidRPr="00D65519">
        <w:t>.</w:t>
      </w:r>
    </w:p>
    <w:p w14:paraId="1BC981F9" w14:textId="5EE64EE1" w:rsidR="008903A8" w:rsidRPr="00D65519" w:rsidRDefault="0072413F" w:rsidP="005765B0">
      <w:pPr>
        <w:pStyle w:val="ThesisSub2"/>
        <w:spacing w:line="360" w:lineRule="auto"/>
        <w:rPr>
          <w:color w:val="auto"/>
        </w:rPr>
      </w:pPr>
      <w:r w:rsidRPr="00D65519">
        <w:rPr>
          <w:color w:val="auto"/>
        </w:rPr>
        <w:t>Current article</w:t>
      </w:r>
    </w:p>
    <w:p w14:paraId="33E70DC5" w14:textId="058BE5FE" w:rsidR="00142166" w:rsidRPr="00D65519" w:rsidRDefault="00A251FE" w:rsidP="00E91325">
      <w:pPr>
        <w:pStyle w:val="ThesisText"/>
        <w:spacing w:line="360" w:lineRule="auto"/>
      </w:pPr>
      <w:r w:rsidRPr="00D65519">
        <w:t>T</w:t>
      </w:r>
      <w:r w:rsidR="00A00951" w:rsidRPr="00D65519">
        <w:t>his paper</w:t>
      </w:r>
      <w:r w:rsidR="005E2339" w:rsidRPr="00D65519">
        <w:t xml:space="preserve"> contributes to the ro</w:t>
      </w:r>
      <w:r w:rsidR="004E7560" w:rsidRPr="00D65519">
        <w:t>a</w:t>
      </w:r>
      <w:r w:rsidR="005E2339" w:rsidRPr="00D65519">
        <w:t xml:space="preserve">d safety literature </w:t>
      </w:r>
      <w:r w:rsidR="00AD7125" w:rsidRPr="00D65519">
        <w:t>by handling</w:t>
      </w:r>
      <w:r w:rsidR="00F81B09" w:rsidRPr="00D65519">
        <w:t xml:space="preserve"> the endogenous effect</w:t>
      </w:r>
      <w:r w:rsidR="00283ACF" w:rsidRPr="00D65519">
        <w:t xml:space="preserve"> </w:t>
      </w:r>
      <w:r w:rsidR="008C5CBB" w:rsidRPr="00D65519">
        <w:t xml:space="preserve">of proximity to school </w:t>
      </w:r>
      <w:r w:rsidR="00F81B09" w:rsidRPr="00D65519">
        <w:t xml:space="preserve">on </w:t>
      </w:r>
      <w:r w:rsidR="00A051F3" w:rsidRPr="00D65519">
        <w:t>cyclist safety</w:t>
      </w:r>
      <w:r w:rsidRPr="00D65519">
        <w:t xml:space="preserve"> for the first time in the extant </w:t>
      </w:r>
      <w:r w:rsidR="007409E9" w:rsidRPr="00D65519">
        <w:t xml:space="preserve">traffic safety </w:t>
      </w:r>
      <w:r w:rsidRPr="00D65519">
        <w:t>literature</w:t>
      </w:r>
      <w:r w:rsidR="00BF7781" w:rsidRPr="00D65519">
        <w:t xml:space="preserve">, revealing its </w:t>
      </w:r>
      <w:r w:rsidR="004E2EE0" w:rsidRPr="00D65519">
        <w:t>true (</w:t>
      </w:r>
      <w:r w:rsidR="00BF7781" w:rsidRPr="00D65519">
        <w:t>unconfounded</w:t>
      </w:r>
      <w:r w:rsidR="004E2EE0" w:rsidRPr="00D65519">
        <w:t>)</w:t>
      </w:r>
      <w:r w:rsidR="003024A0" w:rsidRPr="00D65519">
        <w:t xml:space="preserve"> effect</w:t>
      </w:r>
      <w:r w:rsidR="00A051F3" w:rsidRPr="00D65519">
        <w:t xml:space="preserve">. </w:t>
      </w:r>
      <w:r w:rsidR="00BF7781" w:rsidRPr="00D65519">
        <w:t xml:space="preserve">We show how overlooking endogeneity in this context would lead to the </w:t>
      </w:r>
      <w:r w:rsidR="00BF7781" w:rsidRPr="00D65519">
        <w:lastRenderedPageBreak/>
        <w:t>underestimation of the impact of proximity to school, an important risk factor, on cyclist safety.</w:t>
      </w:r>
      <w:r w:rsidR="00A00951" w:rsidRPr="00D65519">
        <w:t xml:space="preserve"> </w:t>
      </w:r>
      <w:r w:rsidR="00F52A34" w:rsidRPr="00D65519">
        <w:t>To this end, we use a system-equation (simultaneous</w:t>
      </w:r>
      <w:r w:rsidR="007409E9" w:rsidRPr="00D65519">
        <w:t>-equations</w:t>
      </w:r>
      <w:r w:rsidR="00F52A34" w:rsidRPr="00D65519">
        <w:t xml:space="preserve">) approach, which is considered </w:t>
      </w:r>
      <w:r w:rsidR="00897C20" w:rsidRPr="00D65519">
        <w:t>to be</w:t>
      </w:r>
      <w:r w:rsidR="00F52A34" w:rsidRPr="00D65519">
        <w:t xml:space="preserve"> one of the most comprehensive ways of dealing with endogeneity as it </w:t>
      </w:r>
      <w:r w:rsidR="004E7560" w:rsidRPr="00D65519">
        <w:t>explicitly</w:t>
      </w:r>
      <w:r w:rsidR="00F52A34" w:rsidRPr="00D65519">
        <w:t xml:space="preserve"> accounts for the correlation between equations representing the main outcome </w:t>
      </w:r>
      <w:r w:rsidR="009E40F7" w:rsidRPr="00D65519">
        <w:t>and the endogenous variab</w:t>
      </w:r>
      <w:r w:rsidR="00F52A34" w:rsidRPr="00D65519">
        <w:t>le of interest</w:t>
      </w:r>
      <w:r w:rsidR="00AA48A5" w:rsidRPr="00D65519">
        <w:t xml:space="preserve"> (</w:t>
      </w:r>
      <w:r w:rsidR="0041425B" w:rsidRPr="00D65519">
        <w:t xml:space="preserve">Mannering et al., 2020; </w:t>
      </w:r>
      <w:r w:rsidR="00AA48A5" w:rsidRPr="00D65519">
        <w:t>Washington et al., 2020; Heydari et al., 2020)</w:t>
      </w:r>
      <w:r w:rsidR="00F52A34" w:rsidRPr="00D65519">
        <w:t xml:space="preserve">. </w:t>
      </w:r>
    </w:p>
    <w:p w14:paraId="716AE6AE" w14:textId="6DAC5FA4" w:rsidR="004E7560" w:rsidRPr="00D65519" w:rsidRDefault="009E40F7" w:rsidP="002F39A3">
      <w:pPr>
        <w:pStyle w:val="ThesisText"/>
        <w:spacing w:line="360" w:lineRule="auto"/>
      </w:pPr>
      <w:r w:rsidRPr="00D65519">
        <w:t xml:space="preserve">Previously, the </w:t>
      </w:r>
      <w:r w:rsidR="007409E9" w:rsidRPr="00D65519">
        <w:t>simultaneous</w:t>
      </w:r>
      <w:r w:rsidRPr="00D65519">
        <w:t>-equation</w:t>
      </w:r>
      <w:r w:rsidR="007409E9" w:rsidRPr="00D65519">
        <w:t>s</w:t>
      </w:r>
      <w:r w:rsidRPr="00D65519">
        <w:t xml:space="preserve"> approach has been applied in traffic safety research</w:t>
      </w:r>
      <w:r w:rsidR="00545CD1" w:rsidRPr="00D65519">
        <w:t xml:space="preserve">. </w:t>
      </w:r>
      <w:r w:rsidR="00557D68" w:rsidRPr="00D65519">
        <w:t xml:space="preserve">In this paper for our simultaneous-equations model, </w:t>
      </w:r>
      <w:r w:rsidRPr="00D65519">
        <w:t xml:space="preserve">we specify a </w:t>
      </w:r>
      <w:r w:rsidR="001B188D" w:rsidRPr="00D65519">
        <w:t>heterogeneous</w:t>
      </w:r>
      <w:r w:rsidRPr="00D65519">
        <w:t xml:space="preserve"> covariance structure that allows the covariance to vary across the sample</w:t>
      </w:r>
      <w:r w:rsidR="005B554A" w:rsidRPr="00D65519">
        <w:t xml:space="preserve"> systematically</w:t>
      </w:r>
      <w:r w:rsidRPr="00D65519">
        <w:t>. This</w:t>
      </w:r>
      <w:r w:rsidR="005B554A" w:rsidRPr="00D65519">
        <w:t xml:space="preserve"> approach is particularly appealing as it </w:t>
      </w:r>
      <w:r w:rsidRPr="00D65519">
        <w:t>allows us to account for unobserved heterogeneity (Mannering et al., 2016</w:t>
      </w:r>
      <w:r w:rsidR="007D1DA2" w:rsidRPr="00D65519">
        <w:t>; Heydari, 2018</w:t>
      </w:r>
      <w:r w:rsidRPr="00D65519">
        <w:t>) more fully</w:t>
      </w:r>
      <w:r w:rsidR="005B554A" w:rsidRPr="00D65519">
        <w:t xml:space="preserve"> when addressing endogeneity using </w:t>
      </w:r>
      <w:r w:rsidR="007409E9" w:rsidRPr="00D65519">
        <w:t>simultaneous-equations models</w:t>
      </w:r>
      <w:r w:rsidR="004E7560" w:rsidRPr="00D65519">
        <w:t>. Our idea is inspired by the heterogeneity in mean/variance approach that models the mean</w:t>
      </w:r>
      <w:r w:rsidRPr="00D65519">
        <w:t xml:space="preserve"> </w:t>
      </w:r>
      <w:r w:rsidR="004E7560" w:rsidRPr="00D65519">
        <w:t xml:space="preserve">and/or the variance of random parameters as a function of explanatory variables available in the data, thereby providing further </w:t>
      </w:r>
      <w:r w:rsidR="00F46DDF" w:rsidRPr="00D65519">
        <w:t xml:space="preserve">empirical </w:t>
      </w:r>
      <w:r w:rsidR="004E7560" w:rsidRPr="00D65519">
        <w:t xml:space="preserve">insights into sources of heterogeneity in a crash dataset. </w:t>
      </w:r>
      <w:r w:rsidR="00187FCF" w:rsidRPr="00D65519">
        <w:t xml:space="preserve">We employ a Bayesian scale mixing approach to examine robustness regarding the bivariate normal assumption in the covariance structure. </w:t>
      </w:r>
      <w:r w:rsidR="001B188D" w:rsidRPr="00D65519">
        <w:t xml:space="preserve">We develop our model under the Bayesian framework </w:t>
      </w:r>
      <w:r w:rsidR="000541BB" w:rsidRPr="00D65519">
        <w:t xml:space="preserve">and note that </w:t>
      </w:r>
      <w:r w:rsidR="00012CFE" w:rsidRPr="00D65519">
        <w:t xml:space="preserve">the </w:t>
      </w:r>
      <w:r w:rsidR="001B188D" w:rsidRPr="00D65519">
        <w:t>r</w:t>
      </w:r>
      <w:r w:rsidR="00D143AC" w:rsidRPr="00D65519">
        <w:t>elative merits of Bayesian methods for addressing endogeneity have rarely</w:t>
      </w:r>
      <w:r w:rsidR="000541BB" w:rsidRPr="00D65519">
        <w:t xml:space="preserve"> been</w:t>
      </w:r>
      <w:r w:rsidR="00D143AC" w:rsidRPr="00D65519">
        <w:t xml:space="preserve"> explored in the crash literature. In fact, Bayesian methods, relying on simulation-based approaches, can easily handle non-standard specifications. In this regard, for example, Heydari et al. (2020) specified a heterogeneity in mean/variance </w:t>
      </w:r>
      <w:r w:rsidR="00174B21" w:rsidRPr="00D65519">
        <w:t>simultaneous</w:t>
      </w:r>
      <w:r w:rsidR="00D143AC" w:rsidRPr="00D65519">
        <w:t>-equation</w:t>
      </w:r>
      <w:r w:rsidR="00557D68" w:rsidRPr="00D65519">
        <w:t>s</w:t>
      </w:r>
      <w:r w:rsidR="00D143AC" w:rsidRPr="00D65519">
        <w:t xml:space="preserve"> model. </w:t>
      </w:r>
    </w:p>
    <w:p w14:paraId="446CF870" w14:textId="3DCDF9C8" w:rsidR="0072413F" w:rsidRPr="00D65519" w:rsidRDefault="004E7560" w:rsidP="007C7967">
      <w:pPr>
        <w:pStyle w:val="ThesisText"/>
        <w:spacing w:line="360" w:lineRule="auto"/>
      </w:pPr>
      <w:r w:rsidRPr="00D65519">
        <w:t>We consider</w:t>
      </w:r>
      <w:r w:rsidR="00A00951" w:rsidRPr="00D65519">
        <w:t xml:space="preserve"> </w:t>
      </w:r>
      <w:r w:rsidR="004E2EE0" w:rsidRPr="00D65519">
        <w:t>a</w:t>
      </w:r>
      <w:r w:rsidR="00C008B5" w:rsidRPr="00D65519">
        <w:t xml:space="preserve"> comprehensive</w:t>
      </w:r>
      <w:r w:rsidR="004E2EE0" w:rsidRPr="00D65519">
        <w:t xml:space="preserve"> intersection dataset from Montreal that includes </w:t>
      </w:r>
      <w:r w:rsidR="004743B5" w:rsidRPr="00D65519">
        <w:t xml:space="preserve">a number of </w:t>
      </w:r>
      <w:r w:rsidRPr="00D65519">
        <w:t>explanatory variables</w:t>
      </w:r>
      <w:r w:rsidR="00A00951" w:rsidRPr="00D65519">
        <w:t xml:space="preserve"> based on exposure, built environment</w:t>
      </w:r>
      <w:r w:rsidRPr="00D65519">
        <w:t>,</w:t>
      </w:r>
      <w:r w:rsidR="00A00951" w:rsidRPr="00D65519">
        <w:t xml:space="preserve"> and geometric intersection </w:t>
      </w:r>
      <w:r w:rsidR="007C7967" w:rsidRPr="00D65519">
        <w:t>characteristics</w:t>
      </w:r>
      <w:r w:rsidR="00A00951" w:rsidRPr="00D65519">
        <w:t xml:space="preserve">. </w:t>
      </w:r>
      <w:r w:rsidRPr="00D65519">
        <w:t xml:space="preserve">An important feature of the data is that </w:t>
      </w:r>
      <w:r w:rsidR="00BF7781" w:rsidRPr="00D65519">
        <w:t>exact</w:t>
      </w:r>
      <w:r w:rsidRPr="00D65519">
        <w:t xml:space="preserve"> cyclist</w:t>
      </w:r>
      <w:r w:rsidR="00BF7781" w:rsidRPr="00D65519">
        <w:t xml:space="preserve"> volume and motorised traffic flow by differing turning movements are available. The latter allows us to distinguish between the effect of right-turning, left-turning, and non-turning traffic volume </w:t>
      </w:r>
      <w:r w:rsidR="00FD77F9" w:rsidRPr="00D65519">
        <w:t>for</w:t>
      </w:r>
      <w:r w:rsidR="00BF7781" w:rsidRPr="00D65519">
        <w:t xml:space="preserve"> cyclist safety. </w:t>
      </w:r>
      <w:r w:rsidR="00A00951" w:rsidRPr="00D65519">
        <w:t xml:space="preserve">This study is expected to provide a more reliable estimation of the effect of proximity to school on cyclist safety at intersections since </w:t>
      </w:r>
      <w:r w:rsidR="00CB4CFA" w:rsidRPr="00D65519">
        <w:t xml:space="preserve">we </w:t>
      </w:r>
      <w:r w:rsidR="00BC3017" w:rsidRPr="00D65519">
        <w:t xml:space="preserve">not only </w:t>
      </w:r>
      <w:r w:rsidR="00A051F3" w:rsidRPr="00D65519">
        <w:t>account for</w:t>
      </w:r>
      <w:r w:rsidR="00A00951" w:rsidRPr="00D65519">
        <w:t xml:space="preserve"> the endogeneity of this variable</w:t>
      </w:r>
      <w:r w:rsidR="00CB4CFA" w:rsidRPr="00D65519">
        <w:t>,</w:t>
      </w:r>
      <w:r w:rsidR="00BC3017" w:rsidRPr="00D65519">
        <w:t xml:space="preserve"> but also address unobserved heterogeneity relative to the covariance structure, </w:t>
      </w:r>
      <w:r w:rsidR="0084537D" w:rsidRPr="00D65519">
        <w:t xml:space="preserve">thereby </w:t>
      </w:r>
      <w:r w:rsidR="00F6751D" w:rsidRPr="00D65519">
        <w:t xml:space="preserve">better informing decision-makers of the risk associated with </w:t>
      </w:r>
      <w:r w:rsidR="006E7C80" w:rsidRPr="00D65519">
        <w:t xml:space="preserve">the </w:t>
      </w:r>
      <w:r w:rsidR="00F6751D" w:rsidRPr="00D65519">
        <w:t xml:space="preserve">presence of </w:t>
      </w:r>
      <w:r w:rsidR="0084537D" w:rsidRPr="00D65519">
        <w:t xml:space="preserve">a </w:t>
      </w:r>
      <w:r w:rsidR="00F6751D" w:rsidRPr="00D65519">
        <w:t>school</w:t>
      </w:r>
      <w:r w:rsidR="00FB49E8" w:rsidRPr="00D65519">
        <w:t xml:space="preserve"> nearby </w:t>
      </w:r>
      <w:r w:rsidR="00EC1EA9" w:rsidRPr="00D65519">
        <w:t>an intersection.</w:t>
      </w:r>
    </w:p>
    <w:p w14:paraId="0C0387B7" w14:textId="22DE0345" w:rsidR="00A00951" w:rsidRPr="00D65519" w:rsidRDefault="005B3DB8" w:rsidP="005765B0">
      <w:pPr>
        <w:pStyle w:val="ThesisSub1"/>
        <w:spacing w:line="360" w:lineRule="auto"/>
      </w:pPr>
      <w:r w:rsidRPr="00D65519">
        <w:t xml:space="preserve">Material and methods </w:t>
      </w:r>
    </w:p>
    <w:p w14:paraId="78252357" w14:textId="7090C872" w:rsidR="00A00951" w:rsidRPr="00D65519" w:rsidRDefault="00A00951" w:rsidP="005765B0">
      <w:pPr>
        <w:pStyle w:val="ThesisSub2"/>
        <w:spacing w:line="360" w:lineRule="auto"/>
        <w:rPr>
          <w:color w:val="auto"/>
        </w:rPr>
      </w:pPr>
      <w:r w:rsidRPr="00D65519">
        <w:rPr>
          <w:color w:val="auto"/>
        </w:rPr>
        <w:t xml:space="preserve">Data </w:t>
      </w:r>
    </w:p>
    <w:p w14:paraId="09FAF957" w14:textId="015D75AC" w:rsidR="00FA75F7" w:rsidRPr="00D65519" w:rsidRDefault="00FA75F7" w:rsidP="005765B0">
      <w:pPr>
        <w:pStyle w:val="ThesisText"/>
        <w:spacing w:line="360" w:lineRule="auto"/>
      </w:pPr>
      <w:r w:rsidRPr="00D65519">
        <w:t xml:space="preserve">The data for this research were taken from Montreal, Canada and comprise cyclist injury counts from 647 signalised intersections over the period 2003-2008. Injury counts were included if they occurred within 15m of an intersection centre point. The injury counts were sourced from the Montreal ambulance services and represent a fairly comprehensive count of individuals who were involved in a crash while riding a bicycle. Data on </w:t>
      </w:r>
      <w:r w:rsidR="000B2B60" w:rsidRPr="00D65519">
        <w:t xml:space="preserve">differing </w:t>
      </w:r>
      <w:r w:rsidRPr="00D65519">
        <w:t>injury severity</w:t>
      </w:r>
      <w:r w:rsidR="000B2B60" w:rsidRPr="00D65519">
        <w:t xml:space="preserve"> levels</w:t>
      </w:r>
      <w:r w:rsidRPr="00D65519">
        <w:t xml:space="preserve"> were not available and so are not </w:t>
      </w:r>
      <w:r w:rsidRPr="00D65519">
        <w:lastRenderedPageBreak/>
        <w:t>used in this analysis. Also</w:t>
      </w:r>
      <w:r w:rsidR="00D5367B" w:rsidRPr="00D65519">
        <w:t>,</w:t>
      </w:r>
      <w:r w:rsidRPr="00D65519">
        <w:t xml:space="preserve"> included in the analysis were a number of variables relating to exposure of bicycles and motor vehicles at the intersections; built environment factors of the area surrounding the intersections; and geometric measures of the intersections themselves. For brevity, </w:t>
      </w:r>
      <w:r w:rsidR="009129B4" w:rsidRPr="00D65519">
        <w:t>exhaustive</w:t>
      </w:r>
      <w:r w:rsidRPr="00D65519">
        <w:t xml:space="preserve"> details of the data collection and collation process are not included here, but the reader is referred to Strauss et al. (2014) for more details on the acquisition and presentation of this dataset.</w:t>
      </w:r>
    </w:p>
    <w:p w14:paraId="36FA6730" w14:textId="1FA2E428" w:rsidR="004E1380" w:rsidRPr="00D65519" w:rsidRDefault="004E1380" w:rsidP="00E007C3">
      <w:pPr>
        <w:pStyle w:val="Caption"/>
        <w:keepNext/>
        <w:spacing w:after="0"/>
        <w:rPr>
          <w:rFonts w:ascii="Times New Roman" w:hAnsi="Times New Roman" w:cs="Times New Roman"/>
          <w:i w:val="0"/>
          <w:iCs w:val="0"/>
          <w:color w:val="auto"/>
          <w:sz w:val="22"/>
          <w:szCs w:val="22"/>
        </w:rPr>
      </w:pPr>
      <w:r w:rsidRPr="00D65519">
        <w:rPr>
          <w:rFonts w:ascii="Times New Roman" w:hAnsi="Times New Roman" w:cs="Times New Roman"/>
          <w:i w:val="0"/>
          <w:iCs w:val="0"/>
          <w:color w:val="auto"/>
          <w:sz w:val="22"/>
          <w:szCs w:val="22"/>
        </w:rPr>
        <w:t xml:space="preserve">Table </w:t>
      </w:r>
      <w:r w:rsidRPr="00D65519">
        <w:rPr>
          <w:rFonts w:ascii="Times New Roman" w:hAnsi="Times New Roman" w:cs="Times New Roman"/>
          <w:i w:val="0"/>
          <w:iCs w:val="0"/>
          <w:color w:val="auto"/>
          <w:sz w:val="22"/>
          <w:szCs w:val="22"/>
        </w:rPr>
        <w:fldChar w:fldCharType="begin"/>
      </w:r>
      <w:r w:rsidRPr="00D65519">
        <w:rPr>
          <w:rFonts w:ascii="Times New Roman" w:hAnsi="Times New Roman" w:cs="Times New Roman"/>
          <w:i w:val="0"/>
          <w:iCs w:val="0"/>
          <w:color w:val="auto"/>
          <w:sz w:val="22"/>
          <w:szCs w:val="22"/>
        </w:rPr>
        <w:instrText xml:space="preserve"> SEQ Table \* ARABIC </w:instrText>
      </w:r>
      <w:r w:rsidRPr="00D65519">
        <w:rPr>
          <w:rFonts w:ascii="Times New Roman" w:hAnsi="Times New Roman" w:cs="Times New Roman"/>
          <w:i w:val="0"/>
          <w:iCs w:val="0"/>
          <w:color w:val="auto"/>
          <w:sz w:val="22"/>
          <w:szCs w:val="22"/>
        </w:rPr>
        <w:fldChar w:fldCharType="separate"/>
      </w:r>
      <w:r w:rsidR="00434BA2" w:rsidRPr="00D65519">
        <w:rPr>
          <w:rFonts w:ascii="Times New Roman" w:hAnsi="Times New Roman" w:cs="Times New Roman"/>
          <w:i w:val="0"/>
          <w:iCs w:val="0"/>
          <w:noProof/>
          <w:color w:val="auto"/>
          <w:sz w:val="22"/>
          <w:szCs w:val="22"/>
        </w:rPr>
        <w:t>1</w:t>
      </w:r>
      <w:r w:rsidRPr="00D65519">
        <w:rPr>
          <w:rFonts w:ascii="Times New Roman" w:hAnsi="Times New Roman" w:cs="Times New Roman"/>
          <w:i w:val="0"/>
          <w:iCs w:val="0"/>
          <w:color w:val="auto"/>
          <w:sz w:val="22"/>
          <w:szCs w:val="22"/>
        </w:rPr>
        <w:fldChar w:fldCharType="end"/>
      </w:r>
      <w:r w:rsidRPr="00D65519">
        <w:rPr>
          <w:rFonts w:ascii="Times New Roman" w:hAnsi="Times New Roman" w:cs="Times New Roman"/>
          <w:i w:val="0"/>
          <w:iCs w:val="0"/>
          <w:color w:val="auto"/>
          <w:sz w:val="22"/>
          <w:szCs w:val="22"/>
        </w:rPr>
        <w:t xml:space="preserve"> Summary statistics of the considered variables</w:t>
      </w:r>
    </w:p>
    <w:tbl>
      <w:tblPr>
        <w:tblStyle w:val="TableGrid"/>
        <w:tblW w:w="10526" w:type="dxa"/>
        <w:tblInd w:w="-5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3544"/>
        <w:gridCol w:w="1134"/>
        <w:gridCol w:w="1417"/>
        <w:gridCol w:w="993"/>
        <w:gridCol w:w="1041"/>
      </w:tblGrid>
      <w:tr w:rsidR="00D65519" w:rsidRPr="00D65519" w14:paraId="3A7AF7FF" w14:textId="77777777" w:rsidTr="00C632E2">
        <w:trPr>
          <w:trHeight w:val="170"/>
        </w:trPr>
        <w:tc>
          <w:tcPr>
            <w:tcW w:w="2397" w:type="dxa"/>
            <w:tcBorders>
              <w:top w:val="single" w:sz="4" w:space="0" w:color="auto"/>
              <w:bottom w:val="single" w:sz="4" w:space="0" w:color="auto"/>
            </w:tcBorders>
          </w:tcPr>
          <w:p w14:paraId="3FB1CAC2"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Variable types</w:t>
            </w:r>
          </w:p>
        </w:tc>
        <w:tc>
          <w:tcPr>
            <w:tcW w:w="3544" w:type="dxa"/>
            <w:tcBorders>
              <w:top w:val="single" w:sz="4" w:space="0" w:color="auto"/>
              <w:bottom w:val="single" w:sz="4" w:space="0" w:color="auto"/>
            </w:tcBorders>
          </w:tcPr>
          <w:p w14:paraId="22BC4B2C"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Variables</w:t>
            </w:r>
          </w:p>
        </w:tc>
        <w:tc>
          <w:tcPr>
            <w:tcW w:w="1134" w:type="dxa"/>
            <w:tcBorders>
              <w:top w:val="single" w:sz="4" w:space="0" w:color="auto"/>
              <w:bottom w:val="single" w:sz="4" w:space="0" w:color="auto"/>
            </w:tcBorders>
          </w:tcPr>
          <w:p w14:paraId="2C9C908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Mean</w:t>
            </w:r>
          </w:p>
        </w:tc>
        <w:tc>
          <w:tcPr>
            <w:tcW w:w="1417" w:type="dxa"/>
            <w:tcBorders>
              <w:top w:val="single" w:sz="4" w:space="0" w:color="auto"/>
              <w:bottom w:val="single" w:sz="4" w:space="0" w:color="auto"/>
            </w:tcBorders>
          </w:tcPr>
          <w:p w14:paraId="0D61781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Std. Dev.</w:t>
            </w:r>
          </w:p>
        </w:tc>
        <w:tc>
          <w:tcPr>
            <w:tcW w:w="993" w:type="dxa"/>
            <w:tcBorders>
              <w:top w:val="single" w:sz="4" w:space="0" w:color="auto"/>
              <w:bottom w:val="single" w:sz="4" w:space="0" w:color="auto"/>
            </w:tcBorders>
          </w:tcPr>
          <w:p w14:paraId="6F47E2AA"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Min.</w:t>
            </w:r>
          </w:p>
        </w:tc>
        <w:tc>
          <w:tcPr>
            <w:tcW w:w="1041" w:type="dxa"/>
            <w:tcBorders>
              <w:top w:val="single" w:sz="4" w:space="0" w:color="auto"/>
              <w:bottom w:val="single" w:sz="4" w:space="0" w:color="auto"/>
            </w:tcBorders>
          </w:tcPr>
          <w:p w14:paraId="33CF8054"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Max.</w:t>
            </w:r>
          </w:p>
        </w:tc>
      </w:tr>
      <w:tr w:rsidR="00D65519" w:rsidRPr="00D65519" w14:paraId="3EF0E007" w14:textId="77777777" w:rsidTr="00C632E2">
        <w:trPr>
          <w:trHeight w:val="424"/>
        </w:trPr>
        <w:tc>
          <w:tcPr>
            <w:tcW w:w="2397" w:type="dxa"/>
            <w:tcBorders>
              <w:top w:val="single" w:sz="4" w:space="0" w:color="auto"/>
              <w:left w:val="nil"/>
              <w:bottom w:val="nil"/>
              <w:right w:val="nil"/>
            </w:tcBorders>
          </w:tcPr>
          <w:p w14:paraId="1A88D78B"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Crash type</w:t>
            </w:r>
          </w:p>
        </w:tc>
        <w:tc>
          <w:tcPr>
            <w:tcW w:w="3544" w:type="dxa"/>
            <w:tcBorders>
              <w:top w:val="single" w:sz="4" w:space="0" w:color="auto"/>
              <w:left w:val="nil"/>
              <w:bottom w:val="nil"/>
              <w:right w:val="nil"/>
            </w:tcBorders>
          </w:tcPr>
          <w:p w14:paraId="0EC1A42D" w14:textId="77777777" w:rsidR="000D2841" w:rsidRPr="00D65519" w:rsidRDefault="000D2841" w:rsidP="005765B0">
            <w:pPr>
              <w:spacing w:line="360" w:lineRule="auto"/>
              <w:jc w:val="both"/>
              <w:rPr>
                <w:rFonts w:ascii="Times New Roman" w:eastAsia="Calibri" w:hAnsi="Times New Roman" w:cs="Times New Roman"/>
                <w:szCs w:val="20"/>
                <w:highlight w:val="yellow"/>
              </w:rPr>
            </w:pPr>
            <w:r w:rsidRPr="00D65519">
              <w:rPr>
                <w:rFonts w:ascii="Times New Roman" w:eastAsia="Calibri" w:hAnsi="Times New Roman" w:cs="Times New Roman"/>
                <w:szCs w:val="20"/>
              </w:rPr>
              <w:t>Cyclist injury counts</w:t>
            </w:r>
          </w:p>
        </w:tc>
        <w:tc>
          <w:tcPr>
            <w:tcW w:w="1134" w:type="dxa"/>
            <w:tcBorders>
              <w:top w:val="single" w:sz="4" w:space="0" w:color="auto"/>
              <w:left w:val="nil"/>
              <w:bottom w:val="nil"/>
              <w:right w:val="nil"/>
            </w:tcBorders>
          </w:tcPr>
          <w:p w14:paraId="35C3FA1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0.63</w:t>
            </w:r>
          </w:p>
        </w:tc>
        <w:tc>
          <w:tcPr>
            <w:tcW w:w="1417" w:type="dxa"/>
            <w:tcBorders>
              <w:top w:val="single" w:sz="4" w:space="0" w:color="auto"/>
              <w:left w:val="nil"/>
              <w:bottom w:val="nil"/>
              <w:right w:val="nil"/>
            </w:tcBorders>
          </w:tcPr>
          <w:p w14:paraId="3A5CF5A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1.32</w:t>
            </w:r>
          </w:p>
        </w:tc>
        <w:tc>
          <w:tcPr>
            <w:tcW w:w="993" w:type="dxa"/>
            <w:tcBorders>
              <w:top w:val="single" w:sz="4" w:space="0" w:color="auto"/>
              <w:left w:val="nil"/>
              <w:bottom w:val="nil"/>
              <w:right w:val="nil"/>
            </w:tcBorders>
          </w:tcPr>
          <w:p w14:paraId="1B47F5B6"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single" w:sz="4" w:space="0" w:color="auto"/>
              <w:left w:val="nil"/>
              <w:bottom w:val="nil"/>
              <w:right w:val="nil"/>
            </w:tcBorders>
          </w:tcPr>
          <w:p w14:paraId="32AA00E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20.00</w:t>
            </w:r>
          </w:p>
        </w:tc>
      </w:tr>
      <w:tr w:rsidR="00D65519" w:rsidRPr="00D65519" w14:paraId="1841D8F8" w14:textId="77777777" w:rsidTr="00C632E2">
        <w:trPr>
          <w:trHeight w:val="170"/>
        </w:trPr>
        <w:tc>
          <w:tcPr>
            <w:tcW w:w="2397" w:type="dxa"/>
            <w:tcBorders>
              <w:top w:val="nil"/>
              <w:left w:val="nil"/>
              <w:bottom w:val="nil"/>
              <w:right w:val="nil"/>
            </w:tcBorders>
          </w:tcPr>
          <w:p w14:paraId="39CF450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Exposure measure</w:t>
            </w:r>
          </w:p>
        </w:tc>
        <w:tc>
          <w:tcPr>
            <w:tcW w:w="3544" w:type="dxa"/>
            <w:tcBorders>
              <w:top w:val="nil"/>
              <w:left w:val="nil"/>
              <w:bottom w:val="nil"/>
              <w:right w:val="nil"/>
            </w:tcBorders>
          </w:tcPr>
          <w:p w14:paraId="5F98319A" w14:textId="77777777" w:rsidR="000D2841" w:rsidRPr="00D65519" w:rsidRDefault="000D2841" w:rsidP="005765B0">
            <w:pPr>
              <w:spacing w:line="360" w:lineRule="auto"/>
              <w:jc w:val="both"/>
              <w:rPr>
                <w:rFonts w:ascii="Times New Roman" w:eastAsia="Calibri" w:hAnsi="Times New Roman" w:cs="Times New Roman"/>
                <w:szCs w:val="20"/>
                <w:highlight w:val="yellow"/>
              </w:rPr>
            </w:pPr>
            <w:r w:rsidRPr="00D65519">
              <w:rPr>
                <w:rFonts w:ascii="Times New Roman" w:eastAsia="Calibri" w:hAnsi="Times New Roman" w:cs="Times New Roman"/>
                <w:szCs w:val="20"/>
              </w:rPr>
              <w:t>Cyclist counts</w:t>
            </w:r>
          </w:p>
        </w:tc>
        <w:tc>
          <w:tcPr>
            <w:tcW w:w="1134" w:type="dxa"/>
            <w:tcBorders>
              <w:top w:val="nil"/>
              <w:left w:val="nil"/>
              <w:bottom w:val="nil"/>
              <w:right w:val="nil"/>
            </w:tcBorders>
          </w:tcPr>
          <w:p w14:paraId="6CB3B7C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444.92</w:t>
            </w:r>
          </w:p>
        </w:tc>
        <w:tc>
          <w:tcPr>
            <w:tcW w:w="1417" w:type="dxa"/>
            <w:tcBorders>
              <w:top w:val="nil"/>
              <w:left w:val="nil"/>
              <w:bottom w:val="nil"/>
              <w:right w:val="nil"/>
            </w:tcBorders>
          </w:tcPr>
          <w:p w14:paraId="459E87DD"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717.62</w:t>
            </w:r>
          </w:p>
        </w:tc>
        <w:tc>
          <w:tcPr>
            <w:tcW w:w="993" w:type="dxa"/>
            <w:tcBorders>
              <w:top w:val="nil"/>
              <w:left w:val="nil"/>
              <w:bottom w:val="nil"/>
              <w:right w:val="nil"/>
            </w:tcBorders>
          </w:tcPr>
          <w:p w14:paraId="6DCF0E36"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1.66</w:t>
            </w:r>
          </w:p>
        </w:tc>
        <w:tc>
          <w:tcPr>
            <w:tcW w:w="1041" w:type="dxa"/>
            <w:tcBorders>
              <w:top w:val="nil"/>
              <w:left w:val="nil"/>
              <w:bottom w:val="nil"/>
              <w:right w:val="nil"/>
            </w:tcBorders>
          </w:tcPr>
          <w:p w14:paraId="3B61212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6433.22</w:t>
            </w:r>
          </w:p>
        </w:tc>
      </w:tr>
      <w:tr w:rsidR="00D65519" w:rsidRPr="00D65519" w14:paraId="21A52B40" w14:textId="77777777" w:rsidTr="00C632E2">
        <w:trPr>
          <w:trHeight w:val="170"/>
        </w:trPr>
        <w:tc>
          <w:tcPr>
            <w:tcW w:w="2397" w:type="dxa"/>
            <w:tcBorders>
              <w:top w:val="nil"/>
              <w:left w:val="nil"/>
              <w:bottom w:val="nil"/>
              <w:right w:val="nil"/>
            </w:tcBorders>
          </w:tcPr>
          <w:p w14:paraId="312D68FA"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3621123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Total non-motorised volume</w:t>
            </w:r>
          </w:p>
        </w:tc>
        <w:tc>
          <w:tcPr>
            <w:tcW w:w="1134" w:type="dxa"/>
            <w:tcBorders>
              <w:top w:val="nil"/>
              <w:left w:val="nil"/>
              <w:bottom w:val="nil"/>
              <w:right w:val="nil"/>
            </w:tcBorders>
          </w:tcPr>
          <w:p w14:paraId="2DC4A83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2022.99</w:t>
            </w:r>
          </w:p>
        </w:tc>
        <w:tc>
          <w:tcPr>
            <w:tcW w:w="1417" w:type="dxa"/>
            <w:tcBorders>
              <w:top w:val="nil"/>
              <w:left w:val="nil"/>
              <w:bottom w:val="nil"/>
              <w:right w:val="nil"/>
            </w:tcBorders>
          </w:tcPr>
          <w:p w14:paraId="6C751BF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3792.45</w:t>
            </w:r>
          </w:p>
        </w:tc>
        <w:tc>
          <w:tcPr>
            <w:tcW w:w="993" w:type="dxa"/>
            <w:tcBorders>
              <w:top w:val="nil"/>
              <w:left w:val="nil"/>
              <w:bottom w:val="nil"/>
              <w:right w:val="nil"/>
            </w:tcBorders>
          </w:tcPr>
          <w:p w14:paraId="63BECD76"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2.96</w:t>
            </w:r>
          </w:p>
        </w:tc>
        <w:tc>
          <w:tcPr>
            <w:tcW w:w="1041" w:type="dxa"/>
            <w:tcBorders>
              <w:top w:val="nil"/>
              <w:left w:val="nil"/>
              <w:bottom w:val="nil"/>
              <w:right w:val="nil"/>
            </w:tcBorders>
          </w:tcPr>
          <w:p w14:paraId="29DD161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41541.00</w:t>
            </w:r>
          </w:p>
        </w:tc>
      </w:tr>
      <w:tr w:rsidR="00D65519" w:rsidRPr="00D65519" w14:paraId="211D9823" w14:textId="77777777" w:rsidTr="00C632E2">
        <w:trPr>
          <w:trHeight w:val="170"/>
        </w:trPr>
        <w:tc>
          <w:tcPr>
            <w:tcW w:w="2397" w:type="dxa"/>
            <w:tcBorders>
              <w:top w:val="nil"/>
              <w:left w:val="nil"/>
              <w:bottom w:val="nil"/>
              <w:right w:val="nil"/>
            </w:tcBorders>
          </w:tcPr>
          <w:p w14:paraId="5879073F"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3617E34A"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Left-turning motorised volume</w:t>
            </w:r>
          </w:p>
        </w:tc>
        <w:tc>
          <w:tcPr>
            <w:tcW w:w="1134" w:type="dxa"/>
            <w:tcBorders>
              <w:top w:val="nil"/>
              <w:left w:val="nil"/>
              <w:bottom w:val="nil"/>
              <w:right w:val="nil"/>
            </w:tcBorders>
            <w:vAlign w:val="center"/>
          </w:tcPr>
          <w:p w14:paraId="4D775AD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2602.72</w:t>
            </w:r>
          </w:p>
        </w:tc>
        <w:tc>
          <w:tcPr>
            <w:tcW w:w="1417" w:type="dxa"/>
            <w:tcBorders>
              <w:top w:val="nil"/>
              <w:left w:val="nil"/>
              <w:bottom w:val="nil"/>
              <w:right w:val="nil"/>
            </w:tcBorders>
            <w:vAlign w:val="center"/>
          </w:tcPr>
          <w:p w14:paraId="76E48C1F"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2641.86</w:t>
            </w:r>
          </w:p>
        </w:tc>
        <w:tc>
          <w:tcPr>
            <w:tcW w:w="993" w:type="dxa"/>
            <w:tcBorders>
              <w:top w:val="nil"/>
              <w:left w:val="nil"/>
              <w:bottom w:val="nil"/>
              <w:right w:val="nil"/>
            </w:tcBorders>
            <w:vAlign w:val="center"/>
          </w:tcPr>
          <w:p w14:paraId="38E06CEF"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14BFE76A"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23843.00</w:t>
            </w:r>
          </w:p>
        </w:tc>
      </w:tr>
      <w:tr w:rsidR="00D65519" w:rsidRPr="00D65519" w14:paraId="20153F52" w14:textId="77777777" w:rsidTr="00C632E2">
        <w:trPr>
          <w:trHeight w:val="170"/>
        </w:trPr>
        <w:tc>
          <w:tcPr>
            <w:tcW w:w="2397" w:type="dxa"/>
            <w:tcBorders>
              <w:top w:val="nil"/>
              <w:left w:val="nil"/>
              <w:bottom w:val="nil"/>
              <w:right w:val="nil"/>
            </w:tcBorders>
          </w:tcPr>
          <w:p w14:paraId="07624D43"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613AAEF2"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Right-turning motorised volume</w:t>
            </w:r>
          </w:p>
        </w:tc>
        <w:tc>
          <w:tcPr>
            <w:tcW w:w="1134" w:type="dxa"/>
            <w:tcBorders>
              <w:top w:val="nil"/>
              <w:left w:val="nil"/>
              <w:bottom w:val="nil"/>
              <w:right w:val="nil"/>
            </w:tcBorders>
            <w:vAlign w:val="center"/>
          </w:tcPr>
          <w:p w14:paraId="23566F2E"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2668.01</w:t>
            </w:r>
          </w:p>
        </w:tc>
        <w:tc>
          <w:tcPr>
            <w:tcW w:w="1417" w:type="dxa"/>
            <w:tcBorders>
              <w:top w:val="nil"/>
              <w:left w:val="nil"/>
              <w:bottom w:val="nil"/>
              <w:right w:val="nil"/>
            </w:tcBorders>
            <w:vAlign w:val="center"/>
          </w:tcPr>
          <w:p w14:paraId="45F3F574"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2697.45</w:t>
            </w:r>
          </w:p>
        </w:tc>
        <w:tc>
          <w:tcPr>
            <w:tcW w:w="993" w:type="dxa"/>
            <w:tcBorders>
              <w:top w:val="nil"/>
              <w:left w:val="nil"/>
              <w:bottom w:val="nil"/>
              <w:right w:val="nil"/>
            </w:tcBorders>
            <w:vAlign w:val="center"/>
          </w:tcPr>
          <w:p w14:paraId="3B1C3064"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4379509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23792.00</w:t>
            </w:r>
          </w:p>
        </w:tc>
      </w:tr>
      <w:tr w:rsidR="00D65519" w:rsidRPr="00D65519" w14:paraId="732E5D41" w14:textId="77777777" w:rsidTr="00C632E2">
        <w:trPr>
          <w:trHeight w:val="170"/>
        </w:trPr>
        <w:tc>
          <w:tcPr>
            <w:tcW w:w="2397" w:type="dxa"/>
            <w:tcBorders>
              <w:top w:val="nil"/>
              <w:left w:val="nil"/>
              <w:bottom w:val="nil"/>
              <w:right w:val="nil"/>
            </w:tcBorders>
          </w:tcPr>
          <w:p w14:paraId="6A2AE26F"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0A3DBEA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 xml:space="preserve">Non-turning motorised volume </w:t>
            </w:r>
          </w:p>
        </w:tc>
        <w:tc>
          <w:tcPr>
            <w:tcW w:w="1134" w:type="dxa"/>
            <w:tcBorders>
              <w:top w:val="nil"/>
              <w:left w:val="nil"/>
              <w:bottom w:val="nil"/>
              <w:right w:val="nil"/>
            </w:tcBorders>
            <w:vAlign w:val="center"/>
          </w:tcPr>
          <w:p w14:paraId="7DC6D51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19467.96</w:t>
            </w:r>
          </w:p>
        </w:tc>
        <w:tc>
          <w:tcPr>
            <w:tcW w:w="1417" w:type="dxa"/>
            <w:tcBorders>
              <w:top w:val="nil"/>
              <w:left w:val="nil"/>
              <w:bottom w:val="nil"/>
              <w:right w:val="nil"/>
            </w:tcBorders>
            <w:vAlign w:val="center"/>
          </w:tcPr>
          <w:p w14:paraId="4FE9D2CF"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11084.39</w:t>
            </w:r>
          </w:p>
        </w:tc>
        <w:tc>
          <w:tcPr>
            <w:tcW w:w="993" w:type="dxa"/>
            <w:tcBorders>
              <w:top w:val="nil"/>
              <w:left w:val="nil"/>
              <w:bottom w:val="nil"/>
              <w:right w:val="nil"/>
            </w:tcBorders>
            <w:vAlign w:val="center"/>
          </w:tcPr>
          <w:p w14:paraId="584927FD"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1790.00</w:t>
            </w:r>
          </w:p>
        </w:tc>
        <w:tc>
          <w:tcPr>
            <w:tcW w:w="1041" w:type="dxa"/>
            <w:tcBorders>
              <w:top w:val="nil"/>
              <w:left w:val="nil"/>
              <w:bottom w:val="nil"/>
              <w:right w:val="nil"/>
            </w:tcBorders>
            <w:vAlign w:val="center"/>
          </w:tcPr>
          <w:p w14:paraId="098FF81E"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76525.00</w:t>
            </w:r>
          </w:p>
        </w:tc>
      </w:tr>
      <w:tr w:rsidR="00D65519" w:rsidRPr="00D65519" w14:paraId="19EAA5B8" w14:textId="77777777" w:rsidTr="00C632E2">
        <w:trPr>
          <w:trHeight w:val="170"/>
        </w:trPr>
        <w:tc>
          <w:tcPr>
            <w:tcW w:w="2397" w:type="dxa"/>
            <w:tcBorders>
              <w:top w:val="nil"/>
              <w:left w:val="nil"/>
              <w:bottom w:val="nil"/>
              <w:right w:val="nil"/>
            </w:tcBorders>
          </w:tcPr>
          <w:p w14:paraId="54BC75F5"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5D060ED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Total motorised volume (AADT)</w:t>
            </w:r>
          </w:p>
        </w:tc>
        <w:tc>
          <w:tcPr>
            <w:tcW w:w="1134" w:type="dxa"/>
            <w:tcBorders>
              <w:top w:val="nil"/>
              <w:left w:val="nil"/>
              <w:bottom w:val="nil"/>
              <w:right w:val="nil"/>
            </w:tcBorders>
            <w:vAlign w:val="center"/>
          </w:tcPr>
          <w:p w14:paraId="4C74625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24738.65</w:t>
            </w:r>
          </w:p>
        </w:tc>
        <w:tc>
          <w:tcPr>
            <w:tcW w:w="1417" w:type="dxa"/>
            <w:tcBorders>
              <w:top w:val="nil"/>
              <w:left w:val="nil"/>
              <w:bottom w:val="nil"/>
              <w:right w:val="nil"/>
            </w:tcBorders>
            <w:vAlign w:val="center"/>
          </w:tcPr>
          <w:p w14:paraId="27EC7BD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12526.06</w:t>
            </w:r>
          </w:p>
        </w:tc>
        <w:tc>
          <w:tcPr>
            <w:tcW w:w="993" w:type="dxa"/>
            <w:tcBorders>
              <w:top w:val="nil"/>
              <w:left w:val="nil"/>
              <w:bottom w:val="nil"/>
              <w:right w:val="nil"/>
            </w:tcBorders>
            <w:vAlign w:val="center"/>
          </w:tcPr>
          <w:p w14:paraId="3657CCB6"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3751.00</w:t>
            </w:r>
          </w:p>
        </w:tc>
        <w:tc>
          <w:tcPr>
            <w:tcW w:w="1041" w:type="dxa"/>
            <w:tcBorders>
              <w:top w:val="nil"/>
              <w:left w:val="nil"/>
              <w:bottom w:val="nil"/>
              <w:right w:val="nil"/>
            </w:tcBorders>
            <w:vAlign w:val="center"/>
          </w:tcPr>
          <w:p w14:paraId="6155214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84386.00</w:t>
            </w:r>
          </w:p>
        </w:tc>
      </w:tr>
      <w:tr w:rsidR="00D65519" w:rsidRPr="00D65519" w14:paraId="3139A17B" w14:textId="77777777" w:rsidTr="00C632E2">
        <w:trPr>
          <w:trHeight w:val="170"/>
        </w:trPr>
        <w:tc>
          <w:tcPr>
            <w:tcW w:w="2397" w:type="dxa"/>
            <w:tcBorders>
              <w:top w:val="nil"/>
              <w:left w:val="nil"/>
              <w:bottom w:val="nil"/>
              <w:right w:val="nil"/>
            </w:tcBorders>
          </w:tcPr>
          <w:p w14:paraId="59E44029"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247E4734"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Ratio of non-motorised to motorised</w:t>
            </w:r>
          </w:p>
        </w:tc>
        <w:tc>
          <w:tcPr>
            <w:tcW w:w="1134" w:type="dxa"/>
            <w:tcBorders>
              <w:top w:val="nil"/>
              <w:left w:val="nil"/>
              <w:bottom w:val="nil"/>
              <w:right w:val="nil"/>
            </w:tcBorders>
            <w:vAlign w:val="center"/>
          </w:tcPr>
          <w:p w14:paraId="1B7E555C"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0.13</w:t>
            </w:r>
          </w:p>
        </w:tc>
        <w:tc>
          <w:tcPr>
            <w:tcW w:w="1417" w:type="dxa"/>
            <w:tcBorders>
              <w:top w:val="nil"/>
              <w:left w:val="nil"/>
              <w:bottom w:val="nil"/>
              <w:right w:val="nil"/>
            </w:tcBorders>
            <w:vAlign w:val="center"/>
          </w:tcPr>
          <w:p w14:paraId="589D582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0.30</w:t>
            </w:r>
          </w:p>
        </w:tc>
        <w:tc>
          <w:tcPr>
            <w:tcW w:w="993" w:type="dxa"/>
            <w:tcBorders>
              <w:top w:val="nil"/>
              <w:left w:val="nil"/>
              <w:bottom w:val="nil"/>
              <w:right w:val="nil"/>
            </w:tcBorders>
            <w:vAlign w:val="center"/>
          </w:tcPr>
          <w:p w14:paraId="274ABC3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79223AE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4.01</w:t>
            </w:r>
          </w:p>
        </w:tc>
      </w:tr>
      <w:tr w:rsidR="00D65519" w:rsidRPr="00D65519" w14:paraId="70831ADA" w14:textId="77777777" w:rsidTr="00C632E2">
        <w:trPr>
          <w:trHeight w:val="170"/>
        </w:trPr>
        <w:tc>
          <w:tcPr>
            <w:tcW w:w="2397" w:type="dxa"/>
            <w:tcBorders>
              <w:top w:val="nil"/>
              <w:left w:val="nil"/>
              <w:bottom w:val="nil"/>
              <w:right w:val="nil"/>
            </w:tcBorders>
          </w:tcPr>
          <w:p w14:paraId="0AF4BA2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Built environment</w:t>
            </w:r>
          </w:p>
        </w:tc>
        <w:tc>
          <w:tcPr>
            <w:tcW w:w="3544" w:type="dxa"/>
            <w:tcBorders>
              <w:top w:val="nil"/>
              <w:left w:val="nil"/>
              <w:bottom w:val="nil"/>
              <w:right w:val="nil"/>
            </w:tcBorders>
          </w:tcPr>
          <w:p w14:paraId="69958B02"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Employment</w:t>
            </w:r>
            <w:r w:rsidRPr="00D65519">
              <w:rPr>
                <w:rFonts w:ascii="Times New Roman" w:eastAsia="Calibri" w:hAnsi="Times New Roman" w:cs="Times New Roman"/>
                <w:szCs w:val="20"/>
                <w:vertAlign w:val="superscript"/>
              </w:rPr>
              <w:t>1</w:t>
            </w:r>
            <w:r w:rsidRPr="00D65519">
              <w:rPr>
                <w:rFonts w:ascii="Times New Roman" w:eastAsia="Calibri" w:hAnsi="Times New Roman" w:cs="Times New Roman"/>
                <w:szCs w:val="20"/>
              </w:rPr>
              <w:t xml:space="preserve"> (in 0000s)</w:t>
            </w:r>
          </w:p>
        </w:tc>
        <w:tc>
          <w:tcPr>
            <w:tcW w:w="1134" w:type="dxa"/>
            <w:tcBorders>
              <w:top w:val="nil"/>
              <w:left w:val="nil"/>
              <w:bottom w:val="nil"/>
              <w:right w:val="nil"/>
            </w:tcBorders>
            <w:vAlign w:val="center"/>
          </w:tcPr>
          <w:p w14:paraId="2902B1B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0.58</w:t>
            </w:r>
          </w:p>
        </w:tc>
        <w:tc>
          <w:tcPr>
            <w:tcW w:w="1417" w:type="dxa"/>
            <w:tcBorders>
              <w:top w:val="nil"/>
              <w:left w:val="nil"/>
              <w:bottom w:val="nil"/>
              <w:right w:val="nil"/>
            </w:tcBorders>
            <w:vAlign w:val="center"/>
          </w:tcPr>
          <w:p w14:paraId="6768286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0.30</w:t>
            </w:r>
          </w:p>
        </w:tc>
        <w:tc>
          <w:tcPr>
            <w:tcW w:w="993" w:type="dxa"/>
            <w:tcBorders>
              <w:top w:val="nil"/>
              <w:left w:val="nil"/>
              <w:bottom w:val="nil"/>
              <w:right w:val="nil"/>
            </w:tcBorders>
            <w:vAlign w:val="center"/>
          </w:tcPr>
          <w:p w14:paraId="21E29B0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0.03</w:t>
            </w:r>
          </w:p>
        </w:tc>
        <w:tc>
          <w:tcPr>
            <w:tcW w:w="1041" w:type="dxa"/>
            <w:tcBorders>
              <w:top w:val="nil"/>
              <w:left w:val="nil"/>
              <w:bottom w:val="nil"/>
              <w:right w:val="nil"/>
            </w:tcBorders>
            <w:vAlign w:val="center"/>
          </w:tcPr>
          <w:p w14:paraId="0D61804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1.49</w:t>
            </w:r>
          </w:p>
        </w:tc>
      </w:tr>
      <w:tr w:rsidR="00D65519" w:rsidRPr="00D65519" w14:paraId="24792106" w14:textId="77777777" w:rsidTr="00C632E2">
        <w:trPr>
          <w:trHeight w:val="170"/>
        </w:trPr>
        <w:tc>
          <w:tcPr>
            <w:tcW w:w="2397" w:type="dxa"/>
            <w:tcBorders>
              <w:top w:val="nil"/>
              <w:left w:val="nil"/>
              <w:bottom w:val="nil"/>
              <w:right w:val="nil"/>
            </w:tcBorders>
          </w:tcPr>
          <w:p w14:paraId="70AA0F15"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47119C6D"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Commercial area</w:t>
            </w:r>
            <w:r w:rsidRPr="00D65519">
              <w:rPr>
                <w:rFonts w:ascii="Times New Roman" w:eastAsia="Calibri" w:hAnsi="Times New Roman" w:cs="Times New Roman"/>
                <w:szCs w:val="20"/>
                <w:vertAlign w:val="superscript"/>
              </w:rPr>
              <w:t>1</w:t>
            </w:r>
            <w:r w:rsidRPr="00D65519">
              <w:rPr>
                <w:rFonts w:ascii="Times New Roman" w:eastAsia="Calibri" w:hAnsi="Times New Roman" w:cs="Times New Roman"/>
                <w:szCs w:val="20"/>
              </w:rPr>
              <w:t xml:space="preserve"> (in 0000s m</w:t>
            </w:r>
            <w:r w:rsidRPr="00D65519">
              <w:rPr>
                <w:rFonts w:ascii="Times New Roman" w:eastAsia="Calibri" w:hAnsi="Times New Roman" w:cs="Times New Roman"/>
                <w:szCs w:val="20"/>
                <w:vertAlign w:val="superscript"/>
              </w:rPr>
              <w:t>2</w:t>
            </w:r>
            <w:r w:rsidRPr="00D65519">
              <w:rPr>
                <w:rFonts w:ascii="Times New Roman" w:eastAsia="Calibri" w:hAnsi="Times New Roman" w:cs="Times New Roman"/>
                <w:szCs w:val="20"/>
              </w:rPr>
              <w:t>)</w:t>
            </w:r>
          </w:p>
        </w:tc>
        <w:tc>
          <w:tcPr>
            <w:tcW w:w="1134" w:type="dxa"/>
            <w:tcBorders>
              <w:top w:val="nil"/>
              <w:left w:val="nil"/>
              <w:bottom w:val="nil"/>
              <w:right w:val="nil"/>
            </w:tcBorders>
            <w:vAlign w:val="center"/>
          </w:tcPr>
          <w:p w14:paraId="09AAEEEC"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1.21</w:t>
            </w:r>
          </w:p>
        </w:tc>
        <w:tc>
          <w:tcPr>
            <w:tcW w:w="1417" w:type="dxa"/>
            <w:tcBorders>
              <w:top w:val="nil"/>
              <w:left w:val="nil"/>
              <w:bottom w:val="nil"/>
              <w:right w:val="nil"/>
            </w:tcBorders>
            <w:vAlign w:val="center"/>
          </w:tcPr>
          <w:p w14:paraId="7D9C87BB"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1.34</w:t>
            </w:r>
          </w:p>
        </w:tc>
        <w:tc>
          <w:tcPr>
            <w:tcW w:w="993" w:type="dxa"/>
            <w:tcBorders>
              <w:top w:val="nil"/>
              <w:left w:val="nil"/>
              <w:bottom w:val="nil"/>
              <w:right w:val="nil"/>
            </w:tcBorders>
            <w:vAlign w:val="center"/>
          </w:tcPr>
          <w:p w14:paraId="7910136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78C47994"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8.70</w:t>
            </w:r>
          </w:p>
        </w:tc>
      </w:tr>
      <w:tr w:rsidR="00D65519" w:rsidRPr="00D65519" w14:paraId="4927C3E7" w14:textId="77777777" w:rsidTr="00C632E2">
        <w:trPr>
          <w:trHeight w:val="170"/>
        </w:trPr>
        <w:tc>
          <w:tcPr>
            <w:tcW w:w="2397" w:type="dxa"/>
            <w:tcBorders>
              <w:top w:val="nil"/>
              <w:left w:val="nil"/>
              <w:bottom w:val="nil"/>
              <w:right w:val="nil"/>
            </w:tcBorders>
          </w:tcPr>
          <w:p w14:paraId="55F49934"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23A6384F" w14:textId="2DBC06EA" w:rsidR="000D2841" w:rsidRPr="00D65519" w:rsidRDefault="000D2841" w:rsidP="00C94BF7">
            <w:pPr>
              <w:spacing w:line="360" w:lineRule="auto"/>
              <w:jc w:val="both"/>
              <w:rPr>
                <w:rFonts w:ascii="Times New Roman" w:eastAsia="Calibri" w:hAnsi="Times New Roman" w:cs="Times New Roman"/>
                <w:szCs w:val="20"/>
                <w:vertAlign w:val="superscript"/>
              </w:rPr>
            </w:pPr>
            <w:r w:rsidRPr="00D65519">
              <w:rPr>
                <w:rFonts w:ascii="Times New Roman" w:eastAsia="Calibri" w:hAnsi="Times New Roman" w:cs="Times New Roman"/>
                <w:szCs w:val="20"/>
              </w:rPr>
              <w:t>Land use mix</w:t>
            </w:r>
            <w:r w:rsidR="00C94BF7" w:rsidRPr="00D65519">
              <w:rPr>
                <w:rFonts w:ascii="Times New Roman" w:eastAsia="Calibri" w:hAnsi="Times New Roman" w:cs="Times New Roman"/>
                <w:szCs w:val="20"/>
                <w:vertAlign w:val="superscript"/>
              </w:rPr>
              <w:t>2</w:t>
            </w:r>
          </w:p>
        </w:tc>
        <w:tc>
          <w:tcPr>
            <w:tcW w:w="1134" w:type="dxa"/>
            <w:tcBorders>
              <w:top w:val="nil"/>
              <w:left w:val="nil"/>
              <w:bottom w:val="nil"/>
              <w:right w:val="nil"/>
            </w:tcBorders>
            <w:vAlign w:val="center"/>
          </w:tcPr>
          <w:p w14:paraId="3ACAEF1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0.67</w:t>
            </w:r>
          </w:p>
        </w:tc>
        <w:tc>
          <w:tcPr>
            <w:tcW w:w="1417" w:type="dxa"/>
            <w:tcBorders>
              <w:top w:val="nil"/>
              <w:left w:val="nil"/>
              <w:bottom w:val="nil"/>
              <w:right w:val="nil"/>
            </w:tcBorders>
            <w:vAlign w:val="center"/>
          </w:tcPr>
          <w:p w14:paraId="164213C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0.15</w:t>
            </w:r>
          </w:p>
        </w:tc>
        <w:tc>
          <w:tcPr>
            <w:tcW w:w="993" w:type="dxa"/>
            <w:tcBorders>
              <w:top w:val="nil"/>
              <w:left w:val="nil"/>
              <w:bottom w:val="nil"/>
              <w:right w:val="nil"/>
            </w:tcBorders>
            <w:vAlign w:val="center"/>
          </w:tcPr>
          <w:p w14:paraId="7FFD806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3B33B15B"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0.92</w:t>
            </w:r>
          </w:p>
        </w:tc>
      </w:tr>
      <w:tr w:rsidR="00D65519" w:rsidRPr="00D65519" w14:paraId="790DC9B5" w14:textId="77777777" w:rsidTr="00C632E2">
        <w:trPr>
          <w:trHeight w:val="170"/>
        </w:trPr>
        <w:tc>
          <w:tcPr>
            <w:tcW w:w="2397" w:type="dxa"/>
            <w:tcBorders>
              <w:top w:val="nil"/>
              <w:left w:val="nil"/>
              <w:bottom w:val="nil"/>
              <w:right w:val="nil"/>
            </w:tcBorders>
          </w:tcPr>
          <w:p w14:paraId="15935893"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50B9C93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Length of cycling facilities</w:t>
            </w:r>
            <w:r w:rsidRPr="00D65519">
              <w:rPr>
                <w:rFonts w:ascii="Times New Roman" w:eastAsia="Calibri" w:hAnsi="Times New Roman" w:cs="Times New Roman"/>
                <w:szCs w:val="20"/>
                <w:vertAlign w:val="superscript"/>
              </w:rPr>
              <w:t>2</w:t>
            </w:r>
            <w:r w:rsidRPr="00D65519">
              <w:rPr>
                <w:rFonts w:ascii="Times New Roman" w:eastAsia="Calibri" w:hAnsi="Times New Roman" w:cs="Times New Roman"/>
                <w:szCs w:val="20"/>
              </w:rPr>
              <w:t xml:space="preserve"> (km)</w:t>
            </w:r>
          </w:p>
        </w:tc>
        <w:tc>
          <w:tcPr>
            <w:tcW w:w="1134" w:type="dxa"/>
            <w:tcBorders>
              <w:top w:val="nil"/>
              <w:left w:val="nil"/>
              <w:bottom w:val="nil"/>
              <w:right w:val="nil"/>
            </w:tcBorders>
            <w:vAlign w:val="center"/>
          </w:tcPr>
          <w:p w14:paraId="0268CCE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0.54</w:t>
            </w:r>
          </w:p>
        </w:tc>
        <w:tc>
          <w:tcPr>
            <w:tcW w:w="1417" w:type="dxa"/>
            <w:tcBorders>
              <w:top w:val="nil"/>
              <w:left w:val="nil"/>
              <w:bottom w:val="nil"/>
              <w:right w:val="nil"/>
            </w:tcBorders>
            <w:vAlign w:val="center"/>
          </w:tcPr>
          <w:p w14:paraId="09885FF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0.61</w:t>
            </w:r>
          </w:p>
        </w:tc>
        <w:tc>
          <w:tcPr>
            <w:tcW w:w="993" w:type="dxa"/>
            <w:tcBorders>
              <w:top w:val="nil"/>
              <w:left w:val="nil"/>
              <w:bottom w:val="nil"/>
              <w:right w:val="nil"/>
            </w:tcBorders>
            <w:vAlign w:val="center"/>
          </w:tcPr>
          <w:p w14:paraId="4FD5DE6C"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5AC2AA5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2.96</w:t>
            </w:r>
          </w:p>
        </w:tc>
      </w:tr>
      <w:tr w:rsidR="00D65519" w:rsidRPr="00D65519" w14:paraId="738C6259" w14:textId="77777777" w:rsidTr="00C632E2">
        <w:trPr>
          <w:trHeight w:val="170"/>
        </w:trPr>
        <w:tc>
          <w:tcPr>
            <w:tcW w:w="2397" w:type="dxa"/>
            <w:tcBorders>
              <w:top w:val="nil"/>
              <w:left w:val="nil"/>
              <w:bottom w:val="nil"/>
              <w:right w:val="nil"/>
            </w:tcBorders>
          </w:tcPr>
          <w:p w14:paraId="2100197F"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1BDED09D" w14:textId="77777777" w:rsidR="000D2841" w:rsidRPr="00D65519" w:rsidRDefault="000D2841" w:rsidP="005765B0">
            <w:pPr>
              <w:spacing w:line="360" w:lineRule="auto"/>
              <w:jc w:val="both"/>
              <w:rPr>
                <w:rFonts w:ascii="Times New Roman" w:eastAsia="Calibri" w:hAnsi="Times New Roman" w:cs="Times New Roman"/>
                <w:szCs w:val="20"/>
                <w:vertAlign w:val="superscript"/>
              </w:rPr>
            </w:pPr>
            <w:r w:rsidRPr="00D65519">
              <w:rPr>
                <w:rFonts w:ascii="Times New Roman" w:eastAsia="Calibri" w:hAnsi="Times New Roman" w:cs="Times New Roman"/>
                <w:szCs w:val="20"/>
              </w:rPr>
              <w:t>Number of schools</w:t>
            </w:r>
            <w:r w:rsidRPr="00D65519">
              <w:rPr>
                <w:rFonts w:ascii="Times New Roman" w:eastAsia="Calibri" w:hAnsi="Times New Roman" w:cs="Times New Roman"/>
                <w:szCs w:val="20"/>
                <w:vertAlign w:val="superscript"/>
              </w:rPr>
              <w:t>2</w:t>
            </w:r>
          </w:p>
        </w:tc>
        <w:tc>
          <w:tcPr>
            <w:tcW w:w="1134" w:type="dxa"/>
            <w:tcBorders>
              <w:top w:val="nil"/>
              <w:left w:val="nil"/>
              <w:bottom w:val="nil"/>
              <w:right w:val="nil"/>
            </w:tcBorders>
            <w:vAlign w:val="center"/>
          </w:tcPr>
          <w:p w14:paraId="4DF5E8B5"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1.05</w:t>
            </w:r>
          </w:p>
        </w:tc>
        <w:tc>
          <w:tcPr>
            <w:tcW w:w="1417" w:type="dxa"/>
            <w:tcBorders>
              <w:top w:val="nil"/>
              <w:left w:val="nil"/>
              <w:bottom w:val="nil"/>
              <w:right w:val="nil"/>
            </w:tcBorders>
            <w:vAlign w:val="center"/>
          </w:tcPr>
          <w:p w14:paraId="6DED4124"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1.24</w:t>
            </w:r>
          </w:p>
        </w:tc>
        <w:tc>
          <w:tcPr>
            <w:tcW w:w="993" w:type="dxa"/>
            <w:tcBorders>
              <w:top w:val="nil"/>
              <w:left w:val="nil"/>
              <w:bottom w:val="nil"/>
              <w:right w:val="nil"/>
            </w:tcBorders>
            <w:vAlign w:val="center"/>
          </w:tcPr>
          <w:p w14:paraId="41E8F6AB"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214BC9E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6.00</w:t>
            </w:r>
          </w:p>
        </w:tc>
      </w:tr>
      <w:tr w:rsidR="00D65519" w:rsidRPr="00D65519" w14:paraId="26497E6C" w14:textId="77777777" w:rsidTr="00C632E2">
        <w:trPr>
          <w:trHeight w:val="170"/>
        </w:trPr>
        <w:tc>
          <w:tcPr>
            <w:tcW w:w="2397" w:type="dxa"/>
            <w:tcBorders>
              <w:top w:val="nil"/>
              <w:left w:val="nil"/>
              <w:bottom w:val="nil"/>
              <w:right w:val="nil"/>
            </w:tcBorders>
          </w:tcPr>
          <w:p w14:paraId="6BA5F793"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5917BD5C" w14:textId="77777777" w:rsidR="000D2841" w:rsidRPr="00D65519" w:rsidRDefault="000D2841" w:rsidP="005765B0">
            <w:pPr>
              <w:spacing w:line="360" w:lineRule="auto"/>
              <w:jc w:val="both"/>
              <w:rPr>
                <w:rFonts w:ascii="Times New Roman" w:eastAsia="Calibri" w:hAnsi="Times New Roman" w:cs="Times New Roman"/>
                <w:szCs w:val="20"/>
                <w:vertAlign w:val="superscript"/>
              </w:rPr>
            </w:pPr>
            <w:r w:rsidRPr="00D65519">
              <w:rPr>
                <w:rFonts w:ascii="Times New Roman" w:eastAsia="Calibri" w:hAnsi="Times New Roman" w:cs="Times New Roman"/>
                <w:szCs w:val="20"/>
              </w:rPr>
              <w:t>Number of subway stations</w:t>
            </w:r>
            <w:r w:rsidRPr="00D65519">
              <w:rPr>
                <w:rFonts w:ascii="Times New Roman" w:eastAsia="Calibri" w:hAnsi="Times New Roman" w:cs="Times New Roman"/>
                <w:szCs w:val="20"/>
                <w:vertAlign w:val="superscript"/>
              </w:rPr>
              <w:t>2</w:t>
            </w:r>
          </w:p>
        </w:tc>
        <w:tc>
          <w:tcPr>
            <w:tcW w:w="1134" w:type="dxa"/>
            <w:tcBorders>
              <w:top w:val="nil"/>
              <w:left w:val="nil"/>
              <w:bottom w:val="nil"/>
              <w:right w:val="nil"/>
            </w:tcBorders>
            <w:vAlign w:val="center"/>
          </w:tcPr>
          <w:p w14:paraId="7EC84F1B"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0.44</w:t>
            </w:r>
          </w:p>
        </w:tc>
        <w:tc>
          <w:tcPr>
            <w:tcW w:w="1417" w:type="dxa"/>
            <w:tcBorders>
              <w:top w:val="nil"/>
              <w:left w:val="nil"/>
              <w:bottom w:val="nil"/>
              <w:right w:val="nil"/>
            </w:tcBorders>
            <w:vAlign w:val="center"/>
          </w:tcPr>
          <w:p w14:paraId="658FB31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0.70</w:t>
            </w:r>
          </w:p>
        </w:tc>
        <w:tc>
          <w:tcPr>
            <w:tcW w:w="993" w:type="dxa"/>
            <w:tcBorders>
              <w:top w:val="nil"/>
              <w:left w:val="nil"/>
              <w:bottom w:val="nil"/>
              <w:right w:val="nil"/>
            </w:tcBorders>
            <w:vAlign w:val="center"/>
          </w:tcPr>
          <w:p w14:paraId="54D69C5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4837F89D"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4.00</w:t>
            </w:r>
          </w:p>
        </w:tc>
      </w:tr>
      <w:tr w:rsidR="00D65519" w:rsidRPr="00D65519" w14:paraId="336D0B76" w14:textId="77777777" w:rsidTr="00C632E2">
        <w:trPr>
          <w:trHeight w:val="170"/>
        </w:trPr>
        <w:tc>
          <w:tcPr>
            <w:tcW w:w="2397" w:type="dxa"/>
            <w:tcBorders>
              <w:top w:val="nil"/>
              <w:left w:val="nil"/>
              <w:bottom w:val="nil"/>
              <w:right w:val="nil"/>
            </w:tcBorders>
          </w:tcPr>
          <w:p w14:paraId="6C83B179"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133C70A9" w14:textId="77777777" w:rsidR="000D2841" w:rsidRPr="00D65519" w:rsidRDefault="000D2841" w:rsidP="005765B0">
            <w:pPr>
              <w:spacing w:line="360" w:lineRule="auto"/>
              <w:jc w:val="both"/>
              <w:rPr>
                <w:rFonts w:ascii="Times New Roman" w:eastAsia="Calibri" w:hAnsi="Times New Roman" w:cs="Times New Roman"/>
                <w:szCs w:val="20"/>
                <w:vertAlign w:val="superscript"/>
              </w:rPr>
            </w:pPr>
            <w:r w:rsidRPr="00D65519">
              <w:rPr>
                <w:rFonts w:ascii="Times New Roman" w:eastAsia="Calibri" w:hAnsi="Times New Roman" w:cs="Times New Roman"/>
                <w:szCs w:val="20"/>
              </w:rPr>
              <w:t>Presence of bus stop</w:t>
            </w:r>
            <w:r w:rsidRPr="00D65519">
              <w:rPr>
                <w:rFonts w:ascii="Times New Roman" w:eastAsia="Calibri" w:hAnsi="Times New Roman" w:cs="Times New Roman"/>
                <w:szCs w:val="20"/>
                <w:vertAlign w:val="superscript"/>
              </w:rPr>
              <w:t>3</w:t>
            </w:r>
          </w:p>
        </w:tc>
        <w:tc>
          <w:tcPr>
            <w:tcW w:w="1134" w:type="dxa"/>
            <w:tcBorders>
              <w:top w:val="nil"/>
              <w:left w:val="nil"/>
              <w:bottom w:val="nil"/>
              <w:right w:val="nil"/>
            </w:tcBorders>
            <w:vAlign w:val="center"/>
          </w:tcPr>
          <w:p w14:paraId="10BAC70F"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0.71</w:t>
            </w:r>
          </w:p>
        </w:tc>
        <w:tc>
          <w:tcPr>
            <w:tcW w:w="1417" w:type="dxa"/>
            <w:tcBorders>
              <w:top w:val="nil"/>
              <w:left w:val="nil"/>
              <w:bottom w:val="nil"/>
              <w:right w:val="nil"/>
            </w:tcBorders>
            <w:vAlign w:val="center"/>
          </w:tcPr>
          <w:p w14:paraId="68733EBF"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0.46</w:t>
            </w:r>
          </w:p>
        </w:tc>
        <w:tc>
          <w:tcPr>
            <w:tcW w:w="993" w:type="dxa"/>
            <w:tcBorders>
              <w:top w:val="nil"/>
              <w:left w:val="nil"/>
              <w:bottom w:val="nil"/>
              <w:right w:val="nil"/>
            </w:tcBorders>
            <w:vAlign w:val="center"/>
          </w:tcPr>
          <w:p w14:paraId="283B1D5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7EE1B1C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w:t>
            </w:r>
          </w:p>
        </w:tc>
      </w:tr>
      <w:tr w:rsidR="00D65519" w:rsidRPr="00D65519" w14:paraId="7EF2EA00" w14:textId="77777777" w:rsidTr="00C632E2">
        <w:trPr>
          <w:trHeight w:val="170"/>
        </w:trPr>
        <w:tc>
          <w:tcPr>
            <w:tcW w:w="2397" w:type="dxa"/>
            <w:tcBorders>
              <w:top w:val="nil"/>
              <w:left w:val="nil"/>
              <w:bottom w:val="nil"/>
              <w:right w:val="nil"/>
            </w:tcBorders>
          </w:tcPr>
          <w:p w14:paraId="795D7951"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12041542" w14:textId="77777777" w:rsidR="000D2841" w:rsidRPr="00D65519" w:rsidRDefault="000D2841" w:rsidP="005765B0">
            <w:pPr>
              <w:spacing w:line="360" w:lineRule="auto"/>
              <w:jc w:val="both"/>
              <w:rPr>
                <w:rFonts w:ascii="Times New Roman" w:eastAsia="Calibri" w:hAnsi="Times New Roman" w:cs="Times New Roman"/>
                <w:szCs w:val="20"/>
                <w:vertAlign w:val="superscript"/>
              </w:rPr>
            </w:pPr>
            <w:r w:rsidRPr="00D65519">
              <w:rPr>
                <w:rFonts w:ascii="Times New Roman" w:eastAsia="Calibri" w:hAnsi="Times New Roman" w:cs="Times New Roman"/>
                <w:szCs w:val="20"/>
              </w:rPr>
              <w:t>Presence of school</w:t>
            </w:r>
            <w:r w:rsidRPr="00D65519">
              <w:rPr>
                <w:rFonts w:ascii="Times New Roman" w:eastAsia="Calibri" w:hAnsi="Times New Roman" w:cs="Times New Roman"/>
                <w:szCs w:val="20"/>
                <w:vertAlign w:val="superscript"/>
              </w:rPr>
              <w:t>2</w:t>
            </w:r>
          </w:p>
        </w:tc>
        <w:tc>
          <w:tcPr>
            <w:tcW w:w="1134" w:type="dxa"/>
            <w:tcBorders>
              <w:top w:val="nil"/>
              <w:left w:val="nil"/>
              <w:bottom w:val="nil"/>
              <w:right w:val="nil"/>
            </w:tcBorders>
            <w:vAlign w:val="center"/>
          </w:tcPr>
          <w:p w14:paraId="41B0502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0.56</w:t>
            </w:r>
          </w:p>
        </w:tc>
        <w:tc>
          <w:tcPr>
            <w:tcW w:w="1417" w:type="dxa"/>
            <w:tcBorders>
              <w:top w:val="nil"/>
              <w:left w:val="nil"/>
              <w:bottom w:val="nil"/>
              <w:right w:val="nil"/>
            </w:tcBorders>
            <w:vAlign w:val="center"/>
          </w:tcPr>
          <w:p w14:paraId="23FEE2F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0.50</w:t>
            </w:r>
          </w:p>
        </w:tc>
        <w:tc>
          <w:tcPr>
            <w:tcW w:w="993" w:type="dxa"/>
            <w:tcBorders>
              <w:top w:val="nil"/>
              <w:left w:val="nil"/>
              <w:bottom w:val="nil"/>
              <w:right w:val="nil"/>
            </w:tcBorders>
            <w:vAlign w:val="center"/>
          </w:tcPr>
          <w:p w14:paraId="0455396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5487F5F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w:t>
            </w:r>
          </w:p>
        </w:tc>
      </w:tr>
      <w:tr w:rsidR="00D65519" w:rsidRPr="00D65519" w14:paraId="4028DE98" w14:textId="77777777" w:rsidTr="00C632E2">
        <w:trPr>
          <w:trHeight w:val="170"/>
        </w:trPr>
        <w:tc>
          <w:tcPr>
            <w:tcW w:w="2397" w:type="dxa"/>
            <w:tcBorders>
              <w:top w:val="nil"/>
              <w:left w:val="nil"/>
              <w:bottom w:val="nil"/>
              <w:right w:val="nil"/>
            </w:tcBorders>
          </w:tcPr>
          <w:p w14:paraId="4807FED5"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75C7FC87" w14:textId="77777777" w:rsidR="000D2841" w:rsidRPr="00D65519" w:rsidRDefault="000D2841" w:rsidP="005765B0">
            <w:pPr>
              <w:spacing w:line="360" w:lineRule="auto"/>
              <w:jc w:val="both"/>
              <w:rPr>
                <w:rFonts w:ascii="Times New Roman" w:eastAsia="Calibri" w:hAnsi="Times New Roman" w:cs="Times New Roman"/>
                <w:szCs w:val="20"/>
                <w:vertAlign w:val="superscript"/>
              </w:rPr>
            </w:pPr>
            <w:r w:rsidRPr="00D65519">
              <w:rPr>
                <w:rFonts w:ascii="Times New Roman" w:eastAsia="Calibri" w:hAnsi="Times New Roman" w:cs="Times New Roman"/>
                <w:szCs w:val="20"/>
              </w:rPr>
              <w:t>Presence of subway stations</w:t>
            </w:r>
            <w:r w:rsidRPr="00D65519">
              <w:rPr>
                <w:rFonts w:ascii="Times New Roman" w:eastAsia="Calibri" w:hAnsi="Times New Roman" w:cs="Times New Roman"/>
                <w:szCs w:val="20"/>
                <w:vertAlign w:val="superscript"/>
              </w:rPr>
              <w:t>2</w:t>
            </w:r>
          </w:p>
        </w:tc>
        <w:tc>
          <w:tcPr>
            <w:tcW w:w="1134" w:type="dxa"/>
            <w:tcBorders>
              <w:top w:val="nil"/>
              <w:left w:val="nil"/>
              <w:bottom w:val="nil"/>
              <w:right w:val="nil"/>
            </w:tcBorders>
            <w:vAlign w:val="center"/>
          </w:tcPr>
          <w:p w14:paraId="142FCE5E"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0.34</w:t>
            </w:r>
          </w:p>
        </w:tc>
        <w:tc>
          <w:tcPr>
            <w:tcW w:w="1417" w:type="dxa"/>
            <w:tcBorders>
              <w:top w:val="nil"/>
              <w:left w:val="nil"/>
              <w:bottom w:val="nil"/>
              <w:right w:val="nil"/>
            </w:tcBorders>
            <w:vAlign w:val="center"/>
          </w:tcPr>
          <w:p w14:paraId="090CA16D"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0.48</w:t>
            </w:r>
          </w:p>
        </w:tc>
        <w:tc>
          <w:tcPr>
            <w:tcW w:w="993" w:type="dxa"/>
            <w:tcBorders>
              <w:top w:val="nil"/>
              <w:left w:val="nil"/>
              <w:bottom w:val="nil"/>
              <w:right w:val="nil"/>
            </w:tcBorders>
            <w:vAlign w:val="center"/>
          </w:tcPr>
          <w:p w14:paraId="44998BB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5190EEE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w:t>
            </w:r>
          </w:p>
        </w:tc>
      </w:tr>
      <w:tr w:rsidR="00D65519" w:rsidRPr="00D65519" w14:paraId="72B9BA4A" w14:textId="77777777" w:rsidTr="00C632E2">
        <w:trPr>
          <w:trHeight w:val="170"/>
        </w:trPr>
        <w:tc>
          <w:tcPr>
            <w:tcW w:w="2397" w:type="dxa"/>
            <w:tcBorders>
              <w:top w:val="nil"/>
              <w:left w:val="nil"/>
              <w:bottom w:val="nil"/>
              <w:right w:val="nil"/>
            </w:tcBorders>
          </w:tcPr>
          <w:p w14:paraId="7AF0312D"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Geometric/operational</w:t>
            </w:r>
          </w:p>
        </w:tc>
        <w:tc>
          <w:tcPr>
            <w:tcW w:w="3544" w:type="dxa"/>
            <w:tcBorders>
              <w:top w:val="nil"/>
              <w:left w:val="nil"/>
              <w:bottom w:val="nil"/>
              <w:right w:val="nil"/>
            </w:tcBorders>
          </w:tcPr>
          <w:p w14:paraId="6B9B81E2"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Maximum speed (km/h)</w:t>
            </w:r>
          </w:p>
        </w:tc>
        <w:tc>
          <w:tcPr>
            <w:tcW w:w="1134" w:type="dxa"/>
            <w:tcBorders>
              <w:top w:val="nil"/>
              <w:left w:val="nil"/>
              <w:bottom w:val="nil"/>
              <w:right w:val="nil"/>
            </w:tcBorders>
            <w:vAlign w:val="center"/>
          </w:tcPr>
          <w:p w14:paraId="47D2A2BA"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61.82</w:t>
            </w:r>
          </w:p>
        </w:tc>
        <w:tc>
          <w:tcPr>
            <w:tcW w:w="1417" w:type="dxa"/>
            <w:tcBorders>
              <w:top w:val="nil"/>
              <w:left w:val="nil"/>
              <w:bottom w:val="nil"/>
              <w:right w:val="nil"/>
            </w:tcBorders>
            <w:vAlign w:val="center"/>
          </w:tcPr>
          <w:p w14:paraId="76B99B8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9.88</w:t>
            </w:r>
          </w:p>
        </w:tc>
        <w:tc>
          <w:tcPr>
            <w:tcW w:w="993" w:type="dxa"/>
            <w:tcBorders>
              <w:top w:val="nil"/>
              <w:left w:val="nil"/>
              <w:bottom w:val="nil"/>
              <w:right w:val="nil"/>
            </w:tcBorders>
            <w:vAlign w:val="center"/>
          </w:tcPr>
          <w:p w14:paraId="498F66D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50.00</w:t>
            </w:r>
          </w:p>
        </w:tc>
        <w:tc>
          <w:tcPr>
            <w:tcW w:w="1041" w:type="dxa"/>
            <w:tcBorders>
              <w:top w:val="nil"/>
              <w:left w:val="nil"/>
              <w:bottom w:val="nil"/>
              <w:right w:val="nil"/>
            </w:tcBorders>
            <w:vAlign w:val="center"/>
          </w:tcPr>
          <w:p w14:paraId="1D697BA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100.00</w:t>
            </w:r>
          </w:p>
        </w:tc>
      </w:tr>
      <w:tr w:rsidR="00D65519" w:rsidRPr="00D65519" w14:paraId="4DCF0711" w14:textId="77777777" w:rsidTr="00C632E2">
        <w:trPr>
          <w:trHeight w:val="170"/>
        </w:trPr>
        <w:tc>
          <w:tcPr>
            <w:tcW w:w="2397" w:type="dxa"/>
            <w:tcBorders>
              <w:top w:val="nil"/>
              <w:left w:val="nil"/>
              <w:bottom w:val="nil"/>
              <w:right w:val="nil"/>
            </w:tcBorders>
          </w:tcPr>
          <w:p w14:paraId="5A2C960D"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7B856396"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Dedicated traffic light for pedestrians</w:t>
            </w:r>
          </w:p>
        </w:tc>
        <w:tc>
          <w:tcPr>
            <w:tcW w:w="1134" w:type="dxa"/>
            <w:tcBorders>
              <w:top w:val="nil"/>
              <w:left w:val="nil"/>
              <w:bottom w:val="nil"/>
              <w:right w:val="nil"/>
            </w:tcBorders>
            <w:vAlign w:val="center"/>
          </w:tcPr>
          <w:p w14:paraId="474A5CCA"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0.25</w:t>
            </w:r>
          </w:p>
        </w:tc>
        <w:tc>
          <w:tcPr>
            <w:tcW w:w="1417" w:type="dxa"/>
            <w:tcBorders>
              <w:top w:val="nil"/>
              <w:left w:val="nil"/>
              <w:bottom w:val="nil"/>
              <w:right w:val="nil"/>
            </w:tcBorders>
            <w:vAlign w:val="center"/>
          </w:tcPr>
          <w:p w14:paraId="0AD68F6C"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0.43</w:t>
            </w:r>
          </w:p>
        </w:tc>
        <w:tc>
          <w:tcPr>
            <w:tcW w:w="993" w:type="dxa"/>
            <w:tcBorders>
              <w:top w:val="nil"/>
              <w:left w:val="nil"/>
              <w:bottom w:val="nil"/>
              <w:right w:val="nil"/>
            </w:tcBorders>
            <w:vAlign w:val="center"/>
          </w:tcPr>
          <w:p w14:paraId="6448D422"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58FF1B8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w:t>
            </w:r>
          </w:p>
        </w:tc>
      </w:tr>
      <w:tr w:rsidR="00D65519" w:rsidRPr="00D65519" w14:paraId="70DCF88F" w14:textId="77777777" w:rsidTr="00C632E2">
        <w:trPr>
          <w:trHeight w:val="170"/>
        </w:trPr>
        <w:tc>
          <w:tcPr>
            <w:tcW w:w="2397" w:type="dxa"/>
            <w:tcBorders>
              <w:top w:val="nil"/>
              <w:left w:val="nil"/>
              <w:bottom w:val="nil"/>
              <w:right w:val="nil"/>
            </w:tcBorders>
          </w:tcPr>
          <w:p w14:paraId="1A4F03E6"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64555788"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Three-leg intersection</w:t>
            </w:r>
          </w:p>
        </w:tc>
        <w:tc>
          <w:tcPr>
            <w:tcW w:w="1134" w:type="dxa"/>
            <w:tcBorders>
              <w:top w:val="nil"/>
              <w:left w:val="nil"/>
              <w:bottom w:val="nil"/>
              <w:right w:val="nil"/>
            </w:tcBorders>
            <w:vAlign w:val="center"/>
          </w:tcPr>
          <w:p w14:paraId="390BF976"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0.22</w:t>
            </w:r>
          </w:p>
        </w:tc>
        <w:tc>
          <w:tcPr>
            <w:tcW w:w="1417" w:type="dxa"/>
            <w:tcBorders>
              <w:top w:val="nil"/>
              <w:left w:val="nil"/>
              <w:bottom w:val="nil"/>
              <w:right w:val="nil"/>
            </w:tcBorders>
            <w:vAlign w:val="center"/>
          </w:tcPr>
          <w:p w14:paraId="1B6E03C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0.42</w:t>
            </w:r>
          </w:p>
        </w:tc>
        <w:tc>
          <w:tcPr>
            <w:tcW w:w="993" w:type="dxa"/>
            <w:tcBorders>
              <w:top w:val="nil"/>
              <w:left w:val="nil"/>
              <w:bottom w:val="nil"/>
              <w:right w:val="nil"/>
            </w:tcBorders>
            <w:vAlign w:val="center"/>
          </w:tcPr>
          <w:p w14:paraId="6693AFF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4AD1E22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w:t>
            </w:r>
          </w:p>
        </w:tc>
      </w:tr>
      <w:tr w:rsidR="00D65519" w:rsidRPr="00D65519" w14:paraId="724A5292" w14:textId="77777777" w:rsidTr="00C632E2">
        <w:trPr>
          <w:trHeight w:val="170"/>
        </w:trPr>
        <w:tc>
          <w:tcPr>
            <w:tcW w:w="2397" w:type="dxa"/>
            <w:tcBorders>
              <w:top w:val="nil"/>
              <w:left w:val="nil"/>
              <w:bottom w:val="nil"/>
              <w:right w:val="nil"/>
            </w:tcBorders>
          </w:tcPr>
          <w:p w14:paraId="6838675B"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nil"/>
              <w:right w:val="nil"/>
            </w:tcBorders>
          </w:tcPr>
          <w:p w14:paraId="56E1ECFE"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raised median</w:t>
            </w:r>
          </w:p>
        </w:tc>
        <w:tc>
          <w:tcPr>
            <w:tcW w:w="1134" w:type="dxa"/>
            <w:tcBorders>
              <w:top w:val="nil"/>
              <w:left w:val="nil"/>
              <w:bottom w:val="nil"/>
              <w:right w:val="nil"/>
            </w:tcBorders>
            <w:vAlign w:val="center"/>
          </w:tcPr>
          <w:p w14:paraId="344DAB6F"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0.48</w:t>
            </w:r>
          </w:p>
        </w:tc>
        <w:tc>
          <w:tcPr>
            <w:tcW w:w="1417" w:type="dxa"/>
            <w:tcBorders>
              <w:top w:val="nil"/>
              <w:left w:val="nil"/>
              <w:bottom w:val="nil"/>
              <w:right w:val="nil"/>
            </w:tcBorders>
            <w:vAlign w:val="center"/>
          </w:tcPr>
          <w:p w14:paraId="22B68F07"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0.50</w:t>
            </w:r>
          </w:p>
        </w:tc>
        <w:tc>
          <w:tcPr>
            <w:tcW w:w="993" w:type="dxa"/>
            <w:tcBorders>
              <w:top w:val="nil"/>
              <w:left w:val="nil"/>
              <w:bottom w:val="nil"/>
              <w:right w:val="nil"/>
            </w:tcBorders>
            <w:vAlign w:val="center"/>
          </w:tcPr>
          <w:p w14:paraId="5099C0E1"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0.00</w:t>
            </w:r>
          </w:p>
        </w:tc>
        <w:tc>
          <w:tcPr>
            <w:tcW w:w="1041" w:type="dxa"/>
            <w:tcBorders>
              <w:top w:val="nil"/>
              <w:left w:val="nil"/>
              <w:bottom w:val="nil"/>
              <w:right w:val="nil"/>
            </w:tcBorders>
            <w:vAlign w:val="center"/>
          </w:tcPr>
          <w:p w14:paraId="35896090"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1.00</w:t>
            </w:r>
          </w:p>
        </w:tc>
      </w:tr>
      <w:tr w:rsidR="00D65519" w:rsidRPr="00D65519" w14:paraId="0FA9BD0E" w14:textId="77777777" w:rsidTr="00C632E2">
        <w:trPr>
          <w:trHeight w:val="170"/>
        </w:trPr>
        <w:tc>
          <w:tcPr>
            <w:tcW w:w="2397" w:type="dxa"/>
            <w:tcBorders>
              <w:top w:val="nil"/>
              <w:left w:val="nil"/>
              <w:bottom w:val="single" w:sz="4" w:space="0" w:color="auto"/>
              <w:right w:val="nil"/>
            </w:tcBorders>
          </w:tcPr>
          <w:p w14:paraId="284E9836" w14:textId="77777777" w:rsidR="000D2841" w:rsidRPr="00D65519" w:rsidRDefault="000D2841" w:rsidP="005765B0">
            <w:pPr>
              <w:spacing w:line="360" w:lineRule="auto"/>
              <w:jc w:val="both"/>
              <w:rPr>
                <w:rFonts w:ascii="Times New Roman" w:eastAsia="Calibri" w:hAnsi="Times New Roman" w:cs="Times New Roman"/>
                <w:szCs w:val="20"/>
              </w:rPr>
            </w:pPr>
          </w:p>
        </w:tc>
        <w:tc>
          <w:tcPr>
            <w:tcW w:w="3544" w:type="dxa"/>
            <w:tcBorders>
              <w:top w:val="nil"/>
              <w:left w:val="nil"/>
              <w:bottom w:val="single" w:sz="4" w:space="0" w:color="auto"/>
              <w:right w:val="nil"/>
            </w:tcBorders>
          </w:tcPr>
          <w:p w14:paraId="6A321C1E"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Total number of lanes</w:t>
            </w:r>
          </w:p>
        </w:tc>
        <w:tc>
          <w:tcPr>
            <w:tcW w:w="1134" w:type="dxa"/>
            <w:tcBorders>
              <w:top w:val="nil"/>
              <w:left w:val="nil"/>
              <w:bottom w:val="single" w:sz="4" w:space="0" w:color="auto"/>
              <w:right w:val="nil"/>
            </w:tcBorders>
            <w:vAlign w:val="center"/>
          </w:tcPr>
          <w:p w14:paraId="1F6D963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6.87</w:t>
            </w:r>
          </w:p>
        </w:tc>
        <w:tc>
          <w:tcPr>
            <w:tcW w:w="1417" w:type="dxa"/>
            <w:tcBorders>
              <w:top w:val="nil"/>
              <w:left w:val="nil"/>
              <w:bottom w:val="single" w:sz="4" w:space="0" w:color="auto"/>
              <w:right w:val="nil"/>
            </w:tcBorders>
            <w:vAlign w:val="center"/>
          </w:tcPr>
          <w:p w14:paraId="4A27DA33"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2.63</w:t>
            </w:r>
          </w:p>
        </w:tc>
        <w:tc>
          <w:tcPr>
            <w:tcW w:w="993" w:type="dxa"/>
            <w:tcBorders>
              <w:top w:val="nil"/>
              <w:left w:val="nil"/>
              <w:bottom w:val="single" w:sz="4" w:space="0" w:color="auto"/>
              <w:right w:val="nil"/>
            </w:tcBorders>
            <w:vAlign w:val="center"/>
          </w:tcPr>
          <w:p w14:paraId="75EAAECA"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3.00</w:t>
            </w:r>
          </w:p>
        </w:tc>
        <w:tc>
          <w:tcPr>
            <w:tcW w:w="1041" w:type="dxa"/>
            <w:tcBorders>
              <w:top w:val="nil"/>
              <w:left w:val="nil"/>
              <w:bottom w:val="single" w:sz="4" w:space="0" w:color="auto"/>
              <w:right w:val="nil"/>
            </w:tcBorders>
            <w:vAlign w:val="center"/>
          </w:tcPr>
          <w:p w14:paraId="47407A89" w14:textId="77777777" w:rsidR="000D2841" w:rsidRPr="00D65519" w:rsidRDefault="000D2841"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16.00</w:t>
            </w:r>
          </w:p>
        </w:tc>
      </w:tr>
      <w:tr w:rsidR="00D65519" w:rsidRPr="00D65519" w14:paraId="3E012487" w14:textId="77777777" w:rsidTr="00C632E2">
        <w:trPr>
          <w:trHeight w:val="170"/>
        </w:trPr>
        <w:tc>
          <w:tcPr>
            <w:tcW w:w="7075" w:type="dxa"/>
            <w:gridSpan w:val="3"/>
            <w:tcBorders>
              <w:top w:val="single" w:sz="4" w:space="0" w:color="auto"/>
              <w:left w:val="nil"/>
              <w:bottom w:val="nil"/>
              <w:right w:val="nil"/>
            </w:tcBorders>
          </w:tcPr>
          <w:p w14:paraId="7DC6690C" w14:textId="77777777" w:rsidR="000D2841" w:rsidRPr="00D65519" w:rsidRDefault="000D2841" w:rsidP="005765B0">
            <w:pPr>
              <w:spacing w:after="120" w:line="360" w:lineRule="auto"/>
              <w:jc w:val="both"/>
              <w:rPr>
                <w:rFonts w:ascii="Times New Roman" w:eastAsia="Calibri" w:hAnsi="Times New Roman" w:cs="Times New Roman"/>
                <w:sz w:val="24"/>
              </w:rPr>
            </w:pPr>
            <w:r w:rsidRPr="00D65519">
              <w:rPr>
                <w:rFonts w:ascii="Times New Roman" w:eastAsia="Times New Roman" w:hAnsi="Times New Roman" w:cs="Times New Roman"/>
                <w:i/>
                <w:sz w:val="20"/>
                <w:szCs w:val="20"/>
                <w:vertAlign w:val="superscript"/>
              </w:rPr>
              <w:t>(1)</w:t>
            </w:r>
            <w:r w:rsidRPr="00D65519">
              <w:rPr>
                <w:rFonts w:ascii="Times New Roman" w:eastAsia="Times New Roman" w:hAnsi="Times New Roman" w:cs="Times New Roman"/>
                <w:sz w:val="20"/>
                <w:szCs w:val="20"/>
                <w:vertAlign w:val="superscript"/>
              </w:rPr>
              <w:t xml:space="preserve"> </w:t>
            </w:r>
            <w:r w:rsidRPr="00D65519">
              <w:rPr>
                <w:rFonts w:ascii="Times New Roman" w:eastAsia="Times New Roman" w:hAnsi="Times New Roman" w:cs="Times New Roman"/>
                <w:sz w:val="20"/>
                <w:szCs w:val="20"/>
              </w:rPr>
              <w:t xml:space="preserve">buffer of 800 meters; </w:t>
            </w:r>
            <w:r w:rsidRPr="00D65519">
              <w:rPr>
                <w:rFonts w:ascii="Times New Roman" w:eastAsia="Times New Roman" w:hAnsi="Times New Roman" w:cs="Times New Roman"/>
                <w:i/>
                <w:sz w:val="20"/>
                <w:szCs w:val="20"/>
                <w:vertAlign w:val="superscript"/>
              </w:rPr>
              <w:t>(2)</w:t>
            </w:r>
            <w:r w:rsidRPr="00D65519">
              <w:rPr>
                <w:rFonts w:ascii="Times New Roman" w:eastAsia="Times New Roman" w:hAnsi="Times New Roman" w:cs="Times New Roman"/>
                <w:sz w:val="20"/>
                <w:szCs w:val="20"/>
                <w:vertAlign w:val="superscript"/>
              </w:rPr>
              <w:t xml:space="preserve"> </w:t>
            </w:r>
            <w:r w:rsidRPr="00D65519">
              <w:rPr>
                <w:rFonts w:ascii="Times New Roman" w:eastAsia="Times New Roman" w:hAnsi="Times New Roman" w:cs="Times New Roman"/>
                <w:sz w:val="20"/>
                <w:szCs w:val="20"/>
              </w:rPr>
              <w:t xml:space="preserve">buffer of 400 meters; </w:t>
            </w:r>
            <w:r w:rsidRPr="00D65519">
              <w:rPr>
                <w:rFonts w:ascii="Times New Roman" w:eastAsia="Times New Roman" w:hAnsi="Times New Roman" w:cs="Times New Roman"/>
                <w:i/>
                <w:sz w:val="20"/>
                <w:szCs w:val="20"/>
                <w:vertAlign w:val="superscript"/>
              </w:rPr>
              <w:t>(3)</w:t>
            </w:r>
            <w:r w:rsidRPr="00D65519">
              <w:rPr>
                <w:rFonts w:ascii="Times New Roman" w:eastAsia="Times New Roman" w:hAnsi="Times New Roman" w:cs="Times New Roman"/>
                <w:sz w:val="20"/>
                <w:szCs w:val="20"/>
              </w:rPr>
              <w:t>buffer of 50 meters</w:t>
            </w:r>
          </w:p>
        </w:tc>
        <w:tc>
          <w:tcPr>
            <w:tcW w:w="1417" w:type="dxa"/>
            <w:tcBorders>
              <w:top w:val="single" w:sz="4" w:space="0" w:color="auto"/>
              <w:left w:val="nil"/>
              <w:bottom w:val="nil"/>
              <w:right w:val="nil"/>
            </w:tcBorders>
            <w:vAlign w:val="center"/>
          </w:tcPr>
          <w:p w14:paraId="3FB8DC95" w14:textId="77777777" w:rsidR="000D2841" w:rsidRPr="00D65519" w:rsidRDefault="000D2841" w:rsidP="005765B0">
            <w:pPr>
              <w:spacing w:line="360" w:lineRule="auto"/>
              <w:jc w:val="both"/>
              <w:rPr>
                <w:rFonts w:ascii="Times New Roman" w:eastAsia="Calibri" w:hAnsi="Times New Roman" w:cs="Times New Roman"/>
                <w:szCs w:val="20"/>
              </w:rPr>
            </w:pPr>
          </w:p>
        </w:tc>
        <w:tc>
          <w:tcPr>
            <w:tcW w:w="993" w:type="dxa"/>
            <w:tcBorders>
              <w:top w:val="single" w:sz="4" w:space="0" w:color="auto"/>
              <w:left w:val="nil"/>
              <w:bottom w:val="nil"/>
              <w:right w:val="nil"/>
            </w:tcBorders>
            <w:vAlign w:val="center"/>
          </w:tcPr>
          <w:p w14:paraId="31F31746" w14:textId="77777777" w:rsidR="000D2841" w:rsidRPr="00D65519" w:rsidRDefault="000D2841" w:rsidP="005765B0">
            <w:pPr>
              <w:spacing w:line="360" w:lineRule="auto"/>
              <w:jc w:val="both"/>
              <w:rPr>
                <w:rFonts w:ascii="Times New Roman" w:eastAsia="Calibri" w:hAnsi="Times New Roman" w:cs="Times New Roman"/>
                <w:szCs w:val="20"/>
              </w:rPr>
            </w:pPr>
          </w:p>
        </w:tc>
        <w:tc>
          <w:tcPr>
            <w:tcW w:w="1041" w:type="dxa"/>
            <w:tcBorders>
              <w:top w:val="single" w:sz="4" w:space="0" w:color="auto"/>
              <w:left w:val="nil"/>
              <w:bottom w:val="nil"/>
              <w:right w:val="nil"/>
            </w:tcBorders>
            <w:vAlign w:val="center"/>
          </w:tcPr>
          <w:p w14:paraId="55D0956C" w14:textId="77777777" w:rsidR="000D2841" w:rsidRPr="00D65519" w:rsidRDefault="000D2841" w:rsidP="005765B0">
            <w:pPr>
              <w:spacing w:line="360" w:lineRule="auto"/>
              <w:jc w:val="both"/>
              <w:rPr>
                <w:rFonts w:ascii="Times New Roman" w:eastAsia="Calibri" w:hAnsi="Times New Roman" w:cs="Times New Roman"/>
                <w:szCs w:val="20"/>
              </w:rPr>
            </w:pPr>
          </w:p>
        </w:tc>
      </w:tr>
    </w:tbl>
    <w:p w14:paraId="2B3B3E5E" w14:textId="645F46DC" w:rsidR="001112ED" w:rsidRPr="00D65519" w:rsidRDefault="001112ED" w:rsidP="001112ED">
      <w:pPr>
        <w:pStyle w:val="ThesisText"/>
      </w:pPr>
    </w:p>
    <w:p w14:paraId="3085F123" w14:textId="77777777" w:rsidR="001112ED" w:rsidRPr="00D65519" w:rsidRDefault="001112ED" w:rsidP="001112ED">
      <w:pPr>
        <w:pStyle w:val="ThesisText"/>
        <w:spacing w:line="360" w:lineRule="auto"/>
      </w:pPr>
      <w:r w:rsidRPr="00D65519">
        <w:t xml:space="preserve">Data on exposure of both cyclists and motorised traffic were gathered manually at intersections around Montreal in 2008 and 2009 and as such are assumed to be representative of the counts for the years studied in this analysis. Built environment data goes some way to establishing the nature of the surroundings of an intersection which is useful for comparative purposes. These data were taken from a range of sources including: Statistics Canada, DMTI Spatial Inc., </w:t>
      </w:r>
      <w:proofErr w:type="spellStart"/>
      <w:r w:rsidRPr="00D65519">
        <w:t>Société</w:t>
      </w:r>
      <w:proofErr w:type="spellEnd"/>
      <w:r w:rsidRPr="00D65519">
        <w:t xml:space="preserve"> de transport de Montréal </w:t>
      </w:r>
      <w:r w:rsidRPr="00D65519">
        <w:lastRenderedPageBreak/>
        <w:t xml:space="preserve">(STM) and </w:t>
      </w:r>
      <w:proofErr w:type="spellStart"/>
      <w:r w:rsidRPr="00D65519">
        <w:t>Agence</w:t>
      </w:r>
      <w:proofErr w:type="spellEnd"/>
      <w:r w:rsidRPr="00D65519">
        <w:t xml:space="preserve"> </w:t>
      </w:r>
      <w:proofErr w:type="spellStart"/>
      <w:r w:rsidRPr="00D65519">
        <w:t>métropolitaine</w:t>
      </w:r>
      <w:proofErr w:type="spellEnd"/>
      <w:r w:rsidRPr="00D65519">
        <w:t xml:space="preserve"> de transport. Finally geometric characteristics were also obtained manually through site visits in the years 2010-2012 by a team from McGill University. Similar to the exposure data, even though this information was gathered in the time following the study period, it was deemed that there would not have been any sufficient change to the intersections in this time to warrant any loss of significance.</w:t>
      </w:r>
    </w:p>
    <w:p w14:paraId="72AA3DF8" w14:textId="29B790E9" w:rsidR="00FA75F7" w:rsidRPr="00D65519" w:rsidRDefault="00FB01D5" w:rsidP="005765B0">
      <w:pPr>
        <w:pStyle w:val="ThesisSub2"/>
        <w:spacing w:line="360" w:lineRule="auto"/>
        <w:rPr>
          <w:color w:val="auto"/>
        </w:rPr>
      </w:pPr>
      <w:r w:rsidRPr="00D65519">
        <w:rPr>
          <w:color w:val="auto"/>
        </w:rPr>
        <w:t>Methodological basis</w:t>
      </w:r>
    </w:p>
    <w:p w14:paraId="0234FE11" w14:textId="27A93DDD" w:rsidR="008C4D09" w:rsidRPr="00D65519" w:rsidRDefault="008C4D09" w:rsidP="00173155">
      <w:pPr>
        <w:pStyle w:val="ThesisText"/>
        <w:spacing w:line="360" w:lineRule="auto"/>
      </w:pPr>
      <w:r w:rsidRPr="00D65519">
        <w:t>To conduct the analysis</w:t>
      </w:r>
      <w:r w:rsidR="00B73713" w:rsidRPr="00D65519">
        <w:t>,</w:t>
      </w:r>
      <w:r w:rsidRPr="00D65519">
        <w:t xml:space="preserve"> it was necessary to develop two equations</w:t>
      </w:r>
      <w:r w:rsidR="00173155" w:rsidRPr="00D65519">
        <w:t xml:space="preserve"> simultaneously</w:t>
      </w:r>
      <w:r w:rsidR="00E53F67" w:rsidRPr="00D65519">
        <w:t>,</w:t>
      </w:r>
      <w:r w:rsidRPr="00D65519">
        <w:t xml:space="preserve"> in a way that two correlated outcomes could be modelled</w:t>
      </w:r>
      <w:r w:rsidR="00173155" w:rsidRPr="00D65519">
        <w:t xml:space="preserve"> together</w:t>
      </w:r>
      <w:r w:rsidRPr="00D65519">
        <w:t xml:space="preserve">. One outcome is the propensity for the presence of a school </w:t>
      </w:r>
      <w:r w:rsidR="000B3406" w:rsidRPr="00D65519">
        <w:t>nearby</w:t>
      </w:r>
      <w:r w:rsidRPr="00D65519">
        <w:t xml:space="preserve"> a given intersection </w:t>
      </w:r>
      <w:r w:rsidR="00173155" w:rsidRPr="00D65519">
        <w:t xml:space="preserve">(i.e., the endogenous variable of interest) </w:t>
      </w:r>
      <w:r w:rsidRPr="00D65519">
        <w:t xml:space="preserve">and the other is cyclist injury frequency, both of which are informed by </w:t>
      </w:r>
      <w:r w:rsidR="00173155" w:rsidRPr="00D65519">
        <w:t xml:space="preserve">a host of </w:t>
      </w:r>
      <w:r w:rsidRPr="00D65519">
        <w:t>exposure, built environment</w:t>
      </w:r>
      <w:r w:rsidR="000B3406" w:rsidRPr="00D65519">
        <w:t>,</w:t>
      </w:r>
      <w:r w:rsidRPr="00D65519">
        <w:t xml:space="preserve"> and geometric variables. Furthermore</w:t>
      </w:r>
      <w:r w:rsidR="00B25C16" w:rsidRPr="00D65519">
        <w:t>,</w:t>
      </w:r>
      <w:r w:rsidRPr="00D65519">
        <w:t xml:space="preserve"> by modelling these</w:t>
      </w:r>
      <w:r w:rsidR="00173155" w:rsidRPr="00D65519">
        <w:t xml:space="preserve"> two outcomes</w:t>
      </w:r>
      <w:r w:rsidRPr="00D65519">
        <w:t xml:space="preserve"> simultaneously</w:t>
      </w:r>
      <w:r w:rsidR="0019276E" w:rsidRPr="00D65519">
        <w:t>,</w:t>
      </w:r>
      <w:r w:rsidRPr="00D65519">
        <w:t xml:space="preserve"> the injury frequency model is informed by the result of the presence of school model, as proximity to a school may itself have an effect on safety. Such </w:t>
      </w:r>
      <w:r w:rsidR="0019276E" w:rsidRPr="00D65519">
        <w:t xml:space="preserve">an approach </w:t>
      </w:r>
      <w:r w:rsidRPr="00D65519">
        <w:t>make</w:t>
      </w:r>
      <w:r w:rsidR="0019276E" w:rsidRPr="00D65519">
        <w:t>s</w:t>
      </w:r>
      <w:r w:rsidRPr="00D65519">
        <w:t xml:space="preserve"> it possible to investigate potential endogeneity in the effect of a variable on </w:t>
      </w:r>
      <w:r w:rsidR="00CC3AC0" w:rsidRPr="00D65519">
        <w:t>an outcome of interest</w:t>
      </w:r>
      <w:r w:rsidRPr="00D65519">
        <w:t xml:space="preserve"> (</w:t>
      </w:r>
      <w:r w:rsidR="003E68C0" w:rsidRPr="00D65519">
        <w:t xml:space="preserve">Kozumi, 2002; </w:t>
      </w:r>
      <w:r w:rsidR="00907F09" w:rsidRPr="00D65519">
        <w:t>Heydari et al., 2020</w:t>
      </w:r>
      <w:r w:rsidRPr="00D65519">
        <w:t>; Mannering et al.</w:t>
      </w:r>
      <w:r w:rsidR="00907F09" w:rsidRPr="00D65519">
        <w:t>,</w:t>
      </w:r>
      <w:r w:rsidRPr="00D65519">
        <w:t xml:space="preserve"> 2020). </w:t>
      </w:r>
    </w:p>
    <w:p w14:paraId="57E530F5" w14:textId="3C77D095" w:rsidR="00E476DA" w:rsidRPr="00D65519" w:rsidRDefault="00C03ABE" w:rsidP="00173155">
      <w:pPr>
        <w:pStyle w:val="ThesisText"/>
        <w:spacing w:line="360" w:lineRule="auto"/>
      </w:pPr>
      <w:r w:rsidRPr="00D65519">
        <w:t xml:space="preserve">Our </w:t>
      </w:r>
      <w:r w:rsidR="008C4D09" w:rsidRPr="00D65519">
        <w:t xml:space="preserve">models were constructed using the following theoretical framework </w:t>
      </w:r>
      <w:r w:rsidR="003604FF" w:rsidRPr="00D65519">
        <w:t>that</w:t>
      </w:r>
      <w:r w:rsidR="008C4D09" w:rsidRPr="00D65519">
        <w:t xml:space="preserve"> is based on the work of </w:t>
      </w:r>
      <w:proofErr w:type="spellStart"/>
      <w:r w:rsidR="003604FF" w:rsidRPr="00D65519">
        <w:t>Terza</w:t>
      </w:r>
      <w:proofErr w:type="spellEnd"/>
      <w:r w:rsidR="003604FF" w:rsidRPr="00D65519">
        <w:t xml:space="preserve"> (1998) and Kozumi (2002)</w:t>
      </w:r>
      <w:r w:rsidR="008C4D09" w:rsidRPr="00D65519">
        <w:t xml:space="preserve">. The presence of a school in proximity to an intersection is modelled as a binary outcome </w:t>
      </w:r>
      <w:r w:rsidR="008C4D09" w:rsidRPr="00D65519">
        <w:rPr>
          <w:i/>
          <w:iCs/>
        </w:rPr>
        <w:t>S</w:t>
      </w:r>
      <w:r w:rsidR="008C4D09" w:rsidRPr="00D65519">
        <w:t xml:space="preserve"> and is associated with </w:t>
      </w:r>
      <w:r w:rsidRPr="00D65519">
        <w:t xml:space="preserve">the latent variable </w:t>
      </w:r>
      <w:r w:rsidR="008C4D09" w:rsidRPr="00D65519">
        <w:rPr>
          <w:i/>
          <w:iCs/>
        </w:rPr>
        <w:t>s*</w:t>
      </w:r>
      <w:r w:rsidR="008C4D09" w:rsidRPr="00D65519">
        <w:t xml:space="preserve"> </w:t>
      </w:r>
      <w:r w:rsidR="0007318E" w:rsidRPr="00D65519">
        <w:t>that</w:t>
      </w:r>
      <w:r w:rsidR="008C4D09" w:rsidRPr="00D65519">
        <w:t xml:space="preserve"> is a function of explanatory variables </w:t>
      </w:r>
      <w:r w:rsidR="008C4D09" w:rsidRPr="00D65519">
        <w:rPr>
          <w:b/>
          <w:bCs/>
          <w:i/>
          <w:iCs/>
        </w:rPr>
        <w:t>Z</w:t>
      </w:r>
      <w:r w:rsidR="008C4D09" w:rsidRPr="00D65519">
        <w:t xml:space="preserve"> and an error term </w:t>
      </w:r>
      <w:r w:rsidR="008C4D09" w:rsidRPr="00D65519">
        <w:rPr>
          <w:i/>
          <w:iCs/>
        </w:rPr>
        <w:t>ε</w:t>
      </w:r>
      <w:r w:rsidR="008C4D09" w:rsidRPr="00D65519">
        <w:t xml:space="preserve"> as shown in (1). If </w:t>
      </w:r>
      <w:r w:rsidR="008C4D09" w:rsidRPr="00D65519">
        <w:rPr>
          <w:i/>
          <w:iCs/>
        </w:rPr>
        <w:t>s*</w:t>
      </w:r>
      <w:r w:rsidR="008C4D09" w:rsidRPr="00D65519">
        <w:t xml:space="preserve"> is greater than zero then </w:t>
      </w:r>
      <w:r w:rsidR="008C4D09" w:rsidRPr="00D65519">
        <w:rPr>
          <w:i/>
          <w:iCs/>
        </w:rPr>
        <w:t>S</w:t>
      </w:r>
      <w:r w:rsidR="008C4D09" w:rsidRPr="00D65519">
        <w:t xml:space="preserve"> is equal to one and otherwise is equal to zero as shown in (2). The latent variable </w:t>
      </w:r>
      <w:r w:rsidR="008C4D09" w:rsidRPr="00D65519">
        <w:rPr>
          <w:i/>
          <w:iCs/>
        </w:rPr>
        <w:t xml:space="preserve">s* </w:t>
      </w:r>
      <w:r w:rsidR="000B0A02" w:rsidRPr="00D65519">
        <w:t xml:space="preserve">is </w:t>
      </w:r>
      <w:r w:rsidR="008C4D09" w:rsidRPr="00D65519">
        <w:t>a measure of the propensity of the presence of a school in proximity to a given intersection and it is not directly observable</w:t>
      </w:r>
      <w:r w:rsidR="00C600A6" w:rsidRPr="00D65519">
        <w:t>.</w:t>
      </w:r>
      <w:r w:rsidR="00F2267B" w:rsidRPr="00D6551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D65519" w:rsidRPr="00D65519" w14:paraId="1C0AAEF3" w14:textId="77777777" w:rsidTr="00D464AA">
        <w:tc>
          <w:tcPr>
            <w:tcW w:w="5103" w:type="dxa"/>
          </w:tcPr>
          <w:p w14:paraId="57A6A645" w14:textId="24CCF365" w:rsidR="00E476DA" w:rsidRPr="00D65519" w:rsidRDefault="00E476DA" w:rsidP="005765B0">
            <w:pPr>
              <w:pStyle w:val="ThesisText"/>
              <w:spacing w:line="360" w:lineRule="auto"/>
              <w:jc w:val="center"/>
              <w:rPr>
                <w:rFonts w:eastAsiaTheme="minorEastAsia"/>
              </w:rPr>
            </w:pPr>
            <m:oMathPara>
              <m:oMathParaPr>
                <m:jc m:val="right"/>
              </m:oMathParaPr>
              <m:oMath>
                <m:r>
                  <w:rPr>
                    <w:rFonts w:ascii="Cambria Math" w:hAnsi="Cambria Math" w:cstheme="minorHAnsi"/>
                  </w:rPr>
                  <m:t>S= g</m:t>
                </m:r>
                <m:r>
                  <m:rPr>
                    <m:sty m:val="p"/>
                  </m:rPr>
                  <w:rPr>
                    <w:rFonts w:ascii="Cambria Math" w:hAnsi="Cambria Math" w:cstheme="minorHAnsi"/>
                  </w:rPr>
                  <m:t>(</m:t>
                </m:r>
                <m:r>
                  <m:rPr>
                    <m:sty m:val="bi"/>
                  </m:rPr>
                  <w:rPr>
                    <w:rFonts w:ascii="Cambria Math" w:hAnsi="Cambria Math" w:cstheme="minorHAnsi"/>
                  </w:rPr>
                  <m:t>Z</m:t>
                </m:r>
                <m:r>
                  <m:rPr>
                    <m:sty m:val="p"/>
                  </m:rPr>
                  <w:rPr>
                    <w:rFonts w:ascii="Cambria Math" w:hAnsi="Cambria Math" w:cstheme="minorHAnsi"/>
                  </w:rPr>
                  <m:t>,</m:t>
                </m:r>
                <m:r>
                  <w:rPr>
                    <w:rFonts w:ascii="Cambria Math" w:hAnsi="Cambria Math" w:cstheme="minorHAnsi"/>
                  </w:rPr>
                  <m:t>ε</m:t>
                </m:r>
                <m:r>
                  <m:rPr>
                    <m:sty m:val="p"/>
                  </m:rPr>
                  <w:rPr>
                    <w:rFonts w:ascii="Cambria Math" w:hAnsi="Cambria Math" w:cstheme="minorHAnsi"/>
                  </w:rPr>
                  <m:t>)</m:t>
                </m:r>
              </m:oMath>
            </m:oMathPara>
          </w:p>
        </w:tc>
        <w:tc>
          <w:tcPr>
            <w:tcW w:w="3913" w:type="dxa"/>
          </w:tcPr>
          <w:p w14:paraId="2F4598FB" w14:textId="57DCD1E6" w:rsidR="00E476DA" w:rsidRPr="00D65519" w:rsidRDefault="00F7392E" w:rsidP="005765B0">
            <w:pPr>
              <w:pStyle w:val="ThesisText"/>
              <w:spacing w:line="360" w:lineRule="auto"/>
              <w:jc w:val="right"/>
              <w:rPr>
                <w:rFonts w:eastAsiaTheme="minorEastAsia"/>
              </w:rPr>
            </w:pPr>
            <w:r w:rsidRPr="00D65519">
              <w:rPr>
                <w:rFonts w:eastAsiaTheme="minorEastAsia"/>
              </w:rPr>
              <w:t>(1)</w:t>
            </w:r>
          </w:p>
        </w:tc>
      </w:tr>
      <w:tr w:rsidR="00F7392E" w:rsidRPr="00D65519" w14:paraId="61AB0F8F" w14:textId="77777777" w:rsidTr="00D464AA">
        <w:trPr>
          <w:trHeight w:val="770"/>
        </w:trPr>
        <w:tc>
          <w:tcPr>
            <w:tcW w:w="5103" w:type="dxa"/>
          </w:tcPr>
          <w:p w14:paraId="0278A714" w14:textId="06422D62" w:rsidR="004E7D81" w:rsidRPr="00D65519" w:rsidRDefault="00F7392E" w:rsidP="005765B0">
            <w:pPr>
              <w:pStyle w:val="ThesisText"/>
              <w:spacing w:line="360" w:lineRule="auto"/>
              <w:jc w:val="center"/>
              <w:rPr>
                <w:rFonts w:eastAsia="Times New Roman"/>
              </w:rPr>
            </w:pPr>
            <m:oMathPara>
              <m:oMathParaPr>
                <m:jc m:val="right"/>
              </m:oMathParaPr>
              <m:oMath>
                <m:r>
                  <w:rPr>
                    <w:rFonts w:ascii="Cambria Math" w:hAnsi="Cambria Math" w:cstheme="minorHAnsi"/>
                  </w:rPr>
                  <m:t xml:space="preserve">S= </m:t>
                </m:r>
                <m:d>
                  <m:dPr>
                    <m:begChr m:val="{"/>
                    <m:endChr m:val=""/>
                    <m:ctrlPr>
                      <w:rPr>
                        <w:rFonts w:ascii="Cambria Math" w:hAnsi="Cambria Math" w:cstheme="minorHAnsi"/>
                        <w:i/>
                      </w:rPr>
                    </m:ctrlPr>
                  </m:dPr>
                  <m:e>
                    <m:eqArr>
                      <m:eqArrPr>
                        <m:ctrlPr>
                          <w:rPr>
                            <w:rFonts w:ascii="Cambria Math" w:hAnsi="Cambria Math" w:cstheme="minorHAnsi"/>
                            <w:i/>
                          </w:rPr>
                        </m:ctrlPr>
                      </m:eqArrPr>
                      <m:e>
                        <m:r>
                          <w:rPr>
                            <w:rFonts w:ascii="Cambria Math" w:hAnsi="Cambria Math" w:cstheme="minorHAnsi"/>
                          </w:rPr>
                          <m:t xml:space="preserve">1     if     </m:t>
                        </m:r>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m:t>
                            </m:r>
                          </m:sup>
                        </m:sSup>
                        <m:r>
                          <w:rPr>
                            <w:rFonts w:ascii="Cambria Math" w:hAnsi="Cambria Math" w:cstheme="minorHAnsi"/>
                          </w:rPr>
                          <m:t>&gt;0</m:t>
                        </m:r>
                      </m:e>
                      <m:e>
                        <m:r>
                          <w:rPr>
                            <w:rFonts w:ascii="Cambria Math" w:hAnsi="Cambria Math" w:cstheme="minorHAnsi"/>
                          </w:rPr>
                          <m:t xml:space="preserve">0     if     </m:t>
                        </m:r>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m:t>
                            </m:r>
                          </m:sup>
                        </m:sSup>
                        <m:r>
                          <w:rPr>
                            <w:rFonts w:ascii="Cambria Math" w:hAnsi="Cambria Math" w:cstheme="minorHAnsi"/>
                          </w:rPr>
                          <m:t>≤0</m:t>
                        </m:r>
                      </m:e>
                    </m:eqArr>
                  </m:e>
                </m:d>
              </m:oMath>
            </m:oMathPara>
          </w:p>
        </w:tc>
        <w:tc>
          <w:tcPr>
            <w:tcW w:w="3913" w:type="dxa"/>
            <w:vAlign w:val="center"/>
          </w:tcPr>
          <w:p w14:paraId="69AE6023" w14:textId="7B177031" w:rsidR="00F7392E" w:rsidRPr="00D65519" w:rsidRDefault="00F7392E" w:rsidP="005765B0">
            <w:pPr>
              <w:pStyle w:val="ThesisText"/>
              <w:spacing w:line="360" w:lineRule="auto"/>
              <w:jc w:val="right"/>
              <w:rPr>
                <w:rFonts w:eastAsiaTheme="minorEastAsia"/>
              </w:rPr>
            </w:pPr>
            <w:r w:rsidRPr="00D65519">
              <w:rPr>
                <w:rFonts w:eastAsiaTheme="minorEastAsia"/>
              </w:rPr>
              <w:t>(2)</w:t>
            </w:r>
          </w:p>
        </w:tc>
      </w:tr>
    </w:tbl>
    <w:p w14:paraId="4D6D2BB7" w14:textId="26FF3314" w:rsidR="0077113F" w:rsidRPr="00D65519" w:rsidRDefault="0077113F" w:rsidP="005765B0">
      <w:pPr>
        <w:tabs>
          <w:tab w:val="left" w:pos="4019"/>
        </w:tabs>
        <w:spacing w:line="360" w:lineRule="auto"/>
        <w:jc w:val="both"/>
      </w:pPr>
    </w:p>
    <w:p w14:paraId="06CE3234" w14:textId="03A70715" w:rsidR="00F7392E" w:rsidRPr="00D65519" w:rsidRDefault="0077113F" w:rsidP="00F2267B">
      <w:pPr>
        <w:pStyle w:val="ThesisText"/>
        <w:spacing w:line="360" w:lineRule="auto"/>
      </w:pPr>
      <w:r w:rsidRPr="00D65519">
        <w:t>To model the injury frequency</w:t>
      </w:r>
      <w:r w:rsidR="00F2267B" w:rsidRPr="00D65519">
        <w:t>,</w:t>
      </w:r>
      <w:r w:rsidRPr="00D65519">
        <w:t xml:space="preserve"> it can be established that the cyclist injury count </w:t>
      </w:r>
      <w:r w:rsidRPr="00D65519">
        <w:rPr>
          <w:i/>
          <w:iCs/>
        </w:rPr>
        <w:t>y</w:t>
      </w:r>
      <w:r w:rsidRPr="00D65519">
        <w:t xml:space="preserve"> is a function of site characteristic</w:t>
      </w:r>
      <w:r w:rsidR="00F2267B" w:rsidRPr="00D65519">
        <w:t>s</w:t>
      </w:r>
      <w:r w:rsidRPr="00D65519">
        <w:t xml:space="preserve"> </w:t>
      </w:r>
      <w:r w:rsidRPr="00D65519">
        <w:rPr>
          <w:b/>
          <w:bCs/>
          <w:i/>
          <w:iCs/>
        </w:rPr>
        <w:t>X</w:t>
      </w:r>
      <w:r w:rsidR="00813941" w:rsidRPr="00D65519">
        <w:t xml:space="preserve">, </w:t>
      </w:r>
      <w:r w:rsidRPr="00D65519">
        <w:t xml:space="preserve">school proximity </w:t>
      </w:r>
      <w:r w:rsidRPr="00D65519">
        <w:rPr>
          <w:i/>
          <w:iCs/>
        </w:rPr>
        <w:t>S</w:t>
      </w:r>
      <w:r w:rsidR="00F2267B" w:rsidRPr="00D65519">
        <w:t>,</w:t>
      </w:r>
      <w:r w:rsidRPr="00D65519">
        <w:t xml:space="preserve"> and an error term </w:t>
      </w:r>
      <w:r w:rsidRPr="00D65519">
        <w:rPr>
          <w:i/>
          <w:iCs/>
        </w:rPr>
        <w:t>ξ</w:t>
      </w:r>
      <w:r w:rsidRPr="00D65519">
        <w:t xml:space="preserve"> as shown in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54"/>
      </w:tblGrid>
      <w:tr w:rsidR="00F7392E" w:rsidRPr="00D65519" w14:paraId="463CDA7D" w14:textId="77777777" w:rsidTr="00D464AA">
        <w:tc>
          <w:tcPr>
            <w:tcW w:w="4962" w:type="dxa"/>
          </w:tcPr>
          <w:p w14:paraId="553CD58D" w14:textId="38878CE9" w:rsidR="00F7392E" w:rsidRPr="00D65519" w:rsidRDefault="00F7392E" w:rsidP="005765B0">
            <w:pPr>
              <w:spacing w:line="360" w:lineRule="auto"/>
              <w:jc w:val="left"/>
            </w:pPr>
            <m:oMathPara>
              <m:oMathParaPr>
                <m:jc m:val="right"/>
              </m:oMathParaPr>
              <m:oMath>
                <m:r>
                  <w:rPr>
                    <w:rFonts w:ascii="Cambria Math" w:hAnsi="Cambria Math" w:cstheme="minorHAnsi"/>
                  </w:rPr>
                  <m:t>y= f(</m:t>
                </m:r>
                <m:r>
                  <m:rPr>
                    <m:sty m:val="bi"/>
                  </m:rPr>
                  <w:rPr>
                    <w:rFonts w:ascii="Cambria Math" w:hAnsi="Cambria Math" w:cstheme="minorHAnsi"/>
                  </w:rPr>
                  <m:t>X</m:t>
                </m:r>
                <m:r>
                  <w:rPr>
                    <w:rFonts w:ascii="Cambria Math" w:hAnsi="Cambria Math" w:cstheme="minorHAnsi"/>
                  </w:rPr>
                  <m:t>, S,ξ)</m:t>
                </m:r>
              </m:oMath>
            </m:oMathPara>
          </w:p>
        </w:tc>
        <w:tc>
          <w:tcPr>
            <w:tcW w:w="4054" w:type="dxa"/>
          </w:tcPr>
          <w:p w14:paraId="19D973D1" w14:textId="089D17B1" w:rsidR="00F7392E" w:rsidRPr="00D65519" w:rsidRDefault="005D373A" w:rsidP="005765B0">
            <w:pPr>
              <w:spacing w:line="360" w:lineRule="auto"/>
              <w:jc w:val="right"/>
              <w:rPr>
                <w:rFonts w:ascii="Times New Roman" w:hAnsi="Times New Roman" w:cs="Times New Roman"/>
              </w:rPr>
            </w:pPr>
            <w:r w:rsidRPr="00D65519">
              <w:rPr>
                <w:rFonts w:ascii="Times New Roman" w:hAnsi="Times New Roman" w:cs="Times New Roman"/>
              </w:rPr>
              <w:t>(3)</w:t>
            </w:r>
          </w:p>
        </w:tc>
      </w:tr>
    </w:tbl>
    <w:p w14:paraId="0D6BA9F3" w14:textId="7663861F" w:rsidR="008D14D3" w:rsidRPr="00D65519" w:rsidRDefault="008D14D3" w:rsidP="005765B0">
      <w:pPr>
        <w:spacing w:line="360" w:lineRule="auto"/>
        <w:jc w:val="left"/>
      </w:pPr>
    </w:p>
    <w:p w14:paraId="151C16E7" w14:textId="778C7915" w:rsidR="004A744B" w:rsidRPr="00D65519" w:rsidRDefault="004A744B" w:rsidP="007439B3">
      <w:pPr>
        <w:pStyle w:val="ThesisText"/>
        <w:spacing w:line="360" w:lineRule="auto"/>
      </w:pPr>
      <w:r w:rsidRPr="00D65519">
        <w:t xml:space="preserve">Multiple factors are likely to be affecting both </w:t>
      </w:r>
      <w:r w:rsidR="000E0E96" w:rsidRPr="00D65519">
        <w:rPr>
          <w:i/>
          <w:iCs/>
        </w:rPr>
        <w:t>y</w:t>
      </w:r>
      <w:r w:rsidRPr="00D65519">
        <w:t xml:space="preserve"> and </w:t>
      </w:r>
      <w:r w:rsidRPr="00D65519">
        <w:rPr>
          <w:i/>
          <w:iCs/>
        </w:rPr>
        <w:t>S</w:t>
      </w:r>
      <w:r w:rsidRPr="00D65519">
        <w:t xml:space="preserve"> at the same time</w:t>
      </w:r>
      <w:r w:rsidR="0016379C" w:rsidRPr="00D65519">
        <w:t>;</w:t>
      </w:r>
      <w:r w:rsidRPr="00D65519">
        <w:t xml:space="preserve"> and therefore</w:t>
      </w:r>
      <w:r w:rsidR="0016379C" w:rsidRPr="00D65519">
        <w:t>,</w:t>
      </w:r>
      <w:r w:rsidRPr="00D65519">
        <w:t xml:space="preserve"> it is possible that the unobservable factors </w:t>
      </w:r>
      <w:r w:rsidR="0016379C" w:rsidRPr="00D65519">
        <w:t xml:space="preserve">that </w:t>
      </w:r>
      <w:r w:rsidRPr="00D65519">
        <w:t xml:space="preserve">comprise the error term </w:t>
      </w:r>
      <w:r w:rsidRPr="00D65519">
        <w:rPr>
          <w:i/>
          <w:iCs/>
        </w:rPr>
        <w:t>ξ</w:t>
      </w:r>
      <w:r w:rsidRPr="00D65519">
        <w:t xml:space="preserve"> have an effect on </w:t>
      </w:r>
      <w:r w:rsidRPr="00D65519">
        <w:rPr>
          <w:i/>
          <w:iCs/>
        </w:rPr>
        <w:t>S</w:t>
      </w:r>
      <w:r w:rsidRPr="00D65519">
        <w:t xml:space="preserve"> as well as </w:t>
      </w:r>
      <w:r w:rsidR="000E0E96" w:rsidRPr="00D65519">
        <w:rPr>
          <w:i/>
          <w:iCs/>
        </w:rPr>
        <w:t>y</w:t>
      </w:r>
      <w:r w:rsidR="0016379C" w:rsidRPr="00D65519">
        <w:rPr>
          <w:i/>
          <w:iCs/>
        </w:rPr>
        <w:t xml:space="preserve"> </w:t>
      </w:r>
      <w:r w:rsidR="0016379C" w:rsidRPr="00D65519">
        <w:t>at the same time</w:t>
      </w:r>
      <w:r w:rsidRPr="00D65519">
        <w:t xml:space="preserve">. This </w:t>
      </w:r>
      <w:r w:rsidR="00EE62A1" w:rsidRPr="00D65519">
        <w:t>said,</w:t>
      </w:r>
      <w:r w:rsidRPr="00D65519">
        <w:t xml:space="preserve"> it can be seen that only considering inferences from (3) could be misleading since there could be a correlation between </w:t>
      </w:r>
      <w:r w:rsidRPr="00D65519">
        <w:rPr>
          <w:i/>
          <w:iCs/>
        </w:rPr>
        <w:t>ξ</w:t>
      </w:r>
      <w:r w:rsidRPr="00D65519">
        <w:t xml:space="preserve"> and </w:t>
      </w:r>
      <w:r w:rsidRPr="00D65519">
        <w:rPr>
          <w:i/>
          <w:iCs/>
        </w:rPr>
        <w:t>S</w:t>
      </w:r>
      <w:r w:rsidR="00341F9B" w:rsidRPr="00D65519">
        <w:t>, which is not taken into account in (3)</w:t>
      </w:r>
      <w:r w:rsidRPr="00D65519">
        <w:t xml:space="preserve">. To attempt to account for this </w:t>
      </w:r>
      <w:r w:rsidR="007439B3" w:rsidRPr="00D65519">
        <w:t>correlation</w:t>
      </w:r>
      <w:r w:rsidRPr="00D65519">
        <w:t xml:space="preserve">, </w:t>
      </w:r>
      <w:r w:rsidR="000E0E96" w:rsidRPr="00D65519">
        <w:rPr>
          <w:i/>
          <w:iCs/>
        </w:rPr>
        <w:t>y</w:t>
      </w:r>
      <w:r w:rsidRPr="00D65519">
        <w:t xml:space="preserve"> and </w:t>
      </w:r>
      <w:r w:rsidRPr="00D65519">
        <w:rPr>
          <w:i/>
          <w:iCs/>
        </w:rPr>
        <w:t>S</w:t>
      </w:r>
      <w:r w:rsidRPr="00D65519">
        <w:t xml:space="preserve"> </w:t>
      </w:r>
      <w:r w:rsidR="007439B3" w:rsidRPr="00D65519">
        <w:t>can be</w:t>
      </w:r>
      <w:r w:rsidRPr="00D65519">
        <w:t xml:space="preserve"> modelled </w:t>
      </w:r>
      <w:r w:rsidR="007439B3" w:rsidRPr="00D65519">
        <w:t>jointly</w:t>
      </w:r>
      <w:r w:rsidRPr="00D65519">
        <w:t>. Figure 1 shows the potential relationships between the intersection level factors and the presence of a school and cyclist injury frequency</w:t>
      </w:r>
      <w:r w:rsidR="00BD66C5" w:rsidRPr="00D65519">
        <w:t>,</w:t>
      </w:r>
      <w:r w:rsidRPr="00D65519">
        <w:t xml:space="preserve"> respectively</w:t>
      </w:r>
      <w:r w:rsidR="00BD66C5" w:rsidRPr="00D65519">
        <w:t>,</w:t>
      </w:r>
      <w:r w:rsidRPr="00D65519">
        <w:t xml:space="preserve"> as well as the potential for a relationship between the presence of a school and cyclist injury frequency. </w:t>
      </w:r>
    </w:p>
    <w:p w14:paraId="630E051A" w14:textId="77777777" w:rsidR="00517FD9" w:rsidRPr="00D65519" w:rsidRDefault="00517FD9" w:rsidP="007439B3">
      <w:pPr>
        <w:pStyle w:val="ThesisText"/>
        <w:spacing w:line="360" w:lineRule="auto"/>
      </w:pPr>
    </w:p>
    <w:p w14:paraId="16BCB8E9" w14:textId="77777777" w:rsidR="00647BCB" w:rsidRPr="00D65519" w:rsidRDefault="00F33EE2" w:rsidP="005765B0">
      <w:pPr>
        <w:pStyle w:val="ThesisText"/>
        <w:keepNext/>
        <w:spacing w:line="360" w:lineRule="auto"/>
      </w:pPr>
      <w:r w:rsidRPr="00D65519">
        <w:rPr>
          <w:noProof/>
          <w:lang w:eastAsia="zh-CN"/>
        </w:rPr>
        <w:drawing>
          <wp:inline distT="0" distB="0" distL="0" distR="0" wp14:anchorId="65EBF6B2" wp14:editId="3FAF46E4">
            <wp:extent cx="58674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1695450"/>
                    </a:xfrm>
                    <a:prstGeom prst="rect">
                      <a:avLst/>
                    </a:prstGeom>
                    <a:noFill/>
                  </pic:spPr>
                </pic:pic>
              </a:graphicData>
            </a:graphic>
          </wp:inline>
        </w:drawing>
      </w:r>
    </w:p>
    <w:p w14:paraId="690FFC77" w14:textId="2EC50D84" w:rsidR="004A744B" w:rsidRPr="00D65519" w:rsidRDefault="00647BCB" w:rsidP="004D18BF">
      <w:pPr>
        <w:pStyle w:val="Caption"/>
        <w:spacing w:line="360" w:lineRule="auto"/>
        <w:rPr>
          <w:rFonts w:ascii="Times New Roman" w:hAnsi="Times New Roman" w:cs="Times New Roman"/>
          <w:i w:val="0"/>
          <w:iCs w:val="0"/>
          <w:color w:val="auto"/>
          <w:sz w:val="22"/>
          <w:szCs w:val="22"/>
        </w:rPr>
      </w:pPr>
      <w:r w:rsidRPr="00D65519">
        <w:rPr>
          <w:rFonts w:ascii="Times New Roman" w:hAnsi="Times New Roman" w:cs="Times New Roman"/>
          <w:i w:val="0"/>
          <w:iCs w:val="0"/>
          <w:color w:val="auto"/>
          <w:sz w:val="22"/>
          <w:szCs w:val="22"/>
        </w:rPr>
        <w:t xml:space="preserve">Figure </w:t>
      </w:r>
      <w:r w:rsidRPr="00D65519">
        <w:rPr>
          <w:rFonts w:ascii="Times New Roman" w:hAnsi="Times New Roman" w:cs="Times New Roman"/>
          <w:i w:val="0"/>
          <w:iCs w:val="0"/>
          <w:color w:val="auto"/>
          <w:sz w:val="22"/>
          <w:szCs w:val="22"/>
        </w:rPr>
        <w:fldChar w:fldCharType="begin"/>
      </w:r>
      <w:r w:rsidRPr="00D65519">
        <w:rPr>
          <w:rFonts w:ascii="Times New Roman" w:hAnsi="Times New Roman" w:cs="Times New Roman"/>
          <w:i w:val="0"/>
          <w:iCs w:val="0"/>
          <w:color w:val="auto"/>
          <w:sz w:val="22"/>
          <w:szCs w:val="22"/>
        </w:rPr>
        <w:instrText xml:space="preserve"> SEQ Figure \* ARABIC </w:instrText>
      </w:r>
      <w:r w:rsidRPr="00D65519">
        <w:rPr>
          <w:rFonts w:ascii="Times New Roman" w:hAnsi="Times New Roman" w:cs="Times New Roman"/>
          <w:i w:val="0"/>
          <w:iCs w:val="0"/>
          <w:color w:val="auto"/>
          <w:sz w:val="22"/>
          <w:szCs w:val="22"/>
        </w:rPr>
        <w:fldChar w:fldCharType="separate"/>
      </w:r>
      <w:r w:rsidRPr="00D65519">
        <w:rPr>
          <w:rFonts w:ascii="Times New Roman" w:hAnsi="Times New Roman" w:cs="Times New Roman"/>
          <w:i w:val="0"/>
          <w:iCs w:val="0"/>
          <w:noProof/>
          <w:color w:val="auto"/>
          <w:sz w:val="22"/>
          <w:szCs w:val="22"/>
        </w:rPr>
        <w:t>1</w:t>
      </w:r>
      <w:r w:rsidRPr="00D65519">
        <w:rPr>
          <w:rFonts w:ascii="Times New Roman" w:hAnsi="Times New Roman" w:cs="Times New Roman"/>
          <w:i w:val="0"/>
          <w:iCs w:val="0"/>
          <w:color w:val="auto"/>
          <w:sz w:val="22"/>
          <w:szCs w:val="22"/>
        </w:rPr>
        <w:fldChar w:fldCharType="end"/>
      </w:r>
      <w:r w:rsidR="00BD66C5" w:rsidRPr="00D65519">
        <w:rPr>
          <w:rFonts w:ascii="Times New Roman" w:hAnsi="Times New Roman" w:cs="Times New Roman"/>
          <w:i w:val="0"/>
          <w:iCs w:val="0"/>
          <w:color w:val="auto"/>
          <w:sz w:val="22"/>
          <w:szCs w:val="22"/>
        </w:rPr>
        <w:t>.</w:t>
      </w:r>
      <w:r w:rsidRPr="00D65519">
        <w:rPr>
          <w:rFonts w:ascii="Times New Roman" w:hAnsi="Times New Roman" w:cs="Times New Roman"/>
          <w:i w:val="0"/>
          <w:iCs w:val="0"/>
          <w:color w:val="auto"/>
          <w:sz w:val="22"/>
          <w:szCs w:val="22"/>
        </w:rPr>
        <w:t xml:space="preserve"> </w:t>
      </w:r>
      <w:r w:rsidR="00BD66C5" w:rsidRPr="00D65519">
        <w:rPr>
          <w:rFonts w:ascii="Times New Roman" w:hAnsi="Times New Roman" w:cs="Times New Roman"/>
          <w:i w:val="0"/>
          <w:iCs w:val="0"/>
          <w:color w:val="auto"/>
          <w:sz w:val="22"/>
          <w:szCs w:val="22"/>
        </w:rPr>
        <w:t>Schematic view of t</w:t>
      </w:r>
      <w:r w:rsidRPr="00D65519">
        <w:rPr>
          <w:rFonts w:ascii="Times New Roman" w:hAnsi="Times New Roman" w:cs="Times New Roman"/>
          <w:i w:val="0"/>
          <w:iCs w:val="0"/>
          <w:color w:val="auto"/>
          <w:sz w:val="22"/>
          <w:szCs w:val="22"/>
        </w:rPr>
        <w:t xml:space="preserve">he relationship between </w:t>
      </w:r>
      <w:r w:rsidR="004D18BF" w:rsidRPr="00D65519">
        <w:rPr>
          <w:rFonts w:ascii="Times New Roman" w:hAnsi="Times New Roman" w:cs="Times New Roman"/>
          <w:i w:val="0"/>
          <w:iCs w:val="0"/>
          <w:color w:val="auto"/>
          <w:sz w:val="22"/>
          <w:szCs w:val="22"/>
        </w:rPr>
        <w:t xml:space="preserve">site characteristics </w:t>
      </w:r>
      <w:r w:rsidRPr="00D65519">
        <w:rPr>
          <w:rFonts w:ascii="Times New Roman" w:hAnsi="Times New Roman" w:cs="Times New Roman"/>
          <w:i w:val="0"/>
          <w:iCs w:val="0"/>
          <w:color w:val="auto"/>
          <w:sz w:val="22"/>
          <w:szCs w:val="22"/>
        </w:rPr>
        <w:t xml:space="preserve">and </w:t>
      </w:r>
      <w:r w:rsidR="000A15A6" w:rsidRPr="00D65519">
        <w:rPr>
          <w:rFonts w:ascii="Times New Roman" w:hAnsi="Times New Roman" w:cs="Times New Roman"/>
          <w:i w:val="0"/>
          <w:iCs w:val="0"/>
          <w:color w:val="auto"/>
          <w:sz w:val="22"/>
          <w:szCs w:val="22"/>
        </w:rPr>
        <w:t>cyclist safety</w:t>
      </w:r>
    </w:p>
    <w:p w14:paraId="24D1A0EB" w14:textId="2250711B" w:rsidR="00A245A5" w:rsidRPr="00D65519" w:rsidRDefault="00A00395" w:rsidP="005765B0">
      <w:pPr>
        <w:pStyle w:val="ThesisSub2"/>
        <w:spacing w:line="360" w:lineRule="auto"/>
        <w:rPr>
          <w:color w:val="auto"/>
        </w:rPr>
      </w:pPr>
      <w:r w:rsidRPr="00D65519">
        <w:rPr>
          <w:color w:val="auto"/>
        </w:rPr>
        <w:t xml:space="preserve">Simultaneous-equations </w:t>
      </w:r>
      <w:r w:rsidR="00F33EE2" w:rsidRPr="00D65519">
        <w:rPr>
          <w:color w:val="auto"/>
        </w:rPr>
        <w:t>model</w:t>
      </w:r>
    </w:p>
    <w:p w14:paraId="0F779B5B" w14:textId="6E768DC2" w:rsidR="005D373A" w:rsidRPr="00D65519" w:rsidRDefault="00355EA5" w:rsidP="009D4E61">
      <w:pPr>
        <w:pStyle w:val="ThesisText"/>
        <w:spacing w:line="360" w:lineRule="auto"/>
      </w:pPr>
      <w:r w:rsidRPr="00D65519">
        <w:t>For the injury frequency element</w:t>
      </w:r>
      <w:r w:rsidR="006E7C80" w:rsidRPr="00D65519">
        <w:t xml:space="preserve"> of the </w:t>
      </w:r>
      <w:r w:rsidR="00927F5E" w:rsidRPr="00D65519">
        <w:t>simultaneous-equati</w:t>
      </w:r>
      <w:r w:rsidR="00B5079E" w:rsidRPr="00D65519">
        <w:t>ons</w:t>
      </w:r>
      <w:r w:rsidRPr="00D65519">
        <w:t xml:space="preserve">, let </w:t>
      </w:r>
      <w:proofErr w:type="spellStart"/>
      <w:r w:rsidRPr="00D65519">
        <w:rPr>
          <w:i/>
          <w:iCs/>
        </w:rPr>
        <w:t>y</w:t>
      </w:r>
      <w:r w:rsidR="001D7F4F" w:rsidRPr="00D65519">
        <w:rPr>
          <w:i/>
          <w:iCs/>
          <w:vertAlign w:val="subscript"/>
        </w:rPr>
        <w:t>i</w:t>
      </w:r>
      <w:proofErr w:type="spellEnd"/>
      <w:r w:rsidRPr="00D65519">
        <w:t xml:space="preserve"> represent the observed cyclist injury frequency and </w:t>
      </w:r>
      <w:proofErr w:type="spellStart"/>
      <w:r w:rsidRPr="00D65519">
        <w:rPr>
          <w:i/>
          <w:iCs/>
        </w:rPr>
        <w:t>λ</w:t>
      </w:r>
      <w:r w:rsidR="001D7F4F" w:rsidRPr="00D65519">
        <w:rPr>
          <w:i/>
          <w:iCs/>
          <w:vertAlign w:val="subscript"/>
        </w:rPr>
        <w:t>i</w:t>
      </w:r>
      <w:proofErr w:type="spellEnd"/>
      <w:r w:rsidRPr="00D65519">
        <w:t xml:space="preserve"> be the expected cyclist injury frequency with subscript </w:t>
      </w:r>
      <w:r w:rsidR="00F874CB" w:rsidRPr="00D65519">
        <w:rPr>
          <w:i/>
          <w:iCs/>
        </w:rPr>
        <w:t>i</w:t>
      </w:r>
      <w:r w:rsidRPr="00D65519">
        <w:t xml:space="preserve"> denoting a given intersection (</w:t>
      </w:r>
      <w:r w:rsidRPr="00D65519">
        <w:rPr>
          <w:i/>
          <w:iCs/>
        </w:rPr>
        <w:t>i</w:t>
      </w:r>
      <w:r w:rsidRPr="00D65519">
        <w:t>=1,</w:t>
      </w:r>
      <w:r w:rsidR="006E7C80" w:rsidRPr="00D65519">
        <w:t xml:space="preserve"> </w:t>
      </w:r>
      <w:r w:rsidRPr="00D65519">
        <w:t>2</w:t>
      </w:r>
      <w:proofErr w:type="gramStart"/>
      <w:r w:rsidRPr="00D65519">
        <w:t>,…,</w:t>
      </w:r>
      <w:proofErr w:type="gramEnd"/>
      <w:r w:rsidR="006E7C80" w:rsidRPr="00D65519">
        <w:t xml:space="preserve"> </w:t>
      </w:r>
      <w:r w:rsidRPr="00D65519">
        <w:t>n).</w:t>
      </w:r>
      <w:r w:rsidR="006E7C80" w:rsidRPr="00D65519">
        <w:t xml:space="preserve"> Let</w:t>
      </w:r>
      <w:r w:rsidRPr="00D65519">
        <w:t xml:space="preserve"> </w:t>
      </w:r>
      <w:r w:rsidRPr="00D65519">
        <w:rPr>
          <w:b/>
          <w:bCs/>
          <w:i/>
          <w:iCs/>
        </w:rPr>
        <w:t>β</w:t>
      </w:r>
      <w:r w:rsidRPr="00D65519">
        <w:t xml:space="preserve"> </w:t>
      </w:r>
      <w:r w:rsidR="006E7C80" w:rsidRPr="00D65519">
        <w:t xml:space="preserve">be </w:t>
      </w:r>
      <w:r w:rsidRPr="00D65519">
        <w:t>regression coefficients</w:t>
      </w:r>
      <w:r w:rsidR="006E7C80" w:rsidRPr="00D65519">
        <w:t>,</w:t>
      </w:r>
      <w:r w:rsidRPr="00D65519">
        <w:t xml:space="preserve"> including a constant term</w:t>
      </w:r>
      <w:r w:rsidR="006E7C80" w:rsidRPr="00D65519">
        <w:t>,</w:t>
      </w:r>
      <w:r w:rsidRPr="00D65519">
        <w:t xml:space="preserve"> which correspond to the site characteristic variables </w:t>
      </w:r>
      <w:r w:rsidRPr="00D65519">
        <w:rPr>
          <w:b/>
          <w:bCs/>
          <w:i/>
          <w:iCs/>
        </w:rPr>
        <w:t>X</w:t>
      </w:r>
      <w:r w:rsidRPr="00D65519">
        <w:t xml:space="preserve">. </w:t>
      </w:r>
      <w:r w:rsidR="006E7C80" w:rsidRPr="00D65519">
        <w:t xml:space="preserve">Let </w:t>
      </w:r>
      <w:r w:rsidRPr="00D65519">
        <w:rPr>
          <w:i/>
          <w:iCs/>
        </w:rPr>
        <w:t>γ</w:t>
      </w:r>
      <w:r w:rsidRPr="00D65519">
        <w:t xml:space="preserve"> </w:t>
      </w:r>
      <w:r w:rsidR="006E7C80" w:rsidRPr="00D65519">
        <w:t>b</w:t>
      </w:r>
      <w:r w:rsidR="007F0CC3" w:rsidRPr="00D65519">
        <w:t>e</w:t>
      </w:r>
      <w:r w:rsidR="006E7C80" w:rsidRPr="00D65519">
        <w:t xml:space="preserve"> </w:t>
      </w:r>
      <w:r w:rsidRPr="00D65519">
        <w:t xml:space="preserve">a fixed parameter associated with the school proximity </w:t>
      </w:r>
      <w:r w:rsidRPr="00D65519">
        <w:rPr>
          <w:i/>
          <w:iCs/>
        </w:rPr>
        <w:t>S</w:t>
      </w:r>
      <w:r w:rsidRPr="00D65519">
        <w:t xml:space="preserve">. </w:t>
      </w:r>
      <w:r w:rsidR="00610F7C" w:rsidRPr="00D65519">
        <w:t xml:space="preserve">Note that here we intentionally separate </w:t>
      </w:r>
      <w:r w:rsidR="00610F7C" w:rsidRPr="00D65519">
        <w:rPr>
          <w:i/>
          <w:iCs/>
        </w:rPr>
        <w:t xml:space="preserve">S </w:t>
      </w:r>
      <w:r w:rsidR="00610F7C" w:rsidRPr="00D65519">
        <w:t xml:space="preserve">and </w:t>
      </w:r>
      <w:r w:rsidR="00610F7C" w:rsidRPr="00D65519">
        <w:rPr>
          <w:b/>
          <w:bCs/>
          <w:i/>
          <w:iCs/>
        </w:rPr>
        <w:t>X</w:t>
      </w:r>
      <w:r w:rsidR="00610F7C" w:rsidRPr="00D65519">
        <w:t xml:space="preserve"> (while these are all site characteristics) as the focus of our study is on estimating the effect of </w:t>
      </w:r>
      <w:r w:rsidR="00610F7C" w:rsidRPr="00D65519">
        <w:rPr>
          <w:i/>
          <w:iCs/>
        </w:rPr>
        <w:t xml:space="preserve">S. </w:t>
      </w:r>
      <w:r w:rsidRPr="00D65519">
        <w:t xml:space="preserve">Equation (4) shows the form </w:t>
      </w:r>
      <w:r w:rsidR="009D4E61" w:rsidRPr="00D65519">
        <w:t xml:space="preserve">that </w:t>
      </w:r>
      <w:r w:rsidRPr="00D65519">
        <w:t>the cyclist injury frequency model takes, given the above notation.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65519" w:rsidRPr="00D65519" w14:paraId="5EFBD487" w14:textId="77777777" w:rsidTr="00D464AA">
        <w:tc>
          <w:tcPr>
            <w:tcW w:w="5245" w:type="dxa"/>
          </w:tcPr>
          <w:p w14:paraId="4AFD2C11" w14:textId="77777777" w:rsidR="005D373A" w:rsidRPr="00D65519" w:rsidRDefault="00D65519" w:rsidP="005765B0">
            <w:pPr>
              <w:pStyle w:val="ThesisText"/>
              <w:spacing w:line="360" w:lineRule="auto"/>
              <w:rPr>
                <w:rFonts w:eastAsiaTheme="minorEastAsia"/>
              </w:rPr>
            </w:pPr>
            <m:oMathPara>
              <m:oMathParaPr>
                <m:jc m:val="right"/>
              </m:oMathParaPr>
              <m:oMath>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i</m:t>
                    </m:r>
                  </m:sub>
                </m:sSub>
                <m:r>
                  <m:rPr>
                    <m:sty m:val="p"/>
                  </m:rPr>
                  <w:rPr>
                    <w:rFonts w:ascii="Cambria Math" w:hAnsi="Cambria Math" w:cstheme="minorHAnsi"/>
                  </w:rPr>
                  <m:t xml:space="preserve"> ~ </m:t>
                </m:r>
                <m:r>
                  <w:rPr>
                    <w:rFonts w:ascii="Cambria Math" w:hAnsi="Cambria Math" w:cstheme="minorHAnsi"/>
                  </w:rPr>
                  <m:t>Poisson</m:t>
                </m:r>
                <m:r>
                  <m:rPr>
                    <m:sty m:val="p"/>
                  </m:rPr>
                  <w:rPr>
                    <w:rFonts w:ascii="Cambria Math" w:hAnsi="Cambria Math" w:cstheme="minorHAnsi"/>
                  </w:rPr>
                  <m:t xml:space="preserve"> </m:t>
                </m:r>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λ</m:t>
                        </m:r>
                      </m:e>
                      <m:sub>
                        <m:r>
                          <w:rPr>
                            <w:rFonts w:ascii="Cambria Math" w:hAnsi="Cambria Math" w:cstheme="minorHAnsi"/>
                          </w:rPr>
                          <m:t>i</m:t>
                        </m:r>
                      </m:sub>
                    </m:sSub>
                  </m:e>
                </m:d>
              </m:oMath>
            </m:oMathPara>
          </w:p>
          <w:p w14:paraId="5BBE3F87" w14:textId="75037934" w:rsidR="001818CC" w:rsidRPr="00D65519" w:rsidRDefault="005D373A" w:rsidP="005765B0">
            <w:pPr>
              <w:pStyle w:val="ThesisText"/>
              <w:spacing w:line="360" w:lineRule="auto"/>
              <w:rPr>
                <w:rFonts w:eastAsiaTheme="minorEastAsia"/>
              </w:rPr>
            </w:pPr>
            <m:oMathPara>
              <m:oMathParaPr>
                <m:jc m:val="right"/>
              </m:oMathParaPr>
              <m:oMath>
                <m:r>
                  <w:rPr>
                    <w:rFonts w:ascii="Cambria Math" w:hAnsi="Cambria Math" w:cstheme="minorHAnsi"/>
                  </w:rPr>
                  <m:t>log</m:t>
                </m:r>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λ</m:t>
                        </m:r>
                      </m:e>
                      <m:sub>
                        <m:r>
                          <w:rPr>
                            <w:rFonts w:ascii="Cambria Math" w:hAnsi="Cambria Math" w:cstheme="minorHAnsi"/>
                          </w:rPr>
                          <m:t>i</m:t>
                        </m:r>
                      </m:sub>
                    </m:sSub>
                  </m:e>
                </m:d>
                <m:r>
                  <m:rPr>
                    <m:sty m:val="p"/>
                  </m:rPr>
                  <w:rPr>
                    <w:rFonts w:ascii="Cambria Math" w:hAnsi="Cambria Math" w:cstheme="minorHAnsi"/>
                  </w:rPr>
                  <m:t xml:space="preserve">= </m:t>
                </m:r>
                <m:r>
                  <m:rPr>
                    <m:sty m:val="bi"/>
                  </m:rPr>
                  <w:rPr>
                    <w:rFonts w:ascii="Cambria Math" w:hAnsi="Cambria Math" w:cstheme="minorHAnsi"/>
                  </w:rPr>
                  <m:t>β</m:t>
                </m:r>
                <m:sSub>
                  <m:sSubPr>
                    <m:ctrlPr>
                      <w:rPr>
                        <w:rFonts w:ascii="Cambria Math" w:hAnsi="Cambria Math" w:cstheme="minorHAnsi"/>
                      </w:rPr>
                    </m:ctrlPr>
                  </m:sSubPr>
                  <m:e>
                    <m:r>
                      <m:rPr>
                        <m:sty m:val="bi"/>
                      </m:rPr>
                      <w:rPr>
                        <w:rFonts w:ascii="Cambria Math" w:hAnsi="Cambria Math" w:cstheme="minorHAnsi"/>
                      </w:rPr>
                      <m:t>X</m:t>
                    </m:r>
                  </m:e>
                  <m:sub>
                    <m:r>
                      <m:rPr>
                        <m:sty m:val="bi"/>
                      </m:rPr>
                      <w:rPr>
                        <w:rFonts w:ascii="Cambria Math" w:hAnsi="Cambria Math" w:cstheme="minorHAnsi"/>
                      </w:rPr>
                      <m:t>i</m:t>
                    </m:r>
                  </m:sub>
                </m:sSub>
                <m:r>
                  <w:rPr>
                    <w:rFonts w:ascii="Cambria Math" w:hAnsi="Cambria Math" w:cstheme="minorHAnsi"/>
                  </w:rPr>
                  <m:t>+γ</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ξ</m:t>
                    </m:r>
                  </m:e>
                  <m:sub>
                    <m:r>
                      <w:rPr>
                        <w:rFonts w:ascii="Cambria Math" w:hAnsi="Cambria Math" w:cstheme="minorHAnsi"/>
                      </w:rPr>
                      <m:t>i</m:t>
                    </m:r>
                  </m:sub>
                </m:sSub>
              </m:oMath>
            </m:oMathPara>
          </w:p>
        </w:tc>
        <w:tc>
          <w:tcPr>
            <w:tcW w:w="3771" w:type="dxa"/>
            <w:vAlign w:val="center"/>
          </w:tcPr>
          <w:p w14:paraId="2C9804C5" w14:textId="3D4941A5" w:rsidR="005D373A" w:rsidRPr="00D65519" w:rsidRDefault="005D373A" w:rsidP="005765B0">
            <w:pPr>
              <w:pStyle w:val="ThesisText"/>
              <w:spacing w:line="360" w:lineRule="auto"/>
              <w:jc w:val="right"/>
            </w:pPr>
            <w:r w:rsidRPr="00D65519">
              <w:t>(4)</w:t>
            </w:r>
          </w:p>
        </w:tc>
      </w:tr>
    </w:tbl>
    <w:p w14:paraId="50AD2A3B" w14:textId="275A8AB9" w:rsidR="005D373A" w:rsidRPr="00D65519" w:rsidRDefault="0083278A" w:rsidP="00C600A6">
      <w:pPr>
        <w:pStyle w:val="ThesisText"/>
        <w:spacing w:line="360" w:lineRule="auto"/>
      </w:pPr>
      <w:r w:rsidRPr="00D65519">
        <w:t>As well as the injury frequency element, an equation needs to be defined to model</w:t>
      </w:r>
      <w:r w:rsidR="00C600A6" w:rsidRPr="00D65519">
        <w:t xml:space="preserve"> the latent variables</w:t>
      </w:r>
      <w:r w:rsidRPr="00D65519">
        <w:t xml:space="preserve"> </w:t>
      </w:r>
      <w:r w:rsidRPr="00D65519">
        <w:rPr>
          <w:i/>
          <w:iCs/>
        </w:rPr>
        <w:t>s*</w:t>
      </w:r>
      <w:r w:rsidR="00C600A6" w:rsidRPr="00D65519">
        <w:t xml:space="preserve"> </w:t>
      </w:r>
      <w:r w:rsidR="004657BC" w:rsidRPr="00D65519">
        <w:t>as described in the previous section</w:t>
      </w:r>
      <w:r w:rsidRPr="00D65519">
        <w:t xml:space="preserve">. </w:t>
      </w:r>
      <w:r w:rsidR="00C600A6" w:rsidRPr="00D65519">
        <w:t>For modelling the presence of school</w:t>
      </w:r>
      <w:r w:rsidR="0012235D" w:rsidRPr="00D65519">
        <w:t>,</w:t>
      </w:r>
      <w:r w:rsidR="00C600A6" w:rsidRPr="00D65519">
        <w:t xml:space="preserve"> a binary probit model is a sensible choice here. </w:t>
      </w:r>
      <w:r w:rsidR="004657BC" w:rsidRPr="00D65519">
        <w:t xml:space="preserve">Let </w:t>
      </w:r>
      <w:r w:rsidRPr="00D65519">
        <w:rPr>
          <w:b/>
          <w:bCs/>
          <w:i/>
          <w:iCs/>
        </w:rPr>
        <w:t>δ</w:t>
      </w:r>
      <w:r w:rsidRPr="00D65519">
        <w:t xml:space="preserve"> = (δ</w:t>
      </w:r>
      <w:r w:rsidR="00D81D14" w:rsidRPr="00D65519">
        <w:rPr>
          <w:vertAlign w:val="subscript"/>
        </w:rPr>
        <w:t>1</w:t>
      </w:r>
      <w:r w:rsidRPr="00D65519">
        <w:t>, δ</w:t>
      </w:r>
      <w:r w:rsidR="00D81D14" w:rsidRPr="00D65519">
        <w:rPr>
          <w:vertAlign w:val="subscript"/>
        </w:rPr>
        <w:t>2</w:t>
      </w:r>
      <w:r w:rsidRPr="00D65519">
        <w:t xml:space="preserve">,…, </w:t>
      </w:r>
      <w:proofErr w:type="spellStart"/>
      <w:r w:rsidRPr="00D65519">
        <w:t>δ</w:t>
      </w:r>
      <w:r w:rsidR="00D81D14" w:rsidRPr="00D65519">
        <w:rPr>
          <w:vertAlign w:val="subscript"/>
        </w:rPr>
        <w:t>k</w:t>
      </w:r>
      <w:proofErr w:type="spellEnd"/>
      <w:r w:rsidRPr="00D65519">
        <w:t>), including a constant term</w:t>
      </w:r>
      <w:r w:rsidR="004657BC" w:rsidRPr="00D65519">
        <w:t>,</w:t>
      </w:r>
      <w:r w:rsidRPr="00D65519">
        <w:t xml:space="preserve"> represent regression coefficients relating to</w:t>
      </w:r>
      <w:r w:rsidR="004657BC" w:rsidRPr="00D65519">
        <w:t xml:space="preserve"> explanatory variables</w:t>
      </w:r>
      <w:r w:rsidRPr="00D65519">
        <w:t xml:space="preserve"> </w:t>
      </w:r>
      <w:r w:rsidRPr="00D65519">
        <w:rPr>
          <w:b/>
          <w:bCs/>
          <w:i/>
          <w:iCs/>
        </w:rPr>
        <w:t>Z</w:t>
      </w:r>
      <w:r w:rsidRPr="00D65519">
        <w:t xml:space="preserve">, then the propensity of the presence of a school in proximity to an intersection can be written as in equation (5) with a larger value of </w:t>
      </w:r>
      <w:r w:rsidRPr="00D65519">
        <w:rPr>
          <w:i/>
          <w:iCs/>
        </w:rPr>
        <w:t>s*</w:t>
      </w:r>
      <w:r w:rsidRPr="00D65519">
        <w:t xml:space="preserve"> </w:t>
      </w:r>
      <w:r w:rsidR="003B3163" w:rsidRPr="00D65519">
        <w:t xml:space="preserve">indicating </w:t>
      </w:r>
      <w:r w:rsidRPr="00D65519">
        <w:t>a higher probability that an intersection is in proximity to a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D65519" w:rsidRPr="00D65519" w14:paraId="000E41EE" w14:textId="77777777" w:rsidTr="00D464AA">
        <w:tc>
          <w:tcPr>
            <w:tcW w:w="5103" w:type="dxa"/>
          </w:tcPr>
          <w:p w14:paraId="3471AE37" w14:textId="542B0A7B" w:rsidR="005D373A" w:rsidRPr="00D65519" w:rsidRDefault="00D65519" w:rsidP="005765B0">
            <w:pPr>
              <w:pStyle w:val="ThesisText"/>
              <w:spacing w:line="360" w:lineRule="auto"/>
              <w:rPr>
                <w:rFonts w:eastAsiaTheme="minorEastAsia"/>
              </w:rPr>
            </w:pPr>
            <m:oMathPara>
              <m:oMathParaPr>
                <m:jc m:val="right"/>
              </m:oMathParaPr>
              <m:oMath>
                <m:sSubSup>
                  <m:sSubSupPr>
                    <m:ctrlPr>
                      <w:rPr>
                        <w:rFonts w:ascii="Cambria Math" w:hAnsi="Cambria Math" w:cstheme="minorHAns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m:t>
                    </m:r>
                  </m:sup>
                </m:sSubSup>
                <m:r>
                  <m:rPr>
                    <m:sty m:val="p"/>
                  </m:rPr>
                  <w:rPr>
                    <w:rFonts w:ascii="Cambria Math" w:hAnsi="Cambria Math" w:cstheme="minorHAnsi"/>
                  </w:rPr>
                  <m:t xml:space="preserve">= </m:t>
                </m:r>
                <m:r>
                  <m:rPr>
                    <m:sty m:val="bi"/>
                  </m:rPr>
                  <w:rPr>
                    <w:rFonts w:ascii="Cambria Math" w:hAnsi="Cambria Math" w:cstheme="minorHAnsi"/>
                  </w:rPr>
                  <m:t>δ</m:t>
                </m:r>
                <m:sSub>
                  <m:sSubPr>
                    <m:ctrlPr>
                      <w:rPr>
                        <w:rFonts w:ascii="Cambria Math" w:hAnsi="Cambria Math" w:cstheme="minorHAnsi"/>
                      </w:rPr>
                    </m:ctrlPr>
                  </m:sSubPr>
                  <m:e>
                    <m:r>
                      <m:rPr>
                        <m:sty m:val="bi"/>
                      </m:rPr>
                      <w:rPr>
                        <w:rFonts w:ascii="Cambria Math" w:hAnsi="Cambria Math" w:cstheme="minorHAnsi"/>
                      </w:rPr>
                      <m:t>Z</m:t>
                    </m:r>
                  </m:e>
                  <m:sub>
                    <m:r>
                      <m:rPr>
                        <m:sty m:val="bi"/>
                      </m:rP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i</m:t>
                    </m:r>
                  </m:sub>
                </m:sSub>
              </m:oMath>
            </m:oMathPara>
          </w:p>
        </w:tc>
        <w:tc>
          <w:tcPr>
            <w:tcW w:w="3913" w:type="dxa"/>
          </w:tcPr>
          <w:p w14:paraId="08354E6C" w14:textId="68639C46" w:rsidR="005D373A" w:rsidRPr="00D65519" w:rsidRDefault="005D373A" w:rsidP="005765B0">
            <w:pPr>
              <w:pStyle w:val="ThesisText"/>
              <w:spacing w:line="360" w:lineRule="auto"/>
              <w:jc w:val="right"/>
              <w:rPr>
                <w:rFonts w:eastAsiaTheme="minorEastAsia"/>
              </w:rPr>
            </w:pPr>
            <w:r w:rsidRPr="00D65519">
              <w:rPr>
                <w:rFonts w:eastAsiaTheme="minorEastAsia"/>
              </w:rPr>
              <w:t>(5)</w:t>
            </w:r>
          </w:p>
        </w:tc>
      </w:tr>
    </w:tbl>
    <w:p w14:paraId="4DF16C96" w14:textId="08F717E9" w:rsidR="005D373A" w:rsidRPr="00D65519" w:rsidRDefault="00E04EA8" w:rsidP="00E9442A">
      <w:pPr>
        <w:pStyle w:val="ThesisText"/>
        <w:spacing w:line="360" w:lineRule="auto"/>
      </w:pPr>
      <w:r w:rsidRPr="00D65519">
        <w:t xml:space="preserve">The error terms </w:t>
      </w:r>
      <w:r w:rsidRPr="00D65519">
        <w:rPr>
          <w:i/>
          <w:iCs/>
        </w:rPr>
        <w:t>ε</w:t>
      </w:r>
      <w:r w:rsidRPr="00D65519">
        <w:t xml:space="preserve"> and </w:t>
      </w:r>
      <w:r w:rsidRPr="00D65519">
        <w:rPr>
          <w:i/>
          <w:iCs/>
        </w:rPr>
        <w:t xml:space="preserve">ξ </w:t>
      </w:r>
      <w:r w:rsidRPr="00D65519">
        <w:t xml:space="preserve">are modelled jointly with an assumption of a bivariate normal (BVN) density </w:t>
      </w:r>
      <w:r w:rsidR="004657BC" w:rsidRPr="00D65519">
        <w:t>with</w:t>
      </w:r>
      <w:r w:rsidRPr="00D65519">
        <w:t xml:space="preserve"> a mean of zero and a covariate matrix as shown in (6) where the variance of</w:t>
      </w:r>
      <w:r w:rsidRPr="00D65519">
        <w:rPr>
          <w:i/>
          <w:iCs/>
        </w:rPr>
        <w:t xml:space="preserve"> </w:t>
      </w:r>
      <w:proofErr w:type="spellStart"/>
      <w:r w:rsidRPr="00D65519">
        <w:rPr>
          <w:i/>
          <w:iCs/>
        </w:rPr>
        <w:t>ε</w:t>
      </w:r>
      <w:r w:rsidR="00D81D14" w:rsidRPr="00D65519">
        <w:rPr>
          <w:i/>
          <w:iCs/>
          <w:vertAlign w:val="subscript"/>
        </w:rPr>
        <w:t>i</w:t>
      </w:r>
      <w:proofErr w:type="spellEnd"/>
      <w:r w:rsidRPr="00D65519">
        <w:t xml:space="preserve"> is set to unity for identification. </w:t>
      </w:r>
      <w:proofErr w:type="gramStart"/>
      <w:r w:rsidRPr="00D65519">
        <w:rPr>
          <w:i/>
          <w:iCs/>
        </w:rPr>
        <w:t>σ</w:t>
      </w:r>
      <w:r w:rsidR="00D81D14" w:rsidRPr="00D65519">
        <w:rPr>
          <w:i/>
          <w:iCs/>
          <w:vertAlign w:val="superscript"/>
        </w:rPr>
        <w:t>2</w:t>
      </w:r>
      <w:proofErr w:type="gramEnd"/>
      <w:r w:rsidRPr="00D65519">
        <w:t xml:space="preserve"> represents the variance of </w:t>
      </w:r>
      <w:proofErr w:type="spellStart"/>
      <w:r w:rsidRPr="00D65519">
        <w:rPr>
          <w:i/>
          <w:iCs/>
        </w:rPr>
        <w:t>ξ</w:t>
      </w:r>
      <w:r w:rsidR="00D81D14" w:rsidRPr="00D65519">
        <w:rPr>
          <w:i/>
          <w:iCs/>
          <w:vertAlign w:val="subscript"/>
        </w:rPr>
        <w:t>i</w:t>
      </w:r>
      <w:proofErr w:type="spellEnd"/>
      <w:r w:rsidRPr="00D65519">
        <w:t xml:space="preserve"> and </w:t>
      </w:r>
      <w:r w:rsidRPr="00D65519">
        <w:rPr>
          <w:i/>
          <w:iCs/>
        </w:rPr>
        <w:t>ρ</w:t>
      </w:r>
      <w:r w:rsidRPr="00D65519">
        <w:t xml:space="preserve"> gives the correlation </w:t>
      </w:r>
      <w:r w:rsidR="004657BC" w:rsidRPr="00D65519">
        <w:t xml:space="preserve">between the two error terms, </w:t>
      </w:r>
      <w:r w:rsidR="004657BC" w:rsidRPr="00D65519">
        <w:rPr>
          <w:i/>
          <w:iCs/>
        </w:rPr>
        <w:t>ε</w:t>
      </w:r>
      <w:r w:rsidR="004657BC" w:rsidRPr="00D65519">
        <w:t xml:space="preserve"> and </w:t>
      </w:r>
      <w:r w:rsidR="004657BC" w:rsidRPr="00D65519">
        <w:rPr>
          <w:i/>
          <w:iCs/>
        </w:rPr>
        <w:t>ξ</w:t>
      </w:r>
      <w:r w:rsidRPr="00D65519">
        <w:t xml:space="preserve">. The equations as laid out here allow for potential endogeneity </w:t>
      </w:r>
      <w:r w:rsidR="00E9442A" w:rsidRPr="00D65519">
        <w:t xml:space="preserve">of </w:t>
      </w:r>
      <w:r w:rsidRPr="00D65519">
        <w:rPr>
          <w:i/>
          <w:iCs/>
        </w:rPr>
        <w:t>S</w:t>
      </w:r>
      <w:r w:rsidRPr="00D65519">
        <w:t xml:space="preserve"> </w:t>
      </w:r>
      <w:r w:rsidR="004469B4" w:rsidRPr="00D65519">
        <w:t xml:space="preserve">(presence of school) </w:t>
      </w:r>
      <w:r w:rsidRPr="00D65519">
        <w:t>to be accounted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54"/>
      </w:tblGrid>
      <w:tr w:rsidR="00D65519" w:rsidRPr="00D65519" w14:paraId="765CC9FE" w14:textId="77777777" w:rsidTr="00D464AA">
        <w:tc>
          <w:tcPr>
            <w:tcW w:w="4962" w:type="dxa"/>
          </w:tcPr>
          <w:p w14:paraId="1547573C" w14:textId="13D1F35A" w:rsidR="005D373A" w:rsidRPr="00D65519" w:rsidRDefault="005D373A" w:rsidP="005765B0">
            <w:pPr>
              <w:pStyle w:val="ThesisText"/>
              <w:spacing w:line="360" w:lineRule="auto"/>
              <w:rPr>
                <w:rFonts w:eastAsiaTheme="minorEastAsia"/>
              </w:rPr>
            </w:pPr>
            <m:oMathPara>
              <m:oMathParaPr>
                <m:jc m:val="right"/>
              </m:oMathParaPr>
              <m:oMath>
                <m:r>
                  <w:rPr>
                    <w:rFonts w:ascii="Cambria Math" w:hAnsi="Cambria Math" w:cstheme="minorHAnsi"/>
                  </w:rPr>
                  <m:t>Σ= BVN</m:t>
                </m:r>
                <m:d>
                  <m:dPr>
                    <m:ctrlPr>
                      <w:rPr>
                        <w:rFonts w:ascii="Cambria Math" w:hAnsi="Cambria Math" w:cstheme="minorHAnsi"/>
                        <w:i/>
                      </w:rPr>
                    </m:ctrlPr>
                  </m:dPr>
                  <m:e>
                    <m:m>
                      <m:mPr>
                        <m:mcs>
                          <m:mc>
                            <m:mcPr>
                              <m:count m:val="2"/>
                              <m:mcJc m:val="center"/>
                            </m:mcPr>
                          </m:mc>
                        </m:mcs>
                        <m:ctrlPr>
                          <w:rPr>
                            <w:rFonts w:ascii="Cambria Math" w:hAnsi="Cambria Math" w:cstheme="minorHAnsi"/>
                            <w:i/>
                          </w:rPr>
                        </m:ctrlPr>
                      </m:mPr>
                      <m:mr>
                        <m:e>
                          <m:sSup>
                            <m:sSupPr>
                              <m:ctrlPr>
                                <w:rPr>
                                  <w:rFonts w:ascii="Cambria Math" w:hAnsi="Cambria Math" w:cstheme="minorHAnsi"/>
                                  <w:i/>
                                </w:rPr>
                              </m:ctrlPr>
                            </m:sSupPr>
                            <m:e>
                              <m:r>
                                <w:rPr>
                                  <w:rFonts w:ascii="Cambria Math" w:hAnsi="Cambria Math" w:cstheme="minorHAnsi"/>
                                </w:rPr>
                                <m:t>σ</m:t>
                              </m:r>
                            </m:e>
                            <m:sup>
                              <m:r>
                                <w:rPr>
                                  <w:rFonts w:ascii="Cambria Math" w:hAnsi="Cambria Math" w:cstheme="minorHAnsi"/>
                                </w:rPr>
                                <m:t>2</m:t>
                              </m:r>
                            </m:sup>
                          </m:sSup>
                        </m:e>
                        <m:e>
                          <m:r>
                            <w:rPr>
                              <w:rFonts w:ascii="Cambria Math" w:hAnsi="Cambria Math" w:cstheme="minorHAnsi"/>
                            </w:rPr>
                            <m:t>ρσ</m:t>
                          </m:r>
                        </m:e>
                      </m:mr>
                      <m:mr>
                        <m:e>
                          <m:r>
                            <w:rPr>
                              <w:rFonts w:ascii="Cambria Math" w:hAnsi="Cambria Math" w:cstheme="minorHAnsi"/>
                            </w:rPr>
                            <m:t>ρσ</m:t>
                          </m:r>
                        </m:e>
                        <m:e>
                          <m:r>
                            <w:rPr>
                              <w:rFonts w:ascii="Cambria Math" w:hAnsi="Cambria Math" w:cstheme="minorHAnsi"/>
                            </w:rPr>
                            <m:t>1</m:t>
                          </m:r>
                        </m:e>
                      </m:mr>
                    </m:m>
                  </m:e>
                </m:d>
              </m:oMath>
            </m:oMathPara>
          </w:p>
        </w:tc>
        <w:tc>
          <w:tcPr>
            <w:tcW w:w="4054" w:type="dxa"/>
            <w:vAlign w:val="center"/>
          </w:tcPr>
          <w:p w14:paraId="6CEA5F74" w14:textId="6CE4B1ED" w:rsidR="005D373A" w:rsidRPr="00D65519" w:rsidRDefault="005D373A" w:rsidP="005765B0">
            <w:pPr>
              <w:pStyle w:val="ThesisText"/>
              <w:spacing w:line="360" w:lineRule="auto"/>
              <w:jc w:val="right"/>
              <w:rPr>
                <w:rFonts w:eastAsiaTheme="minorEastAsia"/>
              </w:rPr>
            </w:pPr>
            <w:r w:rsidRPr="00D65519">
              <w:rPr>
                <w:rFonts w:eastAsiaTheme="minorEastAsia"/>
              </w:rPr>
              <w:t>(6)</w:t>
            </w:r>
          </w:p>
        </w:tc>
      </w:tr>
    </w:tbl>
    <w:p w14:paraId="4969C6F4" w14:textId="328D5E83" w:rsidR="00C8703E" w:rsidRPr="00D65519" w:rsidRDefault="00C8703E" w:rsidP="00FC6A7D">
      <w:pPr>
        <w:pStyle w:val="ThesisSub2"/>
        <w:rPr>
          <w:color w:val="auto"/>
        </w:rPr>
      </w:pPr>
      <w:r w:rsidRPr="00D65519">
        <w:rPr>
          <w:color w:val="auto"/>
        </w:rPr>
        <w:lastRenderedPageBreak/>
        <w:t xml:space="preserve">Robustness regarding </w:t>
      </w:r>
      <w:r w:rsidR="00FC6A7D" w:rsidRPr="00D65519">
        <w:rPr>
          <w:color w:val="auto"/>
        </w:rPr>
        <w:t xml:space="preserve">the </w:t>
      </w:r>
      <w:r w:rsidRPr="00D65519">
        <w:rPr>
          <w:color w:val="auto"/>
        </w:rPr>
        <w:t xml:space="preserve">bivariate normal </w:t>
      </w:r>
      <w:r w:rsidR="00FC6A7D" w:rsidRPr="00D65519">
        <w:rPr>
          <w:color w:val="auto"/>
        </w:rPr>
        <w:t>assumption</w:t>
      </w:r>
    </w:p>
    <w:p w14:paraId="2459315E" w14:textId="4F71CB80" w:rsidR="00C8703E" w:rsidRPr="00D65519" w:rsidRDefault="00FC6A7D" w:rsidP="00754054">
      <w:pPr>
        <w:pStyle w:val="ThesisText"/>
        <w:spacing w:line="360" w:lineRule="auto"/>
      </w:pPr>
      <w:r w:rsidRPr="00D65519">
        <w:t xml:space="preserve">As discussed above, the error terms </w:t>
      </w:r>
      <w:r w:rsidR="00926BAA" w:rsidRPr="00D65519">
        <w:t xml:space="preserve">of the specified equations are allowed to be correlated following a bivariate normal density, which is a standard assumption commonly used </w:t>
      </w:r>
      <w:r w:rsidR="0010009D" w:rsidRPr="00D65519">
        <w:t>in</w:t>
      </w:r>
      <w:r w:rsidR="00926BAA" w:rsidRPr="00D65519">
        <w:t xml:space="preserve"> previous research.</w:t>
      </w:r>
      <w:r w:rsidR="00AF3E5B" w:rsidRPr="00D65519">
        <w:t xml:space="preserve"> </w:t>
      </w:r>
      <w:r w:rsidR="00926BAA" w:rsidRPr="00D65519">
        <w:t xml:space="preserve"> However, if this assumption does not hold, statistical inferences will be biased. </w:t>
      </w:r>
      <w:r w:rsidR="00AF3E5B" w:rsidRPr="00D65519">
        <w:t>For example, if there are outlying intersections, a bivariate normal density would result in over-shrinkage</w:t>
      </w:r>
      <w:r w:rsidR="00433DAE" w:rsidRPr="00D65519">
        <w:t xml:space="preserve"> t</w:t>
      </w:r>
      <w:r w:rsidR="00340F0B" w:rsidRPr="00D65519">
        <w:t>o</w:t>
      </w:r>
      <w:r w:rsidR="00433DAE" w:rsidRPr="00D65519">
        <w:t xml:space="preserve">wards </w:t>
      </w:r>
      <w:r w:rsidR="00340F0B" w:rsidRPr="00D65519">
        <w:t>the overall mean</w:t>
      </w:r>
      <w:r w:rsidR="00AF3E5B" w:rsidRPr="00D65519">
        <w:t xml:space="preserve">, leading to biased estimates. </w:t>
      </w:r>
      <w:r w:rsidR="00926BAA" w:rsidRPr="00D65519">
        <w:t xml:space="preserve">To </w:t>
      </w:r>
      <w:r w:rsidR="00231639" w:rsidRPr="00D65519">
        <w:t>assess the robustness of the bivariate normal assumption</w:t>
      </w:r>
      <w:r w:rsidR="00926BAA" w:rsidRPr="00D65519">
        <w:t xml:space="preserve">, we used a </w:t>
      </w:r>
      <w:r w:rsidR="00910ECE" w:rsidRPr="00D65519">
        <w:t xml:space="preserve">Bayesian </w:t>
      </w:r>
      <w:r w:rsidR="00926BAA" w:rsidRPr="00D65519">
        <w:t xml:space="preserve">scale mixing approach </w:t>
      </w:r>
      <w:r w:rsidR="00F703BA" w:rsidRPr="00D65519">
        <w:t>that</w:t>
      </w:r>
      <w:r w:rsidR="00F85CB1" w:rsidRPr="00D65519">
        <w:t xml:space="preserve"> leads to a bivariate </w:t>
      </w:r>
      <w:r w:rsidR="00F85CB1" w:rsidRPr="00D65519">
        <w:rPr>
          <w:i/>
          <w:iCs/>
        </w:rPr>
        <w:t>t</w:t>
      </w:r>
      <w:r w:rsidR="00F85CB1" w:rsidRPr="00D65519">
        <w:t xml:space="preserve"> distribution</w:t>
      </w:r>
      <w:r w:rsidR="00452E76" w:rsidRPr="00D65519">
        <w:t xml:space="preserve"> assumption</w:t>
      </w:r>
      <w:r w:rsidR="00F55CEA" w:rsidRPr="00D65519">
        <w:t xml:space="preserve"> (</w:t>
      </w:r>
      <w:proofErr w:type="spellStart"/>
      <w:r w:rsidR="00F55CEA" w:rsidRPr="00D65519">
        <w:t>Chib</w:t>
      </w:r>
      <w:proofErr w:type="spellEnd"/>
      <w:r w:rsidR="00F55CEA" w:rsidRPr="00D65519">
        <w:t xml:space="preserve"> and Carlin, 1999)</w:t>
      </w:r>
      <w:r w:rsidR="00F703BA" w:rsidRPr="00D65519">
        <w:t>. The latter</w:t>
      </w:r>
      <w:r w:rsidR="00910ECE" w:rsidRPr="00D65519">
        <w:t>, allowing for heavier tails,</w:t>
      </w:r>
      <w:r w:rsidR="00F703BA" w:rsidRPr="00D65519">
        <w:t xml:space="preserve"> </w:t>
      </w:r>
      <w:r w:rsidR="00F85CB1" w:rsidRPr="00D65519">
        <w:t>is</w:t>
      </w:r>
      <w:r w:rsidR="00F00ACB" w:rsidRPr="00D65519">
        <w:t xml:space="preserve"> </w:t>
      </w:r>
      <w:r w:rsidR="00F85CB1" w:rsidRPr="00D65519">
        <w:t>more robust compared to a bivariate normal density</w:t>
      </w:r>
      <w:r w:rsidR="00231639" w:rsidRPr="00D65519">
        <w:t xml:space="preserve"> </w:t>
      </w:r>
      <w:r w:rsidR="00F55CEA" w:rsidRPr="00D65519">
        <w:t>(</w:t>
      </w:r>
      <w:proofErr w:type="spellStart"/>
      <w:r w:rsidR="00F55CEA" w:rsidRPr="00D65519">
        <w:t>Chib</w:t>
      </w:r>
      <w:proofErr w:type="spellEnd"/>
      <w:r w:rsidR="00F55CEA" w:rsidRPr="00D65519">
        <w:t xml:space="preserve"> and Carlin, 1999; </w:t>
      </w:r>
      <w:r w:rsidR="00F7318C" w:rsidRPr="00D65519">
        <w:t xml:space="preserve">Held and </w:t>
      </w:r>
      <w:r w:rsidR="00834B2E" w:rsidRPr="00D65519">
        <w:t>H</w:t>
      </w:r>
      <w:r w:rsidR="00F7318C" w:rsidRPr="00D65519">
        <w:t>olmes</w:t>
      </w:r>
      <w:r w:rsidR="00F55CEA" w:rsidRPr="00D65519">
        <w:t>, 2006)</w:t>
      </w:r>
      <w:r w:rsidR="00F00ACB" w:rsidRPr="00D65519">
        <w:t xml:space="preserve"> and </w:t>
      </w:r>
      <w:r w:rsidR="00F64AB1" w:rsidRPr="00D65519">
        <w:t xml:space="preserve">reduces the impact of untypical intersections if there </w:t>
      </w:r>
      <w:r w:rsidR="00EF387A" w:rsidRPr="00D65519">
        <w:t>are</w:t>
      </w:r>
      <w:r w:rsidR="00F64AB1" w:rsidRPr="00D65519">
        <w:t xml:space="preserve"> any. </w:t>
      </w:r>
      <w:r w:rsidR="00754054" w:rsidRPr="00D65519">
        <w:t>S</w:t>
      </w:r>
      <w:r w:rsidR="00F64AB1" w:rsidRPr="00D65519">
        <w:t xml:space="preserve">cale mixing </w:t>
      </w:r>
      <w:r w:rsidR="00F00ACB" w:rsidRPr="00D65519">
        <w:t>can be specified easily under the Bayesian framework</w:t>
      </w:r>
      <w:r w:rsidR="00287FE6" w:rsidRPr="00D65519">
        <w:t xml:space="preserve"> without </w:t>
      </w:r>
      <w:r w:rsidR="00754054" w:rsidRPr="00D65519">
        <w:t xml:space="preserve">involving </w:t>
      </w:r>
      <w:r w:rsidR="00287FE6" w:rsidRPr="00D65519">
        <w:t>any additional computational complexities</w:t>
      </w:r>
      <w:r w:rsidR="00F55CEA" w:rsidRPr="00D65519">
        <w:t>.</w:t>
      </w:r>
      <w:r w:rsidR="00AC691D" w:rsidRPr="00D65519">
        <w:t xml:space="preserve"> Given the mathematical notation in Section </w:t>
      </w:r>
      <w:r w:rsidR="009E430A" w:rsidRPr="00D65519">
        <w:t>2.3</w:t>
      </w:r>
      <w:r w:rsidR="00AC691D" w:rsidRPr="00D65519">
        <w:t xml:space="preserve">, a </w:t>
      </w:r>
      <w:r w:rsidR="0035108F" w:rsidRPr="00D65519">
        <w:t xml:space="preserve">Bayesian </w:t>
      </w:r>
      <w:r w:rsidR="00AC691D" w:rsidRPr="00D65519">
        <w:t>scale-mixture model</w:t>
      </w:r>
      <w:r w:rsidR="000311F2" w:rsidRPr="00D65519">
        <w:t xml:space="preserve"> </w:t>
      </w:r>
      <w:r w:rsidR="00AC691D" w:rsidRPr="00D65519">
        <w:t>is specified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94"/>
      </w:tblGrid>
      <w:tr w:rsidR="00AC691D" w:rsidRPr="00D65519" w14:paraId="19C31E20" w14:textId="77777777" w:rsidTr="000527AA">
        <w:tc>
          <w:tcPr>
            <w:tcW w:w="8222" w:type="dxa"/>
          </w:tcPr>
          <w:p w14:paraId="4231FE35" w14:textId="5E3673EF" w:rsidR="00AC691D" w:rsidRPr="00D65519" w:rsidRDefault="00D65519" w:rsidP="00AC691D">
            <w:pPr>
              <w:pStyle w:val="ThesisText"/>
              <w:spacing w:line="360" w:lineRule="auto"/>
              <w:rPr>
                <w:rFonts w:eastAsiaTheme="minorEastAsia"/>
                <w:i/>
              </w:rPr>
            </w:pPr>
            <m:oMathPara>
              <m:oMathParaPr>
                <m:jc m:val="center"/>
              </m:oMathParaP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rPr>
                          <m:t>ξ</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i</m:t>
                        </m:r>
                      </m:sub>
                    </m:sSub>
                  </m:e>
                </m:d>
                <m:r>
                  <w:rPr>
                    <w:rFonts w:ascii="Cambria Math" w:hAnsi="Cambria Math" w:cstheme="minorHAnsi"/>
                  </w:rPr>
                  <m:t xml:space="preserve"> ~ BVN</m:t>
                </m:r>
                <m:d>
                  <m:dPr>
                    <m:ctrlPr>
                      <w:rPr>
                        <w:rFonts w:ascii="Cambria Math" w:hAnsi="Cambria Math" w:cstheme="minorHAnsi"/>
                        <w:i/>
                      </w:rPr>
                    </m:ctrlPr>
                  </m:dPr>
                  <m:e>
                    <m:r>
                      <w:rPr>
                        <w:rFonts w:ascii="Cambria Math" w:hAnsi="Cambria Math" w:cstheme="minorHAnsi"/>
                      </w:rPr>
                      <m:t>0,</m:t>
                    </m:r>
                    <m:f>
                      <m:fPr>
                        <m:type m:val="skw"/>
                        <m:ctrlPr>
                          <w:rPr>
                            <w:rFonts w:ascii="Cambria Math" w:hAnsi="Cambria Math" w:cstheme="minorHAnsi"/>
                            <w:i/>
                          </w:rPr>
                        </m:ctrlPr>
                      </m:fPr>
                      <m:num>
                        <m:r>
                          <w:rPr>
                            <w:rFonts w:ascii="Cambria Math" w:hAnsi="Cambria Math" w:cstheme="minorHAnsi"/>
                          </w:rPr>
                          <m:t>∑</m:t>
                        </m:r>
                      </m:num>
                      <m:den>
                        <m:sSub>
                          <m:sSubPr>
                            <m:ctrlPr>
                              <w:rPr>
                                <w:rFonts w:ascii="Cambria Math" w:hAnsi="Cambria Math" w:cstheme="minorHAnsi"/>
                                <w:i/>
                              </w:rPr>
                            </m:ctrlPr>
                          </m:sSubPr>
                          <m:e>
                            <m:r>
                              <w:rPr>
                                <w:rFonts w:ascii="Cambria Math" w:hAnsi="Cambria Math" w:cstheme="minorHAnsi"/>
                              </w:rPr>
                              <m:t>δ</m:t>
                            </m:r>
                          </m:e>
                          <m:sub>
                            <m:r>
                              <w:rPr>
                                <w:rFonts w:ascii="Cambria Math" w:hAnsi="Cambria Math" w:cstheme="minorHAnsi"/>
                              </w:rPr>
                              <m:t>i</m:t>
                            </m:r>
                          </m:sub>
                        </m:sSub>
                      </m:den>
                    </m:f>
                  </m:e>
                </m:d>
              </m:oMath>
            </m:oMathPara>
          </w:p>
          <w:p w14:paraId="12F20AA7" w14:textId="55661DDA" w:rsidR="009B183F" w:rsidRPr="00D65519" w:rsidRDefault="00D65519" w:rsidP="00372959">
            <w:pPr>
              <w:pStyle w:val="ThesisText"/>
              <w:spacing w:line="360" w:lineRule="auto"/>
              <w:jc w:val="right"/>
            </w:pPr>
            <m:oMathPara>
              <m:oMathParaPr>
                <m:jc m:val="center"/>
              </m:oMathParaPr>
              <m:oMath>
                <m:sSub>
                  <m:sSubPr>
                    <m:ctrlPr>
                      <w:rPr>
                        <w:rFonts w:ascii="Cambria Math" w:hAnsi="Cambria Math" w:cstheme="minorHAnsi"/>
                        <w:i/>
                      </w:rPr>
                    </m:ctrlPr>
                  </m:sSubPr>
                  <m:e>
                    <m:r>
                      <w:rPr>
                        <w:rFonts w:ascii="Cambria Math" w:hAnsi="Cambria Math" w:cstheme="minorHAnsi"/>
                      </w:rPr>
                      <m:t>δ</m:t>
                    </m:r>
                  </m:e>
                  <m:sub>
                    <m:r>
                      <w:rPr>
                        <w:rFonts w:ascii="Cambria Math" w:hAnsi="Cambria Math" w:cstheme="minorHAnsi"/>
                      </w:rPr>
                      <m:t>i</m:t>
                    </m:r>
                  </m:sub>
                </m:sSub>
                <m:r>
                  <w:rPr>
                    <w:rFonts w:ascii="Cambria Math" w:eastAsiaTheme="minorEastAsia" w:hAnsi="Cambria Math"/>
                  </w:rPr>
                  <m:t xml:space="preserve"> ~ Gamma(</m:t>
                </m:r>
                <m:f>
                  <m:fPr>
                    <m:type m:val="skw"/>
                    <m:ctrlPr>
                      <w:rPr>
                        <w:rFonts w:ascii="Cambria Math" w:eastAsiaTheme="minorEastAsia" w:hAnsi="Cambria Math"/>
                        <w:i/>
                      </w:rPr>
                    </m:ctrlPr>
                  </m:fPr>
                  <m:num>
                    <m:r>
                      <w:rPr>
                        <w:rFonts w:ascii="Cambria Math" w:eastAsiaTheme="minorEastAsia" w:hAnsi="Cambria Math"/>
                      </w:rPr>
                      <m:t>ν</m:t>
                    </m:r>
                  </m:num>
                  <m:den>
                    <m:r>
                      <w:rPr>
                        <w:rFonts w:ascii="Cambria Math" w:eastAsiaTheme="minorEastAsia" w:hAnsi="Cambria Math"/>
                      </w:rPr>
                      <m:t>2</m:t>
                    </m:r>
                  </m:den>
                </m:f>
                <m:r>
                  <w:rPr>
                    <w:rFonts w:ascii="Cambria Math" w:eastAsiaTheme="minorEastAsia" w:hAnsi="Cambria Math"/>
                  </w:rPr>
                  <m:t xml:space="preserve">, </m:t>
                </m:r>
                <m:f>
                  <m:fPr>
                    <m:type m:val="skw"/>
                    <m:ctrlPr>
                      <w:rPr>
                        <w:rFonts w:ascii="Cambria Math" w:eastAsiaTheme="minorEastAsia" w:hAnsi="Cambria Math"/>
                        <w:i/>
                      </w:rPr>
                    </m:ctrlPr>
                  </m:fPr>
                  <m:num>
                    <m:r>
                      <w:rPr>
                        <w:rFonts w:ascii="Cambria Math" w:eastAsiaTheme="minorEastAsia" w:hAnsi="Cambria Math"/>
                      </w:rPr>
                      <m:t>ν</m:t>
                    </m:r>
                  </m:num>
                  <m:den>
                    <m:r>
                      <w:rPr>
                        <w:rFonts w:ascii="Cambria Math" w:eastAsiaTheme="minorEastAsia" w:hAnsi="Cambria Math"/>
                      </w:rPr>
                      <m:t>2</m:t>
                    </m:r>
                  </m:den>
                </m:f>
                <m:r>
                  <w:rPr>
                    <w:rFonts w:ascii="Cambria Math" w:eastAsiaTheme="minorEastAsia" w:hAnsi="Cambria Math"/>
                  </w:rPr>
                  <m:t xml:space="preserve">) </m:t>
                </m:r>
              </m:oMath>
            </m:oMathPara>
          </w:p>
        </w:tc>
        <w:tc>
          <w:tcPr>
            <w:tcW w:w="794" w:type="dxa"/>
            <w:vAlign w:val="center"/>
          </w:tcPr>
          <w:p w14:paraId="6A8F6283" w14:textId="0B6AB19C" w:rsidR="00AC691D" w:rsidRPr="00D65519" w:rsidRDefault="00AC691D" w:rsidP="009E430A">
            <w:pPr>
              <w:pStyle w:val="ThesisText"/>
              <w:spacing w:line="360" w:lineRule="auto"/>
              <w:jc w:val="right"/>
            </w:pPr>
            <w:r w:rsidRPr="00D65519">
              <w:t>(</w:t>
            </w:r>
            <w:r w:rsidR="009E430A" w:rsidRPr="00D65519">
              <w:t>7</w:t>
            </w:r>
            <w:r w:rsidRPr="00D65519">
              <w:t>)</w:t>
            </w:r>
          </w:p>
        </w:tc>
      </w:tr>
    </w:tbl>
    <w:p w14:paraId="77057A85" w14:textId="0BBE1D35" w:rsidR="00AC691D" w:rsidRPr="00D65519" w:rsidRDefault="00AC691D" w:rsidP="00287FE6">
      <w:pPr>
        <w:pStyle w:val="ThesisText"/>
        <w:spacing w:line="360" w:lineRule="auto"/>
      </w:pPr>
    </w:p>
    <w:p w14:paraId="17732364" w14:textId="07D7FC61" w:rsidR="00EE137A" w:rsidRPr="00D65519" w:rsidRDefault="008C4E65" w:rsidP="00503D34">
      <w:pPr>
        <w:pStyle w:val="ThesisText"/>
        <w:spacing w:line="360" w:lineRule="auto"/>
      </w:pPr>
      <w:proofErr w:type="gramStart"/>
      <w:r w:rsidRPr="00D65519">
        <w:t>where</w:t>
      </w:r>
      <w:proofErr w:type="gramEnd"/>
      <w:r w:rsidRPr="00D65519">
        <w:t xml:space="preserve"> </w:t>
      </w:r>
      <w:proofErr w:type="spellStart"/>
      <w:r w:rsidRPr="00D65519">
        <w:rPr>
          <w:i/>
          <w:iCs/>
        </w:rPr>
        <w:t>δ</w:t>
      </w:r>
      <w:r w:rsidRPr="00D65519">
        <w:rPr>
          <w:i/>
          <w:iCs/>
          <w:vertAlign w:val="subscript"/>
        </w:rPr>
        <w:t>i</w:t>
      </w:r>
      <w:proofErr w:type="spellEnd"/>
      <w:r w:rsidRPr="00D65519">
        <w:rPr>
          <w:vertAlign w:val="subscript"/>
        </w:rPr>
        <w:t xml:space="preserve"> </w:t>
      </w:r>
      <w:r w:rsidR="00503D34" w:rsidRPr="00D65519">
        <w:t>should be</w:t>
      </w:r>
      <w:r w:rsidRPr="00D65519">
        <w:rPr>
          <w:vertAlign w:val="subscript"/>
        </w:rPr>
        <w:t xml:space="preserve"> </w:t>
      </w:r>
      <w:r w:rsidRPr="00D65519">
        <w:t>positive with mean 1</w:t>
      </w:r>
      <w:r w:rsidR="009E430A" w:rsidRPr="00D65519">
        <w:t xml:space="preserve"> and</w:t>
      </w:r>
      <w:r w:rsidRPr="00D65519">
        <w:t xml:space="preserve"> </w:t>
      </w:r>
      <w:r w:rsidRPr="00D65519">
        <w:rPr>
          <w:i/>
          <w:iCs/>
        </w:rPr>
        <w:t>ν</w:t>
      </w:r>
      <w:r w:rsidR="00EE137A" w:rsidRPr="00D65519">
        <w:rPr>
          <w:i/>
          <w:iCs/>
        </w:rPr>
        <w:t xml:space="preserve"> </w:t>
      </w:r>
      <w:r w:rsidR="00EE137A" w:rsidRPr="00D65519">
        <w:t xml:space="preserve">is </w:t>
      </w:r>
      <w:r w:rsidRPr="00D65519">
        <w:t xml:space="preserve">equivalent to </w:t>
      </w:r>
      <w:r w:rsidR="00EE137A" w:rsidRPr="00D65519">
        <w:t>the degrees of freedom in the</w:t>
      </w:r>
      <w:r w:rsidR="009E430A" w:rsidRPr="00D65519">
        <w:t xml:space="preserve"> Student</w:t>
      </w:r>
      <w:r w:rsidR="00EE137A" w:rsidRPr="00D65519">
        <w:t xml:space="preserve"> </w:t>
      </w:r>
      <w:r w:rsidR="00EE137A" w:rsidRPr="00D65519">
        <w:rPr>
          <w:i/>
          <w:iCs/>
        </w:rPr>
        <w:t>t</w:t>
      </w:r>
      <w:r w:rsidR="00EE137A" w:rsidRPr="00D65519">
        <w:t xml:space="preserve"> density</w:t>
      </w:r>
      <w:r w:rsidRPr="00D65519">
        <w:t xml:space="preserve">. </w:t>
      </w:r>
      <w:r w:rsidR="009E430A" w:rsidRPr="00D65519">
        <w:t>As indicated in (7)</w:t>
      </w:r>
      <w:r w:rsidR="00B23ED8" w:rsidRPr="00D65519">
        <w:t xml:space="preserve">, we treat </w:t>
      </w:r>
      <w:r w:rsidR="00B23ED8" w:rsidRPr="00D65519">
        <w:rPr>
          <w:i/>
          <w:iCs/>
        </w:rPr>
        <w:t xml:space="preserve">ν </w:t>
      </w:r>
      <w:r w:rsidR="00B23ED8" w:rsidRPr="00D65519">
        <w:t xml:space="preserve">as an unknown parameter to be estimated as part of the analysis. </w:t>
      </w:r>
      <w:r w:rsidR="00FA3B57" w:rsidRPr="00D65519">
        <w:t xml:space="preserve">Smaller values of </w:t>
      </w:r>
      <w:r w:rsidR="00FA3B57" w:rsidRPr="00D65519">
        <w:rPr>
          <w:i/>
          <w:iCs/>
        </w:rPr>
        <w:t>ν</w:t>
      </w:r>
      <w:r w:rsidR="00FA3B57" w:rsidRPr="00D65519">
        <w:t xml:space="preserve"> indicate departures from the bivariate normal assumption.</w:t>
      </w:r>
    </w:p>
    <w:p w14:paraId="3A32508B" w14:textId="77777777" w:rsidR="00372959" w:rsidRPr="00D65519" w:rsidRDefault="00372959" w:rsidP="00372959">
      <w:pPr>
        <w:pStyle w:val="ThesisSub2"/>
        <w:rPr>
          <w:color w:val="auto"/>
        </w:rPr>
      </w:pPr>
      <w:r w:rsidRPr="00D65519">
        <w:rPr>
          <w:color w:val="auto"/>
        </w:rPr>
        <w:t>Extension to a random parameters simultaneous-equations model with heterogeneity in covariance</w:t>
      </w:r>
    </w:p>
    <w:p w14:paraId="3748BA24" w14:textId="5B98D2F4" w:rsidR="00372959" w:rsidRPr="00D65519" w:rsidRDefault="00372959" w:rsidP="00372959">
      <w:pPr>
        <w:pStyle w:val="ThesisText"/>
        <w:spacing w:line="360" w:lineRule="auto"/>
      </w:pPr>
      <w:r w:rsidRPr="00D65519">
        <w:rPr>
          <w:rFonts w:eastAsiaTheme="minorEastAsia"/>
        </w:rPr>
        <w:t xml:space="preserve">To more fully account for unobserved heterogeneity, firstly, it is possible to extend the above </w:t>
      </w:r>
      <w:r w:rsidR="00927F5E" w:rsidRPr="00D65519">
        <w:rPr>
          <w:rFonts w:eastAsiaTheme="minorEastAsia"/>
        </w:rPr>
        <w:t>simultaneous-equations</w:t>
      </w:r>
      <w:r w:rsidRPr="00D65519">
        <w:rPr>
          <w:rFonts w:eastAsiaTheme="minorEastAsia"/>
        </w:rPr>
        <w:t xml:space="preserve"> by allowing the effect of proximity to school or other variables to vary across intersections. As we will discuss in Section 3, we only found the effect of proximity to school to vary across the sample. Therefore, we can rewrite </w:t>
      </w:r>
      <w:r w:rsidR="00AD597E" w:rsidRPr="00D65519">
        <w:rPr>
          <w:rFonts w:eastAsiaTheme="minorEastAsia"/>
        </w:rPr>
        <w:t>equation</w:t>
      </w:r>
      <w:r w:rsidRPr="00D65519">
        <w:rPr>
          <w:rFonts w:eastAsiaTheme="minorEastAsia"/>
        </w:rPr>
        <w:t xml:space="preserve"> 4 by modelling </w:t>
      </w:r>
      <w:r w:rsidRPr="00D65519">
        <w:rPr>
          <w:rFonts w:eastAsiaTheme="minorEastAsia"/>
          <w:i/>
          <w:iCs/>
        </w:rPr>
        <w:t xml:space="preserve">γ </w:t>
      </w:r>
      <w:r w:rsidRPr="00D65519">
        <w:rPr>
          <w:rFonts w:eastAsiaTheme="minorEastAsia"/>
        </w:rPr>
        <w:t xml:space="preserve">as a random parameter and allowing it to vary across observations. For this purpose, </w:t>
      </w:r>
      <w:proofErr w:type="spellStart"/>
      <w:r w:rsidRPr="00D65519">
        <w:rPr>
          <w:rFonts w:eastAsiaTheme="minorEastAsia"/>
          <w:i/>
          <w:iCs/>
        </w:rPr>
        <w:t>γ</w:t>
      </w:r>
      <w:r w:rsidRPr="00D65519">
        <w:rPr>
          <w:rFonts w:eastAsiaTheme="minorEastAsia"/>
          <w:i/>
          <w:iCs/>
          <w:vertAlign w:val="subscript"/>
        </w:rPr>
        <w:t>i</w:t>
      </w:r>
      <w:proofErr w:type="spellEnd"/>
      <w:r w:rsidRPr="00D65519">
        <w:rPr>
          <w:rFonts w:eastAsiaTheme="minorEastAsia"/>
          <w:i/>
          <w:iCs/>
        </w:rPr>
        <w:t xml:space="preserve"> </w:t>
      </w:r>
      <w:r w:rsidRPr="00D65519">
        <w:rPr>
          <w:rFonts w:eastAsiaTheme="minorEastAsia"/>
        </w:rPr>
        <w:t>is assumed to follow a density function (usually, a normal density) as shown in (</w:t>
      </w:r>
      <w:r w:rsidR="00F2291E" w:rsidRPr="00D65519">
        <w:rPr>
          <w:rFonts w:eastAsiaTheme="minorEastAsia"/>
        </w:rPr>
        <w:t>8</w:t>
      </w:r>
      <w:r w:rsidRPr="00D65519">
        <w:rPr>
          <w:rFonts w:eastAsiaTheme="minorEastAsia"/>
        </w:rPr>
        <w:t xml:space="preserve">), where </w:t>
      </w:r>
      <w:r w:rsidRPr="00D65519">
        <w:rPr>
          <w:rFonts w:eastAsiaTheme="minorEastAsia"/>
          <w:i/>
          <w:iCs/>
        </w:rPr>
        <w:t>µ</w:t>
      </w:r>
      <w:r w:rsidRPr="00D65519">
        <w:rPr>
          <w:rFonts w:eastAsiaTheme="minorEastAsia"/>
          <w:i/>
          <w:iCs/>
          <w:vertAlign w:val="subscript"/>
        </w:rPr>
        <w:t>γ</w:t>
      </w:r>
      <w:r w:rsidRPr="00D65519">
        <w:rPr>
          <w:rFonts w:eastAsiaTheme="minorEastAsia"/>
        </w:rPr>
        <w:t xml:space="preserve"> and </w:t>
      </w:r>
      <w:proofErr w:type="spellStart"/>
      <w:r w:rsidRPr="00D65519">
        <w:rPr>
          <w:rFonts w:eastAsiaTheme="minorEastAsia"/>
          <w:i/>
          <w:iCs/>
        </w:rPr>
        <w:t>σ</w:t>
      </w:r>
      <w:r w:rsidRPr="00D65519">
        <w:rPr>
          <w:rFonts w:eastAsiaTheme="minorEastAsia"/>
          <w:i/>
          <w:iCs/>
          <w:vertAlign w:val="subscript"/>
        </w:rPr>
        <w:t>γ</w:t>
      </w:r>
      <w:proofErr w:type="spellEnd"/>
      <w:r w:rsidRPr="00D65519">
        <w:rPr>
          <w:rFonts w:eastAsiaTheme="minorEastAsia"/>
        </w:rPr>
        <w:t xml:space="preserve"> represent the mean and the standard deviation of the random parameter, respectively. </w:t>
      </w:r>
      <w:r w:rsidRPr="00D65519">
        <w:t xml:space="preserve">Secondly, inspired by the idea behind heterogeneity in mean models, we extend the above </w:t>
      </w:r>
      <w:r w:rsidR="00927F5E" w:rsidRPr="00D65519">
        <w:t>simultaneous-equations</w:t>
      </w:r>
      <w:r w:rsidR="00960B9A" w:rsidRPr="00D65519">
        <w:t xml:space="preserve"> by</w:t>
      </w:r>
      <w:r w:rsidRPr="00D65519">
        <w:t xml:space="preserve"> specifying a heterogeneity in covariance model, which leads to a heterogeneous dependence structure, as described below. </w:t>
      </w:r>
    </w:p>
    <w:p w14:paraId="7C19C227" w14:textId="0EE1E133" w:rsidR="00372959" w:rsidRPr="00D65519" w:rsidRDefault="00372959" w:rsidP="009E430A">
      <w:pPr>
        <w:pStyle w:val="ThesisText"/>
        <w:spacing w:line="360" w:lineRule="auto"/>
        <w:rPr>
          <w:rFonts w:eastAsiaTheme="minorEastAsia"/>
        </w:rPr>
      </w:pPr>
      <w:r w:rsidRPr="00D65519">
        <w:t xml:space="preserve">In the covariance matrix specified in (6), the term </w:t>
      </w:r>
      <w:proofErr w:type="spellStart"/>
      <w:r w:rsidRPr="00D65519">
        <w:rPr>
          <w:i/>
          <w:iCs/>
        </w:rPr>
        <w:t>ρσ</w:t>
      </w:r>
      <w:proofErr w:type="spellEnd"/>
      <w:r w:rsidRPr="00D65519">
        <w:t xml:space="preserve"> represents the covariance between cyclist injury frequencies and the propensity of the presence of a school nearby intersections. With respect to the first component of the covariance, which is the correlation parameter </w:t>
      </w:r>
      <w:r w:rsidRPr="00D65519">
        <w:rPr>
          <w:i/>
          <w:iCs/>
        </w:rPr>
        <w:t>ρ</w:t>
      </w:r>
      <w:r w:rsidRPr="00D65519">
        <w:t>,</w:t>
      </w:r>
      <w:r w:rsidRPr="00D65519">
        <w:rPr>
          <w:i/>
          <w:iCs/>
        </w:rPr>
        <w:t xml:space="preserve"> </w:t>
      </w:r>
      <w:r w:rsidRPr="00D65519">
        <w:t xml:space="preserve">rather than estimating this parameter in a deterministic way as is commonly the case, we specify a prior distribution for </w:t>
      </w:r>
      <w:r w:rsidRPr="00D65519">
        <w:rPr>
          <w:i/>
          <w:iCs/>
        </w:rPr>
        <w:t>ρ</w:t>
      </w:r>
      <w:r w:rsidRPr="00D65519">
        <w:t xml:space="preserve"> under the Bayesian framework so that </w:t>
      </w:r>
      <w:r w:rsidRPr="00D65519">
        <w:rPr>
          <w:i/>
          <w:iCs/>
        </w:rPr>
        <w:t>ρ</w:t>
      </w:r>
      <w:r w:rsidRPr="00D65519">
        <w:t xml:space="preserve"> is modelled stochastically. This allows us to account for uncertainty associated </w:t>
      </w:r>
      <w:r w:rsidRPr="00D65519">
        <w:lastRenderedPageBreak/>
        <w:t xml:space="preserve">with the correlation parameter more fully. With respect to the second component of the covariance, we model log-transformed </w:t>
      </w:r>
      <w:r w:rsidRPr="00D65519">
        <w:rPr>
          <w:i/>
          <w:iCs/>
        </w:rPr>
        <w:t>σ</w:t>
      </w:r>
      <w:r w:rsidRPr="00D65519">
        <w:t xml:space="preserve"> as a function of explanatory variables </w:t>
      </w:r>
      <w:proofErr w:type="spellStart"/>
      <w:r w:rsidRPr="00D65519">
        <w:rPr>
          <w:b/>
          <w:bCs/>
          <w:i/>
          <w:iCs/>
        </w:rPr>
        <w:t>W</w:t>
      </w:r>
      <w:r w:rsidRPr="00D65519">
        <w:rPr>
          <w:i/>
          <w:iCs/>
          <w:vertAlign w:val="subscript"/>
        </w:rPr>
        <w:t>σ</w:t>
      </w:r>
      <w:proofErr w:type="spellEnd"/>
      <w:r w:rsidRPr="00D65519">
        <w:rPr>
          <w:b/>
          <w:bCs/>
          <w:i/>
          <w:iCs/>
        </w:rPr>
        <w:t xml:space="preserve"> </w:t>
      </w:r>
      <w:r w:rsidRPr="00D65519">
        <w:t>available in the data as specified in (</w:t>
      </w:r>
      <w:r w:rsidR="009E430A" w:rsidRPr="00D65519">
        <w:t>8</w:t>
      </w:r>
      <w:r w:rsidRPr="00D65519">
        <w:t xml:space="preserve">), </w:t>
      </w:r>
      <w:r w:rsidRPr="00D65519">
        <w:rPr>
          <w:rFonts w:eastAsiaTheme="minorEastAsia"/>
        </w:rPr>
        <w:t xml:space="preserve">where </w:t>
      </w:r>
      <w:r w:rsidRPr="00D65519">
        <w:rPr>
          <w:rFonts w:eastAsiaTheme="minorEastAsia"/>
          <w:i/>
          <w:iCs/>
        </w:rPr>
        <w:t>η</w:t>
      </w:r>
      <w:r w:rsidRPr="00D65519">
        <w:rPr>
          <w:rFonts w:eastAsiaTheme="minorEastAsia"/>
        </w:rPr>
        <w:t xml:space="preserve"> is a constant term and </w:t>
      </w:r>
      <w:r w:rsidRPr="00D65519">
        <w:rPr>
          <w:rFonts w:eastAsiaTheme="minorEastAsia"/>
          <w:b/>
          <w:bCs/>
          <w:i/>
          <w:iCs/>
        </w:rPr>
        <w:t>α</w:t>
      </w:r>
      <w:r w:rsidRPr="00D65519">
        <w:rPr>
          <w:rFonts w:eastAsiaTheme="minorEastAsia"/>
        </w:rPr>
        <w:t xml:space="preserve"> are coefficients that are associated with the explanatory variables </w:t>
      </w:r>
      <w:r w:rsidRPr="00D65519">
        <w:rPr>
          <w:rFonts w:eastAsiaTheme="minorEastAsia"/>
          <w:b/>
          <w:bCs/>
          <w:i/>
          <w:iCs/>
        </w:rPr>
        <w:t>W</w:t>
      </w:r>
      <w:r w:rsidRPr="00D65519">
        <w:t xml:space="preserve">. In doing so we not only achieve a heterogeneous covariance structure in a </w:t>
      </w:r>
      <w:r w:rsidR="00927F5E" w:rsidRPr="00D65519">
        <w:t>simultaneous-equations</w:t>
      </w:r>
      <w:r w:rsidRPr="00D65519">
        <w:t xml:space="preserve"> approach that addresses endogeneity, but also we can explain potential systematic variations in the covariance.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94"/>
      </w:tblGrid>
      <w:tr w:rsidR="00372959" w:rsidRPr="00D65519" w14:paraId="6611B1DF" w14:textId="77777777" w:rsidTr="000527AA">
        <w:tc>
          <w:tcPr>
            <w:tcW w:w="8222" w:type="dxa"/>
          </w:tcPr>
          <w:p w14:paraId="6F7C97FF" w14:textId="77777777" w:rsidR="00372959" w:rsidRPr="00D65519" w:rsidRDefault="00D65519" w:rsidP="000527AA">
            <w:pPr>
              <w:pStyle w:val="ThesisText"/>
              <w:spacing w:line="360" w:lineRule="auto"/>
              <w:jc w:val="right"/>
              <w:rPr>
                <w:rFonts w:eastAsiaTheme="minorEastAsia"/>
              </w:rPr>
            </w:pPr>
            <m:oMathPara>
              <m:oMathParaPr>
                <m:jc m:val="center"/>
              </m:oMathParaPr>
              <m:oMath>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i</m:t>
                    </m:r>
                  </m:sub>
                </m:sSub>
                <m:r>
                  <m:rPr>
                    <m:sty m:val="p"/>
                  </m:rPr>
                  <w:rPr>
                    <w:rFonts w:ascii="Cambria Math" w:hAnsi="Cambria Math" w:cstheme="minorHAnsi"/>
                  </w:rPr>
                  <m:t xml:space="preserve"> ~ </m:t>
                </m:r>
                <m:r>
                  <w:rPr>
                    <w:rFonts w:ascii="Cambria Math" w:hAnsi="Cambria Math" w:cstheme="minorHAnsi"/>
                  </w:rPr>
                  <m:t>Poisson</m:t>
                </m:r>
                <m:r>
                  <m:rPr>
                    <m:sty m:val="p"/>
                  </m:rPr>
                  <w:rPr>
                    <w:rFonts w:ascii="Cambria Math" w:hAnsi="Cambria Math" w:cstheme="minorHAnsi"/>
                  </w:rPr>
                  <m:t xml:space="preserve"> </m:t>
                </m:r>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λ</m:t>
                        </m:r>
                      </m:e>
                      <m:sub>
                        <m:r>
                          <w:rPr>
                            <w:rFonts w:ascii="Cambria Math" w:hAnsi="Cambria Math" w:cstheme="minorHAnsi"/>
                          </w:rPr>
                          <m:t>i</m:t>
                        </m:r>
                      </m:sub>
                    </m:sSub>
                  </m:e>
                </m:d>
              </m:oMath>
            </m:oMathPara>
          </w:p>
          <w:p w14:paraId="19E0101F" w14:textId="77777777" w:rsidR="00372959" w:rsidRPr="00D65519" w:rsidRDefault="00372959" w:rsidP="000527AA">
            <w:pPr>
              <w:pStyle w:val="ThesisText"/>
              <w:spacing w:line="360" w:lineRule="auto"/>
              <w:jc w:val="right"/>
              <w:rPr>
                <w:rFonts w:eastAsiaTheme="minorEastAsia"/>
              </w:rPr>
            </w:pPr>
            <m:oMathPara>
              <m:oMathParaPr>
                <m:jc m:val="center"/>
              </m:oMathParaPr>
              <m:oMath>
                <m:r>
                  <w:rPr>
                    <w:rFonts w:ascii="Cambria Math" w:hAnsi="Cambria Math" w:cstheme="minorHAnsi"/>
                  </w:rPr>
                  <m:t>log</m:t>
                </m:r>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λ</m:t>
                        </m:r>
                      </m:e>
                      <m:sub>
                        <m:r>
                          <w:rPr>
                            <w:rFonts w:ascii="Cambria Math" w:hAnsi="Cambria Math" w:cstheme="minorHAnsi"/>
                          </w:rPr>
                          <m:t>i</m:t>
                        </m:r>
                      </m:sub>
                    </m:sSub>
                  </m:e>
                </m:d>
                <m:r>
                  <m:rPr>
                    <m:sty m:val="p"/>
                  </m:rPr>
                  <w:rPr>
                    <w:rFonts w:ascii="Cambria Math" w:hAnsi="Cambria Math" w:cstheme="minorHAnsi"/>
                  </w:rPr>
                  <m:t xml:space="preserve">= </m:t>
                </m:r>
                <m:r>
                  <m:rPr>
                    <m:sty m:val="bi"/>
                  </m:rPr>
                  <w:rPr>
                    <w:rFonts w:ascii="Cambria Math" w:hAnsi="Cambria Math" w:cstheme="minorHAnsi"/>
                  </w:rPr>
                  <m:t>β</m:t>
                </m:r>
                <m:sSub>
                  <m:sSubPr>
                    <m:ctrlPr>
                      <w:rPr>
                        <w:rFonts w:ascii="Cambria Math" w:hAnsi="Cambria Math" w:cstheme="minorHAnsi"/>
                      </w:rPr>
                    </m:ctrlPr>
                  </m:sSubPr>
                  <m:e>
                    <m:r>
                      <m:rPr>
                        <m:sty m:val="bi"/>
                      </m:rPr>
                      <w:rPr>
                        <w:rFonts w:ascii="Cambria Math" w:hAnsi="Cambria Math" w:cstheme="minorHAnsi"/>
                      </w:rPr>
                      <m:t>X</m:t>
                    </m:r>
                  </m:e>
                  <m:sub>
                    <m:r>
                      <m:rPr>
                        <m:sty m:val="bi"/>
                      </m:rP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ξ</m:t>
                    </m:r>
                  </m:e>
                  <m:sub>
                    <m:r>
                      <w:rPr>
                        <w:rFonts w:ascii="Cambria Math" w:hAnsi="Cambria Math" w:cstheme="minorHAnsi"/>
                      </w:rPr>
                      <m:t>i</m:t>
                    </m:r>
                  </m:sub>
                </m:sSub>
              </m:oMath>
            </m:oMathPara>
          </w:p>
          <w:p w14:paraId="43D730D4" w14:textId="5A4465C4" w:rsidR="00372959" w:rsidRPr="00D65519" w:rsidRDefault="00D65519" w:rsidP="00F63D7E">
            <w:pPr>
              <w:pStyle w:val="ThesisText"/>
              <w:spacing w:line="360" w:lineRule="auto"/>
              <w:jc w:val="right"/>
              <w:rPr>
                <w:rFonts w:eastAsiaTheme="minorEastAsia"/>
              </w:rPr>
            </w:pPr>
            <m:oMathPara>
              <m:oMathParaPr>
                <m:jc m:val="center"/>
              </m:oMathParaPr>
              <m:oMath>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 xml:space="preserve"> ~ Normal(</m:t>
                </m:r>
                <m:sSub>
                  <m:sSubPr>
                    <m:ctrlPr>
                      <w:rPr>
                        <w:rFonts w:ascii="Cambria Math" w:hAnsi="Cambria Math"/>
                        <w:i/>
                      </w:rPr>
                    </m:ctrlPr>
                  </m:sSubPr>
                  <m:e>
                    <m:r>
                      <w:rPr>
                        <w:rFonts w:ascii="Cambria Math" w:hAnsi="Cambria Math"/>
                      </w:rPr>
                      <m:t>μ</m:t>
                    </m:r>
                  </m:e>
                  <m:sub>
                    <m:r>
                      <w:rPr>
                        <w:rFonts w:ascii="Cambria Math" w:hAnsi="Cambria Math"/>
                      </w:rPr>
                      <m:t>γ</m:t>
                    </m:r>
                  </m:sub>
                </m:sSub>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γ</m:t>
                    </m:r>
                  </m:sub>
                  <m:sup>
                    <m:r>
                      <w:rPr>
                        <w:rFonts w:ascii="Cambria Math" w:hAnsi="Cambria Math"/>
                      </w:rPr>
                      <m:t>2</m:t>
                    </m:r>
                  </m:sup>
                </m:sSubSup>
                <m:r>
                  <w:rPr>
                    <w:rFonts w:ascii="Cambria Math" w:hAnsi="Cambria Math"/>
                  </w:rPr>
                  <m:t>)</m:t>
                </m:r>
              </m:oMath>
            </m:oMathPara>
          </w:p>
          <w:p w14:paraId="31791E5E" w14:textId="77777777" w:rsidR="00372959" w:rsidRPr="00D65519" w:rsidRDefault="00D65519" w:rsidP="000527AA">
            <w:pPr>
              <w:pStyle w:val="ThesisText"/>
              <w:spacing w:line="360" w:lineRule="auto"/>
              <w:jc w:val="right"/>
              <w:rPr>
                <w:rFonts w:eastAsiaTheme="minorEastAsia"/>
              </w:rPr>
            </w:pPr>
            <m:oMathPara>
              <m:oMathParaPr>
                <m:jc m:val="center"/>
              </m:oMathParaPr>
              <m:oMath>
                <m:sSubSup>
                  <m:sSubSupPr>
                    <m:ctrlPr>
                      <w:rPr>
                        <w:rFonts w:ascii="Cambria Math" w:hAnsi="Cambria Math" w:cstheme="minorHAns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m:t>
                    </m:r>
                  </m:sup>
                </m:sSubSup>
                <m:r>
                  <m:rPr>
                    <m:sty m:val="p"/>
                  </m:rPr>
                  <w:rPr>
                    <w:rFonts w:ascii="Cambria Math" w:hAnsi="Cambria Math" w:cstheme="minorHAnsi"/>
                  </w:rPr>
                  <m:t xml:space="preserve">= </m:t>
                </m:r>
                <m:r>
                  <m:rPr>
                    <m:sty m:val="bi"/>
                  </m:rPr>
                  <w:rPr>
                    <w:rFonts w:ascii="Cambria Math" w:hAnsi="Cambria Math" w:cstheme="minorHAnsi"/>
                  </w:rPr>
                  <m:t>δ</m:t>
                </m:r>
                <m:sSub>
                  <m:sSubPr>
                    <m:ctrlPr>
                      <w:rPr>
                        <w:rFonts w:ascii="Cambria Math" w:hAnsi="Cambria Math" w:cstheme="minorHAnsi"/>
                      </w:rPr>
                    </m:ctrlPr>
                  </m:sSubPr>
                  <m:e>
                    <m:r>
                      <m:rPr>
                        <m:sty m:val="bi"/>
                      </m:rPr>
                      <w:rPr>
                        <w:rFonts w:ascii="Cambria Math" w:hAnsi="Cambria Math" w:cstheme="minorHAnsi"/>
                      </w:rPr>
                      <m:t>Z</m:t>
                    </m:r>
                  </m:e>
                  <m:sub>
                    <m:r>
                      <m:rPr>
                        <m:sty m:val="bi"/>
                      </m:rP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i</m:t>
                    </m:r>
                  </m:sub>
                </m:sSub>
              </m:oMath>
            </m:oMathPara>
          </w:p>
          <w:p w14:paraId="0E8EBE77" w14:textId="77777777" w:rsidR="00372959" w:rsidRPr="00D65519" w:rsidRDefault="00D65519" w:rsidP="000527AA">
            <w:pPr>
              <w:pStyle w:val="ThesisText"/>
              <w:spacing w:line="360" w:lineRule="auto"/>
              <w:rPr>
                <w:rFonts w:eastAsiaTheme="minorEastAsia"/>
              </w:rPr>
            </w:pPr>
            <m:oMathPara>
              <m:oMathParaPr>
                <m:jc m:val="center"/>
              </m:oMathParaPr>
              <m:oMath>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rPr>
                          <m:t>ξ</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i</m:t>
                        </m:r>
                      </m:sub>
                    </m:sSub>
                  </m:e>
                </m:d>
                <m:r>
                  <w:rPr>
                    <w:rFonts w:ascii="Cambria Math" w:hAnsi="Cambria Math" w:cstheme="minorHAnsi"/>
                  </w:rPr>
                  <m:t xml:space="preserve"> ~ BVN</m:t>
                </m:r>
                <m:d>
                  <m:dPr>
                    <m:ctrlPr>
                      <w:rPr>
                        <w:rFonts w:ascii="Cambria Math" w:hAnsi="Cambria Math" w:cstheme="minorHAnsi"/>
                        <w:i/>
                      </w:rPr>
                    </m:ctrlPr>
                  </m:dPr>
                  <m:e>
                    <m:r>
                      <w:rPr>
                        <w:rFonts w:ascii="Cambria Math" w:hAnsi="Cambria Math" w:cstheme="minorHAnsi"/>
                      </w:rPr>
                      <m:t>0,</m:t>
                    </m:r>
                    <m:d>
                      <m:dPr>
                        <m:ctrlPr>
                          <w:rPr>
                            <w:rFonts w:ascii="Cambria Math" w:hAnsi="Cambria Math" w:cstheme="minorHAnsi"/>
                            <w:i/>
                          </w:rPr>
                        </m:ctrlPr>
                      </m:dPr>
                      <m:e>
                        <m:m>
                          <m:mPr>
                            <m:mcs>
                              <m:mc>
                                <m:mcPr>
                                  <m:count m:val="2"/>
                                  <m:mcJc m:val="center"/>
                                </m:mcPr>
                              </m:mc>
                            </m:mcs>
                            <m:ctrlPr>
                              <w:rPr>
                                <w:rFonts w:ascii="Cambria Math" w:hAnsi="Cambria Math" w:cstheme="minorHAnsi"/>
                                <w:i/>
                              </w:rPr>
                            </m:ctrlPr>
                          </m:mPr>
                          <m:mr>
                            <m:e>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i</m:t>
                                      </m:r>
                                    </m:sub>
                                  </m:sSub>
                                </m:e>
                                <m:sup>
                                  <m:r>
                                    <w:rPr>
                                      <w:rFonts w:ascii="Cambria Math" w:hAnsi="Cambria Math" w:cstheme="minorHAnsi"/>
                                    </w:rPr>
                                    <m:t>2</m:t>
                                  </m:r>
                                </m:sup>
                              </m:sSup>
                            </m:e>
                            <m:e>
                              <m:r>
                                <w:rPr>
                                  <w:rFonts w:ascii="Cambria Math" w:hAnsi="Cambria Math" w:cstheme="minorHAnsi"/>
                                </w:rPr>
                                <m:t>ρ</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i</m:t>
                                  </m:r>
                                </m:sub>
                              </m:sSub>
                            </m:e>
                          </m:mr>
                          <m:mr>
                            <m:e>
                              <m:r>
                                <w:rPr>
                                  <w:rFonts w:ascii="Cambria Math" w:hAnsi="Cambria Math" w:cstheme="minorHAnsi"/>
                                </w:rPr>
                                <m:t>ρ</m:t>
                              </m:r>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i</m:t>
                                  </m:r>
                                </m:sub>
                              </m:sSub>
                            </m:e>
                            <m:e>
                              <m:r>
                                <w:rPr>
                                  <w:rFonts w:ascii="Cambria Math" w:hAnsi="Cambria Math" w:cstheme="minorHAnsi"/>
                                </w:rPr>
                                <m:t>1</m:t>
                              </m:r>
                            </m:e>
                          </m:mr>
                        </m:m>
                      </m:e>
                    </m:d>
                  </m:e>
                </m:d>
              </m:oMath>
            </m:oMathPara>
          </w:p>
          <w:p w14:paraId="152D8531" w14:textId="77777777" w:rsidR="00372959" w:rsidRPr="00D65519" w:rsidRDefault="00D65519" w:rsidP="000527AA">
            <w:pPr>
              <w:pStyle w:val="ThesisText"/>
              <w:spacing w:line="360" w:lineRule="auto"/>
              <w:jc w:val="right"/>
            </w:pPr>
            <m:oMathPara>
              <m:oMathParaPr>
                <m:jc m:val="center"/>
              </m:oMathParaPr>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hAnsi="Cambria Math" w:cstheme="minorHAnsi"/>
                              </w:rPr>
                              <m:t>σ</m:t>
                            </m:r>
                          </m:e>
                          <m:sub>
                            <m:r>
                              <w:rPr>
                                <w:rFonts w:ascii="Cambria Math" w:eastAsiaTheme="minorEastAsia" w:hAnsi="Cambria Math"/>
                              </w:rPr>
                              <m:t>i</m:t>
                            </m:r>
                          </m:sub>
                        </m:sSub>
                      </m:e>
                    </m:d>
                  </m:e>
                </m:func>
                <m:r>
                  <w:rPr>
                    <w:rFonts w:ascii="Cambria Math" w:eastAsiaTheme="minorEastAsia" w:hAnsi="Cambria Math"/>
                  </w:rPr>
                  <m:t xml:space="preserve">=η+ </m:t>
                </m:r>
                <m:r>
                  <m:rPr>
                    <m:sty m:val="bi"/>
                  </m:rPr>
                  <w:rPr>
                    <w:rFonts w:ascii="Cambria Math" w:eastAsiaTheme="minorEastAsia" w:hAnsi="Cambria Math"/>
                  </w:rPr>
                  <m:t>α W</m:t>
                </m:r>
                <m:r>
                  <w:rPr>
                    <w:rFonts w:ascii="Cambria Math" w:eastAsiaTheme="minorEastAsia" w:hAnsi="Cambria Math"/>
                  </w:rPr>
                  <m:t xml:space="preserve"> </m:t>
                </m:r>
              </m:oMath>
            </m:oMathPara>
          </w:p>
        </w:tc>
        <w:tc>
          <w:tcPr>
            <w:tcW w:w="794" w:type="dxa"/>
            <w:vAlign w:val="center"/>
          </w:tcPr>
          <w:p w14:paraId="0E5B77DA" w14:textId="343808C1" w:rsidR="00372959" w:rsidRPr="00D65519" w:rsidRDefault="00372959" w:rsidP="009E430A">
            <w:pPr>
              <w:pStyle w:val="ThesisText"/>
              <w:spacing w:line="360" w:lineRule="auto"/>
              <w:jc w:val="right"/>
            </w:pPr>
            <w:r w:rsidRPr="00D65519">
              <w:t>(</w:t>
            </w:r>
            <w:r w:rsidR="009E430A" w:rsidRPr="00D65519">
              <w:t>8</w:t>
            </w:r>
            <w:r w:rsidRPr="00D65519">
              <w:t>)</w:t>
            </w:r>
          </w:p>
        </w:tc>
      </w:tr>
    </w:tbl>
    <w:p w14:paraId="4FE1A362" w14:textId="77777777" w:rsidR="00372959" w:rsidRPr="00D65519" w:rsidRDefault="00372959" w:rsidP="00372959">
      <w:pPr>
        <w:pStyle w:val="ThesisText"/>
        <w:spacing w:line="360" w:lineRule="auto"/>
      </w:pPr>
    </w:p>
    <w:p w14:paraId="1E45CB9B" w14:textId="77777777" w:rsidR="00372959" w:rsidRPr="00D65519" w:rsidRDefault="00372959" w:rsidP="00372959">
      <w:pPr>
        <w:pStyle w:val="ThesisText"/>
        <w:spacing w:line="360" w:lineRule="auto"/>
      </w:pPr>
      <w:r w:rsidRPr="00D65519">
        <w:t>In our specification, the covariance is not fixed allowing the analyst to better address unobserved heterogeneity as well as to provide further insights using the same set of variables available in the data.</w:t>
      </w:r>
    </w:p>
    <w:p w14:paraId="4E276D92" w14:textId="7FA90C2C" w:rsidR="00CD3354" w:rsidRPr="00D65519" w:rsidRDefault="00CD3354" w:rsidP="004E067D">
      <w:pPr>
        <w:pStyle w:val="ThesisSub2"/>
        <w:ind w:left="431" w:hanging="431"/>
        <w:rPr>
          <w:color w:val="auto"/>
        </w:rPr>
      </w:pPr>
      <w:r w:rsidRPr="00D65519">
        <w:rPr>
          <w:color w:val="auto"/>
        </w:rPr>
        <w:t>Prior specification and model estimation</w:t>
      </w:r>
    </w:p>
    <w:p w14:paraId="745D7F0D" w14:textId="6B1A48E8" w:rsidR="006A722D" w:rsidRPr="00D65519" w:rsidRDefault="00CD3354" w:rsidP="00F63D7E">
      <w:pPr>
        <w:pStyle w:val="ThesisText"/>
        <w:spacing w:line="360" w:lineRule="auto"/>
      </w:pPr>
      <w:r w:rsidRPr="00D65519">
        <w:t xml:space="preserve">We specified vague normal priors </w:t>
      </w:r>
      <w:proofErr w:type="gramStart"/>
      <w:r w:rsidR="000B766C" w:rsidRPr="00D65519">
        <w:rPr>
          <w:i/>
          <w:iCs/>
        </w:rPr>
        <w:t>N</w:t>
      </w:r>
      <w:r w:rsidRPr="00D65519">
        <w:rPr>
          <w:i/>
          <w:iCs/>
        </w:rPr>
        <w:t>ormal(</w:t>
      </w:r>
      <w:proofErr w:type="gramEnd"/>
      <w:r w:rsidRPr="00D65519">
        <w:rPr>
          <w:i/>
          <w:iCs/>
        </w:rPr>
        <w:t>0, 100)</w:t>
      </w:r>
      <w:r w:rsidRPr="00D65519">
        <w:t xml:space="preserve"> for the mean parameter</w:t>
      </w:r>
      <w:r w:rsidR="003A01CD" w:rsidRPr="00D65519">
        <w:t xml:space="preserve"> (</w:t>
      </w:r>
      <w:r w:rsidR="003A01CD" w:rsidRPr="00D65519">
        <w:rPr>
          <w:i/>
          <w:iCs/>
        </w:rPr>
        <w:t>µ</w:t>
      </w:r>
      <w:r w:rsidRPr="00D65519">
        <w:t xml:space="preserve">) associated with the random parameter </w:t>
      </w:r>
      <w:r w:rsidRPr="00D65519">
        <w:rPr>
          <w:i/>
          <w:iCs/>
        </w:rPr>
        <w:t>γ</w:t>
      </w:r>
      <w:r w:rsidRPr="00D65519">
        <w:t xml:space="preserve"> and for regression coefficients (</w:t>
      </w:r>
      <w:r w:rsidRPr="00D65519">
        <w:rPr>
          <w:i/>
          <w:iCs/>
        </w:rPr>
        <w:t>β</w:t>
      </w:r>
      <w:r w:rsidRPr="00D65519">
        <w:t>,</w:t>
      </w:r>
      <w:r w:rsidRPr="00D65519">
        <w:rPr>
          <w:i/>
          <w:iCs/>
        </w:rPr>
        <w:t xml:space="preserve"> δ</w:t>
      </w:r>
      <w:r w:rsidRPr="00D65519">
        <w:t>,</w:t>
      </w:r>
      <w:r w:rsidRPr="00D65519">
        <w:rPr>
          <w:i/>
          <w:iCs/>
        </w:rPr>
        <w:t xml:space="preserve"> η</w:t>
      </w:r>
      <w:r w:rsidRPr="00D65519">
        <w:t>,</w:t>
      </w:r>
      <w:r w:rsidRPr="00D65519">
        <w:rPr>
          <w:i/>
          <w:iCs/>
        </w:rPr>
        <w:t xml:space="preserve"> </w:t>
      </w:r>
      <w:r w:rsidRPr="00D65519">
        <w:t>and</w:t>
      </w:r>
      <w:r w:rsidRPr="00D65519">
        <w:rPr>
          <w:i/>
          <w:iCs/>
        </w:rPr>
        <w:t xml:space="preserve"> α</w:t>
      </w:r>
      <w:r w:rsidRPr="00D65519">
        <w:t xml:space="preserve">). </w:t>
      </w:r>
      <w:r w:rsidR="00452FB7" w:rsidRPr="00D65519">
        <w:t>W</w:t>
      </w:r>
      <w:r w:rsidR="006A722D" w:rsidRPr="00D65519">
        <w:t>e assign</w:t>
      </w:r>
      <w:r w:rsidR="00452FB7" w:rsidRPr="00D65519">
        <w:t>ed</w:t>
      </w:r>
      <w:r w:rsidR="006A722D" w:rsidRPr="00D65519">
        <w:t xml:space="preserve"> a </w:t>
      </w:r>
      <w:proofErr w:type="gramStart"/>
      <w:r w:rsidR="00286227" w:rsidRPr="00D65519">
        <w:rPr>
          <w:i/>
          <w:iCs/>
        </w:rPr>
        <w:t>U</w:t>
      </w:r>
      <w:r w:rsidR="006A722D" w:rsidRPr="00D65519">
        <w:rPr>
          <w:i/>
          <w:iCs/>
        </w:rPr>
        <w:t>niform(</w:t>
      </w:r>
      <w:proofErr w:type="gramEnd"/>
      <w:r w:rsidR="006A722D" w:rsidRPr="00D65519">
        <w:rPr>
          <w:i/>
          <w:iCs/>
        </w:rPr>
        <w:t>-1, 1)</w:t>
      </w:r>
      <w:r w:rsidR="006A722D" w:rsidRPr="00D65519">
        <w:t xml:space="preserve"> prior distribution to the correlation parameter </w:t>
      </w:r>
      <w:r w:rsidR="006A722D" w:rsidRPr="00D65519">
        <w:rPr>
          <w:i/>
          <w:iCs/>
        </w:rPr>
        <w:t>ρ</w:t>
      </w:r>
      <w:r w:rsidR="00452FB7" w:rsidRPr="00D65519">
        <w:t xml:space="preserve">, guaranteeing realistic values of correlation. </w:t>
      </w:r>
      <w:r w:rsidR="003A01CD" w:rsidRPr="00D65519">
        <w:t xml:space="preserve">We specified a relatively vague </w:t>
      </w:r>
      <w:proofErr w:type="gramStart"/>
      <w:r w:rsidR="000B766C" w:rsidRPr="00D65519">
        <w:rPr>
          <w:i/>
          <w:iCs/>
        </w:rPr>
        <w:t>U</w:t>
      </w:r>
      <w:r w:rsidR="003A01CD" w:rsidRPr="00D65519">
        <w:rPr>
          <w:i/>
          <w:iCs/>
        </w:rPr>
        <w:t>niform(</w:t>
      </w:r>
      <w:proofErr w:type="gramEnd"/>
      <w:r w:rsidR="003A01CD" w:rsidRPr="00D65519">
        <w:rPr>
          <w:i/>
          <w:iCs/>
        </w:rPr>
        <w:t>0, 10)</w:t>
      </w:r>
      <w:r w:rsidR="003A01CD" w:rsidRPr="00D65519">
        <w:t xml:space="preserve"> prior for</w:t>
      </w:r>
      <w:r w:rsidR="00861A80" w:rsidRPr="00D65519">
        <w:t xml:space="preserve"> </w:t>
      </w:r>
      <w:r w:rsidR="00861A80" w:rsidRPr="00D65519">
        <w:rPr>
          <w:i/>
          <w:iCs/>
        </w:rPr>
        <w:t>σ</w:t>
      </w:r>
      <w:r w:rsidR="00861A80" w:rsidRPr="00D65519">
        <w:t>,</w:t>
      </w:r>
      <w:r w:rsidR="003A01CD" w:rsidRPr="00D65519">
        <w:t xml:space="preserve"> </w:t>
      </w:r>
      <w:r w:rsidR="00861A80" w:rsidRPr="00D65519">
        <w:t xml:space="preserve">the second component of the covariance, and </w:t>
      </w:r>
      <w:r w:rsidR="004E067D" w:rsidRPr="00D65519">
        <w:t>for the</w:t>
      </w:r>
      <w:r w:rsidR="003A01CD" w:rsidRPr="00D65519">
        <w:t xml:space="preserve"> standard deviation </w:t>
      </w:r>
      <w:r w:rsidR="008F43D9" w:rsidRPr="00D65519">
        <w:t>of</w:t>
      </w:r>
      <w:r w:rsidR="003A01CD" w:rsidRPr="00D65519">
        <w:t xml:space="preserve"> the </w:t>
      </w:r>
      <w:r w:rsidR="008F43D9" w:rsidRPr="00D65519">
        <w:t xml:space="preserve">random parameter </w:t>
      </w:r>
      <w:r w:rsidR="008F43D9" w:rsidRPr="00D65519">
        <w:rPr>
          <w:i/>
          <w:iCs/>
        </w:rPr>
        <w:t>γ</w:t>
      </w:r>
      <w:r w:rsidR="00861A80" w:rsidRPr="00D65519">
        <w:t>.</w:t>
      </w:r>
      <w:r w:rsidR="004E067D" w:rsidRPr="00D65519">
        <w:t xml:space="preserve"> </w:t>
      </w:r>
      <w:r w:rsidR="00002AA9" w:rsidRPr="00D65519">
        <w:t>With respect to the scale mixing approach, as</w:t>
      </w:r>
      <w:r w:rsidR="008F43D9" w:rsidRPr="00D65519">
        <w:t xml:space="preserve"> suggested </w:t>
      </w:r>
      <w:r w:rsidR="00F63D7E" w:rsidRPr="00D65519">
        <w:t xml:space="preserve">in Bayesian Statistics literature (e.g., see </w:t>
      </w:r>
      <w:r w:rsidR="008F43D9" w:rsidRPr="00D65519">
        <w:t>Congdon (2003)</w:t>
      </w:r>
      <w:r w:rsidR="00F63D7E" w:rsidRPr="00D65519">
        <w:t>)</w:t>
      </w:r>
      <w:r w:rsidR="008F43D9" w:rsidRPr="00D65519">
        <w:t xml:space="preserve">, we </w:t>
      </w:r>
      <w:r w:rsidR="00B07A3A" w:rsidRPr="00D65519">
        <w:t>specified</w:t>
      </w:r>
      <w:r w:rsidR="008F43D9" w:rsidRPr="00D65519">
        <w:t xml:space="preserve"> an exponential distribution for </w:t>
      </w:r>
      <w:r w:rsidR="008F43D9" w:rsidRPr="00D65519">
        <w:rPr>
          <w:i/>
          <w:iCs/>
        </w:rPr>
        <w:t>ν</w:t>
      </w:r>
      <w:r w:rsidR="008F43D9" w:rsidRPr="00D65519">
        <w:t xml:space="preserve"> with parameter </w:t>
      </w:r>
      <w:r w:rsidR="008F43D9" w:rsidRPr="00D65519">
        <w:rPr>
          <w:i/>
          <w:iCs/>
        </w:rPr>
        <w:t>k</w:t>
      </w:r>
      <w:r w:rsidR="008F43D9" w:rsidRPr="00D65519">
        <w:t>,</w:t>
      </w:r>
      <w:r w:rsidR="008F43D9" w:rsidRPr="00D65519">
        <w:rPr>
          <w:i/>
          <w:iCs/>
        </w:rPr>
        <w:t xml:space="preserve"> </w:t>
      </w:r>
      <w:proofErr w:type="gramStart"/>
      <w:r w:rsidR="008F43D9" w:rsidRPr="00D65519">
        <w:rPr>
          <w:i/>
          <w:iCs/>
        </w:rPr>
        <w:t>Exponential(</w:t>
      </w:r>
      <w:proofErr w:type="gramEnd"/>
      <w:r w:rsidR="008F43D9" w:rsidRPr="00D65519">
        <w:rPr>
          <w:i/>
          <w:iCs/>
        </w:rPr>
        <w:t>k)</w:t>
      </w:r>
      <w:r w:rsidR="008F43D9" w:rsidRPr="00D65519">
        <w:t xml:space="preserve">, and a </w:t>
      </w:r>
      <w:r w:rsidR="008F43D9" w:rsidRPr="00D65519">
        <w:rPr>
          <w:i/>
          <w:iCs/>
        </w:rPr>
        <w:t>uniform(0.01, 0.5)</w:t>
      </w:r>
      <w:r w:rsidR="008F43D9" w:rsidRPr="00D65519">
        <w:t xml:space="preserve"> for </w:t>
      </w:r>
      <w:r w:rsidR="008F43D9" w:rsidRPr="00D65519">
        <w:rPr>
          <w:i/>
          <w:iCs/>
        </w:rPr>
        <w:t>k</w:t>
      </w:r>
      <w:r w:rsidR="008F43D9" w:rsidRPr="00D65519">
        <w:t xml:space="preserve">. </w:t>
      </w:r>
      <w:r w:rsidR="005F1728" w:rsidRPr="00D65519">
        <w:t>In</w:t>
      </w:r>
      <w:r w:rsidR="00B07A3A" w:rsidRPr="00D65519">
        <w:t xml:space="preserve"> Bayesian statis</w:t>
      </w:r>
      <w:r w:rsidR="005F1728" w:rsidRPr="00D65519">
        <w:t>tics</w:t>
      </w:r>
      <w:r w:rsidR="00B07A3A" w:rsidRPr="00D65519">
        <w:t xml:space="preserve"> literature, t</w:t>
      </w:r>
      <w:r w:rsidR="00EC65C2" w:rsidRPr="00D65519">
        <w:t xml:space="preserve">his </w:t>
      </w:r>
      <w:r w:rsidR="00B07A3A" w:rsidRPr="00D65519">
        <w:t xml:space="preserve">prior </w:t>
      </w:r>
      <w:r w:rsidR="00EC65C2" w:rsidRPr="00D65519">
        <w:t xml:space="preserve">specification </w:t>
      </w:r>
      <w:r w:rsidR="000F162D" w:rsidRPr="00D65519">
        <w:t>is shown</w:t>
      </w:r>
      <w:r w:rsidR="005F1728" w:rsidRPr="00D65519">
        <w:t xml:space="preserve"> to be a sensible choice</w:t>
      </w:r>
      <w:r w:rsidR="00B07A3A" w:rsidRPr="00D65519">
        <w:t xml:space="preserve"> </w:t>
      </w:r>
      <w:r w:rsidR="007F6883" w:rsidRPr="00D65519">
        <w:t xml:space="preserve">for scale mixing that approximates a Student </w:t>
      </w:r>
      <w:r w:rsidR="007F6883" w:rsidRPr="00D65519">
        <w:rPr>
          <w:i/>
          <w:iCs/>
        </w:rPr>
        <w:t>t</w:t>
      </w:r>
      <w:r w:rsidR="007F6883" w:rsidRPr="00D65519">
        <w:t xml:space="preserve"> density </w:t>
      </w:r>
      <w:r w:rsidR="00B07A3A" w:rsidRPr="00D65519">
        <w:t xml:space="preserve">and </w:t>
      </w:r>
      <w:r w:rsidR="00EC65C2" w:rsidRPr="00D65519">
        <w:t>allows the degree of freedom to be within the range 2-100</w:t>
      </w:r>
      <w:r w:rsidR="007F6883" w:rsidRPr="00D65519">
        <w:t xml:space="preserve"> (Congdon, 2003)</w:t>
      </w:r>
      <w:r w:rsidR="00EC65C2" w:rsidRPr="00D65519">
        <w:t xml:space="preserve">. </w:t>
      </w:r>
      <w:r w:rsidR="00950E20" w:rsidRPr="00D65519">
        <w:t>We estimated the models using freely available software WinBUGS</w:t>
      </w:r>
      <w:r w:rsidR="00FF3253" w:rsidRPr="00D65519">
        <w:t xml:space="preserve"> </w:t>
      </w:r>
      <w:r w:rsidR="00950E20" w:rsidRPr="00D65519">
        <w:t>(Lunn et al., 2000)</w:t>
      </w:r>
      <w:r w:rsidR="004E067D" w:rsidRPr="00D65519">
        <w:t>.</w:t>
      </w:r>
    </w:p>
    <w:p w14:paraId="38BB9EED" w14:textId="4426D862" w:rsidR="00CD3354" w:rsidRPr="00D65519" w:rsidRDefault="00A4697D" w:rsidP="00A4697D">
      <w:pPr>
        <w:pStyle w:val="ThesisSub2"/>
        <w:rPr>
          <w:color w:val="auto"/>
        </w:rPr>
      </w:pPr>
      <w:r w:rsidRPr="00D65519">
        <w:rPr>
          <w:color w:val="auto"/>
        </w:rPr>
        <w:t xml:space="preserve">Detecting </w:t>
      </w:r>
      <w:r w:rsidR="009E1442" w:rsidRPr="00D65519">
        <w:rPr>
          <w:color w:val="auto"/>
        </w:rPr>
        <w:t xml:space="preserve">overdispersion </w:t>
      </w:r>
    </w:p>
    <w:p w14:paraId="48A41815" w14:textId="6E100780" w:rsidR="009E1442" w:rsidRPr="00D65519" w:rsidRDefault="009E1442" w:rsidP="00B74C99">
      <w:pPr>
        <w:pStyle w:val="ThesisText"/>
        <w:spacing w:line="360" w:lineRule="auto"/>
      </w:pPr>
      <w:r w:rsidRPr="00D65519">
        <w:t>An important concern in modelling count data is whether the mod</w:t>
      </w:r>
      <w:r w:rsidR="008A7E3E" w:rsidRPr="00D65519">
        <w:t>el accounts for overdispersion</w:t>
      </w:r>
      <w:r w:rsidR="00BD163D" w:rsidRPr="00D65519">
        <w:t xml:space="preserve"> (which </w:t>
      </w:r>
      <w:r w:rsidR="00B20CF1" w:rsidRPr="00D65519">
        <w:t>c</w:t>
      </w:r>
      <w:r w:rsidR="00BD163D" w:rsidRPr="00D65519">
        <w:t xml:space="preserve">an be </w:t>
      </w:r>
      <w:r w:rsidR="00B20CF1" w:rsidRPr="00D65519">
        <w:t xml:space="preserve">caused </w:t>
      </w:r>
      <w:r w:rsidR="00BD163D" w:rsidRPr="00D65519">
        <w:t>for instance due to the omission of important variables in the model)</w:t>
      </w:r>
      <w:r w:rsidR="008A7E3E" w:rsidRPr="00D65519">
        <w:t xml:space="preserve"> </w:t>
      </w:r>
      <w:r w:rsidR="00A4697D" w:rsidRPr="00D65519">
        <w:t>satisfactorily</w:t>
      </w:r>
      <w:r w:rsidRPr="00D65519">
        <w:t xml:space="preserve">. </w:t>
      </w:r>
      <w:r w:rsidR="00A4697D" w:rsidRPr="00D65519">
        <w:t xml:space="preserve">This can be </w:t>
      </w:r>
      <w:r w:rsidR="008A7E3E" w:rsidRPr="00D65519">
        <w:t>examined through a measure of deviance as in E</w:t>
      </w:r>
      <w:r w:rsidR="00A4697D" w:rsidRPr="00D65519">
        <w:t>quation (9)</w:t>
      </w:r>
      <w:r w:rsidR="00B5160A" w:rsidRPr="00D65519">
        <w:t>, given the above notation</w:t>
      </w:r>
      <w:r w:rsidR="00A4697D" w:rsidRPr="00D65519">
        <w:t xml:space="preserve">. </w:t>
      </w:r>
      <w:r w:rsidR="00B74C99" w:rsidRPr="00D65519">
        <w:t xml:space="preserve">If the estimated deviance is smaller than the number of observations, overdispersion is dealt with (Congdon, 2003).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5160A" w:rsidRPr="00D65519" w14:paraId="39039718" w14:textId="77777777" w:rsidTr="00B5160A">
        <w:tc>
          <w:tcPr>
            <w:tcW w:w="4508" w:type="dxa"/>
          </w:tcPr>
          <w:p w14:paraId="7B119304" w14:textId="08709456" w:rsidR="00B5160A" w:rsidRPr="00D65519" w:rsidRDefault="00B5160A" w:rsidP="00886319">
            <w:pPr>
              <w:pStyle w:val="ThesisText"/>
              <w:spacing w:line="360" w:lineRule="auto"/>
              <w:jc w:val="right"/>
            </w:pPr>
            <m:oMathPara>
              <m:oMath>
                <m:r>
                  <w:rPr>
                    <w:rFonts w:ascii="Cambria Math" w:hAnsi="Cambria Math" w:cstheme="minorHAnsi"/>
                  </w:rPr>
                  <w:lastRenderedPageBreak/>
                  <m:t>Deviance=2</m:t>
                </m:r>
                <m:nary>
                  <m:naryPr>
                    <m:chr m:val="∑"/>
                    <m:limLoc m:val="undOvr"/>
                    <m:subHide m:val="1"/>
                    <m:supHide m:val="1"/>
                    <m:ctrlPr>
                      <w:rPr>
                        <w:rFonts w:ascii="Cambria Math" w:hAnsi="Cambria Math" w:cstheme="minorHAnsi"/>
                        <w:i/>
                      </w:rPr>
                    </m:ctrlPr>
                  </m:naryPr>
                  <m:sub/>
                  <m:sup/>
                  <m:e>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i</m:t>
                        </m:r>
                      </m:sub>
                    </m:sSub>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ln</m:t>
                        </m:r>
                      </m:fName>
                      <m:e>
                        <m:d>
                          <m:dPr>
                            <m:ctrlPr>
                              <w:rPr>
                                <w:rFonts w:ascii="Cambria Math" w:hAnsi="Cambria Math" w:cstheme="minorHAnsi"/>
                              </w:rPr>
                            </m:ctrlPr>
                          </m:dPr>
                          <m:e>
                            <m:f>
                              <m:fPr>
                                <m:type m:val="skw"/>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i</m:t>
                                    </m:r>
                                  </m:sub>
                                </m:sSub>
                              </m:num>
                              <m:den>
                                <m:sSub>
                                  <m:sSubPr>
                                    <m:ctrlPr>
                                      <w:rPr>
                                        <w:rFonts w:ascii="Cambria Math" w:hAnsi="Cambria Math" w:cstheme="minorHAnsi"/>
                                      </w:rPr>
                                    </m:ctrlPr>
                                  </m:sSubPr>
                                  <m:e>
                                    <m:r>
                                      <w:rPr>
                                        <w:rFonts w:ascii="Cambria Math" w:hAnsi="Cambria Math" w:cstheme="minorHAnsi"/>
                                      </w:rPr>
                                      <m:t>λ</m:t>
                                    </m:r>
                                  </m:e>
                                  <m:sub>
                                    <m:r>
                                      <w:rPr>
                                        <w:rFonts w:ascii="Cambria Math" w:hAnsi="Cambria Math" w:cstheme="minorHAnsi"/>
                                      </w:rPr>
                                      <m:t>i</m:t>
                                    </m:r>
                                  </m:sub>
                                </m:sSub>
                              </m:den>
                            </m:f>
                          </m:e>
                        </m:d>
                      </m:e>
                    </m:func>
                    <m:r>
                      <m:rPr>
                        <m:sty m:val="p"/>
                      </m:rPr>
                      <w:rPr>
                        <w:rFonts w:ascii="Cambria Math" w:hAnsi="Cambria Math" w:cstheme="minorHAnsi"/>
                      </w:rPr>
                      <m:t>-</m:t>
                    </m:r>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λ</m:t>
                            </m:r>
                          </m:e>
                          <m:sub>
                            <m:r>
                              <w:rPr>
                                <w:rFonts w:ascii="Cambria Math" w:hAnsi="Cambria Math" w:cstheme="minorHAnsi"/>
                              </w:rPr>
                              <m:t>i</m:t>
                            </m:r>
                          </m:sub>
                        </m:sSub>
                      </m:e>
                    </m:d>
                    <m:r>
                      <w:rPr>
                        <w:rFonts w:ascii="Cambria Math" w:hAnsi="Cambria Math" w:cstheme="minorHAnsi"/>
                      </w:rPr>
                      <m:t>)</m:t>
                    </m:r>
                  </m:e>
                </m:nary>
              </m:oMath>
            </m:oMathPara>
          </w:p>
        </w:tc>
        <w:tc>
          <w:tcPr>
            <w:tcW w:w="4508" w:type="dxa"/>
          </w:tcPr>
          <w:p w14:paraId="6C41F291" w14:textId="135AA5B2" w:rsidR="00B5160A" w:rsidRPr="00D65519" w:rsidRDefault="00B5160A" w:rsidP="00B5160A">
            <w:pPr>
              <w:pStyle w:val="ThesisText"/>
              <w:spacing w:line="360" w:lineRule="auto"/>
              <w:jc w:val="right"/>
            </w:pPr>
            <w:r w:rsidRPr="00D65519">
              <w:t>(9)</w:t>
            </w:r>
          </w:p>
        </w:tc>
      </w:tr>
    </w:tbl>
    <w:p w14:paraId="78C3C973" w14:textId="77777777" w:rsidR="00B5160A" w:rsidRPr="00D65519" w:rsidRDefault="00B5160A" w:rsidP="00B74C99">
      <w:pPr>
        <w:pStyle w:val="ThesisText"/>
        <w:spacing w:line="360" w:lineRule="auto"/>
      </w:pPr>
    </w:p>
    <w:p w14:paraId="70B6284A" w14:textId="161826C1" w:rsidR="00DB56AC" w:rsidRPr="00D65519" w:rsidRDefault="00DB56AC" w:rsidP="005765B0">
      <w:pPr>
        <w:pStyle w:val="ThesisSub1"/>
        <w:spacing w:line="360" w:lineRule="auto"/>
      </w:pPr>
      <w:r w:rsidRPr="00D65519">
        <w:t>Results and discussion</w:t>
      </w:r>
    </w:p>
    <w:p w14:paraId="4576E4FD" w14:textId="6FD28200" w:rsidR="00250C47" w:rsidRPr="00D65519" w:rsidRDefault="00D40C2D" w:rsidP="00250C47">
      <w:pPr>
        <w:pStyle w:val="ThesisSub2"/>
        <w:rPr>
          <w:color w:val="auto"/>
        </w:rPr>
      </w:pPr>
      <w:r w:rsidRPr="00D65519">
        <w:rPr>
          <w:color w:val="auto"/>
        </w:rPr>
        <w:t>P</w:t>
      </w:r>
      <w:r w:rsidR="00250C47" w:rsidRPr="00D65519">
        <w:rPr>
          <w:color w:val="auto"/>
        </w:rPr>
        <w:t xml:space="preserve">arameter estimates and </w:t>
      </w:r>
      <w:r w:rsidRPr="00D65519">
        <w:rPr>
          <w:color w:val="auto"/>
        </w:rPr>
        <w:t xml:space="preserve">model </w:t>
      </w:r>
      <w:r w:rsidR="00250C47" w:rsidRPr="00D65519">
        <w:rPr>
          <w:color w:val="auto"/>
        </w:rPr>
        <w:t>comparisons</w:t>
      </w:r>
    </w:p>
    <w:p w14:paraId="0B48BFC6" w14:textId="7E746A16" w:rsidR="00666462" w:rsidRPr="00D65519" w:rsidRDefault="00F40B07" w:rsidP="001B5B79">
      <w:pPr>
        <w:pStyle w:val="ThesisText"/>
        <w:spacing w:line="360" w:lineRule="auto"/>
      </w:pPr>
      <w:r w:rsidRPr="00D65519">
        <w:t xml:space="preserve">The result of the simple </w:t>
      </w:r>
      <w:r w:rsidR="00C71A7F" w:rsidRPr="00D65519">
        <w:t>negative binomial count model</w:t>
      </w:r>
      <w:r w:rsidRPr="00D65519">
        <w:t xml:space="preserve"> </w:t>
      </w:r>
      <w:r w:rsidR="00C71A7F" w:rsidRPr="00D65519">
        <w:t>that</w:t>
      </w:r>
      <w:r w:rsidRPr="00D65519">
        <w:t xml:space="preserve"> did not account for endogeneity is shown in Table 2</w:t>
      </w:r>
      <w:r w:rsidR="00BB2577" w:rsidRPr="00D65519">
        <w:t>.</w:t>
      </w:r>
      <w:r w:rsidRPr="00D65519">
        <w:t xml:space="preserve"> </w:t>
      </w:r>
      <w:r w:rsidR="00BB2577" w:rsidRPr="00D65519">
        <w:t>T</w:t>
      </w:r>
      <w:r w:rsidRPr="00D65519">
        <w:t xml:space="preserve">he </w:t>
      </w:r>
      <w:r w:rsidR="00BB2577" w:rsidRPr="00D65519">
        <w:t xml:space="preserve">result of the random parameters </w:t>
      </w:r>
      <w:r w:rsidRPr="00D65519">
        <w:t xml:space="preserve">endogenous </w:t>
      </w:r>
      <w:r w:rsidR="006766D2" w:rsidRPr="00D65519">
        <w:t>(</w:t>
      </w:r>
      <w:r w:rsidR="00CD6841" w:rsidRPr="00D65519">
        <w:t>simultaneous-equations</w:t>
      </w:r>
      <w:r w:rsidR="006766D2" w:rsidRPr="00D65519">
        <w:t xml:space="preserve">) </w:t>
      </w:r>
      <w:r w:rsidRPr="00D65519">
        <w:t xml:space="preserve">model </w:t>
      </w:r>
      <w:r w:rsidR="00BB2577" w:rsidRPr="00D65519">
        <w:t>that</w:t>
      </w:r>
      <w:r w:rsidRPr="00D65519">
        <w:t xml:space="preserve"> estimated the coefficient of the variables associated both with cycling </w:t>
      </w:r>
      <w:r w:rsidR="00BB2577" w:rsidRPr="00D65519">
        <w:t>injury counts</w:t>
      </w:r>
      <w:r w:rsidRPr="00D65519">
        <w:t xml:space="preserve"> and with </w:t>
      </w:r>
      <w:r w:rsidR="00BB2577" w:rsidRPr="00D65519">
        <w:t xml:space="preserve">the </w:t>
      </w:r>
      <w:r w:rsidRPr="00D65519">
        <w:t xml:space="preserve">presence of a school is shown in Table 3. </w:t>
      </w:r>
      <w:r w:rsidR="006766D2" w:rsidRPr="00D65519">
        <w:t>Based on the model</w:t>
      </w:r>
      <w:r w:rsidR="00CC5C9F" w:rsidRPr="00D65519">
        <w:t xml:space="preserve"> results</w:t>
      </w:r>
      <w:r w:rsidR="006766D2" w:rsidRPr="00D65519">
        <w:t xml:space="preserve"> presented in Table 3, t</w:t>
      </w:r>
      <w:r w:rsidRPr="00D65519">
        <w:t xml:space="preserve">he correlation between these two </w:t>
      </w:r>
      <w:r w:rsidR="00BB2577" w:rsidRPr="00D65519">
        <w:t xml:space="preserve">outcomes </w:t>
      </w:r>
      <w:r w:rsidRPr="00D65519">
        <w:t>w</w:t>
      </w:r>
      <w:r w:rsidR="003D3F8E" w:rsidRPr="00D65519">
        <w:t>as</w:t>
      </w:r>
      <w:r w:rsidRPr="00D65519">
        <w:t xml:space="preserve"> </w:t>
      </w:r>
      <w:r w:rsidR="006766D2" w:rsidRPr="00D65519">
        <w:t xml:space="preserve">statistically significant: </w:t>
      </w:r>
      <w:r w:rsidR="00CD6841" w:rsidRPr="00D65519">
        <w:t>-0.477</w:t>
      </w:r>
      <w:r w:rsidRPr="00D65519">
        <w:t xml:space="preserve"> (95% C</w:t>
      </w:r>
      <w:r w:rsidR="0004246B" w:rsidRPr="00D65519">
        <w:t xml:space="preserve">redible </w:t>
      </w:r>
      <w:r w:rsidRPr="00D65519">
        <w:t>I</w:t>
      </w:r>
      <w:r w:rsidR="0004246B" w:rsidRPr="00D65519">
        <w:t>ntervals</w:t>
      </w:r>
      <w:r w:rsidRPr="00D65519">
        <w:t xml:space="preserve">: </w:t>
      </w:r>
      <w:r w:rsidR="00CD6841" w:rsidRPr="00D65519">
        <w:t>-0.786</w:t>
      </w:r>
      <w:r w:rsidR="0004246B" w:rsidRPr="00D65519">
        <w:t xml:space="preserve">, </w:t>
      </w:r>
      <w:r w:rsidR="00CD6841" w:rsidRPr="00D65519">
        <w:t>-0.059</w:t>
      </w:r>
      <w:r w:rsidRPr="00D65519">
        <w:t>).</w:t>
      </w:r>
      <w:r w:rsidR="003D7068" w:rsidRPr="00D65519">
        <w:t xml:space="preserve"> This confirms the need for </w:t>
      </w:r>
      <w:r w:rsidR="008D2E58" w:rsidRPr="00D65519">
        <w:t xml:space="preserve">a </w:t>
      </w:r>
      <w:r w:rsidR="00CD6841" w:rsidRPr="00D65519">
        <w:t>simultaneous-equations model</w:t>
      </w:r>
      <w:r w:rsidR="008D2E58" w:rsidRPr="00D65519">
        <w:t xml:space="preserve"> and </w:t>
      </w:r>
      <w:r w:rsidR="003D7068" w:rsidRPr="00D65519">
        <w:t>addressing the endogeneity of proximity to school</w:t>
      </w:r>
      <w:r w:rsidR="00FD078B" w:rsidRPr="00D65519">
        <w:t xml:space="preserve"> when estimating its effect on cyclist safety at signalised intersections in the study area</w:t>
      </w:r>
      <w:r w:rsidR="003D7068" w:rsidRPr="00D65519">
        <w:t>.</w:t>
      </w:r>
    </w:p>
    <w:p w14:paraId="27467DBD" w14:textId="256245CE" w:rsidR="00FD43C9" w:rsidRPr="00D65519" w:rsidRDefault="00FD43C9" w:rsidP="00D5117D">
      <w:pPr>
        <w:pStyle w:val="Caption"/>
        <w:keepNext/>
        <w:spacing w:after="0"/>
        <w:rPr>
          <w:rFonts w:ascii="Times New Roman" w:hAnsi="Times New Roman" w:cs="Times New Roman"/>
          <w:i w:val="0"/>
          <w:iCs w:val="0"/>
          <w:color w:val="auto"/>
          <w:sz w:val="22"/>
          <w:szCs w:val="22"/>
        </w:rPr>
      </w:pPr>
      <w:r w:rsidRPr="00D65519">
        <w:rPr>
          <w:rFonts w:ascii="Times New Roman" w:hAnsi="Times New Roman" w:cs="Times New Roman"/>
          <w:i w:val="0"/>
          <w:iCs w:val="0"/>
          <w:color w:val="auto"/>
          <w:sz w:val="22"/>
          <w:szCs w:val="22"/>
        </w:rPr>
        <w:t xml:space="preserve">Table </w:t>
      </w:r>
      <w:r w:rsidRPr="00D65519">
        <w:rPr>
          <w:rFonts w:ascii="Times New Roman" w:hAnsi="Times New Roman" w:cs="Times New Roman"/>
          <w:i w:val="0"/>
          <w:iCs w:val="0"/>
          <w:color w:val="auto"/>
          <w:sz w:val="22"/>
          <w:szCs w:val="22"/>
        </w:rPr>
        <w:fldChar w:fldCharType="begin"/>
      </w:r>
      <w:r w:rsidRPr="00D65519">
        <w:rPr>
          <w:rFonts w:ascii="Times New Roman" w:hAnsi="Times New Roman" w:cs="Times New Roman"/>
          <w:i w:val="0"/>
          <w:iCs w:val="0"/>
          <w:color w:val="auto"/>
          <w:sz w:val="22"/>
          <w:szCs w:val="22"/>
        </w:rPr>
        <w:instrText xml:space="preserve"> SEQ Table \* ARABIC </w:instrText>
      </w:r>
      <w:r w:rsidRPr="00D65519">
        <w:rPr>
          <w:rFonts w:ascii="Times New Roman" w:hAnsi="Times New Roman" w:cs="Times New Roman"/>
          <w:i w:val="0"/>
          <w:iCs w:val="0"/>
          <w:color w:val="auto"/>
          <w:sz w:val="22"/>
          <w:szCs w:val="22"/>
        </w:rPr>
        <w:fldChar w:fldCharType="separate"/>
      </w:r>
      <w:r w:rsidR="00434BA2" w:rsidRPr="00D65519">
        <w:rPr>
          <w:rFonts w:ascii="Times New Roman" w:hAnsi="Times New Roman" w:cs="Times New Roman"/>
          <w:i w:val="0"/>
          <w:iCs w:val="0"/>
          <w:noProof/>
          <w:color w:val="auto"/>
          <w:sz w:val="22"/>
          <w:szCs w:val="22"/>
        </w:rPr>
        <w:t>2</w:t>
      </w:r>
      <w:r w:rsidRPr="00D65519">
        <w:rPr>
          <w:rFonts w:ascii="Times New Roman" w:hAnsi="Times New Roman" w:cs="Times New Roman"/>
          <w:i w:val="0"/>
          <w:iCs w:val="0"/>
          <w:color w:val="auto"/>
          <w:sz w:val="22"/>
          <w:szCs w:val="22"/>
        </w:rPr>
        <w:fldChar w:fldCharType="end"/>
      </w:r>
      <w:r w:rsidRPr="00D65519">
        <w:rPr>
          <w:rFonts w:ascii="Times New Roman" w:hAnsi="Times New Roman" w:cs="Times New Roman"/>
          <w:i w:val="0"/>
          <w:iCs w:val="0"/>
          <w:color w:val="auto"/>
          <w:sz w:val="22"/>
          <w:szCs w:val="22"/>
        </w:rPr>
        <w:t xml:space="preserve"> Results of the</w:t>
      </w:r>
      <w:r w:rsidR="00D5117D" w:rsidRPr="00D65519">
        <w:rPr>
          <w:rFonts w:ascii="Times New Roman" w:hAnsi="Times New Roman" w:cs="Times New Roman"/>
          <w:i w:val="0"/>
          <w:iCs w:val="0"/>
          <w:color w:val="auto"/>
          <w:sz w:val="22"/>
          <w:szCs w:val="22"/>
        </w:rPr>
        <w:t xml:space="preserve"> non-endogenous</w:t>
      </w:r>
      <w:r w:rsidRPr="00D65519">
        <w:rPr>
          <w:rFonts w:ascii="Times New Roman" w:hAnsi="Times New Roman" w:cs="Times New Roman"/>
          <w:i w:val="0"/>
          <w:iCs w:val="0"/>
          <w:color w:val="auto"/>
          <w:sz w:val="22"/>
          <w:szCs w:val="22"/>
        </w:rPr>
        <w:t xml:space="preserve"> </w:t>
      </w:r>
      <w:r w:rsidR="00D5117D" w:rsidRPr="00D65519">
        <w:rPr>
          <w:rFonts w:ascii="Times New Roman" w:hAnsi="Times New Roman" w:cs="Times New Roman"/>
          <w:i w:val="0"/>
          <w:iCs w:val="0"/>
          <w:color w:val="auto"/>
          <w:sz w:val="22"/>
          <w:szCs w:val="22"/>
        </w:rPr>
        <w:t>Poisson gamma (</w:t>
      </w:r>
      <w:r w:rsidR="00676581" w:rsidRPr="00D65519">
        <w:rPr>
          <w:rFonts w:ascii="Times New Roman" w:hAnsi="Times New Roman" w:cs="Times New Roman"/>
          <w:i w:val="0"/>
          <w:iCs w:val="0"/>
          <w:color w:val="auto"/>
          <w:sz w:val="22"/>
          <w:szCs w:val="22"/>
        </w:rPr>
        <w:t>negative binomial</w:t>
      </w:r>
      <w:r w:rsidR="00D5117D" w:rsidRPr="00D65519">
        <w:rPr>
          <w:rFonts w:ascii="Times New Roman" w:hAnsi="Times New Roman" w:cs="Times New Roman"/>
          <w:i w:val="0"/>
          <w:iCs w:val="0"/>
          <w:color w:val="auto"/>
          <w:sz w:val="22"/>
          <w:szCs w:val="22"/>
        </w:rPr>
        <w:t>)</w:t>
      </w:r>
      <w:r w:rsidR="004B0452" w:rsidRPr="00D65519">
        <w:rPr>
          <w:rFonts w:ascii="Times New Roman" w:hAnsi="Times New Roman" w:cs="Times New Roman"/>
          <w:i w:val="0"/>
          <w:iCs w:val="0"/>
          <w:color w:val="auto"/>
          <w:sz w:val="22"/>
          <w:szCs w:val="22"/>
        </w:rPr>
        <w:t xml:space="preserve"> </w:t>
      </w:r>
      <w:r w:rsidRPr="00D65519">
        <w:rPr>
          <w:rFonts w:ascii="Times New Roman" w:hAnsi="Times New Roman" w:cs="Times New Roman"/>
          <w:i w:val="0"/>
          <w:iCs w:val="0"/>
          <w:color w:val="auto"/>
          <w:sz w:val="22"/>
          <w:szCs w:val="22"/>
        </w:rPr>
        <w:t xml:space="preserve">model </w:t>
      </w:r>
    </w:p>
    <w:tbl>
      <w:tblPr>
        <w:tblStyle w:val="TableGrid"/>
        <w:tblW w:w="8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1296"/>
        <w:gridCol w:w="1558"/>
        <w:gridCol w:w="1563"/>
        <w:gridCol w:w="1560"/>
      </w:tblGrid>
      <w:tr w:rsidR="00D65519" w:rsidRPr="00D65519" w14:paraId="488F31F1" w14:textId="77777777" w:rsidTr="00116216">
        <w:trPr>
          <w:trHeight w:val="279"/>
          <w:jc w:val="center"/>
        </w:trPr>
        <w:tc>
          <w:tcPr>
            <w:tcW w:w="2633" w:type="dxa"/>
            <w:tcBorders>
              <w:top w:val="single" w:sz="4" w:space="0" w:color="auto"/>
              <w:bottom w:val="single" w:sz="4" w:space="0" w:color="auto"/>
            </w:tcBorders>
          </w:tcPr>
          <w:p w14:paraId="4F6A3D78" w14:textId="77777777" w:rsidR="00116216" w:rsidRPr="00D65519" w:rsidRDefault="00116216"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Variable</w:t>
            </w:r>
          </w:p>
        </w:tc>
        <w:tc>
          <w:tcPr>
            <w:tcW w:w="1296" w:type="dxa"/>
            <w:tcBorders>
              <w:top w:val="single" w:sz="4" w:space="0" w:color="auto"/>
              <w:bottom w:val="single" w:sz="4" w:space="0" w:color="auto"/>
            </w:tcBorders>
          </w:tcPr>
          <w:p w14:paraId="39C4F6A4" w14:textId="1988D529" w:rsidR="00116216" w:rsidRPr="00D65519" w:rsidRDefault="00116216"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Mean</w:t>
            </w:r>
          </w:p>
        </w:tc>
        <w:tc>
          <w:tcPr>
            <w:tcW w:w="1558" w:type="dxa"/>
            <w:tcBorders>
              <w:top w:val="single" w:sz="4" w:space="0" w:color="auto"/>
              <w:bottom w:val="single" w:sz="4" w:space="0" w:color="auto"/>
            </w:tcBorders>
          </w:tcPr>
          <w:p w14:paraId="5436C772" w14:textId="77777777" w:rsidR="00116216" w:rsidRPr="00D65519" w:rsidRDefault="00116216"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SD</w:t>
            </w:r>
          </w:p>
        </w:tc>
        <w:tc>
          <w:tcPr>
            <w:tcW w:w="3123" w:type="dxa"/>
            <w:gridSpan w:val="2"/>
            <w:tcBorders>
              <w:top w:val="single" w:sz="4" w:space="0" w:color="auto"/>
              <w:bottom w:val="single" w:sz="4" w:space="0" w:color="auto"/>
            </w:tcBorders>
          </w:tcPr>
          <w:p w14:paraId="704956AE" w14:textId="3F0FF51D" w:rsidR="00116216" w:rsidRPr="00D65519" w:rsidRDefault="00116216" w:rsidP="00A6579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95% Cr</w:t>
            </w:r>
            <w:r w:rsidR="00E1050F" w:rsidRPr="00D65519">
              <w:rPr>
                <w:rFonts w:ascii="Times New Roman" w:eastAsia="Calibri" w:hAnsi="Times New Roman" w:cs="Times New Roman"/>
                <w:szCs w:val="20"/>
              </w:rPr>
              <w:t>edible i</w:t>
            </w:r>
            <w:r w:rsidRPr="00D65519">
              <w:rPr>
                <w:rFonts w:ascii="Times New Roman" w:eastAsia="Calibri" w:hAnsi="Times New Roman" w:cs="Times New Roman"/>
                <w:szCs w:val="20"/>
              </w:rPr>
              <w:t>ntervals</w:t>
            </w:r>
          </w:p>
        </w:tc>
      </w:tr>
      <w:tr w:rsidR="00D65519" w:rsidRPr="00D65519" w14:paraId="4AA559BA" w14:textId="77777777" w:rsidTr="00485999">
        <w:trPr>
          <w:trHeight w:val="294"/>
          <w:jc w:val="center"/>
        </w:trPr>
        <w:tc>
          <w:tcPr>
            <w:tcW w:w="2633" w:type="dxa"/>
            <w:tcBorders>
              <w:top w:val="single" w:sz="4" w:space="0" w:color="auto"/>
            </w:tcBorders>
          </w:tcPr>
          <w:p w14:paraId="387BD792" w14:textId="35383FF8"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Constant</w:t>
            </w:r>
          </w:p>
        </w:tc>
        <w:tc>
          <w:tcPr>
            <w:tcW w:w="1296" w:type="dxa"/>
            <w:tcBorders>
              <w:top w:val="single" w:sz="4" w:space="0" w:color="auto"/>
            </w:tcBorders>
            <w:shd w:val="clear" w:color="auto" w:fill="auto"/>
            <w:vAlign w:val="bottom"/>
          </w:tcPr>
          <w:p w14:paraId="0209E0E6" w14:textId="52A333BB"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-7.773</w:t>
            </w:r>
          </w:p>
        </w:tc>
        <w:tc>
          <w:tcPr>
            <w:tcW w:w="1558" w:type="dxa"/>
            <w:tcBorders>
              <w:top w:val="single" w:sz="4" w:space="0" w:color="auto"/>
            </w:tcBorders>
            <w:shd w:val="clear" w:color="auto" w:fill="auto"/>
            <w:vAlign w:val="bottom"/>
          </w:tcPr>
          <w:p w14:paraId="50057766" w14:textId="5A04717C"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0.695</w:t>
            </w:r>
          </w:p>
        </w:tc>
        <w:tc>
          <w:tcPr>
            <w:tcW w:w="1563" w:type="dxa"/>
            <w:tcBorders>
              <w:top w:val="single" w:sz="4" w:space="0" w:color="auto"/>
            </w:tcBorders>
            <w:shd w:val="clear" w:color="auto" w:fill="auto"/>
            <w:vAlign w:val="bottom"/>
          </w:tcPr>
          <w:p w14:paraId="48BB55CE" w14:textId="7782991B"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-9.184</w:t>
            </w:r>
          </w:p>
        </w:tc>
        <w:tc>
          <w:tcPr>
            <w:tcW w:w="1560" w:type="dxa"/>
            <w:tcBorders>
              <w:top w:val="single" w:sz="4" w:space="0" w:color="auto"/>
            </w:tcBorders>
            <w:shd w:val="clear" w:color="auto" w:fill="auto"/>
            <w:vAlign w:val="bottom"/>
          </w:tcPr>
          <w:p w14:paraId="55D79614" w14:textId="683892B3"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-6.405</w:t>
            </w:r>
          </w:p>
        </w:tc>
      </w:tr>
      <w:tr w:rsidR="00D65519" w:rsidRPr="00D65519" w14:paraId="7F95FF94" w14:textId="77777777" w:rsidTr="00116216">
        <w:trPr>
          <w:trHeight w:val="279"/>
          <w:jc w:val="center"/>
        </w:trPr>
        <w:tc>
          <w:tcPr>
            <w:tcW w:w="2633" w:type="dxa"/>
          </w:tcPr>
          <w:p w14:paraId="447013F4" w14:textId="15180B73"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Ln(bicycle flow)</w:t>
            </w:r>
          </w:p>
        </w:tc>
        <w:tc>
          <w:tcPr>
            <w:tcW w:w="1296" w:type="dxa"/>
            <w:shd w:val="clear" w:color="auto" w:fill="auto"/>
            <w:vAlign w:val="bottom"/>
          </w:tcPr>
          <w:p w14:paraId="1ABA5A40" w14:textId="5D60BA76"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0.422</w:t>
            </w:r>
          </w:p>
        </w:tc>
        <w:tc>
          <w:tcPr>
            <w:tcW w:w="1558" w:type="dxa"/>
            <w:shd w:val="clear" w:color="auto" w:fill="auto"/>
            <w:vAlign w:val="bottom"/>
          </w:tcPr>
          <w:p w14:paraId="7A24FE39" w14:textId="62DE2E1C"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0.062</w:t>
            </w:r>
          </w:p>
        </w:tc>
        <w:tc>
          <w:tcPr>
            <w:tcW w:w="1563" w:type="dxa"/>
            <w:shd w:val="clear" w:color="auto" w:fill="auto"/>
            <w:vAlign w:val="bottom"/>
          </w:tcPr>
          <w:p w14:paraId="59BA92E0" w14:textId="009BE1EF"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0.299</w:t>
            </w:r>
          </w:p>
        </w:tc>
        <w:tc>
          <w:tcPr>
            <w:tcW w:w="1560" w:type="dxa"/>
            <w:shd w:val="clear" w:color="auto" w:fill="auto"/>
            <w:vAlign w:val="bottom"/>
          </w:tcPr>
          <w:p w14:paraId="65A17F1A" w14:textId="773747AA"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0.543</w:t>
            </w:r>
          </w:p>
        </w:tc>
      </w:tr>
      <w:tr w:rsidR="00D65519" w:rsidRPr="00D65519" w14:paraId="3B5B0437" w14:textId="77777777" w:rsidTr="00116216">
        <w:trPr>
          <w:trHeight w:val="279"/>
          <w:jc w:val="center"/>
        </w:trPr>
        <w:tc>
          <w:tcPr>
            <w:tcW w:w="2633" w:type="dxa"/>
          </w:tcPr>
          <w:p w14:paraId="20359370" w14:textId="17647FFF"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Ln(right turning AADT)</w:t>
            </w:r>
          </w:p>
        </w:tc>
        <w:tc>
          <w:tcPr>
            <w:tcW w:w="1296" w:type="dxa"/>
            <w:shd w:val="clear" w:color="auto" w:fill="auto"/>
            <w:vAlign w:val="bottom"/>
          </w:tcPr>
          <w:p w14:paraId="4265F30C" w14:textId="1EC54DA8"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0.264</w:t>
            </w:r>
          </w:p>
        </w:tc>
        <w:tc>
          <w:tcPr>
            <w:tcW w:w="1558" w:type="dxa"/>
            <w:shd w:val="clear" w:color="auto" w:fill="auto"/>
            <w:vAlign w:val="bottom"/>
          </w:tcPr>
          <w:p w14:paraId="5C29F883" w14:textId="1240DFA7"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0.074</w:t>
            </w:r>
          </w:p>
        </w:tc>
        <w:tc>
          <w:tcPr>
            <w:tcW w:w="1563" w:type="dxa"/>
            <w:shd w:val="clear" w:color="auto" w:fill="auto"/>
            <w:vAlign w:val="bottom"/>
          </w:tcPr>
          <w:p w14:paraId="512F9BAC" w14:textId="5DD0D74B"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0.122</w:t>
            </w:r>
          </w:p>
        </w:tc>
        <w:tc>
          <w:tcPr>
            <w:tcW w:w="1560" w:type="dxa"/>
            <w:shd w:val="clear" w:color="auto" w:fill="auto"/>
            <w:vAlign w:val="bottom"/>
          </w:tcPr>
          <w:p w14:paraId="2A73E669" w14:textId="2FE038FB"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0.408</w:t>
            </w:r>
          </w:p>
        </w:tc>
      </w:tr>
      <w:tr w:rsidR="00D65519" w:rsidRPr="00D65519" w14:paraId="54ED640D" w14:textId="77777777" w:rsidTr="00116216">
        <w:trPr>
          <w:trHeight w:val="294"/>
          <w:jc w:val="center"/>
        </w:trPr>
        <w:tc>
          <w:tcPr>
            <w:tcW w:w="2633" w:type="dxa"/>
          </w:tcPr>
          <w:p w14:paraId="387AC9A0" w14:textId="77777777"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Ln(left turning AADT)</w:t>
            </w:r>
          </w:p>
        </w:tc>
        <w:tc>
          <w:tcPr>
            <w:tcW w:w="1296" w:type="dxa"/>
            <w:shd w:val="clear" w:color="auto" w:fill="auto"/>
            <w:vAlign w:val="bottom"/>
          </w:tcPr>
          <w:p w14:paraId="5995D883" w14:textId="47F6BBC4"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0.125</w:t>
            </w:r>
          </w:p>
        </w:tc>
        <w:tc>
          <w:tcPr>
            <w:tcW w:w="1558" w:type="dxa"/>
            <w:shd w:val="clear" w:color="auto" w:fill="auto"/>
            <w:vAlign w:val="bottom"/>
          </w:tcPr>
          <w:p w14:paraId="64A00E2D" w14:textId="5F8E2C16"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0.060</w:t>
            </w:r>
          </w:p>
        </w:tc>
        <w:tc>
          <w:tcPr>
            <w:tcW w:w="1563" w:type="dxa"/>
            <w:shd w:val="clear" w:color="auto" w:fill="auto"/>
            <w:vAlign w:val="bottom"/>
          </w:tcPr>
          <w:p w14:paraId="7B668F34" w14:textId="6C3E38AF"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0.008</w:t>
            </w:r>
          </w:p>
        </w:tc>
        <w:tc>
          <w:tcPr>
            <w:tcW w:w="1560" w:type="dxa"/>
            <w:shd w:val="clear" w:color="auto" w:fill="auto"/>
            <w:vAlign w:val="bottom"/>
          </w:tcPr>
          <w:p w14:paraId="2890C54A" w14:textId="2A11729C"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0.246</w:t>
            </w:r>
          </w:p>
        </w:tc>
      </w:tr>
      <w:tr w:rsidR="00D65519" w:rsidRPr="00D65519" w14:paraId="7DB46B07" w14:textId="77777777" w:rsidTr="00116216">
        <w:trPr>
          <w:trHeight w:val="279"/>
          <w:jc w:val="center"/>
        </w:trPr>
        <w:tc>
          <w:tcPr>
            <w:tcW w:w="2633" w:type="dxa"/>
          </w:tcPr>
          <w:p w14:paraId="32241B18" w14:textId="77777777"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Number of subway stations</w:t>
            </w:r>
          </w:p>
        </w:tc>
        <w:tc>
          <w:tcPr>
            <w:tcW w:w="1296" w:type="dxa"/>
            <w:shd w:val="clear" w:color="auto" w:fill="auto"/>
            <w:vAlign w:val="bottom"/>
          </w:tcPr>
          <w:p w14:paraId="2E302F6D" w14:textId="7A6686D6"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0.210</w:t>
            </w:r>
          </w:p>
        </w:tc>
        <w:tc>
          <w:tcPr>
            <w:tcW w:w="1558" w:type="dxa"/>
            <w:shd w:val="clear" w:color="auto" w:fill="auto"/>
            <w:vAlign w:val="bottom"/>
          </w:tcPr>
          <w:p w14:paraId="09983BEC" w14:textId="4A4FBA79"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0.091</w:t>
            </w:r>
          </w:p>
        </w:tc>
        <w:tc>
          <w:tcPr>
            <w:tcW w:w="1563" w:type="dxa"/>
            <w:shd w:val="clear" w:color="auto" w:fill="auto"/>
            <w:vAlign w:val="bottom"/>
          </w:tcPr>
          <w:p w14:paraId="0F0F6A54" w14:textId="6FB1A22D"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0.031</w:t>
            </w:r>
          </w:p>
        </w:tc>
        <w:tc>
          <w:tcPr>
            <w:tcW w:w="1560" w:type="dxa"/>
            <w:shd w:val="clear" w:color="auto" w:fill="auto"/>
            <w:vAlign w:val="bottom"/>
          </w:tcPr>
          <w:p w14:paraId="5D6EC625" w14:textId="0CA7799C"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0.392</w:t>
            </w:r>
          </w:p>
        </w:tc>
      </w:tr>
      <w:tr w:rsidR="00D65519" w:rsidRPr="00D65519" w14:paraId="363D9DD8" w14:textId="77777777" w:rsidTr="00116216">
        <w:trPr>
          <w:trHeight w:val="294"/>
          <w:jc w:val="center"/>
        </w:trPr>
        <w:tc>
          <w:tcPr>
            <w:tcW w:w="2633" w:type="dxa"/>
          </w:tcPr>
          <w:p w14:paraId="0D7AF9D6" w14:textId="77777777"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bus stop</w:t>
            </w:r>
          </w:p>
        </w:tc>
        <w:tc>
          <w:tcPr>
            <w:tcW w:w="1296" w:type="dxa"/>
            <w:shd w:val="clear" w:color="auto" w:fill="auto"/>
            <w:vAlign w:val="bottom"/>
          </w:tcPr>
          <w:p w14:paraId="41CF37D2" w14:textId="0FF10076"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0.561</w:t>
            </w:r>
          </w:p>
        </w:tc>
        <w:tc>
          <w:tcPr>
            <w:tcW w:w="1558" w:type="dxa"/>
            <w:shd w:val="clear" w:color="auto" w:fill="auto"/>
            <w:vAlign w:val="bottom"/>
          </w:tcPr>
          <w:p w14:paraId="459D4C27" w14:textId="2BAB577B"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0.164</w:t>
            </w:r>
          </w:p>
        </w:tc>
        <w:tc>
          <w:tcPr>
            <w:tcW w:w="1563" w:type="dxa"/>
            <w:shd w:val="clear" w:color="auto" w:fill="auto"/>
            <w:vAlign w:val="bottom"/>
          </w:tcPr>
          <w:p w14:paraId="37531835" w14:textId="6747CE64"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0.237</w:t>
            </w:r>
          </w:p>
        </w:tc>
        <w:tc>
          <w:tcPr>
            <w:tcW w:w="1560" w:type="dxa"/>
            <w:shd w:val="clear" w:color="auto" w:fill="auto"/>
            <w:vAlign w:val="bottom"/>
          </w:tcPr>
          <w:p w14:paraId="09D4729D" w14:textId="48C5C1D2" w:rsidR="00B768F8" w:rsidRPr="00D65519" w:rsidRDefault="00B768F8" w:rsidP="00B768F8">
            <w:pPr>
              <w:spacing w:line="360" w:lineRule="auto"/>
              <w:jc w:val="both"/>
              <w:rPr>
                <w:rFonts w:ascii="Times New Roman" w:eastAsia="Calibri" w:hAnsi="Times New Roman" w:cs="Times New Roman"/>
                <w:szCs w:val="20"/>
              </w:rPr>
            </w:pPr>
            <w:r w:rsidRPr="00D65519">
              <w:rPr>
                <w:rFonts w:ascii="Times New Roman" w:hAnsi="Times New Roman" w:cs="Times New Roman"/>
              </w:rPr>
              <w:t>0.884</w:t>
            </w:r>
          </w:p>
        </w:tc>
      </w:tr>
      <w:tr w:rsidR="00B768F8" w:rsidRPr="00D65519" w14:paraId="79289533" w14:textId="77777777" w:rsidTr="003A7CD1">
        <w:trPr>
          <w:trHeight w:val="279"/>
          <w:jc w:val="center"/>
        </w:trPr>
        <w:tc>
          <w:tcPr>
            <w:tcW w:w="2633" w:type="dxa"/>
            <w:tcBorders>
              <w:bottom w:val="single" w:sz="4" w:space="0" w:color="auto"/>
            </w:tcBorders>
          </w:tcPr>
          <w:p w14:paraId="447E0E9A" w14:textId="36595458" w:rsidR="00B768F8" w:rsidRPr="00D65519" w:rsidRDefault="00B768F8" w:rsidP="00B768F8">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Presence of school</w:t>
            </w:r>
          </w:p>
        </w:tc>
        <w:tc>
          <w:tcPr>
            <w:tcW w:w="1296" w:type="dxa"/>
            <w:tcBorders>
              <w:bottom w:val="single" w:sz="4" w:space="0" w:color="auto"/>
            </w:tcBorders>
            <w:shd w:val="clear" w:color="auto" w:fill="auto"/>
            <w:vAlign w:val="bottom"/>
          </w:tcPr>
          <w:p w14:paraId="33030236" w14:textId="65A979EA" w:rsidR="00B768F8" w:rsidRPr="00D65519" w:rsidRDefault="00B768F8" w:rsidP="00B768F8">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0.287</w:t>
            </w:r>
          </w:p>
        </w:tc>
        <w:tc>
          <w:tcPr>
            <w:tcW w:w="1558" w:type="dxa"/>
            <w:tcBorders>
              <w:bottom w:val="single" w:sz="4" w:space="0" w:color="auto"/>
            </w:tcBorders>
            <w:shd w:val="clear" w:color="auto" w:fill="auto"/>
            <w:vAlign w:val="bottom"/>
          </w:tcPr>
          <w:p w14:paraId="1578AA69" w14:textId="31B7040A" w:rsidR="00B768F8" w:rsidRPr="00D65519" w:rsidRDefault="00B768F8" w:rsidP="00B768F8">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0.150</w:t>
            </w:r>
          </w:p>
        </w:tc>
        <w:tc>
          <w:tcPr>
            <w:tcW w:w="1563" w:type="dxa"/>
            <w:tcBorders>
              <w:bottom w:val="single" w:sz="4" w:space="0" w:color="auto"/>
            </w:tcBorders>
            <w:shd w:val="clear" w:color="auto" w:fill="auto"/>
            <w:vAlign w:val="bottom"/>
          </w:tcPr>
          <w:p w14:paraId="7599C244" w14:textId="5522BB0A" w:rsidR="00B768F8" w:rsidRPr="00D65519" w:rsidRDefault="00B768F8" w:rsidP="00B768F8">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0.001</w:t>
            </w:r>
          </w:p>
        </w:tc>
        <w:tc>
          <w:tcPr>
            <w:tcW w:w="1560" w:type="dxa"/>
            <w:tcBorders>
              <w:bottom w:val="single" w:sz="4" w:space="0" w:color="auto"/>
            </w:tcBorders>
            <w:shd w:val="clear" w:color="auto" w:fill="auto"/>
            <w:vAlign w:val="bottom"/>
          </w:tcPr>
          <w:p w14:paraId="26BE9A0C" w14:textId="306E4C72" w:rsidR="00B768F8" w:rsidRPr="00D65519" w:rsidRDefault="00B768F8" w:rsidP="00B768F8">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0.583</w:t>
            </w:r>
          </w:p>
        </w:tc>
      </w:tr>
    </w:tbl>
    <w:p w14:paraId="4CD322AC" w14:textId="77777777" w:rsidR="006E0BDD" w:rsidRPr="00D65519" w:rsidRDefault="006E0BDD" w:rsidP="00286B0C">
      <w:pPr>
        <w:pStyle w:val="Caption"/>
        <w:keepNext/>
        <w:spacing w:after="0"/>
        <w:rPr>
          <w:rFonts w:ascii="Times New Roman" w:hAnsi="Times New Roman" w:cs="Times New Roman"/>
          <w:i w:val="0"/>
          <w:iCs w:val="0"/>
          <w:color w:val="auto"/>
          <w:sz w:val="22"/>
          <w:szCs w:val="22"/>
        </w:rPr>
      </w:pPr>
    </w:p>
    <w:p w14:paraId="226E9C9B" w14:textId="246478E9" w:rsidR="006E0BDD" w:rsidRPr="00D65519" w:rsidRDefault="006E0BDD" w:rsidP="0026475B"/>
    <w:p w14:paraId="08A897AC" w14:textId="77777777" w:rsidR="001B5B79" w:rsidRPr="00D65519" w:rsidRDefault="001B5B79" w:rsidP="001B5B79">
      <w:pPr>
        <w:pStyle w:val="ThesisText"/>
        <w:spacing w:line="360" w:lineRule="auto"/>
      </w:pPr>
      <w:r w:rsidRPr="00D65519">
        <w:t xml:space="preserve">With respect to concerns relating to the bivariate normal assumption, we developed a model using the Bayesian scale mixing approach as discussed in Section 2.4; however, we did not find any evidence to reject the bivariate normal assumption. The estimated weights remained around 1, which is an indication of no outlying intersections, and the model fit deteriorated (DIC increases from 1207.52 to 1214).  Therefore, additional parameters introduced by scale mixing does not seem to be justified; and consequently, a bivariate normal density to model the error terms is empirically supported in this study. Based on the model reported in Table 3, a deviance of 536.1 (see Section 2.7), compared to 647 observations, indicates that overdispersion is accounted for properly. </w:t>
      </w:r>
    </w:p>
    <w:p w14:paraId="46CF5A81" w14:textId="471AC395" w:rsidR="001B5B79" w:rsidRPr="00D65519" w:rsidRDefault="001B5B79" w:rsidP="001B5B79">
      <w:pPr>
        <w:pStyle w:val="ThesisText"/>
        <w:spacing w:line="360" w:lineRule="auto"/>
      </w:pPr>
      <w:r w:rsidRPr="00D65519">
        <w:t xml:space="preserve">It should be noted that to ensure more robust identification in simultaneous-equations models ― which would result in more reliable inferences ― it is desirable to avoid significant overlap in explanatory variables in the specified equations. Therefore, exclusion restrictions are often needed (Heckman, 2000; </w:t>
      </w:r>
      <w:proofErr w:type="spellStart"/>
      <w:r w:rsidRPr="00D65519">
        <w:t>Munkin</w:t>
      </w:r>
      <w:proofErr w:type="spellEnd"/>
      <w:r w:rsidRPr="00D65519">
        <w:t xml:space="preserve"> and Trivedi, 2003). In this regard, at least one explanatory variable in the treatment model </w:t>
      </w:r>
      <w:r w:rsidRPr="00D65519">
        <w:lastRenderedPageBreak/>
        <w:t>should not have any effect on the main outcome (</w:t>
      </w:r>
      <w:proofErr w:type="spellStart"/>
      <w:r w:rsidRPr="00D65519">
        <w:t>Munkin</w:t>
      </w:r>
      <w:proofErr w:type="spellEnd"/>
      <w:r w:rsidRPr="00D65519">
        <w:t xml:space="preserve"> and Trivedi, 2003). In this paper, we do not have significant overlap in covariates in both equations. Also, the variable land use mix, which is in the presence of school model, did not have any statistically significant effect on cyclist injury frequencies over the study period. </w:t>
      </w:r>
    </w:p>
    <w:p w14:paraId="68CE0DF5" w14:textId="77777777" w:rsidR="00D70015" w:rsidRPr="00D65519" w:rsidRDefault="00D70015" w:rsidP="001B5B79">
      <w:pPr>
        <w:pStyle w:val="ThesisText"/>
        <w:spacing w:line="360" w:lineRule="auto"/>
      </w:pPr>
    </w:p>
    <w:p w14:paraId="30447389" w14:textId="42B05BE6" w:rsidR="00C03B89" w:rsidRPr="00D65519" w:rsidRDefault="00C03B89" w:rsidP="00286B0C">
      <w:pPr>
        <w:pStyle w:val="Caption"/>
        <w:keepNext/>
        <w:spacing w:after="0"/>
        <w:rPr>
          <w:rFonts w:ascii="Times New Roman" w:hAnsi="Times New Roman" w:cs="Times New Roman"/>
          <w:i w:val="0"/>
          <w:iCs w:val="0"/>
          <w:color w:val="auto"/>
          <w:sz w:val="22"/>
          <w:szCs w:val="22"/>
        </w:rPr>
      </w:pPr>
      <w:r w:rsidRPr="00D65519">
        <w:rPr>
          <w:rFonts w:ascii="Times New Roman" w:hAnsi="Times New Roman" w:cs="Times New Roman"/>
          <w:i w:val="0"/>
          <w:iCs w:val="0"/>
          <w:color w:val="auto"/>
          <w:sz w:val="22"/>
          <w:szCs w:val="22"/>
        </w:rPr>
        <w:t xml:space="preserve">Table </w:t>
      </w:r>
      <w:r w:rsidR="00116216" w:rsidRPr="00D65519">
        <w:rPr>
          <w:rFonts w:ascii="Times New Roman" w:hAnsi="Times New Roman" w:cs="Times New Roman"/>
          <w:i w:val="0"/>
          <w:iCs w:val="0"/>
          <w:color w:val="auto"/>
          <w:sz w:val="22"/>
          <w:szCs w:val="22"/>
        </w:rPr>
        <w:t>3</w:t>
      </w:r>
      <w:r w:rsidRPr="00D65519">
        <w:rPr>
          <w:rFonts w:ascii="Times New Roman" w:hAnsi="Times New Roman" w:cs="Times New Roman"/>
          <w:i w:val="0"/>
          <w:iCs w:val="0"/>
          <w:color w:val="auto"/>
          <w:sz w:val="22"/>
          <w:szCs w:val="22"/>
        </w:rPr>
        <w:t xml:space="preserve"> Results of the random parameters endogenous </w:t>
      </w:r>
      <w:r w:rsidR="00263B58" w:rsidRPr="00D65519">
        <w:rPr>
          <w:rFonts w:ascii="Times New Roman" w:hAnsi="Times New Roman" w:cs="Times New Roman"/>
          <w:i w:val="0"/>
          <w:iCs w:val="0"/>
          <w:color w:val="auto"/>
          <w:sz w:val="22"/>
          <w:szCs w:val="22"/>
        </w:rPr>
        <w:t>(</w:t>
      </w:r>
      <w:r w:rsidR="00286B0C" w:rsidRPr="00D65519">
        <w:rPr>
          <w:rFonts w:ascii="Times New Roman" w:hAnsi="Times New Roman" w:cs="Times New Roman"/>
          <w:i w:val="0"/>
          <w:iCs w:val="0"/>
          <w:color w:val="auto"/>
          <w:sz w:val="22"/>
          <w:szCs w:val="22"/>
        </w:rPr>
        <w:t>simultaneous-equations</w:t>
      </w:r>
      <w:r w:rsidR="00263B58" w:rsidRPr="00D65519">
        <w:rPr>
          <w:rFonts w:ascii="Times New Roman" w:hAnsi="Times New Roman" w:cs="Times New Roman"/>
          <w:i w:val="0"/>
          <w:iCs w:val="0"/>
          <w:color w:val="auto"/>
          <w:sz w:val="22"/>
          <w:szCs w:val="22"/>
        </w:rPr>
        <w:t xml:space="preserve">) </w:t>
      </w:r>
      <w:r w:rsidRPr="00D65519">
        <w:rPr>
          <w:rFonts w:ascii="Times New Roman" w:hAnsi="Times New Roman" w:cs="Times New Roman"/>
          <w:i w:val="0"/>
          <w:iCs w:val="0"/>
          <w:color w:val="auto"/>
          <w:sz w:val="22"/>
          <w:szCs w:val="22"/>
        </w:rPr>
        <w:t>model</w:t>
      </w:r>
    </w:p>
    <w:tbl>
      <w:tblPr>
        <w:tblStyle w:val="TableGrid"/>
        <w:tblW w:w="85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gridCol w:w="993"/>
        <w:gridCol w:w="921"/>
        <w:gridCol w:w="1578"/>
      </w:tblGrid>
      <w:tr w:rsidR="00D65519" w:rsidRPr="00D65519" w14:paraId="60EA0231" w14:textId="77777777" w:rsidTr="005D4963">
        <w:trPr>
          <w:trHeight w:val="279"/>
          <w:jc w:val="center"/>
        </w:trPr>
        <w:tc>
          <w:tcPr>
            <w:tcW w:w="4111" w:type="dxa"/>
            <w:tcBorders>
              <w:top w:val="single" w:sz="4" w:space="0" w:color="auto"/>
              <w:bottom w:val="single" w:sz="4" w:space="0" w:color="auto"/>
            </w:tcBorders>
          </w:tcPr>
          <w:p w14:paraId="2E0CC6E3" w14:textId="77777777" w:rsidR="00201FD4" w:rsidRPr="00D65519" w:rsidRDefault="00201FD4"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Variable</w:t>
            </w:r>
          </w:p>
        </w:tc>
        <w:tc>
          <w:tcPr>
            <w:tcW w:w="992" w:type="dxa"/>
            <w:tcBorders>
              <w:top w:val="single" w:sz="4" w:space="0" w:color="auto"/>
              <w:bottom w:val="single" w:sz="4" w:space="0" w:color="auto"/>
            </w:tcBorders>
          </w:tcPr>
          <w:p w14:paraId="3B36BDEB" w14:textId="6713160A" w:rsidR="00201FD4" w:rsidRPr="00D65519" w:rsidRDefault="00E1050F"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Mean</w:t>
            </w:r>
          </w:p>
        </w:tc>
        <w:tc>
          <w:tcPr>
            <w:tcW w:w="993" w:type="dxa"/>
            <w:tcBorders>
              <w:top w:val="single" w:sz="4" w:space="0" w:color="auto"/>
              <w:bottom w:val="single" w:sz="4" w:space="0" w:color="auto"/>
            </w:tcBorders>
          </w:tcPr>
          <w:p w14:paraId="3E20B6D7" w14:textId="77777777" w:rsidR="00201FD4" w:rsidRPr="00D65519" w:rsidRDefault="00201FD4"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SD</w:t>
            </w:r>
          </w:p>
        </w:tc>
        <w:tc>
          <w:tcPr>
            <w:tcW w:w="2499" w:type="dxa"/>
            <w:gridSpan w:val="2"/>
            <w:tcBorders>
              <w:top w:val="single" w:sz="4" w:space="0" w:color="auto"/>
              <w:bottom w:val="single" w:sz="4" w:space="0" w:color="auto"/>
            </w:tcBorders>
          </w:tcPr>
          <w:p w14:paraId="0813211D" w14:textId="69E654F8" w:rsidR="00201FD4" w:rsidRPr="00D65519" w:rsidRDefault="00201FD4" w:rsidP="005765B0">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 xml:space="preserve">95% </w:t>
            </w:r>
            <w:r w:rsidR="008D07C7" w:rsidRPr="00D65519">
              <w:rPr>
                <w:rFonts w:ascii="Times New Roman" w:eastAsia="Calibri" w:hAnsi="Times New Roman" w:cs="Times New Roman"/>
                <w:szCs w:val="20"/>
              </w:rPr>
              <w:t>Credible intervals</w:t>
            </w:r>
          </w:p>
        </w:tc>
      </w:tr>
      <w:tr w:rsidR="00D65519" w:rsidRPr="00D65519" w14:paraId="1B54B84C" w14:textId="77777777" w:rsidTr="005D4963">
        <w:trPr>
          <w:trHeight w:val="294"/>
          <w:jc w:val="center"/>
        </w:trPr>
        <w:tc>
          <w:tcPr>
            <w:tcW w:w="5103" w:type="dxa"/>
            <w:gridSpan w:val="2"/>
            <w:tcBorders>
              <w:top w:val="single" w:sz="4" w:space="0" w:color="auto"/>
            </w:tcBorders>
          </w:tcPr>
          <w:p w14:paraId="0C62F589" w14:textId="77777777" w:rsidR="00201FD4" w:rsidRPr="00D65519" w:rsidRDefault="00201FD4" w:rsidP="005765B0">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Injury frequency count model</w:t>
            </w:r>
          </w:p>
        </w:tc>
        <w:tc>
          <w:tcPr>
            <w:tcW w:w="993" w:type="dxa"/>
            <w:tcBorders>
              <w:top w:val="single" w:sz="4" w:space="0" w:color="auto"/>
            </w:tcBorders>
            <w:shd w:val="clear" w:color="auto" w:fill="auto"/>
            <w:vAlign w:val="bottom"/>
          </w:tcPr>
          <w:p w14:paraId="4B72332E" w14:textId="77777777" w:rsidR="00201FD4" w:rsidRPr="00D65519" w:rsidRDefault="00201FD4" w:rsidP="005765B0">
            <w:pPr>
              <w:spacing w:line="360" w:lineRule="auto"/>
              <w:jc w:val="both"/>
              <w:rPr>
                <w:rFonts w:ascii="Times New Roman" w:eastAsia="Calibri" w:hAnsi="Times New Roman" w:cs="Times New Roman"/>
                <w:szCs w:val="20"/>
              </w:rPr>
            </w:pPr>
          </w:p>
        </w:tc>
        <w:tc>
          <w:tcPr>
            <w:tcW w:w="921" w:type="dxa"/>
            <w:tcBorders>
              <w:top w:val="single" w:sz="4" w:space="0" w:color="auto"/>
            </w:tcBorders>
            <w:shd w:val="clear" w:color="auto" w:fill="auto"/>
            <w:vAlign w:val="bottom"/>
          </w:tcPr>
          <w:p w14:paraId="77223E34" w14:textId="77777777" w:rsidR="00201FD4" w:rsidRPr="00D65519" w:rsidRDefault="00201FD4" w:rsidP="005765B0">
            <w:pPr>
              <w:spacing w:line="360" w:lineRule="auto"/>
              <w:jc w:val="both"/>
              <w:rPr>
                <w:rFonts w:ascii="Times New Roman" w:eastAsia="Calibri" w:hAnsi="Times New Roman" w:cs="Times New Roman"/>
                <w:szCs w:val="20"/>
              </w:rPr>
            </w:pPr>
          </w:p>
        </w:tc>
        <w:tc>
          <w:tcPr>
            <w:tcW w:w="1578" w:type="dxa"/>
            <w:tcBorders>
              <w:top w:val="single" w:sz="4" w:space="0" w:color="auto"/>
            </w:tcBorders>
            <w:shd w:val="clear" w:color="auto" w:fill="auto"/>
            <w:vAlign w:val="bottom"/>
          </w:tcPr>
          <w:p w14:paraId="77B95091" w14:textId="77777777" w:rsidR="00201FD4" w:rsidRPr="00D65519" w:rsidRDefault="00201FD4" w:rsidP="005765B0">
            <w:pPr>
              <w:spacing w:line="360" w:lineRule="auto"/>
              <w:jc w:val="both"/>
              <w:rPr>
                <w:rFonts w:ascii="Times New Roman" w:eastAsia="Calibri" w:hAnsi="Times New Roman" w:cs="Times New Roman"/>
                <w:szCs w:val="20"/>
              </w:rPr>
            </w:pPr>
          </w:p>
        </w:tc>
      </w:tr>
      <w:tr w:rsidR="00D65519" w:rsidRPr="00D65519" w14:paraId="7B22C4D1" w14:textId="77777777" w:rsidTr="00E1050F">
        <w:trPr>
          <w:trHeight w:val="294"/>
          <w:jc w:val="center"/>
        </w:trPr>
        <w:tc>
          <w:tcPr>
            <w:tcW w:w="4111" w:type="dxa"/>
          </w:tcPr>
          <w:p w14:paraId="1C2F0B8F" w14:textId="4CDC6DAD" w:rsidR="00993037" w:rsidRPr="00D65519" w:rsidRDefault="00993037" w:rsidP="00993037">
            <w:pPr>
              <w:spacing w:line="360" w:lineRule="auto"/>
              <w:jc w:val="both"/>
              <w:rPr>
                <w:rFonts w:ascii="Times New Roman" w:eastAsia="Calibri" w:hAnsi="Times New Roman" w:cs="Times New Roman"/>
              </w:rPr>
            </w:pPr>
            <w:r w:rsidRPr="00D65519">
              <w:rPr>
                <w:rFonts w:ascii="Times New Roman" w:eastAsia="Calibri" w:hAnsi="Times New Roman" w:cs="Times New Roman"/>
              </w:rPr>
              <w:t>Constant</w:t>
            </w:r>
          </w:p>
        </w:tc>
        <w:tc>
          <w:tcPr>
            <w:tcW w:w="992" w:type="dxa"/>
            <w:shd w:val="clear" w:color="auto" w:fill="auto"/>
            <w:vAlign w:val="bottom"/>
          </w:tcPr>
          <w:p w14:paraId="53DB3F85" w14:textId="0438FF68"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-6.744</w:t>
            </w:r>
          </w:p>
        </w:tc>
        <w:tc>
          <w:tcPr>
            <w:tcW w:w="993" w:type="dxa"/>
            <w:shd w:val="clear" w:color="auto" w:fill="auto"/>
            <w:vAlign w:val="bottom"/>
          </w:tcPr>
          <w:p w14:paraId="1D20B19A" w14:textId="19AAED9C"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0.614</w:t>
            </w:r>
          </w:p>
        </w:tc>
        <w:tc>
          <w:tcPr>
            <w:tcW w:w="921" w:type="dxa"/>
            <w:shd w:val="clear" w:color="auto" w:fill="auto"/>
            <w:vAlign w:val="bottom"/>
          </w:tcPr>
          <w:p w14:paraId="0A4A2416" w14:textId="4D6A2F52"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-8.073</w:t>
            </w:r>
          </w:p>
        </w:tc>
        <w:tc>
          <w:tcPr>
            <w:tcW w:w="1578" w:type="dxa"/>
            <w:shd w:val="clear" w:color="auto" w:fill="auto"/>
            <w:vAlign w:val="bottom"/>
          </w:tcPr>
          <w:p w14:paraId="595709E0" w14:textId="7DA638B9"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-5.601</w:t>
            </w:r>
          </w:p>
        </w:tc>
      </w:tr>
      <w:tr w:rsidR="00D65519" w:rsidRPr="00D65519" w14:paraId="0D2EDA6D" w14:textId="77777777" w:rsidTr="00E1050F">
        <w:trPr>
          <w:trHeight w:val="294"/>
          <w:jc w:val="center"/>
        </w:trPr>
        <w:tc>
          <w:tcPr>
            <w:tcW w:w="4111" w:type="dxa"/>
          </w:tcPr>
          <w:p w14:paraId="24AB4A34" w14:textId="0B5764B8"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Ln(bicycle flow)</w:t>
            </w:r>
          </w:p>
        </w:tc>
        <w:tc>
          <w:tcPr>
            <w:tcW w:w="992" w:type="dxa"/>
            <w:shd w:val="clear" w:color="auto" w:fill="auto"/>
            <w:vAlign w:val="bottom"/>
          </w:tcPr>
          <w:p w14:paraId="5A4A684F" w14:textId="6CDB0C89"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0.366</w:t>
            </w:r>
          </w:p>
        </w:tc>
        <w:tc>
          <w:tcPr>
            <w:tcW w:w="993" w:type="dxa"/>
            <w:shd w:val="clear" w:color="auto" w:fill="auto"/>
            <w:vAlign w:val="bottom"/>
          </w:tcPr>
          <w:p w14:paraId="73907A1C" w14:textId="2A7CE360"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0.068</w:t>
            </w:r>
          </w:p>
        </w:tc>
        <w:tc>
          <w:tcPr>
            <w:tcW w:w="921" w:type="dxa"/>
            <w:shd w:val="clear" w:color="auto" w:fill="auto"/>
            <w:vAlign w:val="bottom"/>
          </w:tcPr>
          <w:p w14:paraId="08A97518" w14:textId="142B9A3E"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0.236</w:t>
            </w:r>
          </w:p>
        </w:tc>
        <w:tc>
          <w:tcPr>
            <w:tcW w:w="1578" w:type="dxa"/>
            <w:shd w:val="clear" w:color="auto" w:fill="auto"/>
            <w:vAlign w:val="bottom"/>
          </w:tcPr>
          <w:p w14:paraId="67FDC301" w14:textId="67C8F11F" w:rsidR="00993037" w:rsidRPr="00D65519" w:rsidRDefault="00993037" w:rsidP="00993037">
            <w:pPr>
              <w:spacing w:line="360" w:lineRule="auto"/>
              <w:jc w:val="both"/>
              <w:rPr>
                <w:rFonts w:ascii="Times New Roman" w:eastAsia="Calibri" w:hAnsi="Times New Roman" w:cs="Times New Roman"/>
              </w:rPr>
            </w:pPr>
            <w:r w:rsidRPr="00D65519">
              <w:rPr>
                <w:rFonts w:ascii="Times New Roman" w:hAnsi="Times New Roman" w:cs="Times New Roman"/>
              </w:rPr>
              <w:t>0.498</w:t>
            </w:r>
          </w:p>
        </w:tc>
      </w:tr>
      <w:tr w:rsidR="00D65519" w:rsidRPr="00D65519" w14:paraId="032D7FBE" w14:textId="77777777" w:rsidTr="00E1050F">
        <w:trPr>
          <w:trHeight w:val="279"/>
          <w:jc w:val="center"/>
        </w:trPr>
        <w:tc>
          <w:tcPr>
            <w:tcW w:w="4111" w:type="dxa"/>
          </w:tcPr>
          <w:p w14:paraId="7FE57C16" w14:textId="77777777"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Ln(right turning AADT)</w:t>
            </w:r>
          </w:p>
        </w:tc>
        <w:tc>
          <w:tcPr>
            <w:tcW w:w="992" w:type="dxa"/>
            <w:shd w:val="clear" w:color="auto" w:fill="auto"/>
            <w:vAlign w:val="bottom"/>
          </w:tcPr>
          <w:p w14:paraId="21D64311" w14:textId="22D71FBC"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0.232</w:t>
            </w:r>
          </w:p>
        </w:tc>
        <w:tc>
          <w:tcPr>
            <w:tcW w:w="993" w:type="dxa"/>
            <w:shd w:val="clear" w:color="auto" w:fill="auto"/>
            <w:vAlign w:val="bottom"/>
          </w:tcPr>
          <w:p w14:paraId="33D7AC62" w14:textId="31E9313C"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0.063</w:t>
            </w:r>
          </w:p>
        </w:tc>
        <w:tc>
          <w:tcPr>
            <w:tcW w:w="921" w:type="dxa"/>
            <w:shd w:val="clear" w:color="auto" w:fill="auto"/>
            <w:vAlign w:val="bottom"/>
          </w:tcPr>
          <w:p w14:paraId="73FCF0D5" w14:textId="5A129EA4"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0.114</w:t>
            </w:r>
          </w:p>
        </w:tc>
        <w:tc>
          <w:tcPr>
            <w:tcW w:w="1578" w:type="dxa"/>
            <w:shd w:val="clear" w:color="auto" w:fill="auto"/>
            <w:vAlign w:val="bottom"/>
          </w:tcPr>
          <w:p w14:paraId="49B01549" w14:textId="175CDD3C"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0.355</w:t>
            </w:r>
          </w:p>
        </w:tc>
      </w:tr>
      <w:tr w:rsidR="00D65519" w:rsidRPr="00D65519" w14:paraId="285C14A6" w14:textId="77777777" w:rsidTr="00E1050F">
        <w:trPr>
          <w:trHeight w:val="294"/>
          <w:jc w:val="center"/>
        </w:trPr>
        <w:tc>
          <w:tcPr>
            <w:tcW w:w="4111" w:type="dxa"/>
          </w:tcPr>
          <w:p w14:paraId="038A56EC" w14:textId="77777777"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Ln(left turning AADT)</w:t>
            </w:r>
          </w:p>
        </w:tc>
        <w:tc>
          <w:tcPr>
            <w:tcW w:w="992" w:type="dxa"/>
            <w:shd w:val="clear" w:color="auto" w:fill="auto"/>
            <w:vAlign w:val="bottom"/>
          </w:tcPr>
          <w:p w14:paraId="6D35465E" w14:textId="60A01099"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0.155</w:t>
            </w:r>
          </w:p>
        </w:tc>
        <w:tc>
          <w:tcPr>
            <w:tcW w:w="993" w:type="dxa"/>
            <w:shd w:val="clear" w:color="auto" w:fill="auto"/>
            <w:vAlign w:val="bottom"/>
          </w:tcPr>
          <w:p w14:paraId="2FD9828B" w14:textId="77A9BA8F"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0.055</w:t>
            </w:r>
          </w:p>
        </w:tc>
        <w:tc>
          <w:tcPr>
            <w:tcW w:w="921" w:type="dxa"/>
            <w:shd w:val="clear" w:color="auto" w:fill="auto"/>
            <w:vAlign w:val="bottom"/>
          </w:tcPr>
          <w:p w14:paraId="4671E989" w14:textId="4566FF41"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0.044</w:t>
            </w:r>
          </w:p>
        </w:tc>
        <w:tc>
          <w:tcPr>
            <w:tcW w:w="1578" w:type="dxa"/>
            <w:shd w:val="clear" w:color="auto" w:fill="auto"/>
            <w:vAlign w:val="bottom"/>
          </w:tcPr>
          <w:p w14:paraId="1B18FAD9" w14:textId="1B5B2B78" w:rsidR="00993037" w:rsidRPr="00D65519" w:rsidRDefault="00993037" w:rsidP="00993037">
            <w:pPr>
              <w:spacing w:line="360" w:lineRule="auto"/>
              <w:jc w:val="both"/>
              <w:rPr>
                <w:rFonts w:ascii="Times New Roman" w:eastAsia="Calibri" w:hAnsi="Times New Roman" w:cs="Times New Roman"/>
                <w:szCs w:val="20"/>
              </w:rPr>
            </w:pPr>
            <w:r w:rsidRPr="00D65519">
              <w:rPr>
                <w:rFonts w:ascii="Times New Roman" w:hAnsi="Times New Roman" w:cs="Times New Roman"/>
              </w:rPr>
              <w:t>0.256</w:t>
            </w:r>
          </w:p>
        </w:tc>
      </w:tr>
      <w:tr w:rsidR="00D65519" w:rsidRPr="00D65519" w14:paraId="10B7367A" w14:textId="77777777" w:rsidTr="00E1050F">
        <w:trPr>
          <w:trHeight w:val="279"/>
          <w:jc w:val="center"/>
        </w:trPr>
        <w:tc>
          <w:tcPr>
            <w:tcW w:w="4111" w:type="dxa"/>
          </w:tcPr>
          <w:p w14:paraId="6F90F886" w14:textId="77777777"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Number of subway stations</w:t>
            </w:r>
          </w:p>
        </w:tc>
        <w:tc>
          <w:tcPr>
            <w:tcW w:w="992" w:type="dxa"/>
            <w:shd w:val="clear" w:color="auto" w:fill="auto"/>
            <w:vAlign w:val="bottom"/>
          </w:tcPr>
          <w:p w14:paraId="279B0CD1" w14:textId="04D7DA0E"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0.207</w:t>
            </w:r>
          </w:p>
        </w:tc>
        <w:tc>
          <w:tcPr>
            <w:tcW w:w="993" w:type="dxa"/>
            <w:shd w:val="clear" w:color="auto" w:fill="auto"/>
            <w:vAlign w:val="bottom"/>
          </w:tcPr>
          <w:p w14:paraId="02476334" w14:textId="67D506BA"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0.090</w:t>
            </w:r>
          </w:p>
        </w:tc>
        <w:tc>
          <w:tcPr>
            <w:tcW w:w="921" w:type="dxa"/>
            <w:shd w:val="clear" w:color="auto" w:fill="auto"/>
            <w:vAlign w:val="bottom"/>
          </w:tcPr>
          <w:p w14:paraId="07B57AFD" w14:textId="726FFDE3"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0.029</w:t>
            </w:r>
          </w:p>
        </w:tc>
        <w:tc>
          <w:tcPr>
            <w:tcW w:w="1578" w:type="dxa"/>
            <w:shd w:val="clear" w:color="auto" w:fill="auto"/>
            <w:vAlign w:val="bottom"/>
          </w:tcPr>
          <w:p w14:paraId="583BFF1F" w14:textId="4D6BD205"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0.378</w:t>
            </w:r>
          </w:p>
        </w:tc>
      </w:tr>
      <w:tr w:rsidR="00D65519" w:rsidRPr="00D65519" w14:paraId="046FB5D7" w14:textId="77777777" w:rsidTr="00E1050F">
        <w:trPr>
          <w:trHeight w:val="294"/>
          <w:jc w:val="center"/>
        </w:trPr>
        <w:tc>
          <w:tcPr>
            <w:tcW w:w="4111" w:type="dxa"/>
          </w:tcPr>
          <w:p w14:paraId="5FB191ED" w14:textId="77777777"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bus stop</w:t>
            </w:r>
          </w:p>
        </w:tc>
        <w:tc>
          <w:tcPr>
            <w:tcW w:w="992" w:type="dxa"/>
            <w:shd w:val="clear" w:color="auto" w:fill="auto"/>
            <w:vAlign w:val="bottom"/>
          </w:tcPr>
          <w:p w14:paraId="3A38265C" w14:textId="03D7E03B"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0.518</w:t>
            </w:r>
          </w:p>
        </w:tc>
        <w:tc>
          <w:tcPr>
            <w:tcW w:w="993" w:type="dxa"/>
            <w:shd w:val="clear" w:color="auto" w:fill="auto"/>
            <w:vAlign w:val="bottom"/>
          </w:tcPr>
          <w:p w14:paraId="17247B87" w14:textId="0BC1E5E5"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0.165</w:t>
            </w:r>
          </w:p>
        </w:tc>
        <w:tc>
          <w:tcPr>
            <w:tcW w:w="921" w:type="dxa"/>
            <w:shd w:val="clear" w:color="auto" w:fill="auto"/>
            <w:vAlign w:val="bottom"/>
          </w:tcPr>
          <w:p w14:paraId="6DA3B74B" w14:textId="289D26FC"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0.194</w:t>
            </w:r>
          </w:p>
        </w:tc>
        <w:tc>
          <w:tcPr>
            <w:tcW w:w="1578" w:type="dxa"/>
            <w:shd w:val="clear" w:color="auto" w:fill="auto"/>
            <w:vAlign w:val="bottom"/>
          </w:tcPr>
          <w:p w14:paraId="3CBB9C80" w14:textId="2FED4C24" w:rsidR="00137D1B" w:rsidRPr="00D65519" w:rsidRDefault="00137D1B" w:rsidP="00137D1B">
            <w:pPr>
              <w:spacing w:line="360" w:lineRule="auto"/>
              <w:jc w:val="both"/>
              <w:rPr>
                <w:rFonts w:ascii="Times New Roman" w:eastAsia="Calibri" w:hAnsi="Times New Roman" w:cs="Times New Roman"/>
                <w:szCs w:val="20"/>
              </w:rPr>
            </w:pPr>
            <w:r w:rsidRPr="00D65519">
              <w:rPr>
                <w:rFonts w:ascii="Times New Roman" w:hAnsi="Times New Roman" w:cs="Times New Roman"/>
              </w:rPr>
              <w:t>0.842</w:t>
            </w:r>
          </w:p>
        </w:tc>
      </w:tr>
      <w:tr w:rsidR="00D65519" w:rsidRPr="00D65519" w14:paraId="25849401" w14:textId="77777777" w:rsidTr="00E1050F">
        <w:trPr>
          <w:trHeight w:val="279"/>
          <w:jc w:val="center"/>
        </w:trPr>
        <w:tc>
          <w:tcPr>
            <w:tcW w:w="4111" w:type="dxa"/>
          </w:tcPr>
          <w:p w14:paraId="277A5402" w14:textId="77777777" w:rsidR="00201FD4" w:rsidRPr="00D65519" w:rsidRDefault="00201FD4" w:rsidP="005765B0">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Presence of school</w:t>
            </w:r>
          </w:p>
        </w:tc>
        <w:tc>
          <w:tcPr>
            <w:tcW w:w="992" w:type="dxa"/>
            <w:shd w:val="clear" w:color="auto" w:fill="auto"/>
            <w:vAlign w:val="bottom"/>
          </w:tcPr>
          <w:p w14:paraId="1AF58B1A" w14:textId="5700E53A" w:rsidR="00201FD4" w:rsidRPr="00D65519" w:rsidRDefault="00201FD4" w:rsidP="005765B0">
            <w:pPr>
              <w:spacing w:line="360" w:lineRule="auto"/>
              <w:jc w:val="both"/>
              <w:rPr>
                <w:rFonts w:ascii="Times New Roman" w:eastAsia="Calibri" w:hAnsi="Times New Roman" w:cs="Times New Roman"/>
                <w:i/>
                <w:iCs/>
                <w:szCs w:val="20"/>
              </w:rPr>
            </w:pPr>
          </w:p>
        </w:tc>
        <w:tc>
          <w:tcPr>
            <w:tcW w:w="993" w:type="dxa"/>
            <w:shd w:val="clear" w:color="auto" w:fill="auto"/>
            <w:vAlign w:val="bottom"/>
          </w:tcPr>
          <w:p w14:paraId="58E6124D" w14:textId="53574BB9" w:rsidR="00201FD4" w:rsidRPr="00D65519" w:rsidRDefault="00201FD4" w:rsidP="005765B0">
            <w:pPr>
              <w:spacing w:line="360" w:lineRule="auto"/>
              <w:jc w:val="both"/>
              <w:rPr>
                <w:rFonts w:ascii="Times New Roman" w:eastAsia="Calibri" w:hAnsi="Times New Roman" w:cs="Times New Roman"/>
                <w:i/>
                <w:iCs/>
                <w:szCs w:val="20"/>
              </w:rPr>
            </w:pPr>
          </w:p>
        </w:tc>
        <w:tc>
          <w:tcPr>
            <w:tcW w:w="921" w:type="dxa"/>
            <w:shd w:val="clear" w:color="auto" w:fill="auto"/>
            <w:vAlign w:val="bottom"/>
          </w:tcPr>
          <w:p w14:paraId="0D58F41C" w14:textId="23FD9C06" w:rsidR="00201FD4" w:rsidRPr="00D65519" w:rsidRDefault="00201FD4" w:rsidP="005765B0">
            <w:pPr>
              <w:spacing w:line="360" w:lineRule="auto"/>
              <w:jc w:val="both"/>
              <w:rPr>
                <w:rFonts w:ascii="Times New Roman" w:eastAsia="Calibri" w:hAnsi="Times New Roman" w:cs="Times New Roman"/>
                <w:i/>
                <w:iCs/>
                <w:szCs w:val="20"/>
              </w:rPr>
            </w:pPr>
          </w:p>
        </w:tc>
        <w:tc>
          <w:tcPr>
            <w:tcW w:w="1578" w:type="dxa"/>
            <w:shd w:val="clear" w:color="auto" w:fill="auto"/>
            <w:vAlign w:val="bottom"/>
          </w:tcPr>
          <w:p w14:paraId="28998B5F" w14:textId="139A5D65" w:rsidR="00201FD4" w:rsidRPr="00D65519" w:rsidRDefault="00201FD4" w:rsidP="005765B0">
            <w:pPr>
              <w:spacing w:line="360" w:lineRule="auto"/>
              <w:jc w:val="both"/>
              <w:rPr>
                <w:rFonts w:ascii="Times New Roman" w:eastAsia="Calibri" w:hAnsi="Times New Roman" w:cs="Times New Roman"/>
                <w:i/>
                <w:iCs/>
                <w:szCs w:val="20"/>
              </w:rPr>
            </w:pPr>
          </w:p>
        </w:tc>
      </w:tr>
      <w:tr w:rsidR="00D65519" w:rsidRPr="00D65519" w14:paraId="73E02C0E" w14:textId="77777777" w:rsidTr="00E1050F">
        <w:trPr>
          <w:trHeight w:val="279"/>
          <w:jc w:val="center"/>
        </w:trPr>
        <w:tc>
          <w:tcPr>
            <w:tcW w:w="4111" w:type="dxa"/>
          </w:tcPr>
          <w:p w14:paraId="395EC8F9" w14:textId="4600C9BF" w:rsidR="00137D1B" w:rsidRPr="00D65519" w:rsidRDefault="00137D1B" w:rsidP="00137D1B">
            <w:pPr>
              <w:spacing w:line="360" w:lineRule="auto"/>
              <w:jc w:val="right"/>
              <w:rPr>
                <w:rFonts w:ascii="Times New Roman" w:eastAsia="Calibri" w:hAnsi="Times New Roman" w:cs="Times New Roman"/>
                <w:i/>
                <w:iCs/>
                <w:szCs w:val="20"/>
              </w:rPr>
            </w:pPr>
            <w:r w:rsidRPr="00D65519">
              <w:rPr>
                <w:rFonts w:ascii="Times New Roman" w:eastAsia="Calibri" w:hAnsi="Times New Roman" w:cs="Times New Roman"/>
                <w:i/>
                <w:iCs/>
                <w:szCs w:val="20"/>
              </w:rPr>
              <w:t>Mean</w:t>
            </w:r>
          </w:p>
        </w:tc>
        <w:tc>
          <w:tcPr>
            <w:tcW w:w="992" w:type="dxa"/>
            <w:shd w:val="clear" w:color="auto" w:fill="auto"/>
            <w:vAlign w:val="bottom"/>
          </w:tcPr>
          <w:p w14:paraId="0450BD3F" w14:textId="49725AE1" w:rsidR="00137D1B" w:rsidRPr="00D65519" w:rsidRDefault="00137D1B" w:rsidP="00137D1B">
            <w:pPr>
              <w:spacing w:line="360" w:lineRule="auto"/>
              <w:jc w:val="both"/>
              <w:rPr>
                <w:rFonts w:ascii="Times New Roman" w:eastAsia="Calibri" w:hAnsi="Times New Roman" w:cs="Times New Roman"/>
                <w:i/>
                <w:iCs/>
              </w:rPr>
            </w:pPr>
            <w:r w:rsidRPr="00D65519">
              <w:rPr>
                <w:rFonts w:ascii="Times New Roman" w:hAnsi="Times New Roman" w:cs="Times New Roman"/>
                <w:i/>
                <w:iCs/>
              </w:rPr>
              <w:t>0.677</w:t>
            </w:r>
          </w:p>
        </w:tc>
        <w:tc>
          <w:tcPr>
            <w:tcW w:w="993" w:type="dxa"/>
            <w:shd w:val="clear" w:color="auto" w:fill="auto"/>
            <w:vAlign w:val="bottom"/>
          </w:tcPr>
          <w:p w14:paraId="2878C3A0" w14:textId="431535CA" w:rsidR="00137D1B" w:rsidRPr="00D65519" w:rsidRDefault="00137D1B" w:rsidP="00137D1B">
            <w:pPr>
              <w:spacing w:line="360" w:lineRule="auto"/>
              <w:jc w:val="both"/>
              <w:rPr>
                <w:rFonts w:ascii="Times New Roman" w:eastAsia="Calibri" w:hAnsi="Times New Roman" w:cs="Times New Roman"/>
                <w:i/>
                <w:iCs/>
              </w:rPr>
            </w:pPr>
            <w:r w:rsidRPr="00D65519">
              <w:rPr>
                <w:rFonts w:ascii="Times New Roman" w:hAnsi="Times New Roman" w:cs="Times New Roman"/>
                <w:i/>
                <w:iCs/>
              </w:rPr>
              <w:t>0.317</w:t>
            </w:r>
          </w:p>
        </w:tc>
        <w:tc>
          <w:tcPr>
            <w:tcW w:w="921" w:type="dxa"/>
            <w:shd w:val="clear" w:color="auto" w:fill="auto"/>
            <w:vAlign w:val="bottom"/>
          </w:tcPr>
          <w:p w14:paraId="3BF58B45" w14:textId="1FBD6E3C" w:rsidR="00137D1B" w:rsidRPr="00D65519" w:rsidRDefault="00137D1B" w:rsidP="00137D1B">
            <w:pPr>
              <w:spacing w:line="360" w:lineRule="auto"/>
              <w:jc w:val="both"/>
              <w:rPr>
                <w:rFonts w:ascii="Times New Roman" w:eastAsia="Calibri" w:hAnsi="Times New Roman" w:cs="Times New Roman"/>
                <w:i/>
                <w:iCs/>
              </w:rPr>
            </w:pPr>
            <w:r w:rsidRPr="00D65519">
              <w:rPr>
                <w:rFonts w:ascii="Times New Roman" w:hAnsi="Times New Roman" w:cs="Times New Roman"/>
                <w:i/>
                <w:iCs/>
              </w:rPr>
              <w:t>0.083</w:t>
            </w:r>
          </w:p>
        </w:tc>
        <w:tc>
          <w:tcPr>
            <w:tcW w:w="1578" w:type="dxa"/>
            <w:shd w:val="clear" w:color="auto" w:fill="auto"/>
            <w:vAlign w:val="bottom"/>
          </w:tcPr>
          <w:p w14:paraId="55ECAE1B" w14:textId="413AC432" w:rsidR="00137D1B" w:rsidRPr="00D65519" w:rsidRDefault="00137D1B" w:rsidP="00137D1B">
            <w:pPr>
              <w:spacing w:line="360" w:lineRule="auto"/>
              <w:jc w:val="both"/>
              <w:rPr>
                <w:rFonts w:ascii="Times New Roman" w:eastAsia="Calibri" w:hAnsi="Times New Roman" w:cs="Times New Roman"/>
                <w:i/>
                <w:iCs/>
              </w:rPr>
            </w:pPr>
            <w:r w:rsidRPr="00D65519">
              <w:rPr>
                <w:rFonts w:ascii="Times New Roman" w:hAnsi="Times New Roman" w:cs="Times New Roman"/>
                <w:i/>
                <w:iCs/>
              </w:rPr>
              <w:t>1.244</w:t>
            </w:r>
          </w:p>
        </w:tc>
      </w:tr>
      <w:tr w:rsidR="00D65519" w:rsidRPr="00D65519" w14:paraId="35C84CD1" w14:textId="77777777" w:rsidTr="00485999">
        <w:trPr>
          <w:trHeight w:val="279"/>
          <w:jc w:val="center"/>
        </w:trPr>
        <w:tc>
          <w:tcPr>
            <w:tcW w:w="4111" w:type="dxa"/>
          </w:tcPr>
          <w:p w14:paraId="1FDB9AF7" w14:textId="44150ECD" w:rsidR="00397691" w:rsidRPr="00D65519" w:rsidRDefault="00397691" w:rsidP="00397691">
            <w:pPr>
              <w:spacing w:line="360" w:lineRule="auto"/>
              <w:jc w:val="right"/>
              <w:rPr>
                <w:rFonts w:ascii="Times New Roman" w:eastAsia="Calibri" w:hAnsi="Times New Roman" w:cs="Times New Roman"/>
                <w:i/>
                <w:iCs/>
                <w:szCs w:val="20"/>
              </w:rPr>
            </w:pPr>
            <w:r w:rsidRPr="00D65519">
              <w:rPr>
                <w:rFonts w:ascii="Times New Roman" w:eastAsia="Calibri" w:hAnsi="Times New Roman" w:cs="Times New Roman"/>
                <w:i/>
                <w:iCs/>
                <w:szCs w:val="20"/>
              </w:rPr>
              <w:t>Variance</w:t>
            </w:r>
          </w:p>
        </w:tc>
        <w:tc>
          <w:tcPr>
            <w:tcW w:w="992" w:type="dxa"/>
            <w:shd w:val="clear" w:color="auto" w:fill="auto"/>
            <w:vAlign w:val="bottom"/>
          </w:tcPr>
          <w:p w14:paraId="46D4B798" w14:textId="32461777" w:rsidR="00397691" w:rsidRPr="00D65519" w:rsidRDefault="00397691" w:rsidP="00397691">
            <w:pPr>
              <w:spacing w:line="360" w:lineRule="auto"/>
              <w:jc w:val="both"/>
              <w:rPr>
                <w:rFonts w:ascii="Times New Roman" w:eastAsia="Calibri" w:hAnsi="Times New Roman" w:cs="Times New Roman"/>
                <w:i/>
                <w:iCs/>
              </w:rPr>
            </w:pPr>
            <w:r w:rsidRPr="00D65519">
              <w:rPr>
                <w:rFonts w:ascii="Times New Roman" w:hAnsi="Times New Roman" w:cs="Times New Roman"/>
                <w:i/>
                <w:iCs/>
              </w:rPr>
              <w:t>0.271</w:t>
            </w:r>
          </w:p>
        </w:tc>
        <w:tc>
          <w:tcPr>
            <w:tcW w:w="993" w:type="dxa"/>
            <w:shd w:val="clear" w:color="auto" w:fill="auto"/>
            <w:vAlign w:val="bottom"/>
          </w:tcPr>
          <w:p w14:paraId="69940F18" w14:textId="45FF0CD8" w:rsidR="00397691" w:rsidRPr="00D65519" w:rsidRDefault="00397691" w:rsidP="00397691">
            <w:pPr>
              <w:spacing w:line="360" w:lineRule="auto"/>
              <w:jc w:val="both"/>
              <w:rPr>
                <w:rFonts w:ascii="Times New Roman" w:eastAsia="Calibri" w:hAnsi="Times New Roman" w:cs="Times New Roman"/>
                <w:i/>
                <w:iCs/>
              </w:rPr>
            </w:pPr>
            <w:r w:rsidRPr="00D65519">
              <w:rPr>
                <w:rFonts w:ascii="Times New Roman" w:hAnsi="Times New Roman" w:cs="Times New Roman"/>
                <w:i/>
                <w:iCs/>
              </w:rPr>
              <w:t>0.217</w:t>
            </w:r>
          </w:p>
        </w:tc>
        <w:tc>
          <w:tcPr>
            <w:tcW w:w="921" w:type="dxa"/>
            <w:shd w:val="clear" w:color="auto" w:fill="auto"/>
            <w:vAlign w:val="bottom"/>
          </w:tcPr>
          <w:p w14:paraId="7013F37E" w14:textId="649C816D" w:rsidR="00397691" w:rsidRPr="00D65519" w:rsidRDefault="00397691" w:rsidP="00397691">
            <w:pPr>
              <w:spacing w:line="360" w:lineRule="auto"/>
              <w:jc w:val="both"/>
              <w:rPr>
                <w:rFonts w:ascii="Times New Roman" w:eastAsia="Calibri" w:hAnsi="Times New Roman" w:cs="Times New Roman"/>
                <w:i/>
                <w:iCs/>
              </w:rPr>
            </w:pPr>
            <w:r w:rsidRPr="00D65519">
              <w:rPr>
                <w:rFonts w:ascii="Times New Roman" w:hAnsi="Times New Roman" w:cs="Times New Roman"/>
                <w:i/>
                <w:iCs/>
              </w:rPr>
              <w:t>0.004</w:t>
            </w:r>
          </w:p>
        </w:tc>
        <w:tc>
          <w:tcPr>
            <w:tcW w:w="1578" w:type="dxa"/>
            <w:shd w:val="clear" w:color="auto" w:fill="auto"/>
            <w:vAlign w:val="bottom"/>
          </w:tcPr>
          <w:p w14:paraId="48711891" w14:textId="631E0CF6" w:rsidR="00397691" w:rsidRPr="00D65519" w:rsidRDefault="00397691" w:rsidP="00397691">
            <w:pPr>
              <w:spacing w:line="360" w:lineRule="auto"/>
              <w:jc w:val="both"/>
              <w:rPr>
                <w:rFonts w:ascii="Times New Roman" w:eastAsia="Calibri" w:hAnsi="Times New Roman" w:cs="Times New Roman"/>
                <w:i/>
                <w:iCs/>
              </w:rPr>
            </w:pPr>
            <w:r w:rsidRPr="00D65519">
              <w:rPr>
                <w:rFonts w:ascii="Times New Roman" w:hAnsi="Times New Roman" w:cs="Times New Roman"/>
                <w:i/>
                <w:iCs/>
              </w:rPr>
              <w:t>0.754</w:t>
            </w:r>
          </w:p>
        </w:tc>
      </w:tr>
      <w:tr w:rsidR="00D65519" w:rsidRPr="00D65519" w14:paraId="376B3B41" w14:textId="77777777" w:rsidTr="00E1050F">
        <w:trPr>
          <w:trHeight w:val="279"/>
          <w:jc w:val="center"/>
        </w:trPr>
        <w:tc>
          <w:tcPr>
            <w:tcW w:w="4111" w:type="dxa"/>
          </w:tcPr>
          <w:p w14:paraId="6A2EB1B1" w14:textId="77777777" w:rsidR="00201FD4" w:rsidRPr="00D65519" w:rsidRDefault="00201FD4" w:rsidP="005765B0">
            <w:pPr>
              <w:spacing w:line="360" w:lineRule="auto"/>
              <w:jc w:val="both"/>
              <w:rPr>
                <w:rFonts w:ascii="Times New Roman" w:eastAsia="Calibri" w:hAnsi="Times New Roman" w:cs="Times New Roman"/>
                <w:szCs w:val="20"/>
              </w:rPr>
            </w:pPr>
          </w:p>
        </w:tc>
        <w:tc>
          <w:tcPr>
            <w:tcW w:w="992" w:type="dxa"/>
            <w:shd w:val="clear" w:color="auto" w:fill="auto"/>
            <w:vAlign w:val="bottom"/>
          </w:tcPr>
          <w:p w14:paraId="1C63D082" w14:textId="77777777" w:rsidR="00201FD4" w:rsidRPr="00D65519" w:rsidRDefault="00201FD4" w:rsidP="005765B0">
            <w:pPr>
              <w:spacing w:line="360" w:lineRule="auto"/>
              <w:jc w:val="both"/>
              <w:rPr>
                <w:rFonts w:ascii="Times New Roman" w:eastAsia="Calibri" w:hAnsi="Times New Roman" w:cs="Times New Roman"/>
                <w:szCs w:val="20"/>
              </w:rPr>
            </w:pPr>
          </w:p>
        </w:tc>
        <w:tc>
          <w:tcPr>
            <w:tcW w:w="993" w:type="dxa"/>
            <w:shd w:val="clear" w:color="auto" w:fill="auto"/>
            <w:vAlign w:val="bottom"/>
          </w:tcPr>
          <w:p w14:paraId="3C42D2B5" w14:textId="77777777" w:rsidR="00201FD4" w:rsidRPr="00D65519" w:rsidRDefault="00201FD4" w:rsidP="005765B0">
            <w:pPr>
              <w:spacing w:line="360" w:lineRule="auto"/>
              <w:jc w:val="both"/>
              <w:rPr>
                <w:rFonts w:ascii="Times New Roman" w:eastAsia="Calibri" w:hAnsi="Times New Roman" w:cs="Times New Roman"/>
                <w:szCs w:val="20"/>
              </w:rPr>
            </w:pPr>
          </w:p>
        </w:tc>
        <w:tc>
          <w:tcPr>
            <w:tcW w:w="921" w:type="dxa"/>
            <w:shd w:val="clear" w:color="auto" w:fill="auto"/>
            <w:vAlign w:val="bottom"/>
          </w:tcPr>
          <w:p w14:paraId="6A9A4E88" w14:textId="77777777" w:rsidR="00201FD4" w:rsidRPr="00D65519" w:rsidRDefault="00201FD4" w:rsidP="005765B0">
            <w:pPr>
              <w:spacing w:line="360" w:lineRule="auto"/>
              <w:jc w:val="both"/>
              <w:rPr>
                <w:rFonts w:ascii="Times New Roman" w:eastAsia="Calibri" w:hAnsi="Times New Roman" w:cs="Times New Roman"/>
                <w:szCs w:val="20"/>
              </w:rPr>
            </w:pPr>
          </w:p>
        </w:tc>
        <w:tc>
          <w:tcPr>
            <w:tcW w:w="1578" w:type="dxa"/>
            <w:shd w:val="clear" w:color="auto" w:fill="auto"/>
            <w:vAlign w:val="bottom"/>
          </w:tcPr>
          <w:p w14:paraId="3CC39D02" w14:textId="77777777" w:rsidR="00201FD4" w:rsidRPr="00D65519" w:rsidRDefault="00201FD4" w:rsidP="005765B0">
            <w:pPr>
              <w:spacing w:line="360" w:lineRule="auto"/>
              <w:jc w:val="both"/>
              <w:rPr>
                <w:rFonts w:ascii="Times New Roman" w:eastAsia="Calibri" w:hAnsi="Times New Roman" w:cs="Times New Roman"/>
                <w:szCs w:val="20"/>
              </w:rPr>
            </w:pPr>
          </w:p>
        </w:tc>
      </w:tr>
      <w:tr w:rsidR="00D65519" w:rsidRPr="00D65519" w14:paraId="26644E09" w14:textId="77777777" w:rsidTr="00E1050F">
        <w:trPr>
          <w:trHeight w:val="279"/>
          <w:jc w:val="center"/>
        </w:trPr>
        <w:tc>
          <w:tcPr>
            <w:tcW w:w="5103" w:type="dxa"/>
            <w:gridSpan w:val="2"/>
          </w:tcPr>
          <w:p w14:paraId="27CD0B2D" w14:textId="77777777" w:rsidR="00201FD4" w:rsidRPr="00D65519" w:rsidRDefault="00201FD4" w:rsidP="005765B0">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Presence of school binary probit model</w:t>
            </w:r>
          </w:p>
        </w:tc>
        <w:tc>
          <w:tcPr>
            <w:tcW w:w="993" w:type="dxa"/>
            <w:shd w:val="clear" w:color="auto" w:fill="auto"/>
            <w:vAlign w:val="bottom"/>
          </w:tcPr>
          <w:p w14:paraId="003279AB" w14:textId="77777777" w:rsidR="00201FD4" w:rsidRPr="00D65519" w:rsidRDefault="00201FD4" w:rsidP="005765B0">
            <w:pPr>
              <w:spacing w:line="360" w:lineRule="auto"/>
              <w:jc w:val="both"/>
              <w:rPr>
                <w:rFonts w:ascii="Times New Roman" w:eastAsia="Calibri" w:hAnsi="Times New Roman" w:cs="Times New Roman"/>
                <w:szCs w:val="20"/>
              </w:rPr>
            </w:pPr>
          </w:p>
        </w:tc>
        <w:tc>
          <w:tcPr>
            <w:tcW w:w="921" w:type="dxa"/>
            <w:shd w:val="clear" w:color="auto" w:fill="auto"/>
            <w:vAlign w:val="bottom"/>
          </w:tcPr>
          <w:p w14:paraId="2B725111" w14:textId="77777777" w:rsidR="00201FD4" w:rsidRPr="00D65519" w:rsidRDefault="00201FD4" w:rsidP="005765B0">
            <w:pPr>
              <w:spacing w:line="360" w:lineRule="auto"/>
              <w:jc w:val="both"/>
              <w:rPr>
                <w:rFonts w:ascii="Times New Roman" w:eastAsia="Calibri" w:hAnsi="Times New Roman" w:cs="Times New Roman"/>
                <w:szCs w:val="20"/>
              </w:rPr>
            </w:pPr>
          </w:p>
        </w:tc>
        <w:tc>
          <w:tcPr>
            <w:tcW w:w="1578" w:type="dxa"/>
            <w:shd w:val="clear" w:color="auto" w:fill="auto"/>
            <w:vAlign w:val="bottom"/>
          </w:tcPr>
          <w:p w14:paraId="5B9CB8A4" w14:textId="77777777" w:rsidR="00201FD4" w:rsidRPr="00D65519" w:rsidRDefault="00201FD4" w:rsidP="005765B0">
            <w:pPr>
              <w:spacing w:line="360" w:lineRule="auto"/>
              <w:jc w:val="both"/>
              <w:rPr>
                <w:rFonts w:ascii="Times New Roman" w:eastAsia="Calibri" w:hAnsi="Times New Roman" w:cs="Times New Roman"/>
                <w:szCs w:val="20"/>
              </w:rPr>
            </w:pPr>
          </w:p>
        </w:tc>
      </w:tr>
      <w:tr w:rsidR="00D65519" w:rsidRPr="00D65519" w14:paraId="71347B58" w14:textId="77777777" w:rsidTr="00E1050F">
        <w:trPr>
          <w:trHeight w:val="279"/>
          <w:jc w:val="center"/>
        </w:trPr>
        <w:tc>
          <w:tcPr>
            <w:tcW w:w="4111" w:type="dxa"/>
          </w:tcPr>
          <w:p w14:paraId="71127CAB" w14:textId="36003EDE" w:rsidR="00397691" w:rsidRPr="00D65519" w:rsidRDefault="00397691" w:rsidP="0039769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Constant</w:t>
            </w:r>
          </w:p>
        </w:tc>
        <w:tc>
          <w:tcPr>
            <w:tcW w:w="992" w:type="dxa"/>
            <w:shd w:val="clear" w:color="auto" w:fill="auto"/>
            <w:vAlign w:val="bottom"/>
          </w:tcPr>
          <w:p w14:paraId="6D459E4F" w14:textId="6D1EB12B"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-1.762</w:t>
            </w:r>
          </w:p>
        </w:tc>
        <w:tc>
          <w:tcPr>
            <w:tcW w:w="993" w:type="dxa"/>
            <w:shd w:val="clear" w:color="auto" w:fill="auto"/>
            <w:vAlign w:val="bottom"/>
          </w:tcPr>
          <w:p w14:paraId="22D73603" w14:textId="4D7F9D7B"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0.193</w:t>
            </w:r>
          </w:p>
        </w:tc>
        <w:tc>
          <w:tcPr>
            <w:tcW w:w="921" w:type="dxa"/>
            <w:shd w:val="clear" w:color="auto" w:fill="auto"/>
            <w:vAlign w:val="bottom"/>
          </w:tcPr>
          <w:p w14:paraId="353FC790" w14:textId="33C95006"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-2.164</w:t>
            </w:r>
          </w:p>
        </w:tc>
        <w:tc>
          <w:tcPr>
            <w:tcW w:w="1578" w:type="dxa"/>
            <w:shd w:val="clear" w:color="auto" w:fill="auto"/>
            <w:vAlign w:val="bottom"/>
          </w:tcPr>
          <w:p w14:paraId="6AD7BB2C" w14:textId="4D0FD5F0"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-1.409</w:t>
            </w:r>
          </w:p>
        </w:tc>
      </w:tr>
      <w:tr w:rsidR="00D65519" w:rsidRPr="00D65519" w14:paraId="2E115A00" w14:textId="77777777" w:rsidTr="00E1050F">
        <w:trPr>
          <w:trHeight w:val="279"/>
          <w:jc w:val="center"/>
        </w:trPr>
        <w:tc>
          <w:tcPr>
            <w:tcW w:w="4111" w:type="dxa"/>
          </w:tcPr>
          <w:p w14:paraId="04B08CD0" w14:textId="7A7198F8" w:rsidR="00397691" w:rsidRPr="00D65519" w:rsidRDefault="00397691" w:rsidP="0039769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Employment</w:t>
            </w:r>
          </w:p>
        </w:tc>
        <w:tc>
          <w:tcPr>
            <w:tcW w:w="992" w:type="dxa"/>
            <w:shd w:val="clear" w:color="auto" w:fill="auto"/>
            <w:vAlign w:val="bottom"/>
          </w:tcPr>
          <w:p w14:paraId="0416BBB7" w14:textId="738F3745"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2.082</w:t>
            </w:r>
          </w:p>
        </w:tc>
        <w:tc>
          <w:tcPr>
            <w:tcW w:w="993" w:type="dxa"/>
            <w:shd w:val="clear" w:color="auto" w:fill="auto"/>
            <w:vAlign w:val="bottom"/>
          </w:tcPr>
          <w:p w14:paraId="772C1F23" w14:textId="58483F29"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0.221</w:t>
            </w:r>
          </w:p>
        </w:tc>
        <w:tc>
          <w:tcPr>
            <w:tcW w:w="921" w:type="dxa"/>
            <w:shd w:val="clear" w:color="auto" w:fill="auto"/>
            <w:vAlign w:val="bottom"/>
          </w:tcPr>
          <w:p w14:paraId="72B382BD" w14:textId="66ABF3B7"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1.661</w:t>
            </w:r>
          </w:p>
        </w:tc>
        <w:tc>
          <w:tcPr>
            <w:tcW w:w="1578" w:type="dxa"/>
            <w:shd w:val="clear" w:color="auto" w:fill="auto"/>
            <w:vAlign w:val="bottom"/>
          </w:tcPr>
          <w:p w14:paraId="6BAB84C5" w14:textId="6DB19BEE" w:rsidR="00397691" w:rsidRPr="00D65519" w:rsidRDefault="00397691" w:rsidP="00397691">
            <w:pPr>
              <w:spacing w:line="360" w:lineRule="auto"/>
              <w:jc w:val="both"/>
              <w:rPr>
                <w:rFonts w:ascii="Times New Roman" w:eastAsia="Calibri" w:hAnsi="Times New Roman" w:cs="Times New Roman"/>
              </w:rPr>
            </w:pPr>
            <w:r w:rsidRPr="00D65519">
              <w:rPr>
                <w:rFonts w:ascii="Times New Roman" w:hAnsi="Times New Roman" w:cs="Times New Roman"/>
              </w:rPr>
              <w:t>2.518</w:t>
            </w:r>
          </w:p>
        </w:tc>
      </w:tr>
      <w:tr w:rsidR="00D65519" w:rsidRPr="00D65519" w14:paraId="3BF3BDCE" w14:textId="77777777" w:rsidTr="00E1050F">
        <w:trPr>
          <w:trHeight w:val="279"/>
          <w:jc w:val="center"/>
        </w:trPr>
        <w:tc>
          <w:tcPr>
            <w:tcW w:w="4111" w:type="dxa"/>
          </w:tcPr>
          <w:p w14:paraId="056CE29F" w14:textId="77777777"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Land use mix</w:t>
            </w:r>
          </w:p>
        </w:tc>
        <w:tc>
          <w:tcPr>
            <w:tcW w:w="992" w:type="dxa"/>
            <w:shd w:val="clear" w:color="auto" w:fill="auto"/>
            <w:vAlign w:val="bottom"/>
          </w:tcPr>
          <w:p w14:paraId="3D3EA6C8" w14:textId="0A2BD2BA"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0.677</w:t>
            </w:r>
          </w:p>
        </w:tc>
        <w:tc>
          <w:tcPr>
            <w:tcW w:w="993" w:type="dxa"/>
            <w:shd w:val="clear" w:color="auto" w:fill="auto"/>
            <w:vAlign w:val="bottom"/>
          </w:tcPr>
          <w:p w14:paraId="27912944" w14:textId="4E3FE463"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0.281</w:t>
            </w:r>
          </w:p>
        </w:tc>
        <w:tc>
          <w:tcPr>
            <w:tcW w:w="921" w:type="dxa"/>
            <w:shd w:val="clear" w:color="auto" w:fill="auto"/>
            <w:vAlign w:val="bottom"/>
          </w:tcPr>
          <w:p w14:paraId="06E8CAAE" w14:textId="04299A5C"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0.123</w:t>
            </w:r>
          </w:p>
        </w:tc>
        <w:tc>
          <w:tcPr>
            <w:tcW w:w="1578" w:type="dxa"/>
            <w:shd w:val="clear" w:color="auto" w:fill="auto"/>
            <w:vAlign w:val="bottom"/>
          </w:tcPr>
          <w:p w14:paraId="2BB438CC" w14:textId="4B138095"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1.220</w:t>
            </w:r>
          </w:p>
        </w:tc>
      </w:tr>
      <w:tr w:rsidR="00D65519" w:rsidRPr="00D65519" w14:paraId="76FCE217" w14:textId="77777777" w:rsidTr="00E1050F">
        <w:trPr>
          <w:trHeight w:val="279"/>
          <w:jc w:val="center"/>
        </w:trPr>
        <w:tc>
          <w:tcPr>
            <w:tcW w:w="4111" w:type="dxa"/>
          </w:tcPr>
          <w:p w14:paraId="10C55D8F" w14:textId="77777777"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a bus stop</w:t>
            </w:r>
          </w:p>
        </w:tc>
        <w:tc>
          <w:tcPr>
            <w:tcW w:w="992" w:type="dxa"/>
            <w:shd w:val="clear" w:color="auto" w:fill="auto"/>
            <w:vAlign w:val="bottom"/>
          </w:tcPr>
          <w:p w14:paraId="7EA2E2A1" w14:textId="791FDEF5"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0.391</w:t>
            </w:r>
          </w:p>
        </w:tc>
        <w:tc>
          <w:tcPr>
            <w:tcW w:w="993" w:type="dxa"/>
            <w:shd w:val="clear" w:color="auto" w:fill="auto"/>
            <w:vAlign w:val="bottom"/>
          </w:tcPr>
          <w:p w14:paraId="49DD36B8" w14:textId="56B948F9"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0.123</w:t>
            </w:r>
          </w:p>
        </w:tc>
        <w:tc>
          <w:tcPr>
            <w:tcW w:w="921" w:type="dxa"/>
            <w:shd w:val="clear" w:color="auto" w:fill="auto"/>
            <w:vAlign w:val="bottom"/>
          </w:tcPr>
          <w:p w14:paraId="468910FA" w14:textId="1D316EEC"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0.149</w:t>
            </w:r>
          </w:p>
        </w:tc>
        <w:tc>
          <w:tcPr>
            <w:tcW w:w="1578" w:type="dxa"/>
            <w:shd w:val="clear" w:color="auto" w:fill="auto"/>
            <w:vAlign w:val="bottom"/>
          </w:tcPr>
          <w:p w14:paraId="135D2263" w14:textId="0C790DE2"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0.634</w:t>
            </w:r>
          </w:p>
        </w:tc>
      </w:tr>
      <w:tr w:rsidR="00D65519" w:rsidRPr="00D65519" w14:paraId="51908B80" w14:textId="77777777" w:rsidTr="00E1050F">
        <w:trPr>
          <w:trHeight w:val="279"/>
          <w:jc w:val="center"/>
        </w:trPr>
        <w:tc>
          <w:tcPr>
            <w:tcW w:w="4111" w:type="dxa"/>
          </w:tcPr>
          <w:p w14:paraId="5E7A7A0D" w14:textId="77777777"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Ratio of non-motorised to motorised volume</w:t>
            </w:r>
          </w:p>
        </w:tc>
        <w:tc>
          <w:tcPr>
            <w:tcW w:w="992" w:type="dxa"/>
            <w:shd w:val="clear" w:color="auto" w:fill="auto"/>
            <w:vAlign w:val="bottom"/>
          </w:tcPr>
          <w:p w14:paraId="1BA91B91" w14:textId="1B1648C8"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1.469</w:t>
            </w:r>
          </w:p>
        </w:tc>
        <w:tc>
          <w:tcPr>
            <w:tcW w:w="993" w:type="dxa"/>
            <w:shd w:val="clear" w:color="auto" w:fill="auto"/>
            <w:vAlign w:val="bottom"/>
          </w:tcPr>
          <w:p w14:paraId="41935128" w14:textId="40F2E48B"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0.388</w:t>
            </w:r>
          </w:p>
        </w:tc>
        <w:tc>
          <w:tcPr>
            <w:tcW w:w="921" w:type="dxa"/>
            <w:shd w:val="clear" w:color="auto" w:fill="auto"/>
            <w:vAlign w:val="bottom"/>
          </w:tcPr>
          <w:p w14:paraId="4B9D504F" w14:textId="413671B4"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0.772</w:t>
            </w:r>
          </w:p>
        </w:tc>
        <w:tc>
          <w:tcPr>
            <w:tcW w:w="1578" w:type="dxa"/>
            <w:shd w:val="clear" w:color="auto" w:fill="auto"/>
            <w:vAlign w:val="bottom"/>
          </w:tcPr>
          <w:p w14:paraId="6D1ECC4D" w14:textId="60B4CB9F"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hAnsi="Times New Roman" w:cs="Times New Roman"/>
              </w:rPr>
              <w:t>2.273</w:t>
            </w:r>
          </w:p>
        </w:tc>
      </w:tr>
      <w:tr w:rsidR="00D65519" w:rsidRPr="00D65519" w14:paraId="56D2A223" w14:textId="77777777" w:rsidTr="00E1050F">
        <w:trPr>
          <w:trHeight w:val="279"/>
          <w:jc w:val="center"/>
        </w:trPr>
        <w:tc>
          <w:tcPr>
            <w:tcW w:w="4111" w:type="dxa"/>
          </w:tcPr>
          <w:p w14:paraId="1E74855C" w14:textId="77777777" w:rsidR="00E2723B" w:rsidRPr="00D65519" w:rsidRDefault="00E2723B" w:rsidP="00E2723B">
            <w:pPr>
              <w:spacing w:line="360" w:lineRule="auto"/>
              <w:jc w:val="both"/>
              <w:rPr>
                <w:rFonts w:ascii="Times New Roman" w:eastAsia="Calibri" w:hAnsi="Times New Roman" w:cs="Times New Roman"/>
                <w:szCs w:val="20"/>
              </w:rPr>
            </w:pPr>
          </w:p>
        </w:tc>
        <w:tc>
          <w:tcPr>
            <w:tcW w:w="992" w:type="dxa"/>
            <w:shd w:val="clear" w:color="auto" w:fill="auto"/>
            <w:vAlign w:val="bottom"/>
          </w:tcPr>
          <w:p w14:paraId="772CEE57" w14:textId="77777777" w:rsidR="00E2723B" w:rsidRPr="00D65519" w:rsidRDefault="00E2723B" w:rsidP="00E2723B">
            <w:pPr>
              <w:spacing w:line="360" w:lineRule="auto"/>
              <w:jc w:val="both"/>
              <w:rPr>
                <w:rFonts w:ascii="Times New Roman" w:eastAsia="Calibri" w:hAnsi="Times New Roman" w:cs="Times New Roman"/>
              </w:rPr>
            </w:pPr>
          </w:p>
        </w:tc>
        <w:tc>
          <w:tcPr>
            <w:tcW w:w="993" w:type="dxa"/>
            <w:shd w:val="clear" w:color="auto" w:fill="auto"/>
            <w:vAlign w:val="bottom"/>
          </w:tcPr>
          <w:p w14:paraId="11C06A3B" w14:textId="77777777" w:rsidR="00E2723B" w:rsidRPr="00D65519" w:rsidRDefault="00E2723B" w:rsidP="00E2723B">
            <w:pPr>
              <w:spacing w:line="360" w:lineRule="auto"/>
              <w:jc w:val="both"/>
              <w:rPr>
                <w:rFonts w:ascii="Times New Roman" w:eastAsia="Calibri" w:hAnsi="Times New Roman" w:cs="Times New Roman"/>
              </w:rPr>
            </w:pPr>
          </w:p>
        </w:tc>
        <w:tc>
          <w:tcPr>
            <w:tcW w:w="921" w:type="dxa"/>
            <w:shd w:val="clear" w:color="auto" w:fill="auto"/>
            <w:vAlign w:val="bottom"/>
          </w:tcPr>
          <w:p w14:paraId="1DB81F32" w14:textId="77777777" w:rsidR="00E2723B" w:rsidRPr="00D65519" w:rsidRDefault="00E2723B" w:rsidP="00E2723B">
            <w:pPr>
              <w:spacing w:line="360" w:lineRule="auto"/>
              <w:jc w:val="both"/>
              <w:rPr>
                <w:rFonts w:ascii="Times New Roman" w:eastAsia="Calibri" w:hAnsi="Times New Roman" w:cs="Times New Roman"/>
              </w:rPr>
            </w:pPr>
          </w:p>
        </w:tc>
        <w:tc>
          <w:tcPr>
            <w:tcW w:w="1578" w:type="dxa"/>
            <w:shd w:val="clear" w:color="auto" w:fill="auto"/>
            <w:vAlign w:val="bottom"/>
          </w:tcPr>
          <w:p w14:paraId="3B9178C3" w14:textId="77777777" w:rsidR="00E2723B" w:rsidRPr="00D65519" w:rsidRDefault="00E2723B" w:rsidP="00E2723B">
            <w:pPr>
              <w:spacing w:line="360" w:lineRule="auto"/>
              <w:jc w:val="both"/>
              <w:rPr>
                <w:rFonts w:ascii="Times New Roman" w:eastAsia="Calibri" w:hAnsi="Times New Roman" w:cs="Times New Roman"/>
              </w:rPr>
            </w:pPr>
          </w:p>
        </w:tc>
      </w:tr>
      <w:tr w:rsidR="00D65519" w:rsidRPr="00D65519" w14:paraId="2CE655A4" w14:textId="77777777" w:rsidTr="00E1050F">
        <w:trPr>
          <w:trHeight w:val="279"/>
          <w:jc w:val="center"/>
        </w:trPr>
        <w:tc>
          <w:tcPr>
            <w:tcW w:w="4111" w:type="dxa"/>
          </w:tcPr>
          <w:p w14:paraId="32E43A8A" w14:textId="7BDFA037" w:rsidR="00E2723B" w:rsidRPr="00D65519" w:rsidRDefault="00E2723B" w:rsidP="00E2723B">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Covariance matrix</w:t>
            </w:r>
            <w:r w:rsidR="005A2C78" w:rsidRPr="00D65519">
              <w:rPr>
                <w:rFonts w:ascii="Times New Roman" w:eastAsia="Calibri" w:hAnsi="Times New Roman" w:cs="Times New Roman"/>
                <w:i/>
                <w:iCs/>
                <w:szCs w:val="20"/>
              </w:rPr>
              <w:t xml:space="preserve"> (see EQ. 6)</w:t>
            </w:r>
          </w:p>
        </w:tc>
        <w:tc>
          <w:tcPr>
            <w:tcW w:w="992" w:type="dxa"/>
            <w:shd w:val="clear" w:color="auto" w:fill="auto"/>
            <w:vAlign w:val="bottom"/>
          </w:tcPr>
          <w:p w14:paraId="78A6886F" w14:textId="77777777" w:rsidR="00E2723B" w:rsidRPr="00D65519" w:rsidRDefault="00E2723B" w:rsidP="00E2723B">
            <w:pPr>
              <w:spacing w:line="360" w:lineRule="auto"/>
              <w:jc w:val="both"/>
              <w:rPr>
                <w:rFonts w:ascii="Times New Roman" w:eastAsia="Calibri" w:hAnsi="Times New Roman" w:cs="Times New Roman"/>
              </w:rPr>
            </w:pPr>
          </w:p>
        </w:tc>
        <w:tc>
          <w:tcPr>
            <w:tcW w:w="993" w:type="dxa"/>
            <w:shd w:val="clear" w:color="auto" w:fill="auto"/>
            <w:vAlign w:val="bottom"/>
          </w:tcPr>
          <w:p w14:paraId="27CD1565" w14:textId="77777777" w:rsidR="00E2723B" w:rsidRPr="00D65519" w:rsidRDefault="00E2723B" w:rsidP="00E2723B">
            <w:pPr>
              <w:spacing w:line="360" w:lineRule="auto"/>
              <w:jc w:val="both"/>
              <w:rPr>
                <w:rFonts w:ascii="Times New Roman" w:eastAsia="Calibri" w:hAnsi="Times New Roman" w:cs="Times New Roman"/>
              </w:rPr>
            </w:pPr>
          </w:p>
        </w:tc>
        <w:tc>
          <w:tcPr>
            <w:tcW w:w="921" w:type="dxa"/>
            <w:shd w:val="clear" w:color="auto" w:fill="auto"/>
            <w:vAlign w:val="bottom"/>
          </w:tcPr>
          <w:p w14:paraId="01BA7BF7" w14:textId="77777777" w:rsidR="00E2723B" w:rsidRPr="00D65519" w:rsidRDefault="00E2723B" w:rsidP="00E2723B">
            <w:pPr>
              <w:spacing w:line="360" w:lineRule="auto"/>
              <w:jc w:val="both"/>
              <w:rPr>
                <w:rFonts w:ascii="Times New Roman" w:eastAsia="Calibri" w:hAnsi="Times New Roman" w:cs="Times New Roman"/>
              </w:rPr>
            </w:pPr>
          </w:p>
        </w:tc>
        <w:tc>
          <w:tcPr>
            <w:tcW w:w="1578" w:type="dxa"/>
            <w:shd w:val="clear" w:color="auto" w:fill="auto"/>
            <w:vAlign w:val="bottom"/>
          </w:tcPr>
          <w:p w14:paraId="6A327604" w14:textId="77777777" w:rsidR="00E2723B" w:rsidRPr="00D65519" w:rsidRDefault="00E2723B" w:rsidP="00E2723B">
            <w:pPr>
              <w:spacing w:line="360" w:lineRule="auto"/>
              <w:jc w:val="both"/>
              <w:rPr>
                <w:rFonts w:ascii="Times New Roman" w:eastAsia="Calibri" w:hAnsi="Times New Roman" w:cs="Times New Roman"/>
              </w:rPr>
            </w:pPr>
          </w:p>
        </w:tc>
      </w:tr>
      <w:tr w:rsidR="00D65519" w:rsidRPr="00D65519" w14:paraId="5E0424F4" w14:textId="77777777" w:rsidTr="00485999">
        <w:trPr>
          <w:trHeight w:val="279"/>
          <w:jc w:val="center"/>
        </w:trPr>
        <w:tc>
          <w:tcPr>
            <w:tcW w:w="4111" w:type="dxa"/>
          </w:tcPr>
          <w:p w14:paraId="39B83FD9" w14:textId="26562466" w:rsidR="00240721" w:rsidRPr="00D65519" w:rsidRDefault="00240721" w:rsidP="00240721">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i/>
                <w:iCs/>
                <w:szCs w:val="20"/>
              </w:rPr>
              <w:t>ρ</w:t>
            </w:r>
            <w:r w:rsidRPr="00D65519">
              <w:rPr>
                <w:rFonts w:ascii="Times New Roman" w:eastAsia="Calibri" w:hAnsi="Times New Roman" w:cs="Times New Roman"/>
                <w:szCs w:val="20"/>
              </w:rPr>
              <w:t xml:space="preserve"> </w:t>
            </w:r>
          </w:p>
        </w:tc>
        <w:tc>
          <w:tcPr>
            <w:tcW w:w="992" w:type="dxa"/>
            <w:shd w:val="clear" w:color="auto" w:fill="auto"/>
            <w:vAlign w:val="bottom"/>
          </w:tcPr>
          <w:p w14:paraId="6C7648F0" w14:textId="23754EAA" w:rsidR="00240721" w:rsidRPr="00D65519" w:rsidRDefault="00240721" w:rsidP="00240721">
            <w:pPr>
              <w:spacing w:line="360" w:lineRule="auto"/>
              <w:jc w:val="both"/>
              <w:rPr>
                <w:rFonts w:ascii="Times New Roman" w:eastAsia="Calibri" w:hAnsi="Times New Roman" w:cs="Times New Roman"/>
                <w:i/>
                <w:iCs/>
              </w:rPr>
            </w:pPr>
            <w:r w:rsidRPr="00D65519">
              <w:rPr>
                <w:rFonts w:ascii="Times New Roman" w:hAnsi="Times New Roman" w:cs="Times New Roman"/>
                <w:i/>
                <w:iCs/>
              </w:rPr>
              <w:t>-0.477</w:t>
            </w:r>
          </w:p>
        </w:tc>
        <w:tc>
          <w:tcPr>
            <w:tcW w:w="993" w:type="dxa"/>
            <w:shd w:val="clear" w:color="auto" w:fill="auto"/>
            <w:vAlign w:val="bottom"/>
          </w:tcPr>
          <w:p w14:paraId="10D9089D" w14:textId="66578C73" w:rsidR="00240721" w:rsidRPr="00D65519" w:rsidRDefault="00240721" w:rsidP="00240721">
            <w:pPr>
              <w:spacing w:line="360" w:lineRule="auto"/>
              <w:jc w:val="both"/>
              <w:rPr>
                <w:rFonts w:ascii="Times New Roman" w:eastAsia="Calibri" w:hAnsi="Times New Roman" w:cs="Times New Roman"/>
                <w:i/>
                <w:iCs/>
              </w:rPr>
            </w:pPr>
            <w:r w:rsidRPr="00D65519">
              <w:rPr>
                <w:rFonts w:ascii="Times New Roman" w:hAnsi="Times New Roman" w:cs="Times New Roman"/>
                <w:i/>
                <w:iCs/>
              </w:rPr>
              <w:t>0.192</w:t>
            </w:r>
          </w:p>
        </w:tc>
        <w:tc>
          <w:tcPr>
            <w:tcW w:w="921" w:type="dxa"/>
            <w:shd w:val="clear" w:color="auto" w:fill="auto"/>
            <w:vAlign w:val="bottom"/>
          </w:tcPr>
          <w:p w14:paraId="712C3863" w14:textId="47B3F690" w:rsidR="00240721" w:rsidRPr="00D65519" w:rsidRDefault="00240721" w:rsidP="00240721">
            <w:pPr>
              <w:spacing w:line="360" w:lineRule="auto"/>
              <w:jc w:val="both"/>
              <w:rPr>
                <w:rFonts w:ascii="Times New Roman" w:eastAsia="Calibri" w:hAnsi="Times New Roman" w:cs="Times New Roman"/>
                <w:i/>
                <w:iCs/>
              </w:rPr>
            </w:pPr>
            <w:r w:rsidRPr="00D65519">
              <w:rPr>
                <w:rFonts w:ascii="Times New Roman" w:hAnsi="Times New Roman" w:cs="Times New Roman"/>
                <w:i/>
                <w:iCs/>
              </w:rPr>
              <w:t>-0.786</w:t>
            </w:r>
          </w:p>
        </w:tc>
        <w:tc>
          <w:tcPr>
            <w:tcW w:w="1578" w:type="dxa"/>
            <w:shd w:val="clear" w:color="auto" w:fill="auto"/>
            <w:vAlign w:val="bottom"/>
          </w:tcPr>
          <w:p w14:paraId="487C2780" w14:textId="5E06C389" w:rsidR="00240721" w:rsidRPr="00D65519" w:rsidRDefault="00240721" w:rsidP="00240721">
            <w:pPr>
              <w:spacing w:line="360" w:lineRule="auto"/>
              <w:jc w:val="both"/>
              <w:rPr>
                <w:rFonts w:ascii="Times New Roman" w:eastAsia="Calibri" w:hAnsi="Times New Roman" w:cs="Times New Roman"/>
                <w:i/>
                <w:iCs/>
              </w:rPr>
            </w:pPr>
            <w:r w:rsidRPr="00D65519">
              <w:rPr>
                <w:rFonts w:ascii="Times New Roman" w:hAnsi="Times New Roman" w:cs="Times New Roman"/>
                <w:i/>
                <w:iCs/>
              </w:rPr>
              <w:t>-0.059</w:t>
            </w:r>
          </w:p>
        </w:tc>
      </w:tr>
      <w:tr w:rsidR="00D65519" w:rsidRPr="00D65519" w14:paraId="7BBADF4F" w14:textId="77777777" w:rsidTr="00EB1993">
        <w:trPr>
          <w:trHeight w:val="279"/>
          <w:jc w:val="center"/>
        </w:trPr>
        <w:tc>
          <w:tcPr>
            <w:tcW w:w="4111" w:type="dxa"/>
          </w:tcPr>
          <w:p w14:paraId="6F6E66A3" w14:textId="4B3D3EB3" w:rsidR="000315C3" w:rsidRPr="00D65519" w:rsidRDefault="000315C3" w:rsidP="000315C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 xml:space="preserve">σ </w:t>
            </w:r>
          </w:p>
        </w:tc>
        <w:tc>
          <w:tcPr>
            <w:tcW w:w="992" w:type="dxa"/>
            <w:shd w:val="clear" w:color="auto" w:fill="auto"/>
            <w:vAlign w:val="bottom"/>
          </w:tcPr>
          <w:p w14:paraId="79647D70" w14:textId="0522CEEF" w:rsidR="000315C3" w:rsidRPr="00D65519" w:rsidRDefault="000315C3" w:rsidP="000315C3">
            <w:pPr>
              <w:spacing w:line="360" w:lineRule="auto"/>
              <w:jc w:val="both"/>
              <w:rPr>
                <w:rFonts w:ascii="Times New Roman" w:eastAsia="Calibri" w:hAnsi="Times New Roman" w:cs="Times New Roman"/>
                <w:i/>
                <w:iCs/>
              </w:rPr>
            </w:pPr>
            <w:r w:rsidRPr="00D65519">
              <w:rPr>
                <w:rFonts w:ascii="Times New Roman" w:hAnsi="Times New Roman" w:cs="Times New Roman"/>
                <w:i/>
                <w:iCs/>
              </w:rPr>
              <w:t>0.749</w:t>
            </w:r>
          </w:p>
        </w:tc>
        <w:tc>
          <w:tcPr>
            <w:tcW w:w="993" w:type="dxa"/>
            <w:shd w:val="clear" w:color="auto" w:fill="auto"/>
            <w:vAlign w:val="bottom"/>
          </w:tcPr>
          <w:p w14:paraId="1F2D2634" w14:textId="2369476C" w:rsidR="000315C3" w:rsidRPr="00D65519" w:rsidRDefault="000315C3" w:rsidP="000315C3">
            <w:pPr>
              <w:spacing w:line="360" w:lineRule="auto"/>
              <w:jc w:val="both"/>
              <w:rPr>
                <w:rFonts w:ascii="Times New Roman" w:eastAsia="Calibri" w:hAnsi="Times New Roman" w:cs="Times New Roman"/>
                <w:i/>
                <w:iCs/>
              </w:rPr>
            </w:pPr>
            <w:r w:rsidRPr="00D65519">
              <w:rPr>
                <w:rFonts w:ascii="Times New Roman" w:hAnsi="Times New Roman" w:cs="Times New Roman"/>
                <w:i/>
                <w:iCs/>
              </w:rPr>
              <w:t>0.138</w:t>
            </w:r>
          </w:p>
        </w:tc>
        <w:tc>
          <w:tcPr>
            <w:tcW w:w="921" w:type="dxa"/>
            <w:shd w:val="clear" w:color="auto" w:fill="auto"/>
            <w:vAlign w:val="bottom"/>
          </w:tcPr>
          <w:p w14:paraId="221F5DC0" w14:textId="18E5AE3D" w:rsidR="000315C3" w:rsidRPr="00D65519" w:rsidRDefault="000315C3" w:rsidP="000315C3">
            <w:pPr>
              <w:spacing w:line="360" w:lineRule="auto"/>
              <w:jc w:val="both"/>
              <w:rPr>
                <w:rFonts w:ascii="Times New Roman" w:eastAsia="Calibri" w:hAnsi="Times New Roman" w:cs="Times New Roman"/>
                <w:i/>
                <w:iCs/>
              </w:rPr>
            </w:pPr>
            <w:r w:rsidRPr="00D65519">
              <w:rPr>
                <w:rFonts w:ascii="Times New Roman" w:hAnsi="Times New Roman" w:cs="Times New Roman"/>
                <w:i/>
                <w:iCs/>
              </w:rPr>
              <w:t>0.464</w:t>
            </w:r>
          </w:p>
        </w:tc>
        <w:tc>
          <w:tcPr>
            <w:tcW w:w="1578" w:type="dxa"/>
            <w:shd w:val="clear" w:color="auto" w:fill="auto"/>
            <w:vAlign w:val="bottom"/>
          </w:tcPr>
          <w:p w14:paraId="285C65D2" w14:textId="3E5A0FE2" w:rsidR="000315C3" w:rsidRPr="00D65519" w:rsidRDefault="000315C3" w:rsidP="000315C3">
            <w:pPr>
              <w:spacing w:line="360" w:lineRule="auto"/>
              <w:jc w:val="both"/>
              <w:rPr>
                <w:rFonts w:ascii="Times New Roman" w:eastAsia="Calibri" w:hAnsi="Times New Roman" w:cs="Times New Roman"/>
                <w:i/>
                <w:iCs/>
              </w:rPr>
            </w:pPr>
            <w:r w:rsidRPr="00D65519">
              <w:rPr>
                <w:rFonts w:ascii="Times New Roman" w:hAnsi="Times New Roman" w:cs="Times New Roman"/>
                <w:i/>
                <w:iCs/>
              </w:rPr>
              <w:t>0.991</w:t>
            </w:r>
          </w:p>
        </w:tc>
      </w:tr>
      <w:tr w:rsidR="00D65519" w:rsidRPr="00D65519" w14:paraId="3D50346D" w14:textId="77777777" w:rsidTr="00EB1993">
        <w:trPr>
          <w:trHeight w:val="279"/>
          <w:jc w:val="center"/>
        </w:trPr>
        <w:tc>
          <w:tcPr>
            <w:tcW w:w="4111" w:type="dxa"/>
          </w:tcPr>
          <w:p w14:paraId="1E911C7D" w14:textId="77777777" w:rsidR="00E2723B" w:rsidRPr="00D65519" w:rsidRDefault="00E2723B" w:rsidP="00E2723B">
            <w:pPr>
              <w:spacing w:line="360" w:lineRule="auto"/>
              <w:jc w:val="both"/>
              <w:rPr>
                <w:rFonts w:ascii="Times New Roman" w:eastAsia="Calibri" w:hAnsi="Times New Roman" w:cs="Times New Roman"/>
                <w:i/>
                <w:iCs/>
                <w:szCs w:val="20"/>
              </w:rPr>
            </w:pPr>
          </w:p>
        </w:tc>
        <w:tc>
          <w:tcPr>
            <w:tcW w:w="992" w:type="dxa"/>
            <w:shd w:val="clear" w:color="auto" w:fill="auto"/>
            <w:vAlign w:val="bottom"/>
          </w:tcPr>
          <w:p w14:paraId="3FFEAD3E" w14:textId="77777777" w:rsidR="00E2723B" w:rsidRPr="00D65519" w:rsidRDefault="00E2723B" w:rsidP="00E2723B">
            <w:pPr>
              <w:spacing w:line="360" w:lineRule="auto"/>
              <w:jc w:val="both"/>
              <w:rPr>
                <w:rFonts w:ascii="Times New Roman" w:eastAsia="Calibri" w:hAnsi="Times New Roman" w:cs="Times New Roman"/>
              </w:rPr>
            </w:pPr>
          </w:p>
        </w:tc>
        <w:tc>
          <w:tcPr>
            <w:tcW w:w="993" w:type="dxa"/>
            <w:shd w:val="clear" w:color="auto" w:fill="auto"/>
            <w:vAlign w:val="bottom"/>
          </w:tcPr>
          <w:p w14:paraId="28490874" w14:textId="77777777" w:rsidR="00E2723B" w:rsidRPr="00D65519" w:rsidRDefault="00E2723B" w:rsidP="00E2723B">
            <w:pPr>
              <w:spacing w:line="360" w:lineRule="auto"/>
              <w:jc w:val="both"/>
              <w:rPr>
                <w:rFonts w:ascii="Times New Roman" w:eastAsia="Calibri" w:hAnsi="Times New Roman" w:cs="Times New Roman"/>
              </w:rPr>
            </w:pPr>
          </w:p>
        </w:tc>
        <w:tc>
          <w:tcPr>
            <w:tcW w:w="921" w:type="dxa"/>
            <w:shd w:val="clear" w:color="auto" w:fill="auto"/>
            <w:vAlign w:val="bottom"/>
          </w:tcPr>
          <w:p w14:paraId="14D61752" w14:textId="77777777" w:rsidR="00E2723B" w:rsidRPr="00D65519" w:rsidRDefault="00E2723B" w:rsidP="00E2723B">
            <w:pPr>
              <w:spacing w:line="360" w:lineRule="auto"/>
              <w:jc w:val="both"/>
              <w:rPr>
                <w:rFonts w:ascii="Times New Roman" w:eastAsia="Calibri" w:hAnsi="Times New Roman" w:cs="Times New Roman"/>
              </w:rPr>
            </w:pPr>
          </w:p>
        </w:tc>
        <w:tc>
          <w:tcPr>
            <w:tcW w:w="1578" w:type="dxa"/>
            <w:shd w:val="clear" w:color="auto" w:fill="auto"/>
            <w:vAlign w:val="bottom"/>
          </w:tcPr>
          <w:p w14:paraId="74495BB5" w14:textId="77777777" w:rsidR="00E2723B" w:rsidRPr="00D65519" w:rsidRDefault="00E2723B" w:rsidP="00E2723B">
            <w:pPr>
              <w:spacing w:line="360" w:lineRule="auto"/>
              <w:jc w:val="both"/>
              <w:rPr>
                <w:rFonts w:ascii="Times New Roman" w:eastAsia="Calibri" w:hAnsi="Times New Roman" w:cs="Times New Roman"/>
              </w:rPr>
            </w:pPr>
          </w:p>
        </w:tc>
      </w:tr>
      <w:tr w:rsidR="00D65519" w:rsidRPr="00D65519" w14:paraId="54438F65" w14:textId="77777777" w:rsidTr="005D4963">
        <w:trPr>
          <w:trHeight w:val="279"/>
          <w:jc w:val="center"/>
        </w:trPr>
        <w:tc>
          <w:tcPr>
            <w:tcW w:w="4111" w:type="dxa"/>
          </w:tcPr>
          <w:p w14:paraId="179F05B0" w14:textId="502E50FD" w:rsidR="00E2723B" w:rsidRPr="00D65519" w:rsidRDefault="00E2723B" w:rsidP="00E2723B">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Model fit measure</w:t>
            </w:r>
          </w:p>
        </w:tc>
        <w:tc>
          <w:tcPr>
            <w:tcW w:w="992" w:type="dxa"/>
            <w:shd w:val="clear" w:color="auto" w:fill="auto"/>
            <w:vAlign w:val="bottom"/>
          </w:tcPr>
          <w:p w14:paraId="4AA9DDBF" w14:textId="77777777" w:rsidR="00E2723B" w:rsidRPr="00D65519" w:rsidRDefault="00E2723B" w:rsidP="00E2723B">
            <w:pPr>
              <w:spacing w:line="360" w:lineRule="auto"/>
              <w:jc w:val="both"/>
              <w:rPr>
                <w:rFonts w:ascii="Times New Roman" w:eastAsia="Calibri" w:hAnsi="Times New Roman" w:cs="Times New Roman"/>
              </w:rPr>
            </w:pPr>
          </w:p>
        </w:tc>
        <w:tc>
          <w:tcPr>
            <w:tcW w:w="993" w:type="dxa"/>
            <w:shd w:val="clear" w:color="auto" w:fill="auto"/>
            <w:vAlign w:val="bottom"/>
          </w:tcPr>
          <w:p w14:paraId="71ACB3B0" w14:textId="77777777" w:rsidR="00E2723B" w:rsidRPr="00D65519" w:rsidRDefault="00E2723B" w:rsidP="00E2723B">
            <w:pPr>
              <w:spacing w:line="360" w:lineRule="auto"/>
              <w:jc w:val="both"/>
              <w:rPr>
                <w:rFonts w:ascii="Times New Roman" w:eastAsia="Calibri" w:hAnsi="Times New Roman" w:cs="Times New Roman"/>
              </w:rPr>
            </w:pPr>
          </w:p>
        </w:tc>
        <w:tc>
          <w:tcPr>
            <w:tcW w:w="921" w:type="dxa"/>
            <w:shd w:val="clear" w:color="auto" w:fill="auto"/>
            <w:vAlign w:val="bottom"/>
          </w:tcPr>
          <w:p w14:paraId="097655D6" w14:textId="77777777" w:rsidR="00E2723B" w:rsidRPr="00D65519" w:rsidRDefault="00E2723B" w:rsidP="00E2723B">
            <w:pPr>
              <w:spacing w:line="360" w:lineRule="auto"/>
              <w:jc w:val="both"/>
              <w:rPr>
                <w:rFonts w:ascii="Times New Roman" w:eastAsia="Calibri" w:hAnsi="Times New Roman" w:cs="Times New Roman"/>
              </w:rPr>
            </w:pPr>
          </w:p>
        </w:tc>
        <w:tc>
          <w:tcPr>
            <w:tcW w:w="1578" w:type="dxa"/>
            <w:shd w:val="clear" w:color="auto" w:fill="auto"/>
            <w:vAlign w:val="bottom"/>
          </w:tcPr>
          <w:p w14:paraId="1BC79FA0" w14:textId="77777777" w:rsidR="00E2723B" w:rsidRPr="00D65519" w:rsidRDefault="00E2723B" w:rsidP="00E2723B">
            <w:pPr>
              <w:spacing w:line="360" w:lineRule="auto"/>
              <w:jc w:val="both"/>
              <w:rPr>
                <w:rFonts w:ascii="Times New Roman" w:eastAsia="Calibri" w:hAnsi="Times New Roman" w:cs="Times New Roman"/>
              </w:rPr>
            </w:pPr>
          </w:p>
        </w:tc>
      </w:tr>
      <w:tr w:rsidR="00E2723B" w:rsidRPr="00D65519" w14:paraId="3BFE0E81" w14:textId="77777777" w:rsidTr="005D4963">
        <w:trPr>
          <w:trHeight w:val="279"/>
          <w:jc w:val="center"/>
        </w:trPr>
        <w:tc>
          <w:tcPr>
            <w:tcW w:w="4111" w:type="dxa"/>
            <w:tcBorders>
              <w:bottom w:val="single" w:sz="4" w:space="0" w:color="auto"/>
            </w:tcBorders>
          </w:tcPr>
          <w:p w14:paraId="230A0EC8" w14:textId="714A09BA" w:rsidR="00E2723B" w:rsidRPr="00D65519" w:rsidRDefault="00E2723B" w:rsidP="00E2723B">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DIC</w:t>
            </w:r>
          </w:p>
        </w:tc>
        <w:tc>
          <w:tcPr>
            <w:tcW w:w="992" w:type="dxa"/>
            <w:tcBorders>
              <w:bottom w:val="single" w:sz="4" w:space="0" w:color="auto"/>
            </w:tcBorders>
            <w:shd w:val="clear" w:color="auto" w:fill="auto"/>
            <w:vAlign w:val="bottom"/>
          </w:tcPr>
          <w:p w14:paraId="53E5E3D9" w14:textId="73957443" w:rsidR="00E2723B" w:rsidRPr="00D65519" w:rsidRDefault="000315C3" w:rsidP="00E2723B">
            <w:pPr>
              <w:spacing w:line="360" w:lineRule="auto"/>
              <w:jc w:val="both"/>
              <w:rPr>
                <w:rFonts w:ascii="Times New Roman" w:eastAsia="Calibri" w:hAnsi="Times New Roman" w:cs="Times New Roman"/>
              </w:rPr>
            </w:pPr>
            <w:r w:rsidRPr="00D65519">
              <w:rPr>
                <w:rFonts w:ascii="Times New Roman" w:eastAsia="Calibri" w:hAnsi="Times New Roman" w:cs="Times New Roman"/>
              </w:rPr>
              <w:t>1207.52</w:t>
            </w:r>
          </w:p>
        </w:tc>
        <w:tc>
          <w:tcPr>
            <w:tcW w:w="993" w:type="dxa"/>
            <w:tcBorders>
              <w:bottom w:val="single" w:sz="4" w:space="0" w:color="auto"/>
            </w:tcBorders>
            <w:shd w:val="clear" w:color="auto" w:fill="auto"/>
            <w:vAlign w:val="bottom"/>
          </w:tcPr>
          <w:p w14:paraId="3562E9D4" w14:textId="2C73C298" w:rsidR="00E2723B" w:rsidRPr="00D65519" w:rsidRDefault="00E2723B" w:rsidP="00E2723B">
            <w:pPr>
              <w:spacing w:line="360" w:lineRule="auto"/>
              <w:jc w:val="both"/>
              <w:rPr>
                <w:rFonts w:ascii="Times New Roman" w:eastAsia="Calibri" w:hAnsi="Times New Roman" w:cs="Times New Roman"/>
              </w:rPr>
            </w:pPr>
            <w:r w:rsidRPr="00D65519">
              <w:rPr>
                <w:rFonts w:ascii="Times New Roman" w:eastAsia="Calibri" w:hAnsi="Times New Roman" w:cs="Times New Roman"/>
              </w:rPr>
              <w:t>-</w:t>
            </w:r>
          </w:p>
        </w:tc>
        <w:tc>
          <w:tcPr>
            <w:tcW w:w="921" w:type="dxa"/>
            <w:tcBorders>
              <w:bottom w:val="single" w:sz="4" w:space="0" w:color="auto"/>
            </w:tcBorders>
            <w:shd w:val="clear" w:color="auto" w:fill="auto"/>
            <w:vAlign w:val="bottom"/>
          </w:tcPr>
          <w:p w14:paraId="2EB1365E" w14:textId="4C2E106B" w:rsidR="00E2723B" w:rsidRPr="00D65519" w:rsidRDefault="00E2723B" w:rsidP="00E2723B">
            <w:pPr>
              <w:spacing w:line="360" w:lineRule="auto"/>
              <w:jc w:val="both"/>
              <w:rPr>
                <w:rFonts w:ascii="Times New Roman" w:eastAsia="Calibri" w:hAnsi="Times New Roman" w:cs="Times New Roman"/>
              </w:rPr>
            </w:pPr>
            <w:r w:rsidRPr="00D65519">
              <w:rPr>
                <w:rFonts w:ascii="Times New Roman" w:eastAsia="Calibri" w:hAnsi="Times New Roman" w:cs="Times New Roman"/>
              </w:rPr>
              <w:t>-</w:t>
            </w:r>
          </w:p>
        </w:tc>
        <w:tc>
          <w:tcPr>
            <w:tcW w:w="1578" w:type="dxa"/>
            <w:tcBorders>
              <w:bottom w:val="single" w:sz="4" w:space="0" w:color="auto"/>
            </w:tcBorders>
            <w:shd w:val="clear" w:color="auto" w:fill="auto"/>
            <w:vAlign w:val="bottom"/>
          </w:tcPr>
          <w:p w14:paraId="5F7F9182" w14:textId="2C0A614D" w:rsidR="00E2723B" w:rsidRPr="00D65519" w:rsidRDefault="00E2723B" w:rsidP="00E2723B">
            <w:pPr>
              <w:spacing w:line="360" w:lineRule="auto"/>
              <w:jc w:val="both"/>
              <w:rPr>
                <w:rFonts w:ascii="Times New Roman" w:eastAsia="Calibri" w:hAnsi="Times New Roman" w:cs="Times New Roman"/>
              </w:rPr>
            </w:pPr>
            <w:r w:rsidRPr="00D65519">
              <w:rPr>
                <w:rFonts w:ascii="Times New Roman" w:eastAsia="Calibri" w:hAnsi="Times New Roman" w:cs="Times New Roman"/>
              </w:rPr>
              <w:t>-</w:t>
            </w:r>
          </w:p>
        </w:tc>
      </w:tr>
    </w:tbl>
    <w:p w14:paraId="5B5E408D" w14:textId="77777777" w:rsidR="00DD5C79" w:rsidRPr="00D65519" w:rsidRDefault="00DD5C79" w:rsidP="004D7765">
      <w:pPr>
        <w:pStyle w:val="ThesisText"/>
        <w:spacing w:line="360" w:lineRule="auto"/>
      </w:pPr>
    </w:p>
    <w:p w14:paraId="6F74FB98" w14:textId="04C02BD5" w:rsidR="0070647E" w:rsidRPr="00D65519" w:rsidRDefault="0070647E" w:rsidP="004D7765">
      <w:pPr>
        <w:pStyle w:val="ThesisText"/>
        <w:spacing w:line="360" w:lineRule="auto"/>
      </w:pPr>
      <w:r w:rsidRPr="00D65519">
        <w:t xml:space="preserve">The results of the proposed heterogeneity in covariance simultaneous-equations model are presented in Table 4. The latter specification leads to a decrease in DIC from </w:t>
      </w:r>
      <w:r w:rsidR="00366E86" w:rsidRPr="00D65519">
        <w:t xml:space="preserve">circa </w:t>
      </w:r>
      <w:r w:rsidRPr="00D65519">
        <w:t>120</w:t>
      </w:r>
      <w:r w:rsidR="00D21B23" w:rsidRPr="00D65519">
        <w:t>8</w:t>
      </w:r>
      <w:r w:rsidRPr="00D65519">
        <w:t xml:space="preserve"> to 1</w:t>
      </w:r>
      <w:r w:rsidR="00385312" w:rsidRPr="00D65519">
        <w:t>202</w:t>
      </w:r>
      <w:r w:rsidRPr="00D65519">
        <w:t xml:space="preserve"> showing that model fit does improve with the addition of heterogeneity in covariance. </w:t>
      </w:r>
      <w:r w:rsidR="00C75450" w:rsidRPr="00D65519">
        <w:t xml:space="preserve">Note that a DIC difference of more than 5 indicates </w:t>
      </w:r>
      <w:r w:rsidR="004D7765" w:rsidRPr="00D65519">
        <w:t xml:space="preserve">a </w:t>
      </w:r>
      <w:r w:rsidR="00C75450" w:rsidRPr="00D65519">
        <w:t xml:space="preserve">relatively </w:t>
      </w:r>
      <w:r w:rsidR="004D7765" w:rsidRPr="00D65519">
        <w:t>important</w:t>
      </w:r>
      <w:r w:rsidR="00C75450" w:rsidRPr="00D65519">
        <w:t xml:space="preserve"> gain in model fit</w:t>
      </w:r>
      <w:r w:rsidR="004D7765" w:rsidRPr="00D65519">
        <w:t xml:space="preserve"> (Spiegelhalter et al., </w:t>
      </w:r>
      <w:r w:rsidR="00994623" w:rsidRPr="00D65519">
        <w:t>2003</w:t>
      </w:r>
      <w:r w:rsidR="004D7765" w:rsidRPr="00D65519">
        <w:t>)</w:t>
      </w:r>
      <w:r w:rsidR="00C75450" w:rsidRPr="00D65519">
        <w:t xml:space="preserve">. </w:t>
      </w:r>
      <w:r w:rsidR="005513DE" w:rsidRPr="00D65519">
        <w:t xml:space="preserve">Also, the deviance, </w:t>
      </w:r>
      <w:r w:rsidR="005513DE" w:rsidRPr="00D65519">
        <w:lastRenderedPageBreak/>
        <w:t>as calculated in Section 2.7, decreases to 501.5</w:t>
      </w:r>
      <w:r w:rsidR="00C25797" w:rsidRPr="00D65519">
        <w:t xml:space="preserve"> under the heterogeneity in covariance endogenous model</w:t>
      </w:r>
      <w:r w:rsidR="004D7765" w:rsidRPr="00D65519">
        <w:t xml:space="preserve"> compared to 647 data points; therefore, overdispersion is dealt with</w:t>
      </w:r>
      <w:r w:rsidR="005513DE" w:rsidRPr="00D65519">
        <w:t xml:space="preserve">. </w:t>
      </w:r>
      <w:r w:rsidRPr="00D65519">
        <w:t xml:space="preserve">According to the latter addition, we found that the covariance varies systematically in the data as a function of one of the explanatory variables available in the data, specifically dedicated traffic lights for pedestrians. A noteworthy observation is that the effect of the presence of a school on cyclist injury frequency is underestimated when endogeneity as well as heterogeneity in covariance are not accounted for. In fact, the impact of proximity to school increases as we move from the results represented in Table 2 to Table 4. Also, we can observe that the effect of proximity to school is estimated more precisely (the variance decreases) by the heterogeneity in covariance specification (Table 4) compared to the standard simultaneous-equations approach that assumes a homogenous covariance (Table 3). This is perhaps due to the fact that part of the variation in the effect of proximity to school is now captured by a heterogeneous covariance structure under the heterogeneity in covariance specification. </w:t>
      </w:r>
    </w:p>
    <w:p w14:paraId="20AD9167" w14:textId="77777777" w:rsidR="00786FA1" w:rsidRPr="00D65519" w:rsidRDefault="00786FA1" w:rsidP="00786FA1">
      <w:pPr>
        <w:pStyle w:val="ThesisText"/>
        <w:spacing w:line="360" w:lineRule="auto"/>
      </w:pPr>
      <w:r w:rsidRPr="00D65519">
        <w:t xml:space="preserve">Similarly, the correlation parameter is estimated more precisely (having a smaller coefficient of variation) under the simultaneous-equations model with heterogeneity in covariance. Another observation is that the simultaneous-equations approach with a homogenous covariance structure slightly underestimates the magnitude of the correlation between the propensity of proximity to school and cyclist injury counts at intersections. Our study thus points out that considering a homogenous covariance structure in simultaneous-equations approaches for addressing endogeneity may lead to erroneous inferences with respect to the statistical significance (importance) of the correlation parameter, delineating the direction of a traffic safety investigation entirely. </w:t>
      </w:r>
    </w:p>
    <w:p w14:paraId="3DAFE912" w14:textId="491A3596" w:rsidR="00786FA1" w:rsidRPr="00D65519" w:rsidRDefault="00786FA1" w:rsidP="00786FA1">
      <w:pPr>
        <w:pStyle w:val="ThesisText"/>
        <w:spacing w:line="360" w:lineRule="auto"/>
      </w:pPr>
      <w:r w:rsidRPr="00D65519">
        <w:t xml:space="preserve">We found that a higher bicycle flow at an intersection is associated with an increase in cyclist injury frequency over the study period, though the coefficient value being less than one would elude to a safety-in-numbers effect for cyclists (more on this in section 3.1.1). Both AADT measures appear to have a positive association with cyclist injury frequencies, with right turning volume having a greater effect. Access to public transport, represented by the number of subway stations within 400m of an intersection and the presence of a bus stop within 50m, has a degrading effect on cyclist safety. Lastly, the principal focus of this research, the presence of a school in a 400m buffer around intersections was positively associated with an increase in cyclist injury frequency. A greater propensity for proximity to a school was found to be associated with the amount of employment and the land use mix in an 800m radius as well as the presence of a bus stop within 50m and the ratio of non-motorised traffic volume to motorised traffic volume. </w:t>
      </w:r>
    </w:p>
    <w:p w14:paraId="0D86970F" w14:textId="2B7B9B44" w:rsidR="00DD5C79" w:rsidRPr="00D65519" w:rsidRDefault="00DD5C79" w:rsidP="00786FA1">
      <w:pPr>
        <w:pStyle w:val="ThesisText"/>
        <w:spacing w:line="360" w:lineRule="auto"/>
      </w:pPr>
    </w:p>
    <w:p w14:paraId="40005A4B" w14:textId="77777777" w:rsidR="00DD5C79" w:rsidRPr="00D65519" w:rsidRDefault="00DD5C79" w:rsidP="00786FA1">
      <w:pPr>
        <w:pStyle w:val="ThesisText"/>
        <w:spacing w:line="360" w:lineRule="auto"/>
      </w:pPr>
    </w:p>
    <w:p w14:paraId="3C97F4C1" w14:textId="1455DFA7" w:rsidR="00786FA1" w:rsidRPr="00D65519" w:rsidRDefault="00786FA1" w:rsidP="004D7765">
      <w:pPr>
        <w:pStyle w:val="ThesisText"/>
        <w:spacing w:line="360" w:lineRule="auto"/>
      </w:pPr>
    </w:p>
    <w:p w14:paraId="5C70691B" w14:textId="74EF5C86" w:rsidR="00175EBD" w:rsidRPr="00D65519" w:rsidRDefault="0063508E" w:rsidP="00286B0C">
      <w:pPr>
        <w:pStyle w:val="Caption"/>
        <w:keepNext/>
        <w:spacing w:after="0"/>
        <w:rPr>
          <w:rFonts w:ascii="Times New Roman" w:hAnsi="Times New Roman" w:cs="Times New Roman"/>
          <w:i w:val="0"/>
          <w:iCs w:val="0"/>
          <w:color w:val="auto"/>
          <w:sz w:val="22"/>
          <w:szCs w:val="22"/>
        </w:rPr>
      </w:pPr>
      <w:r w:rsidRPr="00D65519">
        <w:rPr>
          <w:rFonts w:ascii="Times New Roman" w:hAnsi="Times New Roman" w:cs="Times New Roman"/>
          <w:i w:val="0"/>
          <w:iCs w:val="0"/>
          <w:color w:val="auto"/>
          <w:sz w:val="22"/>
          <w:szCs w:val="22"/>
        </w:rPr>
        <w:lastRenderedPageBreak/>
        <w:t xml:space="preserve">Table </w:t>
      </w:r>
      <w:r w:rsidR="00E2723B" w:rsidRPr="00D65519">
        <w:rPr>
          <w:rFonts w:ascii="Times New Roman" w:hAnsi="Times New Roman" w:cs="Times New Roman"/>
          <w:i w:val="0"/>
          <w:iCs w:val="0"/>
          <w:color w:val="auto"/>
          <w:sz w:val="22"/>
          <w:szCs w:val="22"/>
        </w:rPr>
        <w:t>4</w:t>
      </w:r>
      <w:r w:rsidRPr="00D65519">
        <w:rPr>
          <w:rFonts w:ascii="Times New Roman" w:hAnsi="Times New Roman" w:cs="Times New Roman"/>
          <w:i w:val="0"/>
          <w:iCs w:val="0"/>
          <w:color w:val="auto"/>
          <w:sz w:val="22"/>
          <w:szCs w:val="22"/>
        </w:rPr>
        <w:t xml:space="preserve"> Results of the random parameters endogenous (</w:t>
      </w:r>
      <w:r w:rsidR="00286B0C" w:rsidRPr="00D65519">
        <w:rPr>
          <w:rFonts w:ascii="Times New Roman" w:hAnsi="Times New Roman" w:cs="Times New Roman"/>
          <w:i w:val="0"/>
          <w:iCs w:val="0"/>
          <w:color w:val="auto"/>
          <w:sz w:val="22"/>
          <w:szCs w:val="22"/>
        </w:rPr>
        <w:t>simultaneous-equations</w:t>
      </w:r>
      <w:r w:rsidRPr="00D65519">
        <w:rPr>
          <w:rFonts w:ascii="Times New Roman" w:hAnsi="Times New Roman" w:cs="Times New Roman"/>
          <w:i w:val="0"/>
          <w:iCs w:val="0"/>
          <w:color w:val="auto"/>
          <w:sz w:val="22"/>
          <w:szCs w:val="22"/>
        </w:rPr>
        <w:t>) model</w:t>
      </w:r>
      <w:r w:rsidR="00BC0435" w:rsidRPr="00D65519">
        <w:rPr>
          <w:rFonts w:ascii="Times New Roman" w:hAnsi="Times New Roman" w:cs="Times New Roman"/>
          <w:i w:val="0"/>
          <w:iCs w:val="0"/>
          <w:color w:val="auto"/>
          <w:sz w:val="22"/>
          <w:szCs w:val="22"/>
        </w:rPr>
        <w:t xml:space="preserve"> </w:t>
      </w:r>
    </w:p>
    <w:p w14:paraId="04FB0D18" w14:textId="791CAEF2" w:rsidR="0063508E" w:rsidRPr="00D65519" w:rsidRDefault="00BC0435" w:rsidP="00E2723B">
      <w:pPr>
        <w:pStyle w:val="Caption"/>
        <w:keepNext/>
        <w:spacing w:after="0"/>
        <w:rPr>
          <w:rFonts w:ascii="Times New Roman" w:hAnsi="Times New Roman" w:cs="Times New Roman"/>
          <w:i w:val="0"/>
          <w:iCs w:val="0"/>
          <w:color w:val="auto"/>
          <w:sz w:val="22"/>
          <w:szCs w:val="22"/>
        </w:rPr>
      </w:pPr>
      <w:proofErr w:type="gramStart"/>
      <w:r w:rsidRPr="00D65519">
        <w:rPr>
          <w:rFonts w:ascii="Times New Roman" w:hAnsi="Times New Roman" w:cs="Times New Roman"/>
          <w:i w:val="0"/>
          <w:iCs w:val="0"/>
          <w:color w:val="auto"/>
          <w:sz w:val="22"/>
          <w:szCs w:val="22"/>
        </w:rPr>
        <w:t>with</w:t>
      </w:r>
      <w:proofErr w:type="gramEnd"/>
      <w:r w:rsidRPr="00D65519">
        <w:rPr>
          <w:rFonts w:ascii="Times New Roman" w:hAnsi="Times New Roman" w:cs="Times New Roman"/>
          <w:i w:val="0"/>
          <w:iCs w:val="0"/>
          <w:color w:val="auto"/>
          <w:sz w:val="22"/>
          <w:szCs w:val="22"/>
        </w:rPr>
        <w:t xml:space="preserve"> heterogeneity in covariance</w:t>
      </w:r>
    </w:p>
    <w:tbl>
      <w:tblPr>
        <w:tblStyle w:val="TableGrid"/>
        <w:tblW w:w="85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gridCol w:w="993"/>
        <w:gridCol w:w="921"/>
        <w:gridCol w:w="1578"/>
      </w:tblGrid>
      <w:tr w:rsidR="00D65519" w:rsidRPr="00D65519" w14:paraId="418A443A" w14:textId="77777777" w:rsidTr="00EB1993">
        <w:trPr>
          <w:trHeight w:val="279"/>
          <w:jc w:val="center"/>
        </w:trPr>
        <w:tc>
          <w:tcPr>
            <w:tcW w:w="4111" w:type="dxa"/>
            <w:tcBorders>
              <w:top w:val="single" w:sz="4" w:space="0" w:color="auto"/>
              <w:bottom w:val="single" w:sz="4" w:space="0" w:color="auto"/>
            </w:tcBorders>
          </w:tcPr>
          <w:p w14:paraId="2E31F4DD" w14:textId="77777777" w:rsidR="0063508E" w:rsidRPr="00D65519" w:rsidRDefault="0063508E"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Variable</w:t>
            </w:r>
          </w:p>
        </w:tc>
        <w:tc>
          <w:tcPr>
            <w:tcW w:w="992" w:type="dxa"/>
            <w:tcBorders>
              <w:top w:val="single" w:sz="4" w:space="0" w:color="auto"/>
              <w:bottom w:val="single" w:sz="4" w:space="0" w:color="auto"/>
            </w:tcBorders>
          </w:tcPr>
          <w:p w14:paraId="4D8B7D07" w14:textId="77777777" w:rsidR="0063508E" w:rsidRPr="00D65519" w:rsidRDefault="0063508E"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Mean</w:t>
            </w:r>
          </w:p>
        </w:tc>
        <w:tc>
          <w:tcPr>
            <w:tcW w:w="993" w:type="dxa"/>
            <w:tcBorders>
              <w:top w:val="single" w:sz="4" w:space="0" w:color="auto"/>
              <w:bottom w:val="single" w:sz="4" w:space="0" w:color="auto"/>
            </w:tcBorders>
          </w:tcPr>
          <w:p w14:paraId="7B485EF7" w14:textId="77777777" w:rsidR="0063508E" w:rsidRPr="00D65519" w:rsidRDefault="0063508E"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SD</w:t>
            </w:r>
          </w:p>
        </w:tc>
        <w:tc>
          <w:tcPr>
            <w:tcW w:w="2499" w:type="dxa"/>
            <w:gridSpan w:val="2"/>
            <w:tcBorders>
              <w:top w:val="single" w:sz="4" w:space="0" w:color="auto"/>
              <w:bottom w:val="single" w:sz="4" w:space="0" w:color="auto"/>
            </w:tcBorders>
          </w:tcPr>
          <w:p w14:paraId="22701960" w14:textId="77777777" w:rsidR="0063508E" w:rsidRPr="00D65519" w:rsidRDefault="0063508E"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95% Credible intervals</w:t>
            </w:r>
          </w:p>
        </w:tc>
      </w:tr>
      <w:tr w:rsidR="00D65519" w:rsidRPr="00D65519" w14:paraId="26303E07" w14:textId="77777777" w:rsidTr="00EB1993">
        <w:trPr>
          <w:trHeight w:val="294"/>
          <w:jc w:val="center"/>
        </w:trPr>
        <w:tc>
          <w:tcPr>
            <w:tcW w:w="5103" w:type="dxa"/>
            <w:gridSpan w:val="2"/>
            <w:tcBorders>
              <w:top w:val="single" w:sz="4" w:space="0" w:color="auto"/>
            </w:tcBorders>
          </w:tcPr>
          <w:p w14:paraId="7068426E" w14:textId="77777777" w:rsidR="0063508E" w:rsidRPr="00D65519" w:rsidRDefault="0063508E"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Injury frequency count model</w:t>
            </w:r>
          </w:p>
        </w:tc>
        <w:tc>
          <w:tcPr>
            <w:tcW w:w="993" w:type="dxa"/>
            <w:tcBorders>
              <w:top w:val="single" w:sz="4" w:space="0" w:color="auto"/>
            </w:tcBorders>
            <w:shd w:val="clear" w:color="auto" w:fill="auto"/>
            <w:vAlign w:val="bottom"/>
          </w:tcPr>
          <w:p w14:paraId="6AC95C3C" w14:textId="77777777" w:rsidR="0063508E" w:rsidRPr="00D65519" w:rsidRDefault="0063508E" w:rsidP="00EB1993">
            <w:pPr>
              <w:spacing w:line="360" w:lineRule="auto"/>
              <w:jc w:val="both"/>
              <w:rPr>
                <w:rFonts w:ascii="Times New Roman" w:eastAsia="Calibri" w:hAnsi="Times New Roman" w:cs="Times New Roman"/>
                <w:szCs w:val="20"/>
              </w:rPr>
            </w:pPr>
          </w:p>
        </w:tc>
        <w:tc>
          <w:tcPr>
            <w:tcW w:w="921" w:type="dxa"/>
            <w:tcBorders>
              <w:top w:val="single" w:sz="4" w:space="0" w:color="auto"/>
            </w:tcBorders>
            <w:shd w:val="clear" w:color="auto" w:fill="auto"/>
            <w:vAlign w:val="bottom"/>
          </w:tcPr>
          <w:p w14:paraId="49E467C0" w14:textId="77777777" w:rsidR="0063508E" w:rsidRPr="00D65519" w:rsidRDefault="0063508E" w:rsidP="00EB1993">
            <w:pPr>
              <w:spacing w:line="360" w:lineRule="auto"/>
              <w:jc w:val="both"/>
              <w:rPr>
                <w:rFonts w:ascii="Times New Roman" w:eastAsia="Calibri" w:hAnsi="Times New Roman" w:cs="Times New Roman"/>
                <w:szCs w:val="20"/>
              </w:rPr>
            </w:pPr>
          </w:p>
        </w:tc>
        <w:tc>
          <w:tcPr>
            <w:tcW w:w="1578" w:type="dxa"/>
            <w:tcBorders>
              <w:top w:val="single" w:sz="4" w:space="0" w:color="auto"/>
            </w:tcBorders>
            <w:shd w:val="clear" w:color="auto" w:fill="auto"/>
            <w:vAlign w:val="bottom"/>
          </w:tcPr>
          <w:p w14:paraId="5A6D17A0" w14:textId="77777777" w:rsidR="0063508E" w:rsidRPr="00D65519" w:rsidRDefault="0063508E" w:rsidP="00EB1993">
            <w:pPr>
              <w:spacing w:line="360" w:lineRule="auto"/>
              <w:jc w:val="both"/>
              <w:rPr>
                <w:rFonts w:ascii="Times New Roman" w:eastAsia="Calibri" w:hAnsi="Times New Roman" w:cs="Times New Roman"/>
                <w:szCs w:val="20"/>
              </w:rPr>
            </w:pPr>
          </w:p>
        </w:tc>
      </w:tr>
      <w:tr w:rsidR="00D65519" w:rsidRPr="00D65519" w14:paraId="6A4E2D69" w14:textId="77777777" w:rsidTr="00EB1993">
        <w:trPr>
          <w:trHeight w:val="294"/>
          <w:jc w:val="center"/>
        </w:trPr>
        <w:tc>
          <w:tcPr>
            <w:tcW w:w="4111" w:type="dxa"/>
          </w:tcPr>
          <w:p w14:paraId="23C85169" w14:textId="3EA5AB6C"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Constant</w:t>
            </w:r>
          </w:p>
        </w:tc>
        <w:tc>
          <w:tcPr>
            <w:tcW w:w="992" w:type="dxa"/>
            <w:shd w:val="clear" w:color="auto" w:fill="auto"/>
            <w:vAlign w:val="bottom"/>
          </w:tcPr>
          <w:p w14:paraId="56E7EBD4" w14:textId="422C1D2B"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-7.512</w:t>
            </w:r>
          </w:p>
        </w:tc>
        <w:tc>
          <w:tcPr>
            <w:tcW w:w="993" w:type="dxa"/>
            <w:shd w:val="clear" w:color="auto" w:fill="auto"/>
            <w:vAlign w:val="bottom"/>
          </w:tcPr>
          <w:p w14:paraId="1A4F172F" w14:textId="3167D536"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0.718</w:t>
            </w:r>
          </w:p>
        </w:tc>
        <w:tc>
          <w:tcPr>
            <w:tcW w:w="921" w:type="dxa"/>
            <w:shd w:val="clear" w:color="auto" w:fill="auto"/>
            <w:vAlign w:val="bottom"/>
          </w:tcPr>
          <w:p w14:paraId="67392084" w14:textId="776B433E"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-8.881</w:t>
            </w:r>
          </w:p>
        </w:tc>
        <w:tc>
          <w:tcPr>
            <w:tcW w:w="1578" w:type="dxa"/>
            <w:shd w:val="clear" w:color="auto" w:fill="auto"/>
            <w:vAlign w:val="bottom"/>
          </w:tcPr>
          <w:p w14:paraId="15A15BDF" w14:textId="68FF9E6D"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-6.060</w:t>
            </w:r>
          </w:p>
        </w:tc>
      </w:tr>
      <w:tr w:rsidR="00D65519" w:rsidRPr="00D65519" w14:paraId="7EBE8C88" w14:textId="77777777" w:rsidTr="00EB1993">
        <w:trPr>
          <w:trHeight w:val="294"/>
          <w:jc w:val="center"/>
        </w:trPr>
        <w:tc>
          <w:tcPr>
            <w:tcW w:w="4111" w:type="dxa"/>
          </w:tcPr>
          <w:p w14:paraId="1F891DD9" w14:textId="17194AD8"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Ln(bicycle flow)</w:t>
            </w:r>
          </w:p>
        </w:tc>
        <w:tc>
          <w:tcPr>
            <w:tcW w:w="992" w:type="dxa"/>
            <w:shd w:val="clear" w:color="auto" w:fill="auto"/>
            <w:vAlign w:val="bottom"/>
          </w:tcPr>
          <w:p w14:paraId="6A4ACF2B" w14:textId="316DB402"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0.361</w:t>
            </w:r>
          </w:p>
        </w:tc>
        <w:tc>
          <w:tcPr>
            <w:tcW w:w="993" w:type="dxa"/>
            <w:shd w:val="clear" w:color="auto" w:fill="auto"/>
            <w:vAlign w:val="bottom"/>
          </w:tcPr>
          <w:p w14:paraId="52FA8D72" w14:textId="589F8698"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0.070</w:t>
            </w:r>
          </w:p>
        </w:tc>
        <w:tc>
          <w:tcPr>
            <w:tcW w:w="921" w:type="dxa"/>
            <w:shd w:val="clear" w:color="auto" w:fill="auto"/>
            <w:vAlign w:val="bottom"/>
          </w:tcPr>
          <w:p w14:paraId="71112CAC" w14:textId="7AFB5533"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0.226</w:t>
            </w:r>
          </w:p>
        </w:tc>
        <w:tc>
          <w:tcPr>
            <w:tcW w:w="1578" w:type="dxa"/>
            <w:shd w:val="clear" w:color="auto" w:fill="auto"/>
            <w:vAlign w:val="bottom"/>
          </w:tcPr>
          <w:p w14:paraId="3AEBAFA8" w14:textId="17007985" w:rsidR="00430C4A" w:rsidRPr="00D65519" w:rsidRDefault="00430C4A" w:rsidP="00430C4A">
            <w:pPr>
              <w:spacing w:line="360" w:lineRule="auto"/>
              <w:jc w:val="both"/>
              <w:rPr>
                <w:rFonts w:ascii="Times New Roman" w:eastAsia="Calibri" w:hAnsi="Times New Roman" w:cs="Times New Roman"/>
              </w:rPr>
            </w:pPr>
            <w:r w:rsidRPr="00D65519">
              <w:rPr>
                <w:rFonts w:ascii="Times New Roman" w:hAnsi="Times New Roman" w:cs="Times New Roman"/>
              </w:rPr>
              <w:t>0.500</w:t>
            </w:r>
          </w:p>
        </w:tc>
      </w:tr>
      <w:tr w:rsidR="00D65519" w:rsidRPr="00D65519" w14:paraId="438DB357" w14:textId="77777777" w:rsidTr="00EB1993">
        <w:trPr>
          <w:trHeight w:val="279"/>
          <w:jc w:val="center"/>
        </w:trPr>
        <w:tc>
          <w:tcPr>
            <w:tcW w:w="4111" w:type="dxa"/>
          </w:tcPr>
          <w:p w14:paraId="54310636" w14:textId="77777777"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Ln(right turning AADT)</w:t>
            </w:r>
          </w:p>
        </w:tc>
        <w:tc>
          <w:tcPr>
            <w:tcW w:w="992" w:type="dxa"/>
            <w:shd w:val="clear" w:color="auto" w:fill="auto"/>
            <w:vAlign w:val="bottom"/>
          </w:tcPr>
          <w:p w14:paraId="77C82320" w14:textId="08429DB0"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0.268</w:t>
            </w:r>
          </w:p>
        </w:tc>
        <w:tc>
          <w:tcPr>
            <w:tcW w:w="993" w:type="dxa"/>
            <w:shd w:val="clear" w:color="auto" w:fill="auto"/>
            <w:vAlign w:val="bottom"/>
          </w:tcPr>
          <w:p w14:paraId="53F876D7" w14:textId="7EA82F84"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0.078</w:t>
            </w:r>
          </w:p>
        </w:tc>
        <w:tc>
          <w:tcPr>
            <w:tcW w:w="921" w:type="dxa"/>
            <w:shd w:val="clear" w:color="auto" w:fill="auto"/>
            <w:vAlign w:val="bottom"/>
          </w:tcPr>
          <w:p w14:paraId="7DF3E573" w14:textId="1533DF34"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0.118</w:t>
            </w:r>
          </w:p>
        </w:tc>
        <w:tc>
          <w:tcPr>
            <w:tcW w:w="1578" w:type="dxa"/>
            <w:shd w:val="clear" w:color="auto" w:fill="auto"/>
            <w:vAlign w:val="bottom"/>
          </w:tcPr>
          <w:p w14:paraId="10B67AB2" w14:textId="0206984C"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0.418</w:t>
            </w:r>
          </w:p>
        </w:tc>
      </w:tr>
      <w:tr w:rsidR="00D65519" w:rsidRPr="00D65519" w14:paraId="5366B03B" w14:textId="77777777" w:rsidTr="00EB1993">
        <w:trPr>
          <w:trHeight w:val="294"/>
          <w:jc w:val="center"/>
        </w:trPr>
        <w:tc>
          <w:tcPr>
            <w:tcW w:w="4111" w:type="dxa"/>
          </w:tcPr>
          <w:p w14:paraId="2E25DEAF" w14:textId="77777777"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Ln(left turning AADT)</w:t>
            </w:r>
          </w:p>
        </w:tc>
        <w:tc>
          <w:tcPr>
            <w:tcW w:w="992" w:type="dxa"/>
            <w:shd w:val="clear" w:color="auto" w:fill="auto"/>
            <w:vAlign w:val="bottom"/>
          </w:tcPr>
          <w:p w14:paraId="7DDC9D63" w14:textId="520D5D3F"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0.180</w:t>
            </w:r>
          </w:p>
        </w:tc>
        <w:tc>
          <w:tcPr>
            <w:tcW w:w="993" w:type="dxa"/>
            <w:shd w:val="clear" w:color="auto" w:fill="auto"/>
            <w:vAlign w:val="bottom"/>
          </w:tcPr>
          <w:p w14:paraId="138ED98D" w14:textId="65BF1839"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0.067</w:t>
            </w:r>
          </w:p>
        </w:tc>
        <w:tc>
          <w:tcPr>
            <w:tcW w:w="921" w:type="dxa"/>
            <w:shd w:val="clear" w:color="auto" w:fill="auto"/>
            <w:vAlign w:val="bottom"/>
          </w:tcPr>
          <w:p w14:paraId="6A3CAFFD" w14:textId="6F11277C"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0.054</w:t>
            </w:r>
          </w:p>
        </w:tc>
        <w:tc>
          <w:tcPr>
            <w:tcW w:w="1578" w:type="dxa"/>
            <w:shd w:val="clear" w:color="auto" w:fill="auto"/>
            <w:vAlign w:val="bottom"/>
          </w:tcPr>
          <w:p w14:paraId="35387ED6" w14:textId="0024A5A7" w:rsidR="00430C4A" w:rsidRPr="00D65519" w:rsidRDefault="00430C4A" w:rsidP="00430C4A">
            <w:pPr>
              <w:spacing w:line="360" w:lineRule="auto"/>
              <w:jc w:val="both"/>
              <w:rPr>
                <w:rFonts w:ascii="Times New Roman" w:eastAsia="Calibri" w:hAnsi="Times New Roman" w:cs="Times New Roman"/>
                <w:szCs w:val="20"/>
              </w:rPr>
            </w:pPr>
            <w:r w:rsidRPr="00D65519">
              <w:rPr>
                <w:rFonts w:ascii="Times New Roman" w:hAnsi="Times New Roman" w:cs="Times New Roman"/>
              </w:rPr>
              <w:t>0.331</w:t>
            </w:r>
          </w:p>
        </w:tc>
      </w:tr>
      <w:tr w:rsidR="00D65519" w:rsidRPr="00D65519" w14:paraId="1816ED05" w14:textId="77777777" w:rsidTr="00EB1993">
        <w:trPr>
          <w:trHeight w:val="279"/>
          <w:jc w:val="center"/>
        </w:trPr>
        <w:tc>
          <w:tcPr>
            <w:tcW w:w="4111" w:type="dxa"/>
          </w:tcPr>
          <w:p w14:paraId="2583B521" w14:textId="77777777"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Number of subway stations</w:t>
            </w:r>
          </w:p>
        </w:tc>
        <w:tc>
          <w:tcPr>
            <w:tcW w:w="992" w:type="dxa"/>
            <w:shd w:val="clear" w:color="auto" w:fill="auto"/>
            <w:vAlign w:val="bottom"/>
          </w:tcPr>
          <w:p w14:paraId="48C889D4" w14:textId="2DF21881"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0.195</w:t>
            </w:r>
          </w:p>
        </w:tc>
        <w:tc>
          <w:tcPr>
            <w:tcW w:w="993" w:type="dxa"/>
            <w:shd w:val="clear" w:color="auto" w:fill="auto"/>
            <w:vAlign w:val="bottom"/>
          </w:tcPr>
          <w:p w14:paraId="505C77DC" w14:textId="3BA2E042"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0.102</w:t>
            </w:r>
          </w:p>
        </w:tc>
        <w:tc>
          <w:tcPr>
            <w:tcW w:w="921" w:type="dxa"/>
            <w:shd w:val="clear" w:color="auto" w:fill="auto"/>
            <w:vAlign w:val="bottom"/>
          </w:tcPr>
          <w:p w14:paraId="066F17B4" w14:textId="7282242F"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0.025</w:t>
            </w:r>
          </w:p>
        </w:tc>
        <w:tc>
          <w:tcPr>
            <w:tcW w:w="1578" w:type="dxa"/>
            <w:shd w:val="clear" w:color="auto" w:fill="auto"/>
            <w:vAlign w:val="bottom"/>
          </w:tcPr>
          <w:p w14:paraId="6EED13A1" w14:textId="05B3019C"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0.391</w:t>
            </w:r>
          </w:p>
        </w:tc>
      </w:tr>
      <w:tr w:rsidR="00D65519" w:rsidRPr="00D65519" w14:paraId="66D2A473" w14:textId="77777777" w:rsidTr="00EB1993">
        <w:trPr>
          <w:trHeight w:val="294"/>
          <w:jc w:val="center"/>
        </w:trPr>
        <w:tc>
          <w:tcPr>
            <w:tcW w:w="4111" w:type="dxa"/>
          </w:tcPr>
          <w:p w14:paraId="428F9116" w14:textId="77777777"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bus stop</w:t>
            </w:r>
          </w:p>
        </w:tc>
        <w:tc>
          <w:tcPr>
            <w:tcW w:w="992" w:type="dxa"/>
            <w:shd w:val="clear" w:color="auto" w:fill="auto"/>
            <w:vAlign w:val="bottom"/>
          </w:tcPr>
          <w:p w14:paraId="18BDE2A5" w14:textId="37528BA3"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0.491</w:t>
            </w:r>
          </w:p>
        </w:tc>
        <w:tc>
          <w:tcPr>
            <w:tcW w:w="993" w:type="dxa"/>
            <w:shd w:val="clear" w:color="auto" w:fill="auto"/>
            <w:vAlign w:val="bottom"/>
          </w:tcPr>
          <w:p w14:paraId="47AC8BC3" w14:textId="74C3AD2D"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0.192</w:t>
            </w:r>
          </w:p>
        </w:tc>
        <w:tc>
          <w:tcPr>
            <w:tcW w:w="921" w:type="dxa"/>
            <w:shd w:val="clear" w:color="auto" w:fill="auto"/>
            <w:vAlign w:val="bottom"/>
          </w:tcPr>
          <w:p w14:paraId="417A9E0B" w14:textId="11D783B2"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0.098</w:t>
            </w:r>
          </w:p>
        </w:tc>
        <w:tc>
          <w:tcPr>
            <w:tcW w:w="1578" w:type="dxa"/>
            <w:shd w:val="clear" w:color="auto" w:fill="auto"/>
            <w:vAlign w:val="bottom"/>
          </w:tcPr>
          <w:p w14:paraId="180DDC8C" w14:textId="13E41052" w:rsidR="00B73AF3" w:rsidRPr="00D65519" w:rsidRDefault="00B73AF3" w:rsidP="00B73AF3">
            <w:pPr>
              <w:spacing w:line="360" w:lineRule="auto"/>
              <w:jc w:val="both"/>
              <w:rPr>
                <w:rFonts w:ascii="Times New Roman" w:eastAsia="Calibri" w:hAnsi="Times New Roman" w:cs="Times New Roman"/>
                <w:szCs w:val="20"/>
              </w:rPr>
            </w:pPr>
            <w:r w:rsidRPr="00D65519">
              <w:rPr>
                <w:rFonts w:ascii="Times New Roman" w:hAnsi="Times New Roman" w:cs="Times New Roman"/>
              </w:rPr>
              <w:t>0.862</w:t>
            </w:r>
          </w:p>
        </w:tc>
      </w:tr>
      <w:tr w:rsidR="00D65519" w:rsidRPr="00D65519" w14:paraId="0F13B8B0" w14:textId="77777777" w:rsidTr="00EB1993">
        <w:trPr>
          <w:trHeight w:val="279"/>
          <w:jc w:val="center"/>
        </w:trPr>
        <w:tc>
          <w:tcPr>
            <w:tcW w:w="4111" w:type="dxa"/>
          </w:tcPr>
          <w:p w14:paraId="4D1B9114" w14:textId="77777777" w:rsidR="0063508E" w:rsidRPr="00D65519" w:rsidRDefault="0063508E"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Presence of school</w:t>
            </w:r>
          </w:p>
        </w:tc>
        <w:tc>
          <w:tcPr>
            <w:tcW w:w="992" w:type="dxa"/>
            <w:shd w:val="clear" w:color="auto" w:fill="auto"/>
            <w:vAlign w:val="bottom"/>
          </w:tcPr>
          <w:p w14:paraId="3599934B" w14:textId="77777777" w:rsidR="0063508E" w:rsidRPr="00D65519" w:rsidRDefault="0063508E" w:rsidP="00EB1993">
            <w:pPr>
              <w:spacing w:line="360" w:lineRule="auto"/>
              <w:jc w:val="both"/>
              <w:rPr>
                <w:rFonts w:ascii="Times New Roman" w:eastAsia="Calibri" w:hAnsi="Times New Roman" w:cs="Times New Roman"/>
                <w:i/>
                <w:iCs/>
                <w:szCs w:val="20"/>
              </w:rPr>
            </w:pPr>
          </w:p>
        </w:tc>
        <w:tc>
          <w:tcPr>
            <w:tcW w:w="993" w:type="dxa"/>
            <w:shd w:val="clear" w:color="auto" w:fill="auto"/>
            <w:vAlign w:val="bottom"/>
          </w:tcPr>
          <w:p w14:paraId="5FB474B8" w14:textId="77777777" w:rsidR="0063508E" w:rsidRPr="00D65519" w:rsidRDefault="0063508E" w:rsidP="00EB1993">
            <w:pPr>
              <w:spacing w:line="360" w:lineRule="auto"/>
              <w:jc w:val="both"/>
              <w:rPr>
                <w:rFonts w:ascii="Times New Roman" w:eastAsia="Calibri" w:hAnsi="Times New Roman" w:cs="Times New Roman"/>
                <w:i/>
                <w:iCs/>
                <w:szCs w:val="20"/>
              </w:rPr>
            </w:pPr>
          </w:p>
        </w:tc>
        <w:tc>
          <w:tcPr>
            <w:tcW w:w="921" w:type="dxa"/>
            <w:shd w:val="clear" w:color="auto" w:fill="auto"/>
            <w:vAlign w:val="bottom"/>
          </w:tcPr>
          <w:p w14:paraId="28EE93D5" w14:textId="77777777" w:rsidR="0063508E" w:rsidRPr="00D65519" w:rsidRDefault="0063508E" w:rsidP="00EB1993">
            <w:pPr>
              <w:spacing w:line="360" w:lineRule="auto"/>
              <w:jc w:val="both"/>
              <w:rPr>
                <w:rFonts w:ascii="Times New Roman" w:eastAsia="Calibri" w:hAnsi="Times New Roman" w:cs="Times New Roman"/>
                <w:i/>
                <w:iCs/>
                <w:szCs w:val="20"/>
              </w:rPr>
            </w:pPr>
          </w:p>
        </w:tc>
        <w:tc>
          <w:tcPr>
            <w:tcW w:w="1578" w:type="dxa"/>
            <w:shd w:val="clear" w:color="auto" w:fill="auto"/>
            <w:vAlign w:val="bottom"/>
          </w:tcPr>
          <w:p w14:paraId="63AA15D0" w14:textId="77777777" w:rsidR="0063508E" w:rsidRPr="00D65519" w:rsidRDefault="0063508E" w:rsidP="00EB1993">
            <w:pPr>
              <w:spacing w:line="360" w:lineRule="auto"/>
              <w:jc w:val="both"/>
              <w:rPr>
                <w:rFonts w:ascii="Times New Roman" w:eastAsia="Calibri" w:hAnsi="Times New Roman" w:cs="Times New Roman"/>
                <w:i/>
                <w:iCs/>
                <w:szCs w:val="20"/>
              </w:rPr>
            </w:pPr>
          </w:p>
        </w:tc>
      </w:tr>
      <w:tr w:rsidR="00D65519" w:rsidRPr="00D65519" w14:paraId="1FF38451" w14:textId="77777777" w:rsidTr="00EB1993">
        <w:trPr>
          <w:trHeight w:val="279"/>
          <w:jc w:val="center"/>
        </w:trPr>
        <w:tc>
          <w:tcPr>
            <w:tcW w:w="4111" w:type="dxa"/>
          </w:tcPr>
          <w:p w14:paraId="02A0EF8A" w14:textId="77777777" w:rsidR="0018294B" w:rsidRPr="00D65519" w:rsidRDefault="0018294B" w:rsidP="0018294B">
            <w:pPr>
              <w:spacing w:line="360" w:lineRule="auto"/>
              <w:jc w:val="right"/>
              <w:rPr>
                <w:rFonts w:ascii="Times New Roman" w:eastAsia="Calibri" w:hAnsi="Times New Roman" w:cs="Times New Roman"/>
                <w:i/>
                <w:iCs/>
                <w:szCs w:val="20"/>
              </w:rPr>
            </w:pPr>
            <w:r w:rsidRPr="00D65519">
              <w:rPr>
                <w:rFonts w:ascii="Times New Roman" w:eastAsia="Calibri" w:hAnsi="Times New Roman" w:cs="Times New Roman"/>
                <w:i/>
                <w:iCs/>
                <w:szCs w:val="20"/>
              </w:rPr>
              <w:t>Mean</w:t>
            </w:r>
          </w:p>
        </w:tc>
        <w:tc>
          <w:tcPr>
            <w:tcW w:w="992" w:type="dxa"/>
            <w:shd w:val="clear" w:color="auto" w:fill="auto"/>
            <w:vAlign w:val="bottom"/>
          </w:tcPr>
          <w:p w14:paraId="73122C10" w14:textId="47B44D4B"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1.056</w:t>
            </w:r>
          </w:p>
        </w:tc>
        <w:tc>
          <w:tcPr>
            <w:tcW w:w="993" w:type="dxa"/>
            <w:shd w:val="clear" w:color="auto" w:fill="auto"/>
            <w:vAlign w:val="bottom"/>
          </w:tcPr>
          <w:p w14:paraId="1B316517" w14:textId="6B061F38"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0.303</w:t>
            </w:r>
          </w:p>
        </w:tc>
        <w:tc>
          <w:tcPr>
            <w:tcW w:w="921" w:type="dxa"/>
            <w:shd w:val="clear" w:color="auto" w:fill="auto"/>
            <w:vAlign w:val="bottom"/>
          </w:tcPr>
          <w:p w14:paraId="50FFF6E6" w14:textId="64E8938A"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0.518</w:t>
            </w:r>
          </w:p>
        </w:tc>
        <w:tc>
          <w:tcPr>
            <w:tcW w:w="1578" w:type="dxa"/>
            <w:shd w:val="clear" w:color="auto" w:fill="auto"/>
            <w:vAlign w:val="bottom"/>
          </w:tcPr>
          <w:p w14:paraId="06AFC3B4" w14:textId="4970FA10"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1.545</w:t>
            </w:r>
          </w:p>
        </w:tc>
      </w:tr>
      <w:tr w:rsidR="00D65519" w:rsidRPr="00D65519" w14:paraId="76044225" w14:textId="77777777" w:rsidTr="00485999">
        <w:trPr>
          <w:trHeight w:val="279"/>
          <w:jc w:val="center"/>
        </w:trPr>
        <w:tc>
          <w:tcPr>
            <w:tcW w:w="4111" w:type="dxa"/>
          </w:tcPr>
          <w:p w14:paraId="5C27EC8B" w14:textId="77777777" w:rsidR="0018294B" w:rsidRPr="00D65519" w:rsidRDefault="0018294B" w:rsidP="0018294B">
            <w:pPr>
              <w:spacing w:line="360" w:lineRule="auto"/>
              <w:jc w:val="right"/>
              <w:rPr>
                <w:rFonts w:ascii="Times New Roman" w:eastAsia="Calibri" w:hAnsi="Times New Roman" w:cs="Times New Roman"/>
                <w:i/>
                <w:iCs/>
                <w:szCs w:val="20"/>
              </w:rPr>
            </w:pPr>
            <w:r w:rsidRPr="00D65519">
              <w:rPr>
                <w:rFonts w:ascii="Times New Roman" w:eastAsia="Calibri" w:hAnsi="Times New Roman" w:cs="Times New Roman"/>
                <w:i/>
                <w:iCs/>
                <w:szCs w:val="20"/>
              </w:rPr>
              <w:t>Variance</w:t>
            </w:r>
          </w:p>
        </w:tc>
        <w:tc>
          <w:tcPr>
            <w:tcW w:w="992" w:type="dxa"/>
            <w:shd w:val="clear" w:color="auto" w:fill="auto"/>
            <w:vAlign w:val="bottom"/>
          </w:tcPr>
          <w:p w14:paraId="02AA7787" w14:textId="0E3604FE"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0.077</w:t>
            </w:r>
          </w:p>
        </w:tc>
        <w:tc>
          <w:tcPr>
            <w:tcW w:w="993" w:type="dxa"/>
            <w:shd w:val="clear" w:color="auto" w:fill="auto"/>
            <w:vAlign w:val="bottom"/>
          </w:tcPr>
          <w:p w14:paraId="60B82027" w14:textId="496A3B32"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0.106</w:t>
            </w:r>
          </w:p>
        </w:tc>
        <w:tc>
          <w:tcPr>
            <w:tcW w:w="921" w:type="dxa"/>
            <w:shd w:val="clear" w:color="auto" w:fill="auto"/>
            <w:vAlign w:val="bottom"/>
          </w:tcPr>
          <w:p w14:paraId="12B65529" w14:textId="0B6DCC7A"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0.000</w:t>
            </w:r>
          </w:p>
        </w:tc>
        <w:tc>
          <w:tcPr>
            <w:tcW w:w="1578" w:type="dxa"/>
            <w:shd w:val="clear" w:color="auto" w:fill="auto"/>
            <w:vAlign w:val="bottom"/>
          </w:tcPr>
          <w:p w14:paraId="77EDB9F7" w14:textId="0E4A1999" w:rsidR="0018294B" w:rsidRPr="00D65519" w:rsidRDefault="0018294B" w:rsidP="0018294B">
            <w:pPr>
              <w:spacing w:line="360" w:lineRule="auto"/>
              <w:jc w:val="both"/>
              <w:rPr>
                <w:rFonts w:ascii="Times New Roman" w:eastAsia="Calibri" w:hAnsi="Times New Roman" w:cs="Times New Roman"/>
                <w:i/>
                <w:iCs/>
              </w:rPr>
            </w:pPr>
            <w:r w:rsidRPr="00D65519">
              <w:rPr>
                <w:rFonts w:ascii="Times New Roman" w:hAnsi="Times New Roman" w:cs="Times New Roman"/>
                <w:i/>
                <w:iCs/>
              </w:rPr>
              <w:t>0.374</w:t>
            </w:r>
          </w:p>
        </w:tc>
      </w:tr>
      <w:tr w:rsidR="00D65519" w:rsidRPr="00D65519" w14:paraId="630F77C4" w14:textId="77777777" w:rsidTr="00EB1993">
        <w:trPr>
          <w:trHeight w:val="279"/>
          <w:jc w:val="center"/>
        </w:trPr>
        <w:tc>
          <w:tcPr>
            <w:tcW w:w="4111" w:type="dxa"/>
          </w:tcPr>
          <w:p w14:paraId="1C6A8ABE" w14:textId="77777777" w:rsidR="0063508E" w:rsidRPr="00D65519" w:rsidRDefault="0063508E" w:rsidP="00EB1993">
            <w:pPr>
              <w:spacing w:line="360" w:lineRule="auto"/>
              <w:jc w:val="both"/>
              <w:rPr>
                <w:rFonts w:ascii="Times New Roman" w:eastAsia="Calibri" w:hAnsi="Times New Roman" w:cs="Times New Roman"/>
                <w:szCs w:val="20"/>
              </w:rPr>
            </w:pPr>
          </w:p>
        </w:tc>
        <w:tc>
          <w:tcPr>
            <w:tcW w:w="992" w:type="dxa"/>
            <w:shd w:val="clear" w:color="auto" w:fill="auto"/>
            <w:vAlign w:val="bottom"/>
          </w:tcPr>
          <w:p w14:paraId="3E5953E5" w14:textId="77777777" w:rsidR="0063508E" w:rsidRPr="00D65519" w:rsidRDefault="0063508E" w:rsidP="00EB1993">
            <w:pPr>
              <w:spacing w:line="360" w:lineRule="auto"/>
              <w:jc w:val="both"/>
              <w:rPr>
                <w:rFonts w:ascii="Times New Roman" w:eastAsia="Calibri" w:hAnsi="Times New Roman" w:cs="Times New Roman"/>
                <w:szCs w:val="20"/>
              </w:rPr>
            </w:pPr>
          </w:p>
        </w:tc>
        <w:tc>
          <w:tcPr>
            <w:tcW w:w="993" w:type="dxa"/>
            <w:shd w:val="clear" w:color="auto" w:fill="auto"/>
            <w:vAlign w:val="bottom"/>
          </w:tcPr>
          <w:p w14:paraId="03F44CDD" w14:textId="77777777" w:rsidR="0063508E" w:rsidRPr="00D65519" w:rsidRDefault="0063508E" w:rsidP="00EB1993">
            <w:pPr>
              <w:spacing w:line="360" w:lineRule="auto"/>
              <w:jc w:val="both"/>
              <w:rPr>
                <w:rFonts w:ascii="Times New Roman" w:eastAsia="Calibri" w:hAnsi="Times New Roman" w:cs="Times New Roman"/>
                <w:szCs w:val="20"/>
              </w:rPr>
            </w:pPr>
          </w:p>
        </w:tc>
        <w:tc>
          <w:tcPr>
            <w:tcW w:w="921" w:type="dxa"/>
            <w:shd w:val="clear" w:color="auto" w:fill="auto"/>
            <w:vAlign w:val="bottom"/>
          </w:tcPr>
          <w:p w14:paraId="4E357780" w14:textId="77777777" w:rsidR="0063508E" w:rsidRPr="00D65519" w:rsidRDefault="0063508E" w:rsidP="00EB1993">
            <w:pPr>
              <w:spacing w:line="360" w:lineRule="auto"/>
              <w:jc w:val="both"/>
              <w:rPr>
                <w:rFonts w:ascii="Times New Roman" w:eastAsia="Calibri" w:hAnsi="Times New Roman" w:cs="Times New Roman"/>
                <w:szCs w:val="20"/>
              </w:rPr>
            </w:pPr>
          </w:p>
        </w:tc>
        <w:tc>
          <w:tcPr>
            <w:tcW w:w="1578" w:type="dxa"/>
            <w:shd w:val="clear" w:color="auto" w:fill="auto"/>
            <w:vAlign w:val="bottom"/>
          </w:tcPr>
          <w:p w14:paraId="743652B2" w14:textId="77777777" w:rsidR="0063508E" w:rsidRPr="00D65519" w:rsidRDefault="0063508E" w:rsidP="00EB1993">
            <w:pPr>
              <w:spacing w:line="360" w:lineRule="auto"/>
              <w:jc w:val="both"/>
              <w:rPr>
                <w:rFonts w:ascii="Times New Roman" w:eastAsia="Calibri" w:hAnsi="Times New Roman" w:cs="Times New Roman"/>
                <w:szCs w:val="20"/>
              </w:rPr>
            </w:pPr>
          </w:p>
        </w:tc>
      </w:tr>
      <w:tr w:rsidR="00D65519" w:rsidRPr="00D65519" w14:paraId="024802C7" w14:textId="77777777" w:rsidTr="00EB1993">
        <w:trPr>
          <w:trHeight w:val="279"/>
          <w:jc w:val="center"/>
        </w:trPr>
        <w:tc>
          <w:tcPr>
            <w:tcW w:w="5103" w:type="dxa"/>
            <w:gridSpan w:val="2"/>
          </w:tcPr>
          <w:p w14:paraId="637272D7" w14:textId="77777777" w:rsidR="0063508E" w:rsidRPr="00D65519" w:rsidRDefault="0063508E"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Presence of school binary probit model</w:t>
            </w:r>
          </w:p>
        </w:tc>
        <w:tc>
          <w:tcPr>
            <w:tcW w:w="993" w:type="dxa"/>
            <w:shd w:val="clear" w:color="auto" w:fill="auto"/>
            <w:vAlign w:val="bottom"/>
          </w:tcPr>
          <w:p w14:paraId="38AC9DBD" w14:textId="77777777" w:rsidR="0063508E" w:rsidRPr="00D65519" w:rsidRDefault="0063508E" w:rsidP="00EB1993">
            <w:pPr>
              <w:spacing w:line="360" w:lineRule="auto"/>
              <w:jc w:val="both"/>
              <w:rPr>
                <w:rFonts w:ascii="Times New Roman" w:eastAsia="Calibri" w:hAnsi="Times New Roman" w:cs="Times New Roman"/>
                <w:szCs w:val="20"/>
              </w:rPr>
            </w:pPr>
          </w:p>
        </w:tc>
        <w:tc>
          <w:tcPr>
            <w:tcW w:w="921" w:type="dxa"/>
            <w:shd w:val="clear" w:color="auto" w:fill="auto"/>
            <w:vAlign w:val="bottom"/>
          </w:tcPr>
          <w:p w14:paraId="512C2A42" w14:textId="77777777" w:rsidR="0063508E" w:rsidRPr="00D65519" w:rsidRDefault="0063508E" w:rsidP="00EB1993">
            <w:pPr>
              <w:spacing w:line="360" w:lineRule="auto"/>
              <w:jc w:val="both"/>
              <w:rPr>
                <w:rFonts w:ascii="Times New Roman" w:eastAsia="Calibri" w:hAnsi="Times New Roman" w:cs="Times New Roman"/>
                <w:szCs w:val="20"/>
              </w:rPr>
            </w:pPr>
          </w:p>
        </w:tc>
        <w:tc>
          <w:tcPr>
            <w:tcW w:w="1578" w:type="dxa"/>
            <w:shd w:val="clear" w:color="auto" w:fill="auto"/>
            <w:vAlign w:val="bottom"/>
          </w:tcPr>
          <w:p w14:paraId="265E1493" w14:textId="77777777" w:rsidR="0063508E" w:rsidRPr="00D65519" w:rsidRDefault="0063508E" w:rsidP="00EB1993">
            <w:pPr>
              <w:spacing w:line="360" w:lineRule="auto"/>
              <w:jc w:val="both"/>
              <w:rPr>
                <w:rFonts w:ascii="Times New Roman" w:eastAsia="Calibri" w:hAnsi="Times New Roman" w:cs="Times New Roman"/>
                <w:szCs w:val="20"/>
              </w:rPr>
            </w:pPr>
          </w:p>
        </w:tc>
      </w:tr>
      <w:tr w:rsidR="00D65519" w:rsidRPr="00D65519" w14:paraId="0F97B23E" w14:textId="77777777" w:rsidTr="00EB1993">
        <w:trPr>
          <w:trHeight w:val="279"/>
          <w:jc w:val="center"/>
        </w:trPr>
        <w:tc>
          <w:tcPr>
            <w:tcW w:w="4111" w:type="dxa"/>
          </w:tcPr>
          <w:p w14:paraId="1F9F48B0" w14:textId="311E393D" w:rsidR="00F62D0D" w:rsidRPr="00D65519" w:rsidRDefault="00F62D0D" w:rsidP="00F62D0D">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Constant</w:t>
            </w:r>
          </w:p>
        </w:tc>
        <w:tc>
          <w:tcPr>
            <w:tcW w:w="992" w:type="dxa"/>
            <w:shd w:val="clear" w:color="auto" w:fill="auto"/>
            <w:vAlign w:val="bottom"/>
          </w:tcPr>
          <w:p w14:paraId="3CB44ADA" w14:textId="09A6D7B6"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-1.751</w:t>
            </w:r>
          </w:p>
        </w:tc>
        <w:tc>
          <w:tcPr>
            <w:tcW w:w="993" w:type="dxa"/>
            <w:shd w:val="clear" w:color="auto" w:fill="auto"/>
            <w:vAlign w:val="bottom"/>
          </w:tcPr>
          <w:p w14:paraId="6BA85F8A" w14:textId="60AE0844"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0.200</w:t>
            </w:r>
          </w:p>
        </w:tc>
        <w:tc>
          <w:tcPr>
            <w:tcW w:w="921" w:type="dxa"/>
            <w:shd w:val="clear" w:color="auto" w:fill="auto"/>
            <w:vAlign w:val="bottom"/>
          </w:tcPr>
          <w:p w14:paraId="356622E0" w14:textId="0F80022B"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-2.157</w:t>
            </w:r>
          </w:p>
        </w:tc>
        <w:tc>
          <w:tcPr>
            <w:tcW w:w="1578" w:type="dxa"/>
            <w:shd w:val="clear" w:color="auto" w:fill="auto"/>
            <w:vAlign w:val="bottom"/>
          </w:tcPr>
          <w:p w14:paraId="2A54BB07" w14:textId="3CDFE52B"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-1.366</w:t>
            </w:r>
          </w:p>
        </w:tc>
      </w:tr>
      <w:tr w:rsidR="00D65519" w:rsidRPr="00D65519" w14:paraId="151A3267" w14:textId="77777777" w:rsidTr="00EB1993">
        <w:trPr>
          <w:trHeight w:val="279"/>
          <w:jc w:val="center"/>
        </w:trPr>
        <w:tc>
          <w:tcPr>
            <w:tcW w:w="4111" w:type="dxa"/>
          </w:tcPr>
          <w:p w14:paraId="6D4EFB67" w14:textId="24F04C66" w:rsidR="00F62D0D" w:rsidRPr="00D65519" w:rsidRDefault="00F62D0D" w:rsidP="00F62D0D">
            <w:pPr>
              <w:spacing w:line="360" w:lineRule="auto"/>
              <w:jc w:val="left"/>
              <w:rPr>
                <w:rFonts w:ascii="Times New Roman" w:eastAsia="Calibri" w:hAnsi="Times New Roman" w:cs="Times New Roman"/>
                <w:szCs w:val="20"/>
              </w:rPr>
            </w:pPr>
            <w:r w:rsidRPr="00D65519">
              <w:rPr>
                <w:rFonts w:ascii="Times New Roman" w:eastAsia="Calibri" w:hAnsi="Times New Roman" w:cs="Times New Roman"/>
                <w:szCs w:val="20"/>
              </w:rPr>
              <w:t>Employment</w:t>
            </w:r>
          </w:p>
        </w:tc>
        <w:tc>
          <w:tcPr>
            <w:tcW w:w="992" w:type="dxa"/>
            <w:shd w:val="clear" w:color="auto" w:fill="auto"/>
            <w:vAlign w:val="bottom"/>
          </w:tcPr>
          <w:p w14:paraId="0A0F7D0E" w14:textId="74676947"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2.017</w:t>
            </w:r>
          </w:p>
        </w:tc>
        <w:tc>
          <w:tcPr>
            <w:tcW w:w="993" w:type="dxa"/>
            <w:shd w:val="clear" w:color="auto" w:fill="auto"/>
            <w:vAlign w:val="bottom"/>
          </w:tcPr>
          <w:p w14:paraId="0F3D4573" w14:textId="3E3EADA6"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0.221</w:t>
            </w:r>
          </w:p>
        </w:tc>
        <w:tc>
          <w:tcPr>
            <w:tcW w:w="921" w:type="dxa"/>
            <w:shd w:val="clear" w:color="auto" w:fill="auto"/>
            <w:vAlign w:val="bottom"/>
          </w:tcPr>
          <w:p w14:paraId="3C9E0B91" w14:textId="05987FAB"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1.603</w:t>
            </w:r>
          </w:p>
        </w:tc>
        <w:tc>
          <w:tcPr>
            <w:tcW w:w="1578" w:type="dxa"/>
            <w:shd w:val="clear" w:color="auto" w:fill="auto"/>
            <w:vAlign w:val="bottom"/>
          </w:tcPr>
          <w:p w14:paraId="162E9BC3" w14:textId="466665BD" w:rsidR="00F62D0D" w:rsidRPr="00D65519" w:rsidRDefault="00F62D0D" w:rsidP="00F62D0D">
            <w:pPr>
              <w:spacing w:line="360" w:lineRule="auto"/>
              <w:jc w:val="left"/>
              <w:rPr>
                <w:rFonts w:ascii="Times New Roman" w:eastAsia="Calibri" w:hAnsi="Times New Roman" w:cs="Times New Roman"/>
              </w:rPr>
            </w:pPr>
            <w:r w:rsidRPr="00D65519">
              <w:rPr>
                <w:rFonts w:ascii="Times New Roman" w:hAnsi="Times New Roman" w:cs="Times New Roman"/>
              </w:rPr>
              <w:t>2.466</w:t>
            </w:r>
          </w:p>
        </w:tc>
      </w:tr>
      <w:tr w:rsidR="00D65519" w:rsidRPr="00D65519" w14:paraId="05EC7661" w14:textId="77777777" w:rsidTr="00EB1993">
        <w:trPr>
          <w:trHeight w:val="279"/>
          <w:jc w:val="center"/>
        </w:trPr>
        <w:tc>
          <w:tcPr>
            <w:tcW w:w="4111" w:type="dxa"/>
          </w:tcPr>
          <w:p w14:paraId="499DBEED" w14:textId="77777777"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Land use mix</w:t>
            </w:r>
          </w:p>
        </w:tc>
        <w:tc>
          <w:tcPr>
            <w:tcW w:w="992" w:type="dxa"/>
            <w:shd w:val="clear" w:color="auto" w:fill="auto"/>
            <w:vAlign w:val="bottom"/>
          </w:tcPr>
          <w:p w14:paraId="43B27219" w14:textId="613E929B"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0.694</w:t>
            </w:r>
          </w:p>
        </w:tc>
        <w:tc>
          <w:tcPr>
            <w:tcW w:w="993" w:type="dxa"/>
            <w:shd w:val="clear" w:color="auto" w:fill="auto"/>
            <w:vAlign w:val="bottom"/>
          </w:tcPr>
          <w:p w14:paraId="2FD0076B" w14:textId="388B1BC0"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0.285</w:t>
            </w:r>
          </w:p>
        </w:tc>
        <w:tc>
          <w:tcPr>
            <w:tcW w:w="921" w:type="dxa"/>
            <w:shd w:val="clear" w:color="auto" w:fill="auto"/>
            <w:vAlign w:val="bottom"/>
          </w:tcPr>
          <w:p w14:paraId="5AB961A5" w14:textId="4BB46D9D"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0.141</w:t>
            </w:r>
          </w:p>
        </w:tc>
        <w:tc>
          <w:tcPr>
            <w:tcW w:w="1578" w:type="dxa"/>
            <w:shd w:val="clear" w:color="auto" w:fill="auto"/>
            <w:vAlign w:val="bottom"/>
          </w:tcPr>
          <w:p w14:paraId="14E3E59D" w14:textId="63DE0A35"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1.273</w:t>
            </w:r>
          </w:p>
        </w:tc>
      </w:tr>
      <w:tr w:rsidR="00D65519" w:rsidRPr="00D65519" w14:paraId="4D13CE6F" w14:textId="77777777" w:rsidTr="00EB1993">
        <w:trPr>
          <w:trHeight w:val="279"/>
          <w:jc w:val="center"/>
        </w:trPr>
        <w:tc>
          <w:tcPr>
            <w:tcW w:w="4111" w:type="dxa"/>
          </w:tcPr>
          <w:p w14:paraId="5B861F82" w14:textId="77777777"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a bus stop</w:t>
            </w:r>
          </w:p>
        </w:tc>
        <w:tc>
          <w:tcPr>
            <w:tcW w:w="992" w:type="dxa"/>
            <w:shd w:val="clear" w:color="auto" w:fill="auto"/>
            <w:vAlign w:val="bottom"/>
          </w:tcPr>
          <w:p w14:paraId="4373A7E0" w14:textId="0344137F"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0.407</w:t>
            </w:r>
          </w:p>
        </w:tc>
        <w:tc>
          <w:tcPr>
            <w:tcW w:w="993" w:type="dxa"/>
            <w:shd w:val="clear" w:color="auto" w:fill="auto"/>
            <w:vAlign w:val="bottom"/>
          </w:tcPr>
          <w:p w14:paraId="46FC1A8F" w14:textId="65AC92A7"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0.125</w:t>
            </w:r>
          </w:p>
        </w:tc>
        <w:tc>
          <w:tcPr>
            <w:tcW w:w="921" w:type="dxa"/>
            <w:shd w:val="clear" w:color="auto" w:fill="auto"/>
            <w:vAlign w:val="bottom"/>
          </w:tcPr>
          <w:p w14:paraId="5093C627" w14:textId="2882EE42"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0.162</w:t>
            </w:r>
          </w:p>
        </w:tc>
        <w:tc>
          <w:tcPr>
            <w:tcW w:w="1578" w:type="dxa"/>
            <w:shd w:val="clear" w:color="auto" w:fill="auto"/>
            <w:vAlign w:val="bottom"/>
          </w:tcPr>
          <w:p w14:paraId="502596B7" w14:textId="41FB1F6F"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0.647</w:t>
            </w:r>
          </w:p>
        </w:tc>
      </w:tr>
      <w:tr w:rsidR="00D65519" w:rsidRPr="00D65519" w14:paraId="00CF291C" w14:textId="77777777" w:rsidTr="00EB1993">
        <w:trPr>
          <w:trHeight w:val="279"/>
          <w:jc w:val="center"/>
        </w:trPr>
        <w:tc>
          <w:tcPr>
            <w:tcW w:w="4111" w:type="dxa"/>
          </w:tcPr>
          <w:p w14:paraId="0BE35E01" w14:textId="77777777"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Ratio of non-motorised to motorised volume</w:t>
            </w:r>
          </w:p>
        </w:tc>
        <w:tc>
          <w:tcPr>
            <w:tcW w:w="992" w:type="dxa"/>
            <w:shd w:val="clear" w:color="auto" w:fill="auto"/>
            <w:vAlign w:val="bottom"/>
          </w:tcPr>
          <w:p w14:paraId="2C9A127F" w14:textId="59F1CDC6"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1.533</w:t>
            </w:r>
          </w:p>
        </w:tc>
        <w:tc>
          <w:tcPr>
            <w:tcW w:w="993" w:type="dxa"/>
            <w:shd w:val="clear" w:color="auto" w:fill="auto"/>
            <w:vAlign w:val="bottom"/>
          </w:tcPr>
          <w:p w14:paraId="2DC46C94" w14:textId="2C7006B6"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0.402</w:t>
            </w:r>
          </w:p>
        </w:tc>
        <w:tc>
          <w:tcPr>
            <w:tcW w:w="921" w:type="dxa"/>
            <w:shd w:val="clear" w:color="auto" w:fill="auto"/>
            <w:vAlign w:val="bottom"/>
          </w:tcPr>
          <w:p w14:paraId="63862675" w14:textId="60BE4F87"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0.803</w:t>
            </w:r>
          </w:p>
        </w:tc>
        <w:tc>
          <w:tcPr>
            <w:tcW w:w="1578" w:type="dxa"/>
            <w:shd w:val="clear" w:color="auto" w:fill="auto"/>
            <w:vAlign w:val="bottom"/>
          </w:tcPr>
          <w:p w14:paraId="2C7E354A" w14:textId="7FFDDEF5" w:rsidR="00FD7557" w:rsidRPr="00D65519" w:rsidRDefault="00FD7557" w:rsidP="00FD7557">
            <w:pPr>
              <w:spacing w:line="360" w:lineRule="auto"/>
              <w:jc w:val="both"/>
              <w:rPr>
                <w:rFonts w:ascii="Times New Roman" w:eastAsia="Calibri" w:hAnsi="Times New Roman" w:cs="Times New Roman"/>
                <w:szCs w:val="20"/>
              </w:rPr>
            </w:pPr>
            <w:r w:rsidRPr="00D65519">
              <w:rPr>
                <w:rFonts w:ascii="Times New Roman" w:hAnsi="Times New Roman" w:cs="Times New Roman"/>
              </w:rPr>
              <w:t>2.386</w:t>
            </w:r>
          </w:p>
        </w:tc>
      </w:tr>
      <w:tr w:rsidR="00D65519" w:rsidRPr="00D65519" w14:paraId="502DCF5C" w14:textId="77777777" w:rsidTr="00EB1993">
        <w:trPr>
          <w:trHeight w:val="279"/>
          <w:jc w:val="center"/>
        </w:trPr>
        <w:tc>
          <w:tcPr>
            <w:tcW w:w="4111" w:type="dxa"/>
          </w:tcPr>
          <w:p w14:paraId="630A989E" w14:textId="77777777" w:rsidR="0063508E" w:rsidRPr="00D65519" w:rsidRDefault="0063508E" w:rsidP="00EB1993">
            <w:pPr>
              <w:spacing w:line="360" w:lineRule="auto"/>
              <w:jc w:val="both"/>
              <w:rPr>
                <w:rFonts w:ascii="Times New Roman" w:eastAsia="Calibri" w:hAnsi="Times New Roman" w:cs="Times New Roman"/>
                <w:szCs w:val="20"/>
              </w:rPr>
            </w:pPr>
          </w:p>
        </w:tc>
        <w:tc>
          <w:tcPr>
            <w:tcW w:w="992" w:type="dxa"/>
            <w:shd w:val="clear" w:color="auto" w:fill="auto"/>
            <w:vAlign w:val="bottom"/>
          </w:tcPr>
          <w:p w14:paraId="288DDD10" w14:textId="77777777" w:rsidR="0063508E" w:rsidRPr="00D65519" w:rsidRDefault="0063508E" w:rsidP="00EB1993">
            <w:pPr>
              <w:spacing w:line="360" w:lineRule="auto"/>
              <w:jc w:val="both"/>
              <w:rPr>
                <w:rFonts w:ascii="Times New Roman" w:eastAsia="Calibri" w:hAnsi="Times New Roman" w:cs="Times New Roman"/>
              </w:rPr>
            </w:pPr>
          </w:p>
        </w:tc>
        <w:tc>
          <w:tcPr>
            <w:tcW w:w="993" w:type="dxa"/>
            <w:shd w:val="clear" w:color="auto" w:fill="auto"/>
            <w:vAlign w:val="bottom"/>
          </w:tcPr>
          <w:p w14:paraId="6566655C" w14:textId="77777777" w:rsidR="0063508E" w:rsidRPr="00D65519" w:rsidRDefault="0063508E" w:rsidP="00EB1993">
            <w:pPr>
              <w:spacing w:line="360" w:lineRule="auto"/>
              <w:jc w:val="both"/>
              <w:rPr>
                <w:rFonts w:ascii="Times New Roman" w:eastAsia="Calibri" w:hAnsi="Times New Roman" w:cs="Times New Roman"/>
              </w:rPr>
            </w:pPr>
          </w:p>
        </w:tc>
        <w:tc>
          <w:tcPr>
            <w:tcW w:w="921" w:type="dxa"/>
            <w:shd w:val="clear" w:color="auto" w:fill="auto"/>
            <w:vAlign w:val="bottom"/>
          </w:tcPr>
          <w:p w14:paraId="244B5D41" w14:textId="77777777" w:rsidR="0063508E" w:rsidRPr="00D65519" w:rsidRDefault="0063508E" w:rsidP="00EB1993">
            <w:pPr>
              <w:spacing w:line="360" w:lineRule="auto"/>
              <w:jc w:val="both"/>
              <w:rPr>
                <w:rFonts w:ascii="Times New Roman" w:eastAsia="Calibri" w:hAnsi="Times New Roman" w:cs="Times New Roman"/>
              </w:rPr>
            </w:pPr>
          </w:p>
        </w:tc>
        <w:tc>
          <w:tcPr>
            <w:tcW w:w="1578" w:type="dxa"/>
            <w:shd w:val="clear" w:color="auto" w:fill="auto"/>
            <w:vAlign w:val="bottom"/>
          </w:tcPr>
          <w:p w14:paraId="7A45507D" w14:textId="77777777" w:rsidR="0063508E" w:rsidRPr="00D65519" w:rsidRDefault="0063508E" w:rsidP="00EB1993">
            <w:pPr>
              <w:spacing w:line="360" w:lineRule="auto"/>
              <w:jc w:val="both"/>
              <w:rPr>
                <w:rFonts w:ascii="Times New Roman" w:eastAsia="Calibri" w:hAnsi="Times New Roman" w:cs="Times New Roman"/>
              </w:rPr>
            </w:pPr>
          </w:p>
        </w:tc>
      </w:tr>
      <w:tr w:rsidR="00D65519" w:rsidRPr="00D65519" w14:paraId="6CC604F2" w14:textId="77777777" w:rsidTr="00EB1993">
        <w:trPr>
          <w:trHeight w:val="279"/>
          <w:jc w:val="center"/>
        </w:trPr>
        <w:tc>
          <w:tcPr>
            <w:tcW w:w="4111" w:type="dxa"/>
          </w:tcPr>
          <w:p w14:paraId="0878D152" w14:textId="0B72A288" w:rsidR="0063508E" w:rsidRPr="00D65519" w:rsidRDefault="0063508E" w:rsidP="001E4278">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Covariance matrix</w:t>
            </w:r>
            <w:r w:rsidR="005A2C78" w:rsidRPr="00D65519">
              <w:rPr>
                <w:rFonts w:ascii="Times New Roman" w:eastAsia="Calibri" w:hAnsi="Times New Roman" w:cs="Times New Roman"/>
                <w:i/>
                <w:iCs/>
                <w:szCs w:val="20"/>
              </w:rPr>
              <w:t xml:space="preserve"> (see EQ. </w:t>
            </w:r>
            <w:r w:rsidR="001E4278" w:rsidRPr="00D65519">
              <w:rPr>
                <w:rFonts w:ascii="Times New Roman" w:eastAsia="Calibri" w:hAnsi="Times New Roman" w:cs="Times New Roman"/>
                <w:i/>
                <w:iCs/>
                <w:szCs w:val="20"/>
              </w:rPr>
              <w:t>8</w:t>
            </w:r>
            <w:r w:rsidR="005A2C78" w:rsidRPr="00D65519">
              <w:rPr>
                <w:rFonts w:ascii="Times New Roman" w:eastAsia="Calibri" w:hAnsi="Times New Roman" w:cs="Times New Roman"/>
                <w:i/>
                <w:iCs/>
                <w:szCs w:val="20"/>
              </w:rPr>
              <w:t>)</w:t>
            </w:r>
          </w:p>
        </w:tc>
        <w:tc>
          <w:tcPr>
            <w:tcW w:w="992" w:type="dxa"/>
            <w:shd w:val="clear" w:color="auto" w:fill="auto"/>
            <w:vAlign w:val="bottom"/>
          </w:tcPr>
          <w:p w14:paraId="1E02E28D" w14:textId="77777777" w:rsidR="0063508E" w:rsidRPr="00D65519" w:rsidRDefault="0063508E" w:rsidP="00EB1993">
            <w:pPr>
              <w:spacing w:line="360" w:lineRule="auto"/>
              <w:jc w:val="both"/>
              <w:rPr>
                <w:rFonts w:ascii="Times New Roman" w:eastAsia="Calibri" w:hAnsi="Times New Roman" w:cs="Times New Roman"/>
              </w:rPr>
            </w:pPr>
          </w:p>
        </w:tc>
        <w:tc>
          <w:tcPr>
            <w:tcW w:w="993" w:type="dxa"/>
            <w:shd w:val="clear" w:color="auto" w:fill="auto"/>
            <w:vAlign w:val="bottom"/>
          </w:tcPr>
          <w:p w14:paraId="6FB9F1B1" w14:textId="77777777" w:rsidR="0063508E" w:rsidRPr="00D65519" w:rsidRDefault="0063508E" w:rsidP="00EB1993">
            <w:pPr>
              <w:spacing w:line="360" w:lineRule="auto"/>
              <w:jc w:val="both"/>
              <w:rPr>
                <w:rFonts w:ascii="Times New Roman" w:eastAsia="Calibri" w:hAnsi="Times New Roman" w:cs="Times New Roman"/>
              </w:rPr>
            </w:pPr>
          </w:p>
        </w:tc>
        <w:tc>
          <w:tcPr>
            <w:tcW w:w="921" w:type="dxa"/>
            <w:shd w:val="clear" w:color="auto" w:fill="auto"/>
            <w:vAlign w:val="bottom"/>
          </w:tcPr>
          <w:p w14:paraId="4B7A1587" w14:textId="77777777" w:rsidR="0063508E" w:rsidRPr="00D65519" w:rsidRDefault="0063508E" w:rsidP="00EB1993">
            <w:pPr>
              <w:spacing w:line="360" w:lineRule="auto"/>
              <w:jc w:val="both"/>
              <w:rPr>
                <w:rFonts w:ascii="Times New Roman" w:eastAsia="Calibri" w:hAnsi="Times New Roman" w:cs="Times New Roman"/>
              </w:rPr>
            </w:pPr>
          </w:p>
        </w:tc>
        <w:tc>
          <w:tcPr>
            <w:tcW w:w="1578" w:type="dxa"/>
            <w:shd w:val="clear" w:color="auto" w:fill="auto"/>
            <w:vAlign w:val="bottom"/>
          </w:tcPr>
          <w:p w14:paraId="2598AA32" w14:textId="77777777" w:rsidR="0063508E" w:rsidRPr="00D65519" w:rsidRDefault="0063508E" w:rsidP="00EB1993">
            <w:pPr>
              <w:spacing w:line="360" w:lineRule="auto"/>
              <w:jc w:val="both"/>
              <w:rPr>
                <w:rFonts w:ascii="Times New Roman" w:eastAsia="Calibri" w:hAnsi="Times New Roman" w:cs="Times New Roman"/>
              </w:rPr>
            </w:pPr>
          </w:p>
        </w:tc>
      </w:tr>
      <w:tr w:rsidR="00D65519" w:rsidRPr="00D65519" w14:paraId="7BAB4E4E" w14:textId="77777777" w:rsidTr="00EB1993">
        <w:trPr>
          <w:trHeight w:val="279"/>
          <w:jc w:val="center"/>
        </w:trPr>
        <w:tc>
          <w:tcPr>
            <w:tcW w:w="4111" w:type="dxa"/>
          </w:tcPr>
          <w:p w14:paraId="03B8AE61" w14:textId="77777777" w:rsidR="001112DB" w:rsidRPr="00D65519" w:rsidRDefault="001112DB" w:rsidP="001112DB">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i/>
                <w:iCs/>
                <w:szCs w:val="20"/>
              </w:rPr>
              <w:t>ρ</w:t>
            </w:r>
            <w:r w:rsidRPr="00D65519">
              <w:rPr>
                <w:rFonts w:ascii="Times New Roman" w:eastAsia="Calibri" w:hAnsi="Times New Roman" w:cs="Times New Roman"/>
                <w:szCs w:val="20"/>
              </w:rPr>
              <w:t xml:space="preserve"> </w:t>
            </w:r>
          </w:p>
        </w:tc>
        <w:tc>
          <w:tcPr>
            <w:tcW w:w="992" w:type="dxa"/>
            <w:shd w:val="clear" w:color="auto" w:fill="auto"/>
            <w:vAlign w:val="bottom"/>
          </w:tcPr>
          <w:p w14:paraId="5F067975" w14:textId="3283E74E" w:rsidR="001112DB" w:rsidRPr="00D65519" w:rsidRDefault="001112DB" w:rsidP="001112DB">
            <w:pPr>
              <w:spacing w:line="360" w:lineRule="auto"/>
              <w:jc w:val="both"/>
              <w:rPr>
                <w:rFonts w:ascii="Times New Roman" w:eastAsia="Calibri" w:hAnsi="Times New Roman" w:cs="Times New Roman"/>
                <w:i/>
                <w:iCs/>
              </w:rPr>
            </w:pPr>
            <w:r w:rsidRPr="00D65519">
              <w:rPr>
                <w:rFonts w:ascii="Times New Roman" w:hAnsi="Times New Roman" w:cs="Times New Roman"/>
                <w:i/>
                <w:iCs/>
              </w:rPr>
              <w:t>-0.547</w:t>
            </w:r>
          </w:p>
        </w:tc>
        <w:tc>
          <w:tcPr>
            <w:tcW w:w="993" w:type="dxa"/>
            <w:shd w:val="clear" w:color="auto" w:fill="auto"/>
            <w:vAlign w:val="bottom"/>
          </w:tcPr>
          <w:p w14:paraId="166E5C84" w14:textId="094D68F7" w:rsidR="001112DB" w:rsidRPr="00D65519" w:rsidRDefault="001112DB" w:rsidP="001112DB">
            <w:pPr>
              <w:spacing w:line="360" w:lineRule="auto"/>
              <w:jc w:val="both"/>
              <w:rPr>
                <w:rFonts w:ascii="Times New Roman" w:eastAsia="Calibri" w:hAnsi="Times New Roman" w:cs="Times New Roman"/>
                <w:i/>
                <w:iCs/>
              </w:rPr>
            </w:pPr>
            <w:r w:rsidRPr="00D65519">
              <w:rPr>
                <w:rFonts w:ascii="Times New Roman" w:hAnsi="Times New Roman" w:cs="Times New Roman"/>
                <w:i/>
                <w:iCs/>
              </w:rPr>
              <w:t>0.173</w:t>
            </w:r>
          </w:p>
        </w:tc>
        <w:tc>
          <w:tcPr>
            <w:tcW w:w="921" w:type="dxa"/>
            <w:shd w:val="clear" w:color="auto" w:fill="auto"/>
            <w:vAlign w:val="bottom"/>
          </w:tcPr>
          <w:p w14:paraId="22DFF3B8" w14:textId="79C08619" w:rsidR="001112DB" w:rsidRPr="00D65519" w:rsidRDefault="001112DB" w:rsidP="001112DB">
            <w:pPr>
              <w:spacing w:line="360" w:lineRule="auto"/>
              <w:jc w:val="both"/>
              <w:rPr>
                <w:rFonts w:ascii="Times New Roman" w:eastAsia="Calibri" w:hAnsi="Times New Roman" w:cs="Times New Roman"/>
                <w:i/>
                <w:iCs/>
              </w:rPr>
            </w:pPr>
            <w:r w:rsidRPr="00D65519">
              <w:rPr>
                <w:rFonts w:ascii="Times New Roman" w:hAnsi="Times New Roman" w:cs="Times New Roman"/>
                <w:i/>
                <w:iCs/>
              </w:rPr>
              <w:t>-0.803</w:t>
            </w:r>
          </w:p>
        </w:tc>
        <w:tc>
          <w:tcPr>
            <w:tcW w:w="1578" w:type="dxa"/>
            <w:shd w:val="clear" w:color="auto" w:fill="auto"/>
            <w:vAlign w:val="bottom"/>
          </w:tcPr>
          <w:p w14:paraId="0495A36D" w14:textId="69E55A07" w:rsidR="001112DB" w:rsidRPr="00D65519" w:rsidRDefault="001112DB" w:rsidP="001112DB">
            <w:pPr>
              <w:spacing w:line="360" w:lineRule="auto"/>
              <w:jc w:val="both"/>
              <w:rPr>
                <w:rFonts w:ascii="Times New Roman" w:eastAsia="Calibri" w:hAnsi="Times New Roman" w:cs="Times New Roman"/>
                <w:i/>
                <w:iCs/>
              </w:rPr>
            </w:pPr>
            <w:r w:rsidRPr="00D65519">
              <w:rPr>
                <w:rFonts w:ascii="Times New Roman" w:hAnsi="Times New Roman" w:cs="Times New Roman"/>
                <w:i/>
                <w:iCs/>
              </w:rPr>
              <w:t>-0.178</w:t>
            </w:r>
          </w:p>
        </w:tc>
      </w:tr>
      <w:tr w:rsidR="00D65519" w:rsidRPr="00D65519" w14:paraId="2E2DA7A7" w14:textId="77777777" w:rsidTr="00B80101">
        <w:trPr>
          <w:trHeight w:val="279"/>
          <w:jc w:val="center"/>
        </w:trPr>
        <w:tc>
          <w:tcPr>
            <w:tcW w:w="4111" w:type="dxa"/>
            <w:shd w:val="clear" w:color="auto" w:fill="auto"/>
          </w:tcPr>
          <w:p w14:paraId="75E81200" w14:textId="3AD5636F" w:rsidR="0063508E" w:rsidRPr="00D65519" w:rsidRDefault="00B80101"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szCs w:val="20"/>
              </w:rPr>
              <w:t>Ln(</w:t>
            </w:r>
            <w:r w:rsidR="0063508E" w:rsidRPr="00D65519">
              <w:rPr>
                <w:rFonts w:ascii="Times New Roman" w:eastAsia="Calibri" w:hAnsi="Times New Roman" w:cs="Times New Roman"/>
                <w:i/>
                <w:iCs/>
                <w:szCs w:val="20"/>
              </w:rPr>
              <w:t>σ</w:t>
            </w:r>
            <w:r w:rsidRPr="00D65519">
              <w:rPr>
                <w:rFonts w:ascii="Times New Roman" w:eastAsia="Calibri" w:hAnsi="Times New Roman" w:cs="Times New Roman"/>
                <w:szCs w:val="20"/>
              </w:rPr>
              <w:t>) equation:</w:t>
            </w:r>
            <w:r w:rsidR="0063508E" w:rsidRPr="00D65519">
              <w:rPr>
                <w:rFonts w:ascii="Times New Roman" w:eastAsia="Calibri" w:hAnsi="Times New Roman" w:cs="Times New Roman"/>
                <w:i/>
                <w:iCs/>
                <w:szCs w:val="20"/>
              </w:rPr>
              <w:t xml:space="preserve"> </w:t>
            </w:r>
          </w:p>
        </w:tc>
        <w:tc>
          <w:tcPr>
            <w:tcW w:w="992" w:type="dxa"/>
            <w:shd w:val="clear" w:color="auto" w:fill="auto"/>
            <w:vAlign w:val="bottom"/>
          </w:tcPr>
          <w:p w14:paraId="63077A04" w14:textId="4C03DC92" w:rsidR="0063508E" w:rsidRPr="00D65519" w:rsidRDefault="0063508E" w:rsidP="00EB1993">
            <w:pPr>
              <w:spacing w:line="360" w:lineRule="auto"/>
              <w:jc w:val="both"/>
              <w:rPr>
                <w:rFonts w:ascii="Times New Roman" w:eastAsia="Calibri" w:hAnsi="Times New Roman" w:cs="Times New Roman"/>
              </w:rPr>
            </w:pPr>
          </w:p>
        </w:tc>
        <w:tc>
          <w:tcPr>
            <w:tcW w:w="993" w:type="dxa"/>
            <w:shd w:val="clear" w:color="auto" w:fill="auto"/>
            <w:vAlign w:val="bottom"/>
          </w:tcPr>
          <w:p w14:paraId="30E0DA93" w14:textId="6CC49137" w:rsidR="0063508E" w:rsidRPr="00D65519" w:rsidRDefault="0063508E" w:rsidP="00EB1993">
            <w:pPr>
              <w:spacing w:line="360" w:lineRule="auto"/>
              <w:jc w:val="both"/>
              <w:rPr>
                <w:rFonts w:ascii="Times New Roman" w:eastAsia="Calibri" w:hAnsi="Times New Roman" w:cs="Times New Roman"/>
              </w:rPr>
            </w:pPr>
          </w:p>
        </w:tc>
        <w:tc>
          <w:tcPr>
            <w:tcW w:w="921" w:type="dxa"/>
            <w:shd w:val="clear" w:color="auto" w:fill="auto"/>
            <w:vAlign w:val="bottom"/>
          </w:tcPr>
          <w:p w14:paraId="3D2DFB31" w14:textId="1D4B4C8D" w:rsidR="0063508E" w:rsidRPr="00D65519" w:rsidRDefault="0063508E" w:rsidP="00EB1993">
            <w:pPr>
              <w:spacing w:line="360" w:lineRule="auto"/>
              <w:jc w:val="both"/>
              <w:rPr>
                <w:rFonts w:ascii="Times New Roman" w:eastAsia="Calibri" w:hAnsi="Times New Roman" w:cs="Times New Roman"/>
              </w:rPr>
            </w:pPr>
          </w:p>
        </w:tc>
        <w:tc>
          <w:tcPr>
            <w:tcW w:w="1578" w:type="dxa"/>
            <w:shd w:val="clear" w:color="auto" w:fill="auto"/>
            <w:vAlign w:val="bottom"/>
          </w:tcPr>
          <w:p w14:paraId="280A4CB6" w14:textId="24D5131F" w:rsidR="0063508E" w:rsidRPr="00D65519" w:rsidRDefault="0063508E" w:rsidP="00EB1993">
            <w:pPr>
              <w:spacing w:line="360" w:lineRule="auto"/>
              <w:jc w:val="both"/>
              <w:rPr>
                <w:rFonts w:ascii="Times New Roman" w:eastAsia="Calibri" w:hAnsi="Times New Roman" w:cs="Times New Roman"/>
              </w:rPr>
            </w:pPr>
          </w:p>
        </w:tc>
      </w:tr>
      <w:tr w:rsidR="00D65519" w:rsidRPr="00D65519" w14:paraId="18681271" w14:textId="77777777" w:rsidTr="00EB1993">
        <w:trPr>
          <w:trHeight w:val="279"/>
          <w:jc w:val="center"/>
        </w:trPr>
        <w:tc>
          <w:tcPr>
            <w:tcW w:w="4111" w:type="dxa"/>
          </w:tcPr>
          <w:p w14:paraId="45D30E15" w14:textId="3A8F24F1" w:rsidR="00A81B82" w:rsidRPr="00D65519" w:rsidRDefault="00A81B82" w:rsidP="00A81B82">
            <w:pPr>
              <w:spacing w:line="360" w:lineRule="auto"/>
              <w:jc w:val="right"/>
              <w:rPr>
                <w:rFonts w:ascii="Times New Roman" w:eastAsia="Calibri" w:hAnsi="Times New Roman" w:cs="Times New Roman"/>
                <w:i/>
                <w:iCs/>
                <w:szCs w:val="20"/>
              </w:rPr>
            </w:pPr>
            <w:r w:rsidRPr="00D65519">
              <w:rPr>
                <w:rFonts w:ascii="Times New Roman" w:eastAsia="Calibri" w:hAnsi="Times New Roman" w:cs="Times New Roman"/>
                <w:i/>
                <w:iCs/>
                <w:szCs w:val="20"/>
              </w:rPr>
              <w:t>Constant</w:t>
            </w:r>
          </w:p>
        </w:tc>
        <w:tc>
          <w:tcPr>
            <w:tcW w:w="992" w:type="dxa"/>
            <w:shd w:val="clear" w:color="auto" w:fill="auto"/>
            <w:vAlign w:val="bottom"/>
          </w:tcPr>
          <w:p w14:paraId="4CD027E6" w14:textId="0AE30447"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0.041</w:t>
            </w:r>
          </w:p>
        </w:tc>
        <w:tc>
          <w:tcPr>
            <w:tcW w:w="993" w:type="dxa"/>
            <w:shd w:val="clear" w:color="auto" w:fill="auto"/>
            <w:vAlign w:val="bottom"/>
          </w:tcPr>
          <w:p w14:paraId="68978E73" w14:textId="4227D7DB"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0.036</w:t>
            </w:r>
          </w:p>
        </w:tc>
        <w:tc>
          <w:tcPr>
            <w:tcW w:w="921" w:type="dxa"/>
            <w:shd w:val="clear" w:color="auto" w:fill="auto"/>
            <w:vAlign w:val="bottom"/>
          </w:tcPr>
          <w:p w14:paraId="1940C133" w14:textId="0D90D204"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0.001</w:t>
            </w:r>
          </w:p>
        </w:tc>
        <w:tc>
          <w:tcPr>
            <w:tcW w:w="1578" w:type="dxa"/>
            <w:shd w:val="clear" w:color="auto" w:fill="auto"/>
            <w:vAlign w:val="bottom"/>
          </w:tcPr>
          <w:p w14:paraId="644078D3" w14:textId="07D594AF"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0.135</w:t>
            </w:r>
          </w:p>
        </w:tc>
      </w:tr>
      <w:tr w:rsidR="00D65519" w:rsidRPr="00D65519" w14:paraId="53C27E4D" w14:textId="77777777" w:rsidTr="00EB1993">
        <w:trPr>
          <w:trHeight w:val="279"/>
          <w:jc w:val="center"/>
        </w:trPr>
        <w:tc>
          <w:tcPr>
            <w:tcW w:w="4111" w:type="dxa"/>
          </w:tcPr>
          <w:p w14:paraId="27B41F10" w14:textId="7FC1528F" w:rsidR="00A81B82" w:rsidRPr="00D65519" w:rsidRDefault="00A81B82" w:rsidP="00A81B82">
            <w:pPr>
              <w:spacing w:line="360" w:lineRule="auto"/>
              <w:jc w:val="right"/>
              <w:rPr>
                <w:rFonts w:ascii="Times New Roman" w:eastAsia="Calibri" w:hAnsi="Times New Roman" w:cs="Times New Roman"/>
                <w:i/>
                <w:iCs/>
                <w:szCs w:val="20"/>
              </w:rPr>
            </w:pPr>
            <w:r w:rsidRPr="00D65519">
              <w:rPr>
                <w:rFonts w:ascii="Times New Roman" w:eastAsia="Calibri" w:hAnsi="Times New Roman" w:cs="Times New Roman"/>
                <w:szCs w:val="20"/>
              </w:rPr>
              <w:t>Dedicated traffic light for pedestrians</w:t>
            </w:r>
          </w:p>
        </w:tc>
        <w:tc>
          <w:tcPr>
            <w:tcW w:w="992" w:type="dxa"/>
            <w:shd w:val="clear" w:color="auto" w:fill="auto"/>
            <w:vAlign w:val="bottom"/>
          </w:tcPr>
          <w:p w14:paraId="44186E32" w14:textId="27B5BE04"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0.071</w:t>
            </w:r>
          </w:p>
        </w:tc>
        <w:tc>
          <w:tcPr>
            <w:tcW w:w="993" w:type="dxa"/>
            <w:shd w:val="clear" w:color="auto" w:fill="auto"/>
            <w:vAlign w:val="bottom"/>
          </w:tcPr>
          <w:p w14:paraId="784855A5" w14:textId="02475B06"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0.059</w:t>
            </w:r>
          </w:p>
        </w:tc>
        <w:tc>
          <w:tcPr>
            <w:tcW w:w="921" w:type="dxa"/>
            <w:shd w:val="clear" w:color="auto" w:fill="auto"/>
            <w:vAlign w:val="bottom"/>
          </w:tcPr>
          <w:p w14:paraId="0A0A80D9" w14:textId="067BB82B"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0.002</w:t>
            </w:r>
          </w:p>
        </w:tc>
        <w:tc>
          <w:tcPr>
            <w:tcW w:w="1578" w:type="dxa"/>
            <w:shd w:val="clear" w:color="auto" w:fill="auto"/>
            <w:vAlign w:val="bottom"/>
          </w:tcPr>
          <w:p w14:paraId="4FFDB982" w14:textId="53550BEF" w:rsidR="00A81B82" w:rsidRPr="00D65519" w:rsidRDefault="00A81B82" w:rsidP="00A81B82">
            <w:pPr>
              <w:spacing w:line="360" w:lineRule="auto"/>
              <w:jc w:val="both"/>
              <w:rPr>
                <w:rFonts w:ascii="Times New Roman" w:eastAsia="Calibri" w:hAnsi="Times New Roman" w:cs="Times New Roman"/>
              </w:rPr>
            </w:pPr>
            <w:r w:rsidRPr="00D65519">
              <w:rPr>
                <w:rFonts w:ascii="Times New Roman" w:hAnsi="Times New Roman" w:cs="Times New Roman"/>
              </w:rPr>
              <w:t>0.219</w:t>
            </w:r>
          </w:p>
        </w:tc>
      </w:tr>
      <w:tr w:rsidR="00D65519" w:rsidRPr="00D65519" w14:paraId="6E530950" w14:textId="77777777" w:rsidTr="00EB1993">
        <w:trPr>
          <w:trHeight w:val="279"/>
          <w:jc w:val="center"/>
        </w:trPr>
        <w:tc>
          <w:tcPr>
            <w:tcW w:w="4111" w:type="dxa"/>
          </w:tcPr>
          <w:p w14:paraId="28857ABA" w14:textId="77777777" w:rsidR="0063508E" w:rsidRPr="00D65519" w:rsidRDefault="0063508E" w:rsidP="00EB1993">
            <w:pPr>
              <w:spacing w:line="360" w:lineRule="auto"/>
              <w:jc w:val="both"/>
              <w:rPr>
                <w:rFonts w:ascii="Times New Roman" w:eastAsia="Calibri" w:hAnsi="Times New Roman" w:cs="Times New Roman"/>
                <w:i/>
                <w:iCs/>
                <w:szCs w:val="20"/>
              </w:rPr>
            </w:pPr>
          </w:p>
        </w:tc>
        <w:tc>
          <w:tcPr>
            <w:tcW w:w="992" w:type="dxa"/>
            <w:shd w:val="clear" w:color="auto" w:fill="auto"/>
            <w:vAlign w:val="bottom"/>
          </w:tcPr>
          <w:p w14:paraId="23C1E8DF" w14:textId="77777777" w:rsidR="0063508E" w:rsidRPr="00D65519" w:rsidRDefault="0063508E" w:rsidP="00EB1993">
            <w:pPr>
              <w:spacing w:line="360" w:lineRule="auto"/>
              <w:jc w:val="both"/>
              <w:rPr>
                <w:rFonts w:ascii="Times New Roman" w:eastAsia="Calibri" w:hAnsi="Times New Roman" w:cs="Times New Roman"/>
              </w:rPr>
            </w:pPr>
          </w:p>
        </w:tc>
        <w:tc>
          <w:tcPr>
            <w:tcW w:w="993" w:type="dxa"/>
            <w:shd w:val="clear" w:color="auto" w:fill="auto"/>
            <w:vAlign w:val="bottom"/>
          </w:tcPr>
          <w:p w14:paraId="610F686F" w14:textId="77777777" w:rsidR="0063508E" w:rsidRPr="00D65519" w:rsidRDefault="0063508E" w:rsidP="00EB1993">
            <w:pPr>
              <w:spacing w:line="360" w:lineRule="auto"/>
              <w:jc w:val="both"/>
              <w:rPr>
                <w:rFonts w:ascii="Times New Roman" w:eastAsia="Calibri" w:hAnsi="Times New Roman" w:cs="Times New Roman"/>
              </w:rPr>
            </w:pPr>
          </w:p>
        </w:tc>
        <w:tc>
          <w:tcPr>
            <w:tcW w:w="921" w:type="dxa"/>
            <w:shd w:val="clear" w:color="auto" w:fill="auto"/>
            <w:vAlign w:val="bottom"/>
          </w:tcPr>
          <w:p w14:paraId="272657B9" w14:textId="77777777" w:rsidR="0063508E" w:rsidRPr="00D65519" w:rsidRDefault="0063508E" w:rsidP="00EB1993">
            <w:pPr>
              <w:spacing w:line="360" w:lineRule="auto"/>
              <w:jc w:val="both"/>
              <w:rPr>
                <w:rFonts w:ascii="Times New Roman" w:eastAsia="Calibri" w:hAnsi="Times New Roman" w:cs="Times New Roman"/>
              </w:rPr>
            </w:pPr>
          </w:p>
        </w:tc>
        <w:tc>
          <w:tcPr>
            <w:tcW w:w="1578" w:type="dxa"/>
            <w:shd w:val="clear" w:color="auto" w:fill="auto"/>
            <w:vAlign w:val="bottom"/>
          </w:tcPr>
          <w:p w14:paraId="05000F2E" w14:textId="77777777" w:rsidR="0063508E" w:rsidRPr="00D65519" w:rsidRDefault="0063508E" w:rsidP="00EB1993">
            <w:pPr>
              <w:spacing w:line="360" w:lineRule="auto"/>
              <w:jc w:val="both"/>
              <w:rPr>
                <w:rFonts w:ascii="Times New Roman" w:eastAsia="Calibri" w:hAnsi="Times New Roman" w:cs="Times New Roman"/>
              </w:rPr>
            </w:pPr>
          </w:p>
        </w:tc>
      </w:tr>
      <w:tr w:rsidR="00D65519" w:rsidRPr="00D65519" w14:paraId="3B012FE0" w14:textId="77777777" w:rsidTr="00EB1993">
        <w:trPr>
          <w:trHeight w:val="279"/>
          <w:jc w:val="center"/>
        </w:trPr>
        <w:tc>
          <w:tcPr>
            <w:tcW w:w="4111" w:type="dxa"/>
          </w:tcPr>
          <w:p w14:paraId="02992559" w14:textId="77777777" w:rsidR="0063508E" w:rsidRPr="00D65519" w:rsidRDefault="0063508E"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Model fit measure</w:t>
            </w:r>
          </w:p>
        </w:tc>
        <w:tc>
          <w:tcPr>
            <w:tcW w:w="992" w:type="dxa"/>
            <w:shd w:val="clear" w:color="auto" w:fill="auto"/>
            <w:vAlign w:val="bottom"/>
          </w:tcPr>
          <w:p w14:paraId="483A6E5F" w14:textId="77777777" w:rsidR="0063508E" w:rsidRPr="00D65519" w:rsidRDefault="0063508E" w:rsidP="00EB1993">
            <w:pPr>
              <w:spacing w:line="360" w:lineRule="auto"/>
              <w:jc w:val="both"/>
              <w:rPr>
                <w:rFonts w:ascii="Times New Roman" w:eastAsia="Calibri" w:hAnsi="Times New Roman" w:cs="Times New Roman"/>
              </w:rPr>
            </w:pPr>
          </w:p>
        </w:tc>
        <w:tc>
          <w:tcPr>
            <w:tcW w:w="993" w:type="dxa"/>
            <w:shd w:val="clear" w:color="auto" w:fill="auto"/>
            <w:vAlign w:val="bottom"/>
          </w:tcPr>
          <w:p w14:paraId="04A8FE58" w14:textId="77777777" w:rsidR="0063508E" w:rsidRPr="00D65519" w:rsidRDefault="0063508E" w:rsidP="00EB1993">
            <w:pPr>
              <w:spacing w:line="360" w:lineRule="auto"/>
              <w:jc w:val="both"/>
              <w:rPr>
                <w:rFonts w:ascii="Times New Roman" w:eastAsia="Calibri" w:hAnsi="Times New Roman" w:cs="Times New Roman"/>
              </w:rPr>
            </w:pPr>
          </w:p>
        </w:tc>
        <w:tc>
          <w:tcPr>
            <w:tcW w:w="921" w:type="dxa"/>
            <w:shd w:val="clear" w:color="auto" w:fill="auto"/>
            <w:vAlign w:val="bottom"/>
          </w:tcPr>
          <w:p w14:paraId="6232398D" w14:textId="77777777" w:rsidR="0063508E" w:rsidRPr="00D65519" w:rsidRDefault="0063508E" w:rsidP="00EB1993">
            <w:pPr>
              <w:spacing w:line="360" w:lineRule="auto"/>
              <w:jc w:val="both"/>
              <w:rPr>
                <w:rFonts w:ascii="Times New Roman" w:eastAsia="Calibri" w:hAnsi="Times New Roman" w:cs="Times New Roman"/>
              </w:rPr>
            </w:pPr>
          </w:p>
        </w:tc>
        <w:tc>
          <w:tcPr>
            <w:tcW w:w="1578" w:type="dxa"/>
            <w:shd w:val="clear" w:color="auto" w:fill="auto"/>
            <w:vAlign w:val="bottom"/>
          </w:tcPr>
          <w:p w14:paraId="3BD6D048" w14:textId="77777777" w:rsidR="0063508E" w:rsidRPr="00D65519" w:rsidRDefault="0063508E" w:rsidP="00EB1993">
            <w:pPr>
              <w:spacing w:line="360" w:lineRule="auto"/>
              <w:jc w:val="both"/>
              <w:rPr>
                <w:rFonts w:ascii="Times New Roman" w:eastAsia="Calibri" w:hAnsi="Times New Roman" w:cs="Times New Roman"/>
              </w:rPr>
            </w:pPr>
          </w:p>
        </w:tc>
      </w:tr>
      <w:tr w:rsidR="0063508E" w:rsidRPr="00D65519" w14:paraId="2F3603A7" w14:textId="77777777" w:rsidTr="00EB1993">
        <w:trPr>
          <w:trHeight w:val="279"/>
          <w:jc w:val="center"/>
        </w:trPr>
        <w:tc>
          <w:tcPr>
            <w:tcW w:w="4111" w:type="dxa"/>
            <w:tcBorders>
              <w:bottom w:val="single" w:sz="4" w:space="0" w:color="auto"/>
            </w:tcBorders>
          </w:tcPr>
          <w:p w14:paraId="3796766C" w14:textId="77777777" w:rsidR="0063508E" w:rsidRPr="00D65519" w:rsidRDefault="0063508E"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DIC</w:t>
            </w:r>
          </w:p>
        </w:tc>
        <w:tc>
          <w:tcPr>
            <w:tcW w:w="992" w:type="dxa"/>
            <w:tcBorders>
              <w:bottom w:val="single" w:sz="4" w:space="0" w:color="auto"/>
            </w:tcBorders>
            <w:shd w:val="clear" w:color="auto" w:fill="auto"/>
            <w:vAlign w:val="bottom"/>
          </w:tcPr>
          <w:p w14:paraId="2249E31B" w14:textId="423DD83A" w:rsidR="0063508E" w:rsidRPr="00D65519" w:rsidRDefault="009A6C56" w:rsidP="00EB1993">
            <w:pPr>
              <w:spacing w:line="360" w:lineRule="auto"/>
              <w:jc w:val="both"/>
              <w:rPr>
                <w:rFonts w:ascii="Times New Roman" w:eastAsia="Calibri" w:hAnsi="Times New Roman" w:cs="Times New Roman"/>
              </w:rPr>
            </w:pPr>
            <w:r w:rsidRPr="00D65519">
              <w:rPr>
                <w:rFonts w:ascii="Times New Roman" w:eastAsia="Calibri" w:hAnsi="Times New Roman" w:cs="Times New Roman"/>
              </w:rPr>
              <w:t>1202.00</w:t>
            </w:r>
          </w:p>
        </w:tc>
        <w:tc>
          <w:tcPr>
            <w:tcW w:w="993" w:type="dxa"/>
            <w:tcBorders>
              <w:bottom w:val="single" w:sz="4" w:space="0" w:color="auto"/>
            </w:tcBorders>
            <w:shd w:val="clear" w:color="auto" w:fill="auto"/>
            <w:vAlign w:val="bottom"/>
          </w:tcPr>
          <w:p w14:paraId="079A3C6F" w14:textId="77777777" w:rsidR="0063508E" w:rsidRPr="00D65519" w:rsidRDefault="0063508E" w:rsidP="00EB1993">
            <w:pPr>
              <w:spacing w:line="360" w:lineRule="auto"/>
              <w:jc w:val="both"/>
              <w:rPr>
                <w:rFonts w:ascii="Times New Roman" w:eastAsia="Calibri" w:hAnsi="Times New Roman" w:cs="Times New Roman"/>
              </w:rPr>
            </w:pPr>
            <w:r w:rsidRPr="00D65519">
              <w:rPr>
                <w:rFonts w:ascii="Times New Roman" w:eastAsia="Calibri" w:hAnsi="Times New Roman" w:cs="Times New Roman"/>
              </w:rPr>
              <w:t>-</w:t>
            </w:r>
          </w:p>
        </w:tc>
        <w:tc>
          <w:tcPr>
            <w:tcW w:w="921" w:type="dxa"/>
            <w:tcBorders>
              <w:bottom w:val="single" w:sz="4" w:space="0" w:color="auto"/>
            </w:tcBorders>
            <w:shd w:val="clear" w:color="auto" w:fill="auto"/>
            <w:vAlign w:val="bottom"/>
          </w:tcPr>
          <w:p w14:paraId="430D1596" w14:textId="77777777" w:rsidR="0063508E" w:rsidRPr="00D65519" w:rsidRDefault="0063508E" w:rsidP="00EB1993">
            <w:pPr>
              <w:spacing w:line="360" w:lineRule="auto"/>
              <w:jc w:val="both"/>
              <w:rPr>
                <w:rFonts w:ascii="Times New Roman" w:eastAsia="Calibri" w:hAnsi="Times New Roman" w:cs="Times New Roman"/>
              </w:rPr>
            </w:pPr>
            <w:r w:rsidRPr="00D65519">
              <w:rPr>
                <w:rFonts w:ascii="Times New Roman" w:eastAsia="Calibri" w:hAnsi="Times New Roman" w:cs="Times New Roman"/>
              </w:rPr>
              <w:t>-</w:t>
            </w:r>
          </w:p>
        </w:tc>
        <w:tc>
          <w:tcPr>
            <w:tcW w:w="1578" w:type="dxa"/>
            <w:tcBorders>
              <w:bottom w:val="single" w:sz="4" w:space="0" w:color="auto"/>
            </w:tcBorders>
            <w:shd w:val="clear" w:color="auto" w:fill="auto"/>
            <w:vAlign w:val="bottom"/>
          </w:tcPr>
          <w:p w14:paraId="6801FC39" w14:textId="77777777" w:rsidR="0063508E" w:rsidRPr="00D65519" w:rsidRDefault="0063508E" w:rsidP="00EB1993">
            <w:pPr>
              <w:spacing w:line="360" w:lineRule="auto"/>
              <w:jc w:val="both"/>
              <w:rPr>
                <w:rFonts w:ascii="Times New Roman" w:eastAsia="Calibri" w:hAnsi="Times New Roman" w:cs="Times New Roman"/>
              </w:rPr>
            </w:pPr>
            <w:r w:rsidRPr="00D65519">
              <w:rPr>
                <w:rFonts w:ascii="Times New Roman" w:eastAsia="Calibri" w:hAnsi="Times New Roman" w:cs="Times New Roman"/>
              </w:rPr>
              <w:t>-</w:t>
            </w:r>
          </w:p>
        </w:tc>
      </w:tr>
    </w:tbl>
    <w:p w14:paraId="2EC011D4" w14:textId="13BCAC2F" w:rsidR="0063508E" w:rsidRPr="00D65519" w:rsidRDefault="0063508E" w:rsidP="0063508E"/>
    <w:p w14:paraId="48264557" w14:textId="06A6223C" w:rsidR="0063508E" w:rsidRPr="00D65519" w:rsidRDefault="0063508E" w:rsidP="0063508E"/>
    <w:p w14:paraId="0291ED79" w14:textId="77777777" w:rsidR="0048483A" w:rsidRPr="00D65519" w:rsidRDefault="0048483A" w:rsidP="0048483A">
      <w:pPr>
        <w:pStyle w:val="ThesisSub2"/>
        <w:rPr>
          <w:color w:val="auto"/>
        </w:rPr>
      </w:pPr>
      <w:r w:rsidRPr="00D65519">
        <w:rPr>
          <w:color w:val="auto"/>
        </w:rPr>
        <w:t>Sensitivity to the definition of proximity to school</w:t>
      </w:r>
    </w:p>
    <w:p w14:paraId="334FED03" w14:textId="39CE6ABF" w:rsidR="0048483A" w:rsidRPr="00D65519" w:rsidRDefault="0048483A" w:rsidP="00910A6C">
      <w:pPr>
        <w:pStyle w:val="ThesisText"/>
        <w:spacing w:line="360" w:lineRule="auto"/>
        <w:rPr>
          <w:rFonts w:asciiTheme="majorBidi" w:hAnsiTheme="majorBidi" w:cstheme="majorBidi"/>
        </w:rPr>
      </w:pPr>
      <w:r w:rsidRPr="00D65519">
        <w:t xml:space="preserve">In this research, we considered a 400-meter (0.25-mile) radius to define the presence of school as a categorical variable in our analysis. This radius is deemed reasonable in the context of active travel safety nearby schools; see, for example, Clifton and </w:t>
      </w:r>
      <w:proofErr w:type="spellStart"/>
      <w:r w:rsidRPr="00D65519">
        <w:t>Kreamer-Fults</w:t>
      </w:r>
      <w:proofErr w:type="spellEnd"/>
      <w:r w:rsidRPr="00D65519">
        <w:t xml:space="preserve"> (2007). Obviously, </w:t>
      </w:r>
      <w:r w:rsidRPr="00D65519">
        <w:rPr>
          <w:rFonts w:asciiTheme="majorBidi" w:hAnsiTheme="majorBidi" w:cstheme="majorBidi"/>
        </w:rPr>
        <w:t xml:space="preserve">different </w:t>
      </w:r>
      <w:r w:rsidR="00502F7F" w:rsidRPr="00D65519">
        <w:rPr>
          <w:rFonts w:asciiTheme="majorBidi" w:hAnsiTheme="majorBidi" w:cstheme="majorBidi"/>
        </w:rPr>
        <w:t xml:space="preserve">radius </w:t>
      </w:r>
      <w:r w:rsidRPr="00D65519">
        <w:rPr>
          <w:rFonts w:asciiTheme="majorBidi" w:hAnsiTheme="majorBidi" w:cstheme="majorBidi"/>
        </w:rPr>
        <w:t xml:space="preserve">values would result in different inferences and as the radius increases, the effect of the presence of </w:t>
      </w:r>
      <w:r w:rsidRPr="00D65519">
        <w:rPr>
          <w:rFonts w:asciiTheme="majorBidi" w:hAnsiTheme="majorBidi" w:cstheme="majorBidi"/>
        </w:rPr>
        <w:lastRenderedPageBreak/>
        <w:t xml:space="preserve">school will reduce until it disappears. Also, the statistical importance of the correlation between the equation modelling proximity to school and the safety equation would change. </w:t>
      </w:r>
    </w:p>
    <w:p w14:paraId="3BB23A99" w14:textId="307A371F" w:rsidR="00AA5801" w:rsidRPr="00D65519" w:rsidRDefault="0048483A" w:rsidP="00AA5801">
      <w:pPr>
        <w:pStyle w:val="ThesisText"/>
        <w:spacing w:line="360" w:lineRule="auto"/>
      </w:pPr>
      <w:r w:rsidRPr="00D65519">
        <w:t xml:space="preserve">It would be interesting to consider different buffers to understand how the effect of proximity to school and its endogenous impact </w:t>
      </w:r>
      <w:r w:rsidR="00A41D51" w:rsidRPr="00D65519">
        <w:t xml:space="preserve">would </w:t>
      </w:r>
      <w:r w:rsidRPr="00D65519">
        <w:t xml:space="preserve">change. </w:t>
      </w:r>
      <w:r w:rsidRPr="00D65519">
        <w:rPr>
          <w:rFonts w:asciiTheme="majorBidi" w:hAnsiTheme="majorBidi" w:cstheme="majorBidi"/>
        </w:rPr>
        <w:t xml:space="preserve">In this study, alternatively, we considered a buffer of 800 meters as well to define the proximity to school variable. As expected, inferences change. The correlation between the equations in the </w:t>
      </w:r>
      <w:r w:rsidR="00910A6C" w:rsidRPr="00D65519">
        <w:rPr>
          <w:rFonts w:asciiTheme="majorBidi" w:hAnsiTheme="majorBidi" w:cstheme="majorBidi"/>
        </w:rPr>
        <w:t xml:space="preserve">alternative </w:t>
      </w:r>
      <w:r w:rsidRPr="00D65519">
        <w:rPr>
          <w:rFonts w:asciiTheme="majorBidi" w:hAnsiTheme="majorBidi" w:cstheme="majorBidi"/>
        </w:rPr>
        <w:t xml:space="preserve">simultaneous-equations model contains zero: </w:t>
      </w:r>
      <w:r w:rsidR="00502F7F" w:rsidRPr="00D65519">
        <w:rPr>
          <w:rFonts w:asciiTheme="majorBidi" w:hAnsiTheme="majorBidi" w:cstheme="majorBidi"/>
        </w:rPr>
        <w:t xml:space="preserve">-0.321 </w:t>
      </w:r>
      <w:r w:rsidRPr="00D65519">
        <w:t>(95% C</w:t>
      </w:r>
      <w:r w:rsidR="00CF0C26" w:rsidRPr="00D65519">
        <w:t>I</w:t>
      </w:r>
      <w:r w:rsidRPr="00D65519">
        <w:t>:</w:t>
      </w:r>
      <w:r w:rsidR="00502F7F" w:rsidRPr="00D65519">
        <w:t xml:space="preserve"> -0.741, 0.141</w:t>
      </w:r>
      <w:r w:rsidRPr="00D65519">
        <w:t xml:space="preserve">) although the mean remains negative as before. </w:t>
      </w:r>
      <w:r w:rsidR="00AA5801" w:rsidRPr="00D65519">
        <w:t xml:space="preserve">Also, proximity to school considering a buffer of 800 meters does not seem to be statistically significant anymore. </w:t>
      </w:r>
    </w:p>
    <w:p w14:paraId="589F2320" w14:textId="654F085E" w:rsidR="00910A6C" w:rsidRPr="00D65519" w:rsidRDefault="00910A6C" w:rsidP="00606D73">
      <w:pPr>
        <w:pStyle w:val="ThesisText"/>
        <w:spacing w:line="360" w:lineRule="auto"/>
      </w:pPr>
      <w:r w:rsidRPr="00D65519">
        <w:t xml:space="preserve">This finding is not surprising as we would expect school-related safety interventions, which are not assigned randomly leading to selection bias, be applied to locations </w:t>
      </w:r>
      <w:r w:rsidR="00606D73" w:rsidRPr="00D65519">
        <w:t>nearby</w:t>
      </w:r>
      <w:r w:rsidRPr="00D65519">
        <w:t xml:space="preserve"> schools</w:t>
      </w:r>
      <w:r w:rsidR="00AA5801" w:rsidRPr="00D65519">
        <w:t xml:space="preserve"> only ― not</w:t>
      </w:r>
      <w:r w:rsidR="009D3333" w:rsidRPr="00D65519">
        <w:t>,</w:t>
      </w:r>
      <w:r w:rsidR="00AA5801" w:rsidRPr="00D65519">
        <w:t xml:space="preserve"> for example</w:t>
      </w:r>
      <w:r w:rsidR="009D3333" w:rsidRPr="00D65519">
        <w:t>,</w:t>
      </w:r>
      <w:r w:rsidR="00AA5801" w:rsidRPr="00D65519">
        <w:t xml:space="preserve"> </w:t>
      </w:r>
      <w:r w:rsidR="00606D73" w:rsidRPr="00D65519">
        <w:t xml:space="preserve">at </w:t>
      </w:r>
      <w:r w:rsidR="00AA5801" w:rsidRPr="00D65519">
        <w:t>an 800-meter distance from a school</w:t>
      </w:r>
      <w:r w:rsidRPr="00D65519">
        <w:t xml:space="preserve">. Apparently, 800 meters is far enough for such interventions </w:t>
      </w:r>
      <w:r w:rsidR="00E9368F" w:rsidRPr="00D65519">
        <w:t xml:space="preserve">to have </w:t>
      </w:r>
      <w:r w:rsidR="005F5A74" w:rsidRPr="00D65519">
        <w:t>no tangible</w:t>
      </w:r>
      <w:r w:rsidR="00E9368F" w:rsidRPr="00D65519">
        <w:t xml:space="preserve"> effect on intersections</w:t>
      </w:r>
      <w:r w:rsidR="00606D73" w:rsidRPr="00D65519">
        <w:t xml:space="preserve"> in our study area</w:t>
      </w:r>
      <w:r w:rsidRPr="00D65519">
        <w:t xml:space="preserve">. Also, </w:t>
      </w:r>
      <w:r w:rsidR="00AA5801" w:rsidRPr="00D65519">
        <w:t xml:space="preserve">another related reason for which we believe this variable may become exogenous as the distance from schools increases is that special traits in travel behaviour and road user characteristics (e.g., prevalence of children and risk compensations nearby schools) start to disappear. </w:t>
      </w:r>
    </w:p>
    <w:p w14:paraId="3158CCA2" w14:textId="36560B16" w:rsidR="00B14BBE" w:rsidRPr="00D65519" w:rsidRDefault="006758BC" w:rsidP="005765B0">
      <w:pPr>
        <w:pStyle w:val="ThesisSub2"/>
        <w:spacing w:line="360" w:lineRule="auto"/>
        <w:rPr>
          <w:color w:val="auto"/>
        </w:rPr>
      </w:pPr>
      <w:r w:rsidRPr="00D65519">
        <w:rPr>
          <w:color w:val="auto"/>
        </w:rPr>
        <w:t>Policy implications</w:t>
      </w:r>
    </w:p>
    <w:p w14:paraId="404B665E" w14:textId="7696AEDD" w:rsidR="00800C1F" w:rsidRPr="00D65519" w:rsidRDefault="00800C1F" w:rsidP="00800C1F">
      <w:pPr>
        <w:pStyle w:val="Heading4"/>
      </w:pPr>
      <w:r w:rsidRPr="00D65519">
        <w:t xml:space="preserve">Marginal effects </w:t>
      </w:r>
    </w:p>
    <w:p w14:paraId="2E3ADE0D" w14:textId="79223987" w:rsidR="001912EA" w:rsidRPr="00D65519" w:rsidRDefault="00CD697B" w:rsidP="00D90C3A">
      <w:pPr>
        <w:pStyle w:val="ThesisText"/>
        <w:spacing w:line="360" w:lineRule="auto"/>
      </w:pPr>
      <w:r w:rsidRPr="00D65519">
        <w:t>For the ease of interpretation</w:t>
      </w:r>
      <w:r w:rsidR="0084450C" w:rsidRPr="00D65519">
        <w:t xml:space="preserve"> of the impact of explanatory variables on cyclist injury frequencies, </w:t>
      </w:r>
      <w:r w:rsidRPr="00D65519">
        <w:t xml:space="preserve">it is possible to obtain marginal effects based on the coefficients from the above models. These are presented in Table </w:t>
      </w:r>
      <w:r w:rsidR="0084450C" w:rsidRPr="00D65519">
        <w:t>5</w:t>
      </w:r>
      <w:r w:rsidRPr="00D65519">
        <w:t xml:space="preserve"> with the values listed for each model representing the effect which a one unit change in the variable would have on the expected cyclist injury frequency over the study period.</w:t>
      </w:r>
      <w:r w:rsidR="00D8280D" w:rsidRPr="00D65519">
        <w:t xml:space="preserve"> </w:t>
      </w:r>
      <w:r w:rsidR="00D90C3A" w:rsidRPr="00D65519">
        <w:rPr>
          <w:rFonts w:asciiTheme="majorBidi" w:hAnsiTheme="majorBidi" w:cstheme="majorBidi"/>
          <w:sz w:val="24"/>
          <w:szCs w:val="24"/>
        </w:rPr>
        <w:t xml:space="preserve">We provide the credible intervals of the marginal effects as well (these are rarely provided in the extant road safety literature) to draw a more complete picture. </w:t>
      </w:r>
      <w:r w:rsidR="00D8280D" w:rsidRPr="00D65519">
        <w:t>Our final inferences are based on the heterogeneity in covariance model, which provided the best fit to the data.</w:t>
      </w:r>
    </w:p>
    <w:p w14:paraId="7438E70B" w14:textId="77777777" w:rsidR="00D90C3A" w:rsidRPr="00D65519" w:rsidRDefault="00D90C3A" w:rsidP="00D90C3A">
      <w:pPr>
        <w:pStyle w:val="ThesisText"/>
        <w:spacing w:line="360" w:lineRule="auto"/>
      </w:pPr>
      <w:r w:rsidRPr="00D65519">
        <w:t>Bicycle flow is an important factor to examine in the present study as, in a relatively rare example for safety literature, observed counts for bicycle flows were used rather than surrogate cyclist exposure measures or figures from stated preference surveys that are more common (</w:t>
      </w:r>
      <w:proofErr w:type="spellStart"/>
      <w:r w:rsidRPr="00D65519">
        <w:t>Vanparijs</w:t>
      </w:r>
      <w:proofErr w:type="spellEnd"/>
      <w:r w:rsidRPr="00D65519">
        <w:t xml:space="preserve"> et al. 2015). A higher volume of cyclists was associated with a greater frequency of cyclist injuries at a given intersection over the study period with a unit increase in the log value increasing the expected cyclist injuries by 0.164. This is not surprising as, with all other factors held equal, it stands to reason that more cyclists being exposed to injury would result in more injuries. The interesting finding here is that the predicted injury frequency does not rise proportionally with bicycle flow and instead increases at a lower rate. This may well suggest the presence of a safety-in-numbers effect in which, as the volume of a given road user type increases, the rate of injuries for that type increases at a lower rate. This phenomenon has been investigated by several researchers (Elvik and Goel, 2019; Heydari and Elvik, </w:t>
      </w:r>
      <w:r w:rsidRPr="00D65519">
        <w:lastRenderedPageBreak/>
        <w:t>2023) and the precise causes remain uncertain; however, it has been suggested that greater volume of a given road user type; e.g., bicycles, increases driver awareness of that road user type (Elvik, 2017). There is a case to be made that more people choosing to cycle improves the safety for all cyclists, provided that adequate infrastructure is in place, and therefore policies that encourage this shift should be encouraged.</w:t>
      </w:r>
    </w:p>
    <w:p w14:paraId="6F35E1AC" w14:textId="70073238" w:rsidR="00AE6360" w:rsidRPr="00D65519" w:rsidRDefault="00AE6360" w:rsidP="004464CD">
      <w:pPr>
        <w:pStyle w:val="Caption"/>
        <w:keepNext/>
        <w:spacing w:after="0"/>
        <w:rPr>
          <w:rFonts w:ascii="Times New Roman" w:hAnsi="Times New Roman" w:cs="Times New Roman"/>
          <w:i w:val="0"/>
          <w:iCs w:val="0"/>
          <w:color w:val="auto"/>
          <w:sz w:val="22"/>
          <w:szCs w:val="22"/>
        </w:rPr>
      </w:pPr>
      <w:r w:rsidRPr="00D65519">
        <w:rPr>
          <w:rFonts w:ascii="Times New Roman" w:hAnsi="Times New Roman" w:cs="Times New Roman"/>
          <w:i w:val="0"/>
          <w:iCs w:val="0"/>
          <w:color w:val="auto"/>
          <w:sz w:val="22"/>
          <w:szCs w:val="22"/>
        </w:rPr>
        <w:t xml:space="preserve">Table </w:t>
      </w:r>
      <w:r w:rsidR="004464CD" w:rsidRPr="00D65519">
        <w:rPr>
          <w:rFonts w:ascii="Times New Roman" w:hAnsi="Times New Roman" w:cs="Times New Roman"/>
          <w:i w:val="0"/>
          <w:iCs w:val="0"/>
          <w:color w:val="auto"/>
          <w:sz w:val="22"/>
          <w:szCs w:val="22"/>
        </w:rPr>
        <w:t>5 Average marginal effects</w:t>
      </w:r>
    </w:p>
    <w:tbl>
      <w:tblPr>
        <w:tblStyle w:val="TableGrid"/>
        <w:tblW w:w="85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gridCol w:w="993"/>
        <w:gridCol w:w="921"/>
        <w:gridCol w:w="1578"/>
      </w:tblGrid>
      <w:tr w:rsidR="00D65519" w:rsidRPr="00D65519" w14:paraId="3CE0CAC2" w14:textId="77777777" w:rsidTr="00EB1993">
        <w:trPr>
          <w:trHeight w:val="279"/>
          <w:jc w:val="center"/>
        </w:trPr>
        <w:tc>
          <w:tcPr>
            <w:tcW w:w="4111" w:type="dxa"/>
            <w:tcBorders>
              <w:top w:val="single" w:sz="4" w:space="0" w:color="auto"/>
              <w:bottom w:val="single" w:sz="4" w:space="0" w:color="auto"/>
            </w:tcBorders>
          </w:tcPr>
          <w:p w14:paraId="011F7B86" w14:textId="77777777" w:rsidR="00AE6360" w:rsidRPr="00D65519" w:rsidRDefault="00AE6360"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Variable</w:t>
            </w:r>
          </w:p>
        </w:tc>
        <w:tc>
          <w:tcPr>
            <w:tcW w:w="992" w:type="dxa"/>
            <w:tcBorders>
              <w:top w:val="single" w:sz="4" w:space="0" w:color="auto"/>
              <w:bottom w:val="single" w:sz="4" w:space="0" w:color="auto"/>
            </w:tcBorders>
          </w:tcPr>
          <w:p w14:paraId="2FD276DB" w14:textId="77777777" w:rsidR="00AE6360" w:rsidRPr="00D65519" w:rsidRDefault="00AE6360"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Mean</w:t>
            </w:r>
          </w:p>
        </w:tc>
        <w:tc>
          <w:tcPr>
            <w:tcW w:w="993" w:type="dxa"/>
            <w:tcBorders>
              <w:top w:val="single" w:sz="4" w:space="0" w:color="auto"/>
              <w:bottom w:val="single" w:sz="4" w:space="0" w:color="auto"/>
            </w:tcBorders>
          </w:tcPr>
          <w:p w14:paraId="38268BB9" w14:textId="77777777" w:rsidR="00AE6360" w:rsidRPr="00D65519" w:rsidRDefault="00AE6360"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SD</w:t>
            </w:r>
          </w:p>
        </w:tc>
        <w:tc>
          <w:tcPr>
            <w:tcW w:w="2499" w:type="dxa"/>
            <w:gridSpan w:val="2"/>
            <w:tcBorders>
              <w:top w:val="single" w:sz="4" w:space="0" w:color="auto"/>
              <w:bottom w:val="single" w:sz="4" w:space="0" w:color="auto"/>
            </w:tcBorders>
          </w:tcPr>
          <w:p w14:paraId="39CB0738" w14:textId="77777777" w:rsidR="00AE6360" w:rsidRPr="00D65519" w:rsidRDefault="00AE6360" w:rsidP="00EB199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95% Credible intervals</w:t>
            </w:r>
          </w:p>
        </w:tc>
      </w:tr>
      <w:tr w:rsidR="00D65519" w:rsidRPr="00D65519" w14:paraId="6A8A368D" w14:textId="77777777" w:rsidTr="00EB1993">
        <w:trPr>
          <w:trHeight w:val="294"/>
          <w:jc w:val="center"/>
        </w:trPr>
        <w:tc>
          <w:tcPr>
            <w:tcW w:w="5103" w:type="dxa"/>
            <w:gridSpan w:val="2"/>
            <w:tcBorders>
              <w:top w:val="single" w:sz="4" w:space="0" w:color="auto"/>
            </w:tcBorders>
          </w:tcPr>
          <w:p w14:paraId="16CF3F08" w14:textId="0EE45B20" w:rsidR="00AE6360" w:rsidRPr="00D65519" w:rsidRDefault="00AE6360"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 xml:space="preserve">Random parameters </w:t>
            </w:r>
            <w:r w:rsidR="00927F5E" w:rsidRPr="00D65519">
              <w:rPr>
                <w:rFonts w:ascii="Times New Roman" w:eastAsia="Calibri" w:hAnsi="Times New Roman" w:cs="Times New Roman"/>
                <w:i/>
                <w:iCs/>
                <w:szCs w:val="20"/>
              </w:rPr>
              <w:t>simultaneous-equations</w:t>
            </w:r>
            <w:r w:rsidRPr="00D65519">
              <w:rPr>
                <w:rFonts w:ascii="Times New Roman" w:eastAsia="Calibri" w:hAnsi="Times New Roman" w:cs="Times New Roman"/>
                <w:i/>
                <w:iCs/>
                <w:szCs w:val="20"/>
              </w:rPr>
              <w:t xml:space="preserve"> model</w:t>
            </w:r>
          </w:p>
        </w:tc>
        <w:tc>
          <w:tcPr>
            <w:tcW w:w="993" w:type="dxa"/>
            <w:tcBorders>
              <w:top w:val="single" w:sz="4" w:space="0" w:color="auto"/>
            </w:tcBorders>
            <w:shd w:val="clear" w:color="auto" w:fill="auto"/>
            <w:vAlign w:val="bottom"/>
          </w:tcPr>
          <w:p w14:paraId="27B1E57B" w14:textId="77777777" w:rsidR="00AE6360" w:rsidRPr="00D65519" w:rsidRDefault="00AE6360" w:rsidP="00EB1993">
            <w:pPr>
              <w:spacing w:line="360" w:lineRule="auto"/>
              <w:jc w:val="both"/>
              <w:rPr>
                <w:rFonts w:ascii="Times New Roman" w:eastAsia="Calibri" w:hAnsi="Times New Roman" w:cs="Times New Roman"/>
                <w:szCs w:val="20"/>
              </w:rPr>
            </w:pPr>
          </w:p>
        </w:tc>
        <w:tc>
          <w:tcPr>
            <w:tcW w:w="921" w:type="dxa"/>
            <w:tcBorders>
              <w:top w:val="single" w:sz="4" w:space="0" w:color="auto"/>
            </w:tcBorders>
            <w:shd w:val="clear" w:color="auto" w:fill="auto"/>
            <w:vAlign w:val="bottom"/>
          </w:tcPr>
          <w:p w14:paraId="6EBD75C6" w14:textId="77777777" w:rsidR="00AE6360" w:rsidRPr="00D65519" w:rsidRDefault="00AE6360" w:rsidP="00EB1993">
            <w:pPr>
              <w:spacing w:line="360" w:lineRule="auto"/>
              <w:jc w:val="both"/>
              <w:rPr>
                <w:rFonts w:ascii="Times New Roman" w:eastAsia="Calibri" w:hAnsi="Times New Roman" w:cs="Times New Roman"/>
                <w:szCs w:val="20"/>
              </w:rPr>
            </w:pPr>
          </w:p>
        </w:tc>
        <w:tc>
          <w:tcPr>
            <w:tcW w:w="1578" w:type="dxa"/>
            <w:tcBorders>
              <w:top w:val="single" w:sz="4" w:space="0" w:color="auto"/>
            </w:tcBorders>
            <w:shd w:val="clear" w:color="auto" w:fill="auto"/>
            <w:vAlign w:val="bottom"/>
          </w:tcPr>
          <w:p w14:paraId="755C21D1" w14:textId="77777777" w:rsidR="00AE6360" w:rsidRPr="00D65519" w:rsidRDefault="00AE6360" w:rsidP="00EB1993">
            <w:pPr>
              <w:spacing w:line="360" w:lineRule="auto"/>
              <w:jc w:val="both"/>
              <w:rPr>
                <w:rFonts w:ascii="Times New Roman" w:eastAsia="Calibri" w:hAnsi="Times New Roman" w:cs="Times New Roman"/>
                <w:szCs w:val="20"/>
              </w:rPr>
            </w:pPr>
          </w:p>
        </w:tc>
      </w:tr>
      <w:tr w:rsidR="00D65519" w:rsidRPr="00D65519" w14:paraId="7C8903A5" w14:textId="77777777" w:rsidTr="00EB1993">
        <w:trPr>
          <w:trHeight w:val="294"/>
          <w:jc w:val="center"/>
        </w:trPr>
        <w:tc>
          <w:tcPr>
            <w:tcW w:w="4111" w:type="dxa"/>
          </w:tcPr>
          <w:p w14:paraId="5FC5C595" w14:textId="77777777"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Ln(bicycle flow)</w:t>
            </w:r>
          </w:p>
        </w:tc>
        <w:tc>
          <w:tcPr>
            <w:tcW w:w="992" w:type="dxa"/>
            <w:shd w:val="clear" w:color="auto" w:fill="auto"/>
            <w:vAlign w:val="bottom"/>
          </w:tcPr>
          <w:p w14:paraId="4139C6FC" w14:textId="5BE47A18" w:rsidR="008D790D" w:rsidRPr="00D65519" w:rsidRDefault="008D790D" w:rsidP="008D790D">
            <w:pPr>
              <w:spacing w:line="360" w:lineRule="auto"/>
              <w:jc w:val="both"/>
              <w:rPr>
                <w:rFonts w:ascii="Times New Roman" w:eastAsia="Calibri" w:hAnsi="Times New Roman" w:cs="Times New Roman"/>
              </w:rPr>
            </w:pPr>
            <w:r w:rsidRPr="00D65519">
              <w:rPr>
                <w:rFonts w:ascii="Times New Roman" w:hAnsi="Times New Roman" w:cs="Times New Roman"/>
              </w:rPr>
              <w:t>0.190</w:t>
            </w:r>
          </w:p>
        </w:tc>
        <w:tc>
          <w:tcPr>
            <w:tcW w:w="993" w:type="dxa"/>
            <w:shd w:val="clear" w:color="auto" w:fill="auto"/>
            <w:vAlign w:val="bottom"/>
          </w:tcPr>
          <w:p w14:paraId="609393ED" w14:textId="672CC8C0" w:rsidR="008D790D" w:rsidRPr="00D65519" w:rsidRDefault="008D790D" w:rsidP="008D790D">
            <w:pPr>
              <w:spacing w:line="360" w:lineRule="auto"/>
              <w:jc w:val="both"/>
              <w:rPr>
                <w:rFonts w:ascii="Times New Roman" w:eastAsia="Calibri" w:hAnsi="Times New Roman" w:cs="Times New Roman"/>
              </w:rPr>
            </w:pPr>
            <w:r w:rsidRPr="00D65519">
              <w:rPr>
                <w:rFonts w:ascii="Times New Roman" w:hAnsi="Times New Roman" w:cs="Times New Roman"/>
              </w:rPr>
              <w:t>0.043</w:t>
            </w:r>
          </w:p>
        </w:tc>
        <w:tc>
          <w:tcPr>
            <w:tcW w:w="921" w:type="dxa"/>
            <w:shd w:val="clear" w:color="auto" w:fill="auto"/>
            <w:vAlign w:val="bottom"/>
          </w:tcPr>
          <w:p w14:paraId="189ED7E5" w14:textId="3C1E6C61" w:rsidR="008D790D" w:rsidRPr="00D65519" w:rsidRDefault="008D790D" w:rsidP="008D790D">
            <w:pPr>
              <w:spacing w:line="360" w:lineRule="auto"/>
              <w:jc w:val="both"/>
              <w:rPr>
                <w:rFonts w:ascii="Times New Roman" w:eastAsia="Calibri" w:hAnsi="Times New Roman" w:cs="Times New Roman"/>
              </w:rPr>
            </w:pPr>
            <w:r w:rsidRPr="00D65519">
              <w:rPr>
                <w:rFonts w:ascii="Times New Roman" w:hAnsi="Times New Roman" w:cs="Times New Roman"/>
              </w:rPr>
              <w:t>0.114</w:t>
            </w:r>
          </w:p>
        </w:tc>
        <w:tc>
          <w:tcPr>
            <w:tcW w:w="1578" w:type="dxa"/>
            <w:shd w:val="clear" w:color="auto" w:fill="auto"/>
            <w:vAlign w:val="bottom"/>
          </w:tcPr>
          <w:p w14:paraId="20CD3C24" w14:textId="76309E06" w:rsidR="008D790D" w:rsidRPr="00D65519" w:rsidRDefault="008D790D" w:rsidP="008D790D">
            <w:pPr>
              <w:spacing w:line="360" w:lineRule="auto"/>
              <w:jc w:val="both"/>
              <w:rPr>
                <w:rFonts w:ascii="Times New Roman" w:eastAsia="Calibri" w:hAnsi="Times New Roman" w:cs="Times New Roman"/>
              </w:rPr>
            </w:pPr>
            <w:r w:rsidRPr="00D65519">
              <w:rPr>
                <w:rFonts w:ascii="Times New Roman" w:hAnsi="Times New Roman" w:cs="Times New Roman"/>
              </w:rPr>
              <w:t>0.287</w:t>
            </w:r>
          </w:p>
        </w:tc>
      </w:tr>
      <w:tr w:rsidR="00D65519" w:rsidRPr="00D65519" w14:paraId="01EF1196" w14:textId="77777777" w:rsidTr="00EB1993">
        <w:trPr>
          <w:trHeight w:val="279"/>
          <w:jc w:val="center"/>
        </w:trPr>
        <w:tc>
          <w:tcPr>
            <w:tcW w:w="4111" w:type="dxa"/>
          </w:tcPr>
          <w:p w14:paraId="2F5DD797" w14:textId="77777777"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Ln(right turning AADT)</w:t>
            </w:r>
          </w:p>
        </w:tc>
        <w:tc>
          <w:tcPr>
            <w:tcW w:w="992" w:type="dxa"/>
            <w:shd w:val="clear" w:color="auto" w:fill="auto"/>
            <w:vAlign w:val="bottom"/>
          </w:tcPr>
          <w:p w14:paraId="3E247F11" w14:textId="422B55C0"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0.121</w:t>
            </w:r>
          </w:p>
        </w:tc>
        <w:tc>
          <w:tcPr>
            <w:tcW w:w="993" w:type="dxa"/>
            <w:shd w:val="clear" w:color="auto" w:fill="auto"/>
            <w:vAlign w:val="bottom"/>
          </w:tcPr>
          <w:p w14:paraId="192B8665" w14:textId="13856D1C"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0.036</w:t>
            </w:r>
          </w:p>
        </w:tc>
        <w:tc>
          <w:tcPr>
            <w:tcW w:w="921" w:type="dxa"/>
            <w:shd w:val="clear" w:color="auto" w:fill="auto"/>
            <w:vAlign w:val="bottom"/>
          </w:tcPr>
          <w:p w14:paraId="35CF94A7" w14:textId="00B79428"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0.053</w:t>
            </w:r>
          </w:p>
        </w:tc>
        <w:tc>
          <w:tcPr>
            <w:tcW w:w="1578" w:type="dxa"/>
            <w:shd w:val="clear" w:color="auto" w:fill="auto"/>
            <w:vAlign w:val="bottom"/>
          </w:tcPr>
          <w:p w14:paraId="77869AD7" w14:textId="1DBB72DD"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0.191</w:t>
            </w:r>
          </w:p>
        </w:tc>
      </w:tr>
      <w:tr w:rsidR="00D65519" w:rsidRPr="00D65519" w14:paraId="31C6F804" w14:textId="77777777" w:rsidTr="00EB1993">
        <w:trPr>
          <w:trHeight w:val="294"/>
          <w:jc w:val="center"/>
        </w:trPr>
        <w:tc>
          <w:tcPr>
            <w:tcW w:w="4111" w:type="dxa"/>
          </w:tcPr>
          <w:p w14:paraId="4B825520" w14:textId="77777777"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Ln(left turning AADT)</w:t>
            </w:r>
          </w:p>
        </w:tc>
        <w:tc>
          <w:tcPr>
            <w:tcW w:w="992" w:type="dxa"/>
            <w:shd w:val="clear" w:color="auto" w:fill="auto"/>
            <w:vAlign w:val="bottom"/>
          </w:tcPr>
          <w:p w14:paraId="620877DB" w14:textId="3B3241D5"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0.081</w:t>
            </w:r>
          </w:p>
        </w:tc>
        <w:tc>
          <w:tcPr>
            <w:tcW w:w="993" w:type="dxa"/>
            <w:shd w:val="clear" w:color="auto" w:fill="auto"/>
            <w:vAlign w:val="bottom"/>
          </w:tcPr>
          <w:p w14:paraId="79EAE51F" w14:textId="12145A8A"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0.030</w:t>
            </w:r>
          </w:p>
        </w:tc>
        <w:tc>
          <w:tcPr>
            <w:tcW w:w="921" w:type="dxa"/>
            <w:shd w:val="clear" w:color="auto" w:fill="auto"/>
            <w:vAlign w:val="bottom"/>
          </w:tcPr>
          <w:p w14:paraId="4364CAED" w14:textId="31E22D4F"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0.022</w:t>
            </w:r>
          </w:p>
        </w:tc>
        <w:tc>
          <w:tcPr>
            <w:tcW w:w="1578" w:type="dxa"/>
            <w:shd w:val="clear" w:color="auto" w:fill="auto"/>
            <w:vAlign w:val="bottom"/>
          </w:tcPr>
          <w:p w14:paraId="0CC9B8E6" w14:textId="4CF10CFC" w:rsidR="008D790D" w:rsidRPr="00D65519" w:rsidRDefault="008D790D" w:rsidP="008D790D">
            <w:pPr>
              <w:spacing w:line="360" w:lineRule="auto"/>
              <w:jc w:val="both"/>
              <w:rPr>
                <w:rFonts w:ascii="Times New Roman" w:eastAsia="Calibri" w:hAnsi="Times New Roman" w:cs="Times New Roman"/>
                <w:szCs w:val="20"/>
              </w:rPr>
            </w:pPr>
            <w:r w:rsidRPr="00D65519">
              <w:rPr>
                <w:rFonts w:ascii="Times New Roman" w:hAnsi="Times New Roman" w:cs="Times New Roman"/>
              </w:rPr>
              <w:t>0.140</w:t>
            </w:r>
          </w:p>
        </w:tc>
      </w:tr>
      <w:tr w:rsidR="00D65519" w:rsidRPr="00D65519" w14:paraId="6F3CE736" w14:textId="77777777" w:rsidTr="00EB1993">
        <w:trPr>
          <w:trHeight w:val="279"/>
          <w:jc w:val="center"/>
        </w:trPr>
        <w:tc>
          <w:tcPr>
            <w:tcW w:w="4111" w:type="dxa"/>
          </w:tcPr>
          <w:p w14:paraId="39258E97" w14:textId="77777777"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Number of subway stations</w:t>
            </w:r>
          </w:p>
        </w:tc>
        <w:tc>
          <w:tcPr>
            <w:tcW w:w="992" w:type="dxa"/>
            <w:shd w:val="clear" w:color="auto" w:fill="auto"/>
            <w:vAlign w:val="bottom"/>
          </w:tcPr>
          <w:p w14:paraId="70DC083A" w14:textId="285AD7B3"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0.107</w:t>
            </w:r>
          </w:p>
        </w:tc>
        <w:tc>
          <w:tcPr>
            <w:tcW w:w="993" w:type="dxa"/>
            <w:shd w:val="clear" w:color="auto" w:fill="auto"/>
            <w:vAlign w:val="bottom"/>
          </w:tcPr>
          <w:p w14:paraId="44347CF3" w14:textId="4011BAD4"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0.048</w:t>
            </w:r>
          </w:p>
        </w:tc>
        <w:tc>
          <w:tcPr>
            <w:tcW w:w="921" w:type="dxa"/>
            <w:shd w:val="clear" w:color="auto" w:fill="auto"/>
            <w:vAlign w:val="bottom"/>
          </w:tcPr>
          <w:p w14:paraId="2CAA5510" w14:textId="033937D4"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0.015</w:t>
            </w:r>
          </w:p>
        </w:tc>
        <w:tc>
          <w:tcPr>
            <w:tcW w:w="1578" w:type="dxa"/>
            <w:shd w:val="clear" w:color="auto" w:fill="auto"/>
            <w:vAlign w:val="bottom"/>
          </w:tcPr>
          <w:p w14:paraId="1D8E180A" w14:textId="451F6734"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0.201</w:t>
            </w:r>
          </w:p>
        </w:tc>
      </w:tr>
      <w:tr w:rsidR="00D65519" w:rsidRPr="00D65519" w14:paraId="0A6364B1" w14:textId="77777777" w:rsidTr="00EB1993">
        <w:trPr>
          <w:trHeight w:val="294"/>
          <w:jc w:val="center"/>
        </w:trPr>
        <w:tc>
          <w:tcPr>
            <w:tcW w:w="4111" w:type="dxa"/>
          </w:tcPr>
          <w:p w14:paraId="0E7EE992" w14:textId="77777777"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bus stop</w:t>
            </w:r>
          </w:p>
        </w:tc>
        <w:tc>
          <w:tcPr>
            <w:tcW w:w="992" w:type="dxa"/>
            <w:shd w:val="clear" w:color="auto" w:fill="auto"/>
            <w:vAlign w:val="bottom"/>
          </w:tcPr>
          <w:p w14:paraId="35D34FB2" w14:textId="571CC9E9"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0.169</w:t>
            </w:r>
          </w:p>
        </w:tc>
        <w:tc>
          <w:tcPr>
            <w:tcW w:w="993" w:type="dxa"/>
            <w:shd w:val="clear" w:color="auto" w:fill="auto"/>
            <w:vAlign w:val="bottom"/>
          </w:tcPr>
          <w:p w14:paraId="06A52859" w14:textId="067AD3AD"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0.050</w:t>
            </w:r>
          </w:p>
        </w:tc>
        <w:tc>
          <w:tcPr>
            <w:tcW w:w="921" w:type="dxa"/>
            <w:shd w:val="clear" w:color="auto" w:fill="auto"/>
            <w:vAlign w:val="bottom"/>
          </w:tcPr>
          <w:p w14:paraId="09099928" w14:textId="31175A22"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0.068</w:t>
            </w:r>
          </w:p>
        </w:tc>
        <w:tc>
          <w:tcPr>
            <w:tcW w:w="1578" w:type="dxa"/>
            <w:shd w:val="clear" w:color="auto" w:fill="auto"/>
            <w:vAlign w:val="bottom"/>
          </w:tcPr>
          <w:p w14:paraId="50453732" w14:textId="67E98C5C" w:rsidR="00977926" w:rsidRPr="00D65519" w:rsidRDefault="00977926" w:rsidP="00977926">
            <w:pPr>
              <w:spacing w:line="360" w:lineRule="auto"/>
              <w:jc w:val="both"/>
              <w:rPr>
                <w:rFonts w:ascii="Times New Roman" w:eastAsia="Calibri" w:hAnsi="Times New Roman" w:cs="Times New Roman"/>
                <w:szCs w:val="20"/>
              </w:rPr>
            </w:pPr>
            <w:r w:rsidRPr="00D65519">
              <w:rPr>
                <w:rFonts w:ascii="Times New Roman" w:hAnsi="Times New Roman" w:cs="Times New Roman"/>
              </w:rPr>
              <w:t>0.265</w:t>
            </w:r>
          </w:p>
        </w:tc>
      </w:tr>
      <w:tr w:rsidR="00D65519" w:rsidRPr="00D65519" w14:paraId="66272CF4" w14:textId="77777777" w:rsidTr="00EB1993">
        <w:trPr>
          <w:trHeight w:val="279"/>
          <w:jc w:val="center"/>
        </w:trPr>
        <w:tc>
          <w:tcPr>
            <w:tcW w:w="4111" w:type="dxa"/>
          </w:tcPr>
          <w:p w14:paraId="36A6B557" w14:textId="77777777" w:rsidR="00977926" w:rsidRPr="00D65519" w:rsidRDefault="00977926" w:rsidP="00977926">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Presence of school</w:t>
            </w:r>
          </w:p>
        </w:tc>
        <w:tc>
          <w:tcPr>
            <w:tcW w:w="992" w:type="dxa"/>
            <w:shd w:val="clear" w:color="auto" w:fill="auto"/>
            <w:vAlign w:val="bottom"/>
          </w:tcPr>
          <w:p w14:paraId="3487A857" w14:textId="15B6AC13" w:rsidR="00977926" w:rsidRPr="00D65519" w:rsidRDefault="00977926" w:rsidP="00977926">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0.227</w:t>
            </w:r>
          </w:p>
        </w:tc>
        <w:tc>
          <w:tcPr>
            <w:tcW w:w="993" w:type="dxa"/>
            <w:shd w:val="clear" w:color="auto" w:fill="auto"/>
            <w:vAlign w:val="bottom"/>
          </w:tcPr>
          <w:p w14:paraId="5351F45C" w14:textId="1BF4212F" w:rsidR="00977926" w:rsidRPr="00D65519" w:rsidRDefault="00977926" w:rsidP="00977926">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0.071</w:t>
            </w:r>
          </w:p>
        </w:tc>
        <w:tc>
          <w:tcPr>
            <w:tcW w:w="921" w:type="dxa"/>
            <w:shd w:val="clear" w:color="auto" w:fill="auto"/>
            <w:vAlign w:val="bottom"/>
          </w:tcPr>
          <w:p w14:paraId="0A1856B3" w14:textId="7FA9B81A" w:rsidR="00977926" w:rsidRPr="00D65519" w:rsidRDefault="00977926" w:rsidP="00977926">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0.083</w:t>
            </w:r>
          </w:p>
        </w:tc>
        <w:tc>
          <w:tcPr>
            <w:tcW w:w="1578" w:type="dxa"/>
            <w:shd w:val="clear" w:color="auto" w:fill="auto"/>
            <w:vAlign w:val="bottom"/>
          </w:tcPr>
          <w:p w14:paraId="62C2CC5E" w14:textId="2D08A7D8" w:rsidR="00977926" w:rsidRPr="00D65519" w:rsidRDefault="00977926" w:rsidP="00977926">
            <w:pPr>
              <w:spacing w:line="360" w:lineRule="auto"/>
              <w:jc w:val="both"/>
              <w:rPr>
                <w:rFonts w:ascii="Times New Roman" w:eastAsia="Calibri" w:hAnsi="Times New Roman" w:cs="Times New Roman"/>
                <w:i/>
                <w:iCs/>
                <w:szCs w:val="20"/>
              </w:rPr>
            </w:pPr>
            <w:r w:rsidRPr="00D65519">
              <w:rPr>
                <w:rFonts w:ascii="Times New Roman" w:hAnsi="Times New Roman" w:cs="Times New Roman"/>
                <w:i/>
                <w:iCs/>
              </w:rPr>
              <w:t>0.363</w:t>
            </w:r>
          </w:p>
        </w:tc>
      </w:tr>
      <w:tr w:rsidR="00D65519" w:rsidRPr="00D65519" w14:paraId="60674A1E" w14:textId="77777777" w:rsidTr="00EB1993">
        <w:trPr>
          <w:trHeight w:val="279"/>
          <w:jc w:val="center"/>
        </w:trPr>
        <w:tc>
          <w:tcPr>
            <w:tcW w:w="4111" w:type="dxa"/>
          </w:tcPr>
          <w:p w14:paraId="38A95355" w14:textId="77777777" w:rsidR="00AE6360" w:rsidRPr="00D65519" w:rsidRDefault="00AE6360" w:rsidP="00EB1993">
            <w:pPr>
              <w:spacing w:line="360" w:lineRule="auto"/>
              <w:jc w:val="both"/>
              <w:rPr>
                <w:rFonts w:ascii="Times New Roman" w:eastAsia="Calibri" w:hAnsi="Times New Roman" w:cs="Times New Roman"/>
                <w:szCs w:val="20"/>
              </w:rPr>
            </w:pPr>
          </w:p>
        </w:tc>
        <w:tc>
          <w:tcPr>
            <w:tcW w:w="992" w:type="dxa"/>
            <w:shd w:val="clear" w:color="auto" w:fill="auto"/>
            <w:vAlign w:val="bottom"/>
          </w:tcPr>
          <w:p w14:paraId="52EEBCBE" w14:textId="77777777" w:rsidR="00AE6360" w:rsidRPr="00D65519" w:rsidRDefault="00AE6360" w:rsidP="00EB1993">
            <w:pPr>
              <w:spacing w:line="360" w:lineRule="auto"/>
              <w:jc w:val="both"/>
              <w:rPr>
                <w:rFonts w:ascii="Times New Roman" w:eastAsia="Calibri" w:hAnsi="Times New Roman" w:cs="Times New Roman"/>
                <w:szCs w:val="20"/>
              </w:rPr>
            </w:pPr>
          </w:p>
        </w:tc>
        <w:tc>
          <w:tcPr>
            <w:tcW w:w="993" w:type="dxa"/>
            <w:shd w:val="clear" w:color="auto" w:fill="auto"/>
            <w:vAlign w:val="bottom"/>
          </w:tcPr>
          <w:p w14:paraId="2BCBAF33" w14:textId="77777777" w:rsidR="00AE6360" w:rsidRPr="00D65519" w:rsidRDefault="00AE6360" w:rsidP="00EB1993">
            <w:pPr>
              <w:spacing w:line="360" w:lineRule="auto"/>
              <w:jc w:val="both"/>
              <w:rPr>
                <w:rFonts w:ascii="Times New Roman" w:eastAsia="Calibri" w:hAnsi="Times New Roman" w:cs="Times New Roman"/>
                <w:szCs w:val="20"/>
              </w:rPr>
            </w:pPr>
          </w:p>
        </w:tc>
        <w:tc>
          <w:tcPr>
            <w:tcW w:w="921" w:type="dxa"/>
            <w:shd w:val="clear" w:color="auto" w:fill="auto"/>
            <w:vAlign w:val="bottom"/>
          </w:tcPr>
          <w:p w14:paraId="400CF9C4" w14:textId="77777777" w:rsidR="00AE6360" w:rsidRPr="00D65519" w:rsidRDefault="00AE6360" w:rsidP="00EB1993">
            <w:pPr>
              <w:spacing w:line="360" w:lineRule="auto"/>
              <w:jc w:val="both"/>
              <w:rPr>
                <w:rFonts w:ascii="Times New Roman" w:eastAsia="Calibri" w:hAnsi="Times New Roman" w:cs="Times New Roman"/>
                <w:szCs w:val="20"/>
              </w:rPr>
            </w:pPr>
          </w:p>
        </w:tc>
        <w:tc>
          <w:tcPr>
            <w:tcW w:w="1578" w:type="dxa"/>
            <w:shd w:val="clear" w:color="auto" w:fill="auto"/>
            <w:vAlign w:val="bottom"/>
          </w:tcPr>
          <w:p w14:paraId="4CD69D8F" w14:textId="77777777" w:rsidR="00AE6360" w:rsidRPr="00D65519" w:rsidRDefault="00AE6360" w:rsidP="00EB1993">
            <w:pPr>
              <w:spacing w:line="360" w:lineRule="auto"/>
              <w:jc w:val="both"/>
              <w:rPr>
                <w:rFonts w:ascii="Times New Roman" w:eastAsia="Calibri" w:hAnsi="Times New Roman" w:cs="Times New Roman"/>
                <w:szCs w:val="20"/>
              </w:rPr>
            </w:pPr>
          </w:p>
        </w:tc>
      </w:tr>
      <w:tr w:rsidR="00D65519" w:rsidRPr="00D65519" w14:paraId="0414D558" w14:textId="77777777" w:rsidTr="00EB1993">
        <w:trPr>
          <w:trHeight w:val="279"/>
          <w:jc w:val="center"/>
        </w:trPr>
        <w:tc>
          <w:tcPr>
            <w:tcW w:w="5103" w:type="dxa"/>
            <w:gridSpan w:val="2"/>
          </w:tcPr>
          <w:p w14:paraId="75935290" w14:textId="7AEC4C20" w:rsidR="00AE6360" w:rsidRPr="00D65519" w:rsidRDefault="00AE6360" w:rsidP="00EB1993">
            <w:pPr>
              <w:spacing w:line="360" w:lineRule="auto"/>
              <w:jc w:val="both"/>
              <w:rPr>
                <w:rFonts w:ascii="Times New Roman" w:eastAsia="Calibri" w:hAnsi="Times New Roman" w:cs="Times New Roman"/>
                <w:i/>
                <w:iCs/>
                <w:szCs w:val="20"/>
              </w:rPr>
            </w:pPr>
            <w:r w:rsidRPr="00D65519">
              <w:rPr>
                <w:rFonts w:ascii="Times New Roman" w:eastAsia="Calibri" w:hAnsi="Times New Roman" w:cs="Times New Roman"/>
                <w:i/>
                <w:iCs/>
                <w:szCs w:val="20"/>
              </w:rPr>
              <w:t xml:space="preserve">Random parameters </w:t>
            </w:r>
            <w:r w:rsidR="00927F5E" w:rsidRPr="00D65519">
              <w:rPr>
                <w:rFonts w:ascii="Times New Roman" w:eastAsia="Calibri" w:hAnsi="Times New Roman" w:cs="Times New Roman"/>
                <w:i/>
                <w:iCs/>
                <w:szCs w:val="20"/>
              </w:rPr>
              <w:t>simultaneous-equations</w:t>
            </w:r>
            <w:r w:rsidRPr="00D65519">
              <w:rPr>
                <w:rFonts w:ascii="Times New Roman" w:eastAsia="Calibri" w:hAnsi="Times New Roman" w:cs="Times New Roman"/>
                <w:i/>
                <w:iCs/>
                <w:szCs w:val="20"/>
              </w:rPr>
              <w:t xml:space="preserve"> model with heterogeneity in covariance</w:t>
            </w:r>
          </w:p>
        </w:tc>
        <w:tc>
          <w:tcPr>
            <w:tcW w:w="993" w:type="dxa"/>
            <w:shd w:val="clear" w:color="auto" w:fill="auto"/>
            <w:vAlign w:val="bottom"/>
          </w:tcPr>
          <w:p w14:paraId="2FD34D35" w14:textId="77777777" w:rsidR="00AE6360" w:rsidRPr="00D65519" w:rsidRDefault="00AE6360" w:rsidP="00EB1993">
            <w:pPr>
              <w:spacing w:line="360" w:lineRule="auto"/>
              <w:jc w:val="both"/>
              <w:rPr>
                <w:rFonts w:ascii="Times New Roman" w:eastAsia="Calibri" w:hAnsi="Times New Roman" w:cs="Times New Roman"/>
                <w:szCs w:val="20"/>
              </w:rPr>
            </w:pPr>
          </w:p>
        </w:tc>
        <w:tc>
          <w:tcPr>
            <w:tcW w:w="921" w:type="dxa"/>
            <w:shd w:val="clear" w:color="auto" w:fill="auto"/>
            <w:vAlign w:val="bottom"/>
          </w:tcPr>
          <w:p w14:paraId="5845BD80" w14:textId="77777777" w:rsidR="00AE6360" w:rsidRPr="00D65519" w:rsidRDefault="00AE6360" w:rsidP="00EB1993">
            <w:pPr>
              <w:spacing w:line="360" w:lineRule="auto"/>
              <w:jc w:val="both"/>
              <w:rPr>
                <w:rFonts w:ascii="Times New Roman" w:eastAsia="Calibri" w:hAnsi="Times New Roman" w:cs="Times New Roman"/>
                <w:szCs w:val="20"/>
              </w:rPr>
            </w:pPr>
          </w:p>
        </w:tc>
        <w:tc>
          <w:tcPr>
            <w:tcW w:w="1578" w:type="dxa"/>
            <w:shd w:val="clear" w:color="auto" w:fill="auto"/>
            <w:vAlign w:val="bottom"/>
          </w:tcPr>
          <w:p w14:paraId="0683A9C6" w14:textId="77777777" w:rsidR="00AE6360" w:rsidRPr="00D65519" w:rsidRDefault="00AE6360" w:rsidP="00EB1993">
            <w:pPr>
              <w:spacing w:line="360" w:lineRule="auto"/>
              <w:jc w:val="both"/>
              <w:rPr>
                <w:rFonts w:ascii="Times New Roman" w:eastAsia="Calibri" w:hAnsi="Times New Roman" w:cs="Times New Roman"/>
                <w:szCs w:val="20"/>
              </w:rPr>
            </w:pPr>
          </w:p>
        </w:tc>
      </w:tr>
      <w:tr w:rsidR="00D65519" w:rsidRPr="00D65519" w14:paraId="734CF07E" w14:textId="77777777" w:rsidTr="00EB1993">
        <w:trPr>
          <w:trHeight w:val="279"/>
          <w:jc w:val="center"/>
        </w:trPr>
        <w:tc>
          <w:tcPr>
            <w:tcW w:w="4111" w:type="dxa"/>
          </w:tcPr>
          <w:p w14:paraId="38170A8F" w14:textId="2C4999AD" w:rsidR="005E4AC4" w:rsidRPr="00D65519" w:rsidRDefault="005E4AC4" w:rsidP="005E4AC4">
            <w:pPr>
              <w:spacing w:line="360" w:lineRule="auto"/>
              <w:jc w:val="left"/>
              <w:rPr>
                <w:rFonts w:ascii="Times New Roman" w:eastAsia="Calibri" w:hAnsi="Times New Roman" w:cs="Times New Roman"/>
                <w:szCs w:val="20"/>
              </w:rPr>
            </w:pPr>
            <w:r w:rsidRPr="00D65519">
              <w:rPr>
                <w:rFonts w:ascii="Times New Roman" w:eastAsia="Calibri" w:hAnsi="Times New Roman" w:cs="Times New Roman"/>
                <w:szCs w:val="20"/>
              </w:rPr>
              <w:t>Ln(bicycle flow)</w:t>
            </w:r>
          </w:p>
        </w:tc>
        <w:tc>
          <w:tcPr>
            <w:tcW w:w="992" w:type="dxa"/>
            <w:shd w:val="clear" w:color="auto" w:fill="auto"/>
            <w:vAlign w:val="bottom"/>
          </w:tcPr>
          <w:p w14:paraId="66FCE823" w14:textId="4151255F" w:rsidR="005E4AC4" w:rsidRPr="00D65519" w:rsidRDefault="005E4AC4" w:rsidP="005E4AC4">
            <w:pPr>
              <w:spacing w:line="360" w:lineRule="auto"/>
              <w:jc w:val="left"/>
              <w:rPr>
                <w:rFonts w:ascii="Times New Roman" w:eastAsia="Calibri" w:hAnsi="Times New Roman" w:cs="Times New Roman"/>
              </w:rPr>
            </w:pPr>
            <w:r w:rsidRPr="00D65519">
              <w:rPr>
                <w:rFonts w:ascii="Times New Roman" w:hAnsi="Times New Roman" w:cs="Times New Roman"/>
              </w:rPr>
              <w:t>0.164</w:t>
            </w:r>
          </w:p>
        </w:tc>
        <w:tc>
          <w:tcPr>
            <w:tcW w:w="993" w:type="dxa"/>
            <w:shd w:val="clear" w:color="auto" w:fill="auto"/>
            <w:vAlign w:val="bottom"/>
          </w:tcPr>
          <w:p w14:paraId="0F627EE7" w14:textId="611388B3" w:rsidR="005E4AC4" w:rsidRPr="00D65519" w:rsidRDefault="005E4AC4" w:rsidP="005E4AC4">
            <w:pPr>
              <w:spacing w:line="360" w:lineRule="auto"/>
              <w:jc w:val="left"/>
              <w:rPr>
                <w:rFonts w:ascii="Times New Roman" w:eastAsia="Calibri" w:hAnsi="Times New Roman" w:cs="Times New Roman"/>
              </w:rPr>
            </w:pPr>
            <w:r w:rsidRPr="00D65519">
              <w:rPr>
                <w:rFonts w:ascii="Times New Roman" w:hAnsi="Times New Roman" w:cs="Times New Roman"/>
              </w:rPr>
              <w:t>0.034</w:t>
            </w:r>
          </w:p>
        </w:tc>
        <w:tc>
          <w:tcPr>
            <w:tcW w:w="921" w:type="dxa"/>
            <w:shd w:val="clear" w:color="auto" w:fill="auto"/>
            <w:vAlign w:val="bottom"/>
          </w:tcPr>
          <w:p w14:paraId="50AB24E1" w14:textId="45702281" w:rsidR="005E4AC4" w:rsidRPr="00D65519" w:rsidRDefault="005E4AC4" w:rsidP="005E4AC4">
            <w:pPr>
              <w:spacing w:line="360" w:lineRule="auto"/>
              <w:jc w:val="left"/>
              <w:rPr>
                <w:rFonts w:ascii="Times New Roman" w:eastAsia="Calibri" w:hAnsi="Times New Roman" w:cs="Times New Roman"/>
              </w:rPr>
            </w:pPr>
            <w:r w:rsidRPr="00D65519">
              <w:rPr>
                <w:rFonts w:ascii="Times New Roman" w:hAnsi="Times New Roman" w:cs="Times New Roman"/>
              </w:rPr>
              <w:t>0.102</w:t>
            </w:r>
          </w:p>
        </w:tc>
        <w:tc>
          <w:tcPr>
            <w:tcW w:w="1578" w:type="dxa"/>
            <w:shd w:val="clear" w:color="auto" w:fill="auto"/>
            <w:vAlign w:val="bottom"/>
          </w:tcPr>
          <w:p w14:paraId="50B2B815" w14:textId="79E882C8" w:rsidR="005E4AC4" w:rsidRPr="00D65519" w:rsidRDefault="005E4AC4" w:rsidP="005E4AC4">
            <w:pPr>
              <w:spacing w:line="360" w:lineRule="auto"/>
              <w:jc w:val="left"/>
              <w:rPr>
                <w:rFonts w:ascii="Times New Roman" w:eastAsia="Calibri" w:hAnsi="Times New Roman" w:cs="Times New Roman"/>
              </w:rPr>
            </w:pPr>
            <w:r w:rsidRPr="00D65519">
              <w:rPr>
                <w:rFonts w:ascii="Times New Roman" w:hAnsi="Times New Roman" w:cs="Times New Roman"/>
              </w:rPr>
              <w:t>0.235</w:t>
            </w:r>
          </w:p>
        </w:tc>
      </w:tr>
      <w:tr w:rsidR="00D65519" w:rsidRPr="00D65519" w14:paraId="03D0468F" w14:textId="77777777" w:rsidTr="00EB1993">
        <w:trPr>
          <w:trHeight w:val="279"/>
          <w:jc w:val="center"/>
        </w:trPr>
        <w:tc>
          <w:tcPr>
            <w:tcW w:w="4111" w:type="dxa"/>
          </w:tcPr>
          <w:p w14:paraId="69B2FD12" w14:textId="7BA18924"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Ln(right turning AADT)</w:t>
            </w:r>
          </w:p>
        </w:tc>
        <w:tc>
          <w:tcPr>
            <w:tcW w:w="992" w:type="dxa"/>
            <w:shd w:val="clear" w:color="auto" w:fill="auto"/>
            <w:vAlign w:val="bottom"/>
          </w:tcPr>
          <w:p w14:paraId="12A37994" w14:textId="67EE1D47"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0.122</w:t>
            </w:r>
          </w:p>
        </w:tc>
        <w:tc>
          <w:tcPr>
            <w:tcW w:w="993" w:type="dxa"/>
            <w:shd w:val="clear" w:color="auto" w:fill="auto"/>
            <w:vAlign w:val="bottom"/>
          </w:tcPr>
          <w:p w14:paraId="247BD4AB" w14:textId="34E618EA"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0.038</w:t>
            </w:r>
          </w:p>
        </w:tc>
        <w:tc>
          <w:tcPr>
            <w:tcW w:w="921" w:type="dxa"/>
            <w:shd w:val="clear" w:color="auto" w:fill="auto"/>
            <w:vAlign w:val="bottom"/>
          </w:tcPr>
          <w:p w14:paraId="3D9A7CE9" w14:textId="7A56A6F7"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0.051</w:t>
            </w:r>
          </w:p>
        </w:tc>
        <w:tc>
          <w:tcPr>
            <w:tcW w:w="1578" w:type="dxa"/>
            <w:shd w:val="clear" w:color="auto" w:fill="auto"/>
            <w:vAlign w:val="bottom"/>
          </w:tcPr>
          <w:p w14:paraId="6AB6D9D9" w14:textId="69504964"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0.197</w:t>
            </w:r>
          </w:p>
        </w:tc>
      </w:tr>
      <w:tr w:rsidR="00D65519" w:rsidRPr="00D65519" w14:paraId="47AA86FF" w14:textId="77777777" w:rsidTr="00EB1993">
        <w:trPr>
          <w:trHeight w:val="279"/>
          <w:jc w:val="center"/>
        </w:trPr>
        <w:tc>
          <w:tcPr>
            <w:tcW w:w="4111" w:type="dxa"/>
          </w:tcPr>
          <w:p w14:paraId="682F7E90" w14:textId="3730D8BB"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Ln(left turning AADT)</w:t>
            </w:r>
          </w:p>
        </w:tc>
        <w:tc>
          <w:tcPr>
            <w:tcW w:w="992" w:type="dxa"/>
            <w:shd w:val="clear" w:color="auto" w:fill="auto"/>
            <w:vAlign w:val="bottom"/>
          </w:tcPr>
          <w:p w14:paraId="0117575F" w14:textId="481C5E50"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0.083</w:t>
            </w:r>
          </w:p>
        </w:tc>
        <w:tc>
          <w:tcPr>
            <w:tcW w:w="993" w:type="dxa"/>
            <w:shd w:val="clear" w:color="auto" w:fill="auto"/>
            <w:vAlign w:val="bottom"/>
          </w:tcPr>
          <w:p w14:paraId="777F910E" w14:textId="035B0CDE"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0.034</w:t>
            </w:r>
          </w:p>
        </w:tc>
        <w:tc>
          <w:tcPr>
            <w:tcW w:w="921" w:type="dxa"/>
            <w:shd w:val="clear" w:color="auto" w:fill="auto"/>
            <w:vAlign w:val="bottom"/>
          </w:tcPr>
          <w:p w14:paraId="73ECB31B" w14:textId="5709400B"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0.022</w:t>
            </w:r>
          </w:p>
        </w:tc>
        <w:tc>
          <w:tcPr>
            <w:tcW w:w="1578" w:type="dxa"/>
            <w:shd w:val="clear" w:color="auto" w:fill="auto"/>
            <w:vAlign w:val="bottom"/>
          </w:tcPr>
          <w:p w14:paraId="5AA00346" w14:textId="18EAC3F5" w:rsidR="005E4AC4" w:rsidRPr="00D65519" w:rsidRDefault="005E4AC4" w:rsidP="005E4AC4">
            <w:pPr>
              <w:spacing w:line="360" w:lineRule="auto"/>
              <w:jc w:val="both"/>
              <w:rPr>
                <w:rFonts w:ascii="Times New Roman" w:eastAsia="Calibri" w:hAnsi="Times New Roman" w:cs="Times New Roman"/>
                <w:szCs w:val="20"/>
              </w:rPr>
            </w:pPr>
            <w:r w:rsidRPr="00D65519">
              <w:rPr>
                <w:rFonts w:ascii="Times New Roman" w:hAnsi="Times New Roman" w:cs="Times New Roman"/>
              </w:rPr>
              <w:t>0.162</w:t>
            </w:r>
          </w:p>
        </w:tc>
      </w:tr>
      <w:tr w:rsidR="00D65519" w:rsidRPr="00D65519" w14:paraId="16F4E029" w14:textId="77777777" w:rsidTr="00EB1993">
        <w:trPr>
          <w:trHeight w:val="279"/>
          <w:jc w:val="center"/>
        </w:trPr>
        <w:tc>
          <w:tcPr>
            <w:tcW w:w="4111" w:type="dxa"/>
          </w:tcPr>
          <w:p w14:paraId="7409B40F" w14:textId="163720E2"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Number of subway stations</w:t>
            </w:r>
          </w:p>
        </w:tc>
        <w:tc>
          <w:tcPr>
            <w:tcW w:w="992" w:type="dxa"/>
            <w:shd w:val="clear" w:color="auto" w:fill="auto"/>
            <w:vAlign w:val="bottom"/>
          </w:tcPr>
          <w:p w14:paraId="334D91F8" w14:textId="75B5EA90"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0.089</w:t>
            </w:r>
          </w:p>
        </w:tc>
        <w:tc>
          <w:tcPr>
            <w:tcW w:w="993" w:type="dxa"/>
            <w:shd w:val="clear" w:color="auto" w:fill="auto"/>
            <w:vAlign w:val="bottom"/>
          </w:tcPr>
          <w:p w14:paraId="41E5ADF0" w14:textId="5EF47F6F"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0.048</w:t>
            </w:r>
          </w:p>
        </w:tc>
        <w:tc>
          <w:tcPr>
            <w:tcW w:w="921" w:type="dxa"/>
            <w:shd w:val="clear" w:color="auto" w:fill="auto"/>
            <w:vAlign w:val="bottom"/>
          </w:tcPr>
          <w:p w14:paraId="234E97AC" w14:textId="64C9BF88"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-0.003</w:t>
            </w:r>
          </w:p>
        </w:tc>
        <w:tc>
          <w:tcPr>
            <w:tcW w:w="1578" w:type="dxa"/>
            <w:shd w:val="clear" w:color="auto" w:fill="auto"/>
            <w:vAlign w:val="bottom"/>
          </w:tcPr>
          <w:p w14:paraId="191D5FE7" w14:textId="2AC5A810"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0.187</w:t>
            </w:r>
          </w:p>
        </w:tc>
      </w:tr>
      <w:tr w:rsidR="00D65519" w:rsidRPr="00D65519" w14:paraId="2680AE5C" w14:textId="77777777" w:rsidTr="00EB1993">
        <w:trPr>
          <w:trHeight w:val="279"/>
          <w:jc w:val="center"/>
        </w:trPr>
        <w:tc>
          <w:tcPr>
            <w:tcW w:w="4111" w:type="dxa"/>
          </w:tcPr>
          <w:p w14:paraId="4B48440F" w14:textId="67B2957D"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szCs w:val="20"/>
              </w:rPr>
              <w:t>Presence of bus stop</w:t>
            </w:r>
          </w:p>
        </w:tc>
        <w:tc>
          <w:tcPr>
            <w:tcW w:w="992" w:type="dxa"/>
            <w:shd w:val="clear" w:color="auto" w:fill="auto"/>
            <w:vAlign w:val="bottom"/>
          </w:tcPr>
          <w:p w14:paraId="2E67D203" w14:textId="55B92BCB"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0.140</w:t>
            </w:r>
          </w:p>
        </w:tc>
        <w:tc>
          <w:tcPr>
            <w:tcW w:w="993" w:type="dxa"/>
            <w:shd w:val="clear" w:color="auto" w:fill="auto"/>
            <w:vAlign w:val="bottom"/>
          </w:tcPr>
          <w:p w14:paraId="5FF07968" w14:textId="3BD1E051"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0.051</w:t>
            </w:r>
          </w:p>
        </w:tc>
        <w:tc>
          <w:tcPr>
            <w:tcW w:w="921" w:type="dxa"/>
            <w:shd w:val="clear" w:color="auto" w:fill="auto"/>
            <w:vAlign w:val="bottom"/>
          </w:tcPr>
          <w:p w14:paraId="276E6D17" w14:textId="7D974788"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0.033</w:t>
            </w:r>
          </w:p>
        </w:tc>
        <w:tc>
          <w:tcPr>
            <w:tcW w:w="1578" w:type="dxa"/>
            <w:shd w:val="clear" w:color="auto" w:fill="auto"/>
            <w:vAlign w:val="bottom"/>
          </w:tcPr>
          <w:p w14:paraId="525BCAD2" w14:textId="2FA030E1"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hAnsi="Times New Roman" w:cs="Times New Roman"/>
              </w:rPr>
              <w:t>0.238</w:t>
            </w:r>
          </w:p>
        </w:tc>
      </w:tr>
      <w:tr w:rsidR="00F310B3" w:rsidRPr="00D65519" w14:paraId="6D9D5F29" w14:textId="77777777" w:rsidTr="00EB1993">
        <w:trPr>
          <w:trHeight w:val="279"/>
          <w:jc w:val="center"/>
        </w:trPr>
        <w:tc>
          <w:tcPr>
            <w:tcW w:w="4111" w:type="dxa"/>
            <w:tcBorders>
              <w:bottom w:val="single" w:sz="4" w:space="0" w:color="auto"/>
            </w:tcBorders>
          </w:tcPr>
          <w:p w14:paraId="742AD68C" w14:textId="66F970B2" w:rsidR="00F310B3" w:rsidRPr="00D65519" w:rsidRDefault="00F310B3" w:rsidP="00F310B3">
            <w:pPr>
              <w:spacing w:line="360" w:lineRule="auto"/>
              <w:jc w:val="both"/>
              <w:rPr>
                <w:rFonts w:ascii="Times New Roman" w:eastAsia="Calibri" w:hAnsi="Times New Roman" w:cs="Times New Roman"/>
                <w:szCs w:val="20"/>
              </w:rPr>
            </w:pPr>
            <w:r w:rsidRPr="00D65519">
              <w:rPr>
                <w:rFonts w:ascii="Times New Roman" w:eastAsia="Calibri" w:hAnsi="Times New Roman" w:cs="Times New Roman"/>
                <w:i/>
                <w:iCs/>
                <w:szCs w:val="20"/>
              </w:rPr>
              <w:t>Presence of school</w:t>
            </w:r>
          </w:p>
        </w:tc>
        <w:tc>
          <w:tcPr>
            <w:tcW w:w="992" w:type="dxa"/>
            <w:tcBorders>
              <w:bottom w:val="single" w:sz="4" w:space="0" w:color="auto"/>
            </w:tcBorders>
            <w:shd w:val="clear" w:color="auto" w:fill="auto"/>
            <w:vAlign w:val="bottom"/>
          </w:tcPr>
          <w:p w14:paraId="2A75AF3F" w14:textId="04A64B75" w:rsidR="00F310B3" w:rsidRPr="00D65519" w:rsidRDefault="00F310B3" w:rsidP="00F310B3">
            <w:pPr>
              <w:spacing w:line="360" w:lineRule="auto"/>
              <w:jc w:val="both"/>
              <w:rPr>
                <w:rFonts w:ascii="Times New Roman" w:eastAsia="Calibri" w:hAnsi="Times New Roman" w:cs="Times New Roman"/>
                <w:i/>
                <w:iCs/>
              </w:rPr>
            </w:pPr>
            <w:r w:rsidRPr="00D65519">
              <w:rPr>
                <w:rFonts w:ascii="Times New Roman" w:hAnsi="Times New Roman" w:cs="Times New Roman"/>
                <w:i/>
                <w:iCs/>
              </w:rPr>
              <w:t>0.252</w:t>
            </w:r>
          </w:p>
        </w:tc>
        <w:tc>
          <w:tcPr>
            <w:tcW w:w="993" w:type="dxa"/>
            <w:tcBorders>
              <w:bottom w:val="single" w:sz="4" w:space="0" w:color="auto"/>
            </w:tcBorders>
            <w:shd w:val="clear" w:color="auto" w:fill="auto"/>
            <w:vAlign w:val="bottom"/>
          </w:tcPr>
          <w:p w14:paraId="7FD0DD6C" w14:textId="7AA98B9C" w:rsidR="00F310B3" w:rsidRPr="00D65519" w:rsidRDefault="00F310B3" w:rsidP="00F310B3">
            <w:pPr>
              <w:spacing w:line="360" w:lineRule="auto"/>
              <w:jc w:val="both"/>
              <w:rPr>
                <w:rFonts w:ascii="Times New Roman" w:eastAsia="Calibri" w:hAnsi="Times New Roman" w:cs="Times New Roman"/>
                <w:i/>
                <w:iCs/>
              </w:rPr>
            </w:pPr>
            <w:r w:rsidRPr="00D65519">
              <w:rPr>
                <w:rFonts w:ascii="Times New Roman" w:hAnsi="Times New Roman" w:cs="Times New Roman"/>
                <w:i/>
                <w:iCs/>
              </w:rPr>
              <w:t>0.075</w:t>
            </w:r>
          </w:p>
        </w:tc>
        <w:tc>
          <w:tcPr>
            <w:tcW w:w="921" w:type="dxa"/>
            <w:tcBorders>
              <w:bottom w:val="single" w:sz="4" w:space="0" w:color="auto"/>
            </w:tcBorders>
            <w:shd w:val="clear" w:color="auto" w:fill="auto"/>
            <w:vAlign w:val="bottom"/>
          </w:tcPr>
          <w:p w14:paraId="0ACB7AC3" w14:textId="555DE425" w:rsidR="00F310B3" w:rsidRPr="00D65519" w:rsidRDefault="00F310B3" w:rsidP="00F310B3">
            <w:pPr>
              <w:spacing w:line="360" w:lineRule="auto"/>
              <w:jc w:val="both"/>
              <w:rPr>
                <w:rFonts w:ascii="Times New Roman" w:eastAsia="Calibri" w:hAnsi="Times New Roman" w:cs="Times New Roman"/>
                <w:i/>
                <w:iCs/>
              </w:rPr>
            </w:pPr>
            <w:r w:rsidRPr="00D65519">
              <w:rPr>
                <w:rFonts w:ascii="Times New Roman" w:hAnsi="Times New Roman" w:cs="Times New Roman"/>
                <w:i/>
                <w:iCs/>
              </w:rPr>
              <w:t>0.125</w:t>
            </w:r>
          </w:p>
        </w:tc>
        <w:tc>
          <w:tcPr>
            <w:tcW w:w="1578" w:type="dxa"/>
            <w:tcBorders>
              <w:bottom w:val="single" w:sz="4" w:space="0" w:color="auto"/>
            </w:tcBorders>
            <w:shd w:val="clear" w:color="auto" w:fill="auto"/>
            <w:vAlign w:val="bottom"/>
          </w:tcPr>
          <w:p w14:paraId="3B314E80" w14:textId="0E063EAE" w:rsidR="00F310B3" w:rsidRPr="00D65519" w:rsidRDefault="00F310B3" w:rsidP="00F310B3">
            <w:pPr>
              <w:spacing w:line="360" w:lineRule="auto"/>
              <w:jc w:val="both"/>
              <w:rPr>
                <w:rFonts w:ascii="Times New Roman" w:eastAsia="Calibri" w:hAnsi="Times New Roman" w:cs="Times New Roman"/>
                <w:i/>
                <w:iCs/>
              </w:rPr>
            </w:pPr>
            <w:r w:rsidRPr="00D65519">
              <w:rPr>
                <w:rFonts w:ascii="Times New Roman" w:hAnsi="Times New Roman" w:cs="Times New Roman"/>
                <w:i/>
                <w:iCs/>
              </w:rPr>
              <w:t>0.388</w:t>
            </w:r>
          </w:p>
        </w:tc>
      </w:tr>
    </w:tbl>
    <w:p w14:paraId="5F2EC904" w14:textId="77777777" w:rsidR="00950798" w:rsidRPr="00D65519" w:rsidRDefault="00950798" w:rsidP="004911B7">
      <w:pPr>
        <w:pStyle w:val="ThesisText"/>
        <w:spacing w:line="360" w:lineRule="auto"/>
      </w:pPr>
    </w:p>
    <w:p w14:paraId="2E4E59B5" w14:textId="4D0BF7D0" w:rsidR="00E16A9D" w:rsidRPr="00D65519" w:rsidRDefault="00E16A9D" w:rsidP="004911B7">
      <w:pPr>
        <w:pStyle w:val="ThesisText"/>
        <w:spacing w:line="360" w:lineRule="auto"/>
      </w:pPr>
      <w:r w:rsidRPr="00D65519">
        <w:t xml:space="preserve">A greater volume of vehicles being associated with more cyclist injuries is in line with most literature, though it has been posited that, depending on the location, a greater vehicle flow may reduce speeds which can improve cycling safety (Wegman et al., 2012). Crucially in the present research, it is the volume of motor vehicles turning </w:t>
      </w:r>
      <w:r w:rsidR="00C95335" w:rsidRPr="00D65519">
        <w:t>that</w:t>
      </w:r>
      <w:r w:rsidRPr="00D65519">
        <w:t xml:space="preserve"> degrades cyclist safety, with right turning vehicles having a stronger effect than left (marginal effects of 0.1</w:t>
      </w:r>
      <w:r w:rsidR="004911B7" w:rsidRPr="00D65519">
        <w:t>2</w:t>
      </w:r>
      <w:r w:rsidR="006528E6" w:rsidRPr="00D65519">
        <w:t>2</w:t>
      </w:r>
      <w:r w:rsidRPr="00D65519">
        <w:t xml:space="preserve"> and 0.</w:t>
      </w:r>
      <w:r w:rsidR="004911B7" w:rsidRPr="00D65519">
        <w:t>08</w:t>
      </w:r>
      <w:r w:rsidR="006B1307" w:rsidRPr="00D65519">
        <w:t>3</w:t>
      </w:r>
      <w:r w:rsidR="00C95335" w:rsidRPr="00D65519">
        <w:t>,</w:t>
      </w:r>
      <w:r w:rsidRPr="00D65519">
        <w:t xml:space="preserve"> respectively). This has been found in previous research (</w:t>
      </w:r>
      <w:proofErr w:type="spellStart"/>
      <w:r w:rsidRPr="00D65519">
        <w:t>Gohl</w:t>
      </w:r>
      <w:proofErr w:type="spellEnd"/>
      <w:r w:rsidRPr="00D65519">
        <w:t xml:space="preserve"> et al., 2019; Heydari et al., 2017) and serves as more evidence for the importance of considering cyclists when designing intersections </w:t>
      </w:r>
      <w:r w:rsidR="00C95335" w:rsidRPr="00D65519">
        <w:t>that</w:t>
      </w:r>
      <w:r w:rsidRPr="00D65519">
        <w:t xml:space="preserve"> have high turning flows.</w:t>
      </w:r>
    </w:p>
    <w:p w14:paraId="0ED452F1" w14:textId="109D0CB5" w:rsidR="00E16A9D" w:rsidRPr="00D65519" w:rsidRDefault="00E16A9D" w:rsidP="00C67F92">
      <w:pPr>
        <w:pStyle w:val="ThesisText"/>
        <w:spacing w:line="360" w:lineRule="auto"/>
      </w:pPr>
      <w:r w:rsidRPr="00D65519">
        <w:t>The presence of a bus stop and the addition of one subway station in proximity to an intersection would be expected to increase cyclist injury frequency by 0.</w:t>
      </w:r>
      <w:r w:rsidR="003811A3" w:rsidRPr="00D65519">
        <w:t>1</w:t>
      </w:r>
      <w:r w:rsidR="00B05BAD" w:rsidRPr="00D65519">
        <w:t>40</w:t>
      </w:r>
      <w:r w:rsidR="003811A3" w:rsidRPr="00D65519">
        <w:t xml:space="preserve"> and 0.089</w:t>
      </w:r>
      <w:r w:rsidRPr="00D65519">
        <w:t xml:space="preserve">, respectively. This is broadly the consensus of cycling safety literature, as with walking, areas with higher levels of this type of activity increase crash risk (Heydari et al., 2017). It could also be the case that public transport links attract a higher number of active travellers and in particular, those who are changing between travel modes </w:t>
      </w:r>
      <w:r w:rsidRPr="00D65519">
        <w:lastRenderedPageBreak/>
        <w:t xml:space="preserve">which could degrade safety. When considering where public transport links are to be situated and how they are to be designed, it is important that practitioners consider how these changes will impact cyclists. </w:t>
      </w:r>
    </w:p>
    <w:p w14:paraId="39167F40" w14:textId="5D5689B8" w:rsidR="00CD697B" w:rsidRPr="00D65519" w:rsidRDefault="00E16A9D" w:rsidP="00EC547A">
      <w:pPr>
        <w:pStyle w:val="ThesisText"/>
        <w:spacing w:line="360" w:lineRule="auto"/>
      </w:pPr>
      <w:r w:rsidRPr="00D65519">
        <w:t xml:space="preserve">Finally, </w:t>
      </w:r>
      <w:r w:rsidR="003811A3" w:rsidRPr="00D65519">
        <w:t xml:space="preserve">having the highest marginal effect value, </w:t>
      </w:r>
      <w:r w:rsidRPr="00D65519">
        <w:t xml:space="preserve">the presence of a school in proximity to an intersection was found to </w:t>
      </w:r>
      <w:r w:rsidR="003811A3" w:rsidRPr="00D65519">
        <w:t xml:space="preserve">have the largest impact on cyclist injury counts. It </w:t>
      </w:r>
      <w:r w:rsidRPr="00D65519">
        <w:t>increase</w:t>
      </w:r>
      <w:r w:rsidR="003811A3" w:rsidRPr="00D65519">
        <w:t>d</w:t>
      </w:r>
      <w:r w:rsidR="006759B6" w:rsidRPr="00D65519">
        <w:t>, on average,</w:t>
      </w:r>
      <w:r w:rsidRPr="00D65519">
        <w:t xml:space="preserve"> </w:t>
      </w:r>
      <w:r w:rsidR="006759B6" w:rsidRPr="00D65519">
        <w:t>the expected cyclist injury</w:t>
      </w:r>
      <w:r w:rsidRPr="00D65519">
        <w:t xml:space="preserve"> by 0.</w:t>
      </w:r>
      <w:r w:rsidR="003811A3" w:rsidRPr="00D65519">
        <w:t>2</w:t>
      </w:r>
      <w:r w:rsidR="00B05BAD" w:rsidRPr="00D65519">
        <w:t>52</w:t>
      </w:r>
      <w:r w:rsidR="003811A3" w:rsidRPr="00D65519">
        <w:t xml:space="preserve"> </w:t>
      </w:r>
      <w:r w:rsidRPr="00D65519">
        <w:t>over the study period. As previously mentioned, the issue of the effect of a school on the safety of the surrounding area is not a straightforward problem</w:t>
      </w:r>
      <w:r w:rsidR="002C5234" w:rsidRPr="00D65519">
        <w:t>. T</w:t>
      </w:r>
      <w:r w:rsidRPr="00D65519">
        <w:t>his research</w:t>
      </w:r>
      <w:r w:rsidR="002C5234" w:rsidRPr="00D65519">
        <w:t xml:space="preserve"> has shown that</w:t>
      </w:r>
      <w:r w:rsidRPr="00D65519">
        <w:t xml:space="preserve"> </w:t>
      </w:r>
      <w:r w:rsidR="00B35644" w:rsidRPr="00D65519">
        <w:t xml:space="preserve">while accounting for </w:t>
      </w:r>
      <w:r w:rsidRPr="00D65519">
        <w:t>endogeneity</w:t>
      </w:r>
      <w:r w:rsidR="001C0B5F" w:rsidRPr="00D65519">
        <w:t>,</w:t>
      </w:r>
      <w:r w:rsidRPr="00D65519">
        <w:t xml:space="preserve"> there appears to be a degrading effect of proximity to a school on cyclist safety. With this in mind, it would appear that safety interventions </w:t>
      </w:r>
      <w:r w:rsidR="00EC547A" w:rsidRPr="00D65519">
        <w:t>that</w:t>
      </w:r>
      <w:r w:rsidRPr="00D65519">
        <w:t xml:space="preserve"> have been introduced </w:t>
      </w:r>
      <w:r w:rsidR="00EC547A" w:rsidRPr="00D65519">
        <w:t xml:space="preserve">at intersections </w:t>
      </w:r>
      <w:r w:rsidRPr="00D65519">
        <w:t>around schools</w:t>
      </w:r>
      <w:r w:rsidR="00EC547A" w:rsidRPr="00D65519">
        <w:t>, if any,</w:t>
      </w:r>
      <w:r w:rsidRPr="00D65519">
        <w:t xml:space="preserve"> have not been effective in overcoming the frequency o</w:t>
      </w:r>
      <w:r w:rsidR="00EC547A" w:rsidRPr="00D65519">
        <w:t>f injuries for cyclists at these locations</w:t>
      </w:r>
      <w:r w:rsidRPr="00D65519">
        <w:t xml:space="preserve">, </w:t>
      </w:r>
      <w:r w:rsidR="00202C48" w:rsidRPr="00D65519">
        <w:t xml:space="preserve">bearing in mind </w:t>
      </w:r>
      <w:r w:rsidR="00EC676F" w:rsidRPr="00D65519">
        <w:t xml:space="preserve">that </w:t>
      </w:r>
      <w:r w:rsidR="00730DF3" w:rsidRPr="00D65519">
        <w:t>this frequency is innately more likely to be higher than other locations as</w:t>
      </w:r>
      <w:r w:rsidRPr="00D65519">
        <w:t xml:space="preserve"> outlined in this paper. It is important that practitioners consider this when introducing safety infrastructure and polic</w:t>
      </w:r>
      <w:r w:rsidR="00C24C4A" w:rsidRPr="00D65519">
        <w:t>ies</w:t>
      </w:r>
      <w:r w:rsidRPr="00D65519">
        <w:t xml:space="preserve"> as ignoring findings such as those presented here may lead to less efficient allocation of resources.</w:t>
      </w:r>
    </w:p>
    <w:p w14:paraId="11300BA9" w14:textId="44AE253C" w:rsidR="00800C1F" w:rsidRPr="00D65519" w:rsidRDefault="00533E90" w:rsidP="00800C1F">
      <w:pPr>
        <w:pStyle w:val="Heading4"/>
      </w:pPr>
      <w:r w:rsidRPr="00D65519">
        <w:t xml:space="preserve">Implications of the estimated </w:t>
      </w:r>
      <w:r w:rsidR="00EC7B4A" w:rsidRPr="00D65519">
        <w:t xml:space="preserve">correlation and </w:t>
      </w:r>
      <w:r w:rsidRPr="00D65519">
        <w:t>varying covariance</w:t>
      </w:r>
    </w:p>
    <w:p w14:paraId="1A856DE7" w14:textId="410B09BF" w:rsidR="006D0270" w:rsidRPr="00D65519" w:rsidRDefault="00EC7B4A" w:rsidP="006D0270">
      <w:pPr>
        <w:pStyle w:val="ThesisText"/>
        <w:spacing w:line="360" w:lineRule="auto"/>
      </w:pPr>
      <w:r w:rsidRPr="00D65519">
        <w:t>We found that there is a statistically significant correlation between cyclist injury frequencies and the propensity of the presence of school</w:t>
      </w:r>
      <w:r w:rsidR="009210B6" w:rsidRPr="00D65519">
        <w:t xml:space="preserve"> (see Table</w:t>
      </w:r>
      <w:r w:rsidR="00EC547A" w:rsidRPr="00D65519">
        <w:t xml:space="preserve"> 4</w:t>
      </w:r>
      <w:r w:rsidR="009210B6" w:rsidRPr="00D65519">
        <w:t>)</w:t>
      </w:r>
      <w:r w:rsidRPr="00D65519">
        <w:t xml:space="preserve">. </w:t>
      </w:r>
      <w:r w:rsidR="00DA01EA" w:rsidRPr="00D65519">
        <w:t>Our results show that ignoring this correlation leads to underestimating the effect of proximity to school on cyclist safety; therefore, our study better informs decision-makers</w:t>
      </w:r>
      <w:r w:rsidR="00954556" w:rsidRPr="00D65519">
        <w:t xml:space="preserve"> about </w:t>
      </w:r>
      <w:r w:rsidR="00110CC5" w:rsidRPr="00D65519">
        <w:t>this</w:t>
      </w:r>
      <w:r w:rsidR="00954556" w:rsidRPr="00D65519">
        <w:t xml:space="preserve"> important risk factor</w:t>
      </w:r>
      <w:r w:rsidR="00DA01EA" w:rsidRPr="00D65519">
        <w:t xml:space="preserve">. </w:t>
      </w:r>
      <w:r w:rsidR="00117B17" w:rsidRPr="00D65519">
        <w:t>According to</w:t>
      </w:r>
      <w:r w:rsidR="005E4DF8" w:rsidRPr="00D65519">
        <w:t xml:space="preserve"> our analysis, the sign of the covariance was</w:t>
      </w:r>
      <w:r w:rsidR="004D2187" w:rsidRPr="00D65519">
        <w:t xml:space="preserve"> negative over the study period</w:t>
      </w:r>
      <w:r w:rsidR="00BB78B0" w:rsidRPr="00D65519">
        <w:t>,</w:t>
      </w:r>
      <w:r w:rsidR="005E4DF8" w:rsidRPr="00D65519">
        <w:t xml:space="preserve"> indicat</w:t>
      </w:r>
      <w:r w:rsidR="004D2187" w:rsidRPr="00D65519">
        <w:t>ing</w:t>
      </w:r>
      <w:r w:rsidR="005E4DF8" w:rsidRPr="00D65519">
        <w:t xml:space="preserve"> that unknown factors </w:t>
      </w:r>
      <w:r w:rsidR="00BB78B0" w:rsidRPr="00D65519">
        <w:t xml:space="preserve">which </w:t>
      </w:r>
      <w:r w:rsidR="005E4DF8" w:rsidRPr="00D65519">
        <w:t>increase the proximity-to-school propensity, decrease cyclist injury frequencies. Therefore, in our case study intersections nearby schools were</w:t>
      </w:r>
      <w:r w:rsidR="00527948" w:rsidRPr="00D65519">
        <w:t>,</w:t>
      </w:r>
      <w:r w:rsidR="005E4DF8" w:rsidRPr="00D65519">
        <w:t xml:space="preserve"> in </w:t>
      </w:r>
      <w:r w:rsidR="00117B17" w:rsidRPr="00D65519">
        <w:t>principal</w:t>
      </w:r>
      <w:r w:rsidR="00527948" w:rsidRPr="00D65519">
        <w:t>,</w:t>
      </w:r>
      <w:r w:rsidR="00117B17" w:rsidRPr="00D65519">
        <w:t xml:space="preserve"> </w:t>
      </w:r>
      <w:r w:rsidR="005E4DF8" w:rsidRPr="00D65519">
        <w:t>low cyclist injury frequency</w:t>
      </w:r>
      <w:r w:rsidR="0040362A" w:rsidRPr="00D65519">
        <w:t xml:space="preserve"> (relatively safe)</w:t>
      </w:r>
      <w:r w:rsidR="005E4DF8" w:rsidRPr="00D65519">
        <w:t xml:space="preserve"> intersections during the study period. </w:t>
      </w:r>
      <w:r w:rsidR="002B7D83" w:rsidRPr="00D65519">
        <w:t>This</w:t>
      </w:r>
      <w:r w:rsidR="000543B1" w:rsidRPr="00D65519">
        <w:t xml:space="preserve"> interesting finding</w:t>
      </w:r>
      <w:r w:rsidR="002B7D83" w:rsidRPr="00D65519">
        <w:t xml:space="preserve"> implies that road users (here, specifically cyclists and drivers) </w:t>
      </w:r>
      <w:r w:rsidR="0040362A" w:rsidRPr="00D65519">
        <w:t xml:space="preserve">in general </w:t>
      </w:r>
      <w:r w:rsidR="002B7D83" w:rsidRPr="00D65519">
        <w:t>behave cautiously at intersections nearby schools due to their perception of risk</w:t>
      </w:r>
      <w:r w:rsidR="000543B1" w:rsidRPr="00D65519">
        <w:t xml:space="preserve"> at such </w:t>
      </w:r>
      <w:r w:rsidR="00FF5C1C" w:rsidRPr="00D65519">
        <w:t>locations</w:t>
      </w:r>
      <w:r w:rsidR="002B7D83" w:rsidRPr="00D65519">
        <w:t>. On the other hand, the results indicate that</w:t>
      </w:r>
      <w:r w:rsidR="005E4DF8" w:rsidRPr="00D65519">
        <w:t xml:space="preserve"> </w:t>
      </w:r>
      <w:r w:rsidR="002B7D83" w:rsidRPr="00D65519">
        <w:t>the presence of</w:t>
      </w:r>
      <w:r w:rsidR="00DD5336" w:rsidRPr="00D65519">
        <w:t xml:space="preserve"> a</w:t>
      </w:r>
      <w:r w:rsidR="002B7D83" w:rsidRPr="00D65519">
        <w:t xml:space="preserve"> school is positively associated with cyclist injury frequencies; i.e., it decreases the safety of cyclists.</w:t>
      </w:r>
      <w:r w:rsidR="000543B1" w:rsidRPr="00D65519">
        <w:t xml:space="preserve"> </w:t>
      </w:r>
    </w:p>
    <w:p w14:paraId="75B98C94" w14:textId="7EF8669C" w:rsidR="00117B17" w:rsidRPr="00D65519" w:rsidRDefault="000543B1" w:rsidP="006D0270">
      <w:pPr>
        <w:pStyle w:val="ThesisText"/>
        <w:spacing w:line="360" w:lineRule="auto"/>
      </w:pPr>
      <w:r w:rsidRPr="00D65519">
        <w:t xml:space="preserve">Therefore, other factors might have </w:t>
      </w:r>
      <w:r w:rsidR="0040362A" w:rsidRPr="00D65519">
        <w:t xml:space="preserve">had </w:t>
      </w:r>
      <w:r w:rsidRPr="00D65519">
        <w:t xml:space="preserve">a bearing on cyclist safety at </w:t>
      </w:r>
      <w:r w:rsidR="00DD5336" w:rsidRPr="00D65519">
        <w:t>these intersections</w:t>
      </w:r>
      <w:r w:rsidR="0040362A" w:rsidRPr="00D65519">
        <w:t xml:space="preserve"> over the study period</w:t>
      </w:r>
      <w:r w:rsidRPr="00D65519">
        <w:t xml:space="preserve">. </w:t>
      </w:r>
      <w:r w:rsidR="00D57946" w:rsidRPr="00D65519">
        <w:t xml:space="preserve">For example, it is quite plausible to assume that safety interventions are </w:t>
      </w:r>
      <w:r w:rsidR="007F2B87" w:rsidRPr="00D65519">
        <w:t xml:space="preserve">primarily </w:t>
      </w:r>
      <w:r w:rsidR="00D57946" w:rsidRPr="00D65519">
        <w:t xml:space="preserve">applied to such intersections because these are considered risky locations (being in proximity to schools) rather than </w:t>
      </w:r>
      <w:r w:rsidR="007F2B87" w:rsidRPr="00D65519">
        <w:t xml:space="preserve">due to </w:t>
      </w:r>
      <w:r w:rsidR="00D57946" w:rsidRPr="00D65519">
        <w:t xml:space="preserve">their </w:t>
      </w:r>
      <w:r w:rsidR="007F2B87" w:rsidRPr="00D65519">
        <w:t xml:space="preserve">actual </w:t>
      </w:r>
      <w:r w:rsidR="00D57946" w:rsidRPr="00D65519">
        <w:t xml:space="preserve">safety </w:t>
      </w:r>
      <w:r w:rsidR="007F2B87" w:rsidRPr="00D65519">
        <w:t>conditions</w:t>
      </w:r>
      <w:r w:rsidR="00DD5336" w:rsidRPr="00D65519">
        <w:t>, causing confusion among road users</w:t>
      </w:r>
      <w:r w:rsidR="00D57946" w:rsidRPr="00D65519">
        <w:t>.</w:t>
      </w:r>
      <w:r w:rsidR="00861E2F" w:rsidRPr="00D65519">
        <w:t xml:space="preserve"> As discussed by Bhat et al. (2014) </w:t>
      </w:r>
      <w:r w:rsidR="00117B17" w:rsidRPr="00D65519">
        <w:t>who investigated</w:t>
      </w:r>
      <w:r w:rsidR="00861E2F" w:rsidRPr="00D65519">
        <w:t xml:space="preserve"> the impact of flashing lights on intersection safety</w:t>
      </w:r>
      <w:r w:rsidR="006D0270" w:rsidRPr="00D65519">
        <w:t xml:space="preserve"> while addressing endogeneity</w:t>
      </w:r>
      <w:r w:rsidR="00861E2F" w:rsidRPr="00D65519">
        <w:t>, safety treatments should be decided based on observed safety conditions</w:t>
      </w:r>
      <w:r w:rsidR="00117B17" w:rsidRPr="00D65519">
        <w:t xml:space="preserve"> (e.g., expected injury frequencies)</w:t>
      </w:r>
      <w:r w:rsidR="00861E2F" w:rsidRPr="00D65519">
        <w:t xml:space="preserve"> instead of obvious features such as geometry or perceived risky situations.   </w:t>
      </w:r>
    </w:p>
    <w:p w14:paraId="1B070CC4" w14:textId="52091BF4" w:rsidR="00533E90" w:rsidRPr="00D65519" w:rsidRDefault="00117B17" w:rsidP="006D0270">
      <w:pPr>
        <w:pStyle w:val="ThesisText"/>
        <w:spacing w:line="360" w:lineRule="auto"/>
      </w:pPr>
      <w:r w:rsidRPr="00D65519">
        <w:t xml:space="preserve">Our results not only revealed that the covariance term in </w:t>
      </w:r>
      <w:r w:rsidR="00927F5E" w:rsidRPr="00D65519">
        <w:t>simultaneous-equations</w:t>
      </w:r>
      <w:r w:rsidRPr="00D65519">
        <w:t xml:space="preserve"> models might not be fixed</w:t>
      </w:r>
      <w:r w:rsidR="006D0270" w:rsidRPr="00D65519">
        <w:t xml:space="preserve"> (homogenous)</w:t>
      </w:r>
      <w:r w:rsidRPr="00D65519">
        <w:t xml:space="preserve"> across the sample, as it is commonly assumed</w:t>
      </w:r>
      <w:r w:rsidR="00B04311" w:rsidRPr="00D65519">
        <w:t xml:space="preserve"> to be</w:t>
      </w:r>
      <w:r w:rsidRPr="00D65519">
        <w:t xml:space="preserve"> in previous research, but it also can vary systematically. </w:t>
      </w:r>
      <w:r w:rsidR="00B94724" w:rsidRPr="00D65519">
        <w:t>In fact</w:t>
      </w:r>
      <w:r w:rsidR="000F6039" w:rsidRPr="00D65519">
        <w:t>, we found that</w:t>
      </w:r>
      <w:r w:rsidR="00813941" w:rsidRPr="00D65519">
        <w:t>, in our study,</w:t>
      </w:r>
      <w:r w:rsidR="000F6039" w:rsidRPr="00D65519">
        <w:t xml:space="preserve"> </w:t>
      </w:r>
      <w:r w:rsidR="00813941" w:rsidRPr="00D65519">
        <w:t>the</w:t>
      </w:r>
      <w:r w:rsidR="000F6039" w:rsidRPr="00D65519">
        <w:t xml:space="preserve"> covariance term</w:t>
      </w:r>
      <w:r w:rsidRPr="00D65519">
        <w:t xml:space="preserve"> </w:t>
      </w:r>
      <w:r w:rsidR="000F6039" w:rsidRPr="00D65519">
        <w:t xml:space="preserve">varies as a function of </w:t>
      </w:r>
      <w:r w:rsidR="003E3F2E" w:rsidRPr="00D65519">
        <w:lastRenderedPageBreak/>
        <w:t xml:space="preserve">a </w:t>
      </w:r>
      <w:r w:rsidR="00946A00" w:rsidRPr="00D65519">
        <w:t xml:space="preserve">specific </w:t>
      </w:r>
      <w:r w:rsidR="000F6039" w:rsidRPr="00D65519">
        <w:t>control type</w:t>
      </w:r>
      <w:r w:rsidR="003E3F2E" w:rsidRPr="00D65519">
        <w:t xml:space="preserve"> installed at some intersections</w:t>
      </w:r>
      <w:r w:rsidR="000F6039" w:rsidRPr="00D65519">
        <w:t xml:space="preserve">; that is, dedicated traffic lights for pedestrians. </w:t>
      </w:r>
      <w:r w:rsidR="00B94724" w:rsidRPr="00D65519">
        <w:t xml:space="preserve">Specifically, </w:t>
      </w:r>
      <w:r w:rsidR="00946A00" w:rsidRPr="00D65519">
        <w:t>the results imply that</w:t>
      </w:r>
      <w:r w:rsidR="00B94724" w:rsidRPr="00D65519">
        <w:t xml:space="preserve"> the covariance between the proximity-to-school propensity and injury frequency increases</w:t>
      </w:r>
      <w:r w:rsidR="006D0270" w:rsidRPr="00D65519">
        <w:t xml:space="preserve"> in the presence of such a control type</w:t>
      </w:r>
      <w:r w:rsidR="00B94724" w:rsidRPr="00D65519">
        <w:t xml:space="preserve">. This is an interesting finding that indicates </w:t>
      </w:r>
      <w:r w:rsidR="00E56B0D" w:rsidRPr="00D65519">
        <w:t xml:space="preserve">the presence of </w:t>
      </w:r>
      <w:r w:rsidR="00DF6108" w:rsidRPr="00D65519">
        <w:t xml:space="preserve">very </w:t>
      </w:r>
      <w:r w:rsidR="00E56B0D" w:rsidRPr="00D65519">
        <w:t xml:space="preserve">complex relationships between safety and intersection characteristics. </w:t>
      </w:r>
    </w:p>
    <w:p w14:paraId="5A9F709F" w14:textId="45F67707" w:rsidR="00533E90" w:rsidRPr="00D65519" w:rsidRDefault="00533E90" w:rsidP="00533E90">
      <w:pPr>
        <w:pStyle w:val="ThesisText"/>
      </w:pPr>
    </w:p>
    <w:p w14:paraId="4E44AA25" w14:textId="132229A1" w:rsidR="00E16A9D" w:rsidRPr="00D65519" w:rsidRDefault="00E16A9D" w:rsidP="005765B0">
      <w:pPr>
        <w:pStyle w:val="ThesisSub1"/>
        <w:spacing w:line="360" w:lineRule="auto"/>
      </w:pPr>
      <w:r w:rsidRPr="00D65519">
        <w:t>Conclusions</w:t>
      </w:r>
    </w:p>
    <w:p w14:paraId="1B7F0549" w14:textId="06BC2463" w:rsidR="00C6766C" w:rsidRPr="00D65519" w:rsidRDefault="00FA6FF1" w:rsidP="00184B7F">
      <w:pPr>
        <w:pStyle w:val="ThesisText"/>
        <w:spacing w:line="360" w:lineRule="auto"/>
      </w:pPr>
      <w:r w:rsidRPr="00D65519">
        <w:t xml:space="preserve">This research has </w:t>
      </w:r>
      <w:r w:rsidR="00062C81" w:rsidRPr="00D65519">
        <w:t xml:space="preserve">provided </w:t>
      </w:r>
      <w:r w:rsidRPr="00D65519">
        <w:t xml:space="preserve">empirical results for an analysis of the extent to which proximity to a school has an effect on the safety of cyclists at intersections while </w:t>
      </w:r>
      <w:r w:rsidR="00336351" w:rsidRPr="00D65519">
        <w:t>treating this risk factor as an endogenous variable. We employed a simultaneous-equations model</w:t>
      </w:r>
      <w:r w:rsidR="00C6766C" w:rsidRPr="00D65519">
        <w:t xml:space="preserve">, accounting for the covariance between </w:t>
      </w:r>
      <w:r w:rsidR="009F6640" w:rsidRPr="00D65519">
        <w:t>the presence</w:t>
      </w:r>
      <w:r w:rsidR="00184B7F" w:rsidRPr="00D65519">
        <w:t xml:space="preserve"> of </w:t>
      </w:r>
      <w:r w:rsidR="00894089" w:rsidRPr="00D65519">
        <w:t xml:space="preserve">a </w:t>
      </w:r>
      <w:r w:rsidR="00184B7F" w:rsidRPr="00D65519">
        <w:t>school, considering a buffer of 400 meters,</w:t>
      </w:r>
      <w:r w:rsidR="00C6766C" w:rsidRPr="00D65519">
        <w:t xml:space="preserve"> and </w:t>
      </w:r>
      <w:r w:rsidR="00184B7F" w:rsidRPr="00D65519">
        <w:t>cyclist injury counts</w:t>
      </w:r>
      <w:r w:rsidR="00C6766C" w:rsidRPr="00D65519">
        <w:t xml:space="preserve"> explicitly</w:t>
      </w:r>
      <w:r w:rsidRPr="00D65519">
        <w:t xml:space="preserve">. It was found that endogeneity does seem to be present when analysing data on cyclist injury frequency around schools and there is a confounding effect between the factors </w:t>
      </w:r>
      <w:r w:rsidR="0013211F" w:rsidRPr="00D65519">
        <w:t>that</w:t>
      </w:r>
      <w:r w:rsidRPr="00D65519">
        <w:t xml:space="preserve"> may be associated with cyclist safety and the presence of a school. </w:t>
      </w:r>
      <w:r w:rsidR="00C6766C" w:rsidRPr="00D65519">
        <w:t xml:space="preserve">In fact, the estimated negative correlation </w:t>
      </w:r>
      <w:r w:rsidR="000A35B2" w:rsidRPr="00D65519">
        <w:t xml:space="preserve">in our </w:t>
      </w:r>
      <w:r w:rsidR="00336351" w:rsidRPr="00D65519">
        <w:t>analysis</w:t>
      </w:r>
      <w:r w:rsidR="00C6766C" w:rsidRPr="00D65519">
        <w:t xml:space="preserve"> implies that unobservables </w:t>
      </w:r>
      <w:r w:rsidR="00336351" w:rsidRPr="00D65519">
        <w:t xml:space="preserve">that </w:t>
      </w:r>
      <w:r w:rsidR="00C6766C" w:rsidRPr="00D65519">
        <w:t>increase cyclist injury frequencies</w:t>
      </w:r>
      <w:r w:rsidR="000A35B2" w:rsidRPr="00D65519">
        <w:t xml:space="preserve"> tend to occur with unobservables that decrease the likelihood of the presence of school in proximity to an intersection. </w:t>
      </w:r>
      <w:r w:rsidR="009F6640" w:rsidRPr="00D65519">
        <w:t xml:space="preserve">When considering a buffer of 800 meters to define the presence of </w:t>
      </w:r>
      <w:r w:rsidR="00894089" w:rsidRPr="00D65519">
        <w:t xml:space="preserve">a </w:t>
      </w:r>
      <w:r w:rsidR="009F6640" w:rsidRPr="00D65519">
        <w:t xml:space="preserve">school in proximity of an intersection, the endogenous impact of this risk factor disappears. </w:t>
      </w:r>
      <w:r w:rsidR="00CD2994" w:rsidRPr="00D65519">
        <w:t>In this study, the heterogeneity in covariance random parameters simultaneous-equations model provides similar results as the random parameters simultaneous-equations model in terms of coefficient estimates and marginal effects. However, the former model improves the fit as well as provides further insights into sources of heterogeneity in the data.</w:t>
      </w:r>
    </w:p>
    <w:p w14:paraId="2E9A9A80" w14:textId="6F6A0171" w:rsidR="00FA6FF1" w:rsidRPr="00D65519" w:rsidRDefault="00FA6FF1" w:rsidP="008A6A26">
      <w:pPr>
        <w:pStyle w:val="ThesisText"/>
        <w:spacing w:line="360" w:lineRule="auto"/>
      </w:pPr>
      <w:r w:rsidRPr="00D65519">
        <w:t xml:space="preserve">The factors </w:t>
      </w:r>
      <w:r w:rsidR="0013211F" w:rsidRPr="00D65519">
        <w:t>that</w:t>
      </w:r>
      <w:r w:rsidRPr="00D65519">
        <w:t xml:space="preserve"> were identified as being associated with a higher cyclist injury frequency were bicycle flow, left and right turning motor vehicle flow, </w:t>
      </w:r>
      <w:r w:rsidR="0013211F" w:rsidRPr="00D65519">
        <w:t xml:space="preserve">the </w:t>
      </w:r>
      <w:r w:rsidRPr="00D65519">
        <w:t xml:space="preserve">number of subway stations, </w:t>
      </w:r>
      <w:r w:rsidR="0013211F" w:rsidRPr="00D65519">
        <w:t xml:space="preserve">the </w:t>
      </w:r>
      <w:r w:rsidRPr="00D65519">
        <w:t xml:space="preserve">presence of a bus stop, and </w:t>
      </w:r>
      <w:r w:rsidR="0013211F" w:rsidRPr="00D65519">
        <w:t xml:space="preserve">the </w:t>
      </w:r>
      <w:r w:rsidRPr="00D65519">
        <w:t>presence of a school. On the other hand, factors positively associated with a propensity for an intersection to be in proximity to a school were the number of people employed in proximity to the junction, the land use mix, the presence of a bus stop</w:t>
      </w:r>
      <w:r w:rsidR="0013211F" w:rsidRPr="00D65519">
        <w:t>,</w:t>
      </w:r>
      <w:r w:rsidRPr="00D65519">
        <w:t xml:space="preserve"> and the ratio of non-motorised to motorised traffic volume. </w:t>
      </w:r>
      <w:r w:rsidR="006B5C84" w:rsidRPr="00D65519">
        <w:t>Due to data limitations (</w:t>
      </w:r>
      <w:r w:rsidR="008A6A26" w:rsidRPr="00D65519">
        <w:t xml:space="preserve">e.g., </w:t>
      </w:r>
      <w:r w:rsidR="006B5C84" w:rsidRPr="00D65519">
        <w:t xml:space="preserve">crash data and site characteristics </w:t>
      </w:r>
      <w:r w:rsidR="008E24C6" w:rsidRPr="00D65519">
        <w:t>not</w:t>
      </w:r>
      <w:r w:rsidR="00D92A7B" w:rsidRPr="00D65519">
        <w:t xml:space="preserve"> being</w:t>
      </w:r>
      <w:r w:rsidR="008E24C6" w:rsidRPr="00D65519">
        <w:t xml:space="preserve"> available at a yearly basis; thus being fixed </w:t>
      </w:r>
      <w:r w:rsidR="006B5C84" w:rsidRPr="00D65519">
        <w:t>over the study period), caution must be taken in generalising our findings.</w:t>
      </w:r>
      <w:r w:rsidR="00C238E8" w:rsidRPr="00D65519">
        <w:t xml:space="preserve"> </w:t>
      </w:r>
      <w:r w:rsidR="0055028B" w:rsidRPr="00D65519">
        <w:t>For instance, h</w:t>
      </w:r>
      <w:r w:rsidR="00C238E8" w:rsidRPr="00D65519">
        <w:t xml:space="preserve">ad </w:t>
      </w:r>
      <w:r w:rsidR="008A6A26" w:rsidRPr="00D65519">
        <w:t>yearly data</w:t>
      </w:r>
      <w:r w:rsidR="00C238E8" w:rsidRPr="00D65519">
        <w:t xml:space="preserve"> been available, we would have been able to investigate temporal instability (Mannering, 2018), drawing a more comprehensive </w:t>
      </w:r>
      <w:r w:rsidR="008A6A26" w:rsidRPr="00D65519">
        <w:t xml:space="preserve">and detailed </w:t>
      </w:r>
      <w:r w:rsidR="00C238E8" w:rsidRPr="00D65519">
        <w:t>picture.</w:t>
      </w:r>
      <w:r w:rsidR="006B5C84" w:rsidRPr="00D65519">
        <w:t xml:space="preserve"> </w:t>
      </w:r>
    </w:p>
    <w:p w14:paraId="7C25DCD0" w14:textId="128FDDF3" w:rsidR="00FA6FF1" w:rsidRPr="00D65519" w:rsidRDefault="00C6766C" w:rsidP="008A6A26">
      <w:pPr>
        <w:pStyle w:val="ThesisText"/>
        <w:spacing w:line="360" w:lineRule="auto"/>
      </w:pPr>
      <w:r w:rsidRPr="00D65519">
        <w:t>Our</w:t>
      </w:r>
      <w:r w:rsidR="00707D53" w:rsidRPr="00D65519">
        <w:t xml:space="preserve"> findings reveal a safety-in-</w:t>
      </w:r>
      <w:r w:rsidR="00FA6FF1" w:rsidRPr="00D65519">
        <w:t xml:space="preserve">numbers effect for cyclists at intersections in proximity to schools over the study period, where an increase in bicycle volume increases injury frequency but at a rate </w:t>
      </w:r>
      <w:r w:rsidR="00707D53" w:rsidRPr="00D65519">
        <w:t>that</w:t>
      </w:r>
      <w:r w:rsidR="00FA6FF1" w:rsidRPr="00D65519">
        <w:t xml:space="preserve"> is less than proportional, suggesting that injury risk per cyclist is lowered with increased volume, contributing to a growing number of studies </w:t>
      </w:r>
      <w:r w:rsidR="00707D53" w:rsidRPr="00D65519">
        <w:t>that</w:t>
      </w:r>
      <w:r w:rsidR="00FA6FF1" w:rsidRPr="00D65519">
        <w:t xml:space="preserve"> have observed this phenomenon. The interventions </w:t>
      </w:r>
      <w:r w:rsidR="00707D53" w:rsidRPr="00D65519">
        <w:t>that</w:t>
      </w:r>
      <w:r w:rsidR="00FA6FF1" w:rsidRPr="00D65519">
        <w:t xml:space="preserve"> can be proposed from this research include encouraging cycling as a transport mode choice, given the above observed advantages of a greater volume of cyclists. Also</w:t>
      </w:r>
      <w:r w:rsidR="00707D53" w:rsidRPr="00D65519">
        <w:t>,</w:t>
      </w:r>
      <w:r w:rsidR="00FA6FF1" w:rsidRPr="00D65519">
        <w:t xml:space="preserve"> it would seem that more needs to </w:t>
      </w:r>
      <w:r w:rsidR="00FA6FF1" w:rsidRPr="00D65519">
        <w:lastRenderedPageBreak/>
        <w:t>be done to improve cycling safety at intersections in proximity to schools as the presence of a school has been shown to have a positive association with</w:t>
      </w:r>
      <w:r w:rsidR="00707D53" w:rsidRPr="00D65519">
        <w:t xml:space="preserve"> an increase </w:t>
      </w:r>
      <w:r w:rsidR="00FA6FF1" w:rsidRPr="00D65519">
        <w:t xml:space="preserve">in expected crash frequency and the effect is even stronger when endogeneity </w:t>
      </w:r>
      <w:r w:rsidR="00707D53" w:rsidRPr="00D65519">
        <w:t xml:space="preserve">and heterogeneity in covariance are </w:t>
      </w:r>
      <w:r w:rsidR="00FA6FF1" w:rsidRPr="00D65519">
        <w:t>accounted for.</w:t>
      </w:r>
    </w:p>
    <w:p w14:paraId="58D6D624" w14:textId="2C8630BD" w:rsidR="0063786B" w:rsidRPr="00D65519" w:rsidRDefault="00FA6FF1" w:rsidP="007D76C3">
      <w:pPr>
        <w:pStyle w:val="ThesisText"/>
        <w:spacing w:line="360" w:lineRule="auto"/>
      </w:pPr>
      <w:r w:rsidRPr="00D65519">
        <w:t xml:space="preserve">The analysis presented here can also be used to suggest specific elements </w:t>
      </w:r>
      <w:r w:rsidR="00C95633" w:rsidRPr="00D65519">
        <w:t>that</w:t>
      </w:r>
      <w:r w:rsidRPr="00D65519">
        <w:t xml:space="preserve"> could be targeted to address this fact, such as giving particular consideration to intersections </w:t>
      </w:r>
      <w:r w:rsidR="00C95633" w:rsidRPr="00D65519">
        <w:t>that</w:t>
      </w:r>
      <w:r w:rsidRPr="00D65519">
        <w:t xml:space="preserve"> have high volumes of turning vehicles perhaps by providing advanced stop lines or early traffic signal phases for cyclists; or focusing interventions on intersections </w:t>
      </w:r>
      <w:r w:rsidR="00C95633" w:rsidRPr="00D65519">
        <w:t>that</w:t>
      </w:r>
      <w:r w:rsidRPr="00D65519">
        <w:t xml:space="preserve"> are in proximity to bus stops or a high number of subway stations and considering the impact </w:t>
      </w:r>
      <w:r w:rsidR="00FF5F30" w:rsidRPr="00D65519">
        <w:t>that</w:t>
      </w:r>
      <w:r w:rsidRPr="00D65519">
        <w:t xml:space="preserve"> these multimodal areas have on cyclists. </w:t>
      </w:r>
      <w:r w:rsidR="00CA3898" w:rsidRPr="00D65519">
        <w:t>T</w:t>
      </w:r>
      <w:r w:rsidRPr="00D65519">
        <w:t>his study adds more empirical work to the growing body of literature on the importance of considering endogeneity in road safety research</w:t>
      </w:r>
      <w:r w:rsidR="00286F71" w:rsidRPr="00D65519">
        <w:t>.</w:t>
      </w:r>
      <w:r w:rsidR="004714B6" w:rsidRPr="00D65519">
        <w:t xml:space="preserve"> </w:t>
      </w:r>
      <w:r w:rsidR="00286F71" w:rsidRPr="00D65519">
        <w:t>S</w:t>
      </w:r>
      <w:r w:rsidR="0063786B" w:rsidRPr="00D65519">
        <w:t xml:space="preserve">pecifically </w:t>
      </w:r>
      <w:r w:rsidR="009807D9" w:rsidRPr="00D65519">
        <w:t xml:space="preserve">novel insights </w:t>
      </w:r>
      <w:r w:rsidR="004714B6" w:rsidRPr="00D65519">
        <w:t xml:space="preserve">are found in </w:t>
      </w:r>
      <w:r w:rsidR="00FF5F30" w:rsidRPr="00D65519">
        <w:t>issues of</w:t>
      </w:r>
      <w:r w:rsidR="009807D9" w:rsidRPr="00D65519">
        <w:t xml:space="preserve"> </w:t>
      </w:r>
      <w:r w:rsidR="00FF5F30" w:rsidRPr="00D65519">
        <w:t>endogeneity related to proximity to school and traffic safety</w:t>
      </w:r>
      <w:r w:rsidR="005671CA" w:rsidRPr="00D65519">
        <w:t>, the</w:t>
      </w:r>
      <w:r w:rsidR="005C365E" w:rsidRPr="00D65519">
        <w:t xml:space="preserve"> neglecting of which would resu</w:t>
      </w:r>
      <w:r w:rsidR="002B621A" w:rsidRPr="00D65519">
        <w:t>lt in misinformed policy interventions</w:t>
      </w:r>
      <w:r w:rsidR="00DB065C" w:rsidRPr="00D65519">
        <w:t xml:space="preserve"> that aim at increasing traffic safety nearby schools</w:t>
      </w:r>
      <w:r w:rsidRPr="00D65519">
        <w:t xml:space="preserve">. </w:t>
      </w:r>
    </w:p>
    <w:p w14:paraId="33089ADA" w14:textId="77777777" w:rsidR="00541AD1" w:rsidRPr="00D65519" w:rsidRDefault="00541AD1" w:rsidP="007D76C3">
      <w:pPr>
        <w:pStyle w:val="ThesisText"/>
        <w:spacing w:line="360" w:lineRule="auto"/>
      </w:pPr>
    </w:p>
    <w:p w14:paraId="36BAE1EC" w14:textId="77777777" w:rsidR="00541AD1" w:rsidRPr="00D65519" w:rsidRDefault="00541AD1" w:rsidP="00541AD1">
      <w:pPr>
        <w:pStyle w:val="ThesisText"/>
        <w:spacing w:line="360" w:lineRule="auto"/>
      </w:pPr>
      <w:r w:rsidRPr="00D65519">
        <w:t>Acknowledgments</w:t>
      </w:r>
    </w:p>
    <w:p w14:paraId="2C1ABB3A" w14:textId="2F3E5934" w:rsidR="005E1843" w:rsidRPr="00D65519" w:rsidRDefault="00541AD1" w:rsidP="00541AD1">
      <w:pPr>
        <w:pStyle w:val="ThesisText"/>
        <w:spacing w:line="360" w:lineRule="auto"/>
      </w:pPr>
      <w:r w:rsidRPr="00D65519">
        <w:t>The authors are grateful to the Editor-in-Chief and anonymous reviewers for their valuable comments.</w:t>
      </w:r>
    </w:p>
    <w:p w14:paraId="05F0F89C" w14:textId="77777777" w:rsidR="00541AD1" w:rsidRPr="00D65519" w:rsidRDefault="00541AD1" w:rsidP="00541AD1">
      <w:pPr>
        <w:pStyle w:val="ThesisText"/>
        <w:spacing w:line="360" w:lineRule="auto"/>
      </w:pPr>
    </w:p>
    <w:p w14:paraId="33AF549F" w14:textId="020F0A6D" w:rsidR="0017675F" w:rsidRPr="00D65519" w:rsidRDefault="005E1843" w:rsidP="005E1843">
      <w:pPr>
        <w:pStyle w:val="ThesisSub1"/>
        <w:numPr>
          <w:ilvl w:val="0"/>
          <w:numId w:val="0"/>
        </w:numPr>
        <w:ind w:left="360" w:hanging="360"/>
      </w:pPr>
      <w:r w:rsidRPr="00D65519">
        <w:t>Conflict of Interest</w:t>
      </w:r>
    </w:p>
    <w:p w14:paraId="17C23E84" w14:textId="038C1CAF" w:rsidR="00FA6FF1" w:rsidRPr="00D65519" w:rsidRDefault="0017675F" w:rsidP="005765B0">
      <w:pPr>
        <w:pStyle w:val="ThesisText"/>
        <w:spacing w:line="360" w:lineRule="auto"/>
      </w:pPr>
      <w:r w:rsidRPr="00D65519">
        <w:t>The authors report there are no competing interests to declare.</w:t>
      </w:r>
    </w:p>
    <w:p w14:paraId="31350CB0" w14:textId="77777777" w:rsidR="00541AD1" w:rsidRPr="00D65519" w:rsidRDefault="00541AD1" w:rsidP="005765B0">
      <w:pPr>
        <w:pStyle w:val="ThesisText"/>
        <w:spacing w:line="360" w:lineRule="auto"/>
      </w:pPr>
    </w:p>
    <w:p w14:paraId="2BAC9FAC" w14:textId="1A532629" w:rsidR="00B14BBE" w:rsidRPr="00D65519" w:rsidRDefault="0017675F" w:rsidP="005765B0">
      <w:pPr>
        <w:pStyle w:val="ThesisSub1"/>
        <w:numPr>
          <w:ilvl w:val="0"/>
          <w:numId w:val="0"/>
        </w:numPr>
        <w:spacing w:line="360" w:lineRule="auto"/>
        <w:ind w:left="360" w:hanging="360"/>
      </w:pPr>
      <w:r w:rsidRPr="00D65519">
        <w:t xml:space="preserve">References </w:t>
      </w:r>
    </w:p>
    <w:p w14:paraId="777A4005" w14:textId="14585CEA" w:rsidR="00391B8A" w:rsidRPr="00D65519" w:rsidRDefault="00391B8A" w:rsidP="005765B0">
      <w:pPr>
        <w:pStyle w:val="ThesisText"/>
        <w:spacing w:line="360" w:lineRule="auto"/>
      </w:pPr>
      <w:r w:rsidRPr="00D65519">
        <w:t xml:space="preserve">Amoh-Gyimah, R., </w:t>
      </w:r>
      <w:proofErr w:type="spellStart"/>
      <w:r w:rsidRPr="00D65519">
        <w:t>Saberi</w:t>
      </w:r>
      <w:proofErr w:type="spellEnd"/>
      <w:r w:rsidRPr="00D65519">
        <w:t xml:space="preserve">, M. and </w:t>
      </w:r>
      <w:proofErr w:type="spellStart"/>
      <w:r w:rsidRPr="00D65519">
        <w:t>Sarvi</w:t>
      </w:r>
      <w:proofErr w:type="spellEnd"/>
      <w:r w:rsidRPr="00D65519">
        <w:t xml:space="preserve">, M., 2016. </w:t>
      </w:r>
      <w:r w:rsidRPr="00D65519">
        <w:rPr>
          <w:i/>
          <w:iCs/>
        </w:rPr>
        <w:t xml:space="preserve">Macroscopic </w:t>
      </w:r>
      <w:proofErr w:type="spellStart"/>
      <w:r w:rsidRPr="00D65519">
        <w:rPr>
          <w:i/>
          <w:iCs/>
        </w:rPr>
        <w:t>modeling</w:t>
      </w:r>
      <w:proofErr w:type="spellEnd"/>
      <w:r w:rsidRPr="00D65519">
        <w:rPr>
          <w:i/>
          <w:iCs/>
        </w:rPr>
        <w:t xml:space="preserve"> of pedestrian and bicycle crashes: A cross-comparison of estimation methods</w:t>
      </w:r>
      <w:r w:rsidRPr="00D65519">
        <w:t>. Accident Analysis and Prevention 93, 147-159.</w:t>
      </w:r>
    </w:p>
    <w:p w14:paraId="1CF13A74" w14:textId="59E897A6" w:rsidR="00496E4E" w:rsidRPr="00D65519" w:rsidRDefault="00496E4E" w:rsidP="005765B0">
      <w:pPr>
        <w:pStyle w:val="ThesisText"/>
        <w:spacing w:line="360" w:lineRule="auto"/>
      </w:pPr>
      <w:r w:rsidRPr="00D65519">
        <w:t>Behnood</w:t>
      </w:r>
      <w:r w:rsidR="007D4C8E" w:rsidRPr="00D65519">
        <w:t xml:space="preserve">, A., Mannering, F., 2017. </w:t>
      </w:r>
      <w:r w:rsidR="007D4C8E" w:rsidRPr="00D65519">
        <w:rPr>
          <w:i/>
          <w:iCs/>
        </w:rPr>
        <w:t xml:space="preserve">Determinants of bicyclist injury severities in bicycle-vehicle crashes: A random parameters approach with heterogeneity in means and variances. </w:t>
      </w:r>
      <w:r w:rsidR="007D4C8E" w:rsidRPr="00D65519">
        <w:t xml:space="preserve">Analytic Methods in Accident </w:t>
      </w:r>
      <w:r w:rsidR="00CD37C1" w:rsidRPr="00D65519">
        <w:t>Research 16, 35-47.</w:t>
      </w:r>
    </w:p>
    <w:p w14:paraId="27F6FF32" w14:textId="77777777" w:rsidR="00391B8A" w:rsidRPr="00D65519" w:rsidRDefault="00391B8A" w:rsidP="005765B0">
      <w:pPr>
        <w:pStyle w:val="ThesisText"/>
        <w:spacing w:line="360" w:lineRule="auto"/>
      </w:pPr>
      <w:r w:rsidRPr="00D65519">
        <w:t xml:space="preserve">Bhat, C., </w:t>
      </w:r>
      <w:proofErr w:type="spellStart"/>
      <w:r w:rsidRPr="00D65519">
        <w:t>Astroza</w:t>
      </w:r>
      <w:proofErr w:type="spellEnd"/>
      <w:r w:rsidRPr="00D65519">
        <w:t xml:space="preserve">, S., </w:t>
      </w:r>
      <w:proofErr w:type="spellStart"/>
      <w:r w:rsidRPr="00D65519">
        <w:t>Lavieri</w:t>
      </w:r>
      <w:proofErr w:type="spellEnd"/>
      <w:r w:rsidRPr="00D65519">
        <w:t xml:space="preserve">, P., 2017. </w:t>
      </w:r>
      <w:r w:rsidRPr="00D65519">
        <w:rPr>
          <w:i/>
          <w:iCs/>
        </w:rPr>
        <w:t>A new spatial and flexible multivariate random-coefficients model for the analysis of pedestrian injury counts by severity level</w:t>
      </w:r>
      <w:r w:rsidRPr="00D65519">
        <w:t>. Analytic Methods in Accident Research 16, 1–22.</w:t>
      </w:r>
    </w:p>
    <w:p w14:paraId="49A8F2E9" w14:textId="15C98818" w:rsidR="00391B8A" w:rsidRPr="00D65519" w:rsidRDefault="00391B8A" w:rsidP="00EE3C2E">
      <w:pPr>
        <w:pStyle w:val="ThesisText"/>
        <w:spacing w:line="360" w:lineRule="auto"/>
      </w:pPr>
      <w:r w:rsidRPr="00D65519">
        <w:t xml:space="preserve">Bhat, C., Born, K., </w:t>
      </w:r>
      <w:proofErr w:type="spellStart"/>
      <w:r w:rsidRPr="00D65519">
        <w:t>Sidharthan</w:t>
      </w:r>
      <w:proofErr w:type="spellEnd"/>
      <w:r w:rsidRPr="00D65519">
        <w:t>, R., Bhat, P.C.</w:t>
      </w:r>
      <w:r w:rsidR="00EE3C2E" w:rsidRPr="00D65519">
        <w:t>,</w:t>
      </w:r>
      <w:r w:rsidRPr="00D65519">
        <w:t xml:space="preserve"> 2014. </w:t>
      </w:r>
      <w:r w:rsidRPr="00D65519">
        <w:rPr>
          <w:i/>
          <w:iCs/>
        </w:rPr>
        <w:t xml:space="preserve">A count data model with endogenous covariates: Formulation and application to roadway crash frequency at intersections. </w:t>
      </w:r>
      <w:r w:rsidRPr="00D65519">
        <w:t>Analytic Methods in Accident Research 1, 53-71.</w:t>
      </w:r>
    </w:p>
    <w:p w14:paraId="6F76C859" w14:textId="0F9005C5" w:rsidR="001E1D7D" w:rsidRPr="00D65519" w:rsidRDefault="001E1D7D" w:rsidP="00595AB0">
      <w:pPr>
        <w:pStyle w:val="ThesisText"/>
        <w:spacing w:line="360" w:lineRule="auto"/>
      </w:pPr>
      <w:proofErr w:type="spellStart"/>
      <w:r w:rsidRPr="00D65519">
        <w:lastRenderedPageBreak/>
        <w:t>Boarnet</w:t>
      </w:r>
      <w:proofErr w:type="spellEnd"/>
      <w:r w:rsidRPr="00D65519">
        <w:t xml:space="preserve">, M., Anderson, C., Day, K., </w:t>
      </w:r>
      <w:proofErr w:type="spellStart"/>
      <w:r w:rsidRPr="00D65519">
        <w:t>McMillam</w:t>
      </w:r>
      <w:proofErr w:type="spellEnd"/>
      <w:r w:rsidRPr="00D65519">
        <w:t xml:space="preserve">, T., Alfonso, M., 2005. </w:t>
      </w:r>
      <w:r w:rsidRPr="00D65519">
        <w:rPr>
          <w:i/>
          <w:iCs/>
        </w:rPr>
        <w:t xml:space="preserve">Evaluation of the California Safe Routes to School legislation: </w:t>
      </w:r>
      <w:proofErr w:type="spellStart"/>
      <w:r w:rsidR="00595AB0" w:rsidRPr="00D65519">
        <w:rPr>
          <w:i/>
          <w:iCs/>
        </w:rPr>
        <w:t>us</w:t>
      </w:r>
      <w:r w:rsidRPr="00D65519">
        <w:rPr>
          <w:i/>
          <w:iCs/>
        </w:rPr>
        <w:t>rban</w:t>
      </w:r>
      <w:proofErr w:type="spellEnd"/>
      <w:r w:rsidRPr="00D65519">
        <w:rPr>
          <w:i/>
          <w:iCs/>
        </w:rPr>
        <w:t xml:space="preserve"> form changes and children’s active transportation to school</w:t>
      </w:r>
      <w:r w:rsidRPr="00D65519">
        <w:t>. American Journal of Preventive Medicine 28, 134-140.</w:t>
      </w:r>
    </w:p>
    <w:p w14:paraId="23B09A8A" w14:textId="7B44DEBB" w:rsidR="00337FD5" w:rsidRPr="00D65519" w:rsidRDefault="00337FD5" w:rsidP="00337FD5">
      <w:pPr>
        <w:pStyle w:val="ThesisText"/>
        <w:spacing w:line="360" w:lineRule="auto"/>
        <w:jc w:val="left"/>
        <w:rPr>
          <w:i/>
          <w:iCs/>
        </w:rPr>
      </w:pPr>
      <w:r w:rsidRPr="00D65519">
        <w:t xml:space="preserve">Cao, X., </w:t>
      </w:r>
      <w:proofErr w:type="spellStart"/>
      <w:r w:rsidRPr="00D65519">
        <w:t>Mokhtarian</w:t>
      </w:r>
      <w:proofErr w:type="spellEnd"/>
      <w:r w:rsidRPr="00D65519">
        <w:t xml:space="preserve">, P., Handy, S., 2009. </w:t>
      </w:r>
      <w:r w:rsidRPr="00D65519">
        <w:rPr>
          <w:i/>
          <w:iCs/>
        </w:rPr>
        <w:t>Examining the impacts of residential self-selection</w:t>
      </w:r>
    </w:p>
    <w:p w14:paraId="2294FF3B" w14:textId="4622E4E9" w:rsidR="00337FD5" w:rsidRPr="00D65519" w:rsidRDefault="00337FD5" w:rsidP="003106DE">
      <w:pPr>
        <w:pStyle w:val="ThesisText"/>
        <w:spacing w:line="360" w:lineRule="auto"/>
        <w:jc w:val="left"/>
      </w:pPr>
      <w:proofErr w:type="gramStart"/>
      <w:r w:rsidRPr="00D65519">
        <w:rPr>
          <w:i/>
          <w:iCs/>
        </w:rPr>
        <w:t>on</w:t>
      </w:r>
      <w:proofErr w:type="gramEnd"/>
      <w:r w:rsidRPr="00D65519">
        <w:rPr>
          <w:i/>
          <w:iCs/>
        </w:rPr>
        <w:t xml:space="preserve"> travel behaviour: </w:t>
      </w:r>
      <w:r w:rsidR="003106DE" w:rsidRPr="00D65519">
        <w:rPr>
          <w:i/>
          <w:iCs/>
        </w:rPr>
        <w:t>a</w:t>
      </w:r>
      <w:r w:rsidRPr="00D65519">
        <w:rPr>
          <w:i/>
          <w:iCs/>
        </w:rPr>
        <w:t xml:space="preserve"> focus on empirical findings</w:t>
      </w:r>
      <w:r w:rsidRPr="00D65519">
        <w:t>. Transport Reviews 29 (3), 359–395.</w:t>
      </w:r>
    </w:p>
    <w:p w14:paraId="7C439D20" w14:textId="564F6684" w:rsidR="00F703BA" w:rsidRPr="00D65519" w:rsidRDefault="00F703BA" w:rsidP="00F703BA">
      <w:pPr>
        <w:pStyle w:val="ThesisText"/>
        <w:spacing w:line="360" w:lineRule="auto"/>
        <w:jc w:val="left"/>
      </w:pPr>
      <w:proofErr w:type="spellStart"/>
      <w:r w:rsidRPr="00D65519">
        <w:t>Chib</w:t>
      </w:r>
      <w:proofErr w:type="spellEnd"/>
      <w:r w:rsidRPr="00D65519">
        <w:t xml:space="preserve">, S., Carlin, B., 1999. </w:t>
      </w:r>
      <w:r w:rsidRPr="00D65519">
        <w:rPr>
          <w:i/>
          <w:iCs/>
        </w:rPr>
        <w:t>On MCMC sampling in hierarchical longitudinal models</w:t>
      </w:r>
      <w:r w:rsidRPr="00D65519">
        <w:t>. Statistics and</w:t>
      </w:r>
    </w:p>
    <w:p w14:paraId="488F0C31" w14:textId="1BA74B04" w:rsidR="00F703BA" w:rsidRPr="00D65519" w:rsidRDefault="00F703BA" w:rsidP="00F703BA">
      <w:pPr>
        <w:pStyle w:val="ThesisText"/>
        <w:spacing w:line="360" w:lineRule="auto"/>
        <w:jc w:val="left"/>
      </w:pPr>
      <w:r w:rsidRPr="00D65519">
        <w:t>Computing 9, 17–26.</w:t>
      </w:r>
    </w:p>
    <w:p w14:paraId="7BF588EE" w14:textId="4B52600E" w:rsidR="00372959" w:rsidRPr="00D65519" w:rsidRDefault="00372959" w:rsidP="00F703BA">
      <w:pPr>
        <w:pStyle w:val="ThesisText"/>
        <w:spacing w:line="360" w:lineRule="auto"/>
        <w:jc w:val="left"/>
      </w:pPr>
      <w:r w:rsidRPr="00D65519">
        <w:t xml:space="preserve">Congdon, P., 2003. </w:t>
      </w:r>
      <w:r w:rsidRPr="00D65519">
        <w:rPr>
          <w:i/>
          <w:iCs/>
        </w:rPr>
        <w:t>Applied Bayesian Modelling</w:t>
      </w:r>
      <w:r w:rsidRPr="00D65519">
        <w:t>. John Wiley &amp; Sons Ltd, England.</w:t>
      </w:r>
    </w:p>
    <w:p w14:paraId="717BB500" w14:textId="3BE5DBEA" w:rsidR="00391B8A" w:rsidRPr="00D65519" w:rsidRDefault="00391B8A" w:rsidP="005765B0">
      <w:pPr>
        <w:pStyle w:val="ThesisText"/>
        <w:spacing w:line="360" w:lineRule="auto"/>
      </w:pPr>
      <w:r w:rsidRPr="00D65519">
        <w:t>Department for Transport (</w:t>
      </w:r>
      <w:proofErr w:type="spellStart"/>
      <w:r w:rsidRPr="00D65519">
        <w:t>DfT</w:t>
      </w:r>
      <w:proofErr w:type="spellEnd"/>
      <w:r w:rsidRPr="00D65519">
        <w:t xml:space="preserve">), 2021. </w:t>
      </w:r>
      <w:r w:rsidRPr="00D65519">
        <w:rPr>
          <w:i/>
          <w:iCs/>
        </w:rPr>
        <w:t xml:space="preserve">RAS20008: Vehicles involved in reported accidents by vehicle type and manoeuvre, Great Britain. </w:t>
      </w:r>
      <w:r w:rsidRPr="00D65519">
        <w:t>Road accidents and safety statistics. https://www.gov.uk/government/statistical-data-sets/ras20-drivers-riders-and-vehicles-in-reported-road-accidents</w:t>
      </w:r>
      <w:r w:rsidR="00595AB0" w:rsidRPr="00D65519">
        <w:t>.</w:t>
      </w:r>
    </w:p>
    <w:p w14:paraId="31DBB178" w14:textId="4C413408" w:rsidR="00391B8A" w:rsidRPr="00D65519" w:rsidRDefault="00EE3C2E" w:rsidP="00EE3C2E">
      <w:pPr>
        <w:pStyle w:val="ThesisText"/>
        <w:spacing w:line="360" w:lineRule="auto"/>
      </w:pPr>
      <w:r w:rsidRPr="00D65519">
        <w:t>Eluru, N., Bhat, C.</w:t>
      </w:r>
      <w:r w:rsidR="00391B8A" w:rsidRPr="00D65519">
        <w:t xml:space="preserve">, 2007. </w:t>
      </w:r>
      <w:r w:rsidR="00391B8A" w:rsidRPr="00D65519">
        <w:rPr>
          <w:i/>
        </w:rPr>
        <w:t>A joint econometric analysis of seat belt use and crash-related injury severity.</w:t>
      </w:r>
      <w:r w:rsidR="00391B8A" w:rsidRPr="00D65519">
        <w:t xml:space="preserve"> Accident Analysis and Prevention 39 (5), 1037–1049.</w:t>
      </w:r>
    </w:p>
    <w:p w14:paraId="543414CB" w14:textId="77777777" w:rsidR="00391B8A" w:rsidRPr="00D65519" w:rsidRDefault="00391B8A" w:rsidP="005765B0">
      <w:pPr>
        <w:pStyle w:val="ThesisText"/>
        <w:spacing w:line="360" w:lineRule="auto"/>
      </w:pPr>
      <w:r w:rsidRPr="00D65519">
        <w:t xml:space="preserve">Elvik, R. 2017. </w:t>
      </w:r>
      <w:r w:rsidRPr="00D65519">
        <w:rPr>
          <w:i/>
          <w:iCs/>
        </w:rPr>
        <w:t xml:space="preserve">Exploring factors influencing the strength of the safety-in-numbers effect. </w:t>
      </w:r>
      <w:r w:rsidRPr="00D65519">
        <w:t>Accident Analysis and Prevention 100, 75-84.</w:t>
      </w:r>
    </w:p>
    <w:p w14:paraId="6D0EA588" w14:textId="0821CD59" w:rsidR="00391B8A" w:rsidRPr="00D65519" w:rsidRDefault="00391B8A" w:rsidP="00595AB0">
      <w:pPr>
        <w:pStyle w:val="ThesisText"/>
        <w:spacing w:line="360" w:lineRule="auto"/>
      </w:pPr>
      <w:r w:rsidRPr="00D65519">
        <w:t xml:space="preserve">Elvik, R., Goel, R., 2019. </w:t>
      </w:r>
      <w:r w:rsidRPr="00D65519">
        <w:rPr>
          <w:i/>
          <w:iCs/>
        </w:rPr>
        <w:t xml:space="preserve">Safety-in-numbers: </w:t>
      </w:r>
      <w:r w:rsidR="00595AB0" w:rsidRPr="00D65519">
        <w:rPr>
          <w:i/>
          <w:iCs/>
        </w:rPr>
        <w:t>a</w:t>
      </w:r>
      <w:r w:rsidRPr="00D65519">
        <w:rPr>
          <w:i/>
          <w:iCs/>
        </w:rPr>
        <w:t>n updated meta-analysis of estimates.</w:t>
      </w:r>
      <w:r w:rsidRPr="00D65519">
        <w:t xml:space="preserve"> Accident Analysis and Prevention 129, 136-147.</w:t>
      </w:r>
    </w:p>
    <w:p w14:paraId="4DD64305" w14:textId="78FB8415" w:rsidR="008430B6" w:rsidRPr="00D65519" w:rsidRDefault="008430B6" w:rsidP="00595AB0">
      <w:pPr>
        <w:pStyle w:val="ThesisText"/>
        <w:spacing w:line="360" w:lineRule="auto"/>
      </w:pPr>
      <w:r w:rsidRPr="00D65519">
        <w:t xml:space="preserve">Fountas, G., </w:t>
      </w:r>
      <w:proofErr w:type="spellStart"/>
      <w:r w:rsidRPr="00D65519">
        <w:t>Fonzone</w:t>
      </w:r>
      <w:proofErr w:type="spellEnd"/>
      <w:r w:rsidRPr="00D65519">
        <w:t xml:space="preserve">, A., </w:t>
      </w:r>
      <w:proofErr w:type="spellStart"/>
      <w:r w:rsidRPr="00D65519">
        <w:t>Olowosegun</w:t>
      </w:r>
      <w:proofErr w:type="spellEnd"/>
      <w:r w:rsidRPr="00D65519">
        <w:t xml:space="preserve">, A., </w:t>
      </w:r>
      <w:proofErr w:type="spellStart"/>
      <w:r w:rsidRPr="00D65519">
        <w:t>McTigue</w:t>
      </w:r>
      <w:proofErr w:type="spellEnd"/>
      <w:r w:rsidRPr="00D65519">
        <w:t xml:space="preserve">, C., 2021. </w:t>
      </w:r>
      <w:r w:rsidRPr="00D65519">
        <w:rPr>
          <w:i/>
          <w:iCs/>
        </w:rPr>
        <w:t xml:space="preserve">Addressing unobserved heterogeneity in the analysis of bicycle crash injuries in Scotland: </w:t>
      </w:r>
      <w:r w:rsidR="00595AB0" w:rsidRPr="00D65519">
        <w:rPr>
          <w:i/>
          <w:iCs/>
        </w:rPr>
        <w:t>a</w:t>
      </w:r>
      <w:r w:rsidRPr="00D65519">
        <w:rPr>
          <w:i/>
          <w:iCs/>
        </w:rPr>
        <w:t xml:space="preserve"> correlated random parameters ordered probit approach with heterogeneity in means</w:t>
      </w:r>
      <w:r w:rsidRPr="00D65519">
        <w:t>. Analytic Methods in Accident Research 32, 100181.</w:t>
      </w:r>
    </w:p>
    <w:p w14:paraId="65F140EC" w14:textId="77777777" w:rsidR="00391B8A" w:rsidRPr="00D65519" w:rsidRDefault="00391B8A" w:rsidP="005765B0">
      <w:pPr>
        <w:pStyle w:val="ThesisText"/>
        <w:spacing w:line="360" w:lineRule="auto"/>
      </w:pPr>
      <w:proofErr w:type="spellStart"/>
      <w:r w:rsidRPr="00D65519">
        <w:t>Gitelman</w:t>
      </w:r>
      <w:proofErr w:type="spellEnd"/>
      <w:r w:rsidRPr="00D65519">
        <w:t xml:space="preserve">, V., Levi, S., Carmel, R., </w:t>
      </w:r>
      <w:proofErr w:type="spellStart"/>
      <w:r w:rsidRPr="00D65519">
        <w:t>Korchatov</w:t>
      </w:r>
      <w:proofErr w:type="spellEnd"/>
      <w:r w:rsidRPr="00D65519">
        <w:t xml:space="preserve">, A., </w:t>
      </w:r>
      <w:proofErr w:type="spellStart"/>
      <w:r w:rsidRPr="00D65519">
        <w:t>Hakkert</w:t>
      </w:r>
      <w:proofErr w:type="spellEnd"/>
      <w:r w:rsidRPr="00D65519">
        <w:t xml:space="preserve">, S., 2019. </w:t>
      </w:r>
      <w:r w:rsidRPr="00D65519">
        <w:rPr>
          <w:i/>
          <w:iCs/>
        </w:rPr>
        <w:t xml:space="preserve">Exploring patterns of child pedestrian </w:t>
      </w:r>
      <w:proofErr w:type="spellStart"/>
      <w:r w:rsidRPr="00D65519">
        <w:rPr>
          <w:i/>
          <w:iCs/>
        </w:rPr>
        <w:t>behaviors</w:t>
      </w:r>
      <w:proofErr w:type="spellEnd"/>
      <w:r w:rsidRPr="00D65519">
        <w:rPr>
          <w:i/>
          <w:iCs/>
        </w:rPr>
        <w:t xml:space="preserve"> at urban intersections</w:t>
      </w:r>
      <w:r w:rsidRPr="00D65519">
        <w:t>. Accident Analysis and Prevention 122, 36-47.</w:t>
      </w:r>
    </w:p>
    <w:p w14:paraId="73549AF0" w14:textId="48C046B3" w:rsidR="00391B8A" w:rsidRPr="00D65519" w:rsidRDefault="00391B8A" w:rsidP="005765B0">
      <w:pPr>
        <w:pStyle w:val="ThesisText"/>
        <w:spacing w:line="360" w:lineRule="auto"/>
      </w:pPr>
      <w:r w:rsidRPr="00D65519">
        <w:rPr>
          <w:lang w:val="de-DE"/>
        </w:rPr>
        <w:t xml:space="preserve">Gohl, I., Schneider, A., Nitsch, V., 2019. </w:t>
      </w:r>
      <w:r w:rsidRPr="00D65519">
        <w:rPr>
          <w:i/>
          <w:iCs/>
        </w:rPr>
        <w:t xml:space="preserve">Assessing the safety criticality of driver </w:t>
      </w:r>
      <w:proofErr w:type="spellStart"/>
      <w:r w:rsidRPr="00D65519">
        <w:rPr>
          <w:i/>
          <w:iCs/>
        </w:rPr>
        <w:t>behavior</w:t>
      </w:r>
      <w:proofErr w:type="spellEnd"/>
      <w:r w:rsidRPr="00D65519">
        <w:rPr>
          <w:i/>
          <w:iCs/>
        </w:rPr>
        <w:t xml:space="preserve"> toward cyclists at intersections. </w:t>
      </w:r>
      <w:r w:rsidRPr="00D65519">
        <w:t>Traffic Injury Prevention 20 (sup3), 45-50.</w:t>
      </w:r>
    </w:p>
    <w:p w14:paraId="136514F3" w14:textId="59D1556F" w:rsidR="00F80378" w:rsidRPr="00D65519" w:rsidRDefault="00F80378" w:rsidP="005765B0">
      <w:pPr>
        <w:pStyle w:val="ThesisText"/>
        <w:spacing w:line="360" w:lineRule="auto"/>
      </w:pPr>
      <w:r w:rsidRPr="00D65519">
        <w:t xml:space="preserve">Guo, Y., Osama, A., Sayed, T., 2018. </w:t>
      </w:r>
      <w:r w:rsidRPr="00D65519">
        <w:rPr>
          <w:i/>
          <w:iCs/>
        </w:rPr>
        <w:t xml:space="preserve">A cross-comparison of different techniques for </w:t>
      </w:r>
      <w:proofErr w:type="spellStart"/>
      <w:r w:rsidRPr="00D65519">
        <w:rPr>
          <w:i/>
          <w:iCs/>
        </w:rPr>
        <w:t>modeling</w:t>
      </w:r>
      <w:proofErr w:type="spellEnd"/>
      <w:r w:rsidRPr="00D65519">
        <w:rPr>
          <w:i/>
          <w:iCs/>
        </w:rPr>
        <w:t xml:space="preserve"> macro-level cyclist crashes</w:t>
      </w:r>
      <w:r w:rsidRPr="00D65519">
        <w:t>. Accident Analysis and Prevention 113, 38-46.</w:t>
      </w:r>
    </w:p>
    <w:p w14:paraId="0FC8D709" w14:textId="2D866B36" w:rsidR="00391B8A" w:rsidRPr="00D65519" w:rsidRDefault="004562ED" w:rsidP="005765B0">
      <w:pPr>
        <w:pStyle w:val="ThesisText"/>
        <w:spacing w:line="360" w:lineRule="auto"/>
      </w:pPr>
      <w:r w:rsidRPr="00D65519">
        <w:t>Harris, M. A., Reynolds, C</w:t>
      </w:r>
      <w:r w:rsidR="00391B8A" w:rsidRPr="00D65519">
        <w:t xml:space="preserve">., </w:t>
      </w:r>
      <w:proofErr w:type="gramStart"/>
      <w:r w:rsidR="00391B8A" w:rsidRPr="00D65519">
        <w:t>Winters</w:t>
      </w:r>
      <w:proofErr w:type="gramEnd"/>
      <w:r w:rsidR="00391B8A" w:rsidRPr="00D65519">
        <w:t xml:space="preserve">, M., </w:t>
      </w:r>
      <w:proofErr w:type="spellStart"/>
      <w:r w:rsidR="00391B8A" w:rsidRPr="00D65519">
        <w:t>Cripton</w:t>
      </w:r>
      <w:proofErr w:type="spellEnd"/>
      <w:r w:rsidR="00391B8A" w:rsidRPr="00D65519">
        <w:t xml:space="preserve">, P. A., Shen, H., et al., 2013. </w:t>
      </w:r>
      <w:r w:rsidR="00391B8A" w:rsidRPr="00D65519">
        <w:rPr>
          <w:i/>
          <w:iCs/>
        </w:rPr>
        <w:t xml:space="preserve">Comparing the effects of infrastructure on bicycling injury at intersections and non-intersections using a case–crossover design. </w:t>
      </w:r>
      <w:r w:rsidR="00391B8A" w:rsidRPr="00D65519">
        <w:t>Injury Prevention 19, 303-310.</w:t>
      </w:r>
    </w:p>
    <w:p w14:paraId="18CBC24C" w14:textId="4591A8D6" w:rsidR="00D16A0D" w:rsidRPr="00D65519" w:rsidRDefault="00D16A0D" w:rsidP="00D16A0D">
      <w:pPr>
        <w:pStyle w:val="ThesisText"/>
        <w:spacing w:line="360" w:lineRule="auto"/>
      </w:pPr>
      <w:r w:rsidRPr="00D65519">
        <w:t xml:space="preserve">Heckman, J., 2000. </w:t>
      </w:r>
      <w:r w:rsidRPr="00D65519">
        <w:rPr>
          <w:i/>
          <w:iCs/>
        </w:rPr>
        <w:t>Causal parameters and policy analysis in economics: a twentieth century retrospective.</w:t>
      </w:r>
      <w:r w:rsidRPr="00D65519">
        <w:t xml:space="preserve"> Quarterly Journal of Economics 115 (1), 45–97.</w:t>
      </w:r>
    </w:p>
    <w:p w14:paraId="6231E7BE" w14:textId="47100C25" w:rsidR="00B5079E" w:rsidRPr="00D65519" w:rsidRDefault="00B5079E" w:rsidP="00B5079E">
      <w:pPr>
        <w:pStyle w:val="ThesisText"/>
        <w:spacing w:line="360" w:lineRule="auto"/>
      </w:pPr>
      <w:r w:rsidRPr="00D65519">
        <w:lastRenderedPageBreak/>
        <w:t xml:space="preserve">Held, L., Holmes, C., 2006. </w:t>
      </w:r>
      <w:r w:rsidRPr="00D65519">
        <w:rPr>
          <w:i/>
          <w:iCs/>
        </w:rPr>
        <w:t>Bayesian auxiliary variable models for binary and multinomial regression</w:t>
      </w:r>
      <w:r w:rsidRPr="00D65519">
        <w:t>. Bayesian Analysis 1, 145–168.</w:t>
      </w:r>
    </w:p>
    <w:p w14:paraId="4DAEAFAC" w14:textId="02FA123B" w:rsidR="007D1DA2" w:rsidRPr="00D65519" w:rsidRDefault="007D1DA2" w:rsidP="00B5079E">
      <w:pPr>
        <w:pStyle w:val="ThesisText"/>
        <w:spacing w:line="360" w:lineRule="auto"/>
      </w:pPr>
      <w:r w:rsidRPr="00D65519">
        <w:t xml:space="preserve">Heydari, S., 2018. </w:t>
      </w:r>
      <w:r w:rsidRPr="00D65519">
        <w:rPr>
          <w:i/>
          <w:iCs/>
        </w:rPr>
        <w:t>A flexible discrete density random parameters model for count data: embracing unobserved heterogeneity in highway safety analysis</w:t>
      </w:r>
      <w:r w:rsidRPr="00D65519">
        <w:t>. Analytic Methods in Accident Research 20, 68-80.</w:t>
      </w:r>
    </w:p>
    <w:p w14:paraId="4B9922B4" w14:textId="39DE0167" w:rsidR="000D120F" w:rsidRPr="00D65519" w:rsidDel="003C380E" w:rsidRDefault="000D120F" w:rsidP="00595AB0">
      <w:pPr>
        <w:pStyle w:val="ThesisText"/>
        <w:spacing w:line="360" w:lineRule="auto"/>
      </w:pPr>
      <w:r w:rsidRPr="00D65519" w:rsidDel="003C380E">
        <w:t xml:space="preserve">Heydari, S., Elvik, R., 2023. </w:t>
      </w:r>
      <w:r w:rsidRPr="00D65519" w:rsidDel="003C380E">
        <w:rPr>
          <w:i/>
          <w:iCs/>
        </w:rPr>
        <w:t xml:space="preserve">Further compelling evidence for safety-in-numbers: </w:t>
      </w:r>
      <w:r w:rsidR="00595AB0" w:rsidRPr="00D65519">
        <w:rPr>
          <w:i/>
          <w:iCs/>
        </w:rPr>
        <w:t>i</w:t>
      </w:r>
      <w:r w:rsidRPr="00D65519" w:rsidDel="003C380E">
        <w:rPr>
          <w:i/>
          <w:iCs/>
        </w:rPr>
        <w:t xml:space="preserve">t is more than meets the eye. </w:t>
      </w:r>
      <w:r w:rsidRPr="00D65519" w:rsidDel="003C380E">
        <w:t>Accident Analysis and Prevention 179, 106902.</w:t>
      </w:r>
    </w:p>
    <w:p w14:paraId="26EE32D6" w14:textId="77777777" w:rsidR="00391B8A" w:rsidRPr="00D65519" w:rsidRDefault="00391B8A" w:rsidP="005765B0">
      <w:pPr>
        <w:pStyle w:val="ThesisText"/>
        <w:spacing w:line="360" w:lineRule="auto"/>
      </w:pPr>
      <w:r w:rsidRPr="00D65519">
        <w:t xml:space="preserve">Heydari, S., Fu, L., Miranda-Moreno, L. F., Joseph, L., 2017. </w:t>
      </w:r>
      <w:r w:rsidRPr="00D65519">
        <w:rPr>
          <w:i/>
          <w:iCs/>
        </w:rPr>
        <w:t>Using a flexible multivariate latent class approach to model correlated outcomes: A joint analysis of pedestrian and cyclist injuries</w:t>
      </w:r>
      <w:r w:rsidRPr="00D65519">
        <w:t>. Analytic Methods in Accident Research 13, 16-27.</w:t>
      </w:r>
    </w:p>
    <w:p w14:paraId="70C1E73D" w14:textId="00B4431E" w:rsidR="003C380E" w:rsidRPr="00D65519" w:rsidRDefault="00391B8A" w:rsidP="00AD5CEC">
      <w:pPr>
        <w:pStyle w:val="ThesisText"/>
        <w:spacing w:line="360" w:lineRule="auto"/>
      </w:pPr>
      <w:r w:rsidRPr="00D65519">
        <w:t xml:space="preserve">Heydari, S., Miranda-Moreno, L., Hickford, A. J., 2020. </w:t>
      </w:r>
      <w:r w:rsidRPr="00D65519">
        <w:rPr>
          <w:i/>
          <w:iCs/>
        </w:rPr>
        <w:t xml:space="preserve">On the causal effect of proximity to school on pedestrian safety at signalized intersections: </w:t>
      </w:r>
      <w:r w:rsidR="00AD5CEC" w:rsidRPr="00D65519">
        <w:rPr>
          <w:i/>
          <w:iCs/>
        </w:rPr>
        <w:t>a</w:t>
      </w:r>
      <w:r w:rsidRPr="00D65519">
        <w:rPr>
          <w:i/>
          <w:iCs/>
        </w:rPr>
        <w:t xml:space="preserve"> heterogeneous endogenous econometric model. </w:t>
      </w:r>
      <w:r w:rsidRPr="00D65519">
        <w:t>Analytic Methods in Accident Research 26, 100115.</w:t>
      </w:r>
    </w:p>
    <w:p w14:paraId="706A9317" w14:textId="2CC4CE98" w:rsidR="002350C8" w:rsidRPr="00D65519" w:rsidRDefault="002350C8" w:rsidP="006E5990">
      <w:pPr>
        <w:pStyle w:val="ThesisText"/>
        <w:spacing w:line="360" w:lineRule="auto"/>
      </w:pPr>
      <w:r w:rsidRPr="00D65519">
        <w:t xml:space="preserve">Islam, M., </w:t>
      </w:r>
      <w:proofErr w:type="spellStart"/>
      <w:r w:rsidRPr="00D65519">
        <w:t>Alogaili</w:t>
      </w:r>
      <w:proofErr w:type="spellEnd"/>
      <w:r w:rsidRPr="00D65519">
        <w:t xml:space="preserve">, A., Mannering, F., Maness, M., 2023. </w:t>
      </w:r>
      <w:r w:rsidRPr="00D65519">
        <w:rPr>
          <w:i/>
          <w:iCs/>
        </w:rPr>
        <w:t>Evidence of sample selectivity in h</w:t>
      </w:r>
      <w:r w:rsidR="002C524A" w:rsidRPr="00D65519">
        <w:rPr>
          <w:i/>
          <w:iCs/>
        </w:rPr>
        <w:t>ighway injury-severity models: t</w:t>
      </w:r>
      <w:r w:rsidRPr="00D65519">
        <w:rPr>
          <w:i/>
          <w:iCs/>
        </w:rPr>
        <w:t>he case of risky driving during COVID-19</w:t>
      </w:r>
      <w:r w:rsidRPr="00D65519">
        <w:t>. Analytic Methods in Accident Research 38, 100263.</w:t>
      </w:r>
    </w:p>
    <w:p w14:paraId="5D5FFCA8" w14:textId="7CCB1CAF" w:rsidR="00391B8A" w:rsidRPr="00D65519" w:rsidRDefault="00391B8A" w:rsidP="005765B0">
      <w:pPr>
        <w:pStyle w:val="ThesisText"/>
        <w:spacing w:line="360" w:lineRule="auto"/>
      </w:pPr>
      <w:r w:rsidRPr="00D65519">
        <w:t xml:space="preserve">Johansson, C., </w:t>
      </w:r>
      <w:proofErr w:type="spellStart"/>
      <w:r w:rsidRPr="00D65519">
        <w:t>Leden</w:t>
      </w:r>
      <w:proofErr w:type="spellEnd"/>
      <w:r w:rsidRPr="00D65519">
        <w:t xml:space="preserve">, L., 2007. </w:t>
      </w:r>
      <w:r w:rsidRPr="00D65519">
        <w:rPr>
          <w:i/>
          <w:iCs/>
        </w:rPr>
        <w:t xml:space="preserve">Short-term effects of countermeasures for improved safety and mobility at marked pedestrian crosswalks in </w:t>
      </w:r>
      <w:proofErr w:type="spellStart"/>
      <w:r w:rsidRPr="00D65519">
        <w:rPr>
          <w:i/>
          <w:iCs/>
        </w:rPr>
        <w:t>Borås</w:t>
      </w:r>
      <w:proofErr w:type="spellEnd"/>
      <w:r w:rsidRPr="00D65519">
        <w:rPr>
          <w:i/>
          <w:iCs/>
        </w:rPr>
        <w:t xml:space="preserve">, Sweden. </w:t>
      </w:r>
      <w:r w:rsidRPr="00D65519">
        <w:t>Accident Analysis and Prevention 39 (3), 500-509.</w:t>
      </w:r>
    </w:p>
    <w:p w14:paraId="17185512" w14:textId="4FAC0FEE" w:rsidR="009C3802" w:rsidRPr="00D65519" w:rsidRDefault="009C3802" w:rsidP="005765B0">
      <w:pPr>
        <w:pStyle w:val="ThesisText"/>
        <w:spacing w:line="360" w:lineRule="auto"/>
      </w:pPr>
      <w:r w:rsidRPr="00D65519">
        <w:t xml:space="preserve">Kozumi, H., 2002. </w:t>
      </w:r>
      <w:r w:rsidRPr="00D65519">
        <w:rPr>
          <w:i/>
          <w:iCs/>
        </w:rPr>
        <w:t>A Bayesian analysis of endogenous switching models for count data.</w:t>
      </w:r>
      <w:r w:rsidRPr="00D65519">
        <w:t xml:space="preserve"> Journal of the Japan Statistical Society 32 (2), 141–154.</w:t>
      </w:r>
    </w:p>
    <w:p w14:paraId="16EC0683" w14:textId="58127D92" w:rsidR="00950E20" w:rsidRPr="00D65519" w:rsidRDefault="00950E20" w:rsidP="005765B0">
      <w:pPr>
        <w:pStyle w:val="ThesisText"/>
        <w:spacing w:line="360" w:lineRule="auto"/>
      </w:pPr>
      <w:r w:rsidRPr="00D65519">
        <w:t xml:space="preserve">Lunn, D., Thomas, A., Best, N., Spiegelhalter, D., 2000. </w:t>
      </w:r>
      <w:r w:rsidRPr="00D65519">
        <w:rPr>
          <w:i/>
          <w:iCs/>
        </w:rPr>
        <w:t>WinBUGS – a Bayesian modelling framework: concepts, structure, and extensibility</w:t>
      </w:r>
      <w:r w:rsidRPr="00D65519">
        <w:t>. Statistics and Computing 10 (4), 325–337.</w:t>
      </w:r>
    </w:p>
    <w:p w14:paraId="3DD1C009" w14:textId="611B7CF5" w:rsidR="00DF5436" w:rsidRPr="00D65519" w:rsidRDefault="00DF5436" w:rsidP="005765B0">
      <w:pPr>
        <w:pStyle w:val="ThesisText"/>
        <w:spacing w:line="360" w:lineRule="auto"/>
      </w:pPr>
      <w:r w:rsidRPr="00D65519">
        <w:t xml:space="preserve">Mannering, F., </w:t>
      </w:r>
      <w:r w:rsidR="00895BA3" w:rsidRPr="00D65519">
        <w:t xml:space="preserve">Shankar, V., Bhat, C., 2016. </w:t>
      </w:r>
      <w:r w:rsidR="00895BA3" w:rsidRPr="00D65519">
        <w:rPr>
          <w:i/>
          <w:iCs/>
        </w:rPr>
        <w:t xml:space="preserve">Unobserved heterogeneity and the statistical analysis of highway accident data. </w:t>
      </w:r>
      <w:r w:rsidR="00895BA3" w:rsidRPr="00D65519">
        <w:t>Analytic Methods in Accident Research 11, 1-16.</w:t>
      </w:r>
    </w:p>
    <w:p w14:paraId="466C9857" w14:textId="17687587" w:rsidR="00391B8A" w:rsidRPr="00D65519" w:rsidRDefault="003227C7" w:rsidP="005765B0">
      <w:pPr>
        <w:pStyle w:val="ThesisText"/>
        <w:spacing w:line="360" w:lineRule="auto"/>
      </w:pPr>
      <w:r w:rsidRPr="00D65519">
        <w:t>Mannering, F., Bhat, C.</w:t>
      </w:r>
      <w:r w:rsidR="00391B8A" w:rsidRPr="00D65519">
        <w:t>, Shankar, V., Abdel-</w:t>
      </w:r>
      <w:proofErr w:type="spellStart"/>
      <w:r w:rsidR="00391B8A" w:rsidRPr="00D65519">
        <w:t>Aty</w:t>
      </w:r>
      <w:proofErr w:type="spellEnd"/>
      <w:r w:rsidR="00391B8A" w:rsidRPr="00D65519">
        <w:t xml:space="preserve">, M., 2020. </w:t>
      </w:r>
      <w:r w:rsidR="00391B8A" w:rsidRPr="00D65519">
        <w:rPr>
          <w:i/>
          <w:iCs/>
        </w:rPr>
        <w:t xml:space="preserve">Big data, traditional data and the </w:t>
      </w:r>
      <w:proofErr w:type="spellStart"/>
      <w:r w:rsidR="00391B8A" w:rsidRPr="00D65519">
        <w:rPr>
          <w:i/>
          <w:iCs/>
        </w:rPr>
        <w:t>tradeoffs</w:t>
      </w:r>
      <w:proofErr w:type="spellEnd"/>
      <w:r w:rsidR="00391B8A" w:rsidRPr="00D65519">
        <w:rPr>
          <w:i/>
          <w:iCs/>
        </w:rPr>
        <w:t xml:space="preserve"> between prediction and causality in highway-safety analysis. </w:t>
      </w:r>
      <w:r w:rsidR="00391B8A" w:rsidRPr="00D65519">
        <w:t>Analytic Methods in Accident Research 25, 100113.</w:t>
      </w:r>
    </w:p>
    <w:p w14:paraId="1D717C1C" w14:textId="7B894691" w:rsidR="00A9424B" w:rsidRPr="00D65519" w:rsidRDefault="008761CD" w:rsidP="008761CD">
      <w:pPr>
        <w:pStyle w:val="ThesisText"/>
        <w:spacing w:line="360" w:lineRule="auto"/>
      </w:pPr>
      <w:proofErr w:type="spellStart"/>
      <w:r w:rsidRPr="00D65519">
        <w:t>Munkin</w:t>
      </w:r>
      <w:proofErr w:type="spellEnd"/>
      <w:r w:rsidRPr="00D65519">
        <w:t>, M.</w:t>
      </w:r>
      <w:r w:rsidR="00A9424B" w:rsidRPr="00D65519">
        <w:t>,</w:t>
      </w:r>
      <w:r w:rsidRPr="00D65519">
        <w:t xml:space="preserve"> </w:t>
      </w:r>
      <w:r w:rsidR="00A9424B" w:rsidRPr="00D65519">
        <w:t>Trivedi</w:t>
      </w:r>
      <w:r w:rsidRPr="00D65519">
        <w:t>, P.,</w:t>
      </w:r>
      <w:r w:rsidR="00A9424B" w:rsidRPr="00D65519">
        <w:t xml:space="preserve"> 2003. </w:t>
      </w:r>
      <w:r w:rsidR="00A9424B" w:rsidRPr="00D65519">
        <w:rPr>
          <w:i/>
          <w:iCs/>
        </w:rPr>
        <w:t>Bayesian analysis of a self-selection model with multiple outcomes using simulation-based estimation: an application to the demand for healthcare</w:t>
      </w:r>
      <w:r w:rsidR="00A9424B" w:rsidRPr="00D65519">
        <w:t xml:space="preserve">. Journal of Econometrics 114:197–220. </w:t>
      </w:r>
    </w:p>
    <w:p w14:paraId="01EDC862" w14:textId="1B099E74" w:rsidR="00865C40" w:rsidRPr="00D65519" w:rsidRDefault="00865C40" w:rsidP="00865C40">
      <w:pPr>
        <w:pStyle w:val="ThesisText"/>
        <w:spacing w:line="360" w:lineRule="auto"/>
      </w:pPr>
      <w:proofErr w:type="spellStart"/>
      <w:r w:rsidRPr="00D65519">
        <w:t>Nashad</w:t>
      </w:r>
      <w:proofErr w:type="spellEnd"/>
      <w:r w:rsidRPr="00D65519">
        <w:t xml:space="preserve"> T., Yasmin S., Eluru N., Lee J., Abdel-</w:t>
      </w:r>
      <w:proofErr w:type="spellStart"/>
      <w:r w:rsidRPr="00D65519">
        <w:t>Aty</w:t>
      </w:r>
      <w:proofErr w:type="spellEnd"/>
      <w:r w:rsidRPr="00D65519">
        <w:t xml:space="preserve"> M., 2016. </w:t>
      </w:r>
      <w:r w:rsidRPr="00D65519">
        <w:rPr>
          <w:i/>
          <w:iCs/>
        </w:rPr>
        <w:t xml:space="preserve">Joint </w:t>
      </w:r>
      <w:proofErr w:type="spellStart"/>
      <w:r w:rsidR="00E57AD5" w:rsidRPr="00D65519">
        <w:rPr>
          <w:i/>
          <w:iCs/>
        </w:rPr>
        <w:t>modeling</w:t>
      </w:r>
      <w:proofErr w:type="spellEnd"/>
      <w:r w:rsidR="00E57AD5" w:rsidRPr="00D65519">
        <w:rPr>
          <w:i/>
          <w:iCs/>
        </w:rPr>
        <w:t xml:space="preserve"> of pedestrian and bicycle crashes: copula-based approach</w:t>
      </w:r>
      <w:r w:rsidRPr="00D65519">
        <w:rPr>
          <w:i/>
          <w:iCs/>
        </w:rPr>
        <w:t>.</w:t>
      </w:r>
      <w:r w:rsidRPr="00D65519">
        <w:t xml:space="preserve"> Transportation Research Record: Journal of the Transportation Research Board. 2601: 119–127.</w:t>
      </w:r>
    </w:p>
    <w:p w14:paraId="4F1D1D3E" w14:textId="0EDF4642" w:rsidR="00391B8A" w:rsidRPr="00D65519" w:rsidRDefault="00391B8A" w:rsidP="005765B0">
      <w:pPr>
        <w:pStyle w:val="ThesisText"/>
        <w:spacing w:line="360" w:lineRule="auto"/>
      </w:pPr>
      <w:r w:rsidRPr="00D65519">
        <w:lastRenderedPageBreak/>
        <w:t xml:space="preserve">Oh, J., Shankar, V., 2011. </w:t>
      </w:r>
      <w:r w:rsidRPr="00D65519">
        <w:rPr>
          <w:i/>
        </w:rPr>
        <w:t xml:space="preserve">Corridor </w:t>
      </w:r>
      <w:r w:rsidR="00666462" w:rsidRPr="00D65519">
        <w:rPr>
          <w:i/>
        </w:rPr>
        <w:t xml:space="preserve">safety </w:t>
      </w:r>
      <w:proofErr w:type="spellStart"/>
      <w:r w:rsidR="00666462" w:rsidRPr="00D65519">
        <w:rPr>
          <w:i/>
        </w:rPr>
        <w:t>modeling</w:t>
      </w:r>
      <w:proofErr w:type="spellEnd"/>
      <w:r w:rsidR="00666462" w:rsidRPr="00D65519">
        <w:rPr>
          <w:i/>
        </w:rPr>
        <w:t xml:space="preserve"> via segmentation: a selectivity bias perspective to crash count data</w:t>
      </w:r>
      <w:r w:rsidR="00666462" w:rsidRPr="00D65519">
        <w:t>.</w:t>
      </w:r>
      <w:r w:rsidRPr="00D65519">
        <w:t xml:space="preserve"> Lambert Academic Publishing, p. 84.</w:t>
      </w:r>
    </w:p>
    <w:p w14:paraId="1F13123D" w14:textId="5C11DAC1" w:rsidR="004B629E" w:rsidRPr="00D65519" w:rsidRDefault="004B629E" w:rsidP="005765B0">
      <w:pPr>
        <w:pStyle w:val="ThesisText"/>
        <w:spacing w:line="360" w:lineRule="auto"/>
        <w:rPr>
          <w:iCs/>
        </w:rPr>
      </w:pPr>
      <w:r w:rsidRPr="00D65519">
        <w:t>Osama, A., Sayed</w:t>
      </w:r>
      <w:r w:rsidR="00E6036D" w:rsidRPr="00D65519">
        <w:t xml:space="preserve">, T., 2017. </w:t>
      </w:r>
      <w:r w:rsidR="00E6036D" w:rsidRPr="00D65519">
        <w:rPr>
          <w:i/>
        </w:rPr>
        <w:t xml:space="preserve">Investigating the effect of spatial and mode correlations on active transportation safety </w:t>
      </w:r>
      <w:proofErr w:type="spellStart"/>
      <w:r w:rsidR="00E6036D" w:rsidRPr="00D65519">
        <w:rPr>
          <w:i/>
        </w:rPr>
        <w:t>modeling</w:t>
      </w:r>
      <w:proofErr w:type="spellEnd"/>
      <w:r w:rsidR="00E6036D" w:rsidRPr="00D65519">
        <w:rPr>
          <w:i/>
        </w:rPr>
        <w:t xml:space="preserve">. </w:t>
      </w:r>
      <w:r w:rsidR="00E6036D" w:rsidRPr="00D65519">
        <w:rPr>
          <w:iCs/>
        </w:rPr>
        <w:t>Analytic Methods in Accident Research</w:t>
      </w:r>
      <w:r w:rsidR="00E907CF" w:rsidRPr="00D65519">
        <w:rPr>
          <w:iCs/>
        </w:rPr>
        <w:t xml:space="preserve"> 16</w:t>
      </w:r>
      <w:r w:rsidR="00DF57AE" w:rsidRPr="00D65519">
        <w:rPr>
          <w:iCs/>
        </w:rPr>
        <w:t>, 60-74.</w:t>
      </w:r>
    </w:p>
    <w:p w14:paraId="2AF7B2FC" w14:textId="365C8692" w:rsidR="00391B8A" w:rsidRPr="00D65519" w:rsidRDefault="00391B8A" w:rsidP="005765B0">
      <w:pPr>
        <w:pStyle w:val="ThesisText"/>
        <w:spacing w:line="360" w:lineRule="auto"/>
      </w:pPr>
      <w:r w:rsidRPr="00D65519">
        <w:t xml:space="preserve">Ragland, D. R., </w:t>
      </w:r>
      <w:proofErr w:type="spellStart"/>
      <w:r w:rsidRPr="00D65519">
        <w:t>Pande</w:t>
      </w:r>
      <w:proofErr w:type="spellEnd"/>
      <w:r w:rsidRPr="00D65519">
        <w:t xml:space="preserve">, S., </w:t>
      </w:r>
      <w:proofErr w:type="spellStart"/>
      <w:r w:rsidRPr="00D65519">
        <w:t>Bigham</w:t>
      </w:r>
      <w:proofErr w:type="spellEnd"/>
      <w:r w:rsidRPr="00D65519">
        <w:t xml:space="preserve">, J., Cooper, J. F., 2014. </w:t>
      </w:r>
      <w:r w:rsidRPr="00D65519">
        <w:rPr>
          <w:i/>
          <w:iCs/>
        </w:rPr>
        <w:t xml:space="preserve">Ten </w:t>
      </w:r>
      <w:r w:rsidR="00666462" w:rsidRPr="00D65519">
        <w:rPr>
          <w:i/>
          <w:iCs/>
        </w:rPr>
        <w:t xml:space="preserve">years later: examining the long-term impact of the </w:t>
      </w:r>
      <w:r w:rsidR="00800F0F" w:rsidRPr="00D65519">
        <w:rPr>
          <w:i/>
          <w:iCs/>
        </w:rPr>
        <w:t>California</w:t>
      </w:r>
      <w:r w:rsidR="00666462" w:rsidRPr="00D65519">
        <w:rPr>
          <w:i/>
          <w:iCs/>
        </w:rPr>
        <w:t xml:space="preserve"> safe routes to school program.</w:t>
      </w:r>
      <w:r w:rsidRPr="00D65519">
        <w:rPr>
          <w:i/>
          <w:iCs/>
        </w:rPr>
        <w:t xml:space="preserve"> </w:t>
      </w:r>
      <w:r w:rsidRPr="00D65519">
        <w:t>Paper presented at the Transportation Research Board 93rd Annual Meeting, Washington, DC.</w:t>
      </w:r>
    </w:p>
    <w:p w14:paraId="7B9A30C1" w14:textId="3C1E039D" w:rsidR="00391B8A" w:rsidRPr="00D65519" w:rsidRDefault="00391B8A" w:rsidP="005765B0">
      <w:pPr>
        <w:pStyle w:val="ThesisText"/>
        <w:spacing w:line="360" w:lineRule="auto"/>
      </w:pPr>
      <w:r w:rsidRPr="00D65519">
        <w:t xml:space="preserve">Shin, S., Shankar, V., 2013. </w:t>
      </w:r>
      <w:r w:rsidRPr="00D65519">
        <w:rPr>
          <w:i/>
        </w:rPr>
        <w:t xml:space="preserve">Selection </w:t>
      </w:r>
      <w:r w:rsidR="00666462" w:rsidRPr="00D65519">
        <w:rPr>
          <w:i/>
        </w:rPr>
        <w:t>bias and heterogeneity in severity models: some insights from an interstate analysis</w:t>
      </w:r>
      <w:r w:rsidRPr="00D65519">
        <w:t>. Lambert Academic Publishing, p.132.</w:t>
      </w:r>
    </w:p>
    <w:p w14:paraId="667D7746" w14:textId="233E8F7D" w:rsidR="00994623" w:rsidRPr="00D65519" w:rsidRDefault="00994623" w:rsidP="005765B0">
      <w:pPr>
        <w:pStyle w:val="ThesisText"/>
        <w:spacing w:line="360" w:lineRule="auto"/>
        <w:rPr>
          <w:lang w:val="de-DE"/>
        </w:rPr>
      </w:pPr>
      <w:r w:rsidRPr="00D65519">
        <w:t xml:space="preserve">Spiegelhalter, D., Thomas, A., Best, N., Lunn, D., 2003. </w:t>
      </w:r>
      <w:r w:rsidRPr="00D65519">
        <w:rPr>
          <w:i/>
          <w:iCs/>
          <w:lang w:val="de-DE"/>
        </w:rPr>
        <w:t>WinBUGS User Manual</w:t>
      </w:r>
      <w:r w:rsidRPr="00D65519">
        <w:rPr>
          <w:lang w:val="de-DE"/>
        </w:rPr>
        <w:t>, version 1.4. https://www.mrc-bsu.cam.ac.uk/wp-content/uploads/manual14.pdf</w:t>
      </w:r>
    </w:p>
    <w:p w14:paraId="6376C59F" w14:textId="77777777" w:rsidR="00391B8A" w:rsidRPr="00D65519" w:rsidRDefault="00391B8A" w:rsidP="005765B0">
      <w:pPr>
        <w:pStyle w:val="ThesisText"/>
        <w:spacing w:line="360" w:lineRule="auto"/>
      </w:pPr>
      <w:r w:rsidRPr="00D65519">
        <w:rPr>
          <w:lang w:val="de-DE"/>
        </w:rPr>
        <w:t xml:space="preserve">Stipancic, J., Zangenehpour, S., Miranda-Moreno, L., Saunier, N., Granié, M.-A., 2016. </w:t>
      </w:r>
      <w:r w:rsidRPr="00D65519">
        <w:rPr>
          <w:i/>
          <w:iCs/>
        </w:rPr>
        <w:t xml:space="preserve">Investigating the gender differences on bicycle-vehicle conflicts at urban intersections using an ordered logit methodology. </w:t>
      </w:r>
      <w:r w:rsidRPr="00D65519">
        <w:t>Accident Analysis and Prevention 97, 19-27.</w:t>
      </w:r>
    </w:p>
    <w:p w14:paraId="5E885B4C" w14:textId="4B0A8C4C" w:rsidR="00391B8A" w:rsidRPr="00D65519" w:rsidRDefault="00391B8A" w:rsidP="005765B0">
      <w:pPr>
        <w:pStyle w:val="ThesisText"/>
        <w:spacing w:line="360" w:lineRule="auto"/>
      </w:pPr>
      <w:r w:rsidRPr="00D65519">
        <w:t xml:space="preserve">Strauss, J., Miranda-Moreno, L. F., </w:t>
      </w:r>
      <w:proofErr w:type="spellStart"/>
      <w:r w:rsidRPr="00D65519">
        <w:t>Morency</w:t>
      </w:r>
      <w:proofErr w:type="spellEnd"/>
      <w:r w:rsidRPr="00D65519">
        <w:t xml:space="preserve">, P., 2014. </w:t>
      </w:r>
      <w:r w:rsidRPr="00D65519">
        <w:rPr>
          <w:i/>
          <w:iCs/>
        </w:rPr>
        <w:t xml:space="preserve">Multimodal injury risk analysis of road users at signalized and non-signalized intersections. </w:t>
      </w:r>
      <w:r w:rsidRPr="00D65519">
        <w:t>Accident Analysis and Prevention 71, 201-209.</w:t>
      </w:r>
    </w:p>
    <w:p w14:paraId="6EB5224A" w14:textId="240257E3" w:rsidR="00E768AB" w:rsidRPr="00D65519" w:rsidRDefault="00E768AB" w:rsidP="006F0EA8">
      <w:pPr>
        <w:pStyle w:val="ThesisText"/>
        <w:spacing w:line="360" w:lineRule="auto"/>
        <w:rPr>
          <w:lang w:val="it-IT"/>
        </w:rPr>
      </w:pPr>
      <w:proofErr w:type="spellStart"/>
      <w:r w:rsidRPr="00D65519">
        <w:t>Terza</w:t>
      </w:r>
      <w:proofErr w:type="spellEnd"/>
      <w:r w:rsidRPr="00D65519">
        <w:t xml:space="preserve">, J., 1998. </w:t>
      </w:r>
      <w:r w:rsidRPr="00D65519">
        <w:rPr>
          <w:i/>
          <w:iCs/>
        </w:rPr>
        <w:t>Estimating count data models with endogenous switching: sample selection and endogenous treatment effects</w:t>
      </w:r>
      <w:r w:rsidRPr="00D65519">
        <w:t xml:space="preserve">. </w:t>
      </w:r>
      <w:r w:rsidRPr="00D65519">
        <w:rPr>
          <w:lang w:val="it-IT"/>
        </w:rPr>
        <w:t>Journal of Econometrics 84</w:t>
      </w:r>
      <w:r w:rsidR="006F0EA8" w:rsidRPr="00D65519">
        <w:rPr>
          <w:lang w:val="it-IT"/>
        </w:rPr>
        <w:t xml:space="preserve"> </w:t>
      </w:r>
      <w:r w:rsidRPr="00D65519">
        <w:rPr>
          <w:lang w:val="it-IT"/>
        </w:rPr>
        <w:t>(1), 129–154.</w:t>
      </w:r>
    </w:p>
    <w:p w14:paraId="30235A16" w14:textId="77777777" w:rsidR="00391B8A" w:rsidRPr="00D65519" w:rsidRDefault="00391B8A" w:rsidP="005765B0">
      <w:pPr>
        <w:pStyle w:val="ThesisText"/>
        <w:spacing w:line="360" w:lineRule="auto"/>
      </w:pPr>
      <w:r w:rsidRPr="00D65519">
        <w:rPr>
          <w:lang w:val="it-IT"/>
        </w:rPr>
        <w:t xml:space="preserve">Ukkusuri, S., Miranda-Moreno, L., Ramadurai, G., Isa-Tavarez, J., 2012. </w:t>
      </w:r>
      <w:r w:rsidRPr="00D65519">
        <w:rPr>
          <w:i/>
        </w:rPr>
        <w:t>The role of built environment on pedestrian crash frequency</w:t>
      </w:r>
      <w:r w:rsidRPr="00D65519">
        <w:t>. Safety Science 50 (4), 1141–1151.</w:t>
      </w:r>
    </w:p>
    <w:p w14:paraId="5743D1E9" w14:textId="1CBFB628" w:rsidR="00391B8A" w:rsidRPr="00D65519" w:rsidRDefault="00391B8A" w:rsidP="00666462">
      <w:pPr>
        <w:pStyle w:val="ThesisText"/>
        <w:spacing w:line="360" w:lineRule="auto"/>
      </w:pPr>
      <w:proofErr w:type="spellStart"/>
      <w:r w:rsidRPr="00D65519">
        <w:t>Vanparijs</w:t>
      </w:r>
      <w:proofErr w:type="spellEnd"/>
      <w:r w:rsidRPr="00D65519">
        <w:t xml:space="preserve">, J., Panis, L. I., </w:t>
      </w:r>
      <w:proofErr w:type="spellStart"/>
      <w:r w:rsidRPr="00D65519">
        <w:t>Meeusen</w:t>
      </w:r>
      <w:proofErr w:type="spellEnd"/>
      <w:r w:rsidRPr="00D65519">
        <w:t xml:space="preserve">, R., de </w:t>
      </w:r>
      <w:proofErr w:type="spellStart"/>
      <w:r w:rsidRPr="00D65519">
        <w:t>Geus</w:t>
      </w:r>
      <w:proofErr w:type="spellEnd"/>
      <w:r w:rsidRPr="00D65519">
        <w:t xml:space="preserve">, B., 2015. </w:t>
      </w:r>
      <w:r w:rsidRPr="00D65519">
        <w:rPr>
          <w:i/>
          <w:iCs/>
        </w:rPr>
        <w:t xml:space="preserve">Exposure measurement in bicycle safety analysis: </w:t>
      </w:r>
      <w:r w:rsidR="00666462" w:rsidRPr="00D65519">
        <w:rPr>
          <w:i/>
          <w:iCs/>
        </w:rPr>
        <w:t>a</w:t>
      </w:r>
      <w:r w:rsidRPr="00D65519">
        <w:rPr>
          <w:i/>
          <w:iCs/>
        </w:rPr>
        <w:t xml:space="preserve"> review of the literature. </w:t>
      </w:r>
      <w:r w:rsidRPr="00D65519">
        <w:t>Accident Analysis and Prevention 84, 9-19.</w:t>
      </w:r>
    </w:p>
    <w:p w14:paraId="5FD8C244" w14:textId="77777777" w:rsidR="00391B8A" w:rsidRPr="00D65519" w:rsidRDefault="00391B8A" w:rsidP="005765B0">
      <w:pPr>
        <w:pStyle w:val="ThesisText"/>
        <w:spacing w:line="360" w:lineRule="auto"/>
      </w:pPr>
      <w:r w:rsidRPr="00D65519">
        <w:t xml:space="preserve">Washington, S., </w:t>
      </w:r>
      <w:proofErr w:type="spellStart"/>
      <w:r w:rsidRPr="00D65519">
        <w:t>Karlaftis</w:t>
      </w:r>
      <w:proofErr w:type="spellEnd"/>
      <w:r w:rsidRPr="00D65519">
        <w:t xml:space="preserve">, M. G., Mannering, F., Anastasopoulos, P., 2020. </w:t>
      </w:r>
      <w:r w:rsidRPr="00D65519">
        <w:rPr>
          <w:i/>
          <w:iCs/>
        </w:rPr>
        <w:t>Statistical and econometric methods in transportation</w:t>
      </w:r>
      <w:r w:rsidRPr="00D65519">
        <w:t>. Chapman and Hall/CRC. https://doi.org/10.1201/9780429244018.</w:t>
      </w:r>
    </w:p>
    <w:p w14:paraId="33199DF2" w14:textId="69BBE723" w:rsidR="00E42DFB" w:rsidRPr="00D65519" w:rsidRDefault="00391B8A" w:rsidP="00857A3A">
      <w:pPr>
        <w:pStyle w:val="ThesisText"/>
        <w:spacing w:line="360" w:lineRule="auto"/>
      </w:pPr>
      <w:r w:rsidRPr="00D65519">
        <w:rPr>
          <w:lang w:val="de-DE"/>
        </w:rPr>
        <w:t xml:space="preserve">Wegman, F., Zhang, F., Dijkstra, A., 2012. </w:t>
      </w:r>
      <w:r w:rsidRPr="00D65519">
        <w:rPr>
          <w:i/>
          <w:iCs/>
        </w:rPr>
        <w:t xml:space="preserve">How to make more cycling </w:t>
      </w:r>
      <w:proofErr w:type="gramStart"/>
      <w:r w:rsidRPr="00D65519">
        <w:rPr>
          <w:i/>
          <w:iCs/>
        </w:rPr>
        <w:t>good</w:t>
      </w:r>
      <w:proofErr w:type="gramEnd"/>
      <w:r w:rsidRPr="00D65519">
        <w:rPr>
          <w:i/>
          <w:iCs/>
        </w:rPr>
        <w:t xml:space="preserve"> for road safety? </w:t>
      </w:r>
      <w:r w:rsidRPr="00D65519">
        <w:t>Accident Analysis and Prevention 44 (1), 19-29.</w:t>
      </w:r>
    </w:p>
    <w:p w14:paraId="68F63688" w14:textId="17582374" w:rsidR="00857A3A" w:rsidRPr="00D65519" w:rsidRDefault="00857A3A" w:rsidP="00857A3A">
      <w:pPr>
        <w:pStyle w:val="ThesisText"/>
        <w:spacing w:line="360" w:lineRule="auto"/>
      </w:pPr>
      <w:r w:rsidRPr="00D65519">
        <w:t xml:space="preserve">Winston, C., </w:t>
      </w:r>
      <w:proofErr w:type="spellStart"/>
      <w:r w:rsidRPr="00D65519">
        <w:t>Maheshri</w:t>
      </w:r>
      <w:proofErr w:type="spellEnd"/>
      <w:r w:rsidRPr="00D65519">
        <w:t xml:space="preserve">, V., Mannering, F., 2006. </w:t>
      </w:r>
      <w:r w:rsidRPr="00D65519">
        <w:rPr>
          <w:i/>
          <w:iCs/>
        </w:rPr>
        <w:t>An exploration of the offset hypothesis using disaggregate data: the case of airbags and antilock brakes</w:t>
      </w:r>
      <w:r w:rsidRPr="00D65519">
        <w:t>. Journal of Risk and Uncertainty 32 (2), 83–99.</w:t>
      </w:r>
    </w:p>
    <w:p w14:paraId="19A196C1" w14:textId="048FABF1" w:rsidR="00391B8A" w:rsidRPr="00D65519" w:rsidRDefault="00315B25" w:rsidP="005765B0">
      <w:pPr>
        <w:pStyle w:val="ThesisText"/>
        <w:spacing w:line="360" w:lineRule="auto"/>
      </w:pPr>
      <w:r w:rsidRPr="00D65519">
        <w:t xml:space="preserve">Yasmin, S., </w:t>
      </w:r>
      <w:proofErr w:type="spellStart"/>
      <w:r w:rsidRPr="00D65519">
        <w:t>Momtaz</w:t>
      </w:r>
      <w:proofErr w:type="spellEnd"/>
      <w:r w:rsidRPr="00D65519">
        <w:t>, S</w:t>
      </w:r>
      <w:r w:rsidR="00E42DFB" w:rsidRPr="00D65519">
        <w:t xml:space="preserve">., </w:t>
      </w:r>
      <w:proofErr w:type="spellStart"/>
      <w:r w:rsidR="00E42DFB" w:rsidRPr="00D65519">
        <w:t>Nashad</w:t>
      </w:r>
      <w:proofErr w:type="spellEnd"/>
      <w:r w:rsidR="00E42DFB" w:rsidRPr="00D65519">
        <w:t>, T., Eluru, N</w:t>
      </w:r>
      <w:r w:rsidR="00207698" w:rsidRPr="00D65519">
        <w:t>,</w:t>
      </w:r>
      <w:r w:rsidR="00E42DFB" w:rsidRPr="00D65519">
        <w:t xml:space="preserve"> 2018. </w:t>
      </w:r>
      <w:r w:rsidR="00E42DFB" w:rsidRPr="00D65519">
        <w:rPr>
          <w:i/>
          <w:iCs/>
        </w:rPr>
        <w:t xml:space="preserve">A </w:t>
      </w:r>
      <w:r w:rsidR="00666462" w:rsidRPr="00D65519">
        <w:rPr>
          <w:i/>
          <w:iCs/>
        </w:rPr>
        <w:t>multivariate copula-based macro-level crash count model</w:t>
      </w:r>
      <w:r w:rsidR="00666462" w:rsidRPr="00D65519">
        <w:t>.</w:t>
      </w:r>
      <w:r w:rsidR="00E42DFB" w:rsidRPr="00D65519">
        <w:t xml:space="preserve"> Transportation Research Record 2672</w:t>
      </w:r>
      <w:r w:rsidR="00257D3E" w:rsidRPr="00D65519">
        <w:t xml:space="preserve"> </w:t>
      </w:r>
      <w:r w:rsidR="00E42DFB" w:rsidRPr="00D65519">
        <w:t xml:space="preserve">(30), 64–75. </w:t>
      </w:r>
      <w:r w:rsidR="00391B8A" w:rsidRPr="00D65519">
        <w:fldChar w:fldCharType="begin"/>
      </w:r>
      <w:r w:rsidR="00391B8A" w:rsidRPr="00D65519">
        <w:instrText xml:space="preserve"> ADDIN EN.CITE &lt;EndNote&gt;&lt;Cite ExcludeAuth="1" ExcludeYear="1" Hidden="1"&gt;&lt;Author&gt;Vanparijs&lt;/Author&gt;&lt;Year&gt;2015&lt;/Year&gt;&lt;RecNum&gt;59&lt;/RecNum&gt;&lt;record&gt;&lt;rec-number&gt;59&lt;/rec-number&gt;&lt;foreign-keys&gt;&lt;key app="EN" db-id="2apra0x26v05v4ex2fjxvdsjf0atzrfvarx9" timestamp="1648041358"&gt;59&lt;/key&gt;&lt;/foreign-keys&gt;&lt;ref-type name="Journal Article"&gt;17&lt;/ref-type&gt;&lt;contributors&gt;&lt;authors&gt;&lt;author&gt;Vanparijs, Jef&lt;/author&gt;&lt;author&gt;Int Panis, Luc&lt;/author&gt;&lt;author&gt;Meeusen, Romain&lt;/author&gt;&lt;author&gt;de Geus, Bas&lt;/author&gt;&lt;/authors&gt;&lt;/contributors&gt;&lt;titles&gt;&lt;title&gt;Exposure measurement in bicycle safety analysis: A review of the literature&lt;/title&gt;&lt;secondary-title&gt;Accident Analysis &amp;amp; Prevention&lt;/secondary-title&gt;&lt;/titles&gt;&lt;periodical&gt;&lt;full-title&gt;Accident Analysis &amp;amp; Prevention&lt;/full-title&gt;&lt;/periodical&gt;&lt;pages&gt;9-19&lt;/pages&gt;&lt;volume&gt;84&lt;/volume&gt;&lt;keywords&gt;&lt;keyword&gt;Bicycle&lt;/keyword&gt;&lt;keyword&gt;Exposure&lt;/keyword&gt;&lt;keyword&gt;Accident&lt;/keyword&gt;&lt;keyword&gt;Incidence rate&lt;/keyword&gt;&lt;keyword&gt;Safety&lt;/keyword&gt;&lt;keyword&gt;Active mobility&lt;/keyword&gt;&lt;/keywords&gt;&lt;dates&gt;&lt;year&gt;2015&lt;/year&gt;&lt;pub-dates&gt;&lt;date&gt;2015/11/01/&lt;/date&gt;&lt;/pub-dates&gt;&lt;/dates&gt;&lt;isbn&gt;0001-4575&lt;/isbn&gt;&lt;urls&gt;&lt;related-urls&gt;&lt;url&gt;https://www.sciencedirect.com/science/article/pii/S0001457515300403&lt;/url&gt;&lt;/related-urls&gt;&lt;/urls&gt;&lt;electronic-resource-num&gt;https://doi.org/10.1016/j.aap.2015.08.007&lt;/electronic-resource-num&gt;&lt;/record&gt;&lt;/Cite&gt;&lt;/EndNote&gt;</w:instrText>
      </w:r>
      <w:r w:rsidR="00391B8A" w:rsidRPr="00D65519">
        <w:fldChar w:fldCharType="end"/>
      </w:r>
    </w:p>
    <w:p w14:paraId="0471712D" w14:textId="1DC663B2" w:rsidR="00201FD4" w:rsidRPr="00D65519" w:rsidRDefault="00201FD4" w:rsidP="005765B0">
      <w:pPr>
        <w:pStyle w:val="ThesisText"/>
        <w:spacing w:line="360" w:lineRule="auto"/>
      </w:pPr>
    </w:p>
    <w:sectPr w:rsidR="00201FD4" w:rsidRPr="00D65519" w:rsidSect="004306D4">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4E0AC" w16cex:dateUtc="2023-11-07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7A32D" w16cid:durableId="28F4E0AC"/>
  <w16cid:commentId w16cid:paraId="122D9EFD" w16cid:durableId="28F4BA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32F6" w14:textId="77777777" w:rsidR="00D86BFE" w:rsidRDefault="00D86BFE" w:rsidP="004306D4">
      <w:pPr>
        <w:spacing w:line="240" w:lineRule="auto"/>
      </w:pPr>
      <w:r>
        <w:separator/>
      </w:r>
    </w:p>
  </w:endnote>
  <w:endnote w:type="continuationSeparator" w:id="0">
    <w:p w14:paraId="2E745EE5" w14:textId="77777777" w:rsidR="00D86BFE" w:rsidRDefault="00D86BFE" w:rsidP="00430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369335"/>
      <w:docPartObj>
        <w:docPartGallery w:val="Page Numbers (Bottom of Page)"/>
        <w:docPartUnique/>
      </w:docPartObj>
    </w:sdtPr>
    <w:sdtEndPr/>
    <w:sdtContent>
      <w:p w14:paraId="5C2E6058" w14:textId="0F28C46D" w:rsidR="00D86BFE" w:rsidRDefault="00D86BFE">
        <w:pPr>
          <w:pStyle w:val="Footer"/>
          <w:jc w:val="right"/>
        </w:pPr>
        <w:r>
          <w:fldChar w:fldCharType="begin"/>
        </w:r>
        <w:r>
          <w:instrText>PAGE   \* MERGEFORMAT</w:instrText>
        </w:r>
        <w:r>
          <w:fldChar w:fldCharType="separate"/>
        </w:r>
        <w:r w:rsidR="00D65519">
          <w:rPr>
            <w:noProof/>
          </w:rPr>
          <w:t>21</w:t>
        </w:r>
        <w:r>
          <w:fldChar w:fldCharType="end"/>
        </w:r>
      </w:p>
    </w:sdtContent>
  </w:sdt>
  <w:p w14:paraId="1B466064" w14:textId="77777777" w:rsidR="00D86BFE" w:rsidRDefault="00D86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53F42" w14:textId="77777777" w:rsidR="00D86BFE" w:rsidRDefault="00D86BFE" w:rsidP="004306D4">
      <w:pPr>
        <w:spacing w:line="240" w:lineRule="auto"/>
      </w:pPr>
      <w:r>
        <w:separator/>
      </w:r>
    </w:p>
  </w:footnote>
  <w:footnote w:type="continuationSeparator" w:id="0">
    <w:p w14:paraId="05F2E53A" w14:textId="77777777" w:rsidR="00D86BFE" w:rsidRDefault="00D86BFE" w:rsidP="004306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5AA"/>
    <w:multiLevelType w:val="hybridMultilevel"/>
    <w:tmpl w:val="E3E2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D0FA0"/>
    <w:multiLevelType w:val="hybridMultilevel"/>
    <w:tmpl w:val="ABF0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2DF9"/>
    <w:multiLevelType w:val="hybridMultilevel"/>
    <w:tmpl w:val="ACF6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74266"/>
    <w:multiLevelType w:val="hybridMultilevel"/>
    <w:tmpl w:val="0348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D3C04"/>
    <w:multiLevelType w:val="hybridMultilevel"/>
    <w:tmpl w:val="2E18C42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 w15:restartNumberingAfterBreak="0">
    <w:nsid w:val="2CDC3A49"/>
    <w:multiLevelType w:val="hybridMultilevel"/>
    <w:tmpl w:val="9A04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62845"/>
    <w:multiLevelType w:val="hybridMultilevel"/>
    <w:tmpl w:val="2270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96424"/>
    <w:multiLevelType w:val="hybridMultilevel"/>
    <w:tmpl w:val="F90A78F8"/>
    <w:lvl w:ilvl="0" w:tplc="98988FC8">
      <w:start w:val="1"/>
      <w:numFmt w:val="decimal"/>
      <w:pStyle w:val="Heading3"/>
      <w:lvlText w:val="2.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31368D3"/>
    <w:multiLevelType w:val="hybridMultilevel"/>
    <w:tmpl w:val="5204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D0DA6"/>
    <w:multiLevelType w:val="hybridMultilevel"/>
    <w:tmpl w:val="799E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43169"/>
    <w:multiLevelType w:val="hybridMultilevel"/>
    <w:tmpl w:val="E7B010F0"/>
    <w:lvl w:ilvl="0" w:tplc="A772572E">
      <w:start w:val="1"/>
      <w:numFmt w:val="decimal"/>
      <w:pStyle w:val="Heading4"/>
      <w:lvlText w:val="3.3.%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B7113"/>
    <w:multiLevelType w:val="hybridMultilevel"/>
    <w:tmpl w:val="4918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8723FF"/>
    <w:multiLevelType w:val="hybridMultilevel"/>
    <w:tmpl w:val="2A6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1415F"/>
    <w:multiLevelType w:val="hybridMultilevel"/>
    <w:tmpl w:val="158E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27AAD"/>
    <w:multiLevelType w:val="hybridMultilevel"/>
    <w:tmpl w:val="AF78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E65110"/>
    <w:multiLevelType w:val="hybridMultilevel"/>
    <w:tmpl w:val="3776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D2D2E"/>
    <w:multiLevelType w:val="multilevel"/>
    <w:tmpl w:val="7FA4344A"/>
    <w:lvl w:ilvl="0">
      <w:start w:val="1"/>
      <w:numFmt w:val="decimal"/>
      <w:pStyle w:val="ThesisSub1"/>
      <w:lvlText w:val="%1."/>
      <w:lvlJc w:val="left"/>
      <w:pPr>
        <w:ind w:left="360" w:hanging="360"/>
      </w:pPr>
      <w:rPr>
        <w:rFonts w:hint="default"/>
      </w:rPr>
    </w:lvl>
    <w:lvl w:ilvl="1">
      <w:start w:val="1"/>
      <w:numFmt w:val="decimal"/>
      <w:pStyle w:val="ThesisSub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3"/>
  </w:num>
  <w:num w:numId="3">
    <w:abstractNumId w:val="2"/>
  </w:num>
  <w:num w:numId="4">
    <w:abstractNumId w:val="11"/>
  </w:num>
  <w:num w:numId="5">
    <w:abstractNumId w:val="1"/>
  </w:num>
  <w:num w:numId="6">
    <w:abstractNumId w:val="3"/>
  </w:num>
  <w:num w:numId="7">
    <w:abstractNumId w:val="8"/>
  </w:num>
  <w:num w:numId="8">
    <w:abstractNumId w:val="0"/>
  </w:num>
  <w:num w:numId="9">
    <w:abstractNumId w:val="6"/>
  </w:num>
  <w:num w:numId="10">
    <w:abstractNumId w:val="15"/>
  </w:num>
  <w:num w:numId="11">
    <w:abstractNumId w:val="12"/>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7"/>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4449A"/>
    <w:rsid w:val="0000037C"/>
    <w:rsid w:val="00000ED9"/>
    <w:rsid w:val="00000EE1"/>
    <w:rsid w:val="00001210"/>
    <w:rsid w:val="00002045"/>
    <w:rsid w:val="00002AA9"/>
    <w:rsid w:val="00002DF9"/>
    <w:rsid w:val="00003273"/>
    <w:rsid w:val="0000370B"/>
    <w:rsid w:val="00003F80"/>
    <w:rsid w:val="0000501D"/>
    <w:rsid w:val="00005C26"/>
    <w:rsid w:val="00006033"/>
    <w:rsid w:val="000063A0"/>
    <w:rsid w:val="0000664B"/>
    <w:rsid w:val="00006B74"/>
    <w:rsid w:val="000070B4"/>
    <w:rsid w:val="00007412"/>
    <w:rsid w:val="00007AAA"/>
    <w:rsid w:val="00007E4C"/>
    <w:rsid w:val="00010351"/>
    <w:rsid w:val="0001136B"/>
    <w:rsid w:val="00012B45"/>
    <w:rsid w:val="00012C39"/>
    <w:rsid w:val="00012CFE"/>
    <w:rsid w:val="00013187"/>
    <w:rsid w:val="0001320C"/>
    <w:rsid w:val="00013434"/>
    <w:rsid w:val="00015BCD"/>
    <w:rsid w:val="00016121"/>
    <w:rsid w:val="00016343"/>
    <w:rsid w:val="000164B4"/>
    <w:rsid w:val="00016E83"/>
    <w:rsid w:val="0001735E"/>
    <w:rsid w:val="00017732"/>
    <w:rsid w:val="0001782D"/>
    <w:rsid w:val="00020010"/>
    <w:rsid w:val="000218DC"/>
    <w:rsid w:val="000223ED"/>
    <w:rsid w:val="00022FE2"/>
    <w:rsid w:val="00023E30"/>
    <w:rsid w:val="00024542"/>
    <w:rsid w:val="00024565"/>
    <w:rsid w:val="00025946"/>
    <w:rsid w:val="00025B30"/>
    <w:rsid w:val="00026291"/>
    <w:rsid w:val="00026FA2"/>
    <w:rsid w:val="0002722B"/>
    <w:rsid w:val="000311C4"/>
    <w:rsid w:val="000311F2"/>
    <w:rsid w:val="000315C3"/>
    <w:rsid w:val="000324FD"/>
    <w:rsid w:val="00032AD7"/>
    <w:rsid w:val="00032B5D"/>
    <w:rsid w:val="00033211"/>
    <w:rsid w:val="000334B2"/>
    <w:rsid w:val="000341E7"/>
    <w:rsid w:val="00035428"/>
    <w:rsid w:val="00035AE5"/>
    <w:rsid w:val="00037159"/>
    <w:rsid w:val="000371F1"/>
    <w:rsid w:val="00037300"/>
    <w:rsid w:val="00037FC0"/>
    <w:rsid w:val="000403E1"/>
    <w:rsid w:val="000409AA"/>
    <w:rsid w:val="00040F6D"/>
    <w:rsid w:val="00041171"/>
    <w:rsid w:val="00041C67"/>
    <w:rsid w:val="0004246B"/>
    <w:rsid w:val="0004377E"/>
    <w:rsid w:val="00044094"/>
    <w:rsid w:val="000446C2"/>
    <w:rsid w:val="00046022"/>
    <w:rsid w:val="00050EED"/>
    <w:rsid w:val="00052111"/>
    <w:rsid w:val="000524A0"/>
    <w:rsid w:val="000527AA"/>
    <w:rsid w:val="00052948"/>
    <w:rsid w:val="00052A97"/>
    <w:rsid w:val="000541BB"/>
    <w:rsid w:val="000543B1"/>
    <w:rsid w:val="0005453A"/>
    <w:rsid w:val="00054A9E"/>
    <w:rsid w:val="00054AEE"/>
    <w:rsid w:val="0005561C"/>
    <w:rsid w:val="000578BB"/>
    <w:rsid w:val="000609E1"/>
    <w:rsid w:val="000613B1"/>
    <w:rsid w:val="00061E9C"/>
    <w:rsid w:val="00062324"/>
    <w:rsid w:val="00062C81"/>
    <w:rsid w:val="0006434E"/>
    <w:rsid w:val="000647C8"/>
    <w:rsid w:val="000656DE"/>
    <w:rsid w:val="00065875"/>
    <w:rsid w:val="00065A1A"/>
    <w:rsid w:val="00066940"/>
    <w:rsid w:val="00067A61"/>
    <w:rsid w:val="0007057A"/>
    <w:rsid w:val="00070A25"/>
    <w:rsid w:val="00071124"/>
    <w:rsid w:val="00071C2D"/>
    <w:rsid w:val="00071FE0"/>
    <w:rsid w:val="0007277F"/>
    <w:rsid w:val="00072CF1"/>
    <w:rsid w:val="0007318E"/>
    <w:rsid w:val="000735DA"/>
    <w:rsid w:val="00073739"/>
    <w:rsid w:val="00073B52"/>
    <w:rsid w:val="000749A5"/>
    <w:rsid w:val="000754B2"/>
    <w:rsid w:val="00075D4D"/>
    <w:rsid w:val="00076071"/>
    <w:rsid w:val="00076BAC"/>
    <w:rsid w:val="00076E3A"/>
    <w:rsid w:val="00077755"/>
    <w:rsid w:val="0008149B"/>
    <w:rsid w:val="00081D52"/>
    <w:rsid w:val="00082DFF"/>
    <w:rsid w:val="000833A7"/>
    <w:rsid w:val="00083A1D"/>
    <w:rsid w:val="00085A31"/>
    <w:rsid w:val="000860EC"/>
    <w:rsid w:val="00086C08"/>
    <w:rsid w:val="00087BC8"/>
    <w:rsid w:val="00090A80"/>
    <w:rsid w:val="00090C58"/>
    <w:rsid w:val="00091741"/>
    <w:rsid w:val="0009208C"/>
    <w:rsid w:val="000921F7"/>
    <w:rsid w:val="00092ADD"/>
    <w:rsid w:val="0009366B"/>
    <w:rsid w:val="000936D1"/>
    <w:rsid w:val="00093E37"/>
    <w:rsid w:val="000942A8"/>
    <w:rsid w:val="00094DE7"/>
    <w:rsid w:val="000957C0"/>
    <w:rsid w:val="000969E9"/>
    <w:rsid w:val="00097975"/>
    <w:rsid w:val="00097FCC"/>
    <w:rsid w:val="000A0BD7"/>
    <w:rsid w:val="000A0D1F"/>
    <w:rsid w:val="000A15A6"/>
    <w:rsid w:val="000A21D6"/>
    <w:rsid w:val="000A31EF"/>
    <w:rsid w:val="000A34C2"/>
    <w:rsid w:val="000A35B2"/>
    <w:rsid w:val="000A4164"/>
    <w:rsid w:val="000A53C6"/>
    <w:rsid w:val="000A7CEE"/>
    <w:rsid w:val="000B0A02"/>
    <w:rsid w:val="000B0ACA"/>
    <w:rsid w:val="000B2B60"/>
    <w:rsid w:val="000B2D62"/>
    <w:rsid w:val="000B3406"/>
    <w:rsid w:val="000B3E3B"/>
    <w:rsid w:val="000B4728"/>
    <w:rsid w:val="000B4915"/>
    <w:rsid w:val="000B5725"/>
    <w:rsid w:val="000B766C"/>
    <w:rsid w:val="000B798B"/>
    <w:rsid w:val="000C1E59"/>
    <w:rsid w:val="000C2241"/>
    <w:rsid w:val="000C23F0"/>
    <w:rsid w:val="000C2B5F"/>
    <w:rsid w:val="000C43F5"/>
    <w:rsid w:val="000C4C48"/>
    <w:rsid w:val="000C5B3A"/>
    <w:rsid w:val="000C61F1"/>
    <w:rsid w:val="000C6838"/>
    <w:rsid w:val="000C69D5"/>
    <w:rsid w:val="000C75D5"/>
    <w:rsid w:val="000C7C2B"/>
    <w:rsid w:val="000D070D"/>
    <w:rsid w:val="000D0787"/>
    <w:rsid w:val="000D120F"/>
    <w:rsid w:val="000D1796"/>
    <w:rsid w:val="000D1CE4"/>
    <w:rsid w:val="000D2841"/>
    <w:rsid w:val="000D28BD"/>
    <w:rsid w:val="000D4772"/>
    <w:rsid w:val="000D526D"/>
    <w:rsid w:val="000D5D56"/>
    <w:rsid w:val="000D5F8C"/>
    <w:rsid w:val="000D5FDD"/>
    <w:rsid w:val="000D66DB"/>
    <w:rsid w:val="000D7919"/>
    <w:rsid w:val="000D7BA7"/>
    <w:rsid w:val="000E0753"/>
    <w:rsid w:val="000E0E96"/>
    <w:rsid w:val="000E0ED4"/>
    <w:rsid w:val="000E1333"/>
    <w:rsid w:val="000E1336"/>
    <w:rsid w:val="000E1689"/>
    <w:rsid w:val="000E1C93"/>
    <w:rsid w:val="000E1E25"/>
    <w:rsid w:val="000E22C3"/>
    <w:rsid w:val="000E294E"/>
    <w:rsid w:val="000E2AF9"/>
    <w:rsid w:val="000E3170"/>
    <w:rsid w:val="000E448B"/>
    <w:rsid w:val="000E4B25"/>
    <w:rsid w:val="000E4B3C"/>
    <w:rsid w:val="000E518C"/>
    <w:rsid w:val="000E53F0"/>
    <w:rsid w:val="000E601A"/>
    <w:rsid w:val="000E6251"/>
    <w:rsid w:val="000E63DE"/>
    <w:rsid w:val="000E6F53"/>
    <w:rsid w:val="000E7E6B"/>
    <w:rsid w:val="000F0963"/>
    <w:rsid w:val="000F162D"/>
    <w:rsid w:val="000F167C"/>
    <w:rsid w:val="000F1B6D"/>
    <w:rsid w:val="000F36BD"/>
    <w:rsid w:val="000F3E78"/>
    <w:rsid w:val="000F4A2D"/>
    <w:rsid w:val="000F501C"/>
    <w:rsid w:val="000F52E9"/>
    <w:rsid w:val="000F6039"/>
    <w:rsid w:val="000F6B54"/>
    <w:rsid w:val="000F6D5D"/>
    <w:rsid w:val="000F7109"/>
    <w:rsid w:val="000F7520"/>
    <w:rsid w:val="0010009D"/>
    <w:rsid w:val="001001B4"/>
    <w:rsid w:val="0010155B"/>
    <w:rsid w:val="001015A0"/>
    <w:rsid w:val="0010212C"/>
    <w:rsid w:val="0010221E"/>
    <w:rsid w:val="001031B1"/>
    <w:rsid w:val="001042C1"/>
    <w:rsid w:val="00105D31"/>
    <w:rsid w:val="00106251"/>
    <w:rsid w:val="00107BF7"/>
    <w:rsid w:val="00110CC5"/>
    <w:rsid w:val="00110FEB"/>
    <w:rsid w:val="001112DB"/>
    <w:rsid w:val="001112ED"/>
    <w:rsid w:val="001116C9"/>
    <w:rsid w:val="00112B06"/>
    <w:rsid w:val="00113786"/>
    <w:rsid w:val="00113E23"/>
    <w:rsid w:val="00114E35"/>
    <w:rsid w:val="001150C1"/>
    <w:rsid w:val="001154E7"/>
    <w:rsid w:val="00115576"/>
    <w:rsid w:val="00116216"/>
    <w:rsid w:val="00116F09"/>
    <w:rsid w:val="00116FA6"/>
    <w:rsid w:val="001172E1"/>
    <w:rsid w:val="00117345"/>
    <w:rsid w:val="00117B17"/>
    <w:rsid w:val="00120336"/>
    <w:rsid w:val="0012235D"/>
    <w:rsid w:val="001225F5"/>
    <w:rsid w:val="0012260D"/>
    <w:rsid w:val="001227C7"/>
    <w:rsid w:val="001228D0"/>
    <w:rsid w:val="00122FA8"/>
    <w:rsid w:val="00124371"/>
    <w:rsid w:val="001257FC"/>
    <w:rsid w:val="00125C37"/>
    <w:rsid w:val="0012640C"/>
    <w:rsid w:val="0012692C"/>
    <w:rsid w:val="00127FA9"/>
    <w:rsid w:val="0013029A"/>
    <w:rsid w:val="00132061"/>
    <w:rsid w:val="0013211F"/>
    <w:rsid w:val="0013520C"/>
    <w:rsid w:val="001369F5"/>
    <w:rsid w:val="00136ADF"/>
    <w:rsid w:val="00136B0F"/>
    <w:rsid w:val="00137209"/>
    <w:rsid w:val="001373CC"/>
    <w:rsid w:val="00137D1B"/>
    <w:rsid w:val="001404EE"/>
    <w:rsid w:val="001404F3"/>
    <w:rsid w:val="00140BF9"/>
    <w:rsid w:val="00140F11"/>
    <w:rsid w:val="0014140F"/>
    <w:rsid w:val="001416C5"/>
    <w:rsid w:val="00141E1F"/>
    <w:rsid w:val="0014215B"/>
    <w:rsid w:val="00142166"/>
    <w:rsid w:val="00143576"/>
    <w:rsid w:val="00143D50"/>
    <w:rsid w:val="0014449A"/>
    <w:rsid w:val="0014560F"/>
    <w:rsid w:val="00145739"/>
    <w:rsid w:val="00145A20"/>
    <w:rsid w:val="001460A5"/>
    <w:rsid w:val="00146403"/>
    <w:rsid w:val="001500C5"/>
    <w:rsid w:val="00150D04"/>
    <w:rsid w:val="001510C4"/>
    <w:rsid w:val="001511A4"/>
    <w:rsid w:val="00151CA6"/>
    <w:rsid w:val="00153B3D"/>
    <w:rsid w:val="00153D94"/>
    <w:rsid w:val="00153E51"/>
    <w:rsid w:val="00154C40"/>
    <w:rsid w:val="00154DD6"/>
    <w:rsid w:val="0015525A"/>
    <w:rsid w:val="0015685F"/>
    <w:rsid w:val="00157A7D"/>
    <w:rsid w:val="001605CC"/>
    <w:rsid w:val="001605DF"/>
    <w:rsid w:val="00160637"/>
    <w:rsid w:val="001609C1"/>
    <w:rsid w:val="0016116B"/>
    <w:rsid w:val="00161BBD"/>
    <w:rsid w:val="00162FBD"/>
    <w:rsid w:val="001636EC"/>
    <w:rsid w:val="0016379C"/>
    <w:rsid w:val="00163E3A"/>
    <w:rsid w:val="001644D9"/>
    <w:rsid w:val="0016480C"/>
    <w:rsid w:val="00164931"/>
    <w:rsid w:val="0016548F"/>
    <w:rsid w:val="001659CE"/>
    <w:rsid w:val="00166218"/>
    <w:rsid w:val="00166C9D"/>
    <w:rsid w:val="00166DE5"/>
    <w:rsid w:val="00166E0E"/>
    <w:rsid w:val="0016704D"/>
    <w:rsid w:val="00167528"/>
    <w:rsid w:val="001677AF"/>
    <w:rsid w:val="00170D55"/>
    <w:rsid w:val="001710CA"/>
    <w:rsid w:val="00171155"/>
    <w:rsid w:val="00171A82"/>
    <w:rsid w:val="00172454"/>
    <w:rsid w:val="00172926"/>
    <w:rsid w:val="00173155"/>
    <w:rsid w:val="0017335B"/>
    <w:rsid w:val="00173E42"/>
    <w:rsid w:val="00173F5C"/>
    <w:rsid w:val="001745FE"/>
    <w:rsid w:val="00174B21"/>
    <w:rsid w:val="00175176"/>
    <w:rsid w:val="00175301"/>
    <w:rsid w:val="00175BE1"/>
    <w:rsid w:val="00175EBD"/>
    <w:rsid w:val="0017675F"/>
    <w:rsid w:val="0017685D"/>
    <w:rsid w:val="001774DC"/>
    <w:rsid w:val="00177C1F"/>
    <w:rsid w:val="00180693"/>
    <w:rsid w:val="0018076C"/>
    <w:rsid w:val="001807AB"/>
    <w:rsid w:val="00180E48"/>
    <w:rsid w:val="00180EBF"/>
    <w:rsid w:val="001810FA"/>
    <w:rsid w:val="00181411"/>
    <w:rsid w:val="00181639"/>
    <w:rsid w:val="001818CC"/>
    <w:rsid w:val="00181D78"/>
    <w:rsid w:val="001822D6"/>
    <w:rsid w:val="0018294B"/>
    <w:rsid w:val="00182F08"/>
    <w:rsid w:val="00184B7F"/>
    <w:rsid w:val="0018515E"/>
    <w:rsid w:val="00187FCF"/>
    <w:rsid w:val="0019078C"/>
    <w:rsid w:val="00190E81"/>
    <w:rsid w:val="001912EA"/>
    <w:rsid w:val="0019146B"/>
    <w:rsid w:val="00191773"/>
    <w:rsid w:val="00191DD0"/>
    <w:rsid w:val="00192402"/>
    <w:rsid w:val="001924A3"/>
    <w:rsid w:val="0019276E"/>
    <w:rsid w:val="00193483"/>
    <w:rsid w:val="0019377C"/>
    <w:rsid w:val="001937CD"/>
    <w:rsid w:val="00193B61"/>
    <w:rsid w:val="001953A7"/>
    <w:rsid w:val="001954FF"/>
    <w:rsid w:val="001A0C4C"/>
    <w:rsid w:val="001A1276"/>
    <w:rsid w:val="001A1BBC"/>
    <w:rsid w:val="001A1CFF"/>
    <w:rsid w:val="001A242D"/>
    <w:rsid w:val="001A39CC"/>
    <w:rsid w:val="001A4E2C"/>
    <w:rsid w:val="001A7237"/>
    <w:rsid w:val="001A77B9"/>
    <w:rsid w:val="001B17A1"/>
    <w:rsid w:val="001B188D"/>
    <w:rsid w:val="001B19CA"/>
    <w:rsid w:val="001B2E9E"/>
    <w:rsid w:val="001B3BEF"/>
    <w:rsid w:val="001B3E82"/>
    <w:rsid w:val="001B55C8"/>
    <w:rsid w:val="001B5B79"/>
    <w:rsid w:val="001B5E54"/>
    <w:rsid w:val="001B64A5"/>
    <w:rsid w:val="001B66B5"/>
    <w:rsid w:val="001B6FF9"/>
    <w:rsid w:val="001B7693"/>
    <w:rsid w:val="001B7F55"/>
    <w:rsid w:val="001C015F"/>
    <w:rsid w:val="001C0465"/>
    <w:rsid w:val="001C0B5F"/>
    <w:rsid w:val="001C1321"/>
    <w:rsid w:val="001C27AD"/>
    <w:rsid w:val="001C3ECF"/>
    <w:rsid w:val="001C40FA"/>
    <w:rsid w:val="001C412C"/>
    <w:rsid w:val="001C51E9"/>
    <w:rsid w:val="001C591D"/>
    <w:rsid w:val="001C60AD"/>
    <w:rsid w:val="001C6579"/>
    <w:rsid w:val="001C6ED8"/>
    <w:rsid w:val="001D1333"/>
    <w:rsid w:val="001D13A3"/>
    <w:rsid w:val="001D1B9C"/>
    <w:rsid w:val="001D1DBA"/>
    <w:rsid w:val="001D2045"/>
    <w:rsid w:val="001D21D9"/>
    <w:rsid w:val="001D5A48"/>
    <w:rsid w:val="001D5F7B"/>
    <w:rsid w:val="001D7F4F"/>
    <w:rsid w:val="001E014E"/>
    <w:rsid w:val="001E04A4"/>
    <w:rsid w:val="001E0D35"/>
    <w:rsid w:val="001E11CC"/>
    <w:rsid w:val="001E1A8E"/>
    <w:rsid w:val="001E1D7D"/>
    <w:rsid w:val="001E20FF"/>
    <w:rsid w:val="001E2323"/>
    <w:rsid w:val="001E2E63"/>
    <w:rsid w:val="001E3485"/>
    <w:rsid w:val="001E38D1"/>
    <w:rsid w:val="001E4205"/>
    <w:rsid w:val="001E4278"/>
    <w:rsid w:val="001E45E5"/>
    <w:rsid w:val="001E4EBA"/>
    <w:rsid w:val="001E5C82"/>
    <w:rsid w:val="001E5F12"/>
    <w:rsid w:val="001E62F4"/>
    <w:rsid w:val="001E762D"/>
    <w:rsid w:val="001E7BCC"/>
    <w:rsid w:val="001F0E17"/>
    <w:rsid w:val="001F2426"/>
    <w:rsid w:val="001F2515"/>
    <w:rsid w:val="001F29B6"/>
    <w:rsid w:val="001F32EA"/>
    <w:rsid w:val="001F331E"/>
    <w:rsid w:val="001F35C6"/>
    <w:rsid w:val="001F4922"/>
    <w:rsid w:val="001F4C5A"/>
    <w:rsid w:val="001F4C94"/>
    <w:rsid w:val="001F4ED6"/>
    <w:rsid w:val="001F68D6"/>
    <w:rsid w:val="001F7082"/>
    <w:rsid w:val="0020022B"/>
    <w:rsid w:val="00200667"/>
    <w:rsid w:val="00200D3E"/>
    <w:rsid w:val="00201C08"/>
    <w:rsid w:val="00201FD4"/>
    <w:rsid w:val="0020249C"/>
    <w:rsid w:val="00202C48"/>
    <w:rsid w:val="00202F87"/>
    <w:rsid w:val="002035AF"/>
    <w:rsid w:val="00203CA0"/>
    <w:rsid w:val="0020417C"/>
    <w:rsid w:val="00204DD2"/>
    <w:rsid w:val="002064DF"/>
    <w:rsid w:val="002069F7"/>
    <w:rsid w:val="00207153"/>
    <w:rsid w:val="00207432"/>
    <w:rsid w:val="00207698"/>
    <w:rsid w:val="00210395"/>
    <w:rsid w:val="00210B34"/>
    <w:rsid w:val="00210E40"/>
    <w:rsid w:val="002110FA"/>
    <w:rsid w:val="002117E2"/>
    <w:rsid w:val="0021188F"/>
    <w:rsid w:val="00211D0E"/>
    <w:rsid w:val="00212927"/>
    <w:rsid w:val="00212E9B"/>
    <w:rsid w:val="00212F55"/>
    <w:rsid w:val="00213386"/>
    <w:rsid w:val="0021346B"/>
    <w:rsid w:val="002141A7"/>
    <w:rsid w:val="0021453B"/>
    <w:rsid w:val="00214593"/>
    <w:rsid w:val="00214717"/>
    <w:rsid w:val="00215A98"/>
    <w:rsid w:val="002166B3"/>
    <w:rsid w:val="00217B45"/>
    <w:rsid w:val="002200FA"/>
    <w:rsid w:val="00220DDE"/>
    <w:rsid w:val="002213DF"/>
    <w:rsid w:val="00222AC6"/>
    <w:rsid w:val="00223349"/>
    <w:rsid w:val="002237B4"/>
    <w:rsid w:val="002239E7"/>
    <w:rsid w:val="00223C09"/>
    <w:rsid w:val="00223FF1"/>
    <w:rsid w:val="002242BD"/>
    <w:rsid w:val="0022469A"/>
    <w:rsid w:val="002255A0"/>
    <w:rsid w:val="002256D0"/>
    <w:rsid w:val="00225C36"/>
    <w:rsid w:val="00226D30"/>
    <w:rsid w:val="00230B81"/>
    <w:rsid w:val="00230BA6"/>
    <w:rsid w:val="00231639"/>
    <w:rsid w:val="002320F8"/>
    <w:rsid w:val="002324EF"/>
    <w:rsid w:val="00233C45"/>
    <w:rsid w:val="002350C8"/>
    <w:rsid w:val="002350FA"/>
    <w:rsid w:val="00235A4B"/>
    <w:rsid w:val="00236EFC"/>
    <w:rsid w:val="002373F9"/>
    <w:rsid w:val="00237506"/>
    <w:rsid w:val="00237B06"/>
    <w:rsid w:val="00240576"/>
    <w:rsid w:val="00240721"/>
    <w:rsid w:val="00240FD5"/>
    <w:rsid w:val="002416C3"/>
    <w:rsid w:val="00241C3E"/>
    <w:rsid w:val="00242EAC"/>
    <w:rsid w:val="00244661"/>
    <w:rsid w:val="00244852"/>
    <w:rsid w:val="002455EA"/>
    <w:rsid w:val="002457AB"/>
    <w:rsid w:val="00246594"/>
    <w:rsid w:val="00247859"/>
    <w:rsid w:val="00250AF5"/>
    <w:rsid w:val="00250C47"/>
    <w:rsid w:val="00251632"/>
    <w:rsid w:val="0025296A"/>
    <w:rsid w:val="00253375"/>
    <w:rsid w:val="00253D9E"/>
    <w:rsid w:val="00254540"/>
    <w:rsid w:val="002552DB"/>
    <w:rsid w:val="00256416"/>
    <w:rsid w:val="00256FC6"/>
    <w:rsid w:val="0025766E"/>
    <w:rsid w:val="00257D3E"/>
    <w:rsid w:val="00260499"/>
    <w:rsid w:val="00260E43"/>
    <w:rsid w:val="002613DD"/>
    <w:rsid w:val="00261B8B"/>
    <w:rsid w:val="00262D09"/>
    <w:rsid w:val="00262FA1"/>
    <w:rsid w:val="00263978"/>
    <w:rsid w:val="00263B23"/>
    <w:rsid w:val="00263B58"/>
    <w:rsid w:val="002642DE"/>
    <w:rsid w:val="0026475B"/>
    <w:rsid w:val="00264B22"/>
    <w:rsid w:val="00264ED7"/>
    <w:rsid w:val="00264F59"/>
    <w:rsid w:val="0026592B"/>
    <w:rsid w:val="00265D46"/>
    <w:rsid w:val="0026633C"/>
    <w:rsid w:val="00266A11"/>
    <w:rsid w:val="00266AAD"/>
    <w:rsid w:val="00267DDD"/>
    <w:rsid w:val="002701CE"/>
    <w:rsid w:val="002718E3"/>
    <w:rsid w:val="00272297"/>
    <w:rsid w:val="002722BB"/>
    <w:rsid w:val="00272882"/>
    <w:rsid w:val="00272E35"/>
    <w:rsid w:val="00273466"/>
    <w:rsid w:val="002734BB"/>
    <w:rsid w:val="00273BD4"/>
    <w:rsid w:val="00273DE4"/>
    <w:rsid w:val="002744B0"/>
    <w:rsid w:val="00274516"/>
    <w:rsid w:val="00276AB3"/>
    <w:rsid w:val="00280F59"/>
    <w:rsid w:val="002817B2"/>
    <w:rsid w:val="002825C5"/>
    <w:rsid w:val="00283ACF"/>
    <w:rsid w:val="002844C3"/>
    <w:rsid w:val="002848DA"/>
    <w:rsid w:val="0028568F"/>
    <w:rsid w:val="00285AA3"/>
    <w:rsid w:val="00285ED0"/>
    <w:rsid w:val="00286227"/>
    <w:rsid w:val="002868B9"/>
    <w:rsid w:val="00286B0C"/>
    <w:rsid w:val="00286F71"/>
    <w:rsid w:val="002875C6"/>
    <w:rsid w:val="0028772F"/>
    <w:rsid w:val="0028787C"/>
    <w:rsid w:val="00287FE6"/>
    <w:rsid w:val="0029024C"/>
    <w:rsid w:val="00290403"/>
    <w:rsid w:val="002904EA"/>
    <w:rsid w:val="002907CC"/>
    <w:rsid w:val="00290D9F"/>
    <w:rsid w:val="00290E8A"/>
    <w:rsid w:val="00291A54"/>
    <w:rsid w:val="00291CF3"/>
    <w:rsid w:val="0029228A"/>
    <w:rsid w:val="0029314A"/>
    <w:rsid w:val="0029380F"/>
    <w:rsid w:val="00293A46"/>
    <w:rsid w:val="00294019"/>
    <w:rsid w:val="002941D1"/>
    <w:rsid w:val="002942D5"/>
    <w:rsid w:val="0029488B"/>
    <w:rsid w:val="00295D26"/>
    <w:rsid w:val="00296630"/>
    <w:rsid w:val="002974D2"/>
    <w:rsid w:val="0029752F"/>
    <w:rsid w:val="0029795B"/>
    <w:rsid w:val="00297CC5"/>
    <w:rsid w:val="00297D92"/>
    <w:rsid w:val="002A0224"/>
    <w:rsid w:val="002A214F"/>
    <w:rsid w:val="002A36F1"/>
    <w:rsid w:val="002A3C84"/>
    <w:rsid w:val="002A4D47"/>
    <w:rsid w:val="002A5C84"/>
    <w:rsid w:val="002A5E2B"/>
    <w:rsid w:val="002A60CF"/>
    <w:rsid w:val="002A640F"/>
    <w:rsid w:val="002A748A"/>
    <w:rsid w:val="002A79A3"/>
    <w:rsid w:val="002A7D30"/>
    <w:rsid w:val="002B0313"/>
    <w:rsid w:val="002B07B4"/>
    <w:rsid w:val="002B19DF"/>
    <w:rsid w:val="002B3D62"/>
    <w:rsid w:val="002B46D7"/>
    <w:rsid w:val="002B47D2"/>
    <w:rsid w:val="002B538C"/>
    <w:rsid w:val="002B5436"/>
    <w:rsid w:val="002B5D8B"/>
    <w:rsid w:val="002B5FED"/>
    <w:rsid w:val="002B621A"/>
    <w:rsid w:val="002B62B9"/>
    <w:rsid w:val="002B6743"/>
    <w:rsid w:val="002B6B87"/>
    <w:rsid w:val="002B7D83"/>
    <w:rsid w:val="002C05DC"/>
    <w:rsid w:val="002C0D32"/>
    <w:rsid w:val="002C0F74"/>
    <w:rsid w:val="002C1226"/>
    <w:rsid w:val="002C2119"/>
    <w:rsid w:val="002C24B8"/>
    <w:rsid w:val="002C2D4D"/>
    <w:rsid w:val="002C323C"/>
    <w:rsid w:val="002C3352"/>
    <w:rsid w:val="002C35D7"/>
    <w:rsid w:val="002C447A"/>
    <w:rsid w:val="002C4C91"/>
    <w:rsid w:val="002C4E3E"/>
    <w:rsid w:val="002C5234"/>
    <w:rsid w:val="002C524A"/>
    <w:rsid w:val="002C57E3"/>
    <w:rsid w:val="002C5C17"/>
    <w:rsid w:val="002C6D96"/>
    <w:rsid w:val="002C70C0"/>
    <w:rsid w:val="002C74C8"/>
    <w:rsid w:val="002C7DFD"/>
    <w:rsid w:val="002C7F7E"/>
    <w:rsid w:val="002D02FD"/>
    <w:rsid w:val="002D099A"/>
    <w:rsid w:val="002D0B6D"/>
    <w:rsid w:val="002D0F41"/>
    <w:rsid w:val="002D12B1"/>
    <w:rsid w:val="002D19D9"/>
    <w:rsid w:val="002D1B2E"/>
    <w:rsid w:val="002D22C3"/>
    <w:rsid w:val="002D2539"/>
    <w:rsid w:val="002D2AFD"/>
    <w:rsid w:val="002D2E37"/>
    <w:rsid w:val="002D4715"/>
    <w:rsid w:val="002D476D"/>
    <w:rsid w:val="002D4B63"/>
    <w:rsid w:val="002D553B"/>
    <w:rsid w:val="002D5678"/>
    <w:rsid w:val="002D6806"/>
    <w:rsid w:val="002D6B26"/>
    <w:rsid w:val="002E12C6"/>
    <w:rsid w:val="002E21F7"/>
    <w:rsid w:val="002E22C0"/>
    <w:rsid w:val="002E24A4"/>
    <w:rsid w:val="002E346E"/>
    <w:rsid w:val="002E397A"/>
    <w:rsid w:val="002E4300"/>
    <w:rsid w:val="002E49DF"/>
    <w:rsid w:val="002E5001"/>
    <w:rsid w:val="002E6322"/>
    <w:rsid w:val="002E6A86"/>
    <w:rsid w:val="002F0E11"/>
    <w:rsid w:val="002F1752"/>
    <w:rsid w:val="002F1828"/>
    <w:rsid w:val="002F1BCC"/>
    <w:rsid w:val="002F23AE"/>
    <w:rsid w:val="002F2ED5"/>
    <w:rsid w:val="002F352F"/>
    <w:rsid w:val="002F39A3"/>
    <w:rsid w:val="002F3FBC"/>
    <w:rsid w:val="002F40B9"/>
    <w:rsid w:val="002F4CD5"/>
    <w:rsid w:val="002F6266"/>
    <w:rsid w:val="002F6A83"/>
    <w:rsid w:val="002F6E5B"/>
    <w:rsid w:val="003008A5"/>
    <w:rsid w:val="00300EA1"/>
    <w:rsid w:val="003016AA"/>
    <w:rsid w:val="0030189C"/>
    <w:rsid w:val="003024A0"/>
    <w:rsid w:val="00302DB2"/>
    <w:rsid w:val="003038C9"/>
    <w:rsid w:val="0030481C"/>
    <w:rsid w:val="00304D7A"/>
    <w:rsid w:val="00305D1D"/>
    <w:rsid w:val="0030666D"/>
    <w:rsid w:val="00306BE7"/>
    <w:rsid w:val="00307101"/>
    <w:rsid w:val="003100F0"/>
    <w:rsid w:val="00310147"/>
    <w:rsid w:val="00310184"/>
    <w:rsid w:val="003106DE"/>
    <w:rsid w:val="00310B1D"/>
    <w:rsid w:val="00311861"/>
    <w:rsid w:val="00312EE0"/>
    <w:rsid w:val="00313020"/>
    <w:rsid w:val="00313A06"/>
    <w:rsid w:val="00313AA4"/>
    <w:rsid w:val="00314349"/>
    <w:rsid w:val="00315B25"/>
    <w:rsid w:val="0031613A"/>
    <w:rsid w:val="0031635C"/>
    <w:rsid w:val="00316C31"/>
    <w:rsid w:val="00316ED4"/>
    <w:rsid w:val="0031736C"/>
    <w:rsid w:val="00317A20"/>
    <w:rsid w:val="00317F67"/>
    <w:rsid w:val="00320B92"/>
    <w:rsid w:val="00320C14"/>
    <w:rsid w:val="003218DA"/>
    <w:rsid w:val="00321F6E"/>
    <w:rsid w:val="003227C7"/>
    <w:rsid w:val="00322971"/>
    <w:rsid w:val="0032508D"/>
    <w:rsid w:val="00325563"/>
    <w:rsid w:val="003256FC"/>
    <w:rsid w:val="00325F8A"/>
    <w:rsid w:val="00326568"/>
    <w:rsid w:val="00330302"/>
    <w:rsid w:val="00330618"/>
    <w:rsid w:val="00330EB7"/>
    <w:rsid w:val="003318E7"/>
    <w:rsid w:val="00332052"/>
    <w:rsid w:val="00332F64"/>
    <w:rsid w:val="00333BE6"/>
    <w:rsid w:val="00333EA3"/>
    <w:rsid w:val="0033421D"/>
    <w:rsid w:val="0033458F"/>
    <w:rsid w:val="00336351"/>
    <w:rsid w:val="00336850"/>
    <w:rsid w:val="0033763A"/>
    <w:rsid w:val="00337C21"/>
    <w:rsid w:val="00337FD5"/>
    <w:rsid w:val="00340F0B"/>
    <w:rsid w:val="003416E5"/>
    <w:rsid w:val="00341F9B"/>
    <w:rsid w:val="00342E8D"/>
    <w:rsid w:val="00343BAE"/>
    <w:rsid w:val="00343C32"/>
    <w:rsid w:val="0034409F"/>
    <w:rsid w:val="00345624"/>
    <w:rsid w:val="0034676E"/>
    <w:rsid w:val="00347250"/>
    <w:rsid w:val="00347716"/>
    <w:rsid w:val="003478D7"/>
    <w:rsid w:val="00350B5D"/>
    <w:rsid w:val="00350FA6"/>
    <w:rsid w:val="0035108F"/>
    <w:rsid w:val="00351201"/>
    <w:rsid w:val="00351536"/>
    <w:rsid w:val="00351BDA"/>
    <w:rsid w:val="003524C7"/>
    <w:rsid w:val="00352CE5"/>
    <w:rsid w:val="0035310F"/>
    <w:rsid w:val="003531CC"/>
    <w:rsid w:val="0035322E"/>
    <w:rsid w:val="00353C97"/>
    <w:rsid w:val="003549B3"/>
    <w:rsid w:val="00355BE2"/>
    <w:rsid w:val="00355EA5"/>
    <w:rsid w:val="003568EF"/>
    <w:rsid w:val="00356BF3"/>
    <w:rsid w:val="00356E24"/>
    <w:rsid w:val="0036007C"/>
    <w:rsid w:val="003604FF"/>
    <w:rsid w:val="003613FA"/>
    <w:rsid w:val="003627EF"/>
    <w:rsid w:val="00362CCB"/>
    <w:rsid w:val="00362D83"/>
    <w:rsid w:val="00363621"/>
    <w:rsid w:val="00364A97"/>
    <w:rsid w:val="00364A9C"/>
    <w:rsid w:val="00364CB7"/>
    <w:rsid w:val="003662B1"/>
    <w:rsid w:val="00366BD7"/>
    <w:rsid w:val="00366E86"/>
    <w:rsid w:val="00367940"/>
    <w:rsid w:val="00371392"/>
    <w:rsid w:val="003728DF"/>
    <w:rsid w:val="00372959"/>
    <w:rsid w:val="00372B44"/>
    <w:rsid w:val="0037305C"/>
    <w:rsid w:val="003734F8"/>
    <w:rsid w:val="0037435A"/>
    <w:rsid w:val="0037440D"/>
    <w:rsid w:val="00374A97"/>
    <w:rsid w:val="00375E1D"/>
    <w:rsid w:val="003768F1"/>
    <w:rsid w:val="00376B70"/>
    <w:rsid w:val="00377501"/>
    <w:rsid w:val="003777D9"/>
    <w:rsid w:val="00377A7A"/>
    <w:rsid w:val="003808E9"/>
    <w:rsid w:val="00380D0C"/>
    <w:rsid w:val="003811A3"/>
    <w:rsid w:val="00381989"/>
    <w:rsid w:val="00382373"/>
    <w:rsid w:val="0038453B"/>
    <w:rsid w:val="00385312"/>
    <w:rsid w:val="00385535"/>
    <w:rsid w:val="003868AB"/>
    <w:rsid w:val="00386ED7"/>
    <w:rsid w:val="003879E9"/>
    <w:rsid w:val="00387ADE"/>
    <w:rsid w:val="00390564"/>
    <w:rsid w:val="00391502"/>
    <w:rsid w:val="00391B8A"/>
    <w:rsid w:val="00391BB1"/>
    <w:rsid w:val="00392611"/>
    <w:rsid w:val="00392A97"/>
    <w:rsid w:val="0039364A"/>
    <w:rsid w:val="00394412"/>
    <w:rsid w:val="003944B8"/>
    <w:rsid w:val="003945ED"/>
    <w:rsid w:val="00394E3C"/>
    <w:rsid w:val="00395315"/>
    <w:rsid w:val="00395F12"/>
    <w:rsid w:val="003961E5"/>
    <w:rsid w:val="0039640C"/>
    <w:rsid w:val="00396B31"/>
    <w:rsid w:val="00396F85"/>
    <w:rsid w:val="00397040"/>
    <w:rsid w:val="00397691"/>
    <w:rsid w:val="003A01CD"/>
    <w:rsid w:val="003A091D"/>
    <w:rsid w:val="003A1096"/>
    <w:rsid w:val="003A1192"/>
    <w:rsid w:val="003A274E"/>
    <w:rsid w:val="003A2880"/>
    <w:rsid w:val="003A3252"/>
    <w:rsid w:val="003A47C2"/>
    <w:rsid w:val="003A487C"/>
    <w:rsid w:val="003A54A1"/>
    <w:rsid w:val="003A58DC"/>
    <w:rsid w:val="003A6C60"/>
    <w:rsid w:val="003A7CD1"/>
    <w:rsid w:val="003B0DF0"/>
    <w:rsid w:val="003B2A11"/>
    <w:rsid w:val="003B2B8B"/>
    <w:rsid w:val="003B3163"/>
    <w:rsid w:val="003B31ED"/>
    <w:rsid w:val="003B33A0"/>
    <w:rsid w:val="003B3F2F"/>
    <w:rsid w:val="003B4C84"/>
    <w:rsid w:val="003B60CE"/>
    <w:rsid w:val="003C380E"/>
    <w:rsid w:val="003C4880"/>
    <w:rsid w:val="003C50E3"/>
    <w:rsid w:val="003C6CDE"/>
    <w:rsid w:val="003C707A"/>
    <w:rsid w:val="003C719B"/>
    <w:rsid w:val="003C73B1"/>
    <w:rsid w:val="003C79CA"/>
    <w:rsid w:val="003C7DCD"/>
    <w:rsid w:val="003D0468"/>
    <w:rsid w:val="003D0844"/>
    <w:rsid w:val="003D12DD"/>
    <w:rsid w:val="003D1A93"/>
    <w:rsid w:val="003D284F"/>
    <w:rsid w:val="003D37A2"/>
    <w:rsid w:val="003D3F8E"/>
    <w:rsid w:val="003D473E"/>
    <w:rsid w:val="003D52B5"/>
    <w:rsid w:val="003D552C"/>
    <w:rsid w:val="003D594E"/>
    <w:rsid w:val="003D5A8D"/>
    <w:rsid w:val="003D5B85"/>
    <w:rsid w:val="003D60D2"/>
    <w:rsid w:val="003D6157"/>
    <w:rsid w:val="003D6D3A"/>
    <w:rsid w:val="003D6DA2"/>
    <w:rsid w:val="003D7068"/>
    <w:rsid w:val="003D767C"/>
    <w:rsid w:val="003D7F7F"/>
    <w:rsid w:val="003E05EE"/>
    <w:rsid w:val="003E0ACB"/>
    <w:rsid w:val="003E0BDF"/>
    <w:rsid w:val="003E0DD0"/>
    <w:rsid w:val="003E0F83"/>
    <w:rsid w:val="003E1121"/>
    <w:rsid w:val="003E14E2"/>
    <w:rsid w:val="003E2079"/>
    <w:rsid w:val="003E2541"/>
    <w:rsid w:val="003E30B3"/>
    <w:rsid w:val="003E3171"/>
    <w:rsid w:val="003E391F"/>
    <w:rsid w:val="003E3EF4"/>
    <w:rsid w:val="003E3F2E"/>
    <w:rsid w:val="003E40BA"/>
    <w:rsid w:val="003E5476"/>
    <w:rsid w:val="003E64C3"/>
    <w:rsid w:val="003E6851"/>
    <w:rsid w:val="003E68C0"/>
    <w:rsid w:val="003E6BA0"/>
    <w:rsid w:val="003E7089"/>
    <w:rsid w:val="003E77C2"/>
    <w:rsid w:val="003E7A8F"/>
    <w:rsid w:val="003E7D7B"/>
    <w:rsid w:val="003E7FC9"/>
    <w:rsid w:val="003F1592"/>
    <w:rsid w:val="003F1D1C"/>
    <w:rsid w:val="003F2C70"/>
    <w:rsid w:val="003F3787"/>
    <w:rsid w:val="003F3ED5"/>
    <w:rsid w:val="003F4352"/>
    <w:rsid w:val="003F46C8"/>
    <w:rsid w:val="003F46F7"/>
    <w:rsid w:val="003F4C5B"/>
    <w:rsid w:val="003F5420"/>
    <w:rsid w:val="003F548D"/>
    <w:rsid w:val="003F55A9"/>
    <w:rsid w:val="003F5F32"/>
    <w:rsid w:val="003F6292"/>
    <w:rsid w:val="003F6392"/>
    <w:rsid w:val="003F743C"/>
    <w:rsid w:val="00400539"/>
    <w:rsid w:val="00400910"/>
    <w:rsid w:val="00400CDA"/>
    <w:rsid w:val="004016FA"/>
    <w:rsid w:val="00402127"/>
    <w:rsid w:val="00402229"/>
    <w:rsid w:val="00402882"/>
    <w:rsid w:val="004029EB"/>
    <w:rsid w:val="0040362A"/>
    <w:rsid w:val="00403A40"/>
    <w:rsid w:val="00403BBE"/>
    <w:rsid w:val="004060BB"/>
    <w:rsid w:val="004067F5"/>
    <w:rsid w:val="00406952"/>
    <w:rsid w:val="00407F4D"/>
    <w:rsid w:val="00411809"/>
    <w:rsid w:val="00411CDD"/>
    <w:rsid w:val="00412A68"/>
    <w:rsid w:val="00412C29"/>
    <w:rsid w:val="00413EDA"/>
    <w:rsid w:val="0041425B"/>
    <w:rsid w:val="004147DA"/>
    <w:rsid w:val="00414DD4"/>
    <w:rsid w:val="0041596E"/>
    <w:rsid w:val="00416A44"/>
    <w:rsid w:val="00416B7A"/>
    <w:rsid w:val="004174A0"/>
    <w:rsid w:val="004205FE"/>
    <w:rsid w:val="00421378"/>
    <w:rsid w:val="00421560"/>
    <w:rsid w:val="004215A0"/>
    <w:rsid w:val="0042218E"/>
    <w:rsid w:val="00422D5B"/>
    <w:rsid w:val="00422F3F"/>
    <w:rsid w:val="004232A7"/>
    <w:rsid w:val="00424A3C"/>
    <w:rsid w:val="00425085"/>
    <w:rsid w:val="0042529A"/>
    <w:rsid w:val="0042619C"/>
    <w:rsid w:val="00426630"/>
    <w:rsid w:val="00427B9B"/>
    <w:rsid w:val="004306D4"/>
    <w:rsid w:val="00430C4A"/>
    <w:rsid w:val="004318A5"/>
    <w:rsid w:val="00432375"/>
    <w:rsid w:val="00432611"/>
    <w:rsid w:val="004331EC"/>
    <w:rsid w:val="00433B3B"/>
    <w:rsid w:val="00433DAE"/>
    <w:rsid w:val="00434BA2"/>
    <w:rsid w:val="004363BB"/>
    <w:rsid w:val="00436577"/>
    <w:rsid w:val="004369F4"/>
    <w:rsid w:val="00440D13"/>
    <w:rsid w:val="00441204"/>
    <w:rsid w:val="004412C1"/>
    <w:rsid w:val="004414A2"/>
    <w:rsid w:val="00441BD7"/>
    <w:rsid w:val="00441E8B"/>
    <w:rsid w:val="00442131"/>
    <w:rsid w:val="0044233E"/>
    <w:rsid w:val="0044295F"/>
    <w:rsid w:val="00443252"/>
    <w:rsid w:val="00444524"/>
    <w:rsid w:val="004464CD"/>
    <w:rsid w:val="004469B4"/>
    <w:rsid w:val="004508A6"/>
    <w:rsid w:val="00451ABD"/>
    <w:rsid w:val="00451C05"/>
    <w:rsid w:val="00451C85"/>
    <w:rsid w:val="00452265"/>
    <w:rsid w:val="0045278B"/>
    <w:rsid w:val="00452E76"/>
    <w:rsid w:val="00452FB7"/>
    <w:rsid w:val="0045308A"/>
    <w:rsid w:val="004535D9"/>
    <w:rsid w:val="00453699"/>
    <w:rsid w:val="00454234"/>
    <w:rsid w:val="0045431A"/>
    <w:rsid w:val="0045530E"/>
    <w:rsid w:val="00455721"/>
    <w:rsid w:val="00455B32"/>
    <w:rsid w:val="004562ED"/>
    <w:rsid w:val="00456684"/>
    <w:rsid w:val="00456AA8"/>
    <w:rsid w:val="004572C4"/>
    <w:rsid w:val="004573F5"/>
    <w:rsid w:val="00457ADA"/>
    <w:rsid w:val="00457DA8"/>
    <w:rsid w:val="00457E33"/>
    <w:rsid w:val="00457F97"/>
    <w:rsid w:val="00457FEA"/>
    <w:rsid w:val="004605D3"/>
    <w:rsid w:val="00461E0A"/>
    <w:rsid w:val="004626CA"/>
    <w:rsid w:val="0046282C"/>
    <w:rsid w:val="00462BA9"/>
    <w:rsid w:val="00463579"/>
    <w:rsid w:val="00463B6A"/>
    <w:rsid w:val="0046481A"/>
    <w:rsid w:val="00464D68"/>
    <w:rsid w:val="00464E82"/>
    <w:rsid w:val="00465428"/>
    <w:rsid w:val="004657BC"/>
    <w:rsid w:val="00465FBF"/>
    <w:rsid w:val="00467758"/>
    <w:rsid w:val="0046781F"/>
    <w:rsid w:val="00467C2D"/>
    <w:rsid w:val="00467F88"/>
    <w:rsid w:val="00470EE5"/>
    <w:rsid w:val="0047139D"/>
    <w:rsid w:val="004714B6"/>
    <w:rsid w:val="004720ED"/>
    <w:rsid w:val="004729B4"/>
    <w:rsid w:val="00473466"/>
    <w:rsid w:val="004737B4"/>
    <w:rsid w:val="004743B5"/>
    <w:rsid w:val="00475249"/>
    <w:rsid w:val="004757B7"/>
    <w:rsid w:val="004779F6"/>
    <w:rsid w:val="004806B4"/>
    <w:rsid w:val="00480896"/>
    <w:rsid w:val="00481D53"/>
    <w:rsid w:val="004825ED"/>
    <w:rsid w:val="004827CB"/>
    <w:rsid w:val="00482999"/>
    <w:rsid w:val="00482F3F"/>
    <w:rsid w:val="004836A3"/>
    <w:rsid w:val="00483F8C"/>
    <w:rsid w:val="0048483A"/>
    <w:rsid w:val="00484FFC"/>
    <w:rsid w:val="00485276"/>
    <w:rsid w:val="0048554A"/>
    <w:rsid w:val="0048574C"/>
    <w:rsid w:val="00485999"/>
    <w:rsid w:val="0048665B"/>
    <w:rsid w:val="00486BCA"/>
    <w:rsid w:val="00486EC3"/>
    <w:rsid w:val="004874FD"/>
    <w:rsid w:val="00490571"/>
    <w:rsid w:val="004911B7"/>
    <w:rsid w:val="00491EA4"/>
    <w:rsid w:val="00492B00"/>
    <w:rsid w:val="00494017"/>
    <w:rsid w:val="004948C5"/>
    <w:rsid w:val="00494D28"/>
    <w:rsid w:val="00494E60"/>
    <w:rsid w:val="00495DB4"/>
    <w:rsid w:val="0049627F"/>
    <w:rsid w:val="0049685F"/>
    <w:rsid w:val="00496E4E"/>
    <w:rsid w:val="00497898"/>
    <w:rsid w:val="00497B1A"/>
    <w:rsid w:val="004A0A1D"/>
    <w:rsid w:val="004A0B12"/>
    <w:rsid w:val="004A15C0"/>
    <w:rsid w:val="004A1628"/>
    <w:rsid w:val="004A2154"/>
    <w:rsid w:val="004A27CE"/>
    <w:rsid w:val="004A2B20"/>
    <w:rsid w:val="004A32A6"/>
    <w:rsid w:val="004A37B6"/>
    <w:rsid w:val="004A3851"/>
    <w:rsid w:val="004A4469"/>
    <w:rsid w:val="004A4764"/>
    <w:rsid w:val="004A4E9C"/>
    <w:rsid w:val="004A5CDF"/>
    <w:rsid w:val="004A607D"/>
    <w:rsid w:val="004A640D"/>
    <w:rsid w:val="004A69DC"/>
    <w:rsid w:val="004A7311"/>
    <w:rsid w:val="004A744B"/>
    <w:rsid w:val="004A7BDC"/>
    <w:rsid w:val="004A7E19"/>
    <w:rsid w:val="004A7E4F"/>
    <w:rsid w:val="004B0452"/>
    <w:rsid w:val="004B069B"/>
    <w:rsid w:val="004B0A4F"/>
    <w:rsid w:val="004B0ADC"/>
    <w:rsid w:val="004B16E1"/>
    <w:rsid w:val="004B2479"/>
    <w:rsid w:val="004B34C9"/>
    <w:rsid w:val="004B3E09"/>
    <w:rsid w:val="004B3E68"/>
    <w:rsid w:val="004B41DC"/>
    <w:rsid w:val="004B4AA2"/>
    <w:rsid w:val="004B4D23"/>
    <w:rsid w:val="004B5354"/>
    <w:rsid w:val="004B5DF5"/>
    <w:rsid w:val="004B629E"/>
    <w:rsid w:val="004B75B7"/>
    <w:rsid w:val="004B7DED"/>
    <w:rsid w:val="004C0A90"/>
    <w:rsid w:val="004C0AE5"/>
    <w:rsid w:val="004C0E79"/>
    <w:rsid w:val="004C1003"/>
    <w:rsid w:val="004C117D"/>
    <w:rsid w:val="004C137B"/>
    <w:rsid w:val="004C1B57"/>
    <w:rsid w:val="004C2C23"/>
    <w:rsid w:val="004C2C45"/>
    <w:rsid w:val="004C2E14"/>
    <w:rsid w:val="004C2E2C"/>
    <w:rsid w:val="004C41BB"/>
    <w:rsid w:val="004C49AC"/>
    <w:rsid w:val="004C4CE3"/>
    <w:rsid w:val="004C50CD"/>
    <w:rsid w:val="004C5384"/>
    <w:rsid w:val="004C664F"/>
    <w:rsid w:val="004C7D08"/>
    <w:rsid w:val="004D0810"/>
    <w:rsid w:val="004D18BF"/>
    <w:rsid w:val="004D1BA4"/>
    <w:rsid w:val="004D20E8"/>
    <w:rsid w:val="004D2187"/>
    <w:rsid w:val="004D21E4"/>
    <w:rsid w:val="004D2241"/>
    <w:rsid w:val="004D2427"/>
    <w:rsid w:val="004D26D2"/>
    <w:rsid w:val="004D4280"/>
    <w:rsid w:val="004D48A4"/>
    <w:rsid w:val="004D5118"/>
    <w:rsid w:val="004D5A7A"/>
    <w:rsid w:val="004D5EF9"/>
    <w:rsid w:val="004D602C"/>
    <w:rsid w:val="004D6803"/>
    <w:rsid w:val="004D6CFC"/>
    <w:rsid w:val="004D7765"/>
    <w:rsid w:val="004E067D"/>
    <w:rsid w:val="004E1094"/>
    <w:rsid w:val="004E1380"/>
    <w:rsid w:val="004E1EC2"/>
    <w:rsid w:val="004E2549"/>
    <w:rsid w:val="004E275E"/>
    <w:rsid w:val="004E291E"/>
    <w:rsid w:val="004E2EE0"/>
    <w:rsid w:val="004E3918"/>
    <w:rsid w:val="004E61DD"/>
    <w:rsid w:val="004E627F"/>
    <w:rsid w:val="004E71E0"/>
    <w:rsid w:val="004E727A"/>
    <w:rsid w:val="004E7560"/>
    <w:rsid w:val="004E7D81"/>
    <w:rsid w:val="004F0205"/>
    <w:rsid w:val="004F065F"/>
    <w:rsid w:val="004F215C"/>
    <w:rsid w:val="004F3735"/>
    <w:rsid w:val="004F4FC7"/>
    <w:rsid w:val="004F550C"/>
    <w:rsid w:val="004F5565"/>
    <w:rsid w:val="004F5942"/>
    <w:rsid w:val="004F6F29"/>
    <w:rsid w:val="004F70D8"/>
    <w:rsid w:val="004F7370"/>
    <w:rsid w:val="00501634"/>
    <w:rsid w:val="005018FF"/>
    <w:rsid w:val="00501AC7"/>
    <w:rsid w:val="00502077"/>
    <w:rsid w:val="005028AA"/>
    <w:rsid w:val="00502E43"/>
    <w:rsid w:val="00502F7F"/>
    <w:rsid w:val="00503070"/>
    <w:rsid w:val="00503D34"/>
    <w:rsid w:val="005040AD"/>
    <w:rsid w:val="005042DF"/>
    <w:rsid w:val="005042F4"/>
    <w:rsid w:val="005048EA"/>
    <w:rsid w:val="0050524C"/>
    <w:rsid w:val="00505B5F"/>
    <w:rsid w:val="00505C2C"/>
    <w:rsid w:val="00506655"/>
    <w:rsid w:val="00506805"/>
    <w:rsid w:val="00507DF7"/>
    <w:rsid w:val="005119C7"/>
    <w:rsid w:val="00511A10"/>
    <w:rsid w:val="00511E66"/>
    <w:rsid w:val="00511FB9"/>
    <w:rsid w:val="00512356"/>
    <w:rsid w:val="00512424"/>
    <w:rsid w:val="00512761"/>
    <w:rsid w:val="005132C6"/>
    <w:rsid w:val="005145F8"/>
    <w:rsid w:val="00515346"/>
    <w:rsid w:val="00515745"/>
    <w:rsid w:val="00516584"/>
    <w:rsid w:val="00517FD9"/>
    <w:rsid w:val="00520024"/>
    <w:rsid w:val="00520A04"/>
    <w:rsid w:val="00520C7E"/>
    <w:rsid w:val="00521843"/>
    <w:rsid w:val="00521BBB"/>
    <w:rsid w:val="00521F6A"/>
    <w:rsid w:val="0052257F"/>
    <w:rsid w:val="00522A8B"/>
    <w:rsid w:val="00524E56"/>
    <w:rsid w:val="005250AC"/>
    <w:rsid w:val="0052532B"/>
    <w:rsid w:val="005257BF"/>
    <w:rsid w:val="00525A81"/>
    <w:rsid w:val="00525B5F"/>
    <w:rsid w:val="0052623C"/>
    <w:rsid w:val="0052629F"/>
    <w:rsid w:val="0052696F"/>
    <w:rsid w:val="0052786A"/>
    <w:rsid w:val="00527948"/>
    <w:rsid w:val="00530EB6"/>
    <w:rsid w:val="005317A4"/>
    <w:rsid w:val="0053212F"/>
    <w:rsid w:val="00532636"/>
    <w:rsid w:val="00532751"/>
    <w:rsid w:val="00532B03"/>
    <w:rsid w:val="00533584"/>
    <w:rsid w:val="005336C9"/>
    <w:rsid w:val="00533E90"/>
    <w:rsid w:val="005367CB"/>
    <w:rsid w:val="00536F20"/>
    <w:rsid w:val="00537C25"/>
    <w:rsid w:val="00540F8E"/>
    <w:rsid w:val="00540FCE"/>
    <w:rsid w:val="005414C0"/>
    <w:rsid w:val="00541AD1"/>
    <w:rsid w:val="00541FCB"/>
    <w:rsid w:val="005428D0"/>
    <w:rsid w:val="00542BCE"/>
    <w:rsid w:val="0054336A"/>
    <w:rsid w:val="00544783"/>
    <w:rsid w:val="00544ACC"/>
    <w:rsid w:val="00544E66"/>
    <w:rsid w:val="005451C3"/>
    <w:rsid w:val="00545B3E"/>
    <w:rsid w:val="00545CD1"/>
    <w:rsid w:val="00545DC2"/>
    <w:rsid w:val="005461DB"/>
    <w:rsid w:val="005465CA"/>
    <w:rsid w:val="005472E7"/>
    <w:rsid w:val="00547E24"/>
    <w:rsid w:val="0055011E"/>
    <w:rsid w:val="0055028B"/>
    <w:rsid w:val="00550FA3"/>
    <w:rsid w:val="005513DE"/>
    <w:rsid w:val="0055152B"/>
    <w:rsid w:val="00551627"/>
    <w:rsid w:val="00551A90"/>
    <w:rsid w:val="00551B16"/>
    <w:rsid w:val="00551D37"/>
    <w:rsid w:val="00551F1B"/>
    <w:rsid w:val="0055212C"/>
    <w:rsid w:val="00552A5B"/>
    <w:rsid w:val="00553B29"/>
    <w:rsid w:val="00554064"/>
    <w:rsid w:val="00554C2D"/>
    <w:rsid w:val="005550EF"/>
    <w:rsid w:val="00555320"/>
    <w:rsid w:val="00555904"/>
    <w:rsid w:val="00555B49"/>
    <w:rsid w:val="00555B92"/>
    <w:rsid w:val="00555DF3"/>
    <w:rsid w:val="005578AE"/>
    <w:rsid w:val="00557D68"/>
    <w:rsid w:val="00560E10"/>
    <w:rsid w:val="005616D9"/>
    <w:rsid w:val="00562039"/>
    <w:rsid w:val="0056250C"/>
    <w:rsid w:val="00562907"/>
    <w:rsid w:val="00562C89"/>
    <w:rsid w:val="005630F5"/>
    <w:rsid w:val="00563209"/>
    <w:rsid w:val="00563703"/>
    <w:rsid w:val="005647BA"/>
    <w:rsid w:val="00565B62"/>
    <w:rsid w:val="005671CA"/>
    <w:rsid w:val="0057165B"/>
    <w:rsid w:val="005717FA"/>
    <w:rsid w:val="00573A2C"/>
    <w:rsid w:val="00573A79"/>
    <w:rsid w:val="00573DEE"/>
    <w:rsid w:val="005756C6"/>
    <w:rsid w:val="005756ED"/>
    <w:rsid w:val="00575AD2"/>
    <w:rsid w:val="00575F82"/>
    <w:rsid w:val="0057625E"/>
    <w:rsid w:val="005765B0"/>
    <w:rsid w:val="00576A48"/>
    <w:rsid w:val="00576B53"/>
    <w:rsid w:val="00581B26"/>
    <w:rsid w:val="00582926"/>
    <w:rsid w:val="00582C27"/>
    <w:rsid w:val="0058320D"/>
    <w:rsid w:val="005833D6"/>
    <w:rsid w:val="00583F9A"/>
    <w:rsid w:val="00585638"/>
    <w:rsid w:val="00587891"/>
    <w:rsid w:val="00590FF2"/>
    <w:rsid w:val="00591F7D"/>
    <w:rsid w:val="00592482"/>
    <w:rsid w:val="005925FE"/>
    <w:rsid w:val="00592749"/>
    <w:rsid w:val="00593E49"/>
    <w:rsid w:val="005940A1"/>
    <w:rsid w:val="00595AB0"/>
    <w:rsid w:val="00595D53"/>
    <w:rsid w:val="00595FF7"/>
    <w:rsid w:val="00596208"/>
    <w:rsid w:val="0059692E"/>
    <w:rsid w:val="00596EDB"/>
    <w:rsid w:val="00597337"/>
    <w:rsid w:val="005A03A0"/>
    <w:rsid w:val="005A12DA"/>
    <w:rsid w:val="005A13E5"/>
    <w:rsid w:val="005A2218"/>
    <w:rsid w:val="005A2595"/>
    <w:rsid w:val="005A2790"/>
    <w:rsid w:val="005A2AB7"/>
    <w:rsid w:val="005A2C78"/>
    <w:rsid w:val="005A3AC9"/>
    <w:rsid w:val="005A3D15"/>
    <w:rsid w:val="005A3D7D"/>
    <w:rsid w:val="005A4B6C"/>
    <w:rsid w:val="005A4E75"/>
    <w:rsid w:val="005A51E5"/>
    <w:rsid w:val="005A6C0D"/>
    <w:rsid w:val="005A6E65"/>
    <w:rsid w:val="005A755C"/>
    <w:rsid w:val="005B00F6"/>
    <w:rsid w:val="005B235C"/>
    <w:rsid w:val="005B2BE1"/>
    <w:rsid w:val="005B3DB8"/>
    <w:rsid w:val="005B3ECD"/>
    <w:rsid w:val="005B4602"/>
    <w:rsid w:val="005B4B55"/>
    <w:rsid w:val="005B4D78"/>
    <w:rsid w:val="005B4FFB"/>
    <w:rsid w:val="005B554A"/>
    <w:rsid w:val="005B558E"/>
    <w:rsid w:val="005B58B8"/>
    <w:rsid w:val="005B6218"/>
    <w:rsid w:val="005B6872"/>
    <w:rsid w:val="005B6D1D"/>
    <w:rsid w:val="005B7D66"/>
    <w:rsid w:val="005C027C"/>
    <w:rsid w:val="005C08B3"/>
    <w:rsid w:val="005C0DC3"/>
    <w:rsid w:val="005C10DA"/>
    <w:rsid w:val="005C12EA"/>
    <w:rsid w:val="005C164E"/>
    <w:rsid w:val="005C1A32"/>
    <w:rsid w:val="005C2021"/>
    <w:rsid w:val="005C33D0"/>
    <w:rsid w:val="005C3651"/>
    <w:rsid w:val="005C365E"/>
    <w:rsid w:val="005C3D94"/>
    <w:rsid w:val="005C3EE6"/>
    <w:rsid w:val="005C4562"/>
    <w:rsid w:val="005C501C"/>
    <w:rsid w:val="005C5C08"/>
    <w:rsid w:val="005C6A00"/>
    <w:rsid w:val="005C6A74"/>
    <w:rsid w:val="005C6A9D"/>
    <w:rsid w:val="005C7A01"/>
    <w:rsid w:val="005C7E60"/>
    <w:rsid w:val="005D0497"/>
    <w:rsid w:val="005D0550"/>
    <w:rsid w:val="005D0CC6"/>
    <w:rsid w:val="005D1847"/>
    <w:rsid w:val="005D1AEF"/>
    <w:rsid w:val="005D280E"/>
    <w:rsid w:val="005D2ED4"/>
    <w:rsid w:val="005D300E"/>
    <w:rsid w:val="005D373A"/>
    <w:rsid w:val="005D4496"/>
    <w:rsid w:val="005D44F6"/>
    <w:rsid w:val="005D4963"/>
    <w:rsid w:val="005D509D"/>
    <w:rsid w:val="005D5152"/>
    <w:rsid w:val="005D53A1"/>
    <w:rsid w:val="005D6589"/>
    <w:rsid w:val="005D666D"/>
    <w:rsid w:val="005E1843"/>
    <w:rsid w:val="005E1CE6"/>
    <w:rsid w:val="005E2339"/>
    <w:rsid w:val="005E2EFB"/>
    <w:rsid w:val="005E31D2"/>
    <w:rsid w:val="005E32A2"/>
    <w:rsid w:val="005E364D"/>
    <w:rsid w:val="005E489E"/>
    <w:rsid w:val="005E4AC4"/>
    <w:rsid w:val="005E4DF8"/>
    <w:rsid w:val="005E57AB"/>
    <w:rsid w:val="005E5B3F"/>
    <w:rsid w:val="005E6F02"/>
    <w:rsid w:val="005E74CE"/>
    <w:rsid w:val="005E7D42"/>
    <w:rsid w:val="005F0665"/>
    <w:rsid w:val="005F1728"/>
    <w:rsid w:val="005F3800"/>
    <w:rsid w:val="005F4451"/>
    <w:rsid w:val="005F4845"/>
    <w:rsid w:val="005F525B"/>
    <w:rsid w:val="005F544F"/>
    <w:rsid w:val="005F5659"/>
    <w:rsid w:val="005F5A74"/>
    <w:rsid w:val="005F5BA3"/>
    <w:rsid w:val="005F5E2B"/>
    <w:rsid w:val="005F5FFD"/>
    <w:rsid w:val="005F6347"/>
    <w:rsid w:val="005F64AD"/>
    <w:rsid w:val="005F6B18"/>
    <w:rsid w:val="005F7AC1"/>
    <w:rsid w:val="006009AE"/>
    <w:rsid w:val="006020F7"/>
    <w:rsid w:val="00604439"/>
    <w:rsid w:val="006044EC"/>
    <w:rsid w:val="00604C7F"/>
    <w:rsid w:val="00604D5B"/>
    <w:rsid w:val="0060502B"/>
    <w:rsid w:val="00605B76"/>
    <w:rsid w:val="00605D4E"/>
    <w:rsid w:val="0060662D"/>
    <w:rsid w:val="00606D73"/>
    <w:rsid w:val="006104C2"/>
    <w:rsid w:val="0061053D"/>
    <w:rsid w:val="00610EF6"/>
    <w:rsid w:val="00610F7C"/>
    <w:rsid w:val="006112A3"/>
    <w:rsid w:val="00611797"/>
    <w:rsid w:val="006119A3"/>
    <w:rsid w:val="006128E5"/>
    <w:rsid w:val="00613991"/>
    <w:rsid w:val="00613AE1"/>
    <w:rsid w:val="00613AF7"/>
    <w:rsid w:val="006148AA"/>
    <w:rsid w:val="006156DB"/>
    <w:rsid w:val="00615C7C"/>
    <w:rsid w:val="006160A6"/>
    <w:rsid w:val="0061670D"/>
    <w:rsid w:val="00616AFC"/>
    <w:rsid w:val="00617E96"/>
    <w:rsid w:val="00620372"/>
    <w:rsid w:val="0062154F"/>
    <w:rsid w:val="0062284E"/>
    <w:rsid w:val="0062362C"/>
    <w:rsid w:val="006237E4"/>
    <w:rsid w:val="00623CBC"/>
    <w:rsid w:val="00624DEC"/>
    <w:rsid w:val="006255C5"/>
    <w:rsid w:val="006259D2"/>
    <w:rsid w:val="00626DCA"/>
    <w:rsid w:val="006272D4"/>
    <w:rsid w:val="00630067"/>
    <w:rsid w:val="0063033F"/>
    <w:rsid w:val="00630C87"/>
    <w:rsid w:val="0063290E"/>
    <w:rsid w:val="006331BD"/>
    <w:rsid w:val="00633250"/>
    <w:rsid w:val="0063506E"/>
    <w:rsid w:val="0063508E"/>
    <w:rsid w:val="00635751"/>
    <w:rsid w:val="006363A9"/>
    <w:rsid w:val="00636A78"/>
    <w:rsid w:val="0063786B"/>
    <w:rsid w:val="00637F6B"/>
    <w:rsid w:val="006401DA"/>
    <w:rsid w:val="0064038F"/>
    <w:rsid w:val="00640501"/>
    <w:rsid w:val="006417E9"/>
    <w:rsid w:val="00642BA3"/>
    <w:rsid w:val="00642CA7"/>
    <w:rsid w:val="00645967"/>
    <w:rsid w:val="00645A18"/>
    <w:rsid w:val="00646818"/>
    <w:rsid w:val="0064782C"/>
    <w:rsid w:val="00647BCB"/>
    <w:rsid w:val="0065021A"/>
    <w:rsid w:val="00651322"/>
    <w:rsid w:val="0065140C"/>
    <w:rsid w:val="00651E18"/>
    <w:rsid w:val="006528E6"/>
    <w:rsid w:val="00652B1B"/>
    <w:rsid w:val="00652BA2"/>
    <w:rsid w:val="006534FC"/>
    <w:rsid w:val="00654BC0"/>
    <w:rsid w:val="00654CCF"/>
    <w:rsid w:val="0065511E"/>
    <w:rsid w:val="00655509"/>
    <w:rsid w:val="006555A5"/>
    <w:rsid w:val="00657DF0"/>
    <w:rsid w:val="00657E3A"/>
    <w:rsid w:val="00660276"/>
    <w:rsid w:val="00661DC9"/>
    <w:rsid w:val="00662432"/>
    <w:rsid w:val="00662F6E"/>
    <w:rsid w:val="00664094"/>
    <w:rsid w:val="0066439D"/>
    <w:rsid w:val="00664BF2"/>
    <w:rsid w:val="00664DAC"/>
    <w:rsid w:val="0066615B"/>
    <w:rsid w:val="00666462"/>
    <w:rsid w:val="00666F42"/>
    <w:rsid w:val="006677FF"/>
    <w:rsid w:val="00667B1E"/>
    <w:rsid w:val="0067035F"/>
    <w:rsid w:val="00670C56"/>
    <w:rsid w:val="00670F81"/>
    <w:rsid w:val="00671EF9"/>
    <w:rsid w:val="00672AC6"/>
    <w:rsid w:val="00672C98"/>
    <w:rsid w:val="006731F9"/>
    <w:rsid w:val="006758BC"/>
    <w:rsid w:val="006759B6"/>
    <w:rsid w:val="00675C6C"/>
    <w:rsid w:val="00676391"/>
    <w:rsid w:val="00676397"/>
    <w:rsid w:val="00676581"/>
    <w:rsid w:val="006766D2"/>
    <w:rsid w:val="00676C60"/>
    <w:rsid w:val="00680988"/>
    <w:rsid w:val="00681A0E"/>
    <w:rsid w:val="0068283F"/>
    <w:rsid w:val="0068287A"/>
    <w:rsid w:val="00682BDA"/>
    <w:rsid w:val="006830AC"/>
    <w:rsid w:val="00683921"/>
    <w:rsid w:val="00685878"/>
    <w:rsid w:val="00685974"/>
    <w:rsid w:val="0068643F"/>
    <w:rsid w:val="00686E76"/>
    <w:rsid w:val="006872E6"/>
    <w:rsid w:val="0069020F"/>
    <w:rsid w:val="00690298"/>
    <w:rsid w:val="0069138B"/>
    <w:rsid w:val="00691920"/>
    <w:rsid w:val="0069235D"/>
    <w:rsid w:val="006926FD"/>
    <w:rsid w:val="00692BB2"/>
    <w:rsid w:val="006932EC"/>
    <w:rsid w:val="0069394D"/>
    <w:rsid w:val="00694746"/>
    <w:rsid w:val="00694801"/>
    <w:rsid w:val="00695733"/>
    <w:rsid w:val="00695957"/>
    <w:rsid w:val="00696663"/>
    <w:rsid w:val="00696A55"/>
    <w:rsid w:val="00696AA5"/>
    <w:rsid w:val="00696DC7"/>
    <w:rsid w:val="0069729B"/>
    <w:rsid w:val="00697661"/>
    <w:rsid w:val="006977AF"/>
    <w:rsid w:val="006A07CB"/>
    <w:rsid w:val="006A0D7B"/>
    <w:rsid w:val="006A1108"/>
    <w:rsid w:val="006A2031"/>
    <w:rsid w:val="006A26A2"/>
    <w:rsid w:val="006A32F8"/>
    <w:rsid w:val="006A35AA"/>
    <w:rsid w:val="006A46BF"/>
    <w:rsid w:val="006A46F2"/>
    <w:rsid w:val="006A4FE9"/>
    <w:rsid w:val="006A59CF"/>
    <w:rsid w:val="006A722D"/>
    <w:rsid w:val="006A72DD"/>
    <w:rsid w:val="006B1307"/>
    <w:rsid w:val="006B1BE4"/>
    <w:rsid w:val="006B1BFB"/>
    <w:rsid w:val="006B240C"/>
    <w:rsid w:val="006B2A9C"/>
    <w:rsid w:val="006B2BF9"/>
    <w:rsid w:val="006B2F1B"/>
    <w:rsid w:val="006B3038"/>
    <w:rsid w:val="006B37FB"/>
    <w:rsid w:val="006B47A7"/>
    <w:rsid w:val="006B5BE6"/>
    <w:rsid w:val="006B5C84"/>
    <w:rsid w:val="006B6603"/>
    <w:rsid w:val="006B6D4A"/>
    <w:rsid w:val="006B76B9"/>
    <w:rsid w:val="006B7A1A"/>
    <w:rsid w:val="006B7B6E"/>
    <w:rsid w:val="006C0EBA"/>
    <w:rsid w:val="006C1AE5"/>
    <w:rsid w:val="006C25BB"/>
    <w:rsid w:val="006C2696"/>
    <w:rsid w:val="006C2A90"/>
    <w:rsid w:val="006C2A9A"/>
    <w:rsid w:val="006C364B"/>
    <w:rsid w:val="006C5FFD"/>
    <w:rsid w:val="006C6F2B"/>
    <w:rsid w:val="006D0270"/>
    <w:rsid w:val="006D0449"/>
    <w:rsid w:val="006D0713"/>
    <w:rsid w:val="006D0E4F"/>
    <w:rsid w:val="006D2BCE"/>
    <w:rsid w:val="006D31E3"/>
    <w:rsid w:val="006D325E"/>
    <w:rsid w:val="006D3CFA"/>
    <w:rsid w:val="006D3E0A"/>
    <w:rsid w:val="006D49BE"/>
    <w:rsid w:val="006D5563"/>
    <w:rsid w:val="006D5968"/>
    <w:rsid w:val="006D5BA8"/>
    <w:rsid w:val="006D622D"/>
    <w:rsid w:val="006E0A29"/>
    <w:rsid w:val="006E0BDD"/>
    <w:rsid w:val="006E0E47"/>
    <w:rsid w:val="006E0F46"/>
    <w:rsid w:val="006E0F93"/>
    <w:rsid w:val="006E1D9C"/>
    <w:rsid w:val="006E2098"/>
    <w:rsid w:val="006E4496"/>
    <w:rsid w:val="006E54D1"/>
    <w:rsid w:val="006E5990"/>
    <w:rsid w:val="006E5F3B"/>
    <w:rsid w:val="006E63A9"/>
    <w:rsid w:val="006E6D4F"/>
    <w:rsid w:val="006E6DE1"/>
    <w:rsid w:val="006E7774"/>
    <w:rsid w:val="006E7BA1"/>
    <w:rsid w:val="006E7C80"/>
    <w:rsid w:val="006F09BD"/>
    <w:rsid w:val="006F0BCB"/>
    <w:rsid w:val="006F0D79"/>
    <w:rsid w:val="006F0EA8"/>
    <w:rsid w:val="006F16B5"/>
    <w:rsid w:val="006F1C6C"/>
    <w:rsid w:val="006F1D5F"/>
    <w:rsid w:val="006F21A9"/>
    <w:rsid w:val="006F21EB"/>
    <w:rsid w:val="006F2821"/>
    <w:rsid w:val="006F2A9F"/>
    <w:rsid w:val="006F2F12"/>
    <w:rsid w:val="006F31E6"/>
    <w:rsid w:val="006F36AF"/>
    <w:rsid w:val="006F45D4"/>
    <w:rsid w:val="006F573C"/>
    <w:rsid w:val="006F6EC2"/>
    <w:rsid w:val="006F7155"/>
    <w:rsid w:val="006F796E"/>
    <w:rsid w:val="007000CA"/>
    <w:rsid w:val="0070025A"/>
    <w:rsid w:val="00700296"/>
    <w:rsid w:val="00700304"/>
    <w:rsid w:val="007015E0"/>
    <w:rsid w:val="00702B93"/>
    <w:rsid w:val="00702E75"/>
    <w:rsid w:val="00704DF5"/>
    <w:rsid w:val="00705C8F"/>
    <w:rsid w:val="0070647E"/>
    <w:rsid w:val="00706670"/>
    <w:rsid w:val="007066B2"/>
    <w:rsid w:val="00706773"/>
    <w:rsid w:val="00706A68"/>
    <w:rsid w:val="007076A4"/>
    <w:rsid w:val="00707D53"/>
    <w:rsid w:val="00710DFC"/>
    <w:rsid w:val="0071170B"/>
    <w:rsid w:val="007120F4"/>
    <w:rsid w:val="00712210"/>
    <w:rsid w:val="007124A7"/>
    <w:rsid w:val="007128C7"/>
    <w:rsid w:val="00712AD3"/>
    <w:rsid w:val="0071327A"/>
    <w:rsid w:val="00714E26"/>
    <w:rsid w:val="00715B82"/>
    <w:rsid w:val="00715D8D"/>
    <w:rsid w:val="007164B7"/>
    <w:rsid w:val="00716886"/>
    <w:rsid w:val="00716A93"/>
    <w:rsid w:val="00717059"/>
    <w:rsid w:val="00720B20"/>
    <w:rsid w:val="0072106B"/>
    <w:rsid w:val="00721BEE"/>
    <w:rsid w:val="0072235C"/>
    <w:rsid w:val="0072293C"/>
    <w:rsid w:val="00723E58"/>
    <w:rsid w:val="0072413F"/>
    <w:rsid w:val="00724CA6"/>
    <w:rsid w:val="0072518B"/>
    <w:rsid w:val="007257DE"/>
    <w:rsid w:val="00725B54"/>
    <w:rsid w:val="007260FB"/>
    <w:rsid w:val="00727537"/>
    <w:rsid w:val="007276D7"/>
    <w:rsid w:val="00730A09"/>
    <w:rsid w:val="00730DF3"/>
    <w:rsid w:val="00731292"/>
    <w:rsid w:val="00732923"/>
    <w:rsid w:val="00732950"/>
    <w:rsid w:val="00732A5A"/>
    <w:rsid w:val="00733051"/>
    <w:rsid w:val="007331F4"/>
    <w:rsid w:val="0073401C"/>
    <w:rsid w:val="00736054"/>
    <w:rsid w:val="00736102"/>
    <w:rsid w:val="00736712"/>
    <w:rsid w:val="007374A9"/>
    <w:rsid w:val="00737863"/>
    <w:rsid w:val="007409E9"/>
    <w:rsid w:val="00740DF8"/>
    <w:rsid w:val="00741889"/>
    <w:rsid w:val="00742BFF"/>
    <w:rsid w:val="0074309E"/>
    <w:rsid w:val="00743664"/>
    <w:rsid w:val="007439B3"/>
    <w:rsid w:val="00743C87"/>
    <w:rsid w:val="00743CE7"/>
    <w:rsid w:val="0074562E"/>
    <w:rsid w:val="0074591B"/>
    <w:rsid w:val="007460BB"/>
    <w:rsid w:val="007461DE"/>
    <w:rsid w:val="00746A79"/>
    <w:rsid w:val="00746EDD"/>
    <w:rsid w:val="007470DF"/>
    <w:rsid w:val="007515DE"/>
    <w:rsid w:val="00751ABF"/>
    <w:rsid w:val="00751B56"/>
    <w:rsid w:val="0075247F"/>
    <w:rsid w:val="00754054"/>
    <w:rsid w:val="00754549"/>
    <w:rsid w:val="0075504E"/>
    <w:rsid w:val="00755A70"/>
    <w:rsid w:val="00755EC8"/>
    <w:rsid w:val="00756629"/>
    <w:rsid w:val="00756679"/>
    <w:rsid w:val="0075712A"/>
    <w:rsid w:val="00757360"/>
    <w:rsid w:val="00757F7E"/>
    <w:rsid w:val="00760AEE"/>
    <w:rsid w:val="00761280"/>
    <w:rsid w:val="00761353"/>
    <w:rsid w:val="007615D1"/>
    <w:rsid w:val="00762CE9"/>
    <w:rsid w:val="00763C52"/>
    <w:rsid w:val="00765758"/>
    <w:rsid w:val="00766377"/>
    <w:rsid w:val="00766F86"/>
    <w:rsid w:val="00767C21"/>
    <w:rsid w:val="00767C26"/>
    <w:rsid w:val="007708E5"/>
    <w:rsid w:val="00770AF4"/>
    <w:rsid w:val="007710C5"/>
    <w:rsid w:val="0077113F"/>
    <w:rsid w:val="007712BF"/>
    <w:rsid w:val="00771F23"/>
    <w:rsid w:val="007731C4"/>
    <w:rsid w:val="007732B0"/>
    <w:rsid w:val="0077397E"/>
    <w:rsid w:val="00773D58"/>
    <w:rsid w:val="00773F16"/>
    <w:rsid w:val="00773F87"/>
    <w:rsid w:val="0077455B"/>
    <w:rsid w:val="0077473D"/>
    <w:rsid w:val="00774AEB"/>
    <w:rsid w:val="00774ED0"/>
    <w:rsid w:val="00776AEC"/>
    <w:rsid w:val="007773AA"/>
    <w:rsid w:val="007776B1"/>
    <w:rsid w:val="00777935"/>
    <w:rsid w:val="0078064D"/>
    <w:rsid w:val="0078183A"/>
    <w:rsid w:val="00781986"/>
    <w:rsid w:val="00781C0F"/>
    <w:rsid w:val="00781D56"/>
    <w:rsid w:val="0078318C"/>
    <w:rsid w:val="007832AC"/>
    <w:rsid w:val="007837C8"/>
    <w:rsid w:val="00783AAD"/>
    <w:rsid w:val="00783C5F"/>
    <w:rsid w:val="00784253"/>
    <w:rsid w:val="007843D4"/>
    <w:rsid w:val="0078537D"/>
    <w:rsid w:val="0078605C"/>
    <w:rsid w:val="007864E7"/>
    <w:rsid w:val="00786B90"/>
    <w:rsid w:val="00786FA1"/>
    <w:rsid w:val="00790A66"/>
    <w:rsid w:val="00790DC7"/>
    <w:rsid w:val="00792483"/>
    <w:rsid w:val="00792713"/>
    <w:rsid w:val="007927AB"/>
    <w:rsid w:val="00792B7F"/>
    <w:rsid w:val="00793175"/>
    <w:rsid w:val="00793C09"/>
    <w:rsid w:val="00794B82"/>
    <w:rsid w:val="007959C0"/>
    <w:rsid w:val="00795F29"/>
    <w:rsid w:val="00795F6C"/>
    <w:rsid w:val="0079604E"/>
    <w:rsid w:val="00796F87"/>
    <w:rsid w:val="007A08F8"/>
    <w:rsid w:val="007A0F2F"/>
    <w:rsid w:val="007A123A"/>
    <w:rsid w:val="007A1E0D"/>
    <w:rsid w:val="007A20CA"/>
    <w:rsid w:val="007A245B"/>
    <w:rsid w:val="007A2C36"/>
    <w:rsid w:val="007A3852"/>
    <w:rsid w:val="007A466E"/>
    <w:rsid w:val="007A5B2D"/>
    <w:rsid w:val="007A5E0B"/>
    <w:rsid w:val="007A688D"/>
    <w:rsid w:val="007A729D"/>
    <w:rsid w:val="007A7827"/>
    <w:rsid w:val="007A7C3B"/>
    <w:rsid w:val="007B04E4"/>
    <w:rsid w:val="007B078B"/>
    <w:rsid w:val="007B0913"/>
    <w:rsid w:val="007B0FF7"/>
    <w:rsid w:val="007B1F16"/>
    <w:rsid w:val="007B250A"/>
    <w:rsid w:val="007B3474"/>
    <w:rsid w:val="007B3877"/>
    <w:rsid w:val="007B4409"/>
    <w:rsid w:val="007B4723"/>
    <w:rsid w:val="007B4BDE"/>
    <w:rsid w:val="007B4D84"/>
    <w:rsid w:val="007B6305"/>
    <w:rsid w:val="007C0E93"/>
    <w:rsid w:val="007C1EBB"/>
    <w:rsid w:val="007C2308"/>
    <w:rsid w:val="007C259B"/>
    <w:rsid w:val="007C2CA0"/>
    <w:rsid w:val="007C4A5D"/>
    <w:rsid w:val="007C4CE1"/>
    <w:rsid w:val="007C52EF"/>
    <w:rsid w:val="007C5486"/>
    <w:rsid w:val="007C5871"/>
    <w:rsid w:val="007C7296"/>
    <w:rsid w:val="007C7967"/>
    <w:rsid w:val="007D0932"/>
    <w:rsid w:val="007D0B81"/>
    <w:rsid w:val="007D1DA2"/>
    <w:rsid w:val="007D2166"/>
    <w:rsid w:val="007D2168"/>
    <w:rsid w:val="007D2D46"/>
    <w:rsid w:val="007D2D80"/>
    <w:rsid w:val="007D30A1"/>
    <w:rsid w:val="007D378A"/>
    <w:rsid w:val="007D3A80"/>
    <w:rsid w:val="007D3C80"/>
    <w:rsid w:val="007D4768"/>
    <w:rsid w:val="007D4962"/>
    <w:rsid w:val="007D4C8E"/>
    <w:rsid w:val="007D4D9F"/>
    <w:rsid w:val="007D543C"/>
    <w:rsid w:val="007D72A1"/>
    <w:rsid w:val="007D76C3"/>
    <w:rsid w:val="007E02CC"/>
    <w:rsid w:val="007E0553"/>
    <w:rsid w:val="007E0D83"/>
    <w:rsid w:val="007E2939"/>
    <w:rsid w:val="007E2D37"/>
    <w:rsid w:val="007E407D"/>
    <w:rsid w:val="007E43C5"/>
    <w:rsid w:val="007E55EF"/>
    <w:rsid w:val="007E60E7"/>
    <w:rsid w:val="007E613D"/>
    <w:rsid w:val="007E6CE8"/>
    <w:rsid w:val="007E6D87"/>
    <w:rsid w:val="007E7729"/>
    <w:rsid w:val="007E7F7A"/>
    <w:rsid w:val="007F0CC3"/>
    <w:rsid w:val="007F2377"/>
    <w:rsid w:val="007F25DD"/>
    <w:rsid w:val="007F2933"/>
    <w:rsid w:val="007F2B87"/>
    <w:rsid w:val="007F3499"/>
    <w:rsid w:val="007F3EEB"/>
    <w:rsid w:val="007F526F"/>
    <w:rsid w:val="007F5649"/>
    <w:rsid w:val="007F57D5"/>
    <w:rsid w:val="007F5CD1"/>
    <w:rsid w:val="007F6883"/>
    <w:rsid w:val="007F6A1F"/>
    <w:rsid w:val="0080082C"/>
    <w:rsid w:val="00800C1F"/>
    <w:rsid w:val="00800F0F"/>
    <w:rsid w:val="008017CE"/>
    <w:rsid w:val="0080229C"/>
    <w:rsid w:val="008033FD"/>
    <w:rsid w:val="0080380B"/>
    <w:rsid w:val="008047FC"/>
    <w:rsid w:val="00804E5E"/>
    <w:rsid w:val="00805B69"/>
    <w:rsid w:val="00805C78"/>
    <w:rsid w:val="00806129"/>
    <w:rsid w:val="008063B3"/>
    <w:rsid w:val="0080725A"/>
    <w:rsid w:val="00807DEC"/>
    <w:rsid w:val="00811FE2"/>
    <w:rsid w:val="00812372"/>
    <w:rsid w:val="00813679"/>
    <w:rsid w:val="0081374C"/>
    <w:rsid w:val="00813941"/>
    <w:rsid w:val="00814AEB"/>
    <w:rsid w:val="00815504"/>
    <w:rsid w:val="00820369"/>
    <w:rsid w:val="008208F1"/>
    <w:rsid w:val="00820944"/>
    <w:rsid w:val="00823AB6"/>
    <w:rsid w:val="00824004"/>
    <w:rsid w:val="00824845"/>
    <w:rsid w:val="008248F3"/>
    <w:rsid w:val="00824DA4"/>
    <w:rsid w:val="00824E27"/>
    <w:rsid w:val="0082517C"/>
    <w:rsid w:val="00825466"/>
    <w:rsid w:val="008301B6"/>
    <w:rsid w:val="00830889"/>
    <w:rsid w:val="008311B0"/>
    <w:rsid w:val="00831395"/>
    <w:rsid w:val="00831F06"/>
    <w:rsid w:val="0083278A"/>
    <w:rsid w:val="00832C6D"/>
    <w:rsid w:val="00832CCA"/>
    <w:rsid w:val="00832EA9"/>
    <w:rsid w:val="00833100"/>
    <w:rsid w:val="00834B2E"/>
    <w:rsid w:val="00835D04"/>
    <w:rsid w:val="00836FEA"/>
    <w:rsid w:val="008374CE"/>
    <w:rsid w:val="0083761E"/>
    <w:rsid w:val="00840693"/>
    <w:rsid w:val="00840A53"/>
    <w:rsid w:val="00841181"/>
    <w:rsid w:val="008413DD"/>
    <w:rsid w:val="00841628"/>
    <w:rsid w:val="00842125"/>
    <w:rsid w:val="00842C6F"/>
    <w:rsid w:val="00842E82"/>
    <w:rsid w:val="008430B6"/>
    <w:rsid w:val="00843273"/>
    <w:rsid w:val="008437E2"/>
    <w:rsid w:val="0084449C"/>
    <w:rsid w:val="0084450C"/>
    <w:rsid w:val="00844870"/>
    <w:rsid w:val="00844C97"/>
    <w:rsid w:val="00844C9A"/>
    <w:rsid w:val="0084524B"/>
    <w:rsid w:val="0084537D"/>
    <w:rsid w:val="00845594"/>
    <w:rsid w:val="00845D7B"/>
    <w:rsid w:val="00847517"/>
    <w:rsid w:val="008477B1"/>
    <w:rsid w:val="00847D24"/>
    <w:rsid w:val="00847D96"/>
    <w:rsid w:val="00847DC7"/>
    <w:rsid w:val="00847DF8"/>
    <w:rsid w:val="008504EC"/>
    <w:rsid w:val="00851AB7"/>
    <w:rsid w:val="00852233"/>
    <w:rsid w:val="008525E5"/>
    <w:rsid w:val="00852D8F"/>
    <w:rsid w:val="00853653"/>
    <w:rsid w:val="0085370A"/>
    <w:rsid w:val="00853BD5"/>
    <w:rsid w:val="0085405E"/>
    <w:rsid w:val="00854115"/>
    <w:rsid w:val="00854ECB"/>
    <w:rsid w:val="00855173"/>
    <w:rsid w:val="008553F9"/>
    <w:rsid w:val="008558F3"/>
    <w:rsid w:val="00855D1C"/>
    <w:rsid w:val="0085619A"/>
    <w:rsid w:val="00856E5F"/>
    <w:rsid w:val="008577B5"/>
    <w:rsid w:val="00857A3A"/>
    <w:rsid w:val="008601B5"/>
    <w:rsid w:val="00861A80"/>
    <w:rsid w:val="00861E2F"/>
    <w:rsid w:val="00862A66"/>
    <w:rsid w:val="00863690"/>
    <w:rsid w:val="008642DE"/>
    <w:rsid w:val="00864712"/>
    <w:rsid w:val="00864736"/>
    <w:rsid w:val="008649B2"/>
    <w:rsid w:val="00864A4A"/>
    <w:rsid w:val="00865173"/>
    <w:rsid w:val="00865BE3"/>
    <w:rsid w:val="00865C40"/>
    <w:rsid w:val="00865EF2"/>
    <w:rsid w:val="00866FEA"/>
    <w:rsid w:val="008670A1"/>
    <w:rsid w:val="0086743E"/>
    <w:rsid w:val="0086757E"/>
    <w:rsid w:val="00870029"/>
    <w:rsid w:val="00870699"/>
    <w:rsid w:val="008712FE"/>
    <w:rsid w:val="008714C2"/>
    <w:rsid w:val="0087183F"/>
    <w:rsid w:val="00871B9B"/>
    <w:rsid w:val="0087202D"/>
    <w:rsid w:val="008721BE"/>
    <w:rsid w:val="00873205"/>
    <w:rsid w:val="00873D25"/>
    <w:rsid w:val="00873DD7"/>
    <w:rsid w:val="008751CD"/>
    <w:rsid w:val="00875DF4"/>
    <w:rsid w:val="008761CD"/>
    <w:rsid w:val="00876D48"/>
    <w:rsid w:val="00877231"/>
    <w:rsid w:val="00880C65"/>
    <w:rsid w:val="00882104"/>
    <w:rsid w:val="00882C3F"/>
    <w:rsid w:val="00882F8A"/>
    <w:rsid w:val="00883A43"/>
    <w:rsid w:val="00884687"/>
    <w:rsid w:val="00885134"/>
    <w:rsid w:val="0088542A"/>
    <w:rsid w:val="00885A2B"/>
    <w:rsid w:val="00885B9F"/>
    <w:rsid w:val="00886319"/>
    <w:rsid w:val="00886BE0"/>
    <w:rsid w:val="00886EE5"/>
    <w:rsid w:val="00886F67"/>
    <w:rsid w:val="00887A64"/>
    <w:rsid w:val="00887BF5"/>
    <w:rsid w:val="00887FD0"/>
    <w:rsid w:val="008901AE"/>
    <w:rsid w:val="008902A9"/>
    <w:rsid w:val="008903A8"/>
    <w:rsid w:val="00890DA4"/>
    <w:rsid w:val="0089276A"/>
    <w:rsid w:val="00892F21"/>
    <w:rsid w:val="00893361"/>
    <w:rsid w:val="0089356D"/>
    <w:rsid w:val="00894089"/>
    <w:rsid w:val="00894913"/>
    <w:rsid w:val="00894D5A"/>
    <w:rsid w:val="0089597D"/>
    <w:rsid w:val="00895BA3"/>
    <w:rsid w:val="00896AE8"/>
    <w:rsid w:val="00896CA8"/>
    <w:rsid w:val="008970CF"/>
    <w:rsid w:val="00897482"/>
    <w:rsid w:val="008978DE"/>
    <w:rsid w:val="00897C20"/>
    <w:rsid w:val="008A0660"/>
    <w:rsid w:val="008A06D5"/>
    <w:rsid w:val="008A0976"/>
    <w:rsid w:val="008A0DAD"/>
    <w:rsid w:val="008A1427"/>
    <w:rsid w:val="008A2D96"/>
    <w:rsid w:val="008A3DD5"/>
    <w:rsid w:val="008A4D85"/>
    <w:rsid w:val="008A5765"/>
    <w:rsid w:val="008A5A16"/>
    <w:rsid w:val="008A5EA6"/>
    <w:rsid w:val="008A6A26"/>
    <w:rsid w:val="008A7E3E"/>
    <w:rsid w:val="008B0C65"/>
    <w:rsid w:val="008B1D2D"/>
    <w:rsid w:val="008B2569"/>
    <w:rsid w:val="008B297C"/>
    <w:rsid w:val="008B2EA6"/>
    <w:rsid w:val="008B36CF"/>
    <w:rsid w:val="008B46C8"/>
    <w:rsid w:val="008B4F86"/>
    <w:rsid w:val="008B5EBC"/>
    <w:rsid w:val="008B5FC4"/>
    <w:rsid w:val="008B6867"/>
    <w:rsid w:val="008B6B59"/>
    <w:rsid w:val="008C03BE"/>
    <w:rsid w:val="008C0633"/>
    <w:rsid w:val="008C0DCA"/>
    <w:rsid w:val="008C1125"/>
    <w:rsid w:val="008C3469"/>
    <w:rsid w:val="008C36F4"/>
    <w:rsid w:val="008C4B23"/>
    <w:rsid w:val="008C4D09"/>
    <w:rsid w:val="008C4E65"/>
    <w:rsid w:val="008C5CBB"/>
    <w:rsid w:val="008C5F7D"/>
    <w:rsid w:val="008C6184"/>
    <w:rsid w:val="008C73DC"/>
    <w:rsid w:val="008C7F53"/>
    <w:rsid w:val="008D07C7"/>
    <w:rsid w:val="008D14D3"/>
    <w:rsid w:val="008D2154"/>
    <w:rsid w:val="008D2E58"/>
    <w:rsid w:val="008D36B3"/>
    <w:rsid w:val="008D3829"/>
    <w:rsid w:val="008D3C57"/>
    <w:rsid w:val="008D613D"/>
    <w:rsid w:val="008D685B"/>
    <w:rsid w:val="008D790D"/>
    <w:rsid w:val="008E0840"/>
    <w:rsid w:val="008E16AD"/>
    <w:rsid w:val="008E24C6"/>
    <w:rsid w:val="008E29DD"/>
    <w:rsid w:val="008E2A5D"/>
    <w:rsid w:val="008E2E0D"/>
    <w:rsid w:val="008E3383"/>
    <w:rsid w:val="008E3662"/>
    <w:rsid w:val="008E3A16"/>
    <w:rsid w:val="008E3CCE"/>
    <w:rsid w:val="008E441A"/>
    <w:rsid w:val="008E4629"/>
    <w:rsid w:val="008E5CD7"/>
    <w:rsid w:val="008E5F70"/>
    <w:rsid w:val="008E67EB"/>
    <w:rsid w:val="008E68BB"/>
    <w:rsid w:val="008E6947"/>
    <w:rsid w:val="008E754E"/>
    <w:rsid w:val="008E776E"/>
    <w:rsid w:val="008F0B40"/>
    <w:rsid w:val="008F12ED"/>
    <w:rsid w:val="008F15FE"/>
    <w:rsid w:val="008F2225"/>
    <w:rsid w:val="008F2CF6"/>
    <w:rsid w:val="008F3846"/>
    <w:rsid w:val="008F3BB0"/>
    <w:rsid w:val="008F43D9"/>
    <w:rsid w:val="008F64C3"/>
    <w:rsid w:val="008F7FC3"/>
    <w:rsid w:val="00900141"/>
    <w:rsid w:val="0090049F"/>
    <w:rsid w:val="0090190B"/>
    <w:rsid w:val="009020FD"/>
    <w:rsid w:val="0090257C"/>
    <w:rsid w:val="0090295C"/>
    <w:rsid w:val="00903B92"/>
    <w:rsid w:val="00903F6A"/>
    <w:rsid w:val="00903FCD"/>
    <w:rsid w:val="00904CBA"/>
    <w:rsid w:val="0090543C"/>
    <w:rsid w:val="009064F6"/>
    <w:rsid w:val="00906CDB"/>
    <w:rsid w:val="00906ED8"/>
    <w:rsid w:val="00907091"/>
    <w:rsid w:val="00907762"/>
    <w:rsid w:val="00907F09"/>
    <w:rsid w:val="00910A6C"/>
    <w:rsid w:val="00910ECE"/>
    <w:rsid w:val="009129B4"/>
    <w:rsid w:val="00913FA2"/>
    <w:rsid w:val="009145B1"/>
    <w:rsid w:val="009147BC"/>
    <w:rsid w:val="0091518F"/>
    <w:rsid w:val="00916583"/>
    <w:rsid w:val="00917F05"/>
    <w:rsid w:val="0092053E"/>
    <w:rsid w:val="009210B6"/>
    <w:rsid w:val="009216F1"/>
    <w:rsid w:val="009218D8"/>
    <w:rsid w:val="00921B22"/>
    <w:rsid w:val="009229FD"/>
    <w:rsid w:val="00922F48"/>
    <w:rsid w:val="00923CEA"/>
    <w:rsid w:val="00923FF2"/>
    <w:rsid w:val="009241A9"/>
    <w:rsid w:val="009242FE"/>
    <w:rsid w:val="009247DF"/>
    <w:rsid w:val="00924DC0"/>
    <w:rsid w:val="00925015"/>
    <w:rsid w:val="00925080"/>
    <w:rsid w:val="009260A9"/>
    <w:rsid w:val="00926BAA"/>
    <w:rsid w:val="00926CE4"/>
    <w:rsid w:val="00927F5E"/>
    <w:rsid w:val="0093071B"/>
    <w:rsid w:val="009309BB"/>
    <w:rsid w:val="009312AC"/>
    <w:rsid w:val="00931DC6"/>
    <w:rsid w:val="009322BA"/>
    <w:rsid w:val="00932674"/>
    <w:rsid w:val="009328CF"/>
    <w:rsid w:val="00933DE1"/>
    <w:rsid w:val="0093484F"/>
    <w:rsid w:val="00934991"/>
    <w:rsid w:val="00934AE0"/>
    <w:rsid w:val="00935599"/>
    <w:rsid w:val="00936244"/>
    <w:rsid w:val="009366D4"/>
    <w:rsid w:val="0093685B"/>
    <w:rsid w:val="00936883"/>
    <w:rsid w:val="00936ED1"/>
    <w:rsid w:val="0093767E"/>
    <w:rsid w:val="009378BC"/>
    <w:rsid w:val="00937F30"/>
    <w:rsid w:val="0094072D"/>
    <w:rsid w:val="009407C2"/>
    <w:rsid w:val="0094175B"/>
    <w:rsid w:val="009419D3"/>
    <w:rsid w:val="00942931"/>
    <w:rsid w:val="00942B32"/>
    <w:rsid w:val="00943487"/>
    <w:rsid w:val="00943F7C"/>
    <w:rsid w:val="00944C64"/>
    <w:rsid w:val="00944D79"/>
    <w:rsid w:val="00944DAF"/>
    <w:rsid w:val="00944EF6"/>
    <w:rsid w:val="00945258"/>
    <w:rsid w:val="0094532B"/>
    <w:rsid w:val="00945334"/>
    <w:rsid w:val="00945854"/>
    <w:rsid w:val="009462FC"/>
    <w:rsid w:val="00946654"/>
    <w:rsid w:val="00946A00"/>
    <w:rsid w:val="009475F1"/>
    <w:rsid w:val="00947A69"/>
    <w:rsid w:val="00950132"/>
    <w:rsid w:val="00950639"/>
    <w:rsid w:val="00950798"/>
    <w:rsid w:val="00950E20"/>
    <w:rsid w:val="00951E14"/>
    <w:rsid w:val="00952B6C"/>
    <w:rsid w:val="0095311B"/>
    <w:rsid w:val="009532B6"/>
    <w:rsid w:val="00953AC9"/>
    <w:rsid w:val="00953C7C"/>
    <w:rsid w:val="00954556"/>
    <w:rsid w:val="009546E9"/>
    <w:rsid w:val="00954F1D"/>
    <w:rsid w:val="00956551"/>
    <w:rsid w:val="00956B07"/>
    <w:rsid w:val="00957CD5"/>
    <w:rsid w:val="00960B9A"/>
    <w:rsid w:val="009613A7"/>
    <w:rsid w:val="00962454"/>
    <w:rsid w:val="009630C3"/>
    <w:rsid w:val="009637C8"/>
    <w:rsid w:val="009647FA"/>
    <w:rsid w:val="009659DB"/>
    <w:rsid w:val="00966436"/>
    <w:rsid w:val="009672E1"/>
    <w:rsid w:val="00967C6E"/>
    <w:rsid w:val="009703BD"/>
    <w:rsid w:val="009706AA"/>
    <w:rsid w:val="009713CF"/>
    <w:rsid w:val="00971750"/>
    <w:rsid w:val="009718E2"/>
    <w:rsid w:val="00972463"/>
    <w:rsid w:val="00972D71"/>
    <w:rsid w:val="009736EE"/>
    <w:rsid w:val="00974540"/>
    <w:rsid w:val="00974DC7"/>
    <w:rsid w:val="00974DEC"/>
    <w:rsid w:val="00974E8C"/>
    <w:rsid w:val="00975ACB"/>
    <w:rsid w:val="00975EF6"/>
    <w:rsid w:val="009761EA"/>
    <w:rsid w:val="0097721D"/>
    <w:rsid w:val="00977926"/>
    <w:rsid w:val="00977AD1"/>
    <w:rsid w:val="009807D9"/>
    <w:rsid w:val="009808CD"/>
    <w:rsid w:val="00982010"/>
    <w:rsid w:val="00982688"/>
    <w:rsid w:val="00983B6F"/>
    <w:rsid w:val="0098424E"/>
    <w:rsid w:val="00984D83"/>
    <w:rsid w:val="00985BE0"/>
    <w:rsid w:val="00985D32"/>
    <w:rsid w:val="00985F15"/>
    <w:rsid w:val="009866B0"/>
    <w:rsid w:val="00986B55"/>
    <w:rsid w:val="00987479"/>
    <w:rsid w:val="009878DE"/>
    <w:rsid w:val="00987D97"/>
    <w:rsid w:val="009904D0"/>
    <w:rsid w:val="009906AC"/>
    <w:rsid w:val="0099104D"/>
    <w:rsid w:val="00991B28"/>
    <w:rsid w:val="0099230F"/>
    <w:rsid w:val="0099285E"/>
    <w:rsid w:val="00993037"/>
    <w:rsid w:val="009937E1"/>
    <w:rsid w:val="00994623"/>
    <w:rsid w:val="00996128"/>
    <w:rsid w:val="009976BA"/>
    <w:rsid w:val="0099784B"/>
    <w:rsid w:val="009A1706"/>
    <w:rsid w:val="009A235A"/>
    <w:rsid w:val="009A33B2"/>
    <w:rsid w:val="009A3B13"/>
    <w:rsid w:val="009A4876"/>
    <w:rsid w:val="009A5751"/>
    <w:rsid w:val="009A5A3A"/>
    <w:rsid w:val="009A5BD2"/>
    <w:rsid w:val="009A6C56"/>
    <w:rsid w:val="009A7309"/>
    <w:rsid w:val="009B012A"/>
    <w:rsid w:val="009B04C5"/>
    <w:rsid w:val="009B183F"/>
    <w:rsid w:val="009B1D5F"/>
    <w:rsid w:val="009B25B1"/>
    <w:rsid w:val="009B2619"/>
    <w:rsid w:val="009B2883"/>
    <w:rsid w:val="009B2A05"/>
    <w:rsid w:val="009B2F4D"/>
    <w:rsid w:val="009B42A9"/>
    <w:rsid w:val="009B4622"/>
    <w:rsid w:val="009B4C5E"/>
    <w:rsid w:val="009B53AC"/>
    <w:rsid w:val="009B6113"/>
    <w:rsid w:val="009B646A"/>
    <w:rsid w:val="009B660B"/>
    <w:rsid w:val="009B7728"/>
    <w:rsid w:val="009B78C6"/>
    <w:rsid w:val="009C0467"/>
    <w:rsid w:val="009C1549"/>
    <w:rsid w:val="009C2D6D"/>
    <w:rsid w:val="009C2FEE"/>
    <w:rsid w:val="009C3053"/>
    <w:rsid w:val="009C36E1"/>
    <w:rsid w:val="009C3802"/>
    <w:rsid w:val="009C3B64"/>
    <w:rsid w:val="009C3EBA"/>
    <w:rsid w:val="009C44A5"/>
    <w:rsid w:val="009C46F7"/>
    <w:rsid w:val="009C5634"/>
    <w:rsid w:val="009C581E"/>
    <w:rsid w:val="009C75B4"/>
    <w:rsid w:val="009C7F16"/>
    <w:rsid w:val="009D1231"/>
    <w:rsid w:val="009D1A9D"/>
    <w:rsid w:val="009D20F6"/>
    <w:rsid w:val="009D2120"/>
    <w:rsid w:val="009D3333"/>
    <w:rsid w:val="009D4244"/>
    <w:rsid w:val="009D491A"/>
    <w:rsid w:val="009D4A1F"/>
    <w:rsid w:val="009D4C2E"/>
    <w:rsid w:val="009D4E61"/>
    <w:rsid w:val="009D55C8"/>
    <w:rsid w:val="009D5F02"/>
    <w:rsid w:val="009D669D"/>
    <w:rsid w:val="009D6DB9"/>
    <w:rsid w:val="009E0347"/>
    <w:rsid w:val="009E1180"/>
    <w:rsid w:val="009E1442"/>
    <w:rsid w:val="009E1764"/>
    <w:rsid w:val="009E19C5"/>
    <w:rsid w:val="009E1FA2"/>
    <w:rsid w:val="009E20C8"/>
    <w:rsid w:val="009E3172"/>
    <w:rsid w:val="009E34F3"/>
    <w:rsid w:val="009E3530"/>
    <w:rsid w:val="009E3FF1"/>
    <w:rsid w:val="009E40F7"/>
    <w:rsid w:val="009E4114"/>
    <w:rsid w:val="009E430A"/>
    <w:rsid w:val="009E44FD"/>
    <w:rsid w:val="009E5332"/>
    <w:rsid w:val="009E551B"/>
    <w:rsid w:val="009E6AD5"/>
    <w:rsid w:val="009E6BAF"/>
    <w:rsid w:val="009E759F"/>
    <w:rsid w:val="009F068E"/>
    <w:rsid w:val="009F08CC"/>
    <w:rsid w:val="009F18D9"/>
    <w:rsid w:val="009F1E0C"/>
    <w:rsid w:val="009F1FE2"/>
    <w:rsid w:val="009F201B"/>
    <w:rsid w:val="009F2442"/>
    <w:rsid w:val="009F25E1"/>
    <w:rsid w:val="009F2990"/>
    <w:rsid w:val="009F39F8"/>
    <w:rsid w:val="009F40F8"/>
    <w:rsid w:val="009F4523"/>
    <w:rsid w:val="009F4559"/>
    <w:rsid w:val="009F486B"/>
    <w:rsid w:val="009F6640"/>
    <w:rsid w:val="009F6B65"/>
    <w:rsid w:val="00A00395"/>
    <w:rsid w:val="00A00648"/>
    <w:rsid w:val="00A008D5"/>
    <w:rsid w:val="00A00951"/>
    <w:rsid w:val="00A00D78"/>
    <w:rsid w:val="00A012E4"/>
    <w:rsid w:val="00A029A5"/>
    <w:rsid w:val="00A029AF"/>
    <w:rsid w:val="00A031B8"/>
    <w:rsid w:val="00A03208"/>
    <w:rsid w:val="00A03CA5"/>
    <w:rsid w:val="00A051F3"/>
    <w:rsid w:val="00A0629A"/>
    <w:rsid w:val="00A063D7"/>
    <w:rsid w:val="00A065A4"/>
    <w:rsid w:val="00A06BDD"/>
    <w:rsid w:val="00A06F9F"/>
    <w:rsid w:val="00A07F35"/>
    <w:rsid w:val="00A10B94"/>
    <w:rsid w:val="00A10E9F"/>
    <w:rsid w:val="00A12680"/>
    <w:rsid w:val="00A14912"/>
    <w:rsid w:val="00A14991"/>
    <w:rsid w:val="00A15512"/>
    <w:rsid w:val="00A1589F"/>
    <w:rsid w:val="00A15C89"/>
    <w:rsid w:val="00A168B1"/>
    <w:rsid w:val="00A17409"/>
    <w:rsid w:val="00A179C3"/>
    <w:rsid w:val="00A2004C"/>
    <w:rsid w:val="00A20E3E"/>
    <w:rsid w:val="00A219AA"/>
    <w:rsid w:val="00A22448"/>
    <w:rsid w:val="00A24025"/>
    <w:rsid w:val="00A245A5"/>
    <w:rsid w:val="00A2476B"/>
    <w:rsid w:val="00A24A08"/>
    <w:rsid w:val="00A251FE"/>
    <w:rsid w:val="00A274BB"/>
    <w:rsid w:val="00A27BBB"/>
    <w:rsid w:val="00A27FD9"/>
    <w:rsid w:val="00A305C3"/>
    <w:rsid w:val="00A31966"/>
    <w:rsid w:val="00A31FEF"/>
    <w:rsid w:val="00A326B9"/>
    <w:rsid w:val="00A33C17"/>
    <w:rsid w:val="00A340D1"/>
    <w:rsid w:val="00A34125"/>
    <w:rsid w:val="00A3418E"/>
    <w:rsid w:val="00A343D6"/>
    <w:rsid w:val="00A35183"/>
    <w:rsid w:val="00A352B4"/>
    <w:rsid w:val="00A36E1F"/>
    <w:rsid w:val="00A36F8E"/>
    <w:rsid w:val="00A37C21"/>
    <w:rsid w:val="00A37DDA"/>
    <w:rsid w:val="00A40E99"/>
    <w:rsid w:val="00A410CB"/>
    <w:rsid w:val="00A414A9"/>
    <w:rsid w:val="00A41D51"/>
    <w:rsid w:val="00A426A7"/>
    <w:rsid w:val="00A42B82"/>
    <w:rsid w:val="00A43298"/>
    <w:rsid w:val="00A43556"/>
    <w:rsid w:val="00A43B80"/>
    <w:rsid w:val="00A4473C"/>
    <w:rsid w:val="00A4500B"/>
    <w:rsid w:val="00A45B00"/>
    <w:rsid w:val="00A45BBF"/>
    <w:rsid w:val="00A45EE7"/>
    <w:rsid w:val="00A4697D"/>
    <w:rsid w:val="00A47940"/>
    <w:rsid w:val="00A47C8D"/>
    <w:rsid w:val="00A47CC3"/>
    <w:rsid w:val="00A5123D"/>
    <w:rsid w:val="00A51E8F"/>
    <w:rsid w:val="00A52230"/>
    <w:rsid w:val="00A52921"/>
    <w:rsid w:val="00A5340B"/>
    <w:rsid w:val="00A53DBC"/>
    <w:rsid w:val="00A53EF0"/>
    <w:rsid w:val="00A53FEC"/>
    <w:rsid w:val="00A54E06"/>
    <w:rsid w:val="00A55367"/>
    <w:rsid w:val="00A55386"/>
    <w:rsid w:val="00A56066"/>
    <w:rsid w:val="00A56CB1"/>
    <w:rsid w:val="00A56DFC"/>
    <w:rsid w:val="00A60335"/>
    <w:rsid w:val="00A60393"/>
    <w:rsid w:val="00A6062F"/>
    <w:rsid w:val="00A61E01"/>
    <w:rsid w:val="00A62238"/>
    <w:rsid w:val="00A62D04"/>
    <w:rsid w:val="00A62F33"/>
    <w:rsid w:val="00A64A67"/>
    <w:rsid w:val="00A65512"/>
    <w:rsid w:val="00A656CC"/>
    <w:rsid w:val="00A65791"/>
    <w:rsid w:val="00A700AF"/>
    <w:rsid w:val="00A70206"/>
    <w:rsid w:val="00A70D63"/>
    <w:rsid w:val="00A714F4"/>
    <w:rsid w:val="00A72D36"/>
    <w:rsid w:val="00A73FCA"/>
    <w:rsid w:val="00A746A8"/>
    <w:rsid w:val="00A7471D"/>
    <w:rsid w:val="00A74EFD"/>
    <w:rsid w:val="00A74F9B"/>
    <w:rsid w:val="00A751AE"/>
    <w:rsid w:val="00A75612"/>
    <w:rsid w:val="00A75AF5"/>
    <w:rsid w:val="00A76375"/>
    <w:rsid w:val="00A76AEE"/>
    <w:rsid w:val="00A76B19"/>
    <w:rsid w:val="00A80843"/>
    <w:rsid w:val="00A80C02"/>
    <w:rsid w:val="00A80FAF"/>
    <w:rsid w:val="00A814A1"/>
    <w:rsid w:val="00A81993"/>
    <w:rsid w:val="00A81B82"/>
    <w:rsid w:val="00A81BFA"/>
    <w:rsid w:val="00A81DBB"/>
    <w:rsid w:val="00A82523"/>
    <w:rsid w:val="00A82715"/>
    <w:rsid w:val="00A827BF"/>
    <w:rsid w:val="00A83673"/>
    <w:rsid w:val="00A83D74"/>
    <w:rsid w:val="00A87AEA"/>
    <w:rsid w:val="00A90150"/>
    <w:rsid w:val="00A901BE"/>
    <w:rsid w:val="00A903CA"/>
    <w:rsid w:val="00A90BA9"/>
    <w:rsid w:val="00A91D65"/>
    <w:rsid w:val="00A92346"/>
    <w:rsid w:val="00A9424B"/>
    <w:rsid w:val="00A94323"/>
    <w:rsid w:val="00A950FC"/>
    <w:rsid w:val="00A95505"/>
    <w:rsid w:val="00A95F49"/>
    <w:rsid w:val="00A968C3"/>
    <w:rsid w:val="00A9739B"/>
    <w:rsid w:val="00A97661"/>
    <w:rsid w:val="00A97D4E"/>
    <w:rsid w:val="00AA00F5"/>
    <w:rsid w:val="00AA03B2"/>
    <w:rsid w:val="00AA1048"/>
    <w:rsid w:val="00AA1903"/>
    <w:rsid w:val="00AA20D9"/>
    <w:rsid w:val="00AA234C"/>
    <w:rsid w:val="00AA31E3"/>
    <w:rsid w:val="00AA3427"/>
    <w:rsid w:val="00AA3A39"/>
    <w:rsid w:val="00AA42ED"/>
    <w:rsid w:val="00AA4858"/>
    <w:rsid w:val="00AA48A5"/>
    <w:rsid w:val="00AA4C4F"/>
    <w:rsid w:val="00AA5801"/>
    <w:rsid w:val="00AA5849"/>
    <w:rsid w:val="00AA6321"/>
    <w:rsid w:val="00AA6A3F"/>
    <w:rsid w:val="00AA6A84"/>
    <w:rsid w:val="00AA6E92"/>
    <w:rsid w:val="00AA7699"/>
    <w:rsid w:val="00AB0747"/>
    <w:rsid w:val="00AB12C7"/>
    <w:rsid w:val="00AB2B76"/>
    <w:rsid w:val="00AB3201"/>
    <w:rsid w:val="00AB34A1"/>
    <w:rsid w:val="00AB414F"/>
    <w:rsid w:val="00AB484C"/>
    <w:rsid w:val="00AB4B18"/>
    <w:rsid w:val="00AB4DCE"/>
    <w:rsid w:val="00AB53A7"/>
    <w:rsid w:val="00AB5483"/>
    <w:rsid w:val="00AB62C9"/>
    <w:rsid w:val="00AB686E"/>
    <w:rsid w:val="00AB7801"/>
    <w:rsid w:val="00AC06AE"/>
    <w:rsid w:val="00AC278F"/>
    <w:rsid w:val="00AC33E2"/>
    <w:rsid w:val="00AC3424"/>
    <w:rsid w:val="00AC50B1"/>
    <w:rsid w:val="00AC6201"/>
    <w:rsid w:val="00AC691D"/>
    <w:rsid w:val="00AC6C7F"/>
    <w:rsid w:val="00AC6E0F"/>
    <w:rsid w:val="00AC7877"/>
    <w:rsid w:val="00AD0111"/>
    <w:rsid w:val="00AD087C"/>
    <w:rsid w:val="00AD09EE"/>
    <w:rsid w:val="00AD0D6B"/>
    <w:rsid w:val="00AD0E1A"/>
    <w:rsid w:val="00AD1309"/>
    <w:rsid w:val="00AD243D"/>
    <w:rsid w:val="00AD2989"/>
    <w:rsid w:val="00AD3364"/>
    <w:rsid w:val="00AD36F8"/>
    <w:rsid w:val="00AD3B5C"/>
    <w:rsid w:val="00AD4B58"/>
    <w:rsid w:val="00AD597E"/>
    <w:rsid w:val="00AD5CEC"/>
    <w:rsid w:val="00AD6CED"/>
    <w:rsid w:val="00AD701E"/>
    <w:rsid w:val="00AD7125"/>
    <w:rsid w:val="00AD7450"/>
    <w:rsid w:val="00AD75C6"/>
    <w:rsid w:val="00AD77F0"/>
    <w:rsid w:val="00AE0D32"/>
    <w:rsid w:val="00AE1165"/>
    <w:rsid w:val="00AE2F00"/>
    <w:rsid w:val="00AE318F"/>
    <w:rsid w:val="00AE414F"/>
    <w:rsid w:val="00AE5139"/>
    <w:rsid w:val="00AE6360"/>
    <w:rsid w:val="00AE662A"/>
    <w:rsid w:val="00AE6967"/>
    <w:rsid w:val="00AE6B45"/>
    <w:rsid w:val="00AE7481"/>
    <w:rsid w:val="00AE771D"/>
    <w:rsid w:val="00AE7809"/>
    <w:rsid w:val="00AE7EBA"/>
    <w:rsid w:val="00AF09A7"/>
    <w:rsid w:val="00AF0C95"/>
    <w:rsid w:val="00AF147B"/>
    <w:rsid w:val="00AF28C6"/>
    <w:rsid w:val="00AF31D9"/>
    <w:rsid w:val="00AF3E5B"/>
    <w:rsid w:val="00AF3E89"/>
    <w:rsid w:val="00AF6061"/>
    <w:rsid w:val="00AF671B"/>
    <w:rsid w:val="00AF76FB"/>
    <w:rsid w:val="00B02146"/>
    <w:rsid w:val="00B0243F"/>
    <w:rsid w:val="00B04311"/>
    <w:rsid w:val="00B04539"/>
    <w:rsid w:val="00B048C2"/>
    <w:rsid w:val="00B04D8F"/>
    <w:rsid w:val="00B05688"/>
    <w:rsid w:val="00B05BAD"/>
    <w:rsid w:val="00B06BE1"/>
    <w:rsid w:val="00B0725C"/>
    <w:rsid w:val="00B07A3A"/>
    <w:rsid w:val="00B11056"/>
    <w:rsid w:val="00B11ACA"/>
    <w:rsid w:val="00B11BDB"/>
    <w:rsid w:val="00B12A69"/>
    <w:rsid w:val="00B12DA2"/>
    <w:rsid w:val="00B12DAD"/>
    <w:rsid w:val="00B137BF"/>
    <w:rsid w:val="00B14BBE"/>
    <w:rsid w:val="00B15249"/>
    <w:rsid w:val="00B164F4"/>
    <w:rsid w:val="00B1695F"/>
    <w:rsid w:val="00B16EAE"/>
    <w:rsid w:val="00B175DD"/>
    <w:rsid w:val="00B202C0"/>
    <w:rsid w:val="00B20CF1"/>
    <w:rsid w:val="00B21D15"/>
    <w:rsid w:val="00B22597"/>
    <w:rsid w:val="00B22A94"/>
    <w:rsid w:val="00B2304F"/>
    <w:rsid w:val="00B23ED8"/>
    <w:rsid w:val="00B24A33"/>
    <w:rsid w:val="00B25108"/>
    <w:rsid w:val="00B25411"/>
    <w:rsid w:val="00B25460"/>
    <w:rsid w:val="00B25C16"/>
    <w:rsid w:val="00B25D44"/>
    <w:rsid w:val="00B25E8B"/>
    <w:rsid w:val="00B27BF6"/>
    <w:rsid w:val="00B30767"/>
    <w:rsid w:val="00B3085E"/>
    <w:rsid w:val="00B3254A"/>
    <w:rsid w:val="00B3535A"/>
    <w:rsid w:val="00B35644"/>
    <w:rsid w:val="00B35DE1"/>
    <w:rsid w:val="00B368D2"/>
    <w:rsid w:val="00B36E09"/>
    <w:rsid w:val="00B37D0C"/>
    <w:rsid w:val="00B37E0E"/>
    <w:rsid w:val="00B4127B"/>
    <w:rsid w:val="00B42526"/>
    <w:rsid w:val="00B425D4"/>
    <w:rsid w:val="00B43013"/>
    <w:rsid w:val="00B44E7E"/>
    <w:rsid w:val="00B45197"/>
    <w:rsid w:val="00B4594B"/>
    <w:rsid w:val="00B4658C"/>
    <w:rsid w:val="00B4712A"/>
    <w:rsid w:val="00B502CC"/>
    <w:rsid w:val="00B5079E"/>
    <w:rsid w:val="00B50D08"/>
    <w:rsid w:val="00B50EDF"/>
    <w:rsid w:val="00B50F4A"/>
    <w:rsid w:val="00B514C1"/>
    <w:rsid w:val="00B5160A"/>
    <w:rsid w:val="00B51E88"/>
    <w:rsid w:val="00B5276A"/>
    <w:rsid w:val="00B52C61"/>
    <w:rsid w:val="00B53C58"/>
    <w:rsid w:val="00B54A94"/>
    <w:rsid w:val="00B54C23"/>
    <w:rsid w:val="00B54D31"/>
    <w:rsid w:val="00B55E51"/>
    <w:rsid w:val="00B5677C"/>
    <w:rsid w:val="00B57F82"/>
    <w:rsid w:val="00B6131F"/>
    <w:rsid w:val="00B6204F"/>
    <w:rsid w:val="00B65B75"/>
    <w:rsid w:val="00B67093"/>
    <w:rsid w:val="00B670C1"/>
    <w:rsid w:val="00B67173"/>
    <w:rsid w:val="00B67313"/>
    <w:rsid w:val="00B67C40"/>
    <w:rsid w:val="00B71A01"/>
    <w:rsid w:val="00B72068"/>
    <w:rsid w:val="00B72703"/>
    <w:rsid w:val="00B73619"/>
    <w:rsid w:val="00B73713"/>
    <w:rsid w:val="00B73AF3"/>
    <w:rsid w:val="00B748AD"/>
    <w:rsid w:val="00B74C99"/>
    <w:rsid w:val="00B74CFA"/>
    <w:rsid w:val="00B76026"/>
    <w:rsid w:val="00B7646E"/>
    <w:rsid w:val="00B764DD"/>
    <w:rsid w:val="00B768F8"/>
    <w:rsid w:val="00B77B7C"/>
    <w:rsid w:val="00B80101"/>
    <w:rsid w:val="00B80664"/>
    <w:rsid w:val="00B8088E"/>
    <w:rsid w:val="00B80D2D"/>
    <w:rsid w:val="00B80D45"/>
    <w:rsid w:val="00B8157D"/>
    <w:rsid w:val="00B81763"/>
    <w:rsid w:val="00B82424"/>
    <w:rsid w:val="00B82E72"/>
    <w:rsid w:val="00B8467B"/>
    <w:rsid w:val="00B84F90"/>
    <w:rsid w:val="00B86126"/>
    <w:rsid w:val="00B86EA5"/>
    <w:rsid w:val="00B90178"/>
    <w:rsid w:val="00B90EF4"/>
    <w:rsid w:val="00B912E8"/>
    <w:rsid w:val="00B91D36"/>
    <w:rsid w:val="00B92A88"/>
    <w:rsid w:val="00B94724"/>
    <w:rsid w:val="00B94F8F"/>
    <w:rsid w:val="00B956B5"/>
    <w:rsid w:val="00B95964"/>
    <w:rsid w:val="00B960AD"/>
    <w:rsid w:val="00B96867"/>
    <w:rsid w:val="00B9723F"/>
    <w:rsid w:val="00B9729E"/>
    <w:rsid w:val="00B978A6"/>
    <w:rsid w:val="00BA07E1"/>
    <w:rsid w:val="00BA0DFE"/>
    <w:rsid w:val="00BA1EA8"/>
    <w:rsid w:val="00BA25A1"/>
    <w:rsid w:val="00BA3EE7"/>
    <w:rsid w:val="00BA41DF"/>
    <w:rsid w:val="00BA443A"/>
    <w:rsid w:val="00BA4AC6"/>
    <w:rsid w:val="00BA4FBB"/>
    <w:rsid w:val="00BA5FAB"/>
    <w:rsid w:val="00BA61A6"/>
    <w:rsid w:val="00BA654E"/>
    <w:rsid w:val="00BA6D8A"/>
    <w:rsid w:val="00BA7D0F"/>
    <w:rsid w:val="00BB007C"/>
    <w:rsid w:val="00BB0D06"/>
    <w:rsid w:val="00BB0FCF"/>
    <w:rsid w:val="00BB1063"/>
    <w:rsid w:val="00BB149D"/>
    <w:rsid w:val="00BB1781"/>
    <w:rsid w:val="00BB1F3C"/>
    <w:rsid w:val="00BB2577"/>
    <w:rsid w:val="00BB38E8"/>
    <w:rsid w:val="00BB3EFB"/>
    <w:rsid w:val="00BB4359"/>
    <w:rsid w:val="00BB5AA8"/>
    <w:rsid w:val="00BB65E6"/>
    <w:rsid w:val="00BB74F1"/>
    <w:rsid w:val="00BB74F7"/>
    <w:rsid w:val="00BB7696"/>
    <w:rsid w:val="00BB78B0"/>
    <w:rsid w:val="00BB7AC0"/>
    <w:rsid w:val="00BB7F88"/>
    <w:rsid w:val="00BC01B8"/>
    <w:rsid w:val="00BC0435"/>
    <w:rsid w:val="00BC1FEC"/>
    <w:rsid w:val="00BC218F"/>
    <w:rsid w:val="00BC2611"/>
    <w:rsid w:val="00BC3017"/>
    <w:rsid w:val="00BC30D4"/>
    <w:rsid w:val="00BC3880"/>
    <w:rsid w:val="00BC3AA5"/>
    <w:rsid w:val="00BC3FAE"/>
    <w:rsid w:val="00BC4D49"/>
    <w:rsid w:val="00BC52B0"/>
    <w:rsid w:val="00BC54AF"/>
    <w:rsid w:val="00BC638F"/>
    <w:rsid w:val="00BC640C"/>
    <w:rsid w:val="00BC65ED"/>
    <w:rsid w:val="00BC7431"/>
    <w:rsid w:val="00BC7928"/>
    <w:rsid w:val="00BC7AC9"/>
    <w:rsid w:val="00BD0ABF"/>
    <w:rsid w:val="00BD163D"/>
    <w:rsid w:val="00BD1B2D"/>
    <w:rsid w:val="00BD1C4D"/>
    <w:rsid w:val="00BD2CD6"/>
    <w:rsid w:val="00BD3D48"/>
    <w:rsid w:val="00BD3E63"/>
    <w:rsid w:val="00BD3F5B"/>
    <w:rsid w:val="00BD43B5"/>
    <w:rsid w:val="00BD4BEC"/>
    <w:rsid w:val="00BD5634"/>
    <w:rsid w:val="00BD66C5"/>
    <w:rsid w:val="00BD6A0B"/>
    <w:rsid w:val="00BD7567"/>
    <w:rsid w:val="00BD75EA"/>
    <w:rsid w:val="00BE0F48"/>
    <w:rsid w:val="00BE1AE3"/>
    <w:rsid w:val="00BE1FA0"/>
    <w:rsid w:val="00BE2A34"/>
    <w:rsid w:val="00BE2D87"/>
    <w:rsid w:val="00BE3182"/>
    <w:rsid w:val="00BE335B"/>
    <w:rsid w:val="00BE4CA8"/>
    <w:rsid w:val="00BE4D97"/>
    <w:rsid w:val="00BE4FEF"/>
    <w:rsid w:val="00BE521F"/>
    <w:rsid w:val="00BE54E1"/>
    <w:rsid w:val="00BE6813"/>
    <w:rsid w:val="00BE6ACE"/>
    <w:rsid w:val="00BE6C91"/>
    <w:rsid w:val="00BE78D2"/>
    <w:rsid w:val="00BE7E24"/>
    <w:rsid w:val="00BF0093"/>
    <w:rsid w:val="00BF0BA2"/>
    <w:rsid w:val="00BF14E2"/>
    <w:rsid w:val="00BF2D6E"/>
    <w:rsid w:val="00BF2F2E"/>
    <w:rsid w:val="00BF30A9"/>
    <w:rsid w:val="00BF30E4"/>
    <w:rsid w:val="00BF3ED0"/>
    <w:rsid w:val="00BF587C"/>
    <w:rsid w:val="00BF5C80"/>
    <w:rsid w:val="00BF665E"/>
    <w:rsid w:val="00BF6781"/>
    <w:rsid w:val="00BF67E8"/>
    <w:rsid w:val="00BF7781"/>
    <w:rsid w:val="00C00199"/>
    <w:rsid w:val="00C008B5"/>
    <w:rsid w:val="00C01025"/>
    <w:rsid w:val="00C01CE9"/>
    <w:rsid w:val="00C01E26"/>
    <w:rsid w:val="00C022E0"/>
    <w:rsid w:val="00C03889"/>
    <w:rsid w:val="00C03ABE"/>
    <w:rsid w:val="00C03B89"/>
    <w:rsid w:val="00C0411B"/>
    <w:rsid w:val="00C046FB"/>
    <w:rsid w:val="00C04FDF"/>
    <w:rsid w:val="00C05D62"/>
    <w:rsid w:val="00C0685E"/>
    <w:rsid w:val="00C07204"/>
    <w:rsid w:val="00C07989"/>
    <w:rsid w:val="00C11927"/>
    <w:rsid w:val="00C11931"/>
    <w:rsid w:val="00C12235"/>
    <w:rsid w:val="00C12827"/>
    <w:rsid w:val="00C12A6B"/>
    <w:rsid w:val="00C14A82"/>
    <w:rsid w:val="00C16C3B"/>
    <w:rsid w:val="00C17453"/>
    <w:rsid w:val="00C213AB"/>
    <w:rsid w:val="00C214BC"/>
    <w:rsid w:val="00C22297"/>
    <w:rsid w:val="00C22811"/>
    <w:rsid w:val="00C23097"/>
    <w:rsid w:val="00C238E8"/>
    <w:rsid w:val="00C241F6"/>
    <w:rsid w:val="00C24C4A"/>
    <w:rsid w:val="00C251A9"/>
    <w:rsid w:val="00C255BD"/>
    <w:rsid w:val="00C25797"/>
    <w:rsid w:val="00C259CA"/>
    <w:rsid w:val="00C25E0A"/>
    <w:rsid w:val="00C304CC"/>
    <w:rsid w:val="00C30F16"/>
    <w:rsid w:val="00C311C6"/>
    <w:rsid w:val="00C31D48"/>
    <w:rsid w:val="00C325D3"/>
    <w:rsid w:val="00C32E17"/>
    <w:rsid w:val="00C34547"/>
    <w:rsid w:val="00C347E3"/>
    <w:rsid w:val="00C35353"/>
    <w:rsid w:val="00C3558F"/>
    <w:rsid w:val="00C36F50"/>
    <w:rsid w:val="00C36F71"/>
    <w:rsid w:val="00C37595"/>
    <w:rsid w:val="00C3765E"/>
    <w:rsid w:val="00C3788B"/>
    <w:rsid w:val="00C40E2B"/>
    <w:rsid w:val="00C41072"/>
    <w:rsid w:val="00C41215"/>
    <w:rsid w:val="00C4157B"/>
    <w:rsid w:val="00C4158B"/>
    <w:rsid w:val="00C416C8"/>
    <w:rsid w:val="00C41C86"/>
    <w:rsid w:val="00C4287D"/>
    <w:rsid w:val="00C42C1D"/>
    <w:rsid w:val="00C42C91"/>
    <w:rsid w:val="00C4375E"/>
    <w:rsid w:val="00C44EE4"/>
    <w:rsid w:val="00C463AE"/>
    <w:rsid w:val="00C4657B"/>
    <w:rsid w:val="00C468CF"/>
    <w:rsid w:val="00C475B2"/>
    <w:rsid w:val="00C477C2"/>
    <w:rsid w:val="00C47B9C"/>
    <w:rsid w:val="00C51C2E"/>
    <w:rsid w:val="00C52229"/>
    <w:rsid w:val="00C52253"/>
    <w:rsid w:val="00C522A8"/>
    <w:rsid w:val="00C52395"/>
    <w:rsid w:val="00C52663"/>
    <w:rsid w:val="00C52938"/>
    <w:rsid w:val="00C5293D"/>
    <w:rsid w:val="00C53A97"/>
    <w:rsid w:val="00C5458F"/>
    <w:rsid w:val="00C5673E"/>
    <w:rsid w:val="00C56B5D"/>
    <w:rsid w:val="00C56D35"/>
    <w:rsid w:val="00C5748A"/>
    <w:rsid w:val="00C600A6"/>
    <w:rsid w:val="00C60284"/>
    <w:rsid w:val="00C606AB"/>
    <w:rsid w:val="00C62AC6"/>
    <w:rsid w:val="00C62E94"/>
    <w:rsid w:val="00C6305E"/>
    <w:rsid w:val="00C632E2"/>
    <w:rsid w:val="00C63D29"/>
    <w:rsid w:val="00C63F16"/>
    <w:rsid w:val="00C6402E"/>
    <w:rsid w:val="00C64460"/>
    <w:rsid w:val="00C647B3"/>
    <w:rsid w:val="00C6609D"/>
    <w:rsid w:val="00C669EB"/>
    <w:rsid w:val="00C6766C"/>
    <w:rsid w:val="00C67F92"/>
    <w:rsid w:val="00C703F6"/>
    <w:rsid w:val="00C706BC"/>
    <w:rsid w:val="00C70C56"/>
    <w:rsid w:val="00C71A7F"/>
    <w:rsid w:val="00C7217D"/>
    <w:rsid w:val="00C72B26"/>
    <w:rsid w:val="00C73944"/>
    <w:rsid w:val="00C73C37"/>
    <w:rsid w:val="00C73D1A"/>
    <w:rsid w:val="00C74909"/>
    <w:rsid w:val="00C75450"/>
    <w:rsid w:val="00C757C6"/>
    <w:rsid w:val="00C76611"/>
    <w:rsid w:val="00C76FAE"/>
    <w:rsid w:val="00C800B0"/>
    <w:rsid w:val="00C80145"/>
    <w:rsid w:val="00C80551"/>
    <w:rsid w:val="00C80B8A"/>
    <w:rsid w:val="00C80F0C"/>
    <w:rsid w:val="00C8197F"/>
    <w:rsid w:val="00C836A6"/>
    <w:rsid w:val="00C84669"/>
    <w:rsid w:val="00C84804"/>
    <w:rsid w:val="00C84E9A"/>
    <w:rsid w:val="00C85227"/>
    <w:rsid w:val="00C8587A"/>
    <w:rsid w:val="00C85D02"/>
    <w:rsid w:val="00C86A1D"/>
    <w:rsid w:val="00C8703E"/>
    <w:rsid w:val="00C900B4"/>
    <w:rsid w:val="00C902BD"/>
    <w:rsid w:val="00C9032A"/>
    <w:rsid w:val="00C91778"/>
    <w:rsid w:val="00C92548"/>
    <w:rsid w:val="00C925A1"/>
    <w:rsid w:val="00C93E91"/>
    <w:rsid w:val="00C94BF7"/>
    <w:rsid w:val="00C95335"/>
    <w:rsid w:val="00C95633"/>
    <w:rsid w:val="00C96A61"/>
    <w:rsid w:val="00C97429"/>
    <w:rsid w:val="00C97676"/>
    <w:rsid w:val="00CA101F"/>
    <w:rsid w:val="00CA2D07"/>
    <w:rsid w:val="00CA30AE"/>
    <w:rsid w:val="00CA3898"/>
    <w:rsid w:val="00CA49F5"/>
    <w:rsid w:val="00CA5C38"/>
    <w:rsid w:val="00CA61AA"/>
    <w:rsid w:val="00CA7AE5"/>
    <w:rsid w:val="00CA7D3D"/>
    <w:rsid w:val="00CB0B0A"/>
    <w:rsid w:val="00CB0C1A"/>
    <w:rsid w:val="00CB132E"/>
    <w:rsid w:val="00CB1A79"/>
    <w:rsid w:val="00CB1DD5"/>
    <w:rsid w:val="00CB31B5"/>
    <w:rsid w:val="00CB3E13"/>
    <w:rsid w:val="00CB3FE3"/>
    <w:rsid w:val="00CB4049"/>
    <w:rsid w:val="00CB4438"/>
    <w:rsid w:val="00CB4992"/>
    <w:rsid w:val="00CB4CFA"/>
    <w:rsid w:val="00CB55AE"/>
    <w:rsid w:val="00CB57A9"/>
    <w:rsid w:val="00CB5CE6"/>
    <w:rsid w:val="00CB7247"/>
    <w:rsid w:val="00CC0A5A"/>
    <w:rsid w:val="00CC0B6E"/>
    <w:rsid w:val="00CC0BC2"/>
    <w:rsid w:val="00CC1339"/>
    <w:rsid w:val="00CC17A3"/>
    <w:rsid w:val="00CC20FD"/>
    <w:rsid w:val="00CC3541"/>
    <w:rsid w:val="00CC3AC0"/>
    <w:rsid w:val="00CC40EA"/>
    <w:rsid w:val="00CC448E"/>
    <w:rsid w:val="00CC4B45"/>
    <w:rsid w:val="00CC5910"/>
    <w:rsid w:val="00CC5C9F"/>
    <w:rsid w:val="00CC6213"/>
    <w:rsid w:val="00CC67BE"/>
    <w:rsid w:val="00CD0164"/>
    <w:rsid w:val="00CD08CC"/>
    <w:rsid w:val="00CD16D4"/>
    <w:rsid w:val="00CD1CC7"/>
    <w:rsid w:val="00CD1D7F"/>
    <w:rsid w:val="00CD2994"/>
    <w:rsid w:val="00CD2B4D"/>
    <w:rsid w:val="00CD2DE3"/>
    <w:rsid w:val="00CD3354"/>
    <w:rsid w:val="00CD35E4"/>
    <w:rsid w:val="00CD37C1"/>
    <w:rsid w:val="00CD3F70"/>
    <w:rsid w:val="00CD4C0C"/>
    <w:rsid w:val="00CD524B"/>
    <w:rsid w:val="00CD609A"/>
    <w:rsid w:val="00CD65CC"/>
    <w:rsid w:val="00CD6841"/>
    <w:rsid w:val="00CD697B"/>
    <w:rsid w:val="00CD6BD1"/>
    <w:rsid w:val="00CD6EB3"/>
    <w:rsid w:val="00CD6F6D"/>
    <w:rsid w:val="00CE0410"/>
    <w:rsid w:val="00CE1864"/>
    <w:rsid w:val="00CE1C88"/>
    <w:rsid w:val="00CE2175"/>
    <w:rsid w:val="00CE2882"/>
    <w:rsid w:val="00CE312B"/>
    <w:rsid w:val="00CE3531"/>
    <w:rsid w:val="00CE3D64"/>
    <w:rsid w:val="00CE45C5"/>
    <w:rsid w:val="00CE5193"/>
    <w:rsid w:val="00CE5909"/>
    <w:rsid w:val="00CE64F5"/>
    <w:rsid w:val="00CE64FA"/>
    <w:rsid w:val="00CE6514"/>
    <w:rsid w:val="00CE6A94"/>
    <w:rsid w:val="00CE6DEE"/>
    <w:rsid w:val="00CE7286"/>
    <w:rsid w:val="00CE777B"/>
    <w:rsid w:val="00CF0B3B"/>
    <w:rsid w:val="00CF0C26"/>
    <w:rsid w:val="00CF0E10"/>
    <w:rsid w:val="00CF0E1D"/>
    <w:rsid w:val="00CF38F4"/>
    <w:rsid w:val="00CF4BF2"/>
    <w:rsid w:val="00CF56E8"/>
    <w:rsid w:val="00CF5C13"/>
    <w:rsid w:val="00CF5F4C"/>
    <w:rsid w:val="00CF68A7"/>
    <w:rsid w:val="00CF699C"/>
    <w:rsid w:val="00CF6F68"/>
    <w:rsid w:val="00CF7357"/>
    <w:rsid w:val="00D00F70"/>
    <w:rsid w:val="00D0169B"/>
    <w:rsid w:val="00D023EF"/>
    <w:rsid w:val="00D02408"/>
    <w:rsid w:val="00D02A4F"/>
    <w:rsid w:val="00D035F7"/>
    <w:rsid w:val="00D04271"/>
    <w:rsid w:val="00D05042"/>
    <w:rsid w:val="00D06C01"/>
    <w:rsid w:val="00D06C3D"/>
    <w:rsid w:val="00D107C9"/>
    <w:rsid w:val="00D10EB2"/>
    <w:rsid w:val="00D114E3"/>
    <w:rsid w:val="00D121CB"/>
    <w:rsid w:val="00D1253A"/>
    <w:rsid w:val="00D12EA8"/>
    <w:rsid w:val="00D143AC"/>
    <w:rsid w:val="00D14B7B"/>
    <w:rsid w:val="00D15AA5"/>
    <w:rsid w:val="00D16A0D"/>
    <w:rsid w:val="00D16FB2"/>
    <w:rsid w:val="00D20001"/>
    <w:rsid w:val="00D20BD8"/>
    <w:rsid w:val="00D20CDF"/>
    <w:rsid w:val="00D21192"/>
    <w:rsid w:val="00D21B23"/>
    <w:rsid w:val="00D2232E"/>
    <w:rsid w:val="00D2240F"/>
    <w:rsid w:val="00D22CC7"/>
    <w:rsid w:val="00D23594"/>
    <w:rsid w:val="00D23FB7"/>
    <w:rsid w:val="00D24373"/>
    <w:rsid w:val="00D24405"/>
    <w:rsid w:val="00D246E5"/>
    <w:rsid w:val="00D24AC3"/>
    <w:rsid w:val="00D24B16"/>
    <w:rsid w:val="00D271AD"/>
    <w:rsid w:val="00D30085"/>
    <w:rsid w:val="00D314C1"/>
    <w:rsid w:val="00D33100"/>
    <w:rsid w:val="00D33431"/>
    <w:rsid w:val="00D342CE"/>
    <w:rsid w:val="00D347BA"/>
    <w:rsid w:val="00D34DF9"/>
    <w:rsid w:val="00D36571"/>
    <w:rsid w:val="00D36DEF"/>
    <w:rsid w:val="00D36EE3"/>
    <w:rsid w:val="00D37724"/>
    <w:rsid w:val="00D40C2D"/>
    <w:rsid w:val="00D40E08"/>
    <w:rsid w:val="00D42B14"/>
    <w:rsid w:val="00D42DF5"/>
    <w:rsid w:val="00D42E25"/>
    <w:rsid w:val="00D42EE9"/>
    <w:rsid w:val="00D4388E"/>
    <w:rsid w:val="00D44094"/>
    <w:rsid w:val="00D44E42"/>
    <w:rsid w:val="00D45D45"/>
    <w:rsid w:val="00D45E4F"/>
    <w:rsid w:val="00D464AA"/>
    <w:rsid w:val="00D4769B"/>
    <w:rsid w:val="00D47F4A"/>
    <w:rsid w:val="00D502F7"/>
    <w:rsid w:val="00D5117D"/>
    <w:rsid w:val="00D51651"/>
    <w:rsid w:val="00D516A8"/>
    <w:rsid w:val="00D5177C"/>
    <w:rsid w:val="00D52CE7"/>
    <w:rsid w:val="00D5367B"/>
    <w:rsid w:val="00D538E6"/>
    <w:rsid w:val="00D55CD8"/>
    <w:rsid w:val="00D56501"/>
    <w:rsid w:val="00D56C68"/>
    <w:rsid w:val="00D57077"/>
    <w:rsid w:val="00D57946"/>
    <w:rsid w:val="00D60C20"/>
    <w:rsid w:val="00D64A72"/>
    <w:rsid w:val="00D65519"/>
    <w:rsid w:val="00D65EAB"/>
    <w:rsid w:val="00D6735C"/>
    <w:rsid w:val="00D67830"/>
    <w:rsid w:val="00D67D07"/>
    <w:rsid w:val="00D70015"/>
    <w:rsid w:val="00D70356"/>
    <w:rsid w:val="00D70886"/>
    <w:rsid w:val="00D726D2"/>
    <w:rsid w:val="00D73BA6"/>
    <w:rsid w:val="00D74F76"/>
    <w:rsid w:val="00D74FBA"/>
    <w:rsid w:val="00D75BB2"/>
    <w:rsid w:val="00D75BEB"/>
    <w:rsid w:val="00D77570"/>
    <w:rsid w:val="00D77815"/>
    <w:rsid w:val="00D80879"/>
    <w:rsid w:val="00D808A6"/>
    <w:rsid w:val="00D81D14"/>
    <w:rsid w:val="00D81FD3"/>
    <w:rsid w:val="00D8280D"/>
    <w:rsid w:val="00D82DE1"/>
    <w:rsid w:val="00D8385A"/>
    <w:rsid w:val="00D838E5"/>
    <w:rsid w:val="00D83CD2"/>
    <w:rsid w:val="00D84ADA"/>
    <w:rsid w:val="00D85770"/>
    <w:rsid w:val="00D85E66"/>
    <w:rsid w:val="00D86471"/>
    <w:rsid w:val="00D86A99"/>
    <w:rsid w:val="00D86BFE"/>
    <w:rsid w:val="00D878D3"/>
    <w:rsid w:val="00D879AF"/>
    <w:rsid w:val="00D87C13"/>
    <w:rsid w:val="00D90050"/>
    <w:rsid w:val="00D90C3A"/>
    <w:rsid w:val="00D92A7B"/>
    <w:rsid w:val="00D930E0"/>
    <w:rsid w:val="00D932FA"/>
    <w:rsid w:val="00D941CD"/>
    <w:rsid w:val="00D94C69"/>
    <w:rsid w:val="00D950DB"/>
    <w:rsid w:val="00D95246"/>
    <w:rsid w:val="00D9595F"/>
    <w:rsid w:val="00D95F98"/>
    <w:rsid w:val="00D96F8B"/>
    <w:rsid w:val="00D97069"/>
    <w:rsid w:val="00D973A8"/>
    <w:rsid w:val="00D977B7"/>
    <w:rsid w:val="00D97E05"/>
    <w:rsid w:val="00D97FA8"/>
    <w:rsid w:val="00DA0023"/>
    <w:rsid w:val="00DA01EA"/>
    <w:rsid w:val="00DA0471"/>
    <w:rsid w:val="00DA0538"/>
    <w:rsid w:val="00DA0A6D"/>
    <w:rsid w:val="00DA219A"/>
    <w:rsid w:val="00DA2AC6"/>
    <w:rsid w:val="00DA305D"/>
    <w:rsid w:val="00DA310E"/>
    <w:rsid w:val="00DA3B0A"/>
    <w:rsid w:val="00DA47FD"/>
    <w:rsid w:val="00DA53B7"/>
    <w:rsid w:val="00DA6B59"/>
    <w:rsid w:val="00DA6C28"/>
    <w:rsid w:val="00DA7C53"/>
    <w:rsid w:val="00DA7E52"/>
    <w:rsid w:val="00DB0557"/>
    <w:rsid w:val="00DB065C"/>
    <w:rsid w:val="00DB0AC4"/>
    <w:rsid w:val="00DB0D71"/>
    <w:rsid w:val="00DB25AA"/>
    <w:rsid w:val="00DB2630"/>
    <w:rsid w:val="00DB2DCE"/>
    <w:rsid w:val="00DB4AAE"/>
    <w:rsid w:val="00DB4D8D"/>
    <w:rsid w:val="00DB56AC"/>
    <w:rsid w:val="00DB5965"/>
    <w:rsid w:val="00DB63C8"/>
    <w:rsid w:val="00DB68C3"/>
    <w:rsid w:val="00DB6A80"/>
    <w:rsid w:val="00DB70B9"/>
    <w:rsid w:val="00DB7508"/>
    <w:rsid w:val="00DB7B28"/>
    <w:rsid w:val="00DC0515"/>
    <w:rsid w:val="00DC0E5D"/>
    <w:rsid w:val="00DC27C4"/>
    <w:rsid w:val="00DC29F8"/>
    <w:rsid w:val="00DC3DA4"/>
    <w:rsid w:val="00DC49A4"/>
    <w:rsid w:val="00DC53A0"/>
    <w:rsid w:val="00DC644E"/>
    <w:rsid w:val="00DC65BA"/>
    <w:rsid w:val="00DC6CCB"/>
    <w:rsid w:val="00DD03F5"/>
    <w:rsid w:val="00DD04DE"/>
    <w:rsid w:val="00DD0FB7"/>
    <w:rsid w:val="00DD0FEB"/>
    <w:rsid w:val="00DD1CD2"/>
    <w:rsid w:val="00DD2999"/>
    <w:rsid w:val="00DD2AEB"/>
    <w:rsid w:val="00DD2BB5"/>
    <w:rsid w:val="00DD2C94"/>
    <w:rsid w:val="00DD2EC4"/>
    <w:rsid w:val="00DD4B5D"/>
    <w:rsid w:val="00DD4C2F"/>
    <w:rsid w:val="00DD4F45"/>
    <w:rsid w:val="00DD5336"/>
    <w:rsid w:val="00DD5C79"/>
    <w:rsid w:val="00DD62D0"/>
    <w:rsid w:val="00DD62FD"/>
    <w:rsid w:val="00DD6FF9"/>
    <w:rsid w:val="00DD7368"/>
    <w:rsid w:val="00DD7414"/>
    <w:rsid w:val="00DD7429"/>
    <w:rsid w:val="00DE2028"/>
    <w:rsid w:val="00DE2480"/>
    <w:rsid w:val="00DE266B"/>
    <w:rsid w:val="00DE3365"/>
    <w:rsid w:val="00DE458A"/>
    <w:rsid w:val="00DE5227"/>
    <w:rsid w:val="00DE5277"/>
    <w:rsid w:val="00DE5E24"/>
    <w:rsid w:val="00DF00C1"/>
    <w:rsid w:val="00DF011F"/>
    <w:rsid w:val="00DF06B5"/>
    <w:rsid w:val="00DF0C27"/>
    <w:rsid w:val="00DF0CDE"/>
    <w:rsid w:val="00DF0EA4"/>
    <w:rsid w:val="00DF120B"/>
    <w:rsid w:val="00DF142D"/>
    <w:rsid w:val="00DF265B"/>
    <w:rsid w:val="00DF37C9"/>
    <w:rsid w:val="00DF3957"/>
    <w:rsid w:val="00DF396B"/>
    <w:rsid w:val="00DF3D3D"/>
    <w:rsid w:val="00DF4B9B"/>
    <w:rsid w:val="00DF4E1C"/>
    <w:rsid w:val="00DF52D2"/>
    <w:rsid w:val="00DF5436"/>
    <w:rsid w:val="00DF546D"/>
    <w:rsid w:val="00DF57AE"/>
    <w:rsid w:val="00DF6108"/>
    <w:rsid w:val="00DF6E8D"/>
    <w:rsid w:val="00DF73B8"/>
    <w:rsid w:val="00DF74C6"/>
    <w:rsid w:val="00DF7FB2"/>
    <w:rsid w:val="00E000E0"/>
    <w:rsid w:val="00E007C3"/>
    <w:rsid w:val="00E00C60"/>
    <w:rsid w:val="00E00FB6"/>
    <w:rsid w:val="00E01FAD"/>
    <w:rsid w:val="00E01FFF"/>
    <w:rsid w:val="00E03D57"/>
    <w:rsid w:val="00E04463"/>
    <w:rsid w:val="00E04EA8"/>
    <w:rsid w:val="00E061BB"/>
    <w:rsid w:val="00E07218"/>
    <w:rsid w:val="00E073CA"/>
    <w:rsid w:val="00E1050F"/>
    <w:rsid w:val="00E105D7"/>
    <w:rsid w:val="00E11BEB"/>
    <w:rsid w:val="00E1368E"/>
    <w:rsid w:val="00E13A77"/>
    <w:rsid w:val="00E143DC"/>
    <w:rsid w:val="00E15444"/>
    <w:rsid w:val="00E15B02"/>
    <w:rsid w:val="00E15D39"/>
    <w:rsid w:val="00E16A9D"/>
    <w:rsid w:val="00E16FAF"/>
    <w:rsid w:val="00E1720B"/>
    <w:rsid w:val="00E1738B"/>
    <w:rsid w:val="00E20B0E"/>
    <w:rsid w:val="00E20CA3"/>
    <w:rsid w:val="00E20DDA"/>
    <w:rsid w:val="00E21936"/>
    <w:rsid w:val="00E22053"/>
    <w:rsid w:val="00E22CE1"/>
    <w:rsid w:val="00E2381F"/>
    <w:rsid w:val="00E23B42"/>
    <w:rsid w:val="00E23E8F"/>
    <w:rsid w:val="00E2402E"/>
    <w:rsid w:val="00E25367"/>
    <w:rsid w:val="00E255AE"/>
    <w:rsid w:val="00E25634"/>
    <w:rsid w:val="00E25833"/>
    <w:rsid w:val="00E267F6"/>
    <w:rsid w:val="00E268F8"/>
    <w:rsid w:val="00E269BA"/>
    <w:rsid w:val="00E26D2E"/>
    <w:rsid w:val="00E2723B"/>
    <w:rsid w:val="00E2792D"/>
    <w:rsid w:val="00E30031"/>
    <w:rsid w:val="00E304D0"/>
    <w:rsid w:val="00E31684"/>
    <w:rsid w:val="00E31A02"/>
    <w:rsid w:val="00E3292F"/>
    <w:rsid w:val="00E32BCE"/>
    <w:rsid w:val="00E32D65"/>
    <w:rsid w:val="00E33298"/>
    <w:rsid w:val="00E347CE"/>
    <w:rsid w:val="00E35147"/>
    <w:rsid w:val="00E35E4A"/>
    <w:rsid w:val="00E35E90"/>
    <w:rsid w:val="00E363B6"/>
    <w:rsid w:val="00E375C7"/>
    <w:rsid w:val="00E377CB"/>
    <w:rsid w:val="00E3790A"/>
    <w:rsid w:val="00E379A1"/>
    <w:rsid w:val="00E411CD"/>
    <w:rsid w:val="00E41B7A"/>
    <w:rsid w:val="00E42DFB"/>
    <w:rsid w:val="00E42FC6"/>
    <w:rsid w:val="00E44FCD"/>
    <w:rsid w:val="00E45436"/>
    <w:rsid w:val="00E45BE0"/>
    <w:rsid w:val="00E46250"/>
    <w:rsid w:val="00E4639E"/>
    <w:rsid w:val="00E476DA"/>
    <w:rsid w:val="00E5009E"/>
    <w:rsid w:val="00E50473"/>
    <w:rsid w:val="00E51ABC"/>
    <w:rsid w:val="00E52436"/>
    <w:rsid w:val="00E52930"/>
    <w:rsid w:val="00E52B6D"/>
    <w:rsid w:val="00E5306B"/>
    <w:rsid w:val="00E531E4"/>
    <w:rsid w:val="00E5336F"/>
    <w:rsid w:val="00E53575"/>
    <w:rsid w:val="00E53F67"/>
    <w:rsid w:val="00E56092"/>
    <w:rsid w:val="00E563C7"/>
    <w:rsid w:val="00E56B0D"/>
    <w:rsid w:val="00E56B2C"/>
    <w:rsid w:val="00E5716A"/>
    <w:rsid w:val="00E579E3"/>
    <w:rsid w:val="00E57AD5"/>
    <w:rsid w:val="00E60184"/>
    <w:rsid w:val="00E6036D"/>
    <w:rsid w:val="00E60B57"/>
    <w:rsid w:val="00E60EE0"/>
    <w:rsid w:val="00E617DC"/>
    <w:rsid w:val="00E628BA"/>
    <w:rsid w:val="00E62D64"/>
    <w:rsid w:val="00E62E46"/>
    <w:rsid w:val="00E651CC"/>
    <w:rsid w:val="00E655A8"/>
    <w:rsid w:val="00E66B31"/>
    <w:rsid w:val="00E66B8B"/>
    <w:rsid w:val="00E67C6E"/>
    <w:rsid w:val="00E67F92"/>
    <w:rsid w:val="00E70185"/>
    <w:rsid w:val="00E706A8"/>
    <w:rsid w:val="00E70F53"/>
    <w:rsid w:val="00E72839"/>
    <w:rsid w:val="00E72A18"/>
    <w:rsid w:val="00E73548"/>
    <w:rsid w:val="00E739D6"/>
    <w:rsid w:val="00E75707"/>
    <w:rsid w:val="00E75FBA"/>
    <w:rsid w:val="00E765B4"/>
    <w:rsid w:val="00E768AB"/>
    <w:rsid w:val="00E77591"/>
    <w:rsid w:val="00E777F5"/>
    <w:rsid w:val="00E8000D"/>
    <w:rsid w:val="00E823BD"/>
    <w:rsid w:val="00E83CDC"/>
    <w:rsid w:val="00E84077"/>
    <w:rsid w:val="00E8545B"/>
    <w:rsid w:val="00E8557F"/>
    <w:rsid w:val="00E86597"/>
    <w:rsid w:val="00E865CA"/>
    <w:rsid w:val="00E874FA"/>
    <w:rsid w:val="00E904C7"/>
    <w:rsid w:val="00E907CF"/>
    <w:rsid w:val="00E9096F"/>
    <w:rsid w:val="00E90A7A"/>
    <w:rsid w:val="00E9122C"/>
    <w:rsid w:val="00E91325"/>
    <w:rsid w:val="00E91980"/>
    <w:rsid w:val="00E92305"/>
    <w:rsid w:val="00E9368F"/>
    <w:rsid w:val="00E93FDA"/>
    <w:rsid w:val="00E9442A"/>
    <w:rsid w:val="00E94712"/>
    <w:rsid w:val="00E9517A"/>
    <w:rsid w:val="00E952D7"/>
    <w:rsid w:val="00E96117"/>
    <w:rsid w:val="00E97905"/>
    <w:rsid w:val="00E97A34"/>
    <w:rsid w:val="00EA01DE"/>
    <w:rsid w:val="00EA0581"/>
    <w:rsid w:val="00EA0A3A"/>
    <w:rsid w:val="00EA115A"/>
    <w:rsid w:val="00EA2CFD"/>
    <w:rsid w:val="00EA2DAE"/>
    <w:rsid w:val="00EA3079"/>
    <w:rsid w:val="00EA3CC7"/>
    <w:rsid w:val="00EA4B12"/>
    <w:rsid w:val="00EA5812"/>
    <w:rsid w:val="00EB0B49"/>
    <w:rsid w:val="00EB11E0"/>
    <w:rsid w:val="00EB1270"/>
    <w:rsid w:val="00EB1597"/>
    <w:rsid w:val="00EB1993"/>
    <w:rsid w:val="00EB1F19"/>
    <w:rsid w:val="00EB1FE1"/>
    <w:rsid w:val="00EB23EF"/>
    <w:rsid w:val="00EB2756"/>
    <w:rsid w:val="00EB3AF4"/>
    <w:rsid w:val="00EB4CBD"/>
    <w:rsid w:val="00EB53D3"/>
    <w:rsid w:val="00EB5BE7"/>
    <w:rsid w:val="00EB5D60"/>
    <w:rsid w:val="00EB68A2"/>
    <w:rsid w:val="00EB6E37"/>
    <w:rsid w:val="00EB7AB8"/>
    <w:rsid w:val="00EC0644"/>
    <w:rsid w:val="00EC1EA9"/>
    <w:rsid w:val="00EC1F81"/>
    <w:rsid w:val="00EC28B0"/>
    <w:rsid w:val="00EC3A1F"/>
    <w:rsid w:val="00EC3D41"/>
    <w:rsid w:val="00EC48E6"/>
    <w:rsid w:val="00EC4BE1"/>
    <w:rsid w:val="00EC547A"/>
    <w:rsid w:val="00EC5785"/>
    <w:rsid w:val="00EC65C2"/>
    <w:rsid w:val="00EC676F"/>
    <w:rsid w:val="00EC6CB3"/>
    <w:rsid w:val="00EC7ADF"/>
    <w:rsid w:val="00EC7B4A"/>
    <w:rsid w:val="00EC7C80"/>
    <w:rsid w:val="00EC7FE7"/>
    <w:rsid w:val="00ED18B5"/>
    <w:rsid w:val="00ED1BC8"/>
    <w:rsid w:val="00ED25DA"/>
    <w:rsid w:val="00ED2DF2"/>
    <w:rsid w:val="00ED2F84"/>
    <w:rsid w:val="00ED3752"/>
    <w:rsid w:val="00ED3EFF"/>
    <w:rsid w:val="00ED42CC"/>
    <w:rsid w:val="00ED4888"/>
    <w:rsid w:val="00ED61C1"/>
    <w:rsid w:val="00ED62CB"/>
    <w:rsid w:val="00ED6B3F"/>
    <w:rsid w:val="00ED7CA8"/>
    <w:rsid w:val="00ED7ECD"/>
    <w:rsid w:val="00EE03A9"/>
    <w:rsid w:val="00EE0D99"/>
    <w:rsid w:val="00EE137A"/>
    <w:rsid w:val="00EE3C2E"/>
    <w:rsid w:val="00EE3D8A"/>
    <w:rsid w:val="00EE3F52"/>
    <w:rsid w:val="00EE5D3B"/>
    <w:rsid w:val="00EE62A1"/>
    <w:rsid w:val="00EE6AC9"/>
    <w:rsid w:val="00EE6BFD"/>
    <w:rsid w:val="00EE6D19"/>
    <w:rsid w:val="00EE7F23"/>
    <w:rsid w:val="00EF063F"/>
    <w:rsid w:val="00EF08F4"/>
    <w:rsid w:val="00EF0BF5"/>
    <w:rsid w:val="00EF0F78"/>
    <w:rsid w:val="00EF111E"/>
    <w:rsid w:val="00EF12DB"/>
    <w:rsid w:val="00EF14BD"/>
    <w:rsid w:val="00EF1C2B"/>
    <w:rsid w:val="00EF21A2"/>
    <w:rsid w:val="00EF2ED5"/>
    <w:rsid w:val="00EF387A"/>
    <w:rsid w:val="00EF3D50"/>
    <w:rsid w:val="00EF3F31"/>
    <w:rsid w:val="00EF4103"/>
    <w:rsid w:val="00EF4AD3"/>
    <w:rsid w:val="00EF5424"/>
    <w:rsid w:val="00EF7322"/>
    <w:rsid w:val="00EF75D0"/>
    <w:rsid w:val="00EF7954"/>
    <w:rsid w:val="00EF7BD2"/>
    <w:rsid w:val="00F00ACB"/>
    <w:rsid w:val="00F00B04"/>
    <w:rsid w:val="00F029AD"/>
    <w:rsid w:val="00F03C9B"/>
    <w:rsid w:val="00F04EA0"/>
    <w:rsid w:val="00F05A7D"/>
    <w:rsid w:val="00F06225"/>
    <w:rsid w:val="00F06D7E"/>
    <w:rsid w:val="00F070EB"/>
    <w:rsid w:val="00F0718C"/>
    <w:rsid w:val="00F07217"/>
    <w:rsid w:val="00F07735"/>
    <w:rsid w:val="00F07E77"/>
    <w:rsid w:val="00F07F25"/>
    <w:rsid w:val="00F109B6"/>
    <w:rsid w:val="00F12C24"/>
    <w:rsid w:val="00F12C4E"/>
    <w:rsid w:val="00F12F54"/>
    <w:rsid w:val="00F137E8"/>
    <w:rsid w:val="00F149DA"/>
    <w:rsid w:val="00F15151"/>
    <w:rsid w:val="00F1599D"/>
    <w:rsid w:val="00F15E95"/>
    <w:rsid w:val="00F16230"/>
    <w:rsid w:val="00F16866"/>
    <w:rsid w:val="00F16924"/>
    <w:rsid w:val="00F17653"/>
    <w:rsid w:val="00F17B29"/>
    <w:rsid w:val="00F2067E"/>
    <w:rsid w:val="00F206A8"/>
    <w:rsid w:val="00F207F1"/>
    <w:rsid w:val="00F21351"/>
    <w:rsid w:val="00F21DA3"/>
    <w:rsid w:val="00F21E33"/>
    <w:rsid w:val="00F2267B"/>
    <w:rsid w:val="00F2282C"/>
    <w:rsid w:val="00F2291E"/>
    <w:rsid w:val="00F229AB"/>
    <w:rsid w:val="00F22C02"/>
    <w:rsid w:val="00F2337E"/>
    <w:rsid w:val="00F23C7E"/>
    <w:rsid w:val="00F24AB8"/>
    <w:rsid w:val="00F262C1"/>
    <w:rsid w:val="00F26E80"/>
    <w:rsid w:val="00F273D4"/>
    <w:rsid w:val="00F30FBF"/>
    <w:rsid w:val="00F310B3"/>
    <w:rsid w:val="00F31504"/>
    <w:rsid w:val="00F316C8"/>
    <w:rsid w:val="00F31B7A"/>
    <w:rsid w:val="00F324DC"/>
    <w:rsid w:val="00F32A81"/>
    <w:rsid w:val="00F32E95"/>
    <w:rsid w:val="00F33748"/>
    <w:rsid w:val="00F3381F"/>
    <w:rsid w:val="00F33B20"/>
    <w:rsid w:val="00F33EE2"/>
    <w:rsid w:val="00F33EF6"/>
    <w:rsid w:val="00F3446E"/>
    <w:rsid w:val="00F347EB"/>
    <w:rsid w:val="00F354CA"/>
    <w:rsid w:val="00F365D9"/>
    <w:rsid w:val="00F36C91"/>
    <w:rsid w:val="00F36D89"/>
    <w:rsid w:val="00F36EB6"/>
    <w:rsid w:val="00F36FD1"/>
    <w:rsid w:val="00F37366"/>
    <w:rsid w:val="00F4097A"/>
    <w:rsid w:val="00F40B07"/>
    <w:rsid w:val="00F410C7"/>
    <w:rsid w:val="00F4135A"/>
    <w:rsid w:val="00F42136"/>
    <w:rsid w:val="00F4286E"/>
    <w:rsid w:val="00F42942"/>
    <w:rsid w:val="00F429D4"/>
    <w:rsid w:val="00F43422"/>
    <w:rsid w:val="00F43A0D"/>
    <w:rsid w:val="00F441F1"/>
    <w:rsid w:val="00F45DA8"/>
    <w:rsid w:val="00F46D75"/>
    <w:rsid w:val="00F46D8D"/>
    <w:rsid w:val="00F46DDF"/>
    <w:rsid w:val="00F50328"/>
    <w:rsid w:val="00F50EF1"/>
    <w:rsid w:val="00F513EF"/>
    <w:rsid w:val="00F515CC"/>
    <w:rsid w:val="00F5223B"/>
    <w:rsid w:val="00F522C8"/>
    <w:rsid w:val="00F52738"/>
    <w:rsid w:val="00F52A34"/>
    <w:rsid w:val="00F52EF0"/>
    <w:rsid w:val="00F543ED"/>
    <w:rsid w:val="00F55975"/>
    <w:rsid w:val="00F55B14"/>
    <w:rsid w:val="00F55CEA"/>
    <w:rsid w:val="00F568F7"/>
    <w:rsid w:val="00F570EA"/>
    <w:rsid w:val="00F57223"/>
    <w:rsid w:val="00F57B4E"/>
    <w:rsid w:val="00F57B7A"/>
    <w:rsid w:val="00F60B00"/>
    <w:rsid w:val="00F60FBB"/>
    <w:rsid w:val="00F61A49"/>
    <w:rsid w:val="00F623C5"/>
    <w:rsid w:val="00F62D0D"/>
    <w:rsid w:val="00F63D7E"/>
    <w:rsid w:val="00F64720"/>
    <w:rsid w:val="00F64AB1"/>
    <w:rsid w:val="00F64CE9"/>
    <w:rsid w:val="00F64E6D"/>
    <w:rsid w:val="00F65D50"/>
    <w:rsid w:val="00F65F8E"/>
    <w:rsid w:val="00F66A0D"/>
    <w:rsid w:val="00F66EB7"/>
    <w:rsid w:val="00F670A6"/>
    <w:rsid w:val="00F6751D"/>
    <w:rsid w:val="00F676C2"/>
    <w:rsid w:val="00F67806"/>
    <w:rsid w:val="00F67EF0"/>
    <w:rsid w:val="00F70111"/>
    <w:rsid w:val="00F703BA"/>
    <w:rsid w:val="00F705C4"/>
    <w:rsid w:val="00F70F7E"/>
    <w:rsid w:val="00F71FEB"/>
    <w:rsid w:val="00F7318C"/>
    <w:rsid w:val="00F7392E"/>
    <w:rsid w:val="00F747FE"/>
    <w:rsid w:val="00F75711"/>
    <w:rsid w:val="00F75DDA"/>
    <w:rsid w:val="00F7699A"/>
    <w:rsid w:val="00F76ACF"/>
    <w:rsid w:val="00F77F77"/>
    <w:rsid w:val="00F80378"/>
    <w:rsid w:val="00F8136E"/>
    <w:rsid w:val="00F81B09"/>
    <w:rsid w:val="00F81DFB"/>
    <w:rsid w:val="00F8208C"/>
    <w:rsid w:val="00F821B3"/>
    <w:rsid w:val="00F82B36"/>
    <w:rsid w:val="00F83950"/>
    <w:rsid w:val="00F85C13"/>
    <w:rsid w:val="00F85CB1"/>
    <w:rsid w:val="00F85FCD"/>
    <w:rsid w:val="00F869A0"/>
    <w:rsid w:val="00F874CB"/>
    <w:rsid w:val="00F87662"/>
    <w:rsid w:val="00F87DF2"/>
    <w:rsid w:val="00F90512"/>
    <w:rsid w:val="00F90F0D"/>
    <w:rsid w:val="00F918F0"/>
    <w:rsid w:val="00F91A0F"/>
    <w:rsid w:val="00F9209A"/>
    <w:rsid w:val="00F926FE"/>
    <w:rsid w:val="00F92A70"/>
    <w:rsid w:val="00F92C30"/>
    <w:rsid w:val="00F934F3"/>
    <w:rsid w:val="00F95E92"/>
    <w:rsid w:val="00F95FF9"/>
    <w:rsid w:val="00F9693E"/>
    <w:rsid w:val="00F971D9"/>
    <w:rsid w:val="00F97A5C"/>
    <w:rsid w:val="00FA0039"/>
    <w:rsid w:val="00FA0F66"/>
    <w:rsid w:val="00FA1136"/>
    <w:rsid w:val="00FA2AD5"/>
    <w:rsid w:val="00FA2EA1"/>
    <w:rsid w:val="00FA2F52"/>
    <w:rsid w:val="00FA3A2B"/>
    <w:rsid w:val="00FA3B57"/>
    <w:rsid w:val="00FA48ED"/>
    <w:rsid w:val="00FA4D14"/>
    <w:rsid w:val="00FA510D"/>
    <w:rsid w:val="00FA53D7"/>
    <w:rsid w:val="00FA558B"/>
    <w:rsid w:val="00FA5876"/>
    <w:rsid w:val="00FA5C56"/>
    <w:rsid w:val="00FA6320"/>
    <w:rsid w:val="00FA6E6B"/>
    <w:rsid w:val="00FA6FF1"/>
    <w:rsid w:val="00FA75F7"/>
    <w:rsid w:val="00FB01D5"/>
    <w:rsid w:val="00FB2AF4"/>
    <w:rsid w:val="00FB3011"/>
    <w:rsid w:val="00FB305F"/>
    <w:rsid w:val="00FB3459"/>
    <w:rsid w:val="00FB3628"/>
    <w:rsid w:val="00FB3943"/>
    <w:rsid w:val="00FB3D34"/>
    <w:rsid w:val="00FB44FE"/>
    <w:rsid w:val="00FB49E8"/>
    <w:rsid w:val="00FB51EF"/>
    <w:rsid w:val="00FB7133"/>
    <w:rsid w:val="00FB7633"/>
    <w:rsid w:val="00FC00BD"/>
    <w:rsid w:val="00FC1E5B"/>
    <w:rsid w:val="00FC2506"/>
    <w:rsid w:val="00FC321C"/>
    <w:rsid w:val="00FC495C"/>
    <w:rsid w:val="00FC56B6"/>
    <w:rsid w:val="00FC6A7D"/>
    <w:rsid w:val="00FC7699"/>
    <w:rsid w:val="00FC7D41"/>
    <w:rsid w:val="00FD0458"/>
    <w:rsid w:val="00FD078B"/>
    <w:rsid w:val="00FD24F8"/>
    <w:rsid w:val="00FD26CF"/>
    <w:rsid w:val="00FD30F3"/>
    <w:rsid w:val="00FD3D13"/>
    <w:rsid w:val="00FD3DB7"/>
    <w:rsid w:val="00FD43C9"/>
    <w:rsid w:val="00FD6144"/>
    <w:rsid w:val="00FD68AB"/>
    <w:rsid w:val="00FD738C"/>
    <w:rsid w:val="00FD7557"/>
    <w:rsid w:val="00FD77F9"/>
    <w:rsid w:val="00FD7BEA"/>
    <w:rsid w:val="00FE02C4"/>
    <w:rsid w:val="00FE13FC"/>
    <w:rsid w:val="00FE1AD1"/>
    <w:rsid w:val="00FE1D9A"/>
    <w:rsid w:val="00FE1E00"/>
    <w:rsid w:val="00FE2511"/>
    <w:rsid w:val="00FE43E0"/>
    <w:rsid w:val="00FE49DF"/>
    <w:rsid w:val="00FE509D"/>
    <w:rsid w:val="00FE54B6"/>
    <w:rsid w:val="00FE6AEE"/>
    <w:rsid w:val="00FE7557"/>
    <w:rsid w:val="00FE79FE"/>
    <w:rsid w:val="00FF0818"/>
    <w:rsid w:val="00FF0F81"/>
    <w:rsid w:val="00FF1D36"/>
    <w:rsid w:val="00FF3253"/>
    <w:rsid w:val="00FF3F52"/>
    <w:rsid w:val="00FF453E"/>
    <w:rsid w:val="00FF4BB5"/>
    <w:rsid w:val="00FF50A0"/>
    <w:rsid w:val="00FF535E"/>
    <w:rsid w:val="00FF5716"/>
    <w:rsid w:val="00FF5C1C"/>
    <w:rsid w:val="00FF5F30"/>
    <w:rsid w:val="00FF759B"/>
    <w:rsid w:val="00FF77F9"/>
    <w:rsid w:val="00FF7D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7FEC"/>
  <w15:chartTrackingRefBased/>
  <w15:docId w15:val="{A8AA46AC-CA50-4139-B467-0FFBEFE4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506"/>
  </w:style>
  <w:style w:type="paragraph" w:styleId="Heading1">
    <w:name w:val="heading 1"/>
    <w:basedOn w:val="Normal"/>
    <w:next w:val="Normal"/>
    <w:link w:val="Heading1Char"/>
    <w:uiPriority w:val="9"/>
    <w:qFormat/>
    <w:rsid w:val="00F60F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0F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ThesisSub2"/>
    <w:next w:val="Normal"/>
    <w:link w:val="Heading3Char"/>
    <w:uiPriority w:val="9"/>
    <w:unhideWhenUsed/>
    <w:qFormat/>
    <w:rsid w:val="00800C1F"/>
    <w:pPr>
      <w:numPr>
        <w:ilvl w:val="0"/>
        <w:numId w:val="18"/>
      </w:numPr>
      <w:spacing w:before="40"/>
      <w:ind w:left="360"/>
      <w:outlineLvl w:val="2"/>
    </w:pPr>
    <w:rPr>
      <w:rFonts w:asciiTheme="majorBidi" w:hAnsiTheme="majorBidi" w:cstheme="majorBidi"/>
      <w:color w:val="auto"/>
      <w:sz w:val="24"/>
      <w:szCs w:val="24"/>
    </w:rPr>
  </w:style>
  <w:style w:type="paragraph" w:styleId="Heading4">
    <w:name w:val="heading 4"/>
    <w:basedOn w:val="Normal"/>
    <w:next w:val="Heading3"/>
    <w:link w:val="Heading4Char"/>
    <w:uiPriority w:val="9"/>
    <w:unhideWhenUsed/>
    <w:qFormat/>
    <w:rsid w:val="00F55B14"/>
    <w:pPr>
      <w:numPr>
        <w:numId w:val="19"/>
      </w:numPr>
      <w:spacing w:after="120"/>
      <w:jc w:val="left"/>
      <w:outlineLvl w:val="3"/>
    </w:pPr>
    <w:rPr>
      <w:rFonts w:asciiTheme="majorBidi" w:hAnsi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0FB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20336"/>
    <w:pPr>
      <w:ind w:left="720"/>
      <w:contextualSpacing/>
    </w:pPr>
  </w:style>
  <w:style w:type="table" w:customStyle="1" w:styleId="TableGrid1">
    <w:name w:val="Table Grid1"/>
    <w:basedOn w:val="TableNormal"/>
    <w:next w:val="TableGrid"/>
    <w:uiPriority w:val="39"/>
    <w:rsid w:val="00661DC9"/>
    <w:pPr>
      <w:spacing w:after="1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Sample"/>
    <w:basedOn w:val="TableNormal"/>
    <w:uiPriority w:val="39"/>
    <w:rsid w:val="00661D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00C1F"/>
    <w:rPr>
      <w:rFonts w:asciiTheme="majorBidi" w:eastAsiaTheme="majorEastAsia" w:hAnsiTheme="majorBidi" w:cstheme="majorBidi"/>
      <w:sz w:val="24"/>
      <w:szCs w:val="24"/>
    </w:rPr>
  </w:style>
  <w:style w:type="paragraph" w:customStyle="1" w:styleId="ThesisHeading">
    <w:name w:val="Thesis Heading"/>
    <w:basedOn w:val="Heading1"/>
    <w:link w:val="ThesisHeadingChar"/>
    <w:qFormat/>
    <w:rsid w:val="00CE45C5"/>
    <w:pPr>
      <w:spacing w:before="0" w:after="240"/>
    </w:pPr>
    <w:rPr>
      <w:rFonts w:ascii="Times New Roman" w:hAnsi="Times New Roman" w:cs="Times New Roman"/>
      <w:color w:val="auto"/>
    </w:rPr>
  </w:style>
  <w:style w:type="paragraph" w:customStyle="1" w:styleId="ThesisSub1">
    <w:name w:val="Thesis Sub1"/>
    <w:basedOn w:val="Heading1"/>
    <w:next w:val="ThesisSub2"/>
    <w:link w:val="ThesisSub1Char"/>
    <w:qFormat/>
    <w:rsid w:val="002701CE"/>
    <w:pPr>
      <w:numPr>
        <w:numId w:val="1"/>
      </w:numPr>
      <w:spacing w:before="120" w:after="120"/>
      <w:jc w:val="left"/>
    </w:pPr>
    <w:rPr>
      <w:rFonts w:ascii="Times New Roman" w:hAnsi="Times New Roman" w:cs="Times New Roman"/>
      <w:color w:val="auto"/>
      <w:sz w:val="22"/>
    </w:rPr>
  </w:style>
  <w:style w:type="character" w:customStyle="1" w:styleId="ThesisHeadingChar">
    <w:name w:val="Thesis Heading Char"/>
    <w:basedOn w:val="Heading1Char"/>
    <w:link w:val="ThesisHeading"/>
    <w:rsid w:val="00CE45C5"/>
    <w:rPr>
      <w:rFonts w:ascii="Times New Roman" w:eastAsiaTheme="majorEastAsia" w:hAnsi="Times New Roman" w:cs="Times New Roman"/>
      <w:color w:val="2F5496" w:themeColor="accent1" w:themeShade="BF"/>
      <w:sz w:val="32"/>
      <w:szCs w:val="32"/>
    </w:rPr>
  </w:style>
  <w:style w:type="paragraph" w:customStyle="1" w:styleId="ThesisText">
    <w:name w:val="Thesis Text"/>
    <w:basedOn w:val="Normal"/>
    <w:link w:val="ThesisTextChar"/>
    <w:qFormat/>
    <w:rsid w:val="00CE45C5"/>
    <w:pPr>
      <w:spacing w:after="120"/>
      <w:jc w:val="both"/>
    </w:pPr>
    <w:rPr>
      <w:rFonts w:ascii="Times New Roman" w:hAnsi="Times New Roman" w:cs="Times New Roman"/>
    </w:rPr>
  </w:style>
  <w:style w:type="character" w:customStyle="1" w:styleId="ThesisSub1Char">
    <w:name w:val="Thesis Sub1 Char"/>
    <w:basedOn w:val="Heading2Char"/>
    <w:link w:val="ThesisSub1"/>
    <w:rsid w:val="002701CE"/>
    <w:rPr>
      <w:rFonts w:ascii="Times New Roman" w:eastAsiaTheme="majorEastAsia" w:hAnsi="Times New Roman" w:cs="Times New Roman"/>
      <w:color w:val="2F5496" w:themeColor="accent1" w:themeShade="BF"/>
      <w:sz w:val="26"/>
      <w:szCs w:val="32"/>
    </w:rPr>
  </w:style>
  <w:style w:type="paragraph" w:customStyle="1" w:styleId="ThesisSub2">
    <w:name w:val="Thesis Sub2"/>
    <w:basedOn w:val="Heading2"/>
    <w:next w:val="ThesisText"/>
    <w:link w:val="ThesisSub2Char"/>
    <w:qFormat/>
    <w:rsid w:val="002701CE"/>
    <w:pPr>
      <w:numPr>
        <w:ilvl w:val="1"/>
        <w:numId w:val="1"/>
      </w:numPr>
      <w:spacing w:before="120" w:after="80"/>
      <w:ind w:left="432"/>
      <w:jc w:val="left"/>
    </w:pPr>
    <w:rPr>
      <w:rFonts w:ascii="Times New Roman" w:hAnsi="Times New Roman" w:cs="Times New Roman"/>
      <w:color w:val="000000" w:themeColor="text1"/>
      <w:sz w:val="22"/>
    </w:rPr>
  </w:style>
  <w:style w:type="character" w:customStyle="1" w:styleId="ThesisTextChar">
    <w:name w:val="Thesis Text Char"/>
    <w:basedOn w:val="DefaultParagraphFont"/>
    <w:link w:val="ThesisText"/>
    <w:rsid w:val="00CE45C5"/>
    <w:rPr>
      <w:rFonts w:ascii="Times New Roman" w:hAnsi="Times New Roman" w:cs="Times New Roman"/>
    </w:rPr>
  </w:style>
  <w:style w:type="character" w:customStyle="1" w:styleId="ThesisSub2Char">
    <w:name w:val="Thesis Sub2 Char"/>
    <w:basedOn w:val="Heading3Char"/>
    <w:link w:val="ThesisSub2"/>
    <w:rsid w:val="002701CE"/>
    <w:rPr>
      <w:rFonts w:ascii="Times New Roman" w:eastAsiaTheme="majorEastAsia" w:hAnsi="Times New Roman" w:cs="Times New Roman"/>
      <w:color w:val="000000" w:themeColor="text1"/>
      <w:sz w:val="24"/>
      <w:szCs w:val="26"/>
    </w:rPr>
  </w:style>
  <w:style w:type="character" w:customStyle="1" w:styleId="eop">
    <w:name w:val="eop"/>
    <w:basedOn w:val="DefaultParagraphFont"/>
    <w:rsid w:val="00CE7286"/>
  </w:style>
  <w:style w:type="paragraph" w:customStyle="1" w:styleId="Journaltext">
    <w:name w:val="Journal text"/>
    <w:basedOn w:val="Normal"/>
    <w:link w:val="JournaltextChar"/>
    <w:qFormat/>
    <w:rsid w:val="00CE7286"/>
    <w:pPr>
      <w:spacing w:after="120" w:line="480" w:lineRule="auto"/>
      <w:jc w:val="both"/>
    </w:pPr>
    <w:rPr>
      <w:rFonts w:ascii="Times New Roman" w:hAnsi="Times New Roman"/>
      <w:sz w:val="24"/>
    </w:rPr>
  </w:style>
  <w:style w:type="character" w:customStyle="1" w:styleId="JournaltextChar">
    <w:name w:val="Journal text Char"/>
    <w:basedOn w:val="DefaultParagraphFont"/>
    <w:link w:val="Journaltext"/>
    <w:rsid w:val="00CE7286"/>
    <w:rPr>
      <w:rFonts w:ascii="Times New Roman" w:hAnsi="Times New Roman"/>
      <w:sz w:val="24"/>
    </w:rPr>
  </w:style>
  <w:style w:type="table" w:customStyle="1" w:styleId="TableGrid2">
    <w:name w:val="Table Grid2"/>
    <w:basedOn w:val="TableNormal"/>
    <w:next w:val="TableGrid"/>
    <w:uiPriority w:val="39"/>
    <w:rsid w:val="003A32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04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7BA"/>
    <w:rPr>
      <w:color w:val="0563C1" w:themeColor="hyperlink"/>
      <w:u w:val="single"/>
    </w:rPr>
  </w:style>
  <w:style w:type="character" w:customStyle="1" w:styleId="UnresolvedMention1">
    <w:name w:val="Unresolved Mention1"/>
    <w:basedOn w:val="DefaultParagraphFont"/>
    <w:uiPriority w:val="99"/>
    <w:semiHidden/>
    <w:unhideWhenUsed/>
    <w:rsid w:val="00D347BA"/>
    <w:rPr>
      <w:color w:val="605E5C"/>
      <w:shd w:val="clear" w:color="auto" w:fill="E1DFDD"/>
    </w:rPr>
  </w:style>
  <w:style w:type="paragraph" w:customStyle="1" w:styleId="EndNoteBibliographyTitle">
    <w:name w:val="EndNote Bibliography Title"/>
    <w:basedOn w:val="Normal"/>
    <w:link w:val="EndNoteBibliographyTitleChar"/>
    <w:rsid w:val="00B25D44"/>
    <w:rPr>
      <w:rFonts w:ascii="Times New Roman" w:hAnsi="Times New Roman" w:cs="Times New Roman"/>
      <w:noProof/>
      <w:lang w:val="en-US"/>
    </w:rPr>
  </w:style>
  <w:style w:type="character" w:customStyle="1" w:styleId="EndNoteBibliographyTitleChar">
    <w:name w:val="EndNote Bibliography Title Char"/>
    <w:basedOn w:val="ThesisTextChar"/>
    <w:link w:val="EndNoteBibliographyTitle"/>
    <w:rsid w:val="00B25D44"/>
    <w:rPr>
      <w:rFonts w:ascii="Times New Roman" w:hAnsi="Times New Roman" w:cs="Times New Roman"/>
      <w:noProof/>
      <w:lang w:val="en-US"/>
    </w:rPr>
  </w:style>
  <w:style w:type="paragraph" w:customStyle="1" w:styleId="EndNoteBibliography">
    <w:name w:val="EndNote Bibliography"/>
    <w:basedOn w:val="Normal"/>
    <w:link w:val="EndNoteBibliographyChar"/>
    <w:rsid w:val="00B25D44"/>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ThesisTextChar"/>
    <w:link w:val="EndNoteBibliography"/>
    <w:rsid w:val="00B25D44"/>
    <w:rPr>
      <w:rFonts w:ascii="Times New Roman" w:hAnsi="Times New Roman" w:cs="Times New Roman"/>
      <w:noProof/>
      <w:lang w:val="en-US"/>
    </w:rPr>
  </w:style>
  <w:style w:type="paragraph" w:styleId="Caption">
    <w:name w:val="caption"/>
    <w:basedOn w:val="Normal"/>
    <w:next w:val="Normal"/>
    <w:uiPriority w:val="35"/>
    <w:unhideWhenUsed/>
    <w:qFormat/>
    <w:rsid w:val="00372B4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D2989"/>
    <w:pPr>
      <w:jc w:val="left"/>
      <w:outlineLvl w:val="9"/>
    </w:pPr>
    <w:rPr>
      <w:lang w:eastAsia="en-GB"/>
    </w:rPr>
  </w:style>
  <w:style w:type="paragraph" w:styleId="TOC1">
    <w:name w:val="toc 1"/>
    <w:basedOn w:val="Normal"/>
    <w:next w:val="Normal"/>
    <w:autoRedefine/>
    <w:uiPriority w:val="39"/>
    <w:unhideWhenUsed/>
    <w:rsid w:val="00AD2989"/>
    <w:pPr>
      <w:spacing w:after="100"/>
    </w:pPr>
  </w:style>
  <w:style w:type="paragraph" w:styleId="TOC2">
    <w:name w:val="toc 2"/>
    <w:basedOn w:val="Normal"/>
    <w:next w:val="Normal"/>
    <w:autoRedefine/>
    <w:uiPriority w:val="39"/>
    <w:unhideWhenUsed/>
    <w:rsid w:val="00AD2989"/>
    <w:pPr>
      <w:spacing w:after="100"/>
      <w:ind w:left="220"/>
    </w:pPr>
  </w:style>
  <w:style w:type="table" w:customStyle="1" w:styleId="TableSample1">
    <w:name w:val="Table Sample1"/>
    <w:basedOn w:val="TableNormal"/>
    <w:next w:val="TableGrid"/>
    <w:uiPriority w:val="39"/>
    <w:rsid w:val="005637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ample2">
    <w:name w:val="Table Sample2"/>
    <w:basedOn w:val="TableNormal"/>
    <w:next w:val="TableGrid"/>
    <w:uiPriority w:val="39"/>
    <w:rsid w:val="006050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6D4"/>
    <w:pPr>
      <w:tabs>
        <w:tab w:val="center" w:pos="4513"/>
        <w:tab w:val="right" w:pos="9026"/>
      </w:tabs>
      <w:spacing w:line="240" w:lineRule="auto"/>
    </w:pPr>
  </w:style>
  <w:style w:type="character" w:customStyle="1" w:styleId="HeaderChar">
    <w:name w:val="Header Char"/>
    <w:basedOn w:val="DefaultParagraphFont"/>
    <w:link w:val="Header"/>
    <w:uiPriority w:val="99"/>
    <w:rsid w:val="004306D4"/>
  </w:style>
  <w:style w:type="paragraph" w:styleId="Footer">
    <w:name w:val="footer"/>
    <w:basedOn w:val="Normal"/>
    <w:link w:val="FooterChar"/>
    <w:uiPriority w:val="99"/>
    <w:unhideWhenUsed/>
    <w:rsid w:val="004306D4"/>
    <w:pPr>
      <w:tabs>
        <w:tab w:val="center" w:pos="4513"/>
        <w:tab w:val="right" w:pos="9026"/>
      </w:tabs>
      <w:spacing w:line="240" w:lineRule="auto"/>
    </w:pPr>
  </w:style>
  <w:style w:type="character" w:customStyle="1" w:styleId="FooterChar">
    <w:name w:val="Footer Char"/>
    <w:basedOn w:val="DefaultParagraphFont"/>
    <w:link w:val="Footer"/>
    <w:uiPriority w:val="99"/>
    <w:rsid w:val="004306D4"/>
  </w:style>
  <w:style w:type="table" w:customStyle="1" w:styleId="TableGrid4">
    <w:name w:val="Table Grid4"/>
    <w:basedOn w:val="TableNormal"/>
    <w:next w:val="TableGrid"/>
    <w:uiPriority w:val="39"/>
    <w:rsid w:val="005262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C49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paragraph">
    <w:name w:val="New paragraph"/>
    <w:basedOn w:val="Normal"/>
    <w:qFormat/>
    <w:rsid w:val="0077113F"/>
    <w:pPr>
      <w:spacing w:line="480" w:lineRule="auto"/>
      <w:ind w:firstLine="720"/>
      <w:jc w:val="left"/>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3484F"/>
    <w:rPr>
      <w:color w:val="808080"/>
    </w:rPr>
  </w:style>
  <w:style w:type="character" w:styleId="CommentReference">
    <w:name w:val="annotation reference"/>
    <w:basedOn w:val="DefaultParagraphFont"/>
    <w:uiPriority w:val="99"/>
    <w:semiHidden/>
    <w:unhideWhenUsed/>
    <w:rsid w:val="003B3163"/>
    <w:rPr>
      <w:sz w:val="16"/>
      <w:szCs w:val="16"/>
    </w:rPr>
  </w:style>
  <w:style w:type="paragraph" w:styleId="CommentText">
    <w:name w:val="annotation text"/>
    <w:basedOn w:val="Normal"/>
    <w:link w:val="CommentTextChar"/>
    <w:uiPriority w:val="99"/>
    <w:unhideWhenUsed/>
    <w:rsid w:val="003B3163"/>
    <w:pPr>
      <w:spacing w:line="240" w:lineRule="auto"/>
    </w:pPr>
    <w:rPr>
      <w:sz w:val="20"/>
      <w:szCs w:val="20"/>
    </w:rPr>
  </w:style>
  <w:style w:type="character" w:customStyle="1" w:styleId="CommentTextChar">
    <w:name w:val="Comment Text Char"/>
    <w:basedOn w:val="DefaultParagraphFont"/>
    <w:link w:val="CommentText"/>
    <w:uiPriority w:val="99"/>
    <w:rsid w:val="003B3163"/>
    <w:rPr>
      <w:sz w:val="20"/>
      <w:szCs w:val="20"/>
    </w:rPr>
  </w:style>
  <w:style w:type="paragraph" w:styleId="CommentSubject">
    <w:name w:val="annotation subject"/>
    <w:basedOn w:val="CommentText"/>
    <w:next w:val="CommentText"/>
    <w:link w:val="CommentSubjectChar"/>
    <w:uiPriority w:val="99"/>
    <w:semiHidden/>
    <w:unhideWhenUsed/>
    <w:rsid w:val="003B3163"/>
    <w:rPr>
      <w:b/>
      <w:bCs/>
    </w:rPr>
  </w:style>
  <w:style w:type="character" w:customStyle="1" w:styleId="CommentSubjectChar">
    <w:name w:val="Comment Subject Char"/>
    <w:basedOn w:val="CommentTextChar"/>
    <w:link w:val="CommentSubject"/>
    <w:uiPriority w:val="99"/>
    <w:semiHidden/>
    <w:rsid w:val="003B3163"/>
    <w:rPr>
      <w:b/>
      <w:bCs/>
      <w:sz w:val="20"/>
      <w:szCs w:val="20"/>
    </w:rPr>
  </w:style>
  <w:style w:type="paragraph" w:styleId="BalloonText">
    <w:name w:val="Balloon Text"/>
    <w:basedOn w:val="Normal"/>
    <w:link w:val="BalloonTextChar"/>
    <w:uiPriority w:val="99"/>
    <w:semiHidden/>
    <w:unhideWhenUsed/>
    <w:rsid w:val="00C632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E2"/>
    <w:rPr>
      <w:rFonts w:ascii="Segoe UI" w:hAnsi="Segoe UI" w:cs="Segoe UI"/>
      <w:sz w:val="18"/>
      <w:szCs w:val="18"/>
    </w:rPr>
  </w:style>
  <w:style w:type="character" w:customStyle="1" w:styleId="Heading4Char">
    <w:name w:val="Heading 4 Char"/>
    <w:basedOn w:val="DefaultParagraphFont"/>
    <w:link w:val="Heading4"/>
    <w:uiPriority w:val="9"/>
    <w:rsid w:val="00D65EAB"/>
    <w:rPr>
      <w:rFonts w:asciiTheme="majorBidi" w:hAnsiTheme="majorBidi"/>
      <w:iCs/>
    </w:rPr>
  </w:style>
  <w:style w:type="paragraph" w:styleId="Revision">
    <w:name w:val="Revision"/>
    <w:hidden/>
    <w:uiPriority w:val="99"/>
    <w:semiHidden/>
    <w:rsid w:val="006E0F93"/>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965">
      <w:bodyDiv w:val="1"/>
      <w:marLeft w:val="0"/>
      <w:marRight w:val="0"/>
      <w:marTop w:val="0"/>
      <w:marBottom w:val="0"/>
      <w:divBdr>
        <w:top w:val="none" w:sz="0" w:space="0" w:color="auto"/>
        <w:left w:val="none" w:sz="0" w:space="0" w:color="auto"/>
        <w:bottom w:val="none" w:sz="0" w:space="0" w:color="auto"/>
        <w:right w:val="none" w:sz="0" w:space="0" w:color="auto"/>
      </w:divBdr>
    </w:div>
    <w:div w:id="51344389">
      <w:bodyDiv w:val="1"/>
      <w:marLeft w:val="0"/>
      <w:marRight w:val="0"/>
      <w:marTop w:val="0"/>
      <w:marBottom w:val="0"/>
      <w:divBdr>
        <w:top w:val="none" w:sz="0" w:space="0" w:color="auto"/>
        <w:left w:val="none" w:sz="0" w:space="0" w:color="auto"/>
        <w:bottom w:val="none" w:sz="0" w:space="0" w:color="auto"/>
        <w:right w:val="none" w:sz="0" w:space="0" w:color="auto"/>
      </w:divBdr>
    </w:div>
    <w:div w:id="82266757">
      <w:bodyDiv w:val="1"/>
      <w:marLeft w:val="0"/>
      <w:marRight w:val="0"/>
      <w:marTop w:val="0"/>
      <w:marBottom w:val="0"/>
      <w:divBdr>
        <w:top w:val="none" w:sz="0" w:space="0" w:color="auto"/>
        <w:left w:val="none" w:sz="0" w:space="0" w:color="auto"/>
        <w:bottom w:val="none" w:sz="0" w:space="0" w:color="auto"/>
        <w:right w:val="none" w:sz="0" w:space="0" w:color="auto"/>
      </w:divBdr>
    </w:div>
    <w:div w:id="90512788">
      <w:bodyDiv w:val="1"/>
      <w:marLeft w:val="0"/>
      <w:marRight w:val="0"/>
      <w:marTop w:val="0"/>
      <w:marBottom w:val="0"/>
      <w:divBdr>
        <w:top w:val="none" w:sz="0" w:space="0" w:color="auto"/>
        <w:left w:val="none" w:sz="0" w:space="0" w:color="auto"/>
        <w:bottom w:val="none" w:sz="0" w:space="0" w:color="auto"/>
        <w:right w:val="none" w:sz="0" w:space="0" w:color="auto"/>
      </w:divBdr>
    </w:div>
    <w:div w:id="157815916">
      <w:bodyDiv w:val="1"/>
      <w:marLeft w:val="0"/>
      <w:marRight w:val="0"/>
      <w:marTop w:val="0"/>
      <w:marBottom w:val="0"/>
      <w:divBdr>
        <w:top w:val="none" w:sz="0" w:space="0" w:color="auto"/>
        <w:left w:val="none" w:sz="0" w:space="0" w:color="auto"/>
        <w:bottom w:val="none" w:sz="0" w:space="0" w:color="auto"/>
        <w:right w:val="none" w:sz="0" w:space="0" w:color="auto"/>
      </w:divBdr>
    </w:div>
    <w:div w:id="178352045">
      <w:bodyDiv w:val="1"/>
      <w:marLeft w:val="0"/>
      <w:marRight w:val="0"/>
      <w:marTop w:val="0"/>
      <w:marBottom w:val="0"/>
      <w:divBdr>
        <w:top w:val="none" w:sz="0" w:space="0" w:color="auto"/>
        <w:left w:val="none" w:sz="0" w:space="0" w:color="auto"/>
        <w:bottom w:val="none" w:sz="0" w:space="0" w:color="auto"/>
        <w:right w:val="none" w:sz="0" w:space="0" w:color="auto"/>
      </w:divBdr>
    </w:div>
    <w:div w:id="203446785">
      <w:bodyDiv w:val="1"/>
      <w:marLeft w:val="0"/>
      <w:marRight w:val="0"/>
      <w:marTop w:val="0"/>
      <w:marBottom w:val="0"/>
      <w:divBdr>
        <w:top w:val="none" w:sz="0" w:space="0" w:color="auto"/>
        <w:left w:val="none" w:sz="0" w:space="0" w:color="auto"/>
        <w:bottom w:val="none" w:sz="0" w:space="0" w:color="auto"/>
        <w:right w:val="none" w:sz="0" w:space="0" w:color="auto"/>
      </w:divBdr>
    </w:div>
    <w:div w:id="257448399">
      <w:bodyDiv w:val="1"/>
      <w:marLeft w:val="0"/>
      <w:marRight w:val="0"/>
      <w:marTop w:val="0"/>
      <w:marBottom w:val="0"/>
      <w:divBdr>
        <w:top w:val="none" w:sz="0" w:space="0" w:color="auto"/>
        <w:left w:val="none" w:sz="0" w:space="0" w:color="auto"/>
        <w:bottom w:val="none" w:sz="0" w:space="0" w:color="auto"/>
        <w:right w:val="none" w:sz="0" w:space="0" w:color="auto"/>
      </w:divBdr>
    </w:div>
    <w:div w:id="265776250">
      <w:bodyDiv w:val="1"/>
      <w:marLeft w:val="0"/>
      <w:marRight w:val="0"/>
      <w:marTop w:val="0"/>
      <w:marBottom w:val="0"/>
      <w:divBdr>
        <w:top w:val="none" w:sz="0" w:space="0" w:color="auto"/>
        <w:left w:val="none" w:sz="0" w:space="0" w:color="auto"/>
        <w:bottom w:val="none" w:sz="0" w:space="0" w:color="auto"/>
        <w:right w:val="none" w:sz="0" w:space="0" w:color="auto"/>
      </w:divBdr>
    </w:div>
    <w:div w:id="278025517">
      <w:bodyDiv w:val="1"/>
      <w:marLeft w:val="0"/>
      <w:marRight w:val="0"/>
      <w:marTop w:val="0"/>
      <w:marBottom w:val="0"/>
      <w:divBdr>
        <w:top w:val="none" w:sz="0" w:space="0" w:color="auto"/>
        <w:left w:val="none" w:sz="0" w:space="0" w:color="auto"/>
        <w:bottom w:val="none" w:sz="0" w:space="0" w:color="auto"/>
        <w:right w:val="none" w:sz="0" w:space="0" w:color="auto"/>
      </w:divBdr>
    </w:div>
    <w:div w:id="312023528">
      <w:bodyDiv w:val="1"/>
      <w:marLeft w:val="0"/>
      <w:marRight w:val="0"/>
      <w:marTop w:val="0"/>
      <w:marBottom w:val="0"/>
      <w:divBdr>
        <w:top w:val="none" w:sz="0" w:space="0" w:color="auto"/>
        <w:left w:val="none" w:sz="0" w:space="0" w:color="auto"/>
        <w:bottom w:val="none" w:sz="0" w:space="0" w:color="auto"/>
        <w:right w:val="none" w:sz="0" w:space="0" w:color="auto"/>
      </w:divBdr>
    </w:div>
    <w:div w:id="313490185">
      <w:bodyDiv w:val="1"/>
      <w:marLeft w:val="0"/>
      <w:marRight w:val="0"/>
      <w:marTop w:val="0"/>
      <w:marBottom w:val="0"/>
      <w:divBdr>
        <w:top w:val="none" w:sz="0" w:space="0" w:color="auto"/>
        <w:left w:val="none" w:sz="0" w:space="0" w:color="auto"/>
        <w:bottom w:val="none" w:sz="0" w:space="0" w:color="auto"/>
        <w:right w:val="none" w:sz="0" w:space="0" w:color="auto"/>
      </w:divBdr>
    </w:div>
    <w:div w:id="330448566">
      <w:bodyDiv w:val="1"/>
      <w:marLeft w:val="0"/>
      <w:marRight w:val="0"/>
      <w:marTop w:val="0"/>
      <w:marBottom w:val="0"/>
      <w:divBdr>
        <w:top w:val="none" w:sz="0" w:space="0" w:color="auto"/>
        <w:left w:val="none" w:sz="0" w:space="0" w:color="auto"/>
        <w:bottom w:val="none" w:sz="0" w:space="0" w:color="auto"/>
        <w:right w:val="none" w:sz="0" w:space="0" w:color="auto"/>
      </w:divBdr>
    </w:div>
    <w:div w:id="334889696">
      <w:bodyDiv w:val="1"/>
      <w:marLeft w:val="0"/>
      <w:marRight w:val="0"/>
      <w:marTop w:val="0"/>
      <w:marBottom w:val="0"/>
      <w:divBdr>
        <w:top w:val="none" w:sz="0" w:space="0" w:color="auto"/>
        <w:left w:val="none" w:sz="0" w:space="0" w:color="auto"/>
        <w:bottom w:val="none" w:sz="0" w:space="0" w:color="auto"/>
        <w:right w:val="none" w:sz="0" w:space="0" w:color="auto"/>
      </w:divBdr>
    </w:div>
    <w:div w:id="352850671">
      <w:bodyDiv w:val="1"/>
      <w:marLeft w:val="0"/>
      <w:marRight w:val="0"/>
      <w:marTop w:val="0"/>
      <w:marBottom w:val="0"/>
      <w:divBdr>
        <w:top w:val="none" w:sz="0" w:space="0" w:color="auto"/>
        <w:left w:val="none" w:sz="0" w:space="0" w:color="auto"/>
        <w:bottom w:val="none" w:sz="0" w:space="0" w:color="auto"/>
        <w:right w:val="none" w:sz="0" w:space="0" w:color="auto"/>
      </w:divBdr>
      <w:divsChild>
        <w:div w:id="1308121575">
          <w:marLeft w:val="0"/>
          <w:marRight w:val="0"/>
          <w:marTop w:val="0"/>
          <w:marBottom w:val="0"/>
          <w:divBdr>
            <w:top w:val="none" w:sz="0" w:space="0" w:color="auto"/>
            <w:left w:val="none" w:sz="0" w:space="0" w:color="auto"/>
            <w:bottom w:val="none" w:sz="0" w:space="0" w:color="auto"/>
            <w:right w:val="none" w:sz="0" w:space="0" w:color="auto"/>
          </w:divBdr>
          <w:divsChild>
            <w:div w:id="1048451733">
              <w:marLeft w:val="0"/>
              <w:marRight w:val="0"/>
              <w:marTop w:val="0"/>
              <w:marBottom w:val="0"/>
              <w:divBdr>
                <w:top w:val="none" w:sz="0" w:space="0" w:color="auto"/>
                <w:left w:val="none" w:sz="0" w:space="0" w:color="auto"/>
                <w:bottom w:val="none" w:sz="0" w:space="0" w:color="auto"/>
                <w:right w:val="none" w:sz="0" w:space="0" w:color="auto"/>
              </w:divBdr>
            </w:div>
          </w:divsChild>
        </w:div>
        <w:div w:id="352732085">
          <w:marLeft w:val="0"/>
          <w:marRight w:val="0"/>
          <w:marTop w:val="0"/>
          <w:marBottom w:val="0"/>
          <w:divBdr>
            <w:top w:val="none" w:sz="0" w:space="0" w:color="auto"/>
            <w:left w:val="none" w:sz="0" w:space="0" w:color="auto"/>
            <w:bottom w:val="none" w:sz="0" w:space="0" w:color="auto"/>
            <w:right w:val="none" w:sz="0" w:space="0" w:color="auto"/>
          </w:divBdr>
        </w:div>
      </w:divsChild>
    </w:div>
    <w:div w:id="379935615">
      <w:bodyDiv w:val="1"/>
      <w:marLeft w:val="0"/>
      <w:marRight w:val="0"/>
      <w:marTop w:val="0"/>
      <w:marBottom w:val="0"/>
      <w:divBdr>
        <w:top w:val="none" w:sz="0" w:space="0" w:color="auto"/>
        <w:left w:val="none" w:sz="0" w:space="0" w:color="auto"/>
        <w:bottom w:val="none" w:sz="0" w:space="0" w:color="auto"/>
        <w:right w:val="none" w:sz="0" w:space="0" w:color="auto"/>
      </w:divBdr>
    </w:div>
    <w:div w:id="391007250">
      <w:bodyDiv w:val="1"/>
      <w:marLeft w:val="0"/>
      <w:marRight w:val="0"/>
      <w:marTop w:val="0"/>
      <w:marBottom w:val="0"/>
      <w:divBdr>
        <w:top w:val="none" w:sz="0" w:space="0" w:color="auto"/>
        <w:left w:val="none" w:sz="0" w:space="0" w:color="auto"/>
        <w:bottom w:val="none" w:sz="0" w:space="0" w:color="auto"/>
        <w:right w:val="none" w:sz="0" w:space="0" w:color="auto"/>
      </w:divBdr>
    </w:div>
    <w:div w:id="391735052">
      <w:bodyDiv w:val="1"/>
      <w:marLeft w:val="0"/>
      <w:marRight w:val="0"/>
      <w:marTop w:val="0"/>
      <w:marBottom w:val="0"/>
      <w:divBdr>
        <w:top w:val="none" w:sz="0" w:space="0" w:color="auto"/>
        <w:left w:val="none" w:sz="0" w:space="0" w:color="auto"/>
        <w:bottom w:val="none" w:sz="0" w:space="0" w:color="auto"/>
        <w:right w:val="none" w:sz="0" w:space="0" w:color="auto"/>
      </w:divBdr>
    </w:div>
    <w:div w:id="406995612">
      <w:bodyDiv w:val="1"/>
      <w:marLeft w:val="0"/>
      <w:marRight w:val="0"/>
      <w:marTop w:val="0"/>
      <w:marBottom w:val="0"/>
      <w:divBdr>
        <w:top w:val="none" w:sz="0" w:space="0" w:color="auto"/>
        <w:left w:val="none" w:sz="0" w:space="0" w:color="auto"/>
        <w:bottom w:val="none" w:sz="0" w:space="0" w:color="auto"/>
        <w:right w:val="none" w:sz="0" w:space="0" w:color="auto"/>
      </w:divBdr>
    </w:div>
    <w:div w:id="416874512">
      <w:bodyDiv w:val="1"/>
      <w:marLeft w:val="0"/>
      <w:marRight w:val="0"/>
      <w:marTop w:val="0"/>
      <w:marBottom w:val="0"/>
      <w:divBdr>
        <w:top w:val="none" w:sz="0" w:space="0" w:color="auto"/>
        <w:left w:val="none" w:sz="0" w:space="0" w:color="auto"/>
        <w:bottom w:val="none" w:sz="0" w:space="0" w:color="auto"/>
        <w:right w:val="none" w:sz="0" w:space="0" w:color="auto"/>
      </w:divBdr>
    </w:div>
    <w:div w:id="423381362">
      <w:bodyDiv w:val="1"/>
      <w:marLeft w:val="0"/>
      <w:marRight w:val="0"/>
      <w:marTop w:val="0"/>
      <w:marBottom w:val="0"/>
      <w:divBdr>
        <w:top w:val="none" w:sz="0" w:space="0" w:color="auto"/>
        <w:left w:val="none" w:sz="0" w:space="0" w:color="auto"/>
        <w:bottom w:val="none" w:sz="0" w:space="0" w:color="auto"/>
        <w:right w:val="none" w:sz="0" w:space="0" w:color="auto"/>
      </w:divBdr>
    </w:div>
    <w:div w:id="439834725">
      <w:bodyDiv w:val="1"/>
      <w:marLeft w:val="0"/>
      <w:marRight w:val="0"/>
      <w:marTop w:val="0"/>
      <w:marBottom w:val="0"/>
      <w:divBdr>
        <w:top w:val="none" w:sz="0" w:space="0" w:color="auto"/>
        <w:left w:val="none" w:sz="0" w:space="0" w:color="auto"/>
        <w:bottom w:val="none" w:sz="0" w:space="0" w:color="auto"/>
        <w:right w:val="none" w:sz="0" w:space="0" w:color="auto"/>
      </w:divBdr>
    </w:div>
    <w:div w:id="445736250">
      <w:bodyDiv w:val="1"/>
      <w:marLeft w:val="0"/>
      <w:marRight w:val="0"/>
      <w:marTop w:val="0"/>
      <w:marBottom w:val="0"/>
      <w:divBdr>
        <w:top w:val="none" w:sz="0" w:space="0" w:color="auto"/>
        <w:left w:val="none" w:sz="0" w:space="0" w:color="auto"/>
        <w:bottom w:val="none" w:sz="0" w:space="0" w:color="auto"/>
        <w:right w:val="none" w:sz="0" w:space="0" w:color="auto"/>
      </w:divBdr>
    </w:div>
    <w:div w:id="468741887">
      <w:bodyDiv w:val="1"/>
      <w:marLeft w:val="0"/>
      <w:marRight w:val="0"/>
      <w:marTop w:val="0"/>
      <w:marBottom w:val="0"/>
      <w:divBdr>
        <w:top w:val="none" w:sz="0" w:space="0" w:color="auto"/>
        <w:left w:val="none" w:sz="0" w:space="0" w:color="auto"/>
        <w:bottom w:val="none" w:sz="0" w:space="0" w:color="auto"/>
        <w:right w:val="none" w:sz="0" w:space="0" w:color="auto"/>
      </w:divBdr>
    </w:div>
    <w:div w:id="495151618">
      <w:bodyDiv w:val="1"/>
      <w:marLeft w:val="0"/>
      <w:marRight w:val="0"/>
      <w:marTop w:val="0"/>
      <w:marBottom w:val="0"/>
      <w:divBdr>
        <w:top w:val="none" w:sz="0" w:space="0" w:color="auto"/>
        <w:left w:val="none" w:sz="0" w:space="0" w:color="auto"/>
        <w:bottom w:val="none" w:sz="0" w:space="0" w:color="auto"/>
        <w:right w:val="none" w:sz="0" w:space="0" w:color="auto"/>
      </w:divBdr>
    </w:div>
    <w:div w:id="516164753">
      <w:bodyDiv w:val="1"/>
      <w:marLeft w:val="0"/>
      <w:marRight w:val="0"/>
      <w:marTop w:val="0"/>
      <w:marBottom w:val="0"/>
      <w:divBdr>
        <w:top w:val="none" w:sz="0" w:space="0" w:color="auto"/>
        <w:left w:val="none" w:sz="0" w:space="0" w:color="auto"/>
        <w:bottom w:val="none" w:sz="0" w:space="0" w:color="auto"/>
        <w:right w:val="none" w:sz="0" w:space="0" w:color="auto"/>
      </w:divBdr>
    </w:div>
    <w:div w:id="517935456">
      <w:bodyDiv w:val="1"/>
      <w:marLeft w:val="0"/>
      <w:marRight w:val="0"/>
      <w:marTop w:val="0"/>
      <w:marBottom w:val="0"/>
      <w:divBdr>
        <w:top w:val="none" w:sz="0" w:space="0" w:color="auto"/>
        <w:left w:val="none" w:sz="0" w:space="0" w:color="auto"/>
        <w:bottom w:val="none" w:sz="0" w:space="0" w:color="auto"/>
        <w:right w:val="none" w:sz="0" w:space="0" w:color="auto"/>
      </w:divBdr>
    </w:div>
    <w:div w:id="528182418">
      <w:bodyDiv w:val="1"/>
      <w:marLeft w:val="0"/>
      <w:marRight w:val="0"/>
      <w:marTop w:val="0"/>
      <w:marBottom w:val="0"/>
      <w:divBdr>
        <w:top w:val="none" w:sz="0" w:space="0" w:color="auto"/>
        <w:left w:val="none" w:sz="0" w:space="0" w:color="auto"/>
        <w:bottom w:val="none" w:sz="0" w:space="0" w:color="auto"/>
        <w:right w:val="none" w:sz="0" w:space="0" w:color="auto"/>
      </w:divBdr>
    </w:div>
    <w:div w:id="529227499">
      <w:bodyDiv w:val="1"/>
      <w:marLeft w:val="0"/>
      <w:marRight w:val="0"/>
      <w:marTop w:val="0"/>
      <w:marBottom w:val="0"/>
      <w:divBdr>
        <w:top w:val="none" w:sz="0" w:space="0" w:color="auto"/>
        <w:left w:val="none" w:sz="0" w:space="0" w:color="auto"/>
        <w:bottom w:val="none" w:sz="0" w:space="0" w:color="auto"/>
        <w:right w:val="none" w:sz="0" w:space="0" w:color="auto"/>
      </w:divBdr>
    </w:div>
    <w:div w:id="533227503">
      <w:bodyDiv w:val="1"/>
      <w:marLeft w:val="0"/>
      <w:marRight w:val="0"/>
      <w:marTop w:val="0"/>
      <w:marBottom w:val="0"/>
      <w:divBdr>
        <w:top w:val="none" w:sz="0" w:space="0" w:color="auto"/>
        <w:left w:val="none" w:sz="0" w:space="0" w:color="auto"/>
        <w:bottom w:val="none" w:sz="0" w:space="0" w:color="auto"/>
        <w:right w:val="none" w:sz="0" w:space="0" w:color="auto"/>
      </w:divBdr>
    </w:div>
    <w:div w:id="544174812">
      <w:bodyDiv w:val="1"/>
      <w:marLeft w:val="0"/>
      <w:marRight w:val="0"/>
      <w:marTop w:val="0"/>
      <w:marBottom w:val="0"/>
      <w:divBdr>
        <w:top w:val="none" w:sz="0" w:space="0" w:color="auto"/>
        <w:left w:val="none" w:sz="0" w:space="0" w:color="auto"/>
        <w:bottom w:val="none" w:sz="0" w:space="0" w:color="auto"/>
        <w:right w:val="none" w:sz="0" w:space="0" w:color="auto"/>
      </w:divBdr>
    </w:div>
    <w:div w:id="554976298">
      <w:bodyDiv w:val="1"/>
      <w:marLeft w:val="0"/>
      <w:marRight w:val="0"/>
      <w:marTop w:val="0"/>
      <w:marBottom w:val="0"/>
      <w:divBdr>
        <w:top w:val="none" w:sz="0" w:space="0" w:color="auto"/>
        <w:left w:val="none" w:sz="0" w:space="0" w:color="auto"/>
        <w:bottom w:val="none" w:sz="0" w:space="0" w:color="auto"/>
        <w:right w:val="none" w:sz="0" w:space="0" w:color="auto"/>
      </w:divBdr>
    </w:div>
    <w:div w:id="562060886">
      <w:bodyDiv w:val="1"/>
      <w:marLeft w:val="0"/>
      <w:marRight w:val="0"/>
      <w:marTop w:val="0"/>
      <w:marBottom w:val="0"/>
      <w:divBdr>
        <w:top w:val="none" w:sz="0" w:space="0" w:color="auto"/>
        <w:left w:val="none" w:sz="0" w:space="0" w:color="auto"/>
        <w:bottom w:val="none" w:sz="0" w:space="0" w:color="auto"/>
        <w:right w:val="none" w:sz="0" w:space="0" w:color="auto"/>
      </w:divBdr>
    </w:div>
    <w:div w:id="571043210">
      <w:bodyDiv w:val="1"/>
      <w:marLeft w:val="0"/>
      <w:marRight w:val="0"/>
      <w:marTop w:val="0"/>
      <w:marBottom w:val="0"/>
      <w:divBdr>
        <w:top w:val="none" w:sz="0" w:space="0" w:color="auto"/>
        <w:left w:val="none" w:sz="0" w:space="0" w:color="auto"/>
        <w:bottom w:val="none" w:sz="0" w:space="0" w:color="auto"/>
        <w:right w:val="none" w:sz="0" w:space="0" w:color="auto"/>
      </w:divBdr>
    </w:div>
    <w:div w:id="577248772">
      <w:bodyDiv w:val="1"/>
      <w:marLeft w:val="0"/>
      <w:marRight w:val="0"/>
      <w:marTop w:val="0"/>
      <w:marBottom w:val="0"/>
      <w:divBdr>
        <w:top w:val="none" w:sz="0" w:space="0" w:color="auto"/>
        <w:left w:val="none" w:sz="0" w:space="0" w:color="auto"/>
        <w:bottom w:val="none" w:sz="0" w:space="0" w:color="auto"/>
        <w:right w:val="none" w:sz="0" w:space="0" w:color="auto"/>
      </w:divBdr>
    </w:div>
    <w:div w:id="590243391">
      <w:bodyDiv w:val="1"/>
      <w:marLeft w:val="0"/>
      <w:marRight w:val="0"/>
      <w:marTop w:val="0"/>
      <w:marBottom w:val="0"/>
      <w:divBdr>
        <w:top w:val="none" w:sz="0" w:space="0" w:color="auto"/>
        <w:left w:val="none" w:sz="0" w:space="0" w:color="auto"/>
        <w:bottom w:val="none" w:sz="0" w:space="0" w:color="auto"/>
        <w:right w:val="none" w:sz="0" w:space="0" w:color="auto"/>
      </w:divBdr>
      <w:divsChild>
        <w:div w:id="1258635008">
          <w:marLeft w:val="0"/>
          <w:marRight w:val="0"/>
          <w:marTop w:val="0"/>
          <w:marBottom w:val="0"/>
          <w:divBdr>
            <w:top w:val="none" w:sz="0" w:space="0" w:color="auto"/>
            <w:left w:val="none" w:sz="0" w:space="0" w:color="auto"/>
            <w:bottom w:val="none" w:sz="0" w:space="0" w:color="auto"/>
            <w:right w:val="none" w:sz="0" w:space="0" w:color="auto"/>
          </w:divBdr>
          <w:divsChild>
            <w:div w:id="1807770516">
              <w:marLeft w:val="0"/>
              <w:marRight w:val="0"/>
              <w:marTop w:val="0"/>
              <w:marBottom w:val="0"/>
              <w:divBdr>
                <w:top w:val="none" w:sz="0" w:space="0" w:color="auto"/>
                <w:left w:val="none" w:sz="0" w:space="0" w:color="auto"/>
                <w:bottom w:val="none" w:sz="0" w:space="0" w:color="auto"/>
                <w:right w:val="none" w:sz="0" w:space="0" w:color="auto"/>
              </w:divBdr>
            </w:div>
          </w:divsChild>
        </w:div>
        <w:div w:id="1817185452">
          <w:marLeft w:val="0"/>
          <w:marRight w:val="0"/>
          <w:marTop w:val="0"/>
          <w:marBottom w:val="0"/>
          <w:divBdr>
            <w:top w:val="none" w:sz="0" w:space="0" w:color="auto"/>
            <w:left w:val="none" w:sz="0" w:space="0" w:color="auto"/>
            <w:bottom w:val="none" w:sz="0" w:space="0" w:color="auto"/>
            <w:right w:val="none" w:sz="0" w:space="0" w:color="auto"/>
          </w:divBdr>
        </w:div>
      </w:divsChild>
    </w:div>
    <w:div w:id="591935557">
      <w:bodyDiv w:val="1"/>
      <w:marLeft w:val="0"/>
      <w:marRight w:val="0"/>
      <w:marTop w:val="0"/>
      <w:marBottom w:val="0"/>
      <w:divBdr>
        <w:top w:val="none" w:sz="0" w:space="0" w:color="auto"/>
        <w:left w:val="none" w:sz="0" w:space="0" w:color="auto"/>
        <w:bottom w:val="none" w:sz="0" w:space="0" w:color="auto"/>
        <w:right w:val="none" w:sz="0" w:space="0" w:color="auto"/>
      </w:divBdr>
    </w:div>
    <w:div w:id="599409084">
      <w:bodyDiv w:val="1"/>
      <w:marLeft w:val="0"/>
      <w:marRight w:val="0"/>
      <w:marTop w:val="0"/>
      <w:marBottom w:val="0"/>
      <w:divBdr>
        <w:top w:val="none" w:sz="0" w:space="0" w:color="auto"/>
        <w:left w:val="none" w:sz="0" w:space="0" w:color="auto"/>
        <w:bottom w:val="none" w:sz="0" w:space="0" w:color="auto"/>
        <w:right w:val="none" w:sz="0" w:space="0" w:color="auto"/>
      </w:divBdr>
    </w:div>
    <w:div w:id="606470940">
      <w:bodyDiv w:val="1"/>
      <w:marLeft w:val="0"/>
      <w:marRight w:val="0"/>
      <w:marTop w:val="0"/>
      <w:marBottom w:val="0"/>
      <w:divBdr>
        <w:top w:val="none" w:sz="0" w:space="0" w:color="auto"/>
        <w:left w:val="none" w:sz="0" w:space="0" w:color="auto"/>
        <w:bottom w:val="none" w:sz="0" w:space="0" w:color="auto"/>
        <w:right w:val="none" w:sz="0" w:space="0" w:color="auto"/>
      </w:divBdr>
    </w:div>
    <w:div w:id="628782739">
      <w:bodyDiv w:val="1"/>
      <w:marLeft w:val="0"/>
      <w:marRight w:val="0"/>
      <w:marTop w:val="0"/>
      <w:marBottom w:val="0"/>
      <w:divBdr>
        <w:top w:val="none" w:sz="0" w:space="0" w:color="auto"/>
        <w:left w:val="none" w:sz="0" w:space="0" w:color="auto"/>
        <w:bottom w:val="none" w:sz="0" w:space="0" w:color="auto"/>
        <w:right w:val="none" w:sz="0" w:space="0" w:color="auto"/>
      </w:divBdr>
    </w:div>
    <w:div w:id="636959481">
      <w:bodyDiv w:val="1"/>
      <w:marLeft w:val="0"/>
      <w:marRight w:val="0"/>
      <w:marTop w:val="0"/>
      <w:marBottom w:val="0"/>
      <w:divBdr>
        <w:top w:val="none" w:sz="0" w:space="0" w:color="auto"/>
        <w:left w:val="none" w:sz="0" w:space="0" w:color="auto"/>
        <w:bottom w:val="none" w:sz="0" w:space="0" w:color="auto"/>
        <w:right w:val="none" w:sz="0" w:space="0" w:color="auto"/>
      </w:divBdr>
    </w:div>
    <w:div w:id="637759594">
      <w:bodyDiv w:val="1"/>
      <w:marLeft w:val="0"/>
      <w:marRight w:val="0"/>
      <w:marTop w:val="0"/>
      <w:marBottom w:val="0"/>
      <w:divBdr>
        <w:top w:val="none" w:sz="0" w:space="0" w:color="auto"/>
        <w:left w:val="none" w:sz="0" w:space="0" w:color="auto"/>
        <w:bottom w:val="none" w:sz="0" w:space="0" w:color="auto"/>
        <w:right w:val="none" w:sz="0" w:space="0" w:color="auto"/>
      </w:divBdr>
    </w:div>
    <w:div w:id="640886275">
      <w:bodyDiv w:val="1"/>
      <w:marLeft w:val="0"/>
      <w:marRight w:val="0"/>
      <w:marTop w:val="0"/>
      <w:marBottom w:val="0"/>
      <w:divBdr>
        <w:top w:val="none" w:sz="0" w:space="0" w:color="auto"/>
        <w:left w:val="none" w:sz="0" w:space="0" w:color="auto"/>
        <w:bottom w:val="none" w:sz="0" w:space="0" w:color="auto"/>
        <w:right w:val="none" w:sz="0" w:space="0" w:color="auto"/>
      </w:divBdr>
    </w:div>
    <w:div w:id="648367074">
      <w:bodyDiv w:val="1"/>
      <w:marLeft w:val="0"/>
      <w:marRight w:val="0"/>
      <w:marTop w:val="0"/>
      <w:marBottom w:val="0"/>
      <w:divBdr>
        <w:top w:val="none" w:sz="0" w:space="0" w:color="auto"/>
        <w:left w:val="none" w:sz="0" w:space="0" w:color="auto"/>
        <w:bottom w:val="none" w:sz="0" w:space="0" w:color="auto"/>
        <w:right w:val="none" w:sz="0" w:space="0" w:color="auto"/>
      </w:divBdr>
    </w:div>
    <w:div w:id="665285869">
      <w:bodyDiv w:val="1"/>
      <w:marLeft w:val="0"/>
      <w:marRight w:val="0"/>
      <w:marTop w:val="0"/>
      <w:marBottom w:val="0"/>
      <w:divBdr>
        <w:top w:val="none" w:sz="0" w:space="0" w:color="auto"/>
        <w:left w:val="none" w:sz="0" w:space="0" w:color="auto"/>
        <w:bottom w:val="none" w:sz="0" w:space="0" w:color="auto"/>
        <w:right w:val="none" w:sz="0" w:space="0" w:color="auto"/>
      </w:divBdr>
    </w:div>
    <w:div w:id="670330540">
      <w:bodyDiv w:val="1"/>
      <w:marLeft w:val="0"/>
      <w:marRight w:val="0"/>
      <w:marTop w:val="0"/>
      <w:marBottom w:val="0"/>
      <w:divBdr>
        <w:top w:val="none" w:sz="0" w:space="0" w:color="auto"/>
        <w:left w:val="none" w:sz="0" w:space="0" w:color="auto"/>
        <w:bottom w:val="none" w:sz="0" w:space="0" w:color="auto"/>
        <w:right w:val="none" w:sz="0" w:space="0" w:color="auto"/>
      </w:divBdr>
    </w:div>
    <w:div w:id="689839845">
      <w:bodyDiv w:val="1"/>
      <w:marLeft w:val="0"/>
      <w:marRight w:val="0"/>
      <w:marTop w:val="0"/>
      <w:marBottom w:val="0"/>
      <w:divBdr>
        <w:top w:val="none" w:sz="0" w:space="0" w:color="auto"/>
        <w:left w:val="none" w:sz="0" w:space="0" w:color="auto"/>
        <w:bottom w:val="none" w:sz="0" w:space="0" w:color="auto"/>
        <w:right w:val="none" w:sz="0" w:space="0" w:color="auto"/>
      </w:divBdr>
    </w:div>
    <w:div w:id="712660123">
      <w:bodyDiv w:val="1"/>
      <w:marLeft w:val="0"/>
      <w:marRight w:val="0"/>
      <w:marTop w:val="0"/>
      <w:marBottom w:val="0"/>
      <w:divBdr>
        <w:top w:val="none" w:sz="0" w:space="0" w:color="auto"/>
        <w:left w:val="none" w:sz="0" w:space="0" w:color="auto"/>
        <w:bottom w:val="none" w:sz="0" w:space="0" w:color="auto"/>
        <w:right w:val="none" w:sz="0" w:space="0" w:color="auto"/>
      </w:divBdr>
    </w:div>
    <w:div w:id="715548904">
      <w:bodyDiv w:val="1"/>
      <w:marLeft w:val="0"/>
      <w:marRight w:val="0"/>
      <w:marTop w:val="0"/>
      <w:marBottom w:val="0"/>
      <w:divBdr>
        <w:top w:val="none" w:sz="0" w:space="0" w:color="auto"/>
        <w:left w:val="none" w:sz="0" w:space="0" w:color="auto"/>
        <w:bottom w:val="none" w:sz="0" w:space="0" w:color="auto"/>
        <w:right w:val="none" w:sz="0" w:space="0" w:color="auto"/>
      </w:divBdr>
      <w:divsChild>
        <w:div w:id="1405882995">
          <w:marLeft w:val="0"/>
          <w:marRight w:val="0"/>
          <w:marTop w:val="0"/>
          <w:marBottom w:val="0"/>
          <w:divBdr>
            <w:top w:val="none" w:sz="0" w:space="0" w:color="auto"/>
            <w:left w:val="none" w:sz="0" w:space="0" w:color="auto"/>
            <w:bottom w:val="none" w:sz="0" w:space="0" w:color="auto"/>
            <w:right w:val="none" w:sz="0" w:space="0" w:color="auto"/>
          </w:divBdr>
          <w:divsChild>
            <w:div w:id="1346980224">
              <w:marLeft w:val="0"/>
              <w:marRight w:val="0"/>
              <w:marTop w:val="0"/>
              <w:marBottom w:val="0"/>
              <w:divBdr>
                <w:top w:val="none" w:sz="0" w:space="0" w:color="auto"/>
                <w:left w:val="none" w:sz="0" w:space="0" w:color="auto"/>
                <w:bottom w:val="none" w:sz="0" w:space="0" w:color="auto"/>
                <w:right w:val="none" w:sz="0" w:space="0" w:color="auto"/>
              </w:divBdr>
            </w:div>
          </w:divsChild>
        </w:div>
        <w:div w:id="1575357555">
          <w:marLeft w:val="0"/>
          <w:marRight w:val="0"/>
          <w:marTop w:val="0"/>
          <w:marBottom w:val="0"/>
          <w:divBdr>
            <w:top w:val="none" w:sz="0" w:space="0" w:color="auto"/>
            <w:left w:val="none" w:sz="0" w:space="0" w:color="auto"/>
            <w:bottom w:val="none" w:sz="0" w:space="0" w:color="auto"/>
            <w:right w:val="none" w:sz="0" w:space="0" w:color="auto"/>
          </w:divBdr>
        </w:div>
      </w:divsChild>
    </w:div>
    <w:div w:id="761222732">
      <w:bodyDiv w:val="1"/>
      <w:marLeft w:val="0"/>
      <w:marRight w:val="0"/>
      <w:marTop w:val="0"/>
      <w:marBottom w:val="0"/>
      <w:divBdr>
        <w:top w:val="none" w:sz="0" w:space="0" w:color="auto"/>
        <w:left w:val="none" w:sz="0" w:space="0" w:color="auto"/>
        <w:bottom w:val="none" w:sz="0" w:space="0" w:color="auto"/>
        <w:right w:val="none" w:sz="0" w:space="0" w:color="auto"/>
      </w:divBdr>
    </w:div>
    <w:div w:id="786002008">
      <w:bodyDiv w:val="1"/>
      <w:marLeft w:val="0"/>
      <w:marRight w:val="0"/>
      <w:marTop w:val="0"/>
      <w:marBottom w:val="0"/>
      <w:divBdr>
        <w:top w:val="none" w:sz="0" w:space="0" w:color="auto"/>
        <w:left w:val="none" w:sz="0" w:space="0" w:color="auto"/>
        <w:bottom w:val="none" w:sz="0" w:space="0" w:color="auto"/>
        <w:right w:val="none" w:sz="0" w:space="0" w:color="auto"/>
      </w:divBdr>
    </w:div>
    <w:div w:id="804658351">
      <w:bodyDiv w:val="1"/>
      <w:marLeft w:val="0"/>
      <w:marRight w:val="0"/>
      <w:marTop w:val="0"/>
      <w:marBottom w:val="0"/>
      <w:divBdr>
        <w:top w:val="none" w:sz="0" w:space="0" w:color="auto"/>
        <w:left w:val="none" w:sz="0" w:space="0" w:color="auto"/>
        <w:bottom w:val="none" w:sz="0" w:space="0" w:color="auto"/>
        <w:right w:val="none" w:sz="0" w:space="0" w:color="auto"/>
      </w:divBdr>
    </w:div>
    <w:div w:id="852885850">
      <w:bodyDiv w:val="1"/>
      <w:marLeft w:val="0"/>
      <w:marRight w:val="0"/>
      <w:marTop w:val="0"/>
      <w:marBottom w:val="0"/>
      <w:divBdr>
        <w:top w:val="none" w:sz="0" w:space="0" w:color="auto"/>
        <w:left w:val="none" w:sz="0" w:space="0" w:color="auto"/>
        <w:bottom w:val="none" w:sz="0" w:space="0" w:color="auto"/>
        <w:right w:val="none" w:sz="0" w:space="0" w:color="auto"/>
      </w:divBdr>
    </w:div>
    <w:div w:id="865095545">
      <w:bodyDiv w:val="1"/>
      <w:marLeft w:val="0"/>
      <w:marRight w:val="0"/>
      <w:marTop w:val="0"/>
      <w:marBottom w:val="0"/>
      <w:divBdr>
        <w:top w:val="none" w:sz="0" w:space="0" w:color="auto"/>
        <w:left w:val="none" w:sz="0" w:space="0" w:color="auto"/>
        <w:bottom w:val="none" w:sz="0" w:space="0" w:color="auto"/>
        <w:right w:val="none" w:sz="0" w:space="0" w:color="auto"/>
      </w:divBdr>
    </w:div>
    <w:div w:id="876240955">
      <w:bodyDiv w:val="1"/>
      <w:marLeft w:val="0"/>
      <w:marRight w:val="0"/>
      <w:marTop w:val="0"/>
      <w:marBottom w:val="0"/>
      <w:divBdr>
        <w:top w:val="none" w:sz="0" w:space="0" w:color="auto"/>
        <w:left w:val="none" w:sz="0" w:space="0" w:color="auto"/>
        <w:bottom w:val="none" w:sz="0" w:space="0" w:color="auto"/>
        <w:right w:val="none" w:sz="0" w:space="0" w:color="auto"/>
      </w:divBdr>
    </w:div>
    <w:div w:id="878707488">
      <w:bodyDiv w:val="1"/>
      <w:marLeft w:val="0"/>
      <w:marRight w:val="0"/>
      <w:marTop w:val="0"/>
      <w:marBottom w:val="0"/>
      <w:divBdr>
        <w:top w:val="none" w:sz="0" w:space="0" w:color="auto"/>
        <w:left w:val="none" w:sz="0" w:space="0" w:color="auto"/>
        <w:bottom w:val="none" w:sz="0" w:space="0" w:color="auto"/>
        <w:right w:val="none" w:sz="0" w:space="0" w:color="auto"/>
      </w:divBdr>
    </w:div>
    <w:div w:id="911891276">
      <w:bodyDiv w:val="1"/>
      <w:marLeft w:val="0"/>
      <w:marRight w:val="0"/>
      <w:marTop w:val="0"/>
      <w:marBottom w:val="0"/>
      <w:divBdr>
        <w:top w:val="none" w:sz="0" w:space="0" w:color="auto"/>
        <w:left w:val="none" w:sz="0" w:space="0" w:color="auto"/>
        <w:bottom w:val="none" w:sz="0" w:space="0" w:color="auto"/>
        <w:right w:val="none" w:sz="0" w:space="0" w:color="auto"/>
      </w:divBdr>
    </w:div>
    <w:div w:id="930968018">
      <w:bodyDiv w:val="1"/>
      <w:marLeft w:val="0"/>
      <w:marRight w:val="0"/>
      <w:marTop w:val="0"/>
      <w:marBottom w:val="0"/>
      <w:divBdr>
        <w:top w:val="none" w:sz="0" w:space="0" w:color="auto"/>
        <w:left w:val="none" w:sz="0" w:space="0" w:color="auto"/>
        <w:bottom w:val="none" w:sz="0" w:space="0" w:color="auto"/>
        <w:right w:val="none" w:sz="0" w:space="0" w:color="auto"/>
      </w:divBdr>
    </w:div>
    <w:div w:id="941766906">
      <w:bodyDiv w:val="1"/>
      <w:marLeft w:val="0"/>
      <w:marRight w:val="0"/>
      <w:marTop w:val="0"/>
      <w:marBottom w:val="0"/>
      <w:divBdr>
        <w:top w:val="none" w:sz="0" w:space="0" w:color="auto"/>
        <w:left w:val="none" w:sz="0" w:space="0" w:color="auto"/>
        <w:bottom w:val="none" w:sz="0" w:space="0" w:color="auto"/>
        <w:right w:val="none" w:sz="0" w:space="0" w:color="auto"/>
      </w:divBdr>
    </w:div>
    <w:div w:id="946037134">
      <w:bodyDiv w:val="1"/>
      <w:marLeft w:val="0"/>
      <w:marRight w:val="0"/>
      <w:marTop w:val="0"/>
      <w:marBottom w:val="0"/>
      <w:divBdr>
        <w:top w:val="none" w:sz="0" w:space="0" w:color="auto"/>
        <w:left w:val="none" w:sz="0" w:space="0" w:color="auto"/>
        <w:bottom w:val="none" w:sz="0" w:space="0" w:color="auto"/>
        <w:right w:val="none" w:sz="0" w:space="0" w:color="auto"/>
      </w:divBdr>
    </w:div>
    <w:div w:id="1000737076">
      <w:bodyDiv w:val="1"/>
      <w:marLeft w:val="0"/>
      <w:marRight w:val="0"/>
      <w:marTop w:val="0"/>
      <w:marBottom w:val="0"/>
      <w:divBdr>
        <w:top w:val="none" w:sz="0" w:space="0" w:color="auto"/>
        <w:left w:val="none" w:sz="0" w:space="0" w:color="auto"/>
        <w:bottom w:val="none" w:sz="0" w:space="0" w:color="auto"/>
        <w:right w:val="none" w:sz="0" w:space="0" w:color="auto"/>
      </w:divBdr>
    </w:div>
    <w:div w:id="1001617544">
      <w:bodyDiv w:val="1"/>
      <w:marLeft w:val="0"/>
      <w:marRight w:val="0"/>
      <w:marTop w:val="0"/>
      <w:marBottom w:val="0"/>
      <w:divBdr>
        <w:top w:val="none" w:sz="0" w:space="0" w:color="auto"/>
        <w:left w:val="none" w:sz="0" w:space="0" w:color="auto"/>
        <w:bottom w:val="none" w:sz="0" w:space="0" w:color="auto"/>
        <w:right w:val="none" w:sz="0" w:space="0" w:color="auto"/>
      </w:divBdr>
    </w:div>
    <w:div w:id="1010258101">
      <w:bodyDiv w:val="1"/>
      <w:marLeft w:val="0"/>
      <w:marRight w:val="0"/>
      <w:marTop w:val="0"/>
      <w:marBottom w:val="0"/>
      <w:divBdr>
        <w:top w:val="none" w:sz="0" w:space="0" w:color="auto"/>
        <w:left w:val="none" w:sz="0" w:space="0" w:color="auto"/>
        <w:bottom w:val="none" w:sz="0" w:space="0" w:color="auto"/>
        <w:right w:val="none" w:sz="0" w:space="0" w:color="auto"/>
      </w:divBdr>
    </w:div>
    <w:div w:id="1020666587">
      <w:bodyDiv w:val="1"/>
      <w:marLeft w:val="0"/>
      <w:marRight w:val="0"/>
      <w:marTop w:val="0"/>
      <w:marBottom w:val="0"/>
      <w:divBdr>
        <w:top w:val="none" w:sz="0" w:space="0" w:color="auto"/>
        <w:left w:val="none" w:sz="0" w:space="0" w:color="auto"/>
        <w:bottom w:val="none" w:sz="0" w:space="0" w:color="auto"/>
        <w:right w:val="none" w:sz="0" w:space="0" w:color="auto"/>
      </w:divBdr>
    </w:div>
    <w:div w:id="1040401511">
      <w:bodyDiv w:val="1"/>
      <w:marLeft w:val="0"/>
      <w:marRight w:val="0"/>
      <w:marTop w:val="0"/>
      <w:marBottom w:val="0"/>
      <w:divBdr>
        <w:top w:val="none" w:sz="0" w:space="0" w:color="auto"/>
        <w:left w:val="none" w:sz="0" w:space="0" w:color="auto"/>
        <w:bottom w:val="none" w:sz="0" w:space="0" w:color="auto"/>
        <w:right w:val="none" w:sz="0" w:space="0" w:color="auto"/>
      </w:divBdr>
    </w:div>
    <w:div w:id="1075931324">
      <w:bodyDiv w:val="1"/>
      <w:marLeft w:val="0"/>
      <w:marRight w:val="0"/>
      <w:marTop w:val="0"/>
      <w:marBottom w:val="0"/>
      <w:divBdr>
        <w:top w:val="none" w:sz="0" w:space="0" w:color="auto"/>
        <w:left w:val="none" w:sz="0" w:space="0" w:color="auto"/>
        <w:bottom w:val="none" w:sz="0" w:space="0" w:color="auto"/>
        <w:right w:val="none" w:sz="0" w:space="0" w:color="auto"/>
      </w:divBdr>
    </w:div>
    <w:div w:id="1123228057">
      <w:bodyDiv w:val="1"/>
      <w:marLeft w:val="0"/>
      <w:marRight w:val="0"/>
      <w:marTop w:val="0"/>
      <w:marBottom w:val="0"/>
      <w:divBdr>
        <w:top w:val="none" w:sz="0" w:space="0" w:color="auto"/>
        <w:left w:val="none" w:sz="0" w:space="0" w:color="auto"/>
        <w:bottom w:val="none" w:sz="0" w:space="0" w:color="auto"/>
        <w:right w:val="none" w:sz="0" w:space="0" w:color="auto"/>
      </w:divBdr>
    </w:div>
    <w:div w:id="1123843471">
      <w:bodyDiv w:val="1"/>
      <w:marLeft w:val="0"/>
      <w:marRight w:val="0"/>
      <w:marTop w:val="0"/>
      <w:marBottom w:val="0"/>
      <w:divBdr>
        <w:top w:val="none" w:sz="0" w:space="0" w:color="auto"/>
        <w:left w:val="none" w:sz="0" w:space="0" w:color="auto"/>
        <w:bottom w:val="none" w:sz="0" w:space="0" w:color="auto"/>
        <w:right w:val="none" w:sz="0" w:space="0" w:color="auto"/>
      </w:divBdr>
    </w:div>
    <w:div w:id="1129006876">
      <w:bodyDiv w:val="1"/>
      <w:marLeft w:val="0"/>
      <w:marRight w:val="0"/>
      <w:marTop w:val="0"/>
      <w:marBottom w:val="0"/>
      <w:divBdr>
        <w:top w:val="none" w:sz="0" w:space="0" w:color="auto"/>
        <w:left w:val="none" w:sz="0" w:space="0" w:color="auto"/>
        <w:bottom w:val="none" w:sz="0" w:space="0" w:color="auto"/>
        <w:right w:val="none" w:sz="0" w:space="0" w:color="auto"/>
      </w:divBdr>
    </w:div>
    <w:div w:id="1134057529">
      <w:bodyDiv w:val="1"/>
      <w:marLeft w:val="0"/>
      <w:marRight w:val="0"/>
      <w:marTop w:val="0"/>
      <w:marBottom w:val="0"/>
      <w:divBdr>
        <w:top w:val="none" w:sz="0" w:space="0" w:color="auto"/>
        <w:left w:val="none" w:sz="0" w:space="0" w:color="auto"/>
        <w:bottom w:val="none" w:sz="0" w:space="0" w:color="auto"/>
        <w:right w:val="none" w:sz="0" w:space="0" w:color="auto"/>
      </w:divBdr>
    </w:div>
    <w:div w:id="1146431926">
      <w:bodyDiv w:val="1"/>
      <w:marLeft w:val="0"/>
      <w:marRight w:val="0"/>
      <w:marTop w:val="0"/>
      <w:marBottom w:val="0"/>
      <w:divBdr>
        <w:top w:val="none" w:sz="0" w:space="0" w:color="auto"/>
        <w:left w:val="none" w:sz="0" w:space="0" w:color="auto"/>
        <w:bottom w:val="none" w:sz="0" w:space="0" w:color="auto"/>
        <w:right w:val="none" w:sz="0" w:space="0" w:color="auto"/>
      </w:divBdr>
    </w:div>
    <w:div w:id="1166436497">
      <w:bodyDiv w:val="1"/>
      <w:marLeft w:val="0"/>
      <w:marRight w:val="0"/>
      <w:marTop w:val="0"/>
      <w:marBottom w:val="0"/>
      <w:divBdr>
        <w:top w:val="none" w:sz="0" w:space="0" w:color="auto"/>
        <w:left w:val="none" w:sz="0" w:space="0" w:color="auto"/>
        <w:bottom w:val="none" w:sz="0" w:space="0" w:color="auto"/>
        <w:right w:val="none" w:sz="0" w:space="0" w:color="auto"/>
      </w:divBdr>
    </w:div>
    <w:div w:id="1168986372">
      <w:bodyDiv w:val="1"/>
      <w:marLeft w:val="0"/>
      <w:marRight w:val="0"/>
      <w:marTop w:val="0"/>
      <w:marBottom w:val="0"/>
      <w:divBdr>
        <w:top w:val="none" w:sz="0" w:space="0" w:color="auto"/>
        <w:left w:val="none" w:sz="0" w:space="0" w:color="auto"/>
        <w:bottom w:val="none" w:sz="0" w:space="0" w:color="auto"/>
        <w:right w:val="none" w:sz="0" w:space="0" w:color="auto"/>
      </w:divBdr>
    </w:div>
    <w:div w:id="1171484875">
      <w:bodyDiv w:val="1"/>
      <w:marLeft w:val="0"/>
      <w:marRight w:val="0"/>
      <w:marTop w:val="0"/>
      <w:marBottom w:val="0"/>
      <w:divBdr>
        <w:top w:val="none" w:sz="0" w:space="0" w:color="auto"/>
        <w:left w:val="none" w:sz="0" w:space="0" w:color="auto"/>
        <w:bottom w:val="none" w:sz="0" w:space="0" w:color="auto"/>
        <w:right w:val="none" w:sz="0" w:space="0" w:color="auto"/>
      </w:divBdr>
      <w:divsChild>
        <w:div w:id="318774906">
          <w:marLeft w:val="0"/>
          <w:marRight w:val="0"/>
          <w:marTop w:val="0"/>
          <w:marBottom w:val="0"/>
          <w:divBdr>
            <w:top w:val="none" w:sz="0" w:space="0" w:color="auto"/>
            <w:left w:val="none" w:sz="0" w:space="0" w:color="auto"/>
            <w:bottom w:val="none" w:sz="0" w:space="0" w:color="auto"/>
            <w:right w:val="none" w:sz="0" w:space="0" w:color="auto"/>
          </w:divBdr>
          <w:divsChild>
            <w:div w:id="315570387">
              <w:marLeft w:val="0"/>
              <w:marRight w:val="0"/>
              <w:marTop w:val="0"/>
              <w:marBottom w:val="0"/>
              <w:divBdr>
                <w:top w:val="none" w:sz="0" w:space="0" w:color="auto"/>
                <w:left w:val="none" w:sz="0" w:space="0" w:color="auto"/>
                <w:bottom w:val="none" w:sz="0" w:space="0" w:color="auto"/>
                <w:right w:val="none" w:sz="0" w:space="0" w:color="auto"/>
              </w:divBdr>
            </w:div>
          </w:divsChild>
        </w:div>
        <w:div w:id="782765145">
          <w:marLeft w:val="0"/>
          <w:marRight w:val="0"/>
          <w:marTop w:val="0"/>
          <w:marBottom w:val="0"/>
          <w:divBdr>
            <w:top w:val="none" w:sz="0" w:space="0" w:color="auto"/>
            <w:left w:val="none" w:sz="0" w:space="0" w:color="auto"/>
            <w:bottom w:val="none" w:sz="0" w:space="0" w:color="auto"/>
            <w:right w:val="none" w:sz="0" w:space="0" w:color="auto"/>
          </w:divBdr>
        </w:div>
      </w:divsChild>
    </w:div>
    <w:div w:id="1199927936">
      <w:bodyDiv w:val="1"/>
      <w:marLeft w:val="0"/>
      <w:marRight w:val="0"/>
      <w:marTop w:val="0"/>
      <w:marBottom w:val="0"/>
      <w:divBdr>
        <w:top w:val="none" w:sz="0" w:space="0" w:color="auto"/>
        <w:left w:val="none" w:sz="0" w:space="0" w:color="auto"/>
        <w:bottom w:val="none" w:sz="0" w:space="0" w:color="auto"/>
        <w:right w:val="none" w:sz="0" w:space="0" w:color="auto"/>
      </w:divBdr>
    </w:div>
    <w:div w:id="1214537321">
      <w:bodyDiv w:val="1"/>
      <w:marLeft w:val="0"/>
      <w:marRight w:val="0"/>
      <w:marTop w:val="0"/>
      <w:marBottom w:val="0"/>
      <w:divBdr>
        <w:top w:val="none" w:sz="0" w:space="0" w:color="auto"/>
        <w:left w:val="none" w:sz="0" w:space="0" w:color="auto"/>
        <w:bottom w:val="none" w:sz="0" w:space="0" w:color="auto"/>
        <w:right w:val="none" w:sz="0" w:space="0" w:color="auto"/>
      </w:divBdr>
    </w:div>
    <w:div w:id="1245073716">
      <w:bodyDiv w:val="1"/>
      <w:marLeft w:val="0"/>
      <w:marRight w:val="0"/>
      <w:marTop w:val="0"/>
      <w:marBottom w:val="0"/>
      <w:divBdr>
        <w:top w:val="none" w:sz="0" w:space="0" w:color="auto"/>
        <w:left w:val="none" w:sz="0" w:space="0" w:color="auto"/>
        <w:bottom w:val="none" w:sz="0" w:space="0" w:color="auto"/>
        <w:right w:val="none" w:sz="0" w:space="0" w:color="auto"/>
      </w:divBdr>
    </w:div>
    <w:div w:id="1256014302">
      <w:bodyDiv w:val="1"/>
      <w:marLeft w:val="0"/>
      <w:marRight w:val="0"/>
      <w:marTop w:val="0"/>
      <w:marBottom w:val="0"/>
      <w:divBdr>
        <w:top w:val="none" w:sz="0" w:space="0" w:color="auto"/>
        <w:left w:val="none" w:sz="0" w:space="0" w:color="auto"/>
        <w:bottom w:val="none" w:sz="0" w:space="0" w:color="auto"/>
        <w:right w:val="none" w:sz="0" w:space="0" w:color="auto"/>
      </w:divBdr>
      <w:divsChild>
        <w:div w:id="377901507">
          <w:marLeft w:val="0"/>
          <w:marRight w:val="0"/>
          <w:marTop w:val="0"/>
          <w:marBottom w:val="0"/>
          <w:divBdr>
            <w:top w:val="none" w:sz="0" w:space="0" w:color="auto"/>
            <w:left w:val="none" w:sz="0" w:space="0" w:color="auto"/>
            <w:bottom w:val="none" w:sz="0" w:space="0" w:color="auto"/>
            <w:right w:val="none" w:sz="0" w:space="0" w:color="auto"/>
          </w:divBdr>
          <w:divsChild>
            <w:div w:id="117190736">
              <w:marLeft w:val="0"/>
              <w:marRight w:val="0"/>
              <w:marTop w:val="0"/>
              <w:marBottom w:val="0"/>
              <w:divBdr>
                <w:top w:val="none" w:sz="0" w:space="0" w:color="auto"/>
                <w:left w:val="none" w:sz="0" w:space="0" w:color="auto"/>
                <w:bottom w:val="none" w:sz="0" w:space="0" w:color="auto"/>
                <w:right w:val="none" w:sz="0" w:space="0" w:color="auto"/>
              </w:divBdr>
            </w:div>
          </w:divsChild>
        </w:div>
        <w:div w:id="1198084534">
          <w:marLeft w:val="0"/>
          <w:marRight w:val="0"/>
          <w:marTop w:val="0"/>
          <w:marBottom w:val="0"/>
          <w:divBdr>
            <w:top w:val="none" w:sz="0" w:space="0" w:color="auto"/>
            <w:left w:val="none" w:sz="0" w:space="0" w:color="auto"/>
            <w:bottom w:val="none" w:sz="0" w:space="0" w:color="auto"/>
            <w:right w:val="none" w:sz="0" w:space="0" w:color="auto"/>
          </w:divBdr>
        </w:div>
      </w:divsChild>
    </w:div>
    <w:div w:id="1287852162">
      <w:bodyDiv w:val="1"/>
      <w:marLeft w:val="0"/>
      <w:marRight w:val="0"/>
      <w:marTop w:val="0"/>
      <w:marBottom w:val="0"/>
      <w:divBdr>
        <w:top w:val="none" w:sz="0" w:space="0" w:color="auto"/>
        <w:left w:val="none" w:sz="0" w:space="0" w:color="auto"/>
        <w:bottom w:val="none" w:sz="0" w:space="0" w:color="auto"/>
        <w:right w:val="none" w:sz="0" w:space="0" w:color="auto"/>
      </w:divBdr>
    </w:div>
    <w:div w:id="1289972015">
      <w:bodyDiv w:val="1"/>
      <w:marLeft w:val="0"/>
      <w:marRight w:val="0"/>
      <w:marTop w:val="0"/>
      <w:marBottom w:val="0"/>
      <w:divBdr>
        <w:top w:val="none" w:sz="0" w:space="0" w:color="auto"/>
        <w:left w:val="none" w:sz="0" w:space="0" w:color="auto"/>
        <w:bottom w:val="none" w:sz="0" w:space="0" w:color="auto"/>
        <w:right w:val="none" w:sz="0" w:space="0" w:color="auto"/>
      </w:divBdr>
    </w:div>
    <w:div w:id="1310359225">
      <w:bodyDiv w:val="1"/>
      <w:marLeft w:val="0"/>
      <w:marRight w:val="0"/>
      <w:marTop w:val="0"/>
      <w:marBottom w:val="0"/>
      <w:divBdr>
        <w:top w:val="none" w:sz="0" w:space="0" w:color="auto"/>
        <w:left w:val="none" w:sz="0" w:space="0" w:color="auto"/>
        <w:bottom w:val="none" w:sz="0" w:space="0" w:color="auto"/>
        <w:right w:val="none" w:sz="0" w:space="0" w:color="auto"/>
      </w:divBdr>
    </w:div>
    <w:div w:id="1335918546">
      <w:bodyDiv w:val="1"/>
      <w:marLeft w:val="0"/>
      <w:marRight w:val="0"/>
      <w:marTop w:val="0"/>
      <w:marBottom w:val="0"/>
      <w:divBdr>
        <w:top w:val="none" w:sz="0" w:space="0" w:color="auto"/>
        <w:left w:val="none" w:sz="0" w:space="0" w:color="auto"/>
        <w:bottom w:val="none" w:sz="0" w:space="0" w:color="auto"/>
        <w:right w:val="none" w:sz="0" w:space="0" w:color="auto"/>
      </w:divBdr>
    </w:div>
    <w:div w:id="1336805759">
      <w:bodyDiv w:val="1"/>
      <w:marLeft w:val="0"/>
      <w:marRight w:val="0"/>
      <w:marTop w:val="0"/>
      <w:marBottom w:val="0"/>
      <w:divBdr>
        <w:top w:val="none" w:sz="0" w:space="0" w:color="auto"/>
        <w:left w:val="none" w:sz="0" w:space="0" w:color="auto"/>
        <w:bottom w:val="none" w:sz="0" w:space="0" w:color="auto"/>
        <w:right w:val="none" w:sz="0" w:space="0" w:color="auto"/>
      </w:divBdr>
    </w:div>
    <w:div w:id="1336954740">
      <w:bodyDiv w:val="1"/>
      <w:marLeft w:val="0"/>
      <w:marRight w:val="0"/>
      <w:marTop w:val="0"/>
      <w:marBottom w:val="0"/>
      <w:divBdr>
        <w:top w:val="none" w:sz="0" w:space="0" w:color="auto"/>
        <w:left w:val="none" w:sz="0" w:space="0" w:color="auto"/>
        <w:bottom w:val="none" w:sz="0" w:space="0" w:color="auto"/>
        <w:right w:val="none" w:sz="0" w:space="0" w:color="auto"/>
      </w:divBdr>
    </w:div>
    <w:div w:id="1337611750">
      <w:bodyDiv w:val="1"/>
      <w:marLeft w:val="0"/>
      <w:marRight w:val="0"/>
      <w:marTop w:val="0"/>
      <w:marBottom w:val="0"/>
      <w:divBdr>
        <w:top w:val="none" w:sz="0" w:space="0" w:color="auto"/>
        <w:left w:val="none" w:sz="0" w:space="0" w:color="auto"/>
        <w:bottom w:val="none" w:sz="0" w:space="0" w:color="auto"/>
        <w:right w:val="none" w:sz="0" w:space="0" w:color="auto"/>
      </w:divBdr>
    </w:div>
    <w:div w:id="1346830373">
      <w:bodyDiv w:val="1"/>
      <w:marLeft w:val="0"/>
      <w:marRight w:val="0"/>
      <w:marTop w:val="0"/>
      <w:marBottom w:val="0"/>
      <w:divBdr>
        <w:top w:val="none" w:sz="0" w:space="0" w:color="auto"/>
        <w:left w:val="none" w:sz="0" w:space="0" w:color="auto"/>
        <w:bottom w:val="none" w:sz="0" w:space="0" w:color="auto"/>
        <w:right w:val="none" w:sz="0" w:space="0" w:color="auto"/>
      </w:divBdr>
    </w:div>
    <w:div w:id="1347949824">
      <w:bodyDiv w:val="1"/>
      <w:marLeft w:val="0"/>
      <w:marRight w:val="0"/>
      <w:marTop w:val="0"/>
      <w:marBottom w:val="0"/>
      <w:divBdr>
        <w:top w:val="none" w:sz="0" w:space="0" w:color="auto"/>
        <w:left w:val="none" w:sz="0" w:space="0" w:color="auto"/>
        <w:bottom w:val="none" w:sz="0" w:space="0" w:color="auto"/>
        <w:right w:val="none" w:sz="0" w:space="0" w:color="auto"/>
      </w:divBdr>
    </w:div>
    <w:div w:id="1348020000">
      <w:bodyDiv w:val="1"/>
      <w:marLeft w:val="0"/>
      <w:marRight w:val="0"/>
      <w:marTop w:val="0"/>
      <w:marBottom w:val="0"/>
      <w:divBdr>
        <w:top w:val="none" w:sz="0" w:space="0" w:color="auto"/>
        <w:left w:val="none" w:sz="0" w:space="0" w:color="auto"/>
        <w:bottom w:val="none" w:sz="0" w:space="0" w:color="auto"/>
        <w:right w:val="none" w:sz="0" w:space="0" w:color="auto"/>
      </w:divBdr>
      <w:divsChild>
        <w:div w:id="1225406490">
          <w:marLeft w:val="0"/>
          <w:marRight w:val="0"/>
          <w:marTop w:val="0"/>
          <w:marBottom w:val="0"/>
          <w:divBdr>
            <w:top w:val="none" w:sz="0" w:space="0" w:color="auto"/>
            <w:left w:val="none" w:sz="0" w:space="0" w:color="auto"/>
            <w:bottom w:val="none" w:sz="0" w:space="0" w:color="auto"/>
            <w:right w:val="none" w:sz="0" w:space="0" w:color="auto"/>
          </w:divBdr>
          <w:divsChild>
            <w:div w:id="341589705">
              <w:marLeft w:val="0"/>
              <w:marRight w:val="0"/>
              <w:marTop w:val="0"/>
              <w:marBottom w:val="0"/>
              <w:divBdr>
                <w:top w:val="none" w:sz="0" w:space="0" w:color="auto"/>
                <w:left w:val="none" w:sz="0" w:space="0" w:color="auto"/>
                <w:bottom w:val="none" w:sz="0" w:space="0" w:color="auto"/>
                <w:right w:val="none" w:sz="0" w:space="0" w:color="auto"/>
              </w:divBdr>
            </w:div>
          </w:divsChild>
        </w:div>
        <w:div w:id="1688286647">
          <w:marLeft w:val="0"/>
          <w:marRight w:val="0"/>
          <w:marTop w:val="0"/>
          <w:marBottom w:val="0"/>
          <w:divBdr>
            <w:top w:val="none" w:sz="0" w:space="0" w:color="auto"/>
            <w:left w:val="none" w:sz="0" w:space="0" w:color="auto"/>
            <w:bottom w:val="none" w:sz="0" w:space="0" w:color="auto"/>
            <w:right w:val="none" w:sz="0" w:space="0" w:color="auto"/>
          </w:divBdr>
        </w:div>
      </w:divsChild>
    </w:div>
    <w:div w:id="1350909180">
      <w:bodyDiv w:val="1"/>
      <w:marLeft w:val="0"/>
      <w:marRight w:val="0"/>
      <w:marTop w:val="0"/>
      <w:marBottom w:val="0"/>
      <w:divBdr>
        <w:top w:val="none" w:sz="0" w:space="0" w:color="auto"/>
        <w:left w:val="none" w:sz="0" w:space="0" w:color="auto"/>
        <w:bottom w:val="none" w:sz="0" w:space="0" w:color="auto"/>
        <w:right w:val="none" w:sz="0" w:space="0" w:color="auto"/>
      </w:divBdr>
    </w:div>
    <w:div w:id="1358041682">
      <w:bodyDiv w:val="1"/>
      <w:marLeft w:val="0"/>
      <w:marRight w:val="0"/>
      <w:marTop w:val="0"/>
      <w:marBottom w:val="0"/>
      <w:divBdr>
        <w:top w:val="none" w:sz="0" w:space="0" w:color="auto"/>
        <w:left w:val="none" w:sz="0" w:space="0" w:color="auto"/>
        <w:bottom w:val="none" w:sz="0" w:space="0" w:color="auto"/>
        <w:right w:val="none" w:sz="0" w:space="0" w:color="auto"/>
      </w:divBdr>
    </w:div>
    <w:div w:id="1358044855">
      <w:bodyDiv w:val="1"/>
      <w:marLeft w:val="0"/>
      <w:marRight w:val="0"/>
      <w:marTop w:val="0"/>
      <w:marBottom w:val="0"/>
      <w:divBdr>
        <w:top w:val="none" w:sz="0" w:space="0" w:color="auto"/>
        <w:left w:val="none" w:sz="0" w:space="0" w:color="auto"/>
        <w:bottom w:val="none" w:sz="0" w:space="0" w:color="auto"/>
        <w:right w:val="none" w:sz="0" w:space="0" w:color="auto"/>
      </w:divBdr>
    </w:div>
    <w:div w:id="1365911594">
      <w:bodyDiv w:val="1"/>
      <w:marLeft w:val="0"/>
      <w:marRight w:val="0"/>
      <w:marTop w:val="0"/>
      <w:marBottom w:val="0"/>
      <w:divBdr>
        <w:top w:val="none" w:sz="0" w:space="0" w:color="auto"/>
        <w:left w:val="none" w:sz="0" w:space="0" w:color="auto"/>
        <w:bottom w:val="none" w:sz="0" w:space="0" w:color="auto"/>
        <w:right w:val="none" w:sz="0" w:space="0" w:color="auto"/>
      </w:divBdr>
    </w:div>
    <w:div w:id="1373844770">
      <w:bodyDiv w:val="1"/>
      <w:marLeft w:val="0"/>
      <w:marRight w:val="0"/>
      <w:marTop w:val="0"/>
      <w:marBottom w:val="0"/>
      <w:divBdr>
        <w:top w:val="none" w:sz="0" w:space="0" w:color="auto"/>
        <w:left w:val="none" w:sz="0" w:space="0" w:color="auto"/>
        <w:bottom w:val="none" w:sz="0" w:space="0" w:color="auto"/>
        <w:right w:val="none" w:sz="0" w:space="0" w:color="auto"/>
      </w:divBdr>
      <w:divsChild>
        <w:div w:id="1588417812">
          <w:marLeft w:val="0"/>
          <w:marRight w:val="0"/>
          <w:marTop w:val="0"/>
          <w:marBottom w:val="0"/>
          <w:divBdr>
            <w:top w:val="none" w:sz="0" w:space="0" w:color="auto"/>
            <w:left w:val="none" w:sz="0" w:space="0" w:color="auto"/>
            <w:bottom w:val="none" w:sz="0" w:space="0" w:color="auto"/>
            <w:right w:val="none" w:sz="0" w:space="0" w:color="auto"/>
          </w:divBdr>
          <w:divsChild>
            <w:div w:id="579290620">
              <w:marLeft w:val="0"/>
              <w:marRight w:val="0"/>
              <w:marTop w:val="0"/>
              <w:marBottom w:val="0"/>
              <w:divBdr>
                <w:top w:val="none" w:sz="0" w:space="0" w:color="auto"/>
                <w:left w:val="none" w:sz="0" w:space="0" w:color="auto"/>
                <w:bottom w:val="none" w:sz="0" w:space="0" w:color="auto"/>
                <w:right w:val="none" w:sz="0" w:space="0" w:color="auto"/>
              </w:divBdr>
            </w:div>
          </w:divsChild>
        </w:div>
        <w:div w:id="2140802538">
          <w:marLeft w:val="0"/>
          <w:marRight w:val="0"/>
          <w:marTop w:val="0"/>
          <w:marBottom w:val="0"/>
          <w:divBdr>
            <w:top w:val="none" w:sz="0" w:space="0" w:color="auto"/>
            <w:left w:val="none" w:sz="0" w:space="0" w:color="auto"/>
            <w:bottom w:val="none" w:sz="0" w:space="0" w:color="auto"/>
            <w:right w:val="none" w:sz="0" w:space="0" w:color="auto"/>
          </w:divBdr>
        </w:div>
      </w:divsChild>
    </w:div>
    <w:div w:id="1422684050">
      <w:bodyDiv w:val="1"/>
      <w:marLeft w:val="0"/>
      <w:marRight w:val="0"/>
      <w:marTop w:val="0"/>
      <w:marBottom w:val="0"/>
      <w:divBdr>
        <w:top w:val="none" w:sz="0" w:space="0" w:color="auto"/>
        <w:left w:val="none" w:sz="0" w:space="0" w:color="auto"/>
        <w:bottom w:val="none" w:sz="0" w:space="0" w:color="auto"/>
        <w:right w:val="none" w:sz="0" w:space="0" w:color="auto"/>
      </w:divBdr>
    </w:div>
    <w:div w:id="1434938788">
      <w:bodyDiv w:val="1"/>
      <w:marLeft w:val="0"/>
      <w:marRight w:val="0"/>
      <w:marTop w:val="0"/>
      <w:marBottom w:val="0"/>
      <w:divBdr>
        <w:top w:val="none" w:sz="0" w:space="0" w:color="auto"/>
        <w:left w:val="none" w:sz="0" w:space="0" w:color="auto"/>
        <w:bottom w:val="none" w:sz="0" w:space="0" w:color="auto"/>
        <w:right w:val="none" w:sz="0" w:space="0" w:color="auto"/>
      </w:divBdr>
    </w:div>
    <w:div w:id="1441102232">
      <w:bodyDiv w:val="1"/>
      <w:marLeft w:val="0"/>
      <w:marRight w:val="0"/>
      <w:marTop w:val="0"/>
      <w:marBottom w:val="0"/>
      <w:divBdr>
        <w:top w:val="none" w:sz="0" w:space="0" w:color="auto"/>
        <w:left w:val="none" w:sz="0" w:space="0" w:color="auto"/>
        <w:bottom w:val="none" w:sz="0" w:space="0" w:color="auto"/>
        <w:right w:val="none" w:sz="0" w:space="0" w:color="auto"/>
      </w:divBdr>
    </w:div>
    <w:div w:id="1443643507">
      <w:bodyDiv w:val="1"/>
      <w:marLeft w:val="0"/>
      <w:marRight w:val="0"/>
      <w:marTop w:val="0"/>
      <w:marBottom w:val="0"/>
      <w:divBdr>
        <w:top w:val="none" w:sz="0" w:space="0" w:color="auto"/>
        <w:left w:val="none" w:sz="0" w:space="0" w:color="auto"/>
        <w:bottom w:val="none" w:sz="0" w:space="0" w:color="auto"/>
        <w:right w:val="none" w:sz="0" w:space="0" w:color="auto"/>
      </w:divBdr>
    </w:div>
    <w:div w:id="1446268351">
      <w:bodyDiv w:val="1"/>
      <w:marLeft w:val="0"/>
      <w:marRight w:val="0"/>
      <w:marTop w:val="0"/>
      <w:marBottom w:val="0"/>
      <w:divBdr>
        <w:top w:val="none" w:sz="0" w:space="0" w:color="auto"/>
        <w:left w:val="none" w:sz="0" w:space="0" w:color="auto"/>
        <w:bottom w:val="none" w:sz="0" w:space="0" w:color="auto"/>
        <w:right w:val="none" w:sz="0" w:space="0" w:color="auto"/>
      </w:divBdr>
    </w:div>
    <w:div w:id="1467704191">
      <w:bodyDiv w:val="1"/>
      <w:marLeft w:val="0"/>
      <w:marRight w:val="0"/>
      <w:marTop w:val="0"/>
      <w:marBottom w:val="0"/>
      <w:divBdr>
        <w:top w:val="none" w:sz="0" w:space="0" w:color="auto"/>
        <w:left w:val="none" w:sz="0" w:space="0" w:color="auto"/>
        <w:bottom w:val="none" w:sz="0" w:space="0" w:color="auto"/>
        <w:right w:val="none" w:sz="0" w:space="0" w:color="auto"/>
      </w:divBdr>
    </w:div>
    <w:div w:id="1481919884">
      <w:bodyDiv w:val="1"/>
      <w:marLeft w:val="0"/>
      <w:marRight w:val="0"/>
      <w:marTop w:val="0"/>
      <w:marBottom w:val="0"/>
      <w:divBdr>
        <w:top w:val="none" w:sz="0" w:space="0" w:color="auto"/>
        <w:left w:val="none" w:sz="0" w:space="0" w:color="auto"/>
        <w:bottom w:val="none" w:sz="0" w:space="0" w:color="auto"/>
        <w:right w:val="none" w:sz="0" w:space="0" w:color="auto"/>
      </w:divBdr>
    </w:div>
    <w:div w:id="1485588903">
      <w:bodyDiv w:val="1"/>
      <w:marLeft w:val="0"/>
      <w:marRight w:val="0"/>
      <w:marTop w:val="0"/>
      <w:marBottom w:val="0"/>
      <w:divBdr>
        <w:top w:val="none" w:sz="0" w:space="0" w:color="auto"/>
        <w:left w:val="none" w:sz="0" w:space="0" w:color="auto"/>
        <w:bottom w:val="none" w:sz="0" w:space="0" w:color="auto"/>
        <w:right w:val="none" w:sz="0" w:space="0" w:color="auto"/>
      </w:divBdr>
      <w:divsChild>
        <w:div w:id="551769693">
          <w:marLeft w:val="0"/>
          <w:marRight w:val="0"/>
          <w:marTop w:val="0"/>
          <w:marBottom w:val="0"/>
          <w:divBdr>
            <w:top w:val="none" w:sz="0" w:space="0" w:color="auto"/>
            <w:left w:val="none" w:sz="0" w:space="0" w:color="auto"/>
            <w:bottom w:val="none" w:sz="0" w:space="0" w:color="auto"/>
            <w:right w:val="none" w:sz="0" w:space="0" w:color="auto"/>
          </w:divBdr>
          <w:divsChild>
            <w:div w:id="101459534">
              <w:marLeft w:val="0"/>
              <w:marRight w:val="0"/>
              <w:marTop w:val="0"/>
              <w:marBottom w:val="0"/>
              <w:divBdr>
                <w:top w:val="none" w:sz="0" w:space="0" w:color="auto"/>
                <w:left w:val="none" w:sz="0" w:space="0" w:color="auto"/>
                <w:bottom w:val="none" w:sz="0" w:space="0" w:color="auto"/>
                <w:right w:val="none" w:sz="0" w:space="0" w:color="auto"/>
              </w:divBdr>
            </w:div>
          </w:divsChild>
        </w:div>
        <w:div w:id="1575164702">
          <w:marLeft w:val="0"/>
          <w:marRight w:val="0"/>
          <w:marTop w:val="0"/>
          <w:marBottom w:val="0"/>
          <w:divBdr>
            <w:top w:val="none" w:sz="0" w:space="0" w:color="auto"/>
            <w:left w:val="none" w:sz="0" w:space="0" w:color="auto"/>
            <w:bottom w:val="none" w:sz="0" w:space="0" w:color="auto"/>
            <w:right w:val="none" w:sz="0" w:space="0" w:color="auto"/>
          </w:divBdr>
        </w:div>
      </w:divsChild>
    </w:div>
    <w:div w:id="1486434175">
      <w:bodyDiv w:val="1"/>
      <w:marLeft w:val="0"/>
      <w:marRight w:val="0"/>
      <w:marTop w:val="0"/>
      <w:marBottom w:val="0"/>
      <w:divBdr>
        <w:top w:val="none" w:sz="0" w:space="0" w:color="auto"/>
        <w:left w:val="none" w:sz="0" w:space="0" w:color="auto"/>
        <w:bottom w:val="none" w:sz="0" w:space="0" w:color="auto"/>
        <w:right w:val="none" w:sz="0" w:space="0" w:color="auto"/>
      </w:divBdr>
    </w:div>
    <w:div w:id="1534539023">
      <w:bodyDiv w:val="1"/>
      <w:marLeft w:val="0"/>
      <w:marRight w:val="0"/>
      <w:marTop w:val="0"/>
      <w:marBottom w:val="0"/>
      <w:divBdr>
        <w:top w:val="none" w:sz="0" w:space="0" w:color="auto"/>
        <w:left w:val="none" w:sz="0" w:space="0" w:color="auto"/>
        <w:bottom w:val="none" w:sz="0" w:space="0" w:color="auto"/>
        <w:right w:val="none" w:sz="0" w:space="0" w:color="auto"/>
      </w:divBdr>
    </w:div>
    <w:div w:id="1548373859">
      <w:bodyDiv w:val="1"/>
      <w:marLeft w:val="0"/>
      <w:marRight w:val="0"/>
      <w:marTop w:val="0"/>
      <w:marBottom w:val="0"/>
      <w:divBdr>
        <w:top w:val="none" w:sz="0" w:space="0" w:color="auto"/>
        <w:left w:val="none" w:sz="0" w:space="0" w:color="auto"/>
        <w:bottom w:val="none" w:sz="0" w:space="0" w:color="auto"/>
        <w:right w:val="none" w:sz="0" w:space="0" w:color="auto"/>
      </w:divBdr>
    </w:div>
    <w:div w:id="1558282167">
      <w:bodyDiv w:val="1"/>
      <w:marLeft w:val="0"/>
      <w:marRight w:val="0"/>
      <w:marTop w:val="0"/>
      <w:marBottom w:val="0"/>
      <w:divBdr>
        <w:top w:val="none" w:sz="0" w:space="0" w:color="auto"/>
        <w:left w:val="none" w:sz="0" w:space="0" w:color="auto"/>
        <w:bottom w:val="none" w:sz="0" w:space="0" w:color="auto"/>
        <w:right w:val="none" w:sz="0" w:space="0" w:color="auto"/>
      </w:divBdr>
    </w:div>
    <w:div w:id="1563633464">
      <w:bodyDiv w:val="1"/>
      <w:marLeft w:val="0"/>
      <w:marRight w:val="0"/>
      <w:marTop w:val="0"/>
      <w:marBottom w:val="0"/>
      <w:divBdr>
        <w:top w:val="none" w:sz="0" w:space="0" w:color="auto"/>
        <w:left w:val="none" w:sz="0" w:space="0" w:color="auto"/>
        <w:bottom w:val="none" w:sz="0" w:space="0" w:color="auto"/>
        <w:right w:val="none" w:sz="0" w:space="0" w:color="auto"/>
      </w:divBdr>
    </w:div>
    <w:div w:id="1564291185">
      <w:bodyDiv w:val="1"/>
      <w:marLeft w:val="0"/>
      <w:marRight w:val="0"/>
      <w:marTop w:val="0"/>
      <w:marBottom w:val="0"/>
      <w:divBdr>
        <w:top w:val="none" w:sz="0" w:space="0" w:color="auto"/>
        <w:left w:val="none" w:sz="0" w:space="0" w:color="auto"/>
        <w:bottom w:val="none" w:sz="0" w:space="0" w:color="auto"/>
        <w:right w:val="none" w:sz="0" w:space="0" w:color="auto"/>
      </w:divBdr>
    </w:div>
    <w:div w:id="1564439938">
      <w:bodyDiv w:val="1"/>
      <w:marLeft w:val="0"/>
      <w:marRight w:val="0"/>
      <w:marTop w:val="0"/>
      <w:marBottom w:val="0"/>
      <w:divBdr>
        <w:top w:val="none" w:sz="0" w:space="0" w:color="auto"/>
        <w:left w:val="none" w:sz="0" w:space="0" w:color="auto"/>
        <w:bottom w:val="none" w:sz="0" w:space="0" w:color="auto"/>
        <w:right w:val="none" w:sz="0" w:space="0" w:color="auto"/>
      </w:divBdr>
    </w:div>
    <w:div w:id="1603103102">
      <w:bodyDiv w:val="1"/>
      <w:marLeft w:val="0"/>
      <w:marRight w:val="0"/>
      <w:marTop w:val="0"/>
      <w:marBottom w:val="0"/>
      <w:divBdr>
        <w:top w:val="none" w:sz="0" w:space="0" w:color="auto"/>
        <w:left w:val="none" w:sz="0" w:space="0" w:color="auto"/>
        <w:bottom w:val="none" w:sz="0" w:space="0" w:color="auto"/>
        <w:right w:val="none" w:sz="0" w:space="0" w:color="auto"/>
      </w:divBdr>
    </w:div>
    <w:div w:id="1654598279">
      <w:bodyDiv w:val="1"/>
      <w:marLeft w:val="0"/>
      <w:marRight w:val="0"/>
      <w:marTop w:val="0"/>
      <w:marBottom w:val="0"/>
      <w:divBdr>
        <w:top w:val="none" w:sz="0" w:space="0" w:color="auto"/>
        <w:left w:val="none" w:sz="0" w:space="0" w:color="auto"/>
        <w:bottom w:val="none" w:sz="0" w:space="0" w:color="auto"/>
        <w:right w:val="none" w:sz="0" w:space="0" w:color="auto"/>
      </w:divBdr>
    </w:div>
    <w:div w:id="1665626526">
      <w:bodyDiv w:val="1"/>
      <w:marLeft w:val="0"/>
      <w:marRight w:val="0"/>
      <w:marTop w:val="0"/>
      <w:marBottom w:val="0"/>
      <w:divBdr>
        <w:top w:val="none" w:sz="0" w:space="0" w:color="auto"/>
        <w:left w:val="none" w:sz="0" w:space="0" w:color="auto"/>
        <w:bottom w:val="none" w:sz="0" w:space="0" w:color="auto"/>
        <w:right w:val="none" w:sz="0" w:space="0" w:color="auto"/>
      </w:divBdr>
    </w:div>
    <w:div w:id="1683360466">
      <w:bodyDiv w:val="1"/>
      <w:marLeft w:val="0"/>
      <w:marRight w:val="0"/>
      <w:marTop w:val="0"/>
      <w:marBottom w:val="0"/>
      <w:divBdr>
        <w:top w:val="none" w:sz="0" w:space="0" w:color="auto"/>
        <w:left w:val="none" w:sz="0" w:space="0" w:color="auto"/>
        <w:bottom w:val="none" w:sz="0" w:space="0" w:color="auto"/>
        <w:right w:val="none" w:sz="0" w:space="0" w:color="auto"/>
      </w:divBdr>
      <w:divsChild>
        <w:div w:id="1603681932">
          <w:marLeft w:val="0"/>
          <w:marRight w:val="0"/>
          <w:marTop w:val="0"/>
          <w:marBottom w:val="0"/>
          <w:divBdr>
            <w:top w:val="none" w:sz="0" w:space="0" w:color="auto"/>
            <w:left w:val="none" w:sz="0" w:space="0" w:color="auto"/>
            <w:bottom w:val="none" w:sz="0" w:space="0" w:color="auto"/>
            <w:right w:val="none" w:sz="0" w:space="0" w:color="auto"/>
          </w:divBdr>
          <w:divsChild>
            <w:div w:id="1926068071">
              <w:marLeft w:val="0"/>
              <w:marRight w:val="0"/>
              <w:marTop w:val="0"/>
              <w:marBottom w:val="0"/>
              <w:divBdr>
                <w:top w:val="none" w:sz="0" w:space="0" w:color="auto"/>
                <w:left w:val="none" w:sz="0" w:space="0" w:color="auto"/>
                <w:bottom w:val="none" w:sz="0" w:space="0" w:color="auto"/>
                <w:right w:val="none" w:sz="0" w:space="0" w:color="auto"/>
              </w:divBdr>
            </w:div>
          </w:divsChild>
        </w:div>
        <w:div w:id="724793872">
          <w:marLeft w:val="0"/>
          <w:marRight w:val="0"/>
          <w:marTop w:val="0"/>
          <w:marBottom w:val="0"/>
          <w:divBdr>
            <w:top w:val="none" w:sz="0" w:space="0" w:color="auto"/>
            <w:left w:val="none" w:sz="0" w:space="0" w:color="auto"/>
            <w:bottom w:val="none" w:sz="0" w:space="0" w:color="auto"/>
            <w:right w:val="none" w:sz="0" w:space="0" w:color="auto"/>
          </w:divBdr>
        </w:div>
      </w:divsChild>
    </w:div>
    <w:div w:id="1692683193">
      <w:bodyDiv w:val="1"/>
      <w:marLeft w:val="0"/>
      <w:marRight w:val="0"/>
      <w:marTop w:val="0"/>
      <w:marBottom w:val="0"/>
      <w:divBdr>
        <w:top w:val="none" w:sz="0" w:space="0" w:color="auto"/>
        <w:left w:val="none" w:sz="0" w:space="0" w:color="auto"/>
        <w:bottom w:val="none" w:sz="0" w:space="0" w:color="auto"/>
        <w:right w:val="none" w:sz="0" w:space="0" w:color="auto"/>
      </w:divBdr>
    </w:div>
    <w:div w:id="1720089302">
      <w:bodyDiv w:val="1"/>
      <w:marLeft w:val="0"/>
      <w:marRight w:val="0"/>
      <w:marTop w:val="0"/>
      <w:marBottom w:val="0"/>
      <w:divBdr>
        <w:top w:val="none" w:sz="0" w:space="0" w:color="auto"/>
        <w:left w:val="none" w:sz="0" w:space="0" w:color="auto"/>
        <w:bottom w:val="none" w:sz="0" w:space="0" w:color="auto"/>
        <w:right w:val="none" w:sz="0" w:space="0" w:color="auto"/>
      </w:divBdr>
    </w:div>
    <w:div w:id="1740905686">
      <w:bodyDiv w:val="1"/>
      <w:marLeft w:val="0"/>
      <w:marRight w:val="0"/>
      <w:marTop w:val="0"/>
      <w:marBottom w:val="0"/>
      <w:divBdr>
        <w:top w:val="none" w:sz="0" w:space="0" w:color="auto"/>
        <w:left w:val="none" w:sz="0" w:space="0" w:color="auto"/>
        <w:bottom w:val="none" w:sz="0" w:space="0" w:color="auto"/>
        <w:right w:val="none" w:sz="0" w:space="0" w:color="auto"/>
      </w:divBdr>
    </w:div>
    <w:div w:id="1747336780">
      <w:bodyDiv w:val="1"/>
      <w:marLeft w:val="0"/>
      <w:marRight w:val="0"/>
      <w:marTop w:val="0"/>
      <w:marBottom w:val="0"/>
      <w:divBdr>
        <w:top w:val="none" w:sz="0" w:space="0" w:color="auto"/>
        <w:left w:val="none" w:sz="0" w:space="0" w:color="auto"/>
        <w:bottom w:val="none" w:sz="0" w:space="0" w:color="auto"/>
        <w:right w:val="none" w:sz="0" w:space="0" w:color="auto"/>
      </w:divBdr>
    </w:div>
    <w:div w:id="1750732237">
      <w:bodyDiv w:val="1"/>
      <w:marLeft w:val="0"/>
      <w:marRight w:val="0"/>
      <w:marTop w:val="0"/>
      <w:marBottom w:val="0"/>
      <w:divBdr>
        <w:top w:val="none" w:sz="0" w:space="0" w:color="auto"/>
        <w:left w:val="none" w:sz="0" w:space="0" w:color="auto"/>
        <w:bottom w:val="none" w:sz="0" w:space="0" w:color="auto"/>
        <w:right w:val="none" w:sz="0" w:space="0" w:color="auto"/>
      </w:divBdr>
    </w:div>
    <w:div w:id="1790467173">
      <w:bodyDiv w:val="1"/>
      <w:marLeft w:val="0"/>
      <w:marRight w:val="0"/>
      <w:marTop w:val="0"/>
      <w:marBottom w:val="0"/>
      <w:divBdr>
        <w:top w:val="none" w:sz="0" w:space="0" w:color="auto"/>
        <w:left w:val="none" w:sz="0" w:space="0" w:color="auto"/>
        <w:bottom w:val="none" w:sz="0" w:space="0" w:color="auto"/>
        <w:right w:val="none" w:sz="0" w:space="0" w:color="auto"/>
      </w:divBdr>
    </w:div>
    <w:div w:id="1797215387">
      <w:bodyDiv w:val="1"/>
      <w:marLeft w:val="0"/>
      <w:marRight w:val="0"/>
      <w:marTop w:val="0"/>
      <w:marBottom w:val="0"/>
      <w:divBdr>
        <w:top w:val="none" w:sz="0" w:space="0" w:color="auto"/>
        <w:left w:val="none" w:sz="0" w:space="0" w:color="auto"/>
        <w:bottom w:val="none" w:sz="0" w:space="0" w:color="auto"/>
        <w:right w:val="none" w:sz="0" w:space="0" w:color="auto"/>
      </w:divBdr>
    </w:div>
    <w:div w:id="1815482376">
      <w:bodyDiv w:val="1"/>
      <w:marLeft w:val="0"/>
      <w:marRight w:val="0"/>
      <w:marTop w:val="0"/>
      <w:marBottom w:val="0"/>
      <w:divBdr>
        <w:top w:val="none" w:sz="0" w:space="0" w:color="auto"/>
        <w:left w:val="none" w:sz="0" w:space="0" w:color="auto"/>
        <w:bottom w:val="none" w:sz="0" w:space="0" w:color="auto"/>
        <w:right w:val="none" w:sz="0" w:space="0" w:color="auto"/>
      </w:divBdr>
    </w:div>
    <w:div w:id="1818716220">
      <w:bodyDiv w:val="1"/>
      <w:marLeft w:val="0"/>
      <w:marRight w:val="0"/>
      <w:marTop w:val="0"/>
      <w:marBottom w:val="0"/>
      <w:divBdr>
        <w:top w:val="none" w:sz="0" w:space="0" w:color="auto"/>
        <w:left w:val="none" w:sz="0" w:space="0" w:color="auto"/>
        <w:bottom w:val="none" w:sz="0" w:space="0" w:color="auto"/>
        <w:right w:val="none" w:sz="0" w:space="0" w:color="auto"/>
      </w:divBdr>
    </w:div>
    <w:div w:id="1863399346">
      <w:bodyDiv w:val="1"/>
      <w:marLeft w:val="0"/>
      <w:marRight w:val="0"/>
      <w:marTop w:val="0"/>
      <w:marBottom w:val="0"/>
      <w:divBdr>
        <w:top w:val="none" w:sz="0" w:space="0" w:color="auto"/>
        <w:left w:val="none" w:sz="0" w:space="0" w:color="auto"/>
        <w:bottom w:val="none" w:sz="0" w:space="0" w:color="auto"/>
        <w:right w:val="none" w:sz="0" w:space="0" w:color="auto"/>
      </w:divBdr>
    </w:div>
    <w:div w:id="1868711728">
      <w:bodyDiv w:val="1"/>
      <w:marLeft w:val="0"/>
      <w:marRight w:val="0"/>
      <w:marTop w:val="0"/>
      <w:marBottom w:val="0"/>
      <w:divBdr>
        <w:top w:val="none" w:sz="0" w:space="0" w:color="auto"/>
        <w:left w:val="none" w:sz="0" w:space="0" w:color="auto"/>
        <w:bottom w:val="none" w:sz="0" w:space="0" w:color="auto"/>
        <w:right w:val="none" w:sz="0" w:space="0" w:color="auto"/>
      </w:divBdr>
    </w:div>
    <w:div w:id="1882328374">
      <w:bodyDiv w:val="1"/>
      <w:marLeft w:val="0"/>
      <w:marRight w:val="0"/>
      <w:marTop w:val="0"/>
      <w:marBottom w:val="0"/>
      <w:divBdr>
        <w:top w:val="none" w:sz="0" w:space="0" w:color="auto"/>
        <w:left w:val="none" w:sz="0" w:space="0" w:color="auto"/>
        <w:bottom w:val="none" w:sz="0" w:space="0" w:color="auto"/>
        <w:right w:val="none" w:sz="0" w:space="0" w:color="auto"/>
      </w:divBdr>
    </w:div>
    <w:div w:id="1898316409">
      <w:bodyDiv w:val="1"/>
      <w:marLeft w:val="0"/>
      <w:marRight w:val="0"/>
      <w:marTop w:val="0"/>
      <w:marBottom w:val="0"/>
      <w:divBdr>
        <w:top w:val="none" w:sz="0" w:space="0" w:color="auto"/>
        <w:left w:val="none" w:sz="0" w:space="0" w:color="auto"/>
        <w:bottom w:val="none" w:sz="0" w:space="0" w:color="auto"/>
        <w:right w:val="none" w:sz="0" w:space="0" w:color="auto"/>
      </w:divBdr>
    </w:div>
    <w:div w:id="1924680442">
      <w:bodyDiv w:val="1"/>
      <w:marLeft w:val="0"/>
      <w:marRight w:val="0"/>
      <w:marTop w:val="0"/>
      <w:marBottom w:val="0"/>
      <w:divBdr>
        <w:top w:val="none" w:sz="0" w:space="0" w:color="auto"/>
        <w:left w:val="none" w:sz="0" w:space="0" w:color="auto"/>
        <w:bottom w:val="none" w:sz="0" w:space="0" w:color="auto"/>
        <w:right w:val="none" w:sz="0" w:space="0" w:color="auto"/>
      </w:divBdr>
    </w:div>
    <w:div w:id="1941376251">
      <w:bodyDiv w:val="1"/>
      <w:marLeft w:val="0"/>
      <w:marRight w:val="0"/>
      <w:marTop w:val="0"/>
      <w:marBottom w:val="0"/>
      <w:divBdr>
        <w:top w:val="none" w:sz="0" w:space="0" w:color="auto"/>
        <w:left w:val="none" w:sz="0" w:space="0" w:color="auto"/>
        <w:bottom w:val="none" w:sz="0" w:space="0" w:color="auto"/>
        <w:right w:val="none" w:sz="0" w:space="0" w:color="auto"/>
      </w:divBdr>
    </w:div>
    <w:div w:id="1943416190">
      <w:bodyDiv w:val="1"/>
      <w:marLeft w:val="0"/>
      <w:marRight w:val="0"/>
      <w:marTop w:val="0"/>
      <w:marBottom w:val="0"/>
      <w:divBdr>
        <w:top w:val="none" w:sz="0" w:space="0" w:color="auto"/>
        <w:left w:val="none" w:sz="0" w:space="0" w:color="auto"/>
        <w:bottom w:val="none" w:sz="0" w:space="0" w:color="auto"/>
        <w:right w:val="none" w:sz="0" w:space="0" w:color="auto"/>
      </w:divBdr>
    </w:div>
    <w:div w:id="1953779678">
      <w:bodyDiv w:val="1"/>
      <w:marLeft w:val="0"/>
      <w:marRight w:val="0"/>
      <w:marTop w:val="0"/>
      <w:marBottom w:val="0"/>
      <w:divBdr>
        <w:top w:val="none" w:sz="0" w:space="0" w:color="auto"/>
        <w:left w:val="none" w:sz="0" w:space="0" w:color="auto"/>
        <w:bottom w:val="none" w:sz="0" w:space="0" w:color="auto"/>
        <w:right w:val="none" w:sz="0" w:space="0" w:color="auto"/>
      </w:divBdr>
      <w:divsChild>
        <w:div w:id="524100146">
          <w:marLeft w:val="0"/>
          <w:marRight w:val="0"/>
          <w:marTop w:val="0"/>
          <w:marBottom w:val="0"/>
          <w:divBdr>
            <w:top w:val="none" w:sz="0" w:space="0" w:color="auto"/>
            <w:left w:val="none" w:sz="0" w:space="0" w:color="auto"/>
            <w:bottom w:val="none" w:sz="0" w:space="0" w:color="auto"/>
            <w:right w:val="none" w:sz="0" w:space="0" w:color="auto"/>
          </w:divBdr>
          <w:divsChild>
            <w:div w:id="1624572982">
              <w:marLeft w:val="0"/>
              <w:marRight w:val="0"/>
              <w:marTop w:val="0"/>
              <w:marBottom w:val="0"/>
              <w:divBdr>
                <w:top w:val="none" w:sz="0" w:space="0" w:color="auto"/>
                <w:left w:val="none" w:sz="0" w:space="0" w:color="auto"/>
                <w:bottom w:val="none" w:sz="0" w:space="0" w:color="auto"/>
                <w:right w:val="none" w:sz="0" w:space="0" w:color="auto"/>
              </w:divBdr>
            </w:div>
          </w:divsChild>
        </w:div>
        <w:div w:id="1943805300">
          <w:marLeft w:val="0"/>
          <w:marRight w:val="0"/>
          <w:marTop w:val="0"/>
          <w:marBottom w:val="0"/>
          <w:divBdr>
            <w:top w:val="none" w:sz="0" w:space="0" w:color="auto"/>
            <w:left w:val="none" w:sz="0" w:space="0" w:color="auto"/>
            <w:bottom w:val="none" w:sz="0" w:space="0" w:color="auto"/>
            <w:right w:val="none" w:sz="0" w:space="0" w:color="auto"/>
          </w:divBdr>
        </w:div>
      </w:divsChild>
    </w:div>
    <w:div w:id="1960526160">
      <w:bodyDiv w:val="1"/>
      <w:marLeft w:val="0"/>
      <w:marRight w:val="0"/>
      <w:marTop w:val="0"/>
      <w:marBottom w:val="0"/>
      <w:divBdr>
        <w:top w:val="none" w:sz="0" w:space="0" w:color="auto"/>
        <w:left w:val="none" w:sz="0" w:space="0" w:color="auto"/>
        <w:bottom w:val="none" w:sz="0" w:space="0" w:color="auto"/>
        <w:right w:val="none" w:sz="0" w:space="0" w:color="auto"/>
      </w:divBdr>
    </w:div>
    <w:div w:id="1969623838">
      <w:bodyDiv w:val="1"/>
      <w:marLeft w:val="0"/>
      <w:marRight w:val="0"/>
      <w:marTop w:val="0"/>
      <w:marBottom w:val="0"/>
      <w:divBdr>
        <w:top w:val="none" w:sz="0" w:space="0" w:color="auto"/>
        <w:left w:val="none" w:sz="0" w:space="0" w:color="auto"/>
        <w:bottom w:val="none" w:sz="0" w:space="0" w:color="auto"/>
        <w:right w:val="none" w:sz="0" w:space="0" w:color="auto"/>
      </w:divBdr>
    </w:div>
    <w:div w:id="1984456828">
      <w:bodyDiv w:val="1"/>
      <w:marLeft w:val="0"/>
      <w:marRight w:val="0"/>
      <w:marTop w:val="0"/>
      <w:marBottom w:val="0"/>
      <w:divBdr>
        <w:top w:val="none" w:sz="0" w:space="0" w:color="auto"/>
        <w:left w:val="none" w:sz="0" w:space="0" w:color="auto"/>
        <w:bottom w:val="none" w:sz="0" w:space="0" w:color="auto"/>
        <w:right w:val="none" w:sz="0" w:space="0" w:color="auto"/>
      </w:divBdr>
    </w:div>
    <w:div w:id="1992439015">
      <w:bodyDiv w:val="1"/>
      <w:marLeft w:val="0"/>
      <w:marRight w:val="0"/>
      <w:marTop w:val="0"/>
      <w:marBottom w:val="0"/>
      <w:divBdr>
        <w:top w:val="none" w:sz="0" w:space="0" w:color="auto"/>
        <w:left w:val="none" w:sz="0" w:space="0" w:color="auto"/>
        <w:bottom w:val="none" w:sz="0" w:space="0" w:color="auto"/>
        <w:right w:val="none" w:sz="0" w:space="0" w:color="auto"/>
      </w:divBdr>
    </w:div>
    <w:div w:id="2042823166">
      <w:bodyDiv w:val="1"/>
      <w:marLeft w:val="0"/>
      <w:marRight w:val="0"/>
      <w:marTop w:val="0"/>
      <w:marBottom w:val="0"/>
      <w:divBdr>
        <w:top w:val="none" w:sz="0" w:space="0" w:color="auto"/>
        <w:left w:val="none" w:sz="0" w:space="0" w:color="auto"/>
        <w:bottom w:val="none" w:sz="0" w:space="0" w:color="auto"/>
        <w:right w:val="none" w:sz="0" w:space="0" w:color="auto"/>
      </w:divBdr>
    </w:div>
    <w:div w:id="2064988698">
      <w:bodyDiv w:val="1"/>
      <w:marLeft w:val="0"/>
      <w:marRight w:val="0"/>
      <w:marTop w:val="0"/>
      <w:marBottom w:val="0"/>
      <w:divBdr>
        <w:top w:val="none" w:sz="0" w:space="0" w:color="auto"/>
        <w:left w:val="none" w:sz="0" w:space="0" w:color="auto"/>
        <w:bottom w:val="none" w:sz="0" w:space="0" w:color="auto"/>
        <w:right w:val="none" w:sz="0" w:space="0" w:color="auto"/>
      </w:divBdr>
    </w:div>
    <w:div w:id="2073429344">
      <w:bodyDiv w:val="1"/>
      <w:marLeft w:val="0"/>
      <w:marRight w:val="0"/>
      <w:marTop w:val="0"/>
      <w:marBottom w:val="0"/>
      <w:divBdr>
        <w:top w:val="none" w:sz="0" w:space="0" w:color="auto"/>
        <w:left w:val="none" w:sz="0" w:space="0" w:color="auto"/>
        <w:bottom w:val="none" w:sz="0" w:space="0" w:color="auto"/>
        <w:right w:val="none" w:sz="0" w:space="0" w:color="auto"/>
      </w:divBdr>
    </w:div>
    <w:div w:id="2097939235">
      <w:bodyDiv w:val="1"/>
      <w:marLeft w:val="0"/>
      <w:marRight w:val="0"/>
      <w:marTop w:val="0"/>
      <w:marBottom w:val="0"/>
      <w:divBdr>
        <w:top w:val="none" w:sz="0" w:space="0" w:color="auto"/>
        <w:left w:val="none" w:sz="0" w:space="0" w:color="auto"/>
        <w:bottom w:val="none" w:sz="0" w:space="0" w:color="auto"/>
        <w:right w:val="none" w:sz="0" w:space="0" w:color="auto"/>
      </w:divBdr>
    </w:div>
    <w:div w:id="2100054070">
      <w:bodyDiv w:val="1"/>
      <w:marLeft w:val="0"/>
      <w:marRight w:val="0"/>
      <w:marTop w:val="0"/>
      <w:marBottom w:val="0"/>
      <w:divBdr>
        <w:top w:val="none" w:sz="0" w:space="0" w:color="auto"/>
        <w:left w:val="none" w:sz="0" w:space="0" w:color="auto"/>
        <w:bottom w:val="none" w:sz="0" w:space="0" w:color="auto"/>
        <w:right w:val="none" w:sz="0" w:space="0" w:color="auto"/>
      </w:divBdr>
    </w:div>
    <w:div w:id="2119566508">
      <w:bodyDiv w:val="1"/>
      <w:marLeft w:val="0"/>
      <w:marRight w:val="0"/>
      <w:marTop w:val="0"/>
      <w:marBottom w:val="0"/>
      <w:divBdr>
        <w:top w:val="none" w:sz="0" w:space="0" w:color="auto"/>
        <w:left w:val="none" w:sz="0" w:space="0" w:color="auto"/>
        <w:bottom w:val="none" w:sz="0" w:space="0" w:color="auto"/>
        <w:right w:val="none" w:sz="0" w:space="0" w:color="auto"/>
      </w:divBdr>
    </w:div>
    <w:div w:id="2132508153">
      <w:bodyDiv w:val="1"/>
      <w:marLeft w:val="0"/>
      <w:marRight w:val="0"/>
      <w:marTop w:val="0"/>
      <w:marBottom w:val="0"/>
      <w:divBdr>
        <w:top w:val="none" w:sz="0" w:space="0" w:color="auto"/>
        <w:left w:val="none" w:sz="0" w:space="0" w:color="auto"/>
        <w:bottom w:val="none" w:sz="0" w:space="0" w:color="auto"/>
        <w:right w:val="none" w:sz="0" w:space="0" w:color="auto"/>
      </w:divBdr>
    </w:div>
    <w:div w:id="214276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gf1g18@so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ydari@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60F0D56873140998639DD4F2EEA28" ma:contentTypeVersion="14" ma:contentTypeDescription="Create a new document." ma:contentTypeScope="" ma:versionID="6ec30c8dd75d97357ea6f33fadf0130b">
  <xsd:schema xmlns:xsd="http://www.w3.org/2001/XMLSchema" xmlns:xs="http://www.w3.org/2001/XMLSchema" xmlns:p="http://schemas.microsoft.com/office/2006/metadata/properties" xmlns:ns3="f311e23a-e75e-4c38-aad0-760a93ba4285" xmlns:ns4="e6e171b4-39a1-4f1a-bccd-569e12df1e64" targetNamespace="http://schemas.microsoft.com/office/2006/metadata/properties" ma:root="true" ma:fieldsID="afc53410bf161b74f379c679c9b1a2b3" ns3:_="" ns4:_="">
    <xsd:import namespace="f311e23a-e75e-4c38-aad0-760a93ba4285"/>
    <xsd:import namespace="e6e171b4-39a1-4f1a-bccd-569e12df1e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1e23a-e75e-4c38-aad0-760a93ba4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e171b4-39a1-4f1a-bccd-569e12df1e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A2FF-DC16-483E-953A-20FA39A89FF1}">
  <ds:schemaRefs>
    <ds:schemaRef ds:uri="http://schemas.microsoft.com/sharepoint/v3/contenttype/forms"/>
  </ds:schemaRefs>
</ds:datastoreItem>
</file>

<file path=customXml/itemProps2.xml><?xml version="1.0" encoding="utf-8"?>
<ds:datastoreItem xmlns:ds="http://schemas.openxmlformats.org/officeDocument/2006/customXml" ds:itemID="{889E8C7F-EF0F-4398-A367-F7A2E7BD2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1e23a-e75e-4c38-aad0-760a93ba4285"/>
    <ds:schemaRef ds:uri="e6e171b4-39a1-4f1a-bccd-569e12df1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A1A7F-E4A6-4C71-9BE6-71B920556ABD}">
  <ds:schemaRefs>
    <ds:schemaRef ds:uri="http://purl.org/dc/elements/1.1/"/>
    <ds:schemaRef ds:uri="http://schemas.microsoft.com/office/2006/metadata/properties"/>
    <ds:schemaRef ds:uri="f311e23a-e75e-4c38-aad0-760a93ba4285"/>
    <ds:schemaRef ds:uri="http://purl.org/dc/terms/"/>
    <ds:schemaRef ds:uri="http://schemas.openxmlformats.org/package/2006/metadata/core-properties"/>
    <ds:schemaRef ds:uri="http://schemas.microsoft.com/office/2006/documentManagement/types"/>
    <ds:schemaRef ds:uri="e6e171b4-39a1-4f1a-bccd-569e12df1e6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29256F-48A8-4C37-8D13-183CEA78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22</Pages>
  <Words>8051</Words>
  <Characters>49518</Characters>
  <Application>Microsoft Office Word</Application>
  <DocSecurity>0</DocSecurity>
  <Lines>1834</Lines>
  <Paragraphs>1174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Forrest</dc:creator>
  <cp:keywords/>
  <dc:description/>
  <cp:lastModifiedBy>Shahram Heydari</cp:lastModifiedBy>
  <cp:revision>24</cp:revision>
  <dcterms:created xsi:type="dcterms:W3CDTF">2024-01-23T17:33:00Z</dcterms:created>
  <dcterms:modified xsi:type="dcterms:W3CDTF">2024-02-19T10:40:00Z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0x01010081460F0D56873140998639DD4F2EEA28</vt:lpwstr>
  </property>
</Properties>
</file>