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564A5" w14:textId="77777777" w:rsidR="00453A17" w:rsidRPr="00453A17" w:rsidRDefault="00453A17" w:rsidP="00453A17">
      <w:pPr>
        <w:rPr>
          <w:b/>
          <w:bCs/>
          <w:sz w:val="24"/>
          <w:szCs w:val="24"/>
        </w:rPr>
      </w:pPr>
      <w:r w:rsidRPr="00453A17">
        <w:rPr>
          <w:b/>
          <w:bCs/>
          <w:sz w:val="24"/>
          <w:szCs w:val="24"/>
        </w:rPr>
        <w:t>Examining the microglial TSPO phenotype in Alzheimer’s disease</w:t>
      </w:r>
    </w:p>
    <w:p w14:paraId="2782E742" w14:textId="2AA9980A" w:rsidR="00453A17" w:rsidRPr="00453A17" w:rsidRDefault="00453A17" w:rsidP="00453A17">
      <w:r w:rsidRPr="00453A17">
        <w:rPr>
          <w:rStyle w:val="accordion-tabbedtab-mobile"/>
          <w:rFonts w:cstheme="minorHAnsi"/>
          <w:bdr w:val="none" w:sz="0" w:space="0" w:color="auto" w:frame="1"/>
        </w:rPr>
        <w:t>Emma F Garland</w:t>
      </w:r>
      <w:r w:rsidRPr="00453A17">
        <w:rPr>
          <w:rStyle w:val="comma-separator"/>
          <w:rFonts w:cstheme="minorHAnsi"/>
          <w:bdr w:val="none" w:sz="0" w:space="0" w:color="auto" w:frame="1"/>
        </w:rPr>
        <w:t>,</w:t>
      </w:r>
      <w:r>
        <w:rPr>
          <w:rStyle w:val="comma-separator"/>
          <w:rFonts w:cstheme="minorHAnsi"/>
          <w:bdr w:val="none" w:sz="0" w:space="0" w:color="auto" w:frame="1"/>
        </w:rPr>
        <w:t xml:space="preserve"> </w:t>
      </w:r>
      <w:r w:rsidRPr="00453A17">
        <w:rPr>
          <w:rStyle w:val="accordion-tabbedtab-mobile"/>
          <w:rFonts w:cstheme="minorHAnsi"/>
          <w:bdr w:val="none" w:sz="0" w:space="0" w:color="auto" w:frame="1"/>
        </w:rPr>
        <w:t>Laura Kulagowska</w:t>
      </w:r>
      <w:r w:rsidRPr="00453A17">
        <w:rPr>
          <w:rStyle w:val="comma-separator"/>
          <w:rFonts w:cstheme="minorHAnsi"/>
          <w:bdr w:val="none" w:sz="0" w:space="0" w:color="auto" w:frame="1"/>
        </w:rPr>
        <w:t>,</w:t>
      </w:r>
      <w:r>
        <w:rPr>
          <w:rStyle w:val="comma-separator"/>
          <w:rFonts w:cstheme="minorHAnsi"/>
          <w:bdr w:val="none" w:sz="0" w:space="0" w:color="auto" w:frame="1"/>
        </w:rPr>
        <w:t xml:space="preserve"> Tho</w:t>
      </w:r>
      <w:r w:rsidRPr="00453A17">
        <w:rPr>
          <w:rStyle w:val="accordion-tabbedtab-mobile"/>
          <w:rFonts w:cstheme="minorHAnsi"/>
          <w:bdr w:val="none" w:sz="0" w:space="0" w:color="auto" w:frame="1"/>
        </w:rPr>
        <w:t>mas Scott</w:t>
      </w:r>
      <w:r w:rsidRPr="00453A17">
        <w:rPr>
          <w:rStyle w:val="comma-separator"/>
          <w:rFonts w:cstheme="minorHAnsi"/>
          <w:bdr w:val="none" w:sz="0" w:space="0" w:color="auto" w:frame="1"/>
        </w:rPr>
        <w:t>,</w:t>
      </w:r>
      <w:r>
        <w:rPr>
          <w:rStyle w:val="comma-separator"/>
          <w:rFonts w:cstheme="minorHAnsi"/>
          <w:bdr w:val="none" w:sz="0" w:space="0" w:color="auto" w:frame="1"/>
        </w:rPr>
        <w:t xml:space="preserve"> </w:t>
      </w:r>
      <w:r w:rsidRPr="00453A17">
        <w:rPr>
          <w:rStyle w:val="accordion-tabbedtab-mobile"/>
          <w:rFonts w:cstheme="minorHAnsi"/>
          <w:bdr w:val="none" w:sz="0" w:space="0" w:color="auto" w:frame="1"/>
        </w:rPr>
        <w:t>Henrike Antony</w:t>
      </w:r>
      <w:r w:rsidRPr="00453A17">
        <w:rPr>
          <w:rStyle w:val="comma-separator"/>
          <w:rFonts w:cstheme="minorHAnsi"/>
          <w:bdr w:val="none" w:sz="0" w:space="0" w:color="auto" w:frame="1"/>
        </w:rPr>
        <w:t>,</w:t>
      </w:r>
      <w:r>
        <w:rPr>
          <w:rStyle w:val="comma-separator"/>
          <w:rFonts w:cstheme="minorHAnsi"/>
          <w:bdr w:val="none" w:sz="0" w:space="0" w:color="auto" w:frame="1"/>
        </w:rPr>
        <w:t xml:space="preserve"> </w:t>
      </w:r>
      <w:r w:rsidRPr="00453A17">
        <w:rPr>
          <w:rStyle w:val="accordion-tabbedtab-mobile"/>
          <w:rFonts w:cstheme="minorHAnsi"/>
          <w:bdr w:val="none" w:sz="0" w:space="0" w:color="auto" w:frame="1"/>
        </w:rPr>
        <w:t>Michel Bottlaender</w:t>
      </w:r>
      <w:r w:rsidRPr="00453A17">
        <w:rPr>
          <w:rStyle w:val="comma-separator"/>
          <w:rFonts w:cstheme="minorHAnsi"/>
          <w:bdr w:val="none" w:sz="0" w:space="0" w:color="auto" w:frame="1"/>
        </w:rPr>
        <w:t>,</w:t>
      </w:r>
      <w:r>
        <w:rPr>
          <w:rStyle w:val="comma-separator"/>
          <w:rFonts w:cstheme="minorHAnsi"/>
          <w:bdr w:val="none" w:sz="0" w:space="0" w:color="auto" w:frame="1"/>
        </w:rPr>
        <w:t xml:space="preserve"> </w:t>
      </w:r>
      <w:hyperlink r:id="rId4" w:history="1">
        <w:r w:rsidRPr="00453A17">
          <w:rPr>
            <w:rStyle w:val="Hyperlink"/>
            <w:rFonts w:cstheme="minorHAnsi"/>
            <w:color w:val="auto"/>
            <w:u w:val="none"/>
            <w:bdr w:val="none" w:sz="0" w:space="0" w:color="auto" w:frame="1"/>
          </w:rPr>
          <w:t>James AR Nicoll</w:t>
        </w:r>
      </w:hyperlink>
      <w:r w:rsidRPr="00453A17">
        <w:rPr>
          <w:rStyle w:val="comma-separator"/>
          <w:rFonts w:cstheme="minorHAnsi"/>
          <w:bdr w:val="none" w:sz="0" w:space="0" w:color="auto" w:frame="1"/>
        </w:rPr>
        <w:t>,</w:t>
      </w:r>
      <w:r>
        <w:rPr>
          <w:rStyle w:val="comma-separator"/>
          <w:rFonts w:cstheme="minorHAnsi"/>
          <w:bdr w:val="none" w:sz="0" w:space="0" w:color="auto" w:frame="1"/>
        </w:rPr>
        <w:t xml:space="preserve"> </w:t>
      </w:r>
      <w:r w:rsidRPr="00453A17">
        <w:rPr>
          <w:rStyle w:val="accordion-tabbedtab-mobile"/>
          <w:rFonts w:cstheme="minorHAnsi"/>
          <w:bdr w:val="none" w:sz="0" w:space="0" w:color="auto" w:frame="1"/>
        </w:rPr>
        <w:t>Delphine Boche</w:t>
      </w:r>
    </w:p>
    <w:p w14:paraId="5684AC5E" w14:textId="77777777" w:rsidR="00453A17" w:rsidRPr="00453A17" w:rsidRDefault="00453A17" w:rsidP="00453A17"/>
    <w:p w14:paraId="5F9EC5E2" w14:textId="14C5D148" w:rsidR="00453A17" w:rsidRPr="00453A17" w:rsidRDefault="00453A17" w:rsidP="00453A17">
      <w:pPr>
        <w:rPr>
          <w:rFonts w:eastAsia="Times New Roman"/>
          <w:kern w:val="0"/>
          <w:lang w:eastAsia="en-GB"/>
          <w14:ligatures w14:val="none"/>
        </w:rPr>
      </w:pPr>
      <w:r w:rsidRPr="00453A17">
        <w:rPr>
          <w:rFonts w:eastAsia="Times New Roman"/>
          <w:b/>
          <w:bCs/>
          <w:kern w:val="0"/>
          <w:lang w:eastAsia="en-GB"/>
          <w14:ligatures w14:val="none"/>
        </w:rPr>
        <w:t>Background</w:t>
      </w:r>
      <w:r w:rsidRPr="00453A17">
        <w:rPr>
          <w:rFonts w:eastAsia="Times New Roman"/>
          <w:b/>
          <w:bCs/>
          <w:kern w:val="0"/>
          <w:lang w:eastAsia="en-GB"/>
          <w14:ligatures w14:val="none"/>
        </w:rPr>
        <w:t xml:space="preserve">: </w:t>
      </w:r>
      <w:r w:rsidRPr="00453A17">
        <w:rPr>
          <w:rFonts w:eastAsia="Times New Roman"/>
          <w:kern w:val="0"/>
          <w:lang w:eastAsia="en-GB"/>
          <w14:ligatures w14:val="none"/>
        </w:rPr>
        <w:t xml:space="preserve">Neuroinflammation is a key pathological feature of Alzheimer’s disease (AD), with microglia being the main inflammatory cell type in the CNS. </w:t>
      </w:r>
      <w:proofErr w:type="gramStart"/>
      <w:r w:rsidRPr="00453A17">
        <w:rPr>
          <w:rFonts w:eastAsia="Times New Roman"/>
          <w:kern w:val="0"/>
          <w:lang w:eastAsia="en-GB"/>
          <w14:ligatures w14:val="none"/>
        </w:rPr>
        <w:t>In order to</w:t>
      </w:r>
      <w:proofErr w:type="gramEnd"/>
      <w:r w:rsidRPr="00453A17">
        <w:rPr>
          <w:rFonts w:eastAsia="Times New Roman"/>
          <w:kern w:val="0"/>
          <w:lang w:eastAsia="en-GB"/>
          <w14:ligatures w14:val="none"/>
        </w:rPr>
        <w:t xml:space="preserve"> examine these cells in vivo, PET ligands targeting the microglial translocator protein (TSPO) have been developed. However, it remains unclear the specific target of these ligands, whether this is all microglia or a subset of cells. We aim to elucidate this by identifying the microglial phenotype most associated with TSPO in humans.</w:t>
      </w:r>
    </w:p>
    <w:p w14:paraId="33F96E5B" w14:textId="4352D1C6" w:rsidR="00453A17" w:rsidRPr="00453A17" w:rsidRDefault="00453A17" w:rsidP="00453A17">
      <w:pPr>
        <w:rPr>
          <w:rFonts w:eastAsia="Times New Roman"/>
          <w:kern w:val="0"/>
          <w:lang w:eastAsia="en-GB"/>
          <w14:ligatures w14:val="none"/>
        </w:rPr>
      </w:pPr>
      <w:r w:rsidRPr="00453A17">
        <w:rPr>
          <w:rFonts w:eastAsia="Times New Roman"/>
          <w:b/>
          <w:bCs/>
          <w:kern w:val="0"/>
          <w:lang w:eastAsia="en-GB"/>
          <w14:ligatures w14:val="none"/>
        </w:rPr>
        <w:t>Method</w:t>
      </w:r>
      <w:r w:rsidRPr="00453A17">
        <w:rPr>
          <w:rFonts w:eastAsia="Times New Roman"/>
          <w:b/>
          <w:bCs/>
          <w:kern w:val="0"/>
          <w:lang w:eastAsia="en-GB"/>
          <w14:ligatures w14:val="none"/>
        </w:rPr>
        <w:t xml:space="preserve">: </w:t>
      </w:r>
      <w:r w:rsidRPr="00453A17">
        <w:rPr>
          <w:rFonts w:eastAsia="Times New Roman"/>
          <w:kern w:val="0"/>
          <w:lang w:eastAsia="en-GB"/>
          <w14:ligatures w14:val="none"/>
        </w:rPr>
        <w:t>Human post-mortem sections of temporal lobe (TL) and cerebellum (</w:t>
      </w:r>
      <w:proofErr w:type="spellStart"/>
      <w:r w:rsidRPr="00453A17">
        <w:rPr>
          <w:rFonts w:eastAsia="Times New Roman"/>
          <w:kern w:val="0"/>
          <w:lang w:eastAsia="en-GB"/>
          <w14:ligatures w14:val="none"/>
        </w:rPr>
        <w:t>Cb</w:t>
      </w:r>
      <w:proofErr w:type="spellEnd"/>
      <w:r w:rsidRPr="00453A17">
        <w:rPr>
          <w:rFonts w:eastAsia="Times New Roman"/>
          <w:kern w:val="0"/>
          <w:lang w:eastAsia="en-GB"/>
          <w14:ligatures w14:val="none"/>
        </w:rPr>
        <w:t xml:space="preserve">) from cases classified by </w:t>
      </w:r>
      <w:proofErr w:type="spellStart"/>
      <w:r w:rsidRPr="00453A17">
        <w:rPr>
          <w:rFonts w:eastAsia="Times New Roman"/>
          <w:kern w:val="0"/>
          <w:lang w:eastAsia="en-GB"/>
          <w14:ligatures w14:val="none"/>
        </w:rPr>
        <w:t>Braak</w:t>
      </w:r>
      <w:proofErr w:type="spellEnd"/>
      <w:r w:rsidRPr="00453A17">
        <w:rPr>
          <w:rFonts w:eastAsia="Times New Roman"/>
          <w:kern w:val="0"/>
          <w:lang w:eastAsia="en-GB"/>
          <w14:ligatures w14:val="none"/>
        </w:rPr>
        <w:t xml:space="preserve"> stage (0-II, III-IV, V-VI; each n = 10) were </w:t>
      </w:r>
      <w:proofErr w:type="spellStart"/>
      <w:r w:rsidRPr="00453A17">
        <w:rPr>
          <w:rFonts w:eastAsia="Times New Roman"/>
          <w:kern w:val="0"/>
          <w:lang w:eastAsia="en-GB"/>
          <w14:ligatures w14:val="none"/>
        </w:rPr>
        <w:t>immunostained</w:t>
      </w:r>
      <w:proofErr w:type="spellEnd"/>
      <w:r w:rsidRPr="00453A17">
        <w:rPr>
          <w:rFonts w:eastAsia="Times New Roman"/>
          <w:kern w:val="0"/>
          <w:lang w:eastAsia="en-GB"/>
          <w14:ligatures w14:val="none"/>
        </w:rPr>
        <w:t xml:space="preserve"> for pan-</w:t>
      </w:r>
      <w:proofErr w:type="spellStart"/>
      <w:r w:rsidRPr="00453A17">
        <w:rPr>
          <w:rFonts w:eastAsia="Times New Roman"/>
          <w:kern w:val="0"/>
          <w:lang w:eastAsia="en-GB"/>
          <w14:ligatures w14:val="none"/>
        </w:rPr>
        <w:t>Aß</w:t>
      </w:r>
      <w:proofErr w:type="spellEnd"/>
      <w:r w:rsidRPr="00453A17">
        <w:rPr>
          <w:rFonts w:eastAsia="Times New Roman"/>
          <w:kern w:val="0"/>
          <w:lang w:eastAsia="en-GB"/>
          <w14:ligatures w14:val="none"/>
        </w:rPr>
        <w:t xml:space="preserve">, </w:t>
      </w:r>
      <w:proofErr w:type="spellStart"/>
      <w:r w:rsidRPr="00453A17">
        <w:rPr>
          <w:rFonts w:eastAsia="Times New Roman"/>
          <w:kern w:val="0"/>
          <w:lang w:eastAsia="en-GB"/>
          <w14:ligatures w14:val="none"/>
        </w:rPr>
        <w:t>pTau</w:t>
      </w:r>
      <w:proofErr w:type="spellEnd"/>
      <w:r w:rsidRPr="00453A17">
        <w:rPr>
          <w:rFonts w:eastAsia="Times New Roman"/>
          <w:kern w:val="0"/>
          <w:lang w:eastAsia="en-GB"/>
          <w14:ligatures w14:val="none"/>
        </w:rPr>
        <w:t>, and microglial markers TSPO, Iba1 and HLA-DR with protein load quantified. Double immunofluorescent staining was performed with TSPO and microglial markers HLA-DR and CD68 with positive cells counted.</w:t>
      </w:r>
    </w:p>
    <w:p w14:paraId="6982F061" w14:textId="781600DB" w:rsidR="00453A17" w:rsidRPr="00453A17" w:rsidRDefault="00453A17" w:rsidP="00453A17">
      <w:pPr>
        <w:rPr>
          <w:rFonts w:eastAsia="Times New Roman"/>
          <w:kern w:val="0"/>
          <w:lang w:eastAsia="en-GB"/>
          <w14:ligatures w14:val="none"/>
        </w:rPr>
      </w:pPr>
      <w:r w:rsidRPr="00453A17">
        <w:rPr>
          <w:rFonts w:eastAsia="Times New Roman"/>
          <w:b/>
          <w:bCs/>
          <w:kern w:val="0"/>
          <w:lang w:eastAsia="en-GB"/>
          <w14:ligatures w14:val="none"/>
        </w:rPr>
        <w:t>Result</w:t>
      </w:r>
      <w:r w:rsidRPr="00453A17">
        <w:rPr>
          <w:rFonts w:eastAsia="Times New Roman"/>
          <w:kern w:val="0"/>
          <w:lang w:eastAsia="en-GB"/>
          <w14:ligatures w14:val="none"/>
        </w:rPr>
        <w:t xml:space="preserve">: </w:t>
      </w:r>
      <w:r w:rsidRPr="00453A17">
        <w:rPr>
          <w:rFonts w:eastAsia="Times New Roman"/>
          <w:kern w:val="0"/>
          <w:lang w:eastAsia="en-GB"/>
          <w14:ligatures w14:val="none"/>
        </w:rPr>
        <w:t xml:space="preserve">TL showed an increase in Aβ (P&lt;0.0001), </w:t>
      </w:r>
      <w:proofErr w:type="spellStart"/>
      <w:r w:rsidRPr="00453A17">
        <w:rPr>
          <w:rFonts w:eastAsia="Times New Roman"/>
          <w:kern w:val="0"/>
          <w:lang w:eastAsia="en-GB"/>
          <w14:ligatures w14:val="none"/>
        </w:rPr>
        <w:t>pTau</w:t>
      </w:r>
      <w:proofErr w:type="spellEnd"/>
      <w:r w:rsidRPr="00453A17">
        <w:rPr>
          <w:rFonts w:eastAsia="Times New Roman"/>
          <w:kern w:val="0"/>
          <w:lang w:eastAsia="en-GB"/>
          <w14:ligatures w14:val="none"/>
        </w:rPr>
        <w:t xml:space="preserve"> (P&lt;0.0001) and TSPO (P&lt;0.0001) protein load, but not Iba1 or HLA-DR, with progressing </w:t>
      </w:r>
      <w:proofErr w:type="spellStart"/>
      <w:r w:rsidRPr="00453A17">
        <w:rPr>
          <w:rFonts w:eastAsia="Times New Roman"/>
          <w:kern w:val="0"/>
          <w:lang w:eastAsia="en-GB"/>
          <w14:ligatures w14:val="none"/>
        </w:rPr>
        <w:t>Braak</w:t>
      </w:r>
      <w:proofErr w:type="spellEnd"/>
      <w:r w:rsidRPr="00453A17">
        <w:rPr>
          <w:rFonts w:eastAsia="Times New Roman"/>
          <w:kern w:val="0"/>
          <w:lang w:eastAsia="en-GB"/>
          <w14:ligatures w14:val="none"/>
        </w:rPr>
        <w:t xml:space="preserve"> stage. Aβ (P = 0.0008) and Iba1 (P = 0.012) load increased in the </w:t>
      </w:r>
      <w:proofErr w:type="spellStart"/>
      <w:r w:rsidRPr="00453A17">
        <w:rPr>
          <w:rFonts w:eastAsia="Times New Roman"/>
          <w:kern w:val="0"/>
          <w:lang w:eastAsia="en-GB"/>
          <w14:ligatures w14:val="none"/>
        </w:rPr>
        <w:t>Cb</w:t>
      </w:r>
      <w:proofErr w:type="spellEnd"/>
      <w:r w:rsidRPr="00453A17">
        <w:rPr>
          <w:rFonts w:eastAsia="Times New Roman"/>
          <w:kern w:val="0"/>
          <w:lang w:eastAsia="en-GB"/>
          <w14:ligatures w14:val="none"/>
        </w:rPr>
        <w:t xml:space="preserve">, but not </w:t>
      </w:r>
      <w:proofErr w:type="spellStart"/>
      <w:r w:rsidRPr="00453A17">
        <w:rPr>
          <w:rFonts w:eastAsia="Times New Roman"/>
          <w:kern w:val="0"/>
          <w:lang w:eastAsia="en-GB"/>
          <w14:ligatures w14:val="none"/>
        </w:rPr>
        <w:t>pTau</w:t>
      </w:r>
      <w:proofErr w:type="spellEnd"/>
      <w:r w:rsidRPr="00453A17">
        <w:rPr>
          <w:rFonts w:eastAsia="Times New Roman"/>
          <w:kern w:val="0"/>
          <w:lang w:eastAsia="en-GB"/>
          <w14:ligatures w14:val="none"/>
        </w:rPr>
        <w:t xml:space="preserve">, TSPO or HLA-DR. Of note, TSPO load in TL was associated with </w:t>
      </w:r>
      <w:proofErr w:type="spellStart"/>
      <w:r w:rsidRPr="00453A17">
        <w:rPr>
          <w:rFonts w:eastAsia="Times New Roman"/>
          <w:kern w:val="0"/>
          <w:lang w:eastAsia="en-GB"/>
          <w14:ligatures w14:val="none"/>
        </w:rPr>
        <w:t>pTau</w:t>
      </w:r>
      <w:proofErr w:type="spellEnd"/>
      <w:r w:rsidRPr="00453A17">
        <w:rPr>
          <w:rFonts w:eastAsia="Times New Roman"/>
          <w:kern w:val="0"/>
          <w:lang w:eastAsia="en-GB"/>
          <w14:ligatures w14:val="none"/>
        </w:rPr>
        <w:t>. In both areas, no difference was found in number of HLA</w:t>
      </w:r>
      <w:r w:rsidRPr="00453A17">
        <w:rPr>
          <w:rFonts w:eastAsia="Times New Roman"/>
          <w:kern w:val="0"/>
          <w:vertAlign w:val="superscript"/>
          <w:lang w:eastAsia="en-GB"/>
          <w14:ligatures w14:val="none"/>
        </w:rPr>
        <w:t>+</w:t>
      </w:r>
      <w:r w:rsidRPr="00453A17">
        <w:rPr>
          <w:rFonts w:eastAsia="Times New Roman"/>
          <w:kern w:val="0"/>
          <w:lang w:eastAsia="en-GB"/>
          <w14:ligatures w14:val="none"/>
        </w:rPr>
        <w:t> or CD68</w:t>
      </w:r>
      <w:r w:rsidRPr="00453A17">
        <w:rPr>
          <w:rFonts w:eastAsia="Times New Roman"/>
          <w:kern w:val="0"/>
          <w:vertAlign w:val="superscript"/>
          <w:lang w:eastAsia="en-GB"/>
          <w14:ligatures w14:val="none"/>
        </w:rPr>
        <w:t>+</w:t>
      </w:r>
      <w:r w:rsidRPr="00453A17">
        <w:rPr>
          <w:rFonts w:eastAsia="Times New Roman"/>
          <w:kern w:val="0"/>
          <w:lang w:eastAsia="en-GB"/>
          <w14:ligatures w14:val="none"/>
        </w:rPr>
        <w:t> cells, though TL TSPO</w:t>
      </w:r>
      <w:r w:rsidRPr="00453A17">
        <w:rPr>
          <w:rFonts w:eastAsia="Times New Roman"/>
          <w:kern w:val="0"/>
          <w:vertAlign w:val="superscript"/>
          <w:lang w:eastAsia="en-GB"/>
          <w14:ligatures w14:val="none"/>
        </w:rPr>
        <w:t>+</w:t>
      </w:r>
      <w:r w:rsidRPr="00453A17">
        <w:rPr>
          <w:rFonts w:eastAsia="Times New Roman"/>
          <w:kern w:val="0"/>
          <w:lang w:eastAsia="en-GB"/>
          <w14:ligatures w14:val="none"/>
        </w:rPr>
        <w:t> cell number increased significantly (P = 0.0347). There was no difference in the number of HLA-DR</w:t>
      </w:r>
      <w:r w:rsidRPr="00453A17">
        <w:rPr>
          <w:rFonts w:eastAsia="Times New Roman"/>
          <w:kern w:val="0"/>
          <w:vertAlign w:val="superscript"/>
          <w:lang w:eastAsia="en-GB"/>
          <w14:ligatures w14:val="none"/>
        </w:rPr>
        <w:t>+</w:t>
      </w:r>
      <w:r w:rsidRPr="00453A17">
        <w:rPr>
          <w:rFonts w:eastAsia="Times New Roman"/>
          <w:kern w:val="0"/>
          <w:lang w:eastAsia="en-GB"/>
          <w14:ligatures w14:val="none"/>
        </w:rPr>
        <w:t>/TSPO</w:t>
      </w:r>
      <w:r w:rsidRPr="00453A17">
        <w:rPr>
          <w:rFonts w:eastAsia="Times New Roman"/>
          <w:kern w:val="0"/>
          <w:vertAlign w:val="superscript"/>
          <w:lang w:eastAsia="en-GB"/>
          <w14:ligatures w14:val="none"/>
        </w:rPr>
        <w:t>+</w:t>
      </w:r>
      <w:r w:rsidRPr="00453A17">
        <w:rPr>
          <w:rFonts w:eastAsia="Times New Roman"/>
          <w:kern w:val="0"/>
          <w:lang w:eastAsia="en-GB"/>
          <w14:ligatures w14:val="none"/>
        </w:rPr>
        <w:t> or CD68</w:t>
      </w:r>
      <w:r w:rsidRPr="00453A17">
        <w:rPr>
          <w:rFonts w:eastAsia="Times New Roman"/>
          <w:kern w:val="0"/>
          <w:vertAlign w:val="superscript"/>
          <w:lang w:eastAsia="en-GB"/>
          <w14:ligatures w14:val="none"/>
        </w:rPr>
        <w:t>+</w:t>
      </w:r>
      <w:r w:rsidRPr="00453A17">
        <w:rPr>
          <w:rFonts w:eastAsia="Times New Roman"/>
          <w:kern w:val="0"/>
          <w:lang w:eastAsia="en-GB"/>
          <w14:ligatures w14:val="none"/>
        </w:rPr>
        <w:t>/TSPO</w:t>
      </w:r>
      <w:r w:rsidRPr="00453A17">
        <w:rPr>
          <w:rFonts w:eastAsia="Times New Roman"/>
          <w:kern w:val="0"/>
          <w:vertAlign w:val="superscript"/>
          <w:lang w:eastAsia="en-GB"/>
          <w14:ligatures w14:val="none"/>
        </w:rPr>
        <w:t>+</w:t>
      </w:r>
      <w:r w:rsidRPr="00453A17">
        <w:rPr>
          <w:rFonts w:eastAsia="Times New Roman"/>
          <w:kern w:val="0"/>
          <w:lang w:eastAsia="en-GB"/>
          <w14:ligatures w14:val="none"/>
        </w:rPr>
        <w:t xml:space="preserve"> cells with progressing </w:t>
      </w:r>
      <w:proofErr w:type="spellStart"/>
      <w:r w:rsidRPr="00453A17">
        <w:rPr>
          <w:rFonts w:eastAsia="Times New Roman"/>
          <w:kern w:val="0"/>
          <w:lang w:eastAsia="en-GB"/>
          <w14:ligatures w14:val="none"/>
        </w:rPr>
        <w:t>Braak</w:t>
      </w:r>
      <w:proofErr w:type="spellEnd"/>
      <w:r w:rsidRPr="00453A17">
        <w:rPr>
          <w:rFonts w:eastAsia="Times New Roman"/>
          <w:kern w:val="0"/>
          <w:lang w:eastAsia="en-GB"/>
          <w14:ligatures w14:val="none"/>
        </w:rPr>
        <w:t xml:space="preserve"> stage. However, significantly more CD68</w:t>
      </w:r>
      <w:r w:rsidRPr="00453A17">
        <w:rPr>
          <w:rFonts w:eastAsia="Times New Roman"/>
          <w:kern w:val="0"/>
          <w:vertAlign w:val="superscript"/>
          <w:lang w:eastAsia="en-GB"/>
          <w14:ligatures w14:val="none"/>
        </w:rPr>
        <w:t>+</w:t>
      </w:r>
      <w:r w:rsidRPr="00453A17">
        <w:rPr>
          <w:rFonts w:eastAsia="Times New Roman"/>
          <w:kern w:val="0"/>
          <w:lang w:eastAsia="en-GB"/>
          <w14:ligatures w14:val="none"/>
        </w:rPr>
        <w:t>/TSPO</w:t>
      </w:r>
      <w:r w:rsidRPr="00453A17">
        <w:rPr>
          <w:rFonts w:eastAsia="Times New Roman"/>
          <w:kern w:val="0"/>
          <w:vertAlign w:val="superscript"/>
          <w:lang w:eastAsia="en-GB"/>
          <w14:ligatures w14:val="none"/>
        </w:rPr>
        <w:t>+</w:t>
      </w:r>
      <w:r w:rsidRPr="00453A17">
        <w:rPr>
          <w:rFonts w:eastAsia="Times New Roman"/>
          <w:kern w:val="0"/>
          <w:lang w:eastAsia="en-GB"/>
          <w14:ligatures w14:val="none"/>
        </w:rPr>
        <w:t> than HLA-DR</w:t>
      </w:r>
      <w:r w:rsidRPr="00453A17">
        <w:rPr>
          <w:rFonts w:eastAsia="Times New Roman"/>
          <w:kern w:val="0"/>
          <w:vertAlign w:val="superscript"/>
          <w:lang w:eastAsia="en-GB"/>
          <w14:ligatures w14:val="none"/>
        </w:rPr>
        <w:t>+</w:t>
      </w:r>
      <w:r w:rsidRPr="00453A17">
        <w:rPr>
          <w:rFonts w:eastAsia="Times New Roman"/>
          <w:kern w:val="0"/>
          <w:lang w:eastAsia="en-GB"/>
          <w14:ligatures w14:val="none"/>
        </w:rPr>
        <w:t>/TSPO</w:t>
      </w:r>
      <w:r w:rsidRPr="00453A17">
        <w:rPr>
          <w:rFonts w:eastAsia="Times New Roman"/>
          <w:kern w:val="0"/>
          <w:vertAlign w:val="superscript"/>
          <w:lang w:eastAsia="en-GB"/>
          <w14:ligatures w14:val="none"/>
        </w:rPr>
        <w:t>+</w:t>
      </w:r>
      <w:r w:rsidRPr="00453A17">
        <w:rPr>
          <w:rFonts w:eastAsia="Times New Roman"/>
          <w:kern w:val="0"/>
          <w:lang w:eastAsia="en-GB"/>
          <w14:ligatures w14:val="none"/>
        </w:rPr>
        <w:t xml:space="preserve"> cells were detected in both the TL (P&lt;0.0001) and </w:t>
      </w:r>
      <w:proofErr w:type="spellStart"/>
      <w:r w:rsidRPr="00453A17">
        <w:rPr>
          <w:rFonts w:eastAsia="Times New Roman"/>
          <w:kern w:val="0"/>
          <w:lang w:eastAsia="en-GB"/>
          <w14:ligatures w14:val="none"/>
        </w:rPr>
        <w:t>Cb</w:t>
      </w:r>
      <w:proofErr w:type="spellEnd"/>
      <w:r w:rsidRPr="00453A17">
        <w:rPr>
          <w:rFonts w:eastAsia="Times New Roman"/>
          <w:kern w:val="0"/>
          <w:lang w:eastAsia="en-GB"/>
          <w14:ligatures w14:val="none"/>
        </w:rPr>
        <w:t xml:space="preserve"> (P = 0.009) regions.</w:t>
      </w:r>
    </w:p>
    <w:p w14:paraId="1B4B258F" w14:textId="4716D25B" w:rsidR="00453A17" w:rsidRPr="00453A17" w:rsidRDefault="00453A17" w:rsidP="00453A17">
      <w:pPr>
        <w:rPr>
          <w:rFonts w:eastAsia="Times New Roman"/>
          <w:kern w:val="0"/>
          <w:lang w:eastAsia="en-GB"/>
          <w14:ligatures w14:val="none"/>
        </w:rPr>
      </w:pPr>
      <w:r w:rsidRPr="00453A17">
        <w:rPr>
          <w:rFonts w:eastAsia="Times New Roman"/>
          <w:b/>
          <w:bCs/>
          <w:kern w:val="0"/>
          <w:lang w:eastAsia="en-GB"/>
          <w14:ligatures w14:val="none"/>
        </w:rPr>
        <w:t>Conclusion</w:t>
      </w:r>
      <w:r w:rsidRPr="00453A17">
        <w:rPr>
          <w:rFonts w:eastAsia="Times New Roman"/>
          <w:b/>
          <w:bCs/>
          <w:kern w:val="0"/>
          <w:lang w:eastAsia="en-GB"/>
          <w14:ligatures w14:val="none"/>
        </w:rPr>
        <w:t xml:space="preserve">: </w:t>
      </w:r>
      <w:r w:rsidRPr="00453A17">
        <w:rPr>
          <w:rFonts w:eastAsia="Times New Roman"/>
          <w:kern w:val="0"/>
          <w:lang w:eastAsia="en-GB"/>
          <w14:ligatures w14:val="none"/>
        </w:rPr>
        <w:t xml:space="preserve">The results suggest that TSPO expression is related to </w:t>
      </w:r>
      <w:proofErr w:type="gramStart"/>
      <w:r w:rsidRPr="00453A17">
        <w:rPr>
          <w:rFonts w:eastAsia="Times New Roman"/>
          <w:kern w:val="0"/>
          <w:lang w:eastAsia="en-GB"/>
          <w14:ligatures w14:val="none"/>
        </w:rPr>
        <w:t>late stage</w:t>
      </w:r>
      <w:proofErr w:type="gramEnd"/>
      <w:r w:rsidRPr="00453A17">
        <w:rPr>
          <w:rFonts w:eastAsia="Times New Roman"/>
          <w:kern w:val="0"/>
          <w:lang w:eastAsia="en-GB"/>
          <w14:ligatures w14:val="none"/>
        </w:rPr>
        <w:t xml:space="preserve"> disease (</w:t>
      </w:r>
      <w:proofErr w:type="spellStart"/>
      <w:r w:rsidRPr="00453A17">
        <w:rPr>
          <w:rFonts w:eastAsia="Times New Roman"/>
          <w:kern w:val="0"/>
          <w:lang w:eastAsia="en-GB"/>
          <w14:ligatures w14:val="none"/>
        </w:rPr>
        <w:t>pTau</w:t>
      </w:r>
      <w:proofErr w:type="spellEnd"/>
      <w:r w:rsidRPr="00453A17">
        <w:rPr>
          <w:rFonts w:eastAsia="Times New Roman"/>
          <w:kern w:val="0"/>
          <w:lang w:eastAsia="en-GB"/>
          <w14:ligatures w14:val="none"/>
        </w:rPr>
        <w:t>) and microglial phagocytosis (CD68), a function we have previously identified associated with the presence of dementia, cognitive decline and tau pathology. Further additional analysis with other microglial markers is currently ongoing.</w:t>
      </w:r>
    </w:p>
    <w:p w14:paraId="03E7C800" w14:textId="77777777" w:rsidR="00453A17" w:rsidRPr="00453A17" w:rsidRDefault="00453A17" w:rsidP="00453A17"/>
    <w:sectPr w:rsidR="00453A17" w:rsidRPr="00453A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A17"/>
    <w:rsid w:val="00453A17"/>
    <w:rsid w:val="009F6CE7"/>
    <w:rsid w:val="00E75D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02BA7"/>
  <w15:chartTrackingRefBased/>
  <w15:docId w15:val="{B3BF15F4-C632-4AC7-8343-C0BD2AB50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3A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453A17"/>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53A17"/>
    <w:rPr>
      <w:rFonts w:ascii="Times New Roman" w:eastAsia="Times New Roman" w:hAnsi="Times New Roman" w:cs="Times New Roman"/>
      <w:b/>
      <w:bCs/>
      <w:kern w:val="0"/>
      <w:sz w:val="27"/>
      <w:szCs w:val="27"/>
      <w:lang w:eastAsia="en-GB"/>
      <w14:ligatures w14:val="none"/>
    </w:rPr>
  </w:style>
  <w:style w:type="paragraph" w:styleId="NormalWeb">
    <w:name w:val="Normal (Web)"/>
    <w:basedOn w:val="Normal"/>
    <w:uiPriority w:val="99"/>
    <w:semiHidden/>
    <w:unhideWhenUsed/>
    <w:rsid w:val="00453A1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Heading1Char">
    <w:name w:val="Heading 1 Char"/>
    <w:basedOn w:val="DefaultParagraphFont"/>
    <w:link w:val="Heading1"/>
    <w:uiPriority w:val="9"/>
    <w:rsid w:val="00453A17"/>
    <w:rPr>
      <w:rFonts w:asciiTheme="majorHAnsi" w:eastAsiaTheme="majorEastAsia" w:hAnsiTheme="majorHAnsi" w:cstheme="majorBidi"/>
      <w:color w:val="2F5496" w:themeColor="accent1" w:themeShade="BF"/>
      <w:sz w:val="32"/>
      <w:szCs w:val="32"/>
    </w:rPr>
  </w:style>
  <w:style w:type="character" w:customStyle="1" w:styleId="accordion-tabbedtab-mobile">
    <w:name w:val="accordion-tabbed__tab-mobile"/>
    <w:basedOn w:val="DefaultParagraphFont"/>
    <w:rsid w:val="00453A17"/>
  </w:style>
  <w:style w:type="character" w:styleId="Hyperlink">
    <w:name w:val="Hyperlink"/>
    <w:basedOn w:val="DefaultParagraphFont"/>
    <w:uiPriority w:val="99"/>
    <w:semiHidden/>
    <w:unhideWhenUsed/>
    <w:rsid w:val="00453A17"/>
    <w:rPr>
      <w:color w:val="0000FF"/>
      <w:u w:val="single"/>
    </w:rPr>
  </w:style>
  <w:style w:type="character" w:customStyle="1" w:styleId="comma-separator">
    <w:name w:val="comma-separator"/>
    <w:basedOn w:val="DefaultParagraphFont"/>
    <w:rsid w:val="0045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198452">
      <w:bodyDiv w:val="1"/>
      <w:marLeft w:val="0"/>
      <w:marRight w:val="0"/>
      <w:marTop w:val="0"/>
      <w:marBottom w:val="0"/>
      <w:divBdr>
        <w:top w:val="none" w:sz="0" w:space="0" w:color="auto"/>
        <w:left w:val="none" w:sz="0" w:space="0" w:color="auto"/>
        <w:bottom w:val="none" w:sz="0" w:space="0" w:color="auto"/>
        <w:right w:val="none" w:sz="0" w:space="0" w:color="auto"/>
      </w:divBdr>
      <w:divsChild>
        <w:div w:id="1318219452">
          <w:marLeft w:val="0"/>
          <w:marRight w:val="0"/>
          <w:marTop w:val="0"/>
          <w:marBottom w:val="0"/>
          <w:divBdr>
            <w:top w:val="none" w:sz="0" w:space="0" w:color="auto"/>
            <w:left w:val="none" w:sz="0" w:space="0" w:color="auto"/>
            <w:bottom w:val="none" w:sz="0" w:space="0" w:color="auto"/>
            <w:right w:val="none" w:sz="0" w:space="0" w:color="auto"/>
          </w:divBdr>
          <w:divsChild>
            <w:div w:id="75707841">
              <w:marLeft w:val="0"/>
              <w:marRight w:val="0"/>
              <w:marTop w:val="0"/>
              <w:marBottom w:val="0"/>
              <w:divBdr>
                <w:top w:val="none" w:sz="0" w:space="0" w:color="auto"/>
                <w:left w:val="none" w:sz="0" w:space="0" w:color="auto"/>
                <w:bottom w:val="none" w:sz="0" w:space="0" w:color="auto"/>
                <w:right w:val="none" w:sz="0" w:space="0" w:color="auto"/>
              </w:divBdr>
              <w:divsChild>
                <w:div w:id="658733094">
                  <w:marLeft w:val="0"/>
                  <w:marRight w:val="0"/>
                  <w:marTop w:val="0"/>
                  <w:marBottom w:val="0"/>
                  <w:divBdr>
                    <w:top w:val="none" w:sz="0" w:space="0" w:color="auto"/>
                    <w:left w:val="none" w:sz="0" w:space="0" w:color="auto"/>
                    <w:bottom w:val="none" w:sz="0" w:space="0" w:color="auto"/>
                    <w:right w:val="none" w:sz="0" w:space="0" w:color="auto"/>
                  </w:divBdr>
                  <w:divsChild>
                    <w:div w:id="153749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309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lz-journals.onlinelibrary.wiley.com/authored-by/Nicoll/James+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322</Words>
  <Characters>1837</Characters>
  <Application>Microsoft Office Word</Application>
  <DocSecurity>0</DocSecurity>
  <Lines>15</Lines>
  <Paragraphs>4</Paragraphs>
  <ScaleCrop>false</ScaleCrop>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Boche</dc:creator>
  <cp:keywords/>
  <dc:description/>
  <cp:lastModifiedBy>Delphine Boche</cp:lastModifiedBy>
  <cp:revision>1</cp:revision>
  <dcterms:created xsi:type="dcterms:W3CDTF">2024-04-07T15:20:00Z</dcterms:created>
  <dcterms:modified xsi:type="dcterms:W3CDTF">2024-04-07T15:26:00Z</dcterms:modified>
</cp:coreProperties>
</file>