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FC0B" w14:textId="77777777" w:rsidR="00C7408F" w:rsidRPr="00290829" w:rsidRDefault="00C7408F" w:rsidP="006913F8">
      <w:pPr>
        <w:pStyle w:val="Heading1"/>
      </w:pPr>
    </w:p>
    <w:p w14:paraId="12F6640C" w14:textId="77777777" w:rsidR="006F244D" w:rsidRPr="006F244D" w:rsidRDefault="006F244D" w:rsidP="006F244D"/>
    <w:p w14:paraId="0114A4E9" w14:textId="2D19EAA9" w:rsidR="00052CAD" w:rsidRPr="00C00356" w:rsidRDefault="00C7408F" w:rsidP="00106500">
      <w:pPr>
        <w:pStyle w:val="Title"/>
      </w:pPr>
      <w:r w:rsidRPr="00C00356">
        <w:t>Talking in Primary Care</w:t>
      </w:r>
      <w:r w:rsidR="00F4248D">
        <w:t xml:space="preserve"> (TIP)</w:t>
      </w:r>
      <w:r w:rsidRPr="00C00356">
        <w:t xml:space="preserve">: </w:t>
      </w:r>
      <w:r w:rsidR="009B3D45">
        <w:t>Protocol for a</w:t>
      </w:r>
      <w:r w:rsidRPr="00C00356">
        <w:t xml:space="preserve"> cluster-</w:t>
      </w:r>
      <w:r w:rsidR="009B0EA8" w:rsidRPr="00C00356">
        <w:t>randomi</w:t>
      </w:r>
      <w:r w:rsidR="0069239A" w:rsidRPr="00C00356">
        <w:t>s</w:t>
      </w:r>
      <w:r w:rsidR="009B0EA8" w:rsidRPr="00C00356">
        <w:t>ed</w:t>
      </w:r>
      <w:r w:rsidRPr="00C00356">
        <w:t xml:space="preserve"> controlled trial in </w:t>
      </w:r>
      <w:r w:rsidR="00AA1240" w:rsidRPr="00C00356">
        <w:t xml:space="preserve">UK </w:t>
      </w:r>
      <w:r w:rsidRPr="00C00356">
        <w:t xml:space="preserve">primary care to </w:t>
      </w:r>
      <w:r w:rsidR="003E6F48" w:rsidRPr="00C00356">
        <w:t>assess clinical and cost</w:t>
      </w:r>
      <w:r w:rsidRPr="00C00356">
        <w:t xml:space="preserve"> effectiveness of communication skills e-learning for practitioners on patients’ musculoskeletal pain and </w:t>
      </w:r>
      <w:proofErr w:type="gramStart"/>
      <w:r w:rsidRPr="00C00356">
        <w:t>enablement</w:t>
      </w:r>
      <w:proofErr w:type="gramEnd"/>
    </w:p>
    <w:p w14:paraId="74D3BA98" w14:textId="77777777" w:rsidR="0043323C" w:rsidRDefault="0043323C"/>
    <w:p w14:paraId="47D74F40" w14:textId="77777777" w:rsidR="00B967E8" w:rsidRDefault="0043323C" w:rsidP="00B967E8">
      <w:pPr>
        <w:pStyle w:val="Heading1"/>
      </w:pPr>
      <w:r w:rsidRPr="00C00356">
        <w:t>Authors</w:t>
      </w:r>
    </w:p>
    <w:p w14:paraId="2D0E4779" w14:textId="77E6EE82" w:rsidR="006F244D" w:rsidRDefault="0043323C">
      <w:r w:rsidRPr="0043323C">
        <w:t xml:space="preserve">Hazel Everitt, Nadia Cross, Rachel Dewar-Haggart, Emma Teasdale, Amy Herbert, Michelle Robinson, Matthew </w:t>
      </w:r>
      <w:r w:rsidR="001E5F43">
        <w:t xml:space="preserve">J </w:t>
      </w:r>
      <w:r w:rsidRPr="0043323C">
        <w:t xml:space="preserve">Ridd, Christian Mallen, Lorna </w:t>
      </w:r>
      <w:proofErr w:type="spellStart"/>
      <w:r w:rsidRPr="0043323C">
        <w:t>Clarson</w:t>
      </w:r>
      <w:proofErr w:type="spellEnd"/>
      <w:r w:rsidRPr="0043323C">
        <w:t xml:space="preserve">, Jennifer Bostock, Taeko Becque, Beth Stuart, Kirsty Garfield, Leanne Morrison, </w:t>
      </w:r>
      <w:r w:rsidR="00595A91" w:rsidRPr="0043323C">
        <w:t xml:space="preserve">Sebastien Pollet, </w:t>
      </w:r>
      <w:r w:rsidRPr="0043323C">
        <w:t xml:space="preserve">Jane Vennik, Helen Atherton, Jeremy Howick, Geraldine </w:t>
      </w:r>
      <w:r w:rsidR="00080CD0">
        <w:t xml:space="preserve">M </w:t>
      </w:r>
      <w:r w:rsidRPr="0043323C">
        <w:t xml:space="preserve">Leydon, </w:t>
      </w:r>
      <w:r w:rsidR="00080863">
        <w:t xml:space="preserve">Jacqui Nuttall, Nazrul Islam, Paul </w:t>
      </w:r>
      <w:r w:rsidR="00D07EB4">
        <w:t xml:space="preserve">H </w:t>
      </w:r>
      <w:r w:rsidR="004A4E84">
        <w:t>L</w:t>
      </w:r>
      <w:r w:rsidR="00080863">
        <w:t xml:space="preserve">ee, </w:t>
      </w:r>
      <w:r w:rsidRPr="0043323C">
        <w:t xml:space="preserve">Paul Little, Felicity </w:t>
      </w:r>
      <w:r w:rsidR="00080CD0">
        <w:t xml:space="preserve">L </w:t>
      </w:r>
      <w:r w:rsidRPr="0043323C">
        <w:t>Bishop</w:t>
      </w:r>
      <w:r w:rsidR="006A4AEF">
        <w:t>*</w:t>
      </w:r>
      <w:r w:rsidRPr="0043323C">
        <w:t>.</w:t>
      </w:r>
    </w:p>
    <w:p w14:paraId="426EDA8A" w14:textId="77777777" w:rsidR="009E63CD" w:rsidRDefault="009E63CD"/>
    <w:p w14:paraId="67458F12" w14:textId="77777777" w:rsidR="00AA7EC9" w:rsidRDefault="006A4AEF">
      <w:pPr>
        <w:rPr>
          <w:rStyle w:val="Heading1Char"/>
        </w:rPr>
      </w:pPr>
      <w:r w:rsidRPr="00AA7EC9">
        <w:rPr>
          <w:rStyle w:val="Heading1Char"/>
        </w:rPr>
        <w:t>*Corresponding Author</w:t>
      </w:r>
    </w:p>
    <w:p w14:paraId="797B3A00" w14:textId="2808937E" w:rsidR="006A4AEF" w:rsidRDefault="006A4AEF">
      <w:pPr>
        <w:rPr>
          <w:rFonts w:cstheme="minorHAnsi"/>
          <w:bdr w:val="none" w:sz="0" w:space="0" w:color="auto" w:frame="1"/>
        </w:rPr>
      </w:pPr>
      <w:r>
        <w:t>Professor Felicity L Bishop</w:t>
      </w:r>
      <w:r w:rsidR="00AA7EC9">
        <w:t xml:space="preserve">, School of Psychology, University of Southampton, Highfield Campus, Southampton, UK, SO17 1BJ.  Email </w:t>
      </w:r>
      <w:hyperlink r:id="rId11" w:history="1">
        <w:r w:rsidR="00075111" w:rsidRPr="006F4145">
          <w:rPr>
            <w:rStyle w:val="Hyperlink"/>
            <w:rFonts w:cstheme="minorHAnsi"/>
            <w:bdr w:val="none" w:sz="0" w:space="0" w:color="auto" w:frame="1"/>
          </w:rPr>
          <w:t>F.L.Bishop@southampton.ac.uk</w:t>
        </w:r>
      </w:hyperlink>
      <w:r w:rsidR="00AA7EC9">
        <w:rPr>
          <w:rFonts w:cstheme="minorHAnsi"/>
          <w:bdr w:val="none" w:sz="0" w:space="0" w:color="auto" w:frame="1"/>
        </w:rPr>
        <w:t>. Phone +44 (0)23 80599020.</w:t>
      </w:r>
      <w:r w:rsidR="0078266D">
        <w:rPr>
          <w:rFonts w:cstheme="minorHAnsi"/>
          <w:bdr w:val="none" w:sz="0" w:space="0" w:color="auto" w:frame="1"/>
        </w:rPr>
        <w:t xml:space="preserve">  Fax N/A.</w:t>
      </w:r>
    </w:p>
    <w:p w14:paraId="70CD6E54" w14:textId="77777777" w:rsidR="00AA7EC9" w:rsidRDefault="00AA7EC9"/>
    <w:p w14:paraId="41D03F02" w14:textId="775DF1CE" w:rsidR="009E63CD" w:rsidRDefault="009E63CD" w:rsidP="009E63CD">
      <w:pPr>
        <w:pStyle w:val="Heading1"/>
      </w:pPr>
      <w:r w:rsidRPr="00C00356">
        <w:t>Author</w:t>
      </w:r>
      <w:r>
        <w:t xml:space="preserve"> Details and Affiliations</w:t>
      </w:r>
    </w:p>
    <w:tbl>
      <w:tblPr>
        <w:tblStyle w:val="TableGrid"/>
        <w:tblW w:w="8926" w:type="dxa"/>
        <w:tblLayout w:type="fixed"/>
        <w:tblCellMar>
          <w:left w:w="28" w:type="dxa"/>
          <w:right w:w="28" w:type="dxa"/>
        </w:tblCellMar>
        <w:tblLook w:val="0420" w:firstRow="1" w:lastRow="0" w:firstColumn="0" w:lastColumn="0" w:noHBand="0" w:noVBand="1"/>
      </w:tblPr>
      <w:tblGrid>
        <w:gridCol w:w="1413"/>
        <w:gridCol w:w="4819"/>
        <w:gridCol w:w="1418"/>
        <w:gridCol w:w="1276"/>
      </w:tblGrid>
      <w:tr w:rsidR="00630587" w14:paraId="657C622E"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6D271D05" w14:textId="77777777" w:rsidR="00630587" w:rsidRDefault="00630587" w:rsidP="00A24AAE">
            <w:pPr>
              <w:pStyle w:val="Heading1"/>
              <w:rPr>
                <w:bdr w:val="none" w:sz="0" w:space="0" w:color="auto" w:frame="1"/>
              </w:rPr>
            </w:pPr>
            <w:r>
              <w:rPr>
                <w:bdr w:val="none" w:sz="0" w:space="0" w:color="auto" w:frame="1"/>
              </w:rPr>
              <w:t>Name</w:t>
            </w:r>
          </w:p>
        </w:tc>
        <w:tc>
          <w:tcPr>
            <w:tcW w:w="4819" w:type="dxa"/>
            <w:tcBorders>
              <w:top w:val="single" w:sz="4" w:space="0" w:color="auto"/>
              <w:left w:val="single" w:sz="4" w:space="0" w:color="auto"/>
              <w:bottom w:val="single" w:sz="4" w:space="0" w:color="auto"/>
              <w:right w:val="single" w:sz="4" w:space="0" w:color="auto"/>
            </w:tcBorders>
          </w:tcPr>
          <w:p w14:paraId="1091285A" w14:textId="77777777" w:rsidR="00630587" w:rsidRDefault="00630587" w:rsidP="00A24AAE">
            <w:pPr>
              <w:pStyle w:val="Heading1"/>
              <w:rPr>
                <w:bdr w:val="none" w:sz="0" w:space="0" w:color="auto" w:frame="1"/>
              </w:rPr>
            </w:pPr>
            <w:r>
              <w:rPr>
                <w:bdr w:val="none" w:sz="0" w:space="0" w:color="auto" w:frame="1"/>
              </w:rPr>
              <w:t>Institution Affiliation</w:t>
            </w:r>
          </w:p>
        </w:tc>
        <w:tc>
          <w:tcPr>
            <w:tcW w:w="1418" w:type="dxa"/>
            <w:tcBorders>
              <w:top w:val="single" w:sz="4" w:space="0" w:color="auto"/>
              <w:left w:val="single" w:sz="4" w:space="0" w:color="auto"/>
              <w:bottom w:val="single" w:sz="4" w:space="0" w:color="auto"/>
              <w:right w:val="single" w:sz="4" w:space="0" w:color="auto"/>
            </w:tcBorders>
          </w:tcPr>
          <w:p w14:paraId="2BC5CEF3" w14:textId="77777777" w:rsidR="00630587" w:rsidRDefault="00630587" w:rsidP="00A24AAE">
            <w:pPr>
              <w:pStyle w:val="Heading1"/>
              <w:rPr>
                <w:bdr w:val="none" w:sz="0" w:space="0" w:color="auto" w:frame="1"/>
              </w:rPr>
            </w:pPr>
            <w:r>
              <w:rPr>
                <w:bdr w:val="none" w:sz="0" w:space="0" w:color="auto" w:frame="1"/>
              </w:rPr>
              <w:t>City</w:t>
            </w:r>
          </w:p>
        </w:tc>
        <w:tc>
          <w:tcPr>
            <w:tcW w:w="1276" w:type="dxa"/>
            <w:tcBorders>
              <w:top w:val="single" w:sz="4" w:space="0" w:color="auto"/>
              <w:left w:val="single" w:sz="4" w:space="0" w:color="auto"/>
              <w:bottom w:val="single" w:sz="4" w:space="0" w:color="auto"/>
              <w:right w:val="single" w:sz="4" w:space="0" w:color="auto"/>
            </w:tcBorders>
          </w:tcPr>
          <w:p w14:paraId="5EA11A57" w14:textId="77777777" w:rsidR="00630587" w:rsidRDefault="00630587" w:rsidP="00A24AAE">
            <w:pPr>
              <w:pStyle w:val="Heading1"/>
              <w:rPr>
                <w:bdr w:val="none" w:sz="0" w:space="0" w:color="auto" w:frame="1"/>
              </w:rPr>
            </w:pPr>
            <w:r>
              <w:rPr>
                <w:bdr w:val="none" w:sz="0" w:space="0" w:color="auto" w:frame="1"/>
              </w:rPr>
              <w:t>Country</w:t>
            </w:r>
          </w:p>
        </w:tc>
      </w:tr>
      <w:tr w:rsidR="00630587" w14:paraId="27E19F88"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6FCF7219"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Felicity L Bishop</w:t>
            </w:r>
          </w:p>
        </w:tc>
        <w:tc>
          <w:tcPr>
            <w:tcW w:w="4819" w:type="dxa"/>
            <w:tcBorders>
              <w:top w:val="single" w:sz="4" w:space="0" w:color="auto"/>
              <w:left w:val="single" w:sz="4" w:space="0" w:color="auto"/>
              <w:bottom w:val="single" w:sz="4" w:space="0" w:color="auto"/>
              <w:right w:val="single" w:sz="4" w:space="0" w:color="auto"/>
            </w:tcBorders>
          </w:tcPr>
          <w:p w14:paraId="04591ECC"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School of Psychology, University of Southampton</w:t>
            </w:r>
          </w:p>
        </w:tc>
        <w:tc>
          <w:tcPr>
            <w:tcW w:w="1418" w:type="dxa"/>
            <w:tcBorders>
              <w:top w:val="single" w:sz="4" w:space="0" w:color="auto"/>
              <w:left w:val="single" w:sz="4" w:space="0" w:color="auto"/>
              <w:bottom w:val="single" w:sz="4" w:space="0" w:color="auto"/>
              <w:right w:val="single" w:sz="4" w:space="0" w:color="auto"/>
            </w:tcBorders>
          </w:tcPr>
          <w:p w14:paraId="69FF395F"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7F48D35D" w14:textId="77777777" w:rsidR="00630587" w:rsidRPr="00B31DE3" w:rsidRDefault="00630587" w:rsidP="00A24AAE">
            <w:pPr>
              <w:rPr>
                <w:rFonts w:asciiTheme="minorHAnsi" w:hAnsiTheme="minorHAnsi" w:cstheme="minorHAnsi"/>
                <w:bdr w:val="none" w:sz="0" w:space="0" w:color="auto" w:frame="1"/>
              </w:rPr>
            </w:pPr>
            <w:r w:rsidRPr="00B31DE3">
              <w:rPr>
                <w:rFonts w:asciiTheme="minorHAnsi" w:hAnsiTheme="minorHAnsi" w:cstheme="minorHAnsi"/>
                <w:bdr w:val="none" w:sz="0" w:space="0" w:color="auto" w:frame="1"/>
              </w:rPr>
              <w:t>UK</w:t>
            </w:r>
          </w:p>
        </w:tc>
      </w:tr>
      <w:tr w:rsidR="00630587" w14:paraId="15372BEF"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15B1EAEB"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Hazel </w:t>
            </w:r>
            <w:proofErr w:type="gramStart"/>
            <w:r>
              <w:rPr>
                <w:rFonts w:asciiTheme="minorHAnsi" w:hAnsiTheme="minorHAnsi" w:cstheme="minorHAnsi"/>
                <w:bdr w:val="none" w:sz="0" w:space="0" w:color="auto" w:frame="1"/>
              </w:rPr>
              <w:t>A</w:t>
            </w:r>
            <w:proofErr w:type="gramEnd"/>
            <w:r>
              <w:rPr>
                <w:rFonts w:asciiTheme="minorHAnsi" w:hAnsiTheme="minorHAnsi" w:cstheme="minorHAnsi"/>
                <w:bdr w:val="none" w:sz="0" w:space="0" w:color="auto" w:frame="1"/>
              </w:rPr>
              <w:t xml:space="preserve"> Everitt</w:t>
            </w:r>
          </w:p>
        </w:tc>
        <w:tc>
          <w:tcPr>
            <w:tcW w:w="4819" w:type="dxa"/>
            <w:tcBorders>
              <w:top w:val="single" w:sz="4" w:space="0" w:color="auto"/>
              <w:left w:val="single" w:sz="4" w:space="0" w:color="auto"/>
              <w:bottom w:val="single" w:sz="4" w:space="0" w:color="auto"/>
              <w:right w:val="single" w:sz="4" w:space="0" w:color="auto"/>
            </w:tcBorders>
          </w:tcPr>
          <w:p w14:paraId="658DE9EC"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1053F78D"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004C9685"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4E8F65D8"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009D2B79"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Paul Little</w:t>
            </w:r>
          </w:p>
        </w:tc>
        <w:tc>
          <w:tcPr>
            <w:tcW w:w="4819" w:type="dxa"/>
            <w:tcBorders>
              <w:top w:val="single" w:sz="4" w:space="0" w:color="auto"/>
              <w:left w:val="single" w:sz="4" w:space="0" w:color="auto"/>
              <w:bottom w:val="single" w:sz="4" w:space="0" w:color="auto"/>
              <w:right w:val="single" w:sz="4" w:space="0" w:color="auto"/>
            </w:tcBorders>
          </w:tcPr>
          <w:p w14:paraId="289972EB"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21DA629E"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52061639"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4B7AEA63"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6E42E0D7"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Geraldine M Leydon</w:t>
            </w:r>
          </w:p>
        </w:tc>
        <w:tc>
          <w:tcPr>
            <w:tcW w:w="4819" w:type="dxa"/>
            <w:tcBorders>
              <w:top w:val="single" w:sz="4" w:space="0" w:color="auto"/>
              <w:left w:val="single" w:sz="4" w:space="0" w:color="auto"/>
              <w:bottom w:val="single" w:sz="4" w:space="0" w:color="auto"/>
              <w:right w:val="single" w:sz="4" w:space="0" w:color="auto"/>
            </w:tcBorders>
          </w:tcPr>
          <w:p w14:paraId="16B87BFD"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3E795155"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4F31FB1A"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4F009374"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457EBEEB"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Beth Stuart</w:t>
            </w:r>
          </w:p>
        </w:tc>
        <w:tc>
          <w:tcPr>
            <w:tcW w:w="4819" w:type="dxa"/>
            <w:tcBorders>
              <w:top w:val="single" w:sz="4" w:space="0" w:color="auto"/>
              <w:left w:val="single" w:sz="4" w:space="0" w:color="auto"/>
              <w:bottom w:val="single" w:sz="4" w:space="0" w:color="auto"/>
              <w:right w:val="single" w:sz="4" w:space="0" w:color="auto"/>
            </w:tcBorders>
          </w:tcPr>
          <w:p w14:paraId="2A6F06E1" w14:textId="77777777" w:rsidR="00630587" w:rsidRPr="00BF32F4" w:rsidRDefault="00630587" w:rsidP="00A24AAE">
            <w:pPr>
              <w:rPr>
                <w:rFonts w:asciiTheme="minorHAnsi" w:hAnsiTheme="minorHAnsi" w:cstheme="minorHAnsi"/>
                <w:bdr w:val="none" w:sz="0" w:space="0" w:color="auto" w:frame="1"/>
              </w:rPr>
            </w:pPr>
            <w:r w:rsidRPr="00BF32F4">
              <w:rPr>
                <w:rFonts w:asciiTheme="minorHAnsi" w:hAnsiTheme="minorHAnsi" w:cstheme="minorHAnsi"/>
                <w:bdr w:val="none" w:sz="0" w:space="0" w:color="auto" w:frame="1"/>
              </w:rPr>
              <w:t>Wolfson Institute of Population Health</w:t>
            </w:r>
            <w:r>
              <w:rPr>
                <w:rFonts w:asciiTheme="minorHAnsi" w:hAnsiTheme="minorHAnsi" w:cstheme="minorHAnsi"/>
                <w:bdr w:val="none" w:sz="0" w:space="0" w:color="auto" w:frame="1"/>
              </w:rPr>
              <w:t>, Queen Mary University of London</w:t>
            </w:r>
          </w:p>
        </w:tc>
        <w:tc>
          <w:tcPr>
            <w:tcW w:w="1418" w:type="dxa"/>
            <w:tcBorders>
              <w:top w:val="single" w:sz="4" w:space="0" w:color="auto"/>
              <w:left w:val="single" w:sz="4" w:space="0" w:color="auto"/>
              <w:bottom w:val="single" w:sz="4" w:space="0" w:color="auto"/>
              <w:right w:val="single" w:sz="4" w:space="0" w:color="auto"/>
            </w:tcBorders>
          </w:tcPr>
          <w:p w14:paraId="0067A07C" w14:textId="77777777" w:rsidR="00630587" w:rsidRPr="00B31DE3" w:rsidRDefault="00630587" w:rsidP="00A24AAE">
            <w:pPr>
              <w:rPr>
                <w:rFonts w:asciiTheme="minorHAnsi" w:hAnsiTheme="minorHAnsi" w:cstheme="minorHAnsi"/>
                <w:bdr w:val="none" w:sz="0" w:space="0" w:color="auto" w:frame="1"/>
              </w:rPr>
            </w:pPr>
            <w:r w:rsidRPr="00B31DE3">
              <w:rPr>
                <w:rFonts w:asciiTheme="minorHAnsi" w:hAnsiTheme="minorHAnsi" w:cstheme="minorHAnsi"/>
                <w:bdr w:val="none" w:sz="0" w:space="0" w:color="auto" w:frame="1"/>
              </w:rPr>
              <w:t>London</w:t>
            </w:r>
          </w:p>
        </w:tc>
        <w:tc>
          <w:tcPr>
            <w:tcW w:w="1276" w:type="dxa"/>
            <w:tcBorders>
              <w:top w:val="single" w:sz="4" w:space="0" w:color="auto"/>
              <w:left w:val="single" w:sz="4" w:space="0" w:color="auto"/>
              <w:bottom w:val="single" w:sz="4" w:space="0" w:color="auto"/>
              <w:right w:val="single" w:sz="4" w:space="0" w:color="auto"/>
            </w:tcBorders>
          </w:tcPr>
          <w:p w14:paraId="2284781C" w14:textId="77777777" w:rsidR="00630587" w:rsidRPr="00BF32F4"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2EC9C44F"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6425A3BA"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lastRenderedPageBreak/>
              <w:t>Leanne Morrison</w:t>
            </w:r>
          </w:p>
        </w:tc>
        <w:tc>
          <w:tcPr>
            <w:tcW w:w="4819" w:type="dxa"/>
            <w:tcBorders>
              <w:top w:val="single" w:sz="4" w:space="0" w:color="auto"/>
              <w:left w:val="single" w:sz="4" w:space="0" w:color="auto"/>
              <w:bottom w:val="single" w:sz="4" w:space="0" w:color="auto"/>
              <w:right w:val="single" w:sz="4" w:space="0" w:color="auto"/>
            </w:tcBorders>
          </w:tcPr>
          <w:p w14:paraId="13070791"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School of Psychology and 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0FB9F5DC"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6C19A487"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7A83C55B"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0D7CC885"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Jane Vennik</w:t>
            </w:r>
          </w:p>
        </w:tc>
        <w:tc>
          <w:tcPr>
            <w:tcW w:w="4819" w:type="dxa"/>
            <w:tcBorders>
              <w:top w:val="single" w:sz="4" w:space="0" w:color="auto"/>
              <w:left w:val="single" w:sz="4" w:space="0" w:color="auto"/>
              <w:bottom w:val="single" w:sz="4" w:space="0" w:color="auto"/>
              <w:right w:val="single" w:sz="4" w:space="0" w:color="auto"/>
            </w:tcBorders>
          </w:tcPr>
          <w:p w14:paraId="0725442D"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3BB52C1E"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306A5676"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7C1D2240"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2C3721C1"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Christian Mallen</w:t>
            </w:r>
          </w:p>
        </w:tc>
        <w:tc>
          <w:tcPr>
            <w:tcW w:w="4819" w:type="dxa"/>
            <w:tcBorders>
              <w:top w:val="single" w:sz="4" w:space="0" w:color="auto"/>
              <w:left w:val="single" w:sz="4" w:space="0" w:color="auto"/>
              <w:bottom w:val="single" w:sz="4" w:space="0" w:color="auto"/>
              <w:right w:val="single" w:sz="4" w:space="0" w:color="auto"/>
            </w:tcBorders>
          </w:tcPr>
          <w:p w14:paraId="5A16BFF4"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Keele School of Medicine, Keele University</w:t>
            </w:r>
          </w:p>
        </w:tc>
        <w:tc>
          <w:tcPr>
            <w:tcW w:w="1418" w:type="dxa"/>
            <w:tcBorders>
              <w:top w:val="single" w:sz="4" w:space="0" w:color="auto"/>
              <w:left w:val="single" w:sz="4" w:space="0" w:color="auto"/>
              <w:bottom w:val="single" w:sz="4" w:space="0" w:color="auto"/>
              <w:right w:val="single" w:sz="4" w:space="0" w:color="auto"/>
            </w:tcBorders>
          </w:tcPr>
          <w:p w14:paraId="35CEE17D"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Keele</w:t>
            </w:r>
          </w:p>
        </w:tc>
        <w:tc>
          <w:tcPr>
            <w:tcW w:w="1276" w:type="dxa"/>
            <w:tcBorders>
              <w:top w:val="single" w:sz="4" w:space="0" w:color="auto"/>
              <w:left w:val="single" w:sz="4" w:space="0" w:color="auto"/>
              <w:bottom w:val="single" w:sz="4" w:space="0" w:color="auto"/>
              <w:right w:val="single" w:sz="4" w:space="0" w:color="auto"/>
            </w:tcBorders>
          </w:tcPr>
          <w:p w14:paraId="5CAD36D3"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5275A83E"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04B7FD25"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Lorna Clarson</w:t>
            </w:r>
          </w:p>
        </w:tc>
        <w:tc>
          <w:tcPr>
            <w:tcW w:w="4819" w:type="dxa"/>
            <w:tcBorders>
              <w:top w:val="single" w:sz="4" w:space="0" w:color="auto"/>
              <w:left w:val="single" w:sz="4" w:space="0" w:color="auto"/>
              <w:bottom w:val="single" w:sz="4" w:space="0" w:color="auto"/>
              <w:right w:val="single" w:sz="4" w:space="0" w:color="auto"/>
            </w:tcBorders>
          </w:tcPr>
          <w:p w14:paraId="21772CB7"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Keele School of Medicine, Keele University</w:t>
            </w:r>
          </w:p>
        </w:tc>
        <w:tc>
          <w:tcPr>
            <w:tcW w:w="1418" w:type="dxa"/>
            <w:tcBorders>
              <w:top w:val="single" w:sz="4" w:space="0" w:color="auto"/>
              <w:left w:val="single" w:sz="4" w:space="0" w:color="auto"/>
              <w:bottom w:val="single" w:sz="4" w:space="0" w:color="auto"/>
              <w:right w:val="single" w:sz="4" w:space="0" w:color="auto"/>
            </w:tcBorders>
          </w:tcPr>
          <w:p w14:paraId="73FB2BC3"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Keele</w:t>
            </w:r>
          </w:p>
        </w:tc>
        <w:tc>
          <w:tcPr>
            <w:tcW w:w="1276" w:type="dxa"/>
            <w:tcBorders>
              <w:top w:val="single" w:sz="4" w:space="0" w:color="auto"/>
              <w:left w:val="single" w:sz="4" w:space="0" w:color="auto"/>
              <w:bottom w:val="single" w:sz="4" w:space="0" w:color="auto"/>
              <w:right w:val="single" w:sz="4" w:space="0" w:color="auto"/>
            </w:tcBorders>
          </w:tcPr>
          <w:p w14:paraId="05CADC64"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38FBDD2F"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06C42A0B"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Matthew Ridd</w:t>
            </w:r>
          </w:p>
        </w:tc>
        <w:tc>
          <w:tcPr>
            <w:tcW w:w="4819" w:type="dxa"/>
            <w:tcBorders>
              <w:top w:val="single" w:sz="4" w:space="0" w:color="auto"/>
              <w:left w:val="single" w:sz="4" w:space="0" w:color="auto"/>
              <w:bottom w:val="single" w:sz="4" w:space="0" w:color="auto"/>
              <w:right w:val="single" w:sz="4" w:space="0" w:color="auto"/>
            </w:tcBorders>
          </w:tcPr>
          <w:p w14:paraId="2E8DA178" w14:textId="77777777" w:rsidR="00630587" w:rsidRDefault="00630587" w:rsidP="00A24AAE">
            <w:pPr>
              <w:rPr>
                <w:bdr w:val="none" w:sz="0" w:space="0" w:color="auto" w:frame="1"/>
              </w:rPr>
            </w:pPr>
            <w:r w:rsidRPr="00F216CD">
              <w:rPr>
                <w:rFonts w:asciiTheme="minorHAnsi" w:hAnsiTheme="minorHAnsi" w:cstheme="minorBidi"/>
                <w:bdr w:val="none" w:sz="0" w:space="0" w:color="auto" w:frame="1"/>
              </w:rPr>
              <w:t>Centre of Academic Primary Care</w:t>
            </w:r>
            <w:r>
              <w:rPr>
                <w:rFonts w:asciiTheme="minorHAnsi" w:hAnsiTheme="minorHAnsi" w:cstheme="minorBidi"/>
                <w:bdr w:val="none" w:sz="0" w:space="0" w:color="auto" w:frame="1"/>
              </w:rPr>
              <w:t>, Bristol Medical School,</w:t>
            </w:r>
            <w:r w:rsidRPr="00F216CD">
              <w:rPr>
                <w:rFonts w:asciiTheme="minorHAnsi" w:hAnsiTheme="minorHAnsi" w:cstheme="minorBidi"/>
                <w:bdr w:val="none" w:sz="0" w:space="0" w:color="auto" w:frame="1"/>
              </w:rPr>
              <w:t xml:space="preserve"> </w:t>
            </w:r>
            <w:r>
              <w:rPr>
                <w:rFonts w:asciiTheme="minorHAnsi" w:hAnsiTheme="minorHAnsi" w:cstheme="minorBidi"/>
                <w:bdr w:val="none" w:sz="0" w:space="0" w:color="auto" w:frame="1"/>
              </w:rPr>
              <w:t>University of Bristol</w:t>
            </w:r>
          </w:p>
        </w:tc>
        <w:tc>
          <w:tcPr>
            <w:tcW w:w="1418" w:type="dxa"/>
            <w:tcBorders>
              <w:top w:val="single" w:sz="4" w:space="0" w:color="auto"/>
              <w:left w:val="single" w:sz="4" w:space="0" w:color="auto"/>
              <w:bottom w:val="single" w:sz="4" w:space="0" w:color="auto"/>
              <w:right w:val="single" w:sz="4" w:space="0" w:color="auto"/>
            </w:tcBorders>
          </w:tcPr>
          <w:p w14:paraId="0A783849" w14:textId="77777777" w:rsidR="00630587" w:rsidRPr="00F216CD" w:rsidRDefault="00630587" w:rsidP="00A24AAE">
            <w:pPr>
              <w:rPr>
                <w:bdr w:val="none" w:sz="0" w:space="0" w:color="auto" w:frame="1"/>
              </w:rPr>
            </w:pPr>
            <w:r>
              <w:rPr>
                <w:rFonts w:asciiTheme="minorHAnsi" w:hAnsiTheme="minorHAnsi" w:cstheme="minorHAnsi"/>
                <w:bdr w:val="none" w:sz="0" w:space="0" w:color="auto" w:frame="1"/>
              </w:rPr>
              <w:t>Bristol</w:t>
            </w:r>
          </w:p>
        </w:tc>
        <w:tc>
          <w:tcPr>
            <w:tcW w:w="1276" w:type="dxa"/>
            <w:tcBorders>
              <w:top w:val="single" w:sz="4" w:space="0" w:color="auto"/>
              <w:left w:val="single" w:sz="4" w:space="0" w:color="auto"/>
              <w:bottom w:val="single" w:sz="4" w:space="0" w:color="auto"/>
              <w:right w:val="single" w:sz="4" w:space="0" w:color="auto"/>
            </w:tcBorders>
          </w:tcPr>
          <w:p w14:paraId="41140B22" w14:textId="77777777" w:rsidR="00630587" w:rsidRPr="00F216CD" w:rsidRDefault="00630587" w:rsidP="00A24AAE">
            <w:pPr>
              <w:rPr>
                <w:bdr w:val="none" w:sz="0" w:space="0" w:color="auto" w:frame="1"/>
              </w:rPr>
            </w:pPr>
            <w:r w:rsidRPr="00B31DE3">
              <w:rPr>
                <w:rFonts w:asciiTheme="minorHAnsi" w:hAnsiTheme="minorHAnsi" w:cstheme="minorHAnsi"/>
                <w:bdr w:val="none" w:sz="0" w:space="0" w:color="auto" w:frame="1"/>
              </w:rPr>
              <w:t>UK</w:t>
            </w:r>
          </w:p>
        </w:tc>
      </w:tr>
      <w:tr w:rsidR="00630587" w14:paraId="0163534C"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31613901"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Kirsty Garfield</w:t>
            </w:r>
          </w:p>
        </w:tc>
        <w:tc>
          <w:tcPr>
            <w:tcW w:w="4819" w:type="dxa"/>
            <w:tcBorders>
              <w:top w:val="single" w:sz="4" w:space="0" w:color="auto"/>
              <w:left w:val="single" w:sz="4" w:space="0" w:color="auto"/>
              <w:bottom w:val="single" w:sz="4" w:space="0" w:color="auto"/>
              <w:right w:val="single" w:sz="4" w:space="0" w:color="auto"/>
            </w:tcBorders>
          </w:tcPr>
          <w:p w14:paraId="79D4A889" w14:textId="77777777" w:rsidR="00630587" w:rsidRDefault="00630587" w:rsidP="00A24AAE">
            <w:pPr>
              <w:rPr>
                <w:rFonts w:cstheme="minorHAnsi"/>
                <w:bdr w:val="none" w:sz="0" w:space="0" w:color="auto" w:frame="1"/>
              </w:rPr>
            </w:pPr>
            <w:r w:rsidRPr="00761A8C">
              <w:rPr>
                <w:rFonts w:asciiTheme="minorHAnsi" w:hAnsiTheme="minorHAnsi" w:cstheme="minorHAnsi"/>
                <w:bdr w:val="none" w:sz="0" w:space="0" w:color="auto" w:frame="1"/>
              </w:rPr>
              <w:t>Health Economics Bristol, Population Health Sciences, Bristol Medical School,</w:t>
            </w:r>
            <w:r>
              <w:rPr>
                <w:rFonts w:asciiTheme="minorHAnsi" w:hAnsiTheme="minorHAnsi" w:cstheme="minorBidi"/>
                <w:bdr w:val="none" w:sz="0" w:space="0" w:color="auto" w:frame="1"/>
              </w:rPr>
              <w:t xml:space="preserve"> University of Bristol</w:t>
            </w:r>
          </w:p>
        </w:tc>
        <w:tc>
          <w:tcPr>
            <w:tcW w:w="1418" w:type="dxa"/>
            <w:tcBorders>
              <w:top w:val="single" w:sz="4" w:space="0" w:color="auto"/>
              <w:left w:val="single" w:sz="4" w:space="0" w:color="auto"/>
              <w:bottom w:val="single" w:sz="4" w:space="0" w:color="auto"/>
              <w:right w:val="single" w:sz="4" w:space="0" w:color="auto"/>
            </w:tcBorders>
          </w:tcPr>
          <w:p w14:paraId="6E52936B" w14:textId="77777777" w:rsidR="00630587" w:rsidRPr="00761A8C" w:rsidRDefault="00630587" w:rsidP="00A24AAE">
            <w:pPr>
              <w:rPr>
                <w:rFonts w:cstheme="minorHAnsi"/>
                <w:bdr w:val="none" w:sz="0" w:space="0" w:color="auto" w:frame="1"/>
              </w:rPr>
            </w:pPr>
            <w:r>
              <w:rPr>
                <w:rFonts w:asciiTheme="minorHAnsi" w:hAnsiTheme="minorHAnsi" w:cstheme="minorHAnsi"/>
                <w:bdr w:val="none" w:sz="0" w:space="0" w:color="auto" w:frame="1"/>
              </w:rPr>
              <w:t>Bristol</w:t>
            </w:r>
          </w:p>
        </w:tc>
        <w:tc>
          <w:tcPr>
            <w:tcW w:w="1276" w:type="dxa"/>
            <w:tcBorders>
              <w:top w:val="single" w:sz="4" w:space="0" w:color="auto"/>
              <w:left w:val="single" w:sz="4" w:space="0" w:color="auto"/>
              <w:bottom w:val="single" w:sz="4" w:space="0" w:color="auto"/>
              <w:right w:val="single" w:sz="4" w:space="0" w:color="auto"/>
            </w:tcBorders>
          </w:tcPr>
          <w:p w14:paraId="70EE4F41" w14:textId="77777777" w:rsidR="00630587" w:rsidRPr="00761A8C"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6DA609FE"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5A7F46A0"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Jeremy Howick</w:t>
            </w:r>
          </w:p>
        </w:tc>
        <w:tc>
          <w:tcPr>
            <w:tcW w:w="4819" w:type="dxa"/>
            <w:tcBorders>
              <w:top w:val="single" w:sz="4" w:space="0" w:color="auto"/>
              <w:left w:val="single" w:sz="4" w:space="0" w:color="auto"/>
              <w:bottom w:val="single" w:sz="4" w:space="0" w:color="auto"/>
              <w:right w:val="single" w:sz="4" w:space="0" w:color="auto"/>
            </w:tcBorders>
          </w:tcPr>
          <w:p w14:paraId="5FC554EC" w14:textId="77777777" w:rsidR="00630587" w:rsidRPr="0018577C" w:rsidRDefault="00630587" w:rsidP="00A24AAE">
            <w:pPr>
              <w:rPr>
                <w:rFonts w:asciiTheme="minorHAnsi" w:hAnsiTheme="minorHAnsi" w:cstheme="minorHAnsi"/>
                <w:bdr w:val="none" w:sz="0" w:space="0" w:color="auto" w:frame="1"/>
              </w:rPr>
            </w:pPr>
            <w:r w:rsidRPr="0018577C">
              <w:rPr>
                <w:rFonts w:asciiTheme="minorHAnsi" w:hAnsiTheme="minorHAnsi" w:cstheme="minorHAnsi"/>
                <w:bdr w:val="none" w:sz="0" w:space="0" w:color="auto" w:frame="1"/>
              </w:rPr>
              <w:t>Leicester Medical School</w:t>
            </w:r>
            <w:r>
              <w:rPr>
                <w:rFonts w:cstheme="minorHAnsi"/>
                <w:bdr w:val="none" w:sz="0" w:space="0" w:color="auto" w:frame="1"/>
              </w:rPr>
              <w:t xml:space="preserve">, </w:t>
            </w:r>
            <w:r w:rsidRPr="0018577C">
              <w:rPr>
                <w:rFonts w:asciiTheme="minorHAnsi" w:hAnsiTheme="minorHAnsi" w:cstheme="minorHAnsi"/>
                <w:bdr w:val="none" w:sz="0" w:space="0" w:color="auto" w:frame="1"/>
              </w:rPr>
              <w:t>University of Leicester</w:t>
            </w:r>
            <w:r>
              <w:rPr>
                <w:rFonts w:asciiTheme="minorHAnsi" w:hAnsiTheme="minorHAnsi" w:cstheme="minorHAnsi"/>
                <w:bdr w:val="none" w:sz="0" w:space="0" w:color="auto" w:frame="1"/>
              </w:rPr>
              <w:t>; Faculty of Philosophy, University of Oxford</w:t>
            </w:r>
          </w:p>
        </w:tc>
        <w:tc>
          <w:tcPr>
            <w:tcW w:w="1418" w:type="dxa"/>
            <w:tcBorders>
              <w:top w:val="single" w:sz="4" w:space="0" w:color="auto"/>
              <w:left w:val="single" w:sz="4" w:space="0" w:color="auto"/>
              <w:bottom w:val="single" w:sz="4" w:space="0" w:color="auto"/>
              <w:right w:val="single" w:sz="4" w:space="0" w:color="auto"/>
            </w:tcBorders>
          </w:tcPr>
          <w:p w14:paraId="3057BD26" w14:textId="77777777" w:rsidR="00630587" w:rsidRPr="00B31DE3" w:rsidRDefault="00630587" w:rsidP="00A24AAE">
            <w:pPr>
              <w:rPr>
                <w:rFonts w:asciiTheme="minorHAnsi" w:hAnsiTheme="minorHAnsi" w:cstheme="minorHAnsi"/>
                <w:bdr w:val="none" w:sz="0" w:space="0" w:color="auto" w:frame="1"/>
              </w:rPr>
            </w:pPr>
            <w:r w:rsidRPr="00B31DE3">
              <w:rPr>
                <w:rFonts w:asciiTheme="minorHAnsi" w:hAnsiTheme="minorHAnsi" w:cstheme="minorHAnsi"/>
                <w:bdr w:val="none" w:sz="0" w:space="0" w:color="auto" w:frame="1"/>
              </w:rPr>
              <w:t>Leicester</w:t>
            </w:r>
          </w:p>
        </w:tc>
        <w:tc>
          <w:tcPr>
            <w:tcW w:w="1276" w:type="dxa"/>
            <w:tcBorders>
              <w:top w:val="single" w:sz="4" w:space="0" w:color="auto"/>
              <w:left w:val="single" w:sz="4" w:space="0" w:color="auto"/>
              <w:bottom w:val="single" w:sz="4" w:space="0" w:color="auto"/>
              <w:right w:val="single" w:sz="4" w:space="0" w:color="auto"/>
            </w:tcBorders>
          </w:tcPr>
          <w:p w14:paraId="3100255C" w14:textId="77777777" w:rsidR="00630587" w:rsidRPr="0018577C"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641A6D0D"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15DA51BB"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Helen Atherton</w:t>
            </w:r>
          </w:p>
        </w:tc>
        <w:tc>
          <w:tcPr>
            <w:tcW w:w="4819" w:type="dxa"/>
            <w:tcBorders>
              <w:top w:val="single" w:sz="4" w:space="0" w:color="auto"/>
              <w:left w:val="single" w:sz="4" w:space="0" w:color="auto"/>
              <w:bottom w:val="single" w:sz="4" w:space="0" w:color="auto"/>
              <w:right w:val="single" w:sz="4" w:space="0" w:color="auto"/>
            </w:tcBorders>
          </w:tcPr>
          <w:p w14:paraId="737E4188"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Unit of Academic Primary Care, Warwick Medical School</w:t>
            </w:r>
          </w:p>
        </w:tc>
        <w:tc>
          <w:tcPr>
            <w:tcW w:w="1418" w:type="dxa"/>
            <w:tcBorders>
              <w:top w:val="single" w:sz="4" w:space="0" w:color="auto"/>
              <w:left w:val="single" w:sz="4" w:space="0" w:color="auto"/>
              <w:bottom w:val="single" w:sz="4" w:space="0" w:color="auto"/>
              <w:right w:val="single" w:sz="4" w:space="0" w:color="auto"/>
            </w:tcBorders>
          </w:tcPr>
          <w:p w14:paraId="4DA4ED00"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Warwick</w:t>
            </w:r>
          </w:p>
        </w:tc>
        <w:tc>
          <w:tcPr>
            <w:tcW w:w="1276" w:type="dxa"/>
            <w:tcBorders>
              <w:top w:val="single" w:sz="4" w:space="0" w:color="auto"/>
              <w:left w:val="single" w:sz="4" w:space="0" w:color="auto"/>
              <w:bottom w:val="single" w:sz="4" w:space="0" w:color="auto"/>
              <w:right w:val="single" w:sz="4" w:space="0" w:color="auto"/>
            </w:tcBorders>
          </w:tcPr>
          <w:p w14:paraId="4B24F6BC"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05A77747"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64D674FF"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color w:val="202124"/>
                <w:spacing w:val="2"/>
                <w:bdr w:val="none" w:sz="0" w:space="0" w:color="auto" w:frame="1"/>
              </w:rPr>
              <w:t>Jennifer Bostock</w:t>
            </w:r>
          </w:p>
        </w:tc>
        <w:tc>
          <w:tcPr>
            <w:tcW w:w="4819" w:type="dxa"/>
            <w:tcBorders>
              <w:top w:val="single" w:sz="4" w:space="0" w:color="auto"/>
              <w:left w:val="single" w:sz="4" w:space="0" w:color="auto"/>
              <w:bottom w:val="single" w:sz="4" w:space="0" w:color="auto"/>
              <w:right w:val="single" w:sz="4" w:space="0" w:color="auto"/>
            </w:tcBorders>
          </w:tcPr>
          <w:p w14:paraId="12533C59" w14:textId="77777777" w:rsidR="00630587" w:rsidRDefault="00630587" w:rsidP="00A24AAE">
            <w:pPr>
              <w:rPr>
                <w:rFonts w:cstheme="minorHAnsi"/>
                <w:bdr w:val="none" w:sz="0" w:space="0" w:color="auto" w:frame="1"/>
              </w:rPr>
            </w:pPr>
            <w:r>
              <w:rPr>
                <w:rFonts w:asciiTheme="minorHAnsi" w:hAnsiTheme="minorHAnsi" w:cstheme="minorHAnsi"/>
                <w:color w:val="202124"/>
                <w:spacing w:val="2"/>
                <w:bdr w:val="none" w:sz="0" w:space="0" w:color="auto" w:frame="1"/>
              </w:rPr>
              <w:t>N/A</w:t>
            </w:r>
          </w:p>
        </w:tc>
        <w:tc>
          <w:tcPr>
            <w:tcW w:w="1418" w:type="dxa"/>
            <w:tcBorders>
              <w:top w:val="single" w:sz="4" w:space="0" w:color="auto"/>
              <w:left w:val="single" w:sz="4" w:space="0" w:color="auto"/>
              <w:bottom w:val="single" w:sz="4" w:space="0" w:color="auto"/>
              <w:right w:val="single" w:sz="4" w:space="0" w:color="auto"/>
            </w:tcBorders>
          </w:tcPr>
          <w:p w14:paraId="1E3ED06A" w14:textId="77777777" w:rsidR="00630587" w:rsidRPr="00B31DE3" w:rsidRDefault="00630587" w:rsidP="00A24AAE">
            <w:pPr>
              <w:rPr>
                <w:rFonts w:asciiTheme="minorHAnsi" w:hAnsiTheme="minorHAnsi" w:cstheme="minorHAnsi"/>
                <w:color w:val="202124"/>
                <w:spacing w:val="2"/>
                <w:bdr w:val="none" w:sz="0" w:space="0" w:color="auto" w:frame="1"/>
              </w:rPr>
            </w:pPr>
            <w:r w:rsidRPr="00B31DE3">
              <w:rPr>
                <w:rFonts w:asciiTheme="minorHAnsi" w:hAnsiTheme="minorHAnsi" w:cstheme="minorHAnsi"/>
                <w:color w:val="202124"/>
                <w:spacing w:val="2"/>
                <w:bdr w:val="none" w:sz="0" w:space="0" w:color="auto" w:frame="1"/>
              </w:rPr>
              <w:t>London</w:t>
            </w:r>
          </w:p>
        </w:tc>
        <w:tc>
          <w:tcPr>
            <w:tcW w:w="1276" w:type="dxa"/>
            <w:tcBorders>
              <w:top w:val="single" w:sz="4" w:space="0" w:color="auto"/>
              <w:left w:val="single" w:sz="4" w:space="0" w:color="auto"/>
              <w:bottom w:val="single" w:sz="4" w:space="0" w:color="auto"/>
              <w:right w:val="single" w:sz="4" w:space="0" w:color="auto"/>
            </w:tcBorders>
          </w:tcPr>
          <w:p w14:paraId="6ACE412E" w14:textId="77777777" w:rsidR="00630587" w:rsidRDefault="00630587" w:rsidP="00A24AAE">
            <w:pPr>
              <w:rPr>
                <w:rFonts w:cstheme="minorHAnsi"/>
                <w:color w:val="202124"/>
                <w:spacing w:val="2"/>
                <w:bdr w:val="none" w:sz="0" w:space="0" w:color="auto" w:frame="1"/>
              </w:rPr>
            </w:pPr>
            <w:r w:rsidRPr="00B31DE3">
              <w:rPr>
                <w:rFonts w:asciiTheme="minorHAnsi" w:hAnsiTheme="minorHAnsi" w:cstheme="minorHAnsi"/>
                <w:bdr w:val="none" w:sz="0" w:space="0" w:color="auto" w:frame="1"/>
              </w:rPr>
              <w:t>UK</w:t>
            </w:r>
          </w:p>
        </w:tc>
      </w:tr>
      <w:tr w:rsidR="00630587" w14:paraId="31CACD71"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0497921F" w14:textId="77777777" w:rsidR="00630587" w:rsidRDefault="00630587" w:rsidP="00A24AAE">
            <w:pPr>
              <w:rPr>
                <w:rFonts w:asciiTheme="minorHAnsi" w:hAnsiTheme="minorHAnsi" w:cstheme="minorHAnsi"/>
                <w:color w:val="202124"/>
                <w:spacing w:val="2"/>
                <w:bdr w:val="none" w:sz="0" w:space="0" w:color="auto" w:frame="1"/>
              </w:rPr>
            </w:pPr>
            <w:r>
              <w:rPr>
                <w:rFonts w:asciiTheme="minorHAnsi" w:hAnsiTheme="minorHAnsi" w:cstheme="minorHAnsi"/>
                <w:bdr w:val="none" w:sz="0" w:space="0" w:color="auto" w:frame="1"/>
              </w:rPr>
              <w:t>Nadia Cross</w:t>
            </w:r>
          </w:p>
        </w:tc>
        <w:tc>
          <w:tcPr>
            <w:tcW w:w="4819" w:type="dxa"/>
            <w:tcBorders>
              <w:top w:val="single" w:sz="4" w:space="0" w:color="auto"/>
              <w:left w:val="single" w:sz="4" w:space="0" w:color="auto"/>
              <w:bottom w:val="single" w:sz="4" w:space="0" w:color="auto"/>
              <w:right w:val="single" w:sz="4" w:space="0" w:color="auto"/>
            </w:tcBorders>
          </w:tcPr>
          <w:p w14:paraId="45CD72FF"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75C18244"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1BAF5E8B"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0DC5A53C"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4C3844D0" w14:textId="77777777" w:rsidR="00630587" w:rsidRDefault="00630587" w:rsidP="00A24AAE">
            <w:pPr>
              <w:rPr>
                <w:rFonts w:asciiTheme="minorHAnsi" w:hAnsiTheme="minorHAnsi" w:cstheme="minorHAnsi"/>
                <w:bdr w:val="none" w:sz="0" w:space="0" w:color="auto" w:frame="1"/>
              </w:rPr>
            </w:pPr>
            <w:r>
              <w:rPr>
                <w:rFonts w:asciiTheme="minorHAnsi" w:hAnsiTheme="minorHAnsi" w:cstheme="minorHAnsi"/>
                <w:bdr w:val="none" w:sz="0" w:space="0" w:color="auto" w:frame="1"/>
              </w:rPr>
              <w:t>Emma Teasdale</w:t>
            </w:r>
          </w:p>
        </w:tc>
        <w:tc>
          <w:tcPr>
            <w:tcW w:w="4819" w:type="dxa"/>
            <w:tcBorders>
              <w:top w:val="single" w:sz="4" w:space="0" w:color="auto"/>
              <w:left w:val="single" w:sz="4" w:space="0" w:color="auto"/>
              <w:bottom w:val="single" w:sz="4" w:space="0" w:color="auto"/>
              <w:right w:val="single" w:sz="4" w:space="0" w:color="auto"/>
            </w:tcBorders>
          </w:tcPr>
          <w:p w14:paraId="25B4B475"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School of Psychology and 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207BBEA1"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464CDCF6"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4700E76A"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7260966E"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Sebastien Pollet</w:t>
            </w:r>
          </w:p>
        </w:tc>
        <w:tc>
          <w:tcPr>
            <w:tcW w:w="4819" w:type="dxa"/>
            <w:tcBorders>
              <w:top w:val="single" w:sz="4" w:space="0" w:color="auto"/>
              <w:left w:val="single" w:sz="4" w:space="0" w:color="auto"/>
              <w:bottom w:val="single" w:sz="4" w:space="0" w:color="auto"/>
              <w:right w:val="single" w:sz="4" w:space="0" w:color="auto"/>
            </w:tcBorders>
          </w:tcPr>
          <w:p w14:paraId="7E77FD88" w14:textId="77777777" w:rsidR="00630587" w:rsidRDefault="00630587" w:rsidP="00A24AAE">
            <w:pPr>
              <w:rPr>
                <w:rFonts w:ascii="Calibri" w:eastAsia="Calibri" w:hAnsi="Calibri" w:cs="Calibri"/>
                <w:bdr w:val="none" w:sz="0" w:space="0" w:color="auto" w:frame="1"/>
              </w:rPr>
            </w:pPr>
            <w:r>
              <w:rPr>
                <w:rFonts w:asciiTheme="minorHAnsi" w:hAnsiTheme="minorHAnsi" w:cstheme="minorHAnsi"/>
                <w:bdr w:val="none" w:sz="0" w:space="0" w:color="auto" w:frame="1"/>
              </w:rPr>
              <w:t>School of Psychology and 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5C46491C"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0F6F9702"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04988DC5"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08BAB67C"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Rachel Dewar-Haggart</w:t>
            </w:r>
          </w:p>
        </w:tc>
        <w:tc>
          <w:tcPr>
            <w:tcW w:w="4819" w:type="dxa"/>
            <w:tcBorders>
              <w:top w:val="single" w:sz="4" w:space="0" w:color="auto"/>
              <w:left w:val="single" w:sz="4" w:space="0" w:color="auto"/>
              <w:bottom w:val="single" w:sz="4" w:space="0" w:color="auto"/>
              <w:right w:val="single" w:sz="4" w:space="0" w:color="auto"/>
            </w:tcBorders>
          </w:tcPr>
          <w:p w14:paraId="7DF778E0" w14:textId="77777777" w:rsidR="00630587" w:rsidRDefault="00630587" w:rsidP="00A24AAE">
            <w:pPr>
              <w:rPr>
                <w:rFonts w:ascii="Calibri" w:eastAsia="Calibri" w:hAnsi="Calibri" w:cs="Calibri"/>
                <w:bdr w:val="none" w:sz="0" w:space="0" w:color="auto" w:frame="1"/>
              </w:rPr>
            </w:pPr>
            <w:r>
              <w:rPr>
                <w:rFonts w:asciiTheme="minorHAnsi" w:hAnsiTheme="minorHAnsi" w:cstheme="minorHAnsi"/>
                <w:bdr w:val="none" w:sz="0" w:space="0" w:color="auto" w:frame="1"/>
              </w:rPr>
              <w:t>School of Psychology and 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19E534AB"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09225160"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53775181"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6B837363"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Jacqui Nuttall</w:t>
            </w:r>
          </w:p>
        </w:tc>
        <w:tc>
          <w:tcPr>
            <w:tcW w:w="4819" w:type="dxa"/>
            <w:tcBorders>
              <w:top w:val="single" w:sz="4" w:space="0" w:color="auto"/>
              <w:left w:val="single" w:sz="4" w:space="0" w:color="auto"/>
              <w:bottom w:val="single" w:sz="4" w:space="0" w:color="auto"/>
              <w:right w:val="single" w:sz="4" w:space="0" w:color="auto"/>
            </w:tcBorders>
          </w:tcPr>
          <w:p w14:paraId="2CEE9F57" w14:textId="77777777" w:rsidR="00630587" w:rsidRPr="00224C73" w:rsidRDefault="00630587" w:rsidP="00A24AAE">
            <w:pPr>
              <w:rPr>
                <w:rFonts w:ascii="Calibri" w:eastAsia="Calibri" w:hAnsi="Calibri" w:cs="Calibri"/>
                <w:bdr w:val="none" w:sz="0" w:space="0" w:color="auto" w:frame="1"/>
              </w:rPr>
            </w:pPr>
            <w:r w:rsidRPr="00224C73">
              <w:rPr>
                <w:rFonts w:ascii="Calibri" w:eastAsia="Calibri" w:hAnsi="Calibri" w:cs="Calibri"/>
                <w:bdr w:val="none" w:sz="0" w:space="0" w:color="auto" w:frame="1"/>
              </w:rPr>
              <w:t xml:space="preserve">Southampton Clinical Trials Unit, University of </w:t>
            </w:r>
            <w:proofErr w:type="gramStart"/>
            <w:r w:rsidRPr="00224C73">
              <w:rPr>
                <w:rFonts w:ascii="Calibri" w:eastAsia="Calibri" w:hAnsi="Calibri" w:cs="Calibri"/>
                <w:bdr w:val="none" w:sz="0" w:space="0" w:color="auto" w:frame="1"/>
              </w:rPr>
              <w:t>Southampton</w:t>
            </w:r>
            <w:proofErr w:type="gramEnd"/>
            <w:r w:rsidRPr="00224C73">
              <w:rPr>
                <w:rFonts w:ascii="Calibri" w:eastAsia="Calibri" w:hAnsi="Calibri" w:cs="Calibri"/>
                <w:bdr w:val="none" w:sz="0" w:space="0" w:color="auto" w:frame="1"/>
              </w:rPr>
              <w:t xml:space="preserve"> and University</w:t>
            </w:r>
          </w:p>
          <w:p w14:paraId="5963A88B" w14:textId="77777777" w:rsidR="00630587" w:rsidRDefault="00630587" w:rsidP="00A24AAE">
            <w:pPr>
              <w:rPr>
                <w:rFonts w:ascii="Calibri" w:eastAsia="Calibri" w:hAnsi="Calibri" w:cs="Calibri"/>
                <w:bdr w:val="none" w:sz="0" w:space="0" w:color="auto" w:frame="1"/>
              </w:rPr>
            </w:pPr>
            <w:r w:rsidRPr="00224C73">
              <w:rPr>
                <w:rFonts w:ascii="Calibri" w:eastAsia="Calibri" w:hAnsi="Calibri" w:cs="Calibri"/>
                <w:bdr w:val="none" w:sz="0" w:space="0" w:color="auto" w:frame="1"/>
              </w:rPr>
              <w:t>Hospital Southampton NHS Foundation Trust</w:t>
            </w:r>
          </w:p>
        </w:tc>
        <w:tc>
          <w:tcPr>
            <w:tcW w:w="1418" w:type="dxa"/>
            <w:tcBorders>
              <w:top w:val="single" w:sz="4" w:space="0" w:color="auto"/>
              <w:left w:val="single" w:sz="4" w:space="0" w:color="auto"/>
              <w:bottom w:val="single" w:sz="4" w:space="0" w:color="auto"/>
              <w:right w:val="single" w:sz="4" w:space="0" w:color="auto"/>
            </w:tcBorders>
          </w:tcPr>
          <w:p w14:paraId="5F45B177" w14:textId="77777777" w:rsidR="00630587" w:rsidRPr="00224C73" w:rsidRDefault="00630587" w:rsidP="00A24AAE">
            <w:pPr>
              <w:rPr>
                <w:rFonts w:ascii="Calibri" w:eastAsia="Calibri" w:hAnsi="Calibri" w:cs="Calibr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0FB5FB53" w14:textId="77777777" w:rsidR="00630587" w:rsidRPr="00224C73" w:rsidRDefault="00630587" w:rsidP="00A24AAE">
            <w:pPr>
              <w:rPr>
                <w:rFonts w:ascii="Calibri" w:eastAsia="Calibri" w:hAnsi="Calibri" w:cs="Calibri"/>
                <w:bdr w:val="none" w:sz="0" w:space="0" w:color="auto" w:frame="1"/>
              </w:rPr>
            </w:pPr>
            <w:r w:rsidRPr="00B31DE3">
              <w:rPr>
                <w:rFonts w:asciiTheme="minorHAnsi" w:hAnsiTheme="minorHAnsi" w:cstheme="minorHAnsi"/>
                <w:bdr w:val="none" w:sz="0" w:space="0" w:color="auto" w:frame="1"/>
              </w:rPr>
              <w:t>UK</w:t>
            </w:r>
          </w:p>
        </w:tc>
      </w:tr>
      <w:tr w:rsidR="00630587" w14:paraId="0FF1C476"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237E9E1A"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Nazrul Islam</w:t>
            </w:r>
          </w:p>
        </w:tc>
        <w:tc>
          <w:tcPr>
            <w:tcW w:w="4819" w:type="dxa"/>
            <w:tcBorders>
              <w:top w:val="single" w:sz="4" w:space="0" w:color="auto"/>
              <w:left w:val="single" w:sz="4" w:space="0" w:color="auto"/>
              <w:bottom w:val="single" w:sz="4" w:space="0" w:color="auto"/>
              <w:right w:val="single" w:sz="4" w:space="0" w:color="auto"/>
            </w:tcBorders>
          </w:tcPr>
          <w:p w14:paraId="4B8415EC" w14:textId="77777777" w:rsidR="00630587" w:rsidRDefault="00630587" w:rsidP="00A24AAE">
            <w:pPr>
              <w:rPr>
                <w:rFonts w:ascii="Calibri" w:eastAsia="Calibri" w:hAnsi="Calibri" w:cs="Calibr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2549EDB5"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2030EC9B"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1EA823DD"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490AA7A7"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Paul H Lee</w:t>
            </w:r>
          </w:p>
        </w:tc>
        <w:tc>
          <w:tcPr>
            <w:tcW w:w="4819" w:type="dxa"/>
            <w:tcBorders>
              <w:top w:val="single" w:sz="4" w:space="0" w:color="auto"/>
              <w:left w:val="single" w:sz="4" w:space="0" w:color="auto"/>
              <w:bottom w:val="single" w:sz="4" w:space="0" w:color="auto"/>
              <w:right w:val="single" w:sz="4" w:space="0" w:color="auto"/>
            </w:tcBorders>
          </w:tcPr>
          <w:p w14:paraId="38CE81C4" w14:textId="77777777" w:rsidR="00630587" w:rsidRPr="00224C73" w:rsidRDefault="00630587" w:rsidP="00A24AAE">
            <w:pPr>
              <w:rPr>
                <w:rFonts w:ascii="Calibri" w:eastAsia="Calibri" w:hAnsi="Calibri" w:cs="Calibri"/>
                <w:bdr w:val="none" w:sz="0" w:space="0" w:color="auto" w:frame="1"/>
              </w:rPr>
            </w:pPr>
            <w:r w:rsidRPr="00224C73">
              <w:rPr>
                <w:rFonts w:ascii="Calibri" w:eastAsia="Calibri" w:hAnsi="Calibri" w:cs="Calibri"/>
                <w:bdr w:val="none" w:sz="0" w:space="0" w:color="auto" w:frame="1"/>
              </w:rPr>
              <w:t xml:space="preserve">Southampton Clinical Trials Unit, University of </w:t>
            </w:r>
            <w:proofErr w:type="gramStart"/>
            <w:r w:rsidRPr="00224C73">
              <w:rPr>
                <w:rFonts w:ascii="Calibri" w:eastAsia="Calibri" w:hAnsi="Calibri" w:cs="Calibri"/>
                <w:bdr w:val="none" w:sz="0" w:space="0" w:color="auto" w:frame="1"/>
              </w:rPr>
              <w:t>Southampton</w:t>
            </w:r>
            <w:proofErr w:type="gramEnd"/>
            <w:r w:rsidRPr="00224C73">
              <w:rPr>
                <w:rFonts w:ascii="Calibri" w:eastAsia="Calibri" w:hAnsi="Calibri" w:cs="Calibri"/>
                <w:bdr w:val="none" w:sz="0" w:space="0" w:color="auto" w:frame="1"/>
              </w:rPr>
              <w:t xml:space="preserve"> and University</w:t>
            </w:r>
          </w:p>
          <w:p w14:paraId="65551CB5" w14:textId="77777777" w:rsidR="00630587" w:rsidRDefault="00630587" w:rsidP="00A24AAE">
            <w:pPr>
              <w:rPr>
                <w:rFonts w:ascii="Calibri" w:eastAsia="Calibri" w:hAnsi="Calibri" w:cs="Calibri"/>
                <w:bdr w:val="none" w:sz="0" w:space="0" w:color="auto" w:frame="1"/>
              </w:rPr>
            </w:pPr>
            <w:r w:rsidRPr="00224C73">
              <w:rPr>
                <w:rFonts w:ascii="Calibri" w:eastAsia="Calibri" w:hAnsi="Calibri" w:cs="Calibri"/>
                <w:bdr w:val="none" w:sz="0" w:space="0" w:color="auto" w:frame="1"/>
              </w:rPr>
              <w:t>Hospital Southampton NHS Foundation Trust</w:t>
            </w:r>
          </w:p>
        </w:tc>
        <w:tc>
          <w:tcPr>
            <w:tcW w:w="1418" w:type="dxa"/>
            <w:tcBorders>
              <w:top w:val="single" w:sz="4" w:space="0" w:color="auto"/>
              <w:left w:val="single" w:sz="4" w:space="0" w:color="auto"/>
              <w:bottom w:val="single" w:sz="4" w:space="0" w:color="auto"/>
              <w:right w:val="single" w:sz="4" w:space="0" w:color="auto"/>
            </w:tcBorders>
          </w:tcPr>
          <w:p w14:paraId="0D3B4A29" w14:textId="77777777" w:rsidR="00630587" w:rsidRPr="00224C73" w:rsidRDefault="00630587" w:rsidP="00A24AAE">
            <w:pPr>
              <w:rPr>
                <w:rFonts w:ascii="Calibri" w:eastAsia="Calibri" w:hAnsi="Calibri" w:cs="Calibr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3698CAC8" w14:textId="77777777" w:rsidR="00630587" w:rsidRPr="00224C73" w:rsidRDefault="00630587" w:rsidP="00A24AAE">
            <w:pPr>
              <w:rPr>
                <w:rFonts w:ascii="Calibri" w:eastAsia="Calibri" w:hAnsi="Calibri" w:cs="Calibri"/>
                <w:bdr w:val="none" w:sz="0" w:space="0" w:color="auto" w:frame="1"/>
              </w:rPr>
            </w:pPr>
            <w:r w:rsidRPr="00B31DE3">
              <w:rPr>
                <w:rFonts w:asciiTheme="minorHAnsi" w:hAnsiTheme="minorHAnsi" w:cstheme="minorHAnsi"/>
                <w:bdr w:val="none" w:sz="0" w:space="0" w:color="auto" w:frame="1"/>
              </w:rPr>
              <w:t>UK</w:t>
            </w:r>
          </w:p>
        </w:tc>
      </w:tr>
      <w:tr w:rsidR="00630587" w14:paraId="6A45CD59" w14:textId="77777777" w:rsidTr="00F92CCE">
        <w:tc>
          <w:tcPr>
            <w:tcW w:w="1413" w:type="dxa"/>
            <w:tcBorders>
              <w:top w:val="single" w:sz="4" w:space="0" w:color="auto"/>
              <w:left w:val="single" w:sz="4" w:space="0" w:color="auto"/>
              <w:bottom w:val="single" w:sz="4" w:space="0" w:color="auto"/>
              <w:right w:val="single" w:sz="4" w:space="0" w:color="auto"/>
            </w:tcBorders>
            <w:hideMark/>
          </w:tcPr>
          <w:p w14:paraId="33749A85"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Taeko Becque</w:t>
            </w:r>
          </w:p>
        </w:tc>
        <w:tc>
          <w:tcPr>
            <w:tcW w:w="4819" w:type="dxa"/>
            <w:tcBorders>
              <w:top w:val="single" w:sz="4" w:space="0" w:color="auto"/>
              <w:left w:val="single" w:sz="4" w:space="0" w:color="auto"/>
              <w:bottom w:val="single" w:sz="4" w:space="0" w:color="auto"/>
              <w:right w:val="single" w:sz="4" w:space="0" w:color="auto"/>
            </w:tcBorders>
          </w:tcPr>
          <w:p w14:paraId="1B58B3DD" w14:textId="77777777" w:rsidR="00630587" w:rsidRDefault="00630587" w:rsidP="00A24AAE">
            <w:pPr>
              <w:rPr>
                <w:rFonts w:ascii="Calibri" w:eastAsia="Calibri" w:hAnsi="Calibri" w:cs="Calibri"/>
                <w:bdr w:val="none" w:sz="0" w:space="0" w:color="auto" w:frame="1"/>
              </w:rPr>
            </w:pPr>
            <w:r>
              <w:rPr>
                <w:rFonts w:asciiTheme="minorHAnsi" w:hAnsiTheme="minorHAnsi" w:cstheme="minorHAnsi"/>
                <w:bdr w:val="none" w:sz="0" w:space="0" w:color="auto" w:frame="1"/>
              </w:rPr>
              <w:t>Primary Care Research Centre, School of Primary Care, Population Science, and Medical Education, University of Southampton</w:t>
            </w:r>
          </w:p>
        </w:tc>
        <w:tc>
          <w:tcPr>
            <w:tcW w:w="1418" w:type="dxa"/>
            <w:tcBorders>
              <w:top w:val="single" w:sz="4" w:space="0" w:color="auto"/>
              <w:left w:val="single" w:sz="4" w:space="0" w:color="auto"/>
              <w:bottom w:val="single" w:sz="4" w:space="0" w:color="auto"/>
              <w:right w:val="single" w:sz="4" w:space="0" w:color="auto"/>
            </w:tcBorders>
          </w:tcPr>
          <w:p w14:paraId="34F8ED11"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Southampton</w:t>
            </w:r>
          </w:p>
        </w:tc>
        <w:tc>
          <w:tcPr>
            <w:tcW w:w="1276" w:type="dxa"/>
            <w:tcBorders>
              <w:top w:val="single" w:sz="4" w:space="0" w:color="auto"/>
              <w:left w:val="single" w:sz="4" w:space="0" w:color="auto"/>
              <w:bottom w:val="single" w:sz="4" w:space="0" w:color="auto"/>
              <w:right w:val="single" w:sz="4" w:space="0" w:color="auto"/>
            </w:tcBorders>
          </w:tcPr>
          <w:p w14:paraId="4CAB7F77"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r w:rsidR="00630587" w14:paraId="0F563091" w14:textId="77777777" w:rsidTr="00F92CCE">
        <w:tc>
          <w:tcPr>
            <w:tcW w:w="1413" w:type="dxa"/>
            <w:tcBorders>
              <w:top w:val="single" w:sz="4" w:space="0" w:color="auto"/>
              <w:left w:val="single" w:sz="4" w:space="0" w:color="auto"/>
              <w:bottom w:val="single" w:sz="4" w:space="0" w:color="auto"/>
              <w:right w:val="single" w:sz="4" w:space="0" w:color="auto"/>
            </w:tcBorders>
          </w:tcPr>
          <w:p w14:paraId="12E3B65D"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Amy Herbert</w:t>
            </w:r>
          </w:p>
        </w:tc>
        <w:tc>
          <w:tcPr>
            <w:tcW w:w="4819" w:type="dxa"/>
            <w:tcBorders>
              <w:top w:val="single" w:sz="4" w:space="0" w:color="auto"/>
              <w:left w:val="single" w:sz="4" w:space="0" w:color="auto"/>
              <w:bottom w:val="single" w:sz="4" w:space="0" w:color="auto"/>
              <w:right w:val="single" w:sz="4" w:space="0" w:color="auto"/>
            </w:tcBorders>
          </w:tcPr>
          <w:p w14:paraId="44D7B7E5" w14:textId="77777777" w:rsidR="00630587" w:rsidRDefault="00630587" w:rsidP="00A24AAE">
            <w:pPr>
              <w:rPr>
                <w:rFonts w:cstheme="minorHAnsi"/>
                <w:bdr w:val="none" w:sz="0" w:space="0" w:color="auto" w:frame="1"/>
              </w:rPr>
            </w:pPr>
            <w:r w:rsidRPr="00F216CD">
              <w:rPr>
                <w:rFonts w:asciiTheme="minorHAnsi" w:hAnsiTheme="minorHAnsi" w:cstheme="minorBidi"/>
                <w:bdr w:val="none" w:sz="0" w:space="0" w:color="auto" w:frame="1"/>
              </w:rPr>
              <w:t>Centre of Academic Primary Care</w:t>
            </w:r>
            <w:r>
              <w:rPr>
                <w:rFonts w:asciiTheme="minorHAnsi" w:hAnsiTheme="minorHAnsi" w:cstheme="minorBidi"/>
                <w:bdr w:val="none" w:sz="0" w:space="0" w:color="auto" w:frame="1"/>
              </w:rPr>
              <w:t>, Bristol Medical School,</w:t>
            </w:r>
            <w:r w:rsidRPr="00F216CD">
              <w:rPr>
                <w:rFonts w:asciiTheme="minorHAnsi" w:hAnsiTheme="minorHAnsi" w:cstheme="minorBidi"/>
                <w:bdr w:val="none" w:sz="0" w:space="0" w:color="auto" w:frame="1"/>
              </w:rPr>
              <w:t xml:space="preserve"> </w:t>
            </w:r>
            <w:r>
              <w:rPr>
                <w:rFonts w:asciiTheme="minorHAnsi" w:hAnsiTheme="minorHAnsi" w:cstheme="minorBidi"/>
                <w:bdr w:val="none" w:sz="0" w:space="0" w:color="auto" w:frame="1"/>
              </w:rPr>
              <w:t>University of Bristol</w:t>
            </w:r>
          </w:p>
        </w:tc>
        <w:tc>
          <w:tcPr>
            <w:tcW w:w="1418" w:type="dxa"/>
            <w:tcBorders>
              <w:top w:val="single" w:sz="4" w:space="0" w:color="auto"/>
              <w:left w:val="single" w:sz="4" w:space="0" w:color="auto"/>
              <w:bottom w:val="single" w:sz="4" w:space="0" w:color="auto"/>
              <w:right w:val="single" w:sz="4" w:space="0" w:color="auto"/>
            </w:tcBorders>
          </w:tcPr>
          <w:p w14:paraId="22B6A92E" w14:textId="77777777" w:rsidR="00630587" w:rsidRPr="00D15EC5" w:rsidRDefault="00630587" w:rsidP="00A24AAE">
            <w:pPr>
              <w:rPr>
                <w:rFonts w:asciiTheme="minorHAnsi" w:hAnsiTheme="minorHAnsi" w:cstheme="minorHAnsi"/>
                <w:bdr w:val="none" w:sz="0" w:space="0" w:color="auto" w:frame="1"/>
              </w:rPr>
            </w:pPr>
            <w:r w:rsidRPr="00D15EC5">
              <w:rPr>
                <w:rFonts w:asciiTheme="minorHAnsi" w:hAnsiTheme="minorHAnsi" w:cstheme="minorHAnsi"/>
                <w:bdr w:val="none" w:sz="0" w:space="0" w:color="auto" w:frame="1"/>
              </w:rPr>
              <w:t>Bristol</w:t>
            </w:r>
          </w:p>
        </w:tc>
        <w:tc>
          <w:tcPr>
            <w:tcW w:w="1276" w:type="dxa"/>
            <w:tcBorders>
              <w:top w:val="single" w:sz="4" w:space="0" w:color="auto"/>
              <w:left w:val="single" w:sz="4" w:space="0" w:color="auto"/>
              <w:bottom w:val="single" w:sz="4" w:space="0" w:color="auto"/>
              <w:right w:val="single" w:sz="4" w:space="0" w:color="auto"/>
            </w:tcBorders>
          </w:tcPr>
          <w:p w14:paraId="54850D25" w14:textId="77777777" w:rsidR="00630587" w:rsidRPr="00F216CD" w:rsidRDefault="00630587" w:rsidP="00A24AAE">
            <w:pPr>
              <w:rPr>
                <w:bdr w:val="none" w:sz="0" w:space="0" w:color="auto" w:frame="1"/>
              </w:rPr>
            </w:pPr>
            <w:r w:rsidRPr="00B31DE3">
              <w:rPr>
                <w:rFonts w:asciiTheme="minorHAnsi" w:hAnsiTheme="minorHAnsi" w:cstheme="minorHAnsi"/>
                <w:bdr w:val="none" w:sz="0" w:space="0" w:color="auto" w:frame="1"/>
              </w:rPr>
              <w:t>UK</w:t>
            </w:r>
          </w:p>
        </w:tc>
      </w:tr>
      <w:tr w:rsidR="00630587" w14:paraId="1B010CBA" w14:textId="77777777" w:rsidTr="00F92CCE">
        <w:tc>
          <w:tcPr>
            <w:tcW w:w="1413" w:type="dxa"/>
            <w:tcBorders>
              <w:top w:val="single" w:sz="4" w:space="0" w:color="auto"/>
              <w:left w:val="single" w:sz="4" w:space="0" w:color="auto"/>
              <w:bottom w:val="single" w:sz="4" w:space="0" w:color="auto"/>
              <w:right w:val="single" w:sz="4" w:space="0" w:color="auto"/>
            </w:tcBorders>
          </w:tcPr>
          <w:p w14:paraId="7891E245" w14:textId="77777777" w:rsidR="00630587" w:rsidRDefault="00630587" w:rsidP="00A24AAE">
            <w:pPr>
              <w:rPr>
                <w:rFonts w:ascii="Calibri" w:eastAsia="Calibri" w:hAnsi="Calibri" w:cs="Calibri"/>
                <w:bdr w:val="none" w:sz="0" w:space="0" w:color="auto" w:frame="1"/>
              </w:rPr>
            </w:pPr>
            <w:r>
              <w:rPr>
                <w:rFonts w:ascii="Calibri" w:eastAsia="Calibri" w:hAnsi="Calibri" w:cs="Calibri"/>
                <w:bdr w:val="none" w:sz="0" w:space="0" w:color="auto" w:frame="1"/>
              </w:rPr>
              <w:t>Michelle Robinson</w:t>
            </w:r>
          </w:p>
        </w:tc>
        <w:tc>
          <w:tcPr>
            <w:tcW w:w="4819" w:type="dxa"/>
            <w:tcBorders>
              <w:top w:val="single" w:sz="4" w:space="0" w:color="auto"/>
              <w:left w:val="single" w:sz="4" w:space="0" w:color="auto"/>
              <w:bottom w:val="single" w:sz="4" w:space="0" w:color="auto"/>
              <w:right w:val="single" w:sz="4" w:space="0" w:color="auto"/>
            </w:tcBorders>
          </w:tcPr>
          <w:p w14:paraId="0FA268BB"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Keele School of Medicine, Keele University</w:t>
            </w:r>
          </w:p>
        </w:tc>
        <w:tc>
          <w:tcPr>
            <w:tcW w:w="1418" w:type="dxa"/>
            <w:tcBorders>
              <w:top w:val="single" w:sz="4" w:space="0" w:color="auto"/>
              <w:left w:val="single" w:sz="4" w:space="0" w:color="auto"/>
              <w:bottom w:val="single" w:sz="4" w:space="0" w:color="auto"/>
              <w:right w:val="single" w:sz="4" w:space="0" w:color="auto"/>
            </w:tcBorders>
          </w:tcPr>
          <w:p w14:paraId="6498848E" w14:textId="77777777" w:rsidR="00630587" w:rsidRDefault="00630587" w:rsidP="00A24AAE">
            <w:pPr>
              <w:rPr>
                <w:rFonts w:cstheme="minorHAnsi"/>
                <w:bdr w:val="none" w:sz="0" w:space="0" w:color="auto" w:frame="1"/>
              </w:rPr>
            </w:pPr>
            <w:r>
              <w:rPr>
                <w:rFonts w:asciiTheme="minorHAnsi" w:hAnsiTheme="minorHAnsi" w:cstheme="minorHAnsi"/>
                <w:bdr w:val="none" w:sz="0" w:space="0" w:color="auto" w:frame="1"/>
              </w:rPr>
              <w:t>Keele</w:t>
            </w:r>
          </w:p>
        </w:tc>
        <w:tc>
          <w:tcPr>
            <w:tcW w:w="1276" w:type="dxa"/>
            <w:tcBorders>
              <w:top w:val="single" w:sz="4" w:space="0" w:color="auto"/>
              <w:left w:val="single" w:sz="4" w:space="0" w:color="auto"/>
              <w:bottom w:val="single" w:sz="4" w:space="0" w:color="auto"/>
              <w:right w:val="single" w:sz="4" w:space="0" w:color="auto"/>
            </w:tcBorders>
          </w:tcPr>
          <w:p w14:paraId="4A222562" w14:textId="77777777" w:rsidR="00630587" w:rsidRDefault="00630587" w:rsidP="00A24AAE">
            <w:pPr>
              <w:rPr>
                <w:rFonts w:cstheme="minorHAnsi"/>
                <w:bdr w:val="none" w:sz="0" w:space="0" w:color="auto" w:frame="1"/>
              </w:rPr>
            </w:pPr>
            <w:r w:rsidRPr="00B31DE3">
              <w:rPr>
                <w:rFonts w:asciiTheme="minorHAnsi" w:hAnsiTheme="minorHAnsi" w:cstheme="minorHAnsi"/>
                <w:bdr w:val="none" w:sz="0" w:space="0" w:color="auto" w:frame="1"/>
              </w:rPr>
              <w:t>UK</w:t>
            </w:r>
          </w:p>
        </w:tc>
      </w:tr>
    </w:tbl>
    <w:p w14:paraId="3CD572D3" w14:textId="77777777" w:rsidR="00971EEB" w:rsidRPr="00C00356" w:rsidRDefault="00971EEB">
      <w:pPr>
        <w:rPr>
          <w:b/>
          <w:bCs/>
        </w:rPr>
      </w:pPr>
    </w:p>
    <w:p w14:paraId="04EFB770" w14:textId="77777777" w:rsidR="004B0BD8" w:rsidRDefault="004B0BD8" w:rsidP="004B0BD8">
      <w:pPr>
        <w:pStyle w:val="Heading1"/>
      </w:pPr>
      <w:r>
        <w:t>Keywords</w:t>
      </w:r>
    </w:p>
    <w:p w14:paraId="7B5CFB5B" w14:textId="2DFBF5A8" w:rsidR="004B0BD8" w:rsidRDefault="004B0BD8" w:rsidP="004B0BD8">
      <w:r>
        <w:t>Primary Health Care; Empathy; Optimism; Health Communication; Digital Technology</w:t>
      </w:r>
      <w:r w:rsidR="00286410">
        <w:t>.</w:t>
      </w:r>
    </w:p>
    <w:p w14:paraId="1B510770" w14:textId="4511A8B0" w:rsidR="00F311D6" w:rsidRDefault="00F311D6" w:rsidP="00CF561E">
      <w:pPr>
        <w:pStyle w:val="Heading1"/>
      </w:pPr>
      <w:r>
        <w:t>Word Count</w:t>
      </w:r>
    </w:p>
    <w:p w14:paraId="64865AD4" w14:textId="775A4FE4" w:rsidR="00F311D6" w:rsidRPr="00F311D6" w:rsidRDefault="00F311D6" w:rsidP="00F311D6">
      <w:r w:rsidRPr="00F441A3">
        <w:t>Word count =</w:t>
      </w:r>
      <w:r>
        <w:t xml:space="preserve"> </w:t>
      </w:r>
      <w:r w:rsidR="00F441A3">
        <w:t>46</w:t>
      </w:r>
      <w:r w:rsidR="00992682">
        <w:t>75</w:t>
      </w:r>
    </w:p>
    <w:p w14:paraId="07333E41" w14:textId="1FD60C18" w:rsidR="00711BA2" w:rsidRDefault="00711BA2">
      <w:pPr>
        <w:rPr>
          <w:b/>
          <w:bCs/>
        </w:rPr>
      </w:pPr>
      <w:r>
        <w:rPr>
          <w:b/>
          <w:bCs/>
        </w:rPr>
        <w:br w:type="page"/>
      </w:r>
    </w:p>
    <w:p w14:paraId="50D19199" w14:textId="3C8CF8D8" w:rsidR="00AD3AAC" w:rsidRPr="00842694" w:rsidRDefault="006F244D" w:rsidP="006125C7">
      <w:pPr>
        <w:pStyle w:val="Heading1"/>
      </w:pPr>
      <w:r w:rsidRPr="00842694">
        <w:lastRenderedPageBreak/>
        <w:t>Abstract</w:t>
      </w:r>
    </w:p>
    <w:p w14:paraId="0E7A7094" w14:textId="77777777" w:rsidR="00A91F28" w:rsidRPr="00A91F28" w:rsidRDefault="00A91F28" w:rsidP="00A91F28">
      <w:pPr>
        <w:pStyle w:val="Heading2"/>
      </w:pPr>
      <w:r w:rsidRPr="00A91F28">
        <w:t>Introduction</w:t>
      </w:r>
    </w:p>
    <w:p w14:paraId="0A3DA33A" w14:textId="77777777" w:rsidR="00A91F28" w:rsidRPr="00A91F28" w:rsidRDefault="00A91F28" w:rsidP="00A91F28">
      <w:r w:rsidRPr="00A91F28">
        <w:t>Effective communication can help to optimise healthcare interactions and patient outcomes.  However, few interventions have been tested clinically or subjected to cost-effectiveness analysis or are sufficiently brief and well-described for implementation in primary care. This paper presents the protocol for determining the effectiveness and cost-effectiveness of a rigorously developed brief eLearning tool, EMPathicO, among patients with and without musculoskeletal pain.</w:t>
      </w:r>
    </w:p>
    <w:p w14:paraId="79ABAA27" w14:textId="77777777" w:rsidR="00A91F28" w:rsidRPr="00A91F28" w:rsidRDefault="00A91F28" w:rsidP="00A91F28">
      <w:pPr>
        <w:pStyle w:val="Heading2"/>
      </w:pPr>
      <w:r w:rsidRPr="00A91F28">
        <w:t xml:space="preserve">Methods and Analysis </w:t>
      </w:r>
    </w:p>
    <w:p w14:paraId="49ABA250" w14:textId="77777777" w:rsidR="00A91F28" w:rsidRPr="00A91F28" w:rsidRDefault="00A91F28" w:rsidP="00A91F28">
      <w:r w:rsidRPr="00A91F28">
        <w:t>A cluster randomised controlled trial in GP surgeries in England and Wales serving patients from diverse geographic, socio-economic, and ethnic backgrounds. GP surgeries randomised (1:1) to receive EMPathicO e-learning immediately, or at trial end. Eligible practitioners (e.g., GPs, physiotherapists, nurse practitioners) are involved in managing primary care patients with musculoskeletal pain. Patient recruitment managed by practice staff and researchers. Target recruitment is 840 adults with and 840 without musculoskeletal pain consulting face-to-face, by telephone or video. Patients complete web-based questionnaires at pre-consultation baseline, 1-week and 1-, 3- and 6-months later. Two patient-reported primary outcomes – pain intensity and patient enablement. Cost-effectiveness considered from NHS and societal perspectives. Secondary and process measures include practitioner patterns of use of EMPathicO, practitioner-reported self-efficacy/intentions, and patient-reported: symptom severity, quality of life, satisfaction, perceptions of practitioner empathy and optimism, treatment expectancies, anxiety, depression, continuity of care. Purposive sub-samples of patients, practitioners, and practice staff take part in up to two qualitative semi-structured interviews.</w:t>
      </w:r>
    </w:p>
    <w:p w14:paraId="587EB28C" w14:textId="77777777" w:rsidR="00A91F28" w:rsidRPr="00A91F28" w:rsidRDefault="00A91F28" w:rsidP="00A91F28">
      <w:pPr>
        <w:pStyle w:val="Heading2"/>
      </w:pPr>
      <w:r w:rsidRPr="00A91F28">
        <w:t>Ethics Approval and Dissemination</w:t>
      </w:r>
    </w:p>
    <w:p w14:paraId="0F949CBF" w14:textId="77777777" w:rsidR="00A91F28" w:rsidRPr="00A91F28" w:rsidRDefault="00A91F28" w:rsidP="00A91F28">
      <w:r w:rsidRPr="00A91F28">
        <w:t>Approved by South Central – Hampshire B Research Ethics Committee on 1.7.22 and Heath Research Authority and Health and Care Research Wales on 6.7.22 (REC reference 22/SC/0145; IRAS project ID 312208).  Results will be disseminated via peer-reviewed academic publications, conference presentations and patient and practitioner outlets. If successful, EMPathicO could quickly be made available at low cost to primary care practices across the country.</w:t>
      </w:r>
    </w:p>
    <w:p w14:paraId="534E16D7" w14:textId="77777777" w:rsidR="00A91F28" w:rsidRPr="00A91F28" w:rsidRDefault="00A91F28" w:rsidP="00A91F28">
      <w:pPr>
        <w:pStyle w:val="Heading2"/>
      </w:pPr>
      <w:r w:rsidRPr="00A91F28">
        <w:t xml:space="preserve">Registration </w:t>
      </w:r>
    </w:p>
    <w:p w14:paraId="600B057B" w14:textId="75CF0C92" w:rsidR="005D7726" w:rsidRPr="00A91F28" w:rsidRDefault="00A91F28" w:rsidP="00A91F28">
      <w:r w:rsidRPr="00A91F28">
        <w:t>ISRCTN18010240 registered 15 September 2022.</w:t>
      </w:r>
    </w:p>
    <w:p w14:paraId="4BFF9B70" w14:textId="77777777" w:rsidR="005D7726" w:rsidRDefault="005D7726" w:rsidP="00052CAD">
      <w:pPr>
        <w:rPr>
          <w:b/>
          <w:bCs/>
        </w:rPr>
      </w:pPr>
    </w:p>
    <w:p w14:paraId="7538C364" w14:textId="77777777" w:rsidR="00520693" w:rsidRPr="00520693" w:rsidRDefault="00520693" w:rsidP="00520693">
      <w:pPr>
        <w:rPr>
          <w:rFonts w:eastAsia="Times New Roman" w:cstheme="minorHAnsi"/>
          <w:lang w:eastAsia="en-GB"/>
        </w:rPr>
      </w:pPr>
      <w:r w:rsidRPr="00520693">
        <w:rPr>
          <w:rFonts w:asciiTheme="majorHAnsi" w:eastAsiaTheme="majorEastAsia" w:hAnsiTheme="majorHAnsi" w:cstheme="majorBidi"/>
          <w:color w:val="2F5496" w:themeColor="accent1" w:themeShade="BF"/>
          <w:sz w:val="26"/>
          <w:szCs w:val="26"/>
        </w:rPr>
        <w:t xml:space="preserve">Strengths and Limitations of this Study </w:t>
      </w:r>
    </w:p>
    <w:p w14:paraId="4A0175A0" w14:textId="6CAE4923" w:rsidR="00B51ADB" w:rsidRPr="00A35498" w:rsidRDefault="006913F8" w:rsidP="00B51ADB">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Assessment</w:t>
      </w:r>
      <w:r w:rsidR="00A35498" w:rsidRPr="00A35498">
        <w:rPr>
          <w:rFonts w:asciiTheme="minorHAnsi" w:hAnsiTheme="minorHAnsi" w:cstheme="minorHAnsi"/>
          <w:sz w:val="22"/>
          <w:szCs w:val="22"/>
        </w:rPr>
        <w:t xml:space="preserve"> of a </w:t>
      </w:r>
      <w:r>
        <w:rPr>
          <w:rFonts w:asciiTheme="minorHAnsi" w:hAnsiTheme="minorHAnsi" w:cstheme="minorHAnsi"/>
          <w:sz w:val="22"/>
          <w:szCs w:val="22"/>
        </w:rPr>
        <w:t>brief online</w:t>
      </w:r>
      <w:r w:rsidR="00A35498">
        <w:rPr>
          <w:rFonts w:asciiTheme="minorHAnsi" w:hAnsiTheme="minorHAnsi" w:cstheme="minorHAnsi"/>
          <w:sz w:val="22"/>
          <w:szCs w:val="22"/>
        </w:rPr>
        <w:t xml:space="preserve"> learning package</w:t>
      </w:r>
      <w:r w:rsidR="00C55E71">
        <w:rPr>
          <w:rFonts w:asciiTheme="minorHAnsi" w:hAnsiTheme="minorHAnsi" w:cstheme="minorHAnsi"/>
          <w:sz w:val="22"/>
          <w:szCs w:val="22"/>
        </w:rPr>
        <w:t xml:space="preserve"> which</w:t>
      </w:r>
      <w:r w:rsidR="00913738">
        <w:rPr>
          <w:rFonts w:asciiTheme="minorHAnsi" w:hAnsiTheme="minorHAnsi" w:cstheme="minorHAnsi"/>
          <w:sz w:val="22"/>
          <w:szCs w:val="22"/>
        </w:rPr>
        <w:t xml:space="preserve"> is evidence and theory-based and</w:t>
      </w:r>
      <w:r w:rsidR="003C10F2">
        <w:rPr>
          <w:rFonts w:asciiTheme="minorHAnsi" w:hAnsiTheme="minorHAnsi" w:cstheme="minorHAnsi"/>
          <w:sz w:val="22"/>
          <w:szCs w:val="22"/>
        </w:rPr>
        <w:t xml:space="preserve"> was </w:t>
      </w:r>
      <w:r w:rsidRPr="00A35498">
        <w:rPr>
          <w:rFonts w:asciiTheme="minorHAnsi" w:hAnsiTheme="minorHAnsi" w:cstheme="minorHAnsi"/>
          <w:sz w:val="22"/>
          <w:szCs w:val="22"/>
        </w:rPr>
        <w:t>rigorously</w:t>
      </w:r>
      <w:r>
        <w:rPr>
          <w:rFonts w:asciiTheme="minorHAnsi" w:hAnsiTheme="minorHAnsi" w:cstheme="minorHAnsi"/>
          <w:sz w:val="22"/>
          <w:szCs w:val="22"/>
        </w:rPr>
        <w:t xml:space="preserve"> </w:t>
      </w:r>
      <w:r w:rsidR="00C55E71">
        <w:rPr>
          <w:rFonts w:asciiTheme="minorHAnsi" w:hAnsiTheme="minorHAnsi" w:cstheme="minorHAnsi"/>
          <w:sz w:val="22"/>
          <w:szCs w:val="22"/>
        </w:rPr>
        <w:t>developed with primary care clin</w:t>
      </w:r>
      <w:r w:rsidR="008B49E2">
        <w:rPr>
          <w:rFonts w:asciiTheme="minorHAnsi" w:hAnsiTheme="minorHAnsi" w:cstheme="minorHAnsi"/>
          <w:sz w:val="22"/>
          <w:szCs w:val="22"/>
        </w:rPr>
        <w:t>i</w:t>
      </w:r>
      <w:r w:rsidR="00C55E71">
        <w:rPr>
          <w:rFonts w:asciiTheme="minorHAnsi" w:hAnsiTheme="minorHAnsi" w:cstheme="minorHAnsi"/>
          <w:sz w:val="22"/>
          <w:szCs w:val="22"/>
        </w:rPr>
        <w:t>cians</w:t>
      </w:r>
      <w:r w:rsidR="00B57AE5">
        <w:rPr>
          <w:rFonts w:asciiTheme="minorHAnsi" w:hAnsiTheme="minorHAnsi" w:cstheme="minorHAnsi"/>
          <w:sz w:val="22"/>
          <w:szCs w:val="22"/>
        </w:rPr>
        <w:t>.</w:t>
      </w:r>
    </w:p>
    <w:p w14:paraId="014991F5" w14:textId="5E6190F1" w:rsidR="00B720AF" w:rsidRPr="00B720AF" w:rsidRDefault="00BA4F74" w:rsidP="00B51ADB">
      <w:pPr>
        <w:pStyle w:val="ListParagraph"/>
        <w:numPr>
          <w:ilvl w:val="0"/>
          <w:numId w:val="23"/>
        </w:numPr>
        <w:rPr>
          <w:rFonts w:cstheme="minorHAnsi"/>
        </w:rPr>
      </w:pPr>
      <w:r w:rsidRPr="00BA4F74">
        <w:rPr>
          <w:rFonts w:asciiTheme="minorHAnsi" w:hAnsiTheme="minorHAnsi" w:cstheme="minorHAnsi"/>
          <w:sz w:val="22"/>
          <w:szCs w:val="22"/>
        </w:rPr>
        <w:t>Practitioners (</w:t>
      </w:r>
      <w:r w:rsidR="007D109A">
        <w:rPr>
          <w:rFonts w:asciiTheme="minorHAnsi" w:hAnsiTheme="minorHAnsi" w:cstheme="minorHAnsi"/>
          <w:sz w:val="22"/>
          <w:szCs w:val="22"/>
        </w:rPr>
        <w:t xml:space="preserve">e.g., </w:t>
      </w:r>
      <w:r w:rsidRPr="00BA4F74">
        <w:rPr>
          <w:rFonts w:asciiTheme="minorHAnsi" w:hAnsiTheme="minorHAnsi" w:cstheme="minorHAnsi"/>
          <w:sz w:val="22"/>
          <w:szCs w:val="22"/>
        </w:rPr>
        <w:t>GPs, Physios, Nurses) consult as usual without needing to identify or consent patients</w:t>
      </w:r>
      <w:r>
        <w:rPr>
          <w:rFonts w:asciiTheme="minorHAnsi" w:hAnsiTheme="minorHAnsi" w:cstheme="minorHAnsi"/>
          <w:sz w:val="22"/>
          <w:szCs w:val="22"/>
        </w:rPr>
        <w:t xml:space="preserve"> within the consulta</w:t>
      </w:r>
      <w:r w:rsidR="00C55E71">
        <w:rPr>
          <w:rFonts w:asciiTheme="minorHAnsi" w:hAnsiTheme="minorHAnsi" w:cstheme="minorHAnsi"/>
          <w:sz w:val="22"/>
          <w:szCs w:val="22"/>
        </w:rPr>
        <w:t>t</w:t>
      </w:r>
      <w:r>
        <w:rPr>
          <w:rFonts w:asciiTheme="minorHAnsi" w:hAnsiTheme="minorHAnsi" w:cstheme="minorHAnsi"/>
          <w:sz w:val="22"/>
          <w:szCs w:val="22"/>
        </w:rPr>
        <w:t>ion</w:t>
      </w:r>
      <w:r w:rsidR="007D109A">
        <w:rPr>
          <w:rFonts w:asciiTheme="minorHAnsi" w:hAnsiTheme="minorHAnsi" w:cstheme="minorHAnsi"/>
          <w:sz w:val="22"/>
          <w:szCs w:val="22"/>
        </w:rPr>
        <w:t>, as patient recruitment is done by administrative staff</w:t>
      </w:r>
      <w:r w:rsidRPr="00BA4F74">
        <w:rPr>
          <w:rFonts w:asciiTheme="minorHAnsi" w:hAnsiTheme="minorHAnsi" w:cstheme="minorHAnsi"/>
          <w:sz w:val="22"/>
          <w:szCs w:val="22"/>
        </w:rPr>
        <w:t>.</w:t>
      </w:r>
    </w:p>
    <w:p w14:paraId="51021A8A" w14:textId="0964F9A0" w:rsidR="00FB36CF" w:rsidRPr="00505CF6" w:rsidRDefault="00FB36CF" w:rsidP="00FB36CF">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Focussed on patients with musculoskeletal pain but including </w:t>
      </w:r>
      <w:r w:rsidR="00E00531">
        <w:rPr>
          <w:rFonts w:asciiTheme="minorHAnsi" w:hAnsiTheme="minorHAnsi" w:cstheme="minorHAnsi"/>
          <w:sz w:val="22"/>
          <w:szCs w:val="22"/>
        </w:rPr>
        <w:t xml:space="preserve">other patients as </w:t>
      </w:r>
      <w:r>
        <w:rPr>
          <w:rFonts w:asciiTheme="minorHAnsi" w:hAnsiTheme="minorHAnsi" w:cstheme="minorHAnsi"/>
          <w:sz w:val="22"/>
          <w:szCs w:val="22"/>
        </w:rPr>
        <w:t xml:space="preserve">‘all-comers’ </w:t>
      </w:r>
      <w:r w:rsidR="00E00531">
        <w:rPr>
          <w:rFonts w:asciiTheme="minorHAnsi" w:hAnsiTheme="minorHAnsi" w:cstheme="minorHAnsi"/>
          <w:sz w:val="22"/>
          <w:szCs w:val="22"/>
        </w:rPr>
        <w:t xml:space="preserve">enables efficient test of </w:t>
      </w:r>
      <w:r>
        <w:rPr>
          <w:rFonts w:asciiTheme="minorHAnsi" w:hAnsiTheme="minorHAnsi" w:cstheme="minorHAnsi"/>
          <w:sz w:val="22"/>
          <w:szCs w:val="22"/>
        </w:rPr>
        <w:t>relevance</w:t>
      </w:r>
      <w:r w:rsidR="00E00531">
        <w:rPr>
          <w:rFonts w:asciiTheme="minorHAnsi" w:hAnsiTheme="minorHAnsi" w:cstheme="minorHAnsi"/>
          <w:sz w:val="22"/>
          <w:szCs w:val="22"/>
        </w:rPr>
        <w:t xml:space="preserve"> </w:t>
      </w:r>
      <w:r>
        <w:rPr>
          <w:rFonts w:asciiTheme="minorHAnsi" w:hAnsiTheme="minorHAnsi" w:cstheme="minorHAnsi"/>
          <w:sz w:val="22"/>
          <w:szCs w:val="22"/>
        </w:rPr>
        <w:t>to all primary care consultations</w:t>
      </w:r>
      <w:r w:rsidR="00E00531">
        <w:rPr>
          <w:rFonts w:asciiTheme="minorHAnsi" w:hAnsiTheme="minorHAnsi" w:cstheme="minorHAnsi"/>
          <w:sz w:val="22"/>
          <w:szCs w:val="22"/>
        </w:rPr>
        <w:t>.</w:t>
      </w:r>
    </w:p>
    <w:p w14:paraId="50F23406" w14:textId="7D75869F" w:rsidR="00344859" w:rsidRPr="00505CF6" w:rsidRDefault="00691FB7" w:rsidP="00B51ADB">
      <w:pPr>
        <w:pStyle w:val="ListParagraph"/>
        <w:numPr>
          <w:ilvl w:val="0"/>
          <w:numId w:val="23"/>
        </w:numPr>
        <w:rPr>
          <w:rFonts w:cstheme="minorHAnsi"/>
        </w:rPr>
      </w:pPr>
      <w:r>
        <w:rPr>
          <w:rFonts w:asciiTheme="minorHAnsi" w:hAnsiTheme="minorHAnsi" w:cstheme="minorHAnsi"/>
          <w:sz w:val="22"/>
          <w:szCs w:val="22"/>
        </w:rPr>
        <w:t>Feasibility work showed it is n</w:t>
      </w:r>
      <w:r w:rsidR="00B720AF">
        <w:rPr>
          <w:rFonts w:asciiTheme="minorHAnsi" w:hAnsiTheme="minorHAnsi" w:cstheme="minorHAnsi"/>
          <w:sz w:val="22"/>
          <w:szCs w:val="22"/>
        </w:rPr>
        <w:t xml:space="preserve">ot </w:t>
      </w:r>
      <w:r w:rsidR="009C77C5">
        <w:rPr>
          <w:rFonts w:asciiTheme="minorHAnsi" w:hAnsiTheme="minorHAnsi" w:cstheme="minorHAnsi"/>
          <w:sz w:val="22"/>
          <w:szCs w:val="22"/>
        </w:rPr>
        <w:t xml:space="preserve">practicable </w:t>
      </w:r>
      <w:r w:rsidR="00B720AF">
        <w:rPr>
          <w:rFonts w:asciiTheme="minorHAnsi" w:hAnsiTheme="minorHAnsi" w:cstheme="minorHAnsi"/>
          <w:sz w:val="22"/>
          <w:szCs w:val="22"/>
        </w:rPr>
        <w:t xml:space="preserve">to </w:t>
      </w:r>
      <w:r>
        <w:rPr>
          <w:rFonts w:asciiTheme="minorHAnsi" w:hAnsiTheme="minorHAnsi" w:cstheme="minorHAnsi"/>
          <w:sz w:val="22"/>
          <w:szCs w:val="22"/>
        </w:rPr>
        <w:t>record consultations</w:t>
      </w:r>
      <w:r w:rsidR="006B7F97">
        <w:rPr>
          <w:rFonts w:asciiTheme="minorHAnsi" w:hAnsiTheme="minorHAnsi" w:cstheme="minorHAnsi"/>
          <w:sz w:val="22"/>
          <w:szCs w:val="22"/>
        </w:rPr>
        <w:t xml:space="preserve"> in this trial</w:t>
      </w:r>
      <w:r w:rsidR="00B7095C">
        <w:rPr>
          <w:rFonts w:asciiTheme="minorHAnsi" w:hAnsiTheme="minorHAnsi" w:cstheme="minorHAnsi"/>
          <w:sz w:val="22"/>
          <w:szCs w:val="22"/>
        </w:rPr>
        <w:t>,</w:t>
      </w:r>
      <w:r>
        <w:rPr>
          <w:rFonts w:asciiTheme="minorHAnsi" w:hAnsiTheme="minorHAnsi" w:cstheme="minorHAnsi"/>
          <w:sz w:val="22"/>
          <w:szCs w:val="22"/>
        </w:rPr>
        <w:t xml:space="preserve"> so </w:t>
      </w:r>
      <w:r w:rsidR="006B7F97">
        <w:rPr>
          <w:rFonts w:asciiTheme="minorHAnsi" w:hAnsiTheme="minorHAnsi" w:cstheme="minorHAnsi"/>
          <w:sz w:val="22"/>
          <w:szCs w:val="22"/>
        </w:rPr>
        <w:t xml:space="preserve">there is </w:t>
      </w:r>
      <w:r>
        <w:rPr>
          <w:rFonts w:asciiTheme="minorHAnsi" w:hAnsiTheme="minorHAnsi" w:cstheme="minorHAnsi"/>
          <w:sz w:val="22"/>
          <w:szCs w:val="22"/>
        </w:rPr>
        <w:t xml:space="preserve">no direct assessment of changes in </w:t>
      </w:r>
      <w:r w:rsidR="00B7095C">
        <w:rPr>
          <w:rFonts w:asciiTheme="minorHAnsi" w:hAnsiTheme="minorHAnsi" w:cstheme="minorHAnsi"/>
          <w:sz w:val="22"/>
          <w:szCs w:val="22"/>
        </w:rPr>
        <w:t xml:space="preserve">practitioner </w:t>
      </w:r>
      <w:r>
        <w:rPr>
          <w:rFonts w:asciiTheme="minorHAnsi" w:hAnsiTheme="minorHAnsi" w:cstheme="minorHAnsi"/>
          <w:sz w:val="22"/>
          <w:szCs w:val="22"/>
        </w:rPr>
        <w:t xml:space="preserve">communication behaviours </w:t>
      </w:r>
      <w:r w:rsidR="00B7095C">
        <w:rPr>
          <w:rFonts w:asciiTheme="minorHAnsi" w:hAnsiTheme="minorHAnsi" w:cstheme="minorHAnsi"/>
          <w:sz w:val="22"/>
          <w:szCs w:val="22"/>
        </w:rPr>
        <w:t>after engaging with the e-learning package</w:t>
      </w:r>
      <w:r>
        <w:rPr>
          <w:rFonts w:asciiTheme="minorHAnsi" w:hAnsiTheme="minorHAnsi" w:cstheme="minorHAnsi"/>
          <w:sz w:val="22"/>
          <w:szCs w:val="22"/>
        </w:rPr>
        <w:t>.</w:t>
      </w:r>
      <w:r w:rsidR="00BA4F74" w:rsidRPr="00BA4F74">
        <w:rPr>
          <w:rFonts w:asciiTheme="minorHAnsi" w:hAnsiTheme="minorHAnsi" w:cstheme="minorHAnsi"/>
          <w:sz w:val="22"/>
          <w:szCs w:val="22"/>
        </w:rPr>
        <w:t xml:space="preserve"> </w:t>
      </w:r>
    </w:p>
    <w:p w14:paraId="0E6E4F0C" w14:textId="26684E63" w:rsidR="00505CF6" w:rsidRPr="00344859" w:rsidRDefault="00505CF6" w:rsidP="00B51ADB">
      <w:pPr>
        <w:pStyle w:val="ListParagraph"/>
        <w:numPr>
          <w:ilvl w:val="0"/>
          <w:numId w:val="23"/>
        </w:numPr>
        <w:rPr>
          <w:rFonts w:cstheme="minorHAnsi"/>
        </w:rPr>
      </w:pPr>
      <w:r>
        <w:rPr>
          <w:rFonts w:asciiTheme="minorHAnsi" w:hAnsiTheme="minorHAnsi" w:cstheme="minorHAnsi"/>
          <w:sz w:val="22"/>
          <w:szCs w:val="22"/>
        </w:rPr>
        <w:t xml:space="preserve">‘All-comers’ is a large and varied group of patients </w:t>
      </w:r>
      <w:r w:rsidR="006A499B">
        <w:rPr>
          <w:rFonts w:asciiTheme="minorHAnsi" w:hAnsiTheme="minorHAnsi" w:cstheme="minorHAnsi"/>
          <w:sz w:val="22"/>
          <w:szCs w:val="22"/>
        </w:rPr>
        <w:t xml:space="preserve">which enhances generalisability </w:t>
      </w:r>
      <w:r>
        <w:rPr>
          <w:rFonts w:asciiTheme="minorHAnsi" w:hAnsiTheme="minorHAnsi" w:cstheme="minorHAnsi"/>
          <w:sz w:val="22"/>
          <w:szCs w:val="22"/>
        </w:rPr>
        <w:t>but is not suitably powered to plan sub-group analyses.</w:t>
      </w:r>
    </w:p>
    <w:p w14:paraId="13D7DEDA" w14:textId="405C3D35" w:rsidR="009B6A42" w:rsidRPr="00B51ADB" w:rsidRDefault="009B6A42" w:rsidP="00B51ADB">
      <w:pPr>
        <w:pStyle w:val="ListParagraph"/>
        <w:numPr>
          <w:ilvl w:val="0"/>
          <w:numId w:val="23"/>
        </w:numPr>
        <w:rPr>
          <w:rFonts w:cstheme="minorHAnsi"/>
        </w:rPr>
      </w:pPr>
      <w:r w:rsidRPr="00B51ADB">
        <w:rPr>
          <w:rFonts w:cstheme="minorHAnsi"/>
        </w:rPr>
        <w:br w:type="page"/>
      </w:r>
    </w:p>
    <w:p w14:paraId="30C2F01F" w14:textId="671DBCB4" w:rsidR="005C161D" w:rsidRPr="005C161D" w:rsidRDefault="005C161D" w:rsidP="00887FB8">
      <w:pPr>
        <w:pStyle w:val="Heading1"/>
      </w:pPr>
      <w:r w:rsidRPr="005C161D">
        <w:lastRenderedPageBreak/>
        <w:t>I</w:t>
      </w:r>
      <w:r w:rsidR="00887FB8">
        <w:t>ntroduction</w:t>
      </w:r>
    </w:p>
    <w:p w14:paraId="38105606" w14:textId="55088F48" w:rsidR="007052E7" w:rsidRPr="00F268D8" w:rsidRDefault="007052E7" w:rsidP="007052E7">
      <w:pPr>
        <w:rPr>
          <w:rFonts w:ascii="Calibri" w:eastAsia="Calibri" w:hAnsi="Calibri" w:cs="Calibri"/>
          <w:bCs/>
        </w:rPr>
      </w:pPr>
      <w:bookmarkStart w:id="0" w:name="_Hlk72317548"/>
      <w:r w:rsidRPr="007052E7">
        <w:rPr>
          <w:rFonts w:ascii="Calibri" w:eastAsia="Calibri" w:hAnsi="Calibri" w:cs="Calibri"/>
          <w:bCs/>
        </w:rPr>
        <w:t xml:space="preserve">Approximately 1.7 </w:t>
      </w:r>
      <w:r w:rsidRPr="00F268D8">
        <w:rPr>
          <w:rFonts w:ascii="Calibri" w:eastAsia="Calibri" w:hAnsi="Calibri" w:cs="Calibri"/>
          <w:bCs/>
        </w:rPr>
        <w:t>billion people worldwide have musculoskeletal conditions</w:t>
      </w:r>
      <w:r w:rsidR="00CF078E" w:rsidRPr="00F268D8">
        <w:rPr>
          <w:rFonts w:ascii="Calibri" w:eastAsia="Calibri" w:hAnsi="Calibri" w:cs="Calibri"/>
          <w:bCs/>
        </w:rPr>
        <w:t>,</w:t>
      </w:r>
      <w:r w:rsidRPr="00F268D8">
        <w:rPr>
          <w:rFonts w:ascii="Calibri" w:eastAsia="Calibri" w:hAnsi="Calibri" w:cs="Calibri"/>
          <w:bCs/>
        </w:rPr>
        <w:t xml:space="preserve"> </w:t>
      </w:r>
      <w:r w:rsidR="00440421" w:rsidRPr="00F268D8">
        <w:rPr>
          <w:rFonts w:ascii="Calibri" w:eastAsia="Calibri" w:hAnsi="Calibri" w:cs="Calibri"/>
          <w:bCs/>
        </w:rPr>
        <w:t xml:space="preserve">which </w:t>
      </w:r>
      <w:r w:rsidR="00677AB9" w:rsidRPr="00F268D8">
        <w:rPr>
          <w:rFonts w:ascii="Calibri" w:eastAsia="Calibri" w:hAnsi="Calibri" w:cs="Calibri"/>
          <w:bCs/>
        </w:rPr>
        <w:t xml:space="preserve">are </w:t>
      </w:r>
      <w:r w:rsidR="00B02436" w:rsidRPr="00F268D8">
        <w:rPr>
          <w:rFonts w:ascii="Calibri" w:eastAsia="Calibri" w:hAnsi="Calibri" w:cs="Calibri"/>
          <w:bCs/>
        </w:rPr>
        <w:t xml:space="preserve">typically </w:t>
      </w:r>
      <w:r w:rsidR="00677AB9" w:rsidRPr="00F268D8">
        <w:rPr>
          <w:rFonts w:ascii="Calibri" w:eastAsia="Calibri" w:hAnsi="Calibri" w:cs="Calibri"/>
          <w:bCs/>
        </w:rPr>
        <w:t>pain</w:t>
      </w:r>
      <w:r w:rsidR="00B02436" w:rsidRPr="00F268D8">
        <w:rPr>
          <w:rFonts w:ascii="Calibri" w:eastAsia="Calibri" w:hAnsi="Calibri" w:cs="Calibri"/>
          <w:bCs/>
        </w:rPr>
        <w:t xml:space="preserve">ful, </w:t>
      </w:r>
      <w:r w:rsidR="00440421" w:rsidRPr="00F268D8">
        <w:rPr>
          <w:rFonts w:ascii="Calibri" w:eastAsia="Calibri" w:hAnsi="Calibri" w:cs="Calibri"/>
          <w:bCs/>
        </w:rPr>
        <w:t>limit peoples’ daily lives</w:t>
      </w:r>
      <w:r w:rsidR="00B02436" w:rsidRPr="00F268D8">
        <w:rPr>
          <w:rFonts w:ascii="Calibri" w:eastAsia="Calibri" w:hAnsi="Calibri" w:cs="Calibri"/>
          <w:bCs/>
        </w:rPr>
        <w:t>,</w:t>
      </w:r>
      <w:r w:rsidR="00677AB9" w:rsidRPr="00F268D8">
        <w:rPr>
          <w:rFonts w:ascii="Calibri" w:eastAsia="Calibri" w:hAnsi="Calibri" w:cs="Calibri"/>
          <w:bCs/>
        </w:rPr>
        <w:t xml:space="preserve"> and </w:t>
      </w:r>
      <w:r w:rsidR="00A02B33" w:rsidRPr="00F268D8">
        <w:rPr>
          <w:rFonts w:ascii="Calibri" w:eastAsia="Calibri" w:hAnsi="Calibri" w:cs="Calibri"/>
          <w:bCs/>
        </w:rPr>
        <w:t xml:space="preserve">impair </w:t>
      </w:r>
      <w:r w:rsidR="00440421" w:rsidRPr="00F268D8">
        <w:rPr>
          <w:rFonts w:ascii="Calibri" w:eastAsia="Calibri" w:hAnsi="Calibri" w:cs="Calibri"/>
          <w:bCs/>
        </w:rPr>
        <w:t>quality of life.</w:t>
      </w:r>
      <w:r w:rsidR="0043550D">
        <w:rPr>
          <w:rFonts w:ascii="Calibri" w:eastAsia="Calibri" w:hAnsi="Calibri" w:cs="Calibri"/>
          <w:bCs/>
        </w:rPr>
        <w:t>[</w:t>
      </w:r>
      <w:r w:rsidR="00440421" w:rsidRPr="00F268D8">
        <w:rPr>
          <w:rFonts w:ascii="Calibri" w:eastAsia="Calibri" w:hAnsi="Calibri" w:cs="Calibri"/>
          <w:bCs/>
          <w:noProof/>
        </w:rPr>
        <w:t>1</w:t>
      </w:r>
      <w:r w:rsidR="0043550D">
        <w:rPr>
          <w:rFonts w:ascii="Calibri" w:eastAsia="Calibri" w:hAnsi="Calibri" w:cs="Calibri"/>
          <w:bCs/>
          <w:noProof/>
        </w:rPr>
        <w:t>]</w:t>
      </w:r>
      <w:r w:rsidR="00440421" w:rsidRPr="00F268D8">
        <w:rPr>
          <w:rFonts w:ascii="Calibri" w:eastAsia="Calibri" w:hAnsi="Calibri" w:cs="Calibri"/>
          <w:bCs/>
        </w:rPr>
        <w:t xml:space="preserve">  </w:t>
      </w:r>
      <w:r w:rsidR="00741E2E" w:rsidRPr="00F268D8">
        <w:rPr>
          <w:rFonts w:ascii="Calibri" w:eastAsia="Calibri" w:hAnsi="Calibri" w:cs="Calibri"/>
          <w:bCs/>
        </w:rPr>
        <w:t>Musculoskeletal</w:t>
      </w:r>
      <w:r w:rsidR="006913F8" w:rsidRPr="00F268D8">
        <w:rPr>
          <w:rFonts w:ascii="Calibri" w:eastAsia="Calibri" w:hAnsi="Calibri" w:cs="Calibri"/>
          <w:bCs/>
        </w:rPr>
        <w:t xml:space="preserve"> conditions</w:t>
      </w:r>
      <w:r w:rsidRPr="00F268D8">
        <w:rPr>
          <w:rFonts w:ascii="Calibri" w:eastAsia="Calibri" w:hAnsi="Calibri" w:cs="Calibri"/>
          <w:bCs/>
        </w:rPr>
        <w:t xml:space="preserve"> </w:t>
      </w:r>
      <w:r w:rsidR="00FC1843" w:rsidRPr="00F268D8">
        <w:rPr>
          <w:rFonts w:ascii="Calibri" w:eastAsia="Calibri" w:hAnsi="Calibri" w:cs="Calibri"/>
          <w:bCs/>
        </w:rPr>
        <w:t xml:space="preserve">including back, hip, knee and neck pain </w:t>
      </w:r>
      <w:r w:rsidRPr="00F268D8">
        <w:rPr>
          <w:rFonts w:ascii="Calibri" w:eastAsia="Calibri" w:hAnsi="Calibri" w:cs="Calibri"/>
          <w:bCs/>
        </w:rPr>
        <w:t xml:space="preserve">are </w:t>
      </w:r>
      <w:r w:rsidR="00301DC3" w:rsidRPr="00F268D8">
        <w:rPr>
          <w:rFonts w:ascii="Calibri" w:eastAsia="Calibri" w:hAnsi="Calibri" w:cs="Calibri"/>
          <w:bCs/>
        </w:rPr>
        <w:t>commonly managed in primary care</w:t>
      </w:r>
      <w:r w:rsidR="000546D2" w:rsidRPr="00F268D8">
        <w:rPr>
          <w:rFonts w:ascii="Calibri" w:eastAsia="Calibri" w:hAnsi="Calibri" w:cs="Calibri"/>
          <w:bCs/>
        </w:rPr>
        <w:t>,</w:t>
      </w:r>
      <w:r w:rsidR="0043550D">
        <w:rPr>
          <w:rFonts w:ascii="Calibri" w:eastAsia="Calibri" w:hAnsi="Calibri" w:cs="Calibri"/>
          <w:bCs/>
        </w:rPr>
        <w:t>[</w:t>
      </w:r>
      <w:r w:rsidR="00DE168D" w:rsidRPr="00F268D8">
        <w:rPr>
          <w:rFonts w:ascii="Calibri" w:eastAsia="Calibri" w:hAnsi="Calibri" w:cs="Calibri"/>
          <w:bCs/>
          <w:noProof/>
        </w:rPr>
        <w:t>2-4</w:t>
      </w:r>
      <w:r w:rsidR="0043550D">
        <w:rPr>
          <w:rFonts w:ascii="Calibri" w:eastAsia="Calibri" w:hAnsi="Calibri" w:cs="Calibri"/>
          <w:bCs/>
          <w:noProof/>
        </w:rPr>
        <w:t>]</w:t>
      </w:r>
      <w:r w:rsidR="00BE1D48" w:rsidRPr="00F268D8">
        <w:rPr>
          <w:rFonts w:ascii="Calibri" w:eastAsia="Calibri" w:hAnsi="Calibri" w:cs="Calibri"/>
          <w:bCs/>
        </w:rPr>
        <w:t xml:space="preserve"> </w:t>
      </w:r>
      <w:r w:rsidR="000546D2" w:rsidRPr="00F268D8">
        <w:rPr>
          <w:rFonts w:ascii="Calibri" w:eastAsia="Calibri" w:hAnsi="Calibri" w:cs="Calibri"/>
          <w:bCs/>
        </w:rPr>
        <w:t>where</w:t>
      </w:r>
      <w:r w:rsidR="00301DC3" w:rsidRPr="00F268D8">
        <w:rPr>
          <w:rFonts w:ascii="Calibri" w:eastAsia="Calibri" w:hAnsi="Calibri" w:cs="Calibri"/>
          <w:bCs/>
        </w:rPr>
        <w:t xml:space="preserve"> </w:t>
      </w:r>
      <w:r w:rsidR="000546D2" w:rsidRPr="00F268D8">
        <w:rPr>
          <w:rFonts w:ascii="Calibri" w:eastAsia="Calibri" w:hAnsi="Calibri" w:cs="Calibri"/>
          <w:bCs/>
        </w:rPr>
        <w:t>p</w:t>
      </w:r>
      <w:r w:rsidR="00C24DB4" w:rsidRPr="00F268D8">
        <w:rPr>
          <w:rFonts w:ascii="Calibri" w:eastAsia="Calibri" w:hAnsi="Calibri" w:cs="Calibri"/>
          <w:bCs/>
        </w:rPr>
        <w:t>atient</w:t>
      </w:r>
      <w:r w:rsidR="00F86605" w:rsidRPr="00F268D8">
        <w:rPr>
          <w:rFonts w:ascii="Calibri" w:eastAsia="Calibri" w:hAnsi="Calibri" w:cs="Calibri"/>
          <w:bCs/>
        </w:rPr>
        <w:t>-</w:t>
      </w:r>
      <w:r w:rsidR="00C24DB4" w:rsidRPr="00F268D8">
        <w:rPr>
          <w:rFonts w:ascii="Calibri" w:eastAsia="Calibri" w:hAnsi="Calibri" w:cs="Calibri"/>
          <w:bCs/>
        </w:rPr>
        <w:t>centred care</w:t>
      </w:r>
      <w:r w:rsidR="00F86605" w:rsidRPr="00F268D8">
        <w:rPr>
          <w:rFonts w:ascii="Calibri" w:eastAsia="Calibri" w:hAnsi="Calibri" w:cs="Calibri"/>
          <w:bCs/>
        </w:rPr>
        <w:t>, including excellent practitioner-patient communication,</w:t>
      </w:r>
      <w:r w:rsidR="00C24DB4" w:rsidRPr="00F268D8">
        <w:rPr>
          <w:rFonts w:ascii="Calibri" w:eastAsia="Calibri" w:hAnsi="Calibri" w:cs="Calibri"/>
          <w:bCs/>
        </w:rPr>
        <w:t xml:space="preserve"> is a</w:t>
      </w:r>
      <w:r w:rsidR="00FA7CAA" w:rsidRPr="00F268D8">
        <w:rPr>
          <w:rFonts w:ascii="Calibri" w:eastAsia="Calibri" w:hAnsi="Calibri" w:cs="Calibri"/>
          <w:bCs/>
        </w:rPr>
        <w:t>n</w:t>
      </w:r>
      <w:r w:rsidR="00D400D1" w:rsidRPr="00F268D8">
        <w:rPr>
          <w:rFonts w:ascii="Calibri" w:eastAsia="Calibri" w:hAnsi="Calibri" w:cs="Calibri"/>
          <w:bCs/>
        </w:rPr>
        <w:t xml:space="preserve"> </w:t>
      </w:r>
      <w:r w:rsidR="00FA7CAA" w:rsidRPr="00F268D8">
        <w:rPr>
          <w:rFonts w:ascii="Calibri" w:eastAsia="Calibri" w:hAnsi="Calibri" w:cs="Calibri"/>
          <w:bCs/>
        </w:rPr>
        <w:t>international priority</w:t>
      </w:r>
      <w:r w:rsidR="000546D2" w:rsidRPr="00F268D8">
        <w:rPr>
          <w:rFonts w:ascii="Calibri" w:eastAsia="Calibri" w:hAnsi="Calibri" w:cs="Calibri"/>
          <w:bCs/>
        </w:rPr>
        <w:t>.</w:t>
      </w:r>
      <w:r w:rsidR="0043550D">
        <w:rPr>
          <w:rFonts w:ascii="Calibri" w:eastAsia="Calibri" w:hAnsi="Calibri" w:cs="Calibri"/>
          <w:bCs/>
        </w:rPr>
        <w:t>[</w:t>
      </w:r>
      <w:r w:rsidR="00DE168D" w:rsidRPr="00F268D8">
        <w:rPr>
          <w:rFonts w:ascii="Calibri" w:eastAsia="Calibri" w:hAnsi="Calibri" w:cs="Calibri"/>
          <w:noProof/>
        </w:rPr>
        <w:t>5-7</w:t>
      </w:r>
      <w:bookmarkEnd w:id="0"/>
      <w:r w:rsidR="0043550D">
        <w:rPr>
          <w:rFonts w:ascii="Calibri" w:eastAsia="Calibri" w:hAnsi="Calibri" w:cs="Calibri"/>
          <w:noProof/>
        </w:rPr>
        <w:t>]</w:t>
      </w:r>
      <w:r w:rsidRPr="00F268D8">
        <w:rPr>
          <w:rFonts w:ascii="Calibri" w:eastAsia="Calibri" w:hAnsi="Calibri" w:cs="Calibri"/>
          <w:bCs/>
        </w:rPr>
        <w:t xml:space="preserve"> </w:t>
      </w:r>
      <w:r w:rsidR="00EE4F85" w:rsidRPr="00F268D8">
        <w:rPr>
          <w:rFonts w:ascii="Calibri" w:eastAsia="Calibri" w:hAnsi="Calibri" w:cs="Times New Roman"/>
        </w:rPr>
        <w:t>In the UK,</w:t>
      </w:r>
      <w:r w:rsidR="00741E2E" w:rsidRPr="00F268D8">
        <w:rPr>
          <w:rFonts w:ascii="Calibri" w:eastAsia="Calibri" w:hAnsi="Calibri" w:cs="Times New Roman"/>
        </w:rPr>
        <w:t xml:space="preserve"> </w:t>
      </w:r>
      <w:r w:rsidR="004E7D42" w:rsidRPr="00F268D8">
        <w:rPr>
          <w:rFonts w:ascii="Calibri" w:eastAsia="Calibri" w:hAnsi="Calibri" w:cs="Times New Roman"/>
        </w:rPr>
        <w:t xml:space="preserve">people with </w:t>
      </w:r>
      <w:r w:rsidR="00741E2E" w:rsidRPr="00F268D8">
        <w:rPr>
          <w:rFonts w:ascii="Calibri" w:eastAsia="Calibri" w:hAnsi="Calibri" w:cs="Times New Roman"/>
        </w:rPr>
        <w:t>musculoskeletal</w:t>
      </w:r>
      <w:r w:rsidR="004E7D42" w:rsidRPr="00F268D8">
        <w:rPr>
          <w:rFonts w:ascii="Calibri" w:eastAsia="Calibri" w:hAnsi="Calibri" w:cs="Times New Roman"/>
        </w:rPr>
        <w:t xml:space="preserve"> conditions</w:t>
      </w:r>
      <w:r w:rsidR="00EE4F85" w:rsidRPr="00F268D8">
        <w:rPr>
          <w:rFonts w:ascii="Calibri" w:eastAsia="Calibri" w:hAnsi="Calibri" w:cs="Times New Roman"/>
        </w:rPr>
        <w:t xml:space="preserve"> may be seen </w:t>
      </w:r>
      <w:r w:rsidR="006C4F6A" w:rsidRPr="00F268D8">
        <w:rPr>
          <w:rFonts w:ascii="Calibri" w:eastAsia="Calibri" w:hAnsi="Calibri" w:cs="Times New Roman"/>
        </w:rPr>
        <w:t xml:space="preserve">in primary care </w:t>
      </w:r>
      <w:r w:rsidR="00EE4F85" w:rsidRPr="00F268D8">
        <w:rPr>
          <w:rFonts w:ascii="Calibri" w:eastAsia="Calibri" w:hAnsi="Calibri" w:cs="Times New Roman"/>
        </w:rPr>
        <w:t xml:space="preserve">by </w:t>
      </w:r>
      <w:r w:rsidR="006E5974" w:rsidRPr="00F268D8">
        <w:rPr>
          <w:rFonts w:ascii="Calibri" w:eastAsia="Calibri" w:hAnsi="Calibri" w:cs="Times New Roman"/>
        </w:rPr>
        <w:t>GPs</w:t>
      </w:r>
      <w:r w:rsidR="00EE4F85" w:rsidRPr="00F268D8">
        <w:rPr>
          <w:rFonts w:ascii="Calibri" w:eastAsia="Calibri" w:hAnsi="Calibri" w:cs="Times New Roman"/>
        </w:rPr>
        <w:t xml:space="preserve">, </w:t>
      </w:r>
      <w:r w:rsidR="006E5974" w:rsidRPr="00F268D8">
        <w:rPr>
          <w:rFonts w:ascii="Calibri" w:eastAsia="Calibri" w:hAnsi="Calibri" w:cs="Times New Roman"/>
        </w:rPr>
        <w:t>practice nurses, physiotherapists, and other</w:t>
      </w:r>
      <w:r w:rsidR="00CC526D" w:rsidRPr="00F268D8">
        <w:rPr>
          <w:rFonts w:ascii="Calibri" w:eastAsia="Calibri" w:hAnsi="Calibri" w:cs="Times New Roman"/>
        </w:rPr>
        <w:t xml:space="preserve"> allied healthcare professionals</w:t>
      </w:r>
      <w:r w:rsidR="006E5974" w:rsidRPr="00F268D8">
        <w:rPr>
          <w:rFonts w:ascii="Calibri" w:eastAsia="Calibri" w:hAnsi="Calibri" w:cs="Times New Roman"/>
        </w:rPr>
        <w:t>.</w:t>
      </w:r>
    </w:p>
    <w:p w14:paraId="30685C3B" w14:textId="0D158728" w:rsidR="00834B6D" w:rsidRPr="0043550D" w:rsidRDefault="007052E7" w:rsidP="00CA087A">
      <w:pPr>
        <w:rPr>
          <w:rFonts w:ascii="Calibri" w:eastAsia="Calibri" w:hAnsi="Calibri" w:cs="Times New Roman"/>
        </w:rPr>
      </w:pPr>
      <w:r w:rsidRPr="0043550D">
        <w:rPr>
          <w:rFonts w:ascii="Calibri" w:eastAsia="Calibri" w:hAnsi="Calibri" w:cs="Calibri"/>
        </w:rPr>
        <w:t xml:space="preserve">Regardless of which </w:t>
      </w:r>
      <w:r w:rsidR="00463F95" w:rsidRPr="0043550D">
        <w:rPr>
          <w:rFonts w:ascii="Calibri" w:eastAsia="Calibri" w:hAnsi="Calibri" w:cs="Calibri"/>
        </w:rPr>
        <w:t xml:space="preserve">treatment, therapy, or other intervention </w:t>
      </w:r>
      <w:r w:rsidRPr="0043550D">
        <w:rPr>
          <w:rFonts w:ascii="Calibri" w:eastAsia="Calibri" w:hAnsi="Calibri" w:cs="Calibri"/>
        </w:rPr>
        <w:t xml:space="preserve">a patient receives, </w:t>
      </w:r>
      <w:r w:rsidR="006C4F6A" w:rsidRPr="0043550D">
        <w:rPr>
          <w:rFonts w:ascii="Calibri" w:eastAsia="Calibri" w:hAnsi="Calibri" w:cs="Calibri"/>
        </w:rPr>
        <w:t>effective</w:t>
      </w:r>
      <w:r w:rsidRPr="0043550D">
        <w:rPr>
          <w:rFonts w:ascii="Calibri" w:eastAsia="Calibri" w:hAnsi="Calibri" w:cs="Calibri"/>
        </w:rPr>
        <w:t xml:space="preserve"> practitioner-patient communication </w:t>
      </w:r>
      <w:r w:rsidR="000818D6" w:rsidRPr="0043550D">
        <w:rPr>
          <w:rFonts w:ascii="Calibri" w:eastAsia="Calibri" w:hAnsi="Calibri" w:cs="Calibri"/>
        </w:rPr>
        <w:t xml:space="preserve">can </w:t>
      </w:r>
      <w:r w:rsidR="005D48E0" w:rsidRPr="0043550D">
        <w:rPr>
          <w:rFonts w:ascii="Calibri" w:eastAsia="Calibri" w:hAnsi="Calibri" w:cs="Calibri"/>
        </w:rPr>
        <w:t xml:space="preserve">reduce </w:t>
      </w:r>
      <w:r w:rsidRPr="0043550D">
        <w:rPr>
          <w:rFonts w:ascii="Calibri" w:eastAsia="Calibri" w:hAnsi="Calibri" w:cs="Calibri"/>
        </w:rPr>
        <w:t>symptoms</w:t>
      </w:r>
      <w:r w:rsidR="005D48E0" w:rsidRPr="0043550D">
        <w:rPr>
          <w:rFonts w:ascii="Calibri" w:eastAsia="Calibri" w:hAnsi="Calibri" w:cs="Calibri"/>
        </w:rPr>
        <w:t xml:space="preserve"> and enhance </w:t>
      </w:r>
      <w:r w:rsidRPr="0043550D">
        <w:rPr>
          <w:rFonts w:ascii="Calibri" w:eastAsia="Calibri" w:hAnsi="Calibri" w:cs="Calibri"/>
        </w:rPr>
        <w:t>quality of life, adherence to and satisfaction with care, producing benefits comparable to many pharmaceutical interventions.</w:t>
      </w:r>
      <w:r w:rsidR="0043550D">
        <w:rPr>
          <w:rFonts w:ascii="Calibri" w:eastAsia="Calibri" w:hAnsi="Calibri" w:cs="Calibri"/>
        </w:rPr>
        <w:t>[</w:t>
      </w:r>
      <w:r w:rsidR="00B30FE1" w:rsidRPr="0043550D">
        <w:rPr>
          <w:rFonts w:ascii="Calibri" w:eastAsia="Calibri" w:hAnsi="Calibri" w:cs="Calibri"/>
          <w:noProof/>
        </w:rPr>
        <w:t>8-10</w:t>
      </w:r>
      <w:r w:rsidR="0043550D">
        <w:rPr>
          <w:rFonts w:ascii="Calibri" w:eastAsia="Calibri" w:hAnsi="Calibri" w:cs="Calibri"/>
          <w:noProof/>
        </w:rPr>
        <w:t>]</w:t>
      </w:r>
      <w:r w:rsidRPr="0043550D">
        <w:rPr>
          <w:rFonts w:ascii="Calibri" w:eastAsia="Calibri" w:hAnsi="Calibri" w:cs="Calibri"/>
        </w:rPr>
        <w:t xml:space="preserve"> </w:t>
      </w:r>
      <w:r w:rsidR="00697A1C" w:rsidRPr="0043550D">
        <w:rPr>
          <w:rFonts w:ascii="Calibri" w:eastAsia="Calibri" w:hAnsi="Calibri" w:cs="Calibri"/>
        </w:rPr>
        <w:t>S</w:t>
      </w:r>
      <w:r w:rsidRPr="0043550D">
        <w:rPr>
          <w:rFonts w:ascii="Calibri" w:eastAsia="Calibri" w:hAnsi="Calibri" w:cs="Calibri"/>
        </w:rPr>
        <w:t xml:space="preserve">ub-optimal </w:t>
      </w:r>
      <w:r w:rsidR="00FA530B" w:rsidRPr="0043550D">
        <w:rPr>
          <w:rFonts w:ascii="Calibri" w:eastAsia="Calibri" w:hAnsi="Calibri" w:cs="Calibri"/>
        </w:rPr>
        <w:t>communication can lead to</w:t>
      </w:r>
      <w:r w:rsidRPr="0043550D">
        <w:rPr>
          <w:rFonts w:ascii="Calibri" w:eastAsia="Calibri" w:hAnsi="Calibri" w:cs="Calibri"/>
        </w:rPr>
        <w:t xml:space="preserve"> missed opportunities for benefit</w:t>
      </w:r>
      <w:r w:rsidR="00CD2581" w:rsidRPr="0043550D">
        <w:rPr>
          <w:rFonts w:ascii="Calibri" w:eastAsia="Calibri" w:hAnsi="Calibri" w:cs="Calibri"/>
        </w:rPr>
        <w:t xml:space="preserve">, </w:t>
      </w:r>
      <w:r w:rsidRPr="0043550D">
        <w:rPr>
          <w:rFonts w:ascii="Calibri" w:eastAsia="Calibri" w:hAnsi="Calibri" w:cs="Calibri"/>
        </w:rPr>
        <w:t>worse quality of life and symptom management, unwanted prescriptions and non-adherence;</w:t>
      </w:r>
      <w:r w:rsidR="0043550D">
        <w:rPr>
          <w:rFonts w:ascii="Calibri" w:eastAsia="Calibri" w:hAnsi="Calibri" w:cs="Calibri"/>
        </w:rPr>
        <w:t>[</w:t>
      </w:r>
      <w:r w:rsidR="00B30FE1" w:rsidRPr="0043550D">
        <w:rPr>
          <w:rFonts w:ascii="Calibri" w:eastAsia="Calibri" w:hAnsi="Calibri" w:cs="Calibri"/>
          <w:noProof/>
        </w:rPr>
        <w:t>11</w:t>
      </w:r>
      <w:r w:rsidR="0043550D">
        <w:rPr>
          <w:rFonts w:ascii="Calibri" w:eastAsia="Calibri" w:hAnsi="Calibri" w:cs="Calibri"/>
          <w:noProof/>
        </w:rPr>
        <w:t>,</w:t>
      </w:r>
      <w:r w:rsidR="00B30FE1" w:rsidRPr="0043550D">
        <w:rPr>
          <w:rFonts w:ascii="Calibri" w:eastAsia="Calibri" w:hAnsi="Calibri" w:cs="Calibri"/>
          <w:noProof/>
        </w:rPr>
        <w:t>12</w:t>
      </w:r>
      <w:r w:rsidR="0043550D">
        <w:rPr>
          <w:rFonts w:ascii="Calibri" w:eastAsia="Calibri" w:hAnsi="Calibri" w:cs="Calibri"/>
          <w:noProof/>
        </w:rPr>
        <w:t>]</w:t>
      </w:r>
      <w:r w:rsidRPr="0043550D">
        <w:rPr>
          <w:rFonts w:ascii="Calibri" w:eastAsia="Calibri" w:hAnsi="Calibri" w:cs="Calibri"/>
        </w:rPr>
        <w:t xml:space="preserve"> unnecessary economic costs;</w:t>
      </w:r>
      <w:r w:rsidR="0043550D">
        <w:rPr>
          <w:rFonts w:ascii="Calibri" w:eastAsia="Calibri" w:hAnsi="Calibri" w:cs="Calibri"/>
        </w:rPr>
        <w:t>[</w:t>
      </w:r>
      <w:r w:rsidR="00B30FE1" w:rsidRPr="0043550D">
        <w:rPr>
          <w:rFonts w:ascii="Calibri" w:eastAsia="Calibri" w:hAnsi="Calibri" w:cs="Calibri"/>
          <w:noProof/>
        </w:rPr>
        <w:t>12</w:t>
      </w:r>
      <w:r w:rsidR="0043550D">
        <w:rPr>
          <w:rFonts w:ascii="Calibri" w:eastAsia="Calibri" w:hAnsi="Calibri" w:cs="Calibri"/>
          <w:noProof/>
        </w:rPr>
        <w:t>]</w:t>
      </w:r>
      <w:r w:rsidRPr="0043550D">
        <w:rPr>
          <w:rFonts w:ascii="Calibri" w:eastAsia="Calibri" w:hAnsi="Calibri" w:cs="Calibri"/>
        </w:rPr>
        <w:t xml:space="preserve"> deviation from guideline-recommended treatment;</w:t>
      </w:r>
      <w:r w:rsidR="0043550D">
        <w:rPr>
          <w:rFonts w:ascii="Calibri" w:eastAsia="Calibri" w:hAnsi="Calibri" w:cs="Calibri"/>
        </w:rPr>
        <w:t>[</w:t>
      </w:r>
      <w:r w:rsidR="00B30FE1" w:rsidRPr="0043550D">
        <w:rPr>
          <w:rFonts w:ascii="Calibri" w:eastAsia="Calibri" w:hAnsi="Calibri" w:cs="Calibri"/>
          <w:noProof/>
        </w:rPr>
        <w:t>13</w:t>
      </w:r>
      <w:r w:rsidR="0043550D">
        <w:rPr>
          <w:rFonts w:ascii="Calibri" w:eastAsia="Calibri" w:hAnsi="Calibri" w:cs="Calibri"/>
          <w:noProof/>
        </w:rPr>
        <w:t>]</w:t>
      </w:r>
      <w:r w:rsidRPr="0043550D">
        <w:rPr>
          <w:rFonts w:ascii="Calibri" w:eastAsia="Calibri" w:hAnsi="Calibri" w:cs="Calibri"/>
        </w:rPr>
        <w:t xml:space="preserve"> and increased complaints and litigation.</w:t>
      </w:r>
      <w:r w:rsidR="0043550D">
        <w:rPr>
          <w:rFonts w:ascii="Calibri" w:eastAsia="Calibri" w:hAnsi="Calibri" w:cs="Calibri"/>
        </w:rPr>
        <w:t>[</w:t>
      </w:r>
      <w:r w:rsidR="00B30FE1" w:rsidRPr="0043550D">
        <w:rPr>
          <w:rFonts w:ascii="Calibri" w:eastAsia="Calibri" w:hAnsi="Calibri" w:cs="Calibri"/>
          <w:noProof/>
        </w:rPr>
        <w:t>14</w:t>
      </w:r>
      <w:r w:rsidR="0043550D">
        <w:rPr>
          <w:rFonts w:ascii="Calibri" w:eastAsia="Calibri" w:hAnsi="Calibri" w:cs="Calibri"/>
          <w:noProof/>
        </w:rPr>
        <w:t>,</w:t>
      </w:r>
      <w:r w:rsidR="00B30FE1" w:rsidRPr="0043550D">
        <w:rPr>
          <w:rFonts w:ascii="Calibri" w:eastAsia="Calibri" w:hAnsi="Calibri" w:cs="Calibri"/>
          <w:noProof/>
        </w:rPr>
        <w:t>15</w:t>
      </w:r>
      <w:r w:rsidR="0043550D">
        <w:rPr>
          <w:rFonts w:ascii="Calibri" w:eastAsia="Calibri" w:hAnsi="Calibri" w:cs="Calibri"/>
          <w:noProof/>
        </w:rPr>
        <w:t>]</w:t>
      </w:r>
      <w:r w:rsidRPr="0043550D">
        <w:rPr>
          <w:rFonts w:ascii="Calibri" w:eastAsia="Calibri" w:hAnsi="Calibri" w:cs="Calibri"/>
        </w:rPr>
        <w:t xml:space="preserve"> Despite communication skills being </w:t>
      </w:r>
      <w:r w:rsidR="00CC14FF" w:rsidRPr="0043550D">
        <w:rPr>
          <w:rFonts w:ascii="Calibri" w:eastAsia="Calibri" w:hAnsi="Calibri" w:cs="Calibri"/>
        </w:rPr>
        <w:t xml:space="preserve">taught </w:t>
      </w:r>
      <w:r w:rsidRPr="0043550D">
        <w:rPr>
          <w:rFonts w:ascii="Calibri" w:eastAsia="Calibri" w:hAnsi="Calibri" w:cs="Calibri"/>
        </w:rPr>
        <w:t xml:space="preserve">in medical and allied health professional training, </w:t>
      </w:r>
      <w:r w:rsidR="00E817F5" w:rsidRPr="0043550D">
        <w:rPr>
          <w:rFonts w:ascii="Calibri" w:eastAsia="Calibri" w:hAnsi="Calibri" w:cs="Calibri"/>
        </w:rPr>
        <w:t>patients still report dissatisfaction with practitioner-patient communication,</w:t>
      </w:r>
      <w:r w:rsidR="0043550D">
        <w:rPr>
          <w:rFonts w:ascii="Calibri" w:eastAsia="Calibri" w:hAnsi="Calibri" w:cs="Calibri"/>
        </w:rPr>
        <w:t>[</w:t>
      </w:r>
      <w:r w:rsidR="00E817F5" w:rsidRPr="0043550D">
        <w:rPr>
          <w:rFonts w:ascii="Calibri" w:eastAsia="Calibri" w:hAnsi="Calibri" w:cs="Calibri"/>
          <w:noProof/>
        </w:rPr>
        <w:t>16</w:t>
      </w:r>
      <w:r w:rsidR="0043550D">
        <w:rPr>
          <w:rFonts w:ascii="Calibri" w:eastAsia="Calibri" w:hAnsi="Calibri" w:cs="Calibri"/>
          <w:noProof/>
        </w:rPr>
        <w:t>,</w:t>
      </w:r>
      <w:r w:rsidR="00E817F5" w:rsidRPr="0043550D">
        <w:rPr>
          <w:rFonts w:ascii="Calibri" w:eastAsia="Calibri" w:hAnsi="Calibri" w:cs="Calibri"/>
          <w:noProof/>
        </w:rPr>
        <w:t>17</w:t>
      </w:r>
      <w:r w:rsidR="0043550D">
        <w:rPr>
          <w:rFonts w:ascii="Calibri" w:eastAsia="Calibri" w:hAnsi="Calibri" w:cs="Calibri"/>
          <w:noProof/>
        </w:rPr>
        <w:t>]</w:t>
      </w:r>
      <w:r w:rsidR="00E817F5" w:rsidRPr="0043550D">
        <w:rPr>
          <w:rFonts w:ascii="Calibri" w:eastAsia="Calibri" w:hAnsi="Calibri" w:cs="Calibri"/>
        </w:rPr>
        <w:t xml:space="preserve"> </w:t>
      </w:r>
      <w:r w:rsidR="000F1D54" w:rsidRPr="0043550D">
        <w:rPr>
          <w:rFonts w:ascii="Calibri" w:eastAsia="Calibri" w:hAnsi="Calibri" w:cs="Calibri"/>
        </w:rPr>
        <w:t>the extent to which patients rate</w:t>
      </w:r>
      <w:r w:rsidRPr="0043550D">
        <w:rPr>
          <w:rFonts w:ascii="Calibri" w:eastAsia="Calibri" w:hAnsi="Calibri" w:cs="Calibri"/>
        </w:rPr>
        <w:t xml:space="preserve"> their </w:t>
      </w:r>
      <w:r w:rsidR="000F1D54" w:rsidRPr="0043550D">
        <w:rPr>
          <w:rFonts w:ascii="Calibri" w:eastAsia="Calibri" w:hAnsi="Calibri" w:cs="Calibri"/>
        </w:rPr>
        <w:t>practitioners as being empathic varies widely,</w:t>
      </w:r>
      <w:r w:rsidR="0043550D">
        <w:rPr>
          <w:rFonts w:ascii="Calibri" w:eastAsia="Calibri" w:hAnsi="Calibri" w:cs="Calibri"/>
        </w:rPr>
        <w:t>[</w:t>
      </w:r>
      <w:r w:rsidR="00E817F5" w:rsidRPr="0043550D">
        <w:rPr>
          <w:rFonts w:ascii="Calibri" w:eastAsia="Calibri" w:hAnsi="Calibri" w:cs="Calibri"/>
          <w:noProof/>
        </w:rPr>
        <w:t>18</w:t>
      </w:r>
      <w:r w:rsidR="0043550D">
        <w:rPr>
          <w:rFonts w:ascii="Calibri" w:eastAsia="Calibri" w:hAnsi="Calibri" w:cs="Calibri"/>
          <w:noProof/>
        </w:rPr>
        <w:t>]</w:t>
      </w:r>
      <w:r w:rsidR="000F1D54" w:rsidRPr="0043550D">
        <w:rPr>
          <w:rFonts w:ascii="Calibri" w:eastAsia="Calibri" w:hAnsi="Calibri" w:cs="Calibri"/>
        </w:rPr>
        <w:t xml:space="preserve"> and</w:t>
      </w:r>
      <w:r w:rsidRPr="0043550D">
        <w:rPr>
          <w:rFonts w:ascii="Calibri" w:eastAsia="Calibri" w:hAnsi="Calibri" w:cs="Calibri"/>
        </w:rPr>
        <w:t xml:space="preserve"> medical students appear to exhibit broadly stable or declining levels of empathy during their degrees</w:t>
      </w:r>
      <w:r w:rsidR="000F1D54" w:rsidRPr="0043550D">
        <w:rPr>
          <w:rFonts w:ascii="Calibri" w:eastAsia="Calibri" w:hAnsi="Calibri" w:cs="Calibri"/>
        </w:rPr>
        <w:t>.</w:t>
      </w:r>
      <w:r w:rsidR="0043550D">
        <w:rPr>
          <w:rFonts w:ascii="Calibri" w:eastAsia="Calibri" w:hAnsi="Calibri" w:cs="Calibri"/>
        </w:rPr>
        <w:t>[</w:t>
      </w:r>
      <w:r w:rsidR="00E817F5" w:rsidRPr="0043550D">
        <w:rPr>
          <w:rFonts w:ascii="Calibri" w:eastAsia="Calibri" w:hAnsi="Calibri" w:cs="Calibri"/>
          <w:noProof/>
        </w:rPr>
        <w:t>19</w:t>
      </w:r>
      <w:r w:rsidR="0043550D">
        <w:rPr>
          <w:rFonts w:ascii="Calibri" w:eastAsia="Calibri" w:hAnsi="Calibri" w:cs="Calibri"/>
          <w:noProof/>
        </w:rPr>
        <w:t>,</w:t>
      </w:r>
      <w:r w:rsidR="00E817F5" w:rsidRPr="0043550D">
        <w:rPr>
          <w:rFonts w:ascii="Calibri" w:eastAsia="Calibri" w:hAnsi="Calibri" w:cs="Calibri"/>
          <w:noProof/>
        </w:rPr>
        <w:t>20</w:t>
      </w:r>
      <w:r w:rsidR="0043550D">
        <w:rPr>
          <w:rFonts w:ascii="Calibri" w:eastAsia="Calibri" w:hAnsi="Calibri" w:cs="Calibri"/>
          <w:noProof/>
        </w:rPr>
        <w:t>]</w:t>
      </w:r>
      <w:r w:rsidRPr="0043550D">
        <w:rPr>
          <w:rFonts w:ascii="Calibri" w:eastAsia="Calibri" w:hAnsi="Calibri" w:cs="Calibri"/>
        </w:rPr>
        <w:t xml:space="preserve"> The need </w:t>
      </w:r>
      <w:r w:rsidR="00CC14FF" w:rsidRPr="0043550D">
        <w:rPr>
          <w:rFonts w:ascii="Calibri" w:eastAsia="Calibri" w:hAnsi="Calibri" w:cs="Calibri"/>
        </w:rPr>
        <w:t xml:space="preserve">to </w:t>
      </w:r>
      <w:r w:rsidRPr="0043550D">
        <w:rPr>
          <w:rFonts w:ascii="Calibri" w:eastAsia="Calibri" w:hAnsi="Calibri" w:cs="Calibri"/>
        </w:rPr>
        <w:t>enhanc</w:t>
      </w:r>
      <w:r w:rsidR="00CC14FF" w:rsidRPr="0043550D">
        <w:rPr>
          <w:rFonts w:ascii="Calibri" w:eastAsia="Calibri" w:hAnsi="Calibri" w:cs="Calibri"/>
        </w:rPr>
        <w:t>e</w:t>
      </w:r>
      <w:r w:rsidRPr="0043550D">
        <w:rPr>
          <w:rFonts w:ascii="Calibri" w:eastAsia="Calibri" w:hAnsi="Calibri" w:cs="Calibri"/>
        </w:rPr>
        <w:t xml:space="preserve"> and </w:t>
      </w:r>
      <w:r w:rsidR="00CC14FF" w:rsidRPr="0043550D">
        <w:rPr>
          <w:rFonts w:ascii="Calibri" w:eastAsia="Calibri" w:hAnsi="Calibri" w:cs="Calibri"/>
        </w:rPr>
        <w:t xml:space="preserve">expand </w:t>
      </w:r>
      <w:r w:rsidRPr="0043550D">
        <w:rPr>
          <w:rFonts w:ascii="Calibri" w:eastAsia="Calibri" w:hAnsi="Calibri" w:cs="Calibri"/>
        </w:rPr>
        <w:t xml:space="preserve">communication skills is particularly pertinent since the COVID pandemic forced rapid </w:t>
      </w:r>
      <w:r w:rsidR="009C77C5" w:rsidRPr="0043550D">
        <w:rPr>
          <w:rFonts w:ascii="Calibri" w:eastAsia="Calibri" w:hAnsi="Calibri" w:cs="Calibri"/>
        </w:rPr>
        <w:t>introduction of</w:t>
      </w:r>
      <w:r w:rsidRPr="0043550D">
        <w:rPr>
          <w:rFonts w:ascii="Calibri" w:eastAsia="Calibri" w:hAnsi="Calibri" w:cs="Calibri"/>
        </w:rPr>
        <w:t xml:space="preserve"> </w:t>
      </w:r>
      <w:r w:rsidR="002D7280" w:rsidRPr="0043550D">
        <w:rPr>
          <w:rFonts w:ascii="Calibri" w:eastAsia="Calibri" w:hAnsi="Calibri" w:cs="Calibri"/>
        </w:rPr>
        <w:t xml:space="preserve">remote </w:t>
      </w:r>
      <w:r w:rsidRPr="0043550D">
        <w:rPr>
          <w:rFonts w:ascii="Calibri" w:eastAsia="Calibri" w:hAnsi="Calibri" w:cs="Calibri"/>
        </w:rPr>
        <w:t>consultations, bringing new</w:t>
      </w:r>
      <w:r w:rsidR="007B1FC8" w:rsidRPr="0043550D">
        <w:rPr>
          <w:rFonts w:ascii="Calibri" w:eastAsia="Calibri" w:hAnsi="Calibri" w:cs="Calibri"/>
        </w:rPr>
        <w:t xml:space="preserve"> opportunities and</w:t>
      </w:r>
      <w:r w:rsidRPr="0043550D">
        <w:rPr>
          <w:rFonts w:ascii="Calibri" w:eastAsia="Calibri" w:hAnsi="Calibri" w:cs="Calibri"/>
        </w:rPr>
        <w:t xml:space="preserve"> challenges for </w:t>
      </w:r>
      <w:r w:rsidR="00B02160" w:rsidRPr="0043550D">
        <w:rPr>
          <w:rFonts w:ascii="Calibri" w:eastAsia="Calibri" w:hAnsi="Calibri" w:cs="Calibri"/>
        </w:rPr>
        <w:t xml:space="preserve">patients and </w:t>
      </w:r>
      <w:r w:rsidRPr="0043550D">
        <w:rPr>
          <w:rFonts w:ascii="Calibri" w:eastAsia="Calibri" w:hAnsi="Calibri" w:cs="Calibri"/>
        </w:rPr>
        <w:t xml:space="preserve">staff </w:t>
      </w:r>
      <w:r w:rsidR="00AD28CD" w:rsidRPr="0043550D">
        <w:rPr>
          <w:rFonts w:ascii="Calibri" w:eastAsia="Calibri" w:hAnsi="Calibri" w:cs="Calibri"/>
        </w:rPr>
        <w:t xml:space="preserve">not specifically trained to consult </w:t>
      </w:r>
      <w:r w:rsidRPr="0043550D">
        <w:rPr>
          <w:rFonts w:ascii="Calibri" w:eastAsia="Calibri" w:hAnsi="Calibri" w:cs="Calibri"/>
        </w:rPr>
        <w:t>in this way.</w:t>
      </w:r>
      <w:r w:rsidR="0043550D">
        <w:rPr>
          <w:rFonts w:ascii="Calibri" w:eastAsia="Calibri" w:hAnsi="Calibri" w:cs="Calibri"/>
        </w:rPr>
        <w:t>[</w:t>
      </w:r>
      <w:r w:rsidR="00D97093" w:rsidRPr="0043550D">
        <w:rPr>
          <w:rFonts w:ascii="Calibri" w:eastAsia="Calibri" w:hAnsi="Calibri" w:cs="Calibri"/>
          <w:noProof/>
        </w:rPr>
        <w:t>21</w:t>
      </w:r>
      <w:r w:rsidR="0043550D">
        <w:rPr>
          <w:rFonts w:ascii="Calibri" w:eastAsia="Calibri" w:hAnsi="Calibri" w:cs="Calibri"/>
          <w:noProof/>
        </w:rPr>
        <w:t>]</w:t>
      </w:r>
      <w:r w:rsidRPr="0043550D">
        <w:rPr>
          <w:rFonts w:ascii="Calibri" w:eastAsia="Calibri" w:hAnsi="Calibri" w:cs="Calibri"/>
        </w:rPr>
        <w:t xml:space="preserve"> </w:t>
      </w:r>
    </w:p>
    <w:p w14:paraId="2B9F2C34" w14:textId="455F2A99" w:rsidR="001915C0" w:rsidRPr="0043550D" w:rsidRDefault="005652C5" w:rsidP="00104844">
      <w:pPr>
        <w:rPr>
          <w:rFonts w:ascii="Calibri" w:eastAsia="Calibri" w:hAnsi="Calibri" w:cs="Calibri"/>
        </w:rPr>
      </w:pPr>
      <w:r w:rsidRPr="0043550D">
        <w:rPr>
          <w:rFonts w:ascii="Calibri" w:eastAsia="Calibri" w:hAnsi="Calibri" w:cs="Calibri"/>
        </w:rPr>
        <w:t xml:space="preserve">We focus on the communication of clinical empathy and positive messages within primary care consultations. </w:t>
      </w:r>
      <w:r w:rsidR="00FB6560" w:rsidRPr="0043550D">
        <w:rPr>
          <w:rFonts w:ascii="Calibri" w:eastAsia="Calibri" w:hAnsi="Calibri" w:cs="Calibri"/>
        </w:rPr>
        <w:t>Clinical empathy and positive messages are not routinely reliably optimised in clinical care but can have statistically and likely clinically significant effects on pain, patient satisfaction, and other outcomes with no evidence of adverse effects.</w:t>
      </w:r>
      <w:r w:rsidR="0043550D">
        <w:rPr>
          <w:rFonts w:ascii="Calibri" w:eastAsia="Calibri" w:hAnsi="Calibri" w:cs="Calibri"/>
        </w:rPr>
        <w:t>[</w:t>
      </w:r>
      <w:r w:rsidR="00FB6560" w:rsidRPr="0043550D">
        <w:rPr>
          <w:rFonts w:ascii="Calibri" w:eastAsia="Calibri" w:hAnsi="Calibri" w:cs="Calibri"/>
          <w:noProof/>
        </w:rPr>
        <w:t>22</w:t>
      </w:r>
      <w:r w:rsidR="0043550D">
        <w:rPr>
          <w:rFonts w:ascii="Calibri" w:eastAsia="Calibri" w:hAnsi="Calibri" w:cs="Calibri"/>
          <w:noProof/>
        </w:rPr>
        <w:t>]</w:t>
      </w:r>
      <w:r w:rsidR="00FB6560" w:rsidRPr="0043550D">
        <w:rPr>
          <w:rFonts w:ascii="Calibri" w:eastAsia="Calibri" w:hAnsi="Calibri" w:cs="Calibri"/>
        </w:rPr>
        <w:t xml:space="preserve"> </w:t>
      </w:r>
      <w:r w:rsidR="008822C9" w:rsidRPr="0043550D">
        <w:rPr>
          <w:rFonts w:ascii="Calibri" w:eastAsia="Calibri" w:hAnsi="Calibri" w:cs="Calibri"/>
        </w:rPr>
        <w:t>O</w:t>
      </w:r>
      <w:r w:rsidR="0018686B" w:rsidRPr="0043550D">
        <w:rPr>
          <w:rFonts w:ascii="Calibri" w:eastAsia="Calibri" w:hAnsi="Calibri" w:cs="Calibri"/>
        </w:rPr>
        <w:t xml:space="preserve">ur </w:t>
      </w:r>
      <w:r w:rsidR="00A50E14" w:rsidRPr="0043550D">
        <w:rPr>
          <w:rFonts w:ascii="Calibri" w:eastAsia="Calibri" w:hAnsi="Calibri" w:cs="Calibri"/>
        </w:rPr>
        <w:t>intervention planning</w:t>
      </w:r>
      <w:r w:rsidR="008822C9" w:rsidRPr="0043550D">
        <w:rPr>
          <w:rFonts w:ascii="Calibri" w:eastAsia="Calibri" w:hAnsi="Calibri" w:cs="Calibri"/>
        </w:rPr>
        <w:t xml:space="preserve"> determined that</w:t>
      </w:r>
      <w:r w:rsidR="00A50E14" w:rsidRPr="0043550D">
        <w:rPr>
          <w:rFonts w:ascii="Calibri" w:eastAsia="Calibri" w:hAnsi="Calibri" w:cs="Calibri"/>
        </w:rPr>
        <w:t xml:space="preserve"> e</w:t>
      </w:r>
      <w:r w:rsidR="00FB6560" w:rsidRPr="0043550D">
        <w:rPr>
          <w:rFonts w:ascii="Calibri" w:eastAsia="Calibri" w:hAnsi="Calibri" w:cs="Calibri"/>
        </w:rPr>
        <w:t>nhancing practitioners’ communication of clinical empathy and realistic optimism was feasible, measurable, and likely to have significant impact.</w:t>
      </w:r>
      <w:r w:rsidR="0043550D">
        <w:rPr>
          <w:rFonts w:ascii="Calibri" w:eastAsia="Calibri" w:hAnsi="Calibri" w:cs="Calibri"/>
        </w:rPr>
        <w:t>[</w:t>
      </w:r>
      <w:r w:rsidR="000054DE" w:rsidRPr="0043550D">
        <w:rPr>
          <w:rFonts w:ascii="Calibri" w:eastAsia="Calibri" w:hAnsi="Calibri" w:cs="Calibri"/>
          <w:noProof/>
        </w:rPr>
        <w:t>23</w:t>
      </w:r>
      <w:r w:rsidR="0043550D">
        <w:rPr>
          <w:rFonts w:ascii="Calibri" w:eastAsia="Calibri" w:hAnsi="Calibri" w:cs="Calibri"/>
          <w:noProof/>
        </w:rPr>
        <w:t>,</w:t>
      </w:r>
      <w:r w:rsidR="000054DE" w:rsidRPr="0043550D">
        <w:rPr>
          <w:rFonts w:ascii="Calibri" w:eastAsia="Calibri" w:hAnsi="Calibri" w:cs="Calibri"/>
          <w:noProof/>
        </w:rPr>
        <w:t>24</w:t>
      </w:r>
      <w:r w:rsidR="0043550D">
        <w:rPr>
          <w:rFonts w:ascii="Calibri" w:eastAsia="Calibri" w:hAnsi="Calibri" w:cs="Calibri"/>
          <w:noProof/>
        </w:rPr>
        <w:t>]</w:t>
      </w:r>
      <w:r w:rsidR="00A91FE8" w:rsidRPr="0043550D">
        <w:rPr>
          <w:rFonts w:ascii="Calibri" w:eastAsia="Calibri" w:hAnsi="Calibri" w:cs="Calibri"/>
        </w:rPr>
        <w:t xml:space="preserve"> </w:t>
      </w:r>
      <w:r w:rsidR="007052E7" w:rsidRPr="0043550D">
        <w:rPr>
          <w:rFonts w:ascii="Calibri" w:eastAsia="Calibri" w:hAnsi="Calibri" w:cs="Calibri"/>
        </w:rPr>
        <w:t xml:space="preserve">Even brief interventions can improve communication skills, including interventions concentrating on </w:t>
      </w:r>
      <w:r w:rsidR="00F564E0" w:rsidRPr="0043550D">
        <w:rPr>
          <w:rFonts w:ascii="Calibri" w:eastAsia="Calibri" w:hAnsi="Calibri" w:cs="Calibri"/>
        </w:rPr>
        <w:t xml:space="preserve">empathy </w:t>
      </w:r>
      <w:r w:rsidR="007052E7" w:rsidRPr="0043550D">
        <w:rPr>
          <w:rFonts w:ascii="Calibri" w:eastAsia="Calibri" w:hAnsi="Calibri" w:cs="Calibri"/>
        </w:rPr>
        <w:t>skills such as active listening and expressing warmth at appropriate times</w:t>
      </w:r>
      <w:r w:rsidR="0043550D">
        <w:rPr>
          <w:rFonts w:ascii="Calibri" w:eastAsia="Calibri" w:hAnsi="Calibri" w:cs="Calibri"/>
        </w:rPr>
        <w:t>[</w:t>
      </w:r>
      <w:r w:rsidR="000054DE" w:rsidRPr="0043550D">
        <w:rPr>
          <w:rFonts w:ascii="Calibri" w:eastAsia="Calibri" w:hAnsi="Calibri" w:cs="Calibri"/>
          <w:noProof/>
        </w:rPr>
        <w:t>25-27</w:t>
      </w:r>
      <w:r w:rsidR="0043550D">
        <w:rPr>
          <w:rFonts w:ascii="Calibri" w:eastAsia="Calibri" w:hAnsi="Calibri" w:cs="Calibri"/>
          <w:noProof/>
        </w:rPr>
        <w:t>]</w:t>
      </w:r>
      <w:r w:rsidR="007052E7" w:rsidRPr="0043550D">
        <w:rPr>
          <w:rFonts w:ascii="Calibri" w:eastAsia="Calibri" w:hAnsi="Calibri" w:cs="Calibri"/>
        </w:rPr>
        <w:t xml:space="preserve"> which take no additional time in the consultation.</w:t>
      </w:r>
      <w:r w:rsidR="0043550D">
        <w:rPr>
          <w:rFonts w:ascii="Calibri" w:eastAsia="Calibri" w:hAnsi="Calibri" w:cs="Calibri"/>
        </w:rPr>
        <w:t>[</w:t>
      </w:r>
      <w:r w:rsidR="000054DE" w:rsidRPr="0043550D">
        <w:rPr>
          <w:rFonts w:ascii="Calibri" w:eastAsia="Calibri" w:hAnsi="Calibri" w:cs="Calibri"/>
          <w:noProof/>
        </w:rPr>
        <w:t>27</w:t>
      </w:r>
      <w:r w:rsidR="0043550D">
        <w:rPr>
          <w:rFonts w:ascii="Calibri" w:eastAsia="Calibri" w:hAnsi="Calibri" w:cs="Calibri"/>
          <w:noProof/>
        </w:rPr>
        <w:t>,</w:t>
      </w:r>
      <w:r w:rsidR="000054DE" w:rsidRPr="0043550D">
        <w:rPr>
          <w:rFonts w:ascii="Calibri" w:eastAsia="Calibri" w:hAnsi="Calibri" w:cs="Calibri"/>
          <w:noProof/>
        </w:rPr>
        <w:t>28</w:t>
      </w:r>
      <w:r w:rsidR="0043550D">
        <w:rPr>
          <w:rFonts w:ascii="Calibri" w:eastAsia="Calibri" w:hAnsi="Calibri" w:cs="Calibri"/>
          <w:noProof/>
        </w:rPr>
        <w:t>]</w:t>
      </w:r>
      <w:r w:rsidR="007052E7" w:rsidRPr="0043550D">
        <w:rPr>
          <w:rFonts w:ascii="Calibri" w:eastAsia="Calibri" w:hAnsi="Calibri" w:cs="Calibri"/>
        </w:rPr>
        <w:t xml:space="preserve"> </w:t>
      </w:r>
      <w:r w:rsidR="0055235A" w:rsidRPr="0043550D">
        <w:rPr>
          <w:rFonts w:ascii="Calibri" w:eastAsia="Calibri" w:hAnsi="Calibri" w:cs="Calibri"/>
        </w:rPr>
        <w:t xml:space="preserve"> </w:t>
      </w:r>
      <w:r w:rsidR="007052E7" w:rsidRPr="0043550D">
        <w:rPr>
          <w:rFonts w:ascii="Calibri" w:eastAsia="Calibri" w:hAnsi="Calibri" w:cs="Calibri"/>
        </w:rPr>
        <w:t>However, few interventions have been tested clinically for effects on patients’ health,</w:t>
      </w:r>
      <w:r w:rsidR="0043550D">
        <w:rPr>
          <w:rFonts w:ascii="Calibri" w:eastAsia="Calibri" w:hAnsi="Calibri" w:cs="Calibri"/>
        </w:rPr>
        <w:t>[</w:t>
      </w:r>
      <w:r w:rsidR="000054DE" w:rsidRPr="0043550D">
        <w:rPr>
          <w:rFonts w:ascii="Calibri" w:eastAsia="Calibri" w:hAnsi="Calibri" w:cs="Calibri"/>
          <w:noProof/>
        </w:rPr>
        <w:t>29</w:t>
      </w:r>
      <w:r w:rsidR="0043550D">
        <w:rPr>
          <w:rFonts w:ascii="Calibri" w:eastAsia="Calibri" w:hAnsi="Calibri" w:cs="Calibri"/>
          <w:noProof/>
        </w:rPr>
        <w:t>]</w:t>
      </w:r>
      <w:r w:rsidR="007052E7" w:rsidRPr="0043550D">
        <w:rPr>
          <w:rFonts w:ascii="Calibri" w:eastAsia="Calibri" w:hAnsi="Calibri" w:cs="Calibri"/>
        </w:rPr>
        <w:t xml:space="preserve"> </w:t>
      </w:r>
      <w:r w:rsidR="00F83DF7" w:rsidRPr="0043550D">
        <w:rPr>
          <w:rFonts w:ascii="Calibri" w:eastAsia="Calibri" w:hAnsi="Calibri" w:cs="Calibri"/>
        </w:rPr>
        <w:t xml:space="preserve">have been </w:t>
      </w:r>
      <w:r w:rsidR="0055235A" w:rsidRPr="0043550D">
        <w:rPr>
          <w:rFonts w:ascii="Calibri" w:eastAsia="Calibri" w:hAnsi="Calibri" w:cs="Calibri"/>
        </w:rPr>
        <w:t xml:space="preserve">subjected to </w:t>
      </w:r>
      <w:r w:rsidR="00BE126C" w:rsidRPr="0043550D">
        <w:rPr>
          <w:rFonts w:ascii="Calibri" w:eastAsia="Calibri" w:hAnsi="Calibri" w:cs="Calibri"/>
        </w:rPr>
        <w:t>f</w:t>
      </w:r>
      <w:r w:rsidR="0055235A" w:rsidRPr="0043550D">
        <w:rPr>
          <w:rFonts w:ascii="Calibri" w:eastAsia="Calibri" w:hAnsi="Calibri" w:cs="Calibri"/>
        </w:rPr>
        <w:t>orm</w:t>
      </w:r>
      <w:r w:rsidR="00BE126C" w:rsidRPr="0043550D">
        <w:rPr>
          <w:rFonts w:ascii="Calibri" w:eastAsia="Calibri" w:hAnsi="Calibri" w:cs="Calibri"/>
        </w:rPr>
        <w:t xml:space="preserve">al </w:t>
      </w:r>
      <w:r w:rsidR="0055235A" w:rsidRPr="0043550D">
        <w:rPr>
          <w:rFonts w:ascii="Calibri" w:eastAsia="Calibri" w:hAnsi="Calibri" w:cs="Calibri"/>
        </w:rPr>
        <w:t>cost-effectiveness evaluations,</w:t>
      </w:r>
      <w:r w:rsidR="0043550D">
        <w:rPr>
          <w:rFonts w:ascii="Calibri" w:eastAsia="Calibri" w:hAnsi="Calibri" w:cs="Calibri"/>
        </w:rPr>
        <w:t>[</w:t>
      </w:r>
      <w:r w:rsidR="000054DE" w:rsidRPr="0043550D">
        <w:rPr>
          <w:rFonts w:ascii="Calibri" w:eastAsia="Calibri" w:hAnsi="Calibri" w:cs="Calibri"/>
          <w:noProof/>
        </w:rPr>
        <w:t>30</w:t>
      </w:r>
      <w:r w:rsidR="0043550D">
        <w:rPr>
          <w:rFonts w:ascii="Calibri" w:eastAsia="Calibri" w:hAnsi="Calibri" w:cs="Calibri"/>
          <w:noProof/>
        </w:rPr>
        <w:t>]</w:t>
      </w:r>
      <w:r w:rsidR="0055235A" w:rsidRPr="0043550D">
        <w:rPr>
          <w:rFonts w:ascii="Calibri" w:eastAsia="Calibri" w:hAnsi="Calibri" w:cs="Calibri"/>
        </w:rPr>
        <w:t xml:space="preserve"> </w:t>
      </w:r>
      <w:r w:rsidR="00E41570" w:rsidRPr="0043550D">
        <w:rPr>
          <w:rFonts w:ascii="Calibri" w:eastAsia="Calibri" w:hAnsi="Calibri" w:cs="Calibri"/>
        </w:rPr>
        <w:t xml:space="preserve">or </w:t>
      </w:r>
      <w:r w:rsidR="00F83DF7" w:rsidRPr="0043550D">
        <w:rPr>
          <w:rFonts w:ascii="Calibri" w:eastAsia="Calibri" w:hAnsi="Calibri" w:cs="Calibri"/>
        </w:rPr>
        <w:t xml:space="preserve">are </w:t>
      </w:r>
      <w:r w:rsidR="007052E7" w:rsidRPr="0043550D">
        <w:rPr>
          <w:rFonts w:ascii="Calibri" w:eastAsia="Calibri" w:hAnsi="Calibri" w:cs="Calibri"/>
        </w:rPr>
        <w:t xml:space="preserve">sufficiently </w:t>
      </w:r>
      <w:r w:rsidR="00F83DF7" w:rsidRPr="0043550D">
        <w:rPr>
          <w:rFonts w:ascii="Calibri" w:eastAsia="Calibri" w:hAnsi="Calibri" w:cs="Calibri"/>
        </w:rPr>
        <w:t xml:space="preserve">brief and </w:t>
      </w:r>
      <w:r w:rsidR="007052E7" w:rsidRPr="0043550D">
        <w:rPr>
          <w:rFonts w:ascii="Calibri" w:eastAsia="Calibri" w:hAnsi="Calibri" w:cs="Calibri"/>
        </w:rPr>
        <w:t>well</w:t>
      </w:r>
      <w:r w:rsidR="00A86885" w:rsidRPr="0043550D">
        <w:rPr>
          <w:rFonts w:ascii="Calibri" w:eastAsia="Calibri" w:hAnsi="Calibri" w:cs="Calibri"/>
        </w:rPr>
        <w:t>-</w:t>
      </w:r>
      <w:r w:rsidR="007052E7" w:rsidRPr="0043550D">
        <w:rPr>
          <w:rFonts w:ascii="Calibri" w:eastAsia="Calibri" w:hAnsi="Calibri" w:cs="Calibri"/>
        </w:rPr>
        <w:t xml:space="preserve">described to </w:t>
      </w:r>
      <w:r w:rsidR="00F57BA6" w:rsidRPr="0043550D">
        <w:rPr>
          <w:rFonts w:ascii="Calibri" w:eastAsia="Calibri" w:hAnsi="Calibri" w:cs="Calibri"/>
        </w:rPr>
        <w:t xml:space="preserve">facilitate </w:t>
      </w:r>
      <w:r w:rsidR="007052E7" w:rsidRPr="0043550D">
        <w:rPr>
          <w:rFonts w:ascii="Calibri" w:eastAsia="Calibri" w:hAnsi="Calibri" w:cs="Calibri"/>
        </w:rPr>
        <w:t xml:space="preserve">implementation in the current primary care climate. </w:t>
      </w:r>
      <w:r w:rsidR="00170899" w:rsidRPr="0043550D">
        <w:rPr>
          <w:rFonts w:ascii="Calibri" w:eastAsia="Calibri" w:hAnsi="Calibri" w:cs="Calibri"/>
        </w:rPr>
        <w:t xml:space="preserve">Our work </w:t>
      </w:r>
      <w:r w:rsidR="00281A23" w:rsidRPr="0043550D">
        <w:rPr>
          <w:rFonts w:ascii="Calibri" w:eastAsia="Calibri" w:hAnsi="Calibri" w:cs="Calibri"/>
        </w:rPr>
        <w:t xml:space="preserve">aims to </w:t>
      </w:r>
      <w:r w:rsidR="00170899" w:rsidRPr="0043550D">
        <w:rPr>
          <w:rFonts w:ascii="Calibri" w:eastAsia="Calibri" w:hAnsi="Calibri" w:cs="Calibri"/>
        </w:rPr>
        <w:t>address these limitations</w:t>
      </w:r>
      <w:r w:rsidR="000B35DF" w:rsidRPr="0043550D">
        <w:rPr>
          <w:rFonts w:ascii="Calibri" w:eastAsia="Calibri" w:hAnsi="Calibri" w:cs="Calibri"/>
        </w:rPr>
        <w:t>.</w:t>
      </w:r>
      <w:r w:rsidR="00382189" w:rsidRPr="0043550D">
        <w:rPr>
          <w:rFonts w:ascii="Calibri" w:eastAsia="Calibri" w:hAnsi="Calibri" w:cs="Calibri"/>
        </w:rPr>
        <w:t xml:space="preserve"> </w:t>
      </w:r>
      <w:r w:rsidR="000B35DF" w:rsidRPr="0043550D">
        <w:rPr>
          <w:rFonts w:ascii="Calibri" w:eastAsia="Calibri" w:hAnsi="Calibri" w:cs="Calibri"/>
        </w:rPr>
        <w:t>W</w:t>
      </w:r>
      <w:r w:rsidR="00382189" w:rsidRPr="0043550D">
        <w:rPr>
          <w:rFonts w:ascii="Calibri" w:eastAsia="Calibri" w:hAnsi="Calibri" w:cs="Calibri"/>
        </w:rPr>
        <w:t xml:space="preserve">e are </w:t>
      </w:r>
      <w:r w:rsidR="008404F5" w:rsidRPr="0043550D">
        <w:rPr>
          <w:rFonts w:ascii="Calibri" w:eastAsia="Calibri" w:hAnsi="Calibri" w:cs="Calibri"/>
        </w:rPr>
        <w:t xml:space="preserve">evaluating </w:t>
      </w:r>
      <w:r w:rsidR="000B35DF" w:rsidRPr="0043550D">
        <w:rPr>
          <w:rFonts w:ascii="Calibri" w:eastAsia="Calibri" w:hAnsi="Calibri" w:cs="Calibri"/>
        </w:rPr>
        <w:t xml:space="preserve">the effects on patients’ health of </w:t>
      </w:r>
      <w:r w:rsidR="007052E7" w:rsidRPr="0043550D">
        <w:rPr>
          <w:rFonts w:ascii="Calibri" w:eastAsia="Calibri" w:hAnsi="Calibri" w:cs="Calibri"/>
        </w:rPr>
        <w:t xml:space="preserve">brief, </w:t>
      </w:r>
      <w:r w:rsidR="000B35DF" w:rsidRPr="0043550D">
        <w:rPr>
          <w:rFonts w:ascii="Calibri" w:eastAsia="Calibri" w:hAnsi="Calibri" w:cs="Calibri"/>
        </w:rPr>
        <w:t xml:space="preserve">evidence-based, </w:t>
      </w:r>
      <w:r w:rsidR="00D5352C" w:rsidRPr="0043550D">
        <w:rPr>
          <w:rFonts w:ascii="Calibri" w:eastAsia="Calibri" w:hAnsi="Calibri" w:cs="Calibri"/>
        </w:rPr>
        <w:t xml:space="preserve">online </w:t>
      </w:r>
      <w:r w:rsidR="007052E7" w:rsidRPr="0043550D">
        <w:rPr>
          <w:rFonts w:ascii="Calibri" w:eastAsia="Calibri" w:hAnsi="Calibri" w:cs="Calibri"/>
        </w:rPr>
        <w:t xml:space="preserve">training </w:t>
      </w:r>
      <w:r w:rsidR="00744040" w:rsidRPr="0043550D">
        <w:rPr>
          <w:rFonts w:ascii="Calibri" w:eastAsia="Calibri" w:hAnsi="Calibri" w:cs="Calibri"/>
        </w:rPr>
        <w:t xml:space="preserve">to </w:t>
      </w:r>
      <w:r w:rsidR="00CB0195" w:rsidRPr="0043550D">
        <w:rPr>
          <w:rFonts w:ascii="Calibri" w:eastAsia="Calibri" w:hAnsi="Calibri" w:cs="Calibri"/>
        </w:rPr>
        <w:t>enhance practitioners’ communication of clinical empathy and realistic optimism</w:t>
      </w:r>
      <w:r w:rsidR="002C3063" w:rsidRPr="0043550D">
        <w:rPr>
          <w:rFonts w:ascii="Calibri" w:eastAsia="Calibri" w:hAnsi="Calibri" w:cs="Calibri"/>
        </w:rPr>
        <w:t xml:space="preserve"> within everyday clinical consultations</w:t>
      </w:r>
      <w:r w:rsidR="00744040" w:rsidRPr="0043550D">
        <w:rPr>
          <w:rFonts w:ascii="Calibri" w:eastAsia="Calibri" w:hAnsi="Calibri" w:cs="Calibri"/>
        </w:rPr>
        <w:t xml:space="preserve"> </w:t>
      </w:r>
      <w:r w:rsidR="005B02F2" w:rsidRPr="0043550D">
        <w:rPr>
          <w:rFonts w:ascii="Calibri" w:eastAsia="Calibri" w:hAnsi="Calibri" w:cs="Calibri"/>
        </w:rPr>
        <w:t>(“</w:t>
      </w:r>
      <w:r w:rsidR="005B02F2" w:rsidRPr="0043550D">
        <w:t>EMPathicO”</w:t>
      </w:r>
      <w:r w:rsidR="005B02F2" w:rsidRPr="0043550D">
        <w:rPr>
          <w:rFonts w:ascii="Calibri" w:eastAsia="Calibri" w:hAnsi="Calibri" w:cs="Calibri"/>
        </w:rPr>
        <w:t>)</w:t>
      </w:r>
      <w:r w:rsidR="00CD1647" w:rsidRPr="0043550D">
        <w:rPr>
          <w:rFonts w:ascii="Calibri" w:eastAsia="Calibri" w:hAnsi="Calibri" w:cs="Calibri"/>
        </w:rPr>
        <w:t xml:space="preserve">. </w:t>
      </w:r>
    </w:p>
    <w:p w14:paraId="65C8E9E3" w14:textId="77777777" w:rsidR="00AC7842" w:rsidRPr="00FD6BF4" w:rsidRDefault="00AC7842" w:rsidP="00AC7842">
      <w:pPr>
        <w:spacing w:after="0"/>
      </w:pPr>
    </w:p>
    <w:p w14:paraId="4646562C" w14:textId="753F5ABE" w:rsidR="00D02C08" w:rsidRDefault="004E1A51" w:rsidP="004E1A51">
      <w:pPr>
        <w:pStyle w:val="Heading2"/>
      </w:pPr>
      <w:r>
        <w:t>Aims and Objectives</w:t>
      </w:r>
    </w:p>
    <w:p w14:paraId="52D128EA" w14:textId="05FC18BC" w:rsidR="006233A1" w:rsidRDefault="0010301F" w:rsidP="00CA087A">
      <w:pPr>
        <w:rPr>
          <w:rFonts w:cstheme="minorHAnsi"/>
          <w:bCs/>
          <w:spacing w:val="2"/>
        </w:rPr>
      </w:pPr>
      <w:r>
        <w:rPr>
          <w:rFonts w:cstheme="minorHAnsi"/>
          <w:bCs/>
          <w:spacing w:val="2"/>
        </w:rPr>
        <w:t>The primary objective is t</w:t>
      </w:r>
      <w:r w:rsidR="00074AE3">
        <w:rPr>
          <w:rFonts w:cstheme="minorHAnsi"/>
          <w:bCs/>
          <w:spacing w:val="2"/>
        </w:rPr>
        <w:t>o d</w:t>
      </w:r>
      <w:r w:rsidR="0003455B" w:rsidRPr="00074AE3">
        <w:rPr>
          <w:rFonts w:cstheme="minorHAnsi"/>
          <w:bCs/>
          <w:spacing w:val="2"/>
        </w:rPr>
        <w:t xml:space="preserve">etermine </w:t>
      </w:r>
      <w:r w:rsidR="0003455B" w:rsidRPr="00074AE3">
        <w:rPr>
          <w:rFonts w:cstheme="minorHAnsi"/>
          <w:iCs/>
        </w:rPr>
        <w:t>EMPathicO</w:t>
      </w:r>
      <w:r w:rsidR="00D028AF">
        <w:rPr>
          <w:rFonts w:cstheme="minorHAnsi"/>
          <w:iCs/>
        </w:rPr>
        <w:t>’s effects</w:t>
      </w:r>
      <w:r w:rsidR="0003455B" w:rsidRPr="00074AE3">
        <w:rPr>
          <w:rFonts w:cstheme="minorHAnsi"/>
          <w:iCs/>
        </w:rPr>
        <w:t xml:space="preserve"> </w:t>
      </w:r>
      <w:r w:rsidR="0003455B" w:rsidRPr="00074AE3">
        <w:rPr>
          <w:rFonts w:cstheme="minorHAnsi"/>
          <w:bCs/>
          <w:spacing w:val="2"/>
        </w:rPr>
        <w:t xml:space="preserve">on (a) patient-reported pain and (b) patient enablement </w:t>
      </w:r>
      <w:r w:rsidR="00682C9D">
        <w:rPr>
          <w:rFonts w:cstheme="minorHAnsi"/>
          <w:bCs/>
          <w:spacing w:val="2"/>
        </w:rPr>
        <w:t xml:space="preserve">via </w:t>
      </w:r>
      <w:r w:rsidR="0003455B" w:rsidRPr="00074AE3">
        <w:rPr>
          <w:rFonts w:cstheme="minorHAnsi"/>
          <w:bCs/>
          <w:spacing w:val="2"/>
        </w:rPr>
        <w:t xml:space="preserve">repeated measures over 6 months following the index consultation, in patients presenting with </w:t>
      </w:r>
      <w:r w:rsidR="00741E2E">
        <w:rPr>
          <w:rFonts w:cstheme="minorHAnsi"/>
          <w:bCs/>
          <w:spacing w:val="2"/>
        </w:rPr>
        <w:t>musculoskeletal</w:t>
      </w:r>
      <w:r w:rsidR="0003455B" w:rsidRPr="00074AE3">
        <w:rPr>
          <w:rFonts w:cstheme="minorHAnsi"/>
          <w:bCs/>
          <w:spacing w:val="2"/>
        </w:rPr>
        <w:t xml:space="preserve"> pain</w:t>
      </w:r>
      <w:r w:rsidR="00022AA4">
        <w:rPr>
          <w:rFonts w:cstheme="minorHAnsi"/>
          <w:bCs/>
          <w:spacing w:val="2"/>
        </w:rPr>
        <w:t>, compared to usual care control</w:t>
      </w:r>
      <w:r w:rsidR="0003455B" w:rsidRPr="00074AE3">
        <w:rPr>
          <w:rFonts w:cstheme="minorHAnsi"/>
          <w:bCs/>
          <w:spacing w:val="2"/>
        </w:rPr>
        <w:t>.</w:t>
      </w:r>
    </w:p>
    <w:p w14:paraId="2D7FA3F7" w14:textId="54243FA4" w:rsidR="00766E65" w:rsidRPr="0043550D" w:rsidRDefault="00766E65" w:rsidP="00CA087A">
      <w:pPr>
        <w:rPr>
          <w:rFonts w:cstheme="minorHAnsi"/>
          <w:bCs/>
        </w:rPr>
      </w:pPr>
      <w:r w:rsidRPr="0043550D">
        <w:rPr>
          <w:rFonts w:cstheme="minorHAnsi"/>
          <w:bCs/>
        </w:rPr>
        <w:t xml:space="preserve">This clinical focus on </w:t>
      </w:r>
      <w:r w:rsidR="00AC3FF6" w:rsidRPr="0043550D">
        <w:rPr>
          <w:rFonts w:cstheme="minorHAnsi"/>
          <w:bCs/>
        </w:rPr>
        <w:t xml:space="preserve">musculoskeletal pain </w:t>
      </w:r>
      <w:r w:rsidRPr="0043550D">
        <w:rPr>
          <w:rFonts w:cstheme="minorHAnsi"/>
          <w:bCs/>
        </w:rPr>
        <w:t xml:space="preserve">was chosen </w:t>
      </w:r>
      <w:r w:rsidR="00AC3FF6" w:rsidRPr="0043550D">
        <w:rPr>
          <w:rFonts w:cstheme="minorHAnsi"/>
          <w:bCs/>
        </w:rPr>
        <w:t xml:space="preserve">to align with the </w:t>
      </w:r>
      <w:r w:rsidR="00AC3FF6" w:rsidRPr="0043550D">
        <w:t>EMPathicO</w:t>
      </w:r>
      <w:r w:rsidR="00AC3FF6" w:rsidRPr="0043550D">
        <w:rPr>
          <w:rFonts w:cstheme="minorHAnsi"/>
          <w:bCs/>
        </w:rPr>
        <w:t xml:space="preserve"> training, which includes </w:t>
      </w:r>
      <w:r w:rsidR="0068536B" w:rsidRPr="0043550D">
        <w:rPr>
          <w:rFonts w:cstheme="minorHAnsi"/>
          <w:bCs/>
        </w:rPr>
        <w:t>modules on clinical empathy, realistic optimism, and how to communicate these better in the context of consultations for osteoarthritis.  Including a condition-specific module permitted clear demonstration of communication skills in a particular context</w:t>
      </w:r>
      <w:r w:rsidR="001B65A9" w:rsidRPr="0043550D">
        <w:rPr>
          <w:rFonts w:cstheme="minorHAnsi"/>
          <w:bCs/>
        </w:rPr>
        <w:t xml:space="preserve">, </w:t>
      </w:r>
      <w:r w:rsidR="00DD07CE" w:rsidRPr="0043550D">
        <w:rPr>
          <w:rFonts w:cstheme="minorHAnsi"/>
          <w:bCs/>
        </w:rPr>
        <w:t xml:space="preserve">which made </w:t>
      </w:r>
      <w:r w:rsidR="001B65A9" w:rsidRPr="0043550D">
        <w:rPr>
          <w:rFonts w:cstheme="minorHAnsi"/>
          <w:bCs/>
        </w:rPr>
        <w:t xml:space="preserve">the training </w:t>
      </w:r>
      <w:r w:rsidR="00491182" w:rsidRPr="0043550D">
        <w:rPr>
          <w:rFonts w:cstheme="minorHAnsi"/>
          <w:bCs/>
        </w:rPr>
        <w:t xml:space="preserve">better targeted </w:t>
      </w:r>
      <w:r w:rsidR="007543D6" w:rsidRPr="0043550D">
        <w:rPr>
          <w:rFonts w:cstheme="minorHAnsi"/>
          <w:bCs/>
        </w:rPr>
        <w:t>and potentially more effective</w:t>
      </w:r>
      <w:r w:rsidR="00717C58" w:rsidRPr="0043550D">
        <w:rPr>
          <w:rFonts w:cstheme="minorHAnsi"/>
          <w:bCs/>
        </w:rPr>
        <w:t>.</w:t>
      </w:r>
      <w:r w:rsidR="0043550D">
        <w:rPr>
          <w:rFonts w:cstheme="minorHAnsi"/>
          <w:bCs/>
        </w:rPr>
        <w:t>[</w:t>
      </w:r>
      <w:r w:rsidR="009D70E7" w:rsidRPr="0043550D">
        <w:rPr>
          <w:rFonts w:cstheme="minorHAnsi"/>
          <w:bCs/>
          <w:noProof/>
        </w:rPr>
        <w:t>31</w:t>
      </w:r>
      <w:r w:rsidR="0043550D">
        <w:rPr>
          <w:rFonts w:cstheme="minorHAnsi"/>
          <w:bCs/>
          <w:noProof/>
        </w:rPr>
        <w:t>]</w:t>
      </w:r>
      <w:r w:rsidR="00717C58" w:rsidRPr="0043550D">
        <w:rPr>
          <w:rFonts w:cstheme="minorHAnsi"/>
          <w:bCs/>
        </w:rPr>
        <w:t xml:space="preserve">  </w:t>
      </w:r>
      <w:r w:rsidR="00CA6FFE" w:rsidRPr="0043550D">
        <w:rPr>
          <w:rFonts w:cstheme="minorHAnsi"/>
          <w:bCs/>
        </w:rPr>
        <w:t>A painful m</w:t>
      </w:r>
      <w:r w:rsidR="00717C58" w:rsidRPr="0043550D">
        <w:rPr>
          <w:rFonts w:cstheme="minorHAnsi"/>
          <w:bCs/>
        </w:rPr>
        <w:t xml:space="preserve">usculoskeletal </w:t>
      </w:r>
      <w:r w:rsidR="00CA6FFE" w:rsidRPr="0043550D">
        <w:rPr>
          <w:rFonts w:cstheme="minorHAnsi"/>
          <w:bCs/>
        </w:rPr>
        <w:t xml:space="preserve">condition </w:t>
      </w:r>
      <w:r w:rsidR="00817FE2" w:rsidRPr="0043550D">
        <w:rPr>
          <w:rFonts w:cstheme="minorHAnsi"/>
          <w:bCs/>
        </w:rPr>
        <w:t xml:space="preserve">was chosen because </w:t>
      </w:r>
      <w:r w:rsidRPr="0043550D">
        <w:rPr>
          <w:rFonts w:cstheme="minorHAnsi"/>
          <w:bCs/>
        </w:rPr>
        <w:t xml:space="preserve">much (but not all) of the evidence that underpins the importance of clinical empathy and realistic optimism for patient outcomes is derived </w:t>
      </w:r>
      <w:r w:rsidRPr="0043550D">
        <w:rPr>
          <w:rFonts w:cstheme="minorHAnsi"/>
          <w:bCs/>
        </w:rPr>
        <w:lastRenderedPageBreak/>
        <w:t>from studies of pain and painful conditions</w:t>
      </w:r>
      <w:r w:rsidR="00CA6FFE" w:rsidRPr="0043550D">
        <w:rPr>
          <w:rFonts w:cstheme="minorHAnsi"/>
          <w:bCs/>
        </w:rPr>
        <w:t xml:space="preserve">; osteoarthritis was chosen because it is a </w:t>
      </w:r>
      <w:r w:rsidR="002F1039" w:rsidRPr="0043550D">
        <w:rPr>
          <w:rFonts w:cstheme="minorHAnsi"/>
          <w:bCs/>
        </w:rPr>
        <w:t xml:space="preserve">prevalent </w:t>
      </w:r>
      <w:r w:rsidR="00CA6FFE" w:rsidRPr="0043550D">
        <w:rPr>
          <w:rFonts w:cstheme="minorHAnsi"/>
          <w:bCs/>
        </w:rPr>
        <w:t>painful musculoskeletal condition in primary care</w:t>
      </w:r>
      <w:r w:rsidRPr="0043550D">
        <w:rPr>
          <w:rFonts w:cstheme="minorHAnsi"/>
          <w:bCs/>
        </w:rPr>
        <w:t xml:space="preserve">. </w:t>
      </w:r>
    </w:p>
    <w:p w14:paraId="141BDEFB" w14:textId="7DD1126C" w:rsidR="0010301F" w:rsidRPr="008E2314" w:rsidRDefault="0010301F" w:rsidP="00CA087A">
      <w:pPr>
        <w:rPr>
          <w:rFonts w:cstheme="minorHAnsi"/>
          <w:bCs/>
        </w:rPr>
      </w:pPr>
      <w:r w:rsidRPr="008E2314">
        <w:rPr>
          <w:rFonts w:cstheme="minorHAnsi"/>
          <w:bCs/>
        </w:rPr>
        <w:t>Secondary object</w:t>
      </w:r>
      <w:r w:rsidR="008E2314" w:rsidRPr="008E2314">
        <w:rPr>
          <w:rFonts w:cstheme="minorHAnsi"/>
          <w:bCs/>
        </w:rPr>
        <w:t>ives are:</w:t>
      </w:r>
    </w:p>
    <w:p w14:paraId="12688104" w14:textId="09CEF2CB" w:rsidR="00541DA9" w:rsidRPr="00CA087A" w:rsidRDefault="00541DA9" w:rsidP="00CA087A">
      <w:pPr>
        <w:pStyle w:val="ListParagraph"/>
        <w:numPr>
          <w:ilvl w:val="0"/>
          <w:numId w:val="27"/>
        </w:numPr>
        <w:rPr>
          <w:rFonts w:asciiTheme="minorHAnsi" w:hAnsiTheme="minorHAnsi" w:cstheme="minorHAnsi"/>
          <w:bCs/>
          <w:spacing w:val="2"/>
          <w:sz w:val="22"/>
          <w:szCs w:val="22"/>
        </w:rPr>
      </w:pPr>
      <w:r w:rsidRPr="00CA087A">
        <w:rPr>
          <w:rFonts w:asciiTheme="minorHAnsi" w:hAnsiTheme="minorHAnsi" w:cstheme="minorHAnsi"/>
          <w:bCs/>
          <w:spacing w:val="2"/>
          <w:sz w:val="22"/>
          <w:szCs w:val="22"/>
        </w:rPr>
        <w:t xml:space="preserve">To </w:t>
      </w:r>
      <w:r w:rsidR="0003455B" w:rsidRPr="00CA087A">
        <w:rPr>
          <w:rFonts w:asciiTheme="minorHAnsi" w:hAnsiTheme="minorHAnsi" w:cstheme="minorHAnsi"/>
          <w:bCs/>
          <w:spacing w:val="2"/>
          <w:sz w:val="22"/>
          <w:szCs w:val="22"/>
        </w:rPr>
        <w:t xml:space="preserve">estimate </w:t>
      </w:r>
      <w:r w:rsidR="00303DA2" w:rsidRPr="00CA087A">
        <w:rPr>
          <w:rFonts w:asciiTheme="minorHAnsi" w:hAnsiTheme="minorHAnsi" w:cstheme="minorHAnsi"/>
          <w:bCs/>
          <w:spacing w:val="2"/>
          <w:sz w:val="22"/>
          <w:szCs w:val="22"/>
        </w:rPr>
        <w:t>EMPathicO</w:t>
      </w:r>
      <w:r w:rsidR="00303DA2">
        <w:rPr>
          <w:rFonts w:asciiTheme="minorHAnsi" w:hAnsiTheme="minorHAnsi" w:cstheme="minorHAnsi"/>
          <w:bCs/>
          <w:spacing w:val="2"/>
          <w:sz w:val="22"/>
          <w:szCs w:val="22"/>
        </w:rPr>
        <w:t xml:space="preserve">’s </w:t>
      </w:r>
      <w:r w:rsidR="0003455B" w:rsidRPr="00CA087A">
        <w:rPr>
          <w:rFonts w:asciiTheme="minorHAnsi" w:hAnsiTheme="minorHAnsi" w:cstheme="minorHAnsi"/>
          <w:bCs/>
          <w:spacing w:val="2"/>
          <w:sz w:val="22"/>
          <w:szCs w:val="22"/>
        </w:rPr>
        <w:t xml:space="preserve">cost-effectiveness </w:t>
      </w:r>
      <w:r w:rsidR="00D13C5E">
        <w:rPr>
          <w:rFonts w:asciiTheme="minorHAnsi" w:hAnsiTheme="minorHAnsi" w:cstheme="minorHAnsi"/>
          <w:bCs/>
          <w:spacing w:val="2"/>
          <w:sz w:val="22"/>
          <w:szCs w:val="22"/>
        </w:rPr>
        <w:t xml:space="preserve">and </w:t>
      </w:r>
      <w:r w:rsidR="00D13C5E" w:rsidRPr="00CA087A">
        <w:rPr>
          <w:rFonts w:asciiTheme="minorHAnsi" w:hAnsiTheme="minorHAnsi" w:cstheme="minorHAnsi"/>
          <w:bCs/>
          <w:spacing w:val="2"/>
          <w:sz w:val="22"/>
          <w:szCs w:val="22"/>
        </w:rPr>
        <w:t>effects on patient-reported quality of life and other secondary outcome</w:t>
      </w:r>
      <w:r w:rsidR="00303DA2">
        <w:rPr>
          <w:rFonts w:asciiTheme="minorHAnsi" w:hAnsiTheme="minorHAnsi" w:cstheme="minorHAnsi"/>
          <w:bCs/>
          <w:spacing w:val="2"/>
          <w:sz w:val="22"/>
          <w:szCs w:val="22"/>
        </w:rPr>
        <w:t>s</w:t>
      </w:r>
      <w:r w:rsidR="0003455B" w:rsidRPr="00CA087A">
        <w:rPr>
          <w:rFonts w:asciiTheme="minorHAnsi" w:hAnsiTheme="minorHAnsi" w:cstheme="minorHAnsi"/>
          <w:bCs/>
          <w:spacing w:val="2"/>
          <w:sz w:val="22"/>
          <w:szCs w:val="22"/>
        </w:rPr>
        <w:t>, over 6 months f</w:t>
      </w:r>
      <w:r w:rsidR="00661CB4" w:rsidRPr="00CA087A">
        <w:rPr>
          <w:rFonts w:asciiTheme="minorHAnsi" w:hAnsiTheme="minorHAnsi" w:cstheme="minorHAnsi"/>
          <w:bCs/>
          <w:spacing w:val="2"/>
          <w:sz w:val="22"/>
          <w:szCs w:val="22"/>
        </w:rPr>
        <w:t>rom</w:t>
      </w:r>
      <w:r w:rsidR="0003455B" w:rsidRPr="00CA087A">
        <w:rPr>
          <w:rFonts w:asciiTheme="minorHAnsi" w:hAnsiTheme="minorHAnsi" w:cstheme="minorHAnsi"/>
          <w:bCs/>
          <w:spacing w:val="2"/>
          <w:sz w:val="22"/>
          <w:szCs w:val="22"/>
        </w:rPr>
        <w:t xml:space="preserve"> index consultation, </w:t>
      </w:r>
      <w:r w:rsidR="00303DA2">
        <w:rPr>
          <w:rFonts w:asciiTheme="minorHAnsi" w:hAnsiTheme="minorHAnsi" w:cstheme="minorHAnsi"/>
          <w:bCs/>
          <w:spacing w:val="2"/>
          <w:sz w:val="22"/>
          <w:szCs w:val="22"/>
        </w:rPr>
        <w:t xml:space="preserve">in </w:t>
      </w:r>
      <w:r w:rsidR="0003455B" w:rsidRPr="00CA087A">
        <w:rPr>
          <w:rFonts w:asciiTheme="minorHAnsi" w:hAnsiTheme="minorHAnsi" w:cstheme="minorHAnsi"/>
          <w:bCs/>
          <w:spacing w:val="2"/>
          <w:sz w:val="22"/>
          <w:szCs w:val="22"/>
        </w:rPr>
        <w:t xml:space="preserve">patients with </w:t>
      </w:r>
      <w:r w:rsidR="00741E2E">
        <w:rPr>
          <w:rFonts w:asciiTheme="minorHAnsi" w:hAnsiTheme="minorHAnsi" w:cstheme="minorHAnsi"/>
          <w:bCs/>
          <w:spacing w:val="2"/>
          <w:sz w:val="22"/>
          <w:szCs w:val="22"/>
        </w:rPr>
        <w:t>musculoskeletal</w:t>
      </w:r>
      <w:r w:rsidR="0003455B" w:rsidRPr="00CA087A">
        <w:rPr>
          <w:rFonts w:asciiTheme="minorHAnsi" w:hAnsiTheme="minorHAnsi" w:cstheme="minorHAnsi"/>
          <w:bCs/>
          <w:spacing w:val="2"/>
          <w:sz w:val="22"/>
          <w:szCs w:val="22"/>
        </w:rPr>
        <w:t xml:space="preserve"> pain.</w:t>
      </w:r>
    </w:p>
    <w:p w14:paraId="72619CDA" w14:textId="276C35A7" w:rsidR="0003455B" w:rsidRPr="00CA087A" w:rsidRDefault="0092456E" w:rsidP="00CA087A">
      <w:pPr>
        <w:pStyle w:val="ListParagraph"/>
        <w:numPr>
          <w:ilvl w:val="0"/>
          <w:numId w:val="27"/>
        </w:numPr>
        <w:rPr>
          <w:rFonts w:asciiTheme="minorHAnsi" w:hAnsiTheme="minorHAnsi" w:cstheme="minorHAnsi"/>
          <w:bCs/>
          <w:spacing w:val="2"/>
          <w:sz w:val="22"/>
          <w:szCs w:val="22"/>
        </w:rPr>
      </w:pPr>
      <w:r w:rsidRPr="00CA087A">
        <w:rPr>
          <w:rFonts w:asciiTheme="minorHAnsi" w:hAnsiTheme="minorHAnsi" w:cstheme="minorHAnsi"/>
          <w:bCs/>
          <w:spacing w:val="2"/>
          <w:sz w:val="22"/>
          <w:szCs w:val="22"/>
        </w:rPr>
        <w:t>To t</w:t>
      </w:r>
      <w:r w:rsidR="0003455B" w:rsidRPr="00CA087A">
        <w:rPr>
          <w:rFonts w:asciiTheme="minorHAnsi" w:hAnsiTheme="minorHAnsi" w:cstheme="minorHAnsi"/>
          <w:bCs/>
          <w:spacing w:val="2"/>
          <w:sz w:val="22"/>
          <w:szCs w:val="22"/>
        </w:rPr>
        <w:t>est hypothesi</w:t>
      </w:r>
      <w:r w:rsidR="009C77C5">
        <w:rPr>
          <w:rFonts w:asciiTheme="minorHAnsi" w:hAnsiTheme="minorHAnsi" w:cstheme="minorHAnsi"/>
          <w:bCs/>
          <w:spacing w:val="2"/>
          <w:sz w:val="22"/>
          <w:szCs w:val="22"/>
        </w:rPr>
        <w:t>s</w:t>
      </w:r>
      <w:r w:rsidR="0003455B" w:rsidRPr="00CA087A">
        <w:rPr>
          <w:rFonts w:asciiTheme="minorHAnsi" w:hAnsiTheme="minorHAnsi" w:cstheme="minorHAnsi"/>
          <w:bCs/>
          <w:spacing w:val="2"/>
          <w:sz w:val="22"/>
          <w:szCs w:val="22"/>
        </w:rPr>
        <w:t>ed mechanisms of action.</w:t>
      </w:r>
    </w:p>
    <w:p w14:paraId="0A6151B3" w14:textId="30EA8DCD" w:rsidR="00252628" w:rsidRPr="00CA087A" w:rsidRDefault="00694D71" w:rsidP="00CA087A">
      <w:pPr>
        <w:pStyle w:val="ListParagraph"/>
        <w:numPr>
          <w:ilvl w:val="0"/>
          <w:numId w:val="27"/>
        </w:numPr>
        <w:rPr>
          <w:rFonts w:asciiTheme="minorHAnsi" w:hAnsiTheme="minorHAnsi" w:cstheme="minorHAnsi"/>
          <w:sz w:val="22"/>
          <w:szCs w:val="22"/>
        </w:rPr>
      </w:pPr>
      <w:r w:rsidRPr="00CA087A">
        <w:rPr>
          <w:rFonts w:asciiTheme="minorHAnsi" w:hAnsiTheme="minorHAnsi" w:cstheme="minorHAnsi"/>
          <w:sz w:val="22"/>
          <w:szCs w:val="22"/>
        </w:rPr>
        <w:t>T</w:t>
      </w:r>
      <w:r w:rsidR="0003455B" w:rsidRPr="00CA087A">
        <w:rPr>
          <w:rFonts w:asciiTheme="minorHAnsi" w:hAnsiTheme="minorHAnsi" w:cstheme="minorHAnsi"/>
          <w:sz w:val="22"/>
          <w:szCs w:val="22"/>
        </w:rPr>
        <w:t xml:space="preserve">o explore </w:t>
      </w:r>
      <w:r w:rsidR="0003455B" w:rsidRPr="00CA087A">
        <w:rPr>
          <w:rFonts w:asciiTheme="minorHAnsi" w:hAnsiTheme="minorHAnsi" w:cstheme="minorHAnsi"/>
          <w:iCs/>
          <w:sz w:val="22"/>
          <w:szCs w:val="22"/>
        </w:rPr>
        <w:t xml:space="preserve">EMPathicO’s </w:t>
      </w:r>
      <w:r w:rsidR="0003455B" w:rsidRPr="00CA087A">
        <w:rPr>
          <w:rFonts w:asciiTheme="minorHAnsi" w:hAnsiTheme="minorHAnsi" w:cstheme="minorHAnsi"/>
          <w:sz w:val="22"/>
          <w:szCs w:val="22"/>
        </w:rPr>
        <w:t xml:space="preserve">potential </w:t>
      </w:r>
      <w:r w:rsidR="008662C2">
        <w:rPr>
          <w:rFonts w:asciiTheme="minorHAnsi" w:hAnsiTheme="minorHAnsi" w:cstheme="minorHAnsi"/>
          <w:sz w:val="22"/>
          <w:szCs w:val="22"/>
        </w:rPr>
        <w:t xml:space="preserve">for </w:t>
      </w:r>
      <w:r w:rsidR="00141369">
        <w:rPr>
          <w:rFonts w:asciiTheme="minorHAnsi" w:hAnsiTheme="minorHAnsi" w:cstheme="minorHAnsi"/>
          <w:sz w:val="22"/>
          <w:szCs w:val="22"/>
        </w:rPr>
        <w:t>implementation</w:t>
      </w:r>
      <w:r w:rsidR="00377D6C" w:rsidRPr="00CA087A">
        <w:rPr>
          <w:rFonts w:asciiTheme="minorHAnsi" w:hAnsiTheme="minorHAnsi" w:cstheme="minorHAnsi"/>
          <w:sz w:val="22"/>
          <w:szCs w:val="22"/>
        </w:rPr>
        <w:t>, by:</w:t>
      </w:r>
    </w:p>
    <w:p w14:paraId="3E3A57C3" w14:textId="66FCFBA4" w:rsidR="00252628" w:rsidRPr="00CA087A" w:rsidRDefault="00377D6C" w:rsidP="00CA087A">
      <w:pPr>
        <w:pStyle w:val="ListParagraph"/>
        <w:numPr>
          <w:ilvl w:val="1"/>
          <w:numId w:val="27"/>
        </w:numPr>
        <w:rPr>
          <w:rFonts w:asciiTheme="minorHAnsi" w:hAnsiTheme="minorHAnsi" w:cstheme="minorHAnsi"/>
          <w:bCs/>
          <w:spacing w:val="2"/>
          <w:sz w:val="22"/>
          <w:szCs w:val="22"/>
        </w:rPr>
      </w:pPr>
      <w:r w:rsidRPr="00CA087A">
        <w:rPr>
          <w:rFonts w:asciiTheme="minorHAnsi" w:hAnsiTheme="minorHAnsi" w:cstheme="minorHAnsi"/>
          <w:bCs/>
          <w:spacing w:val="2"/>
          <w:sz w:val="22"/>
          <w:szCs w:val="22"/>
        </w:rPr>
        <w:t xml:space="preserve">Determining </w:t>
      </w:r>
      <w:r w:rsidR="0003455B" w:rsidRPr="00CA087A">
        <w:rPr>
          <w:rFonts w:asciiTheme="minorHAnsi" w:hAnsiTheme="minorHAnsi" w:cstheme="minorHAnsi"/>
          <w:iCs/>
          <w:sz w:val="22"/>
          <w:szCs w:val="22"/>
        </w:rPr>
        <w:t>EMPathicO</w:t>
      </w:r>
      <w:r w:rsidR="00797269">
        <w:rPr>
          <w:rFonts w:asciiTheme="minorHAnsi" w:hAnsiTheme="minorHAnsi" w:cstheme="minorHAnsi"/>
          <w:iCs/>
          <w:sz w:val="22"/>
          <w:szCs w:val="22"/>
        </w:rPr>
        <w:t>’s effects</w:t>
      </w:r>
      <w:r w:rsidR="0003455B" w:rsidRPr="00CA087A">
        <w:rPr>
          <w:rFonts w:asciiTheme="minorHAnsi" w:hAnsiTheme="minorHAnsi" w:cstheme="minorHAnsi"/>
          <w:iCs/>
          <w:sz w:val="22"/>
          <w:szCs w:val="22"/>
        </w:rPr>
        <w:t xml:space="preserve"> </w:t>
      </w:r>
      <w:r w:rsidR="0003455B" w:rsidRPr="00CA087A">
        <w:rPr>
          <w:rFonts w:asciiTheme="minorHAnsi" w:hAnsiTheme="minorHAnsi" w:cstheme="minorHAnsi"/>
          <w:bCs/>
          <w:spacing w:val="2"/>
          <w:sz w:val="22"/>
          <w:szCs w:val="22"/>
        </w:rPr>
        <w:t xml:space="preserve">on patient enablement, patient-reported quality of life and other secondary outcomes </w:t>
      </w:r>
      <w:r w:rsidR="005B7A3B">
        <w:rPr>
          <w:rFonts w:asciiTheme="minorHAnsi" w:hAnsiTheme="minorHAnsi" w:cstheme="minorHAnsi"/>
          <w:bCs/>
          <w:spacing w:val="2"/>
          <w:sz w:val="22"/>
          <w:szCs w:val="22"/>
        </w:rPr>
        <w:t xml:space="preserve">over </w:t>
      </w:r>
      <w:r w:rsidR="0003455B" w:rsidRPr="00CA087A">
        <w:rPr>
          <w:rFonts w:asciiTheme="minorHAnsi" w:hAnsiTheme="minorHAnsi" w:cstheme="minorHAnsi"/>
          <w:bCs/>
          <w:spacing w:val="2"/>
          <w:sz w:val="22"/>
          <w:szCs w:val="22"/>
        </w:rPr>
        <w:t xml:space="preserve">6 months </w:t>
      </w:r>
      <w:r w:rsidR="00797269">
        <w:rPr>
          <w:rFonts w:asciiTheme="minorHAnsi" w:hAnsiTheme="minorHAnsi" w:cstheme="minorHAnsi"/>
          <w:bCs/>
          <w:spacing w:val="2"/>
          <w:sz w:val="22"/>
          <w:szCs w:val="22"/>
        </w:rPr>
        <w:t xml:space="preserve">from </w:t>
      </w:r>
      <w:r w:rsidR="0003455B" w:rsidRPr="00CA087A">
        <w:rPr>
          <w:rFonts w:asciiTheme="minorHAnsi" w:hAnsiTheme="minorHAnsi" w:cstheme="minorHAnsi"/>
          <w:bCs/>
          <w:spacing w:val="2"/>
          <w:sz w:val="22"/>
          <w:szCs w:val="22"/>
        </w:rPr>
        <w:t xml:space="preserve">index consultation, in </w:t>
      </w:r>
      <w:proofErr w:type="gramStart"/>
      <w:r w:rsidR="0003455B" w:rsidRPr="00CA087A">
        <w:rPr>
          <w:rFonts w:asciiTheme="minorHAnsi" w:hAnsiTheme="minorHAnsi" w:cstheme="minorHAnsi"/>
          <w:bCs/>
          <w:spacing w:val="2"/>
          <w:sz w:val="22"/>
          <w:szCs w:val="22"/>
        </w:rPr>
        <w:t>patients</w:t>
      </w:r>
      <w:proofErr w:type="gramEnd"/>
      <w:r w:rsidR="0003455B" w:rsidRPr="00CA087A">
        <w:rPr>
          <w:rFonts w:asciiTheme="minorHAnsi" w:hAnsiTheme="minorHAnsi" w:cstheme="minorHAnsi"/>
          <w:bCs/>
          <w:spacing w:val="2"/>
          <w:sz w:val="22"/>
          <w:szCs w:val="22"/>
        </w:rPr>
        <w:t xml:space="preserve"> </w:t>
      </w:r>
      <w:r w:rsidR="007178F4" w:rsidRPr="00CA087A">
        <w:rPr>
          <w:rFonts w:asciiTheme="minorHAnsi" w:hAnsiTheme="minorHAnsi" w:cstheme="minorHAnsi"/>
          <w:bCs/>
          <w:spacing w:val="2"/>
          <w:sz w:val="22"/>
          <w:szCs w:val="22"/>
        </w:rPr>
        <w:t>in</w:t>
      </w:r>
      <w:r w:rsidRPr="00CA087A">
        <w:rPr>
          <w:rFonts w:asciiTheme="minorHAnsi" w:hAnsiTheme="minorHAnsi" w:cstheme="minorHAnsi"/>
          <w:bCs/>
          <w:spacing w:val="2"/>
          <w:sz w:val="22"/>
          <w:szCs w:val="22"/>
        </w:rPr>
        <w:t xml:space="preserve">eligible for the </w:t>
      </w:r>
      <w:r w:rsidR="00741E2E">
        <w:rPr>
          <w:rFonts w:asciiTheme="minorHAnsi" w:hAnsiTheme="minorHAnsi" w:cstheme="minorHAnsi"/>
          <w:bCs/>
          <w:spacing w:val="2"/>
          <w:sz w:val="22"/>
          <w:szCs w:val="22"/>
        </w:rPr>
        <w:t>musculoskeletal</w:t>
      </w:r>
      <w:r w:rsidRPr="00CA087A">
        <w:rPr>
          <w:rFonts w:asciiTheme="minorHAnsi" w:hAnsiTheme="minorHAnsi" w:cstheme="minorHAnsi"/>
          <w:bCs/>
          <w:spacing w:val="2"/>
          <w:sz w:val="22"/>
          <w:szCs w:val="22"/>
        </w:rPr>
        <w:t xml:space="preserve"> pain group</w:t>
      </w:r>
      <w:r w:rsidR="007178F4" w:rsidRPr="00CA087A">
        <w:rPr>
          <w:rFonts w:asciiTheme="minorHAnsi" w:hAnsiTheme="minorHAnsi" w:cstheme="minorHAnsi"/>
          <w:bCs/>
          <w:spacing w:val="2"/>
          <w:sz w:val="22"/>
          <w:szCs w:val="22"/>
        </w:rPr>
        <w:t xml:space="preserve"> (i.e., presenting with other symptoms and/or very low levels of </w:t>
      </w:r>
      <w:r w:rsidR="00741E2E">
        <w:rPr>
          <w:rFonts w:asciiTheme="minorHAnsi" w:hAnsiTheme="minorHAnsi" w:cstheme="minorHAnsi"/>
          <w:bCs/>
          <w:spacing w:val="2"/>
          <w:sz w:val="22"/>
          <w:szCs w:val="22"/>
        </w:rPr>
        <w:t>musculoskeletal</w:t>
      </w:r>
      <w:r w:rsidR="007178F4" w:rsidRPr="00CA087A">
        <w:rPr>
          <w:rFonts w:asciiTheme="minorHAnsi" w:hAnsiTheme="minorHAnsi" w:cstheme="minorHAnsi"/>
          <w:bCs/>
          <w:spacing w:val="2"/>
          <w:sz w:val="22"/>
          <w:szCs w:val="22"/>
        </w:rPr>
        <w:t xml:space="preserve"> pain</w:t>
      </w:r>
      <w:r w:rsidR="00091019">
        <w:rPr>
          <w:rFonts w:asciiTheme="minorHAnsi" w:hAnsiTheme="minorHAnsi" w:cstheme="minorHAnsi"/>
          <w:bCs/>
          <w:spacing w:val="2"/>
          <w:sz w:val="22"/>
          <w:szCs w:val="22"/>
        </w:rPr>
        <w:t>, hereafter referred to as ‘all-comers’</w:t>
      </w:r>
      <w:r w:rsidR="007178F4" w:rsidRPr="00CA087A">
        <w:rPr>
          <w:rFonts w:asciiTheme="minorHAnsi" w:hAnsiTheme="minorHAnsi" w:cstheme="minorHAnsi"/>
          <w:bCs/>
          <w:spacing w:val="2"/>
          <w:sz w:val="22"/>
          <w:szCs w:val="22"/>
        </w:rPr>
        <w:t>)</w:t>
      </w:r>
      <w:r w:rsidR="00D10514" w:rsidRPr="00CA087A">
        <w:rPr>
          <w:rFonts w:asciiTheme="minorHAnsi" w:hAnsiTheme="minorHAnsi" w:cstheme="minorHAnsi"/>
          <w:bCs/>
          <w:spacing w:val="2"/>
          <w:sz w:val="22"/>
          <w:szCs w:val="22"/>
        </w:rPr>
        <w:t>.</w:t>
      </w:r>
      <w:r w:rsidR="00A374DE">
        <w:rPr>
          <w:rFonts w:asciiTheme="minorHAnsi" w:hAnsiTheme="minorHAnsi" w:cstheme="minorHAnsi"/>
          <w:bCs/>
          <w:spacing w:val="2"/>
          <w:sz w:val="22"/>
          <w:szCs w:val="22"/>
        </w:rPr>
        <w:t xml:space="preserve"> This group was included because </w:t>
      </w:r>
      <w:r w:rsidR="00345AC5">
        <w:rPr>
          <w:rFonts w:asciiTheme="minorHAnsi" w:hAnsiTheme="minorHAnsi" w:cstheme="minorHAnsi"/>
          <w:bCs/>
          <w:spacing w:val="2"/>
          <w:sz w:val="22"/>
          <w:szCs w:val="22"/>
        </w:rPr>
        <w:t>clinical empathy and realistic optimism may be beneficial for many different symptoms seen in primary care</w:t>
      </w:r>
      <w:r w:rsidR="0022470B">
        <w:rPr>
          <w:rFonts w:asciiTheme="minorHAnsi" w:hAnsiTheme="minorHAnsi" w:cstheme="minorHAnsi"/>
          <w:bCs/>
          <w:spacing w:val="2"/>
          <w:sz w:val="22"/>
          <w:szCs w:val="22"/>
        </w:rPr>
        <w:t xml:space="preserve">, </w:t>
      </w:r>
      <w:r w:rsidR="006F2625">
        <w:rPr>
          <w:rFonts w:asciiTheme="minorHAnsi" w:hAnsiTheme="minorHAnsi" w:cstheme="minorHAnsi"/>
          <w:bCs/>
          <w:spacing w:val="2"/>
          <w:sz w:val="22"/>
          <w:szCs w:val="22"/>
        </w:rPr>
        <w:t xml:space="preserve">and </w:t>
      </w:r>
      <w:r w:rsidR="00CA1D2E">
        <w:rPr>
          <w:rFonts w:asciiTheme="minorHAnsi" w:hAnsiTheme="minorHAnsi" w:cstheme="minorHAnsi"/>
          <w:bCs/>
          <w:spacing w:val="2"/>
          <w:sz w:val="22"/>
          <w:szCs w:val="22"/>
        </w:rPr>
        <w:t xml:space="preserve">when </w:t>
      </w:r>
      <w:r w:rsidR="00345AC5">
        <w:rPr>
          <w:rFonts w:asciiTheme="minorHAnsi" w:hAnsiTheme="minorHAnsi" w:cstheme="minorHAnsi"/>
          <w:bCs/>
          <w:spacing w:val="2"/>
          <w:sz w:val="22"/>
          <w:szCs w:val="22"/>
        </w:rPr>
        <w:t xml:space="preserve">practitioners </w:t>
      </w:r>
      <w:r w:rsidR="00FF0D9F">
        <w:rPr>
          <w:rFonts w:asciiTheme="minorHAnsi" w:hAnsiTheme="minorHAnsi" w:cstheme="minorHAnsi"/>
          <w:bCs/>
          <w:spacing w:val="2"/>
          <w:sz w:val="22"/>
          <w:szCs w:val="22"/>
        </w:rPr>
        <w:t xml:space="preserve">adopt new </w:t>
      </w:r>
      <w:r w:rsidR="00CA1D2E">
        <w:rPr>
          <w:rFonts w:asciiTheme="minorHAnsi" w:hAnsiTheme="minorHAnsi" w:cstheme="minorHAnsi"/>
          <w:bCs/>
          <w:spacing w:val="2"/>
          <w:sz w:val="22"/>
          <w:szCs w:val="22"/>
        </w:rPr>
        <w:t>communication behaviour</w:t>
      </w:r>
      <w:r w:rsidR="009575C4">
        <w:rPr>
          <w:rFonts w:asciiTheme="minorHAnsi" w:hAnsiTheme="minorHAnsi" w:cstheme="minorHAnsi"/>
          <w:bCs/>
          <w:spacing w:val="2"/>
          <w:sz w:val="22"/>
          <w:szCs w:val="22"/>
        </w:rPr>
        <w:t>s</w:t>
      </w:r>
      <w:r w:rsidR="00CA1D2E">
        <w:rPr>
          <w:rFonts w:asciiTheme="minorHAnsi" w:hAnsiTheme="minorHAnsi" w:cstheme="minorHAnsi"/>
          <w:bCs/>
          <w:spacing w:val="2"/>
          <w:sz w:val="22"/>
          <w:szCs w:val="22"/>
        </w:rPr>
        <w:t xml:space="preserve"> within consultation</w:t>
      </w:r>
      <w:r w:rsidR="009E4C8E">
        <w:rPr>
          <w:rFonts w:asciiTheme="minorHAnsi" w:hAnsiTheme="minorHAnsi" w:cstheme="minorHAnsi"/>
          <w:bCs/>
          <w:spacing w:val="2"/>
          <w:sz w:val="22"/>
          <w:szCs w:val="22"/>
        </w:rPr>
        <w:t xml:space="preserve">s for one </w:t>
      </w:r>
      <w:r w:rsidR="0022470B">
        <w:rPr>
          <w:rFonts w:asciiTheme="minorHAnsi" w:hAnsiTheme="minorHAnsi" w:cstheme="minorHAnsi"/>
          <w:bCs/>
          <w:spacing w:val="2"/>
          <w:sz w:val="22"/>
          <w:szCs w:val="22"/>
        </w:rPr>
        <w:t>type of condition</w:t>
      </w:r>
      <w:r w:rsidR="00CA1D2E">
        <w:rPr>
          <w:rFonts w:asciiTheme="minorHAnsi" w:hAnsiTheme="minorHAnsi" w:cstheme="minorHAnsi"/>
          <w:bCs/>
          <w:spacing w:val="2"/>
          <w:sz w:val="22"/>
          <w:szCs w:val="22"/>
        </w:rPr>
        <w:t xml:space="preserve"> </w:t>
      </w:r>
      <w:r w:rsidR="0022470B">
        <w:rPr>
          <w:rFonts w:asciiTheme="minorHAnsi" w:hAnsiTheme="minorHAnsi" w:cstheme="minorHAnsi"/>
          <w:bCs/>
          <w:spacing w:val="2"/>
          <w:sz w:val="22"/>
          <w:szCs w:val="22"/>
        </w:rPr>
        <w:t xml:space="preserve">these skills may </w:t>
      </w:r>
      <w:r w:rsidR="009575C4">
        <w:rPr>
          <w:rFonts w:asciiTheme="minorHAnsi" w:hAnsiTheme="minorHAnsi" w:cstheme="minorHAnsi"/>
          <w:bCs/>
          <w:spacing w:val="2"/>
          <w:sz w:val="22"/>
          <w:szCs w:val="22"/>
        </w:rPr>
        <w:t>‘spil</w:t>
      </w:r>
      <w:r w:rsidR="0022470B">
        <w:rPr>
          <w:rFonts w:asciiTheme="minorHAnsi" w:hAnsiTheme="minorHAnsi" w:cstheme="minorHAnsi"/>
          <w:bCs/>
          <w:spacing w:val="2"/>
          <w:sz w:val="22"/>
          <w:szCs w:val="22"/>
        </w:rPr>
        <w:t>l</w:t>
      </w:r>
      <w:r w:rsidR="009575C4">
        <w:rPr>
          <w:rFonts w:asciiTheme="minorHAnsi" w:hAnsiTheme="minorHAnsi" w:cstheme="minorHAnsi"/>
          <w:bCs/>
          <w:spacing w:val="2"/>
          <w:sz w:val="22"/>
          <w:szCs w:val="22"/>
        </w:rPr>
        <w:t xml:space="preserve">-over’ </w:t>
      </w:r>
      <w:proofErr w:type="gramStart"/>
      <w:r w:rsidR="0022470B">
        <w:rPr>
          <w:rFonts w:asciiTheme="minorHAnsi" w:hAnsiTheme="minorHAnsi" w:cstheme="minorHAnsi"/>
          <w:bCs/>
          <w:spacing w:val="2"/>
          <w:sz w:val="22"/>
          <w:szCs w:val="22"/>
        </w:rPr>
        <w:t>and also</w:t>
      </w:r>
      <w:proofErr w:type="gramEnd"/>
      <w:r w:rsidR="0022470B">
        <w:rPr>
          <w:rFonts w:asciiTheme="minorHAnsi" w:hAnsiTheme="minorHAnsi" w:cstheme="minorHAnsi"/>
          <w:bCs/>
          <w:spacing w:val="2"/>
          <w:sz w:val="22"/>
          <w:szCs w:val="22"/>
        </w:rPr>
        <w:t xml:space="preserve"> be implemented in </w:t>
      </w:r>
      <w:r w:rsidR="006F2625">
        <w:rPr>
          <w:rFonts w:asciiTheme="minorHAnsi" w:hAnsiTheme="minorHAnsi" w:cstheme="minorHAnsi"/>
          <w:bCs/>
          <w:spacing w:val="2"/>
          <w:sz w:val="22"/>
          <w:szCs w:val="22"/>
        </w:rPr>
        <w:t xml:space="preserve">consultations for </w:t>
      </w:r>
      <w:r w:rsidR="0022470B">
        <w:rPr>
          <w:rFonts w:asciiTheme="minorHAnsi" w:hAnsiTheme="minorHAnsi" w:cstheme="minorHAnsi"/>
          <w:bCs/>
          <w:spacing w:val="2"/>
          <w:sz w:val="22"/>
          <w:szCs w:val="22"/>
        </w:rPr>
        <w:t xml:space="preserve">other </w:t>
      </w:r>
      <w:r w:rsidR="006F2625">
        <w:rPr>
          <w:rFonts w:asciiTheme="minorHAnsi" w:hAnsiTheme="minorHAnsi" w:cstheme="minorHAnsi"/>
          <w:bCs/>
          <w:spacing w:val="2"/>
          <w:sz w:val="22"/>
          <w:szCs w:val="22"/>
        </w:rPr>
        <w:t xml:space="preserve">conditions. </w:t>
      </w:r>
      <w:r w:rsidR="0022470B">
        <w:rPr>
          <w:rFonts w:asciiTheme="minorHAnsi" w:hAnsiTheme="minorHAnsi" w:cstheme="minorHAnsi"/>
          <w:bCs/>
          <w:spacing w:val="2"/>
          <w:sz w:val="22"/>
          <w:szCs w:val="22"/>
        </w:rPr>
        <w:t>W</w:t>
      </w:r>
      <w:r w:rsidR="000D5CE3">
        <w:rPr>
          <w:rFonts w:asciiTheme="minorHAnsi" w:hAnsiTheme="minorHAnsi" w:cstheme="minorHAnsi"/>
          <w:bCs/>
          <w:spacing w:val="2"/>
          <w:sz w:val="22"/>
          <w:szCs w:val="22"/>
        </w:rPr>
        <w:t xml:space="preserve">e wanted to </w:t>
      </w:r>
      <w:r w:rsidR="00A220ED">
        <w:rPr>
          <w:rFonts w:asciiTheme="minorHAnsi" w:hAnsiTheme="minorHAnsi" w:cstheme="minorHAnsi"/>
          <w:bCs/>
          <w:spacing w:val="2"/>
          <w:sz w:val="22"/>
          <w:szCs w:val="22"/>
        </w:rPr>
        <w:t>evaluate</w:t>
      </w:r>
      <w:r w:rsidR="000D5CE3">
        <w:rPr>
          <w:rFonts w:asciiTheme="minorHAnsi" w:hAnsiTheme="minorHAnsi" w:cstheme="minorHAnsi"/>
          <w:bCs/>
          <w:spacing w:val="2"/>
          <w:sz w:val="22"/>
          <w:szCs w:val="22"/>
        </w:rPr>
        <w:t xml:space="preserve"> any </w:t>
      </w:r>
      <w:r w:rsidR="0022470B">
        <w:rPr>
          <w:rFonts w:asciiTheme="minorHAnsi" w:hAnsiTheme="minorHAnsi" w:cstheme="minorHAnsi"/>
          <w:bCs/>
          <w:spacing w:val="2"/>
          <w:sz w:val="22"/>
          <w:szCs w:val="22"/>
        </w:rPr>
        <w:t xml:space="preserve">such </w:t>
      </w:r>
      <w:r w:rsidR="000D5CE3">
        <w:rPr>
          <w:rFonts w:asciiTheme="minorHAnsi" w:hAnsiTheme="minorHAnsi" w:cstheme="minorHAnsi"/>
          <w:bCs/>
          <w:spacing w:val="2"/>
          <w:sz w:val="22"/>
          <w:szCs w:val="22"/>
        </w:rPr>
        <w:t>additional benefit</w:t>
      </w:r>
      <w:r w:rsidR="0022470B">
        <w:rPr>
          <w:rFonts w:asciiTheme="minorHAnsi" w:hAnsiTheme="minorHAnsi" w:cstheme="minorHAnsi"/>
          <w:bCs/>
          <w:spacing w:val="2"/>
          <w:sz w:val="22"/>
          <w:szCs w:val="22"/>
        </w:rPr>
        <w:t>s.</w:t>
      </w:r>
    </w:p>
    <w:p w14:paraId="16F458FD" w14:textId="61904BCF" w:rsidR="00453EC4" w:rsidRPr="00CA087A" w:rsidRDefault="00377D6C" w:rsidP="00CA087A">
      <w:pPr>
        <w:pStyle w:val="ListParagraph"/>
        <w:numPr>
          <w:ilvl w:val="1"/>
          <w:numId w:val="27"/>
        </w:numPr>
        <w:rPr>
          <w:rFonts w:asciiTheme="minorHAnsi" w:hAnsiTheme="minorHAnsi" w:cstheme="minorHAnsi"/>
          <w:bCs/>
          <w:spacing w:val="2"/>
          <w:sz w:val="22"/>
          <w:szCs w:val="22"/>
        </w:rPr>
      </w:pPr>
      <w:r w:rsidRPr="00CA087A">
        <w:rPr>
          <w:rFonts w:asciiTheme="minorHAnsi" w:hAnsiTheme="minorHAnsi" w:cstheme="minorHAnsi"/>
          <w:bCs/>
          <w:spacing w:val="2"/>
          <w:sz w:val="22"/>
          <w:szCs w:val="22"/>
        </w:rPr>
        <w:t xml:space="preserve">Identifying </w:t>
      </w:r>
      <w:r w:rsidR="0003455B" w:rsidRPr="00CA087A">
        <w:rPr>
          <w:rFonts w:asciiTheme="minorHAnsi" w:hAnsiTheme="minorHAnsi" w:cstheme="minorHAnsi"/>
          <w:bCs/>
          <w:spacing w:val="2"/>
          <w:sz w:val="22"/>
          <w:szCs w:val="22"/>
        </w:rPr>
        <w:t>opportunities, barriers, and solutions for widespread implementation and impact, using the</w:t>
      </w:r>
      <w:r w:rsidR="0003455B" w:rsidRPr="00CA087A">
        <w:rPr>
          <w:rFonts w:asciiTheme="minorHAnsi" w:hAnsiTheme="minorHAnsi" w:cstheme="minorHAnsi"/>
          <w:sz w:val="22"/>
          <w:szCs w:val="22"/>
        </w:rPr>
        <w:t xml:space="preserve"> RE-AIM framework to </w:t>
      </w:r>
      <w:r w:rsidR="009F4B6F">
        <w:rPr>
          <w:rFonts w:asciiTheme="minorHAnsi" w:hAnsiTheme="minorHAnsi" w:cstheme="minorHAnsi"/>
          <w:sz w:val="22"/>
          <w:szCs w:val="22"/>
        </w:rPr>
        <w:t xml:space="preserve">explore </w:t>
      </w:r>
      <w:r w:rsidR="0003455B" w:rsidRPr="00CA087A">
        <w:rPr>
          <w:rFonts w:asciiTheme="minorHAnsi" w:hAnsiTheme="minorHAnsi" w:cstheme="minorHAnsi"/>
          <w:iCs/>
          <w:sz w:val="22"/>
          <w:szCs w:val="22"/>
        </w:rPr>
        <w:t xml:space="preserve">EMPathicO’s </w:t>
      </w:r>
      <w:r w:rsidR="0003455B" w:rsidRPr="00CA087A">
        <w:rPr>
          <w:rFonts w:asciiTheme="minorHAnsi" w:hAnsiTheme="minorHAnsi" w:cstheme="minorHAnsi"/>
          <w:sz w:val="22"/>
          <w:szCs w:val="22"/>
        </w:rPr>
        <w:t>Reach, Effectiveness, Adoption, Implementation, and Maintenance</w:t>
      </w:r>
      <w:r w:rsidR="0003455B" w:rsidRPr="0043550D">
        <w:rPr>
          <w:rFonts w:asciiTheme="minorHAnsi" w:hAnsiTheme="minorHAnsi" w:cstheme="minorHAnsi"/>
          <w:sz w:val="22"/>
          <w:szCs w:val="22"/>
        </w:rPr>
        <w:t xml:space="preserve">. </w:t>
      </w:r>
      <w:r w:rsidR="0043550D">
        <w:rPr>
          <w:rFonts w:asciiTheme="minorHAnsi" w:hAnsiTheme="minorHAnsi" w:cstheme="minorHAnsi"/>
          <w:sz w:val="22"/>
          <w:szCs w:val="22"/>
        </w:rPr>
        <w:t>[</w:t>
      </w:r>
      <w:r w:rsidR="009D70E7" w:rsidRPr="0043550D">
        <w:rPr>
          <w:rFonts w:asciiTheme="minorHAnsi" w:hAnsiTheme="minorHAnsi" w:cstheme="minorHAnsi"/>
          <w:noProof/>
          <w:sz w:val="22"/>
          <w:szCs w:val="22"/>
        </w:rPr>
        <w:t>32</w:t>
      </w:r>
      <w:r w:rsidR="0043550D">
        <w:rPr>
          <w:rFonts w:asciiTheme="minorHAnsi" w:hAnsiTheme="minorHAnsi" w:cstheme="minorHAnsi"/>
          <w:noProof/>
          <w:sz w:val="22"/>
          <w:szCs w:val="22"/>
        </w:rPr>
        <w:t>,</w:t>
      </w:r>
      <w:r w:rsidR="009D70E7" w:rsidRPr="0043550D">
        <w:rPr>
          <w:rFonts w:asciiTheme="minorHAnsi" w:hAnsiTheme="minorHAnsi" w:cstheme="minorHAnsi"/>
          <w:noProof/>
          <w:sz w:val="22"/>
          <w:szCs w:val="22"/>
        </w:rPr>
        <w:t>33</w:t>
      </w:r>
      <w:r w:rsidR="0043550D">
        <w:rPr>
          <w:rFonts w:asciiTheme="minorHAnsi" w:hAnsiTheme="minorHAnsi" w:cstheme="minorHAnsi"/>
          <w:noProof/>
          <w:sz w:val="22"/>
          <w:szCs w:val="22"/>
        </w:rPr>
        <w:t>]</w:t>
      </w:r>
    </w:p>
    <w:p w14:paraId="025A4F5F" w14:textId="77777777" w:rsidR="00387E25" w:rsidRDefault="00387E25" w:rsidP="00CA087A">
      <w:pPr>
        <w:rPr>
          <w:b/>
          <w:bCs/>
        </w:rPr>
      </w:pPr>
    </w:p>
    <w:p w14:paraId="282DEF3D" w14:textId="7AE36DCE" w:rsidR="00387E25" w:rsidRPr="00387E25" w:rsidRDefault="005B6415" w:rsidP="005B6415">
      <w:pPr>
        <w:pStyle w:val="Heading1"/>
      </w:pPr>
      <w:r w:rsidRPr="00387E25">
        <w:t>Method</w:t>
      </w:r>
      <w:r>
        <w:t>s</w:t>
      </w:r>
      <w:r w:rsidRPr="00387E25">
        <w:t xml:space="preserve"> </w:t>
      </w:r>
      <w:r w:rsidR="00AF4305">
        <w:t>a</w:t>
      </w:r>
      <w:r w:rsidRPr="00387E25">
        <w:t>nd Analysis</w:t>
      </w:r>
    </w:p>
    <w:p w14:paraId="71590313" w14:textId="1CBE2CB2" w:rsidR="00DE4362" w:rsidRDefault="00DE4362" w:rsidP="00AF4305">
      <w:r w:rsidRPr="00AF4305">
        <w:t>This protocol reported in accordance with the Standard Protocol Items: Recommendations for Interventional Trials</w:t>
      </w:r>
      <w:r w:rsidR="00AF4305">
        <w:t xml:space="preserve"> (SPIRIT)</w:t>
      </w:r>
      <w:r w:rsidRPr="00AF4305">
        <w:t xml:space="preserve"> checklist</w:t>
      </w:r>
      <w:r w:rsidR="008A7D2B">
        <w:t xml:space="preserve"> (</w:t>
      </w:r>
      <w:r w:rsidR="00B83666">
        <w:t>S</w:t>
      </w:r>
      <w:r w:rsidR="008A7D2B" w:rsidRPr="005942B9">
        <w:t>upplementa</w:t>
      </w:r>
      <w:r w:rsidR="00B83666">
        <w:t>l</w:t>
      </w:r>
      <w:r w:rsidR="008A7D2B" w:rsidRPr="005942B9">
        <w:t xml:space="preserve"> </w:t>
      </w:r>
      <w:r w:rsidR="00B83666">
        <w:t>M</w:t>
      </w:r>
      <w:r w:rsidR="008A7D2B" w:rsidRPr="005942B9">
        <w:t xml:space="preserve">aterial </w:t>
      </w:r>
      <w:r w:rsidR="003F0966">
        <w:t>1</w:t>
      </w:r>
      <w:r w:rsidR="008A7D2B">
        <w:t>)</w:t>
      </w:r>
      <w:r w:rsidRPr="00AF4305">
        <w:t>.</w:t>
      </w:r>
      <w:r w:rsidR="0043550D">
        <w:t>[</w:t>
      </w:r>
      <w:r w:rsidR="009D70E7" w:rsidRPr="0043550D">
        <w:rPr>
          <w:noProof/>
        </w:rPr>
        <w:t>34</w:t>
      </w:r>
      <w:r w:rsidR="0043550D">
        <w:rPr>
          <w:noProof/>
        </w:rPr>
        <w:t>]</w:t>
      </w:r>
      <w:r w:rsidRPr="0043550D">
        <w:t xml:space="preserve"> </w:t>
      </w:r>
      <w:r w:rsidR="009059E0" w:rsidRPr="009059E0">
        <w:t>The first site was randomised on 31.10.22 and data collection is due to finish on 31.7.24.</w:t>
      </w:r>
    </w:p>
    <w:p w14:paraId="07D3080E" w14:textId="77777777" w:rsidR="00DA1AB8" w:rsidRPr="00AF4305" w:rsidRDefault="00DA1AB8" w:rsidP="00AF4305"/>
    <w:p w14:paraId="0EC24AC3" w14:textId="77777777" w:rsidR="00DA1AB8" w:rsidRPr="00F52E6E" w:rsidRDefault="00DA1AB8" w:rsidP="00DA1AB8">
      <w:pPr>
        <w:pStyle w:val="Heading2"/>
      </w:pPr>
      <w:r w:rsidRPr="00F52E6E">
        <w:t>Patient and Public Involvement and Engagement (PPIE)</w:t>
      </w:r>
    </w:p>
    <w:p w14:paraId="4EBACE9D" w14:textId="21E18EB8" w:rsidR="00DA1AB8" w:rsidRPr="008C7F1B" w:rsidRDefault="00C927FD" w:rsidP="00D6038E">
      <w:pPr>
        <w:rPr>
          <w:rFonts w:cstheme="minorHAnsi"/>
          <w:spacing w:val="2"/>
        </w:rPr>
      </w:pPr>
      <w:r>
        <w:rPr>
          <w:rFonts w:cstheme="minorHAnsi"/>
          <w:iCs/>
        </w:rPr>
        <w:t xml:space="preserve">To </w:t>
      </w:r>
      <w:r w:rsidRPr="008C7F1B">
        <w:rPr>
          <w:rFonts w:cstheme="minorHAnsi"/>
        </w:rPr>
        <w:t xml:space="preserve">ensure </w:t>
      </w:r>
      <w:r>
        <w:rPr>
          <w:rFonts w:cstheme="minorHAnsi"/>
        </w:rPr>
        <w:t>our work engages and is relevant to patients, w</w:t>
      </w:r>
      <w:r w:rsidR="00E25C98">
        <w:rPr>
          <w:rFonts w:cstheme="minorHAnsi"/>
          <w:spacing w:val="2"/>
        </w:rPr>
        <w:t>e have worked with patients and members of the public throughout develop</w:t>
      </w:r>
      <w:r w:rsidR="00C96EED">
        <w:rPr>
          <w:rFonts w:cstheme="minorHAnsi"/>
          <w:spacing w:val="2"/>
        </w:rPr>
        <w:t>ing</w:t>
      </w:r>
      <w:r w:rsidR="00E25C98">
        <w:rPr>
          <w:rFonts w:cstheme="minorHAnsi"/>
          <w:spacing w:val="2"/>
        </w:rPr>
        <w:t xml:space="preserve"> </w:t>
      </w:r>
      <w:r w:rsidR="00E25C98" w:rsidRPr="00CA087A">
        <w:rPr>
          <w:rFonts w:cstheme="minorHAnsi"/>
          <w:iCs/>
        </w:rPr>
        <w:t xml:space="preserve">EMPathicO </w:t>
      </w:r>
      <w:r w:rsidR="004E3073">
        <w:rPr>
          <w:rFonts w:cstheme="minorHAnsi"/>
          <w:iCs/>
        </w:rPr>
        <w:t xml:space="preserve">and this </w:t>
      </w:r>
      <w:r w:rsidR="00D75EF2">
        <w:rPr>
          <w:rFonts w:cstheme="minorHAnsi"/>
          <w:iCs/>
        </w:rPr>
        <w:t>protocol.</w:t>
      </w:r>
      <w:r w:rsidR="004E3073">
        <w:rPr>
          <w:rFonts w:cstheme="minorHAnsi"/>
          <w:iCs/>
        </w:rPr>
        <w:t xml:space="preserve"> </w:t>
      </w:r>
      <w:r w:rsidR="00094FCA">
        <w:rPr>
          <w:rFonts w:cstheme="minorHAnsi"/>
          <w:iCs/>
        </w:rPr>
        <w:t>W</w:t>
      </w:r>
      <w:r w:rsidR="004E3073">
        <w:rPr>
          <w:rFonts w:cstheme="minorHAnsi"/>
          <w:iCs/>
        </w:rPr>
        <w:t xml:space="preserve">e </w:t>
      </w:r>
      <w:r w:rsidR="00015E5F">
        <w:rPr>
          <w:rFonts w:cstheme="minorHAnsi"/>
          <w:iCs/>
        </w:rPr>
        <w:t xml:space="preserve">continue </w:t>
      </w:r>
      <w:r w:rsidR="004E3073">
        <w:rPr>
          <w:rFonts w:cstheme="minorHAnsi"/>
          <w:iCs/>
        </w:rPr>
        <w:t xml:space="preserve">working </w:t>
      </w:r>
      <w:r w:rsidR="00D75EF2">
        <w:rPr>
          <w:rFonts w:cstheme="minorHAnsi"/>
          <w:iCs/>
        </w:rPr>
        <w:t xml:space="preserve">closely </w:t>
      </w:r>
      <w:r w:rsidR="004E3073">
        <w:rPr>
          <w:rFonts w:cstheme="minorHAnsi"/>
          <w:iCs/>
        </w:rPr>
        <w:t xml:space="preserve">with our </w:t>
      </w:r>
      <w:r w:rsidR="00786168">
        <w:rPr>
          <w:rFonts w:cstheme="minorHAnsi"/>
          <w:iCs/>
        </w:rPr>
        <w:t>Patient Advisory Group</w:t>
      </w:r>
      <w:r w:rsidR="00F0140B">
        <w:rPr>
          <w:rFonts w:cstheme="minorHAnsi"/>
          <w:iCs/>
        </w:rPr>
        <w:t xml:space="preserve">, </w:t>
      </w:r>
      <w:r w:rsidR="00AA142E">
        <w:rPr>
          <w:rFonts w:cstheme="minorHAnsi"/>
          <w:iCs/>
        </w:rPr>
        <w:t xml:space="preserve">led by </w:t>
      </w:r>
      <w:r w:rsidR="00F6600B">
        <w:rPr>
          <w:rFonts w:cstheme="minorHAnsi"/>
          <w:iCs/>
        </w:rPr>
        <w:t xml:space="preserve">our </w:t>
      </w:r>
      <w:r w:rsidR="00786168">
        <w:rPr>
          <w:rFonts w:cstheme="minorHAnsi"/>
          <w:iCs/>
        </w:rPr>
        <w:t xml:space="preserve">PPIE </w:t>
      </w:r>
      <w:r w:rsidR="00F209EA">
        <w:rPr>
          <w:rFonts w:cstheme="minorHAnsi"/>
          <w:iCs/>
        </w:rPr>
        <w:t>lead</w:t>
      </w:r>
      <w:r w:rsidR="00E56D8C">
        <w:rPr>
          <w:rFonts w:cstheme="minorHAnsi"/>
          <w:iCs/>
        </w:rPr>
        <w:t>, JB,</w:t>
      </w:r>
      <w:r w:rsidR="00AA142E">
        <w:rPr>
          <w:rFonts w:cstheme="minorHAnsi"/>
          <w:iCs/>
        </w:rPr>
        <w:t xml:space="preserve"> </w:t>
      </w:r>
      <w:r w:rsidR="00F6600B">
        <w:rPr>
          <w:rFonts w:cstheme="minorHAnsi"/>
          <w:iCs/>
        </w:rPr>
        <w:t xml:space="preserve">who sits on our </w:t>
      </w:r>
      <w:r w:rsidR="00AA142E">
        <w:rPr>
          <w:rFonts w:cstheme="minorHAnsi"/>
          <w:iCs/>
        </w:rPr>
        <w:t>trial management group</w:t>
      </w:r>
      <w:r w:rsidR="00F0140B">
        <w:rPr>
          <w:rFonts w:cstheme="minorHAnsi"/>
          <w:iCs/>
        </w:rPr>
        <w:t xml:space="preserve">. This group </w:t>
      </w:r>
      <w:r w:rsidR="00093772" w:rsidRPr="00093772">
        <w:rPr>
          <w:rFonts w:cstheme="minorHAnsi"/>
          <w:iCs/>
        </w:rPr>
        <w:t>compris</w:t>
      </w:r>
      <w:r w:rsidR="00F0140B">
        <w:rPr>
          <w:rFonts w:cstheme="minorHAnsi"/>
          <w:iCs/>
        </w:rPr>
        <w:t>es</w:t>
      </w:r>
      <w:r w:rsidR="00093772" w:rsidRPr="00093772">
        <w:rPr>
          <w:rFonts w:cstheme="minorHAnsi"/>
          <w:iCs/>
        </w:rPr>
        <w:t xml:space="preserve"> six patient and public contributors </w:t>
      </w:r>
      <w:r w:rsidR="007E251C">
        <w:rPr>
          <w:rFonts w:cstheme="minorHAnsi"/>
          <w:iCs/>
        </w:rPr>
        <w:t>of varying ages, ethnic backgrounds (</w:t>
      </w:r>
      <w:r w:rsidR="00394BCA">
        <w:rPr>
          <w:rFonts w:cstheme="minorHAnsi"/>
          <w:iCs/>
        </w:rPr>
        <w:t xml:space="preserve">three from Black and Minority Ethnic backgrounds, three from White backgrounds), </w:t>
      </w:r>
      <w:r w:rsidR="006F3F06">
        <w:rPr>
          <w:rFonts w:cstheme="minorHAnsi"/>
          <w:iCs/>
        </w:rPr>
        <w:t xml:space="preserve">gender (three female, three male), </w:t>
      </w:r>
      <w:r w:rsidR="006F3F06" w:rsidRPr="00093772">
        <w:rPr>
          <w:rFonts w:cstheme="minorHAnsi"/>
          <w:iCs/>
        </w:rPr>
        <w:t>and geographical locations</w:t>
      </w:r>
      <w:r w:rsidR="006F3F06">
        <w:rPr>
          <w:rFonts w:cstheme="minorHAnsi"/>
          <w:iCs/>
        </w:rPr>
        <w:t xml:space="preserve"> within England</w:t>
      </w:r>
      <w:r w:rsidR="00EC1B4C">
        <w:rPr>
          <w:rFonts w:cstheme="minorHAnsi"/>
          <w:iCs/>
        </w:rPr>
        <w:t xml:space="preserve">. </w:t>
      </w:r>
      <w:r w:rsidR="006D24A2">
        <w:rPr>
          <w:rFonts w:cstheme="minorHAnsi"/>
          <w:iCs/>
        </w:rPr>
        <w:t>One</w:t>
      </w:r>
      <w:r w:rsidR="00EC1B4C">
        <w:rPr>
          <w:rFonts w:cstheme="minorHAnsi"/>
          <w:iCs/>
        </w:rPr>
        <w:t xml:space="preserve"> member</w:t>
      </w:r>
      <w:r w:rsidR="006D24A2">
        <w:rPr>
          <w:rFonts w:cstheme="minorHAnsi"/>
          <w:iCs/>
        </w:rPr>
        <w:t xml:space="preserve"> is</w:t>
      </w:r>
      <w:r w:rsidR="00EC1B4C">
        <w:rPr>
          <w:rFonts w:cstheme="minorHAnsi"/>
          <w:iCs/>
        </w:rPr>
        <w:t xml:space="preserve"> </w:t>
      </w:r>
      <w:r w:rsidR="005F0499">
        <w:rPr>
          <w:rFonts w:cstheme="minorHAnsi"/>
          <w:iCs/>
        </w:rPr>
        <w:t>neurodivergent,</w:t>
      </w:r>
      <w:r w:rsidR="000E43ED">
        <w:rPr>
          <w:rFonts w:cstheme="minorHAnsi"/>
          <w:iCs/>
        </w:rPr>
        <w:t xml:space="preserve"> and </w:t>
      </w:r>
      <w:r w:rsidR="000A5A48">
        <w:rPr>
          <w:rFonts w:cstheme="minorHAnsi"/>
          <w:iCs/>
        </w:rPr>
        <w:t xml:space="preserve">all </w:t>
      </w:r>
      <w:r w:rsidR="00093772" w:rsidRPr="00093772">
        <w:rPr>
          <w:rFonts w:cstheme="minorHAnsi"/>
          <w:iCs/>
        </w:rPr>
        <w:t xml:space="preserve">have </w:t>
      </w:r>
      <w:r w:rsidR="000A5A48">
        <w:rPr>
          <w:rFonts w:cstheme="minorHAnsi"/>
          <w:iCs/>
        </w:rPr>
        <w:t xml:space="preserve">lived </w:t>
      </w:r>
      <w:r w:rsidR="00093772" w:rsidRPr="00093772">
        <w:rPr>
          <w:rFonts w:cstheme="minorHAnsi"/>
          <w:iCs/>
        </w:rPr>
        <w:t>experience of MSK pain</w:t>
      </w:r>
      <w:r w:rsidR="000A5A48">
        <w:rPr>
          <w:rFonts w:cstheme="minorHAnsi"/>
          <w:iCs/>
        </w:rPr>
        <w:t xml:space="preserve"> as patients or carers</w:t>
      </w:r>
      <w:r w:rsidR="00093772" w:rsidRPr="00093772">
        <w:rPr>
          <w:rFonts w:cstheme="minorHAnsi"/>
          <w:iCs/>
        </w:rPr>
        <w:t xml:space="preserve">. </w:t>
      </w:r>
      <w:r w:rsidR="00D705D6">
        <w:rPr>
          <w:rFonts w:cstheme="minorHAnsi"/>
          <w:iCs/>
        </w:rPr>
        <w:t xml:space="preserve">Our panel </w:t>
      </w:r>
      <w:r w:rsidR="00FF6E2F">
        <w:rPr>
          <w:rFonts w:cstheme="minorHAnsi"/>
          <w:iCs/>
        </w:rPr>
        <w:t xml:space="preserve">meet </w:t>
      </w:r>
      <w:r w:rsidR="00093772">
        <w:rPr>
          <w:rFonts w:cstheme="minorHAnsi"/>
          <w:iCs/>
        </w:rPr>
        <w:t xml:space="preserve">virtually for one hour </w:t>
      </w:r>
      <w:r w:rsidR="00FF6E2F">
        <w:rPr>
          <w:rFonts w:cstheme="minorHAnsi"/>
          <w:iCs/>
        </w:rPr>
        <w:t>bimonthly</w:t>
      </w:r>
      <w:r w:rsidR="008458AA">
        <w:rPr>
          <w:rFonts w:cstheme="minorHAnsi"/>
          <w:iCs/>
        </w:rPr>
        <w:t xml:space="preserve"> and contribute to specific activities </w:t>
      </w:r>
      <w:r w:rsidR="00E479C7">
        <w:rPr>
          <w:rFonts w:cstheme="minorHAnsi"/>
          <w:iCs/>
        </w:rPr>
        <w:t xml:space="preserve">including </w:t>
      </w:r>
      <w:r w:rsidR="00413529">
        <w:rPr>
          <w:rFonts w:cstheme="minorHAnsi"/>
          <w:iCs/>
        </w:rPr>
        <w:t xml:space="preserve">refining patient-facing documents and procedures, </w:t>
      </w:r>
      <w:r w:rsidR="0087444D">
        <w:rPr>
          <w:rFonts w:cstheme="minorHAnsi"/>
          <w:iCs/>
        </w:rPr>
        <w:t xml:space="preserve">training </w:t>
      </w:r>
      <w:r w:rsidR="00413529">
        <w:rPr>
          <w:rFonts w:cstheme="minorHAnsi"/>
          <w:iCs/>
        </w:rPr>
        <w:t xml:space="preserve">qualitative </w:t>
      </w:r>
      <w:r w:rsidR="0087444D">
        <w:rPr>
          <w:rFonts w:cstheme="minorHAnsi"/>
          <w:iCs/>
        </w:rPr>
        <w:t>interviewers</w:t>
      </w:r>
      <w:r w:rsidR="00413529">
        <w:rPr>
          <w:rFonts w:cstheme="minorHAnsi"/>
          <w:iCs/>
        </w:rPr>
        <w:t xml:space="preserve">, </w:t>
      </w:r>
      <w:r w:rsidR="00D705D6">
        <w:rPr>
          <w:rFonts w:cstheme="minorHAnsi"/>
          <w:iCs/>
        </w:rPr>
        <w:t xml:space="preserve">and </w:t>
      </w:r>
      <w:r w:rsidR="00413529">
        <w:rPr>
          <w:rFonts w:cstheme="minorHAnsi"/>
          <w:iCs/>
        </w:rPr>
        <w:t>interpreting data.</w:t>
      </w:r>
      <w:r w:rsidR="00994D5C">
        <w:rPr>
          <w:rFonts w:cstheme="minorHAnsi"/>
          <w:iCs/>
        </w:rPr>
        <w:t xml:space="preserve"> </w:t>
      </w:r>
    </w:p>
    <w:p w14:paraId="469E65B9" w14:textId="77777777" w:rsidR="00C20338" w:rsidRDefault="00C20338" w:rsidP="00DA1AB8">
      <w:pPr>
        <w:rPr>
          <w:rFonts w:cstheme="minorHAnsi"/>
        </w:rPr>
      </w:pPr>
    </w:p>
    <w:p w14:paraId="3FA2BA91" w14:textId="3033F442" w:rsidR="008C7F1B" w:rsidRPr="00387E25" w:rsidRDefault="00387E25" w:rsidP="00AF4305">
      <w:pPr>
        <w:pStyle w:val="Heading2"/>
      </w:pPr>
      <w:r w:rsidRPr="00387E25">
        <w:t>Design</w:t>
      </w:r>
    </w:p>
    <w:p w14:paraId="3C37B0C5" w14:textId="77777777" w:rsidR="00604DE0" w:rsidRDefault="008C7F1B" w:rsidP="00CA087A">
      <w:r w:rsidRPr="00CA087A">
        <w:t>A cluster-randomised controlled parallel group superiority trial in primary care</w:t>
      </w:r>
      <w:r w:rsidR="00FC11C1" w:rsidRPr="00CA087A">
        <w:t>, with e</w:t>
      </w:r>
      <w:r w:rsidR="00546570" w:rsidRPr="00CA087A">
        <w:t xml:space="preserve">mbedded qualitative </w:t>
      </w:r>
      <w:r w:rsidR="00591F4C">
        <w:t xml:space="preserve">and mixed methods </w:t>
      </w:r>
      <w:r w:rsidR="00015E5F">
        <w:t xml:space="preserve">process </w:t>
      </w:r>
      <w:r w:rsidR="00D3451F">
        <w:t xml:space="preserve">and implementation </w:t>
      </w:r>
      <w:r w:rsidR="00015E5F">
        <w:t>analys</w:t>
      </w:r>
      <w:r w:rsidR="00D3451F">
        <w:t>e</w:t>
      </w:r>
      <w:r w:rsidR="00015E5F">
        <w:t>s</w:t>
      </w:r>
      <w:r w:rsidR="00546570" w:rsidRPr="00CA087A">
        <w:t>.</w:t>
      </w:r>
    </w:p>
    <w:p w14:paraId="4E580DA9" w14:textId="18FD7013" w:rsidR="00FC2DA3" w:rsidRDefault="00CA3726" w:rsidP="00CA087A">
      <w:r>
        <w:t>C</w:t>
      </w:r>
      <w:r w:rsidR="00AC7842" w:rsidRPr="00CA087A">
        <w:t xml:space="preserve">luster </w:t>
      </w:r>
      <w:r>
        <w:t xml:space="preserve">randomisation </w:t>
      </w:r>
      <w:r w:rsidR="00AC7842" w:rsidRPr="00CA087A">
        <w:t xml:space="preserve">was chosen </w:t>
      </w:r>
      <w:r w:rsidR="00DF577C">
        <w:t xml:space="preserve">because </w:t>
      </w:r>
      <w:r w:rsidR="00AC7842" w:rsidRPr="00CA087A">
        <w:t>randomising individual practitioners risks cross-contamination within practices where practitioners share knowledge and patients</w:t>
      </w:r>
      <w:r w:rsidR="006F47D4">
        <w:t>;</w:t>
      </w:r>
      <w:r w:rsidR="00DF577C">
        <w:t xml:space="preserve"> </w:t>
      </w:r>
      <w:r w:rsidR="006F47D4">
        <w:t xml:space="preserve">randomising </w:t>
      </w:r>
      <w:r w:rsidR="00A7627D" w:rsidRPr="00CA087A">
        <w:t>individual patient</w:t>
      </w:r>
      <w:r w:rsidR="006F47D4">
        <w:t>s</w:t>
      </w:r>
      <w:r w:rsidR="00A7627D" w:rsidRPr="00CA087A">
        <w:t xml:space="preserve"> </w:t>
      </w:r>
      <w:r w:rsidR="00A7627D">
        <w:t xml:space="preserve">risks contamination because </w:t>
      </w:r>
      <w:r w:rsidR="00DF577C">
        <w:t>p</w:t>
      </w:r>
      <w:r w:rsidR="00AC7842" w:rsidRPr="00CA087A">
        <w:t>ractitioners cannot switch on/off communication skills in different consultations.</w:t>
      </w:r>
      <w:r w:rsidR="00604DE0">
        <w:t xml:space="preserve"> </w:t>
      </w:r>
    </w:p>
    <w:p w14:paraId="036B8371" w14:textId="652CDB6B" w:rsidR="00546570" w:rsidRDefault="00546570" w:rsidP="00CA087A">
      <w:r w:rsidRPr="00CA087A">
        <w:lastRenderedPageBreak/>
        <w:t>General practices constitute the clusters</w:t>
      </w:r>
      <w:r w:rsidR="00B252CA" w:rsidRPr="00CA087A">
        <w:t xml:space="preserve">; </w:t>
      </w:r>
      <w:r w:rsidR="00F64B87">
        <w:t>practices</w:t>
      </w:r>
      <w:r w:rsidR="00F64B87" w:rsidRPr="00CA087A">
        <w:t xml:space="preserve"> </w:t>
      </w:r>
      <w:r w:rsidR="00F912F6" w:rsidRPr="00CA087A">
        <w:t xml:space="preserve">are </w:t>
      </w:r>
      <w:r w:rsidR="00D8455E">
        <w:t xml:space="preserve">recruited and then </w:t>
      </w:r>
      <w:r w:rsidRPr="00CA087A">
        <w:t xml:space="preserve">randomised 1:1 </w:t>
      </w:r>
      <w:r w:rsidRPr="00CA087A">
        <w:rPr>
          <w:iCs/>
        </w:rPr>
        <w:t>EMPathicO</w:t>
      </w:r>
      <w:r w:rsidR="00CA3726">
        <w:rPr>
          <w:iCs/>
        </w:rPr>
        <w:t xml:space="preserve">: </w:t>
      </w:r>
      <w:r w:rsidR="0078193C" w:rsidRPr="00CA087A">
        <w:t>control</w:t>
      </w:r>
      <w:r w:rsidRPr="00CA087A">
        <w:t xml:space="preserve">. </w:t>
      </w:r>
      <w:r w:rsidR="00FC2DA3">
        <w:t xml:space="preserve">Randomisation is stratified (see below). </w:t>
      </w:r>
      <w:r w:rsidRPr="00CA087A">
        <w:t>All eligible practitioners within cluster</w:t>
      </w:r>
      <w:r w:rsidR="00F50E7B">
        <w:t>s</w:t>
      </w:r>
      <w:r w:rsidRPr="00CA087A">
        <w:t xml:space="preserve"> </w:t>
      </w:r>
      <w:r w:rsidR="0017456E" w:rsidRPr="00CA087A">
        <w:t xml:space="preserve">are </w:t>
      </w:r>
      <w:r w:rsidRPr="00CA087A">
        <w:t xml:space="preserve">encouraged to undertake </w:t>
      </w:r>
      <w:r w:rsidRPr="00CA087A">
        <w:rPr>
          <w:iCs/>
        </w:rPr>
        <w:t xml:space="preserve">EMPathicO </w:t>
      </w:r>
      <w:r w:rsidRPr="00CA087A">
        <w:t xml:space="preserve">training (intervention) or consult patients as usual (control). </w:t>
      </w:r>
      <w:r w:rsidR="0017456E" w:rsidRPr="00CA087A">
        <w:t xml:space="preserve">The control </w:t>
      </w:r>
      <w:r w:rsidR="00F912F6" w:rsidRPr="00CA087A">
        <w:t xml:space="preserve">was chosen </w:t>
      </w:r>
      <w:r w:rsidR="004A22CD" w:rsidRPr="00CA087A">
        <w:t xml:space="preserve">to enable pragmatic </w:t>
      </w:r>
      <w:r w:rsidR="00862F7F" w:rsidRPr="00CA087A">
        <w:t xml:space="preserve">assessment of </w:t>
      </w:r>
      <w:r w:rsidR="00BA4E60" w:rsidRPr="00CA087A">
        <w:t xml:space="preserve">benefits and costs of adding </w:t>
      </w:r>
      <w:r w:rsidR="00BA4E60" w:rsidRPr="00CA087A">
        <w:rPr>
          <w:iCs/>
        </w:rPr>
        <w:t xml:space="preserve">EMPathicO </w:t>
      </w:r>
      <w:r w:rsidR="00BA4E60" w:rsidRPr="00CA087A">
        <w:t xml:space="preserve">training to </w:t>
      </w:r>
      <w:r w:rsidR="004A22CD" w:rsidRPr="00CA087A">
        <w:t>usual care</w:t>
      </w:r>
      <w:r w:rsidR="00BA4E60" w:rsidRPr="00CA087A">
        <w:t>.</w:t>
      </w:r>
    </w:p>
    <w:p w14:paraId="3FDCB566" w14:textId="50770248" w:rsidR="00A774B7" w:rsidRPr="00CA087A" w:rsidRDefault="00A774B7" w:rsidP="00CA087A">
      <w:r w:rsidRPr="00A774B7">
        <w:t xml:space="preserve">Patient recruitment commences at least two weeks after the </w:t>
      </w:r>
      <w:r>
        <w:t xml:space="preserve">general practice </w:t>
      </w:r>
      <w:r w:rsidRPr="00A774B7">
        <w:t>is randomised (enabling time for intervention sites to complete the intervention training whilst maintaining consistent set up timelines across both arms).  All adults (18+) verbally consulting a participating practitioner are invited to participate in the trial (see exclusions below).</w:t>
      </w:r>
    </w:p>
    <w:p w14:paraId="5026BFA5" w14:textId="312D3797" w:rsidR="00F4341D" w:rsidRDefault="00760D12" w:rsidP="00CA087A">
      <w:r w:rsidRPr="00CA087A">
        <w:t xml:space="preserve">Two groups of patients are recruited. </w:t>
      </w:r>
      <w:r w:rsidR="00AB5F1A" w:rsidRPr="00CA087A">
        <w:t xml:space="preserve">The </w:t>
      </w:r>
      <w:r w:rsidR="00741E2E">
        <w:t>musculoskeletal</w:t>
      </w:r>
      <w:r w:rsidR="00AB5F1A" w:rsidRPr="00CA087A">
        <w:t xml:space="preserve"> group comprises p</w:t>
      </w:r>
      <w:r w:rsidR="001D75C8" w:rsidRPr="00CA087A">
        <w:t xml:space="preserve">atients consulting participating practitioners about </w:t>
      </w:r>
      <w:r w:rsidR="00741E2E">
        <w:t>musculoskeletal</w:t>
      </w:r>
      <w:r w:rsidR="001D75C8" w:rsidRPr="00CA087A">
        <w:t xml:space="preserve"> pain</w:t>
      </w:r>
      <w:r w:rsidR="00AB5F1A" w:rsidRPr="00CA087A">
        <w:t xml:space="preserve">. </w:t>
      </w:r>
      <w:r w:rsidR="00473263" w:rsidRPr="00CA087A">
        <w:t xml:space="preserve">The </w:t>
      </w:r>
      <w:r w:rsidR="002B0E5C">
        <w:t>‘</w:t>
      </w:r>
      <w:r w:rsidR="00473263" w:rsidRPr="00CA087A">
        <w:t>all-comer</w:t>
      </w:r>
      <w:r w:rsidR="002B0E5C">
        <w:t>’</w:t>
      </w:r>
      <w:r w:rsidR="00473263" w:rsidRPr="00CA087A">
        <w:t xml:space="preserve"> group comprises patients consulting about symptoms other than </w:t>
      </w:r>
      <w:r w:rsidR="00741E2E">
        <w:t>musculoskeletal</w:t>
      </w:r>
      <w:r w:rsidR="00473263" w:rsidRPr="00CA087A">
        <w:t xml:space="preserve"> pain (or reporting very low levels of </w:t>
      </w:r>
      <w:r w:rsidR="00741E2E">
        <w:t>musculoskeletal</w:t>
      </w:r>
      <w:r w:rsidR="00473263" w:rsidRPr="00CA087A">
        <w:t xml:space="preserve"> pain). </w:t>
      </w:r>
      <w:r w:rsidR="00C9377F" w:rsidRPr="00CA087A">
        <w:t>A</w:t>
      </w:r>
      <w:r w:rsidR="002F3C1C" w:rsidRPr="00CA087A">
        <w:t xml:space="preserve">t pre-consultation </w:t>
      </w:r>
      <w:r w:rsidR="001D75C8" w:rsidRPr="00CA087A">
        <w:t xml:space="preserve">baseline and </w:t>
      </w:r>
      <w:r w:rsidR="00C9377F" w:rsidRPr="00CA087A">
        <w:t xml:space="preserve">repeatedly up to 6 months later patients complete questionnaires </w:t>
      </w:r>
      <w:r w:rsidR="001D75C8" w:rsidRPr="00CA087A">
        <w:t>assessing pain, enablement, and secondary outcomes</w:t>
      </w:r>
      <w:r w:rsidR="00F4341D" w:rsidRPr="00CA087A">
        <w:t xml:space="preserve">. </w:t>
      </w:r>
    </w:p>
    <w:p w14:paraId="03ABCF5D" w14:textId="77777777" w:rsidR="000C4288" w:rsidRPr="00CA087A" w:rsidRDefault="000C4288" w:rsidP="00CA087A"/>
    <w:p w14:paraId="484A7CD9" w14:textId="6270AF7B" w:rsidR="001176AC" w:rsidRPr="00CA087A" w:rsidRDefault="001176AC" w:rsidP="00C256F7">
      <w:pPr>
        <w:pStyle w:val="Heading2"/>
      </w:pPr>
      <w:r w:rsidRPr="00CA087A">
        <w:t>S</w:t>
      </w:r>
      <w:r w:rsidR="00AC7842" w:rsidRPr="00CA087A">
        <w:t>etting</w:t>
      </w:r>
    </w:p>
    <w:p w14:paraId="70637CD8" w14:textId="5ECA3C88" w:rsidR="00C5762F" w:rsidRDefault="00F12A3A" w:rsidP="00C5762F">
      <w:bookmarkStart w:id="1" w:name="_Hlk120265190"/>
      <w:r w:rsidRPr="00CA087A">
        <w:t>General practices in England and Wales</w:t>
      </w:r>
      <w:r w:rsidR="000E4421">
        <w:t xml:space="preserve">, recruited and supported by three </w:t>
      </w:r>
      <w:r w:rsidRPr="00CA087A">
        <w:t>recruitment hubs – Southampton, Keele, and Bristol</w:t>
      </w:r>
      <w:bookmarkEnd w:id="1"/>
      <w:r w:rsidR="00C5762F">
        <w:t>.</w:t>
      </w:r>
    </w:p>
    <w:p w14:paraId="24DF8891" w14:textId="77777777" w:rsidR="00C5762F" w:rsidRDefault="00C5762F" w:rsidP="00C5762F"/>
    <w:p w14:paraId="65228582" w14:textId="35A40513" w:rsidR="001176AC" w:rsidRPr="00CA087A" w:rsidRDefault="001176AC" w:rsidP="00114E29">
      <w:pPr>
        <w:pStyle w:val="Heading2"/>
      </w:pPr>
      <w:r w:rsidRPr="00CA087A">
        <w:t>T</w:t>
      </w:r>
      <w:r w:rsidR="00AC7842" w:rsidRPr="00CA087A">
        <w:t>arget population</w:t>
      </w:r>
    </w:p>
    <w:p w14:paraId="71DEFC80" w14:textId="6B4699F6" w:rsidR="00114E29" w:rsidRPr="007B50EF" w:rsidRDefault="000D4EF0" w:rsidP="007B50EF">
      <w:pPr>
        <w:pStyle w:val="Heading3"/>
        <w:rPr>
          <w:rStyle w:val="Heading3Char"/>
        </w:rPr>
      </w:pPr>
      <w:r w:rsidRPr="007B50EF">
        <w:t xml:space="preserve">GP Practice </w:t>
      </w:r>
      <w:r w:rsidR="00687103" w:rsidRPr="007B50EF">
        <w:rPr>
          <w:rStyle w:val="Heading3Char"/>
        </w:rPr>
        <w:t>Eligibility</w:t>
      </w:r>
      <w:r w:rsidRPr="007B50EF">
        <w:t xml:space="preserve"> </w:t>
      </w:r>
      <w:r w:rsidR="00687103" w:rsidRPr="007B50EF">
        <w:rPr>
          <w:rStyle w:val="Heading3Char"/>
        </w:rPr>
        <w:t>C</w:t>
      </w:r>
      <w:r w:rsidRPr="007B50EF">
        <w:t>riteria</w:t>
      </w:r>
    </w:p>
    <w:p w14:paraId="1CC008D6" w14:textId="793C2DA2" w:rsidR="00990111" w:rsidRDefault="00114E29" w:rsidP="00CA087A">
      <w:r>
        <w:t>Eligible</w:t>
      </w:r>
      <w:r w:rsidR="00D8738F">
        <w:t>:</w:t>
      </w:r>
      <w:r>
        <w:t xml:space="preserve"> </w:t>
      </w:r>
      <w:r w:rsidR="00CE501F" w:rsidRPr="00CA087A">
        <w:t xml:space="preserve">NHS </w:t>
      </w:r>
      <w:r w:rsidR="000D4EF0" w:rsidRPr="00CA087A">
        <w:t>general practices</w:t>
      </w:r>
      <w:r w:rsidR="00CE501F" w:rsidRPr="00CA087A">
        <w:t xml:space="preserve"> </w:t>
      </w:r>
      <w:r w:rsidR="000D4EF0" w:rsidRPr="00CA087A">
        <w:t>in England and Wales</w:t>
      </w:r>
      <w:r w:rsidR="00270F42">
        <w:t xml:space="preserve">, where a general practice is </w:t>
      </w:r>
      <w:r w:rsidR="00FB26E8">
        <w:t>“</w:t>
      </w:r>
      <w:r w:rsidR="00FB26E8" w:rsidRPr="00FB26E8">
        <w:t>an organisation which offers Primary Care medical services by a qualified General Practitioner who can prescribe medicine and where patients can be registered and held on a list</w:t>
      </w:r>
      <w:proofErr w:type="gramStart"/>
      <w:r w:rsidR="00FB26E8" w:rsidRPr="00FB26E8">
        <w:t>.</w:t>
      </w:r>
      <w:r w:rsidR="00FB26E8">
        <w:t>”</w:t>
      </w:r>
      <w:r w:rsidR="00F07099">
        <w:t>[</w:t>
      </w:r>
      <w:proofErr w:type="gramEnd"/>
      <w:r w:rsidR="0095486E" w:rsidRPr="00F07099">
        <w:rPr>
          <w:noProof/>
        </w:rPr>
        <w:t>35</w:t>
      </w:r>
      <w:r w:rsidR="00F07099">
        <w:rPr>
          <w:noProof/>
        </w:rPr>
        <w:t>]</w:t>
      </w:r>
      <w:r w:rsidR="000D4EF0" w:rsidRPr="00CA087A">
        <w:t xml:space="preserve"> </w:t>
      </w:r>
    </w:p>
    <w:p w14:paraId="7E250CCB" w14:textId="06B4F018" w:rsidR="000D4EF0" w:rsidRPr="00CA087A" w:rsidRDefault="00D8738F" w:rsidP="00CA087A">
      <w:r>
        <w:rPr>
          <w:bCs/>
        </w:rPr>
        <w:t xml:space="preserve">Excluded: </w:t>
      </w:r>
      <w:r w:rsidR="00F15875">
        <w:rPr>
          <w:bCs/>
        </w:rPr>
        <w:t xml:space="preserve">Practices </w:t>
      </w:r>
      <w:r w:rsidR="00531837" w:rsidRPr="00CA087A">
        <w:t xml:space="preserve">involved in intervention development/feasibility work </w:t>
      </w:r>
      <w:r w:rsidR="000D4EF0" w:rsidRPr="00CA087A">
        <w:t xml:space="preserve">(18 from Wessex, 5 from </w:t>
      </w:r>
      <w:r w:rsidR="00531837">
        <w:t>West Midlands</w:t>
      </w:r>
      <w:r w:rsidR="000D4EF0" w:rsidRPr="00CA087A">
        <w:t>)</w:t>
      </w:r>
      <w:r w:rsidR="00960689">
        <w:t>, practices where</w:t>
      </w:r>
      <w:bookmarkStart w:id="2" w:name="_Hlk121741560"/>
      <w:r w:rsidR="00960689">
        <w:rPr>
          <w:rStyle w:val="CommentReference"/>
          <w:sz w:val="22"/>
          <w:szCs w:val="22"/>
        </w:rPr>
        <w:t xml:space="preserve"> </w:t>
      </w:r>
      <w:r w:rsidR="000D4EF0" w:rsidRPr="00CA087A">
        <w:t xml:space="preserve">clinical members of the Trial Management Group/Trial Steering Committee see patients. </w:t>
      </w:r>
      <w:bookmarkEnd w:id="2"/>
    </w:p>
    <w:p w14:paraId="77A5603B" w14:textId="77777777" w:rsidR="00687103" w:rsidRDefault="00044A44" w:rsidP="00687103">
      <w:pPr>
        <w:pStyle w:val="Heading3"/>
      </w:pPr>
      <w:bookmarkStart w:id="3" w:name="_Hlk98833532"/>
      <w:r w:rsidRPr="00CA087A">
        <w:t xml:space="preserve">Practitioner </w:t>
      </w:r>
      <w:r w:rsidR="00687103">
        <w:t>Eligibility C</w:t>
      </w:r>
      <w:r w:rsidR="000D4EF0" w:rsidRPr="00CA087A">
        <w:t>riteria</w:t>
      </w:r>
    </w:p>
    <w:p w14:paraId="6C6F2E2A" w14:textId="604A6159" w:rsidR="00990111" w:rsidRDefault="00462748" w:rsidP="00CA087A">
      <w:r>
        <w:t>Eligible</w:t>
      </w:r>
      <w:r w:rsidR="00D8738F">
        <w:t>:</w:t>
      </w:r>
      <w:r>
        <w:t xml:space="preserve"> practitioners </w:t>
      </w:r>
      <w:r w:rsidR="009379F6">
        <w:t xml:space="preserve">from any discipline who are </w:t>
      </w:r>
      <w:r w:rsidR="000D4EF0" w:rsidRPr="00CA087A">
        <w:t xml:space="preserve">working within participating </w:t>
      </w:r>
      <w:r w:rsidR="006F2CE2" w:rsidRPr="00CA087A">
        <w:t>GP surgeries</w:t>
      </w:r>
      <w:r w:rsidR="000D4EF0" w:rsidRPr="00CA087A">
        <w:t xml:space="preserve"> and </w:t>
      </w:r>
      <w:r w:rsidR="00244443">
        <w:t xml:space="preserve">seeing </w:t>
      </w:r>
      <w:r w:rsidR="000D4EF0" w:rsidRPr="00CA087A">
        <w:t>p</w:t>
      </w:r>
      <w:r w:rsidR="006F2CE2" w:rsidRPr="00CA087A">
        <w:t>atients</w:t>
      </w:r>
      <w:r w:rsidR="000D4EF0" w:rsidRPr="00CA087A">
        <w:t xml:space="preserve"> with </w:t>
      </w:r>
      <w:r w:rsidR="00741E2E">
        <w:t>musculoskeletal</w:t>
      </w:r>
      <w:r w:rsidR="000D4EF0" w:rsidRPr="00CA087A">
        <w:t xml:space="preserve"> pain </w:t>
      </w:r>
      <w:r w:rsidR="006F2CE2" w:rsidRPr="00CA087A">
        <w:t>(e</w:t>
      </w:r>
      <w:r w:rsidR="00436B95" w:rsidRPr="00CA087A">
        <w:t>.</w:t>
      </w:r>
      <w:r w:rsidR="006F2CE2" w:rsidRPr="00CA087A">
        <w:t>g</w:t>
      </w:r>
      <w:r w:rsidR="00436B95" w:rsidRPr="00CA087A">
        <w:t>.</w:t>
      </w:r>
      <w:r w:rsidR="00244443">
        <w:t>,</w:t>
      </w:r>
      <w:r w:rsidR="006F2CE2" w:rsidRPr="00CA087A">
        <w:t xml:space="preserve"> GPs, Practice Nurses, </w:t>
      </w:r>
      <w:r w:rsidR="00AC7842" w:rsidRPr="00CA087A">
        <w:t>P</w:t>
      </w:r>
      <w:r w:rsidR="00436B95" w:rsidRPr="00CA087A">
        <w:t>hysiotherapists</w:t>
      </w:r>
      <w:r w:rsidR="00FB26E8">
        <w:t>, Pharmacists, Physician Associates</w:t>
      </w:r>
      <w:r w:rsidR="00436B95" w:rsidRPr="00462748">
        <w:t>)</w:t>
      </w:r>
      <w:r w:rsidRPr="00462748">
        <w:t xml:space="preserve">. </w:t>
      </w:r>
    </w:p>
    <w:p w14:paraId="1D7D46C5" w14:textId="6BCDEE12" w:rsidR="000D4EF0" w:rsidRPr="00CA087A" w:rsidRDefault="00D8738F" w:rsidP="00CA087A">
      <w:r>
        <w:t xml:space="preserve">Excluded: </w:t>
      </w:r>
      <w:r w:rsidR="00610DEB">
        <w:t xml:space="preserve">Practitioners </w:t>
      </w:r>
      <w:r w:rsidR="00462748">
        <w:t>u</w:t>
      </w:r>
      <w:r w:rsidR="000D4EF0" w:rsidRPr="00CA087A">
        <w:t>nwilling to undertake the intervention</w:t>
      </w:r>
      <w:r w:rsidR="00EE5336" w:rsidRPr="00CA087A">
        <w:t>/</w:t>
      </w:r>
      <w:r w:rsidR="000D4EF0" w:rsidRPr="00CA087A">
        <w:t>trial procedures.</w:t>
      </w:r>
    </w:p>
    <w:p w14:paraId="250049D6" w14:textId="73B3C79C" w:rsidR="00462748" w:rsidRDefault="00462748" w:rsidP="00462748">
      <w:pPr>
        <w:pStyle w:val="Heading3"/>
      </w:pPr>
      <w:bookmarkStart w:id="4" w:name="_Hlk98833684"/>
      <w:bookmarkStart w:id="5" w:name="_Hlk72321842"/>
      <w:bookmarkStart w:id="6" w:name="_Hlk98833824"/>
      <w:bookmarkEnd w:id="3"/>
      <w:r>
        <w:t>Patient</w:t>
      </w:r>
      <w:r w:rsidR="00264FF2">
        <w:t>s with</w:t>
      </w:r>
      <w:r>
        <w:t xml:space="preserve"> </w:t>
      </w:r>
      <w:r w:rsidR="00741E2E">
        <w:t>Musculoskeletal</w:t>
      </w:r>
      <w:r>
        <w:t xml:space="preserve"> Pain Eligibility Criteria</w:t>
      </w:r>
    </w:p>
    <w:p w14:paraId="3B88D8B9" w14:textId="2DADCCAA" w:rsidR="00990111" w:rsidRPr="00F07099" w:rsidRDefault="00FE4E35" w:rsidP="00CA087A">
      <w:r w:rsidRPr="00F07099">
        <w:rPr>
          <w:bCs/>
        </w:rPr>
        <w:t xml:space="preserve">For the </w:t>
      </w:r>
      <w:r w:rsidR="00132ADC" w:rsidRPr="00F07099">
        <w:rPr>
          <w:bCs/>
        </w:rPr>
        <w:t>m</w:t>
      </w:r>
      <w:r w:rsidR="00741E2E" w:rsidRPr="00F07099">
        <w:rPr>
          <w:bCs/>
        </w:rPr>
        <w:t>usculoskeletal</w:t>
      </w:r>
      <w:r w:rsidRPr="00F07099">
        <w:rPr>
          <w:bCs/>
        </w:rPr>
        <w:t xml:space="preserve"> </w:t>
      </w:r>
      <w:r w:rsidR="00132ADC" w:rsidRPr="00F07099">
        <w:rPr>
          <w:bCs/>
        </w:rPr>
        <w:t>p</w:t>
      </w:r>
      <w:r w:rsidRPr="00F07099">
        <w:rPr>
          <w:bCs/>
        </w:rPr>
        <w:t>ain group, e</w:t>
      </w:r>
      <w:r w:rsidR="00462748" w:rsidRPr="00F07099">
        <w:rPr>
          <w:bCs/>
        </w:rPr>
        <w:t>ligible patients are a</w:t>
      </w:r>
      <w:r w:rsidR="000D4EF0" w:rsidRPr="00F07099">
        <w:rPr>
          <w:bCs/>
        </w:rPr>
        <w:t>dult</w:t>
      </w:r>
      <w:r w:rsidR="00462748" w:rsidRPr="00F07099">
        <w:rPr>
          <w:bCs/>
        </w:rPr>
        <w:t>s</w:t>
      </w:r>
      <w:r w:rsidR="000D4EF0" w:rsidRPr="00F07099">
        <w:t xml:space="preserve"> (18+); verbally consulting a participating practitioner about new, recurrent, or ongoing </w:t>
      </w:r>
      <w:r w:rsidR="00741E2E" w:rsidRPr="00F07099">
        <w:t>musculoskeletal</w:t>
      </w:r>
      <w:r w:rsidR="000D4EF0" w:rsidRPr="00F07099">
        <w:t xml:space="preserve"> pain (e.g. back, hip, </w:t>
      </w:r>
      <w:r w:rsidR="00DE6FA2" w:rsidRPr="00F07099">
        <w:t>upper/lower extremity</w:t>
      </w:r>
      <w:r w:rsidR="000D4EF0" w:rsidRPr="00F07099">
        <w:t xml:space="preserve">, neck pain - consistent with ICD-11’s diseases of the </w:t>
      </w:r>
      <w:r w:rsidR="00741E2E" w:rsidRPr="00F07099">
        <w:t>musculoskeletal</w:t>
      </w:r>
      <w:r w:rsidR="000D4EF0" w:rsidRPr="00F07099">
        <w:t xml:space="preserve"> system</w:t>
      </w:r>
      <w:r w:rsidR="00F07099">
        <w:t>[</w:t>
      </w:r>
      <w:r w:rsidR="0095486E" w:rsidRPr="00F07099">
        <w:rPr>
          <w:noProof/>
        </w:rPr>
        <w:t>36</w:t>
      </w:r>
      <w:r w:rsidR="00F07099">
        <w:rPr>
          <w:noProof/>
        </w:rPr>
        <w:t>]</w:t>
      </w:r>
      <w:r w:rsidR="000D4EF0" w:rsidRPr="00F07099">
        <w:t xml:space="preserve">); reporting average pain in the last week as 4 or more on numerical rating </w:t>
      </w:r>
      <w:r w:rsidR="005F2DE2" w:rsidRPr="00F07099">
        <w:t xml:space="preserve">scale </w:t>
      </w:r>
      <w:r w:rsidR="000D4EF0" w:rsidRPr="00F07099">
        <w:t xml:space="preserve">at </w:t>
      </w:r>
      <w:r w:rsidR="00BB6DF0" w:rsidRPr="00F07099">
        <w:t xml:space="preserve">baseline </w:t>
      </w:r>
      <w:r w:rsidR="000D4EF0" w:rsidRPr="00F07099">
        <w:t xml:space="preserve">(0 = no pain; 10 = pain as bad as you can imagine); consulting face-to-face , telephone, </w:t>
      </w:r>
      <w:r w:rsidR="00BB6DF0" w:rsidRPr="00F07099">
        <w:t xml:space="preserve">or </w:t>
      </w:r>
      <w:r w:rsidR="000D4EF0" w:rsidRPr="00F07099">
        <w:t>videoconference</w:t>
      </w:r>
      <w:r w:rsidR="00B832A5" w:rsidRPr="00F07099">
        <w:t>;</w:t>
      </w:r>
      <w:r w:rsidR="00BB6DF0" w:rsidRPr="00F07099">
        <w:t xml:space="preserve"> </w:t>
      </w:r>
      <w:r w:rsidR="00B832A5" w:rsidRPr="00F07099">
        <w:t xml:space="preserve">able to </w:t>
      </w:r>
      <w:r w:rsidR="000D4EF0" w:rsidRPr="00F07099">
        <w:t>give informed consent.</w:t>
      </w:r>
      <w:bookmarkEnd w:id="4"/>
      <w:r w:rsidR="007F00D9" w:rsidRPr="00F07099">
        <w:t xml:space="preserve"> T</w:t>
      </w:r>
      <w:r w:rsidR="000D4EF0" w:rsidRPr="00F07099">
        <w:t xml:space="preserve">he first consultation </w:t>
      </w:r>
      <w:r w:rsidR="00F4341D" w:rsidRPr="00F07099">
        <w:t>i</w:t>
      </w:r>
      <w:r w:rsidR="000D4EF0" w:rsidRPr="00F07099">
        <w:t>s the ‘index’ consultation</w:t>
      </w:r>
      <w:r w:rsidR="007F00D9" w:rsidRPr="00F07099">
        <w:t>, a</w:t>
      </w:r>
      <w:r w:rsidR="000D4EF0" w:rsidRPr="00F07099">
        <w:t xml:space="preserve">n initial triage interaction </w:t>
      </w:r>
      <w:r w:rsidR="00822533" w:rsidRPr="00F07099">
        <w:t xml:space="preserve">does </w:t>
      </w:r>
      <w:r w:rsidR="000D4EF0" w:rsidRPr="00F07099">
        <w:t>not co</w:t>
      </w:r>
      <w:r w:rsidR="007F00D9" w:rsidRPr="00F07099">
        <w:t>nstitute</w:t>
      </w:r>
      <w:r w:rsidR="000D4EF0" w:rsidRPr="00F07099">
        <w:t xml:space="preserve"> an ‘index’ consultation</w:t>
      </w:r>
      <w:r w:rsidR="00857B79" w:rsidRPr="00F07099">
        <w:t>. P</w:t>
      </w:r>
      <w:r w:rsidR="000D4EF0" w:rsidRPr="00F07099">
        <w:t xml:space="preserve">eople </w:t>
      </w:r>
      <w:r w:rsidR="00857B79" w:rsidRPr="00F07099">
        <w:t>without</w:t>
      </w:r>
      <w:r w:rsidR="000D4EF0" w:rsidRPr="00F07099">
        <w:t xml:space="preserve"> English </w:t>
      </w:r>
      <w:r w:rsidR="00857B79" w:rsidRPr="00F07099">
        <w:t xml:space="preserve">as a first language </w:t>
      </w:r>
      <w:r w:rsidR="00990111" w:rsidRPr="00F07099">
        <w:t xml:space="preserve">are </w:t>
      </w:r>
      <w:r w:rsidR="000D4EF0" w:rsidRPr="00F07099">
        <w:t>eligible</w:t>
      </w:r>
      <w:r w:rsidR="001920E1" w:rsidRPr="00F07099">
        <w:t xml:space="preserve">, </w:t>
      </w:r>
      <w:r w:rsidR="000D4EF0" w:rsidRPr="00F07099">
        <w:t>interpreter</w:t>
      </w:r>
      <w:r w:rsidR="001920E1" w:rsidRPr="00F07099">
        <w:t>s</w:t>
      </w:r>
      <w:r w:rsidR="000D4EF0" w:rsidRPr="00F07099">
        <w:t xml:space="preserve"> </w:t>
      </w:r>
      <w:r w:rsidR="00990111" w:rsidRPr="00F07099">
        <w:t xml:space="preserve">are </w:t>
      </w:r>
      <w:r w:rsidR="00CA5CF3" w:rsidRPr="00F07099">
        <w:t xml:space="preserve">available </w:t>
      </w:r>
      <w:r w:rsidR="000D4EF0" w:rsidRPr="00F07099">
        <w:t xml:space="preserve">to support access </w:t>
      </w:r>
      <w:r w:rsidR="001B5F58" w:rsidRPr="00F07099">
        <w:t>to</w:t>
      </w:r>
      <w:r w:rsidR="000D4EF0" w:rsidRPr="00F07099">
        <w:t xml:space="preserve"> trial paperwork and patient-reported measures</w:t>
      </w:r>
      <w:r w:rsidR="00DB7129" w:rsidRPr="00F07099">
        <w:t xml:space="preserve">, and </w:t>
      </w:r>
      <w:r w:rsidR="00A14DC1" w:rsidRPr="00F07099">
        <w:t xml:space="preserve">their use </w:t>
      </w:r>
      <w:r w:rsidR="00DB7129" w:rsidRPr="00F07099">
        <w:t>is recorded</w:t>
      </w:r>
      <w:r w:rsidR="000D4EF0" w:rsidRPr="00F07099">
        <w:t>; informal interpreter</w:t>
      </w:r>
      <w:r w:rsidR="00777985" w:rsidRPr="00F07099">
        <w:t>s (e.g., family)</w:t>
      </w:r>
      <w:r w:rsidR="00707DB4" w:rsidRPr="00F07099">
        <w:t xml:space="preserve"> </w:t>
      </w:r>
      <w:r w:rsidR="00777985" w:rsidRPr="00F07099">
        <w:t xml:space="preserve">may </w:t>
      </w:r>
      <w:r w:rsidR="00707DB4" w:rsidRPr="00F07099">
        <w:t>also</w:t>
      </w:r>
      <w:r w:rsidR="000D4EF0" w:rsidRPr="00F07099">
        <w:t xml:space="preserve"> support</w:t>
      </w:r>
      <w:r w:rsidR="0079264D" w:rsidRPr="00F07099">
        <w:t>.</w:t>
      </w:r>
      <w:r w:rsidR="000D4EF0" w:rsidRPr="00F07099">
        <w:t xml:space="preserve"> </w:t>
      </w:r>
    </w:p>
    <w:p w14:paraId="30355FCC" w14:textId="43CCB442" w:rsidR="000D4EF0" w:rsidRPr="00CA087A" w:rsidRDefault="00960689" w:rsidP="00CA087A">
      <w:r>
        <w:rPr>
          <w:bCs/>
        </w:rPr>
        <w:lastRenderedPageBreak/>
        <w:t xml:space="preserve">Excluded: patients </w:t>
      </w:r>
      <w:r w:rsidR="00610DEB">
        <w:rPr>
          <w:bCs/>
        </w:rPr>
        <w:t>c</w:t>
      </w:r>
      <w:r w:rsidR="000D4EF0" w:rsidRPr="00CA087A">
        <w:t xml:space="preserve">onsulting </w:t>
      </w:r>
      <w:r w:rsidR="000D4EF0" w:rsidRPr="00CA087A">
        <w:rPr>
          <w:u w:val="single"/>
        </w:rPr>
        <w:t>solely</w:t>
      </w:r>
      <w:r w:rsidR="000D4EF0" w:rsidRPr="00CA087A">
        <w:t xml:space="preserve"> in written forms</w:t>
      </w:r>
      <w:r w:rsidR="00AE707F">
        <w:t xml:space="preserve"> (</w:t>
      </w:r>
      <w:r w:rsidR="000D4EF0" w:rsidRPr="00CA087A">
        <w:t>e.g., e-consult/email</w:t>
      </w:r>
      <w:r w:rsidR="00AE707F">
        <w:t>)</w:t>
      </w:r>
      <w:r w:rsidR="000D4EF0" w:rsidRPr="00CA087A">
        <w:t xml:space="preserve">; </w:t>
      </w:r>
      <w:r w:rsidR="009F4AE2" w:rsidRPr="00CA087A">
        <w:t xml:space="preserve">pain caused by </w:t>
      </w:r>
      <w:r w:rsidR="000D4EF0" w:rsidRPr="00CA087A">
        <w:t>malignan</w:t>
      </w:r>
      <w:r w:rsidR="00525BEA" w:rsidRPr="00CA087A">
        <w:t>cy</w:t>
      </w:r>
      <w:r w:rsidR="000D4EF0" w:rsidRPr="00CA087A">
        <w:t>; unable to consent</w:t>
      </w:r>
      <w:r w:rsidR="00525BEA" w:rsidRPr="00CA087A">
        <w:t xml:space="preserve"> or</w:t>
      </w:r>
      <w:r w:rsidR="000D4EF0" w:rsidRPr="00CA087A">
        <w:t xml:space="preserve"> to complete questionnaires (</w:t>
      </w:r>
      <w:r w:rsidR="00525BEA" w:rsidRPr="00CA087A">
        <w:t>e.g.</w:t>
      </w:r>
      <w:r w:rsidR="00AE707F">
        <w:t>,</w:t>
      </w:r>
      <w:r w:rsidR="00525BEA" w:rsidRPr="00CA087A">
        <w:t xml:space="preserve"> </w:t>
      </w:r>
      <w:r w:rsidR="000D4EF0" w:rsidRPr="00CA087A">
        <w:t xml:space="preserve">severe mental illness or distress, terminal illness); already enrolled in the trial </w:t>
      </w:r>
      <w:bookmarkEnd w:id="5"/>
      <w:r w:rsidR="00AE707F">
        <w:t xml:space="preserve">(i.e., </w:t>
      </w:r>
      <w:r w:rsidR="00B718FC" w:rsidRPr="00CA087A">
        <w:t>from a previous consultation</w:t>
      </w:r>
      <w:r w:rsidR="00AE707F">
        <w:t>)</w:t>
      </w:r>
      <w:r w:rsidR="00637931">
        <w:t>; aged &lt;18</w:t>
      </w:r>
      <w:r w:rsidR="000D4EF0" w:rsidRPr="00CA087A">
        <w:t xml:space="preserve">. </w:t>
      </w:r>
    </w:p>
    <w:bookmarkEnd w:id="6"/>
    <w:p w14:paraId="7C482338" w14:textId="73F66357" w:rsidR="00FE4E35" w:rsidRDefault="00FE4E35" w:rsidP="00FE4E35">
      <w:pPr>
        <w:pStyle w:val="Heading3"/>
      </w:pPr>
      <w:r>
        <w:t>All-Comer Patients Eligibility Criteria</w:t>
      </w:r>
    </w:p>
    <w:p w14:paraId="461097F8" w14:textId="016695DA" w:rsidR="00FE4E35" w:rsidRDefault="00FE4E35" w:rsidP="00CA087A">
      <w:pPr>
        <w:rPr>
          <w:b/>
        </w:rPr>
      </w:pPr>
      <w:r>
        <w:rPr>
          <w:bCs/>
        </w:rPr>
        <w:t xml:space="preserve">For the </w:t>
      </w:r>
      <w:r w:rsidR="004C7E63">
        <w:rPr>
          <w:bCs/>
        </w:rPr>
        <w:t>a</w:t>
      </w:r>
      <w:r>
        <w:rPr>
          <w:bCs/>
        </w:rPr>
        <w:t>ll-</w:t>
      </w:r>
      <w:r w:rsidR="004C7E63">
        <w:rPr>
          <w:bCs/>
        </w:rPr>
        <w:t>c</w:t>
      </w:r>
      <w:r>
        <w:rPr>
          <w:bCs/>
        </w:rPr>
        <w:t>omers group, e</w:t>
      </w:r>
      <w:r w:rsidRPr="00462748">
        <w:rPr>
          <w:bCs/>
        </w:rPr>
        <w:t xml:space="preserve">ligible patients </w:t>
      </w:r>
      <w:r>
        <w:rPr>
          <w:bCs/>
        </w:rPr>
        <w:t>are a</w:t>
      </w:r>
      <w:r w:rsidR="000D4EF0" w:rsidRPr="00CA087A">
        <w:t>dult</w:t>
      </w:r>
      <w:r>
        <w:t>s</w:t>
      </w:r>
      <w:r w:rsidR="000D4EF0" w:rsidRPr="00CA087A">
        <w:t xml:space="preserve"> (18+); verbally consulting a participating practitioner about something other than </w:t>
      </w:r>
      <w:r w:rsidR="00741E2E">
        <w:t>musculoskeletal</w:t>
      </w:r>
      <w:r w:rsidR="000D4EF0" w:rsidRPr="00CA087A">
        <w:t xml:space="preserve"> pain</w:t>
      </w:r>
      <w:r w:rsidR="0035188C" w:rsidRPr="0035188C">
        <w:t xml:space="preserve"> </w:t>
      </w:r>
      <w:r w:rsidR="0035188C">
        <w:t xml:space="preserve">or </w:t>
      </w:r>
      <w:r w:rsidR="0035188C" w:rsidRPr="00CA087A">
        <w:t xml:space="preserve">consulting for </w:t>
      </w:r>
      <w:r w:rsidR="00741E2E">
        <w:t>musculoskeletal</w:t>
      </w:r>
      <w:r w:rsidR="0035188C" w:rsidRPr="00CA087A">
        <w:t xml:space="preserve"> pain </w:t>
      </w:r>
      <w:r w:rsidR="00C31EF0">
        <w:t xml:space="preserve">and rating </w:t>
      </w:r>
      <w:r w:rsidR="0035188C" w:rsidRPr="00CA087A">
        <w:t xml:space="preserve">average pain in last week </w:t>
      </w:r>
      <w:r w:rsidR="00C31EF0">
        <w:t xml:space="preserve">as less than </w:t>
      </w:r>
      <w:r w:rsidR="0035188C" w:rsidRPr="00CA087A">
        <w:t xml:space="preserve">4 </w:t>
      </w:r>
      <w:r w:rsidR="00841173">
        <w:t>at baseline</w:t>
      </w:r>
      <w:r w:rsidR="000D4EF0" w:rsidRPr="00CA087A">
        <w:t xml:space="preserve">; </w:t>
      </w:r>
      <w:r w:rsidR="0035188C">
        <w:t xml:space="preserve">able </w:t>
      </w:r>
      <w:r w:rsidR="000D4EF0" w:rsidRPr="00CA087A">
        <w:t>to give informed consent.</w:t>
      </w:r>
      <w:r w:rsidR="008C316D" w:rsidRPr="00CA087A">
        <w:t xml:space="preserve"> </w:t>
      </w:r>
    </w:p>
    <w:p w14:paraId="557D0AE2" w14:textId="7A4DCF72" w:rsidR="00BF0F0E" w:rsidRDefault="00960689" w:rsidP="00CA087A">
      <w:r>
        <w:rPr>
          <w:bCs/>
        </w:rPr>
        <w:t xml:space="preserve">Excluded: </w:t>
      </w:r>
      <w:r w:rsidR="00F6491B">
        <w:rPr>
          <w:bCs/>
        </w:rPr>
        <w:t xml:space="preserve">As for patients with </w:t>
      </w:r>
      <w:r w:rsidR="00741E2E">
        <w:rPr>
          <w:bCs/>
        </w:rPr>
        <w:t>musculoskeletal</w:t>
      </w:r>
      <w:r w:rsidR="00F6491B">
        <w:rPr>
          <w:bCs/>
        </w:rPr>
        <w:t xml:space="preserve"> pain.  </w:t>
      </w:r>
    </w:p>
    <w:p w14:paraId="34BAD16C" w14:textId="77777777" w:rsidR="00C5762F" w:rsidRPr="00CA087A" w:rsidRDefault="00C5762F" w:rsidP="00CA087A"/>
    <w:p w14:paraId="53BF17BC" w14:textId="7FF6E915" w:rsidR="00BF0F0E" w:rsidRDefault="00494128" w:rsidP="00CD6E68">
      <w:pPr>
        <w:pStyle w:val="Heading2"/>
      </w:pPr>
      <w:r w:rsidRPr="00CA087A">
        <w:t>I</w:t>
      </w:r>
      <w:r w:rsidR="00BF0F0E" w:rsidRPr="00CA087A">
        <w:t>ntervention</w:t>
      </w:r>
      <w:r w:rsidR="00F50CBA">
        <w:t>s</w:t>
      </w:r>
    </w:p>
    <w:p w14:paraId="714D2053" w14:textId="6B55F7D5" w:rsidR="00F50CBA" w:rsidRPr="00F50CBA" w:rsidRDefault="00F50CBA" w:rsidP="00F50CBA">
      <w:pPr>
        <w:pStyle w:val="Heading3"/>
      </w:pPr>
      <w:r w:rsidRPr="00F1379B">
        <w:t>EMPathicO</w:t>
      </w:r>
      <w:r>
        <w:t xml:space="preserve"> e-Learning Package</w:t>
      </w:r>
    </w:p>
    <w:p w14:paraId="065E5F9D" w14:textId="1792757B" w:rsidR="007524E4" w:rsidRPr="0057669C" w:rsidRDefault="00BF0F0E" w:rsidP="00BF0F0E">
      <w:pPr>
        <w:rPr>
          <w:rFonts w:cstheme="minorHAnsi"/>
        </w:rPr>
      </w:pPr>
      <w:r w:rsidRPr="0057669C">
        <w:rPr>
          <w:rFonts w:cstheme="minorHAnsi"/>
        </w:rPr>
        <w:t>EMPathicO</w:t>
      </w:r>
      <w:r w:rsidR="009F4AE2" w:rsidRPr="0057669C">
        <w:rPr>
          <w:rFonts w:cstheme="minorHAnsi"/>
        </w:rPr>
        <w:t xml:space="preserve"> is</w:t>
      </w:r>
      <w:r w:rsidRPr="0057669C">
        <w:rPr>
          <w:rFonts w:cstheme="minorHAnsi"/>
        </w:rPr>
        <w:t xml:space="preserve"> an evidence-based </w:t>
      </w:r>
      <w:proofErr w:type="gramStart"/>
      <w:r w:rsidRPr="0057669C">
        <w:rPr>
          <w:rFonts w:cstheme="minorHAnsi"/>
        </w:rPr>
        <w:t>theoretically-grounded</w:t>
      </w:r>
      <w:proofErr w:type="gramEnd"/>
      <w:r w:rsidRPr="0057669C">
        <w:rPr>
          <w:rFonts w:cstheme="minorHAnsi"/>
        </w:rPr>
        <w:t xml:space="preserve"> digital e-learning package for practitioners</w:t>
      </w:r>
      <w:r w:rsidR="005C0613" w:rsidRPr="0057669C">
        <w:rPr>
          <w:rFonts w:cstheme="minorHAnsi"/>
        </w:rPr>
        <w:t xml:space="preserve"> </w:t>
      </w:r>
      <w:r w:rsidRPr="0057669C">
        <w:rPr>
          <w:rFonts w:cstheme="minorHAnsi"/>
        </w:rPr>
        <w:t>routinely seeing patients frontline in primary medical care, including GPs</w:t>
      </w:r>
      <w:r w:rsidR="000C0E78" w:rsidRPr="0057669C">
        <w:rPr>
          <w:rFonts w:cstheme="minorHAnsi"/>
        </w:rPr>
        <w:t xml:space="preserve">, </w:t>
      </w:r>
      <w:r w:rsidRPr="0057669C">
        <w:rPr>
          <w:rFonts w:cstheme="minorHAnsi"/>
        </w:rPr>
        <w:t>nurse practitioners and first-contact physiotherapists.</w:t>
      </w:r>
      <w:r w:rsidR="0057669C">
        <w:rPr>
          <w:rFonts w:cstheme="minorHAnsi"/>
        </w:rPr>
        <w:t>[</w:t>
      </w:r>
      <w:r w:rsidR="000054DE" w:rsidRPr="0057669C">
        <w:rPr>
          <w:rFonts w:cstheme="minorHAnsi"/>
          <w:noProof/>
        </w:rPr>
        <w:t>24</w:t>
      </w:r>
      <w:r w:rsidR="0057669C">
        <w:rPr>
          <w:rFonts w:cstheme="minorHAnsi"/>
          <w:noProof/>
        </w:rPr>
        <w:t>]</w:t>
      </w:r>
      <w:r w:rsidRPr="0057669C">
        <w:rPr>
          <w:rFonts w:cstheme="minorHAnsi"/>
        </w:rPr>
        <w:t xml:space="preserve"> EMPathicO helps practitioners enhance their communication of clinical empathy and realistic optimism</w:t>
      </w:r>
      <w:r w:rsidR="006B2149" w:rsidRPr="0057669C">
        <w:rPr>
          <w:rFonts w:cstheme="minorHAnsi"/>
        </w:rPr>
        <w:t xml:space="preserve">, </w:t>
      </w:r>
      <w:r w:rsidRPr="0057669C">
        <w:rPr>
          <w:rFonts w:cstheme="minorHAnsi"/>
        </w:rPr>
        <w:t xml:space="preserve">is consistent with major consultation models including </w:t>
      </w:r>
      <w:r w:rsidR="00F4341D" w:rsidRPr="0057669C">
        <w:rPr>
          <w:rFonts w:cstheme="minorHAnsi"/>
        </w:rPr>
        <w:t>‘</w:t>
      </w:r>
      <w:r w:rsidRPr="0057669C">
        <w:rPr>
          <w:rFonts w:cstheme="minorHAnsi"/>
        </w:rPr>
        <w:t>ICE</w:t>
      </w:r>
      <w:r w:rsidR="00F4341D" w:rsidRPr="0057669C">
        <w:rPr>
          <w:rFonts w:cstheme="minorHAnsi"/>
        </w:rPr>
        <w:t>’</w:t>
      </w:r>
      <w:r w:rsidRPr="0057669C">
        <w:rPr>
          <w:rFonts w:cstheme="minorHAnsi"/>
        </w:rPr>
        <w:t xml:space="preserve"> (Ideas, Concerns and Expectations)</w:t>
      </w:r>
      <w:r w:rsidR="006B2149" w:rsidRPr="0057669C">
        <w:rPr>
          <w:rFonts w:cstheme="minorHAnsi"/>
        </w:rPr>
        <w:t>,</w:t>
      </w:r>
      <w:r w:rsidR="0057669C">
        <w:rPr>
          <w:rFonts w:cstheme="minorHAnsi"/>
        </w:rPr>
        <w:t>[</w:t>
      </w:r>
      <w:r w:rsidR="0095486E" w:rsidRPr="0057669C">
        <w:rPr>
          <w:rFonts w:cstheme="minorHAnsi"/>
          <w:noProof/>
        </w:rPr>
        <w:t>37</w:t>
      </w:r>
      <w:r w:rsidR="0057669C">
        <w:rPr>
          <w:rFonts w:cstheme="minorHAnsi"/>
          <w:noProof/>
        </w:rPr>
        <w:t>]</w:t>
      </w:r>
      <w:r w:rsidRPr="0057669C">
        <w:rPr>
          <w:rFonts w:cstheme="minorHAnsi"/>
        </w:rPr>
        <w:t xml:space="preserve"> </w:t>
      </w:r>
      <w:r w:rsidR="006B2149" w:rsidRPr="0057669C">
        <w:rPr>
          <w:rFonts w:cstheme="minorHAnsi"/>
        </w:rPr>
        <w:t xml:space="preserve">and incorporates </w:t>
      </w:r>
      <w:r w:rsidR="006624CA" w:rsidRPr="0057669C">
        <w:rPr>
          <w:rFonts w:cstheme="minorHAnsi"/>
        </w:rPr>
        <w:t>behaviour change techniques</w:t>
      </w:r>
      <w:r w:rsidR="000841A6" w:rsidRPr="0057669C">
        <w:rPr>
          <w:rFonts w:cstheme="minorHAnsi"/>
        </w:rPr>
        <w:t xml:space="preserve">. </w:t>
      </w:r>
      <w:r w:rsidR="00FA39F4" w:rsidRPr="0057669C">
        <w:rPr>
          <w:rFonts w:cstheme="minorHAnsi"/>
        </w:rPr>
        <w:t xml:space="preserve">Using the Behaviour Change Wheel, EMPathicO </w:t>
      </w:r>
      <w:r w:rsidR="007524E4" w:rsidRPr="0057669C">
        <w:rPr>
          <w:rFonts w:cstheme="minorHAnsi"/>
        </w:rPr>
        <w:t xml:space="preserve">was designed to </w:t>
      </w:r>
      <w:r w:rsidR="001F1CCC" w:rsidRPr="0057669C">
        <w:rPr>
          <w:rFonts w:cstheme="minorHAnsi"/>
        </w:rPr>
        <w:t>target users’ motivation (reflective, autonomic), capability (physical, psychological)</w:t>
      </w:r>
      <w:r w:rsidR="00FA39F4" w:rsidRPr="0057669C">
        <w:rPr>
          <w:rFonts w:cstheme="minorHAnsi"/>
        </w:rPr>
        <w:t xml:space="preserve">, and opportunity (environmental), through intervention functions </w:t>
      </w:r>
      <w:r w:rsidR="005F3396" w:rsidRPr="0057669C">
        <w:rPr>
          <w:rFonts w:cstheme="minorHAnsi"/>
        </w:rPr>
        <w:t xml:space="preserve">of </w:t>
      </w:r>
      <w:r w:rsidR="00FA39F4" w:rsidRPr="0057669C">
        <w:rPr>
          <w:rFonts w:cstheme="minorHAnsi"/>
        </w:rPr>
        <w:t xml:space="preserve">persuasion, incentivization, enablement, </w:t>
      </w:r>
      <w:r w:rsidR="005F3396" w:rsidRPr="0057669C">
        <w:rPr>
          <w:rFonts w:cstheme="minorHAnsi"/>
        </w:rPr>
        <w:t>education, training, modelling, and environment restructuring</w:t>
      </w:r>
      <w:r w:rsidR="00FA39F4" w:rsidRPr="0057669C">
        <w:rPr>
          <w:rFonts w:cstheme="minorHAnsi"/>
        </w:rPr>
        <w:t>.</w:t>
      </w:r>
      <w:r w:rsidR="005F3396" w:rsidRPr="0057669C">
        <w:rPr>
          <w:rFonts w:cstheme="minorHAnsi"/>
        </w:rPr>
        <w:t xml:space="preserve"> Multiple Behaviour Change Techniques were used to achieve these functions, including </w:t>
      </w:r>
      <w:r w:rsidR="00EF4E83" w:rsidRPr="0057669C">
        <w:rPr>
          <w:rFonts w:cstheme="minorHAnsi"/>
        </w:rPr>
        <w:t xml:space="preserve">demonstration, information provision, </w:t>
      </w:r>
      <w:proofErr w:type="gramStart"/>
      <w:r w:rsidR="00EF4E83" w:rsidRPr="0057669C">
        <w:rPr>
          <w:rFonts w:cstheme="minorHAnsi"/>
        </w:rPr>
        <w:t>goal-setting</w:t>
      </w:r>
      <w:proofErr w:type="gramEnd"/>
      <w:r w:rsidR="00EF4E83" w:rsidRPr="0057669C">
        <w:rPr>
          <w:rFonts w:cstheme="minorHAnsi"/>
        </w:rPr>
        <w:t>, action planning</w:t>
      </w:r>
      <w:r w:rsidR="00832CDB" w:rsidRPr="0057669C">
        <w:rPr>
          <w:rFonts w:cstheme="minorHAnsi"/>
        </w:rPr>
        <w:t xml:space="preserve">, and instruction. For a complete behavioural analysis of EMPathicO see </w:t>
      </w:r>
      <w:r w:rsidR="008F51C3" w:rsidRPr="0057669C">
        <w:rPr>
          <w:rFonts w:cstheme="minorHAnsi"/>
        </w:rPr>
        <w:t>supplementary material in our intervention development paper.</w:t>
      </w:r>
      <w:r w:rsidR="0057669C">
        <w:rPr>
          <w:rFonts w:cstheme="minorHAnsi"/>
        </w:rPr>
        <w:t>[</w:t>
      </w:r>
      <w:r w:rsidR="008F51C3" w:rsidRPr="0057669C">
        <w:rPr>
          <w:rFonts w:cstheme="minorHAnsi"/>
          <w:noProof/>
        </w:rPr>
        <w:t>24</w:t>
      </w:r>
      <w:r w:rsidR="0057669C">
        <w:rPr>
          <w:rFonts w:cstheme="minorHAnsi"/>
          <w:noProof/>
        </w:rPr>
        <w:t>]</w:t>
      </w:r>
      <w:r w:rsidR="00832CDB" w:rsidRPr="0057669C">
        <w:rPr>
          <w:rFonts w:cstheme="minorHAnsi"/>
        </w:rPr>
        <w:t xml:space="preserve"> </w:t>
      </w:r>
    </w:p>
    <w:p w14:paraId="476FF61D" w14:textId="46097316" w:rsidR="00F50CBA" w:rsidRPr="00CC7FA8" w:rsidRDefault="000841A6" w:rsidP="00BF0F0E">
      <w:r>
        <w:t xml:space="preserve">The </w:t>
      </w:r>
      <w:r w:rsidR="00F50CBA" w:rsidRPr="00290829">
        <w:t xml:space="preserve">brief interactive e-learning modules </w:t>
      </w:r>
      <w:r w:rsidR="00174BC0">
        <w:t xml:space="preserve">are completed by </w:t>
      </w:r>
      <w:r w:rsidR="00D644B8">
        <w:t xml:space="preserve">practitioners and </w:t>
      </w:r>
      <w:r w:rsidR="00804143">
        <w:t xml:space="preserve">can be completed </w:t>
      </w:r>
      <w:r w:rsidR="00315ECE">
        <w:t>separately</w:t>
      </w:r>
      <w:r w:rsidR="001B36CB">
        <w:t xml:space="preserve"> or</w:t>
      </w:r>
      <w:r w:rsidR="00315ECE">
        <w:t xml:space="preserve"> </w:t>
      </w:r>
      <w:r w:rsidR="001B36CB">
        <w:t xml:space="preserve">together in less than 75 minutes </w:t>
      </w:r>
      <w:r w:rsidR="00315ECE">
        <w:t xml:space="preserve">and </w:t>
      </w:r>
      <w:r w:rsidR="00325024">
        <w:t xml:space="preserve">cover </w:t>
      </w:r>
      <w:r w:rsidR="00F50CBA" w:rsidRPr="00290829">
        <w:t>clinical empathy, realistic optimism</w:t>
      </w:r>
      <w:r w:rsidR="00FF3827">
        <w:t>,</w:t>
      </w:r>
      <w:r w:rsidR="00F50CBA" w:rsidRPr="00290829">
        <w:t xml:space="preserve"> tailoring </w:t>
      </w:r>
      <w:r w:rsidR="00315ECE">
        <w:t xml:space="preserve">empathy and optimism </w:t>
      </w:r>
      <w:r w:rsidR="00F50CBA" w:rsidRPr="00290829">
        <w:t xml:space="preserve">for patients with </w:t>
      </w:r>
      <w:r w:rsidR="003F787B">
        <w:t xml:space="preserve">osteoarthritis (a common cause of </w:t>
      </w:r>
      <w:r w:rsidR="00741E2E">
        <w:t>musculoskeletal</w:t>
      </w:r>
      <w:r w:rsidR="00325024">
        <w:t xml:space="preserve"> </w:t>
      </w:r>
      <w:r w:rsidR="00F50CBA" w:rsidRPr="00290829">
        <w:t>pain</w:t>
      </w:r>
      <w:r w:rsidR="003F787B">
        <w:t>)</w:t>
      </w:r>
      <w:r w:rsidR="00F50CBA" w:rsidRPr="00290829">
        <w:t xml:space="preserve">, </w:t>
      </w:r>
      <w:r w:rsidR="00641E6F">
        <w:t xml:space="preserve">evaluating </w:t>
      </w:r>
      <w:r w:rsidR="00F50CBA" w:rsidRPr="00290829">
        <w:t>one’s own consultations</w:t>
      </w:r>
      <w:r w:rsidR="00FF3827">
        <w:t>,</w:t>
      </w:r>
      <w:r w:rsidR="00F50CBA" w:rsidRPr="00290829">
        <w:t xml:space="preserve"> and </w:t>
      </w:r>
      <w:proofErr w:type="gramStart"/>
      <w:r w:rsidR="00FF3827" w:rsidRPr="00290829">
        <w:t>goal</w:t>
      </w:r>
      <w:r w:rsidR="00EE1BE6">
        <w:t>-</w:t>
      </w:r>
      <w:r w:rsidR="00FF3827" w:rsidRPr="00290829">
        <w:t>setting</w:t>
      </w:r>
      <w:proofErr w:type="gramEnd"/>
      <w:r w:rsidR="00D644B8">
        <w:t>.</w:t>
      </w:r>
      <w:r w:rsidR="0099224E">
        <w:t xml:space="preserve"> Figure 1</w:t>
      </w:r>
      <w:r w:rsidR="00D644B8">
        <w:t xml:space="preserve"> summarises the </w:t>
      </w:r>
      <w:r w:rsidR="000D5CCA">
        <w:t>structure and contents of the modules</w:t>
      </w:r>
      <w:r w:rsidR="00F50CBA" w:rsidRPr="00290829">
        <w:t xml:space="preserve">. </w:t>
      </w:r>
      <w:r w:rsidR="006E730D">
        <w:t xml:space="preserve"> </w:t>
      </w:r>
      <w:r w:rsidR="006E730D" w:rsidRPr="00F1379B">
        <w:rPr>
          <w:rFonts w:cstheme="minorHAnsi"/>
        </w:rPr>
        <w:t>EMPathicO</w:t>
      </w:r>
      <w:r w:rsidR="006E730D">
        <w:rPr>
          <w:rFonts w:cstheme="minorHAnsi"/>
        </w:rPr>
        <w:t xml:space="preserve"> </w:t>
      </w:r>
      <w:r w:rsidR="00E63075">
        <w:rPr>
          <w:rFonts w:cstheme="minorHAnsi"/>
        </w:rPr>
        <w:t xml:space="preserve">was developed using </w:t>
      </w:r>
      <w:proofErr w:type="spellStart"/>
      <w:r w:rsidR="006E730D">
        <w:rPr>
          <w:rFonts w:cstheme="minorHAnsi"/>
        </w:rPr>
        <w:t>LifeGuide</w:t>
      </w:r>
      <w:proofErr w:type="spellEnd"/>
      <w:r w:rsidR="00CE56EA">
        <w:rPr>
          <w:rFonts w:cstheme="minorHAnsi"/>
        </w:rPr>
        <w:t xml:space="preserve"> </w:t>
      </w:r>
      <w:r w:rsidR="00CE56EA">
        <w:t xml:space="preserve">open-source software for </w:t>
      </w:r>
      <w:r w:rsidR="00B76974">
        <w:t>c</w:t>
      </w:r>
      <w:r w:rsidR="00CE56EA">
        <w:t xml:space="preserve">reating </w:t>
      </w:r>
      <w:r w:rsidR="00B76974">
        <w:t>o</w:t>
      </w:r>
      <w:r w:rsidR="00CE56EA">
        <w:t xml:space="preserve">nline </w:t>
      </w:r>
      <w:r w:rsidR="00B76974">
        <w:t>i</w:t>
      </w:r>
      <w:r w:rsidR="00CE56EA">
        <w:t xml:space="preserve">nterventions for </w:t>
      </w:r>
      <w:r w:rsidR="00B76974">
        <w:t>h</w:t>
      </w:r>
      <w:r w:rsidR="00CE56EA">
        <w:t xml:space="preserve">ealth </w:t>
      </w:r>
      <w:r w:rsidR="00B76974">
        <w:t>c</w:t>
      </w:r>
      <w:r w:rsidR="00CE56EA">
        <w:t xml:space="preserve">are, </w:t>
      </w:r>
      <w:r w:rsidR="00B76974">
        <w:t>h</w:t>
      </w:r>
      <w:r w:rsidR="00CE56EA">
        <w:t xml:space="preserve">ealth </w:t>
      </w:r>
      <w:r w:rsidR="00B76974">
        <w:t>p</w:t>
      </w:r>
      <w:r w:rsidR="00CE56EA">
        <w:t xml:space="preserve">romotion and </w:t>
      </w:r>
      <w:r w:rsidR="00B76974" w:rsidRPr="00CC7FA8">
        <w:t>t</w:t>
      </w:r>
      <w:r w:rsidR="00CE56EA" w:rsidRPr="00CC7FA8">
        <w:t>raining</w:t>
      </w:r>
      <w:r w:rsidR="006E730D" w:rsidRPr="00CC7FA8">
        <w:rPr>
          <w:rFonts w:cstheme="minorHAnsi"/>
        </w:rPr>
        <w:t>.</w:t>
      </w:r>
      <w:r w:rsidR="00CC7FA8">
        <w:rPr>
          <w:rFonts w:cstheme="minorHAnsi"/>
        </w:rPr>
        <w:t>[</w:t>
      </w:r>
      <w:r w:rsidR="0095486E" w:rsidRPr="00CC7FA8">
        <w:rPr>
          <w:rFonts w:cstheme="minorHAnsi"/>
          <w:noProof/>
        </w:rPr>
        <w:t>38</w:t>
      </w:r>
      <w:r w:rsidR="00CC7FA8">
        <w:rPr>
          <w:rFonts w:cstheme="minorHAnsi"/>
          <w:noProof/>
        </w:rPr>
        <w:t>]</w:t>
      </w:r>
    </w:p>
    <w:p w14:paraId="276DAAB6" w14:textId="77777777" w:rsidR="00841173" w:rsidRDefault="00841173" w:rsidP="00BF0F0E"/>
    <w:p w14:paraId="2D5A786E" w14:textId="270E5EA7" w:rsidR="00841173" w:rsidRPr="00841173" w:rsidRDefault="00841173" w:rsidP="00BF0F0E">
      <w:pPr>
        <w:rPr>
          <w:i/>
          <w:iCs/>
        </w:rPr>
      </w:pPr>
      <w:r w:rsidRPr="00841173">
        <w:rPr>
          <w:i/>
          <w:iCs/>
        </w:rPr>
        <w:t>---Insert Figure 1 Here---</w:t>
      </w:r>
    </w:p>
    <w:p w14:paraId="07DE1072" w14:textId="77777777" w:rsidR="001E5FA3" w:rsidRDefault="001E5FA3" w:rsidP="00BF0F0E"/>
    <w:p w14:paraId="4835EE5A" w14:textId="5DFE3B77" w:rsidR="00BF0F0E" w:rsidRPr="00CC7FA8" w:rsidRDefault="000D139B" w:rsidP="00BF0F0E">
      <w:pPr>
        <w:rPr>
          <w:rFonts w:cstheme="minorHAnsi"/>
        </w:rPr>
      </w:pPr>
      <w:r>
        <w:rPr>
          <w:rFonts w:cstheme="minorHAnsi"/>
        </w:rPr>
        <w:t xml:space="preserve">The systematic process of developing </w:t>
      </w:r>
      <w:r w:rsidRPr="00F1379B">
        <w:rPr>
          <w:rFonts w:cstheme="minorHAnsi"/>
        </w:rPr>
        <w:t>EMPathicO</w:t>
      </w:r>
      <w:r>
        <w:rPr>
          <w:rFonts w:cstheme="minorHAnsi"/>
        </w:rPr>
        <w:t xml:space="preserve"> </w:t>
      </w:r>
      <w:r w:rsidR="00E10662" w:rsidRPr="00F1379B">
        <w:rPr>
          <w:rFonts w:cstheme="minorHAnsi"/>
        </w:rPr>
        <w:t>us</w:t>
      </w:r>
      <w:r w:rsidR="00E10662">
        <w:rPr>
          <w:rFonts w:cstheme="minorHAnsi"/>
        </w:rPr>
        <w:t>ing</w:t>
      </w:r>
      <w:r w:rsidR="00E10662" w:rsidRPr="00F1379B">
        <w:rPr>
          <w:rFonts w:cstheme="minorHAnsi"/>
        </w:rPr>
        <w:t xml:space="preserve"> the person-</w:t>
      </w:r>
      <w:r w:rsidR="00E10662" w:rsidRPr="00CC7FA8">
        <w:rPr>
          <w:rFonts w:cstheme="minorHAnsi"/>
        </w:rPr>
        <w:t xml:space="preserve">based </w:t>
      </w:r>
      <w:proofErr w:type="gramStart"/>
      <w:r w:rsidR="00E10662" w:rsidRPr="00CC7FA8">
        <w:rPr>
          <w:rFonts w:cstheme="minorHAnsi"/>
        </w:rPr>
        <w:t>approach</w:t>
      </w:r>
      <w:r w:rsidR="00CC7FA8">
        <w:rPr>
          <w:rFonts w:cstheme="minorHAnsi"/>
        </w:rPr>
        <w:t>[</w:t>
      </w:r>
      <w:proofErr w:type="gramEnd"/>
      <w:r w:rsidR="0095486E" w:rsidRPr="00CC7FA8">
        <w:rPr>
          <w:rFonts w:cstheme="minorHAnsi"/>
          <w:noProof/>
        </w:rPr>
        <w:t>39</w:t>
      </w:r>
      <w:r w:rsidR="00CC7FA8">
        <w:rPr>
          <w:rFonts w:cstheme="minorHAnsi"/>
          <w:noProof/>
        </w:rPr>
        <w:t>]</w:t>
      </w:r>
      <w:r w:rsidR="00E10662" w:rsidRPr="00CC7FA8">
        <w:rPr>
          <w:rFonts w:cstheme="minorHAnsi"/>
        </w:rPr>
        <w:t xml:space="preserve"> </w:t>
      </w:r>
      <w:r w:rsidRPr="00CC7FA8">
        <w:rPr>
          <w:rFonts w:cstheme="minorHAnsi"/>
        </w:rPr>
        <w:t xml:space="preserve">involved </w:t>
      </w:r>
      <w:r w:rsidR="003A2611" w:rsidRPr="00CC7FA8">
        <w:rPr>
          <w:rFonts w:cstheme="minorHAnsi"/>
        </w:rPr>
        <w:t xml:space="preserve">multiple literature reviews, </w:t>
      </w:r>
      <w:r w:rsidR="0037676F" w:rsidRPr="00CC7FA8">
        <w:rPr>
          <w:rFonts w:cstheme="minorHAnsi"/>
        </w:rPr>
        <w:t xml:space="preserve">behavioural analysis, and </w:t>
      </w:r>
      <w:r w:rsidRPr="00CC7FA8">
        <w:rPr>
          <w:rFonts w:cstheme="minorHAnsi"/>
        </w:rPr>
        <w:t>extensive iterative qualitative research</w:t>
      </w:r>
      <w:r w:rsidR="003A2611" w:rsidRPr="00CC7FA8">
        <w:rPr>
          <w:rFonts w:cstheme="minorHAnsi"/>
        </w:rPr>
        <w:t>.</w:t>
      </w:r>
      <w:bookmarkStart w:id="7" w:name="_Hlk73441541"/>
      <w:r w:rsidR="00CC7FA8">
        <w:rPr>
          <w:rFonts w:cstheme="minorHAnsi"/>
        </w:rPr>
        <w:t>[</w:t>
      </w:r>
      <w:r w:rsidR="0095486E" w:rsidRPr="00CC7FA8">
        <w:rPr>
          <w:rFonts w:cstheme="minorHAnsi"/>
          <w:iCs/>
          <w:noProof/>
        </w:rPr>
        <w:t>40-46</w:t>
      </w:r>
      <w:r w:rsidR="00CC7FA8">
        <w:rPr>
          <w:rFonts w:cstheme="minorHAnsi"/>
          <w:iCs/>
          <w:noProof/>
        </w:rPr>
        <w:t>]</w:t>
      </w:r>
      <w:r w:rsidR="00BF0F0E" w:rsidRPr="00CC7FA8">
        <w:rPr>
          <w:rFonts w:cstheme="minorHAnsi"/>
          <w:iCs/>
        </w:rPr>
        <w:t xml:space="preserve"> </w:t>
      </w:r>
      <w:r w:rsidR="00BF0F0E" w:rsidRPr="00CC7FA8">
        <w:rPr>
          <w:rFonts w:cstheme="minorHAnsi"/>
        </w:rPr>
        <w:t xml:space="preserve">This work all contributed to the underpinning logic model (Figure </w:t>
      </w:r>
      <w:r w:rsidR="0099224E" w:rsidRPr="00CC7FA8">
        <w:rPr>
          <w:rFonts w:cstheme="minorHAnsi"/>
        </w:rPr>
        <w:t>2</w:t>
      </w:r>
      <w:r w:rsidR="00BF0F0E" w:rsidRPr="00CC7FA8">
        <w:rPr>
          <w:rFonts w:cstheme="minorHAnsi"/>
        </w:rPr>
        <w:t>).</w:t>
      </w:r>
      <w:r w:rsidR="00CC7FA8">
        <w:rPr>
          <w:rFonts w:cstheme="minorHAnsi"/>
        </w:rPr>
        <w:t>[</w:t>
      </w:r>
      <w:r w:rsidR="000054DE" w:rsidRPr="00CC7FA8">
        <w:rPr>
          <w:rFonts w:cstheme="minorHAnsi"/>
          <w:noProof/>
        </w:rPr>
        <w:t>24</w:t>
      </w:r>
      <w:r w:rsidR="00CC7FA8">
        <w:rPr>
          <w:rFonts w:cstheme="minorHAnsi"/>
          <w:noProof/>
        </w:rPr>
        <w:t>]</w:t>
      </w:r>
      <w:r w:rsidR="00BF0F0E" w:rsidRPr="00CC7FA8">
        <w:rPr>
          <w:rFonts w:cstheme="minorHAnsi"/>
        </w:rPr>
        <w:t xml:space="preserve"> </w:t>
      </w:r>
      <w:bookmarkEnd w:id="7"/>
    </w:p>
    <w:p w14:paraId="72099975" w14:textId="77777777" w:rsidR="00A961D9" w:rsidRDefault="00A961D9" w:rsidP="00BF0F0E">
      <w:pPr>
        <w:rPr>
          <w:rFonts w:cstheme="minorHAnsi"/>
        </w:rPr>
      </w:pPr>
    </w:p>
    <w:p w14:paraId="7753616B" w14:textId="631469FD" w:rsidR="001E5FA3" w:rsidRPr="00841173" w:rsidRDefault="001E5FA3" w:rsidP="001E5FA3">
      <w:pPr>
        <w:rPr>
          <w:i/>
          <w:iCs/>
        </w:rPr>
      </w:pPr>
      <w:r w:rsidRPr="00841173">
        <w:rPr>
          <w:i/>
          <w:iCs/>
        </w:rPr>
        <w:t xml:space="preserve">---Insert Figure </w:t>
      </w:r>
      <w:r>
        <w:rPr>
          <w:i/>
          <w:iCs/>
        </w:rPr>
        <w:t>2</w:t>
      </w:r>
      <w:r w:rsidRPr="00841173">
        <w:rPr>
          <w:i/>
          <w:iCs/>
        </w:rPr>
        <w:t xml:space="preserve"> Here---</w:t>
      </w:r>
    </w:p>
    <w:p w14:paraId="73F21906" w14:textId="77777777" w:rsidR="00841173" w:rsidRPr="00290829" w:rsidRDefault="00841173" w:rsidP="00E24D74">
      <w:pPr>
        <w:rPr>
          <w:rFonts w:cstheme="minorHAnsi"/>
        </w:rPr>
      </w:pPr>
    </w:p>
    <w:p w14:paraId="1F654355" w14:textId="09C3122F" w:rsidR="00DB28D1" w:rsidRPr="00494128" w:rsidRDefault="00F50CBA" w:rsidP="00F50CBA">
      <w:pPr>
        <w:pStyle w:val="Heading3"/>
      </w:pPr>
      <w:bookmarkStart w:id="8" w:name="_Hlk98834367"/>
      <w:r>
        <w:t>Control: Usual Care</w:t>
      </w:r>
    </w:p>
    <w:p w14:paraId="25A813FD" w14:textId="799C7B3F" w:rsidR="00494128" w:rsidRDefault="00494128" w:rsidP="00DF6962">
      <w:r w:rsidRPr="00290829">
        <w:t xml:space="preserve">Practitioners in practices </w:t>
      </w:r>
      <w:r>
        <w:t>randomised</w:t>
      </w:r>
      <w:r w:rsidRPr="00290829">
        <w:t xml:space="preserve"> to </w:t>
      </w:r>
      <w:r w:rsidR="00A1675F">
        <w:t>u</w:t>
      </w:r>
      <w:r w:rsidRPr="00290829">
        <w:t xml:space="preserve">sual </w:t>
      </w:r>
      <w:r w:rsidR="00A1675F">
        <w:t>c</w:t>
      </w:r>
      <w:r w:rsidRPr="00290829">
        <w:t xml:space="preserve">are control </w:t>
      </w:r>
      <w:r w:rsidR="000F605C">
        <w:t xml:space="preserve">do </w:t>
      </w:r>
      <w:r w:rsidRPr="00290829">
        <w:t>not receive training</w:t>
      </w:r>
      <w:r w:rsidR="000F605C">
        <w:t xml:space="preserve"> and are asked to consult as usual</w:t>
      </w:r>
      <w:r w:rsidRPr="00290829">
        <w:t xml:space="preserve">. They </w:t>
      </w:r>
      <w:r w:rsidR="000F605C">
        <w:t xml:space="preserve">are </w:t>
      </w:r>
      <w:r w:rsidRPr="00290829">
        <w:t xml:space="preserve">offered access to EMPathicO </w:t>
      </w:r>
      <w:r w:rsidR="00E058D2">
        <w:t xml:space="preserve">after </w:t>
      </w:r>
      <w:r w:rsidR="007B673F">
        <w:t xml:space="preserve">all </w:t>
      </w:r>
      <w:r w:rsidRPr="00290829">
        <w:t>patient recruitment and follow-up</w:t>
      </w:r>
      <w:r w:rsidR="00642901">
        <w:t xml:space="preserve"> is completed</w:t>
      </w:r>
      <w:r w:rsidRPr="00290829">
        <w:t>.</w:t>
      </w:r>
      <w:r w:rsidR="007638C5">
        <w:t xml:space="preserve"> </w:t>
      </w:r>
    </w:p>
    <w:bookmarkEnd w:id="8"/>
    <w:p w14:paraId="136C1B80" w14:textId="38C64FE0" w:rsidR="005E5C70" w:rsidRPr="00284975" w:rsidRDefault="00284975" w:rsidP="00284975">
      <w:pPr>
        <w:pStyle w:val="Heading3"/>
      </w:pPr>
      <w:r w:rsidRPr="00284975">
        <w:lastRenderedPageBreak/>
        <w:t>Concomitant Interventions</w:t>
      </w:r>
    </w:p>
    <w:p w14:paraId="49AA6EDF" w14:textId="363D3D28" w:rsidR="00284975" w:rsidRDefault="00284975" w:rsidP="008C7F1B">
      <w:r>
        <w:t xml:space="preserve">All </w:t>
      </w:r>
      <w:r w:rsidR="00B66A8B">
        <w:t xml:space="preserve">practitioners </w:t>
      </w:r>
      <w:r>
        <w:t xml:space="preserve">are discouraged </w:t>
      </w:r>
      <w:r w:rsidRPr="00284975">
        <w:t xml:space="preserve">from undertaking additional communication skills training during the study and </w:t>
      </w:r>
      <w:r w:rsidR="002061D9">
        <w:t xml:space="preserve">must </w:t>
      </w:r>
      <w:r w:rsidR="002632C2">
        <w:t>self-report</w:t>
      </w:r>
      <w:r w:rsidR="00344859">
        <w:t xml:space="preserve"> any</w:t>
      </w:r>
      <w:r w:rsidR="002632C2">
        <w:t xml:space="preserve"> </w:t>
      </w:r>
      <w:r w:rsidR="00903550">
        <w:t>that does occur</w:t>
      </w:r>
      <w:r w:rsidRPr="00284975">
        <w:t>.</w:t>
      </w:r>
    </w:p>
    <w:p w14:paraId="26CAAD4A" w14:textId="77777777" w:rsidR="00FB5B11" w:rsidRPr="00284975" w:rsidRDefault="00FB5B11" w:rsidP="008C7F1B"/>
    <w:p w14:paraId="71187E46" w14:textId="1E35DD00" w:rsidR="00494128" w:rsidRDefault="00494128" w:rsidP="009420BB">
      <w:pPr>
        <w:pStyle w:val="Heading2"/>
      </w:pPr>
      <w:r w:rsidRPr="00494128">
        <w:t>Recruitment</w:t>
      </w:r>
    </w:p>
    <w:p w14:paraId="4EE98613" w14:textId="77777777" w:rsidR="00A1104E" w:rsidRDefault="005E5C70" w:rsidP="00A1104E">
      <w:pPr>
        <w:pStyle w:val="Heading3"/>
      </w:pPr>
      <w:r w:rsidRPr="00A1104E">
        <w:t xml:space="preserve">GP </w:t>
      </w:r>
      <w:r w:rsidR="007B50EF" w:rsidRPr="00A1104E">
        <w:t>P</w:t>
      </w:r>
      <w:r w:rsidRPr="00A1104E">
        <w:t>ractice</w:t>
      </w:r>
      <w:r w:rsidR="00A1104E" w:rsidRPr="00A1104E">
        <w:t xml:space="preserve"> Recruitment</w:t>
      </w:r>
      <w:r w:rsidRPr="00A1104E">
        <w:t xml:space="preserve"> </w:t>
      </w:r>
    </w:p>
    <w:p w14:paraId="0699C3FD" w14:textId="5707D1D4" w:rsidR="005E5C70" w:rsidRPr="00A1104E" w:rsidRDefault="006272DA" w:rsidP="00DF6962">
      <w:r>
        <w:t>P</w:t>
      </w:r>
      <w:r w:rsidR="00AC7842" w:rsidRPr="00A1104E">
        <w:t xml:space="preserve">ractices </w:t>
      </w:r>
      <w:r>
        <w:t xml:space="preserve">are </w:t>
      </w:r>
      <w:r w:rsidR="005E5C70" w:rsidRPr="00A1104E">
        <w:t xml:space="preserve">recruited with local </w:t>
      </w:r>
      <w:r>
        <w:t xml:space="preserve">Clinical Research Network (CRN) </w:t>
      </w:r>
      <w:r w:rsidR="00AC7842" w:rsidRPr="00A1104E">
        <w:t>support</w:t>
      </w:r>
      <w:r w:rsidR="00CA795E">
        <w:t xml:space="preserve">, seeking practices of </w:t>
      </w:r>
      <w:r w:rsidR="00340626">
        <w:t xml:space="preserve">different </w:t>
      </w:r>
      <w:r w:rsidR="00CA795E">
        <w:t>sizes (small-large)</w:t>
      </w:r>
      <w:r w:rsidR="00340626">
        <w:t xml:space="preserve"> and</w:t>
      </w:r>
      <w:r w:rsidR="00CA795E">
        <w:t xml:space="preserve"> </w:t>
      </w:r>
      <w:r w:rsidR="00340626">
        <w:t xml:space="preserve">locations (urban, rural) </w:t>
      </w:r>
      <w:r w:rsidR="003B7FCD">
        <w:t xml:space="preserve">and </w:t>
      </w:r>
      <w:r w:rsidR="0048672F">
        <w:t xml:space="preserve">those serving populations in areas of higher deprivation and greater ethnic diversity.  </w:t>
      </w:r>
    </w:p>
    <w:p w14:paraId="3FA0C38D" w14:textId="4B98842E" w:rsidR="00A1104E" w:rsidRPr="00A1104E" w:rsidRDefault="00A1104E" w:rsidP="00A1104E">
      <w:pPr>
        <w:pStyle w:val="Heading3"/>
      </w:pPr>
      <w:r w:rsidRPr="00A1104E">
        <w:t>Practitioner Recruitment</w:t>
      </w:r>
    </w:p>
    <w:p w14:paraId="4D3DAAF1" w14:textId="7F82706D" w:rsidR="00A1104E" w:rsidRDefault="00486329" w:rsidP="00DF6962">
      <w:r>
        <w:t>Practitioners within participating practices are recruited by that practice’s lead for this study (</w:t>
      </w:r>
      <w:r w:rsidR="003109E8">
        <w:t xml:space="preserve">the local </w:t>
      </w:r>
      <w:r>
        <w:t>PI)</w:t>
      </w:r>
      <w:r w:rsidR="003109E8">
        <w:t xml:space="preserve"> with support from the trial team</w:t>
      </w:r>
      <w:r w:rsidR="001737A3">
        <w:t xml:space="preserve"> and materials including an infographic and one-minute video explaining the study</w:t>
      </w:r>
      <w:r>
        <w:t>.</w:t>
      </w:r>
    </w:p>
    <w:p w14:paraId="05E78F78" w14:textId="7AA2A544" w:rsidR="00A1104E" w:rsidRDefault="005E5C70" w:rsidP="00A1104E">
      <w:pPr>
        <w:pStyle w:val="Heading3"/>
      </w:pPr>
      <w:r w:rsidRPr="00A1104E">
        <w:t xml:space="preserve">Patient </w:t>
      </w:r>
      <w:r w:rsidR="00A1104E">
        <w:t>R</w:t>
      </w:r>
      <w:r w:rsidRPr="00A1104E">
        <w:t xml:space="preserve">ecruitment </w:t>
      </w:r>
    </w:p>
    <w:p w14:paraId="15E9A120" w14:textId="01A1D6C5" w:rsidR="007565E4" w:rsidRDefault="00726542" w:rsidP="00DF6962">
      <w:r>
        <w:t xml:space="preserve">Practices invite </w:t>
      </w:r>
      <w:r w:rsidR="003B7200">
        <w:t xml:space="preserve">consecutive </w:t>
      </w:r>
      <w:r>
        <w:t xml:space="preserve">patients </w:t>
      </w:r>
      <w:r w:rsidR="0075608E">
        <w:t xml:space="preserve">consulting participating </w:t>
      </w:r>
      <w:r w:rsidR="00483854">
        <w:t>practitioners</w:t>
      </w:r>
      <w:r w:rsidR="003B7200">
        <w:t xml:space="preserve"> within the recruitment period, after </w:t>
      </w:r>
      <w:r w:rsidR="00F05AC8">
        <w:t xml:space="preserve">screening out </w:t>
      </w:r>
      <w:r w:rsidR="00F05AC8" w:rsidRPr="00F05AC8">
        <w:t>any patients who do not have capacity for consent, or where there are medical grounds for excluding the patient (e.g., very unwell generally, severe mental distress).</w:t>
      </w:r>
      <w:r w:rsidR="00483854">
        <w:t xml:space="preserve"> </w:t>
      </w:r>
      <w:r w:rsidR="00BD5D5D">
        <w:t>P</w:t>
      </w:r>
      <w:r w:rsidR="005E5C70" w:rsidRPr="00290829">
        <w:t xml:space="preserve">atient recruitment methods </w:t>
      </w:r>
      <w:r w:rsidR="003109E8">
        <w:t xml:space="preserve">are </w:t>
      </w:r>
      <w:r w:rsidR="00BD5D5D">
        <w:t xml:space="preserve">tailored </w:t>
      </w:r>
      <w:r w:rsidR="005E5C70" w:rsidRPr="00290829">
        <w:t xml:space="preserve">to suit </w:t>
      </w:r>
      <w:r w:rsidR="00CF772A">
        <w:t xml:space="preserve">individual </w:t>
      </w:r>
      <w:r w:rsidR="00CF772A" w:rsidRPr="00290829">
        <w:t>practice</w:t>
      </w:r>
      <w:r w:rsidR="00CF772A">
        <w:t>s</w:t>
      </w:r>
      <w:r w:rsidR="00392FCE">
        <w:t>’</w:t>
      </w:r>
      <w:r w:rsidR="00CF772A" w:rsidRPr="00290829">
        <w:t xml:space="preserve"> </w:t>
      </w:r>
      <w:r w:rsidR="005E5C70" w:rsidRPr="00290829">
        <w:t xml:space="preserve">appointment booking systems. </w:t>
      </w:r>
      <w:r w:rsidR="00D9105B">
        <w:t>F</w:t>
      </w:r>
      <w:r w:rsidR="005E5C70">
        <w:t>or</w:t>
      </w:r>
      <w:r w:rsidR="005E5C70" w:rsidRPr="00290829">
        <w:t xml:space="preserve"> patients with </w:t>
      </w:r>
      <w:r w:rsidR="00D82831">
        <w:t>pre</w:t>
      </w:r>
      <w:r w:rsidR="00D82831" w:rsidRPr="00290829">
        <w:t xml:space="preserve">booked </w:t>
      </w:r>
      <w:r w:rsidR="00D9105B">
        <w:t xml:space="preserve">or </w:t>
      </w:r>
      <w:r w:rsidR="00D9105B" w:rsidRPr="00290829">
        <w:t>same-day appointments</w:t>
      </w:r>
      <w:r w:rsidR="005E5C70" w:rsidRPr="00290829">
        <w:t>, practices text</w:t>
      </w:r>
      <w:r w:rsidR="005E5C70">
        <w:t>,</w:t>
      </w:r>
      <w:r w:rsidR="005E5C70" w:rsidRPr="00290829">
        <w:t xml:space="preserve"> email</w:t>
      </w:r>
      <w:r w:rsidR="005E5C70">
        <w:t>, or post</w:t>
      </w:r>
      <w:r w:rsidR="005E5C70" w:rsidRPr="00290829">
        <w:t xml:space="preserve"> a brief invitation and link to the patient-facing study website up to</w:t>
      </w:r>
      <w:r w:rsidR="005E5C70">
        <w:t xml:space="preserve"> 1 </w:t>
      </w:r>
      <w:r w:rsidR="005E5C70" w:rsidRPr="00290829">
        <w:t>week before their consultation</w:t>
      </w:r>
      <w:r w:rsidR="00D9105B">
        <w:t>.</w:t>
      </w:r>
      <w:r w:rsidR="005E5C70" w:rsidRPr="00290829">
        <w:t xml:space="preserve"> </w:t>
      </w:r>
      <w:r w:rsidR="00D9105B">
        <w:t xml:space="preserve">Practices screen potential invitees for initial eligibility before sending invitations. Practices </w:t>
      </w:r>
      <w:r w:rsidR="004E52E7">
        <w:t xml:space="preserve">may </w:t>
      </w:r>
      <w:r w:rsidR="00D9105B">
        <w:t>display a poster</w:t>
      </w:r>
      <w:r w:rsidR="00124488">
        <w:t xml:space="preserve"> </w:t>
      </w:r>
      <w:r w:rsidR="00D9105B">
        <w:t>in practice and/or on their website.</w:t>
      </w:r>
      <w:r w:rsidR="00D9105B" w:rsidRPr="00D9105B">
        <w:t xml:space="preserve"> </w:t>
      </w:r>
      <w:r w:rsidR="00D9105B" w:rsidRPr="00AD316E">
        <w:t>Reception staff may introduce the study to patients attending in-person.</w:t>
      </w:r>
      <w:r w:rsidR="00D9105B">
        <w:t xml:space="preserve"> </w:t>
      </w:r>
      <w:r w:rsidR="005E5C70" w:rsidRPr="00290829">
        <w:t xml:space="preserve">Patients email or phone the patient-facing research team with questions. </w:t>
      </w:r>
    </w:p>
    <w:p w14:paraId="69D7F3EC" w14:textId="39B1742F" w:rsidR="005E5C70" w:rsidRDefault="004E52E7" w:rsidP="00DF6962">
      <w:r>
        <w:t>P</w:t>
      </w:r>
      <w:r w:rsidR="005E5C70" w:rsidRPr="008B7094">
        <w:t>ractice</w:t>
      </w:r>
      <w:r w:rsidR="00D82831">
        <w:t xml:space="preserve">s </w:t>
      </w:r>
      <w:r w:rsidR="005E5C70" w:rsidRPr="008B7094">
        <w:t>follow their usual procedures for contacting non-English speakers to invite them to take part</w:t>
      </w:r>
      <w:r w:rsidR="00897193">
        <w:t xml:space="preserve"> </w:t>
      </w:r>
      <w:r w:rsidR="005E5C70" w:rsidRPr="008B7094">
        <w:t>e.g.</w:t>
      </w:r>
      <w:r>
        <w:t>,</w:t>
      </w:r>
      <w:r w:rsidR="005E5C70" w:rsidRPr="008B7094">
        <w:t xml:space="preserve"> contacting a designated </w:t>
      </w:r>
      <w:r w:rsidR="00DD126E">
        <w:t xml:space="preserve">friend, </w:t>
      </w:r>
      <w:r w:rsidR="005E5C70" w:rsidRPr="008B7094">
        <w:t xml:space="preserve">relative or support worker, arranging an interpreter, or adding a sentence in the patient’s own language on the initial study invitation. </w:t>
      </w:r>
    </w:p>
    <w:p w14:paraId="4A7FC863" w14:textId="295E642C" w:rsidR="00AF5DFC" w:rsidRPr="00290829" w:rsidRDefault="006E7602" w:rsidP="00DF6962">
      <w:r w:rsidRPr="006E7602">
        <w:t>The number of patient invitation emails/texts sent by each site is collected and recorded centrally.</w:t>
      </w:r>
      <w:r>
        <w:t xml:space="preserve">  </w:t>
      </w:r>
      <w:r w:rsidR="00AF5DFC">
        <w:t xml:space="preserve">Qualtrics records instances of patients </w:t>
      </w:r>
      <w:r w:rsidR="0034363B">
        <w:t xml:space="preserve">accessing the study </w:t>
      </w:r>
      <w:r w:rsidR="004A7D09">
        <w:t xml:space="preserve">website but </w:t>
      </w:r>
      <w:r w:rsidR="00AF5DFC">
        <w:t>declining consent and/or not meeting inclusion criteria.</w:t>
      </w:r>
    </w:p>
    <w:p w14:paraId="1CB5913C" w14:textId="5356BE63" w:rsidR="005E5C70" w:rsidRDefault="00DD126E" w:rsidP="00DF6962">
      <w:r w:rsidRPr="00836DC5">
        <w:t xml:space="preserve">The </w:t>
      </w:r>
      <w:r w:rsidR="005E5C70" w:rsidRPr="00836DC5">
        <w:t xml:space="preserve">patient-facing study website </w:t>
      </w:r>
      <w:r w:rsidR="00612C16">
        <w:t xml:space="preserve">is </w:t>
      </w:r>
      <w:r w:rsidR="005E5C70" w:rsidRPr="00836DC5">
        <w:t>hosted on Qualtrics</w:t>
      </w:r>
      <w:r w:rsidR="00612C16">
        <w:t xml:space="preserve"> and</w:t>
      </w:r>
      <w:r w:rsidR="005E5C70" w:rsidRPr="00836DC5">
        <w:t xml:space="preserve"> show</w:t>
      </w:r>
      <w:r w:rsidRPr="00836DC5">
        <w:t>s</w:t>
      </w:r>
      <w:r w:rsidR="005E5C70" w:rsidRPr="00836DC5">
        <w:t xml:space="preserve"> the full study invitation and </w:t>
      </w:r>
      <w:r w:rsidR="00A14CC7">
        <w:t>patient information sheet (PIS) (in languages requested by practices).</w:t>
      </w:r>
      <w:r w:rsidR="0062584D">
        <w:t xml:space="preserve"> </w:t>
      </w:r>
      <w:r w:rsidR="005E5C70" w:rsidRPr="00836DC5">
        <w:t>After reading the PIS, patients complete a brief screening questionnaire</w:t>
      </w:r>
      <w:r w:rsidR="00D9105B" w:rsidRPr="00836DC5">
        <w:t xml:space="preserve">, </w:t>
      </w:r>
      <w:r w:rsidR="005E5C70" w:rsidRPr="00836DC5">
        <w:t xml:space="preserve">online </w:t>
      </w:r>
      <w:proofErr w:type="gramStart"/>
      <w:r w:rsidR="005E5C70" w:rsidRPr="00836DC5">
        <w:t>consent</w:t>
      </w:r>
      <w:proofErr w:type="gramEnd"/>
      <w:r w:rsidR="00D9105B" w:rsidRPr="00836DC5">
        <w:t xml:space="preserve"> and </w:t>
      </w:r>
      <w:r w:rsidR="005E5C70" w:rsidRPr="00836DC5">
        <w:t>baseline measures.</w:t>
      </w:r>
      <w:r w:rsidR="00F011E7">
        <w:t xml:space="preserve"> </w:t>
      </w:r>
      <w:r w:rsidR="0086792F">
        <w:t>S</w:t>
      </w:r>
      <w:r w:rsidR="00F011E7" w:rsidRPr="004F7F6B">
        <w:t>uppl</w:t>
      </w:r>
      <w:r w:rsidR="007961AB" w:rsidRPr="004F7F6B">
        <w:t>ementa</w:t>
      </w:r>
      <w:r w:rsidR="0086792F">
        <w:t xml:space="preserve">l Material </w:t>
      </w:r>
      <w:r w:rsidR="00455538" w:rsidRPr="004F7F6B">
        <w:t xml:space="preserve">2 contains </w:t>
      </w:r>
      <w:r w:rsidR="00C56599" w:rsidRPr="004F7F6B">
        <w:t xml:space="preserve">PIS </w:t>
      </w:r>
      <w:r w:rsidR="00836DC5" w:rsidRPr="004F7F6B">
        <w:t xml:space="preserve">and </w:t>
      </w:r>
      <w:r w:rsidR="007961AB" w:rsidRPr="004F7F6B">
        <w:t>consent forms.</w:t>
      </w:r>
    </w:p>
    <w:p w14:paraId="5F7E785E" w14:textId="77777777" w:rsidR="005A1FE3" w:rsidRPr="00290829" w:rsidRDefault="005A1FE3" w:rsidP="00DF6962"/>
    <w:p w14:paraId="207A5CA6" w14:textId="175DB1AB" w:rsidR="00C17E91" w:rsidRPr="00735CC6" w:rsidRDefault="00C17E91" w:rsidP="00735CC6">
      <w:pPr>
        <w:pStyle w:val="Heading2"/>
      </w:pPr>
      <w:r w:rsidRPr="00735CC6">
        <w:t xml:space="preserve">Sample size </w:t>
      </w:r>
    </w:p>
    <w:p w14:paraId="75554D09" w14:textId="15A40BC6" w:rsidR="00735CC6" w:rsidRDefault="00735CC6" w:rsidP="00C17E91">
      <w:pPr>
        <w:pStyle w:val="Heading3"/>
        <w:rPr>
          <w:rFonts w:asciiTheme="minorHAnsi" w:hAnsiTheme="minorHAnsi" w:cstheme="minorHAnsi"/>
          <w:b/>
          <w:bCs/>
          <w:color w:val="auto"/>
          <w:sz w:val="22"/>
          <w:szCs w:val="22"/>
        </w:rPr>
      </w:pPr>
      <w:r>
        <w:t xml:space="preserve">Patients with </w:t>
      </w:r>
      <w:r w:rsidR="00741E2E">
        <w:t>Musculoskeletal</w:t>
      </w:r>
      <w:r>
        <w:t xml:space="preserve"> Pain Sample Size</w:t>
      </w:r>
    </w:p>
    <w:p w14:paraId="0AB792BF" w14:textId="3DD6AAA0" w:rsidR="00C17E91" w:rsidRPr="0086792F" w:rsidRDefault="00C17E91" w:rsidP="00735CC6">
      <w:r w:rsidRPr="0086792F">
        <w:t xml:space="preserve">The minimum clinically important difference in the </w:t>
      </w:r>
      <w:r w:rsidR="009A2B64" w:rsidRPr="0086792F">
        <w:t xml:space="preserve">pain primary outcome </w:t>
      </w:r>
      <w:r w:rsidRPr="0086792F">
        <w:t>is a</w:t>
      </w:r>
      <w:r w:rsidR="00897193" w:rsidRPr="0086792F">
        <w:t>pproximately</w:t>
      </w:r>
      <w:r w:rsidRPr="0086792F">
        <w:t xml:space="preserve"> one point,</w:t>
      </w:r>
      <w:r w:rsidR="0086792F">
        <w:t>[</w:t>
      </w:r>
      <w:r w:rsidR="0095486E" w:rsidRPr="0086792F">
        <w:rPr>
          <w:noProof/>
        </w:rPr>
        <w:t>47</w:t>
      </w:r>
      <w:r w:rsidR="0086792F">
        <w:rPr>
          <w:noProof/>
        </w:rPr>
        <w:t>]</w:t>
      </w:r>
      <w:r w:rsidRPr="0086792F">
        <w:t xml:space="preserve"> standard deviation 3.3</w:t>
      </w:r>
      <w:r w:rsidR="00897193" w:rsidRPr="0086792F">
        <w:t xml:space="preserve">, </w:t>
      </w:r>
      <w:r w:rsidRPr="0086792F">
        <w:t xml:space="preserve">consistent with a standardised effect size of 0.3. For 90% power, alpha of 0.025 to allow for </w:t>
      </w:r>
      <w:r w:rsidR="002F5471" w:rsidRPr="0086792F">
        <w:t xml:space="preserve">two </w:t>
      </w:r>
      <w:r w:rsidRPr="0086792F">
        <w:t>primary outcomes, and a correlation between the 4 repeated measures of 0.7, a sample size of 214 per group is required. We assume a conservative ICC of 0.03, at the upper 75% of what has been observed in previous primary care trials.</w:t>
      </w:r>
      <w:r w:rsidR="00EB5016">
        <w:t>[</w:t>
      </w:r>
      <w:r w:rsidR="0095486E" w:rsidRPr="0086792F">
        <w:rPr>
          <w:noProof/>
        </w:rPr>
        <w:t>48</w:t>
      </w:r>
      <w:r w:rsidR="00EB5016">
        <w:rPr>
          <w:noProof/>
        </w:rPr>
        <w:t>]</w:t>
      </w:r>
      <w:r w:rsidRPr="0086792F">
        <w:t xml:space="preserve"> Assuming 20 patients per practice gives a design effect of 1.57. </w:t>
      </w:r>
      <w:r w:rsidRPr="0086792F">
        <w:lastRenderedPageBreak/>
        <w:t>Allowing for 20% loss to follow up gives a total sample size of</w:t>
      </w:r>
      <w:r w:rsidR="00897193" w:rsidRPr="0086792F">
        <w:t xml:space="preserve"> </w:t>
      </w:r>
      <w:r w:rsidRPr="0086792F">
        <w:t xml:space="preserve">(214*2*1.57)/0.8=840 participants to be recruited from 42 practices.  </w:t>
      </w:r>
    </w:p>
    <w:p w14:paraId="449EBB4B" w14:textId="007A58C0" w:rsidR="00735CC6" w:rsidRDefault="006847E2" w:rsidP="00735CC6">
      <w:pPr>
        <w:pStyle w:val="Heading3"/>
      </w:pPr>
      <w:r>
        <w:t>‘</w:t>
      </w:r>
      <w:r w:rsidR="00735CC6">
        <w:t>All-Comer</w:t>
      </w:r>
      <w:r>
        <w:t>’</w:t>
      </w:r>
      <w:r w:rsidR="00735CC6">
        <w:t xml:space="preserve"> Patients Sample Size</w:t>
      </w:r>
    </w:p>
    <w:p w14:paraId="21C9CA42" w14:textId="4CD84313" w:rsidR="00494128" w:rsidRDefault="006426F4" w:rsidP="00735CC6">
      <w:r>
        <w:t xml:space="preserve">Recruiting </w:t>
      </w:r>
      <w:r w:rsidR="00C17E91" w:rsidRPr="00290829">
        <w:t xml:space="preserve">840 </w:t>
      </w:r>
      <w:r w:rsidR="00526CCB">
        <w:t>a</w:t>
      </w:r>
      <w:r w:rsidR="00C17E91">
        <w:t>ll-</w:t>
      </w:r>
      <w:r w:rsidR="00526CCB">
        <w:t>c</w:t>
      </w:r>
      <w:r w:rsidR="00C17E91">
        <w:t>omers</w:t>
      </w:r>
      <w:r w:rsidR="00485EEE">
        <w:t xml:space="preserve"> </w:t>
      </w:r>
      <w:r w:rsidR="00C17E91" w:rsidRPr="00290829">
        <w:t xml:space="preserve">will give 90% power (based on </w:t>
      </w:r>
      <w:r w:rsidR="00C17E91">
        <w:t>alpha and ICC as per the</w:t>
      </w:r>
      <w:r w:rsidR="00C17E91" w:rsidRPr="00290829">
        <w:t xml:space="preserve"> </w:t>
      </w:r>
      <w:r w:rsidR="00741E2E">
        <w:t>musculoskeletal</w:t>
      </w:r>
      <w:r w:rsidR="00C17E91" w:rsidRPr="00290829">
        <w:t xml:space="preserve"> </w:t>
      </w:r>
      <w:r w:rsidR="00C17E91">
        <w:t>group</w:t>
      </w:r>
      <w:r w:rsidR="00C17E91" w:rsidRPr="00290829">
        <w:t xml:space="preserve"> above) to detect a standardised effect size of 0.3 in the </w:t>
      </w:r>
      <w:r w:rsidR="00B35DB1">
        <w:t>enablement primary outcome</w:t>
      </w:r>
      <w:r w:rsidR="00C17E91" w:rsidRPr="00290829">
        <w:t>, equivalent to a difference of 0.36 points (assuming SD=1.2</w:t>
      </w:r>
      <w:r w:rsidR="00EB5016">
        <w:t>[</w:t>
      </w:r>
      <w:r w:rsidR="0095486E" w:rsidRPr="00EB5016">
        <w:rPr>
          <w:noProof/>
        </w:rPr>
        <w:t>49</w:t>
      </w:r>
      <w:r w:rsidR="00EB5016" w:rsidRPr="00EB5016">
        <w:rPr>
          <w:noProof/>
        </w:rPr>
        <w:t>]</w:t>
      </w:r>
      <w:r w:rsidR="00C17E91" w:rsidRPr="00290829">
        <w:t>).</w:t>
      </w:r>
      <w:r w:rsidR="00C17E91">
        <w:t xml:space="preserve"> </w:t>
      </w:r>
    </w:p>
    <w:p w14:paraId="4CC0703D" w14:textId="77777777" w:rsidR="009865DC" w:rsidRPr="001A0B30" w:rsidRDefault="009865DC" w:rsidP="009C61DC">
      <w:pPr>
        <w:pStyle w:val="Heading3"/>
      </w:pPr>
      <w:r w:rsidRPr="001A0B30">
        <w:t>Updated sample size calculation</w:t>
      </w:r>
    </w:p>
    <w:p w14:paraId="0D9EB50C" w14:textId="4E942508" w:rsidR="009865DC" w:rsidRPr="009865DC" w:rsidRDefault="009865DC" w:rsidP="009865DC">
      <w:r w:rsidRPr="001A0B30">
        <w:t xml:space="preserve">Participants </w:t>
      </w:r>
      <w:r w:rsidR="001D5350" w:rsidRPr="001A0B30">
        <w:t xml:space="preserve">are being </w:t>
      </w:r>
      <w:r w:rsidRPr="001A0B30">
        <w:t xml:space="preserve">recruited from </w:t>
      </w:r>
      <w:r w:rsidR="001F616A" w:rsidRPr="001A0B30">
        <w:t>53</w:t>
      </w:r>
      <w:r w:rsidR="001D5350" w:rsidRPr="001A0B30">
        <w:t xml:space="preserve"> </w:t>
      </w:r>
      <w:r w:rsidRPr="001A0B30">
        <w:t>practices rather than 42 practices as originally planned</w:t>
      </w:r>
      <w:r w:rsidR="009C61DC" w:rsidRPr="001A0B30">
        <w:t>, which reduce</w:t>
      </w:r>
      <w:r w:rsidR="00BA6971">
        <w:t>s</w:t>
      </w:r>
      <w:r w:rsidR="009C61DC" w:rsidRPr="001A0B30">
        <w:t xml:space="preserve"> the average cluster size</w:t>
      </w:r>
      <w:r w:rsidRPr="001A0B30">
        <w:t xml:space="preserve">. </w:t>
      </w:r>
      <w:r w:rsidR="009C61DC" w:rsidRPr="001A0B30">
        <w:t>Assuming 1</w:t>
      </w:r>
      <w:r w:rsidR="001F616A" w:rsidRPr="001A0B30">
        <w:t>4</w:t>
      </w:r>
      <w:r w:rsidR="009C61DC" w:rsidRPr="001A0B30">
        <w:t xml:space="preserve"> patients per practice gives a design effect of 1.</w:t>
      </w:r>
      <w:r w:rsidR="001F616A" w:rsidRPr="001A0B30">
        <w:t>39</w:t>
      </w:r>
      <w:r w:rsidR="009C61DC" w:rsidRPr="001A0B30">
        <w:t>. Under the same assumptions as above, the total sample size is (214*2*1.</w:t>
      </w:r>
      <w:r w:rsidR="001F616A" w:rsidRPr="001A0B30">
        <w:t>39</w:t>
      </w:r>
      <w:r w:rsidR="009C61DC" w:rsidRPr="001A0B30">
        <w:t>)/0.8=7</w:t>
      </w:r>
      <w:r w:rsidR="001F616A" w:rsidRPr="001A0B30">
        <w:t>44</w:t>
      </w:r>
      <w:r w:rsidR="009C61DC" w:rsidRPr="001A0B30">
        <w:t xml:space="preserve"> participants.</w:t>
      </w:r>
    </w:p>
    <w:p w14:paraId="0E25DA10" w14:textId="77777777" w:rsidR="005A1FE3" w:rsidRPr="00897193" w:rsidRDefault="005A1FE3" w:rsidP="00735CC6"/>
    <w:p w14:paraId="0D75F494" w14:textId="1D3AD2D8" w:rsidR="00DE6274" w:rsidRPr="00414F95" w:rsidRDefault="00DA1A6E" w:rsidP="00664A0C">
      <w:pPr>
        <w:pStyle w:val="Heading2"/>
      </w:pPr>
      <w:r w:rsidRPr="00414F95">
        <w:t>Outcome</w:t>
      </w:r>
      <w:r w:rsidR="00664A0C" w:rsidRPr="00414F95">
        <w:t>s</w:t>
      </w:r>
    </w:p>
    <w:p w14:paraId="13E25718" w14:textId="0466C6FE" w:rsidR="00F86E12" w:rsidRPr="00414F95" w:rsidRDefault="00071BB3" w:rsidP="00F86E12">
      <w:pPr>
        <w:pStyle w:val="Heading3"/>
      </w:pPr>
      <w:r w:rsidRPr="00414F95">
        <w:t>Questionnaires</w:t>
      </w:r>
      <w:r w:rsidR="0050289F" w:rsidRPr="00414F95">
        <w:t>, Data Collection and Participant Retention</w:t>
      </w:r>
      <w:r w:rsidRPr="00414F95">
        <w:t xml:space="preserve"> </w:t>
      </w:r>
    </w:p>
    <w:p w14:paraId="2F02BB82" w14:textId="24F406C6" w:rsidR="00D3636F" w:rsidRDefault="00CA318A" w:rsidP="001E7A10">
      <w:r>
        <w:t xml:space="preserve">Supplemental Material </w:t>
      </w:r>
      <w:r w:rsidR="009360EB">
        <w:t xml:space="preserve">3 </w:t>
      </w:r>
      <w:r w:rsidR="009243FA">
        <w:t xml:space="preserve">summarises </w:t>
      </w:r>
      <w:r w:rsidR="002346FF">
        <w:t>outcome and process variables</w:t>
      </w:r>
      <w:r w:rsidR="00A139F0">
        <w:t>, measurement timings,</w:t>
      </w:r>
      <w:r w:rsidR="002346FF">
        <w:t xml:space="preserve"> and </w:t>
      </w:r>
      <w:r w:rsidR="00071BB3">
        <w:t xml:space="preserve">questionnaire </w:t>
      </w:r>
      <w:r w:rsidR="005809C8">
        <w:t>measures</w:t>
      </w:r>
      <w:r w:rsidR="00071BB3">
        <w:t xml:space="preserve">. </w:t>
      </w:r>
      <w:r w:rsidR="00ED6773">
        <w:t xml:space="preserve">We </w:t>
      </w:r>
      <w:r w:rsidR="009360EB">
        <w:t>considered</w:t>
      </w:r>
      <w:r w:rsidR="0013404F">
        <w:t xml:space="preserve"> </w:t>
      </w:r>
      <w:r w:rsidR="006B0EC8">
        <w:t xml:space="preserve">core outcome sets, </w:t>
      </w:r>
      <w:r w:rsidR="0013404F">
        <w:t xml:space="preserve">questionnaire properties (e.g., </w:t>
      </w:r>
      <w:r w:rsidR="0089745B">
        <w:t>validity, reliability, length</w:t>
      </w:r>
      <w:r w:rsidR="0013404F">
        <w:t>)</w:t>
      </w:r>
      <w:r w:rsidR="0089745B">
        <w:t>, and acceptability to participants</w:t>
      </w:r>
      <w:r w:rsidR="00ED6773" w:rsidRPr="00ED6773">
        <w:t xml:space="preserve"> </w:t>
      </w:r>
      <w:r w:rsidR="00ED6773">
        <w:t>when choosing specific measures</w:t>
      </w:r>
      <w:r w:rsidR="0089745B">
        <w:t>.</w:t>
      </w:r>
    </w:p>
    <w:p w14:paraId="17473628" w14:textId="139828F1" w:rsidR="0050289F" w:rsidRDefault="008F578F" w:rsidP="001E7A10">
      <w:pPr>
        <w:rPr>
          <w:rFonts w:cstheme="minorHAnsi"/>
        </w:rPr>
      </w:pPr>
      <w:r>
        <w:t>Patient</w:t>
      </w:r>
      <w:r w:rsidR="003564B8">
        <w:t>-</w:t>
      </w:r>
      <w:r>
        <w:t>reported measures</w:t>
      </w:r>
      <w:r w:rsidR="00307A2C">
        <w:t xml:space="preserve"> </w:t>
      </w:r>
      <w:r>
        <w:t xml:space="preserve">are </w:t>
      </w:r>
      <w:r w:rsidR="003564B8">
        <w:t xml:space="preserve">completed on web-based questionnaires </w:t>
      </w:r>
      <w:r w:rsidR="00ED6773">
        <w:t xml:space="preserve">hosted </w:t>
      </w:r>
      <w:r w:rsidR="003564B8">
        <w:t>on Qualtrics</w:t>
      </w:r>
      <w:r w:rsidR="00146950" w:rsidRPr="00146950">
        <w:t xml:space="preserve"> </w:t>
      </w:r>
      <w:r w:rsidR="00146950">
        <w:t>(</w:t>
      </w:r>
      <w:r w:rsidR="00146950" w:rsidRPr="00146950">
        <w:t>Qualtrics, Provo, UT</w:t>
      </w:r>
      <w:r w:rsidR="00146950">
        <w:t>)</w:t>
      </w:r>
      <w:r w:rsidR="00E802EE">
        <w:t>; to support inclusive access</w:t>
      </w:r>
      <w:r w:rsidR="00145F40">
        <w:t xml:space="preserve"> patients may </w:t>
      </w:r>
      <w:r w:rsidR="0050289F" w:rsidRPr="00471CF3">
        <w:rPr>
          <w:rFonts w:cstheme="minorHAnsi"/>
        </w:rPr>
        <w:t>request a</w:t>
      </w:r>
      <w:r w:rsidR="0001659E">
        <w:rPr>
          <w:rFonts w:cstheme="minorHAnsi"/>
        </w:rPr>
        <w:t>n</w:t>
      </w:r>
      <w:r w:rsidR="0050289F" w:rsidRPr="00471CF3">
        <w:rPr>
          <w:rFonts w:cstheme="minorHAnsi"/>
        </w:rPr>
        <w:t xml:space="preserve"> interpreter and/or paper version</w:t>
      </w:r>
      <w:r w:rsidR="00307A2C">
        <w:rPr>
          <w:rFonts w:cstheme="minorHAnsi"/>
        </w:rPr>
        <w:t>s</w:t>
      </w:r>
      <w:r w:rsidR="0050289F" w:rsidRPr="00471CF3">
        <w:rPr>
          <w:rFonts w:cstheme="minorHAnsi"/>
        </w:rPr>
        <w:t xml:space="preserve">. £10 vouchers </w:t>
      </w:r>
      <w:r w:rsidR="0001659E">
        <w:rPr>
          <w:rFonts w:cstheme="minorHAnsi"/>
        </w:rPr>
        <w:t xml:space="preserve">are </w:t>
      </w:r>
      <w:r w:rsidR="0050289F" w:rsidRPr="00471CF3">
        <w:rPr>
          <w:rFonts w:cstheme="minorHAnsi"/>
        </w:rPr>
        <w:t xml:space="preserve">sent at 1-month and 6-month </w:t>
      </w:r>
      <w:r w:rsidR="006E730D">
        <w:rPr>
          <w:rFonts w:cstheme="minorHAnsi"/>
        </w:rPr>
        <w:t xml:space="preserve">follow-ups </w:t>
      </w:r>
      <w:r w:rsidR="0050289F" w:rsidRPr="00471CF3">
        <w:rPr>
          <w:rFonts w:cstheme="minorHAnsi"/>
        </w:rPr>
        <w:t xml:space="preserve">to incentivize completion. </w:t>
      </w:r>
    </w:p>
    <w:p w14:paraId="36A3B269" w14:textId="43836D8E" w:rsidR="009243FA" w:rsidRDefault="003564B8" w:rsidP="001E7A10">
      <w:r w:rsidRPr="00EB5016">
        <w:t xml:space="preserve">Practitioner-reported measures are completed on </w:t>
      </w:r>
      <w:proofErr w:type="spellStart"/>
      <w:proofErr w:type="gramStart"/>
      <w:r w:rsidRPr="00EB5016">
        <w:t>Life</w:t>
      </w:r>
      <w:r w:rsidR="00414F95" w:rsidRPr="00EB5016">
        <w:t>G</w:t>
      </w:r>
      <w:r w:rsidRPr="00EB5016">
        <w:t>uide</w:t>
      </w:r>
      <w:proofErr w:type="spellEnd"/>
      <w:r w:rsidR="00EB5016">
        <w:t>[</w:t>
      </w:r>
      <w:proofErr w:type="gramEnd"/>
      <w:r w:rsidR="0095486E" w:rsidRPr="00EB5016">
        <w:rPr>
          <w:noProof/>
        </w:rPr>
        <w:t>38</w:t>
      </w:r>
      <w:r w:rsidR="00EB5016">
        <w:rPr>
          <w:noProof/>
        </w:rPr>
        <w:t>]</w:t>
      </w:r>
      <w:r w:rsidRPr="00EB5016">
        <w:t xml:space="preserve"> (measures </w:t>
      </w:r>
      <w:r w:rsidR="00BE5C4E" w:rsidRPr="00EB5016">
        <w:t xml:space="preserve">completed by </w:t>
      </w:r>
      <w:r w:rsidRPr="00EB5016">
        <w:t>intervention group</w:t>
      </w:r>
      <w:r>
        <w:t xml:space="preserve"> only</w:t>
      </w:r>
      <w:r w:rsidR="00BE5C4E">
        <w:t>)</w:t>
      </w:r>
      <w:r>
        <w:t xml:space="preserve"> and Qualtrics</w:t>
      </w:r>
      <w:r w:rsidR="00BE5C4E">
        <w:t xml:space="preserve"> (measures completed by all practitioners).</w:t>
      </w:r>
      <w:r w:rsidR="001713F9">
        <w:t xml:space="preserve"> </w:t>
      </w:r>
    </w:p>
    <w:p w14:paraId="06C955E7" w14:textId="4EABCC31" w:rsidR="00D3636F" w:rsidRPr="009243FA" w:rsidRDefault="00D3636F" w:rsidP="001E7A10">
      <w:r>
        <w:rPr>
          <w:rFonts w:cstheme="minorHAnsi"/>
        </w:rPr>
        <w:t>For practitioners and patients, a</w:t>
      </w:r>
      <w:r w:rsidRPr="00471CF3">
        <w:rPr>
          <w:rFonts w:cstheme="minorHAnsi"/>
        </w:rPr>
        <w:t xml:space="preserve">utomated follow-up emails </w:t>
      </w:r>
      <w:r>
        <w:rPr>
          <w:rFonts w:cstheme="minorHAnsi"/>
        </w:rPr>
        <w:t xml:space="preserve">are </w:t>
      </w:r>
      <w:r w:rsidRPr="00471CF3">
        <w:rPr>
          <w:rFonts w:cstheme="minorHAnsi"/>
        </w:rPr>
        <w:t xml:space="preserve">sent to non-responders at all timepoints. Researchers personally contact persistent non-responders who haven’t withdrawn and offer to resend questionnaires or complete primary outcomes </w:t>
      </w:r>
      <w:r w:rsidR="00F11502">
        <w:rPr>
          <w:rFonts w:cstheme="minorHAnsi"/>
        </w:rPr>
        <w:t xml:space="preserve">by </w:t>
      </w:r>
      <w:r w:rsidRPr="00471CF3">
        <w:rPr>
          <w:rFonts w:cstheme="minorHAnsi"/>
        </w:rPr>
        <w:t>telephone.</w:t>
      </w:r>
    </w:p>
    <w:p w14:paraId="1A1075B3" w14:textId="53110E6F" w:rsidR="00664A0C" w:rsidRDefault="00F721E1" w:rsidP="00B12103">
      <w:pPr>
        <w:pStyle w:val="Heading3"/>
      </w:pPr>
      <w:r w:rsidRPr="00C1222F">
        <w:t>Primary Outcome</w:t>
      </w:r>
      <w:r w:rsidR="00897193">
        <w:t>s</w:t>
      </w:r>
      <w:r w:rsidR="00C1222F" w:rsidRPr="00C1222F">
        <w:t xml:space="preserve"> </w:t>
      </w:r>
    </w:p>
    <w:p w14:paraId="4D60AB2B" w14:textId="044D5193" w:rsidR="00F721E1" w:rsidRPr="00F721E1" w:rsidRDefault="00B12103" w:rsidP="00D14D6D">
      <w:r>
        <w:t>F</w:t>
      </w:r>
      <w:r w:rsidRPr="00F721E1">
        <w:t xml:space="preserve">or the </w:t>
      </w:r>
      <w:r w:rsidR="00741E2E">
        <w:t>musculoskeletal</w:t>
      </w:r>
      <w:r w:rsidRPr="00F721E1">
        <w:t xml:space="preserve"> </w:t>
      </w:r>
      <w:r>
        <w:t xml:space="preserve">pain </w:t>
      </w:r>
      <w:r w:rsidRPr="00F721E1">
        <w:t>group</w:t>
      </w:r>
      <w:r>
        <w:t xml:space="preserve">, </w:t>
      </w:r>
      <w:r w:rsidR="00777AD4">
        <w:t xml:space="preserve">the two </w:t>
      </w:r>
      <w:r w:rsidR="00664A0C">
        <w:rPr>
          <w:rFonts w:eastAsiaTheme="majorEastAsia"/>
        </w:rPr>
        <w:t xml:space="preserve">primary outcomes </w:t>
      </w:r>
      <w:r w:rsidR="00F721E1" w:rsidRPr="00F721E1">
        <w:t xml:space="preserve">are </w:t>
      </w:r>
      <w:r w:rsidR="00F721E1" w:rsidRPr="00B12103">
        <w:t>pain intensity and patient enablement</w:t>
      </w:r>
      <w:r w:rsidR="00F721E1" w:rsidRPr="00F721E1">
        <w:t xml:space="preserve">, </w:t>
      </w:r>
      <w:r w:rsidR="00F721E1" w:rsidRPr="00EB5016">
        <w:t xml:space="preserve">each </w:t>
      </w:r>
      <w:r w:rsidR="00777AD4" w:rsidRPr="00EB5016">
        <w:t xml:space="preserve">analysed </w:t>
      </w:r>
      <w:r w:rsidR="00F721E1" w:rsidRPr="00EB5016">
        <w:t>over 6 months using a repeated measures approach</w:t>
      </w:r>
      <w:r w:rsidR="00540BFC" w:rsidRPr="00EB5016">
        <w:t xml:space="preserve">. </w:t>
      </w:r>
      <w:r w:rsidR="00D14D6D" w:rsidRPr="00EB5016">
        <w:rPr>
          <w:rFonts w:cstheme="minorHAnsi"/>
          <w:bCs/>
          <w:spacing w:val="2"/>
        </w:rPr>
        <w:t>Pain intensity</w:t>
      </w:r>
      <w:r w:rsidR="00D14D6D" w:rsidRPr="00EB5016">
        <w:rPr>
          <w:rFonts w:cstheme="minorHAnsi"/>
          <w:b/>
          <w:spacing w:val="2"/>
        </w:rPr>
        <w:t xml:space="preserve"> </w:t>
      </w:r>
      <w:r w:rsidR="00D14D6D" w:rsidRPr="00EB5016">
        <w:rPr>
          <w:rFonts w:cstheme="minorHAnsi"/>
          <w:bCs/>
          <w:spacing w:val="2"/>
        </w:rPr>
        <w:t xml:space="preserve">is the severity of pain sensation and is included in core outcome sets for chronic </w:t>
      </w:r>
      <w:proofErr w:type="gramStart"/>
      <w:r w:rsidR="00D14D6D" w:rsidRPr="00EB5016">
        <w:rPr>
          <w:rFonts w:cstheme="minorHAnsi"/>
          <w:bCs/>
          <w:spacing w:val="2"/>
        </w:rPr>
        <w:t>pain,</w:t>
      </w:r>
      <w:r w:rsidR="00EB5016" w:rsidRPr="00EB5016">
        <w:rPr>
          <w:rFonts w:cstheme="minorHAnsi"/>
          <w:bCs/>
          <w:spacing w:val="2"/>
        </w:rPr>
        <w:t>[</w:t>
      </w:r>
      <w:proofErr w:type="gramEnd"/>
      <w:r w:rsidR="007B16E3" w:rsidRPr="00EB5016">
        <w:rPr>
          <w:rFonts w:cstheme="minorHAnsi"/>
          <w:bCs/>
          <w:noProof/>
          <w:spacing w:val="2"/>
        </w:rPr>
        <w:t>50 51</w:t>
      </w:r>
      <w:r w:rsidR="00EB5016" w:rsidRPr="00EB5016">
        <w:rPr>
          <w:rFonts w:cstheme="minorHAnsi"/>
          <w:bCs/>
          <w:noProof/>
          <w:spacing w:val="2"/>
        </w:rPr>
        <w:t>]</w:t>
      </w:r>
      <w:r w:rsidR="00D14D6D" w:rsidRPr="00EB5016">
        <w:rPr>
          <w:rFonts w:cstheme="minorHAnsi"/>
          <w:bCs/>
          <w:spacing w:val="2"/>
        </w:rPr>
        <w:t xml:space="preserve"> OA,</w:t>
      </w:r>
      <w:r w:rsidR="00EB5016" w:rsidRPr="00EB5016">
        <w:rPr>
          <w:rFonts w:cstheme="minorHAnsi"/>
          <w:bCs/>
          <w:spacing w:val="2"/>
        </w:rPr>
        <w:t>[</w:t>
      </w:r>
      <w:r w:rsidR="007B16E3" w:rsidRPr="00EB5016">
        <w:rPr>
          <w:rFonts w:cstheme="minorHAnsi"/>
          <w:bCs/>
          <w:noProof/>
          <w:spacing w:val="2"/>
        </w:rPr>
        <w:t>52</w:t>
      </w:r>
      <w:r w:rsidR="00EB5016" w:rsidRPr="00EB5016">
        <w:rPr>
          <w:rFonts w:cstheme="minorHAnsi"/>
          <w:bCs/>
          <w:noProof/>
          <w:spacing w:val="2"/>
        </w:rPr>
        <w:t>]</w:t>
      </w:r>
      <w:r w:rsidR="00D14D6D" w:rsidRPr="00EB5016">
        <w:rPr>
          <w:rFonts w:cstheme="minorHAnsi"/>
          <w:bCs/>
          <w:spacing w:val="2"/>
        </w:rPr>
        <w:t xml:space="preserve"> and </w:t>
      </w:r>
      <w:r w:rsidR="00F11502" w:rsidRPr="00EB5016">
        <w:rPr>
          <w:rFonts w:cstheme="minorHAnsi"/>
          <w:bCs/>
          <w:spacing w:val="2"/>
        </w:rPr>
        <w:t>l</w:t>
      </w:r>
      <w:r w:rsidR="00D14D6D" w:rsidRPr="00EB5016">
        <w:rPr>
          <w:rFonts w:cstheme="minorHAnsi"/>
          <w:bCs/>
          <w:spacing w:val="2"/>
        </w:rPr>
        <w:t xml:space="preserve">ow </w:t>
      </w:r>
      <w:r w:rsidR="00F11502" w:rsidRPr="00EB5016">
        <w:rPr>
          <w:rFonts w:cstheme="minorHAnsi"/>
          <w:bCs/>
          <w:spacing w:val="2"/>
        </w:rPr>
        <w:t>b</w:t>
      </w:r>
      <w:r w:rsidR="00D14D6D" w:rsidRPr="00EB5016">
        <w:rPr>
          <w:rFonts w:cstheme="minorHAnsi"/>
          <w:bCs/>
          <w:spacing w:val="2"/>
        </w:rPr>
        <w:t xml:space="preserve">ack </w:t>
      </w:r>
      <w:r w:rsidR="00F11502" w:rsidRPr="00EB5016">
        <w:rPr>
          <w:rFonts w:cstheme="minorHAnsi"/>
          <w:bCs/>
          <w:spacing w:val="2"/>
        </w:rPr>
        <w:t>p</w:t>
      </w:r>
      <w:r w:rsidR="00D14D6D" w:rsidRPr="00EB5016">
        <w:rPr>
          <w:rFonts w:cstheme="minorHAnsi"/>
          <w:bCs/>
          <w:spacing w:val="2"/>
        </w:rPr>
        <w:t>ain.</w:t>
      </w:r>
      <w:r w:rsidR="00EB5016" w:rsidRPr="00EB5016">
        <w:rPr>
          <w:rFonts w:cstheme="minorHAnsi"/>
          <w:bCs/>
          <w:spacing w:val="2"/>
        </w:rPr>
        <w:t>[</w:t>
      </w:r>
      <w:r w:rsidR="007B16E3" w:rsidRPr="00EB5016">
        <w:rPr>
          <w:rFonts w:cstheme="minorHAnsi"/>
          <w:bCs/>
          <w:noProof/>
          <w:spacing w:val="2"/>
        </w:rPr>
        <w:t>53</w:t>
      </w:r>
      <w:r w:rsidR="00EB5016" w:rsidRPr="00EB5016">
        <w:rPr>
          <w:rFonts w:cstheme="minorHAnsi"/>
          <w:bCs/>
          <w:noProof/>
          <w:spacing w:val="2"/>
        </w:rPr>
        <w:t>,</w:t>
      </w:r>
      <w:r w:rsidR="007B16E3" w:rsidRPr="00EB5016">
        <w:rPr>
          <w:rFonts w:cstheme="minorHAnsi"/>
          <w:bCs/>
          <w:noProof/>
          <w:spacing w:val="2"/>
        </w:rPr>
        <w:t>54</w:t>
      </w:r>
      <w:r w:rsidR="00EB5016" w:rsidRPr="00EB5016">
        <w:rPr>
          <w:rFonts w:cstheme="minorHAnsi"/>
          <w:bCs/>
          <w:noProof/>
          <w:spacing w:val="2"/>
        </w:rPr>
        <w:t>]</w:t>
      </w:r>
      <w:r w:rsidR="00D14D6D" w:rsidRPr="00EB5016">
        <w:rPr>
          <w:rFonts w:cstheme="minorHAnsi"/>
          <w:bCs/>
          <w:spacing w:val="2"/>
        </w:rPr>
        <w:t xml:space="preserve"> Patient enablement refers to </w:t>
      </w:r>
      <w:r w:rsidR="00D14D6D" w:rsidRPr="00EB5016">
        <w:rPr>
          <w:rFonts w:eastAsia="Times New Roman" w:cstheme="minorHAnsi"/>
          <w:bCs/>
          <w:spacing w:val="2"/>
          <w:lang w:eastAsia="en-GB"/>
        </w:rPr>
        <w:t>patients’ feelings</w:t>
      </w:r>
      <w:r w:rsidR="007B71B2" w:rsidRPr="00EB5016">
        <w:rPr>
          <w:rFonts w:eastAsia="Times New Roman" w:cstheme="minorHAnsi"/>
          <w:bCs/>
          <w:spacing w:val="2"/>
          <w:lang w:eastAsia="en-GB"/>
        </w:rPr>
        <w:t>, after a consultation, of confidence and empowerment to</w:t>
      </w:r>
      <w:r w:rsidR="007B71B2" w:rsidRPr="00290829">
        <w:rPr>
          <w:rFonts w:eastAsia="Times New Roman" w:cstheme="minorHAnsi"/>
          <w:bCs/>
          <w:spacing w:val="2"/>
          <w:lang w:eastAsia="en-GB"/>
        </w:rPr>
        <w:t xml:space="preserve"> cope with their </w:t>
      </w:r>
      <w:r w:rsidR="007B71B2">
        <w:rPr>
          <w:rFonts w:eastAsia="Times New Roman" w:cstheme="minorHAnsi"/>
          <w:bCs/>
          <w:spacing w:val="2"/>
          <w:lang w:eastAsia="en-GB"/>
        </w:rPr>
        <w:t>symptoms</w:t>
      </w:r>
      <w:r w:rsidR="007B71B2" w:rsidRPr="00290829">
        <w:rPr>
          <w:rFonts w:eastAsia="Times New Roman" w:cstheme="minorHAnsi"/>
          <w:bCs/>
          <w:spacing w:val="2"/>
          <w:lang w:eastAsia="en-GB"/>
        </w:rPr>
        <w:t>, to keep healthy and to help themselves</w:t>
      </w:r>
      <w:r w:rsidR="004864D9">
        <w:rPr>
          <w:rFonts w:eastAsia="Times New Roman" w:cstheme="minorHAnsi"/>
          <w:bCs/>
          <w:spacing w:val="2"/>
          <w:lang w:eastAsia="en-GB"/>
        </w:rPr>
        <w:t>.</w:t>
      </w:r>
      <w:r w:rsidR="00D14D6D">
        <w:t xml:space="preserve"> </w:t>
      </w:r>
      <w:r w:rsidR="00F326A1">
        <w:t>Our PPI</w:t>
      </w:r>
      <w:r w:rsidR="009C5868">
        <w:t>E</w:t>
      </w:r>
      <w:r w:rsidR="00F721E1" w:rsidRPr="00F721E1">
        <w:t xml:space="preserve"> </w:t>
      </w:r>
      <w:r>
        <w:t xml:space="preserve">work </w:t>
      </w:r>
      <w:r w:rsidR="00F721E1" w:rsidRPr="00F721E1">
        <w:t xml:space="preserve">highlighted </w:t>
      </w:r>
      <w:r>
        <w:t>e</w:t>
      </w:r>
      <w:r w:rsidR="00F721E1" w:rsidRPr="00F721E1">
        <w:t xml:space="preserve">nablement </w:t>
      </w:r>
      <w:r>
        <w:t>a</w:t>
      </w:r>
      <w:r w:rsidR="00F721E1" w:rsidRPr="00F721E1">
        <w:t xml:space="preserve">s at least as important as pain. </w:t>
      </w:r>
      <w:r w:rsidR="00F326A1">
        <w:t xml:space="preserve">Two </w:t>
      </w:r>
      <w:r w:rsidR="00F721E1" w:rsidRPr="00F721E1">
        <w:t>primar</w:t>
      </w:r>
      <w:r w:rsidR="00164FB4">
        <w:t xml:space="preserve">y outcomes </w:t>
      </w:r>
      <w:r w:rsidR="00F721E1" w:rsidRPr="00F721E1">
        <w:t>help capture more holistic effect</w:t>
      </w:r>
      <w:r w:rsidR="00AA47BA">
        <w:t>s</w:t>
      </w:r>
      <w:r w:rsidR="00F721E1" w:rsidRPr="00F721E1">
        <w:t xml:space="preserve"> on patients’ </w:t>
      </w:r>
      <w:r w:rsidR="001E05EE">
        <w:t xml:space="preserve">health. </w:t>
      </w:r>
      <w:r w:rsidR="00F721E1" w:rsidRPr="00F721E1">
        <w:t xml:space="preserve">The outcomes will be reported separately and our PPIE and embedded qualitative work will help explore, </w:t>
      </w:r>
      <w:proofErr w:type="gramStart"/>
      <w:r w:rsidR="00F721E1" w:rsidRPr="00F721E1">
        <w:t>interpret</w:t>
      </w:r>
      <w:proofErr w:type="gramEnd"/>
      <w:r w:rsidR="00F721E1" w:rsidRPr="00F721E1">
        <w:t xml:space="preserve"> and explain how </w:t>
      </w:r>
      <w:r w:rsidR="0040332F">
        <w:t xml:space="preserve">they </w:t>
      </w:r>
      <w:r w:rsidR="00F721E1" w:rsidRPr="00F721E1">
        <w:t xml:space="preserve">relate </w:t>
      </w:r>
      <w:r w:rsidR="0040332F">
        <w:t xml:space="preserve">to </w:t>
      </w:r>
      <w:r w:rsidR="00F721E1" w:rsidRPr="00F721E1">
        <w:t>each other.</w:t>
      </w:r>
    </w:p>
    <w:p w14:paraId="10936FA2" w14:textId="5A0FD2AA" w:rsidR="00F721E1" w:rsidRDefault="00F721E1" w:rsidP="00D14D6D">
      <w:r w:rsidRPr="00F721E1">
        <w:t xml:space="preserve">For </w:t>
      </w:r>
      <w:r w:rsidR="00585D3E">
        <w:t xml:space="preserve">the </w:t>
      </w:r>
      <w:r w:rsidR="00AA47BA">
        <w:t>a</w:t>
      </w:r>
      <w:r w:rsidRPr="00F721E1">
        <w:t>ll-</w:t>
      </w:r>
      <w:r w:rsidR="00AA47BA">
        <w:t>c</w:t>
      </w:r>
      <w:r w:rsidRPr="00F721E1">
        <w:t xml:space="preserve">omers group, patient enablement </w:t>
      </w:r>
      <w:r w:rsidR="00B12103">
        <w:t xml:space="preserve">is </w:t>
      </w:r>
      <w:r w:rsidRPr="00F721E1">
        <w:t xml:space="preserve">the single primary outcome. </w:t>
      </w:r>
      <w:r w:rsidR="00E32587">
        <w:t>P</w:t>
      </w:r>
      <w:r w:rsidRPr="00F721E1">
        <w:t>ain intensity</w:t>
      </w:r>
      <w:r w:rsidR="001C18C1">
        <w:t xml:space="preserve"> </w:t>
      </w:r>
      <w:r w:rsidR="00B12103">
        <w:t xml:space="preserve">is </w:t>
      </w:r>
      <w:r w:rsidR="002F402E">
        <w:t>measure</w:t>
      </w:r>
      <w:r w:rsidR="00585D3E">
        <w:t>d</w:t>
      </w:r>
      <w:r w:rsidR="002F402E">
        <w:t xml:space="preserve"> as </w:t>
      </w:r>
      <w:r w:rsidRPr="00F721E1">
        <w:t>a secondary outcome</w:t>
      </w:r>
      <w:r w:rsidR="002F402E">
        <w:t xml:space="preserve"> if pain is present</w:t>
      </w:r>
      <w:r w:rsidRPr="00F721E1">
        <w:t>.</w:t>
      </w:r>
    </w:p>
    <w:p w14:paraId="25D49688" w14:textId="77777777" w:rsidR="00854426" w:rsidRPr="002E7410" w:rsidRDefault="00854426" w:rsidP="00D14D6D">
      <w:pPr>
        <w:pStyle w:val="Heading4"/>
      </w:pPr>
      <w:bookmarkStart w:id="9" w:name="_Hlk98838964"/>
      <w:r w:rsidRPr="002E7410">
        <w:t>Pain Intensity</w:t>
      </w:r>
    </w:p>
    <w:p w14:paraId="679F95BA" w14:textId="032331D4" w:rsidR="00854426" w:rsidRPr="00C85486" w:rsidRDefault="00854426" w:rsidP="00854426">
      <w:pPr>
        <w:rPr>
          <w:rFonts w:cs="Arial"/>
          <w:bCs/>
          <w:spacing w:val="2"/>
        </w:rPr>
      </w:pPr>
      <w:r w:rsidRPr="00290829">
        <w:rPr>
          <w:rFonts w:cstheme="minorHAnsi"/>
          <w:bCs/>
          <w:spacing w:val="2"/>
        </w:rPr>
        <w:t xml:space="preserve">Pain intensity </w:t>
      </w:r>
      <w:r w:rsidR="00022EEC">
        <w:rPr>
          <w:rFonts w:cstheme="minorHAnsi"/>
          <w:bCs/>
          <w:spacing w:val="2"/>
        </w:rPr>
        <w:t xml:space="preserve">is </w:t>
      </w:r>
      <w:r w:rsidRPr="00290829">
        <w:rPr>
          <w:rFonts w:cstheme="minorHAnsi"/>
          <w:bCs/>
          <w:spacing w:val="2"/>
        </w:rPr>
        <w:t xml:space="preserve">measured </w:t>
      </w:r>
      <w:r>
        <w:rPr>
          <w:rFonts w:cstheme="minorHAnsi"/>
          <w:bCs/>
          <w:spacing w:val="2"/>
        </w:rPr>
        <w:t>as average pain in the last week</w:t>
      </w:r>
      <w:r w:rsidRPr="00290829">
        <w:rPr>
          <w:rFonts w:cstheme="minorHAnsi"/>
          <w:bCs/>
          <w:spacing w:val="2"/>
        </w:rPr>
        <w:t xml:space="preserve"> using the 4-item pain intensity subscale from the </w:t>
      </w:r>
      <w:r w:rsidR="00022EEC">
        <w:rPr>
          <w:rFonts w:cstheme="minorHAnsi"/>
          <w:bCs/>
          <w:spacing w:val="2"/>
        </w:rPr>
        <w:t>Brief Pain Inventory (</w:t>
      </w:r>
      <w:r w:rsidRPr="00290829">
        <w:rPr>
          <w:rFonts w:cstheme="minorHAnsi"/>
          <w:bCs/>
          <w:spacing w:val="2"/>
        </w:rPr>
        <w:t>BPI</w:t>
      </w:r>
      <w:r w:rsidR="00022EEC">
        <w:rPr>
          <w:rFonts w:cstheme="minorHAnsi"/>
          <w:bCs/>
          <w:spacing w:val="2"/>
        </w:rPr>
        <w:t>)</w:t>
      </w:r>
      <w:r w:rsidR="003361C3">
        <w:rPr>
          <w:rFonts w:cstheme="minorHAnsi"/>
          <w:bCs/>
          <w:spacing w:val="2"/>
        </w:rPr>
        <w:t>.</w:t>
      </w:r>
      <w:r w:rsidR="00EB5016">
        <w:rPr>
          <w:rFonts w:cstheme="minorHAnsi"/>
          <w:bCs/>
          <w:spacing w:val="2"/>
        </w:rPr>
        <w:t>[</w:t>
      </w:r>
      <w:r w:rsidR="007B16E3" w:rsidRPr="00EB5016">
        <w:rPr>
          <w:rFonts w:cstheme="minorHAnsi"/>
          <w:bCs/>
          <w:noProof/>
          <w:spacing w:val="2"/>
        </w:rPr>
        <w:t>55</w:t>
      </w:r>
      <w:r w:rsidR="00EB5016" w:rsidRPr="00EB5016">
        <w:rPr>
          <w:rFonts w:cstheme="minorHAnsi"/>
          <w:bCs/>
          <w:noProof/>
          <w:spacing w:val="2"/>
        </w:rPr>
        <w:t>]</w:t>
      </w:r>
      <w:r>
        <w:rPr>
          <w:rFonts w:cstheme="minorHAnsi"/>
          <w:bCs/>
          <w:spacing w:val="2"/>
        </w:rPr>
        <w:t xml:space="preserve"> </w:t>
      </w:r>
      <w:bookmarkEnd w:id="9"/>
    </w:p>
    <w:p w14:paraId="703FF4DB" w14:textId="77777777" w:rsidR="00854426" w:rsidRPr="002E7410" w:rsidRDefault="00854426" w:rsidP="00022EEC">
      <w:pPr>
        <w:pStyle w:val="Heading4"/>
      </w:pPr>
      <w:r w:rsidRPr="002E7410">
        <w:t xml:space="preserve">Patient Enablement </w:t>
      </w:r>
    </w:p>
    <w:p w14:paraId="3132495F" w14:textId="217DAE9B" w:rsidR="00FC3A25" w:rsidRDefault="00854426" w:rsidP="00FC3A25">
      <w:pPr>
        <w:rPr>
          <w:rFonts w:cstheme="minorHAnsi"/>
          <w:bCs/>
          <w:spacing w:val="2"/>
        </w:rPr>
      </w:pPr>
      <w:r w:rsidRPr="00290829">
        <w:rPr>
          <w:rFonts w:eastAsia="Times New Roman" w:cstheme="minorHAnsi"/>
          <w:bCs/>
          <w:spacing w:val="2"/>
          <w:lang w:eastAsia="en-GB"/>
        </w:rPr>
        <w:t xml:space="preserve">The </w:t>
      </w:r>
      <w:r w:rsidR="0092722B">
        <w:rPr>
          <w:rFonts w:eastAsia="Times New Roman" w:cstheme="minorHAnsi"/>
          <w:bCs/>
          <w:spacing w:val="2"/>
          <w:lang w:eastAsia="en-GB"/>
        </w:rPr>
        <w:t xml:space="preserve">6-item </w:t>
      </w:r>
      <w:r w:rsidRPr="00290829">
        <w:rPr>
          <w:rFonts w:eastAsia="Times New Roman" w:cstheme="minorHAnsi"/>
          <w:bCs/>
          <w:spacing w:val="2"/>
          <w:lang w:eastAsia="en-GB"/>
        </w:rPr>
        <w:t>Patient Enablement Index (PEI) captures</w:t>
      </w:r>
      <w:r>
        <w:rPr>
          <w:rFonts w:eastAsia="Times New Roman" w:cstheme="minorHAnsi"/>
          <w:bCs/>
          <w:spacing w:val="2"/>
          <w:lang w:eastAsia="en-GB"/>
        </w:rPr>
        <w:t xml:space="preserve"> </w:t>
      </w:r>
      <w:r w:rsidRPr="00290829">
        <w:rPr>
          <w:rFonts w:eastAsia="Times New Roman" w:cstheme="minorHAnsi"/>
          <w:bCs/>
          <w:spacing w:val="2"/>
          <w:lang w:eastAsia="en-GB"/>
        </w:rPr>
        <w:t>patients</w:t>
      </w:r>
      <w:r w:rsidR="00090F55">
        <w:rPr>
          <w:rFonts w:eastAsia="Times New Roman" w:cstheme="minorHAnsi"/>
          <w:bCs/>
          <w:spacing w:val="2"/>
          <w:lang w:eastAsia="en-GB"/>
        </w:rPr>
        <w:t>’</w:t>
      </w:r>
      <w:r w:rsidRPr="00290829">
        <w:rPr>
          <w:rFonts w:eastAsia="Times New Roman" w:cstheme="minorHAnsi"/>
          <w:bCs/>
          <w:spacing w:val="2"/>
          <w:lang w:eastAsia="en-GB"/>
        </w:rPr>
        <w:t xml:space="preserve"> feel</w:t>
      </w:r>
      <w:r>
        <w:rPr>
          <w:rFonts w:eastAsia="Times New Roman" w:cstheme="minorHAnsi"/>
          <w:bCs/>
          <w:spacing w:val="2"/>
          <w:lang w:eastAsia="en-GB"/>
        </w:rPr>
        <w:t>ings</w:t>
      </w:r>
      <w:r w:rsidR="00090F55">
        <w:rPr>
          <w:rFonts w:eastAsia="Times New Roman" w:cstheme="minorHAnsi"/>
          <w:bCs/>
          <w:spacing w:val="2"/>
          <w:lang w:eastAsia="en-GB"/>
        </w:rPr>
        <w:t>, after a consultation,</w:t>
      </w:r>
      <w:r>
        <w:rPr>
          <w:rFonts w:eastAsia="Times New Roman" w:cstheme="minorHAnsi"/>
          <w:bCs/>
          <w:spacing w:val="2"/>
          <w:lang w:eastAsia="en-GB"/>
        </w:rPr>
        <w:t xml:space="preserve"> of</w:t>
      </w:r>
      <w:r w:rsidRPr="00290829">
        <w:rPr>
          <w:rFonts w:eastAsia="Times New Roman" w:cstheme="minorHAnsi"/>
          <w:bCs/>
          <w:spacing w:val="2"/>
          <w:lang w:eastAsia="en-GB"/>
        </w:rPr>
        <w:t xml:space="preserve"> confid</w:t>
      </w:r>
      <w:r>
        <w:rPr>
          <w:rFonts w:eastAsia="Times New Roman" w:cstheme="minorHAnsi"/>
          <w:bCs/>
          <w:spacing w:val="2"/>
          <w:lang w:eastAsia="en-GB"/>
        </w:rPr>
        <w:t>ence</w:t>
      </w:r>
      <w:r w:rsidRPr="00290829">
        <w:rPr>
          <w:rFonts w:eastAsia="Times New Roman" w:cstheme="minorHAnsi"/>
          <w:bCs/>
          <w:spacing w:val="2"/>
          <w:lang w:eastAsia="en-GB"/>
        </w:rPr>
        <w:t xml:space="preserve"> and empower</w:t>
      </w:r>
      <w:r>
        <w:rPr>
          <w:rFonts w:eastAsia="Times New Roman" w:cstheme="minorHAnsi"/>
          <w:bCs/>
          <w:spacing w:val="2"/>
          <w:lang w:eastAsia="en-GB"/>
        </w:rPr>
        <w:t>ment</w:t>
      </w:r>
      <w:r w:rsidRPr="00290829">
        <w:rPr>
          <w:rFonts w:eastAsia="Times New Roman" w:cstheme="minorHAnsi"/>
          <w:bCs/>
          <w:spacing w:val="2"/>
          <w:lang w:eastAsia="en-GB"/>
        </w:rPr>
        <w:t xml:space="preserve"> to cope with their </w:t>
      </w:r>
      <w:r w:rsidR="003B6BBF">
        <w:rPr>
          <w:rFonts w:eastAsia="Times New Roman" w:cstheme="minorHAnsi"/>
          <w:bCs/>
          <w:spacing w:val="2"/>
          <w:lang w:eastAsia="en-GB"/>
        </w:rPr>
        <w:t>symptoms</w:t>
      </w:r>
      <w:r w:rsidRPr="00290829">
        <w:rPr>
          <w:rFonts w:eastAsia="Times New Roman" w:cstheme="minorHAnsi"/>
          <w:bCs/>
          <w:spacing w:val="2"/>
          <w:lang w:eastAsia="en-GB"/>
        </w:rPr>
        <w:t>, to keep healthy and to help themselves.</w:t>
      </w:r>
      <w:r w:rsidR="00EB5016">
        <w:rPr>
          <w:rFonts w:eastAsia="Times New Roman" w:cstheme="minorHAnsi"/>
          <w:bCs/>
          <w:spacing w:val="2"/>
          <w:lang w:eastAsia="en-GB"/>
        </w:rPr>
        <w:t>[</w:t>
      </w:r>
      <w:r w:rsidR="007B16E3" w:rsidRPr="00EB5016">
        <w:rPr>
          <w:rFonts w:eastAsia="Times New Roman" w:cstheme="minorHAnsi"/>
          <w:bCs/>
          <w:noProof/>
          <w:spacing w:val="2"/>
          <w:lang w:eastAsia="en-GB"/>
        </w:rPr>
        <w:t>56</w:t>
      </w:r>
      <w:r w:rsidR="00EB5016">
        <w:rPr>
          <w:rFonts w:eastAsia="Times New Roman" w:cstheme="minorHAnsi"/>
          <w:bCs/>
          <w:spacing w:val="2"/>
          <w:lang w:eastAsia="en-GB"/>
        </w:rPr>
        <w:t>]</w:t>
      </w:r>
      <w:r w:rsidRPr="00290829">
        <w:rPr>
          <w:rFonts w:eastAsia="Times New Roman" w:cstheme="minorHAnsi"/>
          <w:bCs/>
          <w:spacing w:val="2"/>
          <w:lang w:eastAsia="en-GB"/>
        </w:rPr>
        <w:t xml:space="preserve"> To </w:t>
      </w:r>
      <w:r w:rsidRPr="00290829">
        <w:rPr>
          <w:rFonts w:eastAsia="Times New Roman" w:cstheme="minorHAnsi"/>
          <w:bCs/>
          <w:spacing w:val="2"/>
          <w:lang w:eastAsia="en-GB"/>
        </w:rPr>
        <w:lastRenderedPageBreak/>
        <w:t xml:space="preserve">increase sensitivity, versions with more response options </w:t>
      </w:r>
      <w:r w:rsidR="00EC2B72">
        <w:rPr>
          <w:rFonts w:eastAsia="Times New Roman" w:cstheme="minorHAnsi"/>
          <w:bCs/>
          <w:spacing w:val="2"/>
          <w:lang w:eastAsia="en-GB"/>
        </w:rPr>
        <w:t xml:space="preserve">than the original </w:t>
      </w:r>
      <w:r w:rsidR="0092722B">
        <w:rPr>
          <w:rFonts w:eastAsia="Times New Roman" w:cstheme="minorHAnsi"/>
          <w:bCs/>
          <w:spacing w:val="2"/>
          <w:lang w:eastAsia="en-GB"/>
        </w:rPr>
        <w:t xml:space="preserve">four </w:t>
      </w:r>
      <w:r w:rsidR="0092722B" w:rsidRPr="00290829">
        <w:rPr>
          <w:rFonts w:eastAsia="Times New Roman" w:cstheme="minorHAnsi"/>
          <w:bCs/>
          <w:spacing w:val="2"/>
          <w:lang w:eastAsia="en-GB"/>
        </w:rPr>
        <w:t>(much better/never/same or less/not applicable)</w:t>
      </w:r>
      <w:r w:rsidR="0092722B">
        <w:rPr>
          <w:rFonts w:eastAsia="Times New Roman" w:cstheme="minorHAnsi"/>
          <w:bCs/>
          <w:spacing w:val="2"/>
          <w:lang w:eastAsia="en-GB"/>
        </w:rPr>
        <w:t xml:space="preserve"> </w:t>
      </w:r>
      <w:r w:rsidRPr="00290829">
        <w:rPr>
          <w:rFonts w:eastAsia="Times New Roman" w:cstheme="minorHAnsi"/>
          <w:bCs/>
          <w:spacing w:val="2"/>
          <w:lang w:eastAsia="en-GB"/>
        </w:rPr>
        <w:t>have been reported.</w:t>
      </w:r>
      <w:r w:rsidR="00EB5016">
        <w:rPr>
          <w:rFonts w:eastAsia="Times New Roman" w:cstheme="minorHAnsi"/>
          <w:bCs/>
          <w:spacing w:val="2"/>
          <w:lang w:eastAsia="en-GB"/>
        </w:rPr>
        <w:t>[</w:t>
      </w:r>
      <w:r w:rsidR="007B16E3" w:rsidRPr="00EB5016">
        <w:rPr>
          <w:rFonts w:eastAsia="Times New Roman" w:cstheme="minorHAnsi"/>
          <w:bCs/>
          <w:noProof/>
          <w:spacing w:val="2"/>
          <w:lang w:eastAsia="en-GB"/>
        </w:rPr>
        <w:t>57-59</w:t>
      </w:r>
      <w:r w:rsidR="00EB5016" w:rsidRPr="00EB5016">
        <w:rPr>
          <w:rFonts w:eastAsia="Times New Roman" w:cstheme="minorHAnsi"/>
          <w:bCs/>
          <w:noProof/>
          <w:spacing w:val="2"/>
          <w:lang w:eastAsia="en-GB"/>
        </w:rPr>
        <w:t>]</w:t>
      </w:r>
      <w:r w:rsidRPr="00290829">
        <w:rPr>
          <w:rFonts w:eastAsia="Times New Roman" w:cstheme="minorHAnsi"/>
          <w:bCs/>
          <w:spacing w:val="2"/>
          <w:lang w:eastAsia="en-GB"/>
        </w:rPr>
        <w:t xml:space="preserve"> </w:t>
      </w:r>
      <w:r w:rsidR="009F725F">
        <w:rPr>
          <w:rFonts w:eastAsia="Times New Roman" w:cstheme="minorHAnsi"/>
          <w:bCs/>
          <w:spacing w:val="2"/>
          <w:lang w:eastAsia="en-GB"/>
        </w:rPr>
        <w:t>Following o</w:t>
      </w:r>
      <w:r w:rsidRPr="00290829">
        <w:rPr>
          <w:rFonts w:eastAsia="Times New Roman" w:cstheme="minorHAnsi"/>
          <w:bCs/>
          <w:spacing w:val="2"/>
          <w:lang w:eastAsia="en-GB"/>
        </w:rPr>
        <w:t>ur feasibility study</w:t>
      </w:r>
      <w:r>
        <w:rPr>
          <w:rFonts w:eastAsia="Times New Roman" w:cstheme="minorHAnsi"/>
          <w:bCs/>
          <w:spacing w:val="2"/>
          <w:lang w:eastAsia="en-GB"/>
        </w:rPr>
        <w:t xml:space="preserve"> </w:t>
      </w:r>
      <w:r w:rsidR="009F725F">
        <w:rPr>
          <w:rFonts w:eastAsia="Times New Roman" w:cstheme="minorHAnsi"/>
          <w:bCs/>
          <w:spacing w:val="2"/>
          <w:lang w:eastAsia="en-GB"/>
        </w:rPr>
        <w:t xml:space="preserve">we use </w:t>
      </w:r>
      <w:r w:rsidRPr="00290829">
        <w:rPr>
          <w:rFonts w:eastAsia="Times New Roman" w:cstheme="minorHAnsi"/>
          <w:bCs/>
          <w:spacing w:val="2"/>
          <w:lang w:eastAsia="en-GB"/>
        </w:rPr>
        <w:t xml:space="preserve">a modified 7-point agree-disagree Likert response scale </w:t>
      </w:r>
      <w:r w:rsidR="009F725F">
        <w:rPr>
          <w:rFonts w:eastAsia="Times New Roman" w:cstheme="minorHAnsi"/>
          <w:bCs/>
          <w:spacing w:val="2"/>
          <w:lang w:eastAsia="en-GB"/>
        </w:rPr>
        <w:t xml:space="preserve">with a </w:t>
      </w:r>
      <w:r w:rsidRPr="00290829">
        <w:rPr>
          <w:rFonts w:eastAsia="Times New Roman" w:cstheme="minorHAnsi"/>
          <w:bCs/>
          <w:spacing w:val="2"/>
          <w:lang w:eastAsia="en-GB"/>
        </w:rPr>
        <w:t>Not Applicable option</w:t>
      </w:r>
      <w:r w:rsidRPr="00290829">
        <w:rPr>
          <w:rFonts w:cstheme="minorHAnsi"/>
          <w:bCs/>
          <w:spacing w:val="2"/>
        </w:rPr>
        <w:t>.</w:t>
      </w:r>
    </w:p>
    <w:p w14:paraId="03662D1C" w14:textId="77777777" w:rsidR="00FC3A25" w:rsidRPr="00FC3A25" w:rsidRDefault="00FC3A25" w:rsidP="00FC3A25">
      <w:pPr>
        <w:rPr>
          <w:rFonts w:cstheme="minorHAnsi"/>
          <w:bCs/>
          <w:spacing w:val="2"/>
        </w:rPr>
      </w:pPr>
    </w:p>
    <w:p w14:paraId="6E9130FB" w14:textId="7755C9F9" w:rsidR="00B12103" w:rsidRDefault="00984222" w:rsidP="00984222">
      <w:pPr>
        <w:pStyle w:val="Heading3"/>
      </w:pPr>
      <w:r>
        <w:t>Secondary Outcomes</w:t>
      </w:r>
    </w:p>
    <w:p w14:paraId="75ABC1A7" w14:textId="77777777" w:rsidR="00FC3A25" w:rsidRPr="002E7410" w:rsidRDefault="00FC3A25" w:rsidP="00FC3A25">
      <w:pPr>
        <w:pStyle w:val="Heading4"/>
      </w:pPr>
      <w:r w:rsidRPr="002E7410">
        <w:t>Symptom Severity and Global Impression of Change</w:t>
      </w:r>
    </w:p>
    <w:p w14:paraId="5931237F" w14:textId="04E03E62" w:rsidR="00FC3A25" w:rsidRPr="00290829" w:rsidRDefault="00F93493" w:rsidP="00FC3A25">
      <w:pPr>
        <w:rPr>
          <w:rFonts w:cstheme="minorHAnsi"/>
          <w:bCs/>
          <w:spacing w:val="2"/>
        </w:rPr>
      </w:pPr>
      <w:r>
        <w:rPr>
          <w:rFonts w:cstheme="minorHAnsi"/>
          <w:bCs/>
          <w:spacing w:val="2"/>
        </w:rPr>
        <w:t>O</w:t>
      </w:r>
      <w:r w:rsidRPr="00290829">
        <w:rPr>
          <w:rFonts w:cstheme="minorHAnsi"/>
          <w:bCs/>
          <w:spacing w:val="2"/>
        </w:rPr>
        <w:t xml:space="preserve">verall perceptions of symptom severity and change are important for </w:t>
      </w:r>
      <w:r w:rsidR="00741E2E">
        <w:rPr>
          <w:rFonts w:cstheme="minorHAnsi"/>
          <w:bCs/>
          <w:spacing w:val="2"/>
        </w:rPr>
        <w:t>musculoskeletal</w:t>
      </w:r>
      <w:r w:rsidRPr="00290829">
        <w:rPr>
          <w:rFonts w:cstheme="minorHAnsi"/>
          <w:bCs/>
          <w:spacing w:val="2"/>
        </w:rPr>
        <w:t xml:space="preserve"> patients given the high prevalence of multi-morbid conditions</w:t>
      </w:r>
      <w:r>
        <w:rPr>
          <w:rFonts w:cstheme="minorHAnsi"/>
          <w:bCs/>
          <w:spacing w:val="2"/>
        </w:rPr>
        <w:t xml:space="preserve"> and </w:t>
      </w:r>
      <w:r w:rsidR="004864D9">
        <w:rPr>
          <w:rFonts w:cstheme="minorHAnsi"/>
          <w:bCs/>
          <w:spacing w:val="2"/>
        </w:rPr>
        <w:t xml:space="preserve">for </w:t>
      </w:r>
      <w:r w:rsidR="009F70B0">
        <w:rPr>
          <w:rFonts w:cstheme="minorHAnsi"/>
          <w:bCs/>
          <w:spacing w:val="2"/>
        </w:rPr>
        <w:t>a</w:t>
      </w:r>
      <w:r>
        <w:rPr>
          <w:rFonts w:cstheme="minorHAnsi"/>
          <w:bCs/>
          <w:spacing w:val="2"/>
        </w:rPr>
        <w:t>ll-</w:t>
      </w:r>
      <w:r w:rsidR="009F70B0">
        <w:rPr>
          <w:rFonts w:cstheme="minorHAnsi"/>
          <w:bCs/>
          <w:spacing w:val="2"/>
        </w:rPr>
        <w:t>c</w:t>
      </w:r>
      <w:r>
        <w:rPr>
          <w:rFonts w:cstheme="minorHAnsi"/>
          <w:bCs/>
          <w:spacing w:val="2"/>
        </w:rPr>
        <w:t>omers</w:t>
      </w:r>
      <w:r w:rsidRPr="00290829">
        <w:rPr>
          <w:rFonts w:cstheme="minorHAnsi"/>
          <w:bCs/>
          <w:spacing w:val="2"/>
        </w:rPr>
        <w:t xml:space="preserve"> because they </w:t>
      </w:r>
      <w:r w:rsidR="00A51A37">
        <w:rPr>
          <w:rFonts w:cstheme="minorHAnsi"/>
          <w:bCs/>
          <w:spacing w:val="2"/>
        </w:rPr>
        <w:t xml:space="preserve">apply </w:t>
      </w:r>
      <w:r w:rsidRPr="00290829">
        <w:rPr>
          <w:rFonts w:cstheme="minorHAnsi"/>
          <w:bCs/>
          <w:spacing w:val="2"/>
        </w:rPr>
        <w:t xml:space="preserve">to any condition and provide a symptom-focused pre-consultation baseline. </w:t>
      </w:r>
      <w:r w:rsidR="00FC3A25" w:rsidRPr="00290829">
        <w:rPr>
          <w:rFonts w:cstheme="minorHAnsi"/>
          <w:bCs/>
          <w:spacing w:val="2"/>
        </w:rPr>
        <w:t>Two single item 7-</w:t>
      </w:r>
      <w:proofErr w:type="gramStart"/>
      <w:r w:rsidR="00FC3A25" w:rsidRPr="00290829">
        <w:rPr>
          <w:rFonts w:cstheme="minorHAnsi"/>
          <w:bCs/>
          <w:spacing w:val="2"/>
        </w:rPr>
        <w:t>point</w:t>
      </w:r>
      <w:r w:rsidR="00EB5016">
        <w:rPr>
          <w:rFonts w:cstheme="minorHAnsi"/>
          <w:bCs/>
          <w:spacing w:val="2"/>
        </w:rPr>
        <w:t>[</w:t>
      </w:r>
      <w:proofErr w:type="gramEnd"/>
      <w:r w:rsidR="007B16E3" w:rsidRPr="00EB5016">
        <w:rPr>
          <w:rFonts w:cstheme="minorHAnsi"/>
          <w:bCs/>
          <w:noProof/>
          <w:spacing w:val="2"/>
        </w:rPr>
        <w:t>60</w:t>
      </w:r>
      <w:r w:rsidR="00EB5016">
        <w:rPr>
          <w:rFonts w:cstheme="minorHAnsi"/>
          <w:bCs/>
          <w:noProof/>
          <w:spacing w:val="2"/>
        </w:rPr>
        <w:t>]</w:t>
      </w:r>
      <w:r w:rsidR="00FC3A25" w:rsidRPr="00290829">
        <w:rPr>
          <w:rFonts w:cstheme="minorHAnsi"/>
          <w:bCs/>
          <w:spacing w:val="2"/>
        </w:rPr>
        <w:t xml:space="preserve"> measures of Patient Global Impression of Symptom Severity and Patient Global Impression of Change </w:t>
      </w:r>
      <w:r>
        <w:rPr>
          <w:rFonts w:cstheme="minorHAnsi"/>
          <w:bCs/>
          <w:spacing w:val="2"/>
        </w:rPr>
        <w:t xml:space="preserve">are </w:t>
      </w:r>
      <w:r w:rsidR="00FC3A25">
        <w:rPr>
          <w:rFonts w:cstheme="minorHAnsi"/>
          <w:bCs/>
          <w:spacing w:val="2"/>
        </w:rPr>
        <w:t>collected</w:t>
      </w:r>
      <w:r w:rsidR="00FC3A25" w:rsidRPr="00290829">
        <w:rPr>
          <w:rFonts w:cstheme="minorHAnsi"/>
          <w:bCs/>
          <w:spacing w:val="2"/>
        </w:rPr>
        <w:t>.</w:t>
      </w:r>
      <w:r w:rsidR="00EB5016">
        <w:rPr>
          <w:rFonts w:cstheme="minorHAnsi"/>
          <w:bCs/>
          <w:spacing w:val="2"/>
        </w:rPr>
        <w:t>[</w:t>
      </w:r>
      <w:r w:rsidR="007B16E3" w:rsidRPr="00EB5016">
        <w:rPr>
          <w:rFonts w:cstheme="minorHAnsi"/>
          <w:bCs/>
          <w:noProof/>
          <w:spacing w:val="2"/>
        </w:rPr>
        <w:t>61</w:t>
      </w:r>
      <w:r w:rsidR="00EB5016">
        <w:rPr>
          <w:rFonts w:cstheme="minorHAnsi"/>
          <w:bCs/>
          <w:noProof/>
          <w:spacing w:val="2"/>
        </w:rPr>
        <w:t>]</w:t>
      </w:r>
      <w:r w:rsidR="00FC3A25" w:rsidRPr="00290829">
        <w:rPr>
          <w:rFonts w:cstheme="minorHAnsi"/>
          <w:bCs/>
          <w:spacing w:val="2"/>
        </w:rPr>
        <w:t xml:space="preserve"> </w:t>
      </w:r>
    </w:p>
    <w:p w14:paraId="4D2B947B" w14:textId="77777777" w:rsidR="00FC3A25" w:rsidRPr="001D4C56" w:rsidRDefault="00FC3A25" w:rsidP="00FC3A25">
      <w:pPr>
        <w:pStyle w:val="Heading4"/>
      </w:pPr>
      <w:r w:rsidRPr="001D4C56">
        <w:t>Patient Satisfaction</w:t>
      </w:r>
    </w:p>
    <w:p w14:paraId="1BEC0841" w14:textId="2A764F0A" w:rsidR="00FC3A25" w:rsidRPr="00290829" w:rsidRDefault="007E5C7B" w:rsidP="00FC3A25">
      <w:pPr>
        <w:rPr>
          <w:rFonts w:cstheme="minorHAnsi"/>
          <w:bCs/>
          <w:spacing w:val="2"/>
        </w:rPr>
      </w:pPr>
      <w:r>
        <w:rPr>
          <w:rFonts w:cstheme="minorHAnsi"/>
          <w:bCs/>
          <w:spacing w:val="2"/>
        </w:rPr>
        <w:t>The version of t</w:t>
      </w:r>
      <w:r w:rsidR="00FC3A25" w:rsidRPr="00290829">
        <w:rPr>
          <w:rFonts w:cstheme="minorHAnsi"/>
          <w:bCs/>
          <w:spacing w:val="2"/>
        </w:rPr>
        <w:t xml:space="preserve">he 21-item Medical Interview Satisfaction </w:t>
      </w:r>
      <w:proofErr w:type="gramStart"/>
      <w:r w:rsidR="00FC3A25" w:rsidRPr="00290829">
        <w:rPr>
          <w:rFonts w:cstheme="minorHAnsi"/>
          <w:bCs/>
          <w:spacing w:val="2"/>
        </w:rPr>
        <w:t>Scale</w:t>
      </w:r>
      <w:r w:rsidR="00EB5016">
        <w:rPr>
          <w:rFonts w:cstheme="minorHAnsi"/>
          <w:bCs/>
          <w:spacing w:val="2"/>
        </w:rPr>
        <w:t>[</w:t>
      </w:r>
      <w:proofErr w:type="gramEnd"/>
      <w:r w:rsidR="007B16E3" w:rsidRPr="00EB5016">
        <w:rPr>
          <w:rFonts w:cstheme="minorHAnsi"/>
          <w:bCs/>
          <w:noProof/>
          <w:spacing w:val="2"/>
        </w:rPr>
        <w:t>62</w:t>
      </w:r>
      <w:r w:rsidR="00EB5016">
        <w:rPr>
          <w:rFonts w:cstheme="minorHAnsi"/>
          <w:bCs/>
          <w:noProof/>
          <w:spacing w:val="2"/>
        </w:rPr>
        <w:t>]</w:t>
      </w:r>
      <w:r w:rsidR="00FC3A25" w:rsidRPr="00290829">
        <w:rPr>
          <w:rFonts w:cstheme="minorHAnsi"/>
          <w:bCs/>
          <w:spacing w:val="2"/>
        </w:rPr>
        <w:t xml:space="preserve"> (MISS) adapted and revalidated for UK primary care</w:t>
      </w:r>
      <w:r w:rsidR="00EB5016">
        <w:rPr>
          <w:rFonts w:cstheme="minorHAnsi"/>
          <w:bCs/>
          <w:spacing w:val="2"/>
        </w:rPr>
        <w:t>[</w:t>
      </w:r>
      <w:r w:rsidR="007B16E3" w:rsidRPr="00EB5016">
        <w:rPr>
          <w:rFonts w:cstheme="minorHAnsi"/>
          <w:bCs/>
          <w:noProof/>
          <w:spacing w:val="2"/>
        </w:rPr>
        <w:t>63</w:t>
      </w:r>
      <w:r w:rsidR="00EB5016">
        <w:rPr>
          <w:rFonts w:cstheme="minorHAnsi"/>
          <w:bCs/>
          <w:noProof/>
          <w:spacing w:val="2"/>
        </w:rPr>
        <w:t>]</w:t>
      </w:r>
      <w:r w:rsidR="00FC3A25">
        <w:rPr>
          <w:rFonts w:cstheme="minorHAnsi"/>
          <w:bCs/>
          <w:spacing w:val="2"/>
        </w:rPr>
        <w:t xml:space="preserve"> </w:t>
      </w:r>
      <w:r>
        <w:rPr>
          <w:rFonts w:cstheme="minorHAnsi"/>
          <w:bCs/>
          <w:spacing w:val="2"/>
        </w:rPr>
        <w:t xml:space="preserve">is used to </w:t>
      </w:r>
      <w:r w:rsidRPr="00290829">
        <w:rPr>
          <w:rFonts w:cstheme="minorHAnsi"/>
          <w:bCs/>
          <w:spacing w:val="2"/>
        </w:rPr>
        <w:t>measure patient satisfaction with the consultatio</w:t>
      </w:r>
      <w:r>
        <w:rPr>
          <w:rFonts w:cstheme="minorHAnsi"/>
          <w:bCs/>
          <w:spacing w:val="2"/>
        </w:rPr>
        <w:t>n</w:t>
      </w:r>
      <w:r w:rsidR="00FC3A25" w:rsidRPr="00290829">
        <w:rPr>
          <w:rFonts w:cstheme="minorHAnsi"/>
          <w:bCs/>
          <w:spacing w:val="2"/>
        </w:rPr>
        <w:t xml:space="preserve">.  </w:t>
      </w:r>
    </w:p>
    <w:p w14:paraId="490569B9" w14:textId="77777777" w:rsidR="00FC3A25" w:rsidRPr="00625310" w:rsidRDefault="00FC3A25" w:rsidP="00FC3A25">
      <w:pPr>
        <w:pStyle w:val="Heading4"/>
      </w:pPr>
      <w:r w:rsidRPr="00625310">
        <w:t xml:space="preserve">Pain Interference </w:t>
      </w:r>
    </w:p>
    <w:p w14:paraId="6FB5BC50" w14:textId="104301E4" w:rsidR="00FC3A25" w:rsidRDefault="00FC3A25" w:rsidP="00ED52DD">
      <w:r w:rsidRPr="00290829">
        <w:t xml:space="preserve">Pain interference </w:t>
      </w:r>
      <w:r w:rsidR="00AD5258">
        <w:t xml:space="preserve">is </w:t>
      </w:r>
      <w:r w:rsidRPr="00290829">
        <w:t>measured with the 7-item pain interference scale from the BPI</w:t>
      </w:r>
      <w:r w:rsidR="00EB5016">
        <w:t>.[</w:t>
      </w:r>
      <w:r w:rsidR="007B16E3" w:rsidRPr="00EB5016">
        <w:rPr>
          <w:noProof/>
        </w:rPr>
        <w:t>55</w:t>
      </w:r>
      <w:r w:rsidR="00EB5016">
        <w:rPr>
          <w:noProof/>
        </w:rPr>
        <w:t>]</w:t>
      </w:r>
      <w:r>
        <w:t xml:space="preserve"> </w:t>
      </w:r>
    </w:p>
    <w:p w14:paraId="74A08DC1" w14:textId="77777777" w:rsidR="00F93493" w:rsidRPr="00ED52DD" w:rsidRDefault="00FC3A25" w:rsidP="00ED52DD">
      <w:pPr>
        <w:pStyle w:val="Heading4"/>
        <w:rPr>
          <w:rStyle w:val="Heading4Char"/>
          <w:i/>
          <w:iCs/>
        </w:rPr>
      </w:pPr>
      <w:r w:rsidRPr="00ED52DD">
        <w:rPr>
          <w:rStyle w:val="Heading4Char"/>
          <w:i/>
          <w:iCs/>
        </w:rPr>
        <w:t xml:space="preserve">Health-Related Quality of Life </w:t>
      </w:r>
    </w:p>
    <w:p w14:paraId="2A064EA9" w14:textId="6F1AC696" w:rsidR="00FC3A25" w:rsidRDefault="00AD5258" w:rsidP="00ED52DD">
      <w:r>
        <w:t xml:space="preserve">Health </w:t>
      </w:r>
      <w:r w:rsidR="00E24771">
        <w:t>status</w:t>
      </w:r>
      <w:r>
        <w:t xml:space="preserve"> is </w:t>
      </w:r>
      <w:r w:rsidR="00FC3A25" w:rsidRPr="00625310">
        <w:t xml:space="preserve">measured using </w:t>
      </w:r>
      <w:r w:rsidR="00FC3A25" w:rsidRPr="00290829">
        <w:t xml:space="preserve">the </w:t>
      </w:r>
      <w:r w:rsidR="00FC3A25" w:rsidRPr="00062162">
        <w:t>5-item EQ-5D-5L</w:t>
      </w:r>
      <w:r w:rsidR="00FC3A25">
        <w:t xml:space="preserve"> and the EQ-VAS</w:t>
      </w:r>
      <w:r w:rsidR="00152A99">
        <w:t>.</w:t>
      </w:r>
      <w:r w:rsidR="00EB5016">
        <w:t>[</w:t>
      </w:r>
      <w:r w:rsidR="007B16E3" w:rsidRPr="00EB5016">
        <w:rPr>
          <w:noProof/>
        </w:rPr>
        <w:t>64</w:t>
      </w:r>
      <w:r w:rsidR="00EB5016">
        <w:rPr>
          <w:noProof/>
        </w:rPr>
        <w:t>]</w:t>
      </w:r>
      <w:r w:rsidR="00FC3A25" w:rsidRPr="00062162">
        <w:t xml:space="preserve"> </w:t>
      </w:r>
    </w:p>
    <w:p w14:paraId="73031D14" w14:textId="77777777" w:rsidR="00ED52DD" w:rsidRPr="00625310" w:rsidRDefault="00ED52DD" w:rsidP="00ED52DD">
      <w:pPr>
        <w:rPr>
          <w:b/>
        </w:rPr>
      </w:pPr>
    </w:p>
    <w:p w14:paraId="13831F50" w14:textId="2854FE08" w:rsidR="00ED52DD" w:rsidRDefault="00FC3A25" w:rsidP="00ED52DD">
      <w:pPr>
        <w:pStyle w:val="Heading3"/>
      </w:pPr>
      <w:r w:rsidRPr="00625310">
        <w:t xml:space="preserve">Health Economics Outcomes </w:t>
      </w:r>
    </w:p>
    <w:p w14:paraId="4F047E23" w14:textId="1D20C9FA" w:rsidR="00FC3A25" w:rsidRDefault="00FC3A25" w:rsidP="00AA2D55">
      <w:r w:rsidRPr="00625310">
        <w:t>Cost effectiveness</w:t>
      </w:r>
      <w:r>
        <w:rPr>
          <w:b/>
        </w:rPr>
        <w:t xml:space="preserve"> </w:t>
      </w:r>
      <w:r w:rsidRPr="00625310">
        <w:t>will be assessed from NHS and societal perspective</w:t>
      </w:r>
      <w:r w:rsidR="00261113">
        <w:t>s</w:t>
      </w:r>
      <w:r w:rsidRPr="00625310">
        <w:t xml:space="preserve"> including personal expenses and productivity over 6</w:t>
      </w:r>
      <w:r w:rsidR="00261113">
        <w:t xml:space="preserve"> </w:t>
      </w:r>
      <w:r w:rsidRPr="00625310">
        <w:t>month</w:t>
      </w:r>
      <w:r w:rsidR="00261113">
        <w:t>s</w:t>
      </w:r>
      <w:r w:rsidRPr="00625310">
        <w:t xml:space="preserve">. </w:t>
      </w:r>
      <w:r w:rsidR="00024F6F">
        <w:t>Utility values will be estimated</w:t>
      </w:r>
      <w:r w:rsidR="007B564E">
        <w:t xml:space="preserve"> from EQ-5D-5L</w:t>
      </w:r>
      <w:r w:rsidR="00024F6F">
        <w:t xml:space="preserve"> </w:t>
      </w:r>
      <w:r w:rsidR="000C62A9">
        <w:t xml:space="preserve">scores </w:t>
      </w:r>
      <w:r w:rsidR="00024F6F">
        <w:t xml:space="preserve">using </w:t>
      </w:r>
      <w:r w:rsidR="007B564E">
        <w:t>the NICE-recommended approach at the time of analysis.</w:t>
      </w:r>
      <w:r w:rsidRPr="00625310">
        <w:t xml:space="preserve"> </w:t>
      </w:r>
      <w:r>
        <w:t>Q</w:t>
      </w:r>
      <w:r w:rsidRPr="00625310">
        <w:t xml:space="preserve">uality-adjusted life-years will be estimated by combining utility values, with length of time in each health state, using the area under the curve </w:t>
      </w:r>
      <w:proofErr w:type="gramStart"/>
      <w:r w:rsidRPr="00625310">
        <w:t>approach</w:t>
      </w:r>
      <w:r w:rsidRPr="00EB5016">
        <w:t>.</w:t>
      </w:r>
      <w:r w:rsidR="00EB5016" w:rsidRPr="00EB5016">
        <w:t>[</w:t>
      </w:r>
      <w:proofErr w:type="gramEnd"/>
      <w:r w:rsidR="007B16E3" w:rsidRPr="00EB5016">
        <w:rPr>
          <w:noProof/>
        </w:rPr>
        <w:t>64-66</w:t>
      </w:r>
      <w:r w:rsidR="00EB5016">
        <w:rPr>
          <w:noProof/>
        </w:rPr>
        <w:t>]</w:t>
      </w:r>
      <w:r w:rsidRPr="00625310">
        <w:t xml:space="preserve"> The 5-item ICECAP-A, which was designed to capture broader aspects of quality-of-life and has been found to complement the EQ-5D in economic evaluations, </w:t>
      </w:r>
      <w:r w:rsidR="0046705F">
        <w:t xml:space="preserve">is </w:t>
      </w:r>
      <w:r w:rsidRPr="00625310">
        <w:t>also collected.</w:t>
      </w:r>
      <w:r w:rsidR="00EB5016">
        <w:t>[</w:t>
      </w:r>
      <w:r w:rsidR="007B16E3" w:rsidRPr="00EB5016">
        <w:rPr>
          <w:noProof/>
        </w:rPr>
        <w:t>67</w:t>
      </w:r>
      <w:r w:rsidR="00EB5016" w:rsidRPr="00EB5016">
        <w:rPr>
          <w:noProof/>
        </w:rPr>
        <w:t>,</w:t>
      </w:r>
      <w:r w:rsidR="007B16E3" w:rsidRPr="00EB5016">
        <w:rPr>
          <w:noProof/>
        </w:rPr>
        <w:t>68</w:t>
      </w:r>
      <w:r w:rsidR="00EB5016" w:rsidRPr="00EB5016">
        <w:rPr>
          <w:noProof/>
        </w:rPr>
        <w:t>]</w:t>
      </w:r>
      <w:r w:rsidRPr="00625310">
        <w:t xml:space="preserve"> </w:t>
      </w:r>
    </w:p>
    <w:p w14:paraId="7A67EF42" w14:textId="4CC8D051" w:rsidR="00FC3A25" w:rsidRDefault="00FC3A25" w:rsidP="00AA2D55">
      <w:bookmarkStart w:id="10" w:name="_Hlk98834855"/>
      <w:r w:rsidRPr="00625310">
        <w:t>Practitioner time</w:t>
      </w:r>
      <w:r w:rsidRPr="00062162">
        <w:t xml:space="preserve"> spent on EMPathicO training </w:t>
      </w:r>
      <w:r w:rsidR="0046705F">
        <w:t xml:space="preserve">is </w:t>
      </w:r>
      <w:r w:rsidRPr="00062162">
        <w:t xml:space="preserve">captured by </w:t>
      </w:r>
      <w:proofErr w:type="spellStart"/>
      <w:r w:rsidRPr="00062162">
        <w:t>LifeGuide</w:t>
      </w:r>
      <w:proofErr w:type="spellEnd"/>
      <w:r w:rsidRPr="00062162">
        <w:t xml:space="preserve">. </w:t>
      </w:r>
      <w:r>
        <w:t>R</w:t>
      </w:r>
      <w:r w:rsidRPr="00062162">
        <w:t xml:space="preserve">esource-use data </w:t>
      </w:r>
      <w:r w:rsidR="006653C9">
        <w:t xml:space="preserve">is </w:t>
      </w:r>
      <w:r w:rsidRPr="00062162">
        <w:t xml:space="preserve">collected </w:t>
      </w:r>
      <w:r w:rsidR="009261E3">
        <w:t xml:space="preserve">using </w:t>
      </w:r>
      <w:proofErr w:type="spellStart"/>
      <w:proofErr w:type="gramStart"/>
      <w:r w:rsidRPr="00062162">
        <w:t>ModRUM</w:t>
      </w:r>
      <w:proofErr w:type="spellEnd"/>
      <w:r w:rsidR="00EB5016">
        <w:t>[</w:t>
      </w:r>
      <w:proofErr w:type="gramEnd"/>
      <w:r w:rsidR="007B16E3" w:rsidRPr="00EB5016">
        <w:rPr>
          <w:noProof/>
        </w:rPr>
        <w:t>69</w:t>
      </w:r>
      <w:r w:rsidR="00EB5016" w:rsidRPr="00EB5016">
        <w:rPr>
          <w:noProof/>
        </w:rPr>
        <w:t>]</w:t>
      </w:r>
      <w:r w:rsidRPr="00062162">
        <w:t xml:space="preserve"> </w:t>
      </w:r>
      <w:r w:rsidR="008750C9">
        <w:t>(</w:t>
      </w:r>
      <w:r w:rsidR="002007C0">
        <w:t xml:space="preserve">patient </w:t>
      </w:r>
      <w:r w:rsidR="008750C9">
        <w:t>s</w:t>
      </w:r>
      <w:r w:rsidR="008750C9" w:rsidRPr="00062162">
        <w:t>elf-reported healthcare utilization</w:t>
      </w:r>
      <w:r w:rsidR="008750C9">
        <w:t>) and b</w:t>
      </w:r>
      <w:r w:rsidRPr="00062162">
        <w:t xml:space="preserve">espoke questions </w:t>
      </w:r>
      <w:r w:rsidR="009261E3">
        <w:t xml:space="preserve">(costs </w:t>
      </w:r>
      <w:r w:rsidRPr="00062162">
        <w:t xml:space="preserve">outside the healthcare sector </w:t>
      </w:r>
      <w:r w:rsidR="009261E3">
        <w:t xml:space="preserve">e.g., </w:t>
      </w:r>
      <w:r w:rsidRPr="00062162">
        <w:t>personal expenses</w:t>
      </w:r>
      <w:r w:rsidR="009261E3">
        <w:t>)</w:t>
      </w:r>
      <w:r w:rsidRPr="00062162">
        <w:t xml:space="preserve">.  The </w:t>
      </w:r>
      <w:bookmarkStart w:id="11" w:name="_Hlk98232231"/>
      <w:r w:rsidRPr="00062162">
        <w:t xml:space="preserve">Work Productivity and Activity Impairment Questionnaire: General Health </w:t>
      </w:r>
      <w:bookmarkEnd w:id="11"/>
      <w:r w:rsidR="006653C9">
        <w:t xml:space="preserve">is </w:t>
      </w:r>
      <w:r w:rsidRPr="00062162">
        <w:t>used to collect information on productivity, including time off work.</w:t>
      </w:r>
      <w:r w:rsidR="00EB5016">
        <w:t>[</w:t>
      </w:r>
      <w:r w:rsidR="007B16E3" w:rsidRPr="00EB5016">
        <w:rPr>
          <w:noProof/>
        </w:rPr>
        <w:t>70</w:t>
      </w:r>
      <w:r w:rsidR="00EB5016" w:rsidRPr="00EB5016">
        <w:rPr>
          <w:noProof/>
        </w:rPr>
        <w:t>]</w:t>
      </w:r>
      <w:r w:rsidRPr="00062162">
        <w:t xml:space="preserve"> NHS resources include primary, community and secondary care, and prescribed medications</w:t>
      </w:r>
      <w:r w:rsidR="009D78BD">
        <w:t>; they</w:t>
      </w:r>
      <w:bookmarkStart w:id="12" w:name="_Hlk96864548"/>
      <w:r w:rsidR="009D78BD">
        <w:t xml:space="preserve"> </w:t>
      </w:r>
      <w:r w:rsidRPr="00062162">
        <w:t xml:space="preserve">will be valued using the national unit </w:t>
      </w:r>
      <w:proofErr w:type="gramStart"/>
      <w:r w:rsidRPr="00062162">
        <w:t>costs.</w:t>
      </w:r>
      <w:r w:rsidR="00EB5016">
        <w:t>[</w:t>
      </w:r>
      <w:proofErr w:type="gramEnd"/>
      <w:r w:rsidR="007B16E3" w:rsidRPr="00EB5016">
        <w:rPr>
          <w:noProof/>
        </w:rPr>
        <w:t>71-73</w:t>
      </w:r>
      <w:r w:rsidR="00EB5016">
        <w:rPr>
          <w:noProof/>
        </w:rPr>
        <w:t>]</w:t>
      </w:r>
      <w:r w:rsidRPr="00062162">
        <w:t xml:space="preserve"> </w:t>
      </w:r>
      <w:bookmarkEnd w:id="12"/>
      <w:r w:rsidRPr="00062162">
        <w:t xml:space="preserve">Personal expenses will be presented as reported. </w:t>
      </w:r>
      <w:r w:rsidR="004864D9">
        <w:t>Sick leave from employment</w:t>
      </w:r>
      <w:r w:rsidRPr="00062162">
        <w:t xml:space="preserve"> will be valued using Annual Survey of Hours and Earnings.</w:t>
      </w:r>
      <w:r w:rsidR="00EB5016">
        <w:t>[</w:t>
      </w:r>
      <w:r w:rsidR="007B16E3" w:rsidRPr="00EB5016">
        <w:rPr>
          <w:noProof/>
        </w:rPr>
        <w:t>74</w:t>
      </w:r>
      <w:bookmarkEnd w:id="10"/>
      <w:r w:rsidR="00EB5016">
        <w:rPr>
          <w:noProof/>
        </w:rPr>
        <w:t>]</w:t>
      </w:r>
    </w:p>
    <w:p w14:paraId="0318A92B" w14:textId="77777777" w:rsidR="00C5762F" w:rsidRPr="00290829" w:rsidRDefault="00C5762F" w:rsidP="00AA2D55"/>
    <w:p w14:paraId="0052C26C" w14:textId="6548D2E0" w:rsidR="00FC3A25" w:rsidRPr="00AA2D55" w:rsidRDefault="00FC3A25" w:rsidP="00AA2D55">
      <w:pPr>
        <w:pStyle w:val="Heading3"/>
      </w:pPr>
      <w:r w:rsidRPr="00AA2D55">
        <w:t>Process Variables</w:t>
      </w:r>
      <w:r w:rsidR="00AA2D55" w:rsidRPr="00AA2D55">
        <w:t xml:space="preserve"> and</w:t>
      </w:r>
      <w:r w:rsidRPr="00AA2D55">
        <w:t xml:space="preserve"> Covariates</w:t>
      </w:r>
    </w:p>
    <w:p w14:paraId="7966E5DA" w14:textId="63C35D92" w:rsidR="00E70C3E" w:rsidRDefault="004371E8" w:rsidP="00FC3A25">
      <w:pPr>
        <w:rPr>
          <w:rFonts w:cstheme="minorHAnsi"/>
          <w:bCs/>
          <w:spacing w:val="2"/>
        </w:rPr>
      </w:pPr>
      <w:r>
        <w:rPr>
          <w:rFonts w:cstheme="minorHAnsi"/>
          <w:bCs/>
          <w:spacing w:val="2"/>
        </w:rPr>
        <w:t xml:space="preserve">Potential </w:t>
      </w:r>
      <w:r w:rsidR="00FC3A25" w:rsidRPr="00290829">
        <w:rPr>
          <w:rFonts w:cstheme="minorHAnsi"/>
          <w:bCs/>
          <w:spacing w:val="2"/>
        </w:rPr>
        <w:t>mediat</w:t>
      </w:r>
      <w:r>
        <w:rPr>
          <w:rFonts w:cstheme="minorHAnsi"/>
          <w:bCs/>
          <w:spacing w:val="2"/>
        </w:rPr>
        <w:t xml:space="preserve">ors </w:t>
      </w:r>
      <w:r w:rsidR="00B90A44">
        <w:rPr>
          <w:rFonts w:cstheme="minorHAnsi"/>
          <w:bCs/>
          <w:spacing w:val="2"/>
        </w:rPr>
        <w:t xml:space="preserve">and moderators </w:t>
      </w:r>
      <w:r>
        <w:rPr>
          <w:rFonts w:cstheme="minorHAnsi"/>
          <w:bCs/>
          <w:spacing w:val="2"/>
        </w:rPr>
        <w:t>of</w:t>
      </w:r>
      <w:r w:rsidR="00FC3A25" w:rsidRPr="00290829">
        <w:rPr>
          <w:rFonts w:cstheme="minorHAnsi"/>
          <w:bCs/>
          <w:spacing w:val="2"/>
        </w:rPr>
        <w:t xml:space="preserve"> </w:t>
      </w:r>
      <w:r w:rsidR="004B5987">
        <w:rPr>
          <w:rFonts w:cstheme="minorHAnsi"/>
          <w:bCs/>
          <w:spacing w:val="2"/>
        </w:rPr>
        <w:t xml:space="preserve">intervention </w:t>
      </w:r>
      <w:r w:rsidR="00FC3A25" w:rsidRPr="00290829">
        <w:rPr>
          <w:rFonts w:cstheme="minorHAnsi"/>
          <w:bCs/>
          <w:spacing w:val="2"/>
        </w:rPr>
        <w:t>effects on pain</w:t>
      </w:r>
      <w:r w:rsidR="008802FF">
        <w:rPr>
          <w:rFonts w:cstheme="minorHAnsi"/>
          <w:bCs/>
          <w:spacing w:val="2"/>
        </w:rPr>
        <w:t>, specified in the logic model,</w:t>
      </w:r>
      <w:r w:rsidR="00FC3A25">
        <w:rPr>
          <w:rFonts w:cstheme="minorHAnsi"/>
          <w:bCs/>
          <w:spacing w:val="2"/>
        </w:rPr>
        <w:t xml:space="preserve"> </w:t>
      </w:r>
      <w:r w:rsidR="00FC3A25" w:rsidRPr="00290829">
        <w:rPr>
          <w:rFonts w:cstheme="minorHAnsi"/>
          <w:bCs/>
          <w:spacing w:val="2"/>
        </w:rPr>
        <w:t>are included as process variables</w:t>
      </w:r>
      <w:r w:rsidR="00CF6F9A">
        <w:rPr>
          <w:rFonts w:cstheme="minorHAnsi"/>
          <w:bCs/>
          <w:spacing w:val="2"/>
        </w:rPr>
        <w:t>.</w:t>
      </w:r>
      <w:r w:rsidR="00FC3A25">
        <w:rPr>
          <w:rFonts w:cstheme="minorHAnsi"/>
          <w:bCs/>
          <w:spacing w:val="2"/>
        </w:rPr>
        <w:t xml:space="preserve"> </w:t>
      </w:r>
      <w:r w:rsidR="00CF6F9A">
        <w:rPr>
          <w:rFonts w:cstheme="minorHAnsi"/>
          <w:bCs/>
          <w:spacing w:val="2"/>
        </w:rPr>
        <w:t xml:space="preserve"> P</w:t>
      </w:r>
      <w:r w:rsidR="00FC3A25" w:rsidRPr="00290829">
        <w:rPr>
          <w:rFonts w:cstheme="minorHAnsi"/>
          <w:bCs/>
          <w:spacing w:val="2"/>
        </w:rPr>
        <w:t>ractitioner</w:t>
      </w:r>
      <w:r>
        <w:rPr>
          <w:rFonts w:cstheme="minorHAnsi"/>
          <w:bCs/>
          <w:spacing w:val="2"/>
        </w:rPr>
        <w:t>-reported</w:t>
      </w:r>
      <w:r w:rsidR="00FC3A25" w:rsidRPr="00290829">
        <w:rPr>
          <w:rFonts w:cstheme="minorHAnsi"/>
          <w:bCs/>
          <w:spacing w:val="2"/>
        </w:rPr>
        <w:t xml:space="preserve"> self-efficacy</w:t>
      </w:r>
      <w:r>
        <w:rPr>
          <w:rFonts w:cstheme="minorHAnsi"/>
          <w:bCs/>
          <w:spacing w:val="2"/>
        </w:rPr>
        <w:t>,</w:t>
      </w:r>
      <w:r w:rsidR="00FC3A25" w:rsidRPr="00290829">
        <w:rPr>
          <w:rFonts w:cstheme="minorHAnsi"/>
          <w:bCs/>
          <w:spacing w:val="2"/>
        </w:rPr>
        <w:t xml:space="preserve"> outcome expectancy</w:t>
      </w:r>
      <w:r>
        <w:rPr>
          <w:rFonts w:cstheme="minorHAnsi"/>
          <w:bCs/>
          <w:spacing w:val="2"/>
        </w:rPr>
        <w:t>, and</w:t>
      </w:r>
      <w:r w:rsidR="00FC3A25" w:rsidRPr="00290829">
        <w:rPr>
          <w:rFonts w:cstheme="minorHAnsi"/>
          <w:bCs/>
          <w:spacing w:val="2"/>
        </w:rPr>
        <w:t xml:space="preserve"> intentions for conveying empathy and optimism in consultations</w:t>
      </w:r>
      <w:r w:rsidR="00CF6F9A" w:rsidRPr="00CF6F9A">
        <w:rPr>
          <w:rFonts w:cstheme="minorHAnsi"/>
          <w:bCs/>
          <w:spacing w:val="2"/>
        </w:rPr>
        <w:t xml:space="preserve"> </w:t>
      </w:r>
      <w:r w:rsidR="00CF6F9A">
        <w:rPr>
          <w:rFonts w:cstheme="minorHAnsi"/>
          <w:bCs/>
          <w:spacing w:val="2"/>
        </w:rPr>
        <w:t xml:space="preserve">are assessed using </w:t>
      </w:r>
      <w:r w:rsidR="00CF6F9A" w:rsidRPr="00290829">
        <w:rPr>
          <w:rFonts w:cstheme="minorHAnsi"/>
          <w:bCs/>
          <w:spacing w:val="2"/>
        </w:rPr>
        <w:t xml:space="preserve">bespoke items developed in our feasibility work </w:t>
      </w:r>
      <w:r w:rsidR="00CF6F9A">
        <w:rPr>
          <w:rFonts w:cstheme="minorHAnsi"/>
          <w:bCs/>
          <w:spacing w:val="2"/>
        </w:rPr>
        <w:t>based on standard item stems</w:t>
      </w:r>
      <w:r w:rsidR="00217FB8">
        <w:rPr>
          <w:rFonts w:cstheme="minorHAnsi"/>
          <w:bCs/>
          <w:spacing w:val="2"/>
        </w:rPr>
        <w:t xml:space="preserve">, </w:t>
      </w:r>
      <w:r w:rsidR="00CF6F9A" w:rsidRPr="00290829">
        <w:rPr>
          <w:rFonts w:cstheme="minorHAnsi"/>
          <w:bCs/>
          <w:spacing w:val="2"/>
        </w:rPr>
        <w:t xml:space="preserve">relevant guidelines and </w:t>
      </w:r>
      <w:proofErr w:type="gramStart"/>
      <w:r w:rsidR="00CF6F9A" w:rsidRPr="00290829">
        <w:rPr>
          <w:rFonts w:cstheme="minorHAnsi"/>
          <w:bCs/>
          <w:spacing w:val="2"/>
        </w:rPr>
        <w:t>theory.</w:t>
      </w:r>
      <w:r w:rsidR="00EB5016">
        <w:rPr>
          <w:rFonts w:cstheme="minorHAnsi"/>
          <w:bCs/>
          <w:spacing w:val="2"/>
        </w:rPr>
        <w:t>[</w:t>
      </w:r>
      <w:proofErr w:type="gramEnd"/>
      <w:r w:rsidR="007B16E3" w:rsidRPr="00EB5016">
        <w:rPr>
          <w:rFonts w:cstheme="minorHAnsi"/>
          <w:bCs/>
          <w:noProof/>
          <w:spacing w:val="2"/>
        </w:rPr>
        <w:t>75-78</w:t>
      </w:r>
      <w:r w:rsidR="00EB5016">
        <w:rPr>
          <w:rFonts w:cstheme="minorHAnsi"/>
          <w:bCs/>
          <w:noProof/>
          <w:spacing w:val="2"/>
        </w:rPr>
        <w:t>]</w:t>
      </w:r>
      <w:r w:rsidR="00CF6F9A" w:rsidRPr="00290829">
        <w:rPr>
          <w:rFonts w:cstheme="minorHAnsi"/>
          <w:bCs/>
          <w:spacing w:val="2"/>
        </w:rPr>
        <w:t xml:space="preserve"> They demonstrated acceptable internal consistency (Cronbach’s alphas ranged 0.69-0.98) and were fully completed by practitioners (n=11)</w:t>
      </w:r>
      <w:r w:rsidR="00CF6F9A">
        <w:rPr>
          <w:rFonts w:cstheme="minorHAnsi"/>
          <w:bCs/>
          <w:spacing w:val="2"/>
        </w:rPr>
        <w:t>.</w:t>
      </w:r>
    </w:p>
    <w:p w14:paraId="7FB45199" w14:textId="486F42D3" w:rsidR="00E70C3E" w:rsidRDefault="00E70C3E" w:rsidP="00E70C3E">
      <w:pPr>
        <w:rPr>
          <w:rFonts w:cstheme="minorHAnsi"/>
          <w:bCs/>
          <w:spacing w:val="2"/>
        </w:rPr>
      </w:pPr>
      <w:r>
        <w:rPr>
          <w:rFonts w:cstheme="minorHAnsi"/>
          <w:bCs/>
          <w:spacing w:val="2"/>
        </w:rPr>
        <w:lastRenderedPageBreak/>
        <w:t xml:space="preserve">Intervention usage data captured on </w:t>
      </w:r>
      <w:proofErr w:type="spellStart"/>
      <w:r>
        <w:rPr>
          <w:rFonts w:cstheme="minorHAnsi"/>
          <w:bCs/>
          <w:spacing w:val="2"/>
        </w:rPr>
        <w:t>LifeGuide</w:t>
      </w:r>
      <w:proofErr w:type="spellEnd"/>
      <w:r>
        <w:rPr>
          <w:rFonts w:cstheme="minorHAnsi"/>
          <w:bCs/>
          <w:spacing w:val="2"/>
        </w:rPr>
        <w:t xml:space="preserve"> includes, for each practitioner-participant</w:t>
      </w:r>
      <w:r w:rsidR="00A425FD">
        <w:rPr>
          <w:rFonts w:cstheme="minorHAnsi"/>
          <w:bCs/>
          <w:spacing w:val="2"/>
        </w:rPr>
        <w:t>,</w:t>
      </w:r>
      <w:r w:rsidR="0093573E">
        <w:rPr>
          <w:rFonts w:cstheme="minorHAnsi"/>
          <w:bCs/>
          <w:spacing w:val="2"/>
        </w:rPr>
        <w:t xml:space="preserve"> </w:t>
      </w:r>
      <w:r w:rsidRPr="00E176D5">
        <w:rPr>
          <w:rFonts w:cstheme="minorHAnsi"/>
          <w:bCs/>
          <w:spacing w:val="2"/>
        </w:rPr>
        <w:t xml:space="preserve">time spent on </w:t>
      </w:r>
      <w:r>
        <w:rPr>
          <w:rFonts w:cstheme="minorHAnsi"/>
          <w:bCs/>
          <w:spacing w:val="2"/>
        </w:rPr>
        <w:t xml:space="preserve">(different sections of) </w:t>
      </w:r>
      <w:r w:rsidRPr="00E176D5">
        <w:rPr>
          <w:rFonts w:cstheme="minorHAnsi"/>
          <w:bCs/>
          <w:spacing w:val="2"/>
        </w:rPr>
        <w:t>the intervention</w:t>
      </w:r>
      <w:r w:rsidR="00A425FD">
        <w:rPr>
          <w:rFonts w:cstheme="minorHAnsi"/>
          <w:bCs/>
          <w:spacing w:val="2"/>
        </w:rPr>
        <w:t xml:space="preserve"> and</w:t>
      </w:r>
      <w:r w:rsidRPr="00E176D5">
        <w:rPr>
          <w:rFonts w:cstheme="minorHAnsi"/>
          <w:bCs/>
          <w:spacing w:val="2"/>
        </w:rPr>
        <w:t xml:space="preserve"> </w:t>
      </w:r>
      <w:r>
        <w:rPr>
          <w:rFonts w:cstheme="minorHAnsi"/>
          <w:bCs/>
          <w:spacing w:val="2"/>
        </w:rPr>
        <w:t xml:space="preserve">patterns of </w:t>
      </w:r>
      <w:r w:rsidR="003C7DD9">
        <w:rPr>
          <w:rFonts w:cstheme="minorHAnsi"/>
          <w:bCs/>
          <w:spacing w:val="2"/>
        </w:rPr>
        <w:t>access</w:t>
      </w:r>
      <w:r>
        <w:rPr>
          <w:rFonts w:cstheme="minorHAnsi"/>
          <w:bCs/>
          <w:spacing w:val="2"/>
        </w:rPr>
        <w:t xml:space="preserve">.  </w:t>
      </w:r>
    </w:p>
    <w:p w14:paraId="2DB4E766" w14:textId="1C4AA6C5" w:rsidR="0093573E" w:rsidRPr="00290829" w:rsidRDefault="0093573E" w:rsidP="0093573E">
      <w:pPr>
        <w:rPr>
          <w:rFonts w:cstheme="minorHAnsi"/>
          <w:bCs/>
          <w:spacing w:val="2"/>
        </w:rPr>
      </w:pPr>
      <w:bookmarkStart w:id="13" w:name="_Hlk98836046"/>
      <w:r w:rsidRPr="000302B2">
        <w:rPr>
          <w:rFonts w:cstheme="minorHAnsi"/>
          <w:bCs/>
          <w:spacing w:val="2"/>
        </w:rPr>
        <w:t xml:space="preserve">Patient perceptions of practitioner clinical empathy are assessed using the 10-item </w:t>
      </w:r>
      <w:proofErr w:type="gramStart"/>
      <w:r w:rsidRPr="000302B2">
        <w:rPr>
          <w:rFonts w:cstheme="minorHAnsi"/>
          <w:bCs/>
          <w:spacing w:val="2"/>
        </w:rPr>
        <w:t>CARE</w:t>
      </w:r>
      <w:r w:rsidR="00EB5016">
        <w:rPr>
          <w:rFonts w:cstheme="minorHAnsi"/>
          <w:bCs/>
          <w:spacing w:val="2"/>
        </w:rPr>
        <w:t>[</w:t>
      </w:r>
      <w:proofErr w:type="gramEnd"/>
      <w:r w:rsidR="007B16E3" w:rsidRPr="00EB5016">
        <w:rPr>
          <w:rFonts w:cstheme="minorHAnsi"/>
          <w:bCs/>
          <w:noProof/>
          <w:spacing w:val="2"/>
        </w:rPr>
        <w:t>79</w:t>
      </w:r>
      <w:r w:rsidR="00EB5016">
        <w:rPr>
          <w:rFonts w:cstheme="minorHAnsi"/>
          <w:bCs/>
          <w:noProof/>
          <w:spacing w:val="2"/>
        </w:rPr>
        <w:t>]</w:t>
      </w:r>
      <w:r w:rsidRPr="000302B2">
        <w:rPr>
          <w:rFonts w:cstheme="minorHAnsi"/>
          <w:bCs/>
          <w:spacing w:val="2"/>
        </w:rPr>
        <w:t xml:space="preserve"> used extensively in UK primary care settings to assess patient perceptions of clinical empathy. Patient perceptions of practitioner response expectancies are assessed using a bespoke single item tested in our feasibility study. </w:t>
      </w:r>
      <w:r w:rsidRPr="000302B2">
        <w:rPr>
          <w:bCs/>
        </w:rPr>
        <w:t>Patient treatment outcome expectancies</w:t>
      </w:r>
      <w:r w:rsidRPr="000302B2">
        <w:rPr>
          <w:rFonts w:cstheme="minorHAnsi"/>
          <w:bCs/>
          <w:spacing w:val="2"/>
        </w:rPr>
        <w:t xml:space="preserve"> are measured using </w:t>
      </w:r>
      <w:r w:rsidR="006C7E86">
        <w:rPr>
          <w:rFonts w:cstheme="minorHAnsi"/>
          <w:bCs/>
          <w:spacing w:val="2"/>
        </w:rPr>
        <w:t xml:space="preserve">the </w:t>
      </w:r>
      <w:r w:rsidRPr="000302B2">
        <w:rPr>
          <w:rFonts w:cstheme="minorHAnsi"/>
          <w:bCs/>
          <w:spacing w:val="2"/>
        </w:rPr>
        <w:t>15-item 6-subscale, Treatment Expectation Questionnaire (TEX-Q)</w:t>
      </w:r>
      <w:r w:rsidR="00401D9D">
        <w:rPr>
          <w:rFonts w:cstheme="minorHAnsi"/>
          <w:bCs/>
          <w:spacing w:val="2"/>
        </w:rPr>
        <w:t>.</w:t>
      </w:r>
      <w:r w:rsidR="00EB5016">
        <w:rPr>
          <w:rFonts w:cstheme="minorHAnsi"/>
          <w:bCs/>
          <w:spacing w:val="2"/>
        </w:rPr>
        <w:t>[</w:t>
      </w:r>
      <w:r w:rsidR="007B16E3" w:rsidRPr="00EB5016">
        <w:rPr>
          <w:rFonts w:cstheme="minorHAnsi"/>
          <w:bCs/>
          <w:noProof/>
          <w:spacing w:val="2"/>
        </w:rPr>
        <w:t>80</w:t>
      </w:r>
      <w:r w:rsidR="00EB5016">
        <w:rPr>
          <w:rFonts w:cstheme="minorHAnsi"/>
          <w:bCs/>
          <w:noProof/>
          <w:spacing w:val="2"/>
        </w:rPr>
        <w:t>]</w:t>
      </w:r>
      <w:r w:rsidRPr="000302B2">
        <w:rPr>
          <w:rFonts w:cstheme="minorHAnsi"/>
          <w:bCs/>
          <w:spacing w:val="2"/>
        </w:rPr>
        <w:t xml:space="preserve"> Patient anxiety </w:t>
      </w:r>
      <w:r w:rsidR="00401D9D">
        <w:rPr>
          <w:rFonts w:cstheme="minorHAnsi"/>
          <w:bCs/>
          <w:spacing w:val="2"/>
        </w:rPr>
        <w:t xml:space="preserve">and depression are </w:t>
      </w:r>
      <w:r w:rsidRPr="000302B2">
        <w:rPr>
          <w:rFonts w:cstheme="minorHAnsi"/>
          <w:bCs/>
          <w:spacing w:val="2"/>
        </w:rPr>
        <w:t>assessed using the 7-item subscale</w:t>
      </w:r>
      <w:r w:rsidR="00CF6869">
        <w:rPr>
          <w:rFonts w:cstheme="minorHAnsi"/>
          <w:bCs/>
          <w:spacing w:val="2"/>
        </w:rPr>
        <w:t>s</w:t>
      </w:r>
      <w:r w:rsidRPr="000302B2">
        <w:rPr>
          <w:rFonts w:cstheme="minorHAnsi"/>
          <w:bCs/>
          <w:spacing w:val="2"/>
        </w:rPr>
        <w:t xml:space="preserve"> from the Hospital Anxiety and Depression Scale (HADS</w:t>
      </w:r>
      <w:proofErr w:type="gramStart"/>
      <w:r w:rsidRPr="000302B2">
        <w:rPr>
          <w:rFonts w:cstheme="minorHAnsi"/>
          <w:bCs/>
          <w:spacing w:val="2"/>
        </w:rPr>
        <w:t>).</w:t>
      </w:r>
      <w:r w:rsidR="00EB5016">
        <w:rPr>
          <w:rFonts w:cstheme="minorHAnsi"/>
          <w:bCs/>
          <w:spacing w:val="2"/>
        </w:rPr>
        <w:t>[</w:t>
      </w:r>
      <w:proofErr w:type="gramEnd"/>
      <w:r w:rsidR="007B16E3" w:rsidRPr="00EB5016">
        <w:rPr>
          <w:rFonts w:cstheme="minorHAnsi"/>
          <w:bCs/>
          <w:noProof/>
          <w:spacing w:val="2"/>
        </w:rPr>
        <w:t>81</w:t>
      </w:r>
      <w:r w:rsidR="00EB5016">
        <w:rPr>
          <w:rFonts w:cstheme="minorHAnsi"/>
          <w:bCs/>
          <w:noProof/>
          <w:spacing w:val="2"/>
        </w:rPr>
        <w:t>,</w:t>
      </w:r>
      <w:r w:rsidR="007B16E3" w:rsidRPr="00EB5016">
        <w:rPr>
          <w:rFonts w:cstheme="minorHAnsi"/>
          <w:bCs/>
          <w:noProof/>
          <w:spacing w:val="2"/>
        </w:rPr>
        <w:t>82</w:t>
      </w:r>
      <w:r w:rsidR="00EB5016">
        <w:rPr>
          <w:rFonts w:cstheme="minorHAnsi"/>
          <w:bCs/>
          <w:noProof/>
          <w:spacing w:val="2"/>
        </w:rPr>
        <w:t>]</w:t>
      </w:r>
      <w:r w:rsidRPr="000302B2">
        <w:rPr>
          <w:rFonts w:cstheme="minorHAnsi"/>
          <w:bCs/>
          <w:spacing w:val="2"/>
        </w:rPr>
        <w:t xml:space="preserve"> </w:t>
      </w:r>
      <w:bookmarkStart w:id="14" w:name="_Hlk98836195"/>
      <w:r w:rsidR="00CF6869">
        <w:rPr>
          <w:rFonts w:cstheme="minorHAnsi"/>
          <w:bCs/>
          <w:spacing w:val="2"/>
        </w:rPr>
        <w:t>C</w:t>
      </w:r>
      <w:r w:rsidRPr="000302B2">
        <w:rPr>
          <w:rFonts w:cstheme="minorHAnsi"/>
          <w:bCs/>
        </w:rPr>
        <w:t xml:space="preserve">ontinuity of </w:t>
      </w:r>
      <w:r w:rsidR="00182231">
        <w:rPr>
          <w:rFonts w:cstheme="minorHAnsi"/>
          <w:bCs/>
        </w:rPr>
        <w:t>c</w:t>
      </w:r>
      <w:r w:rsidRPr="000302B2">
        <w:rPr>
          <w:rFonts w:cstheme="minorHAnsi"/>
          <w:bCs/>
        </w:rPr>
        <w:t>are</w:t>
      </w:r>
      <w:r w:rsidR="00CF6869">
        <w:rPr>
          <w:rFonts w:cstheme="minorHAnsi"/>
          <w:bCs/>
        </w:rPr>
        <w:t xml:space="preserve"> is</w:t>
      </w:r>
      <w:r w:rsidRPr="000302B2">
        <w:rPr>
          <w:rFonts w:cstheme="minorHAnsi"/>
          <w:bCs/>
          <w:spacing w:val="2"/>
        </w:rPr>
        <w:t xml:space="preserve"> assessed using the 9-item Patient-Doctor Depth of Relationship Scale,</w:t>
      </w:r>
      <w:r w:rsidR="00EB5016">
        <w:rPr>
          <w:rFonts w:cstheme="minorHAnsi"/>
          <w:bCs/>
          <w:spacing w:val="2"/>
        </w:rPr>
        <w:t>[</w:t>
      </w:r>
      <w:r w:rsidR="007B16E3" w:rsidRPr="00EB5016">
        <w:rPr>
          <w:rFonts w:cstheme="minorHAnsi"/>
          <w:bCs/>
          <w:noProof/>
          <w:spacing w:val="2"/>
        </w:rPr>
        <w:t>83</w:t>
      </w:r>
      <w:r w:rsidR="00EB5016">
        <w:rPr>
          <w:rFonts w:cstheme="minorHAnsi"/>
          <w:bCs/>
          <w:noProof/>
          <w:spacing w:val="2"/>
        </w:rPr>
        <w:t>]</w:t>
      </w:r>
      <w:r w:rsidRPr="000302B2">
        <w:rPr>
          <w:rFonts w:cstheme="minorHAnsi"/>
          <w:bCs/>
          <w:spacing w:val="2"/>
        </w:rPr>
        <w:t xml:space="preserve"> modified for non</w:t>
      </w:r>
      <w:r w:rsidR="00285049">
        <w:rPr>
          <w:rFonts w:cstheme="minorHAnsi"/>
          <w:bCs/>
          <w:spacing w:val="2"/>
        </w:rPr>
        <w:t xml:space="preserve">-doctor </w:t>
      </w:r>
      <w:r w:rsidRPr="000302B2">
        <w:rPr>
          <w:rFonts w:cstheme="minorHAnsi"/>
          <w:bCs/>
          <w:spacing w:val="2"/>
        </w:rPr>
        <w:t>practitioners</w:t>
      </w:r>
      <w:r w:rsidRPr="00290829">
        <w:rPr>
          <w:rFonts w:cstheme="minorHAnsi"/>
          <w:bCs/>
          <w:spacing w:val="2"/>
        </w:rPr>
        <w:t>.</w:t>
      </w:r>
      <w:bookmarkEnd w:id="14"/>
    </w:p>
    <w:p w14:paraId="569A4176" w14:textId="511D1635" w:rsidR="00FC3A25" w:rsidRPr="00F84DE3" w:rsidRDefault="00263642" w:rsidP="00F84DE3">
      <w:r w:rsidRPr="00F84DE3">
        <w:t>Practitioner characteristics collected are</w:t>
      </w:r>
      <w:r w:rsidR="00FC3A25" w:rsidRPr="00F84DE3">
        <w:t xml:space="preserve"> age, gender, ethnicity, years qualified, profession.  Practice-level data collected from the practice </w:t>
      </w:r>
      <w:r w:rsidRPr="00F84DE3">
        <w:t xml:space="preserve">and </w:t>
      </w:r>
      <w:r w:rsidR="00FC3A25" w:rsidRPr="00F84DE3">
        <w:t>supplemented with data from national general practice profiles (</w:t>
      </w:r>
      <w:hyperlink r:id="rId12" w:anchor="page/8" w:history="1">
        <w:r w:rsidR="00FC3A25" w:rsidRPr="008802FF">
          <w:rPr>
            <w:rStyle w:val="Hyperlink"/>
            <w:rFonts w:cstheme="minorHAnsi"/>
            <w:u w:val="none"/>
          </w:rPr>
          <w:t>National General Practice Profiles - Data – OHID, phe.org.uk)</w:t>
        </w:r>
      </w:hyperlink>
      <w:r w:rsidR="00F84DE3" w:rsidRPr="008802FF">
        <w:rPr>
          <w:rStyle w:val="Hyperlink"/>
          <w:rFonts w:cstheme="minorHAnsi"/>
          <w:u w:val="none"/>
        </w:rPr>
        <w:t xml:space="preserve"> are</w:t>
      </w:r>
      <w:r w:rsidR="00FC3A25" w:rsidRPr="008802FF">
        <w:t xml:space="preserve">: </w:t>
      </w:r>
      <w:r w:rsidR="00FC3A25" w:rsidRPr="00F84DE3">
        <w:t>list size, deprivation score, staffing.</w:t>
      </w:r>
      <w:bookmarkEnd w:id="13"/>
    </w:p>
    <w:p w14:paraId="00E1CBE9" w14:textId="005AD1AC" w:rsidR="009B5EF8" w:rsidRDefault="00F84DE3" w:rsidP="009B5EF8">
      <w:pPr>
        <w:rPr>
          <w:bCs/>
        </w:rPr>
      </w:pPr>
      <w:bookmarkStart w:id="15" w:name="_Hlk98836216"/>
      <w:r w:rsidRPr="008F5229">
        <w:rPr>
          <w:bCs/>
        </w:rPr>
        <w:t xml:space="preserve">Patient characteristics collected are </w:t>
      </w:r>
      <w:r w:rsidR="00FC3A25" w:rsidRPr="008F5229">
        <w:rPr>
          <w:bCs/>
        </w:rPr>
        <w:t>age, gender, ethnic</w:t>
      </w:r>
      <w:r w:rsidR="00DF79CA">
        <w:rPr>
          <w:bCs/>
        </w:rPr>
        <w:t>ity</w:t>
      </w:r>
      <w:r w:rsidR="00FC3A25" w:rsidRPr="008F5229">
        <w:rPr>
          <w:bCs/>
        </w:rPr>
        <w:t xml:space="preserve">, postcode (for calculating </w:t>
      </w:r>
      <w:r w:rsidR="00DF79CA">
        <w:rPr>
          <w:bCs/>
        </w:rPr>
        <w:t xml:space="preserve">index of multiple </w:t>
      </w:r>
      <w:r w:rsidR="00FC3A25" w:rsidRPr="008F5229">
        <w:rPr>
          <w:bCs/>
        </w:rPr>
        <w:t>deprivation</w:t>
      </w:r>
      <w:r w:rsidR="007147C9">
        <w:rPr>
          <w:bCs/>
        </w:rPr>
        <w:t>, IMD</w:t>
      </w:r>
      <w:r w:rsidR="00FC3A25" w:rsidRPr="008F5229">
        <w:rPr>
          <w:bCs/>
        </w:rPr>
        <w:t>), reason(s) for consulting (coded using the ICPC-2), comorbidities, and index consultation modality.</w:t>
      </w:r>
      <w:bookmarkStart w:id="16" w:name="_Hlk98836291"/>
      <w:bookmarkEnd w:id="15"/>
    </w:p>
    <w:p w14:paraId="265549D5" w14:textId="77777777" w:rsidR="00A40064" w:rsidRPr="009B5EF8" w:rsidRDefault="00A40064" w:rsidP="009B5EF8">
      <w:pPr>
        <w:rPr>
          <w:bCs/>
        </w:rPr>
      </w:pPr>
    </w:p>
    <w:p w14:paraId="07B08CF1" w14:textId="6D701BA7" w:rsidR="009B5EF8" w:rsidRDefault="009B5EF8" w:rsidP="009B5EF8">
      <w:pPr>
        <w:pStyle w:val="Heading3"/>
      </w:pPr>
      <w:r w:rsidRPr="00373C52">
        <w:t>Qualitative Interviews</w:t>
      </w:r>
    </w:p>
    <w:p w14:paraId="1B1BB0A0" w14:textId="03F30C25" w:rsidR="009B5EF8" w:rsidRDefault="009B5EF8" w:rsidP="009B5EF8">
      <w:r>
        <w:t xml:space="preserve">A subsample of patients (up to n=45 with </w:t>
      </w:r>
      <w:r w:rsidR="00741E2E">
        <w:t>musculoskeletal</w:t>
      </w:r>
      <w:r>
        <w:t xml:space="preserve"> pain and n=45 </w:t>
      </w:r>
      <w:r w:rsidR="00764E2E">
        <w:t>a</w:t>
      </w:r>
      <w:r>
        <w:t>ll</w:t>
      </w:r>
      <w:r w:rsidR="00764E2E">
        <w:t>-c</w:t>
      </w:r>
      <w:r>
        <w:t>omers) and practitioners (</w:t>
      </w:r>
      <w:r w:rsidR="00BB4057">
        <w:t>up to n</w:t>
      </w:r>
      <w:r>
        <w:t>=</w:t>
      </w:r>
      <w:r w:rsidR="00BB4057">
        <w:t>4</w:t>
      </w:r>
      <w:r>
        <w:t xml:space="preserve">0) take part in qualitative </w:t>
      </w:r>
      <w:r w:rsidR="00BB4057">
        <w:t xml:space="preserve">semi-structured </w:t>
      </w:r>
      <w:r w:rsidR="00906C9A">
        <w:t xml:space="preserve">telephone </w:t>
      </w:r>
      <w:r>
        <w:t xml:space="preserve">interviews. </w:t>
      </w:r>
      <w:r w:rsidRPr="00290829">
        <w:t xml:space="preserve">Participants </w:t>
      </w:r>
      <w:r w:rsidR="00CF51B5">
        <w:t xml:space="preserve">are </w:t>
      </w:r>
      <w:r w:rsidRPr="00290829">
        <w:t xml:space="preserve">purposively sampled to capture diversity </w:t>
      </w:r>
      <w:r w:rsidR="003A0089">
        <w:t xml:space="preserve">in </w:t>
      </w:r>
      <w:r w:rsidRPr="00290829">
        <w:t>index-consultation mode (telephone/video/face-to-face), ethnic</w:t>
      </w:r>
      <w:r w:rsidR="00C537A7">
        <w:t>ity</w:t>
      </w:r>
      <w:r w:rsidRPr="00290829">
        <w:t xml:space="preserve">, age, gender, baseline pain severity. </w:t>
      </w:r>
      <w:bookmarkEnd w:id="16"/>
      <w:r w:rsidR="00BB4057">
        <w:t>P</w:t>
      </w:r>
      <w:r w:rsidRPr="00290829">
        <w:t>articipant</w:t>
      </w:r>
      <w:r w:rsidR="00BB4057">
        <w:t>s</w:t>
      </w:r>
      <w:r w:rsidRPr="00290829">
        <w:t xml:space="preserve"> </w:t>
      </w:r>
      <w:r w:rsidR="003A0089">
        <w:t xml:space="preserve">are </w:t>
      </w:r>
      <w:r w:rsidRPr="00290829">
        <w:t>interviewed twice</w:t>
      </w:r>
      <w:r w:rsidR="00BB4057">
        <w:t xml:space="preserve"> each</w:t>
      </w:r>
      <w:r w:rsidRPr="00290829">
        <w:t>, to explore short-term and longer-term implementation</w:t>
      </w:r>
      <w:r w:rsidR="003D5CB7">
        <w:t xml:space="preserve"> of </w:t>
      </w:r>
      <w:r w:rsidR="00CE5339" w:rsidRPr="00062162">
        <w:t xml:space="preserve">EMPathicO </w:t>
      </w:r>
      <w:r w:rsidR="00764E2E">
        <w:t xml:space="preserve">skills </w:t>
      </w:r>
      <w:r w:rsidRPr="00290829">
        <w:t xml:space="preserve">(practitioners) and experiences of the index and subsequent consultations (patients). </w:t>
      </w:r>
      <w:r>
        <w:t xml:space="preserve">Practitioners </w:t>
      </w:r>
      <w:r w:rsidR="003E4055">
        <w:t xml:space="preserve">are </w:t>
      </w:r>
      <w:r>
        <w:t xml:space="preserve">interviewed </w:t>
      </w:r>
      <w:r w:rsidR="00427A6A">
        <w:t xml:space="preserve">after </w:t>
      </w:r>
      <w:r w:rsidR="00522807">
        <w:t xml:space="preserve">(1) </w:t>
      </w:r>
      <w:r>
        <w:t>patient recruitment</w:t>
      </w:r>
      <w:r w:rsidR="00427A6A">
        <w:t xml:space="preserve"> </w:t>
      </w:r>
      <w:r>
        <w:t xml:space="preserve">and </w:t>
      </w:r>
      <w:r w:rsidR="00522807">
        <w:t xml:space="preserve">(2) </w:t>
      </w:r>
      <w:r>
        <w:t>follow-up is completed</w:t>
      </w:r>
      <w:r w:rsidR="00522807">
        <w:t xml:space="preserve"> at their practice</w:t>
      </w:r>
      <w:r>
        <w:t xml:space="preserve">. Patients </w:t>
      </w:r>
      <w:r w:rsidR="003E4055">
        <w:t xml:space="preserve">are </w:t>
      </w:r>
      <w:r>
        <w:t xml:space="preserve">interviewed within </w:t>
      </w:r>
      <w:r w:rsidR="00427A6A">
        <w:t xml:space="preserve">approximately </w:t>
      </w:r>
      <w:r>
        <w:t>7</w:t>
      </w:r>
      <w:r w:rsidR="00CE5339">
        <w:t>-14</w:t>
      </w:r>
      <w:r>
        <w:t xml:space="preserve"> days of their index consultation and again approximately 6 months later. </w:t>
      </w:r>
      <w:r w:rsidR="00213855">
        <w:t>Topic guides comprising open-ended questions and prompts are used flexibly</w:t>
      </w:r>
      <w:r w:rsidR="0009448A">
        <w:t xml:space="preserve"> and</w:t>
      </w:r>
      <w:r w:rsidR="004F6CB3">
        <w:t xml:space="preserve"> modified iteratively as necessary to </w:t>
      </w:r>
      <w:r w:rsidR="00924B3D">
        <w:t xml:space="preserve">explore emerging </w:t>
      </w:r>
      <w:r w:rsidR="004F6CB3">
        <w:t>avenues of inquiry</w:t>
      </w:r>
      <w:r w:rsidR="0088299C">
        <w:t xml:space="preserve"> within scope of the trial</w:t>
      </w:r>
      <w:r w:rsidR="00213855">
        <w:t xml:space="preserve">. </w:t>
      </w:r>
      <w:r w:rsidR="006A73EB">
        <w:t>Field notes are taken, i</w:t>
      </w:r>
      <w:r w:rsidRPr="00290829">
        <w:t xml:space="preserve">nterviews </w:t>
      </w:r>
      <w:r w:rsidR="003E4055">
        <w:t xml:space="preserve">are </w:t>
      </w:r>
      <w:r w:rsidRPr="00290829">
        <w:t>transcribed verbatim</w:t>
      </w:r>
      <w:r w:rsidR="00905935">
        <w:t>,</w:t>
      </w:r>
      <w:r w:rsidRPr="00290829">
        <w:t xml:space="preserve"> identifying details </w:t>
      </w:r>
      <w:r w:rsidR="003E4055">
        <w:t xml:space="preserve">are </w:t>
      </w:r>
      <w:r w:rsidRPr="00290829">
        <w:t>replaced (e.g., using pseudonyms)</w:t>
      </w:r>
      <w:r w:rsidR="006A73EB">
        <w:t>,</w:t>
      </w:r>
      <w:r w:rsidRPr="00290829">
        <w:t xml:space="preserve"> </w:t>
      </w:r>
      <w:r w:rsidR="005A6901">
        <w:t xml:space="preserve">and </w:t>
      </w:r>
      <w:r w:rsidRPr="00290829">
        <w:t xml:space="preserve">transcripts </w:t>
      </w:r>
      <w:r w:rsidR="003E4055">
        <w:t xml:space="preserve">are </w:t>
      </w:r>
      <w:r w:rsidRPr="00290829">
        <w:t xml:space="preserve">checked and </w:t>
      </w:r>
      <w:r w:rsidR="00E63BFF">
        <w:t xml:space="preserve">imported to </w:t>
      </w:r>
      <w:r w:rsidRPr="00290829">
        <w:t>NVivo</w:t>
      </w:r>
      <w:r w:rsidR="00E63BFF">
        <w:t xml:space="preserve"> </w:t>
      </w:r>
      <w:r w:rsidR="0023096B">
        <w:t>(</w:t>
      </w:r>
      <w:proofErr w:type="spellStart"/>
      <w:r w:rsidR="0023096B" w:rsidRPr="0023096B">
        <w:t>Lumivero</w:t>
      </w:r>
      <w:proofErr w:type="spellEnd"/>
      <w:r w:rsidR="00481DF4">
        <w:t>, Denver, CO</w:t>
      </w:r>
      <w:r w:rsidR="0023096B">
        <w:t xml:space="preserve">) </w:t>
      </w:r>
      <w:r w:rsidR="00E63BFF">
        <w:t>for analysis</w:t>
      </w:r>
      <w:r w:rsidRPr="00290829">
        <w:t>.</w:t>
      </w:r>
    </w:p>
    <w:p w14:paraId="4D5789C8" w14:textId="77777777" w:rsidR="00E63BFF" w:rsidRDefault="00E63BFF" w:rsidP="009B5EF8"/>
    <w:p w14:paraId="61E916F5" w14:textId="4AF060A6" w:rsidR="003A4A20" w:rsidRDefault="00184B07" w:rsidP="008F5229">
      <w:pPr>
        <w:pStyle w:val="Heading2"/>
      </w:pPr>
      <w:r>
        <w:t>Timelines</w:t>
      </w:r>
    </w:p>
    <w:p w14:paraId="2E2C73F7" w14:textId="628F521F" w:rsidR="00184B07" w:rsidRDefault="00184B07" w:rsidP="00184B07">
      <w:r>
        <w:t xml:space="preserve">Tables 1 and 2 show practitioner and patient timelines for </w:t>
      </w:r>
      <w:r w:rsidR="000952E0">
        <w:t>enrolment</w:t>
      </w:r>
      <w:r w:rsidR="000831F4">
        <w:t>, questionnaires, and interviews</w:t>
      </w:r>
      <w:r>
        <w:t xml:space="preserve">. </w:t>
      </w:r>
    </w:p>
    <w:p w14:paraId="39B47118" w14:textId="77777777" w:rsidR="000831F4" w:rsidRPr="005D47C2" w:rsidRDefault="000831F4" w:rsidP="00184B07"/>
    <w:p w14:paraId="64803D16" w14:textId="71D7050D" w:rsidR="00984222" w:rsidRDefault="00FA54C3" w:rsidP="00585D3E">
      <w:pPr>
        <w:spacing w:after="0"/>
      </w:pPr>
      <w:r>
        <w:t xml:space="preserve"> ---Insert Tables 1 and 2 Here ---</w:t>
      </w:r>
    </w:p>
    <w:p w14:paraId="14EE5C8C" w14:textId="77777777" w:rsidR="00FA54C3" w:rsidRDefault="00FA54C3" w:rsidP="00585D3E">
      <w:pPr>
        <w:spacing w:after="0"/>
      </w:pPr>
    </w:p>
    <w:p w14:paraId="65B34B64" w14:textId="77777777" w:rsidR="00664A0C" w:rsidRDefault="00664A0C" w:rsidP="00664A0C">
      <w:pPr>
        <w:pStyle w:val="Heading2"/>
      </w:pPr>
      <w:r>
        <w:t>Assignment of Interventions</w:t>
      </w:r>
    </w:p>
    <w:p w14:paraId="2A601552" w14:textId="77777777" w:rsidR="00664A0C" w:rsidRDefault="00664A0C" w:rsidP="00664A0C">
      <w:pPr>
        <w:pStyle w:val="Heading3"/>
      </w:pPr>
      <w:r>
        <w:t xml:space="preserve">Sequence Generation, Allocation </w:t>
      </w:r>
      <w:proofErr w:type="gramStart"/>
      <w:r>
        <w:t>Concealment</w:t>
      </w:r>
      <w:proofErr w:type="gramEnd"/>
      <w:r>
        <w:t xml:space="preserve"> and Implementation</w:t>
      </w:r>
    </w:p>
    <w:p w14:paraId="431EA409" w14:textId="26427DD6" w:rsidR="00664A0C" w:rsidRDefault="00664A0C" w:rsidP="00664A0C">
      <w:pPr>
        <w:rPr>
          <w:rFonts w:cstheme="minorHAnsi"/>
        </w:rPr>
      </w:pPr>
      <w:r>
        <w:t xml:space="preserve">A computer-generated allocation sequence is used with random block sizes of 4 and 6.  </w:t>
      </w:r>
      <w:r w:rsidR="005A6901">
        <w:t>B</w:t>
      </w:r>
      <w:r>
        <w:t xml:space="preserve">locks are stratified by </w:t>
      </w:r>
      <w:r w:rsidR="00630AC1">
        <w:t xml:space="preserve">practice-level </w:t>
      </w:r>
      <w:r>
        <w:t xml:space="preserve">high/low deprivation </w:t>
      </w:r>
      <w:r w:rsidR="00216798">
        <w:t xml:space="preserve">(IMD 1-5 / IMD 6-10) </w:t>
      </w:r>
      <w:r>
        <w:t>and large/small practice size</w:t>
      </w:r>
      <w:r w:rsidR="00216798">
        <w:t xml:space="preserve"> (</w:t>
      </w:r>
      <w:r>
        <w:t>list size</w:t>
      </w:r>
      <w:r w:rsidR="00C55173">
        <w:t>&gt;7900 /</w:t>
      </w:r>
      <w:r>
        <w:t xml:space="preserve"> &lt;7900</w:t>
      </w:r>
      <w:r w:rsidR="00C55173">
        <w:t xml:space="preserve">; </w:t>
      </w:r>
      <w:r>
        <w:t xml:space="preserve">7900 = median practice list size in England). The allocation sequence is </w:t>
      </w:r>
      <w:r w:rsidRPr="00D77AA5">
        <w:rPr>
          <w:rFonts w:cstheme="minorHAnsi"/>
        </w:rPr>
        <w:t xml:space="preserve">implemented using the randomisation function in </w:t>
      </w:r>
      <w:proofErr w:type="spellStart"/>
      <w:r w:rsidRPr="00D77AA5">
        <w:rPr>
          <w:rFonts w:cstheme="minorHAnsi"/>
        </w:rPr>
        <w:t>LifeGuide</w:t>
      </w:r>
      <w:proofErr w:type="spellEnd"/>
      <w:r w:rsidRPr="00D77AA5">
        <w:rPr>
          <w:rFonts w:cstheme="minorHAnsi"/>
        </w:rPr>
        <w:t xml:space="preserve"> and </w:t>
      </w:r>
      <w:r>
        <w:rPr>
          <w:rFonts w:cstheme="minorHAnsi"/>
        </w:rPr>
        <w:t xml:space="preserve">is not </w:t>
      </w:r>
      <w:r w:rsidRPr="00D77AA5">
        <w:rPr>
          <w:rFonts w:cstheme="minorHAnsi"/>
        </w:rPr>
        <w:t>visible to users.</w:t>
      </w:r>
      <w:r w:rsidR="00495395">
        <w:rPr>
          <w:rFonts w:cstheme="minorHAnsi"/>
        </w:rPr>
        <w:t xml:space="preserve"> The trial manager (or their delegate) inputs </w:t>
      </w:r>
      <w:r w:rsidR="008F03F0">
        <w:rPr>
          <w:rFonts w:cstheme="minorHAnsi"/>
        </w:rPr>
        <w:lastRenderedPageBreak/>
        <w:t xml:space="preserve">each </w:t>
      </w:r>
      <w:r w:rsidR="00495395">
        <w:rPr>
          <w:rFonts w:cstheme="minorHAnsi"/>
        </w:rPr>
        <w:t xml:space="preserve">eligible practice to the </w:t>
      </w:r>
      <w:r w:rsidR="00403DC5">
        <w:rPr>
          <w:rFonts w:cstheme="minorHAnsi"/>
        </w:rPr>
        <w:t xml:space="preserve">randomisation </w:t>
      </w:r>
      <w:r w:rsidR="00A52171">
        <w:rPr>
          <w:rFonts w:cstheme="minorHAnsi"/>
        </w:rPr>
        <w:t xml:space="preserve">function </w:t>
      </w:r>
      <w:r w:rsidR="00403DC5">
        <w:rPr>
          <w:rFonts w:cstheme="minorHAnsi"/>
        </w:rPr>
        <w:t xml:space="preserve">on </w:t>
      </w:r>
      <w:proofErr w:type="spellStart"/>
      <w:r w:rsidR="00403DC5">
        <w:rPr>
          <w:rFonts w:cstheme="minorHAnsi"/>
        </w:rPr>
        <w:t>LifeGuide</w:t>
      </w:r>
      <w:proofErr w:type="spellEnd"/>
      <w:r w:rsidR="00403DC5">
        <w:rPr>
          <w:rFonts w:cstheme="minorHAnsi"/>
        </w:rPr>
        <w:t xml:space="preserve"> which then displays the allocation.</w:t>
      </w:r>
      <w:r w:rsidR="00495395">
        <w:rPr>
          <w:rFonts w:cstheme="minorHAnsi"/>
        </w:rPr>
        <w:t xml:space="preserve"> </w:t>
      </w:r>
      <w:r w:rsidR="002B5BEF" w:rsidRPr="002B5BEF">
        <w:rPr>
          <w:rFonts w:cstheme="minorHAnsi"/>
        </w:rPr>
        <w:t xml:space="preserve">Practitioners and patients can withdraw from the study without giving a reason, but they cannot request modification to their allocated intervention.  </w:t>
      </w:r>
    </w:p>
    <w:p w14:paraId="0987BE6C" w14:textId="77777777" w:rsidR="00664A0C" w:rsidRDefault="00664A0C" w:rsidP="00664A0C">
      <w:pPr>
        <w:pStyle w:val="Heading3"/>
      </w:pPr>
      <w:r w:rsidRPr="00494128">
        <w:t>Blinding</w:t>
      </w:r>
      <w:r>
        <w:t xml:space="preserve"> </w:t>
      </w:r>
    </w:p>
    <w:p w14:paraId="37A0DDD9" w14:textId="3D159A4C" w:rsidR="00664A0C" w:rsidRDefault="00664A0C" w:rsidP="00664A0C">
      <w:r>
        <w:t xml:space="preserve">Patients and the trial statistician are masked to intervention allocation. </w:t>
      </w:r>
      <w:r w:rsidR="00784B47">
        <w:t xml:space="preserve">Patients are not told in the PIS that </w:t>
      </w:r>
      <w:r w:rsidR="00237385">
        <w:t>as part of this study their general practice has been randomly allocated to intervention or control</w:t>
      </w:r>
      <w:r w:rsidR="00513FF4">
        <w:t xml:space="preserve">. This </w:t>
      </w:r>
      <w:r w:rsidR="00B858E1">
        <w:t xml:space="preserve">was approved by the ethics committee and </w:t>
      </w:r>
      <w:r w:rsidR="00513FF4">
        <w:t xml:space="preserve">is appropriate in this cluster-randomised trial where the </w:t>
      </w:r>
      <w:r w:rsidR="009F4026">
        <w:t xml:space="preserve">communication-skills </w:t>
      </w:r>
      <w:r w:rsidR="000D7E08">
        <w:t xml:space="preserve">training </w:t>
      </w:r>
      <w:r w:rsidR="00513FF4">
        <w:t xml:space="preserve">intervention is </w:t>
      </w:r>
      <w:r w:rsidR="009F4026">
        <w:t>very low risk and within the broad scope of usual practice.</w:t>
      </w:r>
      <w:r w:rsidR="00C2038E">
        <w:t xml:space="preserve"> </w:t>
      </w:r>
      <w:r w:rsidR="000C3A2B">
        <w:t>After all data collection is complete, p</w:t>
      </w:r>
      <w:r w:rsidR="00C2038E">
        <w:t xml:space="preserve">atients will be debriefed </w:t>
      </w:r>
      <w:r w:rsidR="000C3A2B">
        <w:t xml:space="preserve">in writing (email/mail) </w:t>
      </w:r>
      <w:r w:rsidR="0059093B">
        <w:t xml:space="preserve">and told that </w:t>
      </w:r>
      <w:r w:rsidR="009A0CFC">
        <w:t>“a</w:t>
      </w:r>
      <w:r w:rsidR="009A0CFC" w:rsidRPr="009A0CFC">
        <w:t>t the start of the TIP study some of the GP practices taking part had communication skills training (intervention practices) and some GP practices did not have any training (control practices).</w:t>
      </w:r>
      <w:r w:rsidR="009A0CFC">
        <w:t>”</w:t>
      </w:r>
      <w:r w:rsidR="009A0CFC" w:rsidRPr="009A0CFC">
        <w:t xml:space="preserve"> </w:t>
      </w:r>
      <w:r w:rsidR="009A0CFC">
        <w:t xml:space="preserve">They will also be told whether </w:t>
      </w:r>
      <w:r w:rsidR="00A04B66">
        <w:t>their practice did or did not receive the enhanced communication skills training.</w:t>
      </w:r>
      <w:r w:rsidR="009F4026">
        <w:t xml:space="preserve"> </w:t>
      </w:r>
      <w:r>
        <w:t>Efforts are made to mask researchers supporting patient data collection</w:t>
      </w:r>
      <w:r w:rsidRPr="004B063A">
        <w:t xml:space="preserve"> </w:t>
      </w:r>
      <w:r>
        <w:t>to intervention allocation</w:t>
      </w:r>
      <w:r w:rsidR="00E6131F">
        <w:t>;</w:t>
      </w:r>
      <w:r w:rsidR="000D7E08">
        <w:t xml:space="preserve"> for example</w:t>
      </w:r>
      <w:r w:rsidR="00C2038E">
        <w:t>,</w:t>
      </w:r>
      <w:r w:rsidR="000D7E08">
        <w:t xml:space="preserve"> </w:t>
      </w:r>
      <w:r w:rsidR="00917F7B">
        <w:t xml:space="preserve">the researchers </w:t>
      </w:r>
      <w:r w:rsidR="00E6131F">
        <w:t xml:space="preserve">collecting </w:t>
      </w:r>
      <w:r w:rsidR="00917F7B">
        <w:t xml:space="preserve">patient </w:t>
      </w:r>
      <w:r w:rsidR="00E6131F">
        <w:t xml:space="preserve">outcomes </w:t>
      </w:r>
      <w:r w:rsidR="00917F7B">
        <w:t>are not th</w:t>
      </w:r>
      <w:r w:rsidR="004D075F">
        <w:t>e</w:t>
      </w:r>
      <w:r w:rsidR="00917F7B">
        <w:t xml:space="preserve"> same </w:t>
      </w:r>
      <w:r w:rsidR="000D7E08">
        <w:t xml:space="preserve">researchers </w:t>
      </w:r>
      <w:r w:rsidR="00917F7B">
        <w:t xml:space="preserve">who liaise with practices about </w:t>
      </w:r>
      <w:r w:rsidR="004D075F">
        <w:t>the intervention</w:t>
      </w:r>
      <w:r>
        <w:t>. Efforts are made to mask practitioners to which patients are taking part</w:t>
      </w:r>
      <w:r w:rsidR="00E6131F">
        <w:t>;</w:t>
      </w:r>
      <w:r w:rsidR="008E206B">
        <w:t xml:space="preserve"> for example</w:t>
      </w:r>
      <w:r w:rsidR="00C7109E">
        <w:t>,</w:t>
      </w:r>
      <w:r w:rsidR="008E206B">
        <w:t xml:space="preserve"> the patient </w:t>
      </w:r>
      <w:r w:rsidR="00212285">
        <w:t xml:space="preserve">PIS </w:t>
      </w:r>
      <w:r w:rsidR="008E206B">
        <w:t xml:space="preserve">includes the </w:t>
      </w:r>
      <w:r w:rsidR="00212285">
        <w:t>instruction to “</w:t>
      </w:r>
      <w:r w:rsidR="00212285" w:rsidRPr="00212285">
        <w:t xml:space="preserve">please do not discuss your participation in the study with your </w:t>
      </w:r>
      <w:r w:rsidR="00747820">
        <w:t>GP</w:t>
      </w:r>
      <w:r w:rsidR="00212285" w:rsidRPr="00212285">
        <w:t>, nurse, physiotherapist, or any other primary care practitioner</w:t>
      </w:r>
      <w:r w:rsidR="00212285">
        <w:t>”</w:t>
      </w:r>
      <w:r>
        <w:t xml:space="preserve">. </w:t>
      </w:r>
      <w:r w:rsidR="00382D9B">
        <w:t>In the unlikely event that patient u</w:t>
      </w:r>
      <w:r w:rsidR="00A63E4C" w:rsidRPr="00A63E4C">
        <w:t xml:space="preserve">nblinding </w:t>
      </w:r>
      <w:r w:rsidR="00382D9B">
        <w:t xml:space="preserve">is deemed </w:t>
      </w:r>
      <w:r w:rsidR="00A63E4C" w:rsidRPr="00A63E4C">
        <w:t xml:space="preserve">necessary for patient care </w:t>
      </w:r>
      <w:r w:rsidR="00382D9B">
        <w:t xml:space="preserve">this will be done by the </w:t>
      </w:r>
      <w:r w:rsidR="00E009E8">
        <w:t xml:space="preserve">general </w:t>
      </w:r>
      <w:r w:rsidR="00382D9B">
        <w:t>practice and notified to the research team.</w:t>
      </w:r>
    </w:p>
    <w:p w14:paraId="66BD9DCE" w14:textId="77777777" w:rsidR="00382D9B" w:rsidRDefault="00382D9B" w:rsidP="00664A0C">
      <w:pPr>
        <w:rPr>
          <w:b/>
          <w:bCs/>
        </w:rPr>
      </w:pPr>
    </w:p>
    <w:p w14:paraId="0D115307" w14:textId="77777777" w:rsidR="000837BF" w:rsidRDefault="000837BF" w:rsidP="000837BF">
      <w:pPr>
        <w:pStyle w:val="Heading2"/>
      </w:pPr>
      <w:r>
        <w:t>Data Analysis</w:t>
      </w:r>
    </w:p>
    <w:p w14:paraId="342DC559" w14:textId="2A093D12" w:rsidR="00FD7A81" w:rsidRPr="00471CF3" w:rsidRDefault="00FD7A81" w:rsidP="00FD7A81">
      <w:pPr>
        <w:pStyle w:val="Heading3"/>
      </w:pPr>
      <w:r w:rsidRPr="00471CF3">
        <w:t xml:space="preserve">Data </w:t>
      </w:r>
      <w:r w:rsidR="008F7FA3">
        <w:t>M</w:t>
      </w:r>
      <w:r w:rsidRPr="00471CF3">
        <w:t>anagement</w:t>
      </w:r>
    </w:p>
    <w:p w14:paraId="5AF8BC26" w14:textId="1C09E0F2" w:rsidR="00FD7A81" w:rsidRDefault="00FD7A81" w:rsidP="00FD7A81">
      <w:r>
        <w:t xml:space="preserve">Web-based questionnaire data stored securely on Qualtrics servers (see </w:t>
      </w:r>
      <w:hyperlink r:id="rId13" w:history="1">
        <w:r w:rsidRPr="00B22559">
          <w:rPr>
            <w:rStyle w:val="Hyperlink"/>
          </w:rPr>
          <w:t>https://www.qualtrics.com/security-statement/</w:t>
        </w:r>
      </w:hyperlink>
      <w:r>
        <w:t xml:space="preserve">).  </w:t>
      </w:r>
      <w:r w:rsidR="00B7098B">
        <w:t xml:space="preserve">Questionnaire </w:t>
      </w:r>
      <w:r>
        <w:t xml:space="preserve">data collected </w:t>
      </w:r>
      <w:r w:rsidR="009F6F97">
        <w:t xml:space="preserve">by </w:t>
      </w:r>
      <w:r>
        <w:t xml:space="preserve">telephone or paper </w:t>
      </w:r>
      <w:proofErr w:type="gramStart"/>
      <w:r>
        <w:t>entered into</w:t>
      </w:r>
      <w:proofErr w:type="gramEnd"/>
      <w:r>
        <w:t xml:space="preserve"> Qualtrics by </w:t>
      </w:r>
      <w:r w:rsidR="009F6F97">
        <w:t xml:space="preserve">one </w:t>
      </w:r>
      <w:r>
        <w:t>researcher and checked for accuracy by a second researcher.</w:t>
      </w:r>
    </w:p>
    <w:p w14:paraId="1356EF53" w14:textId="2C8AF7CE" w:rsidR="00FD7A81" w:rsidRDefault="00FD7A81" w:rsidP="00FD7A81">
      <w:pPr>
        <w:rPr>
          <w:rFonts w:cstheme="minorHAnsi"/>
        </w:rPr>
      </w:pPr>
      <w:r w:rsidRPr="00471CF3">
        <w:rPr>
          <w:rFonts w:cstheme="minorHAnsi"/>
        </w:rPr>
        <w:t>Personal data stored on a secure server at University of Southampton in compliance with General Data Protection Regulations and the Data Protection Act 2018.</w:t>
      </w:r>
    </w:p>
    <w:p w14:paraId="131337F9" w14:textId="2E0608EB" w:rsidR="00D77AA5" w:rsidRPr="00D30137" w:rsidRDefault="00D77AA5" w:rsidP="000837BF">
      <w:pPr>
        <w:pStyle w:val="Heading3"/>
      </w:pPr>
      <w:r w:rsidRPr="00D30137">
        <w:t xml:space="preserve">Statistical </w:t>
      </w:r>
      <w:r w:rsidR="008F7FA3" w:rsidRPr="00D30137">
        <w:t>M</w:t>
      </w:r>
      <w:r w:rsidRPr="00D30137">
        <w:t>ethods</w:t>
      </w:r>
    </w:p>
    <w:p w14:paraId="504C4601" w14:textId="2D8938CA" w:rsidR="007B7BE7" w:rsidRPr="00D30137" w:rsidRDefault="00F33E49" w:rsidP="00E355FC">
      <w:r w:rsidRPr="00D30137">
        <w:t>M</w:t>
      </w:r>
      <w:r w:rsidR="008F5FC4" w:rsidRPr="00D30137">
        <w:t xml:space="preserve">usculoskeletal and all-comers groups will be analysed separately. </w:t>
      </w:r>
      <w:r w:rsidR="00D77AA5" w:rsidRPr="00D30137">
        <w:t xml:space="preserve">For the </w:t>
      </w:r>
      <w:r w:rsidR="002F5471" w:rsidRPr="00D30137">
        <w:t xml:space="preserve">two </w:t>
      </w:r>
      <w:r w:rsidR="00D77AA5" w:rsidRPr="00D30137">
        <w:t xml:space="preserve">primary outcomes, a linear mixed model will use all the observed data, and implicitly assumes that missing outcome scores are missing at random given the observed data. </w:t>
      </w:r>
      <w:r w:rsidR="001F3585" w:rsidRPr="001F3585">
        <w:t>The BPI and PEI will be reported and analysed using post-intervention scores, adjusting for baseline score.</w:t>
      </w:r>
      <w:r w:rsidR="001F3585">
        <w:t xml:space="preserve"> </w:t>
      </w:r>
      <w:r w:rsidR="00D77AA5" w:rsidRPr="00D30137">
        <w:t xml:space="preserve">The primary analyses for the BPI and PEI scores will be performed using a generalized linear mixed model (GLMM) framework with observations at 3 days, 1-. 3-, and 6-months (level 1) nested in participants (level 2) and participants nested in practices (level 3). Unadjusted results will be reported as well as results adjusting for baseline values, stratification variables and </w:t>
      </w:r>
      <w:r w:rsidR="001F616A" w:rsidRPr="00D30137">
        <w:t>other</w:t>
      </w:r>
      <w:r w:rsidR="00D77AA5" w:rsidRPr="00D30137">
        <w:t xml:space="preserve"> co</w:t>
      </w:r>
      <w:r w:rsidR="001F616A" w:rsidRPr="00D30137">
        <w:t>variates</w:t>
      </w:r>
      <w:r w:rsidR="00D77AA5" w:rsidRPr="00D30137">
        <w:t xml:space="preserve"> as appropriate. As there may not be a constant treatment effect over time, a treatment/time interaction will be modelled and included if significant, with time treated as a random effect. An unstructured covariance matrix will be used.</w:t>
      </w:r>
      <w:r w:rsidR="007B7BE7" w:rsidRPr="00D30137">
        <w:t xml:space="preserve"> </w:t>
      </w:r>
      <w:r w:rsidR="00D77AA5" w:rsidRPr="00D30137">
        <w:t>For secondary outcomes, the analyses will use a similar modelling approach, with mixed logistic/linear regression models as appropriate, a random effect for practice, controlling for baseline values, stratification variables and potential confounders. No</w:t>
      </w:r>
      <w:r w:rsidR="001F616A" w:rsidRPr="00D30137">
        <w:t xml:space="preserve"> formal </w:t>
      </w:r>
      <w:r w:rsidRPr="00D30137">
        <w:t xml:space="preserve">pre-planned </w:t>
      </w:r>
      <w:r w:rsidR="00D77AA5" w:rsidRPr="00D30137">
        <w:t xml:space="preserve">subgroup analyses. </w:t>
      </w:r>
    </w:p>
    <w:p w14:paraId="5F640290" w14:textId="7988DB7B" w:rsidR="00D77AA5" w:rsidRPr="00D30137" w:rsidRDefault="00C00356" w:rsidP="00E355FC">
      <w:r w:rsidRPr="00D30137">
        <w:t>I</w:t>
      </w:r>
      <w:r w:rsidR="007B7BE7" w:rsidRPr="00D30137">
        <w:t xml:space="preserve">ntention to treat </w:t>
      </w:r>
      <w:r w:rsidRPr="00D30137">
        <w:t xml:space="preserve">analysis </w:t>
      </w:r>
      <w:r w:rsidR="007B7BE7" w:rsidRPr="00D30137">
        <w:t xml:space="preserve">(as randomised) </w:t>
      </w:r>
      <w:r w:rsidR="003D5CB7" w:rsidRPr="00D30137">
        <w:t xml:space="preserve">will be undertaken </w:t>
      </w:r>
      <w:r w:rsidR="007B7BE7" w:rsidRPr="00D30137">
        <w:t xml:space="preserve">regardless of any practice-level non-adherence to the intervention. All available data will be </w:t>
      </w:r>
      <w:r w:rsidR="001F616A" w:rsidRPr="00D30137">
        <w:t>u</w:t>
      </w:r>
      <w:r w:rsidR="007B7BE7" w:rsidRPr="00D30137">
        <w:t>sed, with a sensitivity analysis using multiple imputation if appropriate. Linear mixed models and multiple imputation both assume the data are missing at random, therefore sensitivity analyses to data missing not at random will also be explored.</w:t>
      </w:r>
      <w:r w:rsidR="00A62BC6" w:rsidRPr="00D30137">
        <w:t xml:space="preserve"> </w:t>
      </w:r>
      <w:r w:rsidR="00D77AA5" w:rsidRPr="00D30137">
        <w:t xml:space="preserve">A full and </w:t>
      </w:r>
      <w:r w:rsidR="00D77AA5" w:rsidRPr="00D30137">
        <w:lastRenderedPageBreak/>
        <w:t xml:space="preserve">detailed statistical analysis plan will be developed prior to final trial analysis and approved by Trial Steering Committee. </w:t>
      </w:r>
    </w:p>
    <w:p w14:paraId="4F1DF3F6" w14:textId="38C794C3" w:rsidR="00D77AA5" w:rsidRDefault="00794411" w:rsidP="00E355FC">
      <w:bookmarkStart w:id="17" w:name="_Hlk98837652"/>
      <w:r w:rsidRPr="00D30137">
        <w:t>I</w:t>
      </w:r>
      <w:r w:rsidR="00D77AA5" w:rsidRPr="00D30137">
        <w:t xml:space="preserve">nterim analyses of outcomes </w:t>
      </w:r>
      <w:r w:rsidRPr="00D30137">
        <w:t xml:space="preserve">are deemed unnecessary </w:t>
      </w:r>
      <w:r w:rsidR="00D77AA5" w:rsidRPr="00D30137">
        <w:t>in this low-risk trial.</w:t>
      </w:r>
    </w:p>
    <w:p w14:paraId="129C5CB0" w14:textId="77777777" w:rsidR="00D77AA5" w:rsidRPr="007B7BE7" w:rsidRDefault="00D77AA5" w:rsidP="000837BF">
      <w:pPr>
        <w:pStyle w:val="Heading3"/>
      </w:pPr>
      <w:bookmarkStart w:id="18" w:name="_Hlk98837679"/>
      <w:bookmarkEnd w:id="17"/>
      <w:r w:rsidRPr="007B7BE7">
        <w:t>Health Economic Analysis</w:t>
      </w:r>
    </w:p>
    <w:p w14:paraId="139C9778" w14:textId="2FFE12B3" w:rsidR="00D77AA5" w:rsidRPr="007B7BE7" w:rsidRDefault="00D77AA5" w:rsidP="00D77AA5">
      <w:pPr>
        <w:rPr>
          <w:rFonts w:cstheme="minorHAnsi"/>
          <w:bCs/>
          <w:spacing w:val="2"/>
        </w:rPr>
      </w:pPr>
      <w:r w:rsidRPr="00290829">
        <w:rPr>
          <w:rFonts w:cstheme="minorHAnsi"/>
          <w:bCs/>
          <w:spacing w:val="2"/>
        </w:rPr>
        <w:t xml:space="preserve">An NHS perspective will be taken in the primary analysis; a wider perspective </w:t>
      </w:r>
      <w:r w:rsidR="009A0BC9">
        <w:rPr>
          <w:rFonts w:cstheme="minorHAnsi"/>
          <w:bCs/>
          <w:spacing w:val="2"/>
        </w:rPr>
        <w:t xml:space="preserve">is </w:t>
      </w:r>
      <w:r w:rsidRPr="00290829">
        <w:rPr>
          <w:rFonts w:cstheme="minorHAnsi"/>
          <w:bCs/>
          <w:spacing w:val="2"/>
        </w:rPr>
        <w:t xml:space="preserve">taken in secondary analyses including impacts on patients and productivity. </w:t>
      </w:r>
      <w:r w:rsidR="00C110DC">
        <w:rPr>
          <w:rFonts w:cstheme="minorHAnsi"/>
          <w:bCs/>
          <w:spacing w:val="2"/>
        </w:rPr>
        <w:t>A</w:t>
      </w:r>
      <w:r w:rsidR="004663A1">
        <w:rPr>
          <w:rFonts w:cstheme="minorHAnsi"/>
          <w:bCs/>
          <w:spacing w:val="2"/>
        </w:rPr>
        <w:t>n</w:t>
      </w:r>
      <w:r w:rsidR="007918BB">
        <w:rPr>
          <w:rFonts w:cstheme="minorHAnsi"/>
          <w:bCs/>
          <w:spacing w:val="2"/>
        </w:rPr>
        <w:t>alysis will be intention to treat.</w:t>
      </w:r>
      <w:r w:rsidRPr="00290829">
        <w:rPr>
          <w:rFonts w:cstheme="minorHAnsi"/>
          <w:bCs/>
          <w:spacing w:val="2"/>
        </w:rPr>
        <w:t xml:space="preserve"> Relevant covariates</w:t>
      </w:r>
      <w:r>
        <w:rPr>
          <w:rFonts w:cstheme="minorHAnsi"/>
          <w:bCs/>
          <w:spacing w:val="2"/>
        </w:rPr>
        <w:t>, including baseline EQ-5D-5L</w:t>
      </w:r>
      <w:r w:rsidR="00795329">
        <w:rPr>
          <w:rFonts w:cstheme="minorHAnsi"/>
          <w:bCs/>
          <w:spacing w:val="2"/>
        </w:rPr>
        <w:t>, potentially skewed data</w:t>
      </w:r>
      <w:r w:rsidRPr="00290829">
        <w:rPr>
          <w:rFonts w:cstheme="minorHAnsi"/>
          <w:bCs/>
          <w:spacing w:val="2"/>
        </w:rPr>
        <w:t xml:space="preserve"> and the cluster design will be accounted for</w:t>
      </w:r>
      <w:r w:rsidR="00693ED9">
        <w:rPr>
          <w:rFonts w:cstheme="minorHAnsi"/>
          <w:bCs/>
          <w:spacing w:val="2"/>
        </w:rPr>
        <w:t xml:space="preserve"> using </w:t>
      </w:r>
      <w:r w:rsidR="00B21614">
        <w:rPr>
          <w:rFonts w:cstheme="minorHAnsi"/>
          <w:bCs/>
          <w:spacing w:val="2"/>
        </w:rPr>
        <w:t>appropriate regression models</w:t>
      </w:r>
      <w:r w:rsidRPr="00290829">
        <w:rPr>
          <w:rFonts w:cstheme="minorHAnsi"/>
          <w:bCs/>
          <w:spacing w:val="2"/>
        </w:rPr>
        <w:t>.</w:t>
      </w:r>
      <w:r w:rsidR="00AE4A41">
        <w:rPr>
          <w:rFonts w:cstheme="minorHAnsi"/>
          <w:bCs/>
          <w:spacing w:val="2"/>
        </w:rPr>
        <w:t>[</w:t>
      </w:r>
      <w:r w:rsidR="007B16E3" w:rsidRPr="00AE4A41">
        <w:rPr>
          <w:rFonts w:cstheme="minorHAnsi"/>
          <w:bCs/>
          <w:noProof/>
          <w:spacing w:val="2"/>
        </w:rPr>
        <w:t>66</w:t>
      </w:r>
      <w:r w:rsidR="00AE4A41">
        <w:rPr>
          <w:rFonts w:cstheme="minorHAnsi"/>
          <w:bCs/>
          <w:noProof/>
          <w:spacing w:val="2"/>
        </w:rPr>
        <w:t>]</w:t>
      </w:r>
      <w:r w:rsidRPr="00290829">
        <w:rPr>
          <w:rFonts w:cstheme="minorHAnsi"/>
          <w:bCs/>
          <w:spacing w:val="2"/>
        </w:rPr>
        <w:t xml:space="preserve"> Cost-consequences will </w:t>
      </w:r>
      <w:r w:rsidR="00965126">
        <w:rPr>
          <w:rFonts w:cstheme="minorHAnsi"/>
          <w:bCs/>
          <w:spacing w:val="2"/>
        </w:rPr>
        <w:t>tabulate</w:t>
      </w:r>
      <w:r w:rsidR="00965126" w:rsidRPr="00290829">
        <w:rPr>
          <w:rFonts w:cstheme="minorHAnsi"/>
          <w:bCs/>
          <w:spacing w:val="2"/>
        </w:rPr>
        <w:t xml:space="preserve"> </w:t>
      </w:r>
      <w:r w:rsidRPr="00290829">
        <w:rPr>
          <w:rFonts w:cstheme="minorHAnsi"/>
          <w:bCs/>
          <w:spacing w:val="2"/>
        </w:rPr>
        <w:t xml:space="preserve">costs from each perspective to a range of outcomes. Cost-effectiveness will be estimated in a cost-utility analysis </w:t>
      </w:r>
      <w:r w:rsidR="00432574">
        <w:rPr>
          <w:rFonts w:cstheme="minorHAnsi"/>
          <w:bCs/>
          <w:spacing w:val="2"/>
        </w:rPr>
        <w:t>combining</w:t>
      </w:r>
      <w:r w:rsidR="00432574" w:rsidRPr="00290829">
        <w:rPr>
          <w:rFonts w:cstheme="minorHAnsi"/>
          <w:bCs/>
          <w:spacing w:val="2"/>
        </w:rPr>
        <w:t xml:space="preserve"> </w:t>
      </w:r>
      <w:r w:rsidRPr="00290829">
        <w:rPr>
          <w:rFonts w:cstheme="minorHAnsi"/>
          <w:bCs/>
          <w:spacing w:val="2"/>
        </w:rPr>
        <w:t xml:space="preserve">QALYs </w:t>
      </w:r>
      <w:r w:rsidR="00432574">
        <w:rPr>
          <w:rFonts w:cstheme="minorHAnsi"/>
          <w:bCs/>
          <w:spacing w:val="2"/>
        </w:rPr>
        <w:t xml:space="preserve">and NHS </w:t>
      </w:r>
      <w:r w:rsidRPr="00290829">
        <w:rPr>
          <w:rFonts w:cstheme="minorHAnsi"/>
          <w:bCs/>
          <w:spacing w:val="2"/>
        </w:rPr>
        <w:t>costs</w:t>
      </w:r>
      <w:r>
        <w:rPr>
          <w:rFonts w:cstheme="minorHAnsi"/>
          <w:bCs/>
          <w:spacing w:val="2"/>
        </w:rPr>
        <w:t>. T</w:t>
      </w:r>
      <w:r w:rsidRPr="00290829">
        <w:rPr>
          <w:rFonts w:cstheme="minorHAnsi"/>
          <w:bCs/>
          <w:spacing w:val="2"/>
        </w:rPr>
        <w:t xml:space="preserve">he incremental net monetary benefit </w:t>
      </w:r>
      <w:r>
        <w:rPr>
          <w:rFonts w:cstheme="minorHAnsi"/>
          <w:bCs/>
          <w:spacing w:val="2"/>
        </w:rPr>
        <w:t>statistic will be presented</w:t>
      </w:r>
      <w:r w:rsidRPr="00290829">
        <w:rPr>
          <w:rFonts w:cstheme="minorHAnsi"/>
          <w:bCs/>
          <w:spacing w:val="2"/>
        </w:rPr>
        <w:t xml:space="preserve"> at standard NICE thresholds and if appropriate, incremental cost-effectiveness ratios</w:t>
      </w:r>
      <w:r>
        <w:rPr>
          <w:rFonts w:cstheme="minorHAnsi"/>
          <w:bCs/>
          <w:spacing w:val="2"/>
        </w:rPr>
        <w:t xml:space="preserve"> will be estimated</w:t>
      </w:r>
      <w:r w:rsidRPr="00290829">
        <w:rPr>
          <w:rFonts w:cstheme="minorHAnsi"/>
          <w:bCs/>
          <w:spacing w:val="2"/>
        </w:rPr>
        <w:t xml:space="preserve">. Uncertainty will be addressed by bootstrapping, plotting cost-effectiveness acceptability curves and in </w:t>
      </w:r>
      <w:r w:rsidRPr="007B7BE7">
        <w:rPr>
          <w:rFonts w:cstheme="minorHAnsi"/>
          <w:bCs/>
          <w:spacing w:val="2"/>
        </w:rPr>
        <w:t>sensitivity analyses.</w:t>
      </w:r>
    </w:p>
    <w:bookmarkEnd w:id="18"/>
    <w:p w14:paraId="0A57FCAE" w14:textId="77777777" w:rsidR="00722F62" w:rsidRDefault="00722F62" w:rsidP="00722F62">
      <w:pPr>
        <w:pStyle w:val="Heading3"/>
      </w:pPr>
      <w:r>
        <w:t>Process Analysis</w:t>
      </w:r>
    </w:p>
    <w:p w14:paraId="1AD519E9" w14:textId="4133FD1B" w:rsidR="00D77AA5" w:rsidRDefault="00722F62" w:rsidP="00D77AA5">
      <w:pPr>
        <w:rPr>
          <w:rFonts w:cstheme="minorHAnsi"/>
          <w:bCs/>
          <w:noProof/>
          <w:spacing w:val="2"/>
          <w:vertAlign w:val="superscript"/>
        </w:rPr>
      </w:pPr>
      <w:r w:rsidRPr="00722F62">
        <w:rPr>
          <w:rFonts w:cstheme="minorHAnsi"/>
          <w:bCs/>
          <w:spacing w:val="2"/>
        </w:rPr>
        <w:t>A p</w:t>
      </w:r>
      <w:r w:rsidR="00D77AA5" w:rsidRPr="00722F62">
        <w:rPr>
          <w:rFonts w:cstheme="minorHAnsi"/>
          <w:bCs/>
          <w:spacing w:val="2"/>
        </w:rPr>
        <w:t xml:space="preserve">rocess </w:t>
      </w:r>
      <w:r w:rsidRPr="00722F62">
        <w:rPr>
          <w:rFonts w:cstheme="minorHAnsi"/>
          <w:bCs/>
          <w:spacing w:val="2"/>
        </w:rPr>
        <w:t>a</w:t>
      </w:r>
      <w:r w:rsidR="00D77AA5" w:rsidRPr="00722F62">
        <w:rPr>
          <w:rFonts w:cstheme="minorHAnsi"/>
          <w:bCs/>
          <w:spacing w:val="2"/>
        </w:rPr>
        <w:t>nalysis will focus on mechanisms of impact and test hypotheses derived from the logic model</w:t>
      </w:r>
      <w:r w:rsidR="00D77AA5" w:rsidRPr="00290829">
        <w:rPr>
          <w:rFonts w:cstheme="minorHAnsi"/>
          <w:bCs/>
          <w:spacing w:val="2"/>
        </w:rPr>
        <w:t xml:space="preserve"> about relationships among variables, including mediators and moderators. Intervention usage data, captured by </w:t>
      </w:r>
      <w:proofErr w:type="spellStart"/>
      <w:r w:rsidR="00D77AA5" w:rsidRPr="00290829">
        <w:rPr>
          <w:rFonts w:cstheme="minorHAnsi"/>
          <w:bCs/>
          <w:spacing w:val="2"/>
        </w:rPr>
        <w:t>LifeGuide</w:t>
      </w:r>
      <w:proofErr w:type="spellEnd"/>
      <w:r w:rsidR="00D77AA5" w:rsidRPr="00290829">
        <w:rPr>
          <w:rFonts w:cstheme="minorHAnsi"/>
          <w:bCs/>
          <w:spacing w:val="2"/>
        </w:rPr>
        <w:t xml:space="preserve">, will be incorporated using the </w:t>
      </w:r>
      <w:proofErr w:type="spellStart"/>
      <w:r w:rsidR="00D77AA5" w:rsidRPr="00290829">
        <w:rPr>
          <w:rFonts w:cstheme="minorHAnsi"/>
          <w:bCs/>
          <w:spacing w:val="2"/>
        </w:rPr>
        <w:t>AMUsED</w:t>
      </w:r>
      <w:proofErr w:type="spellEnd"/>
      <w:r w:rsidR="00D77AA5" w:rsidRPr="00290829">
        <w:rPr>
          <w:rFonts w:cstheme="minorHAnsi"/>
          <w:bCs/>
          <w:spacing w:val="2"/>
        </w:rPr>
        <w:t xml:space="preserve"> framework</w:t>
      </w:r>
      <w:r w:rsidR="00D77AA5" w:rsidRPr="003B7D22">
        <w:t xml:space="preserve"> </w:t>
      </w:r>
      <w:r w:rsidR="00D77AA5" w:rsidRPr="003B7D22">
        <w:rPr>
          <w:rFonts w:cstheme="minorHAnsi"/>
          <w:bCs/>
          <w:spacing w:val="2"/>
        </w:rPr>
        <w:t xml:space="preserve">for </w:t>
      </w:r>
      <w:proofErr w:type="spellStart"/>
      <w:r w:rsidR="00D77AA5" w:rsidRPr="003B7D22">
        <w:rPr>
          <w:rFonts w:cstheme="minorHAnsi"/>
          <w:bCs/>
          <w:spacing w:val="2"/>
        </w:rPr>
        <w:t>Analyzing</w:t>
      </w:r>
      <w:proofErr w:type="spellEnd"/>
      <w:r w:rsidR="00D77AA5" w:rsidRPr="003B7D22">
        <w:rPr>
          <w:rFonts w:cstheme="minorHAnsi"/>
          <w:bCs/>
          <w:spacing w:val="2"/>
        </w:rPr>
        <w:t xml:space="preserve"> and Measuring Usage and Engagement Data</w:t>
      </w:r>
      <w:r w:rsidR="00D77AA5" w:rsidRPr="00290829">
        <w:rPr>
          <w:rFonts w:cstheme="minorHAnsi"/>
          <w:bCs/>
          <w:spacing w:val="2"/>
        </w:rPr>
        <w:t>.</w:t>
      </w:r>
      <w:r w:rsidR="00AE4A41">
        <w:rPr>
          <w:rFonts w:cstheme="minorHAnsi"/>
          <w:bCs/>
          <w:spacing w:val="2"/>
        </w:rPr>
        <w:t>[</w:t>
      </w:r>
      <w:r w:rsidR="00C20F5C">
        <w:rPr>
          <w:rFonts w:cstheme="minorHAnsi"/>
          <w:bCs/>
          <w:noProof/>
          <w:spacing w:val="2"/>
        </w:rPr>
        <w:t>84</w:t>
      </w:r>
      <w:r w:rsidR="00AE4A41">
        <w:rPr>
          <w:rFonts w:cstheme="minorHAnsi"/>
          <w:bCs/>
          <w:noProof/>
          <w:spacing w:val="2"/>
        </w:rPr>
        <w:t>]</w:t>
      </w:r>
    </w:p>
    <w:p w14:paraId="08F40F11" w14:textId="77777777" w:rsidR="00992211" w:rsidRDefault="00D77AA5" w:rsidP="00095883">
      <w:pPr>
        <w:pStyle w:val="Heading3"/>
      </w:pPr>
      <w:r w:rsidRPr="007B7BE7">
        <w:t xml:space="preserve">Qualitative and Mixed Methods Analysis </w:t>
      </w:r>
    </w:p>
    <w:p w14:paraId="040C6A12" w14:textId="7BAD255E" w:rsidR="00D77AA5" w:rsidRDefault="00D77AA5" w:rsidP="00095883">
      <w:r w:rsidRPr="007B7BE7">
        <w:t>EMPathicO’s potential impact post-trial</w:t>
      </w:r>
      <w:r w:rsidR="00992211">
        <w:t xml:space="preserve"> </w:t>
      </w:r>
      <w:r w:rsidR="00B07C08">
        <w:t xml:space="preserve">will be evaluated </w:t>
      </w:r>
      <w:r w:rsidR="00992211">
        <w:t xml:space="preserve">by using </w:t>
      </w:r>
      <w:bookmarkStart w:id="19" w:name="_Hlk98187870"/>
      <w:r w:rsidR="00992211">
        <w:t>t</w:t>
      </w:r>
      <w:r w:rsidRPr="007B7BE7">
        <w:t xml:space="preserve">he RE-AIM framework </w:t>
      </w:r>
      <w:r w:rsidR="00992211">
        <w:t xml:space="preserve">to explore </w:t>
      </w:r>
      <w:r w:rsidRPr="007B7BE7">
        <w:t>Reach, Effectiveness, Adoption, Implementation, and Maintenance.</w:t>
      </w:r>
      <w:r w:rsidRPr="007B7BE7">
        <w:rPr>
          <w:rFonts w:eastAsia="Times New Roman"/>
          <w:lang w:eastAsia="en-GB"/>
        </w:rPr>
        <w:t xml:space="preserve"> </w:t>
      </w:r>
      <w:r w:rsidR="009F5AC9">
        <w:rPr>
          <w:rFonts w:eastAsia="Times New Roman"/>
          <w:lang w:eastAsia="en-GB"/>
        </w:rPr>
        <w:t>[</w:t>
      </w:r>
      <w:r w:rsidR="009D70E7" w:rsidRPr="009F5AC9">
        <w:rPr>
          <w:rFonts w:eastAsia="Times New Roman"/>
          <w:noProof/>
          <w:lang w:eastAsia="en-GB"/>
        </w:rPr>
        <w:t>32</w:t>
      </w:r>
      <w:r w:rsidR="009F5AC9">
        <w:rPr>
          <w:rFonts w:eastAsia="Times New Roman"/>
          <w:noProof/>
          <w:lang w:eastAsia="en-GB"/>
        </w:rPr>
        <w:t>,</w:t>
      </w:r>
      <w:r w:rsidR="009D70E7" w:rsidRPr="009F5AC9">
        <w:rPr>
          <w:rFonts w:eastAsia="Times New Roman"/>
          <w:noProof/>
          <w:lang w:eastAsia="en-GB"/>
        </w:rPr>
        <w:t>33</w:t>
      </w:r>
      <w:bookmarkEnd w:id="19"/>
      <w:r w:rsidR="009F5AC9">
        <w:rPr>
          <w:rFonts w:eastAsia="Times New Roman"/>
          <w:noProof/>
          <w:lang w:eastAsia="en-GB"/>
        </w:rPr>
        <w:t>]</w:t>
      </w:r>
      <w:r w:rsidRPr="007B7BE7">
        <w:t xml:space="preserve"> </w:t>
      </w:r>
      <w:r w:rsidRPr="007B7BE7">
        <w:rPr>
          <w:spacing w:val="2"/>
        </w:rPr>
        <w:t xml:space="preserve">Drawing on data from the main trial, the </w:t>
      </w:r>
      <w:r w:rsidR="00D77263">
        <w:rPr>
          <w:spacing w:val="2"/>
        </w:rPr>
        <w:t>a</w:t>
      </w:r>
      <w:r w:rsidRPr="007B7BE7">
        <w:rPr>
          <w:spacing w:val="2"/>
        </w:rPr>
        <w:t xml:space="preserve">ll-comers </w:t>
      </w:r>
      <w:proofErr w:type="gramStart"/>
      <w:r w:rsidRPr="007B7BE7">
        <w:rPr>
          <w:spacing w:val="2"/>
        </w:rPr>
        <w:t>group</w:t>
      </w:r>
      <w:proofErr w:type="gramEnd"/>
      <w:r w:rsidRPr="007B7BE7">
        <w:rPr>
          <w:spacing w:val="2"/>
        </w:rPr>
        <w:t xml:space="preserve"> and the qualitative </w:t>
      </w:r>
      <w:r w:rsidR="00D77263">
        <w:rPr>
          <w:spacing w:val="2"/>
        </w:rPr>
        <w:t xml:space="preserve">interviews </w:t>
      </w:r>
      <w:r w:rsidRPr="007B7BE7">
        <w:rPr>
          <w:spacing w:val="2"/>
        </w:rPr>
        <w:t xml:space="preserve">we will assess </w:t>
      </w:r>
      <w:r w:rsidRPr="007B7BE7">
        <w:t xml:space="preserve">EMPathicO against the RE-AIM components </w:t>
      </w:r>
      <w:r w:rsidR="00D77263">
        <w:t xml:space="preserve">using the </w:t>
      </w:r>
      <w:r w:rsidR="00095883">
        <w:t xml:space="preserve">approaches described </w:t>
      </w:r>
      <w:r w:rsidRPr="007B7BE7">
        <w:t xml:space="preserve">in Table </w:t>
      </w:r>
      <w:r w:rsidR="00800336">
        <w:t>3</w:t>
      </w:r>
      <w:r w:rsidRPr="007B7BE7">
        <w:t xml:space="preserve">. </w:t>
      </w:r>
    </w:p>
    <w:p w14:paraId="2AD623EA" w14:textId="77777777" w:rsidR="00800336" w:rsidRDefault="00800336" w:rsidP="00800336"/>
    <w:p w14:paraId="6A8CCA14" w14:textId="2035AB83" w:rsidR="00800336" w:rsidRPr="00722F62" w:rsidRDefault="00722F62" w:rsidP="00800336">
      <w:pPr>
        <w:rPr>
          <w:i/>
          <w:iCs/>
        </w:rPr>
      </w:pPr>
      <w:r w:rsidRPr="00722F62">
        <w:rPr>
          <w:i/>
          <w:iCs/>
        </w:rPr>
        <w:t>---</w:t>
      </w:r>
      <w:r w:rsidR="00800336" w:rsidRPr="00722F62">
        <w:rPr>
          <w:i/>
          <w:iCs/>
        </w:rPr>
        <w:t>Insert Table 3 Here</w:t>
      </w:r>
      <w:r w:rsidRPr="00722F62">
        <w:rPr>
          <w:i/>
          <w:iCs/>
        </w:rPr>
        <w:t>---</w:t>
      </w:r>
    </w:p>
    <w:p w14:paraId="6B4DF4FA" w14:textId="77777777" w:rsidR="00D77AA5" w:rsidRPr="00043DCE" w:rsidRDefault="00D77AA5" w:rsidP="00D77AA5">
      <w:pPr>
        <w:rPr>
          <w:rFonts w:cstheme="minorHAnsi"/>
        </w:rPr>
      </w:pPr>
    </w:p>
    <w:p w14:paraId="6E1638F6" w14:textId="2360C1D9" w:rsidR="00815911" w:rsidRPr="005E5C70" w:rsidRDefault="000A350F" w:rsidP="00815911">
      <w:pPr>
        <w:pStyle w:val="Heading1"/>
      </w:pPr>
      <w:r>
        <w:t xml:space="preserve">Ethics and </w:t>
      </w:r>
      <w:r w:rsidR="00815911" w:rsidRPr="005E5C70">
        <w:t>Dissemination</w:t>
      </w:r>
    </w:p>
    <w:p w14:paraId="675B4743" w14:textId="0FA35678" w:rsidR="007E6816" w:rsidRPr="00F9122F" w:rsidRDefault="001E34B4" w:rsidP="007E6816">
      <w:pPr>
        <w:pStyle w:val="Heading2"/>
      </w:pPr>
      <w:r>
        <w:t>S</w:t>
      </w:r>
      <w:r w:rsidR="007E6816" w:rsidRPr="00F9122F">
        <w:t>afety</w:t>
      </w:r>
      <w:r w:rsidR="001E3CD5">
        <w:t>,</w:t>
      </w:r>
      <w:r w:rsidR="007E6816" w:rsidRPr="00F9122F">
        <w:t xml:space="preserve"> </w:t>
      </w:r>
      <w:r w:rsidR="00B1674B">
        <w:t>Adverse Events</w:t>
      </w:r>
      <w:r w:rsidR="001E3CD5">
        <w:t xml:space="preserve">, and </w:t>
      </w:r>
      <w:r w:rsidR="00081180">
        <w:t>I</w:t>
      </w:r>
      <w:r w:rsidR="001E3CD5">
        <w:t>nsurance</w:t>
      </w:r>
    </w:p>
    <w:p w14:paraId="33C9CF19" w14:textId="09D82A67" w:rsidR="007E6816" w:rsidRDefault="007E6816" w:rsidP="007E6816">
      <w:pPr>
        <w:rPr>
          <w:rFonts w:ascii="Calibri" w:hAnsi="Calibri" w:cs="Calibri"/>
          <w:color w:val="212121"/>
          <w:shd w:val="clear" w:color="auto" w:fill="FFFFFF"/>
        </w:rPr>
      </w:pPr>
      <w:r w:rsidRPr="00F77066">
        <w:rPr>
          <w:rFonts w:ascii="Calibri" w:hAnsi="Calibri" w:cs="Calibri"/>
          <w:color w:val="212121"/>
          <w:shd w:val="clear" w:color="auto" w:fill="FFFFFF"/>
        </w:rPr>
        <w:t>This trial</w:t>
      </w:r>
      <w:r w:rsidRPr="004A1C4D">
        <w:rPr>
          <w:rFonts w:ascii="Calibri" w:hAnsi="Calibri" w:cs="Calibri"/>
          <w:color w:val="212121"/>
          <w:shd w:val="clear" w:color="auto" w:fill="FFFFFF"/>
        </w:rPr>
        <w:t xml:space="preserve"> </w:t>
      </w:r>
      <w:r>
        <w:rPr>
          <w:rFonts w:ascii="Calibri" w:hAnsi="Calibri" w:cs="Calibri"/>
          <w:color w:val="212121"/>
          <w:shd w:val="clear" w:color="auto" w:fill="FFFFFF"/>
        </w:rPr>
        <w:t>is</w:t>
      </w:r>
      <w:r w:rsidRPr="004A1C4D">
        <w:rPr>
          <w:rFonts w:ascii="Calibri" w:hAnsi="Calibri" w:cs="Calibri"/>
          <w:color w:val="212121"/>
          <w:shd w:val="clear" w:color="auto" w:fill="FFFFFF"/>
        </w:rPr>
        <w:t xml:space="preserve"> classed as low risk following a risk assessment</w:t>
      </w:r>
      <w:r w:rsidR="00490001" w:rsidRPr="00490001">
        <w:rPr>
          <w:rFonts w:ascii="Calibri" w:hAnsi="Calibri" w:cs="Calibri"/>
          <w:bCs/>
          <w:spacing w:val="2"/>
        </w:rPr>
        <w:t xml:space="preserve"> </w:t>
      </w:r>
      <w:r w:rsidR="00490001">
        <w:rPr>
          <w:rFonts w:ascii="Calibri" w:hAnsi="Calibri" w:cs="Calibri"/>
          <w:bCs/>
          <w:spacing w:val="2"/>
        </w:rPr>
        <w:t>and t</w:t>
      </w:r>
      <w:r w:rsidR="00490001" w:rsidRPr="001E3CD5">
        <w:rPr>
          <w:rFonts w:ascii="Calibri" w:hAnsi="Calibri" w:cs="Calibri"/>
          <w:bCs/>
          <w:spacing w:val="2"/>
        </w:rPr>
        <w:t>here are no provisions for post-trial care</w:t>
      </w:r>
      <w:r w:rsidRPr="004A1C4D">
        <w:rPr>
          <w:rFonts w:ascii="Calibri" w:hAnsi="Calibri" w:cs="Calibri"/>
          <w:color w:val="212121"/>
          <w:shd w:val="clear" w:color="auto" w:fill="FFFFFF"/>
        </w:rPr>
        <w:t xml:space="preserve">. </w:t>
      </w:r>
      <w:r>
        <w:rPr>
          <w:rFonts w:ascii="Calibri" w:hAnsi="Calibri" w:cs="Calibri"/>
          <w:color w:val="212121"/>
          <w:shd w:val="clear" w:color="auto" w:fill="FFFFFF"/>
        </w:rPr>
        <w:t xml:space="preserve">The team do not expect any </w:t>
      </w:r>
      <w:r w:rsidRPr="00AA3146">
        <w:rPr>
          <w:rFonts w:ascii="Calibri" w:hAnsi="Calibri" w:cs="Calibri"/>
          <w:color w:val="212121"/>
          <w:shd w:val="clear" w:color="auto" w:fill="FFFFFF"/>
        </w:rPr>
        <w:t>adverse events</w:t>
      </w:r>
      <w:r w:rsidRPr="004A1C4D">
        <w:rPr>
          <w:rFonts w:ascii="Calibri" w:hAnsi="Calibri" w:cs="Calibri"/>
          <w:color w:val="212121"/>
          <w:shd w:val="clear" w:color="auto" w:fill="FFFFFF"/>
        </w:rPr>
        <w:t xml:space="preserve"> (</w:t>
      </w:r>
      <w:r w:rsidRPr="00AA3146">
        <w:rPr>
          <w:rFonts w:ascii="Calibri" w:hAnsi="Calibri" w:cs="Calibri"/>
          <w:color w:val="212121"/>
          <w:shd w:val="clear" w:color="auto" w:fill="FFFFFF"/>
        </w:rPr>
        <w:t>untoward medical occurrence in a trial participant</w:t>
      </w:r>
      <w:r w:rsidRPr="004A1C4D">
        <w:rPr>
          <w:rFonts w:ascii="Calibri" w:hAnsi="Calibri" w:cs="Calibri"/>
          <w:color w:val="212121"/>
          <w:shd w:val="clear" w:color="auto" w:fill="FFFFFF"/>
        </w:rPr>
        <w:t>)</w:t>
      </w:r>
      <w:r w:rsidRPr="00AA3146">
        <w:rPr>
          <w:rFonts w:ascii="Calibri" w:hAnsi="Calibri" w:cs="Calibri"/>
          <w:color w:val="212121"/>
          <w:shd w:val="clear" w:color="auto" w:fill="FFFFFF"/>
        </w:rPr>
        <w:t xml:space="preserve"> </w:t>
      </w:r>
      <w:r w:rsidRPr="004A1C4D">
        <w:rPr>
          <w:rFonts w:ascii="Calibri" w:hAnsi="Calibri" w:cs="Calibri"/>
          <w:color w:val="212121"/>
          <w:shd w:val="clear" w:color="auto" w:fill="FFFFFF"/>
        </w:rPr>
        <w:t>or Serious Adverse Events (</w:t>
      </w:r>
      <w:r w:rsidRPr="00AA3146">
        <w:rPr>
          <w:rFonts w:ascii="Calibri" w:hAnsi="Calibri" w:cs="Calibri"/>
          <w:color w:val="212121"/>
          <w:shd w:val="clear" w:color="auto" w:fill="FFFFFF"/>
        </w:rPr>
        <w:t>that results in death, is life-threatening, requires hospitalisation or prolongation of existing hospitalisation, results in persistent or significant disability or incapacity, consists of a congenital anomaly or birth defect, or other medically important condition</w:t>
      </w:r>
      <w:r w:rsidRPr="004A1C4D">
        <w:rPr>
          <w:rFonts w:ascii="Calibri" w:hAnsi="Calibri" w:cs="Calibri"/>
          <w:color w:val="212121"/>
          <w:shd w:val="clear" w:color="auto" w:fill="FFFFFF"/>
        </w:rPr>
        <w:t>)</w:t>
      </w:r>
      <w:r>
        <w:rPr>
          <w:rFonts w:ascii="Calibri" w:hAnsi="Calibri" w:cs="Calibri"/>
          <w:color w:val="212121"/>
          <w:shd w:val="clear" w:color="auto" w:fill="FFFFFF"/>
        </w:rPr>
        <w:t>.</w:t>
      </w:r>
      <w:r w:rsidRPr="004A1C4D">
        <w:rPr>
          <w:rFonts w:ascii="Calibri" w:hAnsi="Calibri" w:cs="Calibri"/>
          <w:color w:val="212121"/>
          <w:shd w:val="clear" w:color="auto" w:fill="FFFFFF"/>
        </w:rPr>
        <w:t xml:space="preserve"> </w:t>
      </w:r>
      <w:r>
        <w:rPr>
          <w:rFonts w:ascii="Calibri" w:hAnsi="Calibri" w:cs="Calibri"/>
          <w:color w:val="212121"/>
          <w:shd w:val="clear" w:color="auto" w:fill="FFFFFF"/>
        </w:rPr>
        <w:t>H</w:t>
      </w:r>
      <w:r w:rsidRPr="00AA3146">
        <w:rPr>
          <w:rFonts w:ascii="Calibri" w:hAnsi="Calibri" w:cs="Calibri"/>
          <w:color w:val="212121"/>
          <w:shd w:val="clear" w:color="auto" w:fill="FFFFFF"/>
        </w:rPr>
        <w:t xml:space="preserve">owever, </w:t>
      </w:r>
      <w:r w:rsidR="0020423C">
        <w:rPr>
          <w:rFonts w:ascii="Calibri" w:hAnsi="Calibri" w:cs="Calibri"/>
          <w:color w:val="212121"/>
          <w:shd w:val="clear" w:color="auto" w:fill="FFFFFF"/>
        </w:rPr>
        <w:t xml:space="preserve">adverse events </w:t>
      </w:r>
      <w:r>
        <w:rPr>
          <w:rFonts w:ascii="Calibri" w:hAnsi="Calibri" w:cs="Calibri"/>
          <w:color w:val="212121"/>
          <w:shd w:val="clear" w:color="auto" w:fill="FFFFFF"/>
        </w:rPr>
        <w:t xml:space="preserve">are being </w:t>
      </w:r>
      <w:r w:rsidRPr="00AA3146">
        <w:rPr>
          <w:rFonts w:ascii="Calibri" w:hAnsi="Calibri" w:cs="Calibri"/>
          <w:color w:val="212121"/>
          <w:shd w:val="clear" w:color="auto" w:fill="FFFFFF"/>
        </w:rPr>
        <w:t>collected</w:t>
      </w:r>
      <w:r>
        <w:rPr>
          <w:rFonts w:ascii="Calibri" w:hAnsi="Calibri" w:cs="Calibri"/>
          <w:color w:val="212121"/>
          <w:shd w:val="clear" w:color="auto" w:fill="FFFFFF"/>
        </w:rPr>
        <w:t xml:space="preserve"> (primarily via self-report)</w:t>
      </w:r>
      <w:r w:rsidRPr="00AA3146">
        <w:rPr>
          <w:rFonts w:ascii="Calibri" w:hAnsi="Calibri" w:cs="Calibri"/>
          <w:color w:val="212121"/>
          <w:shd w:val="clear" w:color="auto" w:fill="FFFFFF"/>
        </w:rPr>
        <w:t xml:space="preserve">, recorded and reported </w:t>
      </w:r>
      <w:r w:rsidR="0020423C">
        <w:rPr>
          <w:rFonts w:ascii="Calibri" w:hAnsi="Calibri" w:cs="Calibri"/>
          <w:color w:val="212121"/>
          <w:shd w:val="clear" w:color="auto" w:fill="FFFFFF"/>
        </w:rPr>
        <w:t xml:space="preserve">where necessary </w:t>
      </w:r>
      <w:r w:rsidRPr="00AA3146">
        <w:rPr>
          <w:rFonts w:ascii="Calibri" w:hAnsi="Calibri" w:cs="Calibri"/>
          <w:color w:val="212121"/>
          <w:shd w:val="clear" w:color="auto" w:fill="FFFFFF"/>
        </w:rPr>
        <w:t xml:space="preserve">in accordance with </w:t>
      </w:r>
      <w:r w:rsidR="00347AB3" w:rsidRPr="00347AB3">
        <w:rPr>
          <w:rFonts w:ascii="Calibri" w:hAnsi="Calibri" w:cs="Calibri"/>
          <w:color w:val="212121"/>
          <w:shd w:val="clear" w:color="auto" w:fill="FFFFFF"/>
        </w:rPr>
        <w:t xml:space="preserve">the principles of ICH Good Clinical Practice </w:t>
      </w:r>
      <w:r w:rsidRPr="00AA3146">
        <w:rPr>
          <w:rFonts w:ascii="Calibri" w:hAnsi="Calibri" w:cs="Calibri"/>
          <w:color w:val="212121"/>
          <w:shd w:val="clear" w:color="auto" w:fill="FFFFFF"/>
        </w:rPr>
        <w:t>and the requirements of the research ethics committee</w:t>
      </w:r>
      <w:r w:rsidR="0020423C">
        <w:rPr>
          <w:rFonts w:ascii="Calibri" w:hAnsi="Calibri" w:cs="Calibri"/>
          <w:color w:val="212121"/>
          <w:shd w:val="clear" w:color="auto" w:fill="FFFFFF"/>
        </w:rPr>
        <w:t xml:space="preserve">, </w:t>
      </w:r>
      <w:r>
        <w:rPr>
          <w:rFonts w:ascii="Calibri" w:hAnsi="Calibri" w:cs="Calibri"/>
          <w:color w:val="212121"/>
          <w:shd w:val="clear" w:color="auto" w:fill="FFFFFF"/>
        </w:rPr>
        <w:t>sponsor</w:t>
      </w:r>
      <w:r w:rsidR="0020423C">
        <w:rPr>
          <w:rFonts w:ascii="Calibri" w:hAnsi="Calibri" w:cs="Calibri"/>
          <w:color w:val="212121"/>
          <w:shd w:val="clear" w:color="auto" w:fill="FFFFFF"/>
        </w:rPr>
        <w:t>, and trial steering committee</w:t>
      </w:r>
      <w:r w:rsidRPr="00AA3146">
        <w:rPr>
          <w:rFonts w:ascii="Calibri" w:hAnsi="Calibri" w:cs="Calibri"/>
          <w:color w:val="212121"/>
          <w:shd w:val="clear" w:color="auto" w:fill="FFFFFF"/>
        </w:rPr>
        <w:t xml:space="preserve">. </w:t>
      </w:r>
    </w:p>
    <w:p w14:paraId="47F328E0" w14:textId="7CD2E749" w:rsidR="001E3CD5" w:rsidRPr="00AF523E" w:rsidRDefault="001E3CD5" w:rsidP="001E3CD5">
      <w:pPr>
        <w:rPr>
          <w:rFonts w:ascii="Calibri" w:hAnsi="Calibri" w:cs="Calibri"/>
          <w:bCs/>
          <w:spacing w:val="2"/>
        </w:rPr>
      </w:pPr>
      <w:r w:rsidRPr="001E3CD5">
        <w:rPr>
          <w:rFonts w:ascii="Calibri" w:hAnsi="Calibri" w:cs="Calibri"/>
          <w:bCs/>
          <w:spacing w:val="2"/>
        </w:rPr>
        <w:t>Individual practitioners are responsible for maintaining appropriate cover with a medical defence organisation. University of Southampton insurance may also apply where the cause of harm was not due to clinical negligence.</w:t>
      </w:r>
    </w:p>
    <w:p w14:paraId="65B39404" w14:textId="15DCA8A2" w:rsidR="00C17E91" w:rsidRPr="00FD7A81" w:rsidRDefault="007E6816" w:rsidP="00A72458">
      <w:pPr>
        <w:pStyle w:val="Heading2"/>
      </w:pPr>
      <w:r>
        <w:lastRenderedPageBreak/>
        <w:t>Approvals</w:t>
      </w:r>
      <w:r w:rsidR="008F663C">
        <w:t xml:space="preserve">, </w:t>
      </w:r>
      <w:r w:rsidR="00471CF3" w:rsidRPr="00FD7A81">
        <w:t xml:space="preserve">Oversight </w:t>
      </w:r>
      <w:r w:rsidR="004F5AD4">
        <w:t>and Monitoring</w:t>
      </w:r>
    </w:p>
    <w:p w14:paraId="285F585F" w14:textId="719965EA" w:rsidR="000D6126" w:rsidRDefault="002538AE" w:rsidP="00C17E91">
      <w:r>
        <w:t>The sponsor is the University of Southampton</w:t>
      </w:r>
      <w:r w:rsidR="00ED35F7">
        <w:t xml:space="preserve"> (</w:t>
      </w:r>
      <w:r w:rsidR="009D79F3" w:rsidRPr="009D79F3">
        <w:t>rgoinfo@soton.ac.uk</w:t>
      </w:r>
      <w:r w:rsidR="00ED35F7">
        <w:t>)</w:t>
      </w:r>
      <w:r>
        <w:t xml:space="preserve">. </w:t>
      </w:r>
      <w:r w:rsidR="00C42F4B" w:rsidRPr="002130EE">
        <w:t xml:space="preserve">Approval was received from South Central – Hampshire B Research Ethics Committee on 1.7.22 and the Heath Research Authority and Health and Care Research Wales on 6.7.22 (REC reference 22/SC/0145; IRAS project ID 312208). </w:t>
      </w:r>
      <w:r w:rsidR="00E821DA" w:rsidRPr="00E821DA">
        <w:t xml:space="preserve">Protocol amendments </w:t>
      </w:r>
      <w:r w:rsidR="00E821DA">
        <w:t xml:space="preserve">are </w:t>
      </w:r>
      <w:r w:rsidR="00E821DA" w:rsidRPr="00E821DA">
        <w:t xml:space="preserve">submitted for approval as required to the study sponsor and </w:t>
      </w:r>
      <w:r w:rsidR="00E71F4A">
        <w:t xml:space="preserve">ethics committee </w:t>
      </w:r>
      <w:r w:rsidR="00E821DA" w:rsidRPr="00E821DA">
        <w:t>and notified where necessary to all those concerned.</w:t>
      </w:r>
      <w:r w:rsidR="00E71F4A">
        <w:t xml:space="preserve"> </w:t>
      </w:r>
    </w:p>
    <w:p w14:paraId="3542490D" w14:textId="569FE9E2" w:rsidR="00C17E91" w:rsidRDefault="00C17E91" w:rsidP="00C17E91">
      <w:r>
        <w:t xml:space="preserve">The </w:t>
      </w:r>
      <w:r w:rsidR="00471CF3">
        <w:t>Trial Steering Committee (</w:t>
      </w:r>
      <w:r>
        <w:t>TSC</w:t>
      </w:r>
      <w:r w:rsidR="00471CF3">
        <w:t>)</w:t>
      </w:r>
      <w:r>
        <w:t xml:space="preserve"> provide</w:t>
      </w:r>
      <w:r w:rsidR="00D86A70">
        <w:t>s</w:t>
      </w:r>
      <w:r w:rsidR="000E71E8">
        <w:t xml:space="preserve"> trial</w:t>
      </w:r>
      <w:r>
        <w:t xml:space="preserve"> oversight </w:t>
      </w:r>
      <w:r w:rsidR="000E71E8">
        <w:t xml:space="preserve">and </w:t>
      </w:r>
      <w:r>
        <w:t>advice through its independent Chairperson to the Trial Management Group and the funder on all aspects of the trial.  The TSC assume</w:t>
      </w:r>
      <w:r w:rsidR="00B8418C">
        <w:t>s</w:t>
      </w:r>
      <w:r>
        <w:t xml:space="preserve"> responsibilities of the Data Monitoring Committee and review</w:t>
      </w:r>
      <w:r w:rsidR="00B8418C">
        <w:t>s</w:t>
      </w:r>
      <w:r>
        <w:t xml:space="preserve"> information on the progress and accruing data</w:t>
      </w:r>
      <w:r w:rsidR="00E03B95">
        <w:t>;</w:t>
      </w:r>
      <w:r w:rsidR="007B1429">
        <w:t xml:space="preserve"> </w:t>
      </w:r>
      <w:r w:rsidR="00A466BE">
        <w:t xml:space="preserve">online </w:t>
      </w:r>
      <w:r w:rsidR="00FA1AC0">
        <w:t xml:space="preserve">Supplemental Material </w:t>
      </w:r>
      <w:r w:rsidR="001706F9">
        <w:t xml:space="preserve">4 </w:t>
      </w:r>
      <w:r w:rsidR="00E03B95">
        <w:t>presents the</w:t>
      </w:r>
      <w:r w:rsidR="007B1429">
        <w:t xml:space="preserve"> TSC Charter</w:t>
      </w:r>
      <w:r w:rsidR="00E03B95">
        <w:t xml:space="preserve">; </w:t>
      </w:r>
      <w:r w:rsidR="00FA1AC0">
        <w:t xml:space="preserve">Supplemental Material </w:t>
      </w:r>
      <w:r w:rsidR="001706F9">
        <w:t xml:space="preserve">5 </w:t>
      </w:r>
      <w:r w:rsidR="00E03B95">
        <w:t>presents stopping criteria</w:t>
      </w:r>
      <w:r w:rsidR="007B1429">
        <w:t>)</w:t>
      </w:r>
      <w:r>
        <w:t xml:space="preserve">.  </w:t>
      </w:r>
      <w:r w:rsidR="00154870">
        <w:t xml:space="preserve">Annual </w:t>
      </w:r>
      <w:r w:rsidR="00526F54">
        <w:t xml:space="preserve">and interim </w:t>
      </w:r>
      <w:r w:rsidR="00154870">
        <w:t>p</w:t>
      </w:r>
      <w:r w:rsidR="00BF544B">
        <w:t>rogress reports submitted to the funder</w:t>
      </w:r>
      <w:r w:rsidR="00154870">
        <w:t xml:space="preserve">.  </w:t>
      </w:r>
    </w:p>
    <w:p w14:paraId="5421FD79" w14:textId="77777777" w:rsidR="007E6816" w:rsidRDefault="007E6816" w:rsidP="007E6816">
      <w:pPr>
        <w:pStyle w:val="Heading2"/>
      </w:pPr>
      <w:r>
        <w:t>Dissemination</w:t>
      </w:r>
    </w:p>
    <w:p w14:paraId="3705EBD7" w14:textId="5080F9A0" w:rsidR="007E6816" w:rsidRPr="00531A27" w:rsidRDefault="00E35378" w:rsidP="007E6816">
      <w:r>
        <w:t xml:space="preserve">Patient recruitment commenced on </w:t>
      </w:r>
      <w:r w:rsidR="000335FF">
        <w:t>16.11.</w:t>
      </w:r>
      <w:r w:rsidR="00CD02C8" w:rsidRPr="00CD02C8">
        <w:t>2022</w:t>
      </w:r>
      <w:r>
        <w:t xml:space="preserve"> and is ongoing at the time of manuscript submission. </w:t>
      </w:r>
      <w:r w:rsidR="00531A27">
        <w:t xml:space="preserve">Results will be communicated to participants and disseminated to academic, practitioner, and public audiences via peer-review journal articles, conferences, and other appropriate formats </w:t>
      </w:r>
      <w:proofErr w:type="gramStart"/>
      <w:r w:rsidR="00531A27">
        <w:t>e.g.</w:t>
      </w:r>
      <w:proofErr w:type="gramEnd"/>
      <w:r w:rsidR="00531A27">
        <w:t xml:space="preserve"> blogs. </w:t>
      </w:r>
      <w:r w:rsidR="00531A27">
        <w:rPr>
          <w:rFonts w:cstheme="minorHAnsi"/>
        </w:rPr>
        <w:t>O</w:t>
      </w:r>
      <w:r w:rsidR="00531A27" w:rsidRPr="008C7F1B">
        <w:rPr>
          <w:rFonts w:cstheme="minorHAnsi"/>
        </w:rPr>
        <w:t xml:space="preserve">ur public collaborators </w:t>
      </w:r>
      <w:r w:rsidR="00531A27">
        <w:rPr>
          <w:rFonts w:cstheme="minorHAnsi"/>
        </w:rPr>
        <w:t xml:space="preserve">will </w:t>
      </w:r>
      <w:r w:rsidR="00531A27" w:rsidRPr="008C7F1B">
        <w:rPr>
          <w:rFonts w:cstheme="minorHAnsi"/>
        </w:rPr>
        <w:t xml:space="preserve">co-lead dissemination activities. </w:t>
      </w:r>
      <w:r w:rsidR="00602E84">
        <w:t>R</w:t>
      </w:r>
      <w:r w:rsidR="00602E84" w:rsidRPr="00AF4305">
        <w:t xml:space="preserve">esults </w:t>
      </w:r>
      <w:r w:rsidR="00602E84">
        <w:t xml:space="preserve">will be </w:t>
      </w:r>
      <w:r w:rsidR="00602E84" w:rsidRPr="00AF4305">
        <w:t>reported in accordance with CONSORT</w:t>
      </w:r>
      <w:r w:rsidR="00602E84">
        <w:t xml:space="preserve"> guidelines extensions for cluster-randomised trials</w:t>
      </w:r>
      <w:r w:rsidR="00702ED2">
        <w:t>[85]</w:t>
      </w:r>
      <w:r w:rsidR="00602E84">
        <w:t xml:space="preserve"> and trials of non-pharmacological interventions,</w:t>
      </w:r>
      <w:r w:rsidR="006211D1">
        <w:t>[86]</w:t>
      </w:r>
      <w:r w:rsidR="00602E84">
        <w:t xml:space="preserve"> and the American Psychological Association Journal Article Reporting Standards for qualitative (JARS-QUAL) and mixed methods (JARS MMARS) research.</w:t>
      </w:r>
      <w:r w:rsidR="00961453">
        <w:t>[87]</w:t>
      </w:r>
      <w:r w:rsidR="00602E84">
        <w:t xml:space="preserve">  </w:t>
      </w:r>
      <w:r w:rsidR="00BC233B">
        <w:rPr>
          <w:rFonts w:cstheme="minorHAnsi"/>
        </w:rPr>
        <w:t xml:space="preserve">We </w:t>
      </w:r>
      <w:r w:rsidR="005A27B0">
        <w:rPr>
          <w:rFonts w:cstheme="minorHAnsi"/>
        </w:rPr>
        <w:t xml:space="preserve">will </w:t>
      </w:r>
      <w:r w:rsidR="00C53592">
        <w:rPr>
          <w:rFonts w:cstheme="minorHAnsi"/>
        </w:rPr>
        <w:t xml:space="preserve">adhere to the ICMJE </w:t>
      </w:r>
      <w:r w:rsidR="00255552">
        <w:rPr>
          <w:rFonts w:cstheme="minorHAnsi"/>
        </w:rPr>
        <w:t>(</w:t>
      </w:r>
      <w:hyperlink r:id="rId14" w:history="1">
        <w:r w:rsidR="00255552" w:rsidRPr="00333548">
          <w:rPr>
            <w:rStyle w:val="Hyperlink"/>
            <w:rFonts w:cstheme="minorHAnsi"/>
          </w:rPr>
          <w:t>https://www.icmje.org/</w:t>
        </w:r>
      </w:hyperlink>
      <w:r w:rsidR="00255552">
        <w:rPr>
          <w:rFonts w:cstheme="minorHAnsi"/>
        </w:rPr>
        <w:t xml:space="preserve">) </w:t>
      </w:r>
      <w:r w:rsidR="00C53592">
        <w:rPr>
          <w:rFonts w:cstheme="minorHAnsi"/>
        </w:rPr>
        <w:t xml:space="preserve">criteria for authorship and use the </w:t>
      </w:r>
      <w:proofErr w:type="spellStart"/>
      <w:r w:rsidR="005A27B0">
        <w:rPr>
          <w:rFonts w:cstheme="minorHAnsi"/>
        </w:rPr>
        <w:t>CRediT</w:t>
      </w:r>
      <w:proofErr w:type="spellEnd"/>
      <w:r w:rsidR="005A27B0">
        <w:rPr>
          <w:rFonts w:cstheme="minorHAnsi"/>
        </w:rPr>
        <w:t xml:space="preserve"> taxonomy </w:t>
      </w:r>
      <w:r w:rsidR="00523236">
        <w:rPr>
          <w:rFonts w:cstheme="minorHAnsi"/>
        </w:rPr>
        <w:t>(</w:t>
      </w:r>
      <w:hyperlink r:id="rId15" w:history="1">
        <w:r w:rsidR="00523236" w:rsidRPr="00333548">
          <w:rPr>
            <w:rStyle w:val="Hyperlink"/>
            <w:rFonts w:cstheme="minorHAnsi"/>
          </w:rPr>
          <w:t>https://credit.niso.org/</w:t>
        </w:r>
      </w:hyperlink>
      <w:r w:rsidR="00523236">
        <w:rPr>
          <w:rFonts w:cstheme="minorHAnsi"/>
        </w:rPr>
        <w:t>)</w:t>
      </w:r>
      <w:r w:rsidR="005A27B0">
        <w:rPr>
          <w:rFonts w:cstheme="minorHAnsi"/>
        </w:rPr>
        <w:t>.</w:t>
      </w:r>
      <w:r w:rsidR="00120F6C">
        <w:rPr>
          <w:rFonts w:cstheme="minorHAnsi"/>
        </w:rPr>
        <w:t xml:space="preserve"> </w:t>
      </w:r>
      <w:r w:rsidR="00CA318A">
        <w:t xml:space="preserve">Supplemental Material </w:t>
      </w:r>
      <w:r w:rsidR="00C06444">
        <w:rPr>
          <w:rFonts w:cstheme="minorHAnsi"/>
        </w:rPr>
        <w:t>6</w:t>
      </w:r>
      <w:r w:rsidR="00016479">
        <w:rPr>
          <w:rFonts w:cstheme="minorHAnsi"/>
        </w:rPr>
        <w:t xml:space="preserve"> summarises d</w:t>
      </w:r>
      <w:r w:rsidR="00A067D7">
        <w:rPr>
          <w:rFonts w:cstheme="minorHAnsi"/>
        </w:rPr>
        <w:t>ata access plans</w:t>
      </w:r>
      <w:r w:rsidR="0040362F">
        <w:rPr>
          <w:rFonts w:cstheme="minorHAnsi"/>
        </w:rPr>
        <w:t>.</w:t>
      </w:r>
    </w:p>
    <w:p w14:paraId="7527B9C6" w14:textId="7703D557" w:rsidR="00C17E91" w:rsidRPr="005E5C70" w:rsidRDefault="00C17E91"/>
    <w:p w14:paraId="36FD5A95" w14:textId="38D2C0A6" w:rsidR="008C7F1B" w:rsidRDefault="008C7F1B">
      <w:r>
        <w:br w:type="page"/>
      </w:r>
    </w:p>
    <w:p w14:paraId="5F3CD436" w14:textId="77777777" w:rsidR="00A81086" w:rsidRDefault="00A81086" w:rsidP="00A81086">
      <w:pPr>
        <w:pStyle w:val="Heading1"/>
      </w:pPr>
      <w:r>
        <w:lastRenderedPageBreak/>
        <w:t>Tables and Figures</w:t>
      </w:r>
    </w:p>
    <w:p w14:paraId="3BA5F8D4" w14:textId="77777777" w:rsidR="00A81086" w:rsidRPr="00421944" w:rsidRDefault="00A81086" w:rsidP="00A81086">
      <w:pPr>
        <w:pStyle w:val="Heading3"/>
      </w:pPr>
      <w:r w:rsidRPr="00421944">
        <w:t>Table 1. Practitioner Timelines</w:t>
      </w:r>
    </w:p>
    <w:p w14:paraId="6947B55B" w14:textId="77777777" w:rsidR="00A81086" w:rsidRPr="00290829" w:rsidRDefault="00A81086" w:rsidP="00A81086">
      <w:pPr>
        <w:rPr>
          <w:rFonts w:ascii="Arial" w:hAnsi="Arial" w:cs="Arial"/>
          <w:bCs/>
          <w:spacing w:val="2"/>
          <w:sz w:val="8"/>
          <w:szCs w:val="8"/>
          <w:u w:val="single"/>
        </w:rPr>
      </w:pPr>
    </w:p>
    <w:tbl>
      <w:tblPr>
        <w:tblW w:w="9217" w:type="dxa"/>
        <w:tblInd w:w="137"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CellMar>
          <w:left w:w="28" w:type="dxa"/>
          <w:right w:w="28" w:type="dxa"/>
        </w:tblCellMar>
        <w:tblLook w:val="0000" w:firstRow="0" w:lastRow="0" w:firstColumn="0" w:lastColumn="0" w:noHBand="0" w:noVBand="0"/>
      </w:tblPr>
      <w:tblGrid>
        <w:gridCol w:w="2939"/>
        <w:gridCol w:w="542"/>
        <w:gridCol w:w="553"/>
        <w:gridCol w:w="369"/>
        <w:gridCol w:w="368"/>
        <w:gridCol w:w="492"/>
        <w:gridCol w:w="577"/>
        <w:gridCol w:w="539"/>
        <w:gridCol w:w="1417"/>
        <w:gridCol w:w="1421"/>
      </w:tblGrid>
      <w:tr w:rsidR="00A81086" w:rsidRPr="00290829" w14:paraId="21DA20C0" w14:textId="77777777" w:rsidTr="007D7AB3">
        <w:trPr>
          <w:trHeight w:val="20"/>
        </w:trPr>
        <w:tc>
          <w:tcPr>
            <w:tcW w:w="2939" w:type="dxa"/>
            <w:tcBorders>
              <w:bottom w:val="single" w:sz="6" w:space="0" w:color="262626"/>
              <w:right w:val="single" w:sz="12" w:space="0" w:color="auto"/>
            </w:tcBorders>
            <w:shd w:val="clear" w:color="auto" w:fill="auto"/>
            <w:vAlign w:val="center"/>
          </w:tcPr>
          <w:p w14:paraId="7F0543D0" w14:textId="77777777" w:rsidR="00A81086" w:rsidRPr="00290829" w:rsidRDefault="00A81086" w:rsidP="007D7AB3">
            <w:pPr>
              <w:spacing w:after="0" w:line="240" w:lineRule="auto"/>
              <w:jc w:val="center"/>
              <w:rPr>
                <w:rFonts w:cstheme="minorHAnsi"/>
                <w:b/>
                <w:bCs/>
              </w:rPr>
            </w:pPr>
          </w:p>
        </w:tc>
        <w:tc>
          <w:tcPr>
            <w:tcW w:w="1095" w:type="dxa"/>
            <w:gridSpan w:val="2"/>
            <w:tcBorders>
              <w:top w:val="single" w:sz="6" w:space="0" w:color="262626"/>
              <w:left w:val="single" w:sz="12" w:space="0" w:color="auto"/>
              <w:bottom w:val="single" w:sz="6" w:space="0" w:color="262626"/>
              <w:right w:val="single" w:sz="12" w:space="0" w:color="262626"/>
            </w:tcBorders>
            <w:shd w:val="clear" w:color="auto" w:fill="auto"/>
            <w:vAlign w:val="center"/>
          </w:tcPr>
          <w:p w14:paraId="08078803" w14:textId="77777777" w:rsidR="00A81086" w:rsidRPr="00290829" w:rsidRDefault="00A81086" w:rsidP="007D7AB3">
            <w:pPr>
              <w:spacing w:after="0" w:line="240" w:lineRule="auto"/>
              <w:jc w:val="center"/>
              <w:rPr>
                <w:rFonts w:cstheme="minorHAnsi"/>
                <w:b/>
              </w:rPr>
            </w:pPr>
            <w:r w:rsidRPr="00290829">
              <w:rPr>
                <w:rFonts w:cstheme="minorHAnsi"/>
                <w:b/>
              </w:rPr>
              <w:t>Allocation</w:t>
            </w:r>
          </w:p>
        </w:tc>
        <w:tc>
          <w:tcPr>
            <w:tcW w:w="2345" w:type="dxa"/>
            <w:gridSpan w:val="5"/>
            <w:tcBorders>
              <w:left w:val="single" w:sz="12" w:space="0" w:color="262626"/>
              <w:bottom w:val="single" w:sz="6" w:space="0" w:color="262626"/>
              <w:right w:val="single" w:sz="12" w:space="0" w:color="262626"/>
            </w:tcBorders>
            <w:vAlign w:val="center"/>
          </w:tcPr>
          <w:p w14:paraId="23F9A1E6" w14:textId="77777777" w:rsidR="00A81086" w:rsidRDefault="00A81086" w:rsidP="007D7AB3">
            <w:pPr>
              <w:spacing w:after="0" w:line="240" w:lineRule="auto"/>
              <w:jc w:val="center"/>
              <w:rPr>
                <w:rFonts w:cstheme="minorHAnsi"/>
                <w:b/>
              </w:rPr>
            </w:pPr>
            <w:r w:rsidRPr="00290829">
              <w:rPr>
                <w:rFonts w:cstheme="minorHAnsi"/>
                <w:b/>
              </w:rPr>
              <w:t>Post-allocation (</w:t>
            </w:r>
            <w:proofErr w:type="spellStart"/>
            <w:r w:rsidRPr="00290829">
              <w:rPr>
                <w:rFonts w:cstheme="minorHAnsi"/>
                <w:b/>
              </w:rPr>
              <w:t>wk</w:t>
            </w:r>
            <w:proofErr w:type="spellEnd"/>
            <w:r w:rsidRPr="00290829">
              <w:rPr>
                <w:rFonts w:cstheme="minorHAnsi"/>
                <w:b/>
              </w:rPr>
              <w:t>)</w:t>
            </w:r>
          </w:p>
        </w:tc>
        <w:tc>
          <w:tcPr>
            <w:tcW w:w="1417" w:type="dxa"/>
            <w:tcBorders>
              <w:left w:val="single" w:sz="12" w:space="0" w:color="262626"/>
              <w:bottom w:val="single" w:sz="6" w:space="0" w:color="262626"/>
              <w:right w:val="single" w:sz="12" w:space="0" w:color="262626"/>
            </w:tcBorders>
          </w:tcPr>
          <w:p w14:paraId="3AC4C0FB" w14:textId="77777777" w:rsidR="00A81086" w:rsidRPr="00290829" w:rsidRDefault="00A81086" w:rsidP="007D7AB3">
            <w:pPr>
              <w:spacing w:after="0" w:line="240" w:lineRule="auto"/>
              <w:jc w:val="center"/>
              <w:rPr>
                <w:rFonts w:cstheme="minorHAnsi"/>
                <w:b/>
              </w:rPr>
            </w:pPr>
            <w:r>
              <w:rPr>
                <w:rFonts w:cstheme="minorHAnsi"/>
                <w:b/>
              </w:rPr>
              <w:t>On completing patient recruitment</w:t>
            </w:r>
          </w:p>
        </w:tc>
        <w:tc>
          <w:tcPr>
            <w:tcW w:w="1421" w:type="dxa"/>
            <w:tcBorders>
              <w:left w:val="single" w:sz="12" w:space="0" w:color="262626"/>
              <w:bottom w:val="single" w:sz="6" w:space="0" w:color="262626"/>
              <w:right w:val="single" w:sz="12" w:space="0" w:color="auto"/>
            </w:tcBorders>
            <w:vAlign w:val="center"/>
          </w:tcPr>
          <w:p w14:paraId="292C4184" w14:textId="77777777" w:rsidR="00A81086" w:rsidRPr="00290829" w:rsidRDefault="00A81086" w:rsidP="007D7AB3">
            <w:pPr>
              <w:spacing w:after="0" w:line="240" w:lineRule="auto"/>
              <w:jc w:val="center"/>
              <w:rPr>
                <w:rFonts w:cstheme="minorHAnsi"/>
                <w:b/>
              </w:rPr>
            </w:pPr>
            <w:r>
              <w:rPr>
                <w:rFonts w:cstheme="minorHAnsi"/>
                <w:b/>
              </w:rPr>
              <w:t>On completing patient follow-up</w:t>
            </w:r>
          </w:p>
        </w:tc>
      </w:tr>
      <w:tr w:rsidR="00A81086" w:rsidRPr="00290829" w14:paraId="4F3DEA5F" w14:textId="77777777" w:rsidTr="007D7AB3">
        <w:trPr>
          <w:trHeight w:val="20"/>
        </w:trPr>
        <w:tc>
          <w:tcPr>
            <w:tcW w:w="2939" w:type="dxa"/>
            <w:tcBorders>
              <w:top w:val="single" w:sz="6" w:space="0" w:color="262626"/>
              <w:bottom w:val="single" w:sz="12" w:space="0" w:color="262626"/>
              <w:right w:val="single" w:sz="12" w:space="0" w:color="auto"/>
            </w:tcBorders>
            <w:shd w:val="clear" w:color="auto" w:fill="E6E6E6"/>
            <w:vAlign w:val="center"/>
          </w:tcPr>
          <w:p w14:paraId="48271747" w14:textId="77777777" w:rsidR="00A81086" w:rsidRPr="00290829" w:rsidRDefault="00A81086" w:rsidP="007D7AB3">
            <w:pPr>
              <w:spacing w:after="0" w:line="240" w:lineRule="auto"/>
              <w:rPr>
                <w:rFonts w:cstheme="minorHAnsi"/>
                <w:bCs/>
              </w:rPr>
            </w:pPr>
            <w:r w:rsidRPr="00290829">
              <w:rPr>
                <w:rFonts w:cstheme="minorHAnsi"/>
                <w:b/>
                <w:bCs/>
              </w:rPr>
              <w:t>TIMEPOINT</w:t>
            </w:r>
          </w:p>
        </w:tc>
        <w:tc>
          <w:tcPr>
            <w:tcW w:w="542" w:type="dxa"/>
            <w:tcBorders>
              <w:top w:val="single" w:sz="6" w:space="0" w:color="262626"/>
              <w:left w:val="single" w:sz="12" w:space="0" w:color="auto"/>
              <w:bottom w:val="single" w:sz="12" w:space="0" w:color="262626"/>
              <w:right w:val="single" w:sz="12" w:space="0" w:color="262626"/>
            </w:tcBorders>
            <w:shd w:val="clear" w:color="auto" w:fill="E6E6E6"/>
            <w:vAlign w:val="center"/>
          </w:tcPr>
          <w:p w14:paraId="1EB4DB1B" w14:textId="77777777" w:rsidR="00A81086" w:rsidRPr="00290829" w:rsidRDefault="00A81086" w:rsidP="007D7AB3">
            <w:pPr>
              <w:spacing w:after="0" w:line="240" w:lineRule="auto"/>
              <w:jc w:val="center"/>
              <w:rPr>
                <w:rFonts w:cstheme="minorHAnsi"/>
                <w:b/>
                <w:bCs/>
                <w:iCs/>
              </w:rPr>
            </w:pPr>
            <w:r w:rsidRPr="00290829">
              <w:rPr>
                <w:rFonts w:cstheme="minorHAnsi"/>
                <w:b/>
                <w:bCs/>
                <w:iCs/>
              </w:rPr>
              <w:t>0</w:t>
            </w:r>
          </w:p>
        </w:tc>
        <w:tc>
          <w:tcPr>
            <w:tcW w:w="553" w:type="dxa"/>
            <w:tcBorders>
              <w:top w:val="single" w:sz="6" w:space="0" w:color="262626"/>
              <w:left w:val="single" w:sz="12" w:space="0" w:color="262626"/>
              <w:bottom w:val="single" w:sz="12" w:space="0" w:color="262626"/>
              <w:right w:val="single" w:sz="12" w:space="0" w:color="262626"/>
            </w:tcBorders>
            <w:shd w:val="clear" w:color="auto" w:fill="E6E6E6"/>
            <w:vAlign w:val="center"/>
          </w:tcPr>
          <w:p w14:paraId="1B466C42" w14:textId="77777777" w:rsidR="00A81086" w:rsidRPr="00290829" w:rsidRDefault="00A81086" w:rsidP="007D7AB3">
            <w:pPr>
              <w:spacing w:after="0" w:line="240" w:lineRule="auto"/>
              <w:jc w:val="center"/>
              <w:rPr>
                <w:rFonts w:cstheme="minorHAnsi"/>
                <w:b/>
                <w:bCs/>
                <w:iCs/>
              </w:rPr>
            </w:pPr>
            <w:r w:rsidRPr="00290829">
              <w:rPr>
                <w:rFonts w:cstheme="minorHAnsi"/>
                <w:b/>
                <w:bCs/>
                <w:iCs/>
              </w:rPr>
              <w:t>+1d</w:t>
            </w:r>
          </w:p>
        </w:tc>
        <w:tc>
          <w:tcPr>
            <w:tcW w:w="369" w:type="dxa"/>
            <w:tcBorders>
              <w:top w:val="single" w:sz="6" w:space="0" w:color="262626"/>
              <w:left w:val="single" w:sz="12" w:space="0" w:color="262626"/>
              <w:bottom w:val="single" w:sz="12" w:space="0" w:color="262626"/>
            </w:tcBorders>
            <w:shd w:val="clear" w:color="auto" w:fill="E6E6E6"/>
            <w:vAlign w:val="center"/>
          </w:tcPr>
          <w:p w14:paraId="77B3E475" w14:textId="77777777" w:rsidR="00A81086" w:rsidRPr="00290829" w:rsidRDefault="00A81086" w:rsidP="007D7AB3">
            <w:pPr>
              <w:spacing w:after="0" w:line="240" w:lineRule="auto"/>
              <w:jc w:val="center"/>
              <w:rPr>
                <w:rFonts w:cstheme="minorHAnsi"/>
                <w:b/>
                <w:bCs/>
                <w:iCs/>
              </w:rPr>
            </w:pPr>
            <w:r w:rsidRPr="00290829">
              <w:rPr>
                <w:rFonts w:cstheme="minorHAnsi"/>
                <w:b/>
                <w:bCs/>
                <w:iCs/>
              </w:rPr>
              <w:t>1</w:t>
            </w:r>
          </w:p>
        </w:tc>
        <w:tc>
          <w:tcPr>
            <w:tcW w:w="368" w:type="dxa"/>
            <w:tcBorders>
              <w:top w:val="single" w:sz="6" w:space="0" w:color="262626"/>
              <w:bottom w:val="single" w:sz="12" w:space="0" w:color="262626"/>
            </w:tcBorders>
            <w:shd w:val="clear" w:color="auto" w:fill="E6E6E6"/>
            <w:vAlign w:val="center"/>
          </w:tcPr>
          <w:p w14:paraId="4B505D75" w14:textId="77777777" w:rsidR="00A81086" w:rsidRPr="00290829" w:rsidRDefault="00A81086" w:rsidP="007D7AB3">
            <w:pPr>
              <w:spacing w:after="0" w:line="240" w:lineRule="auto"/>
              <w:jc w:val="center"/>
              <w:rPr>
                <w:rFonts w:cstheme="minorHAnsi"/>
                <w:b/>
                <w:bCs/>
                <w:iCs/>
              </w:rPr>
            </w:pPr>
            <w:r w:rsidRPr="00290829">
              <w:rPr>
                <w:rFonts w:cstheme="minorHAnsi"/>
                <w:b/>
                <w:bCs/>
                <w:iCs/>
              </w:rPr>
              <w:t>2</w:t>
            </w:r>
          </w:p>
        </w:tc>
        <w:tc>
          <w:tcPr>
            <w:tcW w:w="492" w:type="dxa"/>
            <w:tcBorders>
              <w:top w:val="single" w:sz="6" w:space="0" w:color="262626"/>
              <w:bottom w:val="single" w:sz="12" w:space="0" w:color="262626"/>
            </w:tcBorders>
            <w:shd w:val="clear" w:color="auto" w:fill="E6E6E6"/>
            <w:vAlign w:val="center"/>
          </w:tcPr>
          <w:p w14:paraId="651E1C35" w14:textId="77777777" w:rsidR="00A81086" w:rsidRPr="00290829" w:rsidRDefault="00A81086" w:rsidP="007D7AB3">
            <w:pPr>
              <w:spacing w:after="0" w:line="240" w:lineRule="auto"/>
              <w:jc w:val="center"/>
              <w:rPr>
                <w:rFonts w:cstheme="minorHAnsi"/>
                <w:b/>
                <w:bCs/>
                <w:iCs/>
              </w:rPr>
            </w:pPr>
            <w:r w:rsidRPr="00290829">
              <w:rPr>
                <w:rFonts w:cstheme="minorHAnsi"/>
                <w:b/>
                <w:bCs/>
                <w:iCs/>
              </w:rPr>
              <w:t>3-8</w:t>
            </w:r>
          </w:p>
        </w:tc>
        <w:tc>
          <w:tcPr>
            <w:tcW w:w="577" w:type="dxa"/>
            <w:tcBorders>
              <w:top w:val="single" w:sz="6" w:space="0" w:color="262626"/>
              <w:bottom w:val="double" w:sz="12" w:space="0" w:color="262626"/>
              <w:right w:val="single" w:sz="6" w:space="0" w:color="262626"/>
            </w:tcBorders>
            <w:shd w:val="clear" w:color="auto" w:fill="E6E6E6"/>
            <w:vAlign w:val="center"/>
          </w:tcPr>
          <w:p w14:paraId="4F2CFAC4" w14:textId="77777777" w:rsidR="00A81086" w:rsidRPr="00290829" w:rsidRDefault="00A81086" w:rsidP="007D7AB3">
            <w:pPr>
              <w:spacing w:after="0" w:line="240" w:lineRule="auto"/>
              <w:jc w:val="center"/>
              <w:rPr>
                <w:rFonts w:cstheme="minorHAnsi"/>
                <w:b/>
                <w:bCs/>
                <w:iCs/>
              </w:rPr>
            </w:pPr>
            <w:r w:rsidRPr="00290829">
              <w:rPr>
                <w:rFonts w:cstheme="minorHAnsi"/>
                <w:b/>
                <w:bCs/>
                <w:iCs/>
              </w:rPr>
              <w:t>8</w:t>
            </w:r>
          </w:p>
        </w:tc>
        <w:tc>
          <w:tcPr>
            <w:tcW w:w="539" w:type="dxa"/>
            <w:tcBorders>
              <w:top w:val="single" w:sz="6" w:space="0" w:color="262626"/>
              <w:left w:val="single" w:sz="6" w:space="0" w:color="262626"/>
              <w:bottom w:val="single" w:sz="12" w:space="0" w:color="262626"/>
              <w:right w:val="single" w:sz="12" w:space="0" w:color="auto"/>
            </w:tcBorders>
            <w:shd w:val="clear" w:color="auto" w:fill="E6E6E6"/>
          </w:tcPr>
          <w:p w14:paraId="0B9CFF0F" w14:textId="77777777" w:rsidR="00A81086" w:rsidRPr="00290829" w:rsidRDefault="00A81086" w:rsidP="007D7AB3">
            <w:pPr>
              <w:spacing w:after="0" w:line="240" w:lineRule="auto"/>
              <w:jc w:val="center"/>
              <w:rPr>
                <w:rFonts w:cstheme="minorHAnsi"/>
                <w:b/>
                <w:bCs/>
                <w:iCs/>
              </w:rPr>
            </w:pPr>
            <w:r>
              <w:rPr>
                <w:rFonts w:cstheme="minorHAnsi"/>
                <w:b/>
                <w:bCs/>
                <w:iCs/>
              </w:rPr>
              <w:t>34</w:t>
            </w:r>
          </w:p>
        </w:tc>
        <w:tc>
          <w:tcPr>
            <w:tcW w:w="1417" w:type="dxa"/>
            <w:tcBorders>
              <w:top w:val="single" w:sz="6" w:space="0" w:color="262626"/>
              <w:left w:val="single" w:sz="12" w:space="0" w:color="auto"/>
              <w:bottom w:val="single" w:sz="12" w:space="0" w:color="262626"/>
              <w:right w:val="single" w:sz="12" w:space="0" w:color="auto"/>
            </w:tcBorders>
            <w:shd w:val="clear" w:color="auto" w:fill="E6E6E6"/>
          </w:tcPr>
          <w:p w14:paraId="20F18B5D" w14:textId="77777777" w:rsidR="00A81086" w:rsidRPr="00290829" w:rsidRDefault="00A81086" w:rsidP="007D7AB3">
            <w:pPr>
              <w:spacing w:after="0" w:line="240" w:lineRule="auto"/>
              <w:jc w:val="center"/>
              <w:rPr>
                <w:rFonts w:cstheme="minorHAnsi"/>
                <w:b/>
                <w:bCs/>
                <w:iCs/>
              </w:rPr>
            </w:pPr>
          </w:p>
        </w:tc>
        <w:tc>
          <w:tcPr>
            <w:tcW w:w="1421" w:type="dxa"/>
            <w:tcBorders>
              <w:top w:val="single" w:sz="6" w:space="0" w:color="262626"/>
              <w:left w:val="single" w:sz="12" w:space="0" w:color="auto"/>
              <w:bottom w:val="single" w:sz="12" w:space="0" w:color="262626"/>
              <w:right w:val="single" w:sz="8" w:space="0" w:color="262626"/>
            </w:tcBorders>
            <w:shd w:val="clear" w:color="auto" w:fill="E6E6E6"/>
            <w:vAlign w:val="center"/>
          </w:tcPr>
          <w:p w14:paraId="6D7C2901" w14:textId="77777777" w:rsidR="00A81086" w:rsidRPr="00290829" w:rsidRDefault="00A81086" w:rsidP="007D7AB3">
            <w:pPr>
              <w:spacing w:after="0" w:line="240" w:lineRule="auto"/>
              <w:jc w:val="center"/>
              <w:rPr>
                <w:rFonts w:cstheme="minorHAnsi"/>
                <w:b/>
                <w:bCs/>
                <w:iCs/>
              </w:rPr>
            </w:pPr>
          </w:p>
        </w:tc>
      </w:tr>
      <w:tr w:rsidR="00A81086" w:rsidRPr="00290829" w14:paraId="112127D7" w14:textId="77777777" w:rsidTr="007D7AB3">
        <w:trPr>
          <w:trHeight w:val="20"/>
        </w:trPr>
        <w:tc>
          <w:tcPr>
            <w:tcW w:w="2939" w:type="dxa"/>
            <w:tcBorders>
              <w:top w:val="double" w:sz="12" w:space="0" w:color="262626"/>
              <w:bottom w:val="nil"/>
              <w:right w:val="single" w:sz="12" w:space="0" w:color="auto"/>
            </w:tcBorders>
            <w:shd w:val="clear" w:color="auto" w:fill="auto"/>
            <w:vAlign w:val="center"/>
          </w:tcPr>
          <w:p w14:paraId="155524A4" w14:textId="77777777" w:rsidR="00A81086" w:rsidRPr="00290829" w:rsidRDefault="00A81086" w:rsidP="007D7AB3">
            <w:pPr>
              <w:spacing w:after="0" w:line="240" w:lineRule="auto"/>
              <w:rPr>
                <w:rFonts w:cstheme="minorHAnsi"/>
                <w:b/>
                <w:bCs/>
              </w:rPr>
            </w:pPr>
            <w:r w:rsidRPr="00290829">
              <w:rPr>
                <w:rFonts w:cstheme="minorHAnsi"/>
                <w:b/>
                <w:bCs/>
              </w:rPr>
              <w:t>ENROLMENT:</w:t>
            </w:r>
          </w:p>
        </w:tc>
        <w:tc>
          <w:tcPr>
            <w:tcW w:w="542" w:type="dxa"/>
            <w:tcBorders>
              <w:top w:val="double" w:sz="12" w:space="0" w:color="262626"/>
              <w:left w:val="single" w:sz="12" w:space="0" w:color="auto"/>
              <w:right w:val="single" w:sz="12" w:space="0" w:color="262626"/>
            </w:tcBorders>
            <w:shd w:val="clear" w:color="auto" w:fill="auto"/>
            <w:vAlign w:val="bottom"/>
          </w:tcPr>
          <w:p w14:paraId="7E6B7127" w14:textId="77777777" w:rsidR="00A81086" w:rsidRPr="00290829" w:rsidRDefault="00A81086" w:rsidP="007D7AB3">
            <w:pPr>
              <w:spacing w:after="0" w:line="240" w:lineRule="auto"/>
              <w:rPr>
                <w:rFonts w:cstheme="minorHAnsi"/>
              </w:rPr>
            </w:pPr>
          </w:p>
        </w:tc>
        <w:tc>
          <w:tcPr>
            <w:tcW w:w="553" w:type="dxa"/>
            <w:tcBorders>
              <w:top w:val="double" w:sz="12" w:space="0" w:color="262626"/>
              <w:left w:val="single" w:sz="12" w:space="0" w:color="262626"/>
              <w:right w:val="single" w:sz="12" w:space="0" w:color="262626"/>
            </w:tcBorders>
            <w:shd w:val="clear" w:color="auto" w:fill="auto"/>
            <w:vAlign w:val="bottom"/>
          </w:tcPr>
          <w:p w14:paraId="7AE0F39A" w14:textId="77777777" w:rsidR="00A81086" w:rsidRPr="00290829" w:rsidRDefault="00A81086" w:rsidP="007D7AB3">
            <w:pPr>
              <w:spacing w:after="0" w:line="240" w:lineRule="auto"/>
              <w:rPr>
                <w:rFonts w:cstheme="minorHAnsi"/>
              </w:rPr>
            </w:pPr>
          </w:p>
        </w:tc>
        <w:tc>
          <w:tcPr>
            <w:tcW w:w="369" w:type="dxa"/>
            <w:tcBorders>
              <w:top w:val="double" w:sz="12" w:space="0" w:color="262626"/>
              <w:left w:val="single" w:sz="12" w:space="0" w:color="262626"/>
            </w:tcBorders>
            <w:shd w:val="clear" w:color="auto" w:fill="auto"/>
            <w:vAlign w:val="bottom"/>
          </w:tcPr>
          <w:p w14:paraId="22EE66B0" w14:textId="77777777" w:rsidR="00A81086" w:rsidRPr="00290829" w:rsidRDefault="00A81086" w:rsidP="007D7AB3">
            <w:pPr>
              <w:spacing w:after="0" w:line="240" w:lineRule="auto"/>
              <w:rPr>
                <w:rFonts w:cstheme="minorHAnsi"/>
              </w:rPr>
            </w:pPr>
          </w:p>
        </w:tc>
        <w:tc>
          <w:tcPr>
            <w:tcW w:w="368" w:type="dxa"/>
            <w:tcBorders>
              <w:top w:val="double" w:sz="12" w:space="0" w:color="262626"/>
            </w:tcBorders>
          </w:tcPr>
          <w:p w14:paraId="2EE63EA3" w14:textId="77777777" w:rsidR="00A81086" w:rsidRPr="00290829" w:rsidRDefault="00A81086" w:rsidP="007D7AB3">
            <w:pPr>
              <w:spacing w:after="0" w:line="240" w:lineRule="auto"/>
              <w:rPr>
                <w:rFonts w:cstheme="minorHAnsi"/>
              </w:rPr>
            </w:pPr>
          </w:p>
        </w:tc>
        <w:tc>
          <w:tcPr>
            <w:tcW w:w="492" w:type="dxa"/>
            <w:tcBorders>
              <w:top w:val="double" w:sz="12" w:space="0" w:color="262626"/>
            </w:tcBorders>
          </w:tcPr>
          <w:p w14:paraId="51FDBEBE" w14:textId="77777777" w:rsidR="00A81086" w:rsidRPr="00290829" w:rsidRDefault="00A81086" w:rsidP="007D7AB3">
            <w:pPr>
              <w:spacing w:after="0" w:line="240" w:lineRule="auto"/>
              <w:rPr>
                <w:rFonts w:cstheme="minorHAnsi"/>
              </w:rPr>
            </w:pPr>
          </w:p>
        </w:tc>
        <w:tc>
          <w:tcPr>
            <w:tcW w:w="577" w:type="dxa"/>
            <w:tcBorders>
              <w:top w:val="double" w:sz="12" w:space="0" w:color="262626"/>
              <w:right w:val="single" w:sz="6" w:space="0" w:color="262626"/>
            </w:tcBorders>
            <w:shd w:val="clear" w:color="auto" w:fill="auto"/>
            <w:vAlign w:val="bottom"/>
          </w:tcPr>
          <w:p w14:paraId="0E8B5C76" w14:textId="77777777" w:rsidR="00A81086" w:rsidRPr="00290829" w:rsidRDefault="00A81086" w:rsidP="007D7AB3">
            <w:pPr>
              <w:spacing w:after="0" w:line="240" w:lineRule="auto"/>
              <w:rPr>
                <w:rFonts w:cstheme="minorHAnsi"/>
              </w:rPr>
            </w:pPr>
          </w:p>
        </w:tc>
        <w:tc>
          <w:tcPr>
            <w:tcW w:w="539" w:type="dxa"/>
            <w:tcBorders>
              <w:top w:val="double" w:sz="12" w:space="0" w:color="262626"/>
              <w:left w:val="single" w:sz="6" w:space="0" w:color="262626"/>
              <w:right w:val="single" w:sz="12" w:space="0" w:color="auto"/>
            </w:tcBorders>
          </w:tcPr>
          <w:p w14:paraId="1366E1C1" w14:textId="77777777" w:rsidR="00A81086" w:rsidRPr="00290829" w:rsidRDefault="00A81086" w:rsidP="007D7AB3">
            <w:pPr>
              <w:spacing w:after="0" w:line="240" w:lineRule="auto"/>
              <w:rPr>
                <w:rFonts w:cstheme="minorHAnsi"/>
              </w:rPr>
            </w:pPr>
          </w:p>
        </w:tc>
        <w:tc>
          <w:tcPr>
            <w:tcW w:w="1417" w:type="dxa"/>
            <w:tcBorders>
              <w:top w:val="double" w:sz="12" w:space="0" w:color="262626"/>
              <w:left w:val="single" w:sz="12" w:space="0" w:color="auto"/>
              <w:right w:val="single" w:sz="12" w:space="0" w:color="auto"/>
            </w:tcBorders>
          </w:tcPr>
          <w:p w14:paraId="6CEF5625" w14:textId="77777777" w:rsidR="00A81086" w:rsidRPr="00290829" w:rsidRDefault="00A81086" w:rsidP="007D7AB3">
            <w:pPr>
              <w:spacing w:after="0" w:line="240" w:lineRule="auto"/>
              <w:rPr>
                <w:rFonts w:cstheme="minorHAnsi"/>
              </w:rPr>
            </w:pPr>
          </w:p>
        </w:tc>
        <w:tc>
          <w:tcPr>
            <w:tcW w:w="1421" w:type="dxa"/>
            <w:tcBorders>
              <w:top w:val="double" w:sz="12" w:space="0" w:color="262626"/>
              <w:left w:val="single" w:sz="12" w:space="0" w:color="auto"/>
              <w:right w:val="single" w:sz="8" w:space="0" w:color="262626"/>
            </w:tcBorders>
            <w:shd w:val="clear" w:color="auto" w:fill="auto"/>
            <w:vAlign w:val="bottom"/>
          </w:tcPr>
          <w:p w14:paraId="34C8A9A6" w14:textId="77777777" w:rsidR="00A81086" w:rsidRPr="00290829" w:rsidRDefault="00A81086" w:rsidP="007D7AB3">
            <w:pPr>
              <w:spacing w:after="0" w:line="240" w:lineRule="auto"/>
              <w:rPr>
                <w:rFonts w:cstheme="minorHAnsi"/>
              </w:rPr>
            </w:pPr>
          </w:p>
        </w:tc>
      </w:tr>
      <w:tr w:rsidR="00A81086" w:rsidRPr="00290829" w14:paraId="51D672BC" w14:textId="77777777" w:rsidTr="007D7AB3">
        <w:trPr>
          <w:trHeight w:val="20"/>
        </w:trPr>
        <w:tc>
          <w:tcPr>
            <w:tcW w:w="2939" w:type="dxa"/>
            <w:tcBorders>
              <w:top w:val="nil"/>
              <w:bottom w:val="nil"/>
              <w:right w:val="single" w:sz="12" w:space="0" w:color="auto"/>
            </w:tcBorders>
            <w:shd w:val="clear" w:color="auto" w:fill="auto"/>
            <w:vAlign w:val="center"/>
          </w:tcPr>
          <w:p w14:paraId="4002111D" w14:textId="77777777" w:rsidR="00A81086" w:rsidRPr="00290829" w:rsidRDefault="00A81086" w:rsidP="007D7AB3">
            <w:pPr>
              <w:spacing w:after="0" w:line="240" w:lineRule="auto"/>
              <w:rPr>
                <w:rFonts w:cstheme="minorHAnsi"/>
                <w:bCs/>
              </w:rPr>
            </w:pPr>
            <w:r w:rsidRPr="00290829">
              <w:rPr>
                <w:rFonts w:cstheme="minorHAnsi"/>
                <w:bCs/>
              </w:rPr>
              <w:t>Eligibility screen</w:t>
            </w:r>
          </w:p>
        </w:tc>
        <w:tc>
          <w:tcPr>
            <w:tcW w:w="542" w:type="dxa"/>
            <w:tcBorders>
              <w:left w:val="single" w:sz="12" w:space="0" w:color="auto"/>
              <w:right w:val="single" w:sz="12" w:space="0" w:color="262626"/>
            </w:tcBorders>
            <w:shd w:val="clear" w:color="auto" w:fill="auto"/>
            <w:vAlign w:val="center"/>
          </w:tcPr>
          <w:p w14:paraId="2A574D3E"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553" w:type="dxa"/>
            <w:tcBorders>
              <w:left w:val="single" w:sz="12" w:space="0" w:color="262626"/>
              <w:right w:val="single" w:sz="12" w:space="0" w:color="262626"/>
            </w:tcBorders>
            <w:shd w:val="clear" w:color="auto" w:fill="auto"/>
            <w:vAlign w:val="center"/>
          </w:tcPr>
          <w:p w14:paraId="723B16D7"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auto"/>
            <w:vAlign w:val="center"/>
          </w:tcPr>
          <w:p w14:paraId="5FE835B5" w14:textId="77777777" w:rsidR="00A81086" w:rsidRPr="00290829" w:rsidRDefault="00A81086" w:rsidP="007D7AB3">
            <w:pPr>
              <w:spacing w:after="0" w:line="240" w:lineRule="auto"/>
              <w:jc w:val="center"/>
              <w:rPr>
                <w:rFonts w:cstheme="minorHAnsi"/>
              </w:rPr>
            </w:pPr>
          </w:p>
        </w:tc>
        <w:tc>
          <w:tcPr>
            <w:tcW w:w="368" w:type="dxa"/>
            <w:vAlign w:val="center"/>
          </w:tcPr>
          <w:p w14:paraId="6A61477A" w14:textId="77777777" w:rsidR="00A81086" w:rsidRPr="00290829" w:rsidRDefault="00A81086" w:rsidP="007D7AB3">
            <w:pPr>
              <w:spacing w:after="0" w:line="240" w:lineRule="auto"/>
              <w:jc w:val="center"/>
              <w:rPr>
                <w:rFonts w:cstheme="minorHAnsi"/>
              </w:rPr>
            </w:pPr>
          </w:p>
        </w:tc>
        <w:tc>
          <w:tcPr>
            <w:tcW w:w="492" w:type="dxa"/>
            <w:vAlign w:val="center"/>
          </w:tcPr>
          <w:p w14:paraId="310014A6"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auto"/>
            <w:vAlign w:val="center"/>
          </w:tcPr>
          <w:p w14:paraId="6B24EB69"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right w:val="single" w:sz="12" w:space="0" w:color="auto"/>
            </w:tcBorders>
          </w:tcPr>
          <w:p w14:paraId="02680373"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right w:val="single" w:sz="12" w:space="0" w:color="auto"/>
            </w:tcBorders>
          </w:tcPr>
          <w:p w14:paraId="6B590042"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auto"/>
            <w:vAlign w:val="center"/>
          </w:tcPr>
          <w:p w14:paraId="506BC7A2" w14:textId="77777777" w:rsidR="00A81086" w:rsidRPr="00290829" w:rsidRDefault="00A81086" w:rsidP="007D7AB3">
            <w:pPr>
              <w:spacing w:after="0" w:line="240" w:lineRule="auto"/>
              <w:jc w:val="center"/>
              <w:rPr>
                <w:rFonts w:cstheme="minorHAnsi"/>
              </w:rPr>
            </w:pPr>
          </w:p>
        </w:tc>
      </w:tr>
      <w:tr w:rsidR="00A81086" w:rsidRPr="00290829" w14:paraId="456F3CA6" w14:textId="77777777" w:rsidTr="007D7AB3">
        <w:trPr>
          <w:trHeight w:val="20"/>
        </w:trPr>
        <w:tc>
          <w:tcPr>
            <w:tcW w:w="2939" w:type="dxa"/>
            <w:tcBorders>
              <w:top w:val="nil"/>
              <w:bottom w:val="nil"/>
              <w:right w:val="single" w:sz="12" w:space="0" w:color="auto"/>
            </w:tcBorders>
            <w:shd w:val="clear" w:color="auto" w:fill="auto"/>
            <w:vAlign w:val="center"/>
          </w:tcPr>
          <w:p w14:paraId="2AFC6AD1" w14:textId="77777777" w:rsidR="00A81086" w:rsidRPr="00290829" w:rsidRDefault="00A81086" w:rsidP="007D7AB3">
            <w:pPr>
              <w:spacing w:after="0" w:line="240" w:lineRule="auto"/>
              <w:rPr>
                <w:rFonts w:cstheme="minorHAnsi"/>
                <w:bCs/>
              </w:rPr>
            </w:pPr>
            <w:r w:rsidRPr="00290829">
              <w:rPr>
                <w:rFonts w:cstheme="minorHAnsi"/>
                <w:bCs/>
              </w:rPr>
              <w:t>Informed consent</w:t>
            </w:r>
            <w:r w:rsidRPr="00290829" w:rsidDel="003C5F28">
              <w:rPr>
                <w:rFonts w:cstheme="minorHAnsi"/>
                <w:bCs/>
              </w:rPr>
              <w:t xml:space="preserve"> </w:t>
            </w:r>
          </w:p>
        </w:tc>
        <w:tc>
          <w:tcPr>
            <w:tcW w:w="542" w:type="dxa"/>
            <w:tcBorders>
              <w:left w:val="single" w:sz="12" w:space="0" w:color="auto"/>
              <w:bottom w:val="single" w:sz="6" w:space="0" w:color="262626"/>
              <w:right w:val="single" w:sz="12" w:space="0" w:color="262626"/>
            </w:tcBorders>
            <w:shd w:val="clear" w:color="auto" w:fill="auto"/>
            <w:vAlign w:val="center"/>
          </w:tcPr>
          <w:p w14:paraId="309AA992"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553" w:type="dxa"/>
            <w:tcBorders>
              <w:left w:val="single" w:sz="12" w:space="0" w:color="262626"/>
              <w:bottom w:val="single" w:sz="6" w:space="0" w:color="262626"/>
              <w:right w:val="single" w:sz="12" w:space="0" w:color="262626"/>
            </w:tcBorders>
            <w:shd w:val="clear" w:color="auto" w:fill="auto"/>
            <w:vAlign w:val="center"/>
          </w:tcPr>
          <w:p w14:paraId="3868111E"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bottom w:val="single" w:sz="6" w:space="0" w:color="262626"/>
            </w:tcBorders>
            <w:shd w:val="clear" w:color="auto" w:fill="auto"/>
            <w:vAlign w:val="center"/>
          </w:tcPr>
          <w:p w14:paraId="0B6585E4" w14:textId="77777777" w:rsidR="00A81086" w:rsidRPr="00290829" w:rsidRDefault="00A81086" w:rsidP="007D7AB3">
            <w:pPr>
              <w:spacing w:after="0" w:line="240" w:lineRule="auto"/>
              <w:jc w:val="center"/>
              <w:rPr>
                <w:rFonts w:cstheme="minorHAnsi"/>
              </w:rPr>
            </w:pPr>
          </w:p>
        </w:tc>
        <w:tc>
          <w:tcPr>
            <w:tcW w:w="368" w:type="dxa"/>
            <w:tcBorders>
              <w:bottom w:val="single" w:sz="6" w:space="0" w:color="262626"/>
            </w:tcBorders>
            <w:vAlign w:val="center"/>
          </w:tcPr>
          <w:p w14:paraId="50CE3513" w14:textId="77777777" w:rsidR="00A81086" w:rsidRPr="00290829" w:rsidRDefault="00A81086" w:rsidP="007D7AB3">
            <w:pPr>
              <w:spacing w:after="0" w:line="240" w:lineRule="auto"/>
              <w:jc w:val="center"/>
              <w:rPr>
                <w:rFonts w:cstheme="minorHAnsi"/>
              </w:rPr>
            </w:pPr>
          </w:p>
        </w:tc>
        <w:tc>
          <w:tcPr>
            <w:tcW w:w="492" w:type="dxa"/>
            <w:tcBorders>
              <w:bottom w:val="single" w:sz="6" w:space="0" w:color="262626"/>
            </w:tcBorders>
            <w:vAlign w:val="center"/>
          </w:tcPr>
          <w:p w14:paraId="11D6EB0E" w14:textId="77777777" w:rsidR="00A81086" w:rsidRPr="00290829" w:rsidRDefault="00A81086" w:rsidP="007D7AB3">
            <w:pPr>
              <w:spacing w:after="0" w:line="240" w:lineRule="auto"/>
              <w:jc w:val="center"/>
              <w:rPr>
                <w:rFonts w:cstheme="minorHAnsi"/>
              </w:rPr>
            </w:pPr>
          </w:p>
        </w:tc>
        <w:tc>
          <w:tcPr>
            <w:tcW w:w="577" w:type="dxa"/>
            <w:tcBorders>
              <w:bottom w:val="single" w:sz="6" w:space="0" w:color="262626"/>
              <w:right w:val="single" w:sz="6" w:space="0" w:color="262626"/>
            </w:tcBorders>
            <w:shd w:val="clear" w:color="auto" w:fill="auto"/>
            <w:vAlign w:val="center"/>
          </w:tcPr>
          <w:p w14:paraId="7D0420B2"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bottom w:val="single" w:sz="6" w:space="0" w:color="262626"/>
              <w:right w:val="single" w:sz="12" w:space="0" w:color="auto"/>
            </w:tcBorders>
          </w:tcPr>
          <w:p w14:paraId="226737BD"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bottom w:val="single" w:sz="6" w:space="0" w:color="262626"/>
              <w:right w:val="single" w:sz="12" w:space="0" w:color="auto"/>
            </w:tcBorders>
          </w:tcPr>
          <w:p w14:paraId="6CD216DD"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bottom w:val="single" w:sz="6" w:space="0" w:color="262626"/>
              <w:right w:val="single" w:sz="8" w:space="0" w:color="262626"/>
            </w:tcBorders>
            <w:shd w:val="clear" w:color="auto" w:fill="auto"/>
            <w:vAlign w:val="center"/>
          </w:tcPr>
          <w:p w14:paraId="52C407E2" w14:textId="77777777" w:rsidR="00A81086" w:rsidRPr="00290829" w:rsidRDefault="00A81086" w:rsidP="007D7AB3">
            <w:pPr>
              <w:spacing w:after="0" w:line="240" w:lineRule="auto"/>
              <w:jc w:val="center"/>
              <w:rPr>
                <w:rFonts w:cstheme="minorHAnsi"/>
              </w:rPr>
            </w:pPr>
          </w:p>
        </w:tc>
      </w:tr>
      <w:tr w:rsidR="00A81086" w:rsidRPr="00290829" w14:paraId="3454A138" w14:textId="77777777" w:rsidTr="007D7AB3">
        <w:trPr>
          <w:trHeight w:val="20"/>
        </w:trPr>
        <w:tc>
          <w:tcPr>
            <w:tcW w:w="2939" w:type="dxa"/>
            <w:tcBorders>
              <w:top w:val="nil"/>
              <w:bottom w:val="nil"/>
              <w:right w:val="single" w:sz="12" w:space="0" w:color="auto"/>
            </w:tcBorders>
            <w:shd w:val="clear" w:color="auto" w:fill="auto"/>
            <w:vAlign w:val="center"/>
          </w:tcPr>
          <w:p w14:paraId="57767416" w14:textId="77777777" w:rsidR="00A81086" w:rsidRPr="00290829" w:rsidRDefault="00A81086" w:rsidP="007D7AB3">
            <w:pPr>
              <w:spacing w:after="0" w:line="240" w:lineRule="auto"/>
              <w:rPr>
                <w:rFonts w:cstheme="minorHAnsi"/>
                <w:bCs/>
                <w:iCs/>
              </w:rPr>
            </w:pPr>
            <w:r w:rsidRPr="00290829">
              <w:rPr>
                <w:rFonts w:cstheme="minorHAnsi"/>
                <w:bCs/>
                <w:iCs/>
              </w:rPr>
              <w:t>Site initiation visit</w:t>
            </w:r>
          </w:p>
        </w:tc>
        <w:tc>
          <w:tcPr>
            <w:tcW w:w="542" w:type="dxa"/>
            <w:tcBorders>
              <w:left w:val="single" w:sz="12" w:space="0" w:color="auto"/>
              <w:bottom w:val="single" w:sz="6" w:space="0" w:color="262626"/>
              <w:right w:val="single" w:sz="12" w:space="0" w:color="262626"/>
            </w:tcBorders>
            <w:shd w:val="clear" w:color="auto" w:fill="auto"/>
            <w:vAlign w:val="center"/>
          </w:tcPr>
          <w:p w14:paraId="76504A47"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553" w:type="dxa"/>
            <w:tcBorders>
              <w:left w:val="single" w:sz="12" w:space="0" w:color="262626"/>
              <w:bottom w:val="single" w:sz="6" w:space="0" w:color="262626"/>
              <w:right w:val="single" w:sz="12" w:space="0" w:color="262626"/>
            </w:tcBorders>
            <w:shd w:val="clear" w:color="auto" w:fill="auto"/>
            <w:vAlign w:val="center"/>
          </w:tcPr>
          <w:p w14:paraId="013E8147"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bottom w:val="single" w:sz="6" w:space="0" w:color="262626"/>
            </w:tcBorders>
            <w:shd w:val="clear" w:color="auto" w:fill="auto"/>
            <w:vAlign w:val="center"/>
          </w:tcPr>
          <w:p w14:paraId="55F24174" w14:textId="77777777" w:rsidR="00A81086" w:rsidRPr="00290829" w:rsidRDefault="00A81086" w:rsidP="007D7AB3">
            <w:pPr>
              <w:spacing w:after="0" w:line="240" w:lineRule="auto"/>
              <w:jc w:val="center"/>
              <w:rPr>
                <w:rFonts w:cstheme="minorHAnsi"/>
              </w:rPr>
            </w:pPr>
          </w:p>
        </w:tc>
        <w:tc>
          <w:tcPr>
            <w:tcW w:w="368" w:type="dxa"/>
            <w:tcBorders>
              <w:bottom w:val="single" w:sz="6" w:space="0" w:color="262626"/>
            </w:tcBorders>
            <w:vAlign w:val="center"/>
          </w:tcPr>
          <w:p w14:paraId="49C5F5FA" w14:textId="77777777" w:rsidR="00A81086" w:rsidRPr="00290829" w:rsidRDefault="00A81086" w:rsidP="007D7AB3">
            <w:pPr>
              <w:spacing w:after="0" w:line="240" w:lineRule="auto"/>
              <w:jc w:val="center"/>
              <w:rPr>
                <w:rFonts w:cstheme="minorHAnsi"/>
              </w:rPr>
            </w:pPr>
          </w:p>
        </w:tc>
        <w:tc>
          <w:tcPr>
            <w:tcW w:w="492" w:type="dxa"/>
            <w:tcBorders>
              <w:bottom w:val="single" w:sz="6" w:space="0" w:color="262626"/>
            </w:tcBorders>
            <w:vAlign w:val="center"/>
          </w:tcPr>
          <w:p w14:paraId="4A7A6045" w14:textId="77777777" w:rsidR="00A81086" w:rsidRPr="00290829" w:rsidRDefault="00A81086" w:rsidP="007D7AB3">
            <w:pPr>
              <w:spacing w:after="0" w:line="240" w:lineRule="auto"/>
              <w:jc w:val="center"/>
              <w:rPr>
                <w:rFonts w:cstheme="minorHAnsi"/>
              </w:rPr>
            </w:pPr>
          </w:p>
        </w:tc>
        <w:tc>
          <w:tcPr>
            <w:tcW w:w="577" w:type="dxa"/>
            <w:tcBorders>
              <w:bottom w:val="single" w:sz="6" w:space="0" w:color="262626"/>
              <w:right w:val="single" w:sz="6" w:space="0" w:color="262626"/>
            </w:tcBorders>
            <w:shd w:val="clear" w:color="auto" w:fill="auto"/>
            <w:vAlign w:val="center"/>
          </w:tcPr>
          <w:p w14:paraId="53CC18D9"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bottom w:val="single" w:sz="6" w:space="0" w:color="262626"/>
              <w:right w:val="single" w:sz="12" w:space="0" w:color="auto"/>
            </w:tcBorders>
          </w:tcPr>
          <w:p w14:paraId="57E2183E"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bottom w:val="single" w:sz="6" w:space="0" w:color="262626"/>
              <w:right w:val="single" w:sz="12" w:space="0" w:color="auto"/>
            </w:tcBorders>
          </w:tcPr>
          <w:p w14:paraId="17C8F371"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bottom w:val="single" w:sz="6" w:space="0" w:color="262626"/>
              <w:right w:val="single" w:sz="8" w:space="0" w:color="262626"/>
            </w:tcBorders>
            <w:shd w:val="clear" w:color="auto" w:fill="auto"/>
            <w:vAlign w:val="center"/>
          </w:tcPr>
          <w:p w14:paraId="133005A1" w14:textId="77777777" w:rsidR="00A81086" w:rsidRPr="00290829" w:rsidRDefault="00A81086" w:rsidP="007D7AB3">
            <w:pPr>
              <w:spacing w:after="0" w:line="240" w:lineRule="auto"/>
              <w:jc w:val="center"/>
              <w:rPr>
                <w:rFonts w:cstheme="minorHAnsi"/>
              </w:rPr>
            </w:pPr>
          </w:p>
        </w:tc>
      </w:tr>
      <w:tr w:rsidR="00A81086" w:rsidRPr="00290829" w14:paraId="081D2E31" w14:textId="77777777" w:rsidTr="007D7AB3">
        <w:trPr>
          <w:trHeight w:val="20"/>
        </w:trPr>
        <w:tc>
          <w:tcPr>
            <w:tcW w:w="2939" w:type="dxa"/>
            <w:tcBorders>
              <w:top w:val="nil"/>
              <w:bottom w:val="single" w:sz="12" w:space="0" w:color="262626"/>
              <w:right w:val="single" w:sz="12" w:space="0" w:color="auto"/>
            </w:tcBorders>
            <w:shd w:val="clear" w:color="auto" w:fill="auto"/>
            <w:vAlign w:val="center"/>
          </w:tcPr>
          <w:p w14:paraId="2DB9AFDF" w14:textId="77777777" w:rsidR="00A81086" w:rsidRPr="00290829" w:rsidRDefault="00A81086" w:rsidP="007D7AB3">
            <w:pPr>
              <w:spacing w:after="0" w:line="240" w:lineRule="auto"/>
              <w:rPr>
                <w:rFonts w:cstheme="minorHAnsi"/>
                <w:bCs/>
              </w:rPr>
            </w:pPr>
            <w:r w:rsidRPr="00290829">
              <w:rPr>
                <w:rFonts w:cstheme="minorHAnsi"/>
                <w:bCs/>
              </w:rPr>
              <w:t>Allocation</w:t>
            </w:r>
          </w:p>
        </w:tc>
        <w:tc>
          <w:tcPr>
            <w:tcW w:w="542" w:type="dxa"/>
            <w:tcBorders>
              <w:top w:val="single" w:sz="6" w:space="0" w:color="262626"/>
              <w:left w:val="single" w:sz="12" w:space="0" w:color="auto"/>
              <w:bottom w:val="single" w:sz="12" w:space="0" w:color="262626"/>
              <w:right w:val="single" w:sz="12" w:space="0" w:color="262626"/>
            </w:tcBorders>
            <w:shd w:val="clear" w:color="auto" w:fill="auto"/>
            <w:vAlign w:val="center"/>
          </w:tcPr>
          <w:p w14:paraId="479CBF46" w14:textId="77777777" w:rsidR="00A81086" w:rsidRPr="00290829" w:rsidRDefault="00A81086" w:rsidP="007D7AB3">
            <w:pPr>
              <w:spacing w:after="0" w:line="240" w:lineRule="auto"/>
              <w:jc w:val="center"/>
              <w:rPr>
                <w:rFonts w:cstheme="minorHAnsi"/>
              </w:rPr>
            </w:pPr>
          </w:p>
        </w:tc>
        <w:tc>
          <w:tcPr>
            <w:tcW w:w="553" w:type="dxa"/>
            <w:tcBorders>
              <w:top w:val="single" w:sz="6" w:space="0" w:color="262626"/>
              <w:left w:val="single" w:sz="12" w:space="0" w:color="262626"/>
              <w:bottom w:val="single" w:sz="12" w:space="0" w:color="262626"/>
              <w:right w:val="single" w:sz="12" w:space="0" w:color="262626"/>
            </w:tcBorders>
            <w:shd w:val="clear" w:color="auto" w:fill="auto"/>
            <w:vAlign w:val="center"/>
          </w:tcPr>
          <w:p w14:paraId="6362C249"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369" w:type="dxa"/>
            <w:tcBorders>
              <w:top w:val="single" w:sz="6" w:space="0" w:color="262626"/>
              <w:left w:val="single" w:sz="12" w:space="0" w:color="262626"/>
              <w:bottom w:val="single" w:sz="12" w:space="0" w:color="262626"/>
            </w:tcBorders>
            <w:shd w:val="clear" w:color="auto" w:fill="auto"/>
            <w:vAlign w:val="center"/>
          </w:tcPr>
          <w:p w14:paraId="5EC44CE6" w14:textId="77777777" w:rsidR="00A81086" w:rsidRPr="00290829" w:rsidRDefault="00A81086" w:rsidP="007D7AB3">
            <w:pPr>
              <w:spacing w:after="0" w:line="240" w:lineRule="auto"/>
              <w:jc w:val="center"/>
              <w:rPr>
                <w:rFonts w:cstheme="minorHAnsi"/>
              </w:rPr>
            </w:pPr>
          </w:p>
        </w:tc>
        <w:tc>
          <w:tcPr>
            <w:tcW w:w="368" w:type="dxa"/>
            <w:tcBorders>
              <w:top w:val="single" w:sz="6" w:space="0" w:color="262626"/>
              <w:bottom w:val="single" w:sz="12" w:space="0" w:color="262626"/>
            </w:tcBorders>
            <w:vAlign w:val="center"/>
          </w:tcPr>
          <w:p w14:paraId="2BC7005A" w14:textId="77777777" w:rsidR="00A81086" w:rsidRPr="00290829" w:rsidRDefault="00A81086" w:rsidP="007D7AB3">
            <w:pPr>
              <w:spacing w:after="0" w:line="240" w:lineRule="auto"/>
              <w:jc w:val="center"/>
              <w:rPr>
                <w:rFonts w:cstheme="minorHAnsi"/>
              </w:rPr>
            </w:pPr>
          </w:p>
        </w:tc>
        <w:tc>
          <w:tcPr>
            <w:tcW w:w="492" w:type="dxa"/>
            <w:tcBorders>
              <w:top w:val="single" w:sz="6" w:space="0" w:color="262626"/>
              <w:bottom w:val="single" w:sz="12" w:space="0" w:color="262626"/>
            </w:tcBorders>
            <w:vAlign w:val="center"/>
          </w:tcPr>
          <w:p w14:paraId="0C654CA6" w14:textId="77777777" w:rsidR="00A81086" w:rsidRPr="00290829" w:rsidRDefault="00A81086" w:rsidP="007D7AB3">
            <w:pPr>
              <w:spacing w:after="0" w:line="240" w:lineRule="auto"/>
              <w:jc w:val="center"/>
              <w:rPr>
                <w:rFonts w:cstheme="minorHAnsi"/>
              </w:rPr>
            </w:pPr>
          </w:p>
        </w:tc>
        <w:tc>
          <w:tcPr>
            <w:tcW w:w="577" w:type="dxa"/>
            <w:tcBorders>
              <w:top w:val="single" w:sz="6" w:space="0" w:color="262626"/>
              <w:bottom w:val="single" w:sz="12" w:space="0" w:color="262626"/>
              <w:right w:val="single" w:sz="6" w:space="0" w:color="262626"/>
            </w:tcBorders>
            <w:shd w:val="clear" w:color="auto" w:fill="auto"/>
            <w:vAlign w:val="center"/>
          </w:tcPr>
          <w:p w14:paraId="253A2884" w14:textId="77777777" w:rsidR="00A81086" w:rsidRPr="00290829" w:rsidRDefault="00A81086" w:rsidP="007D7AB3">
            <w:pPr>
              <w:spacing w:after="0" w:line="240" w:lineRule="auto"/>
              <w:jc w:val="center"/>
              <w:rPr>
                <w:rFonts w:cstheme="minorHAnsi"/>
              </w:rPr>
            </w:pPr>
          </w:p>
        </w:tc>
        <w:tc>
          <w:tcPr>
            <w:tcW w:w="539" w:type="dxa"/>
            <w:tcBorders>
              <w:top w:val="single" w:sz="6" w:space="0" w:color="262626"/>
              <w:left w:val="single" w:sz="6" w:space="0" w:color="262626"/>
              <w:bottom w:val="single" w:sz="12" w:space="0" w:color="262626"/>
              <w:right w:val="single" w:sz="12" w:space="0" w:color="auto"/>
            </w:tcBorders>
          </w:tcPr>
          <w:p w14:paraId="433109DF" w14:textId="77777777" w:rsidR="00A81086" w:rsidRPr="00290829" w:rsidRDefault="00A81086" w:rsidP="007D7AB3">
            <w:pPr>
              <w:spacing w:after="0" w:line="240" w:lineRule="auto"/>
              <w:jc w:val="center"/>
              <w:rPr>
                <w:rFonts w:cstheme="minorHAnsi"/>
              </w:rPr>
            </w:pPr>
          </w:p>
        </w:tc>
        <w:tc>
          <w:tcPr>
            <w:tcW w:w="1417" w:type="dxa"/>
            <w:tcBorders>
              <w:top w:val="single" w:sz="6" w:space="0" w:color="262626"/>
              <w:left w:val="single" w:sz="12" w:space="0" w:color="auto"/>
              <w:bottom w:val="single" w:sz="12" w:space="0" w:color="262626"/>
              <w:right w:val="single" w:sz="12" w:space="0" w:color="auto"/>
            </w:tcBorders>
          </w:tcPr>
          <w:p w14:paraId="4B549983" w14:textId="77777777" w:rsidR="00A81086" w:rsidRPr="00290829" w:rsidRDefault="00A81086" w:rsidP="007D7AB3">
            <w:pPr>
              <w:spacing w:after="0" w:line="240" w:lineRule="auto"/>
              <w:jc w:val="center"/>
              <w:rPr>
                <w:rFonts w:cstheme="minorHAnsi"/>
              </w:rPr>
            </w:pPr>
          </w:p>
        </w:tc>
        <w:tc>
          <w:tcPr>
            <w:tcW w:w="1421" w:type="dxa"/>
            <w:tcBorders>
              <w:top w:val="single" w:sz="6" w:space="0" w:color="262626"/>
              <w:left w:val="single" w:sz="12" w:space="0" w:color="auto"/>
              <w:bottom w:val="single" w:sz="12" w:space="0" w:color="262626"/>
              <w:right w:val="single" w:sz="8" w:space="0" w:color="262626"/>
            </w:tcBorders>
            <w:shd w:val="clear" w:color="auto" w:fill="auto"/>
            <w:vAlign w:val="center"/>
          </w:tcPr>
          <w:p w14:paraId="079206D8" w14:textId="77777777" w:rsidR="00A81086" w:rsidRPr="00290829" w:rsidRDefault="00A81086" w:rsidP="007D7AB3">
            <w:pPr>
              <w:spacing w:after="0" w:line="240" w:lineRule="auto"/>
              <w:jc w:val="center"/>
              <w:rPr>
                <w:rFonts w:cstheme="minorHAnsi"/>
              </w:rPr>
            </w:pPr>
          </w:p>
        </w:tc>
      </w:tr>
      <w:tr w:rsidR="00A81086" w:rsidRPr="00290829" w14:paraId="6C995F22" w14:textId="77777777" w:rsidTr="007D7AB3">
        <w:trPr>
          <w:trHeight w:val="20"/>
        </w:trPr>
        <w:tc>
          <w:tcPr>
            <w:tcW w:w="2939" w:type="dxa"/>
            <w:tcBorders>
              <w:top w:val="single" w:sz="12" w:space="0" w:color="262626"/>
              <w:bottom w:val="nil"/>
              <w:right w:val="single" w:sz="12" w:space="0" w:color="auto"/>
            </w:tcBorders>
            <w:shd w:val="clear" w:color="auto" w:fill="auto"/>
            <w:vAlign w:val="center"/>
          </w:tcPr>
          <w:p w14:paraId="6281B73C" w14:textId="77777777" w:rsidR="00A81086" w:rsidRPr="00290829" w:rsidRDefault="00A81086" w:rsidP="007D7AB3">
            <w:pPr>
              <w:spacing w:after="0" w:line="240" w:lineRule="auto"/>
              <w:rPr>
                <w:rFonts w:cstheme="minorHAnsi"/>
                <w:b/>
                <w:bCs/>
              </w:rPr>
            </w:pPr>
            <w:r w:rsidRPr="00290829">
              <w:rPr>
                <w:rFonts w:cstheme="minorHAnsi"/>
                <w:b/>
                <w:bCs/>
              </w:rPr>
              <w:t>INTERVENTIONS:</w:t>
            </w:r>
          </w:p>
        </w:tc>
        <w:tc>
          <w:tcPr>
            <w:tcW w:w="542" w:type="dxa"/>
            <w:tcBorders>
              <w:top w:val="single" w:sz="12" w:space="0" w:color="262626"/>
              <w:left w:val="single" w:sz="12" w:space="0" w:color="auto"/>
              <w:right w:val="single" w:sz="12" w:space="0" w:color="262626"/>
            </w:tcBorders>
            <w:shd w:val="clear" w:color="auto" w:fill="auto"/>
            <w:vAlign w:val="center"/>
          </w:tcPr>
          <w:p w14:paraId="255F63CC" w14:textId="77777777" w:rsidR="00A81086" w:rsidRPr="00290829" w:rsidRDefault="00A81086" w:rsidP="007D7AB3">
            <w:pPr>
              <w:spacing w:after="0" w:line="240" w:lineRule="auto"/>
              <w:jc w:val="center"/>
              <w:rPr>
                <w:rFonts w:cstheme="minorHAnsi"/>
              </w:rPr>
            </w:pPr>
          </w:p>
        </w:tc>
        <w:tc>
          <w:tcPr>
            <w:tcW w:w="553" w:type="dxa"/>
            <w:tcBorders>
              <w:top w:val="single" w:sz="12" w:space="0" w:color="262626"/>
              <w:left w:val="single" w:sz="12" w:space="0" w:color="262626"/>
              <w:right w:val="single" w:sz="12" w:space="0" w:color="262626"/>
            </w:tcBorders>
            <w:shd w:val="clear" w:color="auto" w:fill="auto"/>
            <w:vAlign w:val="center"/>
          </w:tcPr>
          <w:p w14:paraId="57844B45" w14:textId="77777777" w:rsidR="00A81086" w:rsidRPr="00290829" w:rsidRDefault="00A81086" w:rsidP="007D7AB3">
            <w:pPr>
              <w:spacing w:after="0" w:line="240" w:lineRule="auto"/>
              <w:jc w:val="center"/>
              <w:rPr>
                <w:rFonts w:cstheme="minorHAnsi"/>
              </w:rPr>
            </w:pPr>
          </w:p>
        </w:tc>
        <w:tc>
          <w:tcPr>
            <w:tcW w:w="369" w:type="dxa"/>
            <w:tcBorders>
              <w:top w:val="single" w:sz="12" w:space="0" w:color="262626"/>
              <w:left w:val="single" w:sz="12" w:space="0" w:color="262626"/>
              <w:bottom w:val="single" w:sz="6" w:space="0" w:color="262626"/>
            </w:tcBorders>
            <w:shd w:val="clear" w:color="auto" w:fill="auto"/>
            <w:vAlign w:val="center"/>
          </w:tcPr>
          <w:p w14:paraId="09487ED2" w14:textId="77777777" w:rsidR="00A81086" w:rsidRPr="00290829" w:rsidRDefault="00A81086" w:rsidP="007D7AB3">
            <w:pPr>
              <w:spacing w:after="0" w:line="240" w:lineRule="auto"/>
              <w:jc w:val="center"/>
              <w:rPr>
                <w:rFonts w:cstheme="minorHAnsi"/>
              </w:rPr>
            </w:pPr>
          </w:p>
        </w:tc>
        <w:tc>
          <w:tcPr>
            <w:tcW w:w="368" w:type="dxa"/>
            <w:tcBorders>
              <w:top w:val="single" w:sz="12" w:space="0" w:color="262626"/>
              <w:bottom w:val="single" w:sz="6" w:space="0" w:color="262626"/>
            </w:tcBorders>
            <w:vAlign w:val="center"/>
          </w:tcPr>
          <w:p w14:paraId="3D35EF38" w14:textId="77777777" w:rsidR="00A81086" w:rsidRPr="00290829" w:rsidRDefault="00A81086" w:rsidP="007D7AB3">
            <w:pPr>
              <w:spacing w:after="0" w:line="240" w:lineRule="auto"/>
              <w:jc w:val="center"/>
              <w:rPr>
                <w:rFonts w:cstheme="minorHAnsi"/>
              </w:rPr>
            </w:pPr>
          </w:p>
        </w:tc>
        <w:tc>
          <w:tcPr>
            <w:tcW w:w="492" w:type="dxa"/>
            <w:tcBorders>
              <w:top w:val="single" w:sz="12" w:space="0" w:color="262626"/>
              <w:bottom w:val="single" w:sz="6" w:space="0" w:color="262626"/>
            </w:tcBorders>
            <w:vAlign w:val="center"/>
          </w:tcPr>
          <w:p w14:paraId="59270245" w14:textId="77777777" w:rsidR="00A81086" w:rsidRPr="00290829" w:rsidRDefault="00A81086" w:rsidP="007D7AB3">
            <w:pPr>
              <w:spacing w:after="0" w:line="240" w:lineRule="auto"/>
              <w:jc w:val="center"/>
              <w:rPr>
                <w:rFonts w:cstheme="minorHAnsi"/>
              </w:rPr>
            </w:pPr>
          </w:p>
        </w:tc>
        <w:tc>
          <w:tcPr>
            <w:tcW w:w="577" w:type="dxa"/>
            <w:tcBorders>
              <w:top w:val="single" w:sz="12" w:space="0" w:color="262626"/>
              <w:bottom w:val="single" w:sz="6" w:space="0" w:color="262626"/>
              <w:right w:val="single" w:sz="6" w:space="0" w:color="262626"/>
            </w:tcBorders>
            <w:shd w:val="clear" w:color="auto" w:fill="auto"/>
            <w:vAlign w:val="center"/>
          </w:tcPr>
          <w:p w14:paraId="488F037B" w14:textId="77777777" w:rsidR="00A81086" w:rsidRPr="00290829" w:rsidRDefault="00A81086" w:rsidP="007D7AB3">
            <w:pPr>
              <w:spacing w:after="0" w:line="240" w:lineRule="auto"/>
              <w:jc w:val="center"/>
              <w:rPr>
                <w:rFonts w:cstheme="minorHAnsi"/>
              </w:rPr>
            </w:pPr>
          </w:p>
        </w:tc>
        <w:tc>
          <w:tcPr>
            <w:tcW w:w="539" w:type="dxa"/>
            <w:tcBorders>
              <w:top w:val="single" w:sz="12" w:space="0" w:color="262626"/>
              <w:left w:val="single" w:sz="6" w:space="0" w:color="262626"/>
              <w:right w:val="single" w:sz="12" w:space="0" w:color="auto"/>
            </w:tcBorders>
          </w:tcPr>
          <w:p w14:paraId="31856D89" w14:textId="77777777" w:rsidR="00A81086" w:rsidRPr="00290829" w:rsidRDefault="00A81086" w:rsidP="007D7AB3">
            <w:pPr>
              <w:spacing w:after="0" w:line="240" w:lineRule="auto"/>
              <w:jc w:val="center"/>
              <w:rPr>
                <w:rFonts w:cstheme="minorHAnsi"/>
              </w:rPr>
            </w:pPr>
          </w:p>
        </w:tc>
        <w:tc>
          <w:tcPr>
            <w:tcW w:w="1417" w:type="dxa"/>
            <w:tcBorders>
              <w:top w:val="single" w:sz="12" w:space="0" w:color="262626"/>
              <w:left w:val="single" w:sz="12" w:space="0" w:color="auto"/>
              <w:right w:val="single" w:sz="12" w:space="0" w:color="auto"/>
            </w:tcBorders>
          </w:tcPr>
          <w:p w14:paraId="66C7F12A" w14:textId="77777777" w:rsidR="00A81086" w:rsidRPr="00290829" w:rsidRDefault="00A81086" w:rsidP="007D7AB3">
            <w:pPr>
              <w:spacing w:after="0" w:line="240" w:lineRule="auto"/>
              <w:jc w:val="center"/>
              <w:rPr>
                <w:rFonts w:cstheme="minorHAnsi"/>
              </w:rPr>
            </w:pPr>
          </w:p>
        </w:tc>
        <w:tc>
          <w:tcPr>
            <w:tcW w:w="1421" w:type="dxa"/>
            <w:tcBorders>
              <w:top w:val="single" w:sz="12" w:space="0" w:color="262626"/>
              <w:left w:val="single" w:sz="12" w:space="0" w:color="auto"/>
              <w:right w:val="single" w:sz="8" w:space="0" w:color="262626"/>
            </w:tcBorders>
            <w:shd w:val="clear" w:color="auto" w:fill="auto"/>
            <w:vAlign w:val="center"/>
          </w:tcPr>
          <w:p w14:paraId="1F7BD4A4" w14:textId="77777777" w:rsidR="00A81086" w:rsidRPr="00290829" w:rsidRDefault="00A81086" w:rsidP="007D7AB3">
            <w:pPr>
              <w:spacing w:after="0" w:line="240" w:lineRule="auto"/>
              <w:jc w:val="center"/>
              <w:rPr>
                <w:rFonts w:cstheme="minorHAnsi"/>
              </w:rPr>
            </w:pPr>
          </w:p>
        </w:tc>
      </w:tr>
      <w:tr w:rsidR="00A81086" w:rsidRPr="00290829" w14:paraId="698F3C39" w14:textId="77777777" w:rsidTr="007D7AB3">
        <w:trPr>
          <w:trHeight w:val="20"/>
        </w:trPr>
        <w:tc>
          <w:tcPr>
            <w:tcW w:w="2939" w:type="dxa"/>
            <w:tcBorders>
              <w:top w:val="nil"/>
              <w:bottom w:val="nil"/>
              <w:right w:val="single" w:sz="12" w:space="0" w:color="auto"/>
            </w:tcBorders>
            <w:shd w:val="clear" w:color="auto" w:fill="auto"/>
            <w:vAlign w:val="center"/>
          </w:tcPr>
          <w:p w14:paraId="52E38719" w14:textId="77777777" w:rsidR="00A81086" w:rsidRPr="00290829" w:rsidRDefault="00A81086" w:rsidP="007D7AB3">
            <w:pPr>
              <w:spacing w:after="0" w:line="240" w:lineRule="auto"/>
              <w:rPr>
                <w:rFonts w:cstheme="minorHAnsi"/>
                <w:iCs/>
              </w:rPr>
            </w:pPr>
            <w:r w:rsidRPr="00290829">
              <w:rPr>
                <w:rFonts w:cstheme="minorHAnsi"/>
                <w:bCs/>
                <w:spacing w:val="2"/>
              </w:rPr>
              <w:t xml:space="preserve">EMPathicO </w:t>
            </w:r>
            <w:r w:rsidRPr="00290829">
              <w:rPr>
                <w:rFonts w:cstheme="minorHAnsi"/>
                <w:iCs/>
              </w:rPr>
              <w:t>training</w:t>
            </w:r>
          </w:p>
        </w:tc>
        <w:tc>
          <w:tcPr>
            <w:tcW w:w="542" w:type="dxa"/>
            <w:tcBorders>
              <w:left w:val="single" w:sz="12" w:space="0" w:color="auto"/>
              <w:right w:val="single" w:sz="12" w:space="0" w:color="262626"/>
            </w:tcBorders>
            <w:shd w:val="clear" w:color="auto" w:fill="auto"/>
            <w:vAlign w:val="center"/>
          </w:tcPr>
          <w:p w14:paraId="7DC2ABB6"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right w:val="single" w:sz="12" w:space="0" w:color="262626"/>
            </w:tcBorders>
            <w:shd w:val="clear" w:color="auto" w:fill="auto"/>
            <w:vAlign w:val="center"/>
          </w:tcPr>
          <w:p w14:paraId="304258F5" w14:textId="77777777" w:rsidR="00A81086" w:rsidRPr="00290829" w:rsidRDefault="00A81086" w:rsidP="007D7AB3">
            <w:pPr>
              <w:spacing w:after="0" w:line="240" w:lineRule="auto"/>
              <w:jc w:val="center"/>
              <w:rPr>
                <w:rFonts w:cstheme="minorHAnsi"/>
              </w:rPr>
            </w:pPr>
          </w:p>
        </w:tc>
        <w:tc>
          <w:tcPr>
            <w:tcW w:w="369" w:type="dxa"/>
            <w:tcBorders>
              <w:top w:val="single" w:sz="6" w:space="0" w:color="262626"/>
              <w:left w:val="single" w:sz="12" w:space="0" w:color="262626"/>
              <w:bottom w:val="single" w:sz="6" w:space="0" w:color="262626"/>
            </w:tcBorders>
            <w:shd w:val="clear" w:color="auto" w:fill="808080" w:themeFill="background1" w:themeFillShade="80"/>
            <w:vAlign w:val="center"/>
          </w:tcPr>
          <w:p w14:paraId="7C5B81F2" w14:textId="77777777" w:rsidR="00A81086" w:rsidRPr="00290829" w:rsidRDefault="00A81086" w:rsidP="007D7AB3">
            <w:pPr>
              <w:spacing w:after="0" w:line="240" w:lineRule="auto"/>
              <w:jc w:val="center"/>
              <w:rPr>
                <w:rFonts w:cstheme="minorHAnsi"/>
              </w:rPr>
            </w:pPr>
          </w:p>
        </w:tc>
        <w:tc>
          <w:tcPr>
            <w:tcW w:w="368" w:type="dxa"/>
            <w:tcBorders>
              <w:top w:val="single" w:sz="6" w:space="0" w:color="262626"/>
              <w:bottom w:val="single" w:sz="6" w:space="0" w:color="262626"/>
            </w:tcBorders>
            <w:shd w:val="clear" w:color="auto" w:fill="808080" w:themeFill="background1" w:themeFillShade="80"/>
            <w:vAlign w:val="center"/>
          </w:tcPr>
          <w:p w14:paraId="5D952409" w14:textId="77777777" w:rsidR="00A81086" w:rsidRPr="00290829" w:rsidRDefault="00A81086" w:rsidP="007D7AB3">
            <w:pPr>
              <w:spacing w:after="0" w:line="240" w:lineRule="auto"/>
              <w:jc w:val="center"/>
              <w:rPr>
                <w:rFonts w:cstheme="minorHAnsi"/>
              </w:rPr>
            </w:pPr>
          </w:p>
        </w:tc>
        <w:tc>
          <w:tcPr>
            <w:tcW w:w="492" w:type="dxa"/>
            <w:tcBorders>
              <w:top w:val="single" w:sz="6" w:space="0" w:color="262626"/>
              <w:bottom w:val="single" w:sz="6" w:space="0" w:color="262626"/>
            </w:tcBorders>
            <w:shd w:val="clear" w:color="auto" w:fill="FFFFFF" w:themeFill="background1"/>
            <w:vAlign w:val="center"/>
          </w:tcPr>
          <w:p w14:paraId="3D9468AD" w14:textId="77777777" w:rsidR="00A81086" w:rsidRPr="00290829" w:rsidRDefault="00A81086" w:rsidP="007D7AB3">
            <w:pPr>
              <w:spacing w:after="0" w:line="240" w:lineRule="auto"/>
              <w:jc w:val="center"/>
              <w:rPr>
                <w:rFonts w:cstheme="minorHAnsi"/>
              </w:rPr>
            </w:pPr>
          </w:p>
        </w:tc>
        <w:tc>
          <w:tcPr>
            <w:tcW w:w="577" w:type="dxa"/>
            <w:tcBorders>
              <w:top w:val="single" w:sz="6" w:space="0" w:color="262626"/>
              <w:bottom w:val="single" w:sz="6" w:space="0" w:color="262626"/>
              <w:right w:val="single" w:sz="6" w:space="0" w:color="262626"/>
            </w:tcBorders>
            <w:shd w:val="clear" w:color="auto" w:fill="auto"/>
            <w:vAlign w:val="center"/>
          </w:tcPr>
          <w:p w14:paraId="018094E9"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right w:val="single" w:sz="12" w:space="0" w:color="auto"/>
            </w:tcBorders>
          </w:tcPr>
          <w:p w14:paraId="3CDD5CE0"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right w:val="single" w:sz="12" w:space="0" w:color="auto"/>
            </w:tcBorders>
          </w:tcPr>
          <w:p w14:paraId="1340D9FE"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auto"/>
            <w:vAlign w:val="center"/>
          </w:tcPr>
          <w:p w14:paraId="39F79155" w14:textId="77777777" w:rsidR="00A81086" w:rsidRPr="00290829" w:rsidRDefault="00A81086" w:rsidP="007D7AB3">
            <w:pPr>
              <w:spacing w:after="0" w:line="240" w:lineRule="auto"/>
              <w:jc w:val="center"/>
              <w:rPr>
                <w:rFonts w:cstheme="minorHAnsi"/>
              </w:rPr>
            </w:pPr>
          </w:p>
        </w:tc>
      </w:tr>
      <w:tr w:rsidR="00A81086" w:rsidRPr="00290829" w14:paraId="51D9045A" w14:textId="77777777" w:rsidTr="007D7AB3">
        <w:trPr>
          <w:trHeight w:val="20"/>
        </w:trPr>
        <w:tc>
          <w:tcPr>
            <w:tcW w:w="2939" w:type="dxa"/>
            <w:tcBorders>
              <w:top w:val="nil"/>
              <w:bottom w:val="nil"/>
              <w:right w:val="single" w:sz="12" w:space="0" w:color="auto"/>
            </w:tcBorders>
            <w:shd w:val="clear" w:color="auto" w:fill="auto"/>
            <w:vAlign w:val="center"/>
          </w:tcPr>
          <w:p w14:paraId="37064873" w14:textId="77777777" w:rsidR="00A81086" w:rsidRPr="00290829" w:rsidRDefault="00A81086" w:rsidP="007D7AB3">
            <w:pPr>
              <w:spacing w:after="0" w:line="240" w:lineRule="auto"/>
              <w:rPr>
                <w:rFonts w:cstheme="minorHAnsi"/>
                <w:iCs/>
              </w:rPr>
            </w:pPr>
            <w:r w:rsidRPr="00290829">
              <w:rPr>
                <w:rFonts w:cstheme="minorHAnsi"/>
                <w:iCs/>
              </w:rPr>
              <w:t>No training (control)</w:t>
            </w:r>
          </w:p>
        </w:tc>
        <w:tc>
          <w:tcPr>
            <w:tcW w:w="542" w:type="dxa"/>
            <w:tcBorders>
              <w:left w:val="single" w:sz="12" w:space="0" w:color="auto"/>
              <w:bottom w:val="single" w:sz="6" w:space="0" w:color="262626"/>
              <w:right w:val="single" w:sz="12" w:space="0" w:color="262626"/>
            </w:tcBorders>
            <w:shd w:val="clear" w:color="auto" w:fill="auto"/>
            <w:vAlign w:val="center"/>
          </w:tcPr>
          <w:p w14:paraId="07163348"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bottom w:val="single" w:sz="6" w:space="0" w:color="262626"/>
              <w:right w:val="single" w:sz="12" w:space="0" w:color="262626"/>
            </w:tcBorders>
            <w:shd w:val="clear" w:color="auto" w:fill="auto"/>
            <w:vAlign w:val="center"/>
          </w:tcPr>
          <w:p w14:paraId="79B9F9EA" w14:textId="77777777" w:rsidR="00A81086" w:rsidRPr="00290829" w:rsidRDefault="00A81086" w:rsidP="007D7AB3">
            <w:pPr>
              <w:spacing w:after="0" w:line="240" w:lineRule="auto"/>
              <w:jc w:val="center"/>
              <w:rPr>
                <w:rFonts w:cstheme="minorHAnsi"/>
              </w:rPr>
            </w:pPr>
          </w:p>
        </w:tc>
        <w:tc>
          <w:tcPr>
            <w:tcW w:w="369" w:type="dxa"/>
            <w:tcBorders>
              <w:top w:val="single" w:sz="6" w:space="0" w:color="262626"/>
              <w:left w:val="single" w:sz="12" w:space="0" w:color="262626"/>
              <w:bottom w:val="single" w:sz="6" w:space="0" w:color="262626"/>
            </w:tcBorders>
            <w:shd w:val="clear" w:color="auto" w:fill="808080" w:themeFill="background1" w:themeFillShade="80"/>
            <w:vAlign w:val="center"/>
          </w:tcPr>
          <w:p w14:paraId="6EB57F04" w14:textId="77777777" w:rsidR="00A81086" w:rsidRPr="00290829" w:rsidRDefault="00A81086" w:rsidP="007D7AB3">
            <w:pPr>
              <w:spacing w:after="0" w:line="240" w:lineRule="auto"/>
              <w:jc w:val="center"/>
              <w:rPr>
                <w:rFonts w:cstheme="minorHAnsi"/>
              </w:rPr>
            </w:pPr>
          </w:p>
        </w:tc>
        <w:tc>
          <w:tcPr>
            <w:tcW w:w="368" w:type="dxa"/>
            <w:tcBorders>
              <w:top w:val="single" w:sz="6" w:space="0" w:color="262626"/>
              <w:bottom w:val="single" w:sz="6" w:space="0" w:color="262626"/>
            </w:tcBorders>
            <w:shd w:val="clear" w:color="auto" w:fill="808080" w:themeFill="background1" w:themeFillShade="80"/>
            <w:vAlign w:val="center"/>
          </w:tcPr>
          <w:p w14:paraId="43D6A3C8" w14:textId="77777777" w:rsidR="00A81086" w:rsidRPr="00290829" w:rsidRDefault="00A81086" w:rsidP="007D7AB3">
            <w:pPr>
              <w:spacing w:after="0" w:line="240" w:lineRule="auto"/>
              <w:jc w:val="center"/>
              <w:rPr>
                <w:rFonts w:cstheme="minorHAnsi"/>
              </w:rPr>
            </w:pPr>
          </w:p>
        </w:tc>
        <w:tc>
          <w:tcPr>
            <w:tcW w:w="492" w:type="dxa"/>
            <w:tcBorders>
              <w:top w:val="single" w:sz="6" w:space="0" w:color="262626"/>
              <w:bottom w:val="single" w:sz="6" w:space="0" w:color="262626"/>
            </w:tcBorders>
            <w:shd w:val="clear" w:color="auto" w:fill="auto"/>
            <w:vAlign w:val="center"/>
          </w:tcPr>
          <w:p w14:paraId="1C55F5B7" w14:textId="77777777" w:rsidR="00A81086" w:rsidRPr="00290829" w:rsidRDefault="00A81086" w:rsidP="007D7AB3">
            <w:pPr>
              <w:spacing w:after="0" w:line="240" w:lineRule="auto"/>
              <w:jc w:val="center"/>
              <w:rPr>
                <w:rFonts w:cstheme="minorHAnsi"/>
              </w:rPr>
            </w:pPr>
          </w:p>
        </w:tc>
        <w:tc>
          <w:tcPr>
            <w:tcW w:w="577" w:type="dxa"/>
            <w:tcBorders>
              <w:top w:val="single" w:sz="6" w:space="0" w:color="262626"/>
              <w:bottom w:val="single" w:sz="6" w:space="0" w:color="262626"/>
              <w:right w:val="single" w:sz="6" w:space="0" w:color="262626"/>
            </w:tcBorders>
            <w:shd w:val="clear" w:color="auto" w:fill="auto"/>
            <w:vAlign w:val="center"/>
          </w:tcPr>
          <w:p w14:paraId="28C040F4"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bottom w:val="single" w:sz="6" w:space="0" w:color="262626"/>
              <w:right w:val="single" w:sz="12" w:space="0" w:color="auto"/>
            </w:tcBorders>
          </w:tcPr>
          <w:p w14:paraId="72889173"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bottom w:val="single" w:sz="6" w:space="0" w:color="262626"/>
              <w:right w:val="single" w:sz="12" w:space="0" w:color="auto"/>
            </w:tcBorders>
          </w:tcPr>
          <w:p w14:paraId="7C40ED8C"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bottom w:val="single" w:sz="6" w:space="0" w:color="262626"/>
              <w:right w:val="single" w:sz="8" w:space="0" w:color="262626"/>
            </w:tcBorders>
            <w:shd w:val="clear" w:color="auto" w:fill="auto"/>
            <w:vAlign w:val="center"/>
          </w:tcPr>
          <w:p w14:paraId="61E60EF7" w14:textId="77777777" w:rsidR="00A81086" w:rsidRPr="00290829" w:rsidRDefault="00A81086" w:rsidP="007D7AB3">
            <w:pPr>
              <w:spacing w:after="0" w:line="240" w:lineRule="auto"/>
              <w:jc w:val="center"/>
              <w:rPr>
                <w:rFonts w:cstheme="minorHAnsi"/>
              </w:rPr>
            </w:pPr>
          </w:p>
        </w:tc>
      </w:tr>
      <w:tr w:rsidR="00A81086" w:rsidRPr="00290829" w14:paraId="3F8421A6" w14:textId="77777777" w:rsidTr="007D7AB3">
        <w:trPr>
          <w:trHeight w:val="20"/>
        </w:trPr>
        <w:tc>
          <w:tcPr>
            <w:tcW w:w="2939" w:type="dxa"/>
            <w:tcBorders>
              <w:top w:val="single" w:sz="12" w:space="0" w:color="262626"/>
              <w:bottom w:val="nil"/>
              <w:right w:val="single" w:sz="12" w:space="0" w:color="auto"/>
            </w:tcBorders>
            <w:shd w:val="clear" w:color="auto" w:fill="auto"/>
            <w:vAlign w:val="center"/>
          </w:tcPr>
          <w:p w14:paraId="0D88DCBF" w14:textId="77777777" w:rsidR="00A81086" w:rsidRPr="00290829" w:rsidRDefault="00A81086" w:rsidP="007D7AB3">
            <w:pPr>
              <w:spacing w:after="0" w:line="240" w:lineRule="auto"/>
              <w:rPr>
                <w:rFonts w:cstheme="minorHAnsi"/>
                <w:b/>
                <w:bCs/>
              </w:rPr>
            </w:pPr>
            <w:r w:rsidRPr="00290829">
              <w:rPr>
                <w:rFonts w:cstheme="minorHAnsi"/>
                <w:b/>
                <w:bCs/>
              </w:rPr>
              <w:t>ASSESSMENTS:</w:t>
            </w:r>
          </w:p>
        </w:tc>
        <w:tc>
          <w:tcPr>
            <w:tcW w:w="542" w:type="dxa"/>
            <w:tcBorders>
              <w:top w:val="single" w:sz="12" w:space="0" w:color="262626"/>
              <w:left w:val="single" w:sz="12" w:space="0" w:color="auto"/>
              <w:right w:val="single" w:sz="12" w:space="0" w:color="262626"/>
            </w:tcBorders>
            <w:shd w:val="clear" w:color="auto" w:fill="auto"/>
            <w:vAlign w:val="center"/>
          </w:tcPr>
          <w:p w14:paraId="56893C04" w14:textId="77777777" w:rsidR="00A81086" w:rsidRPr="00290829" w:rsidRDefault="00A81086" w:rsidP="007D7AB3">
            <w:pPr>
              <w:spacing w:after="0" w:line="240" w:lineRule="auto"/>
              <w:jc w:val="center"/>
              <w:rPr>
                <w:rFonts w:cstheme="minorHAnsi"/>
              </w:rPr>
            </w:pPr>
          </w:p>
        </w:tc>
        <w:tc>
          <w:tcPr>
            <w:tcW w:w="553" w:type="dxa"/>
            <w:tcBorders>
              <w:top w:val="single" w:sz="12" w:space="0" w:color="262626"/>
              <w:left w:val="single" w:sz="12" w:space="0" w:color="262626"/>
              <w:right w:val="single" w:sz="12" w:space="0" w:color="262626"/>
            </w:tcBorders>
            <w:shd w:val="clear" w:color="auto" w:fill="auto"/>
            <w:vAlign w:val="center"/>
          </w:tcPr>
          <w:p w14:paraId="69D03ADF" w14:textId="77777777" w:rsidR="00A81086" w:rsidRPr="00290829" w:rsidRDefault="00A81086" w:rsidP="007D7AB3">
            <w:pPr>
              <w:spacing w:after="0" w:line="240" w:lineRule="auto"/>
              <w:jc w:val="center"/>
              <w:rPr>
                <w:rFonts w:cstheme="minorHAnsi"/>
              </w:rPr>
            </w:pPr>
          </w:p>
        </w:tc>
        <w:tc>
          <w:tcPr>
            <w:tcW w:w="369" w:type="dxa"/>
            <w:tcBorders>
              <w:top w:val="single" w:sz="12" w:space="0" w:color="262626"/>
              <w:left w:val="single" w:sz="12" w:space="0" w:color="262626"/>
            </w:tcBorders>
            <w:shd w:val="clear" w:color="auto" w:fill="auto"/>
            <w:vAlign w:val="center"/>
          </w:tcPr>
          <w:p w14:paraId="746F598C" w14:textId="77777777" w:rsidR="00A81086" w:rsidRPr="00290829" w:rsidRDefault="00A81086" w:rsidP="007D7AB3">
            <w:pPr>
              <w:spacing w:after="0" w:line="240" w:lineRule="auto"/>
              <w:jc w:val="center"/>
              <w:rPr>
                <w:rFonts w:cstheme="minorHAnsi"/>
              </w:rPr>
            </w:pPr>
          </w:p>
        </w:tc>
        <w:tc>
          <w:tcPr>
            <w:tcW w:w="368" w:type="dxa"/>
            <w:tcBorders>
              <w:top w:val="single" w:sz="12" w:space="0" w:color="262626"/>
            </w:tcBorders>
            <w:vAlign w:val="center"/>
          </w:tcPr>
          <w:p w14:paraId="6ECB3635" w14:textId="77777777" w:rsidR="00A81086" w:rsidRPr="00290829" w:rsidRDefault="00A81086" w:rsidP="007D7AB3">
            <w:pPr>
              <w:spacing w:after="0" w:line="240" w:lineRule="auto"/>
              <w:jc w:val="center"/>
              <w:rPr>
                <w:rFonts w:cstheme="minorHAnsi"/>
              </w:rPr>
            </w:pPr>
          </w:p>
        </w:tc>
        <w:tc>
          <w:tcPr>
            <w:tcW w:w="492" w:type="dxa"/>
            <w:tcBorders>
              <w:top w:val="single" w:sz="12" w:space="0" w:color="262626"/>
            </w:tcBorders>
            <w:vAlign w:val="center"/>
          </w:tcPr>
          <w:p w14:paraId="04EB9441" w14:textId="77777777" w:rsidR="00A81086" w:rsidRPr="00290829" w:rsidRDefault="00A81086" w:rsidP="007D7AB3">
            <w:pPr>
              <w:spacing w:after="0" w:line="240" w:lineRule="auto"/>
              <w:jc w:val="center"/>
              <w:rPr>
                <w:rFonts w:cstheme="minorHAnsi"/>
              </w:rPr>
            </w:pPr>
          </w:p>
        </w:tc>
        <w:tc>
          <w:tcPr>
            <w:tcW w:w="577" w:type="dxa"/>
            <w:tcBorders>
              <w:top w:val="single" w:sz="12" w:space="0" w:color="262626"/>
              <w:right w:val="single" w:sz="6" w:space="0" w:color="262626"/>
            </w:tcBorders>
            <w:shd w:val="clear" w:color="auto" w:fill="auto"/>
            <w:vAlign w:val="center"/>
          </w:tcPr>
          <w:p w14:paraId="5CA344F9" w14:textId="77777777" w:rsidR="00A81086" w:rsidRPr="00290829" w:rsidRDefault="00A81086" w:rsidP="007D7AB3">
            <w:pPr>
              <w:spacing w:after="0" w:line="240" w:lineRule="auto"/>
              <w:jc w:val="center"/>
              <w:rPr>
                <w:rFonts w:cstheme="minorHAnsi"/>
              </w:rPr>
            </w:pPr>
          </w:p>
        </w:tc>
        <w:tc>
          <w:tcPr>
            <w:tcW w:w="539" w:type="dxa"/>
            <w:tcBorders>
              <w:top w:val="single" w:sz="12" w:space="0" w:color="262626"/>
              <w:left w:val="single" w:sz="6" w:space="0" w:color="262626"/>
              <w:right w:val="single" w:sz="12" w:space="0" w:color="auto"/>
            </w:tcBorders>
          </w:tcPr>
          <w:p w14:paraId="7E99E99B" w14:textId="77777777" w:rsidR="00A81086" w:rsidRPr="00290829" w:rsidRDefault="00A81086" w:rsidP="007D7AB3">
            <w:pPr>
              <w:spacing w:after="0" w:line="240" w:lineRule="auto"/>
              <w:jc w:val="center"/>
              <w:rPr>
                <w:rFonts w:cstheme="minorHAnsi"/>
              </w:rPr>
            </w:pPr>
          </w:p>
        </w:tc>
        <w:tc>
          <w:tcPr>
            <w:tcW w:w="1417" w:type="dxa"/>
            <w:tcBorders>
              <w:top w:val="single" w:sz="12" w:space="0" w:color="262626"/>
              <w:left w:val="single" w:sz="12" w:space="0" w:color="auto"/>
              <w:right w:val="single" w:sz="12" w:space="0" w:color="auto"/>
            </w:tcBorders>
          </w:tcPr>
          <w:p w14:paraId="71A3E7C0" w14:textId="77777777" w:rsidR="00A81086" w:rsidRPr="00290829" w:rsidRDefault="00A81086" w:rsidP="007D7AB3">
            <w:pPr>
              <w:spacing w:after="0" w:line="240" w:lineRule="auto"/>
              <w:jc w:val="center"/>
              <w:rPr>
                <w:rFonts w:cstheme="minorHAnsi"/>
              </w:rPr>
            </w:pPr>
          </w:p>
        </w:tc>
        <w:tc>
          <w:tcPr>
            <w:tcW w:w="1421" w:type="dxa"/>
            <w:tcBorders>
              <w:top w:val="single" w:sz="12" w:space="0" w:color="262626"/>
              <w:left w:val="single" w:sz="12" w:space="0" w:color="auto"/>
              <w:right w:val="single" w:sz="8" w:space="0" w:color="262626"/>
            </w:tcBorders>
            <w:shd w:val="clear" w:color="auto" w:fill="auto"/>
            <w:vAlign w:val="center"/>
          </w:tcPr>
          <w:p w14:paraId="37FEA81D" w14:textId="77777777" w:rsidR="00A81086" w:rsidRPr="00290829" w:rsidRDefault="00A81086" w:rsidP="007D7AB3">
            <w:pPr>
              <w:spacing w:after="0" w:line="240" w:lineRule="auto"/>
              <w:jc w:val="center"/>
              <w:rPr>
                <w:rFonts w:cstheme="minorHAnsi"/>
              </w:rPr>
            </w:pPr>
          </w:p>
        </w:tc>
      </w:tr>
      <w:tr w:rsidR="00A81086" w:rsidRPr="00290829" w14:paraId="655BF7D7" w14:textId="77777777" w:rsidTr="007D7AB3">
        <w:trPr>
          <w:trHeight w:val="20"/>
        </w:trPr>
        <w:tc>
          <w:tcPr>
            <w:tcW w:w="2939" w:type="dxa"/>
            <w:tcBorders>
              <w:top w:val="nil"/>
              <w:bottom w:val="nil"/>
              <w:right w:val="single" w:sz="12" w:space="0" w:color="auto"/>
            </w:tcBorders>
            <w:shd w:val="clear" w:color="auto" w:fill="auto"/>
            <w:vAlign w:val="bottom"/>
          </w:tcPr>
          <w:p w14:paraId="4B0BB139" w14:textId="77777777" w:rsidR="00A81086" w:rsidRPr="00290829" w:rsidRDefault="00A81086" w:rsidP="007D7AB3">
            <w:pPr>
              <w:spacing w:after="0" w:line="240" w:lineRule="auto"/>
              <w:rPr>
                <w:rFonts w:cstheme="minorHAnsi"/>
                <w:iCs/>
              </w:rPr>
            </w:pPr>
            <w:r>
              <w:rPr>
                <w:rFonts w:cstheme="minorHAnsi"/>
                <w:iCs/>
              </w:rPr>
              <w:t>Demographic and professional characteristics</w:t>
            </w:r>
          </w:p>
        </w:tc>
        <w:tc>
          <w:tcPr>
            <w:tcW w:w="542" w:type="dxa"/>
            <w:tcBorders>
              <w:left w:val="single" w:sz="12" w:space="0" w:color="auto"/>
              <w:right w:val="single" w:sz="12" w:space="0" w:color="262626"/>
            </w:tcBorders>
            <w:shd w:val="clear" w:color="auto" w:fill="auto"/>
            <w:vAlign w:val="center"/>
          </w:tcPr>
          <w:p w14:paraId="1A9AC255" w14:textId="77777777" w:rsidR="00A81086" w:rsidRPr="00290829" w:rsidRDefault="00A81086" w:rsidP="007D7AB3">
            <w:pPr>
              <w:spacing w:after="0" w:line="240" w:lineRule="auto"/>
              <w:jc w:val="center"/>
              <w:rPr>
                <w:rFonts w:cstheme="minorHAnsi"/>
              </w:rPr>
            </w:pPr>
            <w:r>
              <w:rPr>
                <w:rFonts w:cstheme="minorHAnsi"/>
              </w:rPr>
              <w:t>X</w:t>
            </w:r>
          </w:p>
        </w:tc>
        <w:tc>
          <w:tcPr>
            <w:tcW w:w="553" w:type="dxa"/>
            <w:tcBorders>
              <w:left w:val="single" w:sz="12" w:space="0" w:color="262626"/>
              <w:right w:val="single" w:sz="12" w:space="0" w:color="262626"/>
            </w:tcBorders>
            <w:shd w:val="clear" w:color="auto" w:fill="auto"/>
            <w:vAlign w:val="center"/>
          </w:tcPr>
          <w:p w14:paraId="3E1DFC90"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auto"/>
            <w:vAlign w:val="center"/>
          </w:tcPr>
          <w:p w14:paraId="1F6EF74E" w14:textId="77777777" w:rsidR="00A81086" w:rsidRPr="00290829" w:rsidRDefault="00A81086" w:rsidP="007D7AB3">
            <w:pPr>
              <w:spacing w:after="0" w:line="240" w:lineRule="auto"/>
              <w:jc w:val="center"/>
              <w:rPr>
                <w:rFonts w:cstheme="minorHAnsi"/>
              </w:rPr>
            </w:pPr>
          </w:p>
        </w:tc>
        <w:tc>
          <w:tcPr>
            <w:tcW w:w="368" w:type="dxa"/>
            <w:vAlign w:val="center"/>
          </w:tcPr>
          <w:p w14:paraId="7F1240C0" w14:textId="77777777" w:rsidR="00A81086" w:rsidRPr="00290829" w:rsidRDefault="00A81086" w:rsidP="007D7AB3">
            <w:pPr>
              <w:spacing w:after="0" w:line="240" w:lineRule="auto"/>
              <w:jc w:val="center"/>
              <w:rPr>
                <w:rFonts w:cstheme="minorHAnsi"/>
              </w:rPr>
            </w:pPr>
          </w:p>
        </w:tc>
        <w:tc>
          <w:tcPr>
            <w:tcW w:w="492" w:type="dxa"/>
            <w:vAlign w:val="center"/>
          </w:tcPr>
          <w:p w14:paraId="7A4B08A6"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auto"/>
            <w:vAlign w:val="center"/>
          </w:tcPr>
          <w:p w14:paraId="2B97AEBC"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right w:val="single" w:sz="12" w:space="0" w:color="auto"/>
            </w:tcBorders>
          </w:tcPr>
          <w:p w14:paraId="75172175"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right w:val="single" w:sz="12" w:space="0" w:color="auto"/>
            </w:tcBorders>
          </w:tcPr>
          <w:p w14:paraId="136B8A6E"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FFFFFF"/>
            <w:vAlign w:val="center"/>
          </w:tcPr>
          <w:p w14:paraId="1FAA5A6E" w14:textId="77777777" w:rsidR="00A81086" w:rsidRPr="00290829" w:rsidRDefault="00A81086" w:rsidP="007D7AB3">
            <w:pPr>
              <w:spacing w:after="0" w:line="240" w:lineRule="auto"/>
              <w:jc w:val="center"/>
              <w:rPr>
                <w:rFonts w:cstheme="minorHAnsi"/>
              </w:rPr>
            </w:pPr>
          </w:p>
        </w:tc>
      </w:tr>
      <w:tr w:rsidR="00A81086" w:rsidRPr="00290829" w14:paraId="76279E81" w14:textId="77777777" w:rsidTr="007D7AB3">
        <w:trPr>
          <w:trHeight w:val="20"/>
        </w:trPr>
        <w:tc>
          <w:tcPr>
            <w:tcW w:w="2939" w:type="dxa"/>
            <w:tcBorders>
              <w:top w:val="nil"/>
              <w:bottom w:val="nil"/>
              <w:right w:val="single" w:sz="12" w:space="0" w:color="auto"/>
            </w:tcBorders>
            <w:shd w:val="clear" w:color="auto" w:fill="auto"/>
            <w:vAlign w:val="bottom"/>
          </w:tcPr>
          <w:p w14:paraId="143FD0B2" w14:textId="77777777" w:rsidR="00A81086" w:rsidRPr="00290829" w:rsidRDefault="00A81086" w:rsidP="007D7AB3">
            <w:pPr>
              <w:spacing w:after="0" w:line="240" w:lineRule="auto"/>
              <w:rPr>
                <w:rFonts w:cstheme="minorHAnsi"/>
                <w:iCs/>
              </w:rPr>
            </w:pPr>
            <w:r w:rsidRPr="00290829">
              <w:rPr>
                <w:rFonts w:cstheme="minorHAnsi"/>
                <w:iCs/>
              </w:rPr>
              <w:t xml:space="preserve">Self-efficacy for </w:t>
            </w:r>
            <w:r>
              <w:rPr>
                <w:rFonts w:cstheme="minorHAnsi"/>
                <w:bCs/>
                <w:spacing w:val="2"/>
              </w:rPr>
              <w:t>empathy and optimism</w:t>
            </w:r>
          </w:p>
        </w:tc>
        <w:tc>
          <w:tcPr>
            <w:tcW w:w="542" w:type="dxa"/>
            <w:tcBorders>
              <w:left w:val="single" w:sz="12" w:space="0" w:color="auto"/>
              <w:right w:val="single" w:sz="12" w:space="0" w:color="262626"/>
            </w:tcBorders>
            <w:shd w:val="clear" w:color="auto" w:fill="auto"/>
            <w:vAlign w:val="center"/>
          </w:tcPr>
          <w:p w14:paraId="6F35EB1E"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553" w:type="dxa"/>
            <w:tcBorders>
              <w:left w:val="single" w:sz="12" w:space="0" w:color="262626"/>
              <w:right w:val="single" w:sz="12" w:space="0" w:color="262626"/>
            </w:tcBorders>
            <w:shd w:val="clear" w:color="auto" w:fill="auto"/>
            <w:vAlign w:val="center"/>
          </w:tcPr>
          <w:p w14:paraId="0289CF6B"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auto"/>
            <w:vAlign w:val="center"/>
          </w:tcPr>
          <w:p w14:paraId="7BE6F689" w14:textId="77777777" w:rsidR="00A81086" w:rsidRPr="00290829" w:rsidRDefault="00A81086" w:rsidP="007D7AB3">
            <w:pPr>
              <w:spacing w:after="0" w:line="240" w:lineRule="auto"/>
              <w:jc w:val="center"/>
              <w:rPr>
                <w:rFonts w:cstheme="minorHAnsi"/>
              </w:rPr>
            </w:pPr>
          </w:p>
        </w:tc>
        <w:tc>
          <w:tcPr>
            <w:tcW w:w="368" w:type="dxa"/>
            <w:vAlign w:val="center"/>
          </w:tcPr>
          <w:p w14:paraId="668CEE97" w14:textId="77777777" w:rsidR="00A81086" w:rsidRPr="00290829" w:rsidRDefault="00A81086" w:rsidP="007D7AB3">
            <w:pPr>
              <w:spacing w:after="0" w:line="240" w:lineRule="auto"/>
              <w:jc w:val="center"/>
              <w:rPr>
                <w:rFonts w:cstheme="minorHAnsi"/>
              </w:rPr>
            </w:pPr>
          </w:p>
        </w:tc>
        <w:tc>
          <w:tcPr>
            <w:tcW w:w="492" w:type="dxa"/>
            <w:vAlign w:val="center"/>
          </w:tcPr>
          <w:p w14:paraId="47A9FB56"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auto"/>
            <w:vAlign w:val="center"/>
          </w:tcPr>
          <w:p w14:paraId="5F1BDBF8"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539" w:type="dxa"/>
            <w:tcBorders>
              <w:left w:val="single" w:sz="6" w:space="0" w:color="262626"/>
              <w:right w:val="single" w:sz="12" w:space="0" w:color="auto"/>
            </w:tcBorders>
            <w:vAlign w:val="center"/>
          </w:tcPr>
          <w:p w14:paraId="4AD2AF1B"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1417" w:type="dxa"/>
            <w:tcBorders>
              <w:left w:val="single" w:sz="12" w:space="0" w:color="auto"/>
              <w:right w:val="single" w:sz="12" w:space="0" w:color="auto"/>
            </w:tcBorders>
          </w:tcPr>
          <w:p w14:paraId="0F947BDF"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FFFFFF"/>
            <w:vAlign w:val="center"/>
          </w:tcPr>
          <w:p w14:paraId="4E60E46A" w14:textId="77777777" w:rsidR="00A81086" w:rsidRPr="00290829" w:rsidRDefault="00A81086" w:rsidP="007D7AB3">
            <w:pPr>
              <w:spacing w:after="0" w:line="240" w:lineRule="auto"/>
              <w:jc w:val="center"/>
              <w:rPr>
                <w:rFonts w:cstheme="minorHAnsi"/>
              </w:rPr>
            </w:pPr>
          </w:p>
        </w:tc>
      </w:tr>
      <w:tr w:rsidR="00A81086" w:rsidRPr="00290829" w14:paraId="17D6A806" w14:textId="77777777" w:rsidTr="007D7AB3">
        <w:trPr>
          <w:trHeight w:val="20"/>
        </w:trPr>
        <w:tc>
          <w:tcPr>
            <w:tcW w:w="2939" w:type="dxa"/>
            <w:tcBorders>
              <w:top w:val="nil"/>
              <w:bottom w:val="nil"/>
              <w:right w:val="single" w:sz="12" w:space="0" w:color="auto"/>
            </w:tcBorders>
            <w:shd w:val="clear" w:color="auto" w:fill="auto"/>
            <w:vAlign w:val="bottom"/>
          </w:tcPr>
          <w:p w14:paraId="68F8BF8F" w14:textId="77777777" w:rsidR="00A81086" w:rsidRPr="00290829" w:rsidRDefault="00A81086" w:rsidP="007D7AB3">
            <w:pPr>
              <w:spacing w:after="0" w:line="240" w:lineRule="auto"/>
              <w:rPr>
                <w:rFonts w:cstheme="minorHAnsi"/>
                <w:iCs/>
              </w:rPr>
            </w:pPr>
            <w:r>
              <w:rPr>
                <w:rFonts w:cstheme="minorHAnsi"/>
                <w:iCs/>
              </w:rPr>
              <w:t>E</w:t>
            </w:r>
            <w:r w:rsidRPr="00290829">
              <w:rPr>
                <w:rFonts w:cstheme="minorHAnsi"/>
                <w:iCs/>
              </w:rPr>
              <w:t xml:space="preserve">xpectations, intentions for </w:t>
            </w:r>
            <w:r w:rsidRPr="00290829">
              <w:rPr>
                <w:rFonts w:cstheme="minorHAnsi"/>
                <w:bCs/>
                <w:spacing w:val="2"/>
              </w:rPr>
              <w:t>EMPathicO skills</w:t>
            </w:r>
            <w:r>
              <w:rPr>
                <w:rFonts w:cstheme="minorHAnsi"/>
                <w:bCs/>
                <w:spacing w:val="2"/>
              </w:rPr>
              <w:t xml:space="preserve"> </w:t>
            </w:r>
            <w:r w:rsidRPr="009C44C3">
              <w:rPr>
                <w:rFonts w:cstheme="minorHAnsi"/>
                <w:vertAlign w:val="superscript"/>
              </w:rPr>
              <w:t>1</w:t>
            </w:r>
          </w:p>
        </w:tc>
        <w:tc>
          <w:tcPr>
            <w:tcW w:w="542" w:type="dxa"/>
            <w:tcBorders>
              <w:left w:val="single" w:sz="12" w:space="0" w:color="auto"/>
              <w:right w:val="single" w:sz="12" w:space="0" w:color="262626"/>
            </w:tcBorders>
            <w:shd w:val="clear" w:color="auto" w:fill="auto"/>
            <w:vAlign w:val="center"/>
          </w:tcPr>
          <w:p w14:paraId="29D9C52A"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right w:val="single" w:sz="12" w:space="0" w:color="262626"/>
            </w:tcBorders>
            <w:shd w:val="clear" w:color="auto" w:fill="auto"/>
            <w:vAlign w:val="center"/>
          </w:tcPr>
          <w:p w14:paraId="226DAB89"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auto"/>
            <w:vAlign w:val="center"/>
          </w:tcPr>
          <w:p w14:paraId="645A60FD" w14:textId="77777777" w:rsidR="00A81086" w:rsidRPr="00290829" w:rsidRDefault="00A81086" w:rsidP="007D7AB3">
            <w:pPr>
              <w:spacing w:after="0" w:line="240" w:lineRule="auto"/>
              <w:jc w:val="center"/>
              <w:rPr>
                <w:rFonts w:cstheme="minorHAnsi"/>
              </w:rPr>
            </w:pPr>
          </w:p>
        </w:tc>
        <w:tc>
          <w:tcPr>
            <w:tcW w:w="368" w:type="dxa"/>
            <w:vAlign w:val="center"/>
          </w:tcPr>
          <w:p w14:paraId="7A47A8EA" w14:textId="77777777" w:rsidR="00A81086" w:rsidRPr="00290829" w:rsidRDefault="00A81086" w:rsidP="007D7AB3">
            <w:pPr>
              <w:spacing w:after="0" w:line="240" w:lineRule="auto"/>
              <w:jc w:val="center"/>
              <w:rPr>
                <w:rFonts w:cstheme="minorHAnsi"/>
              </w:rPr>
            </w:pPr>
            <w:r>
              <w:rPr>
                <w:rFonts w:cstheme="minorHAnsi"/>
              </w:rPr>
              <w:t>X</w:t>
            </w:r>
          </w:p>
        </w:tc>
        <w:tc>
          <w:tcPr>
            <w:tcW w:w="492" w:type="dxa"/>
            <w:vAlign w:val="center"/>
          </w:tcPr>
          <w:p w14:paraId="2A282580"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auto"/>
            <w:vAlign w:val="center"/>
          </w:tcPr>
          <w:p w14:paraId="61336927" w14:textId="77777777" w:rsidR="00A81086" w:rsidRPr="00290829" w:rsidRDefault="00A81086" w:rsidP="007D7AB3">
            <w:pPr>
              <w:spacing w:after="0" w:line="240" w:lineRule="auto"/>
              <w:jc w:val="center"/>
              <w:rPr>
                <w:rFonts w:cstheme="minorHAnsi"/>
              </w:rPr>
            </w:pPr>
            <w:r>
              <w:rPr>
                <w:rFonts w:cstheme="minorHAnsi"/>
              </w:rPr>
              <w:t>X</w:t>
            </w:r>
          </w:p>
        </w:tc>
        <w:tc>
          <w:tcPr>
            <w:tcW w:w="539" w:type="dxa"/>
            <w:tcBorders>
              <w:left w:val="single" w:sz="6" w:space="0" w:color="262626"/>
              <w:right w:val="single" w:sz="12" w:space="0" w:color="auto"/>
            </w:tcBorders>
            <w:vAlign w:val="center"/>
          </w:tcPr>
          <w:p w14:paraId="0C55EC37" w14:textId="77777777" w:rsidR="00A81086" w:rsidRPr="00290829" w:rsidRDefault="00A81086" w:rsidP="007D7AB3">
            <w:pPr>
              <w:spacing w:after="0" w:line="240" w:lineRule="auto"/>
              <w:jc w:val="center"/>
              <w:rPr>
                <w:rFonts w:cstheme="minorHAnsi"/>
              </w:rPr>
            </w:pPr>
            <w:r>
              <w:rPr>
                <w:rFonts w:cstheme="minorHAnsi"/>
              </w:rPr>
              <w:t>X</w:t>
            </w:r>
          </w:p>
        </w:tc>
        <w:tc>
          <w:tcPr>
            <w:tcW w:w="1417" w:type="dxa"/>
            <w:tcBorders>
              <w:left w:val="single" w:sz="12" w:space="0" w:color="auto"/>
              <w:right w:val="single" w:sz="12" w:space="0" w:color="auto"/>
            </w:tcBorders>
          </w:tcPr>
          <w:p w14:paraId="5753B4CC"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FFFFFF"/>
            <w:vAlign w:val="center"/>
          </w:tcPr>
          <w:p w14:paraId="414BE681" w14:textId="77777777" w:rsidR="00A81086" w:rsidRPr="00290829" w:rsidRDefault="00A81086" w:rsidP="007D7AB3">
            <w:pPr>
              <w:spacing w:after="0" w:line="240" w:lineRule="auto"/>
              <w:jc w:val="center"/>
              <w:rPr>
                <w:rFonts w:cstheme="minorHAnsi"/>
              </w:rPr>
            </w:pPr>
          </w:p>
        </w:tc>
      </w:tr>
      <w:tr w:rsidR="00A81086" w:rsidRPr="00290829" w14:paraId="4991E1BE" w14:textId="77777777" w:rsidTr="007D7AB3">
        <w:trPr>
          <w:trHeight w:val="20"/>
        </w:trPr>
        <w:tc>
          <w:tcPr>
            <w:tcW w:w="2939" w:type="dxa"/>
            <w:tcBorders>
              <w:top w:val="nil"/>
              <w:bottom w:val="nil"/>
              <w:right w:val="single" w:sz="12" w:space="0" w:color="auto"/>
            </w:tcBorders>
            <w:shd w:val="clear" w:color="auto" w:fill="auto"/>
            <w:vAlign w:val="bottom"/>
          </w:tcPr>
          <w:p w14:paraId="20F8BAC2" w14:textId="77777777" w:rsidR="00A81086" w:rsidRPr="00290829" w:rsidRDefault="00A81086" w:rsidP="007D7AB3">
            <w:pPr>
              <w:spacing w:after="0" w:line="240" w:lineRule="auto"/>
              <w:rPr>
                <w:rFonts w:cstheme="minorHAnsi"/>
                <w:iCs/>
              </w:rPr>
            </w:pPr>
            <w:r w:rsidRPr="00290829">
              <w:rPr>
                <w:rFonts w:cstheme="minorHAnsi"/>
                <w:iCs/>
              </w:rPr>
              <w:t>Practitioner-reported other training</w:t>
            </w:r>
          </w:p>
        </w:tc>
        <w:tc>
          <w:tcPr>
            <w:tcW w:w="542" w:type="dxa"/>
            <w:tcBorders>
              <w:left w:val="single" w:sz="12" w:space="0" w:color="auto"/>
              <w:right w:val="single" w:sz="12" w:space="0" w:color="262626"/>
            </w:tcBorders>
            <w:shd w:val="clear" w:color="auto" w:fill="auto"/>
            <w:vAlign w:val="center"/>
          </w:tcPr>
          <w:p w14:paraId="01217062"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right w:val="single" w:sz="12" w:space="0" w:color="262626"/>
            </w:tcBorders>
            <w:shd w:val="clear" w:color="auto" w:fill="auto"/>
            <w:vAlign w:val="center"/>
          </w:tcPr>
          <w:p w14:paraId="7AE11326"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auto"/>
            <w:vAlign w:val="center"/>
          </w:tcPr>
          <w:p w14:paraId="27A897D0" w14:textId="77777777" w:rsidR="00A81086" w:rsidRPr="00290829" w:rsidRDefault="00A81086" w:rsidP="007D7AB3">
            <w:pPr>
              <w:spacing w:after="0" w:line="240" w:lineRule="auto"/>
              <w:jc w:val="center"/>
              <w:rPr>
                <w:rFonts w:cstheme="minorHAnsi"/>
              </w:rPr>
            </w:pPr>
          </w:p>
        </w:tc>
        <w:tc>
          <w:tcPr>
            <w:tcW w:w="368" w:type="dxa"/>
            <w:vAlign w:val="center"/>
          </w:tcPr>
          <w:p w14:paraId="09D4C116" w14:textId="77777777" w:rsidR="00A81086" w:rsidRPr="00290829" w:rsidRDefault="00A81086" w:rsidP="007D7AB3">
            <w:pPr>
              <w:spacing w:after="0" w:line="240" w:lineRule="auto"/>
              <w:jc w:val="center"/>
              <w:rPr>
                <w:rFonts w:cstheme="minorHAnsi"/>
              </w:rPr>
            </w:pPr>
          </w:p>
        </w:tc>
        <w:tc>
          <w:tcPr>
            <w:tcW w:w="492" w:type="dxa"/>
            <w:vAlign w:val="center"/>
          </w:tcPr>
          <w:p w14:paraId="42001726"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auto"/>
            <w:vAlign w:val="center"/>
          </w:tcPr>
          <w:p w14:paraId="1884E273" w14:textId="77777777" w:rsidR="00A81086" w:rsidRPr="00290829" w:rsidRDefault="00A81086" w:rsidP="007D7AB3">
            <w:pPr>
              <w:spacing w:after="0" w:line="240" w:lineRule="auto"/>
              <w:jc w:val="center"/>
              <w:rPr>
                <w:rFonts w:cstheme="minorHAnsi"/>
              </w:rPr>
            </w:pPr>
            <w:r>
              <w:rPr>
                <w:rFonts w:cstheme="minorHAnsi"/>
              </w:rPr>
              <w:t>X</w:t>
            </w:r>
          </w:p>
        </w:tc>
        <w:tc>
          <w:tcPr>
            <w:tcW w:w="539" w:type="dxa"/>
            <w:tcBorders>
              <w:left w:val="single" w:sz="6" w:space="0" w:color="262626"/>
              <w:right w:val="single" w:sz="12" w:space="0" w:color="auto"/>
            </w:tcBorders>
            <w:vAlign w:val="center"/>
          </w:tcPr>
          <w:p w14:paraId="3CF020DB" w14:textId="77777777" w:rsidR="00A81086" w:rsidRPr="00290829" w:rsidRDefault="00A81086" w:rsidP="007D7AB3">
            <w:pPr>
              <w:spacing w:after="0" w:line="240" w:lineRule="auto"/>
              <w:jc w:val="center"/>
              <w:rPr>
                <w:rFonts w:cstheme="minorHAnsi"/>
              </w:rPr>
            </w:pPr>
            <w:r>
              <w:rPr>
                <w:rFonts w:cstheme="minorHAnsi"/>
              </w:rPr>
              <w:t>X</w:t>
            </w:r>
          </w:p>
        </w:tc>
        <w:tc>
          <w:tcPr>
            <w:tcW w:w="1417" w:type="dxa"/>
            <w:tcBorders>
              <w:left w:val="single" w:sz="12" w:space="0" w:color="auto"/>
              <w:right w:val="single" w:sz="12" w:space="0" w:color="auto"/>
            </w:tcBorders>
          </w:tcPr>
          <w:p w14:paraId="63294B8C"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FFFFFF"/>
            <w:vAlign w:val="center"/>
          </w:tcPr>
          <w:p w14:paraId="42441978" w14:textId="77777777" w:rsidR="00A81086" w:rsidRPr="00290829" w:rsidRDefault="00A81086" w:rsidP="007D7AB3">
            <w:pPr>
              <w:spacing w:after="0" w:line="240" w:lineRule="auto"/>
              <w:jc w:val="center"/>
              <w:rPr>
                <w:rFonts w:cstheme="minorHAnsi"/>
              </w:rPr>
            </w:pPr>
          </w:p>
        </w:tc>
      </w:tr>
      <w:tr w:rsidR="00A81086" w:rsidRPr="00290829" w14:paraId="4FCC2634" w14:textId="77777777" w:rsidTr="007D7AB3">
        <w:trPr>
          <w:trHeight w:val="20"/>
        </w:trPr>
        <w:tc>
          <w:tcPr>
            <w:tcW w:w="2939" w:type="dxa"/>
            <w:tcBorders>
              <w:top w:val="nil"/>
              <w:bottom w:val="nil"/>
              <w:right w:val="single" w:sz="12" w:space="0" w:color="auto"/>
            </w:tcBorders>
            <w:shd w:val="clear" w:color="auto" w:fill="auto"/>
            <w:vAlign w:val="bottom"/>
          </w:tcPr>
          <w:p w14:paraId="7C8E04FF" w14:textId="77777777" w:rsidR="00A81086" w:rsidRPr="00290829" w:rsidRDefault="00A81086" w:rsidP="007D7AB3">
            <w:pPr>
              <w:spacing w:after="0" w:line="240" w:lineRule="auto"/>
              <w:rPr>
                <w:rFonts w:cstheme="minorHAnsi"/>
                <w:iCs/>
              </w:rPr>
            </w:pPr>
            <w:r w:rsidRPr="00290829">
              <w:rPr>
                <w:rFonts w:cstheme="minorHAnsi"/>
                <w:iCs/>
              </w:rPr>
              <w:t>Qualitative interview</w:t>
            </w:r>
          </w:p>
        </w:tc>
        <w:tc>
          <w:tcPr>
            <w:tcW w:w="542" w:type="dxa"/>
            <w:tcBorders>
              <w:left w:val="single" w:sz="12" w:space="0" w:color="auto"/>
              <w:bottom w:val="single" w:sz="4" w:space="0" w:color="auto"/>
              <w:right w:val="single" w:sz="12" w:space="0" w:color="262626"/>
            </w:tcBorders>
            <w:shd w:val="clear" w:color="auto" w:fill="auto"/>
            <w:vAlign w:val="center"/>
          </w:tcPr>
          <w:p w14:paraId="6F6295B5"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bottom w:val="single" w:sz="4" w:space="0" w:color="auto"/>
              <w:right w:val="single" w:sz="12" w:space="0" w:color="262626"/>
            </w:tcBorders>
            <w:shd w:val="clear" w:color="auto" w:fill="auto"/>
            <w:vAlign w:val="center"/>
          </w:tcPr>
          <w:p w14:paraId="34163053"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bottom w:val="single" w:sz="4" w:space="0" w:color="auto"/>
            </w:tcBorders>
            <w:shd w:val="clear" w:color="auto" w:fill="auto"/>
            <w:vAlign w:val="center"/>
          </w:tcPr>
          <w:p w14:paraId="5248A576" w14:textId="77777777" w:rsidR="00A81086" w:rsidRPr="00290829" w:rsidRDefault="00A81086" w:rsidP="007D7AB3">
            <w:pPr>
              <w:spacing w:after="0" w:line="240" w:lineRule="auto"/>
              <w:jc w:val="center"/>
              <w:rPr>
                <w:rFonts w:cstheme="minorHAnsi"/>
              </w:rPr>
            </w:pPr>
          </w:p>
        </w:tc>
        <w:tc>
          <w:tcPr>
            <w:tcW w:w="368" w:type="dxa"/>
            <w:tcBorders>
              <w:bottom w:val="single" w:sz="4" w:space="0" w:color="auto"/>
            </w:tcBorders>
            <w:vAlign w:val="center"/>
          </w:tcPr>
          <w:p w14:paraId="48007A61" w14:textId="77777777" w:rsidR="00A81086" w:rsidRPr="00290829" w:rsidRDefault="00A81086" w:rsidP="007D7AB3">
            <w:pPr>
              <w:spacing w:after="0" w:line="240" w:lineRule="auto"/>
              <w:jc w:val="center"/>
              <w:rPr>
                <w:rFonts w:cstheme="minorHAnsi"/>
              </w:rPr>
            </w:pPr>
          </w:p>
        </w:tc>
        <w:tc>
          <w:tcPr>
            <w:tcW w:w="492" w:type="dxa"/>
            <w:tcBorders>
              <w:bottom w:val="single" w:sz="4" w:space="0" w:color="auto"/>
            </w:tcBorders>
            <w:vAlign w:val="center"/>
          </w:tcPr>
          <w:p w14:paraId="5563C543" w14:textId="77777777" w:rsidR="00A81086" w:rsidRPr="00290829" w:rsidRDefault="00A81086" w:rsidP="007D7AB3">
            <w:pPr>
              <w:spacing w:after="0" w:line="240" w:lineRule="auto"/>
              <w:jc w:val="center"/>
              <w:rPr>
                <w:rFonts w:cstheme="minorHAnsi"/>
              </w:rPr>
            </w:pPr>
          </w:p>
        </w:tc>
        <w:tc>
          <w:tcPr>
            <w:tcW w:w="577" w:type="dxa"/>
            <w:tcBorders>
              <w:bottom w:val="single" w:sz="4" w:space="0" w:color="auto"/>
              <w:right w:val="single" w:sz="6" w:space="0" w:color="262626"/>
            </w:tcBorders>
            <w:shd w:val="clear" w:color="auto" w:fill="auto"/>
            <w:vAlign w:val="center"/>
          </w:tcPr>
          <w:p w14:paraId="6F937600"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bottom w:val="single" w:sz="4" w:space="0" w:color="auto"/>
              <w:right w:val="single" w:sz="12" w:space="0" w:color="auto"/>
            </w:tcBorders>
          </w:tcPr>
          <w:p w14:paraId="0722D5F7"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bottom w:val="single" w:sz="4" w:space="0" w:color="auto"/>
              <w:right w:val="single" w:sz="12" w:space="0" w:color="auto"/>
            </w:tcBorders>
          </w:tcPr>
          <w:p w14:paraId="5E7710DD" w14:textId="77777777" w:rsidR="00A81086" w:rsidRPr="00290829" w:rsidRDefault="00A81086" w:rsidP="007D7AB3">
            <w:pPr>
              <w:spacing w:after="0" w:line="240" w:lineRule="auto"/>
              <w:jc w:val="center"/>
              <w:rPr>
                <w:rFonts w:cstheme="minorHAnsi"/>
              </w:rPr>
            </w:pPr>
            <w:r w:rsidRPr="00290829">
              <w:rPr>
                <w:rFonts w:cstheme="minorHAnsi"/>
              </w:rPr>
              <w:t>X</w:t>
            </w:r>
          </w:p>
        </w:tc>
        <w:tc>
          <w:tcPr>
            <w:tcW w:w="1421" w:type="dxa"/>
            <w:tcBorders>
              <w:left w:val="single" w:sz="12" w:space="0" w:color="auto"/>
              <w:bottom w:val="single" w:sz="4" w:space="0" w:color="auto"/>
              <w:right w:val="single" w:sz="8" w:space="0" w:color="262626"/>
            </w:tcBorders>
            <w:shd w:val="clear" w:color="auto" w:fill="FFFFFF"/>
            <w:vAlign w:val="center"/>
          </w:tcPr>
          <w:p w14:paraId="18CEC79A" w14:textId="77777777" w:rsidR="00A81086" w:rsidRPr="00290829" w:rsidRDefault="00A81086" w:rsidP="007D7AB3">
            <w:pPr>
              <w:spacing w:after="0" w:line="240" w:lineRule="auto"/>
              <w:jc w:val="center"/>
              <w:rPr>
                <w:rFonts w:cstheme="minorHAnsi"/>
              </w:rPr>
            </w:pPr>
            <w:r w:rsidRPr="00290829">
              <w:rPr>
                <w:rFonts w:cstheme="minorHAnsi"/>
              </w:rPr>
              <w:t>X</w:t>
            </w:r>
            <w:r w:rsidRPr="009C44C3">
              <w:rPr>
                <w:rFonts w:cstheme="minorHAnsi"/>
                <w:vertAlign w:val="superscript"/>
              </w:rPr>
              <w:t>1</w:t>
            </w:r>
          </w:p>
        </w:tc>
      </w:tr>
      <w:tr w:rsidR="00A81086" w:rsidRPr="00290829" w14:paraId="02DE3CD3" w14:textId="77777777" w:rsidTr="007D7AB3">
        <w:trPr>
          <w:trHeight w:val="20"/>
        </w:trPr>
        <w:tc>
          <w:tcPr>
            <w:tcW w:w="2939" w:type="dxa"/>
            <w:tcBorders>
              <w:top w:val="single" w:sz="4" w:space="0" w:color="auto"/>
              <w:bottom w:val="nil"/>
              <w:right w:val="single" w:sz="12" w:space="0" w:color="auto"/>
            </w:tcBorders>
            <w:shd w:val="clear" w:color="auto" w:fill="auto"/>
            <w:vAlign w:val="bottom"/>
          </w:tcPr>
          <w:p w14:paraId="65E268C3" w14:textId="77777777" w:rsidR="00A81086" w:rsidRPr="00290829" w:rsidRDefault="00A81086" w:rsidP="007D7AB3">
            <w:pPr>
              <w:spacing w:after="0" w:line="240" w:lineRule="auto"/>
              <w:rPr>
                <w:rFonts w:cstheme="minorHAnsi"/>
                <w:b/>
                <w:bCs/>
                <w:iCs/>
              </w:rPr>
            </w:pPr>
            <w:r w:rsidRPr="00290829">
              <w:rPr>
                <w:rFonts w:cstheme="minorHAnsi"/>
                <w:b/>
                <w:bCs/>
                <w:iCs/>
              </w:rPr>
              <w:t>PATIENT RECRUITMENT</w:t>
            </w:r>
          </w:p>
        </w:tc>
        <w:tc>
          <w:tcPr>
            <w:tcW w:w="542" w:type="dxa"/>
            <w:tcBorders>
              <w:top w:val="single" w:sz="4" w:space="0" w:color="auto"/>
              <w:left w:val="single" w:sz="12" w:space="0" w:color="auto"/>
              <w:right w:val="single" w:sz="12" w:space="0" w:color="262626"/>
            </w:tcBorders>
            <w:shd w:val="clear" w:color="auto" w:fill="auto"/>
            <w:vAlign w:val="center"/>
          </w:tcPr>
          <w:p w14:paraId="39D9F2CE" w14:textId="77777777" w:rsidR="00A81086" w:rsidRPr="00290829" w:rsidRDefault="00A81086" w:rsidP="007D7AB3">
            <w:pPr>
              <w:spacing w:after="0" w:line="240" w:lineRule="auto"/>
              <w:jc w:val="center"/>
              <w:rPr>
                <w:rFonts w:cstheme="minorHAnsi"/>
              </w:rPr>
            </w:pPr>
          </w:p>
        </w:tc>
        <w:tc>
          <w:tcPr>
            <w:tcW w:w="553" w:type="dxa"/>
            <w:tcBorders>
              <w:top w:val="single" w:sz="4" w:space="0" w:color="auto"/>
              <w:left w:val="single" w:sz="12" w:space="0" w:color="262626"/>
              <w:right w:val="single" w:sz="12" w:space="0" w:color="262626"/>
            </w:tcBorders>
            <w:shd w:val="clear" w:color="auto" w:fill="auto"/>
            <w:vAlign w:val="center"/>
          </w:tcPr>
          <w:p w14:paraId="7944AD3D" w14:textId="77777777" w:rsidR="00A81086" w:rsidRPr="00290829" w:rsidRDefault="00A81086" w:rsidP="007D7AB3">
            <w:pPr>
              <w:spacing w:after="0" w:line="240" w:lineRule="auto"/>
              <w:jc w:val="center"/>
              <w:rPr>
                <w:rFonts w:cstheme="minorHAnsi"/>
              </w:rPr>
            </w:pPr>
          </w:p>
        </w:tc>
        <w:tc>
          <w:tcPr>
            <w:tcW w:w="369" w:type="dxa"/>
            <w:tcBorders>
              <w:top w:val="single" w:sz="4" w:space="0" w:color="auto"/>
              <w:left w:val="single" w:sz="12" w:space="0" w:color="262626"/>
            </w:tcBorders>
            <w:shd w:val="clear" w:color="auto" w:fill="auto"/>
            <w:vAlign w:val="center"/>
          </w:tcPr>
          <w:p w14:paraId="5AB6E649" w14:textId="77777777" w:rsidR="00A81086" w:rsidRPr="00290829" w:rsidRDefault="00A81086" w:rsidP="007D7AB3">
            <w:pPr>
              <w:spacing w:after="0" w:line="240" w:lineRule="auto"/>
              <w:jc w:val="center"/>
              <w:rPr>
                <w:rFonts w:cstheme="minorHAnsi"/>
              </w:rPr>
            </w:pPr>
          </w:p>
        </w:tc>
        <w:tc>
          <w:tcPr>
            <w:tcW w:w="368" w:type="dxa"/>
            <w:tcBorders>
              <w:top w:val="single" w:sz="4" w:space="0" w:color="auto"/>
            </w:tcBorders>
            <w:vAlign w:val="center"/>
          </w:tcPr>
          <w:p w14:paraId="35AD525E" w14:textId="77777777" w:rsidR="00A81086" w:rsidRPr="00290829" w:rsidRDefault="00A81086" w:rsidP="007D7AB3">
            <w:pPr>
              <w:spacing w:after="0" w:line="240" w:lineRule="auto"/>
              <w:jc w:val="center"/>
              <w:rPr>
                <w:rFonts w:cstheme="minorHAnsi"/>
              </w:rPr>
            </w:pPr>
          </w:p>
        </w:tc>
        <w:tc>
          <w:tcPr>
            <w:tcW w:w="492" w:type="dxa"/>
            <w:tcBorders>
              <w:top w:val="single" w:sz="4" w:space="0" w:color="auto"/>
            </w:tcBorders>
            <w:vAlign w:val="center"/>
          </w:tcPr>
          <w:p w14:paraId="553D9D70" w14:textId="77777777" w:rsidR="00A81086" w:rsidRPr="00290829" w:rsidRDefault="00A81086" w:rsidP="007D7AB3">
            <w:pPr>
              <w:spacing w:after="0" w:line="240" w:lineRule="auto"/>
              <w:jc w:val="center"/>
              <w:rPr>
                <w:rFonts w:cstheme="minorHAnsi"/>
              </w:rPr>
            </w:pPr>
          </w:p>
        </w:tc>
        <w:tc>
          <w:tcPr>
            <w:tcW w:w="577" w:type="dxa"/>
            <w:tcBorders>
              <w:top w:val="single" w:sz="4" w:space="0" w:color="auto"/>
              <w:right w:val="single" w:sz="6" w:space="0" w:color="262626"/>
            </w:tcBorders>
            <w:shd w:val="clear" w:color="auto" w:fill="FFFFFF" w:themeFill="background1"/>
            <w:vAlign w:val="center"/>
          </w:tcPr>
          <w:p w14:paraId="37CDC1DB" w14:textId="77777777" w:rsidR="00A81086" w:rsidRPr="00290829" w:rsidRDefault="00A81086" w:rsidP="007D7AB3">
            <w:pPr>
              <w:spacing w:after="0" w:line="240" w:lineRule="auto"/>
              <w:jc w:val="center"/>
              <w:rPr>
                <w:rFonts w:cstheme="minorHAnsi"/>
              </w:rPr>
            </w:pPr>
          </w:p>
        </w:tc>
        <w:tc>
          <w:tcPr>
            <w:tcW w:w="539" w:type="dxa"/>
            <w:tcBorders>
              <w:top w:val="single" w:sz="4" w:space="0" w:color="auto"/>
              <w:left w:val="single" w:sz="6" w:space="0" w:color="262626"/>
              <w:right w:val="single" w:sz="12" w:space="0" w:color="auto"/>
            </w:tcBorders>
            <w:shd w:val="clear" w:color="auto" w:fill="FFFFFF"/>
          </w:tcPr>
          <w:p w14:paraId="6B92C52C" w14:textId="77777777" w:rsidR="00A81086" w:rsidRPr="00290829" w:rsidRDefault="00A81086" w:rsidP="007D7AB3">
            <w:pPr>
              <w:spacing w:after="0" w:line="240" w:lineRule="auto"/>
              <w:jc w:val="center"/>
              <w:rPr>
                <w:rFonts w:cstheme="minorHAnsi"/>
              </w:rPr>
            </w:pPr>
          </w:p>
        </w:tc>
        <w:tc>
          <w:tcPr>
            <w:tcW w:w="1417" w:type="dxa"/>
            <w:tcBorders>
              <w:top w:val="single" w:sz="4" w:space="0" w:color="auto"/>
              <w:left w:val="single" w:sz="12" w:space="0" w:color="auto"/>
              <w:right w:val="single" w:sz="12" w:space="0" w:color="auto"/>
            </w:tcBorders>
            <w:shd w:val="clear" w:color="auto" w:fill="FFFFFF"/>
          </w:tcPr>
          <w:p w14:paraId="78A32849" w14:textId="77777777" w:rsidR="00A81086" w:rsidRPr="00290829" w:rsidRDefault="00A81086" w:rsidP="007D7AB3">
            <w:pPr>
              <w:spacing w:after="0" w:line="240" w:lineRule="auto"/>
              <w:jc w:val="center"/>
              <w:rPr>
                <w:rFonts w:cstheme="minorHAnsi"/>
              </w:rPr>
            </w:pPr>
          </w:p>
        </w:tc>
        <w:tc>
          <w:tcPr>
            <w:tcW w:w="1421" w:type="dxa"/>
            <w:tcBorders>
              <w:top w:val="single" w:sz="4" w:space="0" w:color="auto"/>
              <w:left w:val="single" w:sz="12" w:space="0" w:color="auto"/>
              <w:right w:val="single" w:sz="8" w:space="0" w:color="262626"/>
            </w:tcBorders>
            <w:shd w:val="clear" w:color="auto" w:fill="FFFFFF"/>
            <w:vAlign w:val="center"/>
          </w:tcPr>
          <w:p w14:paraId="264D69BD" w14:textId="77777777" w:rsidR="00A81086" w:rsidRPr="00290829" w:rsidRDefault="00A81086" w:rsidP="007D7AB3">
            <w:pPr>
              <w:spacing w:after="0" w:line="240" w:lineRule="auto"/>
              <w:jc w:val="center"/>
              <w:rPr>
                <w:rFonts w:cstheme="minorHAnsi"/>
              </w:rPr>
            </w:pPr>
          </w:p>
        </w:tc>
      </w:tr>
      <w:tr w:rsidR="00A81086" w:rsidRPr="00290829" w14:paraId="24A4D700" w14:textId="77777777" w:rsidTr="007D7AB3">
        <w:trPr>
          <w:trHeight w:val="20"/>
        </w:trPr>
        <w:tc>
          <w:tcPr>
            <w:tcW w:w="2939" w:type="dxa"/>
            <w:tcBorders>
              <w:top w:val="nil"/>
              <w:bottom w:val="nil"/>
              <w:right w:val="single" w:sz="12" w:space="0" w:color="auto"/>
            </w:tcBorders>
            <w:shd w:val="clear" w:color="auto" w:fill="auto"/>
            <w:vAlign w:val="bottom"/>
          </w:tcPr>
          <w:p w14:paraId="22D010DE" w14:textId="77777777" w:rsidR="00A81086" w:rsidRPr="00290829" w:rsidRDefault="00A81086" w:rsidP="007D7AB3">
            <w:pPr>
              <w:spacing w:after="0" w:line="240" w:lineRule="auto"/>
              <w:rPr>
                <w:rFonts w:cstheme="minorHAnsi"/>
                <w:iCs/>
              </w:rPr>
            </w:pPr>
            <w:r w:rsidRPr="00290829">
              <w:rPr>
                <w:rFonts w:cstheme="minorHAnsi"/>
                <w:iCs/>
              </w:rPr>
              <w:t>Prepare invitations</w:t>
            </w:r>
          </w:p>
        </w:tc>
        <w:tc>
          <w:tcPr>
            <w:tcW w:w="542" w:type="dxa"/>
            <w:tcBorders>
              <w:left w:val="single" w:sz="12" w:space="0" w:color="auto"/>
              <w:right w:val="single" w:sz="12" w:space="0" w:color="262626"/>
            </w:tcBorders>
            <w:shd w:val="clear" w:color="auto" w:fill="auto"/>
            <w:vAlign w:val="center"/>
          </w:tcPr>
          <w:p w14:paraId="2323E08E"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right w:val="single" w:sz="12" w:space="0" w:color="262626"/>
            </w:tcBorders>
            <w:shd w:val="clear" w:color="auto" w:fill="auto"/>
            <w:vAlign w:val="center"/>
          </w:tcPr>
          <w:p w14:paraId="326A7224"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808080" w:themeFill="background1" w:themeFillShade="80"/>
            <w:vAlign w:val="center"/>
          </w:tcPr>
          <w:p w14:paraId="38A99EA7" w14:textId="77777777" w:rsidR="00A81086" w:rsidRPr="00290829" w:rsidRDefault="00A81086" w:rsidP="007D7AB3">
            <w:pPr>
              <w:spacing w:after="0" w:line="240" w:lineRule="auto"/>
              <w:jc w:val="center"/>
              <w:rPr>
                <w:rFonts w:cstheme="minorHAnsi"/>
              </w:rPr>
            </w:pPr>
          </w:p>
        </w:tc>
        <w:tc>
          <w:tcPr>
            <w:tcW w:w="368" w:type="dxa"/>
            <w:shd w:val="clear" w:color="auto" w:fill="808080" w:themeFill="background1" w:themeFillShade="80"/>
            <w:vAlign w:val="center"/>
          </w:tcPr>
          <w:p w14:paraId="5E3842C2" w14:textId="77777777" w:rsidR="00A81086" w:rsidRPr="00290829" w:rsidRDefault="00A81086" w:rsidP="007D7AB3">
            <w:pPr>
              <w:spacing w:after="0" w:line="240" w:lineRule="auto"/>
              <w:jc w:val="center"/>
              <w:rPr>
                <w:rFonts w:cstheme="minorHAnsi"/>
              </w:rPr>
            </w:pPr>
          </w:p>
        </w:tc>
        <w:tc>
          <w:tcPr>
            <w:tcW w:w="492" w:type="dxa"/>
            <w:shd w:val="clear" w:color="auto" w:fill="auto"/>
            <w:vAlign w:val="center"/>
          </w:tcPr>
          <w:p w14:paraId="2F66015E"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FFFFFF" w:themeFill="background1"/>
            <w:vAlign w:val="center"/>
          </w:tcPr>
          <w:p w14:paraId="774F3468"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right w:val="single" w:sz="12" w:space="0" w:color="auto"/>
            </w:tcBorders>
            <w:shd w:val="clear" w:color="auto" w:fill="FFFFFF"/>
          </w:tcPr>
          <w:p w14:paraId="349A8200"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right w:val="single" w:sz="12" w:space="0" w:color="auto"/>
            </w:tcBorders>
            <w:shd w:val="clear" w:color="auto" w:fill="FFFFFF"/>
          </w:tcPr>
          <w:p w14:paraId="267A1C88"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FFFFFF"/>
            <w:vAlign w:val="center"/>
          </w:tcPr>
          <w:p w14:paraId="35A561C7" w14:textId="77777777" w:rsidR="00A81086" w:rsidRPr="00290829" w:rsidRDefault="00A81086" w:rsidP="007D7AB3">
            <w:pPr>
              <w:spacing w:after="0" w:line="240" w:lineRule="auto"/>
              <w:jc w:val="center"/>
              <w:rPr>
                <w:rFonts w:cstheme="minorHAnsi"/>
              </w:rPr>
            </w:pPr>
          </w:p>
        </w:tc>
      </w:tr>
      <w:tr w:rsidR="00A81086" w:rsidRPr="00290829" w14:paraId="163C8C7D" w14:textId="77777777" w:rsidTr="007D7AB3">
        <w:trPr>
          <w:trHeight w:val="20"/>
        </w:trPr>
        <w:tc>
          <w:tcPr>
            <w:tcW w:w="2939" w:type="dxa"/>
            <w:tcBorders>
              <w:top w:val="nil"/>
              <w:bottom w:val="single" w:sz="4" w:space="0" w:color="auto"/>
              <w:right w:val="single" w:sz="12" w:space="0" w:color="auto"/>
            </w:tcBorders>
            <w:shd w:val="clear" w:color="auto" w:fill="auto"/>
            <w:vAlign w:val="bottom"/>
          </w:tcPr>
          <w:p w14:paraId="62D8EE52" w14:textId="77777777" w:rsidR="00A81086" w:rsidRPr="00290829" w:rsidRDefault="00A81086" w:rsidP="007D7AB3">
            <w:pPr>
              <w:spacing w:after="0" w:line="240" w:lineRule="auto"/>
              <w:rPr>
                <w:rFonts w:cstheme="minorHAnsi"/>
                <w:iCs/>
              </w:rPr>
            </w:pPr>
            <w:r w:rsidRPr="00290829">
              <w:rPr>
                <w:rFonts w:cstheme="minorHAnsi"/>
                <w:iCs/>
              </w:rPr>
              <w:t>Recruit patients</w:t>
            </w:r>
          </w:p>
        </w:tc>
        <w:tc>
          <w:tcPr>
            <w:tcW w:w="542" w:type="dxa"/>
            <w:tcBorders>
              <w:left w:val="single" w:sz="12" w:space="0" w:color="auto"/>
              <w:right w:val="single" w:sz="12" w:space="0" w:color="262626"/>
            </w:tcBorders>
            <w:shd w:val="clear" w:color="auto" w:fill="auto"/>
            <w:vAlign w:val="center"/>
          </w:tcPr>
          <w:p w14:paraId="373B9908" w14:textId="77777777" w:rsidR="00A81086" w:rsidRPr="00290829" w:rsidRDefault="00A81086" w:rsidP="007D7AB3">
            <w:pPr>
              <w:spacing w:after="0" w:line="240" w:lineRule="auto"/>
              <w:jc w:val="center"/>
              <w:rPr>
                <w:rFonts w:cstheme="minorHAnsi"/>
              </w:rPr>
            </w:pPr>
          </w:p>
        </w:tc>
        <w:tc>
          <w:tcPr>
            <w:tcW w:w="553" w:type="dxa"/>
            <w:tcBorders>
              <w:left w:val="single" w:sz="12" w:space="0" w:color="262626"/>
              <w:right w:val="single" w:sz="12" w:space="0" w:color="262626"/>
            </w:tcBorders>
            <w:shd w:val="clear" w:color="auto" w:fill="auto"/>
            <w:vAlign w:val="center"/>
          </w:tcPr>
          <w:p w14:paraId="046A8833" w14:textId="77777777" w:rsidR="00A81086" w:rsidRPr="00290829" w:rsidRDefault="00A81086" w:rsidP="007D7AB3">
            <w:pPr>
              <w:spacing w:after="0" w:line="240" w:lineRule="auto"/>
              <w:jc w:val="center"/>
              <w:rPr>
                <w:rFonts w:cstheme="minorHAnsi"/>
              </w:rPr>
            </w:pPr>
          </w:p>
        </w:tc>
        <w:tc>
          <w:tcPr>
            <w:tcW w:w="369" w:type="dxa"/>
            <w:tcBorders>
              <w:left w:val="single" w:sz="12" w:space="0" w:color="262626"/>
            </w:tcBorders>
            <w:shd w:val="clear" w:color="auto" w:fill="auto"/>
            <w:vAlign w:val="center"/>
          </w:tcPr>
          <w:p w14:paraId="05F7BA2A" w14:textId="77777777" w:rsidR="00A81086" w:rsidRPr="00290829" w:rsidRDefault="00A81086" w:rsidP="007D7AB3">
            <w:pPr>
              <w:spacing w:after="0" w:line="240" w:lineRule="auto"/>
              <w:jc w:val="center"/>
              <w:rPr>
                <w:rFonts w:cstheme="minorHAnsi"/>
              </w:rPr>
            </w:pPr>
          </w:p>
        </w:tc>
        <w:tc>
          <w:tcPr>
            <w:tcW w:w="368" w:type="dxa"/>
            <w:vAlign w:val="center"/>
          </w:tcPr>
          <w:p w14:paraId="0BAD8220" w14:textId="77777777" w:rsidR="00A81086" w:rsidRPr="00290829" w:rsidRDefault="00A81086" w:rsidP="007D7AB3">
            <w:pPr>
              <w:spacing w:after="0" w:line="240" w:lineRule="auto"/>
              <w:jc w:val="center"/>
              <w:rPr>
                <w:rFonts w:cstheme="minorHAnsi"/>
              </w:rPr>
            </w:pPr>
          </w:p>
        </w:tc>
        <w:tc>
          <w:tcPr>
            <w:tcW w:w="492" w:type="dxa"/>
            <w:shd w:val="clear" w:color="auto" w:fill="808080" w:themeFill="background1" w:themeFillShade="80"/>
            <w:vAlign w:val="center"/>
          </w:tcPr>
          <w:p w14:paraId="1A65C731" w14:textId="77777777" w:rsidR="00A81086" w:rsidRPr="00290829" w:rsidRDefault="00A81086" w:rsidP="007D7AB3">
            <w:pPr>
              <w:spacing w:after="0" w:line="240" w:lineRule="auto"/>
              <w:jc w:val="center"/>
              <w:rPr>
                <w:rFonts w:cstheme="minorHAnsi"/>
              </w:rPr>
            </w:pPr>
          </w:p>
        </w:tc>
        <w:tc>
          <w:tcPr>
            <w:tcW w:w="577" w:type="dxa"/>
            <w:tcBorders>
              <w:right w:val="single" w:sz="6" w:space="0" w:color="262626"/>
            </w:tcBorders>
            <w:shd w:val="clear" w:color="auto" w:fill="FFFFFF" w:themeFill="background1"/>
            <w:vAlign w:val="center"/>
          </w:tcPr>
          <w:p w14:paraId="4D9753CE" w14:textId="77777777" w:rsidR="00A81086" w:rsidRPr="00290829" w:rsidRDefault="00A81086" w:rsidP="007D7AB3">
            <w:pPr>
              <w:spacing w:after="0" w:line="240" w:lineRule="auto"/>
              <w:jc w:val="center"/>
              <w:rPr>
                <w:rFonts w:cstheme="minorHAnsi"/>
              </w:rPr>
            </w:pPr>
          </w:p>
        </w:tc>
        <w:tc>
          <w:tcPr>
            <w:tcW w:w="539" w:type="dxa"/>
            <w:tcBorders>
              <w:left w:val="single" w:sz="6" w:space="0" w:color="262626"/>
              <w:bottom w:val="single" w:sz="4" w:space="0" w:color="262626"/>
              <w:right w:val="single" w:sz="12" w:space="0" w:color="auto"/>
            </w:tcBorders>
            <w:shd w:val="clear" w:color="auto" w:fill="FFFFFF"/>
          </w:tcPr>
          <w:p w14:paraId="4176D7BC" w14:textId="77777777" w:rsidR="00A81086" w:rsidRPr="00290829" w:rsidRDefault="00A81086" w:rsidP="007D7AB3">
            <w:pPr>
              <w:spacing w:after="0" w:line="240" w:lineRule="auto"/>
              <w:jc w:val="center"/>
              <w:rPr>
                <w:rFonts w:cstheme="minorHAnsi"/>
              </w:rPr>
            </w:pPr>
          </w:p>
        </w:tc>
        <w:tc>
          <w:tcPr>
            <w:tcW w:w="1417" w:type="dxa"/>
            <w:tcBorders>
              <w:left w:val="single" w:sz="12" w:space="0" w:color="auto"/>
              <w:right w:val="single" w:sz="12" w:space="0" w:color="auto"/>
            </w:tcBorders>
            <w:shd w:val="clear" w:color="auto" w:fill="FFFFFF"/>
          </w:tcPr>
          <w:p w14:paraId="073F0F3B" w14:textId="77777777" w:rsidR="00A81086" w:rsidRPr="00290829" w:rsidRDefault="00A81086" w:rsidP="007D7AB3">
            <w:pPr>
              <w:spacing w:after="0" w:line="240" w:lineRule="auto"/>
              <w:jc w:val="center"/>
              <w:rPr>
                <w:rFonts w:cstheme="minorHAnsi"/>
              </w:rPr>
            </w:pPr>
          </w:p>
        </w:tc>
        <w:tc>
          <w:tcPr>
            <w:tcW w:w="1421" w:type="dxa"/>
            <w:tcBorders>
              <w:left w:val="single" w:sz="12" w:space="0" w:color="auto"/>
              <w:right w:val="single" w:sz="8" w:space="0" w:color="262626"/>
            </w:tcBorders>
            <w:shd w:val="clear" w:color="auto" w:fill="FFFFFF"/>
            <w:vAlign w:val="center"/>
          </w:tcPr>
          <w:p w14:paraId="19380C4C" w14:textId="77777777" w:rsidR="00A81086" w:rsidRPr="00290829" w:rsidRDefault="00A81086" w:rsidP="007D7AB3">
            <w:pPr>
              <w:spacing w:after="0" w:line="240" w:lineRule="auto"/>
              <w:jc w:val="center"/>
              <w:rPr>
                <w:rFonts w:cstheme="minorHAnsi"/>
              </w:rPr>
            </w:pPr>
          </w:p>
        </w:tc>
      </w:tr>
    </w:tbl>
    <w:p w14:paraId="2BE658D3" w14:textId="77777777" w:rsidR="00A81086" w:rsidRDefault="00A81086" w:rsidP="00A81086">
      <w:pPr>
        <w:rPr>
          <w:rFonts w:cstheme="minorHAnsi"/>
        </w:rPr>
      </w:pPr>
      <w:r w:rsidRPr="009C44C3">
        <w:rPr>
          <w:rFonts w:cstheme="minorHAnsi"/>
          <w:vertAlign w:val="superscript"/>
        </w:rPr>
        <w:t>1</w:t>
      </w:r>
      <w:r>
        <w:rPr>
          <w:rFonts w:cstheme="minorHAnsi"/>
          <w:vertAlign w:val="superscript"/>
        </w:rPr>
        <w:t xml:space="preserve"> </w:t>
      </w:r>
      <w:r>
        <w:rPr>
          <w:rFonts w:cstheme="minorHAnsi"/>
        </w:rPr>
        <w:t>Intervention-arm practitioners only</w:t>
      </w:r>
    </w:p>
    <w:p w14:paraId="3EEA6015" w14:textId="77777777" w:rsidR="00A81086" w:rsidRPr="009C44C3" w:rsidRDefault="00A81086" w:rsidP="00A81086">
      <w:pPr>
        <w:rPr>
          <w:rFonts w:ascii="Arial" w:hAnsi="Arial" w:cs="Arial"/>
          <w:bCs/>
          <w:spacing w:val="2"/>
        </w:rPr>
      </w:pPr>
    </w:p>
    <w:p w14:paraId="4074DFC5" w14:textId="77777777" w:rsidR="00A81086" w:rsidRDefault="00A81086" w:rsidP="00A81086">
      <w:pPr>
        <w:rPr>
          <w:rFonts w:asciiTheme="majorHAnsi" w:eastAsiaTheme="majorEastAsia" w:hAnsiTheme="majorHAnsi" w:cstheme="majorBidi"/>
          <w:color w:val="1F3763" w:themeColor="accent1" w:themeShade="7F"/>
          <w:sz w:val="24"/>
          <w:szCs w:val="24"/>
        </w:rPr>
      </w:pPr>
      <w:r>
        <w:br w:type="page"/>
      </w:r>
    </w:p>
    <w:p w14:paraId="5EB94FBF" w14:textId="77777777" w:rsidR="00A81086" w:rsidRPr="00FA54C3" w:rsidRDefault="00A81086" w:rsidP="00A81086">
      <w:pPr>
        <w:pStyle w:val="Heading3"/>
      </w:pPr>
      <w:r w:rsidRPr="00FA54C3">
        <w:lastRenderedPageBreak/>
        <w:t xml:space="preserve">Table </w:t>
      </w:r>
      <w:r>
        <w:t>2</w:t>
      </w:r>
      <w:r w:rsidRPr="00FA54C3">
        <w:t>. Patient Timelines</w:t>
      </w:r>
    </w:p>
    <w:p w14:paraId="063541A9" w14:textId="77777777" w:rsidR="00A81086" w:rsidRDefault="00A81086" w:rsidP="00A81086">
      <w:pPr>
        <w:rPr>
          <w:rFonts w:ascii="Arial" w:hAnsi="Arial" w:cs="Arial"/>
          <w:bCs/>
          <w:spacing w:val="2"/>
          <w:sz w:val="8"/>
          <w:szCs w:val="8"/>
          <w:u w:val="single"/>
        </w:rPr>
      </w:pPr>
    </w:p>
    <w:tbl>
      <w:tblPr>
        <w:tblW w:w="8573" w:type="dxa"/>
        <w:tblInd w:w="93"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CellMar>
          <w:left w:w="28" w:type="dxa"/>
          <w:right w:w="28" w:type="dxa"/>
        </w:tblCellMar>
        <w:tblLook w:val="0000" w:firstRow="0" w:lastRow="0" w:firstColumn="0" w:lastColumn="0" w:noHBand="0" w:noVBand="0"/>
      </w:tblPr>
      <w:tblGrid>
        <w:gridCol w:w="3588"/>
        <w:gridCol w:w="734"/>
        <w:gridCol w:w="1351"/>
        <w:gridCol w:w="756"/>
        <w:gridCol w:w="686"/>
        <w:gridCol w:w="687"/>
        <w:gridCol w:w="771"/>
      </w:tblGrid>
      <w:tr w:rsidR="00A81086" w:rsidRPr="00290829" w14:paraId="54BB3DF1" w14:textId="77777777" w:rsidTr="007D7AB3">
        <w:trPr>
          <w:trHeight w:val="20"/>
        </w:trPr>
        <w:tc>
          <w:tcPr>
            <w:tcW w:w="3588" w:type="dxa"/>
            <w:tcBorders>
              <w:bottom w:val="single" w:sz="6" w:space="0" w:color="262626"/>
              <w:right w:val="single" w:sz="12" w:space="0" w:color="auto"/>
            </w:tcBorders>
            <w:shd w:val="clear" w:color="auto" w:fill="auto"/>
            <w:vAlign w:val="center"/>
          </w:tcPr>
          <w:p w14:paraId="442499C1" w14:textId="77777777" w:rsidR="00A81086" w:rsidRPr="00290829" w:rsidRDefault="00A81086" w:rsidP="007D7AB3">
            <w:pPr>
              <w:spacing w:after="0" w:line="240" w:lineRule="auto"/>
              <w:contextualSpacing/>
              <w:jc w:val="center"/>
              <w:rPr>
                <w:rFonts w:cstheme="minorHAnsi"/>
                <w:b/>
                <w:bCs/>
              </w:rPr>
            </w:pPr>
          </w:p>
        </w:tc>
        <w:tc>
          <w:tcPr>
            <w:tcW w:w="734" w:type="dxa"/>
            <w:tcBorders>
              <w:top w:val="single" w:sz="6" w:space="0" w:color="262626"/>
              <w:left w:val="single" w:sz="12" w:space="0" w:color="auto"/>
              <w:bottom w:val="single" w:sz="6" w:space="0" w:color="262626"/>
              <w:right w:val="single" w:sz="12" w:space="0" w:color="262626"/>
            </w:tcBorders>
            <w:shd w:val="clear" w:color="auto" w:fill="auto"/>
            <w:vAlign w:val="center"/>
          </w:tcPr>
          <w:p w14:paraId="4B2B6524" w14:textId="77777777" w:rsidR="00A81086" w:rsidRPr="00290829" w:rsidRDefault="00A81086" w:rsidP="007D7AB3">
            <w:pPr>
              <w:spacing w:after="0" w:line="240" w:lineRule="auto"/>
              <w:contextualSpacing/>
              <w:jc w:val="center"/>
              <w:rPr>
                <w:rFonts w:cstheme="minorHAnsi"/>
                <w:b/>
              </w:rPr>
            </w:pPr>
            <w:r w:rsidRPr="00290829">
              <w:rPr>
                <w:rFonts w:cstheme="minorHAnsi"/>
                <w:b/>
                <w:bCs/>
              </w:rPr>
              <w:t>Enrol</w:t>
            </w:r>
          </w:p>
        </w:tc>
        <w:tc>
          <w:tcPr>
            <w:tcW w:w="1351" w:type="dxa"/>
            <w:tcBorders>
              <w:top w:val="single" w:sz="6" w:space="0" w:color="262626"/>
              <w:left w:val="single" w:sz="12" w:space="0" w:color="262626"/>
              <w:bottom w:val="single" w:sz="6" w:space="0" w:color="262626"/>
              <w:right w:val="single" w:sz="12" w:space="0" w:color="262626"/>
            </w:tcBorders>
            <w:shd w:val="clear" w:color="auto" w:fill="auto"/>
            <w:vAlign w:val="center"/>
          </w:tcPr>
          <w:p w14:paraId="5AD402B9" w14:textId="77777777" w:rsidR="00A81086" w:rsidRPr="00290829" w:rsidRDefault="00A81086" w:rsidP="007D7AB3">
            <w:pPr>
              <w:spacing w:after="0" w:line="240" w:lineRule="auto"/>
              <w:contextualSpacing/>
              <w:jc w:val="center"/>
              <w:rPr>
                <w:rFonts w:cstheme="minorHAnsi"/>
                <w:b/>
              </w:rPr>
            </w:pPr>
            <w:r w:rsidRPr="00290829">
              <w:rPr>
                <w:rFonts w:cstheme="minorHAnsi"/>
                <w:b/>
              </w:rPr>
              <w:t>Consultation</w:t>
            </w:r>
          </w:p>
        </w:tc>
        <w:tc>
          <w:tcPr>
            <w:tcW w:w="2900" w:type="dxa"/>
            <w:gridSpan w:val="4"/>
            <w:tcBorders>
              <w:left w:val="single" w:sz="12" w:space="0" w:color="262626"/>
              <w:bottom w:val="single" w:sz="6" w:space="0" w:color="262626"/>
              <w:right w:val="single" w:sz="8" w:space="0" w:color="262626"/>
            </w:tcBorders>
            <w:vAlign w:val="center"/>
          </w:tcPr>
          <w:p w14:paraId="12795B96" w14:textId="77777777" w:rsidR="00A81086" w:rsidRPr="00290829" w:rsidRDefault="00A81086" w:rsidP="007D7AB3">
            <w:pPr>
              <w:spacing w:after="0" w:line="240" w:lineRule="auto"/>
              <w:contextualSpacing/>
              <w:jc w:val="center"/>
              <w:rPr>
                <w:rFonts w:cstheme="minorHAnsi"/>
                <w:b/>
              </w:rPr>
            </w:pPr>
            <w:r w:rsidRPr="00290829">
              <w:rPr>
                <w:rFonts w:cstheme="minorHAnsi"/>
                <w:b/>
              </w:rPr>
              <w:t>Post-consultation</w:t>
            </w:r>
          </w:p>
        </w:tc>
      </w:tr>
      <w:tr w:rsidR="00A81086" w:rsidRPr="00290829" w14:paraId="2A2D07C4" w14:textId="77777777" w:rsidTr="007D7AB3">
        <w:trPr>
          <w:trHeight w:val="20"/>
        </w:trPr>
        <w:tc>
          <w:tcPr>
            <w:tcW w:w="3588" w:type="dxa"/>
            <w:tcBorders>
              <w:top w:val="single" w:sz="6" w:space="0" w:color="262626"/>
              <w:bottom w:val="single" w:sz="12" w:space="0" w:color="262626"/>
              <w:right w:val="single" w:sz="12" w:space="0" w:color="auto"/>
            </w:tcBorders>
            <w:shd w:val="clear" w:color="auto" w:fill="E6E6E6"/>
            <w:vAlign w:val="center"/>
          </w:tcPr>
          <w:p w14:paraId="2E442616" w14:textId="77777777" w:rsidR="00A81086" w:rsidRPr="00290829" w:rsidRDefault="00A81086" w:rsidP="007D7AB3">
            <w:pPr>
              <w:spacing w:after="0" w:line="240" w:lineRule="auto"/>
              <w:contextualSpacing/>
              <w:rPr>
                <w:rFonts w:cstheme="minorHAnsi"/>
                <w:bCs/>
              </w:rPr>
            </w:pPr>
            <w:r w:rsidRPr="00290829">
              <w:rPr>
                <w:rFonts w:cstheme="minorHAnsi"/>
                <w:b/>
                <w:bCs/>
              </w:rPr>
              <w:t>TIMEPOINT</w:t>
            </w:r>
          </w:p>
        </w:tc>
        <w:tc>
          <w:tcPr>
            <w:tcW w:w="734" w:type="dxa"/>
            <w:tcBorders>
              <w:top w:val="single" w:sz="6" w:space="0" w:color="262626"/>
              <w:left w:val="single" w:sz="12" w:space="0" w:color="auto"/>
              <w:bottom w:val="single" w:sz="12" w:space="0" w:color="262626"/>
              <w:right w:val="single" w:sz="12" w:space="0" w:color="262626"/>
            </w:tcBorders>
            <w:shd w:val="clear" w:color="auto" w:fill="E6E6E6"/>
            <w:vAlign w:val="center"/>
          </w:tcPr>
          <w:p w14:paraId="0775E42D" w14:textId="77777777" w:rsidR="00A81086" w:rsidRPr="00290829" w:rsidRDefault="00A81086" w:rsidP="007D7AB3">
            <w:pPr>
              <w:spacing w:after="0" w:line="240" w:lineRule="auto"/>
              <w:contextualSpacing/>
              <w:jc w:val="center"/>
              <w:rPr>
                <w:rFonts w:cstheme="minorHAnsi"/>
                <w:b/>
                <w:bCs/>
                <w:i/>
              </w:rPr>
            </w:pPr>
            <w:r w:rsidRPr="00290829">
              <w:rPr>
                <w:rFonts w:cstheme="minorHAnsi"/>
                <w:b/>
                <w:bCs/>
                <w:i/>
              </w:rPr>
              <w:t>&lt;-7d</w:t>
            </w:r>
          </w:p>
        </w:tc>
        <w:tc>
          <w:tcPr>
            <w:tcW w:w="1351" w:type="dxa"/>
            <w:tcBorders>
              <w:top w:val="single" w:sz="6" w:space="0" w:color="262626"/>
              <w:left w:val="single" w:sz="12" w:space="0" w:color="262626"/>
              <w:bottom w:val="single" w:sz="12" w:space="0" w:color="262626"/>
              <w:right w:val="single" w:sz="12" w:space="0" w:color="262626"/>
            </w:tcBorders>
            <w:shd w:val="clear" w:color="auto" w:fill="E6E6E6"/>
            <w:vAlign w:val="center"/>
          </w:tcPr>
          <w:p w14:paraId="50BF3F14" w14:textId="77777777" w:rsidR="00A81086" w:rsidRPr="00290829" w:rsidRDefault="00A81086" w:rsidP="007D7AB3">
            <w:pPr>
              <w:spacing w:after="0" w:line="240" w:lineRule="auto"/>
              <w:contextualSpacing/>
              <w:jc w:val="center"/>
              <w:rPr>
                <w:rFonts w:cstheme="minorHAnsi"/>
                <w:b/>
                <w:bCs/>
              </w:rPr>
            </w:pPr>
            <w:r w:rsidRPr="00290829">
              <w:rPr>
                <w:rFonts w:cstheme="minorHAnsi"/>
                <w:b/>
                <w:bCs/>
              </w:rPr>
              <w:t>0</w:t>
            </w:r>
          </w:p>
        </w:tc>
        <w:tc>
          <w:tcPr>
            <w:tcW w:w="756" w:type="dxa"/>
            <w:tcBorders>
              <w:top w:val="single" w:sz="6" w:space="0" w:color="262626"/>
              <w:left w:val="single" w:sz="12" w:space="0" w:color="262626"/>
              <w:bottom w:val="single" w:sz="12" w:space="0" w:color="262626"/>
            </w:tcBorders>
            <w:shd w:val="clear" w:color="auto" w:fill="E6E6E6"/>
            <w:vAlign w:val="center"/>
          </w:tcPr>
          <w:p w14:paraId="53E3CCF6" w14:textId="77777777" w:rsidR="00A81086" w:rsidRPr="00290829" w:rsidRDefault="00A81086" w:rsidP="007D7AB3">
            <w:pPr>
              <w:spacing w:after="0" w:line="240" w:lineRule="auto"/>
              <w:contextualSpacing/>
              <w:jc w:val="center"/>
              <w:rPr>
                <w:rFonts w:cstheme="minorHAnsi"/>
                <w:b/>
                <w:bCs/>
                <w:i/>
              </w:rPr>
            </w:pPr>
            <w:r w:rsidRPr="00290829">
              <w:rPr>
                <w:rFonts w:cstheme="minorHAnsi"/>
                <w:b/>
                <w:bCs/>
                <w:i/>
              </w:rPr>
              <w:t>&lt;7d</w:t>
            </w:r>
          </w:p>
        </w:tc>
        <w:tc>
          <w:tcPr>
            <w:tcW w:w="686" w:type="dxa"/>
            <w:tcBorders>
              <w:top w:val="single" w:sz="6" w:space="0" w:color="262626"/>
              <w:bottom w:val="single" w:sz="12" w:space="0" w:color="262626"/>
            </w:tcBorders>
            <w:shd w:val="clear" w:color="auto" w:fill="E6E6E6"/>
            <w:vAlign w:val="center"/>
          </w:tcPr>
          <w:p w14:paraId="653AEC61" w14:textId="77777777" w:rsidR="00A81086" w:rsidRPr="00290829" w:rsidRDefault="00A81086" w:rsidP="007D7AB3">
            <w:pPr>
              <w:spacing w:after="0" w:line="240" w:lineRule="auto"/>
              <w:contextualSpacing/>
              <w:jc w:val="center"/>
              <w:rPr>
                <w:rFonts w:cstheme="minorHAnsi"/>
                <w:b/>
                <w:bCs/>
                <w:i/>
              </w:rPr>
            </w:pPr>
            <w:r w:rsidRPr="00290829">
              <w:rPr>
                <w:rFonts w:cstheme="minorHAnsi"/>
                <w:b/>
                <w:bCs/>
                <w:i/>
              </w:rPr>
              <w:t>+1m</w:t>
            </w:r>
          </w:p>
        </w:tc>
        <w:tc>
          <w:tcPr>
            <w:tcW w:w="687" w:type="dxa"/>
            <w:tcBorders>
              <w:top w:val="single" w:sz="6" w:space="0" w:color="262626"/>
              <w:bottom w:val="single" w:sz="12" w:space="0" w:color="262626"/>
            </w:tcBorders>
            <w:shd w:val="clear" w:color="auto" w:fill="E6E6E6"/>
            <w:vAlign w:val="center"/>
          </w:tcPr>
          <w:p w14:paraId="208B3E79" w14:textId="77777777" w:rsidR="00A81086" w:rsidRPr="00290829" w:rsidRDefault="00A81086" w:rsidP="007D7AB3">
            <w:pPr>
              <w:spacing w:after="0" w:line="240" w:lineRule="auto"/>
              <w:contextualSpacing/>
              <w:jc w:val="center"/>
              <w:rPr>
                <w:rFonts w:cstheme="minorHAnsi"/>
                <w:b/>
                <w:bCs/>
                <w:i/>
              </w:rPr>
            </w:pPr>
            <w:r w:rsidRPr="00290829">
              <w:rPr>
                <w:rFonts w:cstheme="minorHAnsi"/>
                <w:b/>
                <w:bCs/>
                <w:i/>
              </w:rPr>
              <w:t>+3m</w:t>
            </w:r>
          </w:p>
        </w:tc>
        <w:tc>
          <w:tcPr>
            <w:tcW w:w="771" w:type="dxa"/>
            <w:tcBorders>
              <w:top w:val="single" w:sz="6" w:space="0" w:color="262626"/>
              <w:bottom w:val="single" w:sz="12" w:space="0" w:color="262626"/>
            </w:tcBorders>
            <w:shd w:val="clear" w:color="auto" w:fill="E6E6E6"/>
            <w:vAlign w:val="center"/>
          </w:tcPr>
          <w:p w14:paraId="18E87DC1" w14:textId="77777777" w:rsidR="00A81086" w:rsidRPr="00290829" w:rsidRDefault="00A81086" w:rsidP="007D7AB3">
            <w:pPr>
              <w:spacing w:after="0" w:line="240" w:lineRule="auto"/>
              <w:contextualSpacing/>
              <w:jc w:val="center"/>
              <w:rPr>
                <w:rFonts w:cstheme="minorHAnsi"/>
                <w:b/>
                <w:bCs/>
                <w:i/>
              </w:rPr>
            </w:pPr>
            <w:r w:rsidRPr="00290829">
              <w:rPr>
                <w:rFonts w:cstheme="minorHAnsi"/>
                <w:b/>
                <w:bCs/>
                <w:i/>
              </w:rPr>
              <w:t>+6m</w:t>
            </w:r>
          </w:p>
        </w:tc>
      </w:tr>
      <w:tr w:rsidR="00A81086" w:rsidRPr="00290829" w14:paraId="1B641D82" w14:textId="77777777" w:rsidTr="007D7AB3">
        <w:trPr>
          <w:trHeight w:val="20"/>
        </w:trPr>
        <w:tc>
          <w:tcPr>
            <w:tcW w:w="3588" w:type="dxa"/>
            <w:tcBorders>
              <w:top w:val="double" w:sz="12" w:space="0" w:color="262626"/>
              <w:bottom w:val="nil"/>
              <w:right w:val="single" w:sz="12" w:space="0" w:color="auto"/>
            </w:tcBorders>
            <w:shd w:val="clear" w:color="auto" w:fill="auto"/>
            <w:vAlign w:val="center"/>
          </w:tcPr>
          <w:p w14:paraId="1C8FBBF4" w14:textId="77777777" w:rsidR="00A81086" w:rsidRPr="00290829" w:rsidRDefault="00A81086" w:rsidP="007D7AB3">
            <w:pPr>
              <w:spacing w:after="0" w:line="240" w:lineRule="auto"/>
              <w:contextualSpacing/>
              <w:rPr>
                <w:rFonts w:cstheme="minorHAnsi"/>
                <w:b/>
                <w:bCs/>
              </w:rPr>
            </w:pPr>
            <w:r w:rsidRPr="00290829">
              <w:rPr>
                <w:rFonts w:cstheme="minorHAnsi"/>
                <w:b/>
                <w:bCs/>
              </w:rPr>
              <w:t>ENROLMENT:</w:t>
            </w:r>
          </w:p>
        </w:tc>
        <w:tc>
          <w:tcPr>
            <w:tcW w:w="734" w:type="dxa"/>
            <w:tcBorders>
              <w:top w:val="double" w:sz="12" w:space="0" w:color="262626"/>
              <w:left w:val="single" w:sz="12" w:space="0" w:color="auto"/>
              <w:right w:val="single" w:sz="12" w:space="0" w:color="262626"/>
            </w:tcBorders>
            <w:shd w:val="clear" w:color="auto" w:fill="auto"/>
            <w:vAlign w:val="center"/>
          </w:tcPr>
          <w:p w14:paraId="512A39A2" w14:textId="77777777" w:rsidR="00A81086" w:rsidRPr="00290829" w:rsidRDefault="00A81086" w:rsidP="007D7AB3">
            <w:pPr>
              <w:spacing w:after="0" w:line="240" w:lineRule="auto"/>
              <w:contextualSpacing/>
              <w:jc w:val="center"/>
              <w:rPr>
                <w:rFonts w:cstheme="minorHAnsi"/>
              </w:rPr>
            </w:pPr>
          </w:p>
        </w:tc>
        <w:tc>
          <w:tcPr>
            <w:tcW w:w="1351" w:type="dxa"/>
            <w:tcBorders>
              <w:top w:val="double" w:sz="12" w:space="0" w:color="262626"/>
              <w:left w:val="single" w:sz="12" w:space="0" w:color="262626"/>
              <w:right w:val="single" w:sz="12" w:space="0" w:color="262626"/>
            </w:tcBorders>
            <w:shd w:val="clear" w:color="auto" w:fill="auto"/>
            <w:vAlign w:val="center"/>
          </w:tcPr>
          <w:p w14:paraId="5BF1EC51" w14:textId="77777777" w:rsidR="00A81086" w:rsidRPr="00290829" w:rsidRDefault="00A81086" w:rsidP="007D7AB3">
            <w:pPr>
              <w:spacing w:after="0" w:line="240" w:lineRule="auto"/>
              <w:contextualSpacing/>
              <w:jc w:val="center"/>
              <w:rPr>
                <w:rFonts w:cstheme="minorHAnsi"/>
              </w:rPr>
            </w:pPr>
          </w:p>
        </w:tc>
        <w:tc>
          <w:tcPr>
            <w:tcW w:w="756" w:type="dxa"/>
            <w:tcBorders>
              <w:top w:val="double" w:sz="12" w:space="0" w:color="262626"/>
              <w:left w:val="single" w:sz="12" w:space="0" w:color="262626"/>
            </w:tcBorders>
            <w:shd w:val="clear" w:color="auto" w:fill="auto"/>
            <w:vAlign w:val="center"/>
          </w:tcPr>
          <w:p w14:paraId="6B03D1EA" w14:textId="77777777" w:rsidR="00A81086" w:rsidRPr="00290829" w:rsidRDefault="00A81086" w:rsidP="007D7AB3">
            <w:pPr>
              <w:spacing w:after="0" w:line="240" w:lineRule="auto"/>
              <w:contextualSpacing/>
              <w:jc w:val="center"/>
              <w:rPr>
                <w:rFonts w:cstheme="minorHAnsi"/>
              </w:rPr>
            </w:pPr>
          </w:p>
        </w:tc>
        <w:tc>
          <w:tcPr>
            <w:tcW w:w="686" w:type="dxa"/>
            <w:tcBorders>
              <w:top w:val="double" w:sz="12" w:space="0" w:color="262626"/>
            </w:tcBorders>
            <w:shd w:val="clear" w:color="auto" w:fill="auto"/>
            <w:vAlign w:val="center"/>
          </w:tcPr>
          <w:p w14:paraId="0C98ECD5" w14:textId="77777777" w:rsidR="00A81086" w:rsidRPr="00290829" w:rsidRDefault="00A81086" w:rsidP="007D7AB3">
            <w:pPr>
              <w:spacing w:after="0" w:line="240" w:lineRule="auto"/>
              <w:contextualSpacing/>
              <w:jc w:val="center"/>
              <w:rPr>
                <w:rFonts w:cstheme="minorHAnsi"/>
              </w:rPr>
            </w:pPr>
          </w:p>
        </w:tc>
        <w:tc>
          <w:tcPr>
            <w:tcW w:w="687" w:type="dxa"/>
            <w:tcBorders>
              <w:top w:val="double" w:sz="12" w:space="0" w:color="262626"/>
            </w:tcBorders>
            <w:vAlign w:val="center"/>
          </w:tcPr>
          <w:p w14:paraId="61C24D5E" w14:textId="77777777" w:rsidR="00A81086" w:rsidRPr="00290829" w:rsidRDefault="00A81086" w:rsidP="007D7AB3">
            <w:pPr>
              <w:spacing w:after="0" w:line="240" w:lineRule="auto"/>
              <w:contextualSpacing/>
              <w:jc w:val="center"/>
              <w:rPr>
                <w:rFonts w:cstheme="minorHAnsi"/>
              </w:rPr>
            </w:pPr>
          </w:p>
        </w:tc>
        <w:tc>
          <w:tcPr>
            <w:tcW w:w="771" w:type="dxa"/>
            <w:tcBorders>
              <w:top w:val="double" w:sz="12" w:space="0" w:color="262626"/>
            </w:tcBorders>
            <w:shd w:val="clear" w:color="auto" w:fill="auto"/>
            <w:vAlign w:val="center"/>
          </w:tcPr>
          <w:p w14:paraId="761EEC82" w14:textId="77777777" w:rsidR="00A81086" w:rsidRPr="00290829" w:rsidRDefault="00A81086" w:rsidP="007D7AB3">
            <w:pPr>
              <w:spacing w:after="0" w:line="240" w:lineRule="auto"/>
              <w:contextualSpacing/>
              <w:jc w:val="center"/>
              <w:rPr>
                <w:rFonts w:cstheme="minorHAnsi"/>
              </w:rPr>
            </w:pPr>
          </w:p>
        </w:tc>
      </w:tr>
      <w:tr w:rsidR="00A81086" w:rsidRPr="00290829" w14:paraId="322E27E3" w14:textId="77777777" w:rsidTr="007D7AB3">
        <w:trPr>
          <w:trHeight w:val="20"/>
        </w:trPr>
        <w:tc>
          <w:tcPr>
            <w:tcW w:w="3588" w:type="dxa"/>
            <w:tcBorders>
              <w:top w:val="nil"/>
              <w:bottom w:val="nil"/>
              <w:right w:val="single" w:sz="12" w:space="0" w:color="auto"/>
            </w:tcBorders>
            <w:shd w:val="clear" w:color="auto" w:fill="auto"/>
            <w:vAlign w:val="center"/>
          </w:tcPr>
          <w:p w14:paraId="6ACCB574" w14:textId="77777777" w:rsidR="00A81086" w:rsidRPr="00290829" w:rsidRDefault="00A81086" w:rsidP="007D7AB3">
            <w:pPr>
              <w:spacing w:after="0" w:line="240" w:lineRule="auto"/>
              <w:contextualSpacing/>
              <w:rPr>
                <w:rFonts w:cstheme="minorHAnsi"/>
                <w:bCs/>
              </w:rPr>
            </w:pPr>
            <w:r w:rsidRPr="00290829">
              <w:rPr>
                <w:rFonts w:cstheme="minorHAnsi"/>
                <w:bCs/>
              </w:rPr>
              <w:t>Eligibility screen</w:t>
            </w:r>
          </w:p>
        </w:tc>
        <w:tc>
          <w:tcPr>
            <w:tcW w:w="734" w:type="dxa"/>
            <w:tcBorders>
              <w:left w:val="single" w:sz="12" w:space="0" w:color="auto"/>
              <w:right w:val="single" w:sz="12" w:space="0" w:color="262626"/>
            </w:tcBorders>
            <w:shd w:val="clear" w:color="auto" w:fill="auto"/>
            <w:vAlign w:val="center"/>
          </w:tcPr>
          <w:p w14:paraId="4A5A09F1"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1351" w:type="dxa"/>
            <w:tcBorders>
              <w:left w:val="single" w:sz="12" w:space="0" w:color="262626"/>
              <w:right w:val="single" w:sz="12" w:space="0" w:color="262626"/>
            </w:tcBorders>
            <w:shd w:val="clear" w:color="auto" w:fill="auto"/>
            <w:vAlign w:val="center"/>
          </w:tcPr>
          <w:p w14:paraId="7B3C447B"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21C0C08"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190677BC"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282C1F32"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3FB587F9" w14:textId="77777777" w:rsidR="00A81086" w:rsidRPr="00290829" w:rsidRDefault="00A81086" w:rsidP="007D7AB3">
            <w:pPr>
              <w:spacing w:after="0" w:line="240" w:lineRule="auto"/>
              <w:contextualSpacing/>
              <w:jc w:val="center"/>
              <w:rPr>
                <w:rFonts w:cstheme="minorHAnsi"/>
              </w:rPr>
            </w:pPr>
          </w:p>
        </w:tc>
      </w:tr>
      <w:tr w:rsidR="00A81086" w:rsidRPr="00290829" w14:paraId="332A92C8" w14:textId="77777777" w:rsidTr="007D7AB3">
        <w:trPr>
          <w:trHeight w:val="20"/>
        </w:trPr>
        <w:tc>
          <w:tcPr>
            <w:tcW w:w="3588" w:type="dxa"/>
            <w:tcBorders>
              <w:top w:val="nil"/>
              <w:bottom w:val="nil"/>
              <w:right w:val="single" w:sz="12" w:space="0" w:color="auto"/>
            </w:tcBorders>
            <w:shd w:val="clear" w:color="auto" w:fill="auto"/>
            <w:vAlign w:val="center"/>
          </w:tcPr>
          <w:p w14:paraId="2FBCED6F" w14:textId="77777777" w:rsidR="00A81086" w:rsidRPr="00290829" w:rsidRDefault="00A81086" w:rsidP="007D7AB3">
            <w:pPr>
              <w:spacing w:after="0" w:line="240" w:lineRule="auto"/>
              <w:contextualSpacing/>
              <w:rPr>
                <w:rFonts w:cstheme="minorHAnsi"/>
                <w:bCs/>
              </w:rPr>
            </w:pPr>
            <w:r w:rsidRPr="00290829">
              <w:rPr>
                <w:rFonts w:cstheme="minorHAnsi"/>
                <w:bCs/>
              </w:rPr>
              <w:t>Informed consent</w:t>
            </w:r>
            <w:r w:rsidRPr="00290829" w:rsidDel="003C5F28">
              <w:rPr>
                <w:rFonts w:cstheme="minorHAnsi"/>
                <w:bCs/>
              </w:rPr>
              <w:t xml:space="preserve"> </w:t>
            </w:r>
          </w:p>
        </w:tc>
        <w:tc>
          <w:tcPr>
            <w:tcW w:w="734" w:type="dxa"/>
            <w:tcBorders>
              <w:left w:val="single" w:sz="12" w:space="0" w:color="auto"/>
              <w:bottom w:val="single" w:sz="6" w:space="0" w:color="262626"/>
              <w:right w:val="single" w:sz="12" w:space="0" w:color="262626"/>
            </w:tcBorders>
            <w:shd w:val="clear" w:color="auto" w:fill="auto"/>
            <w:vAlign w:val="center"/>
          </w:tcPr>
          <w:p w14:paraId="7DED771D"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1351" w:type="dxa"/>
            <w:tcBorders>
              <w:left w:val="single" w:sz="12" w:space="0" w:color="262626"/>
              <w:bottom w:val="single" w:sz="6" w:space="0" w:color="262626"/>
              <w:right w:val="single" w:sz="12" w:space="0" w:color="262626"/>
            </w:tcBorders>
            <w:shd w:val="clear" w:color="auto" w:fill="auto"/>
            <w:vAlign w:val="center"/>
          </w:tcPr>
          <w:p w14:paraId="19FF91CB"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bottom w:val="single" w:sz="6" w:space="0" w:color="262626"/>
            </w:tcBorders>
            <w:shd w:val="clear" w:color="auto" w:fill="auto"/>
            <w:vAlign w:val="center"/>
          </w:tcPr>
          <w:p w14:paraId="7C88CEC4" w14:textId="77777777" w:rsidR="00A81086" w:rsidRPr="00290829" w:rsidRDefault="00A81086" w:rsidP="007D7AB3">
            <w:pPr>
              <w:spacing w:after="0" w:line="240" w:lineRule="auto"/>
              <w:contextualSpacing/>
              <w:jc w:val="center"/>
              <w:rPr>
                <w:rFonts w:cstheme="minorHAnsi"/>
              </w:rPr>
            </w:pPr>
          </w:p>
        </w:tc>
        <w:tc>
          <w:tcPr>
            <w:tcW w:w="686" w:type="dxa"/>
            <w:tcBorders>
              <w:bottom w:val="single" w:sz="6" w:space="0" w:color="262626"/>
            </w:tcBorders>
            <w:shd w:val="clear" w:color="auto" w:fill="auto"/>
            <w:vAlign w:val="center"/>
          </w:tcPr>
          <w:p w14:paraId="277133FC" w14:textId="77777777" w:rsidR="00A81086" w:rsidRPr="00290829" w:rsidRDefault="00A81086" w:rsidP="007D7AB3">
            <w:pPr>
              <w:spacing w:after="0" w:line="240" w:lineRule="auto"/>
              <w:contextualSpacing/>
              <w:jc w:val="center"/>
              <w:rPr>
                <w:rFonts w:cstheme="minorHAnsi"/>
              </w:rPr>
            </w:pPr>
          </w:p>
        </w:tc>
        <w:tc>
          <w:tcPr>
            <w:tcW w:w="687" w:type="dxa"/>
            <w:tcBorders>
              <w:bottom w:val="single" w:sz="6" w:space="0" w:color="262626"/>
            </w:tcBorders>
            <w:vAlign w:val="center"/>
          </w:tcPr>
          <w:p w14:paraId="3CE40AE9" w14:textId="77777777" w:rsidR="00A81086" w:rsidRPr="00290829" w:rsidRDefault="00A81086" w:rsidP="007D7AB3">
            <w:pPr>
              <w:spacing w:after="0" w:line="240" w:lineRule="auto"/>
              <w:contextualSpacing/>
              <w:jc w:val="center"/>
              <w:rPr>
                <w:rFonts w:cstheme="minorHAnsi"/>
              </w:rPr>
            </w:pPr>
          </w:p>
        </w:tc>
        <w:tc>
          <w:tcPr>
            <w:tcW w:w="771" w:type="dxa"/>
            <w:tcBorders>
              <w:bottom w:val="single" w:sz="6" w:space="0" w:color="262626"/>
            </w:tcBorders>
            <w:shd w:val="clear" w:color="auto" w:fill="auto"/>
            <w:vAlign w:val="center"/>
          </w:tcPr>
          <w:p w14:paraId="1383679C" w14:textId="77777777" w:rsidR="00A81086" w:rsidRPr="00290829" w:rsidRDefault="00A81086" w:rsidP="007D7AB3">
            <w:pPr>
              <w:spacing w:after="0" w:line="240" w:lineRule="auto"/>
              <w:contextualSpacing/>
              <w:jc w:val="center"/>
              <w:rPr>
                <w:rFonts w:cstheme="minorHAnsi"/>
              </w:rPr>
            </w:pPr>
          </w:p>
        </w:tc>
      </w:tr>
      <w:tr w:rsidR="00A81086" w:rsidRPr="00290829" w14:paraId="273840A3" w14:textId="77777777" w:rsidTr="007D7AB3">
        <w:trPr>
          <w:trHeight w:val="20"/>
        </w:trPr>
        <w:tc>
          <w:tcPr>
            <w:tcW w:w="3588" w:type="dxa"/>
            <w:tcBorders>
              <w:top w:val="single" w:sz="12" w:space="0" w:color="262626"/>
              <w:bottom w:val="nil"/>
              <w:right w:val="single" w:sz="12" w:space="0" w:color="auto"/>
            </w:tcBorders>
            <w:shd w:val="clear" w:color="auto" w:fill="auto"/>
            <w:vAlign w:val="center"/>
          </w:tcPr>
          <w:p w14:paraId="034DC499" w14:textId="77777777" w:rsidR="00A81086" w:rsidRPr="00290829" w:rsidRDefault="00A81086" w:rsidP="007D7AB3">
            <w:pPr>
              <w:spacing w:after="0" w:line="240" w:lineRule="auto"/>
              <w:contextualSpacing/>
              <w:rPr>
                <w:rFonts w:cstheme="minorHAnsi"/>
                <w:b/>
                <w:bCs/>
              </w:rPr>
            </w:pPr>
            <w:r w:rsidRPr="00290829">
              <w:rPr>
                <w:rFonts w:cstheme="minorHAnsi"/>
                <w:b/>
                <w:bCs/>
              </w:rPr>
              <w:t>ASSESSMENTS:</w:t>
            </w:r>
          </w:p>
        </w:tc>
        <w:tc>
          <w:tcPr>
            <w:tcW w:w="734" w:type="dxa"/>
            <w:tcBorders>
              <w:top w:val="single" w:sz="12" w:space="0" w:color="262626"/>
              <w:left w:val="single" w:sz="12" w:space="0" w:color="auto"/>
              <w:right w:val="single" w:sz="12" w:space="0" w:color="262626"/>
            </w:tcBorders>
            <w:shd w:val="clear" w:color="auto" w:fill="auto"/>
            <w:vAlign w:val="center"/>
          </w:tcPr>
          <w:p w14:paraId="597BCF10" w14:textId="77777777" w:rsidR="00A81086" w:rsidRPr="00290829" w:rsidRDefault="00A81086" w:rsidP="007D7AB3">
            <w:pPr>
              <w:spacing w:after="0" w:line="240" w:lineRule="auto"/>
              <w:contextualSpacing/>
              <w:jc w:val="center"/>
              <w:rPr>
                <w:rFonts w:cstheme="minorHAnsi"/>
              </w:rPr>
            </w:pPr>
          </w:p>
        </w:tc>
        <w:tc>
          <w:tcPr>
            <w:tcW w:w="1351" w:type="dxa"/>
            <w:tcBorders>
              <w:top w:val="single" w:sz="12" w:space="0" w:color="262626"/>
              <w:left w:val="single" w:sz="12" w:space="0" w:color="262626"/>
              <w:right w:val="single" w:sz="12" w:space="0" w:color="262626"/>
            </w:tcBorders>
            <w:shd w:val="clear" w:color="auto" w:fill="auto"/>
            <w:vAlign w:val="center"/>
          </w:tcPr>
          <w:p w14:paraId="7DC37C77" w14:textId="77777777" w:rsidR="00A81086" w:rsidRPr="00290829" w:rsidRDefault="00A81086" w:rsidP="007D7AB3">
            <w:pPr>
              <w:spacing w:after="0" w:line="240" w:lineRule="auto"/>
              <w:contextualSpacing/>
              <w:jc w:val="center"/>
              <w:rPr>
                <w:rFonts w:cstheme="minorHAnsi"/>
              </w:rPr>
            </w:pPr>
          </w:p>
        </w:tc>
        <w:tc>
          <w:tcPr>
            <w:tcW w:w="756" w:type="dxa"/>
            <w:tcBorders>
              <w:top w:val="single" w:sz="12" w:space="0" w:color="262626"/>
              <w:left w:val="single" w:sz="12" w:space="0" w:color="262626"/>
            </w:tcBorders>
            <w:shd w:val="clear" w:color="auto" w:fill="auto"/>
            <w:vAlign w:val="center"/>
          </w:tcPr>
          <w:p w14:paraId="4F8AE867" w14:textId="77777777" w:rsidR="00A81086" w:rsidRPr="00290829" w:rsidRDefault="00A81086" w:rsidP="007D7AB3">
            <w:pPr>
              <w:spacing w:after="0" w:line="240" w:lineRule="auto"/>
              <w:contextualSpacing/>
              <w:jc w:val="center"/>
              <w:rPr>
                <w:rFonts w:cstheme="minorHAnsi"/>
              </w:rPr>
            </w:pPr>
          </w:p>
        </w:tc>
        <w:tc>
          <w:tcPr>
            <w:tcW w:w="686" w:type="dxa"/>
            <w:tcBorders>
              <w:top w:val="single" w:sz="12" w:space="0" w:color="262626"/>
            </w:tcBorders>
            <w:shd w:val="clear" w:color="auto" w:fill="auto"/>
            <w:vAlign w:val="center"/>
          </w:tcPr>
          <w:p w14:paraId="1F0284F9" w14:textId="77777777" w:rsidR="00A81086" w:rsidRPr="00290829" w:rsidRDefault="00A81086" w:rsidP="007D7AB3">
            <w:pPr>
              <w:spacing w:after="0" w:line="240" w:lineRule="auto"/>
              <w:contextualSpacing/>
              <w:jc w:val="center"/>
              <w:rPr>
                <w:rFonts w:cstheme="minorHAnsi"/>
              </w:rPr>
            </w:pPr>
          </w:p>
        </w:tc>
        <w:tc>
          <w:tcPr>
            <w:tcW w:w="687" w:type="dxa"/>
            <w:tcBorders>
              <w:top w:val="single" w:sz="12" w:space="0" w:color="262626"/>
            </w:tcBorders>
            <w:vAlign w:val="center"/>
          </w:tcPr>
          <w:p w14:paraId="3EB3F7DC" w14:textId="77777777" w:rsidR="00A81086" w:rsidRPr="00290829" w:rsidRDefault="00A81086" w:rsidP="007D7AB3">
            <w:pPr>
              <w:spacing w:after="0" w:line="240" w:lineRule="auto"/>
              <w:contextualSpacing/>
              <w:jc w:val="center"/>
              <w:rPr>
                <w:rFonts w:cstheme="minorHAnsi"/>
              </w:rPr>
            </w:pPr>
          </w:p>
        </w:tc>
        <w:tc>
          <w:tcPr>
            <w:tcW w:w="771" w:type="dxa"/>
            <w:tcBorders>
              <w:top w:val="single" w:sz="12" w:space="0" w:color="262626"/>
            </w:tcBorders>
            <w:shd w:val="clear" w:color="auto" w:fill="auto"/>
            <w:vAlign w:val="center"/>
          </w:tcPr>
          <w:p w14:paraId="19387DA1" w14:textId="77777777" w:rsidR="00A81086" w:rsidRPr="00290829" w:rsidRDefault="00A81086" w:rsidP="007D7AB3">
            <w:pPr>
              <w:spacing w:after="0" w:line="240" w:lineRule="auto"/>
              <w:contextualSpacing/>
              <w:jc w:val="center"/>
              <w:rPr>
                <w:rFonts w:cstheme="minorHAnsi"/>
              </w:rPr>
            </w:pPr>
          </w:p>
        </w:tc>
      </w:tr>
      <w:tr w:rsidR="00A81086" w:rsidRPr="00290829" w14:paraId="50863F99" w14:textId="77777777" w:rsidTr="007D7AB3">
        <w:trPr>
          <w:trHeight w:val="20"/>
        </w:trPr>
        <w:tc>
          <w:tcPr>
            <w:tcW w:w="3588" w:type="dxa"/>
            <w:tcBorders>
              <w:top w:val="nil"/>
              <w:bottom w:val="nil"/>
              <w:right w:val="single" w:sz="12" w:space="0" w:color="auto"/>
            </w:tcBorders>
            <w:shd w:val="clear" w:color="auto" w:fill="auto"/>
            <w:vAlign w:val="bottom"/>
          </w:tcPr>
          <w:p w14:paraId="34147B11" w14:textId="77777777" w:rsidR="00A81086" w:rsidRPr="00290829" w:rsidRDefault="00A81086" w:rsidP="007D7AB3">
            <w:pPr>
              <w:spacing w:after="0" w:line="240" w:lineRule="auto"/>
              <w:contextualSpacing/>
              <w:rPr>
                <w:rFonts w:cstheme="minorHAnsi"/>
                <w:b/>
                <w:bCs/>
                <w:i/>
              </w:rPr>
            </w:pPr>
            <w:r w:rsidRPr="00290829">
              <w:rPr>
                <w:rFonts w:cstheme="minorHAnsi"/>
                <w:b/>
                <w:bCs/>
                <w:i/>
              </w:rPr>
              <w:t>Primary Outcomes</w:t>
            </w:r>
          </w:p>
        </w:tc>
        <w:tc>
          <w:tcPr>
            <w:tcW w:w="734" w:type="dxa"/>
            <w:tcBorders>
              <w:left w:val="single" w:sz="12" w:space="0" w:color="auto"/>
              <w:right w:val="single" w:sz="12" w:space="0" w:color="262626"/>
            </w:tcBorders>
            <w:shd w:val="clear" w:color="auto" w:fill="auto"/>
            <w:vAlign w:val="center"/>
          </w:tcPr>
          <w:p w14:paraId="10C20A74"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7F17BE5B"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4CEEAE6E"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7BA69816"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412573EF"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54DD800C" w14:textId="77777777" w:rsidR="00A81086" w:rsidRPr="00290829" w:rsidRDefault="00A81086" w:rsidP="007D7AB3">
            <w:pPr>
              <w:spacing w:after="0" w:line="240" w:lineRule="auto"/>
              <w:contextualSpacing/>
              <w:jc w:val="center"/>
              <w:rPr>
                <w:rFonts w:cstheme="minorHAnsi"/>
              </w:rPr>
            </w:pPr>
          </w:p>
        </w:tc>
      </w:tr>
      <w:tr w:rsidR="00A81086" w:rsidRPr="00290829" w14:paraId="00FBC060" w14:textId="77777777" w:rsidTr="007D7AB3">
        <w:trPr>
          <w:trHeight w:val="20"/>
        </w:trPr>
        <w:tc>
          <w:tcPr>
            <w:tcW w:w="3588" w:type="dxa"/>
            <w:tcBorders>
              <w:top w:val="nil"/>
              <w:bottom w:val="nil"/>
              <w:right w:val="single" w:sz="12" w:space="0" w:color="auto"/>
            </w:tcBorders>
            <w:shd w:val="clear" w:color="auto" w:fill="auto"/>
            <w:vAlign w:val="bottom"/>
          </w:tcPr>
          <w:p w14:paraId="4942B85C" w14:textId="77777777" w:rsidR="00A81086" w:rsidRPr="00290829" w:rsidRDefault="00A81086" w:rsidP="007D7AB3">
            <w:pPr>
              <w:spacing w:after="0" w:line="240" w:lineRule="auto"/>
              <w:contextualSpacing/>
              <w:rPr>
                <w:rFonts w:cstheme="minorHAnsi"/>
                <w:iCs/>
              </w:rPr>
            </w:pPr>
            <w:r w:rsidRPr="00290829">
              <w:rPr>
                <w:rFonts w:cstheme="minorHAnsi"/>
                <w:iCs/>
              </w:rPr>
              <w:t>Pain intensity</w:t>
            </w:r>
          </w:p>
        </w:tc>
        <w:tc>
          <w:tcPr>
            <w:tcW w:w="734" w:type="dxa"/>
            <w:tcBorders>
              <w:left w:val="single" w:sz="12" w:space="0" w:color="auto"/>
              <w:right w:val="single" w:sz="12" w:space="0" w:color="262626"/>
            </w:tcBorders>
            <w:shd w:val="clear" w:color="auto" w:fill="auto"/>
            <w:vAlign w:val="center"/>
          </w:tcPr>
          <w:p w14:paraId="1FA76ADB"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1351" w:type="dxa"/>
            <w:tcBorders>
              <w:left w:val="single" w:sz="12" w:space="0" w:color="262626"/>
              <w:right w:val="single" w:sz="12" w:space="0" w:color="262626"/>
            </w:tcBorders>
            <w:shd w:val="clear" w:color="auto" w:fill="auto"/>
            <w:vAlign w:val="center"/>
          </w:tcPr>
          <w:p w14:paraId="74BB0755"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4615356D"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36AF5FA7"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00F56755"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771" w:type="dxa"/>
            <w:shd w:val="clear" w:color="auto" w:fill="auto"/>
            <w:vAlign w:val="center"/>
          </w:tcPr>
          <w:p w14:paraId="6189DD4D"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17839CB1" w14:textId="77777777" w:rsidTr="007D7AB3">
        <w:trPr>
          <w:trHeight w:val="20"/>
        </w:trPr>
        <w:tc>
          <w:tcPr>
            <w:tcW w:w="3588" w:type="dxa"/>
            <w:tcBorders>
              <w:top w:val="nil"/>
              <w:bottom w:val="nil"/>
              <w:right w:val="single" w:sz="12" w:space="0" w:color="auto"/>
            </w:tcBorders>
            <w:shd w:val="clear" w:color="auto" w:fill="auto"/>
            <w:vAlign w:val="bottom"/>
          </w:tcPr>
          <w:p w14:paraId="550FC2F1" w14:textId="77777777" w:rsidR="00A81086" w:rsidRPr="00290829" w:rsidRDefault="00A81086" w:rsidP="007D7AB3">
            <w:pPr>
              <w:spacing w:after="0" w:line="240" w:lineRule="auto"/>
              <w:contextualSpacing/>
              <w:rPr>
                <w:rFonts w:cstheme="minorHAnsi"/>
                <w:iCs/>
              </w:rPr>
            </w:pPr>
            <w:r w:rsidRPr="00290829">
              <w:rPr>
                <w:rFonts w:cstheme="minorHAnsi"/>
                <w:iCs/>
              </w:rPr>
              <w:t>Patient enablement</w:t>
            </w:r>
          </w:p>
        </w:tc>
        <w:tc>
          <w:tcPr>
            <w:tcW w:w="734" w:type="dxa"/>
            <w:tcBorders>
              <w:left w:val="single" w:sz="12" w:space="0" w:color="auto"/>
              <w:right w:val="single" w:sz="12" w:space="0" w:color="262626"/>
            </w:tcBorders>
            <w:shd w:val="clear" w:color="auto" w:fill="auto"/>
            <w:vAlign w:val="center"/>
          </w:tcPr>
          <w:p w14:paraId="58B68DDD"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6E6D3551"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6EA3630D" w14:textId="77777777" w:rsidR="00A81086" w:rsidRPr="00290829" w:rsidRDefault="00A81086" w:rsidP="007D7AB3">
            <w:pPr>
              <w:spacing w:after="0" w:line="240" w:lineRule="auto"/>
              <w:contextualSpacing/>
              <w:jc w:val="center"/>
              <w:rPr>
                <w:rFonts w:cstheme="minorHAnsi"/>
              </w:rPr>
            </w:pPr>
            <w:r>
              <w:rPr>
                <w:rFonts w:cstheme="minorHAnsi"/>
              </w:rPr>
              <w:t>X</w:t>
            </w:r>
          </w:p>
        </w:tc>
        <w:tc>
          <w:tcPr>
            <w:tcW w:w="686" w:type="dxa"/>
            <w:shd w:val="clear" w:color="auto" w:fill="auto"/>
            <w:vAlign w:val="center"/>
          </w:tcPr>
          <w:p w14:paraId="0D1BE907"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02C77C67"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771" w:type="dxa"/>
            <w:shd w:val="clear" w:color="auto" w:fill="auto"/>
            <w:vAlign w:val="center"/>
          </w:tcPr>
          <w:p w14:paraId="39FC1A24"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1DA85233" w14:textId="77777777" w:rsidTr="007D7AB3">
        <w:trPr>
          <w:trHeight w:val="20"/>
        </w:trPr>
        <w:tc>
          <w:tcPr>
            <w:tcW w:w="3588" w:type="dxa"/>
            <w:tcBorders>
              <w:top w:val="nil"/>
              <w:bottom w:val="nil"/>
              <w:right w:val="single" w:sz="12" w:space="0" w:color="auto"/>
            </w:tcBorders>
            <w:shd w:val="clear" w:color="auto" w:fill="auto"/>
            <w:vAlign w:val="bottom"/>
          </w:tcPr>
          <w:p w14:paraId="2F1EF2F7" w14:textId="77777777" w:rsidR="00A81086" w:rsidRPr="00290829" w:rsidRDefault="00A81086" w:rsidP="007D7AB3">
            <w:pPr>
              <w:spacing w:after="0" w:line="240" w:lineRule="auto"/>
              <w:contextualSpacing/>
              <w:rPr>
                <w:rFonts w:cstheme="minorHAnsi"/>
                <w:b/>
                <w:bCs/>
                <w:i/>
              </w:rPr>
            </w:pPr>
            <w:r w:rsidRPr="00290829">
              <w:rPr>
                <w:rFonts w:cstheme="minorHAnsi"/>
                <w:b/>
                <w:bCs/>
                <w:i/>
              </w:rPr>
              <w:t>Secondary Outcomes</w:t>
            </w:r>
          </w:p>
        </w:tc>
        <w:tc>
          <w:tcPr>
            <w:tcW w:w="734" w:type="dxa"/>
            <w:tcBorders>
              <w:left w:val="single" w:sz="12" w:space="0" w:color="auto"/>
              <w:right w:val="single" w:sz="12" w:space="0" w:color="262626"/>
            </w:tcBorders>
            <w:shd w:val="clear" w:color="auto" w:fill="auto"/>
            <w:vAlign w:val="center"/>
          </w:tcPr>
          <w:p w14:paraId="515BBE34"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479CADE0"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60C7542C"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59F5081B"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2844D1C5"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733043DC" w14:textId="77777777" w:rsidR="00A81086" w:rsidRPr="00290829" w:rsidRDefault="00A81086" w:rsidP="007D7AB3">
            <w:pPr>
              <w:spacing w:after="0" w:line="240" w:lineRule="auto"/>
              <w:contextualSpacing/>
              <w:jc w:val="center"/>
              <w:rPr>
                <w:rFonts w:cstheme="minorHAnsi"/>
              </w:rPr>
            </w:pPr>
          </w:p>
        </w:tc>
      </w:tr>
      <w:tr w:rsidR="00A81086" w:rsidRPr="00290829" w14:paraId="60AE1500" w14:textId="77777777" w:rsidTr="007D7AB3">
        <w:trPr>
          <w:trHeight w:val="20"/>
        </w:trPr>
        <w:tc>
          <w:tcPr>
            <w:tcW w:w="3588" w:type="dxa"/>
            <w:tcBorders>
              <w:top w:val="nil"/>
              <w:bottom w:val="nil"/>
              <w:right w:val="single" w:sz="12" w:space="0" w:color="auto"/>
            </w:tcBorders>
            <w:shd w:val="clear" w:color="auto" w:fill="auto"/>
            <w:vAlign w:val="bottom"/>
          </w:tcPr>
          <w:p w14:paraId="5D662AFE" w14:textId="77777777" w:rsidR="00A81086" w:rsidRPr="00290829" w:rsidRDefault="00A81086" w:rsidP="007D7AB3">
            <w:pPr>
              <w:spacing w:after="0" w:line="240" w:lineRule="auto"/>
              <w:contextualSpacing/>
              <w:rPr>
                <w:rFonts w:cstheme="minorHAnsi"/>
                <w:iCs/>
              </w:rPr>
            </w:pPr>
            <w:r w:rsidRPr="00290829">
              <w:rPr>
                <w:rFonts w:cstheme="minorHAnsi"/>
                <w:iCs/>
              </w:rPr>
              <w:t>Global impression of symptom severity</w:t>
            </w:r>
          </w:p>
        </w:tc>
        <w:tc>
          <w:tcPr>
            <w:tcW w:w="734" w:type="dxa"/>
            <w:tcBorders>
              <w:left w:val="single" w:sz="12" w:space="0" w:color="auto"/>
              <w:right w:val="single" w:sz="12" w:space="0" w:color="262626"/>
            </w:tcBorders>
            <w:shd w:val="clear" w:color="auto" w:fill="auto"/>
            <w:vAlign w:val="center"/>
          </w:tcPr>
          <w:p w14:paraId="338C4284"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1351" w:type="dxa"/>
            <w:tcBorders>
              <w:left w:val="single" w:sz="12" w:space="0" w:color="262626"/>
              <w:right w:val="single" w:sz="12" w:space="0" w:color="262626"/>
            </w:tcBorders>
            <w:shd w:val="clear" w:color="auto" w:fill="auto"/>
            <w:vAlign w:val="center"/>
          </w:tcPr>
          <w:p w14:paraId="26E09F8A"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125545F4"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6C696CCB"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237F88B5"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771" w:type="dxa"/>
            <w:shd w:val="clear" w:color="auto" w:fill="auto"/>
            <w:vAlign w:val="center"/>
          </w:tcPr>
          <w:p w14:paraId="6EAC3D07"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0F86A51D" w14:textId="77777777" w:rsidTr="007D7AB3">
        <w:trPr>
          <w:trHeight w:val="20"/>
        </w:trPr>
        <w:tc>
          <w:tcPr>
            <w:tcW w:w="3588" w:type="dxa"/>
            <w:tcBorders>
              <w:top w:val="nil"/>
              <w:bottom w:val="nil"/>
              <w:right w:val="single" w:sz="12" w:space="0" w:color="auto"/>
            </w:tcBorders>
            <w:shd w:val="clear" w:color="auto" w:fill="auto"/>
            <w:vAlign w:val="bottom"/>
          </w:tcPr>
          <w:p w14:paraId="11688ABA" w14:textId="77777777" w:rsidR="00A81086" w:rsidRPr="00290829" w:rsidRDefault="00A81086" w:rsidP="007D7AB3">
            <w:pPr>
              <w:spacing w:after="0" w:line="240" w:lineRule="auto"/>
              <w:contextualSpacing/>
              <w:rPr>
                <w:rFonts w:cstheme="minorHAnsi"/>
                <w:iCs/>
              </w:rPr>
            </w:pPr>
            <w:r w:rsidRPr="00290829">
              <w:rPr>
                <w:rFonts w:cstheme="minorHAnsi"/>
                <w:iCs/>
              </w:rPr>
              <w:t>Global impression of symptom change</w:t>
            </w:r>
          </w:p>
        </w:tc>
        <w:tc>
          <w:tcPr>
            <w:tcW w:w="734" w:type="dxa"/>
            <w:tcBorders>
              <w:left w:val="single" w:sz="12" w:space="0" w:color="auto"/>
              <w:right w:val="single" w:sz="12" w:space="0" w:color="262626"/>
            </w:tcBorders>
            <w:shd w:val="clear" w:color="auto" w:fill="auto"/>
            <w:vAlign w:val="center"/>
          </w:tcPr>
          <w:p w14:paraId="729EC05C"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4F466B81"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B9704DC"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4BA25353"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2D63641B"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771" w:type="dxa"/>
            <w:shd w:val="clear" w:color="auto" w:fill="auto"/>
            <w:vAlign w:val="center"/>
          </w:tcPr>
          <w:p w14:paraId="59042830"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30FDFB76" w14:textId="77777777" w:rsidTr="007D7AB3">
        <w:trPr>
          <w:trHeight w:val="20"/>
        </w:trPr>
        <w:tc>
          <w:tcPr>
            <w:tcW w:w="3588" w:type="dxa"/>
            <w:tcBorders>
              <w:top w:val="nil"/>
              <w:bottom w:val="nil"/>
              <w:right w:val="single" w:sz="12" w:space="0" w:color="auto"/>
            </w:tcBorders>
            <w:shd w:val="clear" w:color="auto" w:fill="auto"/>
            <w:vAlign w:val="bottom"/>
          </w:tcPr>
          <w:p w14:paraId="3B78FDB0" w14:textId="77777777" w:rsidR="00A81086" w:rsidRPr="00290829" w:rsidRDefault="00A81086" w:rsidP="007D7AB3">
            <w:pPr>
              <w:spacing w:after="0" w:line="240" w:lineRule="auto"/>
              <w:contextualSpacing/>
              <w:rPr>
                <w:rFonts w:cstheme="minorHAnsi"/>
                <w:iCs/>
              </w:rPr>
            </w:pPr>
            <w:r w:rsidRPr="00290829">
              <w:rPr>
                <w:rFonts w:cstheme="minorHAnsi"/>
                <w:iCs/>
              </w:rPr>
              <w:t>Pain interference</w:t>
            </w:r>
          </w:p>
        </w:tc>
        <w:tc>
          <w:tcPr>
            <w:tcW w:w="734" w:type="dxa"/>
            <w:tcBorders>
              <w:left w:val="single" w:sz="12" w:space="0" w:color="auto"/>
              <w:right w:val="single" w:sz="12" w:space="0" w:color="262626"/>
            </w:tcBorders>
            <w:shd w:val="clear" w:color="auto" w:fill="auto"/>
            <w:vAlign w:val="center"/>
          </w:tcPr>
          <w:p w14:paraId="2BA90C99"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0F552440"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05C567C"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016EA579"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0CCEBEF2"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727FEEED"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0AF2941B" w14:textId="77777777" w:rsidTr="007D7AB3">
        <w:trPr>
          <w:trHeight w:val="20"/>
        </w:trPr>
        <w:tc>
          <w:tcPr>
            <w:tcW w:w="3588" w:type="dxa"/>
            <w:tcBorders>
              <w:top w:val="nil"/>
              <w:bottom w:val="nil"/>
              <w:right w:val="single" w:sz="12" w:space="0" w:color="auto"/>
            </w:tcBorders>
            <w:shd w:val="clear" w:color="auto" w:fill="auto"/>
            <w:vAlign w:val="bottom"/>
          </w:tcPr>
          <w:p w14:paraId="1AA4BBC1" w14:textId="77777777" w:rsidR="00A81086" w:rsidRPr="00290829" w:rsidRDefault="00A81086" w:rsidP="007D7AB3">
            <w:pPr>
              <w:spacing w:after="0" w:line="240" w:lineRule="auto"/>
              <w:contextualSpacing/>
              <w:rPr>
                <w:rFonts w:cstheme="minorHAnsi"/>
                <w:iCs/>
              </w:rPr>
            </w:pPr>
            <w:r w:rsidRPr="00290829">
              <w:rPr>
                <w:rFonts w:cstheme="minorHAnsi"/>
                <w:iCs/>
              </w:rPr>
              <w:t>Patient satisfaction</w:t>
            </w:r>
          </w:p>
        </w:tc>
        <w:tc>
          <w:tcPr>
            <w:tcW w:w="734" w:type="dxa"/>
            <w:tcBorders>
              <w:left w:val="single" w:sz="12" w:space="0" w:color="auto"/>
              <w:right w:val="single" w:sz="12" w:space="0" w:color="262626"/>
            </w:tcBorders>
            <w:shd w:val="clear" w:color="auto" w:fill="auto"/>
            <w:vAlign w:val="center"/>
          </w:tcPr>
          <w:p w14:paraId="3CC3A571"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38AEC115"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23322516"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55C58A64"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165B1086"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3E959143" w14:textId="77777777" w:rsidR="00A81086" w:rsidRPr="00290829" w:rsidRDefault="00A81086" w:rsidP="007D7AB3">
            <w:pPr>
              <w:spacing w:after="0" w:line="240" w:lineRule="auto"/>
              <w:contextualSpacing/>
              <w:jc w:val="center"/>
              <w:rPr>
                <w:rFonts w:cstheme="minorHAnsi"/>
              </w:rPr>
            </w:pPr>
          </w:p>
        </w:tc>
      </w:tr>
      <w:tr w:rsidR="00A81086" w:rsidRPr="00290829" w14:paraId="3C3BE478" w14:textId="77777777" w:rsidTr="007D7AB3">
        <w:trPr>
          <w:trHeight w:val="20"/>
        </w:trPr>
        <w:tc>
          <w:tcPr>
            <w:tcW w:w="3588" w:type="dxa"/>
            <w:tcBorders>
              <w:top w:val="nil"/>
              <w:bottom w:val="nil"/>
              <w:right w:val="single" w:sz="12" w:space="0" w:color="auto"/>
            </w:tcBorders>
            <w:shd w:val="clear" w:color="auto" w:fill="auto"/>
            <w:vAlign w:val="bottom"/>
          </w:tcPr>
          <w:p w14:paraId="17287E58" w14:textId="77777777" w:rsidR="00A81086" w:rsidRPr="00290829" w:rsidRDefault="00A81086" w:rsidP="007D7AB3">
            <w:pPr>
              <w:spacing w:after="0" w:line="240" w:lineRule="auto"/>
              <w:contextualSpacing/>
              <w:rPr>
                <w:rFonts w:cstheme="minorHAnsi"/>
                <w:iCs/>
              </w:rPr>
            </w:pPr>
            <w:r w:rsidRPr="00290829">
              <w:rPr>
                <w:rFonts w:cstheme="minorHAnsi"/>
                <w:iCs/>
              </w:rPr>
              <w:t>Health economics: EQ-5D &amp; ICECAP-A</w:t>
            </w:r>
          </w:p>
        </w:tc>
        <w:tc>
          <w:tcPr>
            <w:tcW w:w="734" w:type="dxa"/>
            <w:tcBorders>
              <w:left w:val="single" w:sz="12" w:space="0" w:color="auto"/>
              <w:right w:val="single" w:sz="12" w:space="0" w:color="262626"/>
            </w:tcBorders>
            <w:shd w:val="clear" w:color="auto" w:fill="auto"/>
            <w:vAlign w:val="center"/>
          </w:tcPr>
          <w:p w14:paraId="0783A1BB" w14:textId="77777777" w:rsidR="00A81086" w:rsidRPr="00290829" w:rsidRDefault="00A81086" w:rsidP="007D7AB3">
            <w:pPr>
              <w:spacing w:after="0" w:line="240" w:lineRule="auto"/>
              <w:contextualSpacing/>
              <w:jc w:val="center"/>
              <w:rPr>
                <w:rFonts w:cstheme="minorHAnsi"/>
              </w:rPr>
            </w:pPr>
            <w:r w:rsidRPr="00290829">
              <w:rPr>
                <w:rFonts w:cstheme="minorHAnsi"/>
              </w:rPr>
              <w:t xml:space="preserve">X </w:t>
            </w:r>
          </w:p>
        </w:tc>
        <w:tc>
          <w:tcPr>
            <w:tcW w:w="1351" w:type="dxa"/>
            <w:tcBorders>
              <w:left w:val="single" w:sz="12" w:space="0" w:color="262626"/>
              <w:right w:val="single" w:sz="12" w:space="0" w:color="262626"/>
            </w:tcBorders>
            <w:shd w:val="clear" w:color="auto" w:fill="auto"/>
            <w:vAlign w:val="center"/>
          </w:tcPr>
          <w:p w14:paraId="5FE03968"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380726A5"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056255F2"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2887DBC3"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7F06A02D"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6047F6F9" w14:textId="77777777" w:rsidTr="007D7AB3">
        <w:trPr>
          <w:trHeight w:val="20"/>
        </w:trPr>
        <w:tc>
          <w:tcPr>
            <w:tcW w:w="3588" w:type="dxa"/>
            <w:tcBorders>
              <w:top w:val="nil"/>
              <w:bottom w:val="nil"/>
              <w:right w:val="single" w:sz="12" w:space="0" w:color="auto"/>
            </w:tcBorders>
            <w:shd w:val="clear" w:color="auto" w:fill="auto"/>
            <w:vAlign w:val="bottom"/>
          </w:tcPr>
          <w:p w14:paraId="60B8AED3" w14:textId="77777777" w:rsidR="00A81086" w:rsidRPr="00290829" w:rsidRDefault="00A81086" w:rsidP="007D7AB3">
            <w:pPr>
              <w:spacing w:after="0" w:line="240" w:lineRule="auto"/>
              <w:contextualSpacing/>
              <w:rPr>
                <w:rFonts w:cstheme="minorHAnsi"/>
                <w:iCs/>
              </w:rPr>
            </w:pPr>
            <w:r w:rsidRPr="00290829">
              <w:rPr>
                <w:rFonts w:cstheme="minorHAnsi"/>
                <w:iCs/>
              </w:rPr>
              <w:t>Adverse events</w:t>
            </w:r>
          </w:p>
        </w:tc>
        <w:tc>
          <w:tcPr>
            <w:tcW w:w="734" w:type="dxa"/>
            <w:tcBorders>
              <w:left w:val="single" w:sz="12" w:space="0" w:color="auto"/>
              <w:right w:val="single" w:sz="12" w:space="0" w:color="262626"/>
            </w:tcBorders>
            <w:shd w:val="clear" w:color="auto" w:fill="auto"/>
            <w:vAlign w:val="center"/>
          </w:tcPr>
          <w:p w14:paraId="2817CFB0"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34875028"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461AD15E"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0DDEDDE4"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7" w:type="dxa"/>
            <w:vAlign w:val="center"/>
          </w:tcPr>
          <w:p w14:paraId="39F32608"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771" w:type="dxa"/>
            <w:shd w:val="clear" w:color="auto" w:fill="auto"/>
            <w:vAlign w:val="center"/>
          </w:tcPr>
          <w:p w14:paraId="4006CF35"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6D948AB9" w14:textId="77777777" w:rsidTr="007D7AB3">
        <w:trPr>
          <w:trHeight w:val="20"/>
        </w:trPr>
        <w:tc>
          <w:tcPr>
            <w:tcW w:w="3588" w:type="dxa"/>
            <w:tcBorders>
              <w:top w:val="nil"/>
              <w:bottom w:val="nil"/>
              <w:right w:val="single" w:sz="12" w:space="0" w:color="auto"/>
            </w:tcBorders>
            <w:shd w:val="clear" w:color="auto" w:fill="auto"/>
            <w:vAlign w:val="bottom"/>
          </w:tcPr>
          <w:p w14:paraId="43DA9CAD" w14:textId="77777777" w:rsidR="00A81086" w:rsidRPr="00290829" w:rsidRDefault="00A81086" w:rsidP="007D7AB3">
            <w:pPr>
              <w:spacing w:after="0" w:line="240" w:lineRule="auto"/>
              <w:contextualSpacing/>
              <w:rPr>
                <w:rFonts w:cstheme="minorHAnsi"/>
                <w:iCs/>
              </w:rPr>
            </w:pPr>
            <w:r w:rsidRPr="00290829">
              <w:rPr>
                <w:rFonts w:cstheme="minorHAnsi"/>
                <w:iCs/>
              </w:rPr>
              <w:t xml:space="preserve">Healthcare utilization </w:t>
            </w:r>
          </w:p>
        </w:tc>
        <w:tc>
          <w:tcPr>
            <w:tcW w:w="734" w:type="dxa"/>
            <w:tcBorders>
              <w:left w:val="single" w:sz="12" w:space="0" w:color="auto"/>
              <w:right w:val="single" w:sz="12" w:space="0" w:color="262626"/>
            </w:tcBorders>
            <w:shd w:val="clear" w:color="auto" w:fill="auto"/>
            <w:vAlign w:val="center"/>
          </w:tcPr>
          <w:p w14:paraId="34B97A1B" w14:textId="77777777" w:rsidR="00A81086" w:rsidRPr="00290829" w:rsidRDefault="00A81086" w:rsidP="007D7AB3">
            <w:pPr>
              <w:spacing w:after="0" w:line="240" w:lineRule="auto"/>
              <w:contextualSpacing/>
              <w:jc w:val="center"/>
              <w:rPr>
                <w:rFonts w:cstheme="minorHAnsi"/>
              </w:rPr>
            </w:pPr>
            <w:r>
              <w:rPr>
                <w:rFonts w:cstheme="minorHAnsi"/>
              </w:rPr>
              <w:t>X</w:t>
            </w:r>
          </w:p>
        </w:tc>
        <w:tc>
          <w:tcPr>
            <w:tcW w:w="1351" w:type="dxa"/>
            <w:tcBorders>
              <w:left w:val="single" w:sz="12" w:space="0" w:color="262626"/>
              <w:right w:val="single" w:sz="12" w:space="0" w:color="262626"/>
            </w:tcBorders>
            <w:shd w:val="clear" w:color="auto" w:fill="auto"/>
            <w:vAlign w:val="center"/>
          </w:tcPr>
          <w:p w14:paraId="4A8E2ECE"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4BA67C3D"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4CF8FD1C"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071309EB"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771" w:type="dxa"/>
            <w:shd w:val="clear" w:color="auto" w:fill="auto"/>
            <w:vAlign w:val="center"/>
          </w:tcPr>
          <w:p w14:paraId="007041AF"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r w:rsidR="00A81086" w:rsidRPr="00290829" w14:paraId="67B04C16" w14:textId="77777777" w:rsidTr="007D7AB3">
        <w:trPr>
          <w:trHeight w:val="20"/>
        </w:trPr>
        <w:tc>
          <w:tcPr>
            <w:tcW w:w="3588" w:type="dxa"/>
            <w:tcBorders>
              <w:top w:val="nil"/>
              <w:bottom w:val="nil"/>
              <w:right w:val="single" w:sz="12" w:space="0" w:color="auto"/>
            </w:tcBorders>
            <w:shd w:val="clear" w:color="auto" w:fill="auto"/>
            <w:vAlign w:val="bottom"/>
          </w:tcPr>
          <w:p w14:paraId="769AC53B" w14:textId="77777777" w:rsidR="00A81086" w:rsidRPr="00290829" w:rsidRDefault="00A81086" w:rsidP="007D7AB3">
            <w:pPr>
              <w:spacing w:after="0" w:line="240" w:lineRule="auto"/>
              <w:contextualSpacing/>
              <w:rPr>
                <w:rFonts w:cstheme="minorHAnsi"/>
                <w:iCs/>
              </w:rPr>
            </w:pPr>
            <w:r>
              <w:rPr>
                <w:rFonts w:cstheme="minorHAnsi"/>
                <w:iCs/>
              </w:rPr>
              <w:t>Prescribed medications, personal expenses, productivity</w:t>
            </w:r>
          </w:p>
        </w:tc>
        <w:tc>
          <w:tcPr>
            <w:tcW w:w="734" w:type="dxa"/>
            <w:tcBorders>
              <w:left w:val="single" w:sz="12" w:space="0" w:color="auto"/>
              <w:right w:val="single" w:sz="12" w:space="0" w:color="262626"/>
            </w:tcBorders>
            <w:shd w:val="clear" w:color="auto" w:fill="auto"/>
            <w:vAlign w:val="center"/>
          </w:tcPr>
          <w:p w14:paraId="2A8D4EB6" w14:textId="77777777" w:rsidR="00A81086"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0A1173B6"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A90CD8E"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002AA285"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7EA98B4C" w14:textId="77777777" w:rsidR="00A81086" w:rsidRPr="00290829" w:rsidRDefault="00A81086" w:rsidP="007D7AB3">
            <w:pPr>
              <w:spacing w:after="0" w:line="240" w:lineRule="auto"/>
              <w:contextualSpacing/>
              <w:jc w:val="center"/>
              <w:rPr>
                <w:rFonts w:cstheme="minorHAnsi"/>
              </w:rPr>
            </w:pPr>
            <w:r>
              <w:rPr>
                <w:rFonts w:cstheme="minorHAnsi"/>
              </w:rPr>
              <w:t>X</w:t>
            </w:r>
          </w:p>
        </w:tc>
        <w:tc>
          <w:tcPr>
            <w:tcW w:w="771" w:type="dxa"/>
            <w:shd w:val="clear" w:color="auto" w:fill="auto"/>
            <w:vAlign w:val="center"/>
          </w:tcPr>
          <w:p w14:paraId="4951F1A6" w14:textId="77777777" w:rsidR="00A81086" w:rsidRPr="00290829" w:rsidRDefault="00A81086" w:rsidP="007D7AB3">
            <w:pPr>
              <w:spacing w:after="0" w:line="240" w:lineRule="auto"/>
              <w:contextualSpacing/>
              <w:jc w:val="center"/>
              <w:rPr>
                <w:rFonts w:cstheme="minorHAnsi"/>
              </w:rPr>
            </w:pPr>
            <w:r>
              <w:rPr>
                <w:rFonts w:cstheme="minorHAnsi"/>
              </w:rPr>
              <w:t>X</w:t>
            </w:r>
          </w:p>
        </w:tc>
      </w:tr>
      <w:tr w:rsidR="00A81086" w:rsidRPr="00290829" w14:paraId="27253C42" w14:textId="77777777" w:rsidTr="007D7AB3">
        <w:trPr>
          <w:trHeight w:val="20"/>
        </w:trPr>
        <w:tc>
          <w:tcPr>
            <w:tcW w:w="3588" w:type="dxa"/>
            <w:tcBorders>
              <w:top w:val="nil"/>
              <w:bottom w:val="nil"/>
              <w:right w:val="single" w:sz="12" w:space="0" w:color="auto"/>
            </w:tcBorders>
            <w:shd w:val="clear" w:color="auto" w:fill="auto"/>
            <w:vAlign w:val="bottom"/>
          </w:tcPr>
          <w:p w14:paraId="7163DF93" w14:textId="77777777" w:rsidR="00A81086" w:rsidRPr="00290829" w:rsidRDefault="00A81086" w:rsidP="007D7AB3">
            <w:pPr>
              <w:spacing w:after="0" w:line="240" w:lineRule="auto"/>
              <w:contextualSpacing/>
              <w:rPr>
                <w:rFonts w:cstheme="minorHAnsi"/>
                <w:b/>
                <w:bCs/>
                <w:i/>
              </w:rPr>
            </w:pPr>
            <w:r w:rsidRPr="00290829">
              <w:rPr>
                <w:rFonts w:cstheme="minorHAnsi"/>
                <w:b/>
                <w:bCs/>
                <w:i/>
              </w:rPr>
              <w:t>Process Measures</w:t>
            </w:r>
          </w:p>
        </w:tc>
        <w:tc>
          <w:tcPr>
            <w:tcW w:w="734" w:type="dxa"/>
            <w:tcBorders>
              <w:left w:val="single" w:sz="12" w:space="0" w:color="auto"/>
              <w:right w:val="single" w:sz="12" w:space="0" w:color="262626"/>
            </w:tcBorders>
            <w:shd w:val="clear" w:color="auto" w:fill="auto"/>
            <w:vAlign w:val="center"/>
          </w:tcPr>
          <w:p w14:paraId="1F8506B6"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4D5F34C8"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878AD21"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2896A7FA"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36B6E542"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2185DABD" w14:textId="77777777" w:rsidR="00A81086" w:rsidRPr="00290829" w:rsidRDefault="00A81086" w:rsidP="007D7AB3">
            <w:pPr>
              <w:spacing w:after="0" w:line="240" w:lineRule="auto"/>
              <w:contextualSpacing/>
              <w:jc w:val="center"/>
              <w:rPr>
                <w:rFonts w:cstheme="minorHAnsi"/>
              </w:rPr>
            </w:pPr>
          </w:p>
        </w:tc>
      </w:tr>
      <w:tr w:rsidR="00A81086" w:rsidRPr="00290829" w14:paraId="70F0F950" w14:textId="77777777" w:rsidTr="007D7AB3">
        <w:trPr>
          <w:trHeight w:val="20"/>
        </w:trPr>
        <w:tc>
          <w:tcPr>
            <w:tcW w:w="3588" w:type="dxa"/>
            <w:tcBorders>
              <w:top w:val="nil"/>
              <w:bottom w:val="nil"/>
              <w:right w:val="single" w:sz="12" w:space="0" w:color="auto"/>
            </w:tcBorders>
            <w:shd w:val="clear" w:color="auto" w:fill="auto"/>
            <w:vAlign w:val="bottom"/>
          </w:tcPr>
          <w:p w14:paraId="5A858146" w14:textId="77777777" w:rsidR="00A81086" w:rsidRPr="00290829" w:rsidRDefault="00A81086" w:rsidP="007D7AB3">
            <w:pPr>
              <w:spacing w:after="0" w:line="240" w:lineRule="auto"/>
              <w:contextualSpacing/>
              <w:rPr>
                <w:rFonts w:cstheme="minorHAnsi"/>
                <w:iCs/>
              </w:rPr>
            </w:pPr>
            <w:r w:rsidRPr="00290829">
              <w:rPr>
                <w:rFonts w:cstheme="minorHAnsi"/>
                <w:iCs/>
              </w:rPr>
              <w:t>Perceptions of empathy</w:t>
            </w:r>
          </w:p>
        </w:tc>
        <w:tc>
          <w:tcPr>
            <w:tcW w:w="734" w:type="dxa"/>
            <w:tcBorders>
              <w:left w:val="single" w:sz="12" w:space="0" w:color="auto"/>
              <w:right w:val="single" w:sz="12" w:space="0" w:color="262626"/>
            </w:tcBorders>
            <w:shd w:val="clear" w:color="auto" w:fill="auto"/>
            <w:vAlign w:val="center"/>
          </w:tcPr>
          <w:p w14:paraId="4EBD3757"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4C00E76F"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9BB7D91"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08CD0144"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3BB63C29"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592EBC0C" w14:textId="77777777" w:rsidR="00A81086" w:rsidRPr="00290829" w:rsidRDefault="00A81086" w:rsidP="007D7AB3">
            <w:pPr>
              <w:spacing w:after="0" w:line="240" w:lineRule="auto"/>
              <w:contextualSpacing/>
              <w:jc w:val="center"/>
              <w:rPr>
                <w:rFonts w:cstheme="minorHAnsi"/>
              </w:rPr>
            </w:pPr>
          </w:p>
        </w:tc>
      </w:tr>
      <w:tr w:rsidR="00A81086" w:rsidRPr="00290829" w14:paraId="28372573" w14:textId="77777777" w:rsidTr="007D7AB3">
        <w:trPr>
          <w:trHeight w:val="20"/>
        </w:trPr>
        <w:tc>
          <w:tcPr>
            <w:tcW w:w="3588" w:type="dxa"/>
            <w:tcBorders>
              <w:top w:val="nil"/>
              <w:bottom w:val="nil"/>
              <w:right w:val="single" w:sz="12" w:space="0" w:color="auto"/>
            </w:tcBorders>
            <w:shd w:val="clear" w:color="auto" w:fill="auto"/>
            <w:vAlign w:val="bottom"/>
          </w:tcPr>
          <w:p w14:paraId="679973E9" w14:textId="77777777" w:rsidR="00A81086" w:rsidRPr="00290829" w:rsidRDefault="00A81086" w:rsidP="007D7AB3">
            <w:pPr>
              <w:spacing w:after="0" w:line="240" w:lineRule="auto"/>
              <w:contextualSpacing/>
              <w:rPr>
                <w:rFonts w:cstheme="minorHAnsi"/>
                <w:iCs/>
              </w:rPr>
            </w:pPr>
            <w:r w:rsidRPr="00290829">
              <w:rPr>
                <w:rFonts w:cstheme="minorHAnsi"/>
                <w:iCs/>
              </w:rPr>
              <w:t>Perceptions of optimism</w:t>
            </w:r>
          </w:p>
        </w:tc>
        <w:tc>
          <w:tcPr>
            <w:tcW w:w="734" w:type="dxa"/>
            <w:tcBorders>
              <w:left w:val="single" w:sz="12" w:space="0" w:color="auto"/>
              <w:right w:val="single" w:sz="12" w:space="0" w:color="262626"/>
            </w:tcBorders>
            <w:shd w:val="clear" w:color="auto" w:fill="auto"/>
            <w:vAlign w:val="center"/>
          </w:tcPr>
          <w:p w14:paraId="0500A99C"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057771BC"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5252E547"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5132C689"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23F74545"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60293730" w14:textId="77777777" w:rsidR="00A81086" w:rsidRPr="00290829" w:rsidRDefault="00A81086" w:rsidP="007D7AB3">
            <w:pPr>
              <w:spacing w:after="0" w:line="240" w:lineRule="auto"/>
              <w:contextualSpacing/>
              <w:jc w:val="center"/>
              <w:rPr>
                <w:rFonts w:cstheme="minorHAnsi"/>
              </w:rPr>
            </w:pPr>
          </w:p>
        </w:tc>
      </w:tr>
      <w:tr w:rsidR="00A81086" w:rsidRPr="00290829" w14:paraId="762BA4EF" w14:textId="77777777" w:rsidTr="007D7AB3">
        <w:trPr>
          <w:trHeight w:val="20"/>
        </w:trPr>
        <w:tc>
          <w:tcPr>
            <w:tcW w:w="3588" w:type="dxa"/>
            <w:tcBorders>
              <w:top w:val="nil"/>
              <w:bottom w:val="nil"/>
              <w:right w:val="single" w:sz="12" w:space="0" w:color="auto"/>
            </w:tcBorders>
            <w:shd w:val="clear" w:color="auto" w:fill="auto"/>
            <w:vAlign w:val="bottom"/>
          </w:tcPr>
          <w:p w14:paraId="66A46DAA" w14:textId="77777777" w:rsidR="00A81086" w:rsidRPr="00290829" w:rsidRDefault="00A81086" w:rsidP="007D7AB3">
            <w:pPr>
              <w:spacing w:after="0" w:line="240" w:lineRule="auto"/>
              <w:contextualSpacing/>
              <w:rPr>
                <w:rFonts w:cstheme="minorHAnsi"/>
                <w:iCs/>
              </w:rPr>
            </w:pPr>
            <w:r w:rsidRPr="00290829">
              <w:rPr>
                <w:rFonts w:cstheme="minorHAnsi"/>
                <w:iCs/>
              </w:rPr>
              <w:t>Treatment expectations</w:t>
            </w:r>
          </w:p>
        </w:tc>
        <w:tc>
          <w:tcPr>
            <w:tcW w:w="734" w:type="dxa"/>
            <w:tcBorders>
              <w:left w:val="single" w:sz="12" w:space="0" w:color="auto"/>
              <w:right w:val="single" w:sz="12" w:space="0" w:color="262626"/>
            </w:tcBorders>
            <w:shd w:val="clear" w:color="auto" w:fill="auto"/>
            <w:vAlign w:val="center"/>
          </w:tcPr>
          <w:p w14:paraId="4D0FF823"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78AF2756"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7284F929"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7257A1E3"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26EA7561"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0BA5E415" w14:textId="77777777" w:rsidR="00A81086" w:rsidRPr="00290829" w:rsidRDefault="00A81086" w:rsidP="007D7AB3">
            <w:pPr>
              <w:spacing w:after="0" w:line="240" w:lineRule="auto"/>
              <w:contextualSpacing/>
              <w:jc w:val="center"/>
              <w:rPr>
                <w:rFonts w:cstheme="minorHAnsi"/>
              </w:rPr>
            </w:pPr>
          </w:p>
        </w:tc>
      </w:tr>
      <w:tr w:rsidR="00A81086" w:rsidRPr="00290829" w14:paraId="2A348EB5" w14:textId="77777777" w:rsidTr="007D7AB3">
        <w:trPr>
          <w:trHeight w:val="20"/>
        </w:trPr>
        <w:tc>
          <w:tcPr>
            <w:tcW w:w="3588" w:type="dxa"/>
            <w:tcBorders>
              <w:top w:val="nil"/>
              <w:bottom w:val="nil"/>
              <w:right w:val="single" w:sz="12" w:space="0" w:color="auto"/>
            </w:tcBorders>
            <w:shd w:val="clear" w:color="auto" w:fill="auto"/>
            <w:vAlign w:val="bottom"/>
          </w:tcPr>
          <w:p w14:paraId="03636495" w14:textId="77777777" w:rsidR="00A81086" w:rsidRPr="00290829" w:rsidRDefault="00A81086" w:rsidP="007D7AB3">
            <w:pPr>
              <w:spacing w:after="0" w:line="240" w:lineRule="auto"/>
              <w:contextualSpacing/>
              <w:rPr>
                <w:rFonts w:cstheme="minorHAnsi"/>
                <w:iCs/>
              </w:rPr>
            </w:pPr>
            <w:r w:rsidRPr="00290829">
              <w:rPr>
                <w:rFonts w:cstheme="minorHAnsi"/>
                <w:iCs/>
              </w:rPr>
              <w:t>Anxiety</w:t>
            </w:r>
          </w:p>
        </w:tc>
        <w:tc>
          <w:tcPr>
            <w:tcW w:w="734" w:type="dxa"/>
            <w:tcBorders>
              <w:left w:val="single" w:sz="12" w:space="0" w:color="auto"/>
              <w:right w:val="single" w:sz="12" w:space="0" w:color="262626"/>
            </w:tcBorders>
            <w:shd w:val="clear" w:color="auto" w:fill="auto"/>
            <w:vAlign w:val="center"/>
          </w:tcPr>
          <w:p w14:paraId="17165012"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4E0A6EE5"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014D356A"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0A06DE68"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448EE66B"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392A6369" w14:textId="77777777" w:rsidR="00A81086" w:rsidRPr="00290829" w:rsidRDefault="00A81086" w:rsidP="007D7AB3">
            <w:pPr>
              <w:spacing w:after="0" w:line="240" w:lineRule="auto"/>
              <w:contextualSpacing/>
              <w:jc w:val="center"/>
              <w:rPr>
                <w:rFonts w:cstheme="minorHAnsi"/>
              </w:rPr>
            </w:pPr>
          </w:p>
        </w:tc>
      </w:tr>
      <w:tr w:rsidR="00A81086" w:rsidRPr="00290829" w14:paraId="0800B443" w14:textId="77777777" w:rsidTr="007D7AB3">
        <w:trPr>
          <w:trHeight w:val="20"/>
        </w:trPr>
        <w:tc>
          <w:tcPr>
            <w:tcW w:w="3588" w:type="dxa"/>
            <w:tcBorders>
              <w:top w:val="nil"/>
              <w:bottom w:val="nil"/>
              <w:right w:val="single" w:sz="12" w:space="0" w:color="auto"/>
            </w:tcBorders>
            <w:shd w:val="clear" w:color="auto" w:fill="auto"/>
            <w:vAlign w:val="bottom"/>
          </w:tcPr>
          <w:p w14:paraId="3D538E3F" w14:textId="77777777" w:rsidR="00A81086" w:rsidRPr="00290829" w:rsidRDefault="00A81086" w:rsidP="007D7AB3">
            <w:pPr>
              <w:spacing w:after="0" w:line="240" w:lineRule="auto"/>
              <w:contextualSpacing/>
              <w:rPr>
                <w:rFonts w:cstheme="minorHAnsi"/>
                <w:iCs/>
              </w:rPr>
            </w:pPr>
            <w:r w:rsidRPr="00290829">
              <w:rPr>
                <w:rFonts w:cstheme="minorHAnsi"/>
                <w:iCs/>
              </w:rPr>
              <w:t>Continuity of care</w:t>
            </w:r>
          </w:p>
        </w:tc>
        <w:tc>
          <w:tcPr>
            <w:tcW w:w="734" w:type="dxa"/>
            <w:tcBorders>
              <w:left w:val="single" w:sz="12" w:space="0" w:color="auto"/>
              <w:right w:val="single" w:sz="12" w:space="0" w:color="262626"/>
            </w:tcBorders>
            <w:shd w:val="clear" w:color="auto" w:fill="auto"/>
            <w:vAlign w:val="center"/>
          </w:tcPr>
          <w:p w14:paraId="4984CE38"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06E81130"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0FE825EC"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58038D26"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1B4AD069"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202A0B50" w14:textId="77777777" w:rsidR="00A81086" w:rsidRPr="00290829" w:rsidRDefault="00A81086" w:rsidP="007D7AB3">
            <w:pPr>
              <w:spacing w:after="0" w:line="240" w:lineRule="auto"/>
              <w:contextualSpacing/>
              <w:jc w:val="center"/>
              <w:rPr>
                <w:rFonts w:cstheme="minorHAnsi"/>
              </w:rPr>
            </w:pPr>
          </w:p>
        </w:tc>
      </w:tr>
      <w:tr w:rsidR="00A81086" w:rsidRPr="00290829" w14:paraId="505F0ECA" w14:textId="77777777" w:rsidTr="007D7AB3">
        <w:trPr>
          <w:trHeight w:val="20"/>
        </w:trPr>
        <w:tc>
          <w:tcPr>
            <w:tcW w:w="3588" w:type="dxa"/>
            <w:tcBorders>
              <w:top w:val="nil"/>
              <w:bottom w:val="nil"/>
              <w:right w:val="single" w:sz="12" w:space="0" w:color="auto"/>
            </w:tcBorders>
            <w:shd w:val="clear" w:color="auto" w:fill="auto"/>
            <w:vAlign w:val="bottom"/>
          </w:tcPr>
          <w:p w14:paraId="1E102AA9" w14:textId="77777777" w:rsidR="00A81086" w:rsidRPr="00290829" w:rsidRDefault="00A81086" w:rsidP="007D7AB3">
            <w:pPr>
              <w:spacing w:after="0" w:line="240" w:lineRule="auto"/>
              <w:contextualSpacing/>
              <w:rPr>
                <w:rFonts w:cstheme="minorHAnsi"/>
                <w:iCs/>
              </w:rPr>
            </w:pPr>
            <w:r w:rsidRPr="00290829">
              <w:rPr>
                <w:rFonts w:cstheme="minorHAnsi"/>
                <w:iCs/>
              </w:rPr>
              <w:t>Depression</w:t>
            </w:r>
          </w:p>
        </w:tc>
        <w:tc>
          <w:tcPr>
            <w:tcW w:w="734" w:type="dxa"/>
            <w:tcBorders>
              <w:left w:val="single" w:sz="12" w:space="0" w:color="auto"/>
              <w:right w:val="single" w:sz="12" w:space="0" w:color="262626"/>
            </w:tcBorders>
            <w:shd w:val="clear" w:color="auto" w:fill="auto"/>
            <w:vAlign w:val="center"/>
          </w:tcPr>
          <w:p w14:paraId="6D415156"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7DDA3611"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375924AF"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shd w:val="clear" w:color="auto" w:fill="auto"/>
            <w:vAlign w:val="center"/>
          </w:tcPr>
          <w:p w14:paraId="71E126D0"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659AE036"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01987221" w14:textId="77777777" w:rsidR="00A81086" w:rsidRPr="00290829" w:rsidRDefault="00A81086" w:rsidP="007D7AB3">
            <w:pPr>
              <w:spacing w:after="0" w:line="240" w:lineRule="auto"/>
              <w:contextualSpacing/>
              <w:jc w:val="center"/>
              <w:rPr>
                <w:rFonts w:cstheme="minorHAnsi"/>
              </w:rPr>
            </w:pPr>
          </w:p>
        </w:tc>
      </w:tr>
      <w:tr w:rsidR="00A81086" w:rsidRPr="00290829" w14:paraId="08EE7D80" w14:textId="77777777" w:rsidTr="007D7AB3">
        <w:trPr>
          <w:trHeight w:val="20"/>
        </w:trPr>
        <w:tc>
          <w:tcPr>
            <w:tcW w:w="3588" w:type="dxa"/>
            <w:tcBorders>
              <w:top w:val="nil"/>
              <w:bottom w:val="nil"/>
              <w:right w:val="single" w:sz="12" w:space="0" w:color="auto"/>
            </w:tcBorders>
            <w:shd w:val="clear" w:color="auto" w:fill="auto"/>
            <w:vAlign w:val="bottom"/>
          </w:tcPr>
          <w:p w14:paraId="69C73B11" w14:textId="77777777" w:rsidR="00A81086" w:rsidRPr="00143200" w:rsidRDefault="00A81086" w:rsidP="007D7AB3">
            <w:pPr>
              <w:spacing w:after="0" w:line="240" w:lineRule="auto"/>
              <w:contextualSpacing/>
              <w:rPr>
                <w:rFonts w:cstheme="minorHAnsi"/>
                <w:b/>
                <w:bCs/>
                <w:i/>
              </w:rPr>
            </w:pPr>
            <w:r w:rsidRPr="00143200">
              <w:rPr>
                <w:rFonts w:cstheme="minorHAnsi"/>
                <w:b/>
                <w:bCs/>
                <w:i/>
              </w:rPr>
              <w:t>Sociodemographic characteristics</w:t>
            </w:r>
          </w:p>
        </w:tc>
        <w:tc>
          <w:tcPr>
            <w:tcW w:w="734" w:type="dxa"/>
            <w:tcBorders>
              <w:left w:val="single" w:sz="12" w:space="0" w:color="auto"/>
              <w:right w:val="single" w:sz="12" w:space="0" w:color="262626"/>
            </w:tcBorders>
            <w:shd w:val="clear" w:color="auto" w:fill="auto"/>
            <w:vAlign w:val="center"/>
          </w:tcPr>
          <w:p w14:paraId="1B31DEC2" w14:textId="77777777" w:rsidR="00A81086" w:rsidRPr="00290829" w:rsidRDefault="00A81086" w:rsidP="007D7AB3">
            <w:pPr>
              <w:spacing w:after="0" w:line="240" w:lineRule="auto"/>
              <w:contextualSpacing/>
              <w:jc w:val="center"/>
              <w:rPr>
                <w:rFonts w:cstheme="minorHAnsi"/>
              </w:rPr>
            </w:pPr>
            <w:r>
              <w:rPr>
                <w:rFonts w:cstheme="minorHAnsi"/>
              </w:rPr>
              <w:t>X</w:t>
            </w:r>
          </w:p>
        </w:tc>
        <w:tc>
          <w:tcPr>
            <w:tcW w:w="1351" w:type="dxa"/>
            <w:tcBorders>
              <w:left w:val="single" w:sz="12" w:space="0" w:color="262626"/>
              <w:right w:val="single" w:sz="12" w:space="0" w:color="262626"/>
            </w:tcBorders>
            <w:shd w:val="clear" w:color="auto" w:fill="auto"/>
            <w:vAlign w:val="center"/>
          </w:tcPr>
          <w:p w14:paraId="633B7B50"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7BF686CC" w14:textId="77777777" w:rsidR="00A81086" w:rsidRPr="00290829" w:rsidRDefault="00A81086" w:rsidP="007D7AB3">
            <w:pPr>
              <w:spacing w:after="0" w:line="240" w:lineRule="auto"/>
              <w:contextualSpacing/>
              <w:jc w:val="center"/>
              <w:rPr>
                <w:rFonts w:cstheme="minorHAnsi"/>
              </w:rPr>
            </w:pPr>
          </w:p>
        </w:tc>
        <w:tc>
          <w:tcPr>
            <w:tcW w:w="686" w:type="dxa"/>
            <w:shd w:val="clear" w:color="auto" w:fill="auto"/>
            <w:vAlign w:val="center"/>
          </w:tcPr>
          <w:p w14:paraId="3B9E3F0A"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40E53115"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3398D34A" w14:textId="77777777" w:rsidR="00A81086" w:rsidRPr="00290829" w:rsidRDefault="00A81086" w:rsidP="007D7AB3">
            <w:pPr>
              <w:spacing w:after="0" w:line="240" w:lineRule="auto"/>
              <w:contextualSpacing/>
              <w:jc w:val="center"/>
              <w:rPr>
                <w:rFonts w:cstheme="minorHAnsi"/>
              </w:rPr>
            </w:pPr>
          </w:p>
        </w:tc>
      </w:tr>
      <w:tr w:rsidR="00A81086" w:rsidRPr="00290829" w14:paraId="336DFA67" w14:textId="77777777" w:rsidTr="007D7AB3">
        <w:trPr>
          <w:trHeight w:val="20"/>
        </w:trPr>
        <w:tc>
          <w:tcPr>
            <w:tcW w:w="3588" w:type="dxa"/>
            <w:tcBorders>
              <w:top w:val="nil"/>
              <w:bottom w:val="nil"/>
              <w:right w:val="single" w:sz="12" w:space="0" w:color="auto"/>
            </w:tcBorders>
            <w:shd w:val="clear" w:color="auto" w:fill="auto"/>
            <w:vAlign w:val="bottom"/>
          </w:tcPr>
          <w:p w14:paraId="40515325" w14:textId="77777777" w:rsidR="00A81086" w:rsidRPr="00143200" w:rsidRDefault="00A81086" w:rsidP="007D7AB3">
            <w:pPr>
              <w:spacing w:after="0" w:line="240" w:lineRule="auto"/>
              <w:contextualSpacing/>
              <w:rPr>
                <w:rFonts w:cstheme="minorHAnsi"/>
                <w:b/>
                <w:bCs/>
                <w:i/>
              </w:rPr>
            </w:pPr>
            <w:r w:rsidRPr="00143200">
              <w:rPr>
                <w:rFonts w:cstheme="minorHAnsi"/>
                <w:b/>
                <w:bCs/>
                <w:i/>
              </w:rPr>
              <w:t>Health characteristics</w:t>
            </w:r>
          </w:p>
        </w:tc>
        <w:tc>
          <w:tcPr>
            <w:tcW w:w="734" w:type="dxa"/>
            <w:tcBorders>
              <w:left w:val="single" w:sz="12" w:space="0" w:color="auto"/>
              <w:right w:val="single" w:sz="12" w:space="0" w:color="262626"/>
            </w:tcBorders>
            <w:shd w:val="clear" w:color="auto" w:fill="auto"/>
            <w:vAlign w:val="center"/>
          </w:tcPr>
          <w:p w14:paraId="0AEF7C66"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right w:val="single" w:sz="12" w:space="0" w:color="262626"/>
            </w:tcBorders>
            <w:shd w:val="clear" w:color="auto" w:fill="auto"/>
            <w:vAlign w:val="center"/>
          </w:tcPr>
          <w:p w14:paraId="2084133F"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tcBorders>
            <w:shd w:val="clear" w:color="auto" w:fill="auto"/>
            <w:vAlign w:val="center"/>
          </w:tcPr>
          <w:p w14:paraId="05E32897" w14:textId="77777777" w:rsidR="00A81086" w:rsidRPr="00290829" w:rsidRDefault="00A81086" w:rsidP="007D7AB3">
            <w:pPr>
              <w:spacing w:after="0" w:line="240" w:lineRule="auto"/>
              <w:contextualSpacing/>
              <w:jc w:val="center"/>
              <w:rPr>
                <w:rFonts w:cstheme="minorHAnsi"/>
              </w:rPr>
            </w:pPr>
            <w:r>
              <w:rPr>
                <w:rFonts w:cstheme="minorHAnsi"/>
              </w:rPr>
              <w:t>X</w:t>
            </w:r>
          </w:p>
        </w:tc>
        <w:tc>
          <w:tcPr>
            <w:tcW w:w="686" w:type="dxa"/>
            <w:shd w:val="clear" w:color="auto" w:fill="auto"/>
            <w:vAlign w:val="center"/>
          </w:tcPr>
          <w:p w14:paraId="7698CE04" w14:textId="77777777" w:rsidR="00A81086" w:rsidRPr="00290829" w:rsidRDefault="00A81086" w:rsidP="007D7AB3">
            <w:pPr>
              <w:spacing w:after="0" w:line="240" w:lineRule="auto"/>
              <w:contextualSpacing/>
              <w:jc w:val="center"/>
              <w:rPr>
                <w:rFonts w:cstheme="minorHAnsi"/>
              </w:rPr>
            </w:pPr>
          </w:p>
        </w:tc>
        <w:tc>
          <w:tcPr>
            <w:tcW w:w="687" w:type="dxa"/>
            <w:vAlign w:val="center"/>
          </w:tcPr>
          <w:p w14:paraId="5F247340" w14:textId="77777777" w:rsidR="00A81086" w:rsidRPr="00290829" w:rsidRDefault="00A81086" w:rsidP="007D7AB3">
            <w:pPr>
              <w:spacing w:after="0" w:line="240" w:lineRule="auto"/>
              <w:contextualSpacing/>
              <w:jc w:val="center"/>
              <w:rPr>
                <w:rFonts w:cstheme="minorHAnsi"/>
              </w:rPr>
            </w:pPr>
          </w:p>
        </w:tc>
        <w:tc>
          <w:tcPr>
            <w:tcW w:w="771" w:type="dxa"/>
            <w:shd w:val="clear" w:color="auto" w:fill="auto"/>
            <w:vAlign w:val="center"/>
          </w:tcPr>
          <w:p w14:paraId="14664B93" w14:textId="77777777" w:rsidR="00A81086" w:rsidRPr="00290829" w:rsidRDefault="00A81086" w:rsidP="007D7AB3">
            <w:pPr>
              <w:spacing w:after="0" w:line="240" w:lineRule="auto"/>
              <w:contextualSpacing/>
              <w:jc w:val="center"/>
              <w:rPr>
                <w:rFonts w:cstheme="minorHAnsi"/>
              </w:rPr>
            </w:pPr>
          </w:p>
        </w:tc>
      </w:tr>
      <w:tr w:rsidR="00A81086" w:rsidRPr="00290829" w14:paraId="59CE0B83" w14:textId="77777777" w:rsidTr="007D7AB3">
        <w:trPr>
          <w:trHeight w:val="20"/>
        </w:trPr>
        <w:tc>
          <w:tcPr>
            <w:tcW w:w="3588" w:type="dxa"/>
            <w:tcBorders>
              <w:top w:val="nil"/>
              <w:bottom w:val="single" w:sz="12" w:space="0" w:color="000000"/>
              <w:right w:val="single" w:sz="12" w:space="0" w:color="auto"/>
            </w:tcBorders>
            <w:shd w:val="clear" w:color="auto" w:fill="auto"/>
            <w:vAlign w:val="bottom"/>
          </w:tcPr>
          <w:p w14:paraId="1D2C1D82" w14:textId="77777777" w:rsidR="00A81086" w:rsidRPr="00290829" w:rsidRDefault="00A81086" w:rsidP="007D7AB3">
            <w:pPr>
              <w:spacing w:after="0" w:line="240" w:lineRule="auto"/>
              <w:contextualSpacing/>
              <w:rPr>
                <w:rFonts w:cstheme="minorHAnsi"/>
                <w:b/>
                <w:bCs/>
                <w:i/>
              </w:rPr>
            </w:pPr>
            <w:r w:rsidRPr="00290829">
              <w:rPr>
                <w:rFonts w:cstheme="minorHAnsi"/>
                <w:b/>
                <w:bCs/>
                <w:i/>
              </w:rPr>
              <w:t>Qualitative interview</w:t>
            </w:r>
          </w:p>
        </w:tc>
        <w:tc>
          <w:tcPr>
            <w:tcW w:w="734" w:type="dxa"/>
            <w:tcBorders>
              <w:left w:val="single" w:sz="12" w:space="0" w:color="auto"/>
              <w:bottom w:val="single" w:sz="12" w:space="0" w:color="000000"/>
              <w:right w:val="single" w:sz="12" w:space="0" w:color="262626"/>
            </w:tcBorders>
            <w:shd w:val="clear" w:color="auto" w:fill="auto"/>
            <w:vAlign w:val="center"/>
          </w:tcPr>
          <w:p w14:paraId="4074C0C5" w14:textId="77777777" w:rsidR="00A81086" w:rsidRPr="00290829" w:rsidRDefault="00A81086" w:rsidP="007D7AB3">
            <w:pPr>
              <w:spacing w:after="0" w:line="240" w:lineRule="auto"/>
              <w:contextualSpacing/>
              <w:jc w:val="center"/>
              <w:rPr>
                <w:rFonts w:cstheme="minorHAnsi"/>
              </w:rPr>
            </w:pPr>
          </w:p>
        </w:tc>
        <w:tc>
          <w:tcPr>
            <w:tcW w:w="1351" w:type="dxa"/>
            <w:tcBorders>
              <w:left w:val="single" w:sz="12" w:space="0" w:color="262626"/>
              <w:bottom w:val="single" w:sz="12" w:space="0" w:color="000000"/>
              <w:right w:val="single" w:sz="12" w:space="0" w:color="262626"/>
            </w:tcBorders>
            <w:shd w:val="clear" w:color="auto" w:fill="auto"/>
            <w:vAlign w:val="center"/>
          </w:tcPr>
          <w:p w14:paraId="5A14166A" w14:textId="77777777" w:rsidR="00A81086" w:rsidRPr="00290829" w:rsidRDefault="00A81086" w:rsidP="007D7AB3">
            <w:pPr>
              <w:spacing w:after="0" w:line="240" w:lineRule="auto"/>
              <w:contextualSpacing/>
              <w:jc w:val="center"/>
              <w:rPr>
                <w:rFonts w:cstheme="minorHAnsi"/>
              </w:rPr>
            </w:pPr>
          </w:p>
        </w:tc>
        <w:tc>
          <w:tcPr>
            <w:tcW w:w="756" w:type="dxa"/>
            <w:tcBorders>
              <w:left w:val="single" w:sz="12" w:space="0" w:color="262626"/>
              <w:bottom w:val="single" w:sz="12" w:space="0" w:color="000000"/>
            </w:tcBorders>
            <w:shd w:val="clear" w:color="auto" w:fill="auto"/>
            <w:vAlign w:val="center"/>
          </w:tcPr>
          <w:p w14:paraId="4FACB9F9"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c>
          <w:tcPr>
            <w:tcW w:w="686" w:type="dxa"/>
            <w:tcBorders>
              <w:bottom w:val="single" w:sz="12" w:space="0" w:color="000000"/>
            </w:tcBorders>
            <w:shd w:val="clear" w:color="auto" w:fill="auto"/>
            <w:vAlign w:val="center"/>
          </w:tcPr>
          <w:p w14:paraId="30675AA7" w14:textId="77777777" w:rsidR="00A81086" w:rsidRPr="00290829" w:rsidRDefault="00A81086" w:rsidP="007D7AB3">
            <w:pPr>
              <w:spacing w:after="0" w:line="240" w:lineRule="auto"/>
              <w:contextualSpacing/>
              <w:jc w:val="center"/>
              <w:rPr>
                <w:rFonts w:cstheme="minorHAnsi"/>
              </w:rPr>
            </w:pPr>
          </w:p>
        </w:tc>
        <w:tc>
          <w:tcPr>
            <w:tcW w:w="687" w:type="dxa"/>
            <w:tcBorders>
              <w:bottom w:val="single" w:sz="12" w:space="0" w:color="000000"/>
            </w:tcBorders>
            <w:vAlign w:val="center"/>
          </w:tcPr>
          <w:p w14:paraId="080D804E" w14:textId="77777777" w:rsidR="00A81086" w:rsidRPr="00290829" w:rsidRDefault="00A81086" w:rsidP="007D7AB3">
            <w:pPr>
              <w:spacing w:after="0" w:line="240" w:lineRule="auto"/>
              <w:contextualSpacing/>
              <w:jc w:val="center"/>
              <w:rPr>
                <w:rFonts w:cstheme="minorHAnsi"/>
              </w:rPr>
            </w:pPr>
          </w:p>
        </w:tc>
        <w:tc>
          <w:tcPr>
            <w:tcW w:w="771" w:type="dxa"/>
            <w:tcBorders>
              <w:bottom w:val="single" w:sz="12" w:space="0" w:color="000000"/>
            </w:tcBorders>
            <w:shd w:val="clear" w:color="auto" w:fill="auto"/>
            <w:vAlign w:val="center"/>
          </w:tcPr>
          <w:p w14:paraId="08FFD654" w14:textId="77777777" w:rsidR="00A81086" w:rsidRPr="00290829" w:rsidRDefault="00A81086" w:rsidP="007D7AB3">
            <w:pPr>
              <w:spacing w:after="0" w:line="240" w:lineRule="auto"/>
              <w:contextualSpacing/>
              <w:jc w:val="center"/>
              <w:rPr>
                <w:rFonts w:cstheme="minorHAnsi"/>
              </w:rPr>
            </w:pPr>
            <w:r w:rsidRPr="00290829">
              <w:rPr>
                <w:rFonts w:cstheme="minorHAnsi"/>
              </w:rPr>
              <w:t>X</w:t>
            </w:r>
          </w:p>
        </w:tc>
      </w:tr>
    </w:tbl>
    <w:p w14:paraId="509C86DE" w14:textId="77777777" w:rsidR="00A81086" w:rsidRDefault="00A81086" w:rsidP="00A81086"/>
    <w:p w14:paraId="1FEECA2B" w14:textId="77777777" w:rsidR="00A81086" w:rsidRDefault="00A81086" w:rsidP="00A81086"/>
    <w:p w14:paraId="26CE8D18" w14:textId="77777777" w:rsidR="00A81086" w:rsidRDefault="00A81086" w:rsidP="00A81086">
      <w:pPr>
        <w:rPr>
          <w:rFonts w:asciiTheme="majorHAnsi" w:eastAsiaTheme="majorEastAsia" w:hAnsiTheme="majorHAnsi" w:cstheme="majorBidi"/>
          <w:color w:val="2F5496" w:themeColor="accent1" w:themeShade="BF"/>
          <w:sz w:val="26"/>
          <w:szCs w:val="26"/>
        </w:rPr>
      </w:pPr>
      <w:r>
        <w:br w:type="page"/>
      </w:r>
    </w:p>
    <w:p w14:paraId="5D079168" w14:textId="77777777" w:rsidR="00A81086" w:rsidRPr="00043DCE" w:rsidRDefault="00A81086" w:rsidP="00A81086">
      <w:pPr>
        <w:pStyle w:val="Heading2"/>
        <w:rPr>
          <w:rFonts w:asciiTheme="minorHAnsi" w:hAnsiTheme="minorHAnsi"/>
          <w:sz w:val="22"/>
          <w:szCs w:val="22"/>
        </w:rPr>
      </w:pPr>
      <w:r w:rsidRPr="00043DCE">
        <w:lastRenderedPageBreak/>
        <w:t xml:space="preserve">Table </w:t>
      </w:r>
      <w:r>
        <w:t>3</w:t>
      </w:r>
      <w:r w:rsidRPr="00043DCE">
        <w:t xml:space="preserve">: Qualitative and Mixed Methods Data Analysis to Evaluate Intervention </w:t>
      </w:r>
    </w:p>
    <w:tbl>
      <w:tblPr>
        <w:tblStyle w:val="GridTable4"/>
        <w:tblW w:w="5000" w:type="pct"/>
        <w:tblLook w:val="04A0" w:firstRow="1" w:lastRow="0" w:firstColumn="1" w:lastColumn="0" w:noHBand="0" w:noVBand="1"/>
      </w:tblPr>
      <w:tblGrid>
        <w:gridCol w:w="1696"/>
        <w:gridCol w:w="1426"/>
        <w:gridCol w:w="6505"/>
      </w:tblGrid>
      <w:tr w:rsidR="00A81086" w:rsidRPr="00043DCE" w14:paraId="41B84BBD" w14:textId="77777777" w:rsidTr="007D7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Borders>
              <w:bottom w:val="nil"/>
            </w:tcBorders>
          </w:tcPr>
          <w:p w14:paraId="06622BC2" w14:textId="77777777" w:rsidR="00A81086" w:rsidRPr="00043DCE" w:rsidRDefault="00A81086" w:rsidP="007D7AB3">
            <w:pPr>
              <w:rPr>
                <w:rFonts w:cstheme="minorHAnsi"/>
              </w:rPr>
            </w:pPr>
            <w:r w:rsidRPr="00043DCE">
              <w:rPr>
                <w:rFonts w:cstheme="minorHAnsi"/>
              </w:rPr>
              <w:t>RE-AIM</w:t>
            </w:r>
          </w:p>
        </w:tc>
        <w:tc>
          <w:tcPr>
            <w:tcW w:w="783" w:type="pct"/>
            <w:tcBorders>
              <w:top w:val="nil"/>
              <w:bottom w:val="nil"/>
            </w:tcBorders>
          </w:tcPr>
          <w:p w14:paraId="7F35774E" w14:textId="77777777" w:rsidR="00A81086" w:rsidRPr="00043DCE" w:rsidRDefault="00A81086" w:rsidP="007D7AB3">
            <w:pPr>
              <w:cnfStyle w:val="100000000000" w:firstRow="1" w:lastRow="0" w:firstColumn="0" w:lastColumn="0" w:oddVBand="0" w:evenVBand="0" w:oddHBand="0" w:evenHBand="0" w:firstRowFirstColumn="0" w:firstRowLastColumn="0" w:lastRowFirstColumn="0" w:lastRowLastColumn="0"/>
              <w:rPr>
                <w:rFonts w:cstheme="minorHAnsi"/>
              </w:rPr>
            </w:pPr>
            <w:r w:rsidRPr="00043DCE">
              <w:rPr>
                <w:rFonts w:cstheme="minorHAnsi"/>
              </w:rPr>
              <w:t>Data source</w:t>
            </w:r>
          </w:p>
        </w:tc>
        <w:tc>
          <w:tcPr>
            <w:tcW w:w="3434" w:type="pct"/>
            <w:tcBorders>
              <w:top w:val="nil"/>
              <w:bottom w:val="nil"/>
              <w:right w:val="nil"/>
            </w:tcBorders>
          </w:tcPr>
          <w:p w14:paraId="412EF6A1" w14:textId="77777777" w:rsidR="00A81086" w:rsidRPr="00043DCE" w:rsidRDefault="00A81086" w:rsidP="007D7AB3">
            <w:pPr>
              <w:cnfStyle w:val="100000000000" w:firstRow="1" w:lastRow="0" w:firstColumn="0" w:lastColumn="0" w:oddVBand="0" w:evenVBand="0" w:oddHBand="0" w:evenHBand="0" w:firstRowFirstColumn="0" w:firstRowLastColumn="0" w:lastRowFirstColumn="0" w:lastRowLastColumn="0"/>
              <w:rPr>
                <w:rFonts w:cstheme="minorHAnsi"/>
              </w:rPr>
            </w:pPr>
            <w:r w:rsidRPr="00043DCE">
              <w:rPr>
                <w:rFonts w:cstheme="minorHAnsi"/>
              </w:rPr>
              <w:t>Analysis</w:t>
            </w:r>
          </w:p>
        </w:tc>
      </w:tr>
      <w:tr w:rsidR="00A81086" w:rsidRPr="00043DCE" w14:paraId="2E50E149" w14:textId="77777777" w:rsidTr="007D7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Borders>
              <w:top w:val="nil"/>
              <w:left w:val="nil"/>
              <w:bottom w:val="nil"/>
              <w:right w:val="nil"/>
            </w:tcBorders>
          </w:tcPr>
          <w:p w14:paraId="563E75EA" w14:textId="77777777" w:rsidR="00A81086" w:rsidRPr="00043DCE" w:rsidRDefault="00A81086" w:rsidP="007D7AB3">
            <w:pPr>
              <w:rPr>
                <w:rFonts w:cstheme="minorHAnsi"/>
              </w:rPr>
            </w:pPr>
            <w:r w:rsidRPr="00043DCE">
              <w:rPr>
                <w:rFonts w:cstheme="minorHAnsi"/>
              </w:rPr>
              <w:t>Reach</w:t>
            </w:r>
          </w:p>
        </w:tc>
        <w:tc>
          <w:tcPr>
            <w:tcW w:w="783" w:type="pct"/>
            <w:tcBorders>
              <w:top w:val="nil"/>
              <w:left w:val="nil"/>
              <w:bottom w:val="nil"/>
              <w:right w:val="nil"/>
            </w:tcBorders>
          </w:tcPr>
          <w:p w14:paraId="353E6D32" w14:textId="77777777" w:rsidR="00A81086" w:rsidRPr="00043DCE" w:rsidRDefault="00A81086" w:rsidP="007D7AB3">
            <w:pPr>
              <w:cnfStyle w:val="000000100000" w:firstRow="0" w:lastRow="0" w:firstColumn="0" w:lastColumn="0" w:oddVBand="0" w:evenVBand="0" w:oddHBand="1" w:evenHBand="0" w:firstRowFirstColumn="0" w:firstRowLastColumn="0" w:lastRowFirstColumn="0" w:lastRowLastColumn="0"/>
              <w:rPr>
                <w:rFonts w:cstheme="minorHAnsi"/>
              </w:rPr>
            </w:pPr>
            <w:r w:rsidRPr="00043DCE">
              <w:rPr>
                <w:rFonts w:cstheme="minorHAnsi"/>
              </w:rPr>
              <w:t>Management data</w:t>
            </w:r>
          </w:p>
        </w:tc>
        <w:tc>
          <w:tcPr>
            <w:tcW w:w="3434" w:type="pct"/>
            <w:tcBorders>
              <w:top w:val="nil"/>
              <w:left w:val="nil"/>
              <w:bottom w:val="nil"/>
              <w:right w:val="nil"/>
            </w:tcBorders>
          </w:tcPr>
          <w:p w14:paraId="36EFF32D" w14:textId="77777777" w:rsidR="00A81086" w:rsidRPr="00043DCE" w:rsidRDefault="00A81086" w:rsidP="007D7AB3">
            <w:pPr>
              <w:cnfStyle w:val="000000100000" w:firstRow="0" w:lastRow="0" w:firstColumn="0" w:lastColumn="0" w:oddVBand="0" w:evenVBand="0" w:oddHBand="1" w:evenHBand="0" w:firstRowFirstColumn="0" w:firstRowLastColumn="0" w:lastRowFirstColumn="0" w:lastRowLastColumn="0"/>
              <w:rPr>
                <w:rFonts w:cstheme="minorHAnsi"/>
              </w:rPr>
            </w:pPr>
            <w:r w:rsidRPr="00043DCE">
              <w:rPr>
                <w:rFonts w:cstheme="minorHAnsi"/>
              </w:rPr>
              <w:t xml:space="preserve">Proportion and characteristics of </w:t>
            </w:r>
            <w:r>
              <w:rPr>
                <w:rFonts w:cstheme="minorHAnsi"/>
              </w:rPr>
              <w:t>practitioner</w:t>
            </w:r>
            <w:r w:rsidRPr="00043DCE">
              <w:rPr>
                <w:rFonts w:cstheme="minorHAnsi"/>
              </w:rPr>
              <w:t>s and patients taking part. Reasons for declining.</w:t>
            </w:r>
          </w:p>
        </w:tc>
      </w:tr>
      <w:tr w:rsidR="00A81086" w:rsidRPr="00043DCE" w14:paraId="31C1432A" w14:textId="77777777" w:rsidTr="007D7AB3">
        <w:tc>
          <w:tcPr>
            <w:cnfStyle w:val="001000000000" w:firstRow="0" w:lastRow="0" w:firstColumn="1" w:lastColumn="0" w:oddVBand="0" w:evenVBand="0" w:oddHBand="0" w:evenHBand="0" w:firstRowFirstColumn="0" w:firstRowLastColumn="0" w:lastRowFirstColumn="0" w:lastRowLastColumn="0"/>
            <w:tcW w:w="783" w:type="pct"/>
            <w:vMerge w:val="restart"/>
            <w:tcBorders>
              <w:top w:val="nil"/>
              <w:left w:val="nil"/>
              <w:bottom w:val="nil"/>
              <w:right w:val="nil"/>
            </w:tcBorders>
          </w:tcPr>
          <w:p w14:paraId="6FDF827C" w14:textId="77777777" w:rsidR="00A81086" w:rsidRPr="00043DCE" w:rsidRDefault="00A81086" w:rsidP="007D7AB3">
            <w:pPr>
              <w:rPr>
                <w:rFonts w:cstheme="minorHAnsi"/>
              </w:rPr>
            </w:pPr>
            <w:r w:rsidRPr="00043DCE">
              <w:rPr>
                <w:rFonts w:cstheme="minorHAnsi"/>
              </w:rPr>
              <w:t>Effectiveness</w:t>
            </w:r>
          </w:p>
        </w:tc>
        <w:tc>
          <w:tcPr>
            <w:tcW w:w="783" w:type="pct"/>
            <w:tcBorders>
              <w:top w:val="nil"/>
              <w:left w:val="nil"/>
              <w:bottom w:val="nil"/>
              <w:right w:val="nil"/>
            </w:tcBorders>
            <w:shd w:val="clear" w:color="auto" w:fill="FFFFFF" w:themeFill="background1"/>
          </w:tcPr>
          <w:p w14:paraId="6C9DCE7F" w14:textId="77777777" w:rsidR="00A81086" w:rsidRPr="00043DCE" w:rsidRDefault="00A81086" w:rsidP="007D7AB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All-comers group</w:t>
            </w:r>
          </w:p>
        </w:tc>
        <w:tc>
          <w:tcPr>
            <w:tcW w:w="3434" w:type="pct"/>
            <w:tcBorders>
              <w:top w:val="nil"/>
              <w:left w:val="nil"/>
              <w:bottom w:val="nil"/>
              <w:right w:val="nil"/>
            </w:tcBorders>
            <w:shd w:val="clear" w:color="auto" w:fill="FFFFFF" w:themeFill="background1"/>
          </w:tcPr>
          <w:p w14:paraId="7D07DD49" w14:textId="77777777" w:rsidR="00A81086" w:rsidRPr="00043DCE" w:rsidRDefault="00A81086" w:rsidP="007D7AB3">
            <w:pPr>
              <w:cnfStyle w:val="000000000000" w:firstRow="0" w:lastRow="0" w:firstColumn="0" w:lastColumn="0" w:oddVBand="0" w:evenVBand="0" w:oddHBand="0" w:evenHBand="0" w:firstRowFirstColumn="0" w:firstRowLastColumn="0" w:lastRowFirstColumn="0" w:lastRowLastColumn="0"/>
              <w:rPr>
                <w:rFonts w:cstheme="minorHAnsi"/>
              </w:rPr>
            </w:pPr>
            <w:r w:rsidRPr="00043DCE">
              <w:rPr>
                <w:rFonts w:cstheme="minorHAnsi"/>
              </w:rPr>
              <w:t xml:space="preserve">Apply analysis plan from main trial to test intervention effectiveness in </w:t>
            </w:r>
            <w:r>
              <w:rPr>
                <w:rFonts w:cstheme="minorHAnsi"/>
              </w:rPr>
              <w:t>all-comers group</w:t>
            </w:r>
            <w:r w:rsidRPr="00043DCE">
              <w:rPr>
                <w:rFonts w:cstheme="minorHAnsi"/>
              </w:rPr>
              <w:t>.</w:t>
            </w:r>
          </w:p>
        </w:tc>
      </w:tr>
      <w:tr w:rsidR="00A81086" w:rsidRPr="00043DCE" w14:paraId="2F642E6F" w14:textId="77777777" w:rsidTr="007D7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vMerge/>
            <w:tcBorders>
              <w:top w:val="nil"/>
              <w:left w:val="nil"/>
              <w:bottom w:val="nil"/>
              <w:right w:val="nil"/>
            </w:tcBorders>
          </w:tcPr>
          <w:p w14:paraId="5E3A6FA8" w14:textId="77777777" w:rsidR="00A81086" w:rsidRPr="00043DCE" w:rsidRDefault="00A81086" w:rsidP="007D7AB3">
            <w:pPr>
              <w:rPr>
                <w:rFonts w:cstheme="minorHAnsi"/>
              </w:rPr>
            </w:pPr>
          </w:p>
        </w:tc>
        <w:tc>
          <w:tcPr>
            <w:tcW w:w="783" w:type="pct"/>
            <w:tcBorders>
              <w:top w:val="nil"/>
              <w:left w:val="nil"/>
              <w:bottom w:val="nil"/>
              <w:right w:val="nil"/>
            </w:tcBorders>
            <w:shd w:val="clear" w:color="auto" w:fill="FFFFFF" w:themeFill="background1"/>
          </w:tcPr>
          <w:p w14:paraId="02DA723A" w14:textId="77777777" w:rsidR="00A81086" w:rsidRPr="00043DCE" w:rsidRDefault="00A81086" w:rsidP="007D7AB3">
            <w:pPr>
              <w:cnfStyle w:val="000000100000" w:firstRow="0" w:lastRow="0" w:firstColumn="0" w:lastColumn="0" w:oddVBand="0" w:evenVBand="0" w:oddHBand="1" w:evenHBand="0" w:firstRowFirstColumn="0" w:firstRowLastColumn="0" w:lastRowFirstColumn="0" w:lastRowLastColumn="0"/>
              <w:rPr>
                <w:rFonts w:cstheme="minorHAnsi"/>
              </w:rPr>
            </w:pPr>
            <w:r w:rsidRPr="00043DCE">
              <w:rPr>
                <w:rFonts w:cstheme="minorHAnsi"/>
              </w:rPr>
              <w:t>Qualitative data</w:t>
            </w:r>
            <w:r>
              <w:rPr>
                <w:rFonts w:cstheme="minorHAnsi"/>
              </w:rPr>
              <w:t xml:space="preserve"> (patients and practitioners)</w:t>
            </w:r>
          </w:p>
        </w:tc>
        <w:tc>
          <w:tcPr>
            <w:tcW w:w="3434" w:type="pct"/>
            <w:tcBorders>
              <w:top w:val="nil"/>
              <w:left w:val="nil"/>
              <w:bottom w:val="nil"/>
              <w:right w:val="nil"/>
            </w:tcBorders>
            <w:shd w:val="clear" w:color="auto" w:fill="FFFFFF" w:themeFill="background1"/>
          </w:tcPr>
          <w:p w14:paraId="115CC7A8" w14:textId="77777777" w:rsidR="00A81086" w:rsidRPr="00043DCE" w:rsidRDefault="00A81086" w:rsidP="007D7AB3">
            <w:pPr>
              <w:cnfStyle w:val="000000100000" w:firstRow="0" w:lastRow="0" w:firstColumn="0" w:lastColumn="0" w:oddVBand="0" w:evenVBand="0" w:oddHBand="1" w:evenHBand="0" w:firstRowFirstColumn="0" w:firstRowLastColumn="0" w:lastRowFirstColumn="0" w:lastRowLastColumn="0"/>
              <w:rPr>
                <w:rFonts w:cstheme="minorHAnsi"/>
              </w:rPr>
            </w:pPr>
            <w:r w:rsidRPr="00043DCE">
              <w:rPr>
                <w:rFonts w:cstheme="minorHAnsi"/>
              </w:rPr>
              <w:t xml:space="preserve">Compare experiences of EMPathicO across in-person, </w:t>
            </w:r>
            <w:proofErr w:type="gramStart"/>
            <w:r w:rsidRPr="00043DCE">
              <w:rPr>
                <w:rFonts w:cstheme="minorHAnsi"/>
              </w:rPr>
              <w:t>telephone</w:t>
            </w:r>
            <w:proofErr w:type="gramEnd"/>
            <w:r w:rsidRPr="00043DCE">
              <w:rPr>
                <w:rFonts w:cstheme="minorHAnsi"/>
              </w:rPr>
              <w:t xml:space="preserve"> and video consultations, and for </w:t>
            </w:r>
            <w:r>
              <w:rPr>
                <w:rFonts w:cstheme="minorHAnsi"/>
              </w:rPr>
              <w:t>musculoskeletal</w:t>
            </w:r>
            <w:r w:rsidRPr="00043DCE">
              <w:rPr>
                <w:rFonts w:cstheme="minorHAnsi"/>
              </w:rPr>
              <w:t xml:space="preserve"> pain vs other conditions (framework analysis).  </w:t>
            </w:r>
          </w:p>
        </w:tc>
      </w:tr>
      <w:tr w:rsidR="00A81086" w:rsidRPr="00043DCE" w14:paraId="76E21F78" w14:textId="77777777" w:rsidTr="007D7AB3">
        <w:tc>
          <w:tcPr>
            <w:cnfStyle w:val="001000000000" w:firstRow="0" w:lastRow="0" w:firstColumn="1" w:lastColumn="0" w:oddVBand="0" w:evenVBand="0" w:oddHBand="0" w:evenHBand="0" w:firstRowFirstColumn="0" w:firstRowLastColumn="0" w:lastRowFirstColumn="0" w:lastRowLastColumn="0"/>
            <w:tcW w:w="783" w:type="pct"/>
            <w:tcBorders>
              <w:top w:val="nil"/>
              <w:left w:val="nil"/>
              <w:bottom w:val="nil"/>
              <w:right w:val="nil"/>
            </w:tcBorders>
            <w:shd w:val="clear" w:color="auto" w:fill="D0CECE" w:themeFill="background2" w:themeFillShade="E6"/>
          </w:tcPr>
          <w:p w14:paraId="31561DDC" w14:textId="77777777" w:rsidR="00A81086" w:rsidRPr="00043DCE" w:rsidRDefault="00A81086" w:rsidP="007D7AB3">
            <w:pPr>
              <w:rPr>
                <w:rFonts w:cstheme="minorHAnsi"/>
              </w:rPr>
            </w:pPr>
            <w:r w:rsidRPr="00043DCE">
              <w:rPr>
                <w:rFonts w:cstheme="minorHAnsi"/>
              </w:rPr>
              <w:t>Adoption</w:t>
            </w:r>
          </w:p>
        </w:tc>
        <w:tc>
          <w:tcPr>
            <w:tcW w:w="783" w:type="pct"/>
            <w:tcBorders>
              <w:top w:val="nil"/>
              <w:left w:val="nil"/>
              <w:bottom w:val="nil"/>
              <w:right w:val="nil"/>
            </w:tcBorders>
            <w:shd w:val="clear" w:color="auto" w:fill="D0CECE" w:themeFill="background2" w:themeFillShade="E6"/>
          </w:tcPr>
          <w:p w14:paraId="4FC449FA" w14:textId="77777777" w:rsidR="00A81086" w:rsidRPr="00043DCE" w:rsidRDefault="00A81086" w:rsidP="007D7AB3">
            <w:pPr>
              <w:cnfStyle w:val="000000000000" w:firstRow="0" w:lastRow="0" w:firstColumn="0" w:lastColumn="0" w:oddVBand="0" w:evenVBand="0" w:oddHBand="0" w:evenHBand="0" w:firstRowFirstColumn="0" w:firstRowLastColumn="0" w:lastRowFirstColumn="0" w:lastRowLastColumn="0"/>
              <w:rPr>
                <w:rFonts w:cstheme="minorHAnsi"/>
              </w:rPr>
            </w:pPr>
            <w:r w:rsidRPr="00043DCE">
              <w:rPr>
                <w:rFonts w:cstheme="minorHAnsi"/>
              </w:rPr>
              <w:t>Management data</w:t>
            </w:r>
          </w:p>
        </w:tc>
        <w:tc>
          <w:tcPr>
            <w:tcW w:w="3434" w:type="pct"/>
            <w:tcBorders>
              <w:top w:val="nil"/>
              <w:left w:val="nil"/>
              <w:bottom w:val="nil"/>
              <w:right w:val="nil"/>
            </w:tcBorders>
            <w:shd w:val="clear" w:color="auto" w:fill="D0CECE" w:themeFill="background2" w:themeFillShade="E6"/>
          </w:tcPr>
          <w:p w14:paraId="3856D97B" w14:textId="77777777" w:rsidR="00A81086" w:rsidRPr="00043DCE" w:rsidRDefault="00A81086" w:rsidP="007D7AB3">
            <w:pPr>
              <w:cnfStyle w:val="000000000000" w:firstRow="0" w:lastRow="0" w:firstColumn="0" w:lastColumn="0" w:oddVBand="0" w:evenVBand="0" w:oddHBand="0" w:evenHBand="0" w:firstRowFirstColumn="0" w:firstRowLastColumn="0" w:lastRowFirstColumn="0" w:lastRowLastColumn="0"/>
              <w:rPr>
                <w:rFonts w:cstheme="minorHAnsi"/>
              </w:rPr>
            </w:pPr>
            <w:r w:rsidRPr="00043DCE">
              <w:rPr>
                <w:rFonts w:cstheme="minorHAnsi"/>
              </w:rPr>
              <w:t>Proportion and characteristics of invited practices taking part. Reasons for declining.</w:t>
            </w:r>
          </w:p>
        </w:tc>
      </w:tr>
      <w:tr w:rsidR="00A81086" w:rsidRPr="00043DCE" w14:paraId="58E532D7" w14:textId="77777777" w:rsidTr="007D7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 w:type="pct"/>
            <w:tcBorders>
              <w:top w:val="nil"/>
              <w:left w:val="nil"/>
              <w:bottom w:val="nil"/>
              <w:right w:val="nil"/>
            </w:tcBorders>
            <w:shd w:val="clear" w:color="auto" w:fill="FFFFFF" w:themeFill="background1"/>
          </w:tcPr>
          <w:p w14:paraId="5BDE2BFD" w14:textId="77777777" w:rsidR="00A81086" w:rsidRPr="00043DCE" w:rsidRDefault="00A81086" w:rsidP="007D7AB3">
            <w:pPr>
              <w:rPr>
                <w:rFonts w:cstheme="minorHAnsi"/>
              </w:rPr>
            </w:pPr>
            <w:r w:rsidRPr="00043DCE">
              <w:rPr>
                <w:rFonts w:cstheme="minorHAnsi"/>
              </w:rPr>
              <w:t>Implementation</w:t>
            </w:r>
          </w:p>
        </w:tc>
        <w:tc>
          <w:tcPr>
            <w:tcW w:w="783" w:type="pct"/>
            <w:tcBorders>
              <w:top w:val="nil"/>
              <w:left w:val="nil"/>
              <w:bottom w:val="nil"/>
              <w:right w:val="nil"/>
            </w:tcBorders>
            <w:shd w:val="clear" w:color="auto" w:fill="FFFFFF" w:themeFill="background1"/>
          </w:tcPr>
          <w:p w14:paraId="754A6A3D" w14:textId="77777777" w:rsidR="00A81086" w:rsidRPr="00043DCE" w:rsidRDefault="00A81086" w:rsidP="007D7AB3">
            <w:pPr>
              <w:cnfStyle w:val="000000100000" w:firstRow="0" w:lastRow="0" w:firstColumn="0" w:lastColumn="0" w:oddVBand="0" w:evenVBand="0" w:oddHBand="1" w:evenHBand="0" w:firstRowFirstColumn="0" w:firstRowLastColumn="0" w:lastRowFirstColumn="0" w:lastRowLastColumn="0"/>
              <w:rPr>
                <w:rFonts w:cstheme="minorHAnsi"/>
                <w:lang w:val="it-IT"/>
              </w:rPr>
            </w:pPr>
            <w:r w:rsidRPr="00043DCE">
              <w:rPr>
                <w:rFonts w:cstheme="minorHAnsi"/>
                <w:lang w:val="it-IT"/>
              </w:rPr>
              <w:t>LifeGuide usage &amp; qualitative data</w:t>
            </w:r>
          </w:p>
        </w:tc>
        <w:tc>
          <w:tcPr>
            <w:tcW w:w="3434" w:type="pct"/>
            <w:tcBorders>
              <w:top w:val="nil"/>
              <w:left w:val="nil"/>
              <w:bottom w:val="nil"/>
              <w:right w:val="nil"/>
            </w:tcBorders>
            <w:shd w:val="clear" w:color="auto" w:fill="FFFFFF" w:themeFill="background1"/>
          </w:tcPr>
          <w:p w14:paraId="42DAA47D" w14:textId="77777777" w:rsidR="00A81086" w:rsidRPr="00E1423D" w:rsidRDefault="00A81086" w:rsidP="007D7AB3">
            <w:pPr>
              <w:cnfStyle w:val="000000100000" w:firstRow="0" w:lastRow="0" w:firstColumn="0" w:lastColumn="0" w:oddVBand="0" w:evenVBand="0" w:oddHBand="1" w:evenHBand="0" w:firstRowFirstColumn="0" w:firstRowLastColumn="0" w:lastRowFirstColumn="0" w:lastRowLastColumn="0"/>
              <w:rPr>
                <w:rFonts w:cstheme="minorHAnsi"/>
              </w:rPr>
            </w:pPr>
            <w:r w:rsidRPr="00E1423D">
              <w:rPr>
                <w:rFonts w:cstheme="minorHAnsi"/>
              </w:rPr>
              <w:t>Assess patterns of usage and ‘effective engagement’ with EMPathicO. Explore barriers and facilitators to implementation in practice, drawing on Normalization Process Theory [88]</w:t>
            </w:r>
            <w:r w:rsidRPr="00E1423D">
              <w:rPr>
                <w:rFonts w:cstheme="minorHAnsi"/>
                <w:noProof/>
                <w:vertAlign w:val="superscript"/>
              </w:rPr>
              <w:t xml:space="preserve"> </w:t>
            </w:r>
            <w:r w:rsidRPr="00E1423D">
              <w:rPr>
                <w:rFonts w:cstheme="minorHAnsi"/>
              </w:rPr>
              <w:t xml:space="preserve">(framework analysis).  </w:t>
            </w:r>
          </w:p>
        </w:tc>
      </w:tr>
      <w:tr w:rsidR="00A81086" w:rsidRPr="00043DCE" w14:paraId="7F724B1F" w14:textId="77777777" w:rsidTr="007D7AB3">
        <w:tc>
          <w:tcPr>
            <w:cnfStyle w:val="001000000000" w:firstRow="0" w:lastRow="0" w:firstColumn="1" w:lastColumn="0" w:oddVBand="0" w:evenVBand="0" w:oddHBand="0" w:evenHBand="0" w:firstRowFirstColumn="0" w:firstRowLastColumn="0" w:lastRowFirstColumn="0" w:lastRowLastColumn="0"/>
            <w:tcW w:w="783" w:type="pct"/>
            <w:tcBorders>
              <w:top w:val="nil"/>
              <w:left w:val="nil"/>
              <w:bottom w:val="single" w:sz="12" w:space="0" w:color="auto"/>
              <w:right w:val="nil"/>
            </w:tcBorders>
            <w:shd w:val="clear" w:color="auto" w:fill="D0CECE" w:themeFill="background2" w:themeFillShade="E6"/>
          </w:tcPr>
          <w:p w14:paraId="6BDC3D5E" w14:textId="77777777" w:rsidR="00A81086" w:rsidRPr="00043DCE" w:rsidRDefault="00A81086" w:rsidP="007D7AB3">
            <w:pPr>
              <w:rPr>
                <w:rFonts w:cstheme="minorHAnsi"/>
              </w:rPr>
            </w:pPr>
            <w:r w:rsidRPr="00043DCE">
              <w:rPr>
                <w:rFonts w:cstheme="minorHAnsi"/>
              </w:rPr>
              <w:t>Maintenance</w:t>
            </w:r>
          </w:p>
        </w:tc>
        <w:tc>
          <w:tcPr>
            <w:tcW w:w="783" w:type="pct"/>
            <w:tcBorders>
              <w:top w:val="nil"/>
              <w:left w:val="nil"/>
              <w:bottom w:val="single" w:sz="12" w:space="0" w:color="auto"/>
              <w:right w:val="nil"/>
            </w:tcBorders>
            <w:shd w:val="clear" w:color="auto" w:fill="D0CECE" w:themeFill="background2" w:themeFillShade="E6"/>
          </w:tcPr>
          <w:p w14:paraId="7B2B2220" w14:textId="77777777" w:rsidR="00A81086" w:rsidRPr="00043DCE" w:rsidRDefault="00A81086" w:rsidP="007D7AB3">
            <w:pPr>
              <w:cnfStyle w:val="000000000000" w:firstRow="0" w:lastRow="0" w:firstColumn="0" w:lastColumn="0" w:oddVBand="0" w:evenVBand="0" w:oddHBand="0" w:evenHBand="0" w:firstRowFirstColumn="0" w:firstRowLastColumn="0" w:lastRowFirstColumn="0" w:lastRowLastColumn="0"/>
              <w:rPr>
                <w:rFonts w:cstheme="minorHAnsi"/>
              </w:rPr>
            </w:pPr>
            <w:r w:rsidRPr="00043DCE">
              <w:rPr>
                <w:rFonts w:cstheme="minorHAnsi"/>
              </w:rPr>
              <w:t>Qualitative data</w:t>
            </w:r>
            <w:r>
              <w:rPr>
                <w:rFonts w:cstheme="minorHAnsi"/>
              </w:rPr>
              <w:t xml:space="preserve"> (patients and practitioners)</w:t>
            </w:r>
          </w:p>
        </w:tc>
        <w:tc>
          <w:tcPr>
            <w:tcW w:w="3434" w:type="pct"/>
            <w:tcBorders>
              <w:top w:val="nil"/>
              <w:left w:val="nil"/>
              <w:bottom w:val="single" w:sz="12" w:space="0" w:color="auto"/>
              <w:right w:val="nil"/>
            </w:tcBorders>
            <w:shd w:val="clear" w:color="auto" w:fill="D0CECE" w:themeFill="background2" w:themeFillShade="E6"/>
          </w:tcPr>
          <w:p w14:paraId="40C923E1" w14:textId="77777777" w:rsidR="00A81086" w:rsidRPr="00043DCE" w:rsidRDefault="00A81086" w:rsidP="007D7AB3">
            <w:pPr>
              <w:cnfStyle w:val="000000000000" w:firstRow="0" w:lastRow="0" w:firstColumn="0" w:lastColumn="0" w:oddVBand="0" w:evenVBand="0" w:oddHBand="0" w:evenHBand="0" w:firstRowFirstColumn="0" w:firstRowLastColumn="0" w:lastRowFirstColumn="0" w:lastRowLastColumn="0"/>
              <w:rPr>
                <w:rFonts w:cstheme="minorHAnsi"/>
              </w:rPr>
            </w:pPr>
            <w:r w:rsidRPr="00043DCE">
              <w:rPr>
                <w:rFonts w:cstheme="minorHAnsi"/>
              </w:rPr>
              <w:t xml:space="preserve">Explore opportunities to embed EMPathicO in existing training structures. Examine longer term maintenance of </w:t>
            </w:r>
            <w:r>
              <w:rPr>
                <w:rFonts w:cstheme="minorHAnsi"/>
              </w:rPr>
              <w:t>practitioner</w:t>
            </w:r>
            <w:r w:rsidRPr="00043DCE">
              <w:rPr>
                <w:rFonts w:cstheme="minorHAnsi"/>
              </w:rPr>
              <w:t xml:space="preserve"> behaviour change and effects on patients (reflexive thematic analysis).</w:t>
            </w:r>
          </w:p>
        </w:tc>
      </w:tr>
    </w:tbl>
    <w:p w14:paraId="5EB8E30A" w14:textId="77777777" w:rsidR="00A81086" w:rsidRDefault="00A81086" w:rsidP="00A81086"/>
    <w:p w14:paraId="75EADD5B" w14:textId="77777777" w:rsidR="00A81086" w:rsidRDefault="00A81086" w:rsidP="00A81086"/>
    <w:p w14:paraId="4E3AED62" w14:textId="77777777" w:rsidR="00A81086" w:rsidRDefault="00A81086" w:rsidP="00A81086">
      <w:pPr>
        <w:pStyle w:val="Heading2"/>
      </w:pPr>
      <w:r>
        <w:t>Figure Captions</w:t>
      </w:r>
    </w:p>
    <w:p w14:paraId="45B1B639" w14:textId="77777777" w:rsidR="00A81086" w:rsidRDefault="00A81086" w:rsidP="00A81086">
      <w:r>
        <w:t xml:space="preserve">Figure 1. </w:t>
      </w:r>
      <w:r w:rsidRPr="006D2B53">
        <w:t xml:space="preserve">Schematic Summary of </w:t>
      </w:r>
      <w:proofErr w:type="spellStart"/>
      <w:r w:rsidRPr="006D2B53">
        <w:t>Empathico</w:t>
      </w:r>
      <w:proofErr w:type="spellEnd"/>
      <w:r w:rsidRPr="006D2B53">
        <w:t xml:space="preserve"> Structure and Contents</w:t>
      </w:r>
    </w:p>
    <w:p w14:paraId="4DA87895" w14:textId="77777777" w:rsidR="00A81086" w:rsidRPr="0047278A" w:rsidRDefault="00A81086" w:rsidP="00A81086">
      <w:r>
        <w:t xml:space="preserve">Figure 2. </w:t>
      </w:r>
      <w:r w:rsidRPr="001D0EE8">
        <w:t>Logic model showing how EMPathicO is hypothesized to affect patient outcomes.</w:t>
      </w:r>
    </w:p>
    <w:p w14:paraId="2EC88FAE" w14:textId="51B8342A" w:rsidR="00A81086" w:rsidRDefault="00A81086">
      <w:r>
        <w:br w:type="page"/>
      </w:r>
    </w:p>
    <w:p w14:paraId="77889A03" w14:textId="77777777" w:rsidR="00660A53" w:rsidRDefault="00660A53" w:rsidP="00660A53">
      <w:pPr>
        <w:pStyle w:val="Heading1"/>
      </w:pPr>
      <w:r>
        <w:lastRenderedPageBreak/>
        <w:t xml:space="preserve">Authors’ Contributions </w:t>
      </w:r>
    </w:p>
    <w:p w14:paraId="4E894B24" w14:textId="77777777" w:rsidR="00660A53" w:rsidRDefault="00660A53" w:rsidP="00660A53">
      <w:r w:rsidRPr="00EF6D92">
        <w:t xml:space="preserve">Allocated using </w:t>
      </w:r>
      <w:proofErr w:type="spellStart"/>
      <w:r w:rsidRPr="00EF6D92">
        <w:t>CRediT</w:t>
      </w:r>
      <w:proofErr w:type="spellEnd"/>
      <w:r w:rsidRPr="00EF6D92">
        <w:t xml:space="preserve"> categories.  Conceptualisation (study idea) and Funding Acquisition: HE, FB, JH, PL, BS, GL, LM, JV, JB, CM, LC, </w:t>
      </w:r>
      <w:proofErr w:type="spellStart"/>
      <w:r w:rsidRPr="00EF6D92">
        <w:t>MRi</w:t>
      </w:r>
      <w:proofErr w:type="spellEnd"/>
      <w:r w:rsidRPr="00EF6D92">
        <w:t xml:space="preserve">, KG, HA.  Methodology (designing, </w:t>
      </w:r>
      <w:proofErr w:type="gramStart"/>
      <w:r w:rsidRPr="00EF6D92">
        <w:t>planning</w:t>
      </w:r>
      <w:proofErr w:type="gramEnd"/>
      <w:r w:rsidRPr="00EF6D92">
        <w:t xml:space="preserve"> and developing study methods):  FB, HE, PL, GL, BS, LM, JV, CM, LC, MR, KG, JH, HA, JB, NC, ET, SP, RDH, JN, NI, PHL, TB, AH, MR.  Investigation (data collection):  NC, RDH, ET, AH, </w:t>
      </w:r>
      <w:proofErr w:type="spellStart"/>
      <w:r w:rsidRPr="00EF6D92">
        <w:t>MRo</w:t>
      </w:r>
      <w:proofErr w:type="spellEnd"/>
      <w:r w:rsidRPr="00EF6D92">
        <w:t xml:space="preserve">, SP.  Data Curation (study management data and data cleaning): NC, RDH, ET, AH, </w:t>
      </w:r>
      <w:proofErr w:type="spellStart"/>
      <w:r w:rsidRPr="00EF6D92">
        <w:t>MRo</w:t>
      </w:r>
      <w:proofErr w:type="spellEnd"/>
      <w:r w:rsidRPr="00EF6D92">
        <w:t xml:space="preserve">, SP.  Project Administration (managing and co-ordinating research activity plans and execution): FB, HE, NC.  Software (implementation and support for the e-learning intervention): SP.  Supervision (oversight, leadership, mentorship): FB, HE.  Visualisation (creation and presentation of figures): SP, LM, FB. Writing (original draft): HE, FB, JH, BS, TB, </w:t>
      </w:r>
      <w:proofErr w:type="spellStart"/>
      <w:r w:rsidRPr="00EF6D92">
        <w:t>MRi</w:t>
      </w:r>
      <w:proofErr w:type="spellEnd"/>
      <w:r w:rsidRPr="00EF6D92">
        <w:t xml:space="preserve">, KG, HA, JB. Writing (review, revisions, and editing):  FB, HE, PL, GL, BS, LM, JV, CM, LC, MR, KG, JH, HA, JB, NC, ET, SP, RDH, JN, NI, PHL, TB, AH, MR.  </w:t>
      </w:r>
    </w:p>
    <w:p w14:paraId="04148D35" w14:textId="34A50139" w:rsidR="00660A53" w:rsidRPr="00C17E91" w:rsidRDefault="00660A53" w:rsidP="00660A53">
      <w:pPr>
        <w:pStyle w:val="Heading1"/>
      </w:pPr>
      <w:r w:rsidRPr="00C17E91">
        <w:t>Funding</w:t>
      </w:r>
    </w:p>
    <w:p w14:paraId="2379D7AA" w14:textId="77777777" w:rsidR="00660A53" w:rsidRDefault="00660A53" w:rsidP="00660A53">
      <w:r>
        <w:t xml:space="preserve">Funding: This project is funded by the </w:t>
      </w:r>
      <w:r w:rsidRPr="00C17E91">
        <w:t xml:space="preserve">National Institute for Health Research (NIHR) School for Primary Care Research grant (project </w:t>
      </w:r>
      <w:r>
        <w:t xml:space="preserve">reference </w:t>
      </w:r>
      <w:r w:rsidRPr="00C17E91">
        <w:t xml:space="preserve">563). The Primary Care </w:t>
      </w:r>
      <w:r>
        <w:t xml:space="preserve">Research Centre, University of Southampton </w:t>
      </w:r>
      <w:r w:rsidRPr="00C17E91">
        <w:t xml:space="preserve">is a member of the NIHR School for Primary Care Research and supported by NIHR Research funds. </w:t>
      </w:r>
      <w:r>
        <w:t xml:space="preserve"> </w:t>
      </w:r>
      <w:r w:rsidRPr="00C17E91">
        <w:t>Service support costs will be paid by the CRN.</w:t>
      </w:r>
      <w:r>
        <w:t xml:space="preserve"> </w:t>
      </w:r>
      <w:r w:rsidRPr="00C17E91">
        <w:t>CDM is funded by the National Institute for Health Research (NIHR) Collaborations for Leadership in Applied Health Research and Care West Midlands</w:t>
      </w:r>
      <w:r>
        <w:t xml:space="preserve"> </w:t>
      </w:r>
      <w:r w:rsidRPr="00D27E50">
        <w:t xml:space="preserve">(grant number N/A) </w:t>
      </w:r>
      <w:r>
        <w:t>and</w:t>
      </w:r>
      <w:r w:rsidRPr="00C17E91">
        <w:t xml:space="preserve"> the NIHR School for Primary Care Research.</w:t>
      </w:r>
      <w:r>
        <w:t xml:space="preserve"> The </w:t>
      </w:r>
      <w:r w:rsidRPr="00196AE6">
        <w:t>EMPathicO</w:t>
      </w:r>
      <w:r>
        <w:t xml:space="preserve"> e-learning tool was developed using </w:t>
      </w:r>
      <w:proofErr w:type="spellStart"/>
      <w:r>
        <w:t>LifeGuide</w:t>
      </w:r>
      <w:proofErr w:type="spellEnd"/>
      <w:r>
        <w:t xml:space="preserve"> software, which was partly funded by the National Institute for Health Research Southampton Biomedical Research Centre (BRC)</w:t>
      </w:r>
      <w:r w:rsidRPr="00D27E50">
        <w:t xml:space="preserve"> (grant number N/A)</w:t>
      </w:r>
      <w:r>
        <w:t xml:space="preserve">. </w:t>
      </w:r>
      <w:r w:rsidRPr="00C17E91">
        <w:t>The views expressed are those of the authors and not necessarily those of the NIHR or the Department of Health and Social Care.</w:t>
      </w:r>
      <w:r>
        <w:t xml:space="preserve"> </w:t>
      </w:r>
    </w:p>
    <w:p w14:paraId="14534B15" w14:textId="77777777" w:rsidR="00660A53" w:rsidRDefault="00660A53" w:rsidP="00660A53">
      <w:r>
        <w:t xml:space="preserve">The </w:t>
      </w:r>
      <w:r w:rsidRPr="002F4C47">
        <w:t xml:space="preserve">study sponsor </w:t>
      </w:r>
      <w:r>
        <w:t xml:space="preserve">(University of Southampton) </w:t>
      </w:r>
      <w:r w:rsidRPr="002F4C47">
        <w:t>and funders</w:t>
      </w:r>
      <w:r>
        <w:t xml:space="preserve"> (NIHR SPCR) have no role </w:t>
      </w:r>
      <w:r w:rsidRPr="002F4C47">
        <w:t xml:space="preserve">in study design; collection, management, analysis, and interpretation of data; writing of the report; </w:t>
      </w:r>
      <w:r>
        <w:t xml:space="preserve">or </w:t>
      </w:r>
      <w:r w:rsidRPr="002F4C47">
        <w:t>the decision to submit the report for publication</w:t>
      </w:r>
      <w:r>
        <w:t>.</w:t>
      </w:r>
    </w:p>
    <w:p w14:paraId="55EBEA4F" w14:textId="77777777" w:rsidR="00660A53" w:rsidRDefault="00660A53" w:rsidP="00660A53">
      <w:pPr>
        <w:pStyle w:val="Heading1"/>
      </w:pPr>
      <w:r w:rsidRPr="00C17E91">
        <w:t xml:space="preserve">Acknowledgements </w:t>
      </w:r>
    </w:p>
    <w:p w14:paraId="5A74328E" w14:textId="5404C44F" w:rsidR="00660A53" w:rsidRPr="00C17E91" w:rsidRDefault="00660A53" w:rsidP="00660A53">
      <w:r>
        <w:t xml:space="preserve">NIHR Local Clinical Research Networks (CRNs) supported practice recruitment. </w:t>
      </w:r>
    </w:p>
    <w:p w14:paraId="23046C7B" w14:textId="77777777" w:rsidR="00660A53" w:rsidRDefault="00660A53" w:rsidP="00660A53">
      <w:pPr>
        <w:pStyle w:val="Heading1"/>
      </w:pPr>
      <w:r>
        <w:t>Conflicts of Interest</w:t>
      </w:r>
    </w:p>
    <w:p w14:paraId="7BC263B3" w14:textId="77777777" w:rsidR="00660A53" w:rsidRDefault="00660A53" w:rsidP="00660A53">
      <w:pPr>
        <w:rPr>
          <w:b/>
          <w:bCs/>
        </w:rPr>
      </w:pPr>
      <w:r w:rsidRPr="004B5560">
        <w:t xml:space="preserve">All authors have completed the ICMJE uniform disclosure form at http://www.icmje.org/disclosure-of-interest/ and declare: financial support for the submitted work from the NIHR; CDM is Director of the NIHR School for Primary Care Research; HA has received research grants from NIHR and Research Council of Norway, payment for delivering lecture to GPs in training about remote consultations, travel expenses to attend Scientific Foundation Board meeting; HA is chair of a steering committee at University of Leeds, member of advisory boards at Imperial College London and University of Manchester, and vice-chair of the Scientific Foundation Board Royal College of General Practitioners; HA is Officer at Prof Andrew </w:t>
      </w:r>
      <w:proofErr w:type="spellStart"/>
      <w:r w:rsidRPr="004B5560">
        <w:t>Beggs</w:t>
      </w:r>
      <w:proofErr w:type="spellEnd"/>
      <w:r w:rsidRPr="004B5560">
        <w:t xml:space="preserve"> Ltd.  No other relationships or activities that could appear to have influenced the submitted work.</w:t>
      </w:r>
    </w:p>
    <w:p w14:paraId="13E769BF" w14:textId="0BD7B69F" w:rsidR="00660A53" w:rsidRDefault="00660A53">
      <w:r>
        <w:br w:type="page"/>
      </w:r>
    </w:p>
    <w:p w14:paraId="2FD08F8B" w14:textId="77777777" w:rsidR="00052CAD" w:rsidRPr="00290829" w:rsidRDefault="00052CAD" w:rsidP="00AD3AAC">
      <w:pPr>
        <w:pStyle w:val="Heading1"/>
      </w:pPr>
      <w:r w:rsidRPr="00290829">
        <w:lastRenderedPageBreak/>
        <w:t>References</w:t>
      </w:r>
    </w:p>
    <w:p w14:paraId="12A9BA60" w14:textId="263C7191" w:rsidR="005B743B" w:rsidRPr="005B743B" w:rsidRDefault="005B743B" w:rsidP="005B743B">
      <w:pPr>
        <w:pStyle w:val="EndNoteBibliography"/>
        <w:spacing w:after="0"/>
        <w:ind w:left="720" w:hanging="720"/>
      </w:pPr>
      <w:r w:rsidRPr="005B743B">
        <w:t xml:space="preserve">1. Cieza A, Causey K, Kamenov K, et al. Global estimates of the need for rehabilitation based on the Global Burden of Disease study 2019: a systematic analysis for the Global Burden of Disease Study 2019. </w:t>
      </w:r>
      <w:r w:rsidRPr="005B743B">
        <w:rPr>
          <w:i/>
        </w:rPr>
        <w:t>The Lancet</w:t>
      </w:r>
      <w:r w:rsidRPr="005B743B">
        <w:t xml:space="preserve"> 2020;396(10267):2006-17. doi: 10.1016/S0140-6736(20)32340-0</w:t>
      </w:r>
    </w:p>
    <w:p w14:paraId="3357870D" w14:textId="77777777" w:rsidR="005B743B" w:rsidRPr="005B743B" w:rsidRDefault="005B743B" w:rsidP="005B743B">
      <w:pPr>
        <w:pStyle w:val="EndNoteBibliography"/>
        <w:spacing w:after="0"/>
        <w:ind w:left="720" w:hanging="720"/>
      </w:pPr>
      <w:r w:rsidRPr="005B743B">
        <w:t xml:space="preserve">2. Jordan KP, Kadam UT, Hayward R, et al. Annual consultation prevalence of regional musculoskeletal problems in primary care: an observational study. </w:t>
      </w:r>
      <w:r w:rsidRPr="005B743B">
        <w:rPr>
          <w:i/>
        </w:rPr>
        <w:t>BMC Musculoskeletal Disorders</w:t>
      </w:r>
      <w:r w:rsidRPr="005B743B">
        <w:t xml:space="preserve"> 2010;11(144)</w:t>
      </w:r>
    </w:p>
    <w:p w14:paraId="105C6F94" w14:textId="77777777" w:rsidR="005B743B" w:rsidRPr="005B743B" w:rsidRDefault="005B743B" w:rsidP="005B743B">
      <w:pPr>
        <w:pStyle w:val="EndNoteBibliography"/>
        <w:spacing w:after="0"/>
        <w:ind w:left="720" w:hanging="720"/>
      </w:pPr>
      <w:r w:rsidRPr="005B743B">
        <w:t xml:space="preserve">3. Ruairi K. The prevalence of musculoskeletal presentations in general practice: an epidemiological study. </w:t>
      </w:r>
      <w:r w:rsidRPr="005B743B">
        <w:rPr>
          <w:i/>
        </w:rPr>
        <w:t>Br J Gen Pract</w:t>
      </w:r>
      <w:r w:rsidRPr="005B743B">
        <w:t xml:space="preserve"> 2020;70(suppl 1):bjgp20X711497. doi: 10.3399/bjgp20X711497</w:t>
      </w:r>
    </w:p>
    <w:p w14:paraId="4ED69FB5" w14:textId="77777777" w:rsidR="005B743B" w:rsidRPr="005B743B" w:rsidRDefault="005B743B" w:rsidP="005B743B">
      <w:pPr>
        <w:pStyle w:val="EndNoteBibliography"/>
        <w:spacing w:after="0"/>
        <w:ind w:left="720" w:hanging="720"/>
      </w:pPr>
      <w:r w:rsidRPr="005B743B">
        <w:t xml:space="preserve">4. Yu D, Missen M, Jordan KP, et al. Trends in the Annual Consultation Incidence and Prevalence of Low Back Pain and Osteoarthritis in England from 2000 to 2019: Comparative Estimates from Two Clinical Practice Databases. </w:t>
      </w:r>
      <w:r w:rsidRPr="005B743B">
        <w:rPr>
          <w:i/>
        </w:rPr>
        <w:t>Clinical Epidemiology</w:t>
      </w:r>
      <w:r w:rsidRPr="005B743B">
        <w:t xml:space="preserve"> 2022;14(null):179-89. doi: 10.2147/CLEP.S337323</w:t>
      </w:r>
    </w:p>
    <w:p w14:paraId="0F3CEBF6" w14:textId="77777777" w:rsidR="005B743B" w:rsidRPr="005B743B" w:rsidRDefault="005B743B" w:rsidP="005B743B">
      <w:pPr>
        <w:pStyle w:val="EndNoteBibliography"/>
        <w:spacing w:after="0"/>
        <w:ind w:left="720" w:hanging="720"/>
      </w:pPr>
      <w:r w:rsidRPr="005B743B">
        <w:t>5. Van Lerberghe W. The world health report 2008: primary health care: now more than ever: World Health Organization 2008.</w:t>
      </w:r>
    </w:p>
    <w:p w14:paraId="1EC4ED6B" w14:textId="22B04741" w:rsidR="005B743B" w:rsidRPr="005B743B" w:rsidRDefault="005B743B" w:rsidP="005B743B">
      <w:pPr>
        <w:pStyle w:val="EndNoteBibliography"/>
        <w:spacing w:after="0"/>
        <w:ind w:left="720" w:hanging="720"/>
      </w:pPr>
      <w:r w:rsidRPr="005B743B">
        <w:t xml:space="preserve">6. NICE NIfHaCE. Musculoskeletal Conditions Overview  [Available from: </w:t>
      </w:r>
      <w:r w:rsidRPr="009D1067">
        <w:t>https://pathways.nice.org.uk/pathways/musculoskeletal-conditions</w:t>
      </w:r>
      <w:r w:rsidRPr="005B743B">
        <w:t xml:space="preserve"> accessed 02.06.2021.</w:t>
      </w:r>
    </w:p>
    <w:p w14:paraId="77995C08" w14:textId="77777777" w:rsidR="005B743B" w:rsidRPr="005B743B" w:rsidRDefault="005B743B" w:rsidP="005B743B">
      <w:pPr>
        <w:pStyle w:val="EndNoteBibliography"/>
        <w:spacing w:after="0"/>
        <w:ind w:left="720" w:hanging="720"/>
      </w:pPr>
      <w:r w:rsidRPr="005B743B">
        <w:t xml:space="preserve">7. Lin I, Wiles L, Waller R, et al. What does best practice care for musculoskeletal pain look like? Eleven consistent recommendations from high-quality clinical practice guidelines: systematic review. </w:t>
      </w:r>
      <w:r w:rsidRPr="005B743B">
        <w:rPr>
          <w:i/>
        </w:rPr>
        <w:t>Br J Sports Med</w:t>
      </w:r>
      <w:r w:rsidRPr="005B743B">
        <w:t xml:space="preserve"> 2020;54(2):79. doi: 10.1136/bjsports-2018-099878</w:t>
      </w:r>
    </w:p>
    <w:p w14:paraId="559ABCF2" w14:textId="77777777" w:rsidR="005B743B" w:rsidRPr="005B743B" w:rsidRDefault="005B743B" w:rsidP="005B743B">
      <w:pPr>
        <w:pStyle w:val="EndNoteBibliography"/>
        <w:spacing w:after="0"/>
        <w:ind w:left="720" w:hanging="720"/>
      </w:pPr>
      <w:r w:rsidRPr="005B743B">
        <w:t xml:space="preserve">8. Suarez-Almazor ME, Looney C, Liu Y, et al. A randomized controlled trial of acupuncture for osteoarthritis of the knee: Effects of patient-provider communication. </w:t>
      </w:r>
      <w:r w:rsidRPr="005B743B">
        <w:rPr>
          <w:i/>
        </w:rPr>
        <w:t>Arthritis Care Res</w:t>
      </w:r>
      <w:r w:rsidRPr="005B743B">
        <w:t xml:space="preserve"> 2010;62(9):1229-36.</w:t>
      </w:r>
    </w:p>
    <w:p w14:paraId="1037CA34" w14:textId="77777777" w:rsidR="005B743B" w:rsidRPr="005B743B" w:rsidRDefault="005B743B" w:rsidP="005B743B">
      <w:pPr>
        <w:pStyle w:val="EndNoteBibliography"/>
        <w:spacing w:after="0"/>
        <w:ind w:left="720" w:hanging="720"/>
      </w:pPr>
      <w:r w:rsidRPr="005B743B">
        <w:t xml:space="preserve">9. Haskard Zolnierek KB, DiMatteo MR. Physician communication and patient adherence to treatment: A meta-analysis. </w:t>
      </w:r>
      <w:r w:rsidRPr="005B743B">
        <w:rPr>
          <w:i/>
        </w:rPr>
        <w:t>Med Care</w:t>
      </w:r>
      <w:r w:rsidRPr="005B743B">
        <w:t xml:space="preserve"> 2009;47(8)</w:t>
      </w:r>
    </w:p>
    <w:p w14:paraId="0F8142BB" w14:textId="77777777" w:rsidR="005B743B" w:rsidRPr="005B743B" w:rsidRDefault="005B743B" w:rsidP="005B743B">
      <w:pPr>
        <w:pStyle w:val="EndNoteBibliography"/>
        <w:spacing w:after="0"/>
        <w:ind w:left="720" w:hanging="720"/>
      </w:pPr>
      <w:r w:rsidRPr="005B743B">
        <w:t xml:space="preserve">10. Dambha-Miller H, Cooper AJM, Kinmonth AL, et al. Effect on cardiovascular disease risk factors of interventions to alter consultations between practitioners and patients with type 2 diabetes: A systematic review and meta-analysis of trials in primary care. </w:t>
      </w:r>
      <w:r w:rsidRPr="005B743B">
        <w:rPr>
          <w:i/>
        </w:rPr>
        <w:t>Health Expect</w:t>
      </w:r>
      <w:r w:rsidRPr="005B743B">
        <w:t xml:space="preserve"> 2017;20(6):1218-27. doi: 10.1111/hex.12546 [published Online First: 2017/02/28]</w:t>
      </w:r>
    </w:p>
    <w:p w14:paraId="39070209" w14:textId="77777777" w:rsidR="005B743B" w:rsidRPr="005B743B" w:rsidRDefault="005B743B" w:rsidP="005B743B">
      <w:pPr>
        <w:pStyle w:val="EndNoteBibliography"/>
        <w:spacing w:after="0"/>
        <w:ind w:left="720" w:hanging="720"/>
      </w:pPr>
      <w:r w:rsidRPr="005B743B">
        <w:t xml:space="preserve">11. Barry CA, Bradley CP, Britten N, et al. Patients' unvoiced agendas in general practice consultations: qualitative study. </w:t>
      </w:r>
      <w:r w:rsidRPr="005B743B">
        <w:rPr>
          <w:i/>
        </w:rPr>
        <w:t>Br Med J</w:t>
      </w:r>
      <w:r w:rsidRPr="005B743B">
        <w:t xml:space="preserve"> 2000;320:1246-50.</w:t>
      </w:r>
    </w:p>
    <w:p w14:paraId="7BA0BE86" w14:textId="77777777" w:rsidR="005B743B" w:rsidRPr="005B743B" w:rsidRDefault="005B743B" w:rsidP="005B743B">
      <w:pPr>
        <w:pStyle w:val="EndNoteBibliography"/>
        <w:spacing w:after="0"/>
        <w:ind w:left="720" w:hanging="720"/>
      </w:pPr>
      <w:r w:rsidRPr="005B743B">
        <w:t xml:space="preserve">12. Thorne SE, Bultz BD, Baile WF. Is there a cost to poor communication in cancer care?: a critical review of the literature. </w:t>
      </w:r>
      <w:r w:rsidRPr="005B743B">
        <w:rPr>
          <w:i/>
        </w:rPr>
        <w:t>Psychooncology</w:t>
      </w:r>
      <w:r w:rsidRPr="005B743B">
        <w:t xml:space="preserve"> 2005;14(10):875-84. doi: 10.1002/pon.947</w:t>
      </w:r>
    </w:p>
    <w:p w14:paraId="75C636C2" w14:textId="77777777" w:rsidR="005B743B" w:rsidRPr="005B743B" w:rsidRDefault="005B743B" w:rsidP="005B743B">
      <w:pPr>
        <w:pStyle w:val="EndNoteBibliography"/>
        <w:spacing w:after="0"/>
        <w:ind w:left="720" w:hanging="720"/>
      </w:pPr>
      <w:r w:rsidRPr="005B743B">
        <w:t xml:space="preserve">13. Moffat M, Cleland J, van der Molen T, et al. Poor communication may impair optimal asthma care: a qualitative study. </w:t>
      </w:r>
      <w:r w:rsidRPr="005B743B">
        <w:rPr>
          <w:i/>
        </w:rPr>
        <w:t>Fam Pract</w:t>
      </w:r>
      <w:r w:rsidRPr="005B743B">
        <w:t xml:space="preserve"> 2007;24(1):65-70. doi: 10.1093/fampra/cml062</w:t>
      </w:r>
    </w:p>
    <w:p w14:paraId="272F5C93" w14:textId="7332422C" w:rsidR="005B743B" w:rsidRPr="005B743B" w:rsidRDefault="005B743B" w:rsidP="005B743B">
      <w:pPr>
        <w:pStyle w:val="EndNoteBibliography"/>
        <w:spacing w:after="0"/>
        <w:ind w:left="720" w:hanging="720"/>
      </w:pPr>
      <w:r w:rsidRPr="005B743B">
        <w:t xml:space="preserve">14. Stelfox HT, Gandhi TK, Orav EJ, et al. The relation of patient satisfaction with complaints against physicians and malpractice lawsuits. </w:t>
      </w:r>
      <w:r w:rsidRPr="005B743B">
        <w:rPr>
          <w:i/>
        </w:rPr>
        <w:t>The American Journal of Medicine</w:t>
      </w:r>
      <w:r w:rsidRPr="005B743B">
        <w:t xml:space="preserve"> 2005;118(10):1126-33. doi: </w:t>
      </w:r>
      <w:r w:rsidRPr="009D1067">
        <w:t>http://dx.doi.org/10.1016/j.amjmed.2005.01.060</w:t>
      </w:r>
    </w:p>
    <w:p w14:paraId="0182A960" w14:textId="77777777" w:rsidR="005B743B" w:rsidRPr="005B743B" w:rsidRDefault="005B743B" w:rsidP="005B743B">
      <w:pPr>
        <w:pStyle w:val="EndNoteBibliography"/>
        <w:spacing w:after="0"/>
        <w:ind w:left="720" w:hanging="720"/>
      </w:pPr>
      <w:r w:rsidRPr="005B743B">
        <w:t xml:space="preserve">15. Pincock S. Poor communication lies at heart of NHS complaints, says ombudsman. </w:t>
      </w:r>
      <w:r w:rsidRPr="005B743B">
        <w:rPr>
          <w:i/>
        </w:rPr>
        <w:t>BMJ</w:t>
      </w:r>
      <w:r w:rsidRPr="005B743B">
        <w:t xml:space="preserve"> 2004;328(7430):10.</w:t>
      </w:r>
    </w:p>
    <w:p w14:paraId="73931E40" w14:textId="275C4226" w:rsidR="005B743B" w:rsidRPr="005B743B" w:rsidRDefault="005B743B" w:rsidP="005B743B">
      <w:pPr>
        <w:pStyle w:val="EndNoteBibliography"/>
        <w:spacing w:after="0"/>
        <w:ind w:left="720" w:hanging="720"/>
      </w:pPr>
      <w:r w:rsidRPr="005B743B">
        <w:t xml:space="preserve">16. Nielsen M, Foster M, Henman P, et al. ‘Talk to us like we’re people, not an X-ray’: the experience of receiving care for chronic pain. </w:t>
      </w:r>
      <w:r w:rsidRPr="005B743B">
        <w:rPr>
          <w:i/>
        </w:rPr>
        <w:t>Australian Journal of Primary Health</w:t>
      </w:r>
      <w:r w:rsidRPr="005B743B">
        <w:t xml:space="preserve"> 2013;19(2):138-43. doi: </w:t>
      </w:r>
      <w:r w:rsidRPr="009D1067">
        <w:t>http://dx.doi.org/10.1071/PY11154</w:t>
      </w:r>
    </w:p>
    <w:p w14:paraId="776DCC9F" w14:textId="77777777" w:rsidR="005B743B" w:rsidRPr="005B743B" w:rsidRDefault="005B743B" w:rsidP="005B743B">
      <w:pPr>
        <w:pStyle w:val="EndNoteBibliography"/>
        <w:spacing w:after="0"/>
        <w:ind w:left="720" w:hanging="720"/>
      </w:pPr>
      <w:r w:rsidRPr="005B743B">
        <w:t xml:space="preserve">17. Teh CF, Karp JF, Kleinman A, et al. Older People's Experiences of Patient-Centered Treatment for Chronic Pain: A Qualitative Study. </w:t>
      </w:r>
      <w:r w:rsidRPr="005B743B">
        <w:rPr>
          <w:i/>
        </w:rPr>
        <w:t>Pain Medicine</w:t>
      </w:r>
      <w:r w:rsidRPr="005B743B">
        <w:t xml:space="preserve"> 2009;10(3):521-30.</w:t>
      </w:r>
    </w:p>
    <w:p w14:paraId="48C549A5" w14:textId="77777777" w:rsidR="005B743B" w:rsidRPr="005B743B" w:rsidRDefault="005B743B" w:rsidP="005B743B">
      <w:pPr>
        <w:pStyle w:val="EndNoteBibliography"/>
        <w:spacing w:after="0"/>
        <w:ind w:left="720" w:hanging="720"/>
      </w:pPr>
      <w:r w:rsidRPr="005B743B">
        <w:t xml:space="preserve">18. Howick J, Steinkopf L, Ulyte A, et al. How empathic is your healthcare practitioner? A systematic review and meta-analysis of patient surveys. </w:t>
      </w:r>
      <w:r w:rsidRPr="005B743B">
        <w:rPr>
          <w:i/>
        </w:rPr>
        <w:t>BMC Med Educ</w:t>
      </w:r>
      <w:r w:rsidRPr="005B743B">
        <w:t xml:space="preserve"> 2017;17(1):136. doi: 10.1186/s12909-017-0967-3 [published Online First: 2017/08/22]</w:t>
      </w:r>
    </w:p>
    <w:p w14:paraId="500D1E39" w14:textId="77777777" w:rsidR="005B743B" w:rsidRPr="005B743B" w:rsidRDefault="005B743B" w:rsidP="005B743B">
      <w:pPr>
        <w:pStyle w:val="EndNoteBibliography"/>
        <w:spacing w:after="0"/>
        <w:ind w:left="720" w:hanging="720"/>
      </w:pPr>
      <w:r w:rsidRPr="005B743B">
        <w:t xml:space="preserve">19. Quince TA, Parker RA, Wood DF, et al. Stability of empathy among undergraduate medical students: a longitudinal study at one UK medical school. </w:t>
      </w:r>
      <w:r w:rsidRPr="005B743B">
        <w:rPr>
          <w:i/>
        </w:rPr>
        <w:t>BMC Med Educ</w:t>
      </w:r>
      <w:r w:rsidRPr="005B743B">
        <w:t xml:space="preserve"> 2011;11:90. doi: 10.1186/1472-6920-11-90 [published Online First: 2011/10/27]</w:t>
      </w:r>
    </w:p>
    <w:p w14:paraId="0D17D153" w14:textId="77777777" w:rsidR="005B743B" w:rsidRPr="005B743B" w:rsidRDefault="005B743B" w:rsidP="005B743B">
      <w:pPr>
        <w:pStyle w:val="EndNoteBibliography"/>
        <w:spacing w:after="0"/>
        <w:ind w:left="720" w:hanging="720"/>
      </w:pPr>
      <w:r w:rsidRPr="005B743B">
        <w:t xml:space="preserve">20. Costa-Drolon E, Verneuil L, Manolios E, et al. Medical Students' Perspectives on Empathy: A Systematic Review and Metasynthesis. </w:t>
      </w:r>
      <w:r w:rsidRPr="005B743B">
        <w:rPr>
          <w:i/>
        </w:rPr>
        <w:t>Acad Med</w:t>
      </w:r>
      <w:r w:rsidRPr="005B743B">
        <w:t xml:space="preserve"> 2021;96(1):142-54. doi: 10.1097/acm.0000000000003655 [published Online First: 2020/08/10]</w:t>
      </w:r>
    </w:p>
    <w:p w14:paraId="7DE3ADD0" w14:textId="77777777" w:rsidR="005B743B" w:rsidRPr="005B743B" w:rsidRDefault="005B743B" w:rsidP="005B743B">
      <w:pPr>
        <w:pStyle w:val="EndNoteBibliography"/>
        <w:spacing w:after="0"/>
        <w:ind w:left="720" w:hanging="720"/>
      </w:pPr>
      <w:r w:rsidRPr="005B743B">
        <w:lastRenderedPageBreak/>
        <w:t xml:space="preserve">21. Murphy M, Scott LJ, Salisbury C, et al. Implementation of remote consulting in UK primary care following the COVID-19 pandemic: a mixed-methods longitudinal study. </w:t>
      </w:r>
      <w:r w:rsidRPr="005B743B">
        <w:rPr>
          <w:i/>
        </w:rPr>
        <w:t>Br J Gen Pract</w:t>
      </w:r>
      <w:r w:rsidRPr="005B743B">
        <w:t xml:space="preserve"> 2021;71(704):e166. doi: 10.3399/BJGP.2020.0948</w:t>
      </w:r>
    </w:p>
    <w:p w14:paraId="310F3721" w14:textId="77777777" w:rsidR="005B743B" w:rsidRPr="005B743B" w:rsidRDefault="005B743B" w:rsidP="005B743B">
      <w:pPr>
        <w:pStyle w:val="EndNoteBibliography"/>
        <w:spacing w:after="0"/>
        <w:ind w:left="720" w:hanging="720"/>
      </w:pPr>
      <w:r w:rsidRPr="005B743B">
        <w:t xml:space="preserve">22. Howick J, Moscrop A, Mebius A, et al. Effects of empathic and positive communication in healthcare consultations: a systematic review and meta-analysis. </w:t>
      </w:r>
      <w:r w:rsidRPr="005B743B">
        <w:rPr>
          <w:i/>
        </w:rPr>
        <w:t>J R Soc Med</w:t>
      </w:r>
      <w:r w:rsidRPr="005B743B">
        <w:t xml:space="preserve"> 2018;111(7):240-52. doi: 10.1177/0141076818769477 [published Online First: 2018/04/20]</w:t>
      </w:r>
    </w:p>
    <w:p w14:paraId="4E8E9AC9" w14:textId="77777777" w:rsidR="005B743B" w:rsidRPr="005B743B" w:rsidRDefault="005B743B" w:rsidP="005B743B">
      <w:pPr>
        <w:pStyle w:val="EndNoteBibliography"/>
        <w:spacing w:after="0"/>
        <w:ind w:left="720" w:hanging="720"/>
      </w:pPr>
      <w:r w:rsidRPr="005B743B">
        <w:t xml:space="preserve">23. Michie S, van Stralen MM, West R. The behaviour change wheel: A new method for characterising and designing behaviour change interventions. </w:t>
      </w:r>
      <w:r w:rsidRPr="005B743B">
        <w:rPr>
          <w:i/>
        </w:rPr>
        <w:t>Implementation Science</w:t>
      </w:r>
      <w:r w:rsidRPr="005B743B">
        <w:t xml:space="preserve"> 2011;6(1):42. doi: 10.1186/1748-5908-6-42</w:t>
      </w:r>
    </w:p>
    <w:p w14:paraId="0C8DBDE7" w14:textId="77777777" w:rsidR="005B743B" w:rsidRPr="005B743B" w:rsidRDefault="005B743B" w:rsidP="005B743B">
      <w:pPr>
        <w:pStyle w:val="EndNoteBibliography"/>
        <w:spacing w:after="0"/>
        <w:ind w:left="720" w:hanging="720"/>
      </w:pPr>
      <w:r w:rsidRPr="005B743B">
        <w:t xml:space="preserve">24. Smith KA, Vennik J, Morrison L, et al. Harnessing placebo effects in primary care: Using the person-based approach to develop an online intervention to enhance practitioners' communication of clinical empathy and realistic optimism during consultations. </w:t>
      </w:r>
      <w:r w:rsidRPr="005B743B">
        <w:rPr>
          <w:i/>
        </w:rPr>
        <w:t>Frontiers in Pain Research</w:t>
      </w:r>
      <w:r w:rsidRPr="005B743B">
        <w:t xml:space="preserve"> 2021;2 doi: 10.3389/fpain.2021.721222</w:t>
      </w:r>
    </w:p>
    <w:p w14:paraId="7BF6019D" w14:textId="77777777" w:rsidR="005B743B" w:rsidRPr="005B743B" w:rsidRDefault="005B743B" w:rsidP="005B743B">
      <w:pPr>
        <w:pStyle w:val="EndNoteBibliography"/>
        <w:spacing w:after="0"/>
        <w:ind w:left="720" w:hanging="720"/>
      </w:pPr>
      <w:r w:rsidRPr="005B743B">
        <w:t xml:space="preserve">25. Little P, Everitt H, Williamson I, et al. Observational study of effect of patient centredness and positive approach on outcomes of general practice consultations. </w:t>
      </w:r>
      <w:r w:rsidRPr="005B743B">
        <w:rPr>
          <w:i/>
        </w:rPr>
        <w:t>Br Med J</w:t>
      </w:r>
      <w:r w:rsidRPr="005B743B">
        <w:t xml:space="preserve"> 2001;323  908-11.</w:t>
      </w:r>
    </w:p>
    <w:p w14:paraId="14C1AFEA" w14:textId="77777777" w:rsidR="005B743B" w:rsidRPr="005B743B" w:rsidRDefault="005B743B" w:rsidP="005B743B">
      <w:pPr>
        <w:pStyle w:val="EndNoteBibliography"/>
        <w:spacing w:after="0"/>
        <w:ind w:left="720" w:hanging="720"/>
      </w:pPr>
      <w:r w:rsidRPr="005B743B">
        <w:t xml:space="preserve">26. Little P, White P, Kelly J, et al. Verbal and non-verbal behaviour and patient perception of communication in primary care: an observational study. </w:t>
      </w:r>
      <w:r w:rsidRPr="005B743B">
        <w:rPr>
          <w:i/>
        </w:rPr>
        <w:t>Br J Gen Pract</w:t>
      </w:r>
      <w:r w:rsidRPr="005B743B">
        <w:t xml:space="preserve"> 2015;65(635):e357-e65. doi: 10.3399/bjgp15X685249</w:t>
      </w:r>
    </w:p>
    <w:p w14:paraId="1BA3A529" w14:textId="77777777" w:rsidR="005B743B" w:rsidRPr="005B743B" w:rsidRDefault="005B743B" w:rsidP="005B743B">
      <w:pPr>
        <w:pStyle w:val="EndNoteBibliography"/>
        <w:spacing w:after="0"/>
        <w:ind w:left="720" w:hanging="720"/>
      </w:pPr>
      <w:r w:rsidRPr="005B743B">
        <w:t xml:space="preserve">27. Little P, White P, Kelly J, et al. Randomised controlled trial of a brief intervention targeting predominantly non-verbal communication in general practice consultations. </w:t>
      </w:r>
      <w:r w:rsidRPr="005B743B">
        <w:rPr>
          <w:i/>
        </w:rPr>
        <w:t>Br J Gen Pract</w:t>
      </w:r>
      <w:r w:rsidRPr="005B743B">
        <w:t xml:space="preserve"> 2015;65(635):e351-e56. doi: 10.3399/bjgp15X685237</w:t>
      </w:r>
    </w:p>
    <w:p w14:paraId="54D8FA2C" w14:textId="77777777" w:rsidR="005B743B" w:rsidRPr="005B743B" w:rsidRDefault="005B743B" w:rsidP="005B743B">
      <w:pPr>
        <w:pStyle w:val="EndNoteBibliography"/>
        <w:spacing w:after="0"/>
        <w:ind w:left="720" w:hanging="720"/>
      </w:pPr>
      <w:r w:rsidRPr="005B743B">
        <w:t xml:space="preserve">28. Griffin SJ, Kinmonth AL, Veltman MWM, et al. Effect on Health-Related Outcomes of Interventions to Alter the Interaction Between Patients and Practitioners: A Systematic Review of Trials. </w:t>
      </w:r>
      <w:r w:rsidRPr="005B743B">
        <w:rPr>
          <w:i/>
        </w:rPr>
        <w:t>Annals of family medicine</w:t>
      </w:r>
      <w:r w:rsidRPr="005B743B">
        <w:t xml:space="preserve"> 2004;2(6):595-608.</w:t>
      </w:r>
    </w:p>
    <w:p w14:paraId="64F217F9" w14:textId="77777777" w:rsidR="005B743B" w:rsidRPr="005B743B" w:rsidRDefault="005B743B" w:rsidP="005B743B">
      <w:pPr>
        <w:pStyle w:val="EndNoteBibliography"/>
        <w:spacing w:after="0"/>
        <w:ind w:left="720" w:hanging="720"/>
      </w:pPr>
      <w:r w:rsidRPr="005B743B">
        <w:t xml:space="preserve">29. Dwamena F, Holmes-Rovner M, Gaulden CM, et al. Interventions for providers to promote a patient-centred approach in clinical consultations. </w:t>
      </w:r>
      <w:r w:rsidRPr="005B743B">
        <w:rPr>
          <w:i/>
        </w:rPr>
        <w:t>Cochrane Database of Systematic Reviews</w:t>
      </w:r>
      <w:r w:rsidRPr="005B743B">
        <w:t xml:space="preserve"> 2012;12:Art. No.: CD003267. DOI: 10.1002/14651858.CD003267.pub2.</w:t>
      </w:r>
    </w:p>
    <w:p w14:paraId="55BF359C" w14:textId="77777777" w:rsidR="005B743B" w:rsidRPr="005B743B" w:rsidRDefault="005B743B" w:rsidP="005B743B">
      <w:pPr>
        <w:pStyle w:val="EndNoteBibliography"/>
        <w:spacing w:after="0"/>
        <w:ind w:left="720" w:hanging="720"/>
      </w:pPr>
      <w:r w:rsidRPr="005B743B">
        <w:t xml:space="preserve">30. Howick J, Mittoo S, Abel L, et al. A price tag on clinical empathy? Factors influencing its cost-effectiveness. </w:t>
      </w:r>
      <w:r w:rsidRPr="005B743B">
        <w:rPr>
          <w:i/>
        </w:rPr>
        <w:t>J R Soc Med</w:t>
      </w:r>
      <w:r w:rsidRPr="005B743B">
        <w:t xml:space="preserve"> 2020;113(10):389-93. doi: 10.1177/0141076820945272</w:t>
      </w:r>
    </w:p>
    <w:p w14:paraId="1D3A9500" w14:textId="77777777" w:rsidR="005B743B" w:rsidRPr="005B743B" w:rsidRDefault="005B743B" w:rsidP="005B743B">
      <w:pPr>
        <w:pStyle w:val="EndNoteBibliography"/>
        <w:spacing w:after="0"/>
        <w:ind w:left="720" w:hanging="720"/>
      </w:pPr>
      <w:r w:rsidRPr="005B743B">
        <w:t xml:space="preserve">31. Kreuter MW, Wray RJ. Tailored and targeted health communication: strategies for enhancing information relevance. </w:t>
      </w:r>
      <w:r w:rsidRPr="005B743B">
        <w:rPr>
          <w:i/>
        </w:rPr>
        <w:t>American Journal of Health Behavior</w:t>
      </w:r>
      <w:r w:rsidRPr="005B743B">
        <w:t xml:space="preserve"> 2003;27(1):S227-S32.</w:t>
      </w:r>
    </w:p>
    <w:p w14:paraId="76A109F1" w14:textId="77777777" w:rsidR="005B743B" w:rsidRPr="005B743B" w:rsidRDefault="005B743B" w:rsidP="005B743B">
      <w:pPr>
        <w:pStyle w:val="EndNoteBibliography"/>
        <w:spacing w:after="0"/>
        <w:ind w:left="720" w:hanging="720"/>
      </w:pPr>
      <w:r w:rsidRPr="005B743B">
        <w:t xml:space="preserve">32. Glasgow RE, Vogt TM, Boles SM. Evaluating the public health impact of health promotion interventions: the RE-AIM framework. </w:t>
      </w:r>
      <w:r w:rsidRPr="005B743B">
        <w:rPr>
          <w:i/>
        </w:rPr>
        <w:t>Am J Public Health</w:t>
      </w:r>
      <w:r w:rsidRPr="005B743B">
        <w:t xml:space="preserve"> 1999;89(9):1322-7. doi: 10.2105/ajph.89.9.1322 [published Online First: 1999/09/04]</w:t>
      </w:r>
    </w:p>
    <w:p w14:paraId="022D3750" w14:textId="400CA09A" w:rsidR="005B743B" w:rsidRPr="005B743B" w:rsidRDefault="005B743B" w:rsidP="00D91F91">
      <w:pPr>
        <w:pStyle w:val="EndNoteBibliography"/>
        <w:ind w:left="720" w:hanging="720"/>
      </w:pPr>
      <w:r w:rsidRPr="005B743B">
        <w:t xml:space="preserve">33. Glasgow RE, Harden SM, Gaglio B, et al. RE-AIM </w:t>
      </w:r>
      <w:r w:rsidR="00D91F91" w:rsidRPr="005B743B">
        <w:t>planning and evaluation framework: adapting to new</w:t>
      </w:r>
      <w:r w:rsidR="00D91F91">
        <w:t xml:space="preserve"> </w:t>
      </w:r>
      <w:r w:rsidR="00D91F91" w:rsidRPr="005B743B">
        <w:t>science and practice with a 20-year review</w:t>
      </w:r>
      <w:r w:rsidRPr="005B743B">
        <w:t xml:space="preserve">. </w:t>
      </w:r>
      <w:r w:rsidRPr="005B743B">
        <w:rPr>
          <w:i/>
        </w:rPr>
        <w:t>Frontiers in Public Health</w:t>
      </w:r>
      <w:r w:rsidRPr="005B743B">
        <w:t xml:space="preserve"> 2019;7:64. doi: 10.3389/fpubh.2019.00064</w:t>
      </w:r>
    </w:p>
    <w:p w14:paraId="1592273C" w14:textId="4C09D98F" w:rsidR="005B743B" w:rsidRPr="005B743B" w:rsidRDefault="005B743B" w:rsidP="005B743B">
      <w:pPr>
        <w:pStyle w:val="EndNoteBibliography"/>
        <w:spacing w:after="0"/>
        <w:ind w:left="720" w:hanging="720"/>
      </w:pPr>
      <w:r w:rsidRPr="005B743B">
        <w:t xml:space="preserve">34. Chan A-W, Tetzlaff JM, Altman DG, et al. SPIRIT 2013 Statement: Defining </w:t>
      </w:r>
      <w:r w:rsidR="00D91F91" w:rsidRPr="005B743B">
        <w:t>standard protocol items for clinical trials</w:t>
      </w:r>
      <w:r w:rsidRPr="005B743B">
        <w:t xml:space="preserve">. </w:t>
      </w:r>
      <w:r w:rsidRPr="005B743B">
        <w:rPr>
          <w:i/>
        </w:rPr>
        <w:t>Ann Intern Med</w:t>
      </w:r>
      <w:r w:rsidRPr="005B743B">
        <w:t xml:space="preserve"> 2013;158(3):200-07. doi: 10.7326/0003-4819-158-3-201302050-00583</w:t>
      </w:r>
    </w:p>
    <w:p w14:paraId="4A68BE09" w14:textId="22EB19D1" w:rsidR="005B743B" w:rsidRPr="005B743B" w:rsidRDefault="005B743B" w:rsidP="005B743B">
      <w:pPr>
        <w:pStyle w:val="EndNoteBibliography"/>
        <w:spacing w:after="0"/>
        <w:ind w:left="720" w:hanging="720"/>
      </w:pPr>
      <w:r w:rsidRPr="005B743B">
        <w:t xml:space="preserve">35. Primary Care Workforce Team NHS England. General Practice Workforce, 31 December 2023.  Official Statistics.: NHS England; 2024 [updated 25 Jan 2024 Available from: </w:t>
      </w:r>
      <w:r w:rsidRPr="009D1067">
        <w:t>https://digital.nhs.uk/data-and-information/publications/statistical/general-and-personal-medical-services/31-december-2023</w:t>
      </w:r>
      <w:r w:rsidRPr="005B743B">
        <w:t xml:space="preserve"> accessed 09 Feb 2024.</w:t>
      </w:r>
    </w:p>
    <w:p w14:paraId="31916BC1" w14:textId="592DE787" w:rsidR="005B743B" w:rsidRPr="005B743B" w:rsidRDefault="005B743B" w:rsidP="005B743B">
      <w:pPr>
        <w:pStyle w:val="EndNoteBibliography"/>
        <w:spacing w:after="0"/>
        <w:ind w:left="720" w:hanging="720"/>
      </w:pPr>
      <w:r w:rsidRPr="005B743B">
        <w:t xml:space="preserve">36. Organization WH. International Statistical Classification of Diseases and Related Health Problems (ICD). </w:t>
      </w:r>
      <w:r w:rsidRPr="009D1067">
        <w:t>https://www.who.int/standards/classifications/classification-of-diseases</w:t>
      </w:r>
      <w:r w:rsidRPr="005B743B">
        <w:t>, 2021.</w:t>
      </w:r>
    </w:p>
    <w:p w14:paraId="40341ADC" w14:textId="77777777" w:rsidR="005B743B" w:rsidRPr="005B743B" w:rsidRDefault="005B743B" w:rsidP="005B743B">
      <w:pPr>
        <w:pStyle w:val="EndNoteBibliography"/>
        <w:spacing w:after="0"/>
        <w:ind w:left="720" w:hanging="720"/>
      </w:pPr>
      <w:r w:rsidRPr="005B743B">
        <w:t xml:space="preserve">37. Whitaker P. Ticking the ICE box: the future of doctor-patient communication in a post-covid world. </w:t>
      </w:r>
      <w:r w:rsidRPr="005B743B">
        <w:rPr>
          <w:i/>
        </w:rPr>
        <w:t>BMJ</w:t>
      </w:r>
      <w:r w:rsidRPr="005B743B">
        <w:t xml:space="preserve"> 2021;373:n870. doi: 10.1136/bmj.n870</w:t>
      </w:r>
    </w:p>
    <w:p w14:paraId="0C991AF5" w14:textId="77777777" w:rsidR="005B743B" w:rsidRPr="005B743B" w:rsidRDefault="005B743B" w:rsidP="005B743B">
      <w:pPr>
        <w:pStyle w:val="EndNoteBibliography"/>
        <w:spacing w:after="0"/>
        <w:ind w:left="720" w:hanging="720"/>
      </w:pPr>
      <w:r w:rsidRPr="005B743B">
        <w:t xml:space="preserve">38. Yardley L, Osmond A, Hare J, et al. Introduction to the LifeGuide: software facilitating the development of interactive behaviour change internet interventions. . In  Adaptive and Emergent Behaviour and </w:t>
      </w:r>
      <w:r w:rsidRPr="005B743B">
        <w:lastRenderedPageBreak/>
        <w:t>Complex Systems-Proceedings of the 23rd Convention of the Society for the Study of Artificial Intelligence and Simulation of Behaviour   AISB2009.</w:t>
      </w:r>
    </w:p>
    <w:p w14:paraId="6CB7A253" w14:textId="77777777" w:rsidR="005B743B" w:rsidRPr="005B743B" w:rsidRDefault="005B743B" w:rsidP="005B743B">
      <w:pPr>
        <w:pStyle w:val="EndNoteBibliography"/>
        <w:spacing w:after="0"/>
        <w:ind w:left="720" w:hanging="720"/>
      </w:pPr>
      <w:r w:rsidRPr="005B743B">
        <w:t xml:space="preserve">39. Yardley L, Morrison L, Bradbury K, et al. The person-based approach to intervention development: Application to digital health-related behavior change interventions. </w:t>
      </w:r>
      <w:r w:rsidRPr="005B743B">
        <w:rPr>
          <w:i/>
        </w:rPr>
        <w:t>J Med Internet Res</w:t>
      </w:r>
      <w:r w:rsidRPr="005B743B">
        <w:t xml:space="preserve"> 2015;17(1)</w:t>
      </w:r>
    </w:p>
    <w:p w14:paraId="675A09A2" w14:textId="77777777" w:rsidR="005B743B" w:rsidRPr="005B743B" w:rsidRDefault="005B743B" w:rsidP="005B743B">
      <w:pPr>
        <w:pStyle w:val="EndNoteBibliography"/>
        <w:spacing w:after="0"/>
        <w:ind w:left="720" w:hanging="720"/>
      </w:pPr>
      <w:r w:rsidRPr="005B743B">
        <w:t xml:space="preserve">40. Smith KA, Bishop FL, Dambha-Miller H, et al. Improving Empathy in Healthcare Consultations-a Secondary Analysis of Interventions. </w:t>
      </w:r>
      <w:r w:rsidRPr="005B743B">
        <w:rPr>
          <w:i/>
        </w:rPr>
        <w:t>J Gen Intern Med</w:t>
      </w:r>
      <w:r w:rsidRPr="005B743B">
        <w:t xml:space="preserve"> 2020;35(10):3007-14. doi: 10.1007/s11606-020-05994-w [published Online First: 2020/07/14]</w:t>
      </w:r>
    </w:p>
    <w:p w14:paraId="27AFF2C2" w14:textId="77777777" w:rsidR="005B743B" w:rsidRPr="005B743B" w:rsidRDefault="005B743B" w:rsidP="005B743B">
      <w:pPr>
        <w:pStyle w:val="EndNoteBibliography"/>
        <w:spacing w:after="0"/>
        <w:ind w:left="720" w:hanging="720"/>
      </w:pPr>
      <w:r w:rsidRPr="005B743B">
        <w:t xml:space="preserve">41. Howick J, Lyness E, Albury C, et al. Anatomy of positive messages in healthcare consultations: component analysis of messages within 22 randomised trials. </w:t>
      </w:r>
      <w:r w:rsidRPr="005B743B">
        <w:rPr>
          <w:i/>
        </w:rPr>
        <w:t>Eur J Pers Cent Healthc</w:t>
      </w:r>
      <w:r w:rsidRPr="005B743B">
        <w:t xml:space="preserve"> 2019;17:656-64.</w:t>
      </w:r>
    </w:p>
    <w:p w14:paraId="36C7322D" w14:textId="7EEE28B9" w:rsidR="005B743B" w:rsidRPr="005B743B" w:rsidRDefault="005B743B" w:rsidP="005B743B">
      <w:pPr>
        <w:pStyle w:val="EndNoteBibliography"/>
        <w:spacing w:after="0"/>
        <w:ind w:left="720" w:hanging="720"/>
      </w:pPr>
      <w:r w:rsidRPr="005B743B">
        <w:t xml:space="preserve">42. Budd G, Griffiths D, Howick J, et al. Empathy in patient-clinician interactions when using telecommunication: A rapid review of the evidence. </w:t>
      </w:r>
      <w:r w:rsidRPr="005B743B">
        <w:rPr>
          <w:i/>
        </w:rPr>
        <w:t>PEC Innovation</w:t>
      </w:r>
      <w:r w:rsidRPr="005B743B">
        <w:t xml:space="preserve"> 2022;1:100065. doi: </w:t>
      </w:r>
      <w:r w:rsidRPr="009D1067">
        <w:t>https://doi.org/10.1016/j.pecinn.2022.100065</w:t>
      </w:r>
    </w:p>
    <w:p w14:paraId="6E2B551C" w14:textId="77777777" w:rsidR="005B743B" w:rsidRPr="005B743B" w:rsidRDefault="005B743B" w:rsidP="005B743B">
      <w:pPr>
        <w:pStyle w:val="EndNoteBibliography"/>
        <w:spacing w:after="0"/>
        <w:ind w:left="720" w:hanging="720"/>
      </w:pPr>
      <w:r w:rsidRPr="005B743B">
        <w:t xml:space="preserve">43. Lyness E, Vennik JL, Bishop FL, et al. Exploring patient views of empathic optimistic communication for osteoarthritis in primary care: a qualitative interview study using vignettes. </w:t>
      </w:r>
      <w:r w:rsidRPr="005B743B">
        <w:rPr>
          <w:i/>
        </w:rPr>
        <w:t>BJGP Open</w:t>
      </w:r>
      <w:r w:rsidRPr="005B743B">
        <w:t xml:space="preserve"> 2021:BJGPO.2021.0014. doi: 10.3399/BJGPO.2021.0014</w:t>
      </w:r>
    </w:p>
    <w:p w14:paraId="65F7A258" w14:textId="114EA6A3" w:rsidR="005B743B" w:rsidRPr="005B743B" w:rsidRDefault="005B743B" w:rsidP="005B743B">
      <w:pPr>
        <w:pStyle w:val="EndNoteBibliography"/>
        <w:spacing w:after="0"/>
        <w:ind w:left="720" w:hanging="720"/>
      </w:pPr>
      <w:r w:rsidRPr="005B743B">
        <w:t xml:space="preserve">44. Vennik J, Hughes S, Smith KA, et al. Patient and practitioner priorities and concerns about primary healthcare interactions for osteoarthritis: A meta-ethnography. </w:t>
      </w:r>
      <w:r w:rsidRPr="005B743B">
        <w:rPr>
          <w:i/>
        </w:rPr>
        <w:t>Patient Educ Couns</w:t>
      </w:r>
      <w:r w:rsidRPr="005B743B">
        <w:t xml:space="preserve"> 2022 doi: </w:t>
      </w:r>
      <w:r w:rsidRPr="009D1067">
        <w:t>https://doi.org/10.1016/j.pec.2022.01.009</w:t>
      </w:r>
    </w:p>
    <w:p w14:paraId="61CD5116" w14:textId="77777777" w:rsidR="005B743B" w:rsidRPr="005B743B" w:rsidRDefault="005B743B" w:rsidP="005B743B">
      <w:pPr>
        <w:pStyle w:val="EndNoteBibliography"/>
        <w:spacing w:after="0"/>
        <w:ind w:left="720" w:hanging="720"/>
      </w:pPr>
      <w:r w:rsidRPr="005B743B">
        <w:t xml:space="preserve">45. Hughes S, Vennik JL, Smith KA, et al. Clinician views on optimism and empathy in primary care consultations: a qualitative interview study. </w:t>
      </w:r>
      <w:r w:rsidRPr="005B743B">
        <w:rPr>
          <w:i/>
        </w:rPr>
        <w:t>BJGP Open</w:t>
      </w:r>
      <w:r w:rsidRPr="005B743B">
        <w:t xml:space="preserve"> 2022;6(3):BJGPO.2021.0221. doi: 10.3399/BJGPO.2021.0221</w:t>
      </w:r>
    </w:p>
    <w:p w14:paraId="12C30470" w14:textId="4C6ED04C" w:rsidR="005B743B" w:rsidRPr="005B743B" w:rsidRDefault="005B743B" w:rsidP="005B743B">
      <w:pPr>
        <w:pStyle w:val="EndNoteBibliography"/>
        <w:spacing w:after="0"/>
        <w:ind w:left="720" w:hanging="720"/>
      </w:pPr>
      <w:r w:rsidRPr="005B743B">
        <w:t xml:space="preserve">46. Vennik J, Hughes S, Lyness E, et al. Patient perceptions of empathy in primary care telephone consultations: A mixed methods study. </w:t>
      </w:r>
      <w:r w:rsidRPr="005B743B">
        <w:rPr>
          <w:i/>
        </w:rPr>
        <w:t>Patient Educ Couns</w:t>
      </w:r>
      <w:r w:rsidRPr="005B743B">
        <w:t xml:space="preserve"> 2023;113:107748. doi: </w:t>
      </w:r>
      <w:r w:rsidRPr="009D1067">
        <w:t>https://doi.org/10.1016/j.pec.2023.107748</w:t>
      </w:r>
    </w:p>
    <w:p w14:paraId="0832155F" w14:textId="77777777" w:rsidR="005B743B" w:rsidRPr="005B743B" w:rsidRDefault="005B743B" w:rsidP="005B743B">
      <w:pPr>
        <w:pStyle w:val="EndNoteBibliography"/>
        <w:spacing w:after="0"/>
        <w:ind w:left="720" w:hanging="720"/>
      </w:pPr>
      <w:r w:rsidRPr="005B743B">
        <w:t xml:space="preserve">47. Dworkin RH, Turk DC, Wyrwich KW, et al. Interpreting the clinical importance of treatment outcomes in chronic pain clinical trials: IMMPACT recommendations. </w:t>
      </w:r>
      <w:r w:rsidRPr="005B743B">
        <w:rPr>
          <w:i/>
        </w:rPr>
        <w:t>J Pain</w:t>
      </w:r>
      <w:r w:rsidRPr="005B743B">
        <w:t xml:space="preserve"> 2008;9(2):105-21. doi: 10.1016/j.jpain.2007.09.005 [published Online First: 2007/12/07]</w:t>
      </w:r>
    </w:p>
    <w:p w14:paraId="220EDB0E" w14:textId="77777777" w:rsidR="005B743B" w:rsidRPr="005B743B" w:rsidRDefault="005B743B" w:rsidP="005B743B">
      <w:pPr>
        <w:pStyle w:val="EndNoteBibliography"/>
        <w:spacing w:after="0"/>
        <w:ind w:left="720" w:hanging="720"/>
      </w:pPr>
      <w:r w:rsidRPr="005B743B">
        <w:t xml:space="preserve">48. Adams G, Gulliford MC, Ukoumunne OC, et al. Patterns of intra-cluster correlation from primary care research to inform study design and analysis. </w:t>
      </w:r>
      <w:r w:rsidRPr="005B743B">
        <w:rPr>
          <w:i/>
        </w:rPr>
        <w:t>J Clin Epidemiol</w:t>
      </w:r>
      <w:r w:rsidRPr="005B743B">
        <w:t xml:space="preserve"> 2004;57(8):785-94. doi: 10.1016/j.jclinepi.2003.12.013 [published Online First: 2004/10/16]</w:t>
      </w:r>
    </w:p>
    <w:p w14:paraId="236D0C8D" w14:textId="77777777" w:rsidR="005B743B" w:rsidRPr="005B743B" w:rsidRDefault="005B743B" w:rsidP="005B743B">
      <w:pPr>
        <w:pStyle w:val="EndNoteBibliography"/>
        <w:spacing w:after="0"/>
        <w:ind w:left="720" w:hanging="720"/>
      </w:pPr>
      <w:r w:rsidRPr="005B743B">
        <w:t>49. Bishop FL, Smith KA, Vennik J, et al. Feasibility Study of a Novel Online Intervention to Enhance Practitioners' Communication of Clinical Empathy and Realistic Optimism During Primary Care Consultations, 2024, in preparation.</w:t>
      </w:r>
    </w:p>
    <w:p w14:paraId="6C7F4D6D" w14:textId="77777777" w:rsidR="005B743B" w:rsidRPr="005B743B" w:rsidRDefault="005B743B" w:rsidP="005B743B">
      <w:pPr>
        <w:pStyle w:val="EndNoteBibliography"/>
        <w:spacing w:after="0"/>
        <w:ind w:left="720" w:hanging="720"/>
      </w:pPr>
      <w:r w:rsidRPr="005B743B">
        <w:t xml:space="preserve">50. Dworkin RH, Turk DC, Farrar JT, et al. Core outcome measures for chronic pain clinical trials: IMMPACT recommendations. </w:t>
      </w:r>
      <w:r w:rsidRPr="005B743B">
        <w:rPr>
          <w:i/>
        </w:rPr>
        <w:t>Pain</w:t>
      </w:r>
      <w:r w:rsidRPr="005B743B">
        <w:t xml:space="preserve"> 2005;113(1-2):9-19.</w:t>
      </w:r>
    </w:p>
    <w:p w14:paraId="23C520DC" w14:textId="0694A3E6" w:rsidR="005B743B" w:rsidRPr="005B743B" w:rsidRDefault="005B743B" w:rsidP="005B743B">
      <w:pPr>
        <w:pStyle w:val="EndNoteBibliography"/>
        <w:spacing w:after="0"/>
        <w:ind w:left="720" w:hanging="720"/>
      </w:pPr>
      <w:r w:rsidRPr="005B743B">
        <w:t xml:space="preserve">51. Kroenke K, Krebs EE, Turk D, et al. Core </w:t>
      </w:r>
      <w:r w:rsidR="00EA31BE" w:rsidRPr="00EA31BE">
        <w:t>outcome measures for chronic musculoskeletal pain research: recommendations from a veterans health administration work group</w:t>
      </w:r>
      <w:r w:rsidRPr="005B743B">
        <w:t xml:space="preserve">. </w:t>
      </w:r>
      <w:r w:rsidRPr="005B743B">
        <w:rPr>
          <w:i/>
        </w:rPr>
        <w:t>Pain Med</w:t>
      </w:r>
      <w:r w:rsidRPr="005B743B">
        <w:t xml:space="preserve"> 2019;20(8):1500-08. doi: 10.1093/pm/pny279 [published Online First: 2019/01/08]</w:t>
      </w:r>
    </w:p>
    <w:p w14:paraId="1E146666" w14:textId="1F5E7D4D" w:rsidR="005B743B" w:rsidRPr="005B743B" w:rsidRDefault="005B743B" w:rsidP="005B743B">
      <w:pPr>
        <w:pStyle w:val="EndNoteBibliography"/>
        <w:spacing w:after="0"/>
        <w:ind w:left="720" w:hanging="720"/>
      </w:pPr>
      <w:r w:rsidRPr="005B743B">
        <w:t xml:space="preserve">52. Smith TO, Hawker GA, Hunter DJ, et al. The OMERACT-OARSI Core </w:t>
      </w:r>
      <w:r w:rsidR="00EA31BE" w:rsidRPr="005B743B">
        <w:t xml:space="preserve">domain set for measurement in clinical trials of hip and/or knee osteoarthritis. </w:t>
      </w:r>
      <w:r w:rsidRPr="005B743B">
        <w:rPr>
          <w:i/>
        </w:rPr>
        <w:t>The Journal of Rheumatology</w:t>
      </w:r>
      <w:r w:rsidRPr="005B743B">
        <w:t xml:space="preserve"> 2019:jrheum.181194. doi: 10.3899/jrheum.181194</w:t>
      </w:r>
    </w:p>
    <w:p w14:paraId="66CE897E" w14:textId="77777777" w:rsidR="005B743B" w:rsidRPr="005B743B" w:rsidRDefault="005B743B" w:rsidP="005B743B">
      <w:pPr>
        <w:pStyle w:val="EndNoteBibliography"/>
        <w:spacing w:after="0"/>
        <w:ind w:left="720" w:hanging="720"/>
      </w:pPr>
      <w:r w:rsidRPr="005B743B">
        <w:t xml:space="preserve">53. Chiarotto A, Deyo RA, Terwee CB, et al. Core outcome domains for clinical trials in non-specific low back pain. </w:t>
      </w:r>
      <w:r w:rsidRPr="005B743B">
        <w:rPr>
          <w:i/>
        </w:rPr>
        <w:t>Eur Spine J</w:t>
      </w:r>
      <w:r w:rsidRPr="005B743B">
        <w:t xml:space="preserve"> 2015;24(6):1127-42. doi: 10.1007/s00586-015-3892-3</w:t>
      </w:r>
    </w:p>
    <w:p w14:paraId="7B4E2314" w14:textId="77777777" w:rsidR="005B743B" w:rsidRPr="005B743B" w:rsidRDefault="005B743B" w:rsidP="005B743B">
      <w:pPr>
        <w:pStyle w:val="EndNoteBibliography"/>
        <w:spacing w:after="0"/>
        <w:ind w:left="720" w:hanging="720"/>
      </w:pPr>
      <w:r w:rsidRPr="005B743B">
        <w:t xml:space="preserve">54. Chiarotto A, Boers M, Deyo RA, et al. Core outcome measurement instruments for clinical trials in nonspecific low back pain. </w:t>
      </w:r>
      <w:r w:rsidRPr="005B743B">
        <w:rPr>
          <w:i/>
        </w:rPr>
        <w:t>Pain</w:t>
      </w:r>
      <w:r w:rsidRPr="005B743B">
        <w:t xml:space="preserve"> 2018;159(3)</w:t>
      </w:r>
    </w:p>
    <w:p w14:paraId="28B38598" w14:textId="77777777" w:rsidR="005B743B" w:rsidRPr="005B743B" w:rsidRDefault="005B743B" w:rsidP="005B743B">
      <w:pPr>
        <w:pStyle w:val="EndNoteBibliography"/>
        <w:spacing w:after="0"/>
        <w:ind w:left="720" w:hanging="720"/>
      </w:pPr>
      <w:r w:rsidRPr="005B743B">
        <w:t xml:space="preserve">55. Keller S, Bann CM, Dodd SL, et al. Validity of the Brief Pain Inventory for use in documenting the outcomes of patients with noncancer pain. </w:t>
      </w:r>
      <w:r w:rsidRPr="005B743B">
        <w:rPr>
          <w:i/>
        </w:rPr>
        <w:t>Clin J Pain</w:t>
      </w:r>
      <w:r w:rsidRPr="005B743B">
        <w:t xml:space="preserve"> 2004;20(5):309-18.</w:t>
      </w:r>
    </w:p>
    <w:p w14:paraId="79AEFF42" w14:textId="77777777" w:rsidR="005B743B" w:rsidRPr="005B743B" w:rsidRDefault="005B743B" w:rsidP="005B743B">
      <w:pPr>
        <w:pStyle w:val="EndNoteBibliography"/>
        <w:spacing w:after="0"/>
        <w:ind w:left="720" w:hanging="720"/>
      </w:pPr>
      <w:r w:rsidRPr="005B743B">
        <w:t xml:space="preserve">56. Howie JG, Heaney DJ, Maxwell M, et al. A comparison of a Patient Enablement Instrument (PEI) against two established satisfaction scales as an outcome measure of primary care consultations. </w:t>
      </w:r>
      <w:r w:rsidRPr="005B743B">
        <w:rPr>
          <w:i/>
        </w:rPr>
        <w:t>Fam Pract</w:t>
      </w:r>
      <w:r w:rsidRPr="005B743B">
        <w:t xml:space="preserve"> 1998;15(2):165-71.</w:t>
      </w:r>
    </w:p>
    <w:p w14:paraId="455DEA02" w14:textId="45FA0441" w:rsidR="005B743B" w:rsidRPr="005B743B" w:rsidRDefault="005B743B" w:rsidP="005B743B">
      <w:pPr>
        <w:pStyle w:val="EndNoteBibliography"/>
        <w:spacing w:after="0"/>
        <w:ind w:left="720" w:hanging="720"/>
      </w:pPr>
      <w:r w:rsidRPr="005B743B">
        <w:lastRenderedPageBreak/>
        <w:t xml:space="preserve">57. Morrison LG, Geraghty AWA, Lloyd S, et al. Comparing usage of a web and app stress management intervention: An observational study. </w:t>
      </w:r>
      <w:r w:rsidRPr="005B743B">
        <w:rPr>
          <w:i/>
        </w:rPr>
        <w:t>Internet Interventions</w:t>
      </w:r>
      <w:r w:rsidRPr="005B743B">
        <w:t xml:space="preserve"> 2018;12:74-82. doi: </w:t>
      </w:r>
      <w:r w:rsidRPr="009D1067">
        <w:t>https://doi.org/10.1016/j.invent.2018.03.006</w:t>
      </w:r>
    </w:p>
    <w:p w14:paraId="73D9E377" w14:textId="57DB3FD4" w:rsidR="005B743B" w:rsidRPr="005B743B" w:rsidRDefault="005B743B" w:rsidP="005B743B">
      <w:pPr>
        <w:pStyle w:val="EndNoteBibliography"/>
        <w:spacing w:after="0"/>
        <w:ind w:left="720" w:hanging="720"/>
      </w:pPr>
      <w:r w:rsidRPr="005B743B">
        <w:t xml:space="preserve">58. Molgaard Nielsen A, Hartvigsen J, Kongsted A, et al. The patient enablement instrument for back pain: reliability, content validity, construct validity and responsiveness. </w:t>
      </w:r>
      <w:r w:rsidRPr="005B743B">
        <w:rPr>
          <w:i/>
        </w:rPr>
        <w:t xml:space="preserve">Health and </w:t>
      </w:r>
      <w:r w:rsidR="0024432A">
        <w:rPr>
          <w:i/>
        </w:rPr>
        <w:t>Q</w:t>
      </w:r>
      <w:r w:rsidRPr="005B743B">
        <w:rPr>
          <w:i/>
        </w:rPr>
        <w:t xml:space="preserve">uality of </w:t>
      </w:r>
      <w:r w:rsidR="0024432A">
        <w:rPr>
          <w:i/>
        </w:rPr>
        <w:t>L</w:t>
      </w:r>
      <w:r w:rsidRPr="005B743B">
        <w:rPr>
          <w:i/>
        </w:rPr>
        <w:t xml:space="preserve">ife </w:t>
      </w:r>
      <w:r w:rsidR="0024432A">
        <w:rPr>
          <w:i/>
        </w:rPr>
        <w:t>O</w:t>
      </w:r>
      <w:r w:rsidRPr="005B743B">
        <w:rPr>
          <w:i/>
        </w:rPr>
        <w:t>utcomes</w:t>
      </w:r>
      <w:r w:rsidRPr="005B743B">
        <w:t xml:space="preserve"> 2021;19(1):116. doi: 10.1186/s12955-021-01758-0 [published Online First: 2021/04/11]</w:t>
      </w:r>
    </w:p>
    <w:p w14:paraId="052F5CB8" w14:textId="77777777" w:rsidR="005B743B" w:rsidRPr="005B743B" w:rsidRDefault="005B743B" w:rsidP="005B743B">
      <w:pPr>
        <w:pStyle w:val="EndNoteBibliography"/>
        <w:spacing w:after="0"/>
        <w:ind w:left="720" w:hanging="720"/>
      </w:pPr>
      <w:r w:rsidRPr="005B743B">
        <w:t xml:space="preserve">59. Bedford LE, Yeung MHY, Au CH, et al. The validity, reliability, sensitivity and responsiveness of a modified Patient Enablement Instrument (PEI-2) as a tool for serial measurements of health enablement. </w:t>
      </w:r>
      <w:r w:rsidRPr="005B743B">
        <w:rPr>
          <w:i/>
        </w:rPr>
        <w:t>Fam Pract</w:t>
      </w:r>
      <w:r w:rsidRPr="005B743B">
        <w:t xml:space="preserve"> 2020 doi: 10.1093/fampra/cmaa102</w:t>
      </w:r>
    </w:p>
    <w:p w14:paraId="7CCD5CBA" w14:textId="05D5F4AC" w:rsidR="005B743B" w:rsidRPr="005B743B" w:rsidRDefault="005B743B" w:rsidP="005B743B">
      <w:pPr>
        <w:pStyle w:val="EndNoteBibliography"/>
        <w:spacing w:after="0"/>
        <w:ind w:left="720" w:hanging="720"/>
      </w:pPr>
      <w:r w:rsidRPr="005B743B">
        <w:t xml:space="preserve">60. Preston CC, Colman AM. Optimal number of response categories in rating scales: reliability, validity, discriminating power, and respondent preferences. </w:t>
      </w:r>
      <w:r w:rsidRPr="005B743B">
        <w:rPr>
          <w:i/>
        </w:rPr>
        <w:t>Acta Psychol (Amst)</w:t>
      </w:r>
      <w:r w:rsidRPr="005B743B">
        <w:t xml:space="preserve"> 2000;104(1):1-15. doi: </w:t>
      </w:r>
      <w:r w:rsidRPr="009D1067">
        <w:t>https://doi.org/10.1016/S0001-6918(99)00050-5</w:t>
      </w:r>
    </w:p>
    <w:p w14:paraId="0A936571" w14:textId="77777777" w:rsidR="005B743B" w:rsidRPr="005B743B" w:rsidRDefault="005B743B" w:rsidP="005B743B">
      <w:pPr>
        <w:pStyle w:val="EndNoteBibliography"/>
        <w:spacing w:after="0"/>
        <w:ind w:left="720" w:hanging="720"/>
      </w:pPr>
      <w:r w:rsidRPr="005B743B">
        <w:t xml:space="preserve">61. Fischer D, Stewart AL, Bloch DA, et al. Capturing the Patient's View of Change as a Clinical Outcome Measure. </w:t>
      </w:r>
      <w:r w:rsidRPr="005B743B">
        <w:rPr>
          <w:i/>
        </w:rPr>
        <w:t>JAMA</w:t>
      </w:r>
      <w:r w:rsidRPr="005B743B">
        <w:t xml:space="preserve"> 1999;282(12):1157-62. doi: 10.1001/jama.282.12.1157</w:t>
      </w:r>
    </w:p>
    <w:p w14:paraId="75D21D2A" w14:textId="77777777" w:rsidR="005B743B" w:rsidRPr="005B743B" w:rsidRDefault="005B743B" w:rsidP="005B743B">
      <w:pPr>
        <w:pStyle w:val="EndNoteBibliography"/>
        <w:spacing w:after="0"/>
        <w:ind w:left="720" w:hanging="720"/>
      </w:pPr>
      <w:r w:rsidRPr="005B743B">
        <w:t xml:space="preserve">62. Wolf MH, Putnam SM, James SA, et al. The Medical Interview Satisfaction Scale: development of a scale to measure patient perceptions of physician behavior. </w:t>
      </w:r>
      <w:r w:rsidRPr="005B743B">
        <w:rPr>
          <w:i/>
        </w:rPr>
        <w:t>J Behav Med</w:t>
      </w:r>
      <w:r w:rsidRPr="005B743B">
        <w:t xml:space="preserve"> 1978;1(4):391-401. [published Online First: 1978/12/01]</w:t>
      </w:r>
    </w:p>
    <w:p w14:paraId="4CFCCFD2" w14:textId="77777777" w:rsidR="005B743B" w:rsidRPr="005B743B" w:rsidRDefault="005B743B" w:rsidP="005B743B">
      <w:pPr>
        <w:pStyle w:val="EndNoteBibliography"/>
        <w:spacing w:after="0"/>
        <w:ind w:left="720" w:hanging="720"/>
      </w:pPr>
      <w:r w:rsidRPr="005B743B">
        <w:t xml:space="preserve">63. Meakin R, Weinman J. The 'Medical Interview Satisfaction Scale' (MISS-21) adapted for British general practice. </w:t>
      </w:r>
      <w:r w:rsidRPr="005B743B">
        <w:rPr>
          <w:i/>
        </w:rPr>
        <w:t>Fam Pract</w:t>
      </w:r>
      <w:r w:rsidRPr="005B743B">
        <w:t xml:space="preserve"> 2002;19(3):257-63. doi: 10.1093/fampra/19.3.257</w:t>
      </w:r>
    </w:p>
    <w:p w14:paraId="22B131F1" w14:textId="77777777" w:rsidR="005B743B" w:rsidRPr="005B743B" w:rsidRDefault="005B743B" w:rsidP="005B743B">
      <w:pPr>
        <w:pStyle w:val="EndNoteBibliography"/>
        <w:spacing w:after="0"/>
        <w:ind w:left="720" w:hanging="720"/>
      </w:pPr>
      <w:r w:rsidRPr="005B743B">
        <w:t xml:space="preserve">64. Herdman M, Gudex C, Lloyd A, et al. Development and preliminary testing of the new five-level version of EQ-5D (EQ-5D-5L). </w:t>
      </w:r>
      <w:r w:rsidRPr="005B743B">
        <w:rPr>
          <w:i/>
        </w:rPr>
        <w:t>Qual Life Res</w:t>
      </w:r>
      <w:r w:rsidRPr="005B743B">
        <w:t xml:space="preserve"> 2011;20(10):1727-36. doi: 10.1007/s11136-011-9903-x [published Online First: 2011/04/12]</w:t>
      </w:r>
    </w:p>
    <w:p w14:paraId="5D94253B" w14:textId="77777777" w:rsidR="005B743B" w:rsidRPr="005B743B" w:rsidRDefault="005B743B" w:rsidP="005B743B">
      <w:pPr>
        <w:pStyle w:val="EndNoteBibliography"/>
        <w:spacing w:after="0"/>
        <w:ind w:left="720" w:hanging="720"/>
      </w:pPr>
      <w:r w:rsidRPr="005B743B">
        <w:t>65. National Institute for Health and Care Excellence. Developing NICE guidelines: the manual. London, UK: National Institute for Health and Care Excellence (NICE) 2014.</w:t>
      </w:r>
    </w:p>
    <w:p w14:paraId="6F1B5068" w14:textId="77777777" w:rsidR="005B743B" w:rsidRPr="005B743B" w:rsidRDefault="005B743B" w:rsidP="005B743B">
      <w:pPr>
        <w:pStyle w:val="EndNoteBibliography"/>
        <w:spacing w:after="0"/>
        <w:ind w:left="720" w:hanging="720"/>
      </w:pPr>
      <w:r w:rsidRPr="005B743B">
        <w:t xml:space="preserve">66. Manca A, Hawkins N, Sculpher MJ. Estimating mean QALYs in trial-based cost-effectiveness analysis: the importance of controlling for baseline utility. </w:t>
      </w:r>
      <w:r w:rsidRPr="005B743B">
        <w:rPr>
          <w:i/>
        </w:rPr>
        <w:t>Health Econ</w:t>
      </w:r>
      <w:r w:rsidRPr="005B743B">
        <w:t xml:space="preserve"> 2005;14(5):487-96. doi: 10.1002/hec.944 [published Online First: 2004/10/22]</w:t>
      </w:r>
    </w:p>
    <w:p w14:paraId="616E88D0" w14:textId="77777777" w:rsidR="005B743B" w:rsidRPr="005B743B" w:rsidRDefault="005B743B" w:rsidP="005B743B">
      <w:pPr>
        <w:pStyle w:val="EndNoteBibliography"/>
        <w:spacing w:after="0"/>
        <w:ind w:left="720" w:hanging="720"/>
      </w:pPr>
      <w:r w:rsidRPr="005B743B">
        <w:t xml:space="preserve">67. Al-Janabi H, Flynn TN, Coast J. Development of a self-report measure of capability wellbeing for adults: the ICECAP-A. </w:t>
      </w:r>
      <w:r w:rsidRPr="005B743B">
        <w:rPr>
          <w:i/>
        </w:rPr>
        <w:t>Qual Life Res</w:t>
      </w:r>
      <w:r w:rsidRPr="005B743B">
        <w:t xml:space="preserve"> 2012;21(1):167-76. doi: 10.1007/s11136-011-9927-2 [published Online First: 2011/05/21]</w:t>
      </w:r>
    </w:p>
    <w:p w14:paraId="36E47218" w14:textId="77777777" w:rsidR="005B743B" w:rsidRPr="005B743B" w:rsidRDefault="005B743B" w:rsidP="005B743B">
      <w:pPr>
        <w:pStyle w:val="EndNoteBibliography"/>
        <w:spacing w:after="0"/>
        <w:ind w:left="720" w:hanging="720"/>
      </w:pPr>
      <w:r w:rsidRPr="005B743B">
        <w:t xml:space="preserve">68. Keeley T, Coast J, Nicholls E, et al. An analysis of the complementarity of ICECAP-A and EQ-5D-3 L in an adult population of patients with knee pain. </w:t>
      </w:r>
      <w:r w:rsidRPr="005B743B">
        <w:rPr>
          <w:i/>
        </w:rPr>
        <w:t>Health and quality of life outcomes</w:t>
      </w:r>
      <w:r w:rsidRPr="005B743B">
        <w:t xml:space="preserve"> 2016;14:36. doi: 10.1186/s12955-016-0430-x [published Online First: 2016/03/05]</w:t>
      </w:r>
    </w:p>
    <w:p w14:paraId="72582CE2" w14:textId="77777777" w:rsidR="005B743B" w:rsidRPr="005B743B" w:rsidRDefault="005B743B" w:rsidP="005B743B">
      <w:pPr>
        <w:pStyle w:val="EndNoteBibliography"/>
        <w:spacing w:after="0"/>
        <w:ind w:left="720" w:hanging="720"/>
      </w:pPr>
      <w:r w:rsidRPr="005B743B">
        <w:t xml:space="preserve">69. Garfield K, Husbands S, Thorn JC, et al. Development of a brief, generic, modular resource-use measure (ModRUM): cognitive interviews with patients. </w:t>
      </w:r>
      <w:r w:rsidRPr="005B743B">
        <w:rPr>
          <w:i/>
        </w:rPr>
        <w:t>BMC Health Serv Res</w:t>
      </w:r>
      <w:r w:rsidRPr="005B743B">
        <w:t xml:space="preserve"> 2021;21(1):371. doi: 10.1186/s12913-021-06364-w</w:t>
      </w:r>
    </w:p>
    <w:p w14:paraId="3B83A041" w14:textId="77777777" w:rsidR="005B743B" w:rsidRPr="005B743B" w:rsidRDefault="005B743B" w:rsidP="005B743B">
      <w:pPr>
        <w:pStyle w:val="EndNoteBibliography"/>
        <w:spacing w:after="0"/>
        <w:ind w:left="720" w:hanging="720"/>
      </w:pPr>
      <w:r w:rsidRPr="005B743B">
        <w:t xml:space="preserve">70. Reilly MC, Zbrozek AS, Dukes EM. The validity and reproducibility of a work productivity and activity impairment instrument. </w:t>
      </w:r>
      <w:r w:rsidRPr="005B743B">
        <w:rPr>
          <w:i/>
        </w:rPr>
        <w:t>Pharmacoeconomics</w:t>
      </w:r>
      <w:r w:rsidRPr="005B743B">
        <w:t xml:space="preserve"> 1993;4(5):353-65. doi: 10.2165/00019053-199304050-00006 [published Online First: 1993/10/05]</w:t>
      </w:r>
    </w:p>
    <w:p w14:paraId="11FC886C" w14:textId="77777777" w:rsidR="005B743B" w:rsidRPr="005B743B" w:rsidRDefault="005B743B" w:rsidP="005B743B">
      <w:pPr>
        <w:pStyle w:val="EndNoteBibliography"/>
        <w:spacing w:after="0"/>
        <w:ind w:left="720" w:hanging="720"/>
      </w:pPr>
      <w:r w:rsidRPr="005B743B">
        <w:t>71. NHS England and NHS Improvement. National Schedule of NHS Costs, 2020.</w:t>
      </w:r>
    </w:p>
    <w:p w14:paraId="3F2A2D57" w14:textId="77777777" w:rsidR="005B743B" w:rsidRPr="005B743B" w:rsidRDefault="005B743B" w:rsidP="005B743B">
      <w:pPr>
        <w:pStyle w:val="EndNoteBibliography"/>
        <w:spacing w:after="0"/>
        <w:ind w:left="720" w:hanging="720"/>
      </w:pPr>
      <w:r w:rsidRPr="005B743B">
        <w:t>72. Joint Formulary Committee. British National Formulary (online). London: BMJ Group and Pharmaceutical Press.</w:t>
      </w:r>
    </w:p>
    <w:p w14:paraId="197993FE" w14:textId="77777777" w:rsidR="005B743B" w:rsidRPr="005B743B" w:rsidRDefault="005B743B" w:rsidP="005B743B">
      <w:pPr>
        <w:pStyle w:val="EndNoteBibliography"/>
        <w:spacing w:after="0"/>
        <w:ind w:left="720" w:hanging="720"/>
      </w:pPr>
      <w:r w:rsidRPr="005B743B">
        <w:t>73. Curtis L, Burns A. Unit Costs of Health &amp; Social Care 2020. University of Kent: PSSRU 2020.</w:t>
      </w:r>
    </w:p>
    <w:p w14:paraId="78C94867" w14:textId="77777777" w:rsidR="005B743B" w:rsidRPr="005B743B" w:rsidRDefault="005B743B" w:rsidP="005B743B">
      <w:pPr>
        <w:pStyle w:val="EndNoteBibliography"/>
        <w:spacing w:after="0"/>
        <w:ind w:left="720" w:hanging="720"/>
      </w:pPr>
      <w:r w:rsidRPr="005B743B">
        <w:t>74. Office for National Statistics. Annual Survey of Hours and Earnings 2020. UK: Office for National Statistics, 2020.</w:t>
      </w:r>
    </w:p>
    <w:p w14:paraId="31284E4C" w14:textId="77777777" w:rsidR="005B743B" w:rsidRPr="005B743B" w:rsidRDefault="005B743B" w:rsidP="005B743B">
      <w:pPr>
        <w:pStyle w:val="EndNoteBibliography"/>
        <w:spacing w:after="0"/>
        <w:ind w:left="720" w:hanging="720"/>
      </w:pPr>
      <w:r w:rsidRPr="005B743B">
        <w:t>75. Bandura A. Guide for constructing self-efficacy scales. In: Urdan T, Pajares F, eds. Self-Efficacy Beliefs of Adolescents: Information Age Publishing 2006:307-37.</w:t>
      </w:r>
    </w:p>
    <w:p w14:paraId="18A2AF8A" w14:textId="79112D0D" w:rsidR="005B743B" w:rsidRPr="005B743B" w:rsidRDefault="005B743B" w:rsidP="005B743B">
      <w:pPr>
        <w:pStyle w:val="EndNoteBibliography"/>
        <w:spacing w:after="0"/>
        <w:ind w:left="720" w:hanging="720"/>
      </w:pPr>
      <w:r w:rsidRPr="005B743B">
        <w:t>76. Ajzen I. Constructing a theory of planned behavior questionnaire.</w:t>
      </w:r>
      <w:r w:rsidR="00700CE2" w:rsidRPr="00700CE2">
        <w:t xml:space="preserve"> </w:t>
      </w:r>
      <w:r w:rsidR="00B41841">
        <w:t xml:space="preserve">2019. Available from </w:t>
      </w:r>
      <w:hyperlink r:id="rId16" w:history="1">
        <w:r w:rsidR="00B41841" w:rsidRPr="00C628BD">
          <w:rPr>
            <w:rStyle w:val="Hyperlink"/>
          </w:rPr>
          <w:t>http://people.umass.edu/aizen/pdf/tpb.measurement.pdf</w:t>
        </w:r>
      </w:hyperlink>
      <w:r w:rsidR="00CA4347">
        <w:t xml:space="preserve">. </w:t>
      </w:r>
      <w:r w:rsidR="00B41841">
        <w:t>A</w:t>
      </w:r>
      <w:r w:rsidR="00CA4347">
        <w:t>ccessed 16 February 2024.</w:t>
      </w:r>
    </w:p>
    <w:p w14:paraId="51554437" w14:textId="544B7682" w:rsidR="005B743B" w:rsidRPr="005B743B" w:rsidRDefault="005B743B" w:rsidP="006B1507">
      <w:pPr>
        <w:pStyle w:val="EndNoteBibliography"/>
        <w:ind w:left="720" w:hanging="720"/>
      </w:pPr>
      <w:r w:rsidRPr="005B743B">
        <w:t xml:space="preserve">77. Renner B, Schwarzer R. Risk and Health Behaviors. Documentation of the Scales of the Research Project:    “Risk Appraisal Consequences in Korea” (RACK). </w:t>
      </w:r>
      <w:r w:rsidR="006B1507">
        <w:lastRenderedPageBreak/>
        <w:t>h</w:t>
      </w:r>
      <w:r w:rsidRPr="009D1067">
        <w:t>ttp://www.gesundheitsrisiko.de/docs/RACKEnglish.pdf</w:t>
      </w:r>
      <w:r w:rsidRPr="005B743B">
        <w:t>: International</w:t>
      </w:r>
      <w:r w:rsidR="006B1507">
        <w:t xml:space="preserve"> </w:t>
      </w:r>
      <w:r w:rsidRPr="005B743B">
        <w:t>University Bremen &amp; Freie Universität Berlin, 2007.</w:t>
      </w:r>
    </w:p>
    <w:p w14:paraId="3774CD43" w14:textId="77777777" w:rsidR="005B743B" w:rsidRPr="005B743B" w:rsidRDefault="005B743B" w:rsidP="005B743B">
      <w:pPr>
        <w:pStyle w:val="EndNoteBibliography"/>
        <w:spacing w:after="0"/>
        <w:ind w:left="720" w:hanging="720"/>
      </w:pPr>
      <w:r w:rsidRPr="005B743B">
        <w:t>78. Francis JJ, Eccles MP, Johnston M, et al. Constructing questionnaires based on the theory of planned behaviour. A manual for health services researchers. University of Newcastle: Centre for Health Services Research, 2004.</w:t>
      </w:r>
    </w:p>
    <w:p w14:paraId="3C9AAF73" w14:textId="77777777" w:rsidR="005B743B" w:rsidRPr="005B743B" w:rsidRDefault="005B743B" w:rsidP="005B743B">
      <w:pPr>
        <w:pStyle w:val="EndNoteBibliography"/>
        <w:spacing w:after="0"/>
        <w:ind w:left="720" w:hanging="720"/>
      </w:pPr>
      <w:r w:rsidRPr="005B743B">
        <w:t xml:space="preserve">79. Mercer SW, Maxwell M, Heaney D, et al. The development and preliminary validation of the Consultation and Relational Empathy (CARE) measure: an empathy-based consultation process measure. </w:t>
      </w:r>
      <w:r w:rsidRPr="005B743B">
        <w:rPr>
          <w:i/>
        </w:rPr>
        <w:t>Fam Pract</w:t>
      </w:r>
      <w:r w:rsidRPr="005B743B">
        <w:t xml:space="preserve"> 2004;21  699-705.</w:t>
      </w:r>
    </w:p>
    <w:p w14:paraId="757BC325" w14:textId="77777777" w:rsidR="005B743B" w:rsidRPr="005B743B" w:rsidRDefault="005B743B" w:rsidP="005B743B">
      <w:pPr>
        <w:pStyle w:val="EndNoteBibliography"/>
        <w:spacing w:after="0"/>
        <w:ind w:left="720" w:hanging="720"/>
      </w:pPr>
      <w:r w:rsidRPr="005B743B">
        <w:t xml:space="preserve">80. Alberts J, Löwe B, Glahn MA, et al. Development of the generic, multidimensional Treatment Expectation Questionnaire (TEX-Q) through systematic literature review, expert surveys and qualitative interviews. </w:t>
      </w:r>
      <w:r w:rsidRPr="005B743B">
        <w:rPr>
          <w:i/>
        </w:rPr>
        <w:t>BMJ Open</w:t>
      </w:r>
      <w:r w:rsidRPr="005B743B">
        <w:t xml:space="preserve"> 2020;10(8):e036169. doi: 10.1136/bmjopen-2019-036169</w:t>
      </w:r>
    </w:p>
    <w:p w14:paraId="52FE5135" w14:textId="77777777" w:rsidR="005B743B" w:rsidRPr="005B743B" w:rsidRDefault="005B743B" w:rsidP="005B743B">
      <w:pPr>
        <w:pStyle w:val="EndNoteBibliography"/>
        <w:spacing w:after="0"/>
        <w:ind w:left="720" w:hanging="720"/>
      </w:pPr>
      <w:r w:rsidRPr="005B743B">
        <w:t xml:space="preserve">81. Bjelland I, Dahl AA, Haug TT, et al. The validity of the Hospital Anxiety and Depression Scale: An updated literature review. </w:t>
      </w:r>
      <w:r w:rsidRPr="005B743B">
        <w:rPr>
          <w:i/>
        </w:rPr>
        <w:t>J Psychosom Res</w:t>
      </w:r>
      <w:r w:rsidRPr="005B743B">
        <w:t xml:space="preserve"> 2002;52(2):69-77.</w:t>
      </w:r>
    </w:p>
    <w:p w14:paraId="617D0AED" w14:textId="77777777" w:rsidR="005B743B" w:rsidRPr="005B743B" w:rsidRDefault="005B743B" w:rsidP="005B743B">
      <w:pPr>
        <w:pStyle w:val="EndNoteBibliography"/>
        <w:spacing w:after="0"/>
        <w:ind w:left="720" w:hanging="720"/>
      </w:pPr>
      <w:r w:rsidRPr="005B743B">
        <w:t xml:space="preserve">82. Zigmond AS, Snaith RP. The Hospital Anxiety and Depression Scale. </w:t>
      </w:r>
      <w:r w:rsidRPr="005B743B">
        <w:rPr>
          <w:i/>
        </w:rPr>
        <w:t>Acta Psychiatr Scand</w:t>
      </w:r>
      <w:r w:rsidRPr="005B743B">
        <w:t xml:space="preserve"> 1983;67(6):361-70.</w:t>
      </w:r>
    </w:p>
    <w:p w14:paraId="3C320827" w14:textId="77777777" w:rsidR="005B743B" w:rsidRPr="005B743B" w:rsidRDefault="005B743B" w:rsidP="005B743B">
      <w:pPr>
        <w:pStyle w:val="EndNoteBibliography"/>
        <w:spacing w:after="0"/>
        <w:ind w:left="720" w:hanging="720"/>
      </w:pPr>
      <w:r w:rsidRPr="005B743B">
        <w:t xml:space="preserve">83. Ridd MJ, Lewis G, Peters TJ, et al. Patient-Doctor Depth-of-Relationship Scale: Development and Validation. </w:t>
      </w:r>
      <w:r w:rsidRPr="005B743B">
        <w:rPr>
          <w:i/>
        </w:rPr>
        <w:t>The Annals of Family Medicine</w:t>
      </w:r>
      <w:r w:rsidRPr="005B743B">
        <w:t xml:space="preserve"> 2011;9(6):538. doi: 10.1370/afm.1322</w:t>
      </w:r>
    </w:p>
    <w:p w14:paraId="163852F3" w14:textId="151F15CD" w:rsidR="00AC328B" w:rsidRDefault="00AC328B" w:rsidP="005B743B">
      <w:pPr>
        <w:pStyle w:val="EndNoteBibliography"/>
        <w:spacing w:after="0"/>
        <w:ind w:left="720" w:hanging="720"/>
      </w:pPr>
      <w:r>
        <w:t xml:space="preserve">84. </w:t>
      </w:r>
      <w:r w:rsidRPr="00AC328B">
        <w:t>Miller S, Ainsworth B, Yardley L, et al. A Framework for Analyzing and Measuring Usage and Engagement Data (AMUsED) in Digital Interventions: Viewpoint. J Med Internet Res 2019;21(2):e10966. doi: 10.2196/10966 [published Online First: 2019/02/16]</w:t>
      </w:r>
    </w:p>
    <w:p w14:paraId="493D25B0" w14:textId="43EA7FDE" w:rsidR="005B743B" w:rsidRPr="005B743B" w:rsidRDefault="005B743B" w:rsidP="005B743B">
      <w:pPr>
        <w:pStyle w:val="EndNoteBibliography"/>
        <w:spacing w:after="0"/>
        <w:ind w:left="720" w:hanging="720"/>
      </w:pPr>
      <w:r w:rsidRPr="005B743B">
        <w:t>8</w:t>
      </w:r>
      <w:r w:rsidR="00702ED2">
        <w:t>5</w:t>
      </w:r>
      <w:r w:rsidRPr="005B743B">
        <w:t xml:space="preserve">. Campbell MK, Piaggio G, Elbourne DR, et al. Consort 2010 statement: extension to cluster randomised trials. </w:t>
      </w:r>
      <w:r w:rsidRPr="005B743B">
        <w:rPr>
          <w:i/>
        </w:rPr>
        <w:t>BMJ</w:t>
      </w:r>
      <w:r w:rsidRPr="005B743B">
        <w:t xml:space="preserve"> 2012;345:e5661. doi: 10.1136/bmj.e5661 [published Online First: 2012/09/07]</w:t>
      </w:r>
    </w:p>
    <w:p w14:paraId="10D50153" w14:textId="73132342" w:rsidR="005B743B" w:rsidRPr="005B743B" w:rsidRDefault="005B743B" w:rsidP="005B743B">
      <w:pPr>
        <w:pStyle w:val="EndNoteBibliography"/>
        <w:spacing w:after="0"/>
        <w:ind w:left="720" w:hanging="720"/>
      </w:pPr>
      <w:r w:rsidRPr="005B743B">
        <w:t>8</w:t>
      </w:r>
      <w:r w:rsidR="006211D1">
        <w:t>6</w:t>
      </w:r>
      <w:r w:rsidRPr="005B743B">
        <w:t xml:space="preserve">. Boutron I, Altman DG, Moher D, et al. CONSORT Statement for Randomized Trials of Nonpharmacologic Treatments: A 2017 Update and a CONSORT Extension for Nonpharmacologic Trial Abstracts. </w:t>
      </w:r>
      <w:r w:rsidRPr="005B743B">
        <w:rPr>
          <w:i/>
        </w:rPr>
        <w:t>Ann Intern Med</w:t>
      </w:r>
      <w:r w:rsidRPr="005B743B">
        <w:t xml:space="preserve"> 2017;167(1):40-47. doi: 10.7326/m17-0046 [published Online First: 2017/06/21]</w:t>
      </w:r>
    </w:p>
    <w:p w14:paraId="0D005345" w14:textId="6824D4BE" w:rsidR="005B743B" w:rsidRDefault="005B743B" w:rsidP="005B743B">
      <w:pPr>
        <w:pStyle w:val="EndNoteBibliography"/>
        <w:ind w:left="720" w:hanging="720"/>
      </w:pPr>
      <w:r w:rsidRPr="005B743B">
        <w:t>8</w:t>
      </w:r>
      <w:r w:rsidR="0038055A">
        <w:t>7</w:t>
      </w:r>
      <w:r w:rsidRPr="005B743B">
        <w:t xml:space="preserve">. Levitt HM, Bamberg M, Creswell JW, et al. Journal article reporting standards for qualitative primary, qualitative meta-analytic, and mixed methods research in psychology: The APA Publications and Communications Board task force report. </w:t>
      </w:r>
      <w:r w:rsidRPr="005B743B">
        <w:rPr>
          <w:i/>
        </w:rPr>
        <w:t>Am Psychol</w:t>
      </w:r>
      <w:r w:rsidRPr="005B743B">
        <w:t xml:space="preserve"> 2018;73(1):26-46. doi: 10.1037/amp0000151 [published Online First: 2018/01/19]</w:t>
      </w:r>
    </w:p>
    <w:p w14:paraId="658D6D94" w14:textId="60658844" w:rsidR="00462559" w:rsidRPr="005B743B" w:rsidRDefault="00462559" w:rsidP="005B743B">
      <w:pPr>
        <w:pStyle w:val="EndNoteBibliography"/>
        <w:ind w:left="720" w:hanging="720"/>
      </w:pPr>
      <w:r>
        <w:t xml:space="preserve">88. </w:t>
      </w:r>
      <w:r w:rsidRPr="00462559">
        <w:t>May CR, Finch T, Ballini L, et al. Evaluating complex interventions and health technologies using normalization process theory: development of a simplified approach and web-enabled toolkit. BMC Health Serv Res 2011;11(1):245. doi: 10.1186/1472-6963-11-245</w:t>
      </w:r>
    </w:p>
    <w:p w14:paraId="43BAABAB" w14:textId="5FAA6047" w:rsidR="002D56E7" w:rsidRDefault="002D56E7"/>
    <w:p w14:paraId="723D3036" w14:textId="4F37D387" w:rsidR="003C7C52" w:rsidRDefault="003C7C52"/>
    <w:sectPr w:rsidR="003C7C52">
      <w:footerReference w:type="default" r:id="rId17"/>
      <w:pgSz w:w="11900" w:h="16840"/>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7099" w14:textId="77777777" w:rsidR="00CB06D4" w:rsidRDefault="00CB06D4">
      <w:pPr>
        <w:spacing w:after="0" w:line="240" w:lineRule="auto"/>
      </w:pPr>
      <w:r>
        <w:separator/>
      </w:r>
    </w:p>
  </w:endnote>
  <w:endnote w:type="continuationSeparator" w:id="0">
    <w:p w14:paraId="1F0721EE" w14:textId="77777777" w:rsidR="00CB06D4" w:rsidRDefault="00CB06D4">
      <w:pPr>
        <w:spacing w:after="0" w:line="240" w:lineRule="auto"/>
      </w:pPr>
      <w:r>
        <w:continuationSeparator/>
      </w:r>
    </w:p>
  </w:endnote>
  <w:endnote w:type="continuationNotice" w:id="1">
    <w:p w14:paraId="6BCDD518" w14:textId="77777777" w:rsidR="00CB06D4" w:rsidRDefault="00CB0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Neue">
    <w:altName w:val="Sylfaen"/>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1F32" w14:textId="25FA82BD" w:rsidR="000D2EF0" w:rsidRPr="009E0252" w:rsidRDefault="00534904">
    <w:pPr>
      <w:pStyle w:val="HeaderFooter"/>
      <w:jc w:val="center"/>
      <w:rPr>
        <w:rFonts w:asciiTheme="minorHAnsi" w:hAnsiTheme="minorHAnsi" w:cstheme="minorHAnsi"/>
        <w:color w:val="808080" w:themeColor="background1" w:themeShade="80"/>
      </w:rPr>
    </w:pPr>
    <w:r w:rsidRPr="009E0252">
      <w:rPr>
        <w:rFonts w:asciiTheme="minorHAnsi" w:hAnsiTheme="minorHAnsi" w:cstheme="minorHAnsi"/>
        <w:color w:val="808080" w:themeColor="background1" w:themeShade="80"/>
        <w:sz w:val="18"/>
        <w:szCs w:val="18"/>
        <w:lang w:val="en-US"/>
      </w:rPr>
      <w:t>The TIP Trial Protocol</w:t>
    </w:r>
    <w:r w:rsidRPr="009E0252">
      <w:rPr>
        <w:rFonts w:asciiTheme="minorHAnsi" w:hAnsiTheme="minorHAnsi" w:cstheme="minorHAnsi"/>
        <w:color w:val="808080" w:themeColor="background1" w:themeShade="80"/>
        <w:sz w:val="18"/>
        <w:szCs w:val="18"/>
        <w:lang w:val="en-US"/>
      </w:rPr>
      <w:ptab w:relativeTo="margin" w:alignment="center" w:leader="none"/>
    </w:r>
    <w:r w:rsidRPr="009E0252">
      <w:rPr>
        <w:rFonts w:asciiTheme="minorHAnsi" w:hAnsiTheme="minorHAnsi" w:cstheme="minorHAnsi"/>
        <w:color w:val="808080" w:themeColor="background1" w:themeShade="80"/>
        <w:sz w:val="18"/>
        <w:szCs w:val="18"/>
        <w:lang w:val="en-US"/>
      </w:rPr>
      <w:t xml:space="preserve">Page </w:t>
    </w:r>
    <w:r w:rsidRPr="009E0252">
      <w:rPr>
        <w:rFonts w:asciiTheme="minorHAnsi" w:hAnsiTheme="minorHAnsi" w:cstheme="minorHAnsi"/>
        <w:b/>
        <w:bCs/>
        <w:color w:val="808080" w:themeColor="background1" w:themeShade="80"/>
        <w:sz w:val="18"/>
        <w:szCs w:val="18"/>
        <w:lang w:val="en-US"/>
      </w:rPr>
      <w:fldChar w:fldCharType="begin"/>
    </w:r>
    <w:r w:rsidRPr="009E0252">
      <w:rPr>
        <w:rFonts w:asciiTheme="minorHAnsi" w:hAnsiTheme="minorHAnsi" w:cstheme="minorHAnsi"/>
        <w:b/>
        <w:bCs/>
        <w:color w:val="808080" w:themeColor="background1" w:themeShade="80"/>
        <w:sz w:val="18"/>
        <w:szCs w:val="18"/>
        <w:lang w:val="en-US"/>
      </w:rPr>
      <w:instrText xml:space="preserve"> PAGE  \* Arabic  \* MERGEFORMAT </w:instrText>
    </w:r>
    <w:r w:rsidRPr="009E0252">
      <w:rPr>
        <w:rFonts w:asciiTheme="minorHAnsi" w:hAnsiTheme="minorHAnsi" w:cstheme="minorHAnsi"/>
        <w:b/>
        <w:bCs/>
        <w:color w:val="808080" w:themeColor="background1" w:themeShade="80"/>
        <w:sz w:val="18"/>
        <w:szCs w:val="18"/>
        <w:lang w:val="en-US"/>
      </w:rPr>
      <w:fldChar w:fldCharType="separate"/>
    </w:r>
    <w:r w:rsidRPr="009E0252">
      <w:rPr>
        <w:rFonts w:asciiTheme="minorHAnsi" w:hAnsiTheme="minorHAnsi" w:cstheme="minorHAnsi"/>
        <w:b/>
        <w:bCs/>
        <w:noProof/>
        <w:color w:val="808080" w:themeColor="background1" w:themeShade="80"/>
        <w:sz w:val="18"/>
        <w:szCs w:val="18"/>
        <w:lang w:val="en-US"/>
      </w:rPr>
      <w:t>1</w:t>
    </w:r>
    <w:r w:rsidRPr="009E0252">
      <w:rPr>
        <w:rFonts w:asciiTheme="minorHAnsi" w:hAnsiTheme="minorHAnsi" w:cstheme="minorHAnsi"/>
        <w:b/>
        <w:bCs/>
        <w:color w:val="808080" w:themeColor="background1" w:themeShade="80"/>
        <w:sz w:val="18"/>
        <w:szCs w:val="18"/>
        <w:lang w:val="en-US"/>
      </w:rPr>
      <w:fldChar w:fldCharType="end"/>
    </w:r>
    <w:r w:rsidRPr="009E0252">
      <w:rPr>
        <w:rFonts w:asciiTheme="minorHAnsi" w:hAnsiTheme="minorHAnsi" w:cstheme="minorHAnsi"/>
        <w:color w:val="808080" w:themeColor="background1" w:themeShade="80"/>
        <w:sz w:val="18"/>
        <w:szCs w:val="18"/>
        <w:lang w:val="en-US"/>
      </w:rPr>
      <w:t xml:space="preserve"> of </w:t>
    </w:r>
    <w:r w:rsidRPr="009E0252">
      <w:rPr>
        <w:rFonts w:asciiTheme="minorHAnsi" w:hAnsiTheme="minorHAnsi" w:cstheme="minorHAnsi"/>
        <w:b/>
        <w:bCs/>
        <w:color w:val="808080" w:themeColor="background1" w:themeShade="80"/>
        <w:sz w:val="18"/>
        <w:szCs w:val="18"/>
        <w:lang w:val="en-US"/>
      </w:rPr>
      <w:fldChar w:fldCharType="begin"/>
    </w:r>
    <w:r w:rsidRPr="009E0252">
      <w:rPr>
        <w:rFonts w:asciiTheme="minorHAnsi" w:hAnsiTheme="minorHAnsi" w:cstheme="minorHAnsi"/>
        <w:b/>
        <w:bCs/>
        <w:color w:val="808080" w:themeColor="background1" w:themeShade="80"/>
        <w:sz w:val="18"/>
        <w:szCs w:val="18"/>
        <w:lang w:val="en-US"/>
      </w:rPr>
      <w:instrText xml:space="preserve"> NUMPAGES  \* Arabic  \* MERGEFORMAT </w:instrText>
    </w:r>
    <w:r w:rsidRPr="009E0252">
      <w:rPr>
        <w:rFonts w:asciiTheme="minorHAnsi" w:hAnsiTheme="minorHAnsi" w:cstheme="minorHAnsi"/>
        <w:b/>
        <w:bCs/>
        <w:color w:val="808080" w:themeColor="background1" w:themeShade="80"/>
        <w:sz w:val="18"/>
        <w:szCs w:val="18"/>
        <w:lang w:val="en-US"/>
      </w:rPr>
      <w:fldChar w:fldCharType="separate"/>
    </w:r>
    <w:r w:rsidRPr="009E0252">
      <w:rPr>
        <w:rFonts w:asciiTheme="minorHAnsi" w:hAnsiTheme="minorHAnsi" w:cstheme="minorHAnsi"/>
        <w:b/>
        <w:bCs/>
        <w:noProof/>
        <w:color w:val="808080" w:themeColor="background1" w:themeShade="80"/>
        <w:sz w:val="18"/>
        <w:szCs w:val="18"/>
        <w:lang w:val="en-US"/>
      </w:rPr>
      <w:t>2</w:t>
    </w:r>
    <w:r w:rsidRPr="009E0252">
      <w:rPr>
        <w:rFonts w:asciiTheme="minorHAnsi" w:hAnsiTheme="minorHAnsi" w:cstheme="minorHAnsi"/>
        <w:b/>
        <w:bCs/>
        <w:color w:val="808080" w:themeColor="background1" w:themeShade="80"/>
        <w:sz w:val="18"/>
        <w:szCs w:val="18"/>
        <w:lang w:val="en-US"/>
      </w:rPr>
      <w:fldChar w:fldCharType="end"/>
    </w:r>
    <w:r w:rsidRPr="009E0252">
      <w:rPr>
        <w:rFonts w:asciiTheme="minorHAnsi" w:hAnsiTheme="minorHAnsi" w:cstheme="minorHAnsi"/>
        <w:color w:val="808080" w:themeColor="background1" w:themeShade="80"/>
        <w:sz w:val="18"/>
        <w:szCs w:val="18"/>
        <w:lang w:val="en-US"/>
      </w:rPr>
      <w:ptab w:relativeTo="margin" w:alignment="right" w:leader="none"/>
    </w:r>
    <w:r w:rsidRPr="009E0252">
      <w:rPr>
        <w:rFonts w:asciiTheme="minorHAnsi" w:hAnsiTheme="minorHAnsi" w:cstheme="minorHAnsi"/>
        <w:color w:val="808080" w:themeColor="background1" w:themeShade="80"/>
        <w:sz w:val="18"/>
        <w:szCs w:val="18"/>
        <w:lang w:val="en-US"/>
      </w:rPr>
      <w:t xml:space="preserve"> Version </w:t>
    </w:r>
    <w:r w:rsidR="00F252CC" w:rsidRPr="009E0252">
      <w:rPr>
        <w:rFonts w:asciiTheme="minorHAnsi" w:hAnsiTheme="minorHAnsi" w:cstheme="minorHAnsi"/>
        <w:color w:val="808080" w:themeColor="background1" w:themeShade="80"/>
        <w:sz w:val="18"/>
        <w:szCs w:val="18"/>
        <w:lang w:val="en-US"/>
      </w:rPr>
      <w:t xml:space="preserve">2 </w:t>
    </w:r>
    <w:r w:rsidR="002A4CBF" w:rsidRPr="009E0252">
      <w:rPr>
        <w:rFonts w:asciiTheme="minorHAnsi" w:hAnsiTheme="minorHAnsi" w:cstheme="minorHAnsi"/>
        <w:color w:val="808080" w:themeColor="background1" w:themeShade="80"/>
        <w:sz w:val="18"/>
        <w:szCs w:val="18"/>
        <w:lang w:val="en-US"/>
      </w:rPr>
      <w:t>12</w:t>
    </w:r>
    <w:r w:rsidR="000E474D" w:rsidRPr="009E0252">
      <w:rPr>
        <w:rFonts w:asciiTheme="minorHAnsi" w:hAnsiTheme="minorHAnsi" w:cstheme="minorHAnsi"/>
        <w:color w:val="808080" w:themeColor="background1" w:themeShade="80"/>
        <w:sz w:val="18"/>
        <w:szCs w:val="18"/>
        <w:lang w:val="en-US"/>
      </w:rPr>
      <w:t xml:space="preserve">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F118" w14:textId="77777777" w:rsidR="00CB06D4" w:rsidRDefault="00CB06D4">
      <w:pPr>
        <w:spacing w:after="0" w:line="240" w:lineRule="auto"/>
      </w:pPr>
      <w:r>
        <w:separator/>
      </w:r>
    </w:p>
  </w:footnote>
  <w:footnote w:type="continuationSeparator" w:id="0">
    <w:p w14:paraId="0DBC8C95" w14:textId="77777777" w:rsidR="00CB06D4" w:rsidRDefault="00CB06D4">
      <w:pPr>
        <w:spacing w:after="0" w:line="240" w:lineRule="auto"/>
      </w:pPr>
      <w:r>
        <w:continuationSeparator/>
      </w:r>
    </w:p>
  </w:footnote>
  <w:footnote w:type="continuationNotice" w:id="1">
    <w:p w14:paraId="1BCBD1C8" w14:textId="77777777" w:rsidR="00CB06D4" w:rsidRDefault="00CB0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625"/>
    <w:multiLevelType w:val="multilevel"/>
    <w:tmpl w:val="FDB49F3A"/>
    <w:lvl w:ilvl="0">
      <w:start w:val="1"/>
      <w:numFmt w:val="decimal"/>
      <w:pStyle w:val="Style1"/>
      <w:lvlText w:val="%1"/>
      <w:lvlJc w:val="left"/>
      <w:pPr>
        <w:ind w:left="432" w:hanging="43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CE4B4A"/>
    <w:multiLevelType w:val="hybridMultilevel"/>
    <w:tmpl w:val="58B0C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44D4"/>
    <w:multiLevelType w:val="hybridMultilevel"/>
    <w:tmpl w:val="7E82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3753D"/>
    <w:multiLevelType w:val="hybridMultilevel"/>
    <w:tmpl w:val="D916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72B70"/>
    <w:multiLevelType w:val="hybridMultilevel"/>
    <w:tmpl w:val="299CC3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707EFE"/>
    <w:multiLevelType w:val="multilevel"/>
    <w:tmpl w:val="792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231A7"/>
    <w:multiLevelType w:val="hybridMultilevel"/>
    <w:tmpl w:val="23560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65740"/>
    <w:multiLevelType w:val="hybridMultilevel"/>
    <w:tmpl w:val="FFAAAD74"/>
    <w:lvl w:ilvl="0" w:tplc="D8C234FE">
      <w:start w:val="1"/>
      <w:numFmt w:val="bullet"/>
      <w:lvlText w:val=""/>
      <w:lvlJc w:val="left"/>
      <w:pPr>
        <w:ind w:left="1440" w:hanging="360"/>
      </w:pPr>
      <w:rPr>
        <w:rFonts w:ascii="Symbol" w:hAnsi="Symbol"/>
      </w:rPr>
    </w:lvl>
    <w:lvl w:ilvl="1" w:tplc="5508A7CC">
      <w:start w:val="1"/>
      <w:numFmt w:val="bullet"/>
      <w:lvlText w:val=""/>
      <w:lvlJc w:val="left"/>
      <w:pPr>
        <w:ind w:left="1440" w:hanging="360"/>
      </w:pPr>
      <w:rPr>
        <w:rFonts w:ascii="Symbol" w:hAnsi="Symbol"/>
      </w:rPr>
    </w:lvl>
    <w:lvl w:ilvl="2" w:tplc="C52E1116">
      <w:start w:val="1"/>
      <w:numFmt w:val="bullet"/>
      <w:lvlText w:val=""/>
      <w:lvlJc w:val="left"/>
      <w:pPr>
        <w:ind w:left="1440" w:hanging="360"/>
      </w:pPr>
      <w:rPr>
        <w:rFonts w:ascii="Symbol" w:hAnsi="Symbol"/>
      </w:rPr>
    </w:lvl>
    <w:lvl w:ilvl="3" w:tplc="D0FABB5E">
      <w:start w:val="1"/>
      <w:numFmt w:val="bullet"/>
      <w:lvlText w:val=""/>
      <w:lvlJc w:val="left"/>
      <w:pPr>
        <w:ind w:left="1440" w:hanging="360"/>
      </w:pPr>
      <w:rPr>
        <w:rFonts w:ascii="Symbol" w:hAnsi="Symbol"/>
      </w:rPr>
    </w:lvl>
    <w:lvl w:ilvl="4" w:tplc="91AE4794">
      <w:start w:val="1"/>
      <w:numFmt w:val="bullet"/>
      <w:lvlText w:val=""/>
      <w:lvlJc w:val="left"/>
      <w:pPr>
        <w:ind w:left="1440" w:hanging="360"/>
      </w:pPr>
      <w:rPr>
        <w:rFonts w:ascii="Symbol" w:hAnsi="Symbol"/>
      </w:rPr>
    </w:lvl>
    <w:lvl w:ilvl="5" w:tplc="6FF69DB8">
      <w:start w:val="1"/>
      <w:numFmt w:val="bullet"/>
      <w:lvlText w:val=""/>
      <w:lvlJc w:val="left"/>
      <w:pPr>
        <w:ind w:left="1440" w:hanging="360"/>
      </w:pPr>
      <w:rPr>
        <w:rFonts w:ascii="Symbol" w:hAnsi="Symbol"/>
      </w:rPr>
    </w:lvl>
    <w:lvl w:ilvl="6" w:tplc="1538870E">
      <w:start w:val="1"/>
      <w:numFmt w:val="bullet"/>
      <w:lvlText w:val=""/>
      <w:lvlJc w:val="left"/>
      <w:pPr>
        <w:ind w:left="1440" w:hanging="360"/>
      </w:pPr>
      <w:rPr>
        <w:rFonts w:ascii="Symbol" w:hAnsi="Symbol"/>
      </w:rPr>
    </w:lvl>
    <w:lvl w:ilvl="7" w:tplc="8976093A">
      <w:start w:val="1"/>
      <w:numFmt w:val="bullet"/>
      <w:lvlText w:val=""/>
      <w:lvlJc w:val="left"/>
      <w:pPr>
        <w:ind w:left="1440" w:hanging="360"/>
      </w:pPr>
      <w:rPr>
        <w:rFonts w:ascii="Symbol" w:hAnsi="Symbol"/>
      </w:rPr>
    </w:lvl>
    <w:lvl w:ilvl="8" w:tplc="5068F7A2">
      <w:start w:val="1"/>
      <w:numFmt w:val="bullet"/>
      <w:lvlText w:val=""/>
      <w:lvlJc w:val="left"/>
      <w:pPr>
        <w:ind w:left="1440" w:hanging="360"/>
      </w:pPr>
      <w:rPr>
        <w:rFonts w:ascii="Symbol" w:hAnsi="Symbol"/>
      </w:rPr>
    </w:lvl>
  </w:abstractNum>
  <w:abstractNum w:abstractNumId="8" w15:restartNumberingAfterBreak="0">
    <w:nsid w:val="2B564140"/>
    <w:multiLevelType w:val="hybridMultilevel"/>
    <w:tmpl w:val="FEF6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F2480"/>
    <w:multiLevelType w:val="hybridMultilevel"/>
    <w:tmpl w:val="1A38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7102A"/>
    <w:multiLevelType w:val="hybridMultilevel"/>
    <w:tmpl w:val="997A6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9BC"/>
    <w:multiLevelType w:val="hybridMultilevel"/>
    <w:tmpl w:val="E082841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7A731C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D73ECE"/>
    <w:multiLevelType w:val="hybridMultilevel"/>
    <w:tmpl w:val="440E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A2B99"/>
    <w:multiLevelType w:val="hybridMultilevel"/>
    <w:tmpl w:val="ADB45B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4FF22A6B"/>
    <w:multiLevelType w:val="hybridMultilevel"/>
    <w:tmpl w:val="41EEDD56"/>
    <w:lvl w:ilvl="0" w:tplc="08090001">
      <w:start w:val="1"/>
      <w:numFmt w:val="bullet"/>
      <w:lvlText w:val=""/>
      <w:lvlJc w:val="left"/>
      <w:pPr>
        <w:tabs>
          <w:tab w:val="num" w:pos="360"/>
        </w:tabs>
        <w:ind w:left="360" w:hanging="360"/>
      </w:pPr>
      <w:rPr>
        <w:rFonts w:ascii="Symbol" w:hAnsi="Symbol" w:hint="default"/>
        <w:i w:val="0"/>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8025E"/>
    <w:multiLevelType w:val="hybridMultilevel"/>
    <w:tmpl w:val="AE42AE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A30147"/>
    <w:multiLevelType w:val="hybridMultilevel"/>
    <w:tmpl w:val="5E507FB6"/>
    <w:lvl w:ilvl="0" w:tplc="640C8C7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8" w15:restartNumberingAfterBreak="0">
    <w:nsid w:val="5A4673DD"/>
    <w:multiLevelType w:val="hybridMultilevel"/>
    <w:tmpl w:val="7AB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D222A"/>
    <w:multiLevelType w:val="multilevel"/>
    <w:tmpl w:val="DB20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52FE9"/>
    <w:multiLevelType w:val="multilevel"/>
    <w:tmpl w:val="82AEE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C46F4A"/>
    <w:multiLevelType w:val="hybridMultilevel"/>
    <w:tmpl w:val="EB4A1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83456"/>
    <w:multiLevelType w:val="hybridMultilevel"/>
    <w:tmpl w:val="01DE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42957"/>
    <w:multiLevelType w:val="hybridMultilevel"/>
    <w:tmpl w:val="4C68B926"/>
    <w:styleLink w:val="ImportedStyle1"/>
    <w:lvl w:ilvl="0" w:tplc="A0289FF6">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788B1C">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3C8A1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2A4E8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952E">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7D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A2E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85A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0CAF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5EA593E"/>
    <w:multiLevelType w:val="hybridMultilevel"/>
    <w:tmpl w:val="4C68B926"/>
    <w:numStyleLink w:val="ImportedStyle1"/>
  </w:abstractNum>
  <w:abstractNum w:abstractNumId="25" w15:restartNumberingAfterBreak="0">
    <w:nsid w:val="7CFA471B"/>
    <w:multiLevelType w:val="hybridMultilevel"/>
    <w:tmpl w:val="4BB8609E"/>
    <w:lvl w:ilvl="0" w:tplc="54C4610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16521"/>
    <w:multiLevelType w:val="multilevel"/>
    <w:tmpl w:val="D8A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991622">
    <w:abstractNumId w:val="23"/>
  </w:num>
  <w:num w:numId="2" w16cid:durableId="1102335872">
    <w:abstractNumId w:val="24"/>
    <w:lvlOverride w:ilvl="0">
      <w:lvl w:ilvl="0" w:tplc="10EC79A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Override>
  </w:num>
  <w:num w:numId="3" w16cid:durableId="1358700340">
    <w:abstractNumId w:val="19"/>
  </w:num>
  <w:num w:numId="4" w16cid:durableId="232085083">
    <w:abstractNumId w:val="5"/>
  </w:num>
  <w:num w:numId="5" w16cid:durableId="891698183">
    <w:abstractNumId w:val="16"/>
  </w:num>
  <w:num w:numId="6" w16cid:durableId="400174086">
    <w:abstractNumId w:val="20"/>
  </w:num>
  <w:num w:numId="7" w16cid:durableId="1056006694">
    <w:abstractNumId w:val="18"/>
  </w:num>
  <w:num w:numId="8" w16cid:durableId="2016423228">
    <w:abstractNumId w:val="22"/>
  </w:num>
  <w:num w:numId="9" w16cid:durableId="147209817">
    <w:abstractNumId w:val="9"/>
  </w:num>
  <w:num w:numId="10" w16cid:durableId="1122455936">
    <w:abstractNumId w:val="3"/>
  </w:num>
  <w:num w:numId="11" w16cid:durableId="1381244906">
    <w:abstractNumId w:val="10"/>
  </w:num>
  <w:num w:numId="12" w16cid:durableId="1947493346">
    <w:abstractNumId w:val="8"/>
  </w:num>
  <w:num w:numId="13" w16cid:durableId="486286011">
    <w:abstractNumId w:val="11"/>
  </w:num>
  <w:num w:numId="14" w16cid:durableId="1056273985">
    <w:abstractNumId w:val="4"/>
  </w:num>
  <w:num w:numId="15" w16cid:durableId="1626305436">
    <w:abstractNumId w:val="12"/>
  </w:num>
  <w:num w:numId="16" w16cid:durableId="1336228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50345">
    <w:abstractNumId w:val="15"/>
  </w:num>
  <w:num w:numId="18" w16cid:durableId="1827933359">
    <w:abstractNumId w:val="13"/>
  </w:num>
  <w:num w:numId="19" w16cid:durableId="1953631302">
    <w:abstractNumId w:val="17"/>
  </w:num>
  <w:num w:numId="20" w16cid:durableId="195582160">
    <w:abstractNumId w:val="25"/>
  </w:num>
  <w:num w:numId="21" w16cid:durableId="1862009346">
    <w:abstractNumId w:val="26"/>
  </w:num>
  <w:num w:numId="22" w16cid:durableId="1818258734">
    <w:abstractNumId w:val="14"/>
  </w:num>
  <w:num w:numId="23" w16cid:durableId="2020234132">
    <w:abstractNumId w:val="1"/>
  </w:num>
  <w:num w:numId="24" w16cid:durableId="1643655613">
    <w:abstractNumId w:val="21"/>
  </w:num>
  <w:num w:numId="25" w16cid:durableId="852256731">
    <w:abstractNumId w:val="2"/>
  </w:num>
  <w:num w:numId="26" w16cid:durableId="1481119808">
    <w:abstractNumId w:val="7"/>
  </w:num>
  <w:num w:numId="27" w16cid:durableId="248462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0pf50avsqaa99ye5twvpvdabtsespt0ddarp&quot;&gt;Flis EndNote Library-28.3.23&lt;record-ids&gt;&lt;item&gt;75&lt;/item&gt;&lt;item&gt;288&lt;/item&gt;&lt;item&gt;462&lt;/item&gt;&lt;item&gt;1225&lt;/item&gt;&lt;item&gt;1227&lt;/item&gt;&lt;item&gt;1480&lt;/item&gt;&lt;item&gt;1726&lt;/item&gt;&lt;item&gt;1871&lt;/item&gt;&lt;item&gt;2033&lt;/item&gt;&lt;item&gt;2221&lt;/item&gt;&lt;item&gt;2306&lt;/item&gt;&lt;item&gt;2679&lt;/item&gt;&lt;item&gt;3003&lt;/item&gt;&lt;item&gt;4208&lt;/item&gt;&lt;item&gt;4283&lt;/item&gt;&lt;item&gt;4932&lt;/item&gt;&lt;item&gt;6564&lt;/item&gt;&lt;item&gt;6565&lt;/item&gt;&lt;item&gt;6571&lt;/item&gt;&lt;item&gt;6573&lt;/item&gt;&lt;item&gt;6581&lt;/item&gt;&lt;item&gt;6582&lt;/item&gt;&lt;item&gt;6583&lt;/item&gt;&lt;item&gt;6602&lt;/item&gt;&lt;item&gt;6633&lt;/item&gt;&lt;item&gt;6634&lt;/item&gt;&lt;item&gt;6706&lt;/item&gt;&lt;item&gt;7305&lt;/item&gt;&lt;item&gt;7468&lt;/item&gt;&lt;item&gt;7585&lt;/item&gt;&lt;item&gt;7586&lt;/item&gt;&lt;item&gt;7618&lt;/item&gt;&lt;item&gt;7674&lt;/item&gt;&lt;item&gt;7681&lt;/item&gt;&lt;item&gt;7689&lt;/item&gt;&lt;item&gt;7690&lt;/item&gt;&lt;item&gt;7909&lt;/item&gt;&lt;item&gt;7934&lt;/item&gt;&lt;item&gt;7935&lt;/item&gt;&lt;item&gt;7941&lt;/item&gt;&lt;item&gt;8107&lt;/item&gt;&lt;item&gt;8110&lt;/item&gt;&lt;item&gt;8111&lt;/item&gt;&lt;item&gt;8113&lt;/item&gt;&lt;item&gt;8116&lt;/item&gt;&lt;item&gt;8120&lt;/item&gt;&lt;item&gt;8124&lt;/item&gt;&lt;item&gt;8126&lt;/item&gt;&lt;item&gt;8127&lt;/item&gt;&lt;item&gt;8130&lt;/item&gt;&lt;item&gt;8131&lt;/item&gt;&lt;item&gt;8132&lt;/item&gt;&lt;item&gt;8133&lt;/item&gt;&lt;item&gt;8134&lt;/item&gt;&lt;item&gt;8135&lt;/item&gt;&lt;item&gt;8139&lt;/item&gt;&lt;item&gt;8140&lt;/item&gt;&lt;item&gt;8141&lt;/item&gt;&lt;item&gt;8216&lt;/item&gt;&lt;item&gt;8217&lt;/item&gt;&lt;item&gt;8224&lt;/item&gt;&lt;item&gt;8226&lt;/item&gt;&lt;item&gt;8230&lt;/item&gt;&lt;item&gt;8231&lt;/item&gt;&lt;item&gt;8232&lt;/item&gt;&lt;item&gt;8233&lt;/item&gt;&lt;item&gt;8235&lt;/item&gt;&lt;item&gt;8236&lt;/item&gt;&lt;item&gt;8239&lt;/item&gt;&lt;item&gt;8240&lt;/item&gt;&lt;item&gt;8241&lt;/item&gt;&lt;item&gt;8242&lt;/item&gt;&lt;item&gt;8244&lt;/item&gt;&lt;item&gt;8298&lt;/item&gt;&lt;item&gt;8368&lt;/item&gt;&lt;item&gt;8369&lt;/item&gt;&lt;item&gt;8370&lt;/item&gt;&lt;item&gt;8371&lt;/item&gt;&lt;item&gt;8372&lt;/item&gt;&lt;item&gt;8373&lt;/item&gt;&lt;item&gt;8374&lt;/item&gt;&lt;item&gt;8375&lt;/item&gt;&lt;item&gt;8376&lt;/item&gt;&lt;/record-ids&gt;&lt;/item&gt;&lt;/Libraries&gt;"/>
  </w:docVars>
  <w:rsids>
    <w:rsidRoot w:val="00052CAD"/>
    <w:rsid w:val="00001C43"/>
    <w:rsid w:val="00002111"/>
    <w:rsid w:val="000050AA"/>
    <w:rsid w:val="000054DE"/>
    <w:rsid w:val="00005504"/>
    <w:rsid w:val="000066FE"/>
    <w:rsid w:val="00007CC9"/>
    <w:rsid w:val="00010772"/>
    <w:rsid w:val="00012B7B"/>
    <w:rsid w:val="00013A23"/>
    <w:rsid w:val="0001471B"/>
    <w:rsid w:val="00015E5F"/>
    <w:rsid w:val="00016479"/>
    <w:rsid w:val="0001659E"/>
    <w:rsid w:val="0001772E"/>
    <w:rsid w:val="00022690"/>
    <w:rsid w:val="00022AA4"/>
    <w:rsid w:val="00022EEC"/>
    <w:rsid w:val="000246DD"/>
    <w:rsid w:val="00024F6F"/>
    <w:rsid w:val="00027156"/>
    <w:rsid w:val="00027361"/>
    <w:rsid w:val="00027968"/>
    <w:rsid w:val="00027FBB"/>
    <w:rsid w:val="000302B2"/>
    <w:rsid w:val="000305EC"/>
    <w:rsid w:val="0003118D"/>
    <w:rsid w:val="00032AA6"/>
    <w:rsid w:val="000335FF"/>
    <w:rsid w:val="00034065"/>
    <w:rsid w:val="000340BD"/>
    <w:rsid w:val="0003455B"/>
    <w:rsid w:val="00034592"/>
    <w:rsid w:val="0003588D"/>
    <w:rsid w:val="0003605A"/>
    <w:rsid w:val="0004083A"/>
    <w:rsid w:val="00041557"/>
    <w:rsid w:val="00041868"/>
    <w:rsid w:val="00041B06"/>
    <w:rsid w:val="00043DCE"/>
    <w:rsid w:val="0004402B"/>
    <w:rsid w:val="000440DD"/>
    <w:rsid w:val="000443D2"/>
    <w:rsid w:val="00044A44"/>
    <w:rsid w:val="000454CF"/>
    <w:rsid w:val="00046B4E"/>
    <w:rsid w:val="0004761E"/>
    <w:rsid w:val="00050448"/>
    <w:rsid w:val="000504CA"/>
    <w:rsid w:val="000522A9"/>
    <w:rsid w:val="00052AFD"/>
    <w:rsid w:val="00052CAD"/>
    <w:rsid w:val="00053516"/>
    <w:rsid w:val="000546D2"/>
    <w:rsid w:val="00055810"/>
    <w:rsid w:val="00056B60"/>
    <w:rsid w:val="00060216"/>
    <w:rsid w:val="00061B90"/>
    <w:rsid w:val="00062162"/>
    <w:rsid w:val="000621DB"/>
    <w:rsid w:val="000624C8"/>
    <w:rsid w:val="00062CCE"/>
    <w:rsid w:val="000630EA"/>
    <w:rsid w:val="00063DE0"/>
    <w:rsid w:val="000640C3"/>
    <w:rsid w:val="00064ACC"/>
    <w:rsid w:val="00066382"/>
    <w:rsid w:val="00067C1B"/>
    <w:rsid w:val="00071013"/>
    <w:rsid w:val="00071338"/>
    <w:rsid w:val="00071BB3"/>
    <w:rsid w:val="00074AE3"/>
    <w:rsid w:val="00074CA9"/>
    <w:rsid w:val="00075111"/>
    <w:rsid w:val="000763BF"/>
    <w:rsid w:val="00076E77"/>
    <w:rsid w:val="000770D6"/>
    <w:rsid w:val="00080863"/>
    <w:rsid w:val="00080CD0"/>
    <w:rsid w:val="00081180"/>
    <w:rsid w:val="000818D6"/>
    <w:rsid w:val="000831F4"/>
    <w:rsid w:val="00083672"/>
    <w:rsid w:val="000837BF"/>
    <w:rsid w:val="0008413E"/>
    <w:rsid w:val="000841A6"/>
    <w:rsid w:val="000841B7"/>
    <w:rsid w:val="00084965"/>
    <w:rsid w:val="00085B28"/>
    <w:rsid w:val="00086916"/>
    <w:rsid w:val="00090F55"/>
    <w:rsid w:val="00091019"/>
    <w:rsid w:val="0009171A"/>
    <w:rsid w:val="00093772"/>
    <w:rsid w:val="00093ABE"/>
    <w:rsid w:val="000943AD"/>
    <w:rsid w:val="0009448A"/>
    <w:rsid w:val="00094FCA"/>
    <w:rsid w:val="000952E0"/>
    <w:rsid w:val="00095883"/>
    <w:rsid w:val="00096EB6"/>
    <w:rsid w:val="000A15A7"/>
    <w:rsid w:val="000A19C5"/>
    <w:rsid w:val="000A2D47"/>
    <w:rsid w:val="000A350F"/>
    <w:rsid w:val="000A3B9D"/>
    <w:rsid w:val="000A4DC0"/>
    <w:rsid w:val="000A570C"/>
    <w:rsid w:val="000A5A48"/>
    <w:rsid w:val="000A73C3"/>
    <w:rsid w:val="000B1213"/>
    <w:rsid w:val="000B175B"/>
    <w:rsid w:val="000B1893"/>
    <w:rsid w:val="000B24C1"/>
    <w:rsid w:val="000B2A1F"/>
    <w:rsid w:val="000B35DF"/>
    <w:rsid w:val="000C0E78"/>
    <w:rsid w:val="000C214E"/>
    <w:rsid w:val="000C2AF8"/>
    <w:rsid w:val="000C3750"/>
    <w:rsid w:val="000C3A2B"/>
    <w:rsid w:val="000C4288"/>
    <w:rsid w:val="000C517F"/>
    <w:rsid w:val="000C5299"/>
    <w:rsid w:val="000C547B"/>
    <w:rsid w:val="000C56BA"/>
    <w:rsid w:val="000C62A9"/>
    <w:rsid w:val="000C6928"/>
    <w:rsid w:val="000C6A29"/>
    <w:rsid w:val="000C7DD9"/>
    <w:rsid w:val="000D0C0E"/>
    <w:rsid w:val="000D0FB8"/>
    <w:rsid w:val="000D139B"/>
    <w:rsid w:val="000D17CE"/>
    <w:rsid w:val="000D2EF0"/>
    <w:rsid w:val="000D2FDB"/>
    <w:rsid w:val="000D3379"/>
    <w:rsid w:val="000D4EF0"/>
    <w:rsid w:val="000D5CCA"/>
    <w:rsid w:val="000D5CE3"/>
    <w:rsid w:val="000D6126"/>
    <w:rsid w:val="000D6AD4"/>
    <w:rsid w:val="000D6CA2"/>
    <w:rsid w:val="000D7CAC"/>
    <w:rsid w:val="000D7E08"/>
    <w:rsid w:val="000E2270"/>
    <w:rsid w:val="000E43ED"/>
    <w:rsid w:val="000E4421"/>
    <w:rsid w:val="000E474D"/>
    <w:rsid w:val="000E5223"/>
    <w:rsid w:val="000E6866"/>
    <w:rsid w:val="000E6F27"/>
    <w:rsid w:val="000E71E8"/>
    <w:rsid w:val="000F1698"/>
    <w:rsid w:val="000F1D54"/>
    <w:rsid w:val="000F31C1"/>
    <w:rsid w:val="000F333D"/>
    <w:rsid w:val="000F5B23"/>
    <w:rsid w:val="000F605C"/>
    <w:rsid w:val="00100005"/>
    <w:rsid w:val="001006A0"/>
    <w:rsid w:val="00102204"/>
    <w:rsid w:val="0010229B"/>
    <w:rsid w:val="00102B24"/>
    <w:rsid w:val="0010301F"/>
    <w:rsid w:val="00104844"/>
    <w:rsid w:val="00106500"/>
    <w:rsid w:val="00106AC9"/>
    <w:rsid w:val="0011051E"/>
    <w:rsid w:val="001126D4"/>
    <w:rsid w:val="001127B2"/>
    <w:rsid w:val="00112845"/>
    <w:rsid w:val="00112FDF"/>
    <w:rsid w:val="00114E29"/>
    <w:rsid w:val="00114EDC"/>
    <w:rsid w:val="001154C5"/>
    <w:rsid w:val="00115F34"/>
    <w:rsid w:val="00116FBD"/>
    <w:rsid w:val="001176AC"/>
    <w:rsid w:val="00117BB5"/>
    <w:rsid w:val="00120125"/>
    <w:rsid w:val="00120F6C"/>
    <w:rsid w:val="00121483"/>
    <w:rsid w:val="00121498"/>
    <w:rsid w:val="0012187B"/>
    <w:rsid w:val="00121AEC"/>
    <w:rsid w:val="001233B8"/>
    <w:rsid w:val="0012402D"/>
    <w:rsid w:val="00124488"/>
    <w:rsid w:val="00124809"/>
    <w:rsid w:val="00125575"/>
    <w:rsid w:val="001257EC"/>
    <w:rsid w:val="00126B79"/>
    <w:rsid w:val="001278DE"/>
    <w:rsid w:val="00130C12"/>
    <w:rsid w:val="00131ABA"/>
    <w:rsid w:val="00132041"/>
    <w:rsid w:val="00132593"/>
    <w:rsid w:val="00132ADC"/>
    <w:rsid w:val="00132F94"/>
    <w:rsid w:val="0013404F"/>
    <w:rsid w:val="001348BA"/>
    <w:rsid w:val="001353A1"/>
    <w:rsid w:val="00135670"/>
    <w:rsid w:val="001362DF"/>
    <w:rsid w:val="001365C8"/>
    <w:rsid w:val="00141194"/>
    <w:rsid w:val="00141369"/>
    <w:rsid w:val="00141D4B"/>
    <w:rsid w:val="00142B2B"/>
    <w:rsid w:val="00143200"/>
    <w:rsid w:val="0014338B"/>
    <w:rsid w:val="00143835"/>
    <w:rsid w:val="00145F40"/>
    <w:rsid w:val="00146950"/>
    <w:rsid w:val="0014776A"/>
    <w:rsid w:val="00147779"/>
    <w:rsid w:val="00152184"/>
    <w:rsid w:val="00152702"/>
    <w:rsid w:val="00152A99"/>
    <w:rsid w:val="0015439C"/>
    <w:rsid w:val="00154870"/>
    <w:rsid w:val="00154BD5"/>
    <w:rsid w:val="0015541A"/>
    <w:rsid w:val="001555B0"/>
    <w:rsid w:val="00160601"/>
    <w:rsid w:val="00160C3F"/>
    <w:rsid w:val="00163618"/>
    <w:rsid w:val="00164FB4"/>
    <w:rsid w:val="001700BD"/>
    <w:rsid w:val="001706F9"/>
    <w:rsid w:val="00170899"/>
    <w:rsid w:val="001713F9"/>
    <w:rsid w:val="001716EA"/>
    <w:rsid w:val="00172946"/>
    <w:rsid w:val="001737A3"/>
    <w:rsid w:val="0017456E"/>
    <w:rsid w:val="00174BC0"/>
    <w:rsid w:val="00174DD7"/>
    <w:rsid w:val="00176DC7"/>
    <w:rsid w:val="00182231"/>
    <w:rsid w:val="00182C75"/>
    <w:rsid w:val="00183AB5"/>
    <w:rsid w:val="00183FA4"/>
    <w:rsid w:val="00184B07"/>
    <w:rsid w:val="0018577C"/>
    <w:rsid w:val="0018686B"/>
    <w:rsid w:val="00186B8F"/>
    <w:rsid w:val="0018736B"/>
    <w:rsid w:val="00187555"/>
    <w:rsid w:val="001877CC"/>
    <w:rsid w:val="001915C0"/>
    <w:rsid w:val="00191DBF"/>
    <w:rsid w:val="001920E1"/>
    <w:rsid w:val="001941D4"/>
    <w:rsid w:val="0019473F"/>
    <w:rsid w:val="001975B9"/>
    <w:rsid w:val="0019761B"/>
    <w:rsid w:val="001A0B30"/>
    <w:rsid w:val="001A2DCC"/>
    <w:rsid w:val="001A46C1"/>
    <w:rsid w:val="001A5310"/>
    <w:rsid w:val="001A6088"/>
    <w:rsid w:val="001B0162"/>
    <w:rsid w:val="001B0CC8"/>
    <w:rsid w:val="001B17D0"/>
    <w:rsid w:val="001B1808"/>
    <w:rsid w:val="001B334A"/>
    <w:rsid w:val="001B36CB"/>
    <w:rsid w:val="001B4945"/>
    <w:rsid w:val="001B5F58"/>
    <w:rsid w:val="001B65A9"/>
    <w:rsid w:val="001B73F0"/>
    <w:rsid w:val="001B7D83"/>
    <w:rsid w:val="001B7FF2"/>
    <w:rsid w:val="001C0C23"/>
    <w:rsid w:val="001C18C1"/>
    <w:rsid w:val="001C2AF5"/>
    <w:rsid w:val="001C3942"/>
    <w:rsid w:val="001C3BAD"/>
    <w:rsid w:val="001C3EC7"/>
    <w:rsid w:val="001C675D"/>
    <w:rsid w:val="001D0300"/>
    <w:rsid w:val="001D0E66"/>
    <w:rsid w:val="001D0EE8"/>
    <w:rsid w:val="001D36C3"/>
    <w:rsid w:val="001D4C56"/>
    <w:rsid w:val="001D5350"/>
    <w:rsid w:val="001D564F"/>
    <w:rsid w:val="001D5B99"/>
    <w:rsid w:val="001D67D7"/>
    <w:rsid w:val="001D75C8"/>
    <w:rsid w:val="001E05EE"/>
    <w:rsid w:val="001E34B4"/>
    <w:rsid w:val="001E3CD5"/>
    <w:rsid w:val="001E3D7A"/>
    <w:rsid w:val="001E46F4"/>
    <w:rsid w:val="001E5CB6"/>
    <w:rsid w:val="001E5F43"/>
    <w:rsid w:val="001E5FA3"/>
    <w:rsid w:val="001E7A10"/>
    <w:rsid w:val="001E7DB5"/>
    <w:rsid w:val="001F1CCC"/>
    <w:rsid w:val="001F2CEB"/>
    <w:rsid w:val="001F3585"/>
    <w:rsid w:val="001F4298"/>
    <w:rsid w:val="001F4DDB"/>
    <w:rsid w:val="001F52CB"/>
    <w:rsid w:val="001F60D8"/>
    <w:rsid w:val="001F616A"/>
    <w:rsid w:val="001F61FA"/>
    <w:rsid w:val="001F67A9"/>
    <w:rsid w:val="001F6E0F"/>
    <w:rsid w:val="001F7A07"/>
    <w:rsid w:val="0020020B"/>
    <w:rsid w:val="0020020F"/>
    <w:rsid w:val="002007C0"/>
    <w:rsid w:val="00200FFD"/>
    <w:rsid w:val="002018CD"/>
    <w:rsid w:val="00203685"/>
    <w:rsid w:val="0020423C"/>
    <w:rsid w:val="00205775"/>
    <w:rsid w:val="00205E70"/>
    <w:rsid w:val="002061D9"/>
    <w:rsid w:val="00210083"/>
    <w:rsid w:val="002102FD"/>
    <w:rsid w:val="002117A9"/>
    <w:rsid w:val="00212285"/>
    <w:rsid w:val="0021271C"/>
    <w:rsid w:val="00212E02"/>
    <w:rsid w:val="002130EE"/>
    <w:rsid w:val="00213855"/>
    <w:rsid w:val="0021406D"/>
    <w:rsid w:val="00214523"/>
    <w:rsid w:val="002151D0"/>
    <w:rsid w:val="002162E9"/>
    <w:rsid w:val="00216798"/>
    <w:rsid w:val="00217FB8"/>
    <w:rsid w:val="00222F48"/>
    <w:rsid w:val="00224581"/>
    <w:rsid w:val="0022470B"/>
    <w:rsid w:val="00224C73"/>
    <w:rsid w:val="00227D2A"/>
    <w:rsid w:val="0023096B"/>
    <w:rsid w:val="00231144"/>
    <w:rsid w:val="00234596"/>
    <w:rsid w:val="002346FF"/>
    <w:rsid w:val="0023609C"/>
    <w:rsid w:val="00237385"/>
    <w:rsid w:val="00240039"/>
    <w:rsid w:val="00240423"/>
    <w:rsid w:val="00242FC8"/>
    <w:rsid w:val="0024373C"/>
    <w:rsid w:val="0024432A"/>
    <w:rsid w:val="00244443"/>
    <w:rsid w:val="00244C0B"/>
    <w:rsid w:val="00245F7B"/>
    <w:rsid w:val="002518FC"/>
    <w:rsid w:val="00251EF9"/>
    <w:rsid w:val="00252628"/>
    <w:rsid w:val="002538AE"/>
    <w:rsid w:val="00255552"/>
    <w:rsid w:val="00255EC4"/>
    <w:rsid w:val="002564FB"/>
    <w:rsid w:val="00257643"/>
    <w:rsid w:val="00257BEE"/>
    <w:rsid w:val="00260C01"/>
    <w:rsid w:val="00261113"/>
    <w:rsid w:val="00261CAB"/>
    <w:rsid w:val="00262048"/>
    <w:rsid w:val="002632C2"/>
    <w:rsid w:val="00263642"/>
    <w:rsid w:val="00264E9C"/>
    <w:rsid w:val="00264FF2"/>
    <w:rsid w:val="00265919"/>
    <w:rsid w:val="002667E6"/>
    <w:rsid w:val="00270EF5"/>
    <w:rsid w:val="00270F42"/>
    <w:rsid w:val="00271C7E"/>
    <w:rsid w:val="00273010"/>
    <w:rsid w:val="0027555F"/>
    <w:rsid w:val="00275F6E"/>
    <w:rsid w:val="002776D4"/>
    <w:rsid w:val="0027793E"/>
    <w:rsid w:val="00277F11"/>
    <w:rsid w:val="0028045B"/>
    <w:rsid w:val="00281A23"/>
    <w:rsid w:val="00284975"/>
    <w:rsid w:val="00285049"/>
    <w:rsid w:val="002853A2"/>
    <w:rsid w:val="00286410"/>
    <w:rsid w:val="00286C66"/>
    <w:rsid w:val="00286F5B"/>
    <w:rsid w:val="002872EE"/>
    <w:rsid w:val="00287728"/>
    <w:rsid w:val="00287E57"/>
    <w:rsid w:val="0029035D"/>
    <w:rsid w:val="00290829"/>
    <w:rsid w:val="00293B05"/>
    <w:rsid w:val="0029492A"/>
    <w:rsid w:val="00294ADA"/>
    <w:rsid w:val="00294EBF"/>
    <w:rsid w:val="00295DE1"/>
    <w:rsid w:val="0029644F"/>
    <w:rsid w:val="00296BF7"/>
    <w:rsid w:val="002A37C6"/>
    <w:rsid w:val="002A4CBF"/>
    <w:rsid w:val="002B0E5C"/>
    <w:rsid w:val="002B1D30"/>
    <w:rsid w:val="002B2052"/>
    <w:rsid w:val="002B283E"/>
    <w:rsid w:val="002B2B12"/>
    <w:rsid w:val="002B46CF"/>
    <w:rsid w:val="002B5BEF"/>
    <w:rsid w:val="002B6184"/>
    <w:rsid w:val="002B6DC5"/>
    <w:rsid w:val="002B6F48"/>
    <w:rsid w:val="002C0499"/>
    <w:rsid w:val="002C15F9"/>
    <w:rsid w:val="002C3063"/>
    <w:rsid w:val="002C42FA"/>
    <w:rsid w:val="002C624A"/>
    <w:rsid w:val="002C7389"/>
    <w:rsid w:val="002D039E"/>
    <w:rsid w:val="002D056C"/>
    <w:rsid w:val="002D08E0"/>
    <w:rsid w:val="002D1206"/>
    <w:rsid w:val="002D14BD"/>
    <w:rsid w:val="002D1AD1"/>
    <w:rsid w:val="002D2821"/>
    <w:rsid w:val="002D3D1D"/>
    <w:rsid w:val="002D56E7"/>
    <w:rsid w:val="002D60D6"/>
    <w:rsid w:val="002D7280"/>
    <w:rsid w:val="002E05BB"/>
    <w:rsid w:val="002E0903"/>
    <w:rsid w:val="002E2104"/>
    <w:rsid w:val="002E30F5"/>
    <w:rsid w:val="002E66CF"/>
    <w:rsid w:val="002E7410"/>
    <w:rsid w:val="002E745F"/>
    <w:rsid w:val="002F1039"/>
    <w:rsid w:val="002F2DDA"/>
    <w:rsid w:val="002F3C1C"/>
    <w:rsid w:val="002F402E"/>
    <w:rsid w:val="002F43E2"/>
    <w:rsid w:val="002F4C47"/>
    <w:rsid w:val="002F5471"/>
    <w:rsid w:val="002F5A5F"/>
    <w:rsid w:val="002F5CD2"/>
    <w:rsid w:val="002F681B"/>
    <w:rsid w:val="00301DC3"/>
    <w:rsid w:val="00303DA2"/>
    <w:rsid w:val="00304BB4"/>
    <w:rsid w:val="00304F35"/>
    <w:rsid w:val="00307A2C"/>
    <w:rsid w:val="003109E8"/>
    <w:rsid w:val="00311378"/>
    <w:rsid w:val="003136B6"/>
    <w:rsid w:val="00315B8C"/>
    <w:rsid w:val="00315ECE"/>
    <w:rsid w:val="003161DE"/>
    <w:rsid w:val="00317DA2"/>
    <w:rsid w:val="00317E5C"/>
    <w:rsid w:val="00320ACD"/>
    <w:rsid w:val="0032176F"/>
    <w:rsid w:val="003238E4"/>
    <w:rsid w:val="00323B04"/>
    <w:rsid w:val="00325024"/>
    <w:rsid w:val="00325720"/>
    <w:rsid w:val="003260BB"/>
    <w:rsid w:val="00326380"/>
    <w:rsid w:val="003279FC"/>
    <w:rsid w:val="003306DB"/>
    <w:rsid w:val="003334F0"/>
    <w:rsid w:val="00333861"/>
    <w:rsid w:val="0033561A"/>
    <w:rsid w:val="003361C3"/>
    <w:rsid w:val="003365FC"/>
    <w:rsid w:val="00336759"/>
    <w:rsid w:val="00340626"/>
    <w:rsid w:val="0034190B"/>
    <w:rsid w:val="00341CFC"/>
    <w:rsid w:val="0034363B"/>
    <w:rsid w:val="003439F7"/>
    <w:rsid w:val="00344859"/>
    <w:rsid w:val="00345395"/>
    <w:rsid w:val="003457D6"/>
    <w:rsid w:val="00345AC5"/>
    <w:rsid w:val="00347AB3"/>
    <w:rsid w:val="003502D9"/>
    <w:rsid w:val="00350AF1"/>
    <w:rsid w:val="0035188C"/>
    <w:rsid w:val="003523B7"/>
    <w:rsid w:val="00353C6A"/>
    <w:rsid w:val="0035430A"/>
    <w:rsid w:val="00355A46"/>
    <w:rsid w:val="003564B8"/>
    <w:rsid w:val="00361276"/>
    <w:rsid w:val="00361BF3"/>
    <w:rsid w:val="00361F4E"/>
    <w:rsid w:val="00363711"/>
    <w:rsid w:val="00365C2F"/>
    <w:rsid w:val="00370F33"/>
    <w:rsid w:val="00370FCB"/>
    <w:rsid w:val="00371358"/>
    <w:rsid w:val="00372498"/>
    <w:rsid w:val="00373C1A"/>
    <w:rsid w:val="00373C52"/>
    <w:rsid w:val="0037676F"/>
    <w:rsid w:val="003769CD"/>
    <w:rsid w:val="00377BD0"/>
    <w:rsid w:val="00377D6C"/>
    <w:rsid w:val="0038055A"/>
    <w:rsid w:val="0038136C"/>
    <w:rsid w:val="00381C00"/>
    <w:rsid w:val="00382189"/>
    <w:rsid w:val="003821D4"/>
    <w:rsid w:val="00382D9B"/>
    <w:rsid w:val="00384350"/>
    <w:rsid w:val="00386963"/>
    <w:rsid w:val="00387CE1"/>
    <w:rsid w:val="00387E25"/>
    <w:rsid w:val="00387EB4"/>
    <w:rsid w:val="0039009C"/>
    <w:rsid w:val="00391F67"/>
    <w:rsid w:val="0039291D"/>
    <w:rsid w:val="00392FCE"/>
    <w:rsid w:val="003938E6"/>
    <w:rsid w:val="00393EAF"/>
    <w:rsid w:val="00394BCA"/>
    <w:rsid w:val="00397A90"/>
    <w:rsid w:val="003A0089"/>
    <w:rsid w:val="003A0F2B"/>
    <w:rsid w:val="003A1307"/>
    <w:rsid w:val="003A2611"/>
    <w:rsid w:val="003A4A20"/>
    <w:rsid w:val="003A5E88"/>
    <w:rsid w:val="003A6C60"/>
    <w:rsid w:val="003A789F"/>
    <w:rsid w:val="003B195D"/>
    <w:rsid w:val="003B1E80"/>
    <w:rsid w:val="003B22DD"/>
    <w:rsid w:val="003B23C3"/>
    <w:rsid w:val="003B2690"/>
    <w:rsid w:val="003B278F"/>
    <w:rsid w:val="003B30E6"/>
    <w:rsid w:val="003B62F0"/>
    <w:rsid w:val="003B6BBF"/>
    <w:rsid w:val="003B6C64"/>
    <w:rsid w:val="003B71A7"/>
    <w:rsid w:val="003B7200"/>
    <w:rsid w:val="003B7D22"/>
    <w:rsid w:val="003B7FCD"/>
    <w:rsid w:val="003C067F"/>
    <w:rsid w:val="003C10F2"/>
    <w:rsid w:val="003C2F49"/>
    <w:rsid w:val="003C47E1"/>
    <w:rsid w:val="003C58B9"/>
    <w:rsid w:val="003C5F57"/>
    <w:rsid w:val="003C6F4A"/>
    <w:rsid w:val="003C6FEF"/>
    <w:rsid w:val="003C7911"/>
    <w:rsid w:val="003C7C52"/>
    <w:rsid w:val="003C7DD9"/>
    <w:rsid w:val="003D212B"/>
    <w:rsid w:val="003D3D6D"/>
    <w:rsid w:val="003D537C"/>
    <w:rsid w:val="003D5CB7"/>
    <w:rsid w:val="003D60E3"/>
    <w:rsid w:val="003E359D"/>
    <w:rsid w:val="003E4055"/>
    <w:rsid w:val="003E426D"/>
    <w:rsid w:val="003E43F4"/>
    <w:rsid w:val="003E5A1B"/>
    <w:rsid w:val="003E66EC"/>
    <w:rsid w:val="003E6F48"/>
    <w:rsid w:val="003E7D43"/>
    <w:rsid w:val="003E7FFA"/>
    <w:rsid w:val="003F05FE"/>
    <w:rsid w:val="003F06AC"/>
    <w:rsid w:val="003F0966"/>
    <w:rsid w:val="003F1C8E"/>
    <w:rsid w:val="003F253F"/>
    <w:rsid w:val="003F5FEC"/>
    <w:rsid w:val="003F6529"/>
    <w:rsid w:val="003F66E2"/>
    <w:rsid w:val="003F787B"/>
    <w:rsid w:val="003F7946"/>
    <w:rsid w:val="0040160F"/>
    <w:rsid w:val="00401D9D"/>
    <w:rsid w:val="0040312A"/>
    <w:rsid w:val="0040332F"/>
    <w:rsid w:val="0040362F"/>
    <w:rsid w:val="00403DC5"/>
    <w:rsid w:val="00406799"/>
    <w:rsid w:val="00406808"/>
    <w:rsid w:val="00412649"/>
    <w:rsid w:val="00413529"/>
    <w:rsid w:val="00413FC1"/>
    <w:rsid w:val="004141A6"/>
    <w:rsid w:val="004141DF"/>
    <w:rsid w:val="004142BE"/>
    <w:rsid w:val="00414F95"/>
    <w:rsid w:val="00415F8F"/>
    <w:rsid w:val="004163AE"/>
    <w:rsid w:val="00416C82"/>
    <w:rsid w:val="00421020"/>
    <w:rsid w:val="00421944"/>
    <w:rsid w:val="00422B2B"/>
    <w:rsid w:val="00422E94"/>
    <w:rsid w:val="00423271"/>
    <w:rsid w:val="004232FA"/>
    <w:rsid w:val="00426690"/>
    <w:rsid w:val="00426C3B"/>
    <w:rsid w:val="00427A6A"/>
    <w:rsid w:val="0043246A"/>
    <w:rsid w:val="00432574"/>
    <w:rsid w:val="0043323C"/>
    <w:rsid w:val="00433C0C"/>
    <w:rsid w:val="004347E1"/>
    <w:rsid w:val="00434F97"/>
    <w:rsid w:val="0043550D"/>
    <w:rsid w:val="0043613B"/>
    <w:rsid w:val="00436B95"/>
    <w:rsid w:val="004371E8"/>
    <w:rsid w:val="00440068"/>
    <w:rsid w:val="00440421"/>
    <w:rsid w:val="004417C2"/>
    <w:rsid w:val="00442F55"/>
    <w:rsid w:val="004435B9"/>
    <w:rsid w:val="00443CCE"/>
    <w:rsid w:val="00444C18"/>
    <w:rsid w:val="00445FF5"/>
    <w:rsid w:val="00446851"/>
    <w:rsid w:val="00447223"/>
    <w:rsid w:val="00450B2B"/>
    <w:rsid w:val="0045210D"/>
    <w:rsid w:val="00452764"/>
    <w:rsid w:val="0045305A"/>
    <w:rsid w:val="0045331A"/>
    <w:rsid w:val="00453EC4"/>
    <w:rsid w:val="00453EF1"/>
    <w:rsid w:val="00453F46"/>
    <w:rsid w:val="0045407F"/>
    <w:rsid w:val="00454881"/>
    <w:rsid w:val="00455538"/>
    <w:rsid w:val="00456D7D"/>
    <w:rsid w:val="0046022A"/>
    <w:rsid w:val="004615D0"/>
    <w:rsid w:val="004620D4"/>
    <w:rsid w:val="00462559"/>
    <w:rsid w:val="00462748"/>
    <w:rsid w:val="00462B7B"/>
    <w:rsid w:val="00463F95"/>
    <w:rsid w:val="0046484A"/>
    <w:rsid w:val="00465288"/>
    <w:rsid w:val="00465685"/>
    <w:rsid w:val="00466136"/>
    <w:rsid w:val="004661A6"/>
    <w:rsid w:val="004663A1"/>
    <w:rsid w:val="00466CE6"/>
    <w:rsid w:val="00466F44"/>
    <w:rsid w:val="0046705F"/>
    <w:rsid w:val="0046764F"/>
    <w:rsid w:val="00467C2C"/>
    <w:rsid w:val="00470638"/>
    <w:rsid w:val="004719AA"/>
    <w:rsid w:val="00471CF3"/>
    <w:rsid w:val="0047278A"/>
    <w:rsid w:val="004727C2"/>
    <w:rsid w:val="00473000"/>
    <w:rsid w:val="00473263"/>
    <w:rsid w:val="00473CDB"/>
    <w:rsid w:val="00474C31"/>
    <w:rsid w:val="00475B86"/>
    <w:rsid w:val="00476193"/>
    <w:rsid w:val="004766CD"/>
    <w:rsid w:val="00480EFF"/>
    <w:rsid w:val="00481DF4"/>
    <w:rsid w:val="0048251F"/>
    <w:rsid w:val="00482AAA"/>
    <w:rsid w:val="0048362D"/>
    <w:rsid w:val="00483854"/>
    <w:rsid w:val="00485BD3"/>
    <w:rsid w:val="00485EEE"/>
    <w:rsid w:val="00486329"/>
    <w:rsid w:val="004864D9"/>
    <w:rsid w:val="0048672F"/>
    <w:rsid w:val="00486796"/>
    <w:rsid w:val="004875CE"/>
    <w:rsid w:val="00490001"/>
    <w:rsid w:val="00491182"/>
    <w:rsid w:val="00491D35"/>
    <w:rsid w:val="0049225E"/>
    <w:rsid w:val="004922CA"/>
    <w:rsid w:val="00494128"/>
    <w:rsid w:val="00494673"/>
    <w:rsid w:val="004948D4"/>
    <w:rsid w:val="004949E4"/>
    <w:rsid w:val="00495395"/>
    <w:rsid w:val="00495F45"/>
    <w:rsid w:val="004A1788"/>
    <w:rsid w:val="004A1C4D"/>
    <w:rsid w:val="004A22CD"/>
    <w:rsid w:val="004A3E0B"/>
    <w:rsid w:val="004A4E84"/>
    <w:rsid w:val="004A50F2"/>
    <w:rsid w:val="004A6DE3"/>
    <w:rsid w:val="004A706E"/>
    <w:rsid w:val="004A7D09"/>
    <w:rsid w:val="004B063A"/>
    <w:rsid w:val="004B0BD8"/>
    <w:rsid w:val="004B0EFE"/>
    <w:rsid w:val="004B2E74"/>
    <w:rsid w:val="004B5123"/>
    <w:rsid w:val="004B5560"/>
    <w:rsid w:val="004B5987"/>
    <w:rsid w:val="004B69FB"/>
    <w:rsid w:val="004B6E68"/>
    <w:rsid w:val="004B6F3F"/>
    <w:rsid w:val="004B70D9"/>
    <w:rsid w:val="004B7D6B"/>
    <w:rsid w:val="004B7E62"/>
    <w:rsid w:val="004C0549"/>
    <w:rsid w:val="004C1CCD"/>
    <w:rsid w:val="004C2792"/>
    <w:rsid w:val="004C345E"/>
    <w:rsid w:val="004C4B3A"/>
    <w:rsid w:val="004C58F6"/>
    <w:rsid w:val="004C602A"/>
    <w:rsid w:val="004C6593"/>
    <w:rsid w:val="004C7E63"/>
    <w:rsid w:val="004D0567"/>
    <w:rsid w:val="004D075F"/>
    <w:rsid w:val="004D0F67"/>
    <w:rsid w:val="004D1CE9"/>
    <w:rsid w:val="004D2789"/>
    <w:rsid w:val="004D37E4"/>
    <w:rsid w:val="004D3DB0"/>
    <w:rsid w:val="004D5CB7"/>
    <w:rsid w:val="004D5D65"/>
    <w:rsid w:val="004D684C"/>
    <w:rsid w:val="004D7B09"/>
    <w:rsid w:val="004E1A51"/>
    <w:rsid w:val="004E2B77"/>
    <w:rsid w:val="004E2DB0"/>
    <w:rsid w:val="004E3073"/>
    <w:rsid w:val="004E40C4"/>
    <w:rsid w:val="004E52E7"/>
    <w:rsid w:val="004E55F8"/>
    <w:rsid w:val="004E5677"/>
    <w:rsid w:val="004E6696"/>
    <w:rsid w:val="004E7266"/>
    <w:rsid w:val="004E7B21"/>
    <w:rsid w:val="004E7D42"/>
    <w:rsid w:val="004F0414"/>
    <w:rsid w:val="004F1961"/>
    <w:rsid w:val="004F1C6E"/>
    <w:rsid w:val="004F4777"/>
    <w:rsid w:val="004F4D4B"/>
    <w:rsid w:val="004F5AD4"/>
    <w:rsid w:val="004F6CB3"/>
    <w:rsid w:val="004F7D2B"/>
    <w:rsid w:val="004F7F6B"/>
    <w:rsid w:val="005011BE"/>
    <w:rsid w:val="0050251D"/>
    <w:rsid w:val="0050282F"/>
    <w:rsid w:val="0050289F"/>
    <w:rsid w:val="005046D7"/>
    <w:rsid w:val="00505CF6"/>
    <w:rsid w:val="005060C4"/>
    <w:rsid w:val="0050681C"/>
    <w:rsid w:val="00506FF5"/>
    <w:rsid w:val="00507391"/>
    <w:rsid w:val="0051168E"/>
    <w:rsid w:val="00513FF4"/>
    <w:rsid w:val="0051512B"/>
    <w:rsid w:val="00516C56"/>
    <w:rsid w:val="0052024D"/>
    <w:rsid w:val="00520693"/>
    <w:rsid w:val="00520AA7"/>
    <w:rsid w:val="00520C92"/>
    <w:rsid w:val="00522807"/>
    <w:rsid w:val="00523236"/>
    <w:rsid w:val="005234DB"/>
    <w:rsid w:val="0052375D"/>
    <w:rsid w:val="00524D65"/>
    <w:rsid w:val="00525BCD"/>
    <w:rsid w:val="00525BEA"/>
    <w:rsid w:val="00526CCB"/>
    <w:rsid w:val="00526F54"/>
    <w:rsid w:val="00527F0C"/>
    <w:rsid w:val="00530692"/>
    <w:rsid w:val="00531837"/>
    <w:rsid w:val="00531A27"/>
    <w:rsid w:val="00533915"/>
    <w:rsid w:val="0053478A"/>
    <w:rsid w:val="00534904"/>
    <w:rsid w:val="00535274"/>
    <w:rsid w:val="00535951"/>
    <w:rsid w:val="00535983"/>
    <w:rsid w:val="00540AFE"/>
    <w:rsid w:val="00540BFC"/>
    <w:rsid w:val="0054122C"/>
    <w:rsid w:val="00541DA9"/>
    <w:rsid w:val="005434A4"/>
    <w:rsid w:val="005435F0"/>
    <w:rsid w:val="00543F30"/>
    <w:rsid w:val="00545DCE"/>
    <w:rsid w:val="00546360"/>
    <w:rsid w:val="00546570"/>
    <w:rsid w:val="005509BC"/>
    <w:rsid w:val="0055235A"/>
    <w:rsid w:val="0055272B"/>
    <w:rsid w:val="005535B8"/>
    <w:rsid w:val="00553A04"/>
    <w:rsid w:val="005541FC"/>
    <w:rsid w:val="00555CBB"/>
    <w:rsid w:val="00557BAB"/>
    <w:rsid w:val="00561513"/>
    <w:rsid w:val="005637A3"/>
    <w:rsid w:val="005646A8"/>
    <w:rsid w:val="005652C5"/>
    <w:rsid w:val="005725B6"/>
    <w:rsid w:val="00573DDE"/>
    <w:rsid w:val="00575FA4"/>
    <w:rsid w:val="0057669C"/>
    <w:rsid w:val="00577376"/>
    <w:rsid w:val="005800EB"/>
    <w:rsid w:val="005809C8"/>
    <w:rsid w:val="005816BC"/>
    <w:rsid w:val="00583A64"/>
    <w:rsid w:val="005845F1"/>
    <w:rsid w:val="00584C5B"/>
    <w:rsid w:val="00585D3E"/>
    <w:rsid w:val="00586B42"/>
    <w:rsid w:val="005876E3"/>
    <w:rsid w:val="0059093B"/>
    <w:rsid w:val="00591F4C"/>
    <w:rsid w:val="005942B9"/>
    <w:rsid w:val="005942C1"/>
    <w:rsid w:val="0059430A"/>
    <w:rsid w:val="00595A91"/>
    <w:rsid w:val="00595C6B"/>
    <w:rsid w:val="00596F9E"/>
    <w:rsid w:val="00597FEE"/>
    <w:rsid w:val="005A1FE3"/>
    <w:rsid w:val="005A2510"/>
    <w:rsid w:val="005A27B0"/>
    <w:rsid w:val="005A413A"/>
    <w:rsid w:val="005A4D72"/>
    <w:rsid w:val="005A4FD4"/>
    <w:rsid w:val="005A59EA"/>
    <w:rsid w:val="005A64A9"/>
    <w:rsid w:val="005A6901"/>
    <w:rsid w:val="005B02F2"/>
    <w:rsid w:val="005B36E4"/>
    <w:rsid w:val="005B39F0"/>
    <w:rsid w:val="005B3A0B"/>
    <w:rsid w:val="005B5090"/>
    <w:rsid w:val="005B6415"/>
    <w:rsid w:val="005B67A0"/>
    <w:rsid w:val="005B6ABA"/>
    <w:rsid w:val="005B7136"/>
    <w:rsid w:val="005B743B"/>
    <w:rsid w:val="005B7A3B"/>
    <w:rsid w:val="005C0613"/>
    <w:rsid w:val="005C0DA1"/>
    <w:rsid w:val="005C161D"/>
    <w:rsid w:val="005C1A04"/>
    <w:rsid w:val="005C1B1B"/>
    <w:rsid w:val="005C20F3"/>
    <w:rsid w:val="005C297D"/>
    <w:rsid w:val="005C2AB3"/>
    <w:rsid w:val="005C3672"/>
    <w:rsid w:val="005C3DAA"/>
    <w:rsid w:val="005C48C8"/>
    <w:rsid w:val="005C5B10"/>
    <w:rsid w:val="005C69AD"/>
    <w:rsid w:val="005C70D1"/>
    <w:rsid w:val="005C7450"/>
    <w:rsid w:val="005C7C0D"/>
    <w:rsid w:val="005D03C9"/>
    <w:rsid w:val="005D155C"/>
    <w:rsid w:val="005D1BF9"/>
    <w:rsid w:val="005D1EEF"/>
    <w:rsid w:val="005D284C"/>
    <w:rsid w:val="005D391B"/>
    <w:rsid w:val="005D47C2"/>
    <w:rsid w:val="005D48E0"/>
    <w:rsid w:val="005D6C7D"/>
    <w:rsid w:val="005D7726"/>
    <w:rsid w:val="005E08DE"/>
    <w:rsid w:val="005E11E0"/>
    <w:rsid w:val="005E1318"/>
    <w:rsid w:val="005E1BFC"/>
    <w:rsid w:val="005E1D63"/>
    <w:rsid w:val="005E3133"/>
    <w:rsid w:val="005E44D3"/>
    <w:rsid w:val="005E4F4D"/>
    <w:rsid w:val="005E5C70"/>
    <w:rsid w:val="005E61DB"/>
    <w:rsid w:val="005F0499"/>
    <w:rsid w:val="005F2DE2"/>
    <w:rsid w:val="005F3396"/>
    <w:rsid w:val="005F3884"/>
    <w:rsid w:val="005F3F2F"/>
    <w:rsid w:val="005F436E"/>
    <w:rsid w:val="005F57A7"/>
    <w:rsid w:val="005F6053"/>
    <w:rsid w:val="005F6349"/>
    <w:rsid w:val="00602839"/>
    <w:rsid w:val="00602E84"/>
    <w:rsid w:val="00604DE0"/>
    <w:rsid w:val="006061CA"/>
    <w:rsid w:val="0060635B"/>
    <w:rsid w:val="00607170"/>
    <w:rsid w:val="006105D7"/>
    <w:rsid w:val="00610DEB"/>
    <w:rsid w:val="00611336"/>
    <w:rsid w:val="00611839"/>
    <w:rsid w:val="006125C7"/>
    <w:rsid w:val="00612C16"/>
    <w:rsid w:val="00613E54"/>
    <w:rsid w:val="006142EC"/>
    <w:rsid w:val="006157C3"/>
    <w:rsid w:val="00616D80"/>
    <w:rsid w:val="006211D1"/>
    <w:rsid w:val="00622460"/>
    <w:rsid w:val="00622696"/>
    <w:rsid w:val="006233A1"/>
    <w:rsid w:val="00625156"/>
    <w:rsid w:val="00625308"/>
    <w:rsid w:val="00625310"/>
    <w:rsid w:val="0062584D"/>
    <w:rsid w:val="006272DA"/>
    <w:rsid w:val="00627C06"/>
    <w:rsid w:val="00630587"/>
    <w:rsid w:val="00630AC1"/>
    <w:rsid w:val="0063210A"/>
    <w:rsid w:val="006322D2"/>
    <w:rsid w:val="00633602"/>
    <w:rsid w:val="00634D73"/>
    <w:rsid w:val="0063709C"/>
    <w:rsid w:val="006378E4"/>
    <w:rsid w:val="00637931"/>
    <w:rsid w:val="00641E6F"/>
    <w:rsid w:val="006426F4"/>
    <w:rsid w:val="00642891"/>
    <w:rsid w:val="00642901"/>
    <w:rsid w:val="006429A8"/>
    <w:rsid w:val="00642E9D"/>
    <w:rsid w:val="0064607D"/>
    <w:rsid w:val="00646686"/>
    <w:rsid w:val="00646981"/>
    <w:rsid w:val="00647363"/>
    <w:rsid w:val="006512A3"/>
    <w:rsid w:val="00651B3B"/>
    <w:rsid w:val="00651EA9"/>
    <w:rsid w:val="00652FD6"/>
    <w:rsid w:val="006530D2"/>
    <w:rsid w:val="006539BF"/>
    <w:rsid w:val="00656F87"/>
    <w:rsid w:val="00660A53"/>
    <w:rsid w:val="00661CB4"/>
    <w:rsid w:val="006624CA"/>
    <w:rsid w:val="00663797"/>
    <w:rsid w:val="00664A0C"/>
    <w:rsid w:val="006653C9"/>
    <w:rsid w:val="00665662"/>
    <w:rsid w:val="006660EC"/>
    <w:rsid w:val="00666450"/>
    <w:rsid w:val="00672E03"/>
    <w:rsid w:val="006753ED"/>
    <w:rsid w:val="006774B2"/>
    <w:rsid w:val="00677AB9"/>
    <w:rsid w:val="00677EA2"/>
    <w:rsid w:val="00680F5B"/>
    <w:rsid w:val="00682C9D"/>
    <w:rsid w:val="00682FDF"/>
    <w:rsid w:val="006835B8"/>
    <w:rsid w:val="00683F0B"/>
    <w:rsid w:val="006847E2"/>
    <w:rsid w:val="00685118"/>
    <w:rsid w:val="0068536B"/>
    <w:rsid w:val="006854F0"/>
    <w:rsid w:val="00685FE4"/>
    <w:rsid w:val="00686127"/>
    <w:rsid w:val="00686FFC"/>
    <w:rsid w:val="00687103"/>
    <w:rsid w:val="006908E1"/>
    <w:rsid w:val="006913F8"/>
    <w:rsid w:val="00691B87"/>
    <w:rsid w:val="00691FB7"/>
    <w:rsid w:val="0069239A"/>
    <w:rsid w:val="006926E3"/>
    <w:rsid w:val="00693ED9"/>
    <w:rsid w:val="00693F58"/>
    <w:rsid w:val="00694D71"/>
    <w:rsid w:val="00695DB1"/>
    <w:rsid w:val="0069669C"/>
    <w:rsid w:val="00697A1C"/>
    <w:rsid w:val="006A0DE7"/>
    <w:rsid w:val="006A1D4A"/>
    <w:rsid w:val="006A39E0"/>
    <w:rsid w:val="006A4159"/>
    <w:rsid w:val="006A499B"/>
    <w:rsid w:val="006A4AEF"/>
    <w:rsid w:val="006A5825"/>
    <w:rsid w:val="006A73EB"/>
    <w:rsid w:val="006A7C24"/>
    <w:rsid w:val="006B01AE"/>
    <w:rsid w:val="006B0EC8"/>
    <w:rsid w:val="006B146C"/>
    <w:rsid w:val="006B1507"/>
    <w:rsid w:val="006B1909"/>
    <w:rsid w:val="006B2149"/>
    <w:rsid w:val="006B237D"/>
    <w:rsid w:val="006B2AF6"/>
    <w:rsid w:val="006B2CDB"/>
    <w:rsid w:val="006B6358"/>
    <w:rsid w:val="006B7BC6"/>
    <w:rsid w:val="006B7F97"/>
    <w:rsid w:val="006C2898"/>
    <w:rsid w:val="006C3752"/>
    <w:rsid w:val="006C4E41"/>
    <w:rsid w:val="006C4F6A"/>
    <w:rsid w:val="006C5548"/>
    <w:rsid w:val="006C6BF4"/>
    <w:rsid w:val="006C6F90"/>
    <w:rsid w:val="006C7E86"/>
    <w:rsid w:val="006D0145"/>
    <w:rsid w:val="006D0B60"/>
    <w:rsid w:val="006D1D88"/>
    <w:rsid w:val="006D224A"/>
    <w:rsid w:val="006D24A2"/>
    <w:rsid w:val="006D2B53"/>
    <w:rsid w:val="006D412E"/>
    <w:rsid w:val="006D4EB4"/>
    <w:rsid w:val="006D4EDE"/>
    <w:rsid w:val="006D5416"/>
    <w:rsid w:val="006D6458"/>
    <w:rsid w:val="006E04AD"/>
    <w:rsid w:val="006E0CD9"/>
    <w:rsid w:val="006E1D6E"/>
    <w:rsid w:val="006E2041"/>
    <w:rsid w:val="006E2A8E"/>
    <w:rsid w:val="006E3620"/>
    <w:rsid w:val="006E3676"/>
    <w:rsid w:val="006E4243"/>
    <w:rsid w:val="006E432B"/>
    <w:rsid w:val="006E4EC7"/>
    <w:rsid w:val="006E5974"/>
    <w:rsid w:val="006E730D"/>
    <w:rsid w:val="006E7602"/>
    <w:rsid w:val="006E7F35"/>
    <w:rsid w:val="006F20E5"/>
    <w:rsid w:val="006F244D"/>
    <w:rsid w:val="006F2625"/>
    <w:rsid w:val="006F2CE2"/>
    <w:rsid w:val="006F3BC4"/>
    <w:rsid w:val="006F3F06"/>
    <w:rsid w:val="006F47D4"/>
    <w:rsid w:val="006F4AC6"/>
    <w:rsid w:val="006F5B5F"/>
    <w:rsid w:val="006F6F49"/>
    <w:rsid w:val="00700CE2"/>
    <w:rsid w:val="007019BD"/>
    <w:rsid w:val="00702ED2"/>
    <w:rsid w:val="0070318A"/>
    <w:rsid w:val="007037AD"/>
    <w:rsid w:val="00704995"/>
    <w:rsid w:val="007052E7"/>
    <w:rsid w:val="00705A89"/>
    <w:rsid w:val="00705ED2"/>
    <w:rsid w:val="00707DB4"/>
    <w:rsid w:val="00707E5A"/>
    <w:rsid w:val="00711192"/>
    <w:rsid w:val="00711BA2"/>
    <w:rsid w:val="00712D6D"/>
    <w:rsid w:val="007147C9"/>
    <w:rsid w:val="00714F6B"/>
    <w:rsid w:val="007164C2"/>
    <w:rsid w:val="00716CED"/>
    <w:rsid w:val="00717500"/>
    <w:rsid w:val="007175DE"/>
    <w:rsid w:val="007178F4"/>
    <w:rsid w:val="00717C58"/>
    <w:rsid w:val="00720731"/>
    <w:rsid w:val="00720AA7"/>
    <w:rsid w:val="00720F0E"/>
    <w:rsid w:val="007224FE"/>
    <w:rsid w:val="007227D1"/>
    <w:rsid w:val="00722F62"/>
    <w:rsid w:val="007239B8"/>
    <w:rsid w:val="00724403"/>
    <w:rsid w:val="00724CF6"/>
    <w:rsid w:val="00726283"/>
    <w:rsid w:val="00726542"/>
    <w:rsid w:val="007265B9"/>
    <w:rsid w:val="0073332C"/>
    <w:rsid w:val="00733518"/>
    <w:rsid w:val="00733D7C"/>
    <w:rsid w:val="007354FA"/>
    <w:rsid w:val="007358B4"/>
    <w:rsid w:val="00735CC6"/>
    <w:rsid w:val="00737A0A"/>
    <w:rsid w:val="00741A8B"/>
    <w:rsid w:val="00741E2E"/>
    <w:rsid w:val="007427C3"/>
    <w:rsid w:val="0074324B"/>
    <w:rsid w:val="00744040"/>
    <w:rsid w:val="00744BE7"/>
    <w:rsid w:val="0074605D"/>
    <w:rsid w:val="00746B86"/>
    <w:rsid w:val="007472FC"/>
    <w:rsid w:val="00747820"/>
    <w:rsid w:val="00750333"/>
    <w:rsid w:val="007524E4"/>
    <w:rsid w:val="007527AF"/>
    <w:rsid w:val="007543D6"/>
    <w:rsid w:val="0075517A"/>
    <w:rsid w:val="0075572B"/>
    <w:rsid w:val="0075608E"/>
    <w:rsid w:val="007565DC"/>
    <w:rsid w:val="007565E4"/>
    <w:rsid w:val="007567E6"/>
    <w:rsid w:val="0075737B"/>
    <w:rsid w:val="00757FBA"/>
    <w:rsid w:val="00760D12"/>
    <w:rsid w:val="0076161E"/>
    <w:rsid w:val="00761A8C"/>
    <w:rsid w:val="007638C5"/>
    <w:rsid w:val="00764E2E"/>
    <w:rsid w:val="00766E65"/>
    <w:rsid w:val="007719F0"/>
    <w:rsid w:val="00771A81"/>
    <w:rsid w:val="00772270"/>
    <w:rsid w:val="00772631"/>
    <w:rsid w:val="00772D97"/>
    <w:rsid w:val="0077702B"/>
    <w:rsid w:val="00777985"/>
    <w:rsid w:val="00777AD4"/>
    <w:rsid w:val="00780CA2"/>
    <w:rsid w:val="00780D2D"/>
    <w:rsid w:val="0078193C"/>
    <w:rsid w:val="0078266D"/>
    <w:rsid w:val="0078369B"/>
    <w:rsid w:val="00784B47"/>
    <w:rsid w:val="00784CDF"/>
    <w:rsid w:val="00786168"/>
    <w:rsid w:val="007865E6"/>
    <w:rsid w:val="007873BA"/>
    <w:rsid w:val="007918BB"/>
    <w:rsid w:val="0079264D"/>
    <w:rsid w:val="00794411"/>
    <w:rsid w:val="00794756"/>
    <w:rsid w:val="007951D4"/>
    <w:rsid w:val="00795329"/>
    <w:rsid w:val="007961AB"/>
    <w:rsid w:val="00797269"/>
    <w:rsid w:val="007A08B5"/>
    <w:rsid w:val="007A3A04"/>
    <w:rsid w:val="007A3A4A"/>
    <w:rsid w:val="007A3C8A"/>
    <w:rsid w:val="007A3D50"/>
    <w:rsid w:val="007A3E25"/>
    <w:rsid w:val="007A50E2"/>
    <w:rsid w:val="007A5B93"/>
    <w:rsid w:val="007A6979"/>
    <w:rsid w:val="007B0157"/>
    <w:rsid w:val="007B0E83"/>
    <w:rsid w:val="007B1429"/>
    <w:rsid w:val="007B16E3"/>
    <w:rsid w:val="007B1FC8"/>
    <w:rsid w:val="007B2C5F"/>
    <w:rsid w:val="007B3435"/>
    <w:rsid w:val="007B4590"/>
    <w:rsid w:val="007B50EF"/>
    <w:rsid w:val="007B564E"/>
    <w:rsid w:val="007B592A"/>
    <w:rsid w:val="007B5F68"/>
    <w:rsid w:val="007B673F"/>
    <w:rsid w:val="007B7037"/>
    <w:rsid w:val="007B71B2"/>
    <w:rsid w:val="007B7BE7"/>
    <w:rsid w:val="007C0A15"/>
    <w:rsid w:val="007C0E79"/>
    <w:rsid w:val="007C2489"/>
    <w:rsid w:val="007C4C86"/>
    <w:rsid w:val="007D109A"/>
    <w:rsid w:val="007D2F15"/>
    <w:rsid w:val="007D3C79"/>
    <w:rsid w:val="007E1236"/>
    <w:rsid w:val="007E1828"/>
    <w:rsid w:val="007E18C1"/>
    <w:rsid w:val="007E251C"/>
    <w:rsid w:val="007E2EA8"/>
    <w:rsid w:val="007E4C7B"/>
    <w:rsid w:val="007E5C7B"/>
    <w:rsid w:val="007E5E9A"/>
    <w:rsid w:val="007E6816"/>
    <w:rsid w:val="007F00D9"/>
    <w:rsid w:val="007F04D3"/>
    <w:rsid w:val="007F26A5"/>
    <w:rsid w:val="007F326B"/>
    <w:rsid w:val="007F4C36"/>
    <w:rsid w:val="007F58DE"/>
    <w:rsid w:val="007F6C8F"/>
    <w:rsid w:val="007F6EB5"/>
    <w:rsid w:val="007F7E54"/>
    <w:rsid w:val="00800336"/>
    <w:rsid w:val="0080204E"/>
    <w:rsid w:val="00803EB4"/>
    <w:rsid w:val="00804143"/>
    <w:rsid w:val="0081033D"/>
    <w:rsid w:val="00811C9D"/>
    <w:rsid w:val="00815911"/>
    <w:rsid w:val="008166F8"/>
    <w:rsid w:val="00817FE2"/>
    <w:rsid w:val="00820A96"/>
    <w:rsid w:val="00822533"/>
    <w:rsid w:val="00823234"/>
    <w:rsid w:val="00824A67"/>
    <w:rsid w:val="00825DB6"/>
    <w:rsid w:val="0082630D"/>
    <w:rsid w:val="00826CB3"/>
    <w:rsid w:val="008272C3"/>
    <w:rsid w:val="00827A94"/>
    <w:rsid w:val="00830631"/>
    <w:rsid w:val="00832271"/>
    <w:rsid w:val="00832CDB"/>
    <w:rsid w:val="00834B6D"/>
    <w:rsid w:val="00834F69"/>
    <w:rsid w:val="00834FB0"/>
    <w:rsid w:val="00835678"/>
    <w:rsid w:val="00836DC5"/>
    <w:rsid w:val="008404F5"/>
    <w:rsid w:val="00841173"/>
    <w:rsid w:val="00841E9D"/>
    <w:rsid w:val="00842694"/>
    <w:rsid w:val="00842AC5"/>
    <w:rsid w:val="00842FB8"/>
    <w:rsid w:val="00844624"/>
    <w:rsid w:val="008458AA"/>
    <w:rsid w:val="00846C17"/>
    <w:rsid w:val="00850013"/>
    <w:rsid w:val="00850423"/>
    <w:rsid w:val="00850B3D"/>
    <w:rsid w:val="00854426"/>
    <w:rsid w:val="00854C26"/>
    <w:rsid w:val="00855855"/>
    <w:rsid w:val="008562E8"/>
    <w:rsid w:val="00857607"/>
    <w:rsid w:val="0085767C"/>
    <w:rsid w:val="00857790"/>
    <w:rsid w:val="00857B79"/>
    <w:rsid w:val="00857CAC"/>
    <w:rsid w:val="008605F7"/>
    <w:rsid w:val="0086106C"/>
    <w:rsid w:val="0086169C"/>
    <w:rsid w:val="00862F7F"/>
    <w:rsid w:val="0086347D"/>
    <w:rsid w:val="00863A13"/>
    <w:rsid w:val="008656B5"/>
    <w:rsid w:val="00865B69"/>
    <w:rsid w:val="0086604D"/>
    <w:rsid w:val="008662C2"/>
    <w:rsid w:val="00866AC9"/>
    <w:rsid w:val="0086792F"/>
    <w:rsid w:val="008715BE"/>
    <w:rsid w:val="0087444D"/>
    <w:rsid w:val="008750C9"/>
    <w:rsid w:val="008759A0"/>
    <w:rsid w:val="008759C4"/>
    <w:rsid w:val="008761C3"/>
    <w:rsid w:val="00876A14"/>
    <w:rsid w:val="008802FF"/>
    <w:rsid w:val="00881B89"/>
    <w:rsid w:val="00881C92"/>
    <w:rsid w:val="008822C9"/>
    <w:rsid w:val="008827F1"/>
    <w:rsid w:val="0088299C"/>
    <w:rsid w:val="0088421A"/>
    <w:rsid w:val="0088421F"/>
    <w:rsid w:val="00885610"/>
    <w:rsid w:val="0088631B"/>
    <w:rsid w:val="00886CE8"/>
    <w:rsid w:val="00887FB8"/>
    <w:rsid w:val="0089038F"/>
    <w:rsid w:val="008912F5"/>
    <w:rsid w:val="00892119"/>
    <w:rsid w:val="00894AA5"/>
    <w:rsid w:val="00894AE8"/>
    <w:rsid w:val="008961CA"/>
    <w:rsid w:val="00897193"/>
    <w:rsid w:val="008972B6"/>
    <w:rsid w:val="0089745B"/>
    <w:rsid w:val="008A1415"/>
    <w:rsid w:val="008A19B6"/>
    <w:rsid w:val="008A1CD4"/>
    <w:rsid w:val="008A2606"/>
    <w:rsid w:val="008A399A"/>
    <w:rsid w:val="008A6114"/>
    <w:rsid w:val="008A7213"/>
    <w:rsid w:val="008A7344"/>
    <w:rsid w:val="008A7820"/>
    <w:rsid w:val="008A78D0"/>
    <w:rsid w:val="008A7D2B"/>
    <w:rsid w:val="008A7E86"/>
    <w:rsid w:val="008B3572"/>
    <w:rsid w:val="008B36FD"/>
    <w:rsid w:val="008B45BF"/>
    <w:rsid w:val="008B49E2"/>
    <w:rsid w:val="008B4D5A"/>
    <w:rsid w:val="008B7094"/>
    <w:rsid w:val="008B7FE5"/>
    <w:rsid w:val="008C043F"/>
    <w:rsid w:val="008C0A79"/>
    <w:rsid w:val="008C1AD5"/>
    <w:rsid w:val="008C316D"/>
    <w:rsid w:val="008C4C58"/>
    <w:rsid w:val="008C6A2D"/>
    <w:rsid w:val="008C70D8"/>
    <w:rsid w:val="008C7784"/>
    <w:rsid w:val="008C78E3"/>
    <w:rsid w:val="008C7F1B"/>
    <w:rsid w:val="008D1175"/>
    <w:rsid w:val="008D5A28"/>
    <w:rsid w:val="008D61BB"/>
    <w:rsid w:val="008D682F"/>
    <w:rsid w:val="008D6D61"/>
    <w:rsid w:val="008E10A3"/>
    <w:rsid w:val="008E1A17"/>
    <w:rsid w:val="008E1ACB"/>
    <w:rsid w:val="008E1CF5"/>
    <w:rsid w:val="008E206B"/>
    <w:rsid w:val="008E2314"/>
    <w:rsid w:val="008E29DB"/>
    <w:rsid w:val="008E6B00"/>
    <w:rsid w:val="008E7EDB"/>
    <w:rsid w:val="008F03F0"/>
    <w:rsid w:val="008F3B41"/>
    <w:rsid w:val="008F51C3"/>
    <w:rsid w:val="008F5229"/>
    <w:rsid w:val="008F578F"/>
    <w:rsid w:val="008F5FC4"/>
    <w:rsid w:val="008F63B8"/>
    <w:rsid w:val="008F663C"/>
    <w:rsid w:val="008F707F"/>
    <w:rsid w:val="008F7FA3"/>
    <w:rsid w:val="009000AB"/>
    <w:rsid w:val="00900117"/>
    <w:rsid w:val="00900D56"/>
    <w:rsid w:val="009020B4"/>
    <w:rsid w:val="0090228A"/>
    <w:rsid w:val="009029BC"/>
    <w:rsid w:val="00903464"/>
    <w:rsid w:val="00903550"/>
    <w:rsid w:val="00905935"/>
    <w:rsid w:val="009059E0"/>
    <w:rsid w:val="009060EB"/>
    <w:rsid w:val="00906C9A"/>
    <w:rsid w:val="00907785"/>
    <w:rsid w:val="0091097E"/>
    <w:rsid w:val="009109B4"/>
    <w:rsid w:val="00910B9D"/>
    <w:rsid w:val="00912FEB"/>
    <w:rsid w:val="00913738"/>
    <w:rsid w:val="0091544F"/>
    <w:rsid w:val="00916E71"/>
    <w:rsid w:val="0091717B"/>
    <w:rsid w:val="009175F1"/>
    <w:rsid w:val="00917794"/>
    <w:rsid w:val="00917F7B"/>
    <w:rsid w:val="009210F0"/>
    <w:rsid w:val="00922B42"/>
    <w:rsid w:val="009243FA"/>
    <w:rsid w:val="0092456E"/>
    <w:rsid w:val="00924B3D"/>
    <w:rsid w:val="009250C1"/>
    <w:rsid w:val="009261E3"/>
    <w:rsid w:val="0092702D"/>
    <w:rsid w:val="0092722B"/>
    <w:rsid w:val="0092773F"/>
    <w:rsid w:val="0092785C"/>
    <w:rsid w:val="00931C63"/>
    <w:rsid w:val="009354B2"/>
    <w:rsid w:val="0093573E"/>
    <w:rsid w:val="009360EB"/>
    <w:rsid w:val="00936183"/>
    <w:rsid w:val="009379F6"/>
    <w:rsid w:val="00940815"/>
    <w:rsid w:val="009420BB"/>
    <w:rsid w:val="00942172"/>
    <w:rsid w:val="00942DFD"/>
    <w:rsid w:val="0094660D"/>
    <w:rsid w:val="00946635"/>
    <w:rsid w:val="00951862"/>
    <w:rsid w:val="00953793"/>
    <w:rsid w:val="00953915"/>
    <w:rsid w:val="00953E4A"/>
    <w:rsid w:val="0095486E"/>
    <w:rsid w:val="00955848"/>
    <w:rsid w:val="009571DC"/>
    <w:rsid w:val="009575C4"/>
    <w:rsid w:val="00957E3C"/>
    <w:rsid w:val="00960689"/>
    <w:rsid w:val="00961453"/>
    <w:rsid w:val="00961C6E"/>
    <w:rsid w:val="0096389F"/>
    <w:rsid w:val="00963CF9"/>
    <w:rsid w:val="00964152"/>
    <w:rsid w:val="0096463E"/>
    <w:rsid w:val="00965126"/>
    <w:rsid w:val="00965765"/>
    <w:rsid w:val="00966752"/>
    <w:rsid w:val="00967CCB"/>
    <w:rsid w:val="00967F4E"/>
    <w:rsid w:val="0097133E"/>
    <w:rsid w:val="00971781"/>
    <w:rsid w:val="00971EEB"/>
    <w:rsid w:val="0097282E"/>
    <w:rsid w:val="00972D9A"/>
    <w:rsid w:val="00973EAC"/>
    <w:rsid w:val="00980B88"/>
    <w:rsid w:val="00980D7A"/>
    <w:rsid w:val="00982175"/>
    <w:rsid w:val="0098252C"/>
    <w:rsid w:val="0098278F"/>
    <w:rsid w:val="00982AD4"/>
    <w:rsid w:val="009833A8"/>
    <w:rsid w:val="00984222"/>
    <w:rsid w:val="009849CE"/>
    <w:rsid w:val="00985361"/>
    <w:rsid w:val="009863AF"/>
    <w:rsid w:val="009865DC"/>
    <w:rsid w:val="00987277"/>
    <w:rsid w:val="00990111"/>
    <w:rsid w:val="00992211"/>
    <w:rsid w:val="0099224E"/>
    <w:rsid w:val="00992682"/>
    <w:rsid w:val="009945AD"/>
    <w:rsid w:val="009945E3"/>
    <w:rsid w:val="00994C01"/>
    <w:rsid w:val="00994D5C"/>
    <w:rsid w:val="009959F6"/>
    <w:rsid w:val="00995B68"/>
    <w:rsid w:val="00995BA0"/>
    <w:rsid w:val="009962FD"/>
    <w:rsid w:val="00996D52"/>
    <w:rsid w:val="009979CF"/>
    <w:rsid w:val="009A0349"/>
    <w:rsid w:val="009A0BC9"/>
    <w:rsid w:val="009A0CFC"/>
    <w:rsid w:val="009A1840"/>
    <w:rsid w:val="009A2B64"/>
    <w:rsid w:val="009A55C5"/>
    <w:rsid w:val="009A59DF"/>
    <w:rsid w:val="009A657A"/>
    <w:rsid w:val="009A65BB"/>
    <w:rsid w:val="009A6B2D"/>
    <w:rsid w:val="009A7B40"/>
    <w:rsid w:val="009B04D3"/>
    <w:rsid w:val="009B0EA8"/>
    <w:rsid w:val="009B21DE"/>
    <w:rsid w:val="009B3A5A"/>
    <w:rsid w:val="009B3D45"/>
    <w:rsid w:val="009B4043"/>
    <w:rsid w:val="009B5599"/>
    <w:rsid w:val="009B5EF8"/>
    <w:rsid w:val="009B6A42"/>
    <w:rsid w:val="009B6B71"/>
    <w:rsid w:val="009B7315"/>
    <w:rsid w:val="009B7FE8"/>
    <w:rsid w:val="009C1082"/>
    <w:rsid w:val="009C36D9"/>
    <w:rsid w:val="009C44C3"/>
    <w:rsid w:val="009C53CB"/>
    <w:rsid w:val="009C5868"/>
    <w:rsid w:val="009C594C"/>
    <w:rsid w:val="009C5D5D"/>
    <w:rsid w:val="009C61DC"/>
    <w:rsid w:val="009C77C5"/>
    <w:rsid w:val="009D1067"/>
    <w:rsid w:val="009D2680"/>
    <w:rsid w:val="009D3423"/>
    <w:rsid w:val="009D58D8"/>
    <w:rsid w:val="009D6926"/>
    <w:rsid w:val="009D70E7"/>
    <w:rsid w:val="009D78BD"/>
    <w:rsid w:val="009D79F3"/>
    <w:rsid w:val="009E0252"/>
    <w:rsid w:val="009E032F"/>
    <w:rsid w:val="009E29A6"/>
    <w:rsid w:val="009E48D8"/>
    <w:rsid w:val="009E4C8E"/>
    <w:rsid w:val="009E5500"/>
    <w:rsid w:val="009E5C95"/>
    <w:rsid w:val="009E63CD"/>
    <w:rsid w:val="009E79FD"/>
    <w:rsid w:val="009E7B5C"/>
    <w:rsid w:val="009E7DD3"/>
    <w:rsid w:val="009F3496"/>
    <w:rsid w:val="009F383D"/>
    <w:rsid w:val="009F3DE6"/>
    <w:rsid w:val="009F3FFF"/>
    <w:rsid w:val="009F4026"/>
    <w:rsid w:val="009F4959"/>
    <w:rsid w:val="009F4AE2"/>
    <w:rsid w:val="009F4B6F"/>
    <w:rsid w:val="009F5AC9"/>
    <w:rsid w:val="009F6F97"/>
    <w:rsid w:val="009F70B0"/>
    <w:rsid w:val="009F725F"/>
    <w:rsid w:val="00A02B33"/>
    <w:rsid w:val="00A036C7"/>
    <w:rsid w:val="00A04B66"/>
    <w:rsid w:val="00A067D7"/>
    <w:rsid w:val="00A10366"/>
    <w:rsid w:val="00A107EC"/>
    <w:rsid w:val="00A10881"/>
    <w:rsid w:val="00A1104E"/>
    <w:rsid w:val="00A11A6B"/>
    <w:rsid w:val="00A1225A"/>
    <w:rsid w:val="00A139F0"/>
    <w:rsid w:val="00A14CC7"/>
    <w:rsid w:val="00A14DC1"/>
    <w:rsid w:val="00A16455"/>
    <w:rsid w:val="00A1675F"/>
    <w:rsid w:val="00A16917"/>
    <w:rsid w:val="00A16CA5"/>
    <w:rsid w:val="00A17069"/>
    <w:rsid w:val="00A17D7F"/>
    <w:rsid w:val="00A21039"/>
    <w:rsid w:val="00A21B90"/>
    <w:rsid w:val="00A220ED"/>
    <w:rsid w:val="00A231FB"/>
    <w:rsid w:val="00A244C6"/>
    <w:rsid w:val="00A246A2"/>
    <w:rsid w:val="00A260AD"/>
    <w:rsid w:val="00A31337"/>
    <w:rsid w:val="00A31B6C"/>
    <w:rsid w:val="00A321DE"/>
    <w:rsid w:val="00A33B17"/>
    <w:rsid w:val="00A33B37"/>
    <w:rsid w:val="00A34329"/>
    <w:rsid w:val="00A35498"/>
    <w:rsid w:val="00A35614"/>
    <w:rsid w:val="00A36D68"/>
    <w:rsid w:val="00A36DEA"/>
    <w:rsid w:val="00A374DE"/>
    <w:rsid w:val="00A37C78"/>
    <w:rsid w:val="00A37F66"/>
    <w:rsid w:val="00A40064"/>
    <w:rsid w:val="00A407E0"/>
    <w:rsid w:val="00A40BB8"/>
    <w:rsid w:val="00A40D66"/>
    <w:rsid w:val="00A40F1A"/>
    <w:rsid w:val="00A425FD"/>
    <w:rsid w:val="00A44F6D"/>
    <w:rsid w:val="00A45220"/>
    <w:rsid w:val="00A45593"/>
    <w:rsid w:val="00A46057"/>
    <w:rsid w:val="00A466BE"/>
    <w:rsid w:val="00A470FE"/>
    <w:rsid w:val="00A5044F"/>
    <w:rsid w:val="00A50E14"/>
    <w:rsid w:val="00A51A37"/>
    <w:rsid w:val="00A51A62"/>
    <w:rsid w:val="00A51D8D"/>
    <w:rsid w:val="00A52171"/>
    <w:rsid w:val="00A52636"/>
    <w:rsid w:val="00A55512"/>
    <w:rsid w:val="00A55CCD"/>
    <w:rsid w:val="00A57359"/>
    <w:rsid w:val="00A6126A"/>
    <w:rsid w:val="00A62BC6"/>
    <w:rsid w:val="00A630EE"/>
    <w:rsid w:val="00A6399C"/>
    <w:rsid w:val="00A63A61"/>
    <w:rsid w:val="00A63E4C"/>
    <w:rsid w:val="00A64363"/>
    <w:rsid w:val="00A667FD"/>
    <w:rsid w:val="00A71A32"/>
    <w:rsid w:val="00A72458"/>
    <w:rsid w:val="00A73BC8"/>
    <w:rsid w:val="00A74208"/>
    <w:rsid w:val="00A7577A"/>
    <w:rsid w:val="00A7627D"/>
    <w:rsid w:val="00A76D14"/>
    <w:rsid w:val="00A774B7"/>
    <w:rsid w:val="00A803B7"/>
    <w:rsid w:val="00A80EFA"/>
    <w:rsid w:val="00A81086"/>
    <w:rsid w:val="00A81CA1"/>
    <w:rsid w:val="00A830FB"/>
    <w:rsid w:val="00A8402C"/>
    <w:rsid w:val="00A84C5F"/>
    <w:rsid w:val="00A86885"/>
    <w:rsid w:val="00A8712F"/>
    <w:rsid w:val="00A90119"/>
    <w:rsid w:val="00A91082"/>
    <w:rsid w:val="00A91F28"/>
    <w:rsid w:val="00A91FE8"/>
    <w:rsid w:val="00A92B28"/>
    <w:rsid w:val="00A94A2A"/>
    <w:rsid w:val="00A95C46"/>
    <w:rsid w:val="00A960F3"/>
    <w:rsid w:val="00A961D9"/>
    <w:rsid w:val="00A968C6"/>
    <w:rsid w:val="00A96EB6"/>
    <w:rsid w:val="00AA1240"/>
    <w:rsid w:val="00AA142E"/>
    <w:rsid w:val="00AA2CF9"/>
    <w:rsid w:val="00AA2D55"/>
    <w:rsid w:val="00AA3146"/>
    <w:rsid w:val="00AA3461"/>
    <w:rsid w:val="00AA47BA"/>
    <w:rsid w:val="00AA6A6E"/>
    <w:rsid w:val="00AA780D"/>
    <w:rsid w:val="00AA7EC9"/>
    <w:rsid w:val="00AB0210"/>
    <w:rsid w:val="00AB1291"/>
    <w:rsid w:val="00AB1374"/>
    <w:rsid w:val="00AB16B4"/>
    <w:rsid w:val="00AB4239"/>
    <w:rsid w:val="00AB45D8"/>
    <w:rsid w:val="00AB4BBA"/>
    <w:rsid w:val="00AB5631"/>
    <w:rsid w:val="00AB5F1A"/>
    <w:rsid w:val="00AC0E62"/>
    <w:rsid w:val="00AC127B"/>
    <w:rsid w:val="00AC328B"/>
    <w:rsid w:val="00AC3FF6"/>
    <w:rsid w:val="00AC7842"/>
    <w:rsid w:val="00AC7946"/>
    <w:rsid w:val="00AD1469"/>
    <w:rsid w:val="00AD28CD"/>
    <w:rsid w:val="00AD30B3"/>
    <w:rsid w:val="00AD316E"/>
    <w:rsid w:val="00AD365A"/>
    <w:rsid w:val="00AD3AAC"/>
    <w:rsid w:val="00AD50CA"/>
    <w:rsid w:val="00AD5258"/>
    <w:rsid w:val="00AD653F"/>
    <w:rsid w:val="00AE1F7D"/>
    <w:rsid w:val="00AE2146"/>
    <w:rsid w:val="00AE26FE"/>
    <w:rsid w:val="00AE4A41"/>
    <w:rsid w:val="00AE4C0E"/>
    <w:rsid w:val="00AE575F"/>
    <w:rsid w:val="00AE630A"/>
    <w:rsid w:val="00AE6809"/>
    <w:rsid w:val="00AE707F"/>
    <w:rsid w:val="00AE7EFF"/>
    <w:rsid w:val="00AF26C0"/>
    <w:rsid w:val="00AF4305"/>
    <w:rsid w:val="00AF523E"/>
    <w:rsid w:val="00AF5DFC"/>
    <w:rsid w:val="00AF6844"/>
    <w:rsid w:val="00AF6B89"/>
    <w:rsid w:val="00B00750"/>
    <w:rsid w:val="00B00CA7"/>
    <w:rsid w:val="00B00DD6"/>
    <w:rsid w:val="00B00DF3"/>
    <w:rsid w:val="00B01C07"/>
    <w:rsid w:val="00B02160"/>
    <w:rsid w:val="00B02436"/>
    <w:rsid w:val="00B02B11"/>
    <w:rsid w:val="00B03153"/>
    <w:rsid w:val="00B04251"/>
    <w:rsid w:val="00B042D9"/>
    <w:rsid w:val="00B0450B"/>
    <w:rsid w:val="00B06D66"/>
    <w:rsid w:val="00B07C08"/>
    <w:rsid w:val="00B1154D"/>
    <w:rsid w:val="00B11795"/>
    <w:rsid w:val="00B12103"/>
    <w:rsid w:val="00B123A9"/>
    <w:rsid w:val="00B1478E"/>
    <w:rsid w:val="00B14F77"/>
    <w:rsid w:val="00B16354"/>
    <w:rsid w:val="00B1674B"/>
    <w:rsid w:val="00B176D4"/>
    <w:rsid w:val="00B17D55"/>
    <w:rsid w:val="00B203F3"/>
    <w:rsid w:val="00B20E13"/>
    <w:rsid w:val="00B20F7B"/>
    <w:rsid w:val="00B21614"/>
    <w:rsid w:val="00B217EA"/>
    <w:rsid w:val="00B2315E"/>
    <w:rsid w:val="00B24BB5"/>
    <w:rsid w:val="00B252CA"/>
    <w:rsid w:val="00B27680"/>
    <w:rsid w:val="00B30FE1"/>
    <w:rsid w:val="00B32FE2"/>
    <w:rsid w:val="00B3401D"/>
    <w:rsid w:val="00B35915"/>
    <w:rsid w:val="00B359FB"/>
    <w:rsid w:val="00B35DB1"/>
    <w:rsid w:val="00B370AF"/>
    <w:rsid w:val="00B371C7"/>
    <w:rsid w:val="00B4097B"/>
    <w:rsid w:val="00B41841"/>
    <w:rsid w:val="00B42353"/>
    <w:rsid w:val="00B45417"/>
    <w:rsid w:val="00B463F5"/>
    <w:rsid w:val="00B512E6"/>
    <w:rsid w:val="00B51607"/>
    <w:rsid w:val="00B51ADB"/>
    <w:rsid w:val="00B521A1"/>
    <w:rsid w:val="00B521C9"/>
    <w:rsid w:val="00B52236"/>
    <w:rsid w:val="00B527AA"/>
    <w:rsid w:val="00B52D7A"/>
    <w:rsid w:val="00B53B81"/>
    <w:rsid w:val="00B57AE5"/>
    <w:rsid w:val="00B57FE6"/>
    <w:rsid w:val="00B61C9A"/>
    <w:rsid w:val="00B61F4A"/>
    <w:rsid w:val="00B647C7"/>
    <w:rsid w:val="00B66A8B"/>
    <w:rsid w:val="00B66EAE"/>
    <w:rsid w:val="00B7095C"/>
    <w:rsid w:val="00B7098B"/>
    <w:rsid w:val="00B70B56"/>
    <w:rsid w:val="00B718FC"/>
    <w:rsid w:val="00B720AF"/>
    <w:rsid w:val="00B72B77"/>
    <w:rsid w:val="00B76974"/>
    <w:rsid w:val="00B771B0"/>
    <w:rsid w:val="00B8009F"/>
    <w:rsid w:val="00B80315"/>
    <w:rsid w:val="00B80691"/>
    <w:rsid w:val="00B832A5"/>
    <w:rsid w:val="00B83666"/>
    <w:rsid w:val="00B8418C"/>
    <w:rsid w:val="00B84B14"/>
    <w:rsid w:val="00B8507B"/>
    <w:rsid w:val="00B858E1"/>
    <w:rsid w:val="00B86DF6"/>
    <w:rsid w:val="00B87037"/>
    <w:rsid w:val="00B90A44"/>
    <w:rsid w:val="00B92BCD"/>
    <w:rsid w:val="00B932AB"/>
    <w:rsid w:val="00B9336B"/>
    <w:rsid w:val="00B952F2"/>
    <w:rsid w:val="00B95CF5"/>
    <w:rsid w:val="00B961A7"/>
    <w:rsid w:val="00B9625C"/>
    <w:rsid w:val="00B967E8"/>
    <w:rsid w:val="00B97D60"/>
    <w:rsid w:val="00BA0B70"/>
    <w:rsid w:val="00BA2923"/>
    <w:rsid w:val="00BA383A"/>
    <w:rsid w:val="00BA4E60"/>
    <w:rsid w:val="00BA4F74"/>
    <w:rsid w:val="00BA6971"/>
    <w:rsid w:val="00BA6A16"/>
    <w:rsid w:val="00BA7CC8"/>
    <w:rsid w:val="00BB1981"/>
    <w:rsid w:val="00BB2E86"/>
    <w:rsid w:val="00BB3942"/>
    <w:rsid w:val="00BB3B3F"/>
    <w:rsid w:val="00BB4057"/>
    <w:rsid w:val="00BB4C85"/>
    <w:rsid w:val="00BB4D08"/>
    <w:rsid w:val="00BB4E26"/>
    <w:rsid w:val="00BB4F29"/>
    <w:rsid w:val="00BB506C"/>
    <w:rsid w:val="00BB6308"/>
    <w:rsid w:val="00BB6DF0"/>
    <w:rsid w:val="00BB6F57"/>
    <w:rsid w:val="00BC0743"/>
    <w:rsid w:val="00BC0B2B"/>
    <w:rsid w:val="00BC22F0"/>
    <w:rsid w:val="00BC233B"/>
    <w:rsid w:val="00BC34A7"/>
    <w:rsid w:val="00BC39BF"/>
    <w:rsid w:val="00BC3BED"/>
    <w:rsid w:val="00BC4CEA"/>
    <w:rsid w:val="00BC53D9"/>
    <w:rsid w:val="00BC545A"/>
    <w:rsid w:val="00BC70FB"/>
    <w:rsid w:val="00BD1C76"/>
    <w:rsid w:val="00BD25F8"/>
    <w:rsid w:val="00BD36A5"/>
    <w:rsid w:val="00BD49C8"/>
    <w:rsid w:val="00BD5025"/>
    <w:rsid w:val="00BD54E9"/>
    <w:rsid w:val="00BD5D5D"/>
    <w:rsid w:val="00BD5DFD"/>
    <w:rsid w:val="00BD6522"/>
    <w:rsid w:val="00BE050C"/>
    <w:rsid w:val="00BE09A0"/>
    <w:rsid w:val="00BE126C"/>
    <w:rsid w:val="00BE18F4"/>
    <w:rsid w:val="00BE1D48"/>
    <w:rsid w:val="00BE3214"/>
    <w:rsid w:val="00BE33BB"/>
    <w:rsid w:val="00BE5C4E"/>
    <w:rsid w:val="00BE6007"/>
    <w:rsid w:val="00BE6242"/>
    <w:rsid w:val="00BE7569"/>
    <w:rsid w:val="00BE75EC"/>
    <w:rsid w:val="00BF078B"/>
    <w:rsid w:val="00BF0F0E"/>
    <w:rsid w:val="00BF1F5D"/>
    <w:rsid w:val="00BF32F4"/>
    <w:rsid w:val="00BF3327"/>
    <w:rsid w:val="00BF47DD"/>
    <w:rsid w:val="00BF544B"/>
    <w:rsid w:val="00BF5529"/>
    <w:rsid w:val="00BF5BA8"/>
    <w:rsid w:val="00BF62A3"/>
    <w:rsid w:val="00BF68C1"/>
    <w:rsid w:val="00C00356"/>
    <w:rsid w:val="00C0345F"/>
    <w:rsid w:val="00C05767"/>
    <w:rsid w:val="00C06444"/>
    <w:rsid w:val="00C104CD"/>
    <w:rsid w:val="00C10703"/>
    <w:rsid w:val="00C110DC"/>
    <w:rsid w:val="00C11198"/>
    <w:rsid w:val="00C113E0"/>
    <w:rsid w:val="00C1208E"/>
    <w:rsid w:val="00C1222F"/>
    <w:rsid w:val="00C12844"/>
    <w:rsid w:val="00C12A9D"/>
    <w:rsid w:val="00C1346A"/>
    <w:rsid w:val="00C13DEB"/>
    <w:rsid w:val="00C1408A"/>
    <w:rsid w:val="00C167A2"/>
    <w:rsid w:val="00C17E91"/>
    <w:rsid w:val="00C20338"/>
    <w:rsid w:val="00C2038E"/>
    <w:rsid w:val="00C20F5C"/>
    <w:rsid w:val="00C21CD6"/>
    <w:rsid w:val="00C24BD6"/>
    <w:rsid w:val="00C24DB4"/>
    <w:rsid w:val="00C25504"/>
    <w:rsid w:val="00C256F7"/>
    <w:rsid w:val="00C2589B"/>
    <w:rsid w:val="00C2703B"/>
    <w:rsid w:val="00C274CE"/>
    <w:rsid w:val="00C305CA"/>
    <w:rsid w:val="00C31EF0"/>
    <w:rsid w:val="00C3213C"/>
    <w:rsid w:val="00C3233A"/>
    <w:rsid w:val="00C32952"/>
    <w:rsid w:val="00C3382B"/>
    <w:rsid w:val="00C356D1"/>
    <w:rsid w:val="00C36B2E"/>
    <w:rsid w:val="00C37780"/>
    <w:rsid w:val="00C377DD"/>
    <w:rsid w:val="00C37D62"/>
    <w:rsid w:val="00C40AFB"/>
    <w:rsid w:val="00C41616"/>
    <w:rsid w:val="00C42F4B"/>
    <w:rsid w:val="00C432DC"/>
    <w:rsid w:val="00C5125E"/>
    <w:rsid w:val="00C51B07"/>
    <w:rsid w:val="00C53592"/>
    <w:rsid w:val="00C535E4"/>
    <w:rsid w:val="00C537A7"/>
    <w:rsid w:val="00C55173"/>
    <w:rsid w:val="00C55E71"/>
    <w:rsid w:val="00C56599"/>
    <w:rsid w:val="00C56D94"/>
    <w:rsid w:val="00C57101"/>
    <w:rsid w:val="00C5762F"/>
    <w:rsid w:val="00C577E2"/>
    <w:rsid w:val="00C64877"/>
    <w:rsid w:val="00C65BE4"/>
    <w:rsid w:val="00C677BE"/>
    <w:rsid w:val="00C677F9"/>
    <w:rsid w:val="00C67834"/>
    <w:rsid w:val="00C67A56"/>
    <w:rsid w:val="00C7109E"/>
    <w:rsid w:val="00C72840"/>
    <w:rsid w:val="00C73738"/>
    <w:rsid w:val="00C7408F"/>
    <w:rsid w:val="00C74259"/>
    <w:rsid w:val="00C74814"/>
    <w:rsid w:val="00C755F8"/>
    <w:rsid w:val="00C75A67"/>
    <w:rsid w:val="00C75E5B"/>
    <w:rsid w:val="00C7702B"/>
    <w:rsid w:val="00C83832"/>
    <w:rsid w:val="00C84F53"/>
    <w:rsid w:val="00C85486"/>
    <w:rsid w:val="00C85C61"/>
    <w:rsid w:val="00C85E0A"/>
    <w:rsid w:val="00C91B23"/>
    <w:rsid w:val="00C927FD"/>
    <w:rsid w:val="00C92D03"/>
    <w:rsid w:val="00C936BB"/>
    <w:rsid w:val="00C936EE"/>
    <w:rsid w:val="00C9377F"/>
    <w:rsid w:val="00C939D0"/>
    <w:rsid w:val="00C940E2"/>
    <w:rsid w:val="00C94548"/>
    <w:rsid w:val="00C94669"/>
    <w:rsid w:val="00C95653"/>
    <w:rsid w:val="00C96EED"/>
    <w:rsid w:val="00C96F32"/>
    <w:rsid w:val="00CA087A"/>
    <w:rsid w:val="00CA1D2E"/>
    <w:rsid w:val="00CA2723"/>
    <w:rsid w:val="00CA2961"/>
    <w:rsid w:val="00CA318A"/>
    <w:rsid w:val="00CA36DA"/>
    <w:rsid w:val="00CA3726"/>
    <w:rsid w:val="00CA4347"/>
    <w:rsid w:val="00CA5215"/>
    <w:rsid w:val="00CA5CF3"/>
    <w:rsid w:val="00CA68B7"/>
    <w:rsid w:val="00CA6FFE"/>
    <w:rsid w:val="00CA795E"/>
    <w:rsid w:val="00CA7998"/>
    <w:rsid w:val="00CB0195"/>
    <w:rsid w:val="00CB04A0"/>
    <w:rsid w:val="00CB06D4"/>
    <w:rsid w:val="00CB070C"/>
    <w:rsid w:val="00CB086D"/>
    <w:rsid w:val="00CB0FF2"/>
    <w:rsid w:val="00CB1D00"/>
    <w:rsid w:val="00CC0CC0"/>
    <w:rsid w:val="00CC14FF"/>
    <w:rsid w:val="00CC3ED5"/>
    <w:rsid w:val="00CC4DFC"/>
    <w:rsid w:val="00CC4EAF"/>
    <w:rsid w:val="00CC526D"/>
    <w:rsid w:val="00CC5861"/>
    <w:rsid w:val="00CC671E"/>
    <w:rsid w:val="00CC6735"/>
    <w:rsid w:val="00CC78E4"/>
    <w:rsid w:val="00CC7CB8"/>
    <w:rsid w:val="00CC7FA8"/>
    <w:rsid w:val="00CD02C8"/>
    <w:rsid w:val="00CD1647"/>
    <w:rsid w:val="00CD226F"/>
    <w:rsid w:val="00CD2581"/>
    <w:rsid w:val="00CD2999"/>
    <w:rsid w:val="00CD3C91"/>
    <w:rsid w:val="00CD4BD1"/>
    <w:rsid w:val="00CD6481"/>
    <w:rsid w:val="00CD6E68"/>
    <w:rsid w:val="00CE2B63"/>
    <w:rsid w:val="00CE501F"/>
    <w:rsid w:val="00CE5093"/>
    <w:rsid w:val="00CE5339"/>
    <w:rsid w:val="00CE56EA"/>
    <w:rsid w:val="00CE72FF"/>
    <w:rsid w:val="00CE7CBB"/>
    <w:rsid w:val="00CE7D1F"/>
    <w:rsid w:val="00CE7F43"/>
    <w:rsid w:val="00CF04EC"/>
    <w:rsid w:val="00CF078E"/>
    <w:rsid w:val="00CF4296"/>
    <w:rsid w:val="00CF4A7E"/>
    <w:rsid w:val="00CF4BDE"/>
    <w:rsid w:val="00CF51B5"/>
    <w:rsid w:val="00CF561E"/>
    <w:rsid w:val="00CF67B2"/>
    <w:rsid w:val="00CF6869"/>
    <w:rsid w:val="00CF6DEE"/>
    <w:rsid w:val="00CF6F9A"/>
    <w:rsid w:val="00CF772A"/>
    <w:rsid w:val="00D00A79"/>
    <w:rsid w:val="00D027DC"/>
    <w:rsid w:val="00D028AF"/>
    <w:rsid w:val="00D02C08"/>
    <w:rsid w:val="00D042B7"/>
    <w:rsid w:val="00D070C6"/>
    <w:rsid w:val="00D07EB4"/>
    <w:rsid w:val="00D10514"/>
    <w:rsid w:val="00D11159"/>
    <w:rsid w:val="00D113D4"/>
    <w:rsid w:val="00D1154E"/>
    <w:rsid w:val="00D11A65"/>
    <w:rsid w:val="00D13C5E"/>
    <w:rsid w:val="00D14D6D"/>
    <w:rsid w:val="00D16493"/>
    <w:rsid w:val="00D208D6"/>
    <w:rsid w:val="00D208E3"/>
    <w:rsid w:val="00D20AE5"/>
    <w:rsid w:val="00D21712"/>
    <w:rsid w:val="00D21811"/>
    <w:rsid w:val="00D229CD"/>
    <w:rsid w:val="00D230B5"/>
    <w:rsid w:val="00D24211"/>
    <w:rsid w:val="00D254BE"/>
    <w:rsid w:val="00D255D6"/>
    <w:rsid w:val="00D27E50"/>
    <w:rsid w:val="00D30137"/>
    <w:rsid w:val="00D30C8A"/>
    <w:rsid w:val="00D326AE"/>
    <w:rsid w:val="00D32C85"/>
    <w:rsid w:val="00D3367A"/>
    <w:rsid w:val="00D33EAD"/>
    <w:rsid w:val="00D3451F"/>
    <w:rsid w:val="00D34634"/>
    <w:rsid w:val="00D3481B"/>
    <w:rsid w:val="00D34820"/>
    <w:rsid w:val="00D3636F"/>
    <w:rsid w:val="00D375B6"/>
    <w:rsid w:val="00D37A31"/>
    <w:rsid w:val="00D400D1"/>
    <w:rsid w:val="00D44B5C"/>
    <w:rsid w:val="00D4521C"/>
    <w:rsid w:val="00D5297A"/>
    <w:rsid w:val="00D5352C"/>
    <w:rsid w:val="00D53B9C"/>
    <w:rsid w:val="00D54219"/>
    <w:rsid w:val="00D5503D"/>
    <w:rsid w:val="00D560CE"/>
    <w:rsid w:val="00D6038E"/>
    <w:rsid w:val="00D6160C"/>
    <w:rsid w:val="00D61EB0"/>
    <w:rsid w:val="00D644B8"/>
    <w:rsid w:val="00D65527"/>
    <w:rsid w:val="00D65EB5"/>
    <w:rsid w:val="00D6614F"/>
    <w:rsid w:val="00D66E62"/>
    <w:rsid w:val="00D66E91"/>
    <w:rsid w:val="00D705D6"/>
    <w:rsid w:val="00D70BDE"/>
    <w:rsid w:val="00D7142F"/>
    <w:rsid w:val="00D71ADE"/>
    <w:rsid w:val="00D73797"/>
    <w:rsid w:val="00D7399D"/>
    <w:rsid w:val="00D74177"/>
    <w:rsid w:val="00D75EA0"/>
    <w:rsid w:val="00D75EB9"/>
    <w:rsid w:val="00D75EF2"/>
    <w:rsid w:val="00D77263"/>
    <w:rsid w:val="00D77747"/>
    <w:rsid w:val="00D77AA5"/>
    <w:rsid w:val="00D813FC"/>
    <w:rsid w:val="00D81FA7"/>
    <w:rsid w:val="00D82831"/>
    <w:rsid w:val="00D83936"/>
    <w:rsid w:val="00D8455E"/>
    <w:rsid w:val="00D851A7"/>
    <w:rsid w:val="00D855C7"/>
    <w:rsid w:val="00D85974"/>
    <w:rsid w:val="00D869C8"/>
    <w:rsid w:val="00D86A70"/>
    <w:rsid w:val="00D86E64"/>
    <w:rsid w:val="00D872C5"/>
    <w:rsid w:val="00D87354"/>
    <w:rsid w:val="00D8738F"/>
    <w:rsid w:val="00D9105B"/>
    <w:rsid w:val="00D91E79"/>
    <w:rsid w:val="00D91F91"/>
    <w:rsid w:val="00D920A1"/>
    <w:rsid w:val="00D932C8"/>
    <w:rsid w:val="00D94938"/>
    <w:rsid w:val="00D9499B"/>
    <w:rsid w:val="00D9598F"/>
    <w:rsid w:val="00D95B6F"/>
    <w:rsid w:val="00D9648E"/>
    <w:rsid w:val="00D97093"/>
    <w:rsid w:val="00D9724B"/>
    <w:rsid w:val="00D97E64"/>
    <w:rsid w:val="00DA1A6E"/>
    <w:rsid w:val="00DA1AB8"/>
    <w:rsid w:val="00DA1FB5"/>
    <w:rsid w:val="00DA37D2"/>
    <w:rsid w:val="00DA4D4B"/>
    <w:rsid w:val="00DA4F02"/>
    <w:rsid w:val="00DA4F87"/>
    <w:rsid w:val="00DA684A"/>
    <w:rsid w:val="00DA7646"/>
    <w:rsid w:val="00DA78C6"/>
    <w:rsid w:val="00DA7913"/>
    <w:rsid w:val="00DB28D1"/>
    <w:rsid w:val="00DB3DFC"/>
    <w:rsid w:val="00DB5C32"/>
    <w:rsid w:val="00DB7129"/>
    <w:rsid w:val="00DC3A07"/>
    <w:rsid w:val="00DC44FE"/>
    <w:rsid w:val="00DC6FBA"/>
    <w:rsid w:val="00DC7519"/>
    <w:rsid w:val="00DD07CE"/>
    <w:rsid w:val="00DD126E"/>
    <w:rsid w:val="00DD1421"/>
    <w:rsid w:val="00DD23B7"/>
    <w:rsid w:val="00DD2409"/>
    <w:rsid w:val="00DD25F3"/>
    <w:rsid w:val="00DD2C6A"/>
    <w:rsid w:val="00DE0FFB"/>
    <w:rsid w:val="00DE168D"/>
    <w:rsid w:val="00DE1FB7"/>
    <w:rsid w:val="00DE3300"/>
    <w:rsid w:val="00DE3686"/>
    <w:rsid w:val="00DE4362"/>
    <w:rsid w:val="00DE51B1"/>
    <w:rsid w:val="00DE59F1"/>
    <w:rsid w:val="00DE5ADE"/>
    <w:rsid w:val="00DE6274"/>
    <w:rsid w:val="00DE6A6B"/>
    <w:rsid w:val="00DE6FA2"/>
    <w:rsid w:val="00DF0837"/>
    <w:rsid w:val="00DF37CE"/>
    <w:rsid w:val="00DF38C8"/>
    <w:rsid w:val="00DF3EEC"/>
    <w:rsid w:val="00DF3F47"/>
    <w:rsid w:val="00DF577C"/>
    <w:rsid w:val="00DF6962"/>
    <w:rsid w:val="00DF79CA"/>
    <w:rsid w:val="00E00531"/>
    <w:rsid w:val="00E009E8"/>
    <w:rsid w:val="00E01391"/>
    <w:rsid w:val="00E01B51"/>
    <w:rsid w:val="00E01D9F"/>
    <w:rsid w:val="00E02C86"/>
    <w:rsid w:val="00E03B95"/>
    <w:rsid w:val="00E04426"/>
    <w:rsid w:val="00E04FDD"/>
    <w:rsid w:val="00E058D2"/>
    <w:rsid w:val="00E06C20"/>
    <w:rsid w:val="00E072C6"/>
    <w:rsid w:val="00E07CC9"/>
    <w:rsid w:val="00E10662"/>
    <w:rsid w:val="00E11060"/>
    <w:rsid w:val="00E11952"/>
    <w:rsid w:val="00E1205A"/>
    <w:rsid w:val="00E131E3"/>
    <w:rsid w:val="00E1423D"/>
    <w:rsid w:val="00E14316"/>
    <w:rsid w:val="00E15B16"/>
    <w:rsid w:val="00E15CB9"/>
    <w:rsid w:val="00E169D9"/>
    <w:rsid w:val="00E17033"/>
    <w:rsid w:val="00E176D5"/>
    <w:rsid w:val="00E17E06"/>
    <w:rsid w:val="00E20772"/>
    <w:rsid w:val="00E2079D"/>
    <w:rsid w:val="00E21B57"/>
    <w:rsid w:val="00E22AF6"/>
    <w:rsid w:val="00E23143"/>
    <w:rsid w:val="00E237B7"/>
    <w:rsid w:val="00E246C2"/>
    <w:rsid w:val="00E24771"/>
    <w:rsid w:val="00E24B27"/>
    <w:rsid w:val="00E24D74"/>
    <w:rsid w:val="00E25A0F"/>
    <w:rsid w:val="00E25C98"/>
    <w:rsid w:val="00E26E7C"/>
    <w:rsid w:val="00E30CA1"/>
    <w:rsid w:val="00E31D73"/>
    <w:rsid w:val="00E320DD"/>
    <w:rsid w:val="00E32587"/>
    <w:rsid w:val="00E329C4"/>
    <w:rsid w:val="00E33925"/>
    <w:rsid w:val="00E35378"/>
    <w:rsid w:val="00E355FC"/>
    <w:rsid w:val="00E37AA9"/>
    <w:rsid w:val="00E40CE6"/>
    <w:rsid w:val="00E40D09"/>
    <w:rsid w:val="00E41570"/>
    <w:rsid w:val="00E418A2"/>
    <w:rsid w:val="00E419D9"/>
    <w:rsid w:val="00E42EF1"/>
    <w:rsid w:val="00E43F72"/>
    <w:rsid w:val="00E44242"/>
    <w:rsid w:val="00E46840"/>
    <w:rsid w:val="00E47288"/>
    <w:rsid w:val="00E479C7"/>
    <w:rsid w:val="00E5002A"/>
    <w:rsid w:val="00E50208"/>
    <w:rsid w:val="00E52A05"/>
    <w:rsid w:val="00E5429E"/>
    <w:rsid w:val="00E55351"/>
    <w:rsid w:val="00E55511"/>
    <w:rsid w:val="00E5577A"/>
    <w:rsid w:val="00E56222"/>
    <w:rsid w:val="00E565B9"/>
    <w:rsid w:val="00E56D8C"/>
    <w:rsid w:val="00E56D8D"/>
    <w:rsid w:val="00E57F34"/>
    <w:rsid w:val="00E608C0"/>
    <w:rsid w:val="00E60F8F"/>
    <w:rsid w:val="00E6131F"/>
    <w:rsid w:val="00E618CF"/>
    <w:rsid w:val="00E62B1E"/>
    <w:rsid w:val="00E63075"/>
    <w:rsid w:val="00E631F9"/>
    <w:rsid w:val="00E6380D"/>
    <w:rsid w:val="00E63BFF"/>
    <w:rsid w:val="00E64BF6"/>
    <w:rsid w:val="00E64F2F"/>
    <w:rsid w:val="00E655FD"/>
    <w:rsid w:val="00E672A6"/>
    <w:rsid w:val="00E702AC"/>
    <w:rsid w:val="00E70B2D"/>
    <w:rsid w:val="00E70C3E"/>
    <w:rsid w:val="00E70C88"/>
    <w:rsid w:val="00E70CE4"/>
    <w:rsid w:val="00E71F4A"/>
    <w:rsid w:val="00E730E2"/>
    <w:rsid w:val="00E7510C"/>
    <w:rsid w:val="00E753FA"/>
    <w:rsid w:val="00E76890"/>
    <w:rsid w:val="00E772E4"/>
    <w:rsid w:val="00E802EE"/>
    <w:rsid w:val="00E817F5"/>
    <w:rsid w:val="00E81F02"/>
    <w:rsid w:val="00E821DA"/>
    <w:rsid w:val="00E8220B"/>
    <w:rsid w:val="00E83311"/>
    <w:rsid w:val="00E849E1"/>
    <w:rsid w:val="00E84B79"/>
    <w:rsid w:val="00E86362"/>
    <w:rsid w:val="00E8755C"/>
    <w:rsid w:val="00E90597"/>
    <w:rsid w:val="00E90FE8"/>
    <w:rsid w:val="00E91AF2"/>
    <w:rsid w:val="00E93E68"/>
    <w:rsid w:val="00E94618"/>
    <w:rsid w:val="00E95AB4"/>
    <w:rsid w:val="00EA1159"/>
    <w:rsid w:val="00EA15F6"/>
    <w:rsid w:val="00EA31BE"/>
    <w:rsid w:val="00EA4278"/>
    <w:rsid w:val="00EA4AA9"/>
    <w:rsid w:val="00EA50C8"/>
    <w:rsid w:val="00EA6654"/>
    <w:rsid w:val="00EB14DF"/>
    <w:rsid w:val="00EB16A8"/>
    <w:rsid w:val="00EB2506"/>
    <w:rsid w:val="00EB5016"/>
    <w:rsid w:val="00EB6CAB"/>
    <w:rsid w:val="00EB79C0"/>
    <w:rsid w:val="00EB7E24"/>
    <w:rsid w:val="00EC1B4C"/>
    <w:rsid w:val="00EC2B72"/>
    <w:rsid w:val="00EC3D5D"/>
    <w:rsid w:val="00EC4224"/>
    <w:rsid w:val="00EC53D1"/>
    <w:rsid w:val="00EC5B8F"/>
    <w:rsid w:val="00EC5C99"/>
    <w:rsid w:val="00EC6275"/>
    <w:rsid w:val="00EC7007"/>
    <w:rsid w:val="00ED0030"/>
    <w:rsid w:val="00ED35F7"/>
    <w:rsid w:val="00ED3FF4"/>
    <w:rsid w:val="00ED48FD"/>
    <w:rsid w:val="00ED52DD"/>
    <w:rsid w:val="00ED5881"/>
    <w:rsid w:val="00ED6773"/>
    <w:rsid w:val="00EE1633"/>
    <w:rsid w:val="00EE1A6C"/>
    <w:rsid w:val="00EE1BE6"/>
    <w:rsid w:val="00EE2741"/>
    <w:rsid w:val="00EE44D4"/>
    <w:rsid w:val="00EE4F64"/>
    <w:rsid w:val="00EE4F85"/>
    <w:rsid w:val="00EE5336"/>
    <w:rsid w:val="00EE595E"/>
    <w:rsid w:val="00EF0C03"/>
    <w:rsid w:val="00EF198B"/>
    <w:rsid w:val="00EF274F"/>
    <w:rsid w:val="00EF2E1F"/>
    <w:rsid w:val="00EF3934"/>
    <w:rsid w:val="00EF4189"/>
    <w:rsid w:val="00EF41AE"/>
    <w:rsid w:val="00EF4E83"/>
    <w:rsid w:val="00EF5473"/>
    <w:rsid w:val="00EF5501"/>
    <w:rsid w:val="00EF5DC6"/>
    <w:rsid w:val="00EF6D49"/>
    <w:rsid w:val="00EF6D92"/>
    <w:rsid w:val="00F00BE0"/>
    <w:rsid w:val="00F00C70"/>
    <w:rsid w:val="00F011E7"/>
    <w:rsid w:val="00F0140B"/>
    <w:rsid w:val="00F01825"/>
    <w:rsid w:val="00F01DA6"/>
    <w:rsid w:val="00F02013"/>
    <w:rsid w:val="00F02DB2"/>
    <w:rsid w:val="00F03B26"/>
    <w:rsid w:val="00F053AC"/>
    <w:rsid w:val="00F0545F"/>
    <w:rsid w:val="00F05AC8"/>
    <w:rsid w:val="00F06821"/>
    <w:rsid w:val="00F06A0A"/>
    <w:rsid w:val="00F07099"/>
    <w:rsid w:val="00F07E35"/>
    <w:rsid w:val="00F1040E"/>
    <w:rsid w:val="00F1096C"/>
    <w:rsid w:val="00F11502"/>
    <w:rsid w:val="00F1225B"/>
    <w:rsid w:val="00F12A3A"/>
    <w:rsid w:val="00F1379B"/>
    <w:rsid w:val="00F13B36"/>
    <w:rsid w:val="00F153A5"/>
    <w:rsid w:val="00F15875"/>
    <w:rsid w:val="00F1616A"/>
    <w:rsid w:val="00F16A4B"/>
    <w:rsid w:val="00F17842"/>
    <w:rsid w:val="00F20268"/>
    <w:rsid w:val="00F20576"/>
    <w:rsid w:val="00F209EA"/>
    <w:rsid w:val="00F20A84"/>
    <w:rsid w:val="00F216CD"/>
    <w:rsid w:val="00F217DF"/>
    <w:rsid w:val="00F252CC"/>
    <w:rsid w:val="00F25A8C"/>
    <w:rsid w:val="00F268D8"/>
    <w:rsid w:val="00F27350"/>
    <w:rsid w:val="00F27608"/>
    <w:rsid w:val="00F306A1"/>
    <w:rsid w:val="00F30D88"/>
    <w:rsid w:val="00F311D6"/>
    <w:rsid w:val="00F326A1"/>
    <w:rsid w:val="00F338A6"/>
    <w:rsid w:val="00F33DF9"/>
    <w:rsid w:val="00F33E49"/>
    <w:rsid w:val="00F3424C"/>
    <w:rsid w:val="00F34CF4"/>
    <w:rsid w:val="00F34DB5"/>
    <w:rsid w:val="00F3514E"/>
    <w:rsid w:val="00F36399"/>
    <w:rsid w:val="00F36BB8"/>
    <w:rsid w:val="00F3738C"/>
    <w:rsid w:val="00F400A3"/>
    <w:rsid w:val="00F40434"/>
    <w:rsid w:val="00F41C77"/>
    <w:rsid w:val="00F4248D"/>
    <w:rsid w:val="00F433EB"/>
    <w:rsid w:val="00F4341D"/>
    <w:rsid w:val="00F441A3"/>
    <w:rsid w:val="00F446E7"/>
    <w:rsid w:val="00F44790"/>
    <w:rsid w:val="00F44AA4"/>
    <w:rsid w:val="00F44FC9"/>
    <w:rsid w:val="00F457DD"/>
    <w:rsid w:val="00F45ECF"/>
    <w:rsid w:val="00F45F7C"/>
    <w:rsid w:val="00F46B7E"/>
    <w:rsid w:val="00F47345"/>
    <w:rsid w:val="00F50CBA"/>
    <w:rsid w:val="00F50E7B"/>
    <w:rsid w:val="00F51A98"/>
    <w:rsid w:val="00F51D28"/>
    <w:rsid w:val="00F52E6E"/>
    <w:rsid w:val="00F535E7"/>
    <w:rsid w:val="00F53F50"/>
    <w:rsid w:val="00F5444F"/>
    <w:rsid w:val="00F55525"/>
    <w:rsid w:val="00F564E0"/>
    <w:rsid w:val="00F56669"/>
    <w:rsid w:val="00F56967"/>
    <w:rsid w:val="00F57181"/>
    <w:rsid w:val="00F57BA6"/>
    <w:rsid w:val="00F60E99"/>
    <w:rsid w:val="00F613AC"/>
    <w:rsid w:val="00F62FD7"/>
    <w:rsid w:val="00F63251"/>
    <w:rsid w:val="00F63353"/>
    <w:rsid w:val="00F637B8"/>
    <w:rsid w:val="00F6491B"/>
    <w:rsid w:val="00F64B87"/>
    <w:rsid w:val="00F64CBC"/>
    <w:rsid w:val="00F64F54"/>
    <w:rsid w:val="00F6600B"/>
    <w:rsid w:val="00F67D95"/>
    <w:rsid w:val="00F7186F"/>
    <w:rsid w:val="00F721E1"/>
    <w:rsid w:val="00F728AB"/>
    <w:rsid w:val="00F757A8"/>
    <w:rsid w:val="00F7605E"/>
    <w:rsid w:val="00F767B6"/>
    <w:rsid w:val="00F76FFC"/>
    <w:rsid w:val="00F77066"/>
    <w:rsid w:val="00F77D40"/>
    <w:rsid w:val="00F80B90"/>
    <w:rsid w:val="00F83DF7"/>
    <w:rsid w:val="00F84DE3"/>
    <w:rsid w:val="00F8504F"/>
    <w:rsid w:val="00F85800"/>
    <w:rsid w:val="00F86605"/>
    <w:rsid w:val="00F86BEF"/>
    <w:rsid w:val="00F86E12"/>
    <w:rsid w:val="00F90325"/>
    <w:rsid w:val="00F90370"/>
    <w:rsid w:val="00F9122F"/>
    <w:rsid w:val="00F912F6"/>
    <w:rsid w:val="00F91F5C"/>
    <w:rsid w:val="00F92CCE"/>
    <w:rsid w:val="00F93193"/>
    <w:rsid w:val="00F93493"/>
    <w:rsid w:val="00F94744"/>
    <w:rsid w:val="00F95DDB"/>
    <w:rsid w:val="00F970B5"/>
    <w:rsid w:val="00FA0A54"/>
    <w:rsid w:val="00FA1AC0"/>
    <w:rsid w:val="00FA3971"/>
    <w:rsid w:val="00FA39F4"/>
    <w:rsid w:val="00FA530B"/>
    <w:rsid w:val="00FA54C3"/>
    <w:rsid w:val="00FA5E02"/>
    <w:rsid w:val="00FA5F97"/>
    <w:rsid w:val="00FA69E4"/>
    <w:rsid w:val="00FA76BC"/>
    <w:rsid w:val="00FA7CAA"/>
    <w:rsid w:val="00FA7DC6"/>
    <w:rsid w:val="00FB003D"/>
    <w:rsid w:val="00FB03C9"/>
    <w:rsid w:val="00FB17C5"/>
    <w:rsid w:val="00FB26E8"/>
    <w:rsid w:val="00FB36CF"/>
    <w:rsid w:val="00FB3A12"/>
    <w:rsid w:val="00FB3AF7"/>
    <w:rsid w:val="00FB4266"/>
    <w:rsid w:val="00FB49C6"/>
    <w:rsid w:val="00FB5B11"/>
    <w:rsid w:val="00FB6560"/>
    <w:rsid w:val="00FC11C1"/>
    <w:rsid w:val="00FC1843"/>
    <w:rsid w:val="00FC294D"/>
    <w:rsid w:val="00FC2DA3"/>
    <w:rsid w:val="00FC3A25"/>
    <w:rsid w:val="00FC3C99"/>
    <w:rsid w:val="00FC4251"/>
    <w:rsid w:val="00FC5648"/>
    <w:rsid w:val="00FC7014"/>
    <w:rsid w:val="00FC7B0B"/>
    <w:rsid w:val="00FC7D53"/>
    <w:rsid w:val="00FD0EDC"/>
    <w:rsid w:val="00FD2008"/>
    <w:rsid w:val="00FD2B1E"/>
    <w:rsid w:val="00FD5A5D"/>
    <w:rsid w:val="00FD686A"/>
    <w:rsid w:val="00FD6BF4"/>
    <w:rsid w:val="00FD7A81"/>
    <w:rsid w:val="00FE0F79"/>
    <w:rsid w:val="00FE3790"/>
    <w:rsid w:val="00FE3B84"/>
    <w:rsid w:val="00FE489E"/>
    <w:rsid w:val="00FE4E35"/>
    <w:rsid w:val="00FE5023"/>
    <w:rsid w:val="00FE5BB4"/>
    <w:rsid w:val="00FE7151"/>
    <w:rsid w:val="00FF0D9F"/>
    <w:rsid w:val="00FF0DC9"/>
    <w:rsid w:val="00FF2EE0"/>
    <w:rsid w:val="00FF3509"/>
    <w:rsid w:val="00FF3827"/>
    <w:rsid w:val="00FF49B8"/>
    <w:rsid w:val="00FF681C"/>
    <w:rsid w:val="00FF6E2F"/>
    <w:rsid w:val="00FF716E"/>
    <w:rsid w:val="0109253C"/>
    <w:rsid w:val="031E7295"/>
    <w:rsid w:val="0389ACD8"/>
    <w:rsid w:val="08351C02"/>
    <w:rsid w:val="08466934"/>
    <w:rsid w:val="089F3CF5"/>
    <w:rsid w:val="08EC2B9F"/>
    <w:rsid w:val="0A07B9D6"/>
    <w:rsid w:val="0C1329E1"/>
    <w:rsid w:val="0FE6615E"/>
    <w:rsid w:val="10CA19CD"/>
    <w:rsid w:val="1184550F"/>
    <w:rsid w:val="11F1BF08"/>
    <w:rsid w:val="12958D35"/>
    <w:rsid w:val="12D29568"/>
    <w:rsid w:val="1485AF39"/>
    <w:rsid w:val="14BEBCCE"/>
    <w:rsid w:val="1A303404"/>
    <w:rsid w:val="1ABFCAB3"/>
    <w:rsid w:val="1B12F097"/>
    <w:rsid w:val="1D9A9665"/>
    <w:rsid w:val="1E8797AC"/>
    <w:rsid w:val="1F4CB0F1"/>
    <w:rsid w:val="218F47C5"/>
    <w:rsid w:val="2289D130"/>
    <w:rsid w:val="2329A46E"/>
    <w:rsid w:val="258F6010"/>
    <w:rsid w:val="2BD216B6"/>
    <w:rsid w:val="2E090EA8"/>
    <w:rsid w:val="2F419480"/>
    <w:rsid w:val="2FBE105F"/>
    <w:rsid w:val="31353D4D"/>
    <w:rsid w:val="33B752ED"/>
    <w:rsid w:val="3451AFF6"/>
    <w:rsid w:val="34F829CD"/>
    <w:rsid w:val="356C4A35"/>
    <w:rsid w:val="37119FDD"/>
    <w:rsid w:val="3746619E"/>
    <w:rsid w:val="37705646"/>
    <w:rsid w:val="37B625BD"/>
    <w:rsid w:val="38B14081"/>
    <w:rsid w:val="3A536DD2"/>
    <w:rsid w:val="3A5B7302"/>
    <w:rsid w:val="3AE59CCF"/>
    <w:rsid w:val="3B32AD71"/>
    <w:rsid w:val="3C19D2C1"/>
    <w:rsid w:val="3F862922"/>
    <w:rsid w:val="413AFD42"/>
    <w:rsid w:val="41D3B78D"/>
    <w:rsid w:val="421475BA"/>
    <w:rsid w:val="426DA169"/>
    <w:rsid w:val="437F7C8F"/>
    <w:rsid w:val="45401C33"/>
    <w:rsid w:val="46694AA7"/>
    <w:rsid w:val="4A9C13B0"/>
    <w:rsid w:val="4AF670BA"/>
    <w:rsid w:val="4B09D442"/>
    <w:rsid w:val="4B2D6657"/>
    <w:rsid w:val="4BCD4212"/>
    <w:rsid w:val="4D27F756"/>
    <w:rsid w:val="4D768EA4"/>
    <w:rsid w:val="4DB56829"/>
    <w:rsid w:val="4DCC1ED5"/>
    <w:rsid w:val="4E80AA77"/>
    <w:rsid w:val="4F0BB58A"/>
    <w:rsid w:val="4F65094B"/>
    <w:rsid w:val="4F6F84D3"/>
    <w:rsid w:val="4F769D30"/>
    <w:rsid w:val="51DE0244"/>
    <w:rsid w:val="5748C5C2"/>
    <w:rsid w:val="597B3A1B"/>
    <w:rsid w:val="5B3B586E"/>
    <w:rsid w:val="5BB6CAA3"/>
    <w:rsid w:val="5E6FECC5"/>
    <w:rsid w:val="5E92733D"/>
    <w:rsid w:val="5F2DA0D8"/>
    <w:rsid w:val="61BAAEDB"/>
    <w:rsid w:val="63DC5869"/>
    <w:rsid w:val="67EC8380"/>
    <w:rsid w:val="694B6A5C"/>
    <w:rsid w:val="6980F142"/>
    <w:rsid w:val="6BA9549E"/>
    <w:rsid w:val="6F7C15A4"/>
    <w:rsid w:val="7271B874"/>
    <w:rsid w:val="7345E139"/>
    <w:rsid w:val="74F39921"/>
    <w:rsid w:val="77C55DF4"/>
    <w:rsid w:val="781EC469"/>
    <w:rsid w:val="7853290C"/>
    <w:rsid w:val="7A92F75B"/>
    <w:rsid w:val="7B49B248"/>
    <w:rsid w:val="7CE582A9"/>
    <w:rsid w:val="7D5237A6"/>
    <w:rsid w:val="7E70AFAB"/>
    <w:rsid w:val="7FF0AC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8275"/>
  <w15:chartTrackingRefBased/>
  <w15:docId w15:val="{C139C2C6-C957-480A-B294-8FB5F37F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FA3"/>
  </w:style>
  <w:style w:type="paragraph" w:styleId="Heading1">
    <w:name w:val="heading 1"/>
    <w:basedOn w:val="Normal"/>
    <w:next w:val="Normal"/>
    <w:link w:val="Heading1Char"/>
    <w:uiPriority w:val="9"/>
    <w:qFormat/>
    <w:rsid w:val="00AD3A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72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6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555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2CAD"/>
    <w:rPr>
      <w:u w:val="single"/>
    </w:rPr>
  </w:style>
  <w:style w:type="paragraph" w:customStyle="1" w:styleId="HeaderFooter">
    <w:name w:val="Header &amp; Footer"/>
    <w:rsid w:val="00052CA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
    <w:name w:val="Body"/>
    <w:rsid w:val="00052CAD"/>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rPr>
  </w:style>
  <w:style w:type="numbering" w:customStyle="1" w:styleId="ImportedStyle1">
    <w:name w:val="Imported Style 1"/>
    <w:rsid w:val="00052CAD"/>
    <w:pPr>
      <w:numPr>
        <w:numId w:val="1"/>
      </w:numPr>
    </w:pPr>
  </w:style>
  <w:style w:type="paragraph" w:customStyle="1" w:styleId="FreeForm">
    <w:name w:val="Free Form"/>
    <w:rsid w:val="00052CAD"/>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rPr>
  </w:style>
  <w:style w:type="character" w:customStyle="1" w:styleId="None">
    <w:name w:val="None"/>
    <w:rsid w:val="00052CAD"/>
  </w:style>
  <w:style w:type="character" w:customStyle="1" w:styleId="Hyperlink0">
    <w:name w:val="Hyperlink.0"/>
    <w:basedOn w:val="None"/>
    <w:rsid w:val="00052CAD"/>
    <w:rPr>
      <w:color w:val="000099"/>
      <w:u w:val="single" w:color="000099"/>
    </w:rPr>
  </w:style>
  <w:style w:type="character" w:customStyle="1" w:styleId="Hyperlink1">
    <w:name w:val="Hyperlink.1"/>
    <w:basedOn w:val="None"/>
    <w:rsid w:val="00052CAD"/>
    <w:rPr>
      <w:rFonts w:ascii="Arial" w:eastAsia="Arial" w:hAnsi="Arial" w:cs="Arial"/>
      <w:color w:val="004C7F"/>
      <w:sz w:val="20"/>
      <w:szCs w:val="20"/>
      <w:u w:val="single" w:color="004C7F"/>
    </w:rPr>
  </w:style>
  <w:style w:type="paragraph" w:styleId="BalloonText">
    <w:name w:val="Balloon Text"/>
    <w:basedOn w:val="Normal"/>
    <w:link w:val="BalloonTextChar"/>
    <w:uiPriority w:val="99"/>
    <w:semiHidden/>
    <w:unhideWhenUsed/>
    <w:rsid w:val="00052CAD"/>
    <w:pPr>
      <w:pBdr>
        <w:top w:val="nil"/>
        <w:left w:val="nil"/>
        <w:bottom w:val="nil"/>
        <w:right w:val="nil"/>
        <w:between w:val="nil"/>
        <w:bar w:val="nil"/>
      </w:pBdr>
      <w:spacing w:after="0" w:line="240" w:lineRule="auto"/>
    </w:pPr>
    <w:rPr>
      <w:rFonts w:ascii="Lucida Grande" w:eastAsia="Arial Unicode MS" w:hAnsi="Lucida Grande" w:cs="Lucida Grande"/>
      <w:sz w:val="18"/>
      <w:szCs w:val="18"/>
      <w:bdr w:val="nil"/>
      <w:lang w:val="en-US"/>
    </w:rPr>
  </w:style>
  <w:style w:type="character" w:customStyle="1" w:styleId="BalloonTextChar">
    <w:name w:val="Balloon Text Char"/>
    <w:basedOn w:val="DefaultParagraphFont"/>
    <w:link w:val="BalloonText"/>
    <w:uiPriority w:val="99"/>
    <w:semiHidden/>
    <w:rsid w:val="00052CAD"/>
    <w:rPr>
      <w:rFonts w:ascii="Lucida Grande" w:eastAsia="Arial Unicode MS" w:hAnsi="Lucida Grande" w:cs="Lucida Grande"/>
      <w:sz w:val="18"/>
      <w:szCs w:val="18"/>
      <w:bdr w:val="nil"/>
      <w:lang w:val="en-US"/>
    </w:rPr>
  </w:style>
  <w:style w:type="paragraph" w:styleId="Footer">
    <w:name w:val="footer"/>
    <w:basedOn w:val="Normal"/>
    <w:link w:val="FooterChar"/>
    <w:uiPriority w:val="99"/>
    <w:unhideWhenUsed/>
    <w:rsid w:val="00052CAD"/>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Times New Roman"/>
      <w:sz w:val="24"/>
      <w:szCs w:val="24"/>
      <w:bdr w:val="nil"/>
      <w:lang w:val="en-US"/>
    </w:rPr>
  </w:style>
  <w:style w:type="character" w:customStyle="1" w:styleId="FooterChar">
    <w:name w:val="Footer Char"/>
    <w:basedOn w:val="DefaultParagraphFont"/>
    <w:link w:val="Footer"/>
    <w:uiPriority w:val="99"/>
    <w:rsid w:val="00052CAD"/>
    <w:rPr>
      <w:rFonts w:ascii="Times New Roman" w:eastAsia="Arial Unicode MS" w:hAnsi="Times New Roman" w:cs="Times New Roman"/>
      <w:sz w:val="24"/>
      <w:szCs w:val="24"/>
      <w:bdr w:val="nil"/>
      <w:lang w:val="en-US"/>
    </w:rPr>
  </w:style>
  <w:style w:type="paragraph" w:styleId="NormalWeb">
    <w:name w:val="Normal (Web)"/>
    <w:basedOn w:val="Normal"/>
    <w:uiPriority w:val="99"/>
    <w:semiHidden/>
    <w:unhideWhenUsed/>
    <w:rsid w:val="00052C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052C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2CAD"/>
    <w:rPr>
      <w:color w:val="954F72" w:themeColor="followedHyperlink"/>
      <w:u w:val="single"/>
    </w:rPr>
  </w:style>
  <w:style w:type="character" w:customStyle="1" w:styleId="Heading1Char">
    <w:name w:val="Heading 1 Char"/>
    <w:basedOn w:val="DefaultParagraphFont"/>
    <w:link w:val="Heading1"/>
    <w:uiPriority w:val="9"/>
    <w:rsid w:val="00AD3A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72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06A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F06AC"/>
    <w:rPr>
      <w:sz w:val="16"/>
      <w:szCs w:val="16"/>
    </w:rPr>
  </w:style>
  <w:style w:type="paragraph" w:styleId="CommentText">
    <w:name w:val="annotation text"/>
    <w:basedOn w:val="Normal"/>
    <w:link w:val="CommentTextChar"/>
    <w:uiPriority w:val="99"/>
    <w:unhideWhenUsed/>
    <w:rsid w:val="003F06AC"/>
    <w:pPr>
      <w:spacing w:line="240" w:lineRule="auto"/>
    </w:pPr>
    <w:rPr>
      <w:sz w:val="20"/>
      <w:szCs w:val="20"/>
    </w:rPr>
  </w:style>
  <w:style w:type="character" w:customStyle="1" w:styleId="CommentTextChar">
    <w:name w:val="Comment Text Char"/>
    <w:basedOn w:val="DefaultParagraphFont"/>
    <w:link w:val="CommentText"/>
    <w:uiPriority w:val="99"/>
    <w:rsid w:val="003F06AC"/>
    <w:rPr>
      <w:sz w:val="20"/>
      <w:szCs w:val="20"/>
    </w:rPr>
  </w:style>
  <w:style w:type="paragraph" w:styleId="CommentSubject">
    <w:name w:val="annotation subject"/>
    <w:basedOn w:val="CommentText"/>
    <w:next w:val="CommentText"/>
    <w:link w:val="CommentSubjectChar"/>
    <w:uiPriority w:val="99"/>
    <w:semiHidden/>
    <w:unhideWhenUsed/>
    <w:rsid w:val="003F06AC"/>
    <w:rPr>
      <w:b/>
      <w:bCs/>
    </w:rPr>
  </w:style>
  <w:style w:type="character" w:customStyle="1" w:styleId="CommentSubjectChar">
    <w:name w:val="Comment Subject Char"/>
    <w:basedOn w:val="CommentTextChar"/>
    <w:link w:val="CommentSubject"/>
    <w:uiPriority w:val="99"/>
    <w:semiHidden/>
    <w:rsid w:val="003F06AC"/>
    <w:rPr>
      <w:b/>
      <w:bCs/>
      <w:sz w:val="20"/>
      <w:szCs w:val="20"/>
    </w:rPr>
  </w:style>
  <w:style w:type="paragraph" w:customStyle="1" w:styleId="EndNoteBibliographyTitle">
    <w:name w:val="EndNote Bibliography Title"/>
    <w:basedOn w:val="Normal"/>
    <w:link w:val="EndNoteBibliographyTitleChar"/>
    <w:rsid w:val="00A4605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46057"/>
    <w:rPr>
      <w:rFonts w:ascii="Calibri" w:hAnsi="Calibri" w:cs="Calibri"/>
      <w:noProof/>
      <w:lang w:val="en-US"/>
    </w:rPr>
  </w:style>
  <w:style w:type="paragraph" w:customStyle="1" w:styleId="EndNoteBibliography">
    <w:name w:val="EndNote Bibliography"/>
    <w:basedOn w:val="Normal"/>
    <w:link w:val="EndNoteBibliographyChar"/>
    <w:rsid w:val="00A4605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46057"/>
    <w:rPr>
      <w:rFonts w:ascii="Calibri" w:hAnsi="Calibri" w:cs="Calibri"/>
      <w:noProof/>
      <w:lang w:val="en-US"/>
    </w:rPr>
  </w:style>
  <w:style w:type="paragraph" w:styleId="ListParagraph">
    <w:name w:val="List Paragraph"/>
    <w:basedOn w:val="Normal"/>
    <w:uiPriority w:val="34"/>
    <w:qFormat/>
    <w:rsid w:val="00AB16B4"/>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F5552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C4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8C8"/>
  </w:style>
  <w:style w:type="character" w:customStyle="1" w:styleId="UnresolvedMention1">
    <w:name w:val="Unresolved Mention1"/>
    <w:basedOn w:val="DefaultParagraphFont"/>
    <w:uiPriority w:val="99"/>
    <w:semiHidden/>
    <w:unhideWhenUsed/>
    <w:rsid w:val="005C48C8"/>
    <w:rPr>
      <w:color w:val="605E5C"/>
      <w:shd w:val="clear" w:color="auto" w:fill="E1DFDD"/>
    </w:rPr>
  </w:style>
  <w:style w:type="character" w:styleId="Strong">
    <w:name w:val="Strong"/>
    <w:basedOn w:val="DefaultParagraphFont"/>
    <w:uiPriority w:val="22"/>
    <w:qFormat/>
    <w:rsid w:val="005C48C8"/>
    <w:rPr>
      <w:b/>
      <w:bCs/>
    </w:rPr>
  </w:style>
  <w:style w:type="paragraph" w:styleId="NoSpacing">
    <w:name w:val="No Spacing"/>
    <w:uiPriority w:val="99"/>
    <w:qFormat/>
    <w:rsid w:val="008972B6"/>
    <w:pPr>
      <w:spacing w:after="0" w:line="240" w:lineRule="auto"/>
    </w:pPr>
    <w:rPr>
      <w:rFonts w:ascii="Arial" w:eastAsia="Times New Roman" w:hAnsi="Arial" w:cs="Arial"/>
      <w:lang w:eastAsia="en-GB"/>
    </w:rPr>
  </w:style>
  <w:style w:type="paragraph" w:customStyle="1" w:styleId="Normal1">
    <w:name w:val="Normal1"/>
    <w:basedOn w:val="Normal"/>
    <w:rsid w:val="008972B6"/>
    <w:pPr>
      <w:spacing w:after="0" w:line="240" w:lineRule="auto"/>
    </w:pPr>
    <w:rPr>
      <w:rFonts w:ascii="Arial" w:eastAsia="Times New Roman" w:hAnsi="Arial" w:cs="Times New Roman"/>
      <w:sz w:val="24"/>
      <w:szCs w:val="20"/>
      <w:lang w:val="en-US"/>
    </w:rPr>
  </w:style>
  <w:style w:type="paragraph" w:customStyle="1" w:styleId="Normal2">
    <w:name w:val="Normal2"/>
    <w:basedOn w:val="Normal"/>
    <w:uiPriority w:val="99"/>
    <w:rsid w:val="008972B6"/>
    <w:pPr>
      <w:spacing w:after="0" w:line="240" w:lineRule="auto"/>
    </w:pPr>
    <w:rPr>
      <w:rFonts w:ascii="Calibri" w:eastAsia="Times New Roman" w:hAnsi="Calibri" w:cs="Times New Roman"/>
      <w:sz w:val="24"/>
      <w:szCs w:val="20"/>
      <w:lang w:val="en-US"/>
    </w:rPr>
  </w:style>
  <w:style w:type="character" w:customStyle="1" w:styleId="Style1Char">
    <w:name w:val="Style1 Char"/>
    <w:basedOn w:val="DefaultParagraphFont"/>
    <w:link w:val="Style1"/>
    <w:locked/>
    <w:rsid w:val="008972B6"/>
    <w:rPr>
      <w:rFonts w:ascii="Calibri" w:eastAsia="MS Mincho" w:hAnsi="Calibri" w:cs="Calibri"/>
      <w:b/>
      <w:smallCaps/>
      <w:color w:val="000000"/>
      <w:sz w:val="28"/>
      <w:szCs w:val="28"/>
    </w:rPr>
  </w:style>
  <w:style w:type="paragraph" w:customStyle="1" w:styleId="Style1">
    <w:name w:val="Style1"/>
    <w:basedOn w:val="Heading1"/>
    <w:next w:val="Heading2"/>
    <w:link w:val="Style1Char"/>
    <w:qFormat/>
    <w:rsid w:val="008972B6"/>
    <w:pPr>
      <w:keepLines w:val="0"/>
      <w:numPr>
        <w:numId w:val="16"/>
      </w:numPr>
      <w:spacing w:before="0" w:line="240" w:lineRule="auto"/>
      <w:jc w:val="both"/>
    </w:pPr>
    <w:rPr>
      <w:rFonts w:ascii="Calibri" w:eastAsia="MS Mincho" w:hAnsi="Calibri" w:cs="Calibri"/>
      <w:b/>
      <w:smallCaps/>
      <w:color w:val="000000"/>
      <w:sz w:val="28"/>
      <w:szCs w:val="28"/>
    </w:rPr>
  </w:style>
  <w:style w:type="table" w:styleId="LightList">
    <w:name w:val="Light List"/>
    <w:basedOn w:val="TableNormal"/>
    <w:uiPriority w:val="61"/>
    <w:semiHidden/>
    <w:unhideWhenUsed/>
    <w:rsid w:val="008972B6"/>
    <w:pPr>
      <w:spacing w:after="0" w:line="240" w:lineRule="auto"/>
    </w:pPr>
    <w:rPr>
      <w:rFonts w:ascii="Times New Roman" w:eastAsia="Times New Roman" w:hAnsi="Times New Roman" w:cs="Times New Roman"/>
      <w:sz w:val="20"/>
      <w:szCs w:val="20"/>
      <w:lang w:eastAsia="zh-CN"/>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2">
    <w:name w:val="Unresolved Mention2"/>
    <w:basedOn w:val="DefaultParagraphFont"/>
    <w:uiPriority w:val="99"/>
    <w:semiHidden/>
    <w:unhideWhenUsed/>
    <w:rsid w:val="00F94744"/>
    <w:rPr>
      <w:color w:val="605E5C"/>
      <w:shd w:val="clear" w:color="auto" w:fill="E1DFDD"/>
    </w:rPr>
  </w:style>
  <w:style w:type="paragraph" w:styleId="Revision">
    <w:name w:val="Revision"/>
    <w:hidden/>
    <w:uiPriority w:val="99"/>
    <w:semiHidden/>
    <w:rsid w:val="00EB16A8"/>
    <w:pPr>
      <w:spacing w:after="0" w:line="240" w:lineRule="auto"/>
    </w:pPr>
  </w:style>
  <w:style w:type="character" w:customStyle="1" w:styleId="UnresolvedMention3">
    <w:name w:val="Unresolved Mention3"/>
    <w:basedOn w:val="DefaultParagraphFont"/>
    <w:uiPriority w:val="99"/>
    <w:semiHidden/>
    <w:unhideWhenUsed/>
    <w:rsid w:val="00894AE8"/>
    <w:rPr>
      <w:color w:val="605E5C"/>
      <w:shd w:val="clear" w:color="auto" w:fill="E1DFDD"/>
    </w:rPr>
  </w:style>
  <w:style w:type="character" w:styleId="UnresolvedMention">
    <w:name w:val="Unresolved Mention"/>
    <w:basedOn w:val="DefaultParagraphFont"/>
    <w:uiPriority w:val="99"/>
    <w:semiHidden/>
    <w:unhideWhenUsed/>
    <w:rsid w:val="008827F1"/>
    <w:rPr>
      <w:color w:val="605E5C"/>
      <w:shd w:val="clear" w:color="auto" w:fill="E1DFDD"/>
    </w:rPr>
  </w:style>
  <w:style w:type="table" w:styleId="ListTable4">
    <w:name w:val="List Table 4"/>
    <w:basedOn w:val="TableNormal"/>
    <w:uiPriority w:val="49"/>
    <w:rsid w:val="00D777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777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Emphasis">
    <w:name w:val="Emphasis"/>
    <w:basedOn w:val="DefaultParagraphFont"/>
    <w:uiPriority w:val="20"/>
    <w:qFormat/>
    <w:rsid w:val="00B61F4A"/>
    <w:rPr>
      <w:i/>
      <w:iCs/>
    </w:rPr>
  </w:style>
  <w:style w:type="paragraph" w:styleId="Title">
    <w:name w:val="Title"/>
    <w:basedOn w:val="Normal"/>
    <w:next w:val="Normal"/>
    <w:link w:val="TitleChar"/>
    <w:uiPriority w:val="10"/>
    <w:qFormat/>
    <w:rsid w:val="001065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00"/>
    <w:rPr>
      <w:rFonts w:asciiTheme="majorHAnsi" w:eastAsiaTheme="majorEastAsia" w:hAnsiTheme="majorHAnsi" w:cstheme="majorBidi"/>
      <w:spacing w:val="-10"/>
      <w:kern w:val="28"/>
      <w:sz w:val="56"/>
      <w:szCs w:val="56"/>
    </w:rPr>
  </w:style>
  <w:style w:type="table" w:styleId="GridTable4">
    <w:name w:val="Grid Table 4"/>
    <w:basedOn w:val="TableNormal"/>
    <w:uiPriority w:val="49"/>
    <w:rsid w:val="009849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83">
      <w:bodyDiv w:val="1"/>
      <w:marLeft w:val="0"/>
      <w:marRight w:val="0"/>
      <w:marTop w:val="0"/>
      <w:marBottom w:val="0"/>
      <w:divBdr>
        <w:top w:val="none" w:sz="0" w:space="0" w:color="auto"/>
        <w:left w:val="none" w:sz="0" w:space="0" w:color="auto"/>
        <w:bottom w:val="none" w:sz="0" w:space="0" w:color="auto"/>
        <w:right w:val="none" w:sz="0" w:space="0" w:color="auto"/>
      </w:divBdr>
    </w:div>
    <w:div w:id="62652867">
      <w:bodyDiv w:val="1"/>
      <w:marLeft w:val="0"/>
      <w:marRight w:val="0"/>
      <w:marTop w:val="0"/>
      <w:marBottom w:val="0"/>
      <w:divBdr>
        <w:top w:val="none" w:sz="0" w:space="0" w:color="auto"/>
        <w:left w:val="none" w:sz="0" w:space="0" w:color="auto"/>
        <w:bottom w:val="none" w:sz="0" w:space="0" w:color="auto"/>
        <w:right w:val="none" w:sz="0" w:space="0" w:color="auto"/>
      </w:divBdr>
    </w:div>
    <w:div w:id="123937836">
      <w:bodyDiv w:val="1"/>
      <w:marLeft w:val="0"/>
      <w:marRight w:val="0"/>
      <w:marTop w:val="0"/>
      <w:marBottom w:val="0"/>
      <w:divBdr>
        <w:top w:val="none" w:sz="0" w:space="0" w:color="auto"/>
        <w:left w:val="none" w:sz="0" w:space="0" w:color="auto"/>
        <w:bottom w:val="none" w:sz="0" w:space="0" w:color="auto"/>
        <w:right w:val="none" w:sz="0" w:space="0" w:color="auto"/>
      </w:divBdr>
    </w:div>
    <w:div w:id="145055630">
      <w:bodyDiv w:val="1"/>
      <w:marLeft w:val="0"/>
      <w:marRight w:val="0"/>
      <w:marTop w:val="0"/>
      <w:marBottom w:val="0"/>
      <w:divBdr>
        <w:top w:val="none" w:sz="0" w:space="0" w:color="auto"/>
        <w:left w:val="none" w:sz="0" w:space="0" w:color="auto"/>
        <w:bottom w:val="none" w:sz="0" w:space="0" w:color="auto"/>
        <w:right w:val="none" w:sz="0" w:space="0" w:color="auto"/>
      </w:divBdr>
    </w:div>
    <w:div w:id="216405150">
      <w:bodyDiv w:val="1"/>
      <w:marLeft w:val="0"/>
      <w:marRight w:val="0"/>
      <w:marTop w:val="0"/>
      <w:marBottom w:val="0"/>
      <w:divBdr>
        <w:top w:val="none" w:sz="0" w:space="0" w:color="auto"/>
        <w:left w:val="none" w:sz="0" w:space="0" w:color="auto"/>
        <w:bottom w:val="none" w:sz="0" w:space="0" w:color="auto"/>
        <w:right w:val="none" w:sz="0" w:space="0" w:color="auto"/>
      </w:divBdr>
      <w:divsChild>
        <w:div w:id="308753509">
          <w:marLeft w:val="0"/>
          <w:marRight w:val="0"/>
          <w:marTop w:val="0"/>
          <w:marBottom w:val="0"/>
          <w:divBdr>
            <w:top w:val="none" w:sz="0" w:space="0" w:color="auto"/>
            <w:left w:val="none" w:sz="0" w:space="0" w:color="auto"/>
            <w:bottom w:val="none" w:sz="0" w:space="0" w:color="auto"/>
            <w:right w:val="none" w:sz="0" w:space="0" w:color="auto"/>
          </w:divBdr>
          <w:divsChild>
            <w:div w:id="627667816">
              <w:marLeft w:val="0"/>
              <w:marRight w:val="0"/>
              <w:marTop w:val="0"/>
              <w:marBottom w:val="0"/>
              <w:divBdr>
                <w:top w:val="none" w:sz="0" w:space="0" w:color="auto"/>
                <w:left w:val="none" w:sz="0" w:space="0" w:color="auto"/>
                <w:bottom w:val="none" w:sz="0" w:space="0" w:color="auto"/>
                <w:right w:val="none" w:sz="0" w:space="0" w:color="auto"/>
              </w:divBdr>
              <w:divsChild>
                <w:div w:id="19565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085">
      <w:bodyDiv w:val="1"/>
      <w:marLeft w:val="0"/>
      <w:marRight w:val="0"/>
      <w:marTop w:val="0"/>
      <w:marBottom w:val="0"/>
      <w:divBdr>
        <w:top w:val="none" w:sz="0" w:space="0" w:color="auto"/>
        <w:left w:val="none" w:sz="0" w:space="0" w:color="auto"/>
        <w:bottom w:val="none" w:sz="0" w:space="0" w:color="auto"/>
        <w:right w:val="none" w:sz="0" w:space="0" w:color="auto"/>
      </w:divBdr>
    </w:div>
    <w:div w:id="368189669">
      <w:bodyDiv w:val="1"/>
      <w:marLeft w:val="0"/>
      <w:marRight w:val="0"/>
      <w:marTop w:val="0"/>
      <w:marBottom w:val="0"/>
      <w:divBdr>
        <w:top w:val="none" w:sz="0" w:space="0" w:color="auto"/>
        <w:left w:val="none" w:sz="0" w:space="0" w:color="auto"/>
        <w:bottom w:val="none" w:sz="0" w:space="0" w:color="auto"/>
        <w:right w:val="none" w:sz="0" w:space="0" w:color="auto"/>
      </w:divBdr>
    </w:div>
    <w:div w:id="445463133">
      <w:bodyDiv w:val="1"/>
      <w:marLeft w:val="0"/>
      <w:marRight w:val="0"/>
      <w:marTop w:val="0"/>
      <w:marBottom w:val="0"/>
      <w:divBdr>
        <w:top w:val="none" w:sz="0" w:space="0" w:color="auto"/>
        <w:left w:val="none" w:sz="0" w:space="0" w:color="auto"/>
        <w:bottom w:val="none" w:sz="0" w:space="0" w:color="auto"/>
        <w:right w:val="none" w:sz="0" w:space="0" w:color="auto"/>
      </w:divBdr>
    </w:div>
    <w:div w:id="490869974">
      <w:bodyDiv w:val="1"/>
      <w:marLeft w:val="0"/>
      <w:marRight w:val="0"/>
      <w:marTop w:val="0"/>
      <w:marBottom w:val="0"/>
      <w:divBdr>
        <w:top w:val="none" w:sz="0" w:space="0" w:color="auto"/>
        <w:left w:val="none" w:sz="0" w:space="0" w:color="auto"/>
        <w:bottom w:val="none" w:sz="0" w:space="0" w:color="auto"/>
        <w:right w:val="none" w:sz="0" w:space="0" w:color="auto"/>
      </w:divBdr>
    </w:div>
    <w:div w:id="742878449">
      <w:bodyDiv w:val="1"/>
      <w:marLeft w:val="0"/>
      <w:marRight w:val="0"/>
      <w:marTop w:val="0"/>
      <w:marBottom w:val="0"/>
      <w:divBdr>
        <w:top w:val="none" w:sz="0" w:space="0" w:color="auto"/>
        <w:left w:val="none" w:sz="0" w:space="0" w:color="auto"/>
        <w:bottom w:val="none" w:sz="0" w:space="0" w:color="auto"/>
        <w:right w:val="none" w:sz="0" w:space="0" w:color="auto"/>
      </w:divBdr>
    </w:div>
    <w:div w:id="779838536">
      <w:bodyDiv w:val="1"/>
      <w:marLeft w:val="0"/>
      <w:marRight w:val="0"/>
      <w:marTop w:val="0"/>
      <w:marBottom w:val="0"/>
      <w:divBdr>
        <w:top w:val="none" w:sz="0" w:space="0" w:color="auto"/>
        <w:left w:val="none" w:sz="0" w:space="0" w:color="auto"/>
        <w:bottom w:val="none" w:sz="0" w:space="0" w:color="auto"/>
        <w:right w:val="none" w:sz="0" w:space="0" w:color="auto"/>
      </w:divBdr>
    </w:div>
    <w:div w:id="813722202">
      <w:bodyDiv w:val="1"/>
      <w:marLeft w:val="0"/>
      <w:marRight w:val="0"/>
      <w:marTop w:val="0"/>
      <w:marBottom w:val="0"/>
      <w:divBdr>
        <w:top w:val="none" w:sz="0" w:space="0" w:color="auto"/>
        <w:left w:val="none" w:sz="0" w:space="0" w:color="auto"/>
        <w:bottom w:val="none" w:sz="0" w:space="0" w:color="auto"/>
        <w:right w:val="none" w:sz="0" w:space="0" w:color="auto"/>
      </w:divBdr>
    </w:div>
    <w:div w:id="1057507474">
      <w:bodyDiv w:val="1"/>
      <w:marLeft w:val="0"/>
      <w:marRight w:val="0"/>
      <w:marTop w:val="0"/>
      <w:marBottom w:val="0"/>
      <w:divBdr>
        <w:top w:val="none" w:sz="0" w:space="0" w:color="auto"/>
        <w:left w:val="none" w:sz="0" w:space="0" w:color="auto"/>
        <w:bottom w:val="none" w:sz="0" w:space="0" w:color="auto"/>
        <w:right w:val="none" w:sz="0" w:space="0" w:color="auto"/>
      </w:divBdr>
    </w:div>
    <w:div w:id="1150444421">
      <w:bodyDiv w:val="1"/>
      <w:marLeft w:val="0"/>
      <w:marRight w:val="0"/>
      <w:marTop w:val="0"/>
      <w:marBottom w:val="0"/>
      <w:divBdr>
        <w:top w:val="none" w:sz="0" w:space="0" w:color="auto"/>
        <w:left w:val="none" w:sz="0" w:space="0" w:color="auto"/>
        <w:bottom w:val="none" w:sz="0" w:space="0" w:color="auto"/>
        <w:right w:val="none" w:sz="0" w:space="0" w:color="auto"/>
      </w:divBdr>
      <w:divsChild>
        <w:div w:id="2081098805">
          <w:marLeft w:val="0"/>
          <w:marRight w:val="0"/>
          <w:marTop w:val="0"/>
          <w:marBottom w:val="0"/>
          <w:divBdr>
            <w:top w:val="none" w:sz="0" w:space="0" w:color="auto"/>
            <w:left w:val="none" w:sz="0" w:space="0" w:color="auto"/>
            <w:bottom w:val="none" w:sz="0" w:space="0" w:color="auto"/>
            <w:right w:val="none" w:sz="0" w:space="0" w:color="auto"/>
          </w:divBdr>
        </w:div>
        <w:div w:id="1485925759">
          <w:marLeft w:val="0"/>
          <w:marRight w:val="0"/>
          <w:marTop w:val="0"/>
          <w:marBottom w:val="0"/>
          <w:divBdr>
            <w:top w:val="none" w:sz="0" w:space="0" w:color="auto"/>
            <w:left w:val="none" w:sz="0" w:space="0" w:color="auto"/>
            <w:bottom w:val="none" w:sz="0" w:space="0" w:color="auto"/>
            <w:right w:val="none" w:sz="0" w:space="0" w:color="auto"/>
          </w:divBdr>
        </w:div>
      </w:divsChild>
    </w:div>
    <w:div w:id="1176463108">
      <w:bodyDiv w:val="1"/>
      <w:marLeft w:val="0"/>
      <w:marRight w:val="0"/>
      <w:marTop w:val="0"/>
      <w:marBottom w:val="0"/>
      <w:divBdr>
        <w:top w:val="none" w:sz="0" w:space="0" w:color="auto"/>
        <w:left w:val="none" w:sz="0" w:space="0" w:color="auto"/>
        <w:bottom w:val="none" w:sz="0" w:space="0" w:color="auto"/>
        <w:right w:val="none" w:sz="0" w:space="0" w:color="auto"/>
      </w:divBdr>
    </w:div>
    <w:div w:id="1182933897">
      <w:bodyDiv w:val="1"/>
      <w:marLeft w:val="0"/>
      <w:marRight w:val="0"/>
      <w:marTop w:val="0"/>
      <w:marBottom w:val="0"/>
      <w:divBdr>
        <w:top w:val="none" w:sz="0" w:space="0" w:color="auto"/>
        <w:left w:val="none" w:sz="0" w:space="0" w:color="auto"/>
        <w:bottom w:val="none" w:sz="0" w:space="0" w:color="auto"/>
        <w:right w:val="none" w:sz="0" w:space="0" w:color="auto"/>
      </w:divBdr>
      <w:divsChild>
        <w:div w:id="627779134">
          <w:marLeft w:val="0"/>
          <w:marRight w:val="0"/>
          <w:marTop w:val="0"/>
          <w:marBottom w:val="0"/>
          <w:divBdr>
            <w:top w:val="none" w:sz="0" w:space="0" w:color="auto"/>
            <w:left w:val="none" w:sz="0" w:space="0" w:color="auto"/>
            <w:bottom w:val="none" w:sz="0" w:space="0" w:color="auto"/>
            <w:right w:val="none" w:sz="0" w:space="0" w:color="auto"/>
          </w:divBdr>
        </w:div>
        <w:div w:id="833882148">
          <w:marLeft w:val="0"/>
          <w:marRight w:val="0"/>
          <w:marTop w:val="0"/>
          <w:marBottom w:val="0"/>
          <w:divBdr>
            <w:top w:val="none" w:sz="0" w:space="0" w:color="auto"/>
            <w:left w:val="none" w:sz="0" w:space="0" w:color="auto"/>
            <w:bottom w:val="none" w:sz="0" w:space="0" w:color="auto"/>
            <w:right w:val="none" w:sz="0" w:space="0" w:color="auto"/>
          </w:divBdr>
        </w:div>
      </w:divsChild>
    </w:div>
    <w:div w:id="1197894060">
      <w:bodyDiv w:val="1"/>
      <w:marLeft w:val="0"/>
      <w:marRight w:val="0"/>
      <w:marTop w:val="0"/>
      <w:marBottom w:val="0"/>
      <w:divBdr>
        <w:top w:val="none" w:sz="0" w:space="0" w:color="auto"/>
        <w:left w:val="none" w:sz="0" w:space="0" w:color="auto"/>
        <w:bottom w:val="none" w:sz="0" w:space="0" w:color="auto"/>
        <w:right w:val="none" w:sz="0" w:space="0" w:color="auto"/>
      </w:divBdr>
    </w:div>
    <w:div w:id="1202086061">
      <w:bodyDiv w:val="1"/>
      <w:marLeft w:val="0"/>
      <w:marRight w:val="0"/>
      <w:marTop w:val="0"/>
      <w:marBottom w:val="0"/>
      <w:divBdr>
        <w:top w:val="none" w:sz="0" w:space="0" w:color="auto"/>
        <w:left w:val="none" w:sz="0" w:space="0" w:color="auto"/>
        <w:bottom w:val="none" w:sz="0" w:space="0" w:color="auto"/>
        <w:right w:val="none" w:sz="0" w:space="0" w:color="auto"/>
      </w:divBdr>
    </w:div>
    <w:div w:id="1359816957">
      <w:bodyDiv w:val="1"/>
      <w:marLeft w:val="0"/>
      <w:marRight w:val="0"/>
      <w:marTop w:val="0"/>
      <w:marBottom w:val="0"/>
      <w:divBdr>
        <w:top w:val="none" w:sz="0" w:space="0" w:color="auto"/>
        <w:left w:val="none" w:sz="0" w:space="0" w:color="auto"/>
        <w:bottom w:val="none" w:sz="0" w:space="0" w:color="auto"/>
        <w:right w:val="none" w:sz="0" w:space="0" w:color="auto"/>
      </w:divBdr>
    </w:div>
    <w:div w:id="1416129562">
      <w:bodyDiv w:val="1"/>
      <w:marLeft w:val="0"/>
      <w:marRight w:val="0"/>
      <w:marTop w:val="0"/>
      <w:marBottom w:val="0"/>
      <w:divBdr>
        <w:top w:val="none" w:sz="0" w:space="0" w:color="auto"/>
        <w:left w:val="none" w:sz="0" w:space="0" w:color="auto"/>
        <w:bottom w:val="none" w:sz="0" w:space="0" w:color="auto"/>
        <w:right w:val="none" w:sz="0" w:space="0" w:color="auto"/>
      </w:divBdr>
    </w:div>
    <w:div w:id="1424303803">
      <w:bodyDiv w:val="1"/>
      <w:marLeft w:val="0"/>
      <w:marRight w:val="0"/>
      <w:marTop w:val="0"/>
      <w:marBottom w:val="0"/>
      <w:divBdr>
        <w:top w:val="none" w:sz="0" w:space="0" w:color="auto"/>
        <w:left w:val="none" w:sz="0" w:space="0" w:color="auto"/>
        <w:bottom w:val="none" w:sz="0" w:space="0" w:color="auto"/>
        <w:right w:val="none" w:sz="0" w:space="0" w:color="auto"/>
      </w:divBdr>
    </w:div>
    <w:div w:id="1523275954">
      <w:bodyDiv w:val="1"/>
      <w:marLeft w:val="0"/>
      <w:marRight w:val="0"/>
      <w:marTop w:val="0"/>
      <w:marBottom w:val="0"/>
      <w:divBdr>
        <w:top w:val="none" w:sz="0" w:space="0" w:color="auto"/>
        <w:left w:val="none" w:sz="0" w:space="0" w:color="auto"/>
        <w:bottom w:val="none" w:sz="0" w:space="0" w:color="auto"/>
        <w:right w:val="none" w:sz="0" w:space="0" w:color="auto"/>
      </w:divBdr>
    </w:div>
    <w:div w:id="1594361398">
      <w:bodyDiv w:val="1"/>
      <w:marLeft w:val="0"/>
      <w:marRight w:val="0"/>
      <w:marTop w:val="0"/>
      <w:marBottom w:val="0"/>
      <w:divBdr>
        <w:top w:val="none" w:sz="0" w:space="0" w:color="auto"/>
        <w:left w:val="none" w:sz="0" w:space="0" w:color="auto"/>
        <w:bottom w:val="none" w:sz="0" w:space="0" w:color="auto"/>
        <w:right w:val="none" w:sz="0" w:space="0" w:color="auto"/>
      </w:divBdr>
    </w:div>
    <w:div w:id="1641421373">
      <w:bodyDiv w:val="1"/>
      <w:marLeft w:val="0"/>
      <w:marRight w:val="0"/>
      <w:marTop w:val="0"/>
      <w:marBottom w:val="0"/>
      <w:divBdr>
        <w:top w:val="none" w:sz="0" w:space="0" w:color="auto"/>
        <w:left w:val="none" w:sz="0" w:space="0" w:color="auto"/>
        <w:bottom w:val="none" w:sz="0" w:space="0" w:color="auto"/>
        <w:right w:val="none" w:sz="0" w:space="0" w:color="auto"/>
      </w:divBdr>
      <w:divsChild>
        <w:div w:id="2138141321">
          <w:marLeft w:val="0"/>
          <w:marRight w:val="0"/>
          <w:marTop w:val="0"/>
          <w:marBottom w:val="0"/>
          <w:divBdr>
            <w:top w:val="none" w:sz="0" w:space="0" w:color="auto"/>
            <w:left w:val="none" w:sz="0" w:space="0" w:color="auto"/>
            <w:bottom w:val="none" w:sz="0" w:space="0" w:color="auto"/>
            <w:right w:val="none" w:sz="0" w:space="0" w:color="auto"/>
          </w:divBdr>
        </w:div>
        <w:div w:id="174463601">
          <w:marLeft w:val="0"/>
          <w:marRight w:val="0"/>
          <w:marTop w:val="0"/>
          <w:marBottom w:val="0"/>
          <w:divBdr>
            <w:top w:val="none" w:sz="0" w:space="0" w:color="auto"/>
            <w:left w:val="none" w:sz="0" w:space="0" w:color="auto"/>
            <w:bottom w:val="none" w:sz="0" w:space="0" w:color="auto"/>
            <w:right w:val="none" w:sz="0" w:space="0" w:color="auto"/>
          </w:divBdr>
        </w:div>
      </w:divsChild>
    </w:div>
    <w:div w:id="1690988793">
      <w:bodyDiv w:val="1"/>
      <w:marLeft w:val="0"/>
      <w:marRight w:val="0"/>
      <w:marTop w:val="0"/>
      <w:marBottom w:val="0"/>
      <w:divBdr>
        <w:top w:val="none" w:sz="0" w:space="0" w:color="auto"/>
        <w:left w:val="none" w:sz="0" w:space="0" w:color="auto"/>
        <w:bottom w:val="none" w:sz="0" w:space="0" w:color="auto"/>
        <w:right w:val="none" w:sz="0" w:space="0" w:color="auto"/>
      </w:divBdr>
    </w:div>
    <w:div w:id="1721317352">
      <w:bodyDiv w:val="1"/>
      <w:marLeft w:val="0"/>
      <w:marRight w:val="0"/>
      <w:marTop w:val="0"/>
      <w:marBottom w:val="0"/>
      <w:divBdr>
        <w:top w:val="none" w:sz="0" w:space="0" w:color="auto"/>
        <w:left w:val="none" w:sz="0" w:space="0" w:color="auto"/>
        <w:bottom w:val="none" w:sz="0" w:space="0" w:color="auto"/>
        <w:right w:val="none" w:sz="0" w:space="0" w:color="auto"/>
      </w:divBdr>
    </w:div>
    <w:div w:id="1744137302">
      <w:bodyDiv w:val="1"/>
      <w:marLeft w:val="0"/>
      <w:marRight w:val="0"/>
      <w:marTop w:val="0"/>
      <w:marBottom w:val="0"/>
      <w:divBdr>
        <w:top w:val="none" w:sz="0" w:space="0" w:color="auto"/>
        <w:left w:val="none" w:sz="0" w:space="0" w:color="auto"/>
        <w:bottom w:val="none" w:sz="0" w:space="0" w:color="auto"/>
        <w:right w:val="none" w:sz="0" w:space="0" w:color="auto"/>
      </w:divBdr>
    </w:div>
    <w:div w:id="1751272518">
      <w:bodyDiv w:val="1"/>
      <w:marLeft w:val="0"/>
      <w:marRight w:val="0"/>
      <w:marTop w:val="0"/>
      <w:marBottom w:val="0"/>
      <w:divBdr>
        <w:top w:val="none" w:sz="0" w:space="0" w:color="auto"/>
        <w:left w:val="none" w:sz="0" w:space="0" w:color="auto"/>
        <w:bottom w:val="none" w:sz="0" w:space="0" w:color="auto"/>
        <w:right w:val="none" w:sz="0" w:space="0" w:color="auto"/>
      </w:divBdr>
    </w:div>
    <w:div w:id="1776903574">
      <w:bodyDiv w:val="1"/>
      <w:marLeft w:val="0"/>
      <w:marRight w:val="0"/>
      <w:marTop w:val="0"/>
      <w:marBottom w:val="0"/>
      <w:divBdr>
        <w:top w:val="none" w:sz="0" w:space="0" w:color="auto"/>
        <w:left w:val="none" w:sz="0" w:space="0" w:color="auto"/>
        <w:bottom w:val="none" w:sz="0" w:space="0" w:color="auto"/>
        <w:right w:val="none" w:sz="0" w:space="0" w:color="auto"/>
      </w:divBdr>
    </w:div>
    <w:div w:id="1802961136">
      <w:bodyDiv w:val="1"/>
      <w:marLeft w:val="0"/>
      <w:marRight w:val="0"/>
      <w:marTop w:val="0"/>
      <w:marBottom w:val="0"/>
      <w:divBdr>
        <w:top w:val="none" w:sz="0" w:space="0" w:color="auto"/>
        <w:left w:val="none" w:sz="0" w:space="0" w:color="auto"/>
        <w:bottom w:val="none" w:sz="0" w:space="0" w:color="auto"/>
        <w:right w:val="none" w:sz="0" w:space="0" w:color="auto"/>
      </w:divBdr>
    </w:div>
    <w:div w:id="1808207538">
      <w:bodyDiv w:val="1"/>
      <w:marLeft w:val="0"/>
      <w:marRight w:val="0"/>
      <w:marTop w:val="0"/>
      <w:marBottom w:val="0"/>
      <w:divBdr>
        <w:top w:val="none" w:sz="0" w:space="0" w:color="auto"/>
        <w:left w:val="none" w:sz="0" w:space="0" w:color="auto"/>
        <w:bottom w:val="none" w:sz="0" w:space="0" w:color="auto"/>
        <w:right w:val="none" w:sz="0" w:space="0" w:color="auto"/>
      </w:divBdr>
    </w:div>
    <w:div w:id="1820919990">
      <w:bodyDiv w:val="1"/>
      <w:marLeft w:val="0"/>
      <w:marRight w:val="0"/>
      <w:marTop w:val="0"/>
      <w:marBottom w:val="0"/>
      <w:divBdr>
        <w:top w:val="none" w:sz="0" w:space="0" w:color="auto"/>
        <w:left w:val="none" w:sz="0" w:space="0" w:color="auto"/>
        <w:bottom w:val="none" w:sz="0" w:space="0" w:color="auto"/>
        <w:right w:val="none" w:sz="0" w:space="0" w:color="auto"/>
      </w:divBdr>
    </w:div>
    <w:div w:id="1882479156">
      <w:bodyDiv w:val="1"/>
      <w:marLeft w:val="0"/>
      <w:marRight w:val="0"/>
      <w:marTop w:val="0"/>
      <w:marBottom w:val="0"/>
      <w:divBdr>
        <w:top w:val="none" w:sz="0" w:space="0" w:color="auto"/>
        <w:left w:val="none" w:sz="0" w:space="0" w:color="auto"/>
        <w:bottom w:val="none" w:sz="0" w:space="0" w:color="auto"/>
        <w:right w:val="none" w:sz="0" w:space="0" w:color="auto"/>
      </w:divBdr>
    </w:div>
    <w:div w:id="2048989770">
      <w:bodyDiv w:val="1"/>
      <w:marLeft w:val="0"/>
      <w:marRight w:val="0"/>
      <w:marTop w:val="0"/>
      <w:marBottom w:val="0"/>
      <w:divBdr>
        <w:top w:val="none" w:sz="0" w:space="0" w:color="auto"/>
        <w:left w:val="none" w:sz="0" w:space="0" w:color="auto"/>
        <w:bottom w:val="none" w:sz="0" w:space="0" w:color="auto"/>
        <w:right w:val="none" w:sz="0" w:space="0" w:color="auto"/>
      </w:divBdr>
    </w:div>
    <w:div w:id="2052654585">
      <w:bodyDiv w:val="1"/>
      <w:marLeft w:val="0"/>
      <w:marRight w:val="0"/>
      <w:marTop w:val="0"/>
      <w:marBottom w:val="0"/>
      <w:divBdr>
        <w:top w:val="none" w:sz="0" w:space="0" w:color="auto"/>
        <w:left w:val="none" w:sz="0" w:space="0" w:color="auto"/>
        <w:bottom w:val="none" w:sz="0" w:space="0" w:color="auto"/>
        <w:right w:val="none" w:sz="0" w:space="0" w:color="auto"/>
      </w:divBdr>
    </w:div>
    <w:div w:id="2059276980">
      <w:bodyDiv w:val="1"/>
      <w:marLeft w:val="0"/>
      <w:marRight w:val="0"/>
      <w:marTop w:val="0"/>
      <w:marBottom w:val="0"/>
      <w:divBdr>
        <w:top w:val="none" w:sz="0" w:space="0" w:color="auto"/>
        <w:left w:val="none" w:sz="0" w:space="0" w:color="auto"/>
        <w:bottom w:val="none" w:sz="0" w:space="0" w:color="auto"/>
        <w:right w:val="none" w:sz="0" w:space="0" w:color="auto"/>
      </w:divBdr>
    </w:div>
    <w:div w:id="2105178876">
      <w:bodyDiv w:val="1"/>
      <w:marLeft w:val="0"/>
      <w:marRight w:val="0"/>
      <w:marTop w:val="0"/>
      <w:marBottom w:val="0"/>
      <w:divBdr>
        <w:top w:val="none" w:sz="0" w:space="0" w:color="auto"/>
        <w:left w:val="none" w:sz="0" w:space="0" w:color="auto"/>
        <w:bottom w:val="none" w:sz="0" w:space="0" w:color="auto"/>
        <w:right w:val="none" w:sz="0" w:space="0" w:color="auto"/>
      </w:divBdr>
    </w:div>
    <w:div w:id="2112698010">
      <w:bodyDiv w:val="1"/>
      <w:marLeft w:val="0"/>
      <w:marRight w:val="0"/>
      <w:marTop w:val="0"/>
      <w:marBottom w:val="0"/>
      <w:divBdr>
        <w:top w:val="none" w:sz="0" w:space="0" w:color="auto"/>
        <w:left w:val="none" w:sz="0" w:space="0" w:color="auto"/>
        <w:bottom w:val="none" w:sz="0" w:space="0" w:color="auto"/>
        <w:right w:val="none" w:sz="0" w:space="0" w:color="auto"/>
      </w:divBdr>
    </w:div>
    <w:div w:id="2118981022">
      <w:bodyDiv w:val="1"/>
      <w:marLeft w:val="0"/>
      <w:marRight w:val="0"/>
      <w:marTop w:val="0"/>
      <w:marBottom w:val="0"/>
      <w:divBdr>
        <w:top w:val="none" w:sz="0" w:space="0" w:color="auto"/>
        <w:left w:val="none" w:sz="0" w:space="0" w:color="auto"/>
        <w:bottom w:val="none" w:sz="0" w:space="0" w:color="auto"/>
        <w:right w:val="none" w:sz="0" w:space="0" w:color="auto"/>
      </w:divBdr>
    </w:div>
    <w:div w:id="21445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trics.com/security-stat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gertips.phe.org.uk/profile/general-practice/da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eople.umass.edu/aizen/pdf/tpb.measur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Bishop@southampton.ac.uk" TargetMode="External"/><Relationship Id="rId5" Type="http://schemas.openxmlformats.org/officeDocument/2006/relationships/numbering" Target="numbering.xml"/><Relationship Id="rId15" Type="http://schemas.openxmlformats.org/officeDocument/2006/relationships/hyperlink" Target="https://credit.nis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mj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D376DE9BDA924EAA6F3AD189B56647" ma:contentTypeVersion="4" ma:contentTypeDescription="Create a new document." ma:contentTypeScope="" ma:versionID="cf902692e59482fb9428a1f25f8c2c46">
  <xsd:schema xmlns:xsd="http://www.w3.org/2001/XMLSchema" xmlns:xs="http://www.w3.org/2001/XMLSchema" xmlns:p="http://schemas.microsoft.com/office/2006/metadata/properties" xmlns:ns2="89c6fdbb-57fe-44dc-b207-34a27d451c18" targetNamespace="http://schemas.microsoft.com/office/2006/metadata/properties" ma:root="true" ma:fieldsID="1f9e2efae985297b6a2197270994f377" ns2:_="">
    <xsd:import namespace="89c6fdbb-57fe-44dc-b207-34a27d451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fdbb-57fe-44dc-b207-34a27d45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11C90-9987-4CB2-A726-D04CC6861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44A76E-E7B4-475C-9265-AEFC38C14264}">
  <ds:schemaRefs>
    <ds:schemaRef ds:uri="http://schemas.openxmlformats.org/officeDocument/2006/bibliography"/>
  </ds:schemaRefs>
</ds:datastoreItem>
</file>

<file path=customXml/itemProps3.xml><?xml version="1.0" encoding="utf-8"?>
<ds:datastoreItem xmlns:ds="http://schemas.openxmlformats.org/officeDocument/2006/customXml" ds:itemID="{982789F1-F3CB-457F-A7DE-960E2618A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fdbb-57fe-44dc-b207-34a27d451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29DFD-0B58-4D7A-8EA5-3FA4DFE14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10040</Words>
  <Characters>57232</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67138</CharactersWithSpaces>
  <SharedDoc>false</SharedDoc>
  <HLinks>
    <vt:vector size="102" baseType="variant">
      <vt:variant>
        <vt:i4>5308427</vt:i4>
      </vt:variant>
      <vt:variant>
        <vt:i4>571</vt:i4>
      </vt:variant>
      <vt:variant>
        <vt:i4>0</vt:i4>
      </vt:variant>
      <vt:variant>
        <vt:i4>5</vt:i4>
      </vt:variant>
      <vt:variant>
        <vt:lpwstr>https://doi.org/10.1016/j.pec.2018.03.009</vt:lpwstr>
      </vt:variant>
      <vt:variant>
        <vt:lpwstr/>
      </vt:variant>
      <vt:variant>
        <vt:i4>2031629</vt:i4>
      </vt:variant>
      <vt:variant>
        <vt:i4>568</vt:i4>
      </vt:variant>
      <vt:variant>
        <vt:i4>0</vt:i4>
      </vt:variant>
      <vt:variant>
        <vt:i4>5</vt:i4>
      </vt:variant>
      <vt:variant>
        <vt:lpwstr>http://www.gesundheitsrisiko.de/docs/RACKEnglish.pdf</vt:lpwstr>
      </vt:variant>
      <vt:variant>
        <vt:lpwstr/>
      </vt:variant>
      <vt:variant>
        <vt:i4>393224</vt:i4>
      </vt:variant>
      <vt:variant>
        <vt:i4>565</vt:i4>
      </vt:variant>
      <vt:variant>
        <vt:i4>0</vt:i4>
      </vt:variant>
      <vt:variant>
        <vt:i4>5</vt:i4>
      </vt:variant>
      <vt:variant>
        <vt:lpwstr>https://doi.org/10.1016/S0001-6918(99)00050-5</vt:lpwstr>
      </vt:variant>
      <vt:variant>
        <vt:lpwstr/>
      </vt:variant>
      <vt:variant>
        <vt:i4>5963855</vt:i4>
      </vt:variant>
      <vt:variant>
        <vt:i4>562</vt:i4>
      </vt:variant>
      <vt:variant>
        <vt:i4>0</vt:i4>
      </vt:variant>
      <vt:variant>
        <vt:i4>5</vt:i4>
      </vt:variant>
      <vt:variant>
        <vt:lpwstr>https://doi.org/10.1016/j.invent.2018.03.006</vt:lpwstr>
      </vt:variant>
      <vt:variant>
        <vt:lpwstr/>
      </vt:variant>
      <vt:variant>
        <vt:i4>1966105</vt:i4>
      </vt:variant>
      <vt:variant>
        <vt:i4>559</vt:i4>
      </vt:variant>
      <vt:variant>
        <vt:i4>0</vt:i4>
      </vt:variant>
      <vt:variant>
        <vt:i4>5</vt:i4>
      </vt:variant>
      <vt:variant>
        <vt:lpwstr>https://www.who.int/standards/classifications/classification-of-diseases</vt:lpwstr>
      </vt:variant>
      <vt:variant>
        <vt:lpwstr/>
      </vt:variant>
      <vt:variant>
        <vt:i4>3211299</vt:i4>
      </vt:variant>
      <vt:variant>
        <vt:i4>556</vt:i4>
      </vt:variant>
      <vt:variant>
        <vt:i4>0</vt:i4>
      </vt:variant>
      <vt:variant>
        <vt:i4>5</vt:i4>
      </vt:variant>
      <vt:variant>
        <vt:lpwstr>https://www.nihr.ac.uk/documents/centre-for-engagement-and-dissemination-recognition-payments-for-public-contributors/24979</vt:lpwstr>
      </vt:variant>
      <vt:variant>
        <vt:lpwstr/>
      </vt:variant>
      <vt:variant>
        <vt:i4>2883694</vt:i4>
      </vt:variant>
      <vt:variant>
        <vt:i4>553</vt:i4>
      </vt:variant>
      <vt:variant>
        <vt:i4>0</vt:i4>
      </vt:variant>
      <vt:variant>
        <vt:i4>5</vt:i4>
      </vt:variant>
      <vt:variant>
        <vt:lpwstr>https://www.gp-patient.co.uk/downloads/2021/GPPS_2021_National_infographic_PUBLIC.pdf</vt:lpwstr>
      </vt:variant>
      <vt:variant>
        <vt:lpwstr/>
      </vt:variant>
      <vt:variant>
        <vt:i4>1638426</vt:i4>
      </vt:variant>
      <vt:variant>
        <vt:i4>550</vt:i4>
      </vt:variant>
      <vt:variant>
        <vt:i4>0</vt:i4>
      </vt:variant>
      <vt:variant>
        <vt:i4>5</vt:i4>
      </vt:variant>
      <vt:variant>
        <vt:lpwstr>http://dx.doi.org/10.1071/PY11154</vt:lpwstr>
      </vt:variant>
      <vt:variant>
        <vt:lpwstr/>
      </vt:variant>
      <vt:variant>
        <vt:i4>3473514</vt:i4>
      </vt:variant>
      <vt:variant>
        <vt:i4>547</vt:i4>
      </vt:variant>
      <vt:variant>
        <vt:i4>0</vt:i4>
      </vt:variant>
      <vt:variant>
        <vt:i4>5</vt:i4>
      </vt:variant>
      <vt:variant>
        <vt:lpwstr>http://dx.doi.org/10.1016/j.amjmed.2005.01.060</vt:lpwstr>
      </vt:variant>
      <vt:variant>
        <vt:lpwstr/>
      </vt:variant>
      <vt:variant>
        <vt:i4>1900633</vt:i4>
      </vt:variant>
      <vt:variant>
        <vt:i4>544</vt:i4>
      </vt:variant>
      <vt:variant>
        <vt:i4>0</vt:i4>
      </vt:variant>
      <vt:variant>
        <vt:i4>5</vt:i4>
      </vt:variant>
      <vt:variant>
        <vt:lpwstr>https://pathways.nice.org.uk/pathways/musculoskeletal-conditions</vt:lpwstr>
      </vt:variant>
      <vt:variant>
        <vt:lpwstr/>
      </vt:variant>
      <vt:variant>
        <vt:i4>4718600</vt:i4>
      </vt:variant>
      <vt:variant>
        <vt:i4>515</vt:i4>
      </vt:variant>
      <vt:variant>
        <vt:i4>0</vt:i4>
      </vt:variant>
      <vt:variant>
        <vt:i4>5</vt:i4>
      </vt:variant>
      <vt:variant>
        <vt:lpwstr>https://www.qualtrics.com/security-statement/</vt:lpwstr>
      </vt:variant>
      <vt:variant>
        <vt:lpwstr/>
      </vt:variant>
      <vt:variant>
        <vt:i4>1703938</vt:i4>
      </vt:variant>
      <vt:variant>
        <vt:i4>452</vt:i4>
      </vt:variant>
      <vt:variant>
        <vt:i4>0</vt:i4>
      </vt:variant>
      <vt:variant>
        <vt:i4>5</vt:i4>
      </vt:variant>
      <vt:variant>
        <vt:lpwstr>https://fingertips.phe.org.uk/profile/general-practice/data</vt:lpwstr>
      </vt:variant>
      <vt:variant>
        <vt:lpwstr>page/8</vt:lpwstr>
      </vt:variant>
      <vt:variant>
        <vt:i4>7209052</vt:i4>
      </vt:variant>
      <vt:variant>
        <vt:i4>47</vt:i4>
      </vt:variant>
      <vt:variant>
        <vt:i4>0</vt:i4>
      </vt:variant>
      <vt:variant>
        <vt:i4>5</vt:i4>
      </vt:variant>
      <vt:variant>
        <vt:lpwstr>mailto:amg1u22@soton.ac.uk</vt:lpwstr>
      </vt:variant>
      <vt:variant>
        <vt:lpwstr/>
      </vt:variant>
      <vt:variant>
        <vt:i4>7274582</vt:i4>
      </vt:variant>
      <vt:variant>
        <vt:i4>44</vt:i4>
      </vt:variant>
      <vt:variant>
        <vt:i4>0</vt:i4>
      </vt:variant>
      <vt:variant>
        <vt:i4>5</vt:i4>
      </vt:variant>
      <vt:variant>
        <vt:lpwstr>mailto:sf4n22@soton.ac.uk</vt:lpwstr>
      </vt:variant>
      <vt:variant>
        <vt:lpwstr/>
      </vt:variant>
      <vt:variant>
        <vt:i4>7340125</vt:i4>
      </vt:variant>
      <vt:variant>
        <vt:i4>41</vt:i4>
      </vt:variant>
      <vt:variant>
        <vt:i4>0</vt:i4>
      </vt:variant>
      <vt:variant>
        <vt:i4>5</vt:i4>
      </vt:variant>
      <vt:variant>
        <vt:lpwstr>mailto:id1g22@soton.ac.uk</vt:lpwstr>
      </vt:variant>
      <vt:variant>
        <vt:lpwstr/>
      </vt:variant>
      <vt:variant>
        <vt:i4>5242991</vt:i4>
      </vt:variant>
      <vt:variant>
        <vt:i4>38</vt:i4>
      </vt:variant>
      <vt:variant>
        <vt:i4>0</vt:i4>
      </vt:variant>
      <vt:variant>
        <vt:i4>5</vt:i4>
      </vt:variant>
      <vt:variant>
        <vt:lpwstr>mailto:r.v.dewar-haggart@soton.ac.uk</vt:lpwstr>
      </vt:variant>
      <vt:variant>
        <vt:lpwstr/>
      </vt:variant>
      <vt:variant>
        <vt:i4>5242945</vt:i4>
      </vt:variant>
      <vt:variant>
        <vt:i4>35</vt:i4>
      </vt:variant>
      <vt:variant>
        <vt:i4>0</vt:i4>
      </vt:variant>
      <vt:variant>
        <vt:i4>5</vt:i4>
      </vt:variant>
      <vt:variant>
        <vt:lpwstr>https://www.spirit-statement.org/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Flis Bishop</dc:creator>
  <cp:keywords/>
  <dc:description/>
  <cp:lastModifiedBy>Jane Cousins</cp:lastModifiedBy>
  <cp:revision>2</cp:revision>
  <dcterms:created xsi:type="dcterms:W3CDTF">2024-03-05T14:36:00Z</dcterms:created>
  <dcterms:modified xsi:type="dcterms:W3CDTF">2024-03-05T14:36:00Z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0x01010051D376DE9BDA924EAA6F3AD189B56647</vt:lpwstr>
  </property>
  <property fmtid="{D5CDD505-2E9C-101B-9397-08002B2CF9AE}" pid="3" name="GrammarlyDocumentId">
    <vt:lpwstr>ffc01c7ba8c896abecd5c8bfa5a68dbff9868c90d020fe60f78b00178d933d12</vt:lpwstr>
  </property>
</Properties>
</file>