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7265" w14:textId="77777777" w:rsidR="00D47EA5" w:rsidRPr="006453D9" w:rsidRDefault="00D47EA5" w:rsidP="00D47EA5">
      <w:pPr>
        <w:pStyle w:val="MDPI11articletype"/>
      </w:pPr>
      <w:r w:rsidRPr="006453D9">
        <w:t>Review</w:t>
      </w:r>
    </w:p>
    <w:p w14:paraId="0E9447BD" w14:textId="59836A16" w:rsidR="001B341B" w:rsidRDefault="00A8670E" w:rsidP="00D47EA5">
      <w:pPr>
        <w:pStyle w:val="MDPI13authornames"/>
        <w:rPr>
          <w:snapToGrid w:val="0"/>
          <w:sz w:val="36"/>
          <w:szCs w:val="20"/>
        </w:rPr>
      </w:pPr>
      <w:r>
        <w:rPr>
          <w:snapToGrid w:val="0"/>
          <w:sz w:val="36"/>
          <w:szCs w:val="20"/>
        </w:rPr>
        <w:t>Omega-3 (N</w:t>
      </w:r>
      <w:r w:rsidR="001B341B">
        <w:rPr>
          <w:snapToGrid w:val="0"/>
          <w:sz w:val="36"/>
          <w:szCs w:val="20"/>
        </w:rPr>
        <w:t>-3) Fatty Acid-Statin I</w:t>
      </w:r>
      <w:r w:rsidR="001B341B" w:rsidRPr="001B341B">
        <w:rPr>
          <w:snapToGrid w:val="0"/>
          <w:sz w:val="36"/>
          <w:szCs w:val="20"/>
        </w:rPr>
        <w:t xml:space="preserve">nteraction: </w:t>
      </w:r>
      <w:r w:rsidR="0075186F">
        <w:rPr>
          <w:snapToGrid w:val="0"/>
          <w:sz w:val="36"/>
          <w:szCs w:val="20"/>
        </w:rPr>
        <w:t>Evidence for a</w:t>
      </w:r>
      <w:r w:rsidR="001B341B" w:rsidRPr="001B341B">
        <w:rPr>
          <w:snapToGrid w:val="0"/>
          <w:sz w:val="36"/>
          <w:szCs w:val="20"/>
        </w:rPr>
        <w:t xml:space="preserve"> Novel Therapeu</w:t>
      </w:r>
      <w:r w:rsidR="001B341B">
        <w:rPr>
          <w:snapToGrid w:val="0"/>
          <w:sz w:val="36"/>
          <w:szCs w:val="20"/>
        </w:rPr>
        <w:t>tic Strategy f</w:t>
      </w:r>
      <w:r w:rsidR="001B341B" w:rsidRPr="001B341B">
        <w:rPr>
          <w:snapToGrid w:val="0"/>
          <w:sz w:val="36"/>
          <w:szCs w:val="20"/>
        </w:rPr>
        <w:t xml:space="preserve">or Atherosclerotic Cardiovascular Disease  </w:t>
      </w:r>
    </w:p>
    <w:p w14:paraId="6990D63B" w14:textId="5DDCE8ED" w:rsidR="00703117" w:rsidRDefault="0075186F" w:rsidP="00D47EA5">
      <w:pPr>
        <w:pStyle w:val="MDPI13authornames"/>
      </w:pPr>
      <w:r>
        <w:t>Ivana Djuri</w:t>
      </w:r>
      <w:r w:rsidR="004D6FF9">
        <w:t>c</w:t>
      </w:r>
      <w:r>
        <w:t>ic</w:t>
      </w:r>
      <w:r w:rsidR="00D47EA5" w:rsidRPr="00D945EC">
        <w:t xml:space="preserve"> </w:t>
      </w:r>
      <w:r w:rsidR="00D47EA5" w:rsidRPr="001F31D1">
        <w:rPr>
          <w:vertAlign w:val="superscript"/>
        </w:rPr>
        <w:t>1</w:t>
      </w:r>
      <w:r w:rsidR="00D47EA5" w:rsidRPr="00D945EC">
        <w:t xml:space="preserve"> and </w:t>
      </w:r>
      <w:r>
        <w:t xml:space="preserve">Philip </w:t>
      </w:r>
      <w:r w:rsidR="00724FEC">
        <w:t xml:space="preserve">C. </w:t>
      </w:r>
      <w:r>
        <w:t>Calder</w:t>
      </w:r>
      <w:r w:rsidR="00D47EA5" w:rsidRPr="00D945EC">
        <w:t xml:space="preserve"> </w:t>
      </w:r>
      <w:r w:rsidR="00D47EA5" w:rsidRPr="001F31D1">
        <w:rPr>
          <w:vertAlign w:val="superscript"/>
        </w:rPr>
        <w:t>2,</w:t>
      </w:r>
      <w:r>
        <w:rPr>
          <w:vertAlign w:val="superscript"/>
        </w:rPr>
        <w:t>3,</w:t>
      </w:r>
      <w:r w:rsidR="00D47EA5" w:rsidRPr="00331633">
        <w:t>*</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703117" w:rsidRPr="00D15AC3" w14:paraId="59394B3F" w14:textId="77777777" w:rsidTr="00C1001F">
        <w:tc>
          <w:tcPr>
            <w:tcW w:w="2410" w:type="dxa"/>
            <w:shd w:val="clear" w:color="auto" w:fill="auto"/>
          </w:tcPr>
          <w:p w14:paraId="74777497" w14:textId="77777777" w:rsidR="00703117" w:rsidRPr="00173DDF" w:rsidRDefault="00703117" w:rsidP="00C1001F">
            <w:pPr>
              <w:pStyle w:val="MDPI61Citation"/>
              <w:spacing w:after="120" w:line="240" w:lineRule="exact"/>
            </w:pPr>
            <w:r w:rsidRPr="00E22B91">
              <w:rPr>
                <w:b/>
              </w:rPr>
              <w:t>Citation:</w:t>
            </w:r>
            <w:r>
              <w:rPr>
                <w:b/>
              </w:rPr>
              <w:t xml:space="preserve"> </w:t>
            </w:r>
            <w:r>
              <w:t>To be added by editorial staff during production.</w:t>
            </w:r>
          </w:p>
          <w:p w14:paraId="25C0B8EC" w14:textId="77777777" w:rsidR="00703117" w:rsidRDefault="00703117" w:rsidP="00C1001F">
            <w:pPr>
              <w:pStyle w:val="MDPI15academiceditor"/>
              <w:spacing w:after="120"/>
            </w:pPr>
            <w:r>
              <w:t>Academic Editor: Firstname Lastname</w:t>
            </w:r>
          </w:p>
          <w:p w14:paraId="6D82F725" w14:textId="77777777" w:rsidR="00703117" w:rsidRPr="00520DC1" w:rsidRDefault="00703117" w:rsidP="00C1001F">
            <w:pPr>
              <w:pStyle w:val="MDPI14history"/>
              <w:spacing w:before="120"/>
            </w:pPr>
            <w:r w:rsidRPr="00520DC1">
              <w:t>Received: date</w:t>
            </w:r>
          </w:p>
          <w:p w14:paraId="5450363C" w14:textId="77777777" w:rsidR="00703117" w:rsidRDefault="00703117" w:rsidP="00C1001F">
            <w:pPr>
              <w:pStyle w:val="MDPI14history"/>
            </w:pPr>
            <w:r>
              <w:t>Revised: date</w:t>
            </w:r>
          </w:p>
          <w:p w14:paraId="243D75F0" w14:textId="77777777" w:rsidR="00703117" w:rsidRPr="00520DC1" w:rsidRDefault="00703117" w:rsidP="00C1001F">
            <w:pPr>
              <w:pStyle w:val="MDPI14history"/>
            </w:pPr>
            <w:r>
              <w:t>Accepted: date</w:t>
            </w:r>
          </w:p>
          <w:p w14:paraId="64E23F5E" w14:textId="77777777" w:rsidR="00703117" w:rsidRPr="00520DC1" w:rsidRDefault="00703117" w:rsidP="00C1001F">
            <w:pPr>
              <w:pStyle w:val="MDPI14history"/>
              <w:spacing w:after="120"/>
            </w:pPr>
            <w:r w:rsidRPr="00520DC1">
              <w:t>Published: date</w:t>
            </w:r>
          </w:p>
          <w:p w14:paraId="56A5E86A" w14:textId="77777777" w:rsidR="00703117" w:rsidRPr="00D15AC3" w:rsidRDefault="00703117" w:rsidP="00C1001F">
            <w:pPr>
              <w:adjustRightInd w:val="0"/>
              <w:snapToGrid w:val="0"/>
              <w:spacing w:before="120" w:line="240" w:lineRule="atLeast"/>
              <w:ind w:right="113"/>
              <w:jc w:val="left"/>
              <w:rPr>
                <w:rFonts w:eastAsia="DengXian"/>
                <w:bCs/>
                <w:sz w:val="14"/>
                <w:szCs w:val="14"/>
                <w:lang w:bidi="en-US"/>
              </w:rPr>
            </w:pPr>
            <w:r w:rsidRPr="00D15AC3">
              <w:rPr>
                <w:rFonts w:eastAsia="DengXian"/>
                <w:lang w:val="en-GB" w:eastAsia="en-GB"/>
              </w:rPr>
              <w:drawing>
                <wp:inline distT="0" distB="0" distL="0" distR="0" wp14:anchorId="2B5C77F6" wp14:editId="1572D570">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5D22099" w14:textId="77777777" w:rsidR="00703117" w:rsidRPr="00D15AC3" w:rsidRDefault="00703117" w:rsidP="00370457">
            <w:pPr>
              <w:pStyle w:val="MDPI72Copyright"/>
              <w:rPr>
                <w:rFonts w:eastAsia="DengXian"/>
                <w:lang w:bidi="en-US"/>
              </w:rPr>
            </w:pPr>
            <w:r w:rsidRPr="00D15AC3">
              <w:rPr>
                <w:rFonts w:eastAsia="DengXian"/>
                <w:b/>
                <w:lang w:bidi="en-US"/>
              </w:rPr>
              <w:t>Copyright:</w:t>
            </w:r>
            <w:r w:rsidRPr="00D15AC3">
              <w:rPr>
                <w:rFonts w:eastAsia="DengXian"/>
                <w:lang w:bidi="en-US"/>
              </w:rPr>
              <w:t xml:space="preserve"> </w:t>
            </w:r>
            <w:r w:rsidR="00BF0847">
              <w:rPr>
                <w:rFonts w:eastAsia="DengXian"/>
                <w:lang w:bidi="en-US"/>
              </w:rPr>
              <w:t>© 2024 by the</w:t>
            </w:r>
            <w:r>
              <w:rPr>
                <w:rFonts w:eastAsia="DengXian"/>
                <w:lang w:bidi="en-US"/>
              </w:rPr>
              <w:t xml:space="preserve"> authors. Submitted for possible open access publication under the terms and conditions of the Creative Commons </w:t>
            </w:r>
            <w:r w:rsidRPr="00D15AC3">
              <w:rPr>
                <w:rFonts w:eastAsia="DengXian"/>
                <w:lang w:bidi="en-US"/>
              </w:rPr>
              <w:t>Attribution (CC BY) license (</w:t>
            </w:r>
            <w:r>
              <w:rPr>
                <w:rFonts w:eastAsia="DengXian"/>
                <w:lang w:bidi="en-US"/>
              </w:rPr>
              <w:t>https://</w:t>
            </w:r>
            <w:r w:rsidRPr="00D15AC3">
              <w:rPr>
                <w:rFonts w:eastAsia="DengXian"/>
                <w:lang w:bidi="en-US"/>
              </w:rPr>
              <w:t>creativecommons.org/licenses/by/4.0/).</w:t>
            </w:r>
          </w:p>
        </w:tc>
      </w:tr>
    </w:tbl>
    <w:p w14:paraId="06089C89" w14:textId="320C93FC" w:rsidR="00D47EA5" w:rsidRPr="00D945EC" w:rsidRDefault="004A6A50" w:rsidP="00D47EA5">
      <w:pPr>
        <w:pStyle w:val="MDPI16affiliation"/>
      </w:pPr>
      <w:r w:rsidRPr="004A6A50">
        <w:rPr>
          <w:vertAlign w:val="superscript"/>
        </w:rPr>
        <w:t>1</w:t>
      </w:r>
      <w:r w:rsidR="00D47EA5" w:rsidRPr="00D945EC">
        <w:tab/>
      </w:r>
      <w:r w:rsidR="0062420F" w:rsidRPr="009A16F7">
        <w:t xml:space="preserve">Department of Bromatology, </w:t>
      </w:r>
      <w:r w:rsidR="0075186F" w:rsidRPr="009A16F7">
        <w:t>Faculty of Pharmacy, University of Belgrade, 11221 Belgrade, Serbia</w:t>
      </w:r>
      <w:r w:rsidR="00D47EA5" w:rsidRPr="009A16F7">
        <w:t xml:space="preserve">; </w:t>
      </w:r>
      <w:r w:rsidR="009A16F7" w:rsidRPr="009A16F7">
        <w:t>ivana.djuricic</w:t>
      </w:r>
      <w:r w:rsidR="00D47EA5" w:rsidRPr="009A16F7">
        <w:t>@</w:t>
      </w:r>
      <w:r w:rsidR="009A16F7" w:rsidRPr="009A16F7">
        <w:t>pharmacy.bg.ac.rs</w:t>
      </w:r>
    </w:p>
    <w:p w14:paraId="1369F5C9" w14:textId="1731334B" w:rsidR="00D47EA5" w:rsidRDefault="00D47EA5" w:rsidP="00D47EA5">
      <w:pPr>
        <w:pStyle w:val="MDPI16affiliation"/>
      </w:pPr>
      <w:r w:rsidRPr="00D945EC">
        <w:rPr>
          <w:vertAlign w:val="superscript"/>
        </w:rPr>
        <w:t>2</w:t>
      </w:r>
      <w:r w:rsidRPr="00D945EC">
        <w:tab/>
      </w:r>
      <w:r w:rsidR="0075186F">
        <w:t>School of Human Development and Health, Faculty of Medicine, University of Southampton, Southampton SO16 6YD, United Kingdom</w:t>
      </w:r>
    </w:p>
    <w:p w14:paraId="3A865364" w14:textId="455EF008" w:rsidR="0075186F" w:rsidRPr="00D945EC" w:rsidRDefault="0075186F" w:rsidP="0075186F">
      <w:pPr>
        <w:pStyle w:val="MDPI16affiliation"/>
      </w:pPr>
      <w:r w:rsidRPr="009A16F7">
        <w:rPr>
          <w:vertAlign w:val="superscript"/>
        </w:rPr>
        <w:t>3</w:t>
      </w:r>
      <w:r>
        <w:tab/>
        <w:t>NIHR Southampton Biomedical Research Centre, University Hospital Southampton NHS Foundation Trust and University of Southampton, Southampton SO16 6YD, United Kingdom</w:t>
      </w:r>
    </w:p>
    <w:p w14:paraId="6306D478" w14:textId="093EA0A0" w:rsidR="00D47EA5" w:rsidRPr="00550626" w:rsidRDefault="00D47EA5" w:rsidP="00D47EA5">
      <w:pPr>
        <w:pStyle w:val="MDPI16affiliation"/>
      </w:pPr>
      <w:r w:rsidRPr="004B786D">
        <w:rPr>
          <w:b/>
        </w:rPr>
        <w:t>*</w:t>
      </w:r>
      <w:r w:rsidRPr="00D945EC">
        <w:tab/>
        <w:t xml:space="preserve">Correspondence: </w:t>
      </w:r>
      <w:r w:rsidR="0075186F">
        <w:t>pcc@soton.ac.uk</w:t>
      </w:r>
    </w:p>
    <w:p w14:paraId="1811DF21" w14:textId="6B442191" w:rsidR="00A23186" w:rsidRDefault="00D47EA5" w:rsidP="00A23186">
      <w:pPr>
        <w:pStyle w:val="MDPI17abstract"/>
        <w:rPr>
          <w:szCs w:val="18"/>
        </w:rPr>
      </w:pPr>
      <w:r w:rsidRPr="00550626">
        <w:rPr>
          <w:b/>
          <w:szCs w:val="18"/>
        </w:rPr>
        <w:t xml:space="preserve">Abstract: </w:t>
      </w:r>
      <w:r w:rsidR="00A23186" w:rsidRPr="00A23186">
        <w:rPr>
          <w:szCs w:val="18"/>
        </w:rPr>
        <w:t>Manag</w:t>
      </w:r>
      <w:r w:rsidR="002807C6">
        <w:rPr>
          <w:szCs w:val="18"/>
        </w:rPr>
        <w:t>ing</w:t>
      </w:r>
      <w:r w:rsidR="00A23186" w:rsidRPr="00A23186">
        <w:rPr>
          <w:szCs w:val="18"/>
        </w:rPr>
        <w:t xml:space="preserve"> atherosclerotic cardiovascular disease (ASCVD) often involves a combination of lifestyle modifications and medications </w:t>
      </w:r>
      <w:r w:rsidR="002807C6">
        <w:rPr>
          <w:szCs w:val="18"/>
        </w:rPr>
        <w:t xml:space="preserve">aiming </w:t>
      </w:r>
      <w:r w:rsidR="00A23186" w:rsidRPr="00A23186">
        <w:rPr>
          <w:szCs w:val="18"/>
        </w:rPr>
        <w:t xml:space="preserve">to </w:t>
      </w:r>
      <w:r w:rsidR="002807C6">
        <w:rPr>
          <w:szCs w:val="18"/>
        </w:rPr>
        <w:t>decrease</w:t>
      </w:r>
      <w:r w:rsidR="00A23186" w:rsidRPr="00A23186">
        <w:rPr>
          <w:szCs w:val="18"/>
        </w:rPr>
        <w:t xml:space="preserve"> the risk of cardiovascular </w:t>
      </w:r>
      <w:r w:rsidR="002807C6">
        <w:rPr>
          <w:szCs w:val="18"/>
        </w:rPr>
        <w:t>outcome</w:t>
      </w:r>
      <w:r w:rsidR="00A23186" w:rsidRPr="00A23186">
        <w:rPr>
          <w:szCs w:val="18"/>
        </w:rPr>
        <w:t xml:space="preserve">s </w:t>
      </w:r>
      <w:r w:rsidR="00701D8C">
        <w:rPr>
          <w:szCs w:val="18"/>
        </w:rPr>
        <w:t>such as</w:t>
      </w:r>
      <w:r w:rsidR="00701D8C" w:rsidRPr="00A23186">
        <w:rPr>
          <w:szCs w:val="18"/>
        </w:rPr>
        <w:t xml:space="preserve"> </w:t>
      </w:r>
      <w:r w:rsidR="002807C6">
        <w:rPr>
          <w:szCs w:val="18"/>
        </w:rPr>
        <w:t>myocardial infarction</w:t>
      </w:r>
      <w:r w:rsidR="00A23186" w:rsidRPr="00A23186">
        <w:rPr>
          <w:szCs w:val="18"/>
        </w:rPr>
        <w:t xml:space="preserve"> and stroke. </w:t>
      </w:r>
      <w:r w:rsidR="0089117D" w:rsidRPr="001B341B">
        <w:t xml:space="preserve">The aim of this article is to discuss possible </w:t>
      </w:r>
      <w:r w:rsidR="0089117D">
        <w:t>omega-3 (</w:t>
      </w:r>
      <w:r w:rsidR="0089117D" w:rsidRPr="001B341B">
        <w:t>n-3</w:t>
      </w:r>
      <w:r w:rsidR="0089117D">
        <w:t>)</w:t>
      </w:r>
      <w:r w:rsidR="0089117D" w:rsidRPr="001B341B">
        <w:t xml:space="preserve"> fatty acid-statin interactions in the prevention and treatment of ASCVD and to provide evidence </w:t>
      </w:r>
      <w:r w:rsidR="0089117D">
        <w:t xml:space="preserve">to consider </w:t>
      </w:r>
      <w:r w:rsidR="0089117D" w:rsidRPr="001B341B">
        <w:t>for clinical practice, highlighting novel insights in this field.</w:t>
      </w:r>
      <w:r w:rsidR="0089117D">
        <w:t xml:space="preserve"> </w:t>
      </w:r>
      <w:r w:rsidR="00A23186" w:rsidRPr="00A23186">
        <w:rPr>
          <w:szCs w:val="18"/>
        </w:rPr>
        <w:t xml:space="preserve">Statins and n-3 fatty acids </w:t>
      </w:r>
      <w:r w:rsidR="0089117D">
        <w:rPr>
          <w:szCs w:val="18"/>
        </w:rPr>
        <w:t xml:space="preserve">(eicosapentaenoic acid (EPA) and docosahexaenoic acid (DHA)) </w:t>
      </w:r>
      <w:r w:rsidR="00A23186" w:rsidRPr="00A23186">
        <w:rPr>
          <w:szCs w:val="18"/>
        </w:rPr>
        <w:t xml:space="preserve">are commonly used </w:t>
      </w:r>
      <w:r w:rsidR="002807C6">
        <w:rPr>
          <w:szCs w:val="18"/>
        </w:rPr>
        <w:t>to control cardiovascular risk factors in order to treat</w:t>
      </w:r>
      <w:r w:rsidR="00A23186" w:rsidRPr="00A23186">
        <w:rPr>
          <w:szCs w:val="18"/>
        </w:rPr>
        <w:t xml:space="preserve"> ASCVD. Statins are </w:t>
      </w:r>
      <w:r w:rsidR="002807C6">
        <w:rPr>
          <w:szCs w:val="18"/>
        </w:rPr>
        <w:t xml:space="preserve">an important </w:t>
      </w:r>
      <w:r w:rsidR="00A23186" w:rsidRPr="00A23186">
        <w:rPr>
          <w:szCs w:val="18"/>
        </w:rPr>
        <w:t xml:space="preserve">lipid-lowering therapy, primarily targeting low-density lipoprotein cholesterol (LDL-C) levels, while n-3 fatty acids address triglyceride (TG) concentrations. </w:t>
      </w:r>
      <w:r w:rsidR="0075186F">
        <w:rPr>
          <w:szCs w:val="18"/>
        </w:rPr>
        <w:t>Both statins and n-3 fatty acids</w:t>
      </w:r>
      <w:r w:rsidR="0075186F" w:rsidRPr="00A23186">
        <w:rPr>
          <w:szCs w:val="18"/>
        </w:rPr>
        <w:t xml:space="preserve"> </w:t>
      </w:r>
      <w:r w:rsidR="00A23186" w:rsidRPr="00A23186">
        <w:rPr>
          <w:szCs w:val="18"/>
        </w:rPr>
        <w:t xml:space="preserve">have pleiotropic </w:t>
      </w:r>
      <w:r w:rsidR="002807C6">
        <w:rPr>
          <w:szCs w:val="18"/>
        </w:rPr>
        <w:t>actions</w:t>
      </w:r>
      <w:r w:rsidR="00A23186" w:rsidRPr="00A23186">
        <w:rPr>
          <w:szCs w:val="18"/>
        </w:rPr>
        <w:t xml:space="preserve"> which overlap, including improving endothelial function</w:t>
      </w:r>
      <w:r w:rsidR="0075186F">
        <w:rPr>
          <w:szCs w:val="18"/>
        </w:rPr>
        <w:t>,</w:t>
      </w:r>
      <w:r w:rsidR="00A23186">
        <w:rPr>
          <w:szCs w:val="18"/>
        </w:rPr>
        <w:t xml:space="preserve"> </w:t>
      </w:r>
      <w:r w:rsidR="00634DFA">
        <w:rPr>
          <w:szCs w:val="18"/>
        </w:rPr>
        <w:t>modulation of inflammat</w:t>
      </w:r>
      <w:r w:rsidR="0075186F">
        <w:rPr>
          <w:szCs w:val="18"/>
        </w:rPr>
        <w:t xml:space="preserve">ion and </w:t>
      </w:r>
      <w:r w:rsidR="0075186F" w:rsidRPr="00A23186">
        <w:rPr>
          <w:szCs w:val="18"/>
        </w:rPr>
        <w:t>stabiliz</w:t>
      </w:r>
      <w:r w:rsidR="0075186F">
        <w:rPr>
          <w:szCs w:val="18"/>
        </w:rPr>
        <w:t>ing</w:t>
      </w:r>
      <w:r w:rsidR="0075186F" w:rsidRPr="00A23186">
        <w:rPr>
          <w:szCs w:val="18"/>
        </w:rPr>
        <w:t xml:space="preserve"> atherosclerotic plaques</w:t>
      </w:r>
      <w:r w:rsidR="00A23186" w:rsidRPr="00A23186">
        <w:rPr>
          <w:szCs w:val="18"/>
        </w:rPr>
        <w:t xml:space="preserve">. </w:t>
      </w:r>
      <w:r w:rsidR="002807C6">
        <w:rPr>
          <w:szCs w:val="18"/>
        </w:rPr>
        <w:t>Thus, b</w:t>
      </w:r>
      <w:r w:rsidR="00A23186" w:rsidRPr="00A23186">
        <w:rPr>
          <w:szCs w:val="18"/>
        </w:rPr>
        <w:t>oth statins and n-3 fatty acids potential</w:t>
      </w:r>
      <w:r w:rsidR="002807C6">
        <w:rPr>
          <w:szCs w:val="18"/>
        </w:rPr>
        <w:t>ly</w:t>
      </w:r>
      <w:r w:rsidR="00A23186" w:rsidRPr="00A23186">
        <w:rPr>
          <w:szCs w:val="18"/>
        </w:rPr>
        <w:t xml:space="preserve"> </w:t>
      </w:r>
      <w:r w:rsidR="0075186F">
        <w:rPr>
          <w:szCs w:val="18"/>
        </w:rPr>
        <w:t xml:space="preserve">mitigate </w:t>
      </w:r>
      <w:r w:rsidR="002807C6">
        <w:rPr>
          <w:szCs w:val="18"/>
        </w:rPr>
        <w:t xml:space="preserve">the </w:t>
      </w:r>
      <w:r w:rsidR="00A23186" w:rsidRPr="00A23186">
        <w:rPr>
          <w:szCs w:val="18"/>
        </w:rPr>
        <w:t>residual cardiovascular risk</w:t>
      </w:r>
      <w:r w:rsidR="0075186F">
        <w:rPr>
          <w:szCs w:val="18"/>
        </w:rPr>
        <w:t xml:space="preserve"> that remains beyond lipid lowering</w:t>
      </w:r>
      <w:r w:rsidR="00A23186" w:rsidRPr="00A23186">
        <w:rPr>
          <w:szCs w:val="18"/>
        </w:rPr>
        <w:t xml:space="preserve">, </w:t>
      </w:r>
      <w:r w:rsidR="00634DFA">
        <w:rPr>
          <w:szCs w:val="18"/>
        </w:rPr>
        <w:t>such as</w:t>
      </w:r>
      <w:r w:rsidR="00A23186" w:rsidRPr="00A23186">
        <w:rPr>
          <w:szCs w:val="18"/>
        </w:rPr>
        <w:t xml:space="preserve"> persistent inflammation. </w:t>
      </w:r>
      <w:r w:rsidR="0089117D">
        <w:rPr>
          <w:szCs w:val="18"/>
        </w:rPr>
        <w:t xml:space="preserve">EPA and DHA </w:t>
      </w:r>
      <w:r w:rsidR="0075186F">
        <w:rPr>
          <w:szCs w:val="18"/>
        </w:rPr>
        <w:t xml:space="preserve">are </w:t>
      </w:r>
      <w:r w:rsidR="0088192B">
        <w:rPr>
          <w:szCs w:val="18"/>
        </w:rPr>
        <w:t xml:space="preserve">both </w:t>
      </w:r>
      <w:r w:rsidR="002807C6">
        <w:rPr>
          <w:szCs w:val="18"/>
        </w:rPr>
        <w:t xml:space="preserve">substrates for the synthesis </w:t>
      </w:r>
      <w:r w:rsidR="0075186F">
        <w:rPr>
          <w:szCs w:val="18"/>
        </w:rPr>
        <w:t xml:space="preserve">of </w:t>
      </w:r>
      <w:r w:rsidR="002807C6">
        <w:rPr>
          <w:szCs w:val="18"/>
        </w:rPr>
        <w:t xml:space="preserve">so-called </w:t>
      </w:r>
      <w:r w:rsidR="0075186F" w:rsidRPr="00A23186">
        <w:rPr>
          <w:szCs w:val="18"/>
        </w:rPr>
        <w:t>specialized pro-resolving mediators (SPMs)</w:t>
      </w:r>
      <w:r w:rsidR="00162C05">
        <w:rPr>
          <w:szCs w:val="18"/>
        </w:rPr>
        <w:t>,</w:t>
      </w:r>
      <w:r w:rsidR="0075186F">
        <w:rPr>
          <w:szCs w:val="18"/>
        </w:rPr>
        <w:t xml:space="preserve"> a </w:t>
      </w:r>
      <w:r w:rsidR="002807C6">
        <w:rPr>
          <w:szCs w:val="18"/>
        </w:rPr>
        <w:t xml:space="preserve">relatively recently recognized </w:t>
      </w:r>
      <w:r w:rsidR="0075186F">
        <w:rPr>
          <w:szCs w:val="18"/>
        </w:rPr>
        <w:t>feature of the</w:t>
      </w:r>
      <w:r w:rsidR="00162C05">
        <w:rPr>
          <w:szCs w:val="18"/>
        </w:rPr>
        <w:t>i</w:t>
      </w:r>
      <w:r w:rsidR="0075186F">
        <w:rPr>
          <w:szCs w:val="18"/>
        </w:rPr>
        <w:t xml:space="preserve">r </w:t>
      </w:r>
      <w:r w:rsidR="002807C6">
        <w:rPr>
          <w:szCs w:val="18"/>
        </w:rPr>
        <w:t xml:space="preserve">ability to combat inflammation. </w:t>
      </w:r>
      <w:r w:rsidR="00162C05">
        <w:rPr>
          <w:szCs w:val="18"/>
        </w:rPr>
        <w:t>Interestingly, s</w:t>
      </w:r>
      <w:r w:rsidR="00A23186" w:rsidRPr="00A23186">
        <w:rPr>
          <w:szCs w:val="18"/>
        </w:rPr>
        <w:t xml:space="preserve">tatins seem to have the ability to </w:t>
      </w:r>
      <w:r w:rsidR="00162C05">
        <w:rPr>
          <w:szCs w:val="18"/>
        </w:rPr>
        <w:t>promote</w:t>
      </w:r>
      <w:r w:rsidR="00162C05" w:rsidRPr="00A23186">
        <w:rPr>
          <w:szCs w:val="18"/>
        </w:rPr>
        <w:t xml:space="preserve"> </w:t>
      </w:r>
      <w:r w:rsidR="00A23186" w:rsidRPr="00A23186">
        <w:rPr>
          <w:szCs w:val="18"/>
        </w:rPr>
        <w:t xml:space="preserve">the </w:t>
      </w:r>
      <w:r w:rsidR="00162C05">
        <w:rPr>
          <w:szCs w:val="18"/>
        </w:rPr>
        <w:t>p</w:t>
      </w:r>
      <w:r w:rsidR="00A23186" w:rsidRPr="00A23186">
        <w:rPr>
          <w:szCs w:val="18"/>
        </w:rPr>
        <w:t xml:space="preserve">roduction of </w:t>
      </w:r>
      <w:r w:rsidR="00162C05">
        <w:rPr>
          <w:szCs w:val="18"/>
        </w:rPr>
        <w:t>some SPMs</w:t>
      </w:r>
      <w:r w:rsidR="00A23186" w:rsidRPr="00A23186">
        <w:rPr>
          <w:szCs w:val="18"/>
        </w:rPr>
        <w:t xml:space="preserve">, </w:t>
      </w:r>
      <w:r w:rsidR="00162C05">
        <w:rPr>
          <w:szCs w:val="18"/>
        </w:rPr>
        <w:t xml:space="preserve">suggesting a largely unrecognized interaction between statins and n-3 fatty acids </w:t>
      </w:r>
      <w:r w:rsidR="00701D8C">
        <w:rPr>
          <w:szCs w:val="18"/>
        </w:rPr>
        <w:t>with relevance to</w:t>
      </w:r>
      <w:r w:rsidR="002807C6">
        <w:rPr>
          <w:szCs w:val="18"/>
        </w:rPr>
        <w:t xml:space="preserve"> the </w:t>
      </w:r>
      <w:r w:rsidR="00162C05">
        <w:rPr>
          <w:szCs w:val="18"/>
        </w:rPr>
        <w:t xml:space="preserve">control </w:t>
      </w:r>
      <w:r w:rsidR="002807C6">
        <w:rPr>
          <w:szCs w:val="18"/>
        </w:rPr>
        <w:t xml:space="preserve">of </w:t>
      </w:r>
      <w:r w:rsidR="00162C05">
        <w:rPr>
          <w:szCs w:val="18"/>
        </w:rPr>
        <w:t xml:space="preserve">inflammation. </w:t>
      </w:r>
      <w:r w:rsidR="00A23186" w:rsidRPr="00A23186">
        <w:rPr>
          <w:szCs w:val="18"/>
        </w:rPr>
        <w:t xml:space="preserve">Although n-3 fatty acids are the </w:t>
      </w:r>
      <w:r w:rsidR="00701D8C">
        <w:rPr>
          <w:szCs w:val="18"/>
        </w:rPr>
        <w:t>major</w:t>
      </w:r>
      <w:r w:rsidR="00A23186" w:rsidRPr="00A23186">
        <w:rPr>
          <w:szCs w:val="18"/>
        </w:rPr>
        <w:t xml:space="preserve"> substrate</w:t>
      </w:r>
      <w:r w:rsidR="002807C6">
        <w:rPr>
          <w:szCs w:val="18"/>
        </w:rPr>
        <w:t>s</w:t>
      </w:r>
      <w:r w:rsidR="00A23186" w:rsidRPr="00A23186">
        <w:rPr>
          <w:szCs w:val="18"/>
        </w:rPr>
        <w:t xml:space="preserve"> for the </w:t>
      </w:r>
      <w:r w:rsidR="002807C6">
        <w:rPr>
          <w:szCs w:val="18"/>
        </w:rPr>
        <w:t>production</w:t>
      </w:r>
      <w:r w:rsidR="002807C6" w:rsidRPr="00A23186">
        <w:rPr>
          <w:szCs w:val="18"/>
        </w:rPr>
        <w:t xml:space="preserve"> </w:t>
      </w:r>
      <w:r w:rsidR="00A23186" w:rsidRPr="00A23186">
        <w:rPr>
          <w:szCs w:val="18"/>
        </w:rPr>
        <w:t xml:space="preserve">of SPMs, these signaling molecules may have additional therapeutic benefits beyond those provided by </w:t>
      </w:r>
      <w:r w:rsidR="002807C6">
        <w:rPr>
          <w:szCs w:val="18"/>
        </w:rPr>
        <w:t xml:space="preserve">the precursor </w:t>
      </w:r>
      <w:r w:rsidR="00A23186" w:rsidRPr="00A23186">
        <w:rPr>
          <w:szCs w:val="18"/>
        </w:rPr>
        <w:t>n-3 fatty acids</w:t>
      </w:r>
      <w:r w:rsidR="00162C05">
        <w:rPr>
          <w:szCs w:val="18"/>
        </w:rPr>
        <w:t xml:space="preserve"> themselves</w:t>
      </w:r>
      <w:r w:rsidR="00A23186" w:rsidRPr="00A23186">
        <w:rPr>
          <w:szCs w:val="18"/>
        </w:rPr>
        <w:t xml:space="preserve">. In this article, we discuss the accumulating evidence that supports SPMs as a novel therapeutic tool and the possible </w:t>
      </w:r>
      <w:r w:rsidR="002807C6">
        <w:rPr>
          <w:szCs w:val="18"/>
        </w:rPr>
        <w:t>statin-</w:t>
      </w:r>
      <w:r w:rsidR="00A23186" w:rsidRPr="00A23186">
        <w:rPr>
          <w:szCs w:val="18"/>
        </w:rPr>
        <w:t xml:space="preserve">n-3 fatty acid interactions </w:t>
      </w:r>
      <w:r w:rsidR="002807C6">
        <w:rPr>
          <w:szCs w:val="18"/>
        </w:rPr>
        <w:t>relevant to</w:t>
      </w:r>
      <w:r w:rsidR="00A23186" w:rsidRPr="00A23186">
        <w:rPr>
          <w:szCs w:val="18"/>
        </w:rPr>
        <w:t xml:space="preserve"> the prevention and treatment of ASCVD. </w:t>
      </w:r>
    </w:p>
    <w:p w14:paraId="00A9BF2C" w14:textId="68420808" w:rsidR="00D47EA5" w:rsidRPr="00550626" w:rsidRDefault="00D47EA5" w:rsidP="00A23186">
      <w:pPr>
        <w:pStyle w:val="MDPI17abstract"/>
        <w:rPr>
          <w:szCs w:val="18"/>
        </w:rPr>
      </w:pPr>
      <w:r w:rsidRPr="00550626">
        <w:rPr>
          <w:b/>
          <w:szCs w:val="18"/>
        </w:rPr>
        <w:t xml:space="preserve">Keywords: </w:t>
      </w:r>
      <w:r w:rsidR="001B6425">
        <w:rPr>
          <w:szCs w:val="18"/>
        </w:rPr>
        <w:t>n-3 fatty acid</w:t>
      </w:r>
      <w:r w:rsidRPr="00D945EC">
        <w:rPr>
          <w:szCs w:val="18"/>
        </w:rPr>
        <w:t xml:space="preserve">; </w:t>
      </w:r>
      <w:r w:rsidR="001B6425">
        <w:rPr>
          <w:szCs w:val="18"/>
        </w:rPr>
        <w:t>statin</w:t>
      </w:r>
      <w:r w:rsidRPr="00D945EC">
        <w:rPr>
          <w:szCs w:val="18"/>
        </w:rPr>
        <w:t xml:space="preserve">; </w:t>
      </w:r>
      <w:r w:rsidR="00162C05">
        <w:rPr>
          <w:szCs w:val="18"/>
        </w:rPr>
        <w:t xml:space="preserve">inflammation; </w:t>
      </w:r>
      <w:r w:rsidR="001B6425">
        <w:rPr>
          <w:szCs w:val="18"/>
        </w:rPr>
        <w:t xml:space="preserve">SPM; </w:t>
      </w:r>
      <w:r w:rsidR="00162C05">
        <w:rPr>
          <w:szCs w:val="18"/>
        </w:rPr>
        <w:t xml:space="preserve">lipid lowering; </w:t>
      </w:r>
      <w:r w:rsidR="001B6425">
        <w:rPr>
          <w:szCs w:val="18"/>
        </w:rPr>
        <w:t>ASCVD</w:t>
      </w:r>
    </w:p>
    <w:p w14:paraId="0B17A7B8" w14:textId="77777777" w:rsidR="00D47EA5" w:rsidRPr="00550626" w:rsidRDefault="00D47EA5" w:rsidP="00D47EA5">
      <w:pPr>
        <w:pStyle w:val="MDPI19line"/>
      </w:pPr>
    </w:p>
    <w:p w14:paraId="258A022E" w14:textId="65B55BDA" w:rsidR="002A586D" w:rsidRDefault="00206D98" w:rsidP="00206D98">
      <w:pPr>
        <w:pStyle w:val="MDPI21heading1"/>
        <w:spacing w:before="0"/>
        <w:ind w:left="0"/>
        <w:rPr>
          <w:lang w:eastAsia="zh-CN"/>
        </w:rPr>
      </w:pPr>
      <w:r>
        <w:rPr>
          <w:lang w:eastAsia="zh-CN"/>
        </w:rPr>
        <w:t xml:space="preserve">1. </w:t>
      </w:r>
      <w:r w:rsidR="00D47EA5" w:rsidRPr="007F2582">
        <w:rPr>
          <w:lang w:eastAsia="zh-CN"/>
        </w:rPr>
        <w:t>Introduction</w:t>
      </w:r>
    </w:p>
    <w:p w14:paraId="3A8276DD" w14:textId="64F0AC6E" w:rsidR="001B341B" w:rsidRPr="002A586D" w:rsidRDefault="00724FEC" w:rsidP="002A586D">
      <w:pPr>
        <w:pStyle w:val="MDPI21heading1"/>
        <w:spacing w:before="0" w:after="0"/>
        <w:ind w:firstLine="357"/>
        <w:jc w:val="both"/>
        <w:rPr>
          <w:lang w:eastAsia="zh-CN"/>
        </w:rPr>
      </w:pPr>
      <w:r>
        <w:rPr>
          <w:b w:val="0"/>
        </w:rPr>
        <w:t>C</w:t>
      </w:r>
      <w:r w:rsidR="001B341B" w:rsidRPr="002A586D">
        <w:rPr>
          <w:b w:val="0"/>
        </w:rPr>
        <w:t xml:space="preserve">ardiovascular diseases (CVDs) </w:t>
      </w:r>
      <w:r w:rsidR="00611206">
        <w:rPr>
          <w:b w:val="0"/>
        </w:rPr>
        <w:t>remain</w:t>
      </w:r>
      <w:r w:rsidR="001B341B" w:rsidRPr="002A586D">
        <w:rPr>
          <w:b w:val="0"/>
        </w:rPr>
        <w:t xml:space="preserve"> the leading cause of mortality</w:t>
      </w:r>
      <w:r w:rsidR="00611206">
        <w:rPr>
          <w:b w:val="0"/>
        </w:rPr>
        <w:t xml:space="preserve"> globally</w:t>
      </w:r>
      <w:r w:rsidR="001B341B" w:rsidRPr="002A586D">
        <w:rPr>
          <w:b w:val="0"/>
        </w:rPr>
        <w:t xml:space="preserve">, </w:t>
      </w:r>
      <w:r w:rsidR="00611206">
        <w:rPr>
          <w:b w:val="0"/>
        </w:rPr>
        <w:t xml:space="preserve">being responsible for </w:t>
      </w:r>
      <w:r w:rsidR="001B341B" w:rsidRPr="002A586D">
        <w:rPr>
          <w:b w:val="0"/>
        </w:rPr>
        <w:t xml:space="preserve">almost 18 million </w:t>
      </w:r>
      <w:r w:rsidR="00611206">
        <w:rPr>
          <w:b w:val="0"/>
        </w:rPr>
        <w:t>deaths</w:t>
      </w:r>
      <w:r w:rsidR="001B341B" w:rsidRPr="002A586D">
        <w:rPr>
          <w:b w:val="0"/>
        </w:rPr>
        <w:t xml:space="preserve"> each year [1]. CVDs are a group of</w:t>
      </w:r>
      <w:r w:rsidR="00611206">
        <w:rPr>
          <w:b w:val="0"/>
        </w:rPr>
        <w:t xml:space="preserve"> disorders of the</w:t>
      </w:r>
      <w:r w:rsidR="001B341B" w:rsidRPr="002A586D">
        <w:rPr>
          <w:b w:val="0"/>
        </w:rPr>
        <w:t xml:space="preserve"> heart and blood vessel</w:t>
      </w:r>
      <w:r w:rsidR="00611206">
        <w:rPr>
          <w:b w:val="0"/>
        </w:rPr>
        <w:t>s,</w:t>
      </w:r>
      <w:r w:rsidR="001B341B" w:rsidRPr="002A586D">
        <w:rPr>
          <w:b w:val="0"/>
        </w:rPr>
        <w:t xml:space="preserve"> </w:t>
      </w:r>
      <w:r w:rsidR="00611206">
        <w:rPr>
          <w:b w:val="0"/>
        </w:rPr>
        <w:t xml:space="preserve">and </w:t>
      </w:r>
      <w:r w:rsidR="001B341B" w:rsidRPr="002A586D">
        <w:rPr>
          <w:b w:val="0"/>
        </w:rPr>
        <w:t>includ</w:t>
      </w:r>
      <w:r w:rsidR="00611206">
        <w:rPr>
          <w:b w:val="0"/>
        </w:rPr>
        <w:t>e</w:t>
      </w:r>
      <w:r w:rsidR="001B341B" w:rsidRPr="002A586D">
        <w:rPr>
          <w:b w:val="0"/>
        </w:rPr>
        <w:t xml:space="preserve"> coronary heart disease (CHD), peripheral vascular disease, cerebrovascular disease a</w:t>
      </w:r>
      <w:r w:rsidR="00611206">
        <w:rPr>
          <w:b w:val="0"/>
        </w:rPr>
        <w:t>s well as</w:t>
      </w:r>
      <w:r w:rsidR="001B341B" w:rsidRPr="002A586D">
        <w:rPr>
          <w:b w:val="0"/>
        </w:rPr>
        <w:t xml:space="preserve"> other conditions. </w:t>
      </w:r>
      <w:r w:rsidR="00611206">
        <w:rPr>
          <w:b w:val="0"/>
        </w:rPr>
        <w:t xml:space="preserve">Mortality from </w:t>
      </w:r>
      <w:r w:rsidR="001B341B" w:rsidRPr="002A586D">
        <w:rPr>
          <w:b w:val="0"/>
        </w:rPr>
        <w:t>CVD</w:t>
      </w:r>
      <w:r w:rsidR="00E21B5D">
        <w:rPr>
          <w:b w:val="0"/>
        </w:rPr>
        <w:t>s</w:t>
      </w:r>
      <w:r w:rsidR="001B341B" w:rsidRPr="002A586D">
        <w:rPr>
          <w:b w:val="0"/>
        </w:rPr>
        <w:t xml:space="preserve"> </w:t>
      </w:r>
      <w:r w:rsidR="00611206">
        <w:rPr>
          <w:b w:val="0"/>
        </w:rPr>
        <w:t xml:space="preserve">is mainly </w:t>
      </w:r>
      <w:r w:rsidR="001B341B" w:rsidRPr="002A586D">
        <w:rPr>
          <w:b w:val="0"/>
        </w:rPr>
        <w:t xml:space="preserve">due to </w:t>
      </w:r>
      <w:r w:rsidR="00611206">
        <w:rPr>
          <w:b w:val="0"/>
        </w:rPr>
        <w:t>myocardial infarction (</w:t>
      </w:r>
      <w:r w:rsidR="001B341B" w:rsidRPr="002A586D">
        <w:rPr>
          <w:b w:val="0"/>
        </w:rPr>
        <w:t>heart attack</w:t>
      </w:r>
      <w:r w:rsidR="00611206">
        <w:rPr>
          <w:b w:val="0"/>
        </w:rPr>
        <w:t>)</w:t>
      </w:r>
      <w:r w:rsidR="001B341B" w:rsidRPr="002A586D">
        <w:rPr>
          <w:b w:val="0"/>
        </w:rPr>
        <w:t xml:space="preserve"> and stroke, </w:t>
      </w:r>
      <w:r w:rsidR="0089117D">
        <w:rPr>
          <w:b w:val="0"/>
        </w:rPr>
        <w:t>which may occur</w:t>
      </w:r>
      <w:r w:rsidR="001B341B" w:rsidRPr="002A586D">
        <w:rPr>
          <w:b w:val="0"/>
        </w:rPr>
        <w:t xml:space="preserve"> prematurely in </w:t>
      </w:r>
      <w:r w:rsidR="00611206">
        <w:rPr>
          <w:b w:val="0"/>
        </w:rPr>
        <w:t xml:space="preserve">those aged </w:t>
      </w:r>
      <w:r w:rsidR="001B341B" w:rsidRPr="002A586D">
        <w:rPr>
          <w:b w:val="0"/>
        </w:rPr>
        <w:t xml:space="preserve">under 70 years [1]. Management of risk factors remains a challenge in primary and secondary </w:t>
      </w:r>
      <w:r w:rsidR="00611206">
        <w:rPr>
          <w:b w:val="0"/>
        </w:rPr>
        <w:t xml:space="preserve">prevention of </w:t>
      </w:r>
      <w:r w:rsidR="001B341B" w:rsidRPr="002A586D">
        <w:rPr>
          <w:b w:val="0"/>
        </w:rPr>
        <w:t>CVD</w:t>
      </w:r>
      <w:r w:rsidR="00E21B5D">
        <w:rPr>
          <w:b w:val="0"/>
        </w:rPr>
        <w:t>s</w:t>
      </w:r>
      <w:r w:rsidR="001B341B" w:rsidRPr="002A586D">
        <w:rPr>
          <w:b w:val="0"/>
        </w:rPr>
        <w:t>, with dyslipidemia</w:t>
      </w:r>
      <w:r w:rsidR="00611206">
        <w:rPr>
          <w:b w:val="0"/>
        </w:rPr>
        <w:t>s</w:t>
      </w:r>
      <w:r w:rsidR="001B341B" w:rsidRPr="002A586D">
        <w:rPr>
          <w:b w:val="0"/>
        </w:rPr>
        <w:t xml:space="preserve"> being an important critical issue. Dyslipidemias reflect an imbalance of blood lipids and lipoproteins, </w:t>
      </w:r>
      <w:r w:rsidR="001B341B" w:rsidRPr="002A586D">
        <w:rPr>
          <w:b w:val="0"/>
        </w:rPr>
        <w:lastRenderedPageBreak/>
        <w:t xml:space="preserve">characterized mainly by elevated plasma </w:t>
      </w:r>
      <w:r w:rsidR="009A5A05">
        <w:rPr>
          <w:b w:val="0"/>
        </w:rPr>
        <w:t xml:space="preserve">concentrations of </w:t>
      </w:r>
      <w:r w:rsidR="001B341B" w:rsidRPr="002A586D">
        <w:rPr>
          <w:b w:val="0"/>
        </w:rPr>
        <w:t>low-density lipoprotein cholesterol (LDL-C) and triglyceride (TG)</w:t>
      </w:r>
      <w:r w:rsidR="00611206" w:rsidRPr="002A586D">
        <w:rPr>
          <w:b w:val="0"/>
        </w:rPr>
        <w:t xml:space="preserve"> </w:t>
      </w:r>
      <w:r w:rsidR="001B341B" w:rsidRPr="002A586D">
        <w:rPr>
          <w:b w:val="0"/>
        </w:rPr>
        <w:t>along</w:t>
      </w:r>
      <w:r w:rsidR="00611206">
        <w:rPr>
          <w:b w:val="0"/>
        </w:rPr>
        <w:t xml:space="preserve"> with</w:t>
      </w:r>
      <w:r w:rsidR="001B341B" w:rsidRPr="002A586D">
        <w:rPr>
          <w:b w:val="0"/>
        </w:rPr>
        <w:t xml:space="preserve"> </w:t>
      </w:r>
      <w:r w:rsidR="00611206">
        <w:rPr>
          <w:b w:val="0"/>
        </w:rPr>
        <w:t>lowered</w:t>
      </w:r>
      <w:r w:rsidR="00611206" w:rsidRPr="002A586D">
        <w:rPr>
          <w:b w:val="0"/>
        </w:rPr>
        <w:t xml:space="preserve"> </w:t>
      </w:r>
      <w:r w:rsidR="009A5A05">
        <w:rPr>
          <w:b w:val="0"/>
        </w:rPr>
        <w:t xml:space="preserve">concentrations of </w:t>
      </w:r>
      <w:r w:rsidR="001B341B" w:rsidRPr="002A586D">
        <w:rPr>
          <w:b w:val="0"/>
        </w:rPr>
        <w:t>high-density lipoprotein cholesterol (HDL-C) [2]. The role of elevated LDL-C as a risk factor for atherosclerotic cardiovascular disease (ASCVD) is well recognized [3]. Furthermore, elevation in TG</w:t>
      </w:r>
      <w:r w:rsidR="00E21B5D">
        <w:rPr>
          <w:b w:val="0"/>
        </w:rPr>
        <w:t>s</w:t>
      </w:r>
      <w:r w:rsidR="001B341B" w:rsidRPr="002A586D">
        <w:rPr>
          <w:b w:val="0"/>
        </w:rPr>
        <w:t xml:space="preserve"> and (TG)-rich lipoproteins (TGRLs) has also been recognized as an independent risk factor for CVD</w:t>
      </w:r>
      <w:r w:rsidR="00611206">
        <w:rPr>
          <w:b w:val="0"/>
        </w:rPr>
        <w:t>, most likely</w:t>
      </w:r>
      <w:r w:rsidR="001B341B" w:rsidRPr="002A586D">
        <w:rPr>
          <w:b w:val="0"/>
        </w:rPr>
        <w:t xml:space="preserve"> due to the infiltration </w:t>
      </w:r>
      <w:r w:rsidR="00611206">
        <w:rPr>
          <w:b w:val="0"/>
        </w:rPr>
        <w:t xml:space="preserve">of TGRLs </w:t>
      </w:r>
      <w:r w:rsidR="001B341B" w:rsidRPr="002A586D">
        <w:rPr>
          <w:b w:val="0"/>
        </w:rPr>
        <w:t xml:space="preserve">into the intimal space, </w:t>
      </w:r>
      <w:r w:rsidR="00611206">
        <w:rPr>
          <w:b w:val="0"/>
        </w:rPr>
        <w:t xml:space="preserve">initiating </w:t>
      </w:r>
      <w:r w:rsidR="001B341B" w:rsidRPr="002A586D">
        <w:rPr>
          <w:b w:val="0"/>
        </w:rPr>
        <w:t xml:space="preserve">atherosclerotic plaque </w:t>
      </w:r>
      <w:r w:rsidR="00611206">
        <w:rPr>
          <w:b w:val="0"/>
        </w:rPr>
        <w:t xml:space="preserve">formation </w:t>
      </w:r>
      <w:r w:rsidR="001B341B" w:rsidRPr="002A586D">
        <w:rPr>
          <w:b w:val="0"/>
        </w:rPr>
        <w:t xml:space="preserve">and </w:t>
      </w:r>
      <w:r w:rsidR="00611206">
        <w:rPr>
          <w:b w:val="0"/>
        </w:rPr>
        <w:t xml:space="preserve">promoting plaque </w:t>
      </w:r>
      <w:r w:rsidR="001B341B" w:rsidRPr="002A586D">
        <w:rPr>
          <w:b w:val="0"/>
        </w:rPr>
        <w:t xml:space="preserve">progression [4]. </w:t>
      </w:r>
      <w:r w:rsidR="00611206">
        <w:rPr>
          <w:b w:val="0"/>
        </w:rPr>
        <w:t>It is estimated that globally n</w:t>
      </w:r>
      <w:r w:rsidR="001B341B" w:rsidRPr="002A586D">
        <w:rPr>
          <w:b w:val="0"/>
        </w:rPr>
        <w:t>early 4 million deaths per year are attributed to elevated LDL-C</w:t>
      </w:r>
      <w:r w:rsidR="00611206">
        <w:rPr>
          <w:b w:val="0"/>
        </w:rPr>
        <w:t xml:space="preserve"> [5]. Furthermore</w:t>
      </w:r>
      <w:r w:rsidR="00E21B5D">
        <w:rPr>
          <w:b w:val="0"/>
        </w:rPr>
        <w:t>,</w:t>
      </w:r>
      <w:r w:rsidR="00611206">
        <w:rPr>
          <w:b w:val="0"/>
        </w:rPr>
        <w:t xml:space="preserve"> it is estimated that ASCVD causes about </w:t>
      </w:r>
      <w:r w:rsidR="001B341B" w:rsidRPr="002A586D">
        <w:rPr>
          <w:b w:val="0"/>
        </w:rPr>
        <w:t xml:space="preserve">two thirds of all </w:t>
      </w:r>
      <w:r w:rsidR="0089117D">
        <w:rPr>
          <w:b w:val="0"/>
        </w:rPr>
        <w:t xml:space="preserve">deaths from </w:t>
      </w:r>
      <w:r w:rsidR="001B341B" w:rsidRPr="002A586D">
        <w:rPr>
          <w:b w:val="0"/>
        </w:rPr>
        <w:t>CVD</w:t>
      </w:r>
      <w:r w:rsidR="0089117D">
        <w:rPr>
          <w:b w:val="0"/>
        </w:rPr>
        <w:t>s</w:t>
      </w:r>
      <w:r w:rsidR="001B341B" w:rsidRPr="002A586D">
        <w:rPr>
          <w:b w:val="0"/>
        </w:rPr>
        <w:t xml:space="preserve"> [5]. Familial or primary dyslipidemias are genetically determined, while secondary dyslipidemias are associated with other conditions such as unhealthy behaviors, underlying diseases (e.g., obesity, diabetes mellitus) and applied drugs [6]. </w:t>
      </w:r>
    </w:p>
    <w:p w14:paraId="542AD1D9" w14:textId="0013EFA0" w:rsidR="004450F9" w:rsidRDefault="001B341B" w:rsidP="00A8670E">
      <w:pPr>
        <w:pStyle w:val="MDPI21heading1"/>
        <w:spacing w:before="0" w:after="0"/>
        <w:ind w:firstLine="454"/>
        <w:jc w:val="both"/>
        <w:rPr>
          <w:b w:val="0"/>
        </w:rPr>
      </w:pPr>
      <w:r w:rsidRPr="001B341B">
        <w:rPr>
          <w:b w:val="0"/>
        </w:rPr>
        <w:t>The most relevant and recent European and American guidelines suggest lipid-lowering treatment in those with increased risk</w:t>
      </w:r>
      <w:r w:rsidR="00A52D2B">
        <w:rPr>
          <w:b w:val="0"/>
        </w:rPr>
        <w:t xml:space="preserve"> of ASCVD</w:t>
      </w:r>
      <w:r w:rsidRPr="001B341B">
        <w:rPr>
          <w:b w:val="0"/>
        </w:rPr>
        <w:t xml:space="preserve"> [7]. For instance, the European Society of Cardiology guidelines recommend the use of statin</w:t>
      </w:r>
      <w:r w:rsidR="00A52D2B">
        <w:rPr>
          <w:b w:val="0"/>
        </w:rPr>
        <w:t xml:space="preserve">s, as well as some </w:t>
      </w:r>
      <w:r w:rsidRPr="001B341B">
        <w:rPr>
          <w:b w:val="0"/>
        </w:rPr>
        <w:t>non-statin therapies</w:t>
      </w:r>
      <w:r w:rsidR="00A52D2B">
        <w:rPr>
          <w:b w:val="0"/>
        </w:rPr>
        <w:t>,</w:t>
      </w:r>
      <w:r w:rsidRPr="001B341B">
        <w:rPr>
          <w:b w:val="0"/>
        </w:rPr>
        <w:t xml:space="preserve"> to reach LDL-C </w:t>
      </w:r>
      <w:r w:rsidR="00CE0C59">
        <w:rPr>
          <w:b w:val="0"/>
        </w:rPr>
        <w:t>target</w:t>
      </w:r>
      <w:r w:rsidRPr="001B341B">
        <w:rPr>
          <w:b w:val="0"/>
        </w:rPr>
        <w:t>s [8,9]. The 2019 American Heart Association/American College of Cardiology/Multi</w:t>
      </w:r>
      <w:r w:rsidR="00A52D2B">
        <w:rPr>
          <w:b w:val="0"/>
        </w:rPr>
        <w:t>S</w:t>
      </w:r>
      <w:r w:rsidRPr="001B341B">
        <w:rPr>
          <w:b w:val="0"/>
        </w:rPr>
        <w:t xml:space="preserve">ociety guidelines have LDL-C thresholds and </w:t>
      </w:r>
      <w:r w:rsidR="00E632D8">
        <w:rPr>
          <w:b w:val="0"/>
        </w:rPr>
        <w:t xml:space="preserve">suggest </w:t>
      </w:r>
      <w:r w:rsidRPr="001B341B">
        <w:rPr>
          <w:b w:val="0"/>
        </w:rPr>
        <w:t>combination therapy that are more stringent for selected patients [10,11]. Statins function by inhibiting the hydroxymethylglutaryl-CoA (HMG-CoA) reductase enzyme, so decreasing endogenous (mainly hepatic) choleste</w:t>
      </w:r>
      <w:r w:rsidR="0062420F">
        <w:rPr>
          <w:b w:val="0"/>
        </w:rPr>
        <w:t>r</w:t>
      </w:r>
      <w:r w:rsidRPr="001B341B">
        <w:rPr>
          <w:b w:val="0"/>
        </w:rPr>
        <w:t xml:space="preserve">ol biosynthesis. As a result, hepatic expression of the LDL-receptor is upregulated, favoring hepatic clearance of LDL. The result of this is lowering </w:t>
      </w:r>
      <w:r w:rsidR="00E632D8">
        <w:rPr>
          <w:b w:val="0"/>
        </w:rPr>
        <w:t>the</w:t>
      </w:r>
      <w:r w:rsidRPr="001B341B">
        <w:rPr>
          <w:b w:val="0"/>
        </w:rPr>
        <w:t xml:space="preserve"> circulating </w:t>
      </w:r>
      <w:r w:rsidR="00E632D8">
        <w:rPr>
          <w:b w:val="0"/>
        </w:rPr>
        <w:t xml:space="preserve">concentrations of </w:t>
      </w:r>
      <w:r w:rsidRPr="001B341B">
        <w:rPr>
          <w:b w:val="0"/>
        </w:rPr>
        <w:t xml:space="preserve">total cholesterol, LDL-C and, to a lesser extent, TGs. Statins have pleiotropic effects beyond lipid lowering [12]. These </w:t>
      </w:r>
      <w:r w:rsidR="00E80EE6">
        <w:rPr>
          <w:b w:val="0"/>
        </w:rPr>
        <w:t xml:space="preserve">effects </w:t>
      </w:r>
      <w:r w:rsidRPr="001B341B">
        <w:rPr>
          <w:b w:val="0"/>
        </w:rPr>
        <w:t>include improving endothelial function</w:t>
      </w:r>
      <w:r w:rsidR="00E632D8">
        <w:rPr>
          <w:b w:val="0"/>
        </w:rPr>
        <w:t xml:space="preserve">, inhibiting vascular inflammation and promoting </w:t>
      </w:r>
      <w:r w:rsidRPr="001B341B">
        <w:rPr>
          <w:b w:val="0"/>
        </w:rPr>
        <w:t>plaque stability</w:t>
      </w:r>
      <w:r w:rsidR="00E632D8">
        <w:rPr>
          <w:b w:val="0"/>
        </w:rPr>
        <w:t xml:space="preserve"> </w:t>
      </w:r>
      <w:r w:rsidRPr="001B341B">
        <w:rPr>
          <w:b w:val="0"/>
        </w:rPr>
        <w:t xml:space="preserve">(see later sections). </w:t>
      </w:r>
    </w:p>
    <w:p w14:paraId="3A16DDCE" w14:textId="34BABA43" w:rsidR="00A8670E" w:rsidRDefault="004450F9" w:rsidP="00A8670E">
      <w:pPr>
        <w:pStyle w:val="MDPI21heading1"/>
        <w:spacing w:before="0" w:after="0"/>
        <w:ind w:firstLine="454"/>
        <w:jc w:val="both"/>
        <w:rPr>
          <w:b w:val="0"/>
        </w:rPr>
      </w:pPr>
      <w:r>
        <w:rPr>
          <w:b w:val="0"/>
        </w:rPr>
        <w:t>T</w:t>
      </w:r>
      <w:r w:rsidR="001B341B" w:rsidRPr="001B341B">
        <w:rPr>
          <w:b w:val="0"/>
        </w:rPr>
        <w:t xml:space="preserve">here is overwhelming evidence that </w:t>
      </w:r>
      <w:r w:rsidR="00055290">
        <w:rPr>
          <w:b w:val="0"/>
        </w:rPr>
        <w:t xml:space="preserve">the </w:t>
      </w:r>
      <w:r w:rsidR="001B341B" w:rsidRPr="001B341B">
        <w:rPr>
          <w:b w:val="0"/>
        </w:rPr>
        <w:t>omega-3 (n-3) polyunsaturated fatty acids (PUFAs)</w:t>
      </w:r>
      <w:r w:rsidR="00E632D8">
        <w:rPr>
          <w:b w:val="0"/>
        </w:rPr>
        <w:t xml:space="preserve"> </w:t>
      </w:r>
      <w:r w:rsidR="001B341B" w:rsidRPr="001B341B">
        <w:rPr>
          <w:b w:val="0"/>
        </w:rPr>
        <w:t xml:space="preserve">eicosapentaenoic acid (EPA) and docosahexaenoic acid (DHA) have a </w:t>
      </w:r>
      <w:r w:rsidR="00E632D8">
        <w:rPr>
          <w:b w:val="0"/>
        </w:rPr>
        <w:t>well</w:t>
      </w:r>
      <w:r w:rsidR="00E21B5D">
        <w:rPr>
          <w:b w:val="0"/>
        </w:rPr>
        <w:t>-</w:t>
      </w:r>
      <w:r w:rsidR="00E632D8">
        <w:rPr>
          <w:b w:val="0"/>
        </w:rPr>
        <w:t xml:space="preserve">described </w:t>
      </w:r>
      <w:r w:rsidR="001B341B" w:rsidRPr="001B341B">
        <w:rPr>
          <w:b w:val="0"/>
        </w:rPr>
        <w:t xml:space="preserve">TG-lowering effect [13]. The effect of </w:t>
      </w:r>
      <w:r w:rsidR="00E632D8">
        <w:rPr>
          <w:b w:val="0"/>
        </w:rPr>
        <w:t>these n-3 PUFAs o</w:t>
      </w:r>
      <w:r w:rsidR="001B341B" w:rsidRPr="001B341B">
        <w:rPr>
          <w:b w:val="0"/>
        </w:rPr>
        <w:t xml:space="preserve">n circulating TG concentrations is dose dependent [14]. The decrease in circulating TG concentrations </w:t>
      </w:r>
      <w:r w:rsidR="00E632D8">
        <w:rPr>
          <w:b w:val="0"/>
        </w:rPr>
        <w:t xml:space="preserve">by n-3 PUFAs </w:t>
      </w:r>
      <w:r w:rsidR="00CE0C59">
        <w:rPr>
          <w:b w:val="0"/>
        </w:rPr>
        <w:t>is likely due</w:t>
      </w:r>
      <w:r w:rsidR="001B341B" w:rsidRPr="001B341B">
        <w:rPr>
          <w:b w:val="0"/>
        </w:rPr>
        <w:t xml:space="preserve"> to a combination of factors</w:t>
      </w:r>
      <w:r w:rsidR="001B341B">
        <w:rPr>
          <w:b w:val="0"/>
        </w:rPr>
        <w:t xml:space="preserve">, including an </w:t>
      </w:r>
      <w:r w:rsidR="001B341B" w:rsidRPr="001B341B">
        <w:rPr>
          <w:b w:val="0"/>
        </w:rPr>
        <w:t>increase in the hepatic oxidation of fatty acids favoring their parti</w:t>
      </w:r>
      <w:r w:rsidR="0062420F">
        <w:rPr>
          <w:b w:val="0"/>
        </w:rPr>
        <w:t>ti</w:t>
      </w:r>
      <w:r w:rsidR="001B341B" w:rsidRPr="001B341B">
        <w:rPr>
          <w:b w:val="0"/>
        </w:rPr>
        <w:t xml:space="preserve">oning </w:t>
      </w:r>
      <w:r w:rsidR="00E632D8">
        <w:rPr>
          <w:b w:val="0"/>
        </w:rPr>
        <w:t>a</w:t>
      </w:r>
      <w:r w:rsidR="001B341B" w:rsidRPr="001B341B">
        <w:rPr>
          <w:b w:val="0"/>
        </w:rPr>
        <w:t xml:space="preserve">way from TG synthesis as well as other effects that reduce </w:t>
      </w:r>
      <w:r w:rsidR="001B341B" w:rsidRPr="001B341B">
        <w:rPr>
          <w:b w:val="0"/>
          <w:i/>
        </w:rPr>
        <w:t>de novo</w:t>
      </w:r>
      <w:r w:rsidR="001B341B" w:rsidRPr="001B341B">
        <w:rPr>
          <w:b w:val="0"/>
        </w:rPr>
        <w:t xml:space="preserve"> fatty acid and TG synthesis and hepatic </w:t>
      </w:r>
      <w:r w:rsidR="00E632D8">
        <w:rPr>
          <w:b w:val="0"/>
        </w:rPr>
        <w:t>assembly of TGRLs</w:t>
      </w:r>
      <w:r w:rsidR="001B341B" w:rsidRPr="001B341B">
        <w:rPr>
          <w:b w:val="0"/>
        </w:rPr>
        <w:t xml:space="preserve"> [15,16]. N-3 PUFAs may also aid clearance of circulating TGs, for example by increasing lipoprotein lipase activity [17]. Essentially, EPA and DHA influence the production of TGs</w:t>
      </w:r>
      <w:r w:rsidR="00E632D8">
        <w:rPr>
          <w:b w:val="0"/>
        </w:rPr>
        <w:t>,</w:t>
      </w:r>
      <w:r w:rsidR="001B341B" w:rsidRPr="001B341B">
        <w:rPr>
          <w:b w:val="0"/>
        </w:rPr>
        <w:t xml:space="preserve"> </w:t>
      </w:r>
      <w:r w:rsidR="00E632D8">
        <w:rPr>
          <w:b w:val="0"/>
        </w:rPr>
        <w:t xml:space="preserve">their release from the liver </w:t>
      </w:r>
      <w:r w:rsidR="001B341B" w:rsidRPr="001B341B">
        <w:rPr>
          <w:b w:val="0"/>
        </w:rPr>
        <w:t>and their removal from the bloodstream, contributing to lower circulating levels [17,18]. Various international guidelines outline recommendations for using n-3 fatty acids to lower TG levels in individuals with elevated TGs; for example, the American Heart Association recommends up to 4 g/day EPA+DHA or EPA</w:t>
      </w:r>
      <w:r w:rsidR="00630433">
        <w:rPr>
          <w:b w:val="0"/>
        </w:rPr>
        <w:t xml:space="preserve"> </w:t>
      </w:r>
      <w:r w:rsidR="001B341B" w:rsidRPr="001B341B">
        <w:rPr>
          <w:b w:val="0"/>
        </w:rPr>
        <w:t xml:space="preserve">only to treat hypertriglyceridemia [13]. Just as for statins, n-3 </w:t>
      </w:r>
      <w:r w:rsidR="00E632D8">
        <w:rPr>
          <w:b w:val="0"/>
        </w:rPr>
        <w:t>PUFAs</w:t>
      </w:r>
      <w:r w:rsidR="001B341B" w:rsidRPr="001B341B">
        <w:rPr>
          <w:b w:val="0"/>
        </w:rPr>
        <w:t xml:space="preserve"> have a series of other cardioprotective benefits through different mechanisms</w:t>
      </w:r>
      <w:r w:rsidR="00106E2E">
        <w:rPr>
          <w:b w:val="0"/>
        </w:rPr>
        <w:t xml:space="preserve"> [19]</w:t>
      </w:r>
      <w:r w:rsidR="00E632D8">
        <w:rPr>
          <w:b w:val="0"/>
        </w:rPr>
        <w:t>,</w:t>
      </w:r>
      <w:r w:rsidR="001B341B" w:rsidRPr="001B341B">
        <w:rPr>
          <w:b w:val="0"/>
        </w:rPr>
        <w:t xml:space="preserve"> </w:t>
      </w:r>
      <w:r w:rsidR="00E632D8">
        <w:rPr>
          <w:b w:val="0"/>
        </w:rPr>
        <w:t xml:space="preserve">some of these </w:t>
      </w:r>
      <w:r w:rsidR="001B341B" w:rsidRPr="001B341B">
        <w:rPr>
          <w:b w:val="0"/>
        </w:rPr>
        <w:t>overlapping the pleiotropic effects of statins [</w:t>
      </w:r>
      <w:r w:rsidR="00293848">
        <w:rPr>
          <w:b w:val="0"/>
        </w:rPr>
        <w:t>20</w:t>
      </w:r>
      <w:r w:rsidR="001B341B" w:rsidRPr="001B341B">
        <w:rPr>
          <w:b w:val="0"/>
        </w:rPr>
        <w:t>].</w:t>
      </w:r>
    </w:p>
    <w:p w14:paraId="1A47FE02" w14:textId="0AD7D8EB" w:rsidR="00A8670E" w:rsidRDefault="001B341B" w:rsidP="00A8670E">
      <w:pPr>
        <w:pStyle w:val="MDPI21heading1"/>
        <w:spacing w:before="0" w:after="0"/>
        <w:ind w:firstLine="454"/>
        <w:jc w:val="both"/>
        <w:rPr>
          <w:b w:val="0"/>
        </w:rPr>
      </w:pPr>
      <w:r w:rsidRPr="001B341B">
        <w:rPr>
          <w:b w:val="0"/>
        </w:rPr>
        <w:t xml:space="preserve">Despite a large amount of clinical evidence that confirms </w:t>
      </w:r>
      <w:r w:rsidR="00D458A3">
        <w:rPr>
          <w:b w:val="0"/>
        </w:rPr>
        <w:t xml:space="preserve">the </w:t>
      </w:r>
      <w:r w:rsidRPr="001B341B">
        <w:rPr>
          <w:b w:val="0"/>
        </w:rPr>
        <w:t xml:space="preserve">individual effects of statins and </w:t>
      </w:r>
      <w:r w:rsidR="00D458A3">
        <w:rPr>
          <w:b w:val="0"/>
        </w:rPr>
        <w:t xml:space="preserve">of </w:t>
      </w:r>
      <w:r w:rsidRPr="001B341B">
        <w:rPr>
          <w:b w:val="0"/>
        </w:rPr>
        <w:t xml:space="preserve">n-3 </w:t>
      </w:r>
      <w:r w:rsidR="00D458A3">
        <w:rPr>
          <w:b w:val="0"/>
        </w:rPr>
        <w:t>PUFAs</w:t>
      </w:r>
      <w:r w:rsidRPr="001B341B">
        <w:rPr>
          <w:b w:val="0"/>
        </w:rPr>
        <w:t xml:space="preserve"> on </w:t>
      </w:r>
      <w:r w:rsidR="00D458A3">
        <w:rPr>
          <w:b w:val="0"/>
        </w:rPr>
        <w:t xml:space="preserve">blood </w:t>
      </w:r>
      <w:r w:rsidRPr="001B341B">
        <w:rPr>
          <w:b w:val="0"/>
        </w:rPr>
        <w:t xml:space="preserve">lipid </w:t>
      </w:r>
      <w:r w:rsidR="00D458A3">
        <w:rPr>
          <w:b w:val="0"/>
        </w:rPr>
        <w:t>concentrations</w:t>
      </w:r>
      <w:r w:rsidRPr="001B341B">
        <w:rPr>
          <w:b w:val="0"/>
        </w:rPr>
        <w:t xml:space="preserve"> and </w:t>
      </w:r>
      <w:r w:rsidR="00D458A3">
        <w:rPr>
          <w:b w:val="0"/>
        </w:rPr>
        <w:t xml:space="preserve">on </w:t>
      </w:r>
      <w:r w:rsidRPr="001B341B">
        <w:rPr>
          <w:b w:val="0"/>
        </w:rPr>
        <w:t xml:space="preserve">CVD outcomes, there is still a lack of consensus on how combined treatments might benefit these conditions. As inflammation is involved in various stages of ASCVD, anti-inflammatory actions </w:t>
      </w:r>
      <w:r w:rsidR="00D458A3">
        <w:rPr>
          <w:b w:val="0"/>
        </w:rPr>
        <w:t xml:space="preserve">of statins and of n-3 PUFAs </w:t>
      </w:r>
      <w:r w:rsidRPr="001B341B">
        <w:rPr>
          <w:b w:val="0"/>
        </w:rPr>
        <w:t>are likely to be important. EPA and DHA are well described to exert anti-inflammatory actions</w:t>
      </w:r>
      <w:r w:rsidR="007C247A">
        <w:rPr>
          <w:b w:val="0"/>
        </w:rPr>
        <w:t>, acting through several interacting mechanisms</w:t>
      </w:r>
      <w:r w:rsidRPr="001B341B">
        <w:rPr>
          <w:b w:val="0"/>
        </w:rPr>
        <w:t xml:space="preserve"> [</w:t>
      </w:r>
      <w:r w:rsidR="00293848">
        <w:rPr>
          <w:b w:val="0"/>
        </w:rPr>
        <w:t>21,22</w:t>
      </w:r>
      <w:r w:rsidRPr="001B341B">
        <w:rPr>
          <w:b w:val="0"/>
        </w:rPr>
        <w:t>]</w:t>
      </w:r>
      <w:r w:rsidR="007C247A">
        <w:rPr>
          <w:b w:val="0"/>
        </w:rPr>
        <w:t xml:space="preserve">. Furthermore, </w:t>
      </w:r>
      <w:r w:rsidRPr="001B341B">
        <w:rPr>
          <w:b w:val="0"/>
        </w:rPr>
        <w:t xml:space="preserve">it is now known that both </w:t>
      </w:r>
      <w:r w:rsidR="007C247A">
        <w:rPr>
          <w:b w:val="0"/>
        </w:rPr>
        <w:t>EPA and DHA</w:t>
      </w:r>
      <w:r w:rsidRPr="001B341B">
        <w:rPr>
          <w:b w:val="0"/>
        </w:rPr>
        <w:t xml:space="preserve"> are </w:t>
      </w:r>
      <w:r w:rsidR="007C247A">
        <w:rPr>
          <w:b w:val="0"/>
        </w:rPr>
        <w:t>precursors</w:t>
      </w:r>
      <w:r w:rsidRPr="001B341B">
        <w:rPr>
          <w:b w:val="0"/>
        </w:rPr>
        <w:t xml:space="preserve"> for </w:t>
      </w:r>
      <w:r w:rsidR="007C247A">
        <w:rPr>
          <w:b w:val="0"/>
        </w:rPr>
        <w:t>the bio</w:t>
      </w:r>
      <w:r w:rsidRPr="001B341B">
        <w:rPr>
          <w:b w:val="0"/>
        </w:rPr>
        <w:t xml:space="preserve">synthesis of </w:t>
      </w:r>
      <w:r w:rsidR="00630433">
        <w:rPr>
          <w:b w:val="0"/>
        </w:rPr>
        <w:t xml:space="preserve">a family of lipid mediators (i.e., oxylipins) </w:t>
      </w:r>
      <w:r w:rsidR="007C247A">
        <w:rPr>
          <w:b w:val="0"/>
        </w:rPr>
        <w:t xml:space="preserve">which </w:t>
      </w:r>
      <w:r w:rsidR="00630433">
        <w:rPr>
          <w:b w:val="0"/>
        </w:rPr>
        <w:t xml:space="preserve">together </w:t>
      </w:r>
      <w:r w:rsidR="007C247A">
        <w:rPr>
          <w:b w:val="0"/>
        </w:rPr>
        <w:t>have been called</w:t>
      </w:r>
      <w:r w:rsidR="00630433">
        <w:rPr>
          <w:b w:val="0"/>
        </w:rPr>
        <w:t xml:space="preserve"> </w:t>
      </w:r>
      <w:r w:rsidR="00A8670E" w:rsidRPr="001B341B">
        <w:rPr>
          <w:b w:val="0"/>
        </w:rPr>
        <w:t>specialized</w:t>
      </w:r>
      <w:r w:rsidRPr="001B341B">
        <w:rPr>
          <w:b w:val="0"/>
        </w:rPr>
        <w:t xml:space="preserve"> pro-resolving mediators</w:t>
      </w:r>
      <w:r w:rsidR="00630433">
        <w:rPr>
          <w:b w:val="0"/>
        </w:rPr>
        <w:t xml:space="preserve"> (SPMs)</w:t>
      </w:r>
      <w:r w:rsidRPr="001B341B">
        <w:rPr>
          <w:b w:val="0"/>
        </w:rPr>
        <w:t xml:space="preserve"> [</w:t>
      </w:r>
      <w:r w:rsidR="00293848">
        <w:rPr>
          <w:b w:val="0"/>
        </w:rPr>
        <w:t>23</w:t>
      </w:r>
      <w:r w:rsidRPr="001B341B">
        <w:rPr>
          <w:b w:val="0"/>
        </w:rPr>
        <w:t>]. There is also research suggesting that statins may indirectly affect anti-inflammatory/pro-resolving pathways; for example</w:t>
      </w:r>
      <w:r w:rsidR="007C247A">
        <w:rPr>
          <w:b w:val="0"/>
        </w:rPr>
        <w:t>,</w:t>
      </w:r>
      <w:r w:rsidRPr="001B341B">
        <w:rPr>
          <w:b w:val="0"/>
        </w:rPr>
        <w:t xml:space="preserve"> statins might </w:t>
      </w:r>
      <w:r w:rsidR="00630433">
        <w:rPr>
          <w:b w:val="0"/>
        </w:rPr>
        <w:t>promote</w:t>
      </w:r>
      <w:r w:rsidR="00630433" w:rsidRPr="001B341B">
        <w:rPr>
          <w:b w:val="0"/>
        </w:rPr>
        <w:t xml:space="preserve"> </w:t>
      </w:r>
      <w:r w:rsidRPr="001B341B">
        <w:rPr>
          <w:b w:val="0"/>
        </w:rPr>
        <w:t xml:space="preserve">the production of specific </w:t>
      </w:r>
      <w:r w:rsidR="00630433">
        <w:rPr>
          <w:b w:val="0"/>
        </w:rPr>
        <w:t xml:space="preserve">SPMs (see later sections) suggesting an intriguing interaction between two lipid-lowering therapies to mitigate inflammation. </w:t>
      </w:r>
      <w:r w:rsidRPr="001B341B">
        <w:rPr>
          <w:b w:val="0"/>
        </w:rPr>
        <w:t xml:space="preserve">  </w:t>
      </w:r>
    </w:p>
    <w:p w14:paraId="56E841DB" w14:textId="5E9B065C" w:rsidR="001B341B" w:rsidRDefault="001B341B" w:rsidP="00A8670E">
      <w:pPr>
        <w:pStyle w:val="MDPI21heading1"/>
        <w:spacing w:before="0" w:after="0"/>
        <w:ind w:firstLine="454"/>
        <w:jc w:val="both"/>
        <w:rPr>
          <w:b w:val="0"/>
        </w:rPr>
      </w:pPr>
      <w:r w:rsidRPr="001B341B">
        <w:rPr>
          <w:b w:val="0"/>
        </w:rPr>
        <w:lastRenderedPageBreak/>
        <w:t>Th</w:t>
      </w:r>
      <w:r w:rsidR="0054052D">
        <w:rPr>
          <w:b w:val="0"/>
        </w:rPr>
        <w:t>is article</w:t>
      </w:r>
      <w:r w:rsidRPr="001B341B">
        <w:rPr>
          <w:b w:val="0"/>
        </w:rPr>
        <w:t xml:space="preserve"> aim</w:t>
      </w:r>
      <w:r w:rsidR="0054052D">
        <w:rPr>
          <w:b w:val="0"/>
        </w:rPr>
        <w:t>s</w:t>
      </w:r>
      <w:r w:rsidRPr="001B341B">
        <w:rPr>
          <w:b w:val="0"/>
        </w:rPr>
        <w:t xml:space="preserve"> to discuss possible n-3 fatty acid-statin interactions in the prevention and treatment of ASCVD and to provide evidence </w:t>
      </w:r>
      <w:r w:rsidR="0080768E">
        <w:rPr>
          <w:b w:val="0"/>
        </w:rPr>
        <w:t xml:space="preserve">to consider </w:t>
      </w:r>
      <w:r w:rsidRPr="001B341B">
        <w:rPr>
          <w:b w:val="0"/>
        </w:rPr>
        <w:t>for clinical practice, highlighting novel insights in this field.</w:t>
      </w:r>
    </w:p>
    <w:p w14:paraId="6FCA5423" w14:textId="77777777" w:rsidR="007A5582" w:rsidRDefault="007A5582" w:rsidP="00A8670E">
      <w:pPr>
        <w:pStyle w:val="MDPI21heading1"/>
        <w:spacing w:before="0" w:after="0"/>
        <w:ind w:firstLine="454"/>
        <w:jc w:val="both"/>
        <w:rPr>
          <w:b w:val="0"/>
        </w:rPr>
      </w:pPr>
    </w:p>
    <w:p w14:paraId="27335211" w14:textId="77777777" w:rsidR="00D51B1B" w:rsidRPr="00FA04F1" w:rsidRDefault="00D47EA5" w:rsidP="00067BD0">
      <w:pPr>
        <w:pStyle w:val="MDPI21heading1"/>
        <w:spacing w:before="0"/>
        <w:jc w:val="both"/>
      </w:pPr>
      <w:r w:rsidRPr="00FA04F1">
        <w:rPr>
          <w:lang w:eastAsia="zh-CN"/>
        </w:rPr>
        <w:t xml:space="preserve">2. </w:t>
      </w:r>
      <w:r w:rsidR="00A8670E" w:rsidRPr="00A8670E">
        <w:t xml:space="preserve">Biological </w:t>
      </w:r>
      <w:r w:rsidR="00A8670E">
        <w:t>Actions o</w:t>
      </w:r>
      <w:r w:rsidR="00A8670E" w:rsidRPr="00A8670E">
        <w:t>f Omega-3 (N</w:t>
      </w:r>
      <w:r w:rsidR="00A8670E">
        <w:t>-3) Fatty Acids and t</w:t>
      </w:r>
      <w:r w:rsidR="00A8670E" w:rsidRPr="00A8670E">
        <w:t>heir Oxylipin Metabolites</w:t>
      </w:r>
    </w:p>
    <w:p w14:paraId="5B3209B6" w14:textId="52974932" w:rsidR="001832F0" w:rsidRDefault="002B69FB" w:rsidP="002A586D">
      <w:pPr>
        <w:pStyle w:val="MDPI21heading1"/>
        <w:spacing w:before="0" w:after="0"/>
        <w:ind w:firstLine="454"/>
        <w:jc w:val="both"/>
        <w:rPr>
          <w:b w:val="0"/>
        </w:rPr>
      </w:pPr>
      <w:r w:rsidRPr="00067BD0">
        <w:rPr>
          <w:b w:val="0"/>
        </w:rPr>
        <w:t xml:space="preserve">The human diet contains n-3 fatty acids from both plant and animal foods. Plants synthesize </w:t>
      </w:r>
      <w:r w:rsidRPr="00067BD0">
        <w:rPr>
          <w:rFonts w:ascii="Symbol" w:hAnsi="Symbol"/>
          <w:b w:val="0"/>
        </w:rPr>
        <w:t>a</w:t>
      </w:r>
      <w:r w:rsidRPr="00067BD0">
        <w:rPr>
          <w:b w:val="0"/>
        </w:rPr>
        <w:t>-linolenic acid</w:t>
      </w:r>
      <w:r>
        <w:rPr>
          <w:b w:val="0"/>
        </w:rPr>
        <w:t>,</w:t>
      </w:r>
      <w:r w:rsidRPr="00067BD0">
        <w:rPr>
          <w:b w:val="0"/>
        </w:rPr>
        <w:t xml:space="preserve"> and this fatty acid is an important constituent of many nuts, seeds, and plant oils.</w:t>
      </w:r>
      <w:r w:rsidR="00C4146D">
        <w:rPr>
          <w:b w:val="0"/>
        </w:rPr>
        <w:t xml:space="preserve"> Plants do not produce EPA and DHA. These are mainly produced by algae and are passed through the aquatic food chain to fish. White (or lean) fish contain modest levels of EPA and DHA, typically up to 300 mg per </w:t>
      </w:r>
      <w:r w:rsidR="004E4F43">
        <w:rPr>
          <w:b w:val="0"/>
        </w:rPr>
        <w:t xml:space="preserve">adult </w:t>
      </w:r>
      <w:r w:rsidR="00C4146D">
        <w:rPr>
          <w:b w:val="0"/>
        </w:rPr>
        <w:t>serving [</w:t>
      </w:r>
      <w:r w:rsidR="00D67E28">
        <w:rPr>
          <w:b w:val="0"/>
        </w:rPr>
        <w:t>24</w:t>
      </w:r>
      <w:r w:rsidR="00C4146D">
        <w:rPr>
          <w:b w:val="0"/>
        </w:rPr>
        <w:t>]</w:t>
      </w:r>
      <w:r w:rsidR="00F23629">
        <w:rPr>
          <w:b w:val="0"/>
        </w:rPr>
        <w:t>,</w:t>
      </w:r>
      <w:r w:rsidR="00C4146D">
        <w:rPr>
          <w:b w:val="0"/>
        </w:rPr>
        <w:t xml:space="preserve"> while oily (or fatty) fish contain high levels, typically between 1 and 2.5 g per </w:t>
      </w:r>
      <w:r w:rsidR="004E4F43">
        <w:rPr>
          <w:b w:val="0"/>
        </w:rPr>
        <w:t xml:space="preserve">adult </w:t>
      </w:r>
      <w:r w:rsidR="00C4146D">
        <w:rPr>
          <w:b w:val="0"/>
        </w:rPr>
        <w:t>serving [</w:t>
      </w:r>
      <w:r w:rsidR="00D67E28">
        <w:rPr>
          <w:b w:val="0"/>
        </w:rPr>
        <w:t>24</w:t>
      </w:r>
      <w:r w:rsidR="00C4146D">
        <w:rPr>
          <w:b w:val="0"/>
        </w:rPr>
        <w:t xml:space="preserve">]. Good sources of EPA and DHA include salmon, mackerel, herring, trout and sardines. </w:t>
      </w:r>
      <w:r w:rsidR="00071F06">
        <w:rPr>
          <w:b w:val="0"/>
        </w:rPr>
        <w:t xml:space="preserve">No foods other than seafood contain significant amounts of EPA and DHA unless they have been fortified, which is not common. </w:t>
      </w:r>
      <w:r w:rsidR="00C4146D">
        <w:rPr>
          <w:b w:val="0"/>
        </w:rPr>
        <w:t xml:space="preserve">EPA and DHA are </w:t>
      </w:r>
      <w:r w:rsidR="00071F06">
        <w:rPr>
          <w:b w:val="0"/>
        </w:rPr>
        <w:t xml:space="preserve">also </w:t>
      </w:r>
      <w:r w:rsidR="00C4146D">
        <w:rPr>
          <w:b w:val="0"/>
        </w:rPr>
        <w:t>found in many “omega-3” supplements which include fish oils, krill oil and algal oils [</w:t>
      </w:r>
      <w:r w:rsidR="00D67E28">
        <w:rPr>
          <w:b w:val="0"/>
        </w:rPr>
        <w:t>24</w:t>
      </w:r>
      <w:r w:rsidR="00C4146D">
        <w:rPr>
          <w:b w:val="0"/>
        </w:rPr>
        <w:t>]. The EPA and DHA content of supplements can vary</w:t>
      </w:r>
      <w:r w:rsidR="00303713">
        <w:rPr>
          <w:b w:val="0"/>
        </w:rPr>
        <w:t>,</w:t>
      </w:r>
      <w:r w:rsidR="00C4146D">
        <w:rPr>
          <w:b w:val="0"/>
        </w:rPr>
        <w:t xml:space="preserve"> but a typical fish oil supplement typically contains about 300 mg per g of oil. Concentrates are available as supplements where EPA + DHA contribute as much as 60% of the oil. There are also highly concentrated pharmaceutical grade preparations which are 90% or more EPA+DHA or just EPA. Dietary intakes of EPA+DHA are low in those who do not regularly consume oily fish or use supplements containing EPA+DHA; such low intakes are estimated in the </w:t>
      </w:r>
      <w:r w:rsidR="00071F06">
        <w:rPr>
          <w:b w:val="0"/>
        </w:rPr>
        <w:t>high tens to low hundreds of mg daily</w:t>
      </w:r>
      <w:r w:rsidR="00F23629">
        <w:rPr>
          <w:b w:val="0"/>
        </w:rPr>
        <w:t xml:space="preserve"> </w:t>
      </w:r>
      <w:r w:rsidR="00D67E28">
        <w:rPr>
          <w:b w:val="0"/>
        </w:rPr>
        <w:t>[25,26</w:t>
      </w:r>
      <w:r w:rsidR="00F23629">
        <w:rPr>
          <w:b w:val="0"/>
        </w:rPr>
        <w:t>]</w:t>
      </w:r>
      <w:r w:rsidR="00071F06">
        <w:rPr>
          <w:b w:val="0"/>
        </w:rPr>
        <w:t xml:space="preserve"> and are generally below recommended intakes [</w:t>
      </w:r>
      <w:r w:rsidR="00D67E28">
        <w:rPr>
          <w:b w:val="0"/>
        </w:rPr>
        <w:t>27-31</w:t>
      </w:r>
      <w:r w:rsidR="00071F06">
        <w:rPr>
          <w:b w:val="0"/>
        </w:rPr>
        <w:t>]. Regular consumption of oily fish or use of supplements, particularly concentrates, results in markedly higher intake of EPA</w:t>
      </w:r>
      <w:r w:rsidR="00303713">
        <w:rPr>
          <w:b w:val="0"/>
        </w:rPr>
        <w:t xml:space="preserve"> and </w:t>
      </w:r>
      <w:r w:rsidR="00071F06">
        <w:rPr>
          <w:b w:val="0"/>
        </w:rPr>
        <w:t>DHA and in higher blood, cell and tissue levels of those two n-3 PUFAs [</w:t>
      </w:r>
      <w:r w:rsidR="00D67E28">
        <w:rPr>
          <w:b w:val="0"/>
        </w:rPr>
        <w:t>32,33</w:t>
      </w:r>
      <w:r w:rsidR="00071F06">
        <w:rPr>
          <w:b w:val="0"/>
        </w:rPr>
        <w:t>].</w:t>
      </w:r>
      <w:r w:rsidR="00875F3E">
        <w:rPr>
          <w:b w:val="0"/>
        </w:rPr>
        <w:t xml:space="preserve"> The availability of EPA and DHA in supplements and in pharmaceutical grade preparations has permitted the conduct of placebo-controlled randomized controlled trials (RCTs) of these n-3 PUFAs.   </w:t>
      </w:r>
      <w:r w:rsidR="00071F06">
        <w:rPr>
          <w:b w:val="0"/>
        </w:rPr>
        <w:t xml:space="preserve">  </w:t>
      </w:r>
      <w:r w:rsidR="00C4146D">
        <w:rPr>
          <w:b w:val="0"/>
        </w:rPr>
        <w:t xml:space="preserve">         </w:t>
      </w:r>
      <w:r w:rsidRPr="00067BD0">
        <w:rPr>
          <w:b w:val="0"/>
        </w:rPr>
        <w:t xml:space="preserve">   </w:t>
      </w:r>
    </w:p>
    <w:p w14:paraId="76E0120A" w14:textId="2FACB416" w:rsidR="0069142C" w:rsidRDefault="00A8670E" w:rsidP="002A586D">
      <w:pPr>
        <w:pStyle w:val="MDPI21heading1"/>
        <w:spacing w:before="0" w:after="0"/>
        <w:ind w:firstLine="454"/>
        <w:jc w:val="both"/>
        <w:rPr>
          <w:b w:val="0"/>
        </w:rPr>
      </w:pPr>
      <w:r w:rsidRPr="00A8670E">
        <w:rPr>
          <w:b w:val="0"/>
        </w:rPr>
        <w:t>N-3 PUFAs</w:t>
      </w:r>
      <w:r w:rsidR="009568CB">
        <w:rPr>
          <w:b w:val="0"/>
        </w:rPr>
        <w:t>, especially EPA and DHA,</w:t>
      </w:r>
      <w:r w:rsidRPr="00A8670E">
        <w:rPr>
          <w:b w:val="0"/>
        </w:rPr>
        <w:t xml:space="preserve"> are known for their health benefits, particularly in relation to cardiovascular health [</w:t>
      </w:r>
      <w:r w:rsidR="00D67E28">
        <w:rPr>
          <w:b w:val="0"/>
        </w:rPr>
        <w:t>3</w:t>
      </w:r>
      <w:r w:rsidR="00293848">
        <w:rPr>
          <w:b w:val="0"/>
        </w:rPr>
        <w:t>4</w:t>
      </w:r>
      <w:r w:rsidRPr="00A8670E">
        <w:rPr>
          <w:b w:val="0"/>
        </w:rPr>
        <w:t>]</w:t>
      </w:r>
      <w:r w:rsidR="007A5582">
        <w:rPr>
          <w:b w:val="0"/>
        </w:rPr>
        <w:t xml:space="preserve">; these benefits come about through the </w:t>
      </w:r>
      <w:r w:rsidR="00D67E28">
        <w:rPr>
          <w:b w:val="0"/>
        </w:rPr>
        <w:t>favorable</w:t>
      </w:r>
      <w:r w:rsidR="00D67E28">
        <w:rPr>
          <w:b w:val="0"/>
        </w:rPr>
        <w:t xml:space="preserve"> </w:t>
      </w:r>
      <w:r w:rsidRPr="00A8670E">
        <w:rPr>
          <w:b w:val="0"/>
        </w:rPr>
        <w:t>modulat</w:t>
      </w:r>
      <w:r w:rsidR="007A5582">
        <w:rPr>
          <w:b w:val="0"/>
        </w:rPr>
        <w:t>ion of</w:t>
      </w:r>
      <w:r w:rsidRPr="00A8670E">
        <w:rPr>
          <w:b w:val="0"/>
        </w:rPr>
        <w:t xml:space="preserve"> a broad range of </w:t>
      </w:r>
      <w:r w:rsidR="007A5582">
        <w:rPr>
          <w:b w:val="0"/>
        </w:rPr>
        <w:t xml:space="preserve">well described </w:t>
      </w:r>
      <w:r w:rsidRPr="00A8670E">
        <w:rPr>
          <w:b w:val="0"/>
        </w:rPr>
        <w:t>risk factors</w:t>
      </w:r>
      <w:r w:rsidR="00742CFE">
        <w:rPr>
          <w:b w:val="0"/>
        </w:rPr>
        <w:t xml:space="preserve"> [</w:t>
      </w:r>
      <w:r w:rsidR="00C12296">
        <w:rPr>
          <w:b w:val="0"/>
        </w:rPr>
        <w:t>19</w:t>
      </w:r>
      <w:r w:rsidR="00742CFE">
        <w:rPr>
          <w:b w:val="0"/>
        </w:rPr>
        <w:t>]</w:t>
      </w:r>
      <w:r w:rsidRPr="00A8670E">
        <w:rPr>
          <w:b w:val="0"/>
        </w:rPr>
        <w:t xml:space="preserve">. These include blood TG concentrations, systolic and diastolic blood pressure, thrombosis, endothelial function, inﬂammation and cardiac function, which </w:t>
      </w:r>
      <w:r w:rsidR="006C747A">
        <w:rPr>
          <w:b w:val="0"/>
        </w:rPr>
        <w:t>are</w:t>
      </w:r>
      <w:r w:rsidRPr="00A8670E">
        <w:rPr>
          <w:b w:val="0"/>
        </w:rPr>
        <w:t xml:space="preserve"> </w:t>
      </w:r>
      <w:r w:rsidR="007A5582">
        <w:rPr>
          <w:b w:val="0"/>
        </w:rPr>
        <w:t>all</w:t>
      </w:r>
      <w:r w:rsidRPr="00A8670E">
        <w:rPr>
          <w:b w:val="0"/>
        </w:rPr>
        <w:t xml:space="preserve"> improved by n-3 PUFAs (see [</w:t>
      </w:r>
      <w:r w:rsidR="00C12296">
        <w:rPr>
          <w:b w:val="0"/>
        </w:rPr>
        <w:t>19,</w:t>
      </w:r>
      <w:r w:rsidR="00D67E28">
        <w:rPr>
          <w:b w:val="0"/>
        </w:rPr>
        <w:t>3</w:t>
      </w:r>
      <w:r w:rsidR="00C12296">
        <w:rPr>
          <w:b w:val="0"/>
        </w:rPr>
        <w:t>4,</w:t>
      </w:r>
      <w:r w:rsidR="00D67E28">
        <w:rPr>
          <w:b w:val="0"/>
        </w:rPr>
        <w:t>3</w:t>
      </w:r>
      <w:r w:rsidR="00293848">
        <w:rPr>
          <w:b w:val="0"/>
        </w:rPr>
        <w:t>5</w:t>
      </w:r>
      <w:r w:rsidRPr="00A8670E">
        <w:rPr>
          <w:b w:val="0"/>
        </w:rPr>
        <w:t xml:space="preserve">] and references therein). </w:t>
      </w:r>
      <w:r w:rsidR="007A5582">
        <w:rPr>
          <w:b w:val="0"/>
        </w:rPr>
        <w:t>As already mentioned</w:t>
      </w:r>
      <w:r w:rsidRPr="00A8670E">
        <w:rPr>
          <w:b w:val="0"/>
        </w:rPr>
        <w:t xml:space="preserve">, EPA and DHA </w:t>
      </w:r>
      <w:r w:rsidR="006C747A">
        <w:rPr>
          <w:b w:val="0"/>
        </w:rPr>
        <w:t xml:space="preserve">exert a number of actions that result in lower </w:t>
      </w:r>
      <w:r w:rsidRPr="00A8670E">
        <w:rPr>
          <w:b w:val="0"/>
        </w:rPr>
        <w:t>plasma TG levels [18]. The</w:t>
      </w:r>
      <w:r w:rsidR="007A5582">
        <w:rPr>
          <w:b w:val="0"/>
        </w:rPr>
        <w:t xml:space="preserve">se include the combination of </w:t>
      </w:r>
      <w:r w:rsidRPr="00A8670E">
        <w:rPr>
          <w:b w:val="0"/>
        </w:rPr>
        <w:t xml:space="preserve">increased hepatic fatty acid oxidation, reduced hepatic </w:t>
      </w:r>
      <w:r w:rsidRPr="00A8670E">
        <w:rPr>
          <w:b w:val="0"/>
          <w:i/>
        </w:rPr>
        <w:t>de novo</w:t>
      </w:r>
      <w:r w:rsidRPr="00A8670E">
        <w:rPr>
          <w:b w:val="0"/>
        </w:rPr>
        <w:t xml:space="preserve"> lipogenesis and very-low-density lipoprotein (VLDL) synthesis</w:t>
      </w:r>
      <w:r w:rsidR="00C12296">
        <w:rPr>
          <w:b w:val="0"/>
        </w:rPr>
        <w:t xml:space="preserve"> [15,16]</w:t>
      </w:r>
      <w:r w:rsidRPr="00A8670E">
        <w:rPr>
          <w:b w:val="0"/>
        </w:rPr>
        <w:t>, and increased clearance of TGRLs including chylomicrons and VLDL</w:t>
      </w:r>
      <w:r w:rsidR="006C747A">
        <w:rPr>
          <w:b w:val="0"/>
        </w:rPr>
        <w:t>s</w:t>
      </w:r>
      <w:r w:rsidRPr="00A8670E">
        <w:rPr>
          <w:b w:val="0"/>
        </w:rPr>
        <w:t xml:space="preserve">, thus decreasing their half-life in the circulation [17,18]. Furthermore, EPA and DHA </w:t>
      </w:r>
      <w:r w:rsidR="006C747A">
        <w:rPr>
          <w:b w:val="0"/>
        </w:rPr>
        <w:t>contribute to lower</w:t>
      </w:r>
      <w:r w:rsidRPr="00A8670E">
        <w:rPr>
          <w:b w:val="0"/>
        </w:rPr>
        <w:t xml:space="preserve"> TG levels </w:t>
      </w:r>
      <w:r w:rsidR="007A5582">
        <w:rPr>
          <w:b w:val="0"/>
        </w:rPr>
        <w:t>through decreased</w:t>
      </w:r>
      <w:r w:rsidRPr="00A8670E">
        <w:rPr>
          <w:b w:val="0"/>
        </w:rPr>
        <w:t xml:space="preserve"> delivery of non-esterified fatty acids to the liver and increas</w:t>
      </w:r>
      <w:r w:rsidR="007A5582">
        <w:rPr>
          <w:b w:val="0"/>
        </w:rPr>
        <w:t>ed</w:t>
      </w:r>
      <w:r w:rsidRPr="00A8670E">
        <w:rPr>
          <w:b w:val="0"/>
        </w:rPr>
        <w:t xml:space="preserve"> hepatic synthesis of phospholipids rather than TGs [</w:t>
      </w:r>
      <w:r w:rsidR="00D67E28">
        <w:rPr>
          <w:b w:val="0"/>
        </w:rPr>
        <w:t>36</w:t>
      </w:r>
      <w:r w:rsidRPr="00A8670E">
        <w:rPr>
          <w:b w:val="0"/>
        </w:rPr>
        <w:t xml:space="preserve">]. Recent investigations suggest an additional </w:t>
      </w:r>
      <w:r w:rsidR="007A5582">
        <w:rPr>
          <w:b w:val="0"/>
        </w:rPr>
        <w:t xml:space="preserve">novel </w:t>
      </w:r>
      <w:r w:rsidRPr="00A8670E">
        <w:rPr>
          <w:b w:val="0"/>
        </w:rPr>
        <w:t xml:space="preserve">mechanism </w:t>
      </w:r>
      <w:r w:rsidR="007A5582">
        <w:rPr>
          <w:b w:val="0"/>
        </w:rPr>
        <w:t xml:space="preserve">by which EPA and DHA act to </w:t>
      </w:r>
      <w:r w:rsidRPr="00A8670E">
        <w:rPr>
          <w:b w:val="0"/>
        </w:rPr>
        <w:t>lower plasma TG</w:t>
      </w:r>
      <w:r w:rsidR="007A5582">
        <w:rPr>
          <w:b w:val="0"/>
        </w:rPr>
        <w:t>s</w:t>
      </w:r>
      <w:r w:rsidRPr="00A8670E">
        <w:rPr>
          <w:b w:val="0"/>
        </w:rPr>
        <w:t xml:space="preserve">. </w:t>
      </w:r>
      <w:r w:rsidR="007A5582">
        <w:rPr>
          <w:b w:val="0"/>
        </w:rPr>
        <w:t>With increased intake of EPA and DHA,</w:t>
      </w:r>
      <w:r w:rsidRPr="00A8670E">
        <w:rPr>
          <w:b w:val="0"/>
        </w:rPr>
        <w:t xml:space="preserve"> EPA- and DHA-derived N-acyl taurines (NATs) accumulate in bile and plasma </w:t>
      </w:r>
      <w:r w:rsidR="006C747A">
        <w:rPr>
          <w:b w:val="0"/>
        </w:rPr>
        <w:t>[</w:t>
      </w:r>
      <w:r w:rsidR="00D67E28">
        <w:rPr>
          <w:b w:val="0"/>
        </w:rPr>
        <w:t>3</w:t>
      </w:r>
      <w:r w:rsidR="00293848">
        <w:rPr>
          <w:b w:val="0"/>
        </w:rPr>
        <w:t>7</w:t>
      </w:r>
      <w:r w:rsidR="006C747A">
        <w:rPr>
          <w:b w:val="0"/>
        </w:rPr>
        <w:t>]</w:t>
      </w:r>
      <w:r w:rsidRPr="00A8670E">
        <w:rPr>
          <w:b w:val="0"/>
        </w:rPr>
        <w:t xml:space="preserve">. </w:t>
      </w:r>
      <w:r w:rsidR="008E2340">
        <w:rPr>
          <w:b w:val="0"/>
        </w:rPr>
        <w:t xml:space="preserve">The </w:t>
      </w:r>
      <w:r w:rsidRPr="00A8670E">
        <w:rPr>
          <w:b w:val="0"/>
        </w:rPr>
        <w:t xml:space="preserve">DHA-containing NAT (C22:6 NAT) inhibits intestinal hydrolysis </w:t>
      </w:r>
      <w:r w:rsidR="008E2340">
        <w:rPr>
          <w:b w:val="0"/>
        </w:rPr>
        <w:t xml:space="preserve">of TGs </w:t>
      </w:r>
      <w:r w:rsidRPr="00A8670E">
        <w:rPr>
          <w:b w:val="0"/>
        </w:rPr>
        <w:t xml:space="preserve">and lipid absorption, resulting in lower plasma TG levels and </w:t>
      </w:r>
      <w:r w:rsidR="00B257C3">
        <w:rPr>
          <w:b w:val="0"/>
        </w:rPr>
        <w:t>reduced risk of accumulation of TGs in the liver</w:t>
      </w:r>
      <w:r w:rsidRPr="00A8670E">
        <w:rPr>
          <w:b w:val="0"/>
        </w:rPr>
        <w:t xml:space="preserve"> [</w:t>
      </w:r>
      <w:r w:rsidR="00D67E28">
        <w:rPr>
          <w:b w:val="0"/>
        </w:rPr>
        <w:t>3</w:t>
      </w:r>
      <w:r w:rsidR="00293848">
        <w:rPr>
          <w:b w:val="0"/>
        </w:rPr>
        <w:t>7</w:t>
      </w:r>
      <w:r w:rsidRPr="00A8670E">
        <w:rPr>
          <w:b w:val="0"/>
        </w:rPr>
        <w:t xml:space="preserve">]. This might explain </w:t>
      </w:r>
      <w:r w:rsidR="00B257C3">
        <w:rPr>
          <w:b w:val="0"/>
        </w:rPr>
        <w:t>why DHA has a</w:t>
      </w:r>
      <w:r w:rsidR="00B257C3" w:rsidRPr="00A8670E">
        <w:rPr>
          <w:b w:val="0"/>
        </w:rPr>
        <w:t xml:space="preserve"> </w:t>
      </w:r>
      <w:r w:rsidRPr="00A8670E">
        <w:rPr>
          <w:b w:val="0"/>
        </w:rPr>
        <w:t xml:space="preserve">slightly </w:t>
      </w:r>
      <w:r w:rsidR="00B257C3">
        <w:rPr>
          <w:b w:val="0"/>
        </w:rPr>
        <w:t>greater impact on plasma TG concentrations tha</w:t>
      </w:r>
      <w:r w:rsidR="00303713">
        <w:rPr>
          <w:b w:val="0"/>
        </w:rPr>
        <w:t>n</w:t>
      </w:r>
      <w:r w:rsidR="00B257C3">
        <w:rPr>
          <w:b w:val="0"/>
        </w:rPr>
        <w:t xml:space="preserve"> EPA does</w:t>
      </w:r>
      <w:r w:rsidRPr="00A8670E">
        <w:rPr>
          <w:b w:val="0"/>
        </w:rPr>
        <w:t xml:space="preserve"> [</w:t>
      </w:r>
      <w:r w:rsidR="00D67E28">
        <w:rPr>
          <w:b w:val="0"/>
        </w:rPr>
        <w:t>3</w:t>
      </w:r>
      <w:r w:rsidR="00293848">
        <w:rPr>
          <w:b w:val="0"/>
        </w:rPr>
        <w:t>8,</w:t>
      </w:r>
      <w:r w:rsidR="00D67E28">
        <w:rPr>
          <w:b w:val="0"/>
        </w:rPr>
        <w:t>3</w:t>
      </w:r>
      <w:r w:rsidR="00293848">
        <w:rPr>
          <w:b w:val="0"/>
        </w:rPr>
        <w:t>9</w:t>
      </w:r>
      <w:r w:rsidRPr="00A8670E">
        <w:rPr>
          <w:b w:val="0"/>
        </w:rPr>
        <w:t xml:space="preserve">]. </w:t>
      </w:r>
      <w:r w:rsidR="00B257C3">
        <w:rPr>
          <w:b w:val="0"/>
        </w:rPr>
        <w:t>However,</w:t>
      </w:r>
      <w:r w:rsidR="00B257C3" w:rsidRPr="00A8670E">
        <w:rPr>
          <w:b w:val="0"/>
        </w:rPr>
        <w:t xml:space="preserve"> </w:t>
      </w:r>
      <w:r w:rsidR="00B257C3">
        <w:rPr>
          <w:b w:val="0"/>
        </w:rPr>
        <w:t xml:space="preserve">while </w:t>
      </w:r>
      <w:r w:rsidRPr="00A8670E">
        <w:rPr>
          <w:b w:val="0"/>
        </w:rPr>
        <w:t>both EPA and DHA</w:t>
      </w:r>
      <w:r w:rsidR="00B257C3">
        <w:rPr>
          <w:b w:val="0"/>
        </w:rPr>
        <w:t xml:space="preserve"> </w:t>
      </w:r>
      <w:r w:rsidRPr="00A8670E">
        <w:rPr>
          <w:b w:val="0"/>
        </w:rPr>
        <w:t xml:space="preserve">show </w:t>
      </w:r>
      <w:r w:rsidR="00B257C3">
        <w:rPr>
          <w:b w:val="0"/>
        </w:rPr>
        <w:t>significant</w:t>
      </w:r>
      <w:r w:rsidRPr="00A8670E">
        <w:rPr>
          <w:b w:val="0"/>
        </w:rPr>
        <w:t xml:space="preserve"> TG-lowering in humans, head-to-head studies </w:t>
      </w:r>
      <w:r w:rsidR="00B257C3">
        <w:rPr>
          <w:b w:val="0"/>
        </w:rPr>
        <w:t>report</w:t>
      </w:r>
      <w:r w:rsidR="00B257C3" w:rsidRPr="00A8670E">
        <w:rPr>
          <w:b w:val="0"/>
        </w:rPr>
        <w:t xml:space="preserve"> </w:t>
      </w:r>
      <w:r w:rsidRPr="00A8670E">
        <w:rPr>
          <w:b w:val="0"/>
        </w:rPr>
        <w:t>that they have an independent effect on different lipoprotein sub</w:t>
      </w:r>
      <w:r w:rsidR="006D6B09">
        <w:rPr>
          <w:b w:val="0"/>
        </w:rPr>
        <w:t>-</w:t>
      </w:r>
      <w:r w:rsidRPr="00A8670E">
        <w:rPr>
          <w:b w:val="0"/>
        </w:rPr>
        <w:t>particles</w:t>
      </w:r>
      <w:r w:rsidR="00B257C3">
        <w:rPr>
          <w:b w:val="0"/>
        </w:rPr>
        <w:t>; EPA</w:t>
      </w:r>
      <w:r w:rsidRPr="00A8670E">
        <w:rPr>
          <w:b w:val="0"/>
        </w:rPr>
        <w:t xml:space="preserve"> lower</w:t>
      </w:r>
      <w:r w:rsidR="00B257C3">
        <w:rPr>
          <w:b w:val="0"/>
        </w:rPr>
        <w:t>s</w:t>
      </w:r>
      <w:r w:rsidRPr="00A8670E">
        <w:rPr>
          <w:b w:val="0"/>
        </w:rPr>
        <w:t xml:space="preserve"> HDL3 </w:t>
      </w:r>
      <w:r w:rsidR="00B257C3">
        <w:rPr>
          <w:b w:val="0"/>
        </w:rPr>
        <w:t>while</w:t>
      </w:r>
      <w:r w:rsidRPr="00A8670E">
        <w:rPr>
          <w:b w:val="0"/>
        </w:rPr>
        <w:t xml:space="preserve"> DHA increas</w:t>
      </w:r>
      <w:r w:rsidR="00B257C3">
        <w:rPr>
          <w:b w:val="0"/>
        </w:rPr>
        <w:t>es</w:t>
      </w:r>
      <w:r w:rsidRPr="00A8670E">
        <w:rPr>
          <w:b w:val="0"/>
        </w:rPr>
        <w:t xml:space="preserve"> HDL2 which is considered </w:t>
      </w:r>
      <w:r w:rsidR="00B257C3">
        <w:rPr>
          <w:b w:val="0"/>
        </w:rPr>
        <w:t xml:space="preserve">to be </w:t>
      </w:r>
      <w:r w:rsidRPr="00A8670E">
        <w:rPr>
          <w:b w:val="0"/>
        </w:rPr>
        <w:t>more cardioprotective [</w:t>
      </w:r>
      <w:r w:rsidR="00D67E28">
        <w:rPr>
          <w:b w:val="0"/>
        </w:rPr>
        <w:t>4</w:t>
      </w:r>
      <w:r w:rsidR="00293848">
        <w:rPr>
          <w:b w:val="0"/>
        </w:rPr>
        <w:t>0,</w:t>
      </w:r>
      <w:r w:rsidR="00D67E28">
        <w:rPr>
          <w:b w:val="0"/>
        </w:rPr>
        <w:t>4</w:t>
      </w:r>
      <w:r w:rsidR="00293848">
        <w:rPr>
          <w:b w:val="0"/>
        </w:rPr>
        <w:t>1</w:t>
      </w:r>
      <w:r w:rsidRPr="00A8670E">
        <w:rPr>
          <w:b w:val="0"/>
        </w:rPr>
        <w:t xml:space="preserve">]. </w:t>
      </w:r>
      <w:r w:rsidR="00B257C3">
        <w:rPr>
          <w:b w:val="0"/>
        </w:rPr>
        <w:t>Furthermore,</w:t>
      </w:r>
      <w:r w:rsidRPr="00A8670E">
        <w:rPr>
          <w:b w:val="0"/>
        </w:rPr>
        <w:t xml:space="preserve"> DHA</w:t>
      </w:r>
      <w:r w:rsidR="00B257C3">
        <w:rPr>
          <w:b w:val="0"/>
        </w:rPr>
        <w:t>,</w:t>
      </w:r>
      <w:r w:rsidRPr="00A8670E">
        <w:rPr>
          <w:b w:val="0"/>
        </w:rPr>
        <w:t xml:space="preserve"> </w:t>
      </w:r>
      <w:r w:rsidR="00B257C3">
        <w:rPr>
          <w:b w:val="0"/>
        </w:rPr>
        <w:t xml:space="preserve">but not EPA, </w:t>
      </w:r>
      <w:r w:rsidRPr="00A8670E">
        <w:rPr>
          <w:b w:val="0"/>
        </w:rPr>
        <w:t>can raise LDL-C to a small extent and increase</w:t>
      </w:r>
      <w:r w:rsidR="00B257C3">
        <w:rPr>
          <w:b w:val="0"/>
        </w:rPr>
        <w:t>s</w:t>
      </w:r>
      <w:r w:rsidRPr="00A8670E">
        <w:rPr>
          <w:b w:val="0"/>
        </w:rPr>
        <w:t xml:space="preserve"> LDL particle size [</w:t>
      </w:r>
      <w:r w:rsidR="00D67E28">
        <w:rPr>
          <w:b w:val="0"/>
        </w:rPr>
        <w:t>3</w:t>
      </w:r>
      <w:r w:rsidR="00293848">
        <w:rPr>
          <w:b w:val="0"/>
        </w:rPr>
        <w:t>8,</w:t>
      </w:r>
      <w:r w:rsidR="00D67E28">
        <w:rPr>
          <w:b w:val="0"/>
        </w:rPr>
        <w:t>4</w:t>
      </w:r>
      <w:r w:rsidR="00293848">
        <w:rPr>
          <w:b w:val="0"/>
        </w:rPr>
        <w:t>0,</w:t>
      </w:r>
      <w:r w:rsidR="00D67E28">
        <w:rPr>
          <w:b w:val="0"/>
        </w:rPr>
        <w:t>4</w:t>
      </w:r>
      <w:r w:rsidR="00293848">
        <w:rPr>
          <w:b w:val="0"/>
        </w:rPr>
        <w:t>1</w:t>
      </w:r>
      <w:r w:rsidRPr="00A8670E">
        <w:rPr>
          <w:b w:val="0"/>
        </w:rPr>
        <w:t xml:space="preserve">]. Despite increasing LDL-C levels, DHA does not affect apolipoprotein B (Apo-B) concentration, which </w:t>
      </w:r>
      <w:r w:rsidR="00B257C3">
        <w:rPr>
          <w:b w:val="0"/>
        </w:rPr>
        <w:t>suggests</w:t>
      </w:r>
      <w:r w:rsidRPr="00A8670E">
        <w:rPr>
          <w:b w:val="0"/>
        </w:rPr>
        <w:t xml:space="preserve"> the modification of LDL</w:t>
      </w:r>
      <w:r w:rsidR="00B257C3">
        <w:rPr>
          <w:b w:val="0"/>
        </w:rPr>
        <w:t>s</w:t>
      </w:r>
      <w:r w:rsidRPr="00A8670E">
        <w:rPr>
          <w:b w:val="0"/>
        </w:rPr>
        <w:t xml:space="preserve"> to larger, less atherogenic particles [13,</w:t>
      </w:r>
      <w:r w:rsidR="00D67E28">
        <w:rPr>
          <w:b w:val="0"/>
        </w:rPr>
        <w:t>4</w:t>
      </w:r>
      <w:r w:rsidR="00293848">
        <w:rPr>
          <w:b w:val="0"/>
        </w:rPr>
        <w:t>2</w:t>
      </w:r>
      <w:r w:rsidRPr="00A8670E">
        <w:rPr>
          <w:b w:val="0"/>
        </w:rPr>
        <w:t>].</w:t>
      </w:r>
      <w:r w:rsidR="0069142C">
        <w:rPr>
          <w:b w:val="0"/>
        </w:rPr>
        <w:t xml:space="preserve"> </w:t>
      </w:r>
      <w:r w:rsidRPr="00A8670E">
        <w:rPr>
          <w:b w:val="0"/>
        </w:rPr>
        <w:t xml:space="preserve">On the other hand, EPA has distinct antioxidant benefits compared to DHA, </w:t>
      </w:r>
      <w:r w:rsidR="00B257C3">
        <w:rPr>
          <w:b w:val="0"/>
        </w:rPr>
        <w:t>which are suggested to be</w:t>
      </w:r>
      <w:r w:rsidR="00B257C3" w:rsidRPr="00A8670E">
        <w:rPr>
          <w:b w:val="0"/>
        </w:rPr>
        <w:t xml:space="preserve"> </w:t>
      </w:r>
      <w:r w:rsidRPr="00A8670E">
        <w:rPr>
          <w:b w:val="0"/>
        </w:rPr>
        <w:t xml:space="preserve">due to </w:t>
      </w:r>
      <w:r w:rsidR="00B257C3">
        <w:rPr>
          <w:b w:val="0"/>
        </w:rPr>
        <w:t xml:space="preserve">EPA’s </w:t>
      </w:r>
      <w:r w:rsidRPr="00A8670E">
        <w:rPr>
          <w:b w:val="0"/>
        </w:rPr>
        <w:t>optimal chain length and degree of unsaturation [</w:t>
      </w:r>
      <w:r w:rsidR="00D67E28">
        <w:rPr>
          <w:b w:val="0"/>
        </w:rPr>
        <w:t>4</w:t>
      </w:r>
      <w:r w:rsidR="00293848">
        <w:rPr>
          <w:b w:val="0"/>
        </w:rPr>
        <w:t>3</w:t>
      </w:r>
      <w:r w:rsidRPr="00A8670E">
        <w:rPr>
          <w:b w:val="0"/>
        </w:rPr>
        <w:t xml:space="preserve">]. An </w:t>
      </w:r>
      <w:r w:rsidRPr="0069142C">
        <w:rPr>
          <w:b w:val="0"/>
          <w:i/>
        </w:rPr>
        <w:t>in vitro</w:t>
      </w:r>
      <w:r w:rsidRPr="00A8670E">
        <w:rPr>
          <w:b w:val="0"/>
        </w:rPr>
        <w:t xml:space="preserve"> study </w:t>
      </w:r>
      <w:r w:rsidR="00B257C3">
        <w:rPr>
          <w:b w:val="0"/>
        </w:rPr>
        <w:lastRenderedPageBreak/>
        <w:t>showed</w:t>
      </w:r>
      <w:r w:rsidRPr="00A8670E">
        <w:rPr>
          <w:b w:val="0"/>
        </w:rPr>
        <w:t xml:space="preserve"> that EPA may </w:t>
      </w:r>
      <w:r w:rsidR="00B257C3">
        <w:rPr>
          <w:b w:val="0"/>
        </w:rPr>
        <w:t>orientate</w:t>
      </w:r>
      <w:r w:rsidRPr="00A8670E">
        <w:rPr>
          <w:b w:val="0"/>
        </w:rPr>
        <w:t xml:space="preserve"> optimal</w:t>
      </w:r>
      <w:r w:rsidR="00B257C3">
        <w:rPr>
          <w:b w:val="0"/>
        </w:rPr>
        <w:t>ly</w:t>
      </w:r>
      <w:r w:rsidRPr="00A8670E">
        <w:rPr>
          <w:b w:val="0"/>
        </w:rPr>
        <w:t xml:space="preserve"> </w:t>
      </w:r>
      <w:r w:rsidR="00B257C3">
        <w:rPr>
          <w:b w:val="0"/>
        </w:rPr>
        <w:t>w</w:t>
      </w:r>
      <w:r w:rsidRPr="00A8670E">
        <w:rPr>
          <w:b w:val="0"/>
        </w:rPr>
        <w:t xml:space="preserve">ithin lipoprotein particles and membranes, inhibiting </w:t>
      </w:r>
      <w:r w:rsidR="00B257C3">
        <w:rPr>
          <w:b w:val="0"/>
        </w:rPr>
        <w:t xml:space="preserve">oxidation of </w:t>
      </w:r>
      <w:r w:rsidRPr="00A8670E">
        <w:rPr>
          <w:b w:val="0"/>
        </w:rPr>
        <w:t xml:space="preserve">LDL and </w:t>
      </w:r>
      <w:r w:rsidR="00B257C3">
        <w:rPr>
          <w:b w:val="0"/>
        </w:rPr>
        <w:t xml:space="preserve">altering </w:t>
      </w:r>
      <w:r w:rsidRPr="00A8670E">
        <w:rPr>
          <w:b w:val="0"/>
        </w:rPr>
        <w:t>membrane cholesterol domains, resulting in improved clearance of lipoproteins and reduced atherogenic activity [</w:t>
      </w:r>
      <w:r w:rsidR="00D67E28">
        <w:rPr>
          <w:b w:val="0"/>
        </w:rPr>
        <w:t>4</w:t>
      </w:r>
      <w:r w:rsidR="00293848">
        <w:rPr>
          <w:b w:val="0"/>
        </w:rPr>
        <w:t>3</w:t>
      </w:r>
      <w:r w:rsidRPr="00A8670E">
        <w:rPr>
          <w:b w:val="0"/>
        </w:rPr>
        <w:t>]. Furthermore, biophysical evidence supports opposing effects of EPA and DHA on phospholipid interactions and cholesterol distribution</w:t>
      </w:r>
      <w:r w:rsidR="006C747A">
        <w:rPr>
          <w:b w:val="0"/>
        </w:rPr>
        <w:t xml:space="preserve"> within membranes</w:t>
      </w:r>
      <w:r w:rsidRPr="00A8670E">
        <w:rPr>
          <w:b w:val="0"/>
        </w:rPr>
        <w:t xml:space="preserve"> [</w:t>
      </w:r>
      <w:r w:rsidR="00D67E28">
        <w:rPr>
          <w:b w:val="0"/>
        </w:rPr>
        <w:t>4</w:t>
      </w:r>
      <w:r w:rsidR="00293848">
        <w:rPr>
          <w:b w:val="0"/>
        </w:rPr>
        <w:t>4,</w:t>
      </w:r>
      <w:r w:rsidR="00D67E28">
        <w:rPr>
          <w:b w:val="0"/>
        </w:rPr>
        <w:t>4</w:t>
      </w:r>
      <w:r w:rsidR="00293848">
        <w:rPr>
          <w:b w:val="0"/>
        </w:rPr>
        <w:t>5</w:t>
      </w:r>
      <w:r w:rsidRPr="00A8670E">
        <w:rPr>
          <w:b w:val="0"/>
        </w:rPr>
        <w:t>]. EPA may maintain intermolecular phospholipid packing constraints and preserve the even distribution of cholesterol</w:t>
      </w:r>
      <w:r w:rsidR="006C747A">
        <w:rPr>
          <w:b w:val="0"/>
        </w:rPr>
        <w:t xml:space="preserve"> in membranes</w:t>
      </w:r>
      <w:r w:rsidRPr="00A8670E">
        <w:rPr>
          <w:b w:val="0"/>
        </w:rPr>
        <w:t xml:space="preserve">, while DHA </w:t>
      </w:r>
      <w:r w:rsidR="00B257C3">
        <w:rPr>
          <w:b w:val="0"/>
        </w:rPr>
        <w:t xml:space="preserve">induces </w:t>
      </w:r>
      <w:r w:rsidRPr="00A8670E">
        <w:rPr>
          <w:b w:val="0"/>
        </w:rPr>
        <w:t>membrane phospholipid</w:t>
      </w:r>
      <w:r w:rsidR="00B257C3">
        <w:rPr>
          <w:b w:val="0"/>
        </w:rPr>
        <w:t xml:space="preserve"> disorder</w:t>
      </w:r>
      <w:r w:rsidRPr="00A8670E">
        <w:rPr>
          <w:b w:val="0"/>
        </w:rPr>
        <w:t xml:space="preserve">, </w:t>
      </w:r>
      <w:r w:rsidR="00B257C3">
        <w:rPr>
          <w:b w:val="0"/>
        </w:rPr>
        <w:t xml:space="preserve">which causes </w:t>
      </w:r>
      <w:r w:rsidRPr="00A8670E">
        <w:rPr>
          <w:b w:val="0"/>
        </w:rPr>
        <w:t>cholest</w:t>
      </w:r>
      <w:r w:rsidR="0069142C">
        <w:rPr>
          <w:b w:val="0"/>
        </w:rPr>
        <w:t>erol to self-aggregate [</w:t>
      </w:r>
      <w:r w:rsidR="00D67E28">
        <w:rPr>
          <w:b w:val="0"/>
        </w:rPr>
        <w:t>4</w:t>
      </w:r>
      <w:r w:rsidR="00293848">
        <w:rPr>
          <w:b w:val="0"/>
        </w:rPr>
        <w:t>5,</w:t>
      </w:r>
      <w:r w:rsidR="00D67E28">
        <w:rPr>
          <w:b w:val="0"/>
        </w:rPr>
        <w:t>4</w:t>
      </w:r>
      <w:r w:rsidR="00293848">
        <w:rPr>
          <w:b w:val="0"/>
        </w:rPr>
        <w:t>6</w:t>
      </w:r>
      <w:r w:rsidR="0069142C">
        <w:rPr>
          <w:b w:val="0"/>
        </w:rPr>
        <w:t>].</w:t>
      </w:r>
    </w:p>
    <w:p w14:paraId="0D210EDC" w14:textId="0DD246E9" w:rsidR="0069142C" w:rsidRDefault="00A8670E" w:rsidP="002A586D">
      <w:pPr>
        <w:pStyle w:val="MDPI21heading1"/>
        <w:spacing w:before="0" w:after="0"/>
        <w:ind w:firstLine="454"/>
        <w:jc w:val="both"/>
        <w:rPr>
          <w:b w:val="0"/>
        </w:rPr>
      </w:pPr>
      <w:r w:rsidRPr="00A8670E">
        <w:rPr>
          <w:b w:val="0"/>
        </w:rPr>
        <w:t xml:space="preserve">Low-grade inflammation </w:t>
      </w:r>
      <w:r w:rsidR="0099245F">
        <w:rPr>
          <w:b w:val="0"/>
        </w:rPr>
        <w:t>has been long recognized t</w:t>
      </w:r>
      <w:r w:rsidRPr="00A8670E">
        <w:rPr>
          <w:b w:val="0"/>
        </w:rPr>
        <w:t xml:space="preserve">o play a significant role in the </w:t>
      </w:r>
      <w:r w:rsidR="0099245F">
        <w:rPr>
          <w:b w:val="0"/>
        </w:rPr>
        <w:t xml:space="preserve">formation, </w:t>
      </w:r>
      <w:r w:rsidRPr="00A8670E">
        <w:rPr>
          <w:b w:val="0"/>
        </w:rPr>
        <w:t xml:space="preserve">progression </w:t>
      </w:r>
      <w:r w:rsidR="0099245F">
        <w:rPr>
          <w:b w:val="0"/>
        </w:rPr>
        <w:t xml:space="preserve">and rupture </w:t>
      </w:r>
      <w:r w:rsidRPr="00A8670E">
        <w:rPr>
          <w:b w:val="0"/>
        </w:rPr>
        <w:t>of atherosclerotic plaques [</w:t>
      </w:r>
      <w:r w:rsidR="00D67E28">
        <w:rPr>
          <w:b w:val="0"/>
        </w:rPr>
        <w:t>4</w:t>
      </w:r>
      <w:r w:rsidR="00293848">
        <w:rPr>
          <w:b w:val="0"/>
        </w:rPr>
        <w:t>7-</w:t>
      </w:r>
      <w:r w:rsidR="00D67E28">
        <w:rPr>
          <w:b w:val="0"/>
        </w:rPr>
        <w:t>5</w:t>
      </w:r>
      <w:r w:rsidR="00293848">
        <w:rPr>
          <w:b w:val="0"/>
        </w:rPr>
        <w:t>0</w:t>
      </w:r>
      <w:r w:rsidRPr="00A8670E">
        <w:rPr>
          <w:b w:val="0"/>
        </w:rPr>
        <w:t xml:space="preserve">]. EPA and DHA modulate many </w:t>
      </w:r>
      <w:r w:rsidR="0099245F">
        <w:rPr>
          <w:b w:val="0"/>
        </w:rPr>
        <w:t xml:space="preserve">relevant </w:t>
      </w:r>
      <w:r w:rsidRPr="00A8670E">
        <w:rPr>
          <w:b w:val="0"/>
        </w:rPr>
        <w:t xml:space="preserve">aspects of </w:t>
      </w:r>
      <w:r w:rsidR="0099245F">
        <w:rPr>
          <w:b w:val="0"/>
        </w:rPr>
        <w:t xml:space="preserve">the </w:t>
      </w:r>
      <w:r w:rsidRPr="00A8670E">
        <w:rPr>
          <w:b w:val="0"/>
        </w:rPr>
        <w:t xml:space="preserve">inﬂammatory process, </w:t>
      </w:r>
      <w:r w:rsidR="0099245F">
        <w:rPr>
          <w:b w:val="0"/>
        </w:rPr>
        <w:t xml:space="preserve">including </w:t>
      </w:r>
      <w:r w:rsidR="001A2B1A">
        <w:rPr>
          <w:b w:val="0"/>
        </w:rPr>
        <w:t xml:space="preserve">the </w:t>
      </w:r>
      <w:r w:rsidR="0099245F">
        <w:rPr>
          <w:b w:val="0"/>
        </w:rPr>
        <w:t xml:space="preserve">migration of </w:t>
      </w:r>
      <w:r w:rsidRPr="00A8670E">
        <w:rPr>
          <w:b w:val="0"/>
        </w:rPr>
        <w:t>leucocyte</w:t>
      </w:r>
      <w:r w:rsidR="0099245F">
        <w:rPr>
          <w:b w:val="0"/>
        </w:rPr>
        <w:t>s</w:t>
      </w:r>
      <w:r w:rsidR="006C747A">
        <w:rPr>
          <w:b w:val="0"/>
        </w:rPr>
        <w:t xml:space="preserve"> and</w:t>
      </w:r>
      <w:r w:rsidRPr="00A8670E">
        <w:rPr>
          <w:b w:val="0"/>
        </w:rPr>
        <w:t xml:space="preserve"> </w:t>
      </w:r>
      <w:r w:rsidR="001A2B1A">
        <w:rPr>
          <w:b w:val="0"/>
        </w:rPr>
        <w:t xml:space="preserve">the </w:t>
      </w:r>
      <w:r w:rsidRPr="00A8670E">
        <w:rPr>
          <w:b w:val="0"/>
        </w:rPr>
        <w:t xml:space="preserve">production of inﬂammatory </w:t>
      </w:r>
      <w:r w:rsidR="006C747A">
        <w:rPr>
          <w:b w:val="0"/>
        </w:rPr>
        <w:t xml:space="preserve">chemokines, </w:t>
      </w:r>
      <w:r w:rsidRPr="00A8670E">
        <w:rPr>
          <w:b w:val="0"/>
        </w:rPr>
        <w:t>cytokines and eicosanoids [</w:t>
      </w:r>
      <w:r w:rsidR="00293848">
        <w:rPr>
          <w:b w:val="0"/>
        </w:rPr>
        <w:t>21,22</w:t>
      </w:r>
      <w:r w:rsidRPr="00A8670E">
        <w:rPr>
          <w:b w:val="0"/>
        </w:rPr>
        <w:t xml:space="preserve">]. These </w:t>
      </w:r>
      <w:r w:rsidR="001A2B1A">
        <w:rPr>
          <w:b w:val="0"/>
        </w:rPr>
        <w:t xml:space="preserve">anti-inflammatory </w:t>
      </w:r>
      <w:r w:rsidRPr="00A8670E">
        <w:rPr>
          <w:b w:val="0"/>
        </w:rPr>
        <w:t xml:space="preserve">effects </w:t>
      </w:r>
      <w:r w:rsidR="001A2B1A">
        <w:rPr>
          <w:b w:val="0"/>
        </w:rPr>
        <w:t xml:space="preserve">involve </w:t>
      </w:r>
      <w:r w:rsidRPr="00A8670E">
        <w:rPr>
          <w:b w:val="0"/>
        </w:rPr>
        <w:t xml:space="preserve">the modulation of </w:t>
      </w:r>
      <w:r w:rsidR="006C747A">
        <w:rPr>
          <w:b w:val="0"/>
        </w:rPr>
        <w:t xml:space="preserve">membrane events, </w:t>
      </w:r>
      <w:r w:rsidRPr="00A8670E">
        <w:rPr>
          <w:b w:val="0"/>
        </w:rPr>
        <w:t>cell signaling, transcription factor activation and gene expr</w:t>
      </w:r>
      <w:r w:rsidR="0069142C">
        <w:rPr>
          <w:b w:val="0"/>
        </w:rPr>
        <w:t>ession by EPA and DHA [</w:t>
      </w:r>
      <w:r w:rsidR="005E742B">
        <w:rPr>
          <w:b w:val="0"/>
        </w:rPr>
        <w:t>22</w:t>
      </w:r>
      <w:r w:rsidR="0069142C">
        <w:rPr>
          <w:b w:val="0"/>
        </w:rPr>
        <w:t xml:space="preserve">]. </w:t>
      </w:r>
      <w:r w:rsidR="00AC4E1F">
        <w:rPr>
          <w:b w:val="0"/>
        </w:rPr>
        <w:t xml:space="preserve">Further to this, it has now emerged that oxylipins produced from n-3 PUFAs are an important component of their bioactivity including in the contexts of inflammation and CVDs. </w:t>
      </w:r>
    </w:p>
    <w:p w14:paraId="64E006C2" w14:textId="73F35700" w:rsidR="00AD2DCF" w:rsidRDefault="00A8670E" w:rsidP="00AD2DCF">
      <w:pPr>
        <w:pStyle w:val="MDPI21heading1"/>
        <w:spacing w:before="0" w:after="0"/>
        <w:ind w:firstLine="454"/>
        <w:jc w:val="both"/>
        <w:rPr>
          <w:b w:val="0"/>
        </w:rPr>
      </w:pPr>
      <w:r w:rsidRPr="00A8670E">
        <w:rPr>
          <w:b w:val="0"/>
        </w:rPr>
        <w:t xml:space="preserve">Oxylipins are a class of bioactive lipid molecules </w:t>
      </w:r>
      <w:r w:rsidR="003D4190">
        <w:rPr>
          <w:b w:val="0"/>
        </w:rPr>
        <w:t>generated by</w:t>
      </w:r>
      <w:r w:rsidRPr="00A8670E">
        <w:rPr>
          <w:b w:val="0"/>
        </w:rPr>
        <w:t xml:space="preserve"> the oxidation of n-3 and n-6 PUFAs </w:t>
      </w:r>
      <w:r w:rsidR="003D4190">
        <w:rPr>
          <w:b w:val="0"/>
        </w:rPr>
        <w:t>often</w:t>
      </w:r>
      <w:r w:rsidRPr="00A8670E">
        <w:rPr>
          <w:b w:val="0"/>
        </w:rPr>
        <w:t xml:space="preserve"> in response to inflammatory stimuli </w:t>
      </w:r>
      <w:r w:rsidR="00D67E28">
        <w:rPr>
          <w:b w:val="0"/>
        </w:rPr>
        <w:t>[5</w:t>
      </w:r>
      <w:r w:rsidRPr="00A8670E">
        <w:rPr>
          <w:b w:val="0"/>
        </w:rPr>
        <w:t>1-</w:t>
      </w:r>
      <w:r w:rsidR="00D67E28">
        <w:rPr>
          <w:b w:val="0"/>
        </w:rPr>
        <w:t>5</w:t>
      </w:r>
      <w:r w:rsidRPr="00A8670E">
        <w:rPr>
          <w:b w:val="0"/>
        </w:rPr>
        <w:t xml:space="preserve">3]. They are </w:t>
      </w:r>
      <w:r w:rsidR="003D4190">
        <w:rPr>
          <w:b w:val="0"/>
        </w:rPr>
        <w:t>produced</w:t>
      </w:r>
      <w:r w:rsidRPr="00A8670E">
        <w:rPr>
          <w:b w:val="0"/>
        </w:rPr>
        <w:t xml:space="preserve"> through enzymatic and non-enzymatic oxidation pathways; enzymatic conversion of n-3 and n-6 PUFAs shares the same </w:t>
      </w:r>
      <w:r w:rsidR="003D4190">
        <w:rPr>
          <w:b w:val="0"/>
        </w:rPr>
        <w:t xml:space="preserve">series of </w:t>
      </w:r>
      <w:r w:rsidRPr="00A8670E">
        <w:rPr>
          <w:b w:val="0"/>
        </w:rPr>
        <w:t>enzymes, i.e., lipoxygenases (LOXs), cyclooxygenases (COXs), and cytochromes P450 (CYP-450) [</w:t>
      </w:r>
      <w:r w:rsidR="00D67E28">
        <w:rPr>
          <w:b w:val="0"/>
        </w:rPr>
        <w:t>5</w:t>
      </w:r>
      <w:r w:rsidRPr="00A8670E">
        <w:rPr>
          <w:b w:val="0"/>
        </w:rPr>
        <w:t>1-</w:t>
      </w:r>
      <w:r w:rsidR="00D67E28">
        <w:rPr>
          <w:b w:val="0"/>
        </w:rPr>
        <w:t>5</w:t>
      </w:r>
      <w:r w:rsidRPr="00A8670E">
        <w:rPr>
          <w:b w:val="0"/>
        </w:rPr>
        <w:t>3</w:t>
      </w:r>
      <w:r w:rsidRPr="008C1BAF">
        <w:rPr>
          <w:b w:val="0"/>
        </w:rPr>
        <w:t xml:space="preserve">]. </w:t>
      </w:r>
      <w:r w:rsidR="00C457F6" w:rsidRPr="008C1BAF">
        <w:rPr>
          <w:b w:val="0"/>
        </w:rPr>
        <w:t>Because different oxylipins have different biological actions, a balance among various oxylipins is required for normal physiological function, and dysregulation of their pathways of synthesis and/or action has been suggested to be involved in the pathogenesis of many diseases, including inflammatory disorders and CVDs [</w:t>
      </w:r>
      <w:r w:rsidR="00D67E28">
        <w:rPr>
          <w:b w:val="0"/>
        </w:rPr>
        <w:t>5</w:t>
      </w:r>
      <w:r w:rsidR="008C1BAF" w:rsidRPr="008C1BAF">
        <w:rPr>
          <w:b w:val="0"/>
        </w:rPr>
        <w:t>4</w:t>
      </w:r>
      <w:r w:rsidR="00C457F6" w:rsidRPr="008C1BAF">
        <w:rPr>
          <w:b w:val="0"/>
        </w:rPr>
        <w:t>]. S</w:t>
      </w:r>
      <w:r w:rsidRPr="008C1BAF">
        <w:rPr>
          <w:b w:val="0"/>
        </w:rPr>
        <w:t xml:space="preserve">ome </w:t>
      </w:r>
      <w:r w:rsidR="00C457F6" w:rsidRPr="008C1BAF">
        <w:rPr>
          <w:b w:val="0"/>
        </w:rPr>
        <w:t xml:space="preserve">oxylipins </w:t>
      </w:r>
      <w:r w:rsidRPr="008C1BAF">
        <w:rPr>
          <w:b w:val="0"/>
        </w:rPr>
        <w:t>promote infla</w:t>
      </w:r>
      <w:r w:rsidRPr="00A8670E">
        <w:rPr>
          <w:b w:val="0"/>
        </w:rPr>
        <w:t xml:space="preserve">mmation (e.g., many </w:t>
      </w:r>
      <w:r w:rsidR="008B1FD8">
        <w:rPr>
          <w:b w:val="0"/>
        </w:rPr>
        <w:t>arachidonic acid (</w:t>
      </w:r>
      <w:r w:rsidRPr="00A8670E">
        <w:rPr>
          <w:b w:val="0"/>
        </w:rPr>
        <w:t>AA</w:t>
      </w:r>
      <w:r w:rsidR="008B1FD8">
        <w:rPr>
          <w:b w:val="0"/>
        </w:rPr>
        <w:t>)</w:t>
      </w:r>
      <w:r w:rsidRPr="00A8670E">
        <w:rPr>
          <w:b w:val="0"/>
        </w:rPr>
        <w:t>-derived oxylipins such as several 2-series prostaglandins and 4-series leukotrienes</w:t>
      </w:r>
      <w:r w:rsidR="008C1BAF">
        <w:rPr>
          <w:b w:val="0"/>
        </w:rPr>
        <w:t xml:space="preserve"> [43]</w:t>
      </w:r>
      <w:r w:rsidRPr="00A8670E">
        <w:rPr>
          <w:b w:val="0"/>
        </w:rPr>
        <w:t xml:space="preserve">), </w:t>
      </w:r>
      <w:r w:rsidR="00C457F6">
        <w:rPr>
          <w:b w:val="0"/>
        </w:rPr>
        <w:t xml:space="preserve">but </w:t>
      </w:r>
      <w:r w:rsidRPr="00A8670E">
        <w:rPr>
          <w:b w:val="0"/>
        </w:rPr>
        <w:t xml:space="preserve">others have </w:t>
      </w:r>
      <w:r w:rsidR="008B1FD8">
        <w:rPr>
          <w:b w:val="0"/>
        </w:rPr>
        <w:t xml:space="preserve">weaker pro-inflammatory, </w:t>
      </w:r>
      <w:r w:rsidRPr="00A8670E">
        <w:rPr>
          <w:b w:val="0"/>
        </w:rPr>
        <w:t>anti-inflammatory and pro-resolving properties (e.g., oxylipins generated from EPA, docosapentaenoic acid (DPA) and DHA) [</w:t>
      </w:r>
      <w:r w:rsidR="00D67E28">
        <w:rPr>
          <w:b w:val="0"/>
        </w:rPr>
        <w:t>55</w:t>
      </w:r>
      <w:r w:rsidRPr="00A8670E">
        <w:rPr>
          <w:b w:val="0"/>
        </w:rPr>
        <w:t xml:space="preserve">]. </w:t>
      </w:r>
    </w:p>
    <w:p w14:paraId="76F029E5" w14:textId="10BCD391" w:rsidR="00AD2DCF" w:rsidRDefault="008B1FD8" w:rsidP="00842BEE">
      <w:pPr>
        <w:pStyle w:val="MDPI21heading1"/>
        <w:spacing w:before="0" w:after="0"/>
        <w:ind w:firstLine="454"/>
        <w:jc w:val="both"/>
        <w:rPr>
          <w:b w:val="0"/>
        </w:rPr>
      </w:pPr>
      <w:r>
        <w:rPr>
          <w:b w:val="0"/>
        </w:rPr>
        <w:t xml:space="preserve">Some oxylipins are termed </w:t>
      </w:r>
      <w:r w:rsidR="00A8670E" w:rsidRPr="00A8670E">
        <w:rPr>
          <w:b w:val="0"/>
        </w:rPr>
        <w:t xml:space="preserve">SPMs </w:t>
      </w:r>
      <w:r w:rsidR="003D4190">
        <w:rPr>
          <w:b w:val="0"/>
        </w:rPr>
        <w:t xml:space="preserve">since they </w:t>
      </w:r>
      <w:r w:rsidR="00A8670E" w:rsidRPr="00A8670E">
        <w:rPr>
          <w:b w:val="0"/>
        </w:rPr>
        <w:t xml:space="preserve">act </w:t>
      </w:r>
      <w:r>
        <w:rPr>
          <w:b w:val="0"/>
        </w:rPr>
        <w:t>to resolve inflammation that is already established</w:t>
      </w:r>
      <w:r w:rsidR="00A8670E" w:rsidRPr="00A8670E">
        <w:rPr>
          <w:b w:val="0"/>
        </w:rPr>
        <w:t xml:space="preserve"> </w:t>
      </w:r>
      <w:r>
        <w:rPr>
          <w:b w:val="0"/>
        </w:rPr>
        <w:t xml:space="preserve">(e.g., by reducing production of pro-inflammatory cytokines) </w:t>
      </w:r>
      <w:r w:rsidR="00A8670E" w:rsidRPr="00A8670E">
        <w:rPr>
          <w:b w:val="0"/>
        </w:rPr>
        <w:t>and promot</w:t>
      </w:r>
      <w:r w:rsidR="00AD2DCF">
        <w:rPr>
          <w:b w:val="0"/>
        </w:rPr>
        <w:t>ing</w:t>
      </w:r>
      <w:r w:rsidR="00A8670E" w:rsidRPr="00A8670E">
        <w:rPr>
          <w:b w:val="0"/>
        </w:rPr>
        <w:t xml:space="preserve"> the clearance of inflammatory cells, debris and pathogens [</w:t>
      </w:r>
      <w:r w:rsidR="00D67E28">
        <w:rPr>
          <w:b w:val="0"/>
        </w:rPr>
        <w:t>5</w:t>
      </w:r>
      <w:r w:rsidR="00A8670E" w:rsidRPr="00A8670E">
        <w:rPr>
          <w:b w:val="0"/>
        </w:rPr>
        <w:t>2,</w:t>
      </w:r>
      <w:r w:rsidR="00D67E28">
        <w:rPr>
          <w:b w:val="0"/>
        </w:rPr>
        <w:t>5</w:t>
      </w:r>
      <w:r w:rsidR="008C1BAF">
        <w:rPr>
          <w:b w:val="0"/>
        </w:rPr>
        <w:t>6</w:t>
      </w:r>
      <w:r w:rsidR="00A8670E" w:rsidRPr="00A8670E">
        <w:rPr>
          <w:b w:val="0"/>
        </w:rPr>
        <w:t>,</w:t>
      </w:r>
      <w:r w:rsidR="00D67E28">
        <w:rPr>
          <w:b w:val="0"/>
        </w:rPr>
        <w:t>5</w:t>
      </w:r>
      <w:r w:rsidR="008C1BAF">
        <w:rPr>
          <w:b w:val="0"/>
        </w:rPr>
        <w:t>7</w:t>
      </w:r>
      <w:r w:rsidR="00A8670E" w:rsidRPr="008C1BAF">
        <w:rPr>
          <w:b w:val="0"/>
        </w:rPr>
        <w:t xml:space="preserve">]. </w:t>
      </w:r>
      <w:r w:rsidR="00AD2DCF" w:rsidRPr="008C1BAF">
        <w:rPr>
          <w:b w:val="0"/>
        </w:rPr>
        <w:t>SPMs are ligands for cell surface G-protein-coupled receptors (GPCRs), initiating pro-resolving responses in many inflammatory cell targets acting via various signaling pathways such as mitogen-activated protein kinases, nuclear factor kappa B, phosphoinositide 3-kinase, and peroxisome proliferator-activated receptor γ [</w:t>
      </w:r>
      <w:r w:rsidR="00D67E28">
        <w:rPr>
          <w:b w:val="0"/>
        </w:rPr>
        <w:t>5</w:t>
      </w:r>
      <w:r w:rsidR="00AD2DCF" w:rsidRPr="008C1BAF">
        <w:rPr>
          <w:b w:val="0"/>
        </w:rPr>
        <w:t>2,</w:t>
      </w:r>
      <w:r w:rsidR="00D67E28">
        <w:rPr>
          <w:b w:val="0"/>
        </w:rPr>
        <w:t>5</w:t>
      </w:r>
      <w:r w:rsidR="008C1BAF" w:rsidRPr="008C1BAF">
        <w:rPr>
          <w:b w:val="0"/>
        </w:rPr>
        <w:t>8</w:t>
      </w:r>
      <w:r w:rsidR="00AD2DCF" w:rsidRPr="008C1BAF">
        <w:rPr>
          <w:b w:val="0"/>
        </w:rPr>
        <w:t>,</w:t>
      </w:r>
      <w:r w:rsidR="00D67E28">
        <w:rPr>
          <w:b w:val="0"/>
        </w:rPr>
        <w:t>59</w:t>
      </w:r>
      <w:r w:rsidR="00AD2DCF" w:rsidRPr="008C1BAF">
        <w:rPr>
          <w:b w:val="0"/>
        </w:rPr>
        <w:t>]. Additionally, SPMs regulate specific microRNA signatures associated with the resolution of acute inflammation and apoptotic markers like B-cell lymphoma-2 and caspases 3 and 9 [</w:t>
      </w:r>
      <w:r w:rsidR="00D67E28">
        <w:rPr>
          <w:b w:val="0"/>
        </w:rPr>
        <w:t>6</w:t>
      </w:r>
      <w:r w:rsidR="008C1BAF" w:rsidRPr="008C1BAF">
        <w:rPr>
          <w:b w:val="0"/>
        </w:rPr>
        <w:t>0</w:t>
      </w:r>
      <w:r w:rsidR="00AD2DCF" w:rsidRPr="008C1BAF">
        <w:rPr>
          <w:b w:val="0"/>
        </w:rPr>
        <w:t>,</w:t>
      </w:r>
      <w:r w:rsidR="00D67E28">
        <w:rPr>
          <w:b w:val="0"/>
        </w:rPr>
        <w:t>6</w:t>
      </w:r>
      <w:r w:rsidR="008C1BAF" w:rsidRPr="008C1BAF">
        <w:rPr>
          <w:b w:val="0"/>
        </w:rPr>
        <w:t>1</w:t>
      </w:r>
      <w:r w:rsidR="00AD2DCF" w:rsidRPr="008C1BAF">
        <w:rPr>
          <w:b w:val="0"/>
        </w:rPr>
        <w:t>].</w:t>
      </w:r>
      <w:r w:rsidR="00C457F6">
        <w:rPr>
          <w:b w:val="0"/>
        </w:rPr>
        <w:t xml:space="preserve"> </w:t>
      </w:r>
      <w:r w:rsidR="00A8670E" w:rsidRPr="00A8670E">
        <w:rPr>
          <w:b w:val="0"/>
        </w:rPr>
        <w:t>Examples of SPMs include maresins, resolvins, and protectins. SPM</w:t>
      </w:r>
      <w:r w:rsidR="00A21A6C">
        <w:rPr>
          <w:b w:val="0"/>
        </w:rPr>
        <w:t>s</w:t>
      </w:r>
      <w:r w:rsidR="00A8670E" w:rsidRPr="00A8670E">
        <w:rPr>
          <w:b w:val="0"/>
        </w:rPr>
        <w:t xml:space="preserve"> synthesized from DHA include D-series resolvins (RvD), protectins and maresins, while E-series resolvins (RvE) are synthesized from EPA [</w:t>
      </w:r>
      <w:r w:rsidR="00D67E28">
        <w:rPr>
          <w:b w:val="0"/>
        </w:rPr>
        <w:t>5</w:t>
      </w:r>
      <w:r w:rsidR="00F53FCC">
        <w:rPr>
          <w:b w:val="0"/>
        </w:rPr>
        <w:t>2,</w:t>
      </w:r>
      <w:r w:rsidR="00D67E28">
        <w:rPr>
          <w:b w:val="0"/>
        </w:rPr>
        <w:t>5</w:t>
      </w:r>
      <w:r w:rsidR="00F53FCC">
        <w:rPr>
          <w:b w:val="0"/>
        </w:rPr>
        <w:t>5,</w:t>
      </w:r>
      <w:r w:rsidR="00D67E28">
        <w:rPr>
          <w:b w:val="0"/>
        </w:rPr>
        <w:t>5</w:t>
      </w:r>
      <w:r w:rsidR="00F53FCC">
        <w:rPr>
          <w:b w:val="0"/>
        </w:rPr>
        <w:t>6</w:t>
      </w:r>
      <w:r w:rsidR="00A8670E" w:rsidRPr="00A8670E">
        <w:rPr>
          <w:b w:val="0"/>
        </w:rPr>
        <w:t xml:space="preserve">]. These are produced through </w:t>
      </w:r>
      <w:r w:rsidR="00A21A6C">
        <w:rPr>
          <w:b w:val="0"/>
        </w:rPr>
        <w:t xml:space="preserve">pathways that involve </w:t>
      </w:r>
      <w:r w:rsidR="00A8670E" w:rsidRPr="00A8670E">
        <w:rPr>
          <w:b w:val="0"/>
        </w:rPr>
        <w:t xml:space="preserve">COX and LOX </w:t>
      </w:r>
      <w:r w:rsidR="00A21A6C">
        <w:rPr>
          <w:b w:val="0"/>
        </w:rPr>
        <w:t>enzymes</w:t>
      </w:r>
      <w:r w:rsidR="00A8670E" w:rsidRPr="00A8670E">
        <w:rPr>
          <w:b w:val="0"/>
        </w:rPr>
        <w:t xml:space="preserve"> </w:t>
      </w:r>
      <w:r w:rsidR="0069142C" w:rsidRPr="00A8670E">
        <w:rPr>
          <w:b w:val="0"/>
        </w:rPr>
        <w:t xml:space="preserve">(Figure 1) </w:t>
      </w:r>
      <w:r w:rsidR="00A8670E" w:rsidRPr="00A8670E">
        <w:rPr>
          <w:b w:val="0"/>
        </w:rPr>
        <w:t>[</w:t>
      </w:r>
      <w:r w:rsidR="00D67E28">
        <w:rPr>
          <w:b w:val="0"/>
        </w:rPr>
        <w:t>5</w:t>
      </w:r>
      <w:r w:rsidR="008C1BAF">
        <w:rPr>
          <w:b w:val="0"/>
        </w:rPr>
        <w:t>2,</w:t>
      </w:r>
      <w:r w:rsidR="00D67E28">
        <w:rPr>
          <w:b w:val="0"/>
        </w:rPr>
        <w:t>5</w:t>
      </w:r>
      <w:r w:rsidR="008C1BAF">
        <w:rPr>
          <w:b w:val="0"/>
        </w:rPr>
        <w:t>6-</w:t>
      </w:r>
      <w:r w:rsidR="00D67E28">
        <w:rPr>
          <w:b w:val="0"/>
        </w:rPr>
        <w:t>5</w:t>
      </w:r>
      <w:r w:rsidR="008C1BAF">
        <w:rPr>
          <w:b w:val="0"/>
        </w:rPr>
        <w:t>8</w:t>
      </w:r>
      <w:r w:rsidR="00A8670E" w:rsidRPr="00A8670E">
        <w:rPr>
          <w:b w:val="0"/>
        </w:rPr>
        <w:t xml:space="preserve">]. </w:t>
      </w:r>
    </w:p>
    <w:p w14:paraId="6A25BA50" w14:textId="4375B0CE" w:rsidR="00A64F56" w:rsidRDefault="0038600B" w:rsidP="00AD44B1">
      <w:pPr>
        <w:pStyle w:val="MDPI21heading1"/>
        <w:rPr>
          <w:sz w:val="18"/>
          <w:szCs w:val="18"/>
        </w:rPr>
      </w:pPr>
      <w:r>
        <w:rPr>
          <w:noProof/>
          <w:sz w:val="18"/>
          <w:szCs w:val="18"/>
        </w:rPr>
        <w:lastRenderedPageBreak/>
        <w:drawing>
          <wp:inline distT="0" distB="0" distL="0" distR="0" wp14:anchorId="3BAD4E82" wp14:editId="1589ADAA">
            <wp:extent cx="4546018" cy="288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55" cy="2903420"/>
                    </a:xfrm>
                    <a:prstGeom prst="rect">
                      <a:avLst/>
                    </a:prstGeom>
                    <a:noFill/>
                  </pic:spPr>
                </pic:pic>
              </a:graphicData>
            </a:graphic>
          </wp:inline>
        </w:drawing>
      </w:r>
    </w:p>
    <w:p w14:paraId="44696E26" w14:textId="2EE2593A" w:rsidR="00AD44B1" w:rsidRDefault="00AD44B1" w:rsidP="00A64F56">
      <w:pPr>
        <w:pStyle w:val="MDPI21heading1"/>
        <w:jc w:val="both"/>
        <w:rPr>
          <w:b w:val="0"/>
          <w:sz w:val="18"/>
          <w:szCs w:val="18"/>
        </w:rPr>
      </w:pPr>
      <w:r>
        <w:rPr>
          <w:sz w:val="18"/>
          <w:szCs w:val="18"/>
        </w:rPr>
        <w:t>Figure 1</w:t>
      </w:r>
      <w:r w:rsidR="00A64F56">
        <w:rPr>
          <w:b w:val="0"/>
          <w:sz w:val="18"/>
          <w:szCs w:val="18"/>
        </w:rPr>
        <w:t xml:space="preserve">. </w:t>
      </w:r>
      <w:r w:rsidRPr="00AD44B1">
        <w:rPr>
          <w:b w:val="0"/>
          <w:sz w:val="18"/>
          <w:szCs w:val="18"/>
        </w:rPr>
        <w:t xml:space="preserve">Overview of the </w:t>
      </w:r>
      <w:r w:rsidR="00A21A6C">
        <w:rPr>
          <w:b w:val="0"/>
          <w:sz w:val="18"/>
          <w:szCs w:val="18"/>
        </w:rPr>
        <w:t>pathways of synthesis of specialized pro-resolving mediators from</w:t>
      </w:r>
      <w:r w:rsidRPr="00AD44B1">
        <w:rPr>
          <w:b w:val="0"/>
          <w:sz w:val="18"/>
          <w:szCs w:val="18"/>
        </w:rPr>
        <w:t xml:space="preserve"> EPA and DHA. </w:t>
      </w:r>
      <w:r w:rsidRPr="00B612C4">
        <w:rPr>
          <w:sz w:val="18"/>
          <w:szCs w:val="18"/>
        </w:rPr>
        <w:t>Abbreviations used:</w:t>
      </w:r>
      <w:r w:rsidRPr="00AD44B1">
        <w:rPr>
          <w:b w:val="0"/>
          <w:sz w:val="18"/>
          <w:szCs w:val="18"/>
        </w:rPr>
        <w:t xml:space="preserve"> COX, cyclooxygenase; CYP450, cytochrome P450; HDHA, hydroxy-DHA; HEPE, hydroxy-EPA; HETE, hydroxy-eicosatetraenoic acid; HpDHA, hydroperoxy-DHA; HpEPE, hydroperoxy-EPA; HpETE, </w:t>
      </w:r>
      <w:r w:rsidR="008B1FD8">
        <w:rPr>
          <w:b w:val="0"/>
          <w:sz w:val="18"/>
          <w:szCs w:val="18"/>
        </w:rPr>
        <w:t>hydroperoxyl-</w:t>
      </w:r>
      <w:r w:rsidRPr="00AD44B1">
        <w:rPr>
          <w:b w:val="0"/>
          <w:sz w:val="18"/>
          <w:szCs w:val="18"/>
        </w:rPr>
        <w:t>eicosatetraenoic acid; LOX, lipoxygenase; MaR, maresin; P, protectin; and Rv, resolvin.</w:t>
      </w:r>
    </w:p>
    <w:p w14:paraId="0958F0DD" w14:textId="77777777" w:rsidR="006D6B09" w:rsidRDefault="006D6B09" w:rsidP="006D6B09">
      <w:pPr>
        <w:pStyle w:val="MDPI21heading1"/>
        <w:spacing w:before="0" w:after="0"/>
        <w:ind w:firstLine="452"/>
        <w:jc w:val="both"/>
        <w:rPr>
          <w:b w:val="0"/>
          <w:highlight w:val="green"/>
        </w:rPr>
      </w:pPr>
    </w:p>
    <w:p w14:paraId="2C99A7C4" w14:textId="2F307953" w:rsidR="002629EB" w:rsidRDefault="00AD2DCF" w:rsidP="00AD2DCF">
      <w:pPr>
        <w:pStyle w:val="MDPI21heading1"/>
        <w:spacing w:before="0" w:after="0"/>
        <w:ind w:firstLine="454"/>
        <w:jc w:val="both"/>
        <w:rPr>
          <w:b w:val="0"/>
        </w:rPr>
      </w:pPr>
      <w:r>
        <w:rPr>
          <w:b w:val="0"/>
        </w:rPr>
        <w:t>The n-6 PUFA AA is a precursor for the synthesis of l</w:t>
      </w:r>
      <w:r w:rsidRPr="00A8670E">
        <w:rPr>
          <w:b w:val="0"/>
        </w:rPr>
        <w:t>ipoxins (e.g., LXA4, LXB4, 15-epi-LXA4, 15-epi-LXB4)</w:t>
      </w:r>
      <w:r>
        <w:rPr>
          <w:b w:val="0"/>
        </w:rPr>
        <w:t xml:space="preserve"> which are</w:t>
      </w:r>
      <w:r w:rsidRPr="00A8670E">
        <w:rPr>
          <w:b w:val="0"/>
        </w:rPr>
        <w:t xml:space="preserve"> </w:t>
      </w:r>
      <w:r>
        <w:rPr>
          <w:b w:val="0"/>
        </w:rPr>
        <w:t xml:space="preserve">also </w:t>
      </w:r>
      <w:r w:rsidRPr="00A8670E">
        <w:rPr>
          <w:b w:val="0"/>
        </w:rPr>
        <w:t>SPMs</w:t>
      </w:r>
      <w:r>
        <w:rPr>
          <w:b w:val="0"/>
        </w:rPr>
        <w:t xml:space="preserve">; lipoxins are produced </w:t>
      </w:r>
      <w:r w:rsidRPr="00A8670E">
        <w:rPr>
          <w:b w:val="0"/>
        </w:rPr>
        <w:t>through 15-LOX and 5-LOX pathways and via transcellular biosynthesis pathways, including roles for 5-LOX and 12-LOX [</w:t>
      </w:r>
      <w:r w:rsidR="00D67E28">
        <w:rPr>
          <w:b w:val="0"/>
        </w:rPr>
        <w:t>6</w:t>
      </w:r>
      <w:r w:rsidR="008C1BAF">
        <w:rPr>
          <w:b w:val="0"/>
        </w:rPr>
        <w:t>2,</w:t>
      </w:r>
      <w:r w:rsidR="00D67E28">
        <w:rPr>
          <w:b w:val="0"/>
        </w:rPr>
        <w:t>6</w:t>
      </w:r>
      <w:r w:rsidR="008C1BAF">
        <w:rPr>
          <w:b w:val="0"/>
        </w:rPr>
        <w:t>3</w:t>
      </w:r>
      <w:r w:rsidRPr="00A8670E">
        <w:rPr>
          <w:b w:val="0"/>
        </w:rPr>
        <w:t>]. Lipoxins modulate the activity of immune cells, influencing their functions in a way that promotes resolution rather than sustained inflammation. This includes regulating the production of pro-inflammatory mediators [</w:t>
      </w:r>
      <w:r w:rsidR="00D67E28">
        <w:rPr>
          <w:b w:val="0"/>
        </w:rPr>
        <w:t>6</w:t>
      </w:r>
      <w:r w:rsidR="008C1BAF">
        <w:rPr>
          <w:b w:val="0"/>
        </w:rPr>
        <w:t>3</w:t>
      </w:r>
      <w:r w:rsidRPr="00A8670E">
        <w:rPr>
          <w:b w:val="0"/>
        </w:rPr>
        <w:t>].</w:t>
      </w:r>
    </w:p>
    <w:p w14:paraId="64197437" w14:textId="30E3B156" w:rsidR="002629EB" w:rsidRDefault="002629EB" w:rsidP="002629EB">
      <w:pPr>
        <w:pStyle w:val="MDPI21heading1"/>
      </w:pPr>
      <w:r>
        <w:t>3. Oxylipins in Cardiovascular Diseases</w:t>
      </w:r>
    </w:p>
    <w:p w14:paraId="492C49BB" w14:textId="2D9F48EB" w:rsidR="002629EB" w:rsidRPr="004C4CE0" w:rsidRDefault="002629EB" w:rsidP="00842BEE">
      <w:pPr>
        <w:pStyle w:val="MDPI21heading1"/>
        <w:spacing w:before="0" w:after="0"/>
        <w:ind w:firstLine="454"/>
        <w:jc w:val="both"/>
        <w:rPr>
          <w:b w:val="0"/>
        </w:rPr>
      </w:pPr>
      <w:r w:rsidRPr="004C4CE0">
        <w:rPr>
          <w:b w:val="0"/>
        </w:rPr>
        <w:t>Chronic unresolved inflammation and continuous release of pro-inflammatory mediators is involved in the development and progression of atherosclerosis [</w:t>
      </w:r>
      <w:r w:rsidR="00D67E28">
        <w:rPr>
          <w:b w:val="0"/>
        </w:rPr>
        <w:t>4</w:t>
      </w:r>
      <w:r w:rsidRPr="004C4CE0">
        <w:rPr>
          <w:b w:val="0"/>
        </w:rPr>
        <w:t>7-</w:t>
      </w:r>
      <w:r w:rsidR="00D67E28">
        <w:rPr>
          <w:b w:val="0"/>
        </w:rPr>
        <w:t>5</w:t>
      </w:r>
      <w:r w:rsidRPr="004C4CE0">
        <w:rPr>
          <w:b w:val="0"/>
        </w:rPr>
        <w:t>0]. Recent studies on CVDs reported oxylipin production to be dysregulated [</w:t>
      </w:r>
      <w:r w:rsidR="00D67E28">
        <w:rPr>
          <w:b w:val="0"/>
        </w:rPr>
        <w:t>6</w:t>
      </w:r>
      <w:r w:rsidR="008C1BAF" w:rsidRPr="004C4CE0">
        <w:rPr>
          <w:b w:val="0"/>
        </w:rPr>
        <w:t>4</w:t>
      </w:r>
      <w:r w:rsidRPr="004C4CE0">
        <w:rPr>
          <w:b w:val="0"/>
        </w:rPr>
        <w:t>-</w:t>
      </w:r>
      <w:r w:rsidR="00D67E28">
        <w:rPr>
          <w:b w:val="0"/>
        </w:rPr>
        <w:t>6</w:t>
      </w:r>
      <w:r w:rsidR="008C1BAF" w:rsidRPr="004C4CE0">
        <w:rPr>
          <w:b w:val="0"/>
        </w:rPr>
        <w:t>6</w:t>
      </w:r>
      <w:r w:rsidRPr="004C4CE0">
        <w:rPr>
          <w:b w:val="0"/>
        </w:rPr>
        <w:t>]. In this regard, a cross-sectional study has reported novel insights into the oxylipin profile, finding an increased salivary maresin concentration and decreased protectin concentrations in patients with CVDs compared to healthy controls [</w:t>
      </w:r>
      <w:r w:rsidR="00D67E28">
        <w:rPr>
          <w:b w:val="0"/>
        </w:rPr>
        <w:t>6</w:t>
      </w:r>
      <w:r w:rsidR="008C1BAF" w:rsidRPr="004C4CE0">
        <w:rPr>
          <w:b w:val="0"/>
        </w:rPr>
        <w:t>7</w:t>
      </w:r>
      <w:r w:rsidRPr="004C4CE0">
        <w:rPr>
          <w:b w:val="0"/>
        </w:rPr>
        <w:t>]. The salivary levels of protectins and maresins were independent of other confounding factors contributing to CVDs [</w:t>
      </w:r>
      <w:r w:rsidR="00D67E28">
        <w:rPr>
          <w:b w:val="0"/>
        </w:rPr>
        <w:t>6</w:t>
      </w:r>
      <w:r w:rsidR="008C1BAF" w:rsidRPr="004C4CE0">
        <w:rPr>
          <w:b w:val="0"/>
        </w:rPr>
        <w:t>7</w:t>
      </w:r>
      <w:r w:rsidRPr="004C4CE0">
        <w:rPr>
          <w:b w:val="0"/>
        </w:rPr>
        <w:t>]. Plasma levels of SPMs and pro-inflammatory oxylipins (i.e., leukotriene (LT) B4 and prostaglandins) were measured in patients with coronary artery disease (CAD) to explore the association with coronary plaque progression [</w:t>
      </w:r>
      <w:r w:rsidR="00D67E28">
        <w:rPr>
          <w:b w:val="0"/>
        </w:rPr>
        <w:t>6</w:t>
      </w:r>
      <w:r w:rsidR="004C4CE0" w:rsidRPr="004C4CE0">
        <w:rPr>
          <w:b w:val="0"/>
        </w:rPr>
        <w:t>8</w:t>
      </w:r>
      <w:r w:rsidRPr="004C4CE0">
        <w:rPr>
          <w:b w:val="0"/>
        </w:rPr>
        <w:t xml:space="preserve">]. Higher plasma levels of the n-3 PUFAs EPA+DHA were associated with significantly higher plasma levels of </w:t>
      </w:r>
      <w:r w:rsidR="004C4CE0" w:rsidRPr="004C4CE0">
        <w:rPr>
          <w:b w:val="0"/>
        </w:rPr>
        <w:t>r</w:t>
      </w:r>
      <w:r w:rsidRPr="004C4CE0">
        <w:rPr>
          <w:b w:val="0"/>
        </w:rPr>
        <w:t>esolvin E1 (RvE1) and its precursor 18-HEPE. Patients with low plasma EPA+DHA levels had low (18-HEPE+RvE1)/LTB4 ratios and significant plaque progression compared to those with high plasma EPA+DHA levels and high (18-HEPE+RvE1)/LTB4 ratios who showed significant plaque regression [</w:t>
      </w:r>
      <w:r w:rsidR="00D67E28">
        <w:rPr>
          <w:b w:val="0"/>
        </w:rPr>
        <w:t>6</w:t>
      </w:r>
      <w:r w:rsidR="004C4CE0" w:rsidRPr="004C4CE0">
        <w:rPr>
          <w:b w:val="0"/>
        </w:rPr>
        <w:t>8</w:t>
      </w:r>
      <w:r w:rsidRPr="004C4CE0">
        <w:rPr>
          <w:b w:val="0"/>
        </w:rPr>
        <w:t>]. It has also been reported that atherosclerotic plaque SPM levels are altered in CVD, with markedly lower concentrations of RvD1 in vulnerable, compared with non-vulnerable, regions of human carotid atherosclerotic plaques [</w:t>
      </w:r>
      <w:r w:rsidR="00D67E28">
        <w:rPr>
          <w:b w:val="0"/>
        </w:rPr>
        <w:t>6</w:t>
      </w:r>
      <w:r w:rsidR="004C4CE0" w:rsidRPr="004C4CE0">
        <w:rPr>
          <w:b w:val="0"/>
        </w:rPr>
        <w:t>9</w:t>
      </w:r>
      <w:r w:rsidRPr="004C4CE0">
        <w:rPr>
          <w:b w:val="0"/>
        </w:rPr>
        <w:t>]. Furthermore, plasma levels of 15-epi-LXA4 were significantly lower in patients with symptomatic peripheral atherosclerosis than in healthy individuals [</w:t>
      </w:r>
      <w:r w:rsidR="00D67E28">
        <w:rPr>
          <w:b w:val="0"/>
        </w:rPr>
        <w:t>7</w:t>
      </w:r>
      <w:r w:rsidR="004C4CE0" w:rsidRPr="004C4CE0">
        <w:rPr>
          <w:b w:val="0"/>
        </w:rPr>
        <w:t>0</w:t>
      </w:r>
      <w:r w:rsidRPr="004C4CE0">
        <w:rPr>
          <w:b w:val="0"/>
        </w:rPr>
        <w:t xml:space="preserve">]. Circulating concentrations of an n-3 DPA-derived </w:t>
      </w:r>
      <w:r w:rsidR="004C4CE0" w:rsidRPr="004C4CE0">
        <w:rPr>
          <w:b w:val="0"/>
        </w:rPr>
        <w:t>r</w:t>
      </w:r>
      <w:r w:rsidRPr="004C4CE0">
        <w:rPr>
          <w:b w:val="0"/>
        </w:rPr>
        <w:t>esolvin (RvDn-3 DPA) were lower in patients with CVD than in healthy controls [</w:t>
      </w:r>
      <w:r w:rsidR="00D67E28">
        <w:rPr>
          <w:b w:val="0"/>
        </w:rPr>
        <w:t>7</w:t>
      </w:r>
      <w:r w:rsidR="004C4CE0" w:rsidRPr="004C4CE0">
        <w:rPr>
          <w:b w:val="0"/>
        </w:rPr>
        <w:t>1</w:t>
      </w:r>
      <w:r w:rsidRPr="004C4CE0">
        <w:rPr>
          <w:b w:val="0"/>
        </w:rPr>
        <w:t xml:space="preserve">]. A decrease in RvDn-3 DPA concentrations was associated with increased </w:t>
      </w:r>
      <w:r w:rsidRPr="004C4CE0">
        <w:rPr>
          <w:b w:val="0"/>
        </w:rPr>
        <w:lastRenderedPageBreak/>
        <w:t>blood vessel inflammation and progression of vascular disease [</w:t>
      </w:r>
      <w:r w:rsidR="00D67E28">
        <w:rPr>
          <w:b w:val="0"/>
        </w:rPr>
        <w:t>7</w:t>
      </w:r>
      <w:r w:rsidR="004C4CE0" w:rsidRPr="004C4CE0">
        <w:rPr>
          <w:b w:val="0"/>
        </w:rPr>
        <w:t>1</w:t>
      </w:r>
      <w:r w:rsidRPr="004C4CE0">
        <w:rPr>
          <w:b w:val="0"/>
        </w:rPr>
        <w:t>]. Plasma SPMs were profiled in patients with ST-elevation myocardial infarction (STEMI) in the first week following myocardial infarction. Patients with STEMI had remarkably increased SPM levels compared to stable CAD patients and healthy controls, suggesting that protective pro-resolving mechanisms are activated after myocardial infarction [</w:t>
      </w:r>
      <w:r w:rsidR="00D67E28">
        <w:rPr>
          <w:b w:val="0"/>
        </w:rPr>
        <w:t>7</w:t>
      </w:r>
      <w:r w:rsidR="004C4CE0" w:rsidRPr="004C4CE0">
        <w:rPr>
          <w:b w:val="0"/>
        </w:rPr>
        <w:t>4</w:t>
      </w:r>
      <w:r w:rsidRPr="004C4CE0">
        <w:rPr>
          <w:b w:val="0"/>
        </w:rPr>
        <w:t>]. The observed increase in SPMs mainly involved an increase in protectins formed from DPA and DHA. Furthermore, a shift in 5-LOX activity away from LTB4 to the pro-resolving n-3 DPA-derived RvTs was observed [</w:t>
      </w:r>
      <w:r w:rsidR="00D67E28">
        <w:rPr>
          <w:b w:val="0"/>
        </w:rPr>
        <w:t>6</w:t>
      </w:r>
      <w:r w:rsidR="004C4CE0" w:rsidRPr="004C4CE0">
        <w:rPr>
          <w:b w:val="0"/>
        </w:rPr>
        <w:t>4</w:t>
      </w:r>
      <w:r w:rsidRPr="004C4CE0">
        <w:rPr>
          <w:b w:val="0"/>
        </w:rPr>
        <w:t xml:space="preserve">]. </w:t>
      </w:r>
    </w:p>
    <w:p w14:paraId="642F07B4" w14:textId="318593E8" w:rsidR="00D359C5" w:rsidRDefault="00D359C5" w:rsidP="00842BEE">
      <w:pPr>
        <w:pStyle w:val="MDPI21heading1"/>
        <w:spacing w:before="0" w:after="0"/>
        <w:ind w:firstLine="454"/>
        <w:jc w:val="both"/>
        <w:rPr>
          <w:b w:val="0"/>
        </w:rPr>
      </w:pPr>
      <w:r w:rsidRPr="004C4CE0">
        <w:rPr>
          <w:b w:val="0"/>
        </w:rPr>
        <w:t>The above observations suggest that one mechanism of the protective and therapeutic actions of n-3 PUFAs in CVDs involves the generation and activity of SPMs. Further to this, SPMs themselves may be novel therapeutic agents in ASCVD, a notion supported by studies involving exogenous administration of synthetic SPM analogs [</w:t>
      </w:r>
      <w:r w:rsidR="00D67E28">
        <w:rPr>
          <w:b w:val="0"/>
        </w:rPr>
        <w:t>7</w:t>
      </w:r>
      <w:r w:rsidR="004C4CE0" w:rsidRPr="004C4CE0">
        <w:rPr>
          <w:b w:val="0"/>
        </w:rPr>
        <w:t>2</w:t>
      </w:r>
      <w:r w:rsidRPr="004C4CE0">
        <w:rPr>
          <w:b w:val="0"/>
        </w:rPr>
        <w:t xml:space="preserve">]. Concerning this, in a rabbit model of atherosclerosis, topical application of RvE1 attenuated atherosclerotic plaque formation and lowered </w:t>
      </w:r>
      <w:r w:rsidR="00196E0B">
        <w:rPr>
          <w:b w:val="0"/>
        </w:rPr>
        <w:t>C-reactive protein (</w:t>
      </w:r>
      <w:r w:rsidRPr="004C4CE0">
        <w:rPr>
          <w:b w:val="0"/>
        </w:rPr>
        <w:t>CRP</w:t>
      </w:r>
      <w:r w:rsidR="00196E0B">
        <w:rPr>
          <w:b w:val="0"/>
        </w:rPr>
        <w:t>)</w:t>
      </w:r>
      <w:r w:rsidRPr="004C4CE0">
        <w:rPr>
          <w:b w:val="0"/>
        </w:rPr>
        <w:t xml:space="preserve"> levels [</w:t>
      </w:r>
      <w:r w:rsidR="00D67E28">
        <w:rPr>
          <w:b w:val="0"/>
        </w:rPr>
        <w:t>73</w:t>
      </w:r>
      <w:r w:rsidRPr="004C4CE0">
        <w:rPr>
          <w:b w:val="0"/>
        </w:rPr>
        <w:t>]. In a study in Apoe -/- mice, the administration of RvD2 and MaR1 prevented the development of vascular lesions leading to atheroma formation [</w:t>
      </w:r>
      <w:r w:rsidR="00D67E28">
        <w:rPr>
          <w:b w:val="0"/>
        </w:rPr>
        <w:t>7</w:t>
      </w:r>
      <w:r w:rsidR="004C4CE0" w:rsidRPr="004C4CE0">
        <w:rPr>
          <w:b w:val="0"/>
        </w:rPr>
        <w:t>4</w:t>
      </w:r>
      <w:r w:rsidRPr="004C4CE0">
        <w:rPr>
          <w:b w:val="0"/>
        </w:rPr>
        <w:t>]. Additionally, the SPMs induced a significant alteration in the phenotype of macrophages from an inflammatory to a reparative state [</w:t>
      </w:r>
      <w:r w:rsidR="00D67E28">
        <w:rPr>
          <w:b w:val="0"/>
        </w:rPr>
        <w:t>7</w:t>
      </w:r>
      <w:r w:rsidR="004C4CE0" w:rsidRPr="004C4CE0">
        <w:rPr>
          <w:b w:val="0"/>
        </w:rPr>
        <w:t>4</w:t>
      </w:r>
      <w:r w:rsidRPr="004C4CE0">
        <w:rPr>
          <w:b w:val="0"/>
        </w:rPr>
        <w:t>]. Similarly, systemic administration of RvD2 and MaR1 attenuated intimal hyperplasia in mice [</w:t>
      </w:r>
      <w:r w:rsidR="00D67E28">
        <w:rPr>
          <w:b w:val="0"/>
        </w:rPr>
        <w:t>75</w:t>
      </w:r>
      <w:r w:rsidRPr="004C4CE0">
        <w:rPr>
          <w:b w:val="0"/>
        </w:rPr>
        <w:t>]. In a carotid artery balloon injury model in rats, administration of RvD1 or PD1 decreased muscle cell proliferation and leukocyte infiltration [</w:t>
      </w:r>
      <w:r w:rsidR="00D67E28">
        <w:rPr>
          <w:b w:val="0"/>
        </w:rPr>
        <w:t>7</w:t>
      </w:r>
      <w:r w:rsidR="004C4CE0" w:rsidRPr="004C4CE0">
        <w:rPr>
          <w:b w:val="0"/>
        </w:rPr>
        <w:t>6</w:t>
      </w:r>
      <w:r w:rsidRPr="004C4CE0">
        <w:rPr>
          <w:b w:val="0"/>
        </w:rPr>
        <w:t>]. RvE1 decreased atherosclerotic lesion size and diminished severe lesion development in mice [</w:t>
      </w:r>
      <w:r w:rsidR="00D67E28">
        <w:rPr>
          <w:b w:val="0"/>
        </w:rPr>
        <w:t>7</w:t>
      </w:r>
      <w:r w:rsidR="004C4CE0" w:rsidRPr="004C4CE0">
        <w:rPr>
          <w:b w:val="0"/>
        </w:rPr>
        <w:t>7</w:t>
      </w:r>
      <w:r w:rsidRPr="004C4CE0">
        <w:rPr>
          <w:b w:val="0"/>
        </w:rPr>
        <w:t xml:space="preserve">]. </w:t>
      </w:r>
    </w:p>
    <w:p w14:paraId="1BB36E8A" w14:textId="77777777" w:rsidR="0057020A" w:rsidRPr="0057020A" w:rsidRDefault="0057020A" w:rsidP="00A64F56">
      <w:pPr>
        <w:spacing w:line="240" w:lineRule="auto"/>
        <w:rPr>
          <w:rFonts w:eastAsia="Times New Roman"/>
          <w:sz w:val="18"/>
          <w:lang w:eastAsia="de-DE" w:bidi="en-US"/>
        </w:rPr>
      </w:pPr>
    </w:p>
    <w:p w14:paraId="0033D0F8" w14:textId="72C9EEE8" w:rsidR="002629EB" w:rsidRDefault="002629EB" w:rsidP="00842BEE">
      <w:pPr>
        <w:pStyle w:val="MDPI21heading1"/>
        <w:spacing w:before="0" w:after="0"/>
      </w:pPr>
      <w:r>
        <w:t>4</w:t>
      </w:r>
      <w:r w:rsidR="00D47EA5" w:rsidRPr="001F31D1">
        <w:t xml:space="preserve">. </w:t>
      </w:r>
      <w:r w:rsidR="0057020A">
        <w:t>The Pharmacology of S</w:t>
      </w:r>
      <w:r w:rsidR="0057020A" w:rsidRPr="0057020A">
        <w:t>tatins</w:t>
      </w:r>
    </w:p>
    <w:p w14:paraId="71811892" w14:textId="6FE7B5B8" w:rsidR="004D6FF9" w:rsidRDefault="0057020A" w:rsidP="00842BEE">
      <w:pPr>
        <w:pStyle w:val="MDPI21heading1"/>
        <w:spacing w:before="0" w:after="0"/>
        <w:ind w:firstLine="452"/>
        <w:jc w:val="both"/>
        <w:rPr>
          <w:sz w:val="18"/>
          <w:szCs w:val="18"/>
        </w:rPr>
      </w:pPr>
      <w:r w:rsidRPr="0057020A">
        <w:rPr>
          <w:b w:val="0"/>
        </w:rPr>
        <w:t xml:space="preserve">Statins </w:t>
      </w:r>
      <w:r w:rsidR="002629EB">
        <w:rPr>
          <w:b w:val="0"/>
        </w:rPr>
        <w:t xml:space="preserve">are </w:t>
      </w:r>
      <w:r w:rsidRPr="0057020A">
        <w:rPr>
          <w:b w:val="0"/>
        </w:rPr>
        <w:t xml:space="preserve">commonly prescribed </w:t>
      </w:r>
      <w:r w:rsidR="00651060">
        <w:rPr>
          <w:b w:val="0"/>
        </w:rPr>
        <w:t xml:space="preserve">medications </w:t>
      </w:r>
      <w:r w:rsidRPr="0057020A">
        <w:rPr>
          <w:b w:val="0"/>
        </w:rPr>
        <w:t>t</w:t>
      </w:r>
      <w:r w:rsidR="00651060">
        <w:rPr>
          <w:b w:val="0"/>
        </w:rPr>
        <w:t>hat</w:t>
      </w:r>
      <w:r w:rsidRPr="0057020A">
        <w:rPr>
          <w:b w:val="0"/>
        </w:rPr>
        <w:t xml:space="preserve"> lower </w:t>
      </w:r>
      <w:r w:rsidR="00651060">
        <w:rPr>
          <w:b w:val="0"/>
        </w:rPr>
        <w:t xml:space="preserve">blood total </w:t>
      </w:r>
      <w:r w:rsidRPr="0057020A">
        <w:rPr>
          <w:b w:val="0"/>
        </w:rPr>
        <w:t xml:space="preserve">cholesterol </w:t>
      </w:r>
      <w:r w:rsidR="008D7DAF">
        <w:rPr>
          <w:b w:val="0"/>
        </w:rPr>
        <w:t xml:space="preserve">and LDL-C </w:t>
      </w:r>
      <w:r w:rsidRPr="0057020A">
        <w:rPr>
          <w:b w:val="0"/>
        </w:rPr>
        <w:t xml:space="preserve">levels. </w:t>
      </w:r>
      <w:r w:rsidR="002629EB">
        <w:rPr>
          <w:b w:val="0"/>
        </w:rPr>
        <w:t>They</w:t>
      </w:r>
      <w:r w:rsidR="00651060">
        <w:rPr>
          <w:b w:val="0"/>
        </w:rPr>
        <w:t xml:space="preserve"> act</w:t>
      </w:r>
      <w:r w:rsidRPr="0057020A">
        <w:rPr>
          <w:b w:val="0"/>
        </w:rPr>
        <w:t xml:space="preserve"> </w:t>
      </w:r>
      <w:r w:rsidR="00651060">
        <w:rPr>
          <w:b w:val="0"/>
        </w:rPr>
        <w:t>through</w:t>
      </w:r>
      <w:r w:rsidRPr="0057020A">
        <w:rPr>
          <w:b w:val="0"/>
        </w:rPr>
        <w:t xml:space="preserve"> inhibiti</w:t>
      </w:r>
      <w:r w:rsidR="00651060">
        <w:rPr>
          <w:b w:val="0"/>
        </w:rPr>
        <w:t xml:space="preserve">on of the </w:t>
      </w:r>
      <w:r w:rsidRPr="0057020A">
        <w:rPr>
          <w:b w:val="0"/>
        </w:rPr>
        <w:t xml:space="preserve">enzyme </w:t>
      </w:r>
      <w:r w:rsidR="00651060">
        <w:rPr>
          <w:b w:val="0"/>
        </w:rPr>
        <w:t>hydroxymethyl-glutaryl coenzyme A (</w:t>
      </w:r>
      <w:r w:rsidRPr="0057020A">
        <w:rPr>
          <w:b w:val="0"/>
        </w:rPr>
        <w:t>HMG-CoA</w:t>
      </w:r>
      <w:r w:rsidR="00651060">
        <w:rPr>
          <w:b w:val="0"/>
        </w:rPr>
        <w:t>)</w:t>
      </w:r>
      <w:r w:rsidRPr="0057020A">
        <w:rPr>
          <w:b w:val="0"/>
        </w:rPr>
        <w:t xml:space="preserve"> reductase, which </w:t>
      </w:r>
      <w:r w:rsidR="00651060">
        <w:rPr>
          <w:b w:val="0"/>
        </w:rPr>
        <w:t>catalyzes the rate-limiting reaction</w:t>
      </w:r>
      <w:r w:rsidRPr="0057020A">
        <w:rPr>
          <w:b w:val="0"/>
        </w:rPr>
        <w:t xml:space="preserve"> in the pathway of </w:t>
      </w:r>
      <w:r w:rsidR="00651060">
        <w:rPr>
          <w:b w:val="0"/>
        </w:rPr>
        <w:t xml:space="preserve">hepatic </w:t>
      </w:r>
      <w:r w:rsidRPr="0057020A">
        <w:rPr>
          <w:b w:val="0"/>
        </w:rPr>
        <w:t xml:space="preserve">cholesterol </w:t>
      </w:r>
      <w:r w:rsidR="008D7DAF">
        <w:rPr>
          <w:b w:val="0"/>
        </w:rPr>
        <w:t>biosynthesis</w:t>
      </w:r>
      <w:r w:rsidRPr="0057020A">
        <w:rPr>
          <w:b w:val="0"/>
        </w:rPr>
        <w:t xml:space="preserve"> [</w:t>
      </w:r>
      <w:r w:rsidR="009D7BCB">
        <w:rPr>
          <w:b w:val="0"/>
        </w:rPr>
        <w:t>7</w:t>
      </w:r>
      <w:r w:rsidR="00D40120">
        <w:rPr>
          <w:b w:val="0"/>
        </w:rPr>
        <w:t>8</w:t>
      </w:r>
      <w:r w:rsidRPr="0057020A">
        <w:rPr>
          <w:b w:val="0"/>
        </w:rPr>
        <w:t xml:space="preserve">]. By </w:t>
      </w:r>
      <w:r w:rsidR="00084274">
        <w:rPr>
          <w:b w:val="0"/>
        </w:rPr>
        <w:t>decreasing</w:t>
      </w:r>
      <w:r w:rsidR="00084274" w:rsidRPr="0057020A">
        <w:rPr>
          <w:b w:val="0"/>
        </w:rPr>
        <w:t xml:space="preserve"> </w:t>
      </w:r>
      <w:r w:rsidRPr="0057020A">
        <w:rPr>
          <w:b w:val="0"/>
        </w:rPr>
        <w:t xml:space="preserve">cholesterol synthesis, statins help </w:t>
      </w:r>
      <w:r w:rsidR="002629EB">
        <w:rPr>
          <w:b w:val="0"/>
        </w:rPr>
        <w:t xml:space="preserve">to </w:t>
      </w:r>
      <w:r w:rsidRPr="0057020A">
        <w:rPr>
          <w:b w:val="0"/>
        </w:rPr>
        <w:t xml:space="preserve">lower LDL-C, which is pro-atherogenic, and may also modestly increase HDL-C, which is anti-atherogenic. </w:t>
      </w:r>
      <w:r w:rsidR="00651060">
        <w:rPr>
          <w:b w:val="0"/>
        </w:rPr>
        <w:t>Beyond</w:t>
      </w:r>
      <w:r w:rsidRPr="0057020A">
        <w:rPr>
          <w:b w:val="0"/>
        </w:rPr>
        <w:t xml:space="preserve"> lowering plasma total cholesterol and LDL-C levels, statins </w:t>
      </w:r>
      <w:r w:rsidR="00651060">
        <w:rPr>
          <w:b w:val="0"/>
        </w:rPr>
        <w:t>are now known</w:t>
      </w:r>
      <w:r w:rsidRPr="0057020A">
        <w:rPr>
          <w:b w:val="0"/>
        </w:rPr>
        <w:t xml:space="preserve"> to exert pleiotropic effects [12]</w:t>
      </w:r>
      <w:r w:rsidR="004C5585">
        <w:rPr>
          <w:b w:val="0"/>
        </w:rPr>
        <w:t>, as reviewed elsewhere recently [</w:t>
      </w:r>
      <w:r w:rsidR="009D7BCB">
        <w:rPr>
          <w:b w:val="0"/>
        </w:rPr>
        <w:t>7</w:t>
      </w:r>
      <w:r w:rsidR="00D40120">
        <w:rPr>
          <w:b w:val="0"/>
        </w:rPr>
        <w:t>9</w:t>
      </w:r>
      <w:r w:rsidR="004C5585">
        <w:rPr>
          <w:b w:val="0"/>
        </w:rPr>
        <w:t>]</w:t>
      </w:r>
      <w:r w:rsidRPr="0057020A">
        <w:rPr>
          <w:b w:val="0"/>
        </w:rPr>
        <w:t>. The</w:t>
      </w:r>
      <w:r w:rsidR="00651060">
        <w:rPr>
          <w:b w:val="0"/>
        </w:rPr>
        <w:t>se</w:t>
      </w:r>
      <w:r w:rsidRPr="0057020A">
        <w:rPr>
          <w:b w:val="0"/>
        </w:rPr>
        <w:t xml:space="preserve"> include improving endothelial function and vascular tone</w:t>
      </w:r>
      <w:r w:rsidR="002629EB">
        <w:rPr>
          <w:b w:val="0"/>
        </w:rPr>
        <w:t>, reducing inflammation and oxidative stress, modulating platelet reactivity</w:t>
      </w:r>
      <w:r w:rsidRPr="0057020A">
        <w:rPr>
          <w:b w:val="0"/>
        </w:rPr>
        <w:t xml:space="preserve"> and increasing </w:t>
      </w:r>
      <w:r w:rsidR="00651060">
        <w:rPr>
          <w:b w:val="0"/>
        </w:rPr>
        <w:t xml:space="preserve">atherosclerotic </w:t>
      </w:r>
      <w:r w:rsidRPr="0057020A">
        <w:rPr>
          <w:b w:val="0"/>
        </w:rPr>
        <w:t>plaque stability</w:t>
      </w:r>
      <w:r w:rsidR="002629EB">
        <w:rPr>
          <w:b w:val="0"/>
        </w:rPr>
        <w:t xml:space="preserve"> </w:t>
      </w:r>
      <w:r w:rsidR="009D7BCB">
        <w:rPr>
          <w:b w:val="0"/>
        </w:rPr>
        <w:t>[7</w:t>
      </w:r>
      <w:r w:rsidR="00D40120">
        <w:rPr>
          <w:b w:val="0"/>
        </w:rPr>
        <w:t>9</w:t>
      </w:r>
      <w:r w:rsidR="002629EB">
        <w:rPr>
          <w:b w:val="0"/>
        </w:rPr>
        <w:t>]</w:t>
      </w:r>
      <w:r w:rsidRPr="0057020A">
        <w:rPr>
          <w:b w:val="0"/>
        </w:rPr>
        <w:t xml:space="preserve">. </w:t>
      </w:r>
    </w:p>
    <w:p w14:paraId="7F8E7B8C" w14:textId="75EA3096" w:rsidR="002A586D" w:rsidRPr="00A23186" w:rsidRDefault="00A64F56" w:rsidP="00815C96">
      <w:pPr>
        <w:pStyle w:val="MDPI21heading1"/>
        <w:spacing w:before="0" w:after="0"/>
        <w:ind w:firstLine="452"/>
        <w:jc w:val="both"/>
        <w:rPr>
          <w:b w:val="0"/>
        </w:rPr>
      </w:pPr>
      <w:r w:rsidRPr="00A64F56">
        <w:rPr>
          <w:b w:val="0"/>
        </w:rPr>
        <w:t>Currently, seven forms of statins are marketed and commonly used to treat hypercholesterolemia and CVD</w:t>
      </w:r>
      <w:r w:rsidR="008F17DA">
        <w:rPr>
          <w:b w:val="0"/>
        </w:rPr>
        <w:t xml:space="preserve"> risk</w:t>
      </w:r>
      <w:r w:rsidRPr="00A64F56">
        <w:rPr>
          <w:b w:val="0"/>
        </w:rPr>
        <w:t>. They are classified as fully synthetic compounds (atorvastatin, rosuvastatin,</w:t>
      </w:r>
      <w:r w:rsidR="00D40120">
        <w:rPr>
          <w:b w:val="0"/>
        </w:rPr>
        <w:t xml:space="preserve"> </w:t>
      </w:r>
      <w:r w:rsidR="00D40120" w:rsidRPr="00A64F56">
        <w:rPr>
          <w:b w:val="0"/>
        </w:rPr>
        <w:t>fluvastatin</w:t>
      </w:r>
      <w:r w:rsidRPr="00A64F56">
        <w:rPr>
          <w:b w:val="0"/>
        </w:rPr>
        <w:t xml:space="preserve"> and pitavastatin) and naturally occurring statins originally discovered in fungi (lovastatin, pravastatin and simvastatin). With respect to the ability to reduce LDL-C concentrations, statins may be further classified as </w:t>
      </w:r>
      <w:r w:rsidR="002629EB">
        <w:rPr>
          <w:b w:val="0"/>
        </w:rPr>
        <w:t>“</w:t>
      </w:r>
      <w:r w:rsidRPr="00A64F56">
        <w:rPr>
          <w:b w:val="0"/>
        </w:rPr>
        <w:t>strong</w:t>
      </w:r>
      <w:r w:rsidR="002629EB">
        <w:rPr>
          <w:b w:val="0"/>
        </w:rPr>
        <w:t>”</w:t>
      </w:r>
      <w:r w:rsidRPr="00A64F56">
        <w:rPr>
          <w:b w:val="0"/>
        </w:rPr>
        <w:t xml:space="preserve"> statins (rosuvastatin, pitavastatin, atorvastatin) and </w:t>
      </w:r>
      <w:r w:rsidR="002629EB">
        <w:rPr>
          <w:b w:val="0"/>
        </w:rPr>
        <w:t>“</w:t>
      </w:r>
      <w:r w:rsidRPr="00A64F56">
        <w:rPr>
          <w:b w:val="0"/>
        </w:rPr>
        <w:t>weak</w:t>
      </w:r>
      <w:r w:rsidR="002629EB">
        <w:rPr>
          <w:b w:val="0"/>
        </w:rPr>
        <w:t>”</w:t>
      </w:r>
      <w:r w:rsidRPr="00A64F56">
        <w:rPr>
          <w:b w:val="0"/>
        </w:rPr>
        <w:t xml:space="preserve"> statins (pravastatin, simvastatin) [</w:t>
      </w:r>
      <w:r w:rsidR="009D7BCB">
        <w:rPr>
          <w:b w:val="0"/>
        </w:rPr>
        <w:t>7</w:t>
      </w:r>
      <w:r w:rsidRPr="00A64F56">
        <w:rPr>
          <w:b w:val="0"/>
        </w:rPr>
        <w:t>9]. Additionally, the definition “intensity of statin therapy” refers to the use of statin medications at doses that substantially reduce cholesterol levels, specifically LDL-C (Table 1) [</w:t>
      </w:r>
      <w:r w:rsidR="009D7BCB">
        <w:rPr>
          <w:b w:val="0"/>
        </w:rPr>
        <w:t>8</w:t>
      </w:r>
      <w:r w:rsidR="00007E22">
        <w:rPr>
          <w:b w:val="0"/>
        </w:rPr>
        <w:t>0</w:t>
      </w:r>
      <w:r w:rsidRPr="00A64F56">
        <w:rPr>
          <w:b w:val="0"/>
        </w:rPr>
        <w:t xml:space="preserve">]. High-intensity statin therapy involves using statins at higher doses </w:t>
      </w:r>
      <w:r w:rsidR="00616502">
        <w:rPr>
          <w:b w:val="0"/>
        </w:rPr>
        <w:t>in order to cause at least a 50%</w:t>
      </w:r>
      <w:r w:rsidRPr="00A64F56">
        <w:rPr>
          <w:b w:val="0"/>
        </w:rPr>
        <w:t xml:space="preserve"> </w:t>
      </w:r>
      <w:r w:rsidR="00616502">
        <w:rPr>
          <w:b w:val="0"/>
        </w:rPr>
        <w:t>decrease</w:t>
      </w:r>
      <w:r w:rsidR="00616502" w:rsidRPr="00A64F56">
        <w:rPr>
          <w:b w:val="0"/>
        </w:rPr>
        <w:t xml:space="preserve"> </w:t>
      </w:r>
      <w:r w:rsidR="00616502">
        <w:rPr>
          <w:b w:val="0"/>
        </w:rPr>
        <w:t xml:space="preserve">in </w:t>
      </w:r>
      <w:r w:rsidRPr="00A64F56">
        <w:rPr>
          <w:b w:val="0"/>
        </w:rPr>
        <w:t xml:space="preserve">LDL-C </w:t>
      </w:r>
      <w:r w:rsidR="00616502">
        <w:rPr>
          <w:b w:val="0"/>
        </w:rPr>
        <w:t xml:space="preserve">levels. </w:t>
      </w:r>
      <w:r w:rsidRPr="00A64F56">
        <w:rPr>
          <w:b w:val="0"/>
        </w:rPr>
        <w:t xml:space="preserve">Moderate-intensity statin therapy involves using statins at doses that lead to a moderate reduction </w:t>
      </w:r>
      <w:r w:rsidR="00616502">
        <w:rPr>
          <w:b w:val="0"/>
        </w:rPr>
        <w:t xml:space="preserve">(30-50%) </w:t>
      </w:r>
      <w:r w:rsidRPr="00A64F56">
        <w:rPr>
          <w:b w:val="0"/>
        </w:rPr>
        <w:t xml:space="preserve">in LDL-C levels. </w:t>
      </w:r>
      <w:r w:rsidR="00616502">
        <w:rPr>
          <w:b w:val="0"/>
        </w:rPr>
        <w:t>In l</w:t>
      </w:r>
      <w:r w:rsidRPr="00A64F56">
        <w:rPr>
          <w:b w:val="0"/>
        </w:rPr>
        <w:t xml:space="preserve">ow-intensity statin therapy, the daily dose </w:t>
      </w:r>
      <w:r w:rsidR="00616502">
        <w:rPr>
          <w:b w:val="0"/>
        </w:rPr>
        <w:t xml:space="preserve">needed to cause &lt; 30% </w:t>
      </w:r>
      <w:r w:rsidRPr="00A64F56">
        <w:rPr>
          <w:b w:val="0"/>
        </w:rPr>
        <w:t>low</w:t>
      </w:r>
      <w:r w:rsidR="00B612C4">
        <w:rPr>
          <w:b w:val="0"/>
        </w:rPr>
        <w:t>er</w:t>
      </w:r>
      <w:r w:rsidR="00616502">
        <w:rPr>
          <w:b w:val="0"/>
        </w:rPr>
        <w:t>ing of</w:t>
      </w:r>
      <w:r w:rsidR="00B612C4">
        <w:rPr>
          <w:b w:val="0"/>
        </w:rPr>
        <w:t xml:space="preserve"> LDL-C</w:t>
      </w:r>
      <w:r w:rsidR="00616502">
        <w:rPr>
          <w:b w:val="0"/>
        </w:rPr>
        <w:t xml:space="preserve"> levels is used</w:t>
      </w:r>
      <w:r w:rsidRPr="00A64F56">
        <w:rPr>
          <w:b w:val="0"/>
        </w:rPr>
        <w:t>.</w:t>
      </w:r>
    </w:p>
    <w:p w14:paraId="3A2FE962" w14:textId="77777777" w:rsidR="00303713" w:rsidRDefault="00303713" w:rsidP="00842BEE">
      <w:pPr>
        <w:pStyle w:val="MDPI21heading1"/>
        <w:ind w:left="2694"/>
      </w:pPr>
    </w:p>
    <w:p w14:paraId="0A22BC01" w14:textId="77777777" w:rsidR="00303713" w:rsidRDefault="00303713" w:rsidP="00842BEE">
      <w:pPr>
        <w:pStyle w:val="MDPI21heading1"/>
        <w:ind w:left="2694"/>
      </w:pPr>
    </w:p>
    <w:p w14:paraId="5C94E6F8" w14:textId="77777777" w:rsidR="00303713" w:rsidRDefault="00303713" w:rsidP="00842BEE">
      <w:pPr>
        <w:pStyle w:val="MDPI21heading1"/>
        <w:ind w:left="2694"/>
      </w:pPr>
    </w:p>
    <w:p w14:paraId="1E479AE8" w14:textId="77777777" w:rsidR="00303713" w:rsidRDefault="00303713" w:rsidP="00842BEE">
      <w:pPr>
        <w:pStyle w:val="MDPI21heading1"/>
        <w:ind w:left="2694"/>
      </w:pPr>
    </w:p>
    <w:p w14:paraId="18269ED3" w14:textId="248F088C" w:rsidR="00A64F56" w:rsidRPr="00A64F56" w:rsidRDefault="00A64F56" w:rsidP="00842BEE">
      <w:pPr>
        <w:pStyle w:val="MDPI21heading1"/>
        <w:ind w:left="2694"/>
        <w:rPr>
          <w:b w:val="0"/>
        </w:rPr>
      </w:pPr>
      <w:r w:rsidRPr="00A64F56">
        <w:lastRenderedPageBreak/>
        <w:t>Table 1.</w:t>
      </w:r>
      <w:r w:rsidRPr="00A64F56">
        <w:rPr>
          <w:b w:val="0"/>
        </w:rPr>
        <w:t xml:space="preserve"> </w:t>
      </w:r>
      <w:r w:rsidR="00616502">
        <w:rPr>
          <w:b w:val="0"/>
        </w:rPr>
        <w:t xml:space="preserve">Summary of different dosages (daily unless otherwise indicated) used for low-, moderate- and high-intensity statin therapy. </w:t>
      </w:r>
    </w:p>
    <w:tbl>
      <w:tblPr>
        <w:tblW w:w="7857" w:type="dxa"/>
        <w:jc w:val="right"/>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527"/>
        <w:gridCol w:w="2790"/>
        <w:gridCol w:w="2540"/>
      </w:tblGrid>
      <w:tr w:rsidR="00A64F56" w:rsidRPr="002A1F45" w14:paraId="515FB4B0" w14:textId="77777777" w:rsidTr="00A64F56">
        <w:trPr>
          <w:jc w:val="right"/>
        </w:trPr>
        <w:tc>
          <w:tcPr>
            <w:tcW w:w="2527" w:type="dxa"/>
            <w:tcBorders>
              <w:left w:val="nil"/>
              <w:bottom w:val="single" w:sz="4" w:space="0" w:color="auto"/>
            </w:tcBorders>
            <w:vAlign w:val="center"/>
          </w:tcPr>
          <w:p w14:paraId="1CA7CCF6" w14:textId="21D73DC4" w:rsidR="00A64F56" w:rsidRPr="002A1F45" w:rsidRDefault="00A64F56" w:rsidP="00C1001F">
            <w:pPr>
              <w:pStyle w:val="MDPI42tablebody"/>
              <w:spacing w:line="240" w:lineRule="auto"/>
              <w:rPr>
                <w:b/>
                <w:snapToGrid/>
                <w:color w:val="auto"/>
              </w:rPr>
            </w:pPr>
            <w:r w:rsidRPr="002A1F45">
              <w:rPr>
                <w:b/>
                <w:snapToGrid/>
                <w:color w:val="auto"/>
              </w:rPr>
              <w:t>Low-intensity</w:t>
            </w:r>
          </w:p>
        </w:tc>
        <w:tc>
          <w:tcPr>
            <w:tcW w:w="2790" w:type="dxa"/>
            <w:tcBorders>
              <w:bottom w:val="single" w:sz="4" w:space="0" w:color="auto"/>
            </w:tcBorders>
            <w:shd w:val="clear" w:color="auto" w:fill="auto"/>
            <w:vAlign w:val="center"/>
          </w:tcPr>
          <w:p w14:paraId="6C6EB7B5" w14:textId="2CCC5078" w:rsidR="00A64F56" w:rsidRPr="002A1F45" w:rsidRDefault="00A64F56" w:rsidP="00C1001F">
            <w:pPr>
              <w:pStyle w:val="MDPI42tablebody"/>
              <w:spacing w:line="240" w:lineRule="auto"/>
              <w:rPr>
                <w:b/>
                <w:snapToGrid/>
                <w:color w:val="auto"/>
              </w:rPr>
            </w:pPr>
            <w:r w:rsidRPr="002A1F45">
              <w:rPr>
                <w:b/>
                <w:snapToGrid/>
                <w:color w:val="auto"/>
              </w:rPr>
              <w:t>Moderate-intensity</w:t>
            </w:r>
          </w:p>
        </w:tc>
        <w:tc>
          <w:tcPr>
            <w:tcW w:w="2540" w:type="dxa"/>
            <w:tcBorders>
              <w:bottom w:val="single" w:sz="4" w:space="0" w:color="auto"/>
              <w:right w:val="nil"/>
            </w:tcBorders>
            <w:vAlign w:val="center"/>
          </w:tcPr>
          <w:p w14:paraId="6E8A7963" w14:textId="78F230D2" w:rsidR="00A64F56" w:rsidRPr="002A1F45" w:rsidRDefault="00A64F56" w:rsidP="00C1001F">
            <w:pPr>
              <w:pStyle w:val="MDPI42tablebody"/>
              <w:spacing w:line="240" w:lineRule="auto"/>
              <w:rPr>
                <w:b/>
                <w:snapToGrid/>
                <w:color w:val="auto"/>
              </w:rPr>
            </w:pPr>
            <w:r w:rsidRPr="002A1F45">
              <w:rPr>
                <w:b/>
                <w:snapToGrid/>
                <w:color w:val="auto"/>
              </w:rPr>
              <w:t>High-intensity</w:t>
            </w:r>
          </w:p>
        </w:tc>
      </w:tr>
      <w:tr w:rsidR="00A64F56" w:rsidRPr="002A1F45" w14:paraId="5BF7674E" w14:textId="77777777" w:rsidTr="00A64F56">
        <w:trPr>
          <w:jc w:val="right"/>
        </w:trPr>
        <w:tc>
          <w:tcPr>
            <w:tcW w:w="2527" w:type="dxa"/>
            <w:tcBorders>
              <w:left w:val="nil"/>
              <w:bottom w:val="nil"/>
              <w:right w:val="nil"/>
            </w:tcBorders>
            <w:vAlign w:val="center"/>
          </w:tcPr>
          <w:p w14:paraId="5FA3A92A" w14:textId="77777777" w:rsidR="00A64F56" w:rsidRPr="002A1F45" w:rsidRDefault="00A64F56" w:rsidP="00C1001F">
            <w:pPr>
              <w:pStyle w:val="MDPI42tablebody"/>
              <w:spacing w:line="240" w:lineRule="auto"/>
              <w:rPr>
                <w:color w:val="auto"/>
              </w:rPr>
            </w:pPr>
            <w:r w:rsidRPr="002A1F45">
              <w:rPr>
                <w:color w:val="auto"/>
              </w:rPr>
              <w:t>Simvastatin (10 mg)</w:t>
            </w:r>
          </w:p>
        </w:tc>
        <w:tc>
          <w:tcPr>
            <w:tcW w:w="2790" w:type="dxa"/>
            <w:tcBorders>
              <w:left w:val="nil"/>
              <w:bottom w:val="nil"/>
              <w:right w:val="nil"/>
            </w:tcBorders>
            <w:shd w:val="clear" w:color="auto" w:fill="auto"/>
            <w:vAlign w:val="center"/>
          </w:tcPr>
          <w:p w14:paraId="249D994F" w14:textId="77777777" w:rsidR="00A64F56" w:rsidRPr="002A1F45" w:rsidRDefault="00A64F56" w:rsidP="00C1001F">
            <w:pPr>
              <w:pStyle w:val="MDPI42tablebody"/>
              <w:spacing w:line="240" w:lineRule="auto"/>
              <w:rPr>
                <w:color w:val="auto"/>
              </w:rPr>
            </w:pPr>
            <w:r w:rsidRPr="002A1F45">
              <w:rPr>
                <w:color w:val="auto"/>
              </w:rPr>
              <w:t>Atorvastatin (10-20 mg)</w:t>
            </w:r>
          </w:p>
        </w:tc>
        <w:tc>
          <w:tcPr>
            <w:tcW w:w="2540" w:type="dxa"/>
            <w:tcBorders>
              <w:left w:val="nil"/>
              <w:bottom w:val="nil"/>
              <w:right w:val="nil"/>
            </w:tcBorders>
            <w:vAlign w:val="center"/>
          </w:tcPr>
          <w:p w14:paraId="4D0F3880" w14:textId="77777777" w:rsidR="00A64F56" w:rsidRPr="002A1F45" w:rsidRDefault="00A64F56" w:rsidP="00C1001F">
            <w:pPr>
              <w:pStyle w:val="MDPI42tablebody"/>
              <w:spacing w:line="240" w:lineRule="auto"/>
              <w:rPr>
                <w:color w:val="auto"/>
              </w:rPr>
            </w:pPr>
            <w:r w:rsidRPr="002A1F45">
              <w:rPr>
                <w:color w:val="auto"/>
              </w:rPr>
              <w:t>Atorvastatin (40-80 mg)</w:t>
            </w:r>
          </w:p>
        </w:tc>
      </w:tr>
      <w:tr w:rsidR="00A64F56" w:rsidRPr="002A1F45" w14:paraId="03DB340C" w14:textId="77777777" w:rsidTr="00A64F56">
        <w:trPr>
          <w:jc w:val="right"/>
        </w:trPr>
        <w:tc>
          <w:tcPr>
            <w:tcW w:w="2527" w:type="dxa"/>
            <w:tcBorders>
              <w:top w:val="nil"/>
              <w:left w:val="nil"/>
              <w:bottom w:val="nil"/>
              <w:right w:val="nil"/>
            </w:tcBorders>
            <w:vAlign w:val="center"/>
          </w:tcPr>
          <w:p w14:paraId="3D430F40" w14:textId="77777777" w:rsidR="00A64F56" w:rsidRPr="002A1F45" w:rsidRDefault="00A64F56" w:rsidP="00C1001F">
            <w:pPr>
              <w:pStyle w:val="MDPI42tablebody"/>
              <w:spacing w:line="240" w:lineRule="auto"/>
              <w:rPr>
                <w:color w:val="auto"/>
              </w:rPr>
            </w:pPr>
            <w:r w:rsidRPr="002A1F45">
              <w:rPr>
                <w:color w:val="auto"/>
              </w:rPr>
              <w:t>Pravastatin (10-20 mg)</w:t>
            </w:r>
          </w:p>
        </w:tc>
        <w:tc>
          <w:tcPr>
            <w:tcW w:w="2790" w:type="dxa"/>
            <w:tcBorders>
              <w:top w:val="nil"/>
              <w:left w:val="nil"/>
              <w:bottom w:val="nil"/>
              <w:right w:val="nil"/>
            </w:tcBorders>
            <w:shd w:val="clear" w:color="auto" w:fill="auto"/>
            <w:vAlign w:val="center"/>
          </w:tcPr>
          <w:p w14:paraId="50ACE403" w14:textId="77777777" w:rsidR="00A64F56" w:rsidRPr="002A1F45" w:rsidRDefault="00A64F56" w:rsidP="00C1001F">
            <w:pPr>
              <w:pStyle w:val="MDPI42tablebody"/>
              <w:spacing w:line="240" w:lineRule="auto"/>
              <w:rPr>
                <w:color w:val="auto"/>
              </w:rPr>
            </w:pPr>
            <w:r w:rsidRPr="002A1F45">
              <w:rPr>
                <w:color w:val="auto"/>
              </w:rPr>
              <w:t>Rosuvastatin (5-10 mg)</w:t>
            </w:r>
          </w:p>
        </w:tc>
        <w:tc>
          <w:tcPr>
            <w:tcW w:w="2540" w:type="dxa"/>
            <w:tcBorders>
              <w:top w:val="nil"/>
              <w:left w:val="nil"/>
              <w:bottom w:val="nil"/>
              <w:right w:val="nil"/>
            </w:tcBorders>
            <w:vAlign w:val="center"/>
          </w:tcPr>
          <w:p w14:paraId="13B43829" w14:textId="77777777" w:rsidR="00A64F56" w:rsidRPr="002A1F45" w:rsidRDefault="00A64F56" w:rsidP="00C1001F">
            <w:pPr>
              <w:pStyle w:val="MDPI42tablebody"/>
              <w:spacing w:line="240" w:lineRule="auto"/>
              <w:rPr>
                <w:color w:val="auto"/>
              </w:rPr>
            </w:pPr>
            <w:r w:rsidRPr="002A1F45">
              <w:rPr>
                <w:color w:val="auto"/>
              </w:rPr>
              <w:t>Rosuvastatin (20-40 mg)</w:t>
            </w:r>
          </w:p>
        </w:tc>
      </w:tr>
      <w:tr w:rsidR="00A64F56" w:rsidRPr="002A1F45" w14:paraId="5EE63E56" w14:textId="77777777" w:rsidTr="00A64F56">
        <w:trPr>
          <w:jc w:val="right"/>
        </w:trPr>
        <w:tc>
          <w:tcPr>
            <w:tcW w:w="2527" w:type="dxa"/>
            <w:tcBorders>
              <w:top w:val="nil"/>
              <w:left w:val="nil"/>
              <w:bottom w:val="nil"/>
              <w:right w:val="nil"/>
            </w:tcBorders>
            <w:vAlign w:val="center"/>
          </w:tcPr>
          <w:p w14:paraId="0B6857DA" w14:textId="77777777" w:rsidR="00A64F56" w:rsidRPr="002A1F45" w:rsidRDefault="00A64F56" w:rsidP="00C1001F">
            <w:pPr>
              <w:pStyle w:val="MDPI42tablebody"/>
              <w:spacing w:line="240" w:lineRule="auto"/>
              <w:rPr>
                <w:color w:val="auto"/>
              </w:rPr>
            </w:pPr>
            <w:r w:rsidRPr="002A1F45">
              <w:rPr>
                <w:color w:val="auto"/>
              </w:rPr>
              <w:t>Lovastatin (20 mg)</w:t>
            </w:r>
          </w:p>
        </w:tc>
        <w:tc>
          <w:tcPr>
            <w:tcW w:w="2790" w:type="dxa"/>
            <w:tcBorders>
              <w:top w:val="nil"/>
              <w:left w:val="nil"/>
              <w:bottom w:val="nil"/>
              <w:right w:val="nil"/>
            </w:tcBorders>
            <w:shd w:val="clear" w:color="auto" w:fill="auto"/>
            <w:vAlign w:val="center"/>
          </w:tcPr>
          <w:p w14:paraId="3CFEEF1B" w14:textId="77777777" w:rsidR="00A64F56" w:rsidRPr="002A1F45" w:rsidRDefault="00A64F56" w:rsidP="00C1001F">
            <w:pPr>
              <w:pStyle w:val="MDPI42tablebody"/>
              <w:spacing w:line="240" w:lineRule="auto"/>
              <w:rPr>
                <w:color w:val="auto"/>
              </w:rPr>
            </w:pPr>
            <w:r w:rsidRPr="002A1F45">
              <w:rPr>
                <w:color w:val="auto"/>
              </w:rPr>
              <w:t>Simvastatin (20-40 mg)</w:t>
            </w:r>
          </w:p>
        </w:tc>
        <w:tc>
          <w:tcPr>
            <w:tcW w:w="2540" w:type="dxa"/>
            <w:tcBorders>
              <w:top w:val="nil"/>
              <w:left w:val="nil"/>
              <w:bottom w:val="nil"/>
              <w:right w:val="nil"/>
            </w:tcBorders>
            <w:vAlign w:val="center"/>
          </w:tcPr>
          <w:p w14:paraId="1B27BF65" w14:textId="77777777" w:rsidR="00A64F56" w:rsidRPr="002A1F45" w:rsidRDefault="00A64F56" w:rsidP="00C1001F">
            <w:pPr>
              <w:pStyle w:val="MDPI42tablebody"/>
              <w:spacing w:line="240" w:lineRule="auto"/>
              <w:rPr>
                <w:color w:val="auto"/>
              </w:rPr>
            </w:pPr>
          </w:p>
        </w:tc>
      </w:tr>
      <w:tr w:rsidR="00A64F56" w:rsidRPr="002A1F45" w14:paraId="47835444" w14:textId="77777777" w:rsidTr="00A64F56">
        <w:trPr>
          <w:jc w:val="right"/>
        </w:trPr>
        <w:tc>
          <w:tcPr>
            <w:tcW w:w="2527" w:type="dxa"/>
            <w:tcBorders>
              <w:top w:val="nil"/>
              <w:left w:val="nil"/>
              <w:bottom w:val="nil"/>
              <w:right w:val="nil"/>
            </w:tcBorders>
            <w:vAlign w:val="center"/>
          </w:tcPr>
          <w:p w14:paraId="41F24F5F" w14:textId="77777777" w:rsidR="00A64F56" w:rsidRPr="002A1F45" w:rsidRDefault="00A64F56" w:rsidP="00C1001F">
            <w:pPr>
              <w:pStyle w:val="MDPI42tablebody"/>
              <w:spacing w:line="240" w:lineRule="auto"/>
              <w:rPr>
                <w:color w:val="auto"/>
              </w:rPr>
            </w:pPr>
            <w:r w:rsidRPr="002A1F45">
              <w:rPr>
                <w:color w:val="auto"/>
              </w:rPr>
              <w:t>Fluvastatin (20-40 mg)</w:t>
            </w:r>
          </w:p>
        </w:tc>
        <w:tc>
          <w:tcPr>
            <w:tcW w:w="2790" w:type="dxa"/>
            <w:tcBorders>
              <w:top w:val="nil"/>
              <w:left w:val="nil"/>
              <w:bottom w:val="nil"/>
              <w:right w:val="nil"/>
            </w:tcBorders>
            <w:shd w:val="clear" w:color="auto" w:fill="auto"/>
            <w:vAlign w:val="center"/>
          </w:tcPr>
          <w:p w14:paraId="07DBB918" w14:textId="77777777" w:rsidR="00A64F56" w:rsidRPr="002A1F45" w:rsidRDefault="00A64F56" w:rsidP="00C1001F">
            <w:pPr>
              <w:pStyle w:val="MDPI42tablebody"/>
              <w:spacing w:line="240" w:lineRule="auto"/>
              <w:rPr>
                <w:color w:val="auto"/>
              </w:rPr>
            </w:pPr>
            <w:r w:rsidRPr="002A1F45">
              <w:rPr>
                <w:color w:val="auto"/>
              </w:rPr>
              <w:t>Pravastatin (40-80 mg)</w:t>
            </w:r>
          </w:p>
        </w:tc>
        <w:tc>
          <w:tcPr>
            <w:tcW w:w="2540" w:type="dxa"/>
            <w:tcBorders>
              <w:top w:val="nil"/>
              <w:left w:val="nil"/>
              <w:bottom w:val="nil"/>
              <w:right w:val="nil"/>
            </w:tcBorders>
            <w:vAlign w:val="center"/>
          </w:tcPr>
          <w:p w14:paraId="13588F6F" w14:textId="77777777" w:rsidR="00A64F56" w:rsidRPr="002A1F45" w:rsidRDefault="00A64F56" w:rsidP="00C1001F">
            <w:pPr>
              <w:pStyle w:val="MDPI42tablebody"/>
              <w:spacing w:line="240" w:lineRule="auto"/>
              <w:rPr>
                <w:color w:val="auto"/>
              </w:rPr>
            </w:pPr>
          </w:p>
        </w:tc>
      </w:tr>
      <w:tr w:rsidR="00A64F56" w:rsidRPr="002A1F45" w14:paraId="030DF085" w14:textId="77777777" w:rsidTr="00A64F56">
        <w:trPr>
          <w:jc w:val="right"/>
        </w:trPr>
        <w:tc>
          <w:tcPr>
            <w:tcW w:w="2527" w:type="dxa"/>
            <w:tcBorders>
              <w:top w:val="nil"/>
              <w:left w:val="nil"/>
              <w:bottom w:val="nil"/>
              <w:right w:val="nil"/>
            </w:tcBorders>
            <w:vAlign w:val="center"/>
          </w:tcPr>
          <w:p w14:paraId="14447E5C" w14:textId="5A047ED6" w:rsidR="00A64F56" w:rsidRPr="002A1F45" w:rsidRDefault="00A64F56" w:rsidP="00C1001F">
            <w:pPr>
              <w:pStyle w:val="MDPI42tablebody"/>
              <w:spacing w:line="240" w:lineRule="auto"/>
              <w:rPr>
                <w:color w:val="auto"/>
              </w:rPr>
            </w:pPr>
            <w:r w:rsidRPr="002A1F45">
              <w:rPr>
                <w:color w:val="auto"/>
              </w:rPr>
              <w:t>Pit</w:t>
            </w:r>
            <w:r w:rsidR="008F17DA">
              <w:rPr>
                <w:color w:val="auto"/>
              </w:rPr>
              <w:t>a</w:t>
            </w:r>
            <w:r w:rsidRPr="002A1F45">
              <w:rPr>
                <w:color w:val="auto"/>
              </w:rPr>
              <w:t>vastatin (1 mg)</w:t>
            </w:r>
          </w:p>
        </w:tc>
        <w:tc>
          <w:tcPr>
            <w:tcW w:w="2790" w:type="dxa"/>
            <w:tcBorders>
              <w:top w:val="nil"/>
              <w:left w:val="nil"/>
              <w:bottom w:val="nil"/>
              <w:right w:val="nil"/>
            </w:tcBorders>
            <w:shd w:val="clear" w:color="auto" w:fill="auto"/>
            <w:vAlign w:val="center"/>
          </w:tcPr>
          <w:p w14:paraId="22B0581B" w14:textId="77777777" w:rsidR="00A64F56" w:rsidRPr="002A1F45" w:rsidRDefault="00A64F56" w:rsidP="00C1001F">
            <w:pPr>
              <w:pStyle w:val="MDPI42tablebody"/>
              <w:spacing w:line="240" w:lineRule="auto"/>
              <w:rPr>
                <w:color w:val="auto"/>
              </w:rPr>
            </w:pPr>
            <w:r w:rsidRPr="002A1F45">
              <w:rPr>
                <w:color w:val="auto"/>
              </w:rPr>
              <w:t>Lovastatin (40 mg)</w:t>
            </w:r>
          </w:p>
        </w:tc>
        <w:tc>
          <w:tcPr>
            <w:tcW w:w="2540" w:type="dxa"/>
            <w:tcBorders>
              <w:top w:val="nil"/>
              <w:left w:val="nil"/>
              <w:bottom w:val="nil"/>
              <w:right w:val="nil"/>
            </w:tcBorders>
            <w:vAlign w:val="center"/>
          </w:tcPr>
          <w:p w14:paraId="6230BEA0" w14:textId="77777777" w:rsidR="00A64F56" w:rsidRPr="002A1F45" w:rsidRDefault="00A64F56" w:rsidP="00C1001F">
            <w:pPr>
              <w:pStyle w:val="MDPI42tablebody"/>
              <w:spacing w:line="240" w:lineRule="auto"/>
              <w:rPr>
                <w:color w:val="auto"/>
              </w:rPr>
            </w:pPr>
          </w:p>
        </w:tc>
      </w:tr>
      <w:tr w:rsidR="00A64F56" w:rsidRPr="002A1F45" w14:paraId="624554B7" w14:textId="77777777" w:rsidTr="00A64F56">
        <w:trPr>
          <w:jc w:val="right"/>
        </w:trPr>
        <w:tc>
          <w:tcPr>
            <w:tcW w:w="2527" w:type="dxa"/>
            <w:tcBorders>
              <w:top w:val="nil"/>
              <w:left w:val="nil"/>
              <w:bottom w:val="nil"/>
              <w:right w:val="nil"/>
            </w:tcBorders>
            <w:vAlign w:val="center"/>
          </w:tcPr>
          <w:p w14:paraId="48D0E37A" w14:textId="77777777" w:rsidR="00A64F56" w:rsidRPr="002A1F45" w:rsidRDefault="00A64F56" w:rsidP="00C1001F">
            <w:pPr>
              <w:pStyle w:val="MDPI42tablebody"/>
              <w:spacing w:line="240" w:lineRule="auto"/>
              <w:rPr>
                <w:color w:val="auto"/>
              </w:rPr>
            </w:pPr>
          </w:p>
        </w:tc>
        <w:tc>
          <w:tcPr>
            <w:tcW w:w="2790" w:type="dxa"/>
            <w:tcBorders>
              <w:top w:val="nil"/>
              <w:left w:val="nil"/>
              <w:bottom w:val="nil"/>
              <w:right w:val="nil"/>
            </w:tcBorders>
            <w:shd w:val="clear" w:color="auto" w:fill="auto"/>
            <w:vAlign w:val="center"/>
          </w:tcPr>
          <w:p w14:paraId="10B38BE7" w14:textId="77777777" w:rsidR="00A64F56" w:rsidRPr="002A1F45" w:rsidRDefault="00A64F56" w:rsidP="00C1001F">
            <w:pPr>
              <w:pStyle w:val="MDPI42tablebody"/>
              <w:spacing w:line="240" w:lineRule="auto"/>
              <w:rPr>
                <w:color w:val="auto"/>
              </w:rPr>
            </w:pPr>
            <w:r w:rsidRPr="002A1F45">
              <w:rPr>
                <w:color w:val="auto"/>
              </w:rPr>
              <w:t>Fluvastatin XL (80 mg)</w:t>
            </w:r>
          </w:p>
        </w:tc>
        <w:tc>
          <w:tcPr>
            <w:tcW w:w="2540" w:type="dxa"/>
            <w:tcBorders>
              <w:top w:val="nil"/>
              <w:left w:val="nil"/>
              <w:bottom w:val="nil"/>
              <w:right w:val="nil"/>
            </w:tcBorders>
            <w:vAlign w:val="center"/>
          </w:tcPr>
          <w:p w14:paraId="530AD976" w14:textId="77777777" w:rsidR="00A64F56" w:rsidRPr="002A1F45" w:rsidRDefault="00A64F56" w:rsidP="00C1001F">
            <w:pPr>
              <w:pStyle w:val="MDPI42tablebody"/>
              <w:spacing w:line="240" w:lineRule="auto"/>
              <w:rPr>
                <w:color w:val="auto"/>
              </w:rPr>
            </w:pPr>
          </w:p>
        </w:tc>
      </w:tr>
      <w:tr w:rsidR="00A64F56" w:rsidRPr="002A1F45" w14:paraId="3164AE30" w14:textId="77777777" w:rsidTr="00A64F56">
        <w:trPr>
          <w:jc w:val="right"/>
        </w:trPr>
        <w:tc>
          <w:tcPr>
            <w:tcW w:w="2527" w:type="dxa"/>
            <w:tcBorders>
              <w:top w:val="nil"/>
              <w:left w:val="nil"/>
              <w:bottom w:val="nil"/>
              <w:right w:val="nil"/>
            </w:tcBorders>
            <w:vAlign w:val="center"/>
          </w:tcPr>
          <w:p w14:paraId="18CFC9F3" w14:textId="77777777" w:rsidR="00A64F56" w:rsidRPr="002A1F45" w:rsidRDefault="00A64F56" w:rsidP="00C1001F">
            <w:pPr>
              <w:pStyle w:val="MDPI42tablebody"/>
              <w:spacing w:line="240" w:lineRule="auto"/>
              <w:rPr>
                <w:color w:val="auto"/>
              </w:rPr>
            </w:pPr>
          </w:p>
        </w:tc>
        <w:tc>
          <w:tcPr>
            <w:tcW w:w="2790" w:type="dxa"/>
            <w:tcBorders>
              <w:top w:val="nil"/>
              <w:left w:val="nil"/>
              <w:bottom w:val="nil"/>
              <w:right w:val="nil"/>
            </w:tcBorders>
            <w:shd w:val="clear" w:color="auto" w:fill="auto"/>
            <w:vAlign w:val="center"/>
          </w:tcPr>
          <w:p w14:paraId="76831E1B" w14:textId="7E47E0FF" w:rsidR="00A64F56" w:rsidRPr="002A1F45" w:rsidRDefault="00A64F56" w:rsidP="00C1001F">
            <w:pPr>
              <w:pStyle w:val="MDPI42tablebody"/>
              <w:spacing w:line="240" w:lineRule="auto"/>
              <w:rPr>
                <w:color w:val="auto"/>
              </w:rPr>
            </w:pPr>
            <w:r w:rsidRPr="002A1F45">
              <w:rPr>
                <w:color w:val="auto"/>
              </w:rPr>
              <w:t>Fluvastatin (40 mg</w:t>
            </w:r>
            <w:r w:rsidR="00BF476B">
              <w:rPr>
                <w:color w:val="auto"/>
              </w:rPr>
              <w:t xml:space="preserve"> </w:t>
            </w:r>
            <w:r w:rsidR="00616502">
              <w:rPr>
                <w:color w:val="auto"/>
              </w:rPr>
              <w:t>twice daily</w:t>
            </w:r>
            <w:r w:rsidRPr="002A1F45">
              <w:rPr>
                <w:color w:val="auto"/>
              </w:rPr>
              <w:t>)</w:t>
            </w:r>
          </w:p>
        </w:tc>
        <w:tc>
          <w:tcPr>
            <w:tcW w:w="2540" w:type="dxa"/>
            <w:tcBorders>
              <w:top w:val="nil"/>
              <w:left w:val="nil"/>
              <w:bottom w:val="nil"/>
              <w:right w:val="nil"/>
            </w:tcBorders>
            <w:vAlign w:val="center"/>
          </w:tcPr>
          <w:p w14:paraId="1F26DFCE" w14:textId="77777777" w:rsidR="00A64F56" w:rsidRPr="002A1F45" w:rsidRDefault="00A64F56" w:rsidP="00C1001F">
            <w:pPr>
              <w:pStyle w:val="MDPI42tablebody"/>
              <w:spacing w:line="240" w:lineRule="auto"/>
              <w:rPr>
                <w:color w:val="auto"/>
              </w:rPr>
            </w:pPr>
          </w:p>
        </w:tc>
      </w:tr>
      <w:tr w:rsidR="00A64F56" w:rsidRPr="002A1F45" w14:paraId="561F9363" w14:textId="77777777" w:rsidTr="00A64F56">
        <w:trPr>
          <w:jc w:val="right"/>
        </w:trPr>
        <w:tc>
          <w:tcPr>
            <w:tcW w:w="2527" w:type="dxa"/>
            <w:tcBorders>
              <w:top w:val="nil"/>
              <w:left w:val="nil"/>
              <w:right w:val="nil"/>
            </w:tcBorders>
            <w:vAlign w:val="center"/>
          </w:tcPr>
          <w:p w14:paraId="7E7B44CB" w14:textId="77777777" w:rsidR="00A64F56" w:rsidRPr="002A1F45" w:rsidRDefault="00A64F56" w:rsidP="00C1001F">
            <w:pPr>
              <w:pStyle w:val="MDPI42tablebody"/>
              <w:spacing w:line="240" w:lineRule="auto"/>
              <w:rPr>
                <w:color w:val="auto"/>
              </w:rPr>
            </w:pPr>
          </w:p>
        </w:tc>
        <w:tc>
          <w:tcPr>
            <w:tcW w:w="2790" w:type="dxa"/>
            <w:tcBorders>
              <w:top w:val="nil"/>
              <w:left w:val="nil"/>
              <w:right w:val="nil"/>
            </w:tcBorders>
            <w:shd w:val="clear" w:color="auto" w:fill="auto"/>
            <w:vAlign w:val="center"/>
          </w:tcPr>
          <w:p w14:paraId="5A0B2C63" w14:textId="77777777" w:rsidR="00A64F56" w:rsidRPr="002A1F45" w:rsidRDefault="00A64F56" w:rsidP="00C1001F">
            <w:pPr>
              <w:pStyle w:val="MDPI42tablebody"/>
              <w:spacing w:line="240" w:lineRule="auto"/>
              <w:rPr>
                <w:color w:val="auto"/>
              </w:rPr>
            </w:pPr>
            <w:r w:rsidRPr="002A1F45">
              <w:rPr>
                <w:color w:val="auto"/>
              </w:rPr>
              <w:t>Pitavastatin (2-4 mg)</w:t>
            </w:r>
          </w:p>
        </w:tc>
        <w:tc>
          <w:tcPr>
            <w:tcW w:w="2540" w:type="dxa"/>
            <w:tcBorders>
              <w:top w:val="nil"/>
              <w:left w:val="nil"/>
              <w:right w:val="nil"/>
            </w:tcBorders>
            <w:vAlign w:val="center"/>
          </w:tcPr>
          <w:p w14:paraId="79B2A98E" w14:textId="77777777" w:rsidR="00A64F56" w:rsidRPr="002A1F45" w:rsidRDefault="00A64F56" w:rsidP="00C1001F">
            <w:pPr>
              <w:pStyle w:val="MDPI42tablebody"/>
              <w:spacing w:line="240" w:lineRule="auto"/>
              <w:rPr>
                <w:color w:val="auto"/>
              </w:rPr>
            </w:pPr>
          </w:p>
        </w:tc>
      </w:tr>
    </w:tbl>
    <w:p w14:paraId="2CBC208B" w14:textId="268F8874" w:rsidR="00D47EA5" w:rsidRPr="00325902" w:rsidRDefault="002629EB" w:rsidP="002456CD">
      <w:pPr>
        <w:pStyle w:val="MDPI21heading1"/>
      </w:pPr>
      <w:r>
        <w:t>5</w:t>
      </w:r>
      <w:r w:rsidR="00D47EA5" w:rsidRPr="00325902">
        <w:t xml:space="preserve">. </w:t>
      </w:r>
      <w:r w:rsidR="00D51B1B" w:rsidRPr="00D51B1B">
        <w:t xml:space="preserve">Interrelationship Between </w:t>
      </w:r>
      <w:r w:rsidR="00616502">
        <w:t>Omega-3 (</w:t>
      </w:r>
      <w:r w:rsidR="00D51B1B" w:rsidRPr="00D51B1B">
        <w:t>N-3</w:t>
      </w:r>
      <w:r w:rsidR="00616502">
        <w:t>)</w:t>
      </w:r>
      <w:r w:rsidR="00D51B1B" w:rsidRPr="00D51B1B">
        <w:t xml:space="preserve"> </w:t>
      </w:r>
      <w:r w:rsidR="00D51B1B">
        <w:t>PUFAs and Statins i</w:t>
      </w:r>
      <w:r w:rsidR="00D51B1B" w:rsidRPr="00D51B1B">
        <w:t>n CVD</w:t>
      </w:r>
      <w:r w:rsidR="00D51B1B">
        <w:t>: Involvement o</w:t>
      </w:r>
      <w:r w:rsidR="00D51B1B" w:rsidRPr="00D51B1B">
        <w:t xml:space="preserve">f </w:t>
      </w:r>
      <w:r w:rsidR="00D51B1B">
        <w:t>SPMs</w:t>
      </w:r>
    </w:p>
    <w:p w14:paraId="483936CF" w14:textId="4A5A25DD" w:rsidR="002456CD" w:rsidRDefault="00D51B1B" w:rsidP="002456CD">
      <w:pPr>
        <w:pStyle w:val="MDPI21heading1"/>
        <w:spacing w:before="0" w:after="0"/>
        <w:ind w:firstLine="454"/>
        <w:jc w:val="both"/>
        <w:rPr>
          <w:b w:val="0"/>
        </w:rPr>
      </w:pPr>
      <w:r w:rsidRPr="00D51B1B">
        <w:rPr>
          <w:b w:val="0"/>
        </w:rPr>
        <w:t xml:space="preserve">Interactions between n-3 PUFAs and statins </w:t>
      </w:r>
      <w:r w:rsidR="00F410D8">
        <w:rPr>
          <w:b w:val="0"/>
        </w:rPr>
        <w:t xml:space="preserve">in the context of risk factors for CVDs have been </w:t>
      </w:r>
      <w:r w:rsidRPr="00D51B1B">
        <w:rPr>
          <w:b w:val="0"/>
        </w:rPr>
        <w:t>previously discussed [</w:t>
      </w:r>
      <w:r w:rsidR="00B974F4">
        <w:rPr>
          <w:b w:val="0"/>
        </w:rPr>
        <w:t>20</w:t>
      </w:r>
      <w:r w:rsidRPr="00D51B1B">
        <w:rPr>
          <w:b w:val="0"/>
        </w:rPr>
        <w:t xml:space="preserve">]. </w:t>
      </w:r>
      <w:r w:rsidR="00895499">
        <w:rPr>
          <w:b w:val="0"/>
        </w:rPr>
        <w:t>Since the primary action of statins is to lower plasma LDL-C levels and a key action of n-3 PUFAs is to lower plasma TG levels</w:t>
      </w:r>
      <w:r w:rsidR="00327B0E">
        <w:rPr>
          <w:b w:val="0"/>
        </w:rPr>
        <w:t>,</w:t>
      </w:r>
      <w:r w:rsidR="00895499">
        <w:rPr>
          <w:b w:val="0"/>
        </w:rPr>
        <w:t xml:space="preserve"> they have </w:t>
      </w:r>
      <w:r w:rsidRPr="00D51B1B">
        <w:rPr>
          <w:b w:val="0"/>
        </w:rPr>
        <w:t>synergistic effects on dyslipidemia</w:t>
      </w:r>
      <w:r w:rsidR="00895499">
        <w:rPr>
          <w:b w:val="0"/>
        </w:rPr>
        <w:t>. Stains and DHA both raise HDL-C levels. Statins and n</w:t>
      </w:r>
      <w:r w:rsidR="00327B0E">
        <w:rPr>
          <w:b w:val="0"/>
        </w:rPr>
        <w:t>-</w:t>
      </w:r>
      <w:r w:rsidR="00895499">
        <w:rPr>
          <w:b w:val="0"/>
        </w:rPr>
        <w:t>3 PUFAs have other overlapping actions; for example</w:t>
      </w:r>
      <w:r w:rsidR="00327B0E">
        <w:rPr>
          <w:b w:val="0"/>
        </w:rPr>
        <w:t>,</w:t>
      </w:r>
      <w:r w:rsidR="00895499">
        <w:rPr>
          <w:b w:val="0"/>
        </w:rPr>
        <w:t xml:space="preserve"> </w:t>
      </w:r>
      <w:r w:rsidR="00BF476B">
        <w:rPr>
          <w:b w:val="0"/>
        </w:rPr>
        <w:t>both</w:t>
      </w:r>
      <w:r w:rsidRPr="00D51B1B">
        <w:rPr>
          <w:b w:val="0"/>
        </w:rPr>
        <w:t xml:space="preserve"> enhance endothelial nitric oxide synthesis. </w:t>
      </w:r>
    </w:p>
    <w:p w14:paraId="65E2C7E6" w14:textId="6446CF6E" w:rsidR="002629EB" w:rsidRDefault="00895499" w:rsidP="00497632">
      <w:pPr>
        <w:pStyle w:val="MDPI21heading1"/>
        <w:spacing w:before="0" w:after="0"/>
        <w:ind w:firstLine="454"/>
        <w:jc w:val="both"/>
        <w:rPr>
          <w:b w:val="0"/>
        </w:rPr>
      </w:pPr>
      <w:r w:rsidRPr="00842BEE">
        <w:rPr>
          <w:b w:val="0"/>
        </w:rPr>
        <w:t xml:space="preserve">Inflammation </w:t>
      </w:r>
      <w:r>
        <w:rPr>
          <w:b w:val="0"/>
        </w:rPr>
        <w:t>is another common target of statins and n-3 PUFAs. The anti-inflamm</w:t>
      </w:r>
      <w:r w:rsidR="004450F9">
        <w:rPr>
          <w:b w:val="0"/>
        </w:rPr>
        <w:t>a</w:t>
      </w:r>
      <w:r>
        <w:rPr>
          <w:b w:val="0"/>
        </w:rPr>
        <w:t xml:space="preserve">tory and pro-resolving actions of n-3 PUFAs, and the involvement of EPA- and DHA-derived SPMs in these actions, were described earlier. </w:t>
      </w:r>
      <w:r w:rsidR="00D51B1B" w:rsidRPr="00895499">
        <w:rPr>
          <w:b w:val="0"/>
        </w:rPr>
        <w:t>Statins</w:t>
      </w:r>
      <w:r w:rsidR="00D51B1B" w:rsidRPr="00D51B1B">
        <w:rPr>
          <w:b w:val="0"/>
        </w:rPr>
        <w:t xml:space="preserve"> have been shown to reduce the levels of </w:t>
      </w:r>
      <w:r w:rsidR="005E6F03">
        <w:rPr>
          <w:b w:val="0"/>
        </w:rPr>
        <w:t>key</w:t>
      </w:r>
      <w:r w:rsidR="005E6F03" w:rsidRPr="00D51B1B">
        <w:rPr>
          <w:b w:val="0"/>
        </w:rPr>
        <w:t xml:space="preserve"> </w:t>
      </w:r>
      <w:r w:rsidR="005E6F03">
        <w:rPr>
          <w:b w:val="0"/>
        </w:rPr>
        <w:t xml:space="preserve">markers of </w:t>
      </w:r>
      <w:r w:rsidR="00D51B1B" w:rsidRPr="00D51B1B">
        <w:rPr>
          <w:b w:val="0"/>
        </w:rPr>
        <w:t>inflammat</w:t>
      </w:r>
      <w:r w:rsidR="005E6F03">
        <w:rPr>
          <w:b w:val="0"/>
        </w:rPr>
        <w:t xml:space="preserve">ion, </w:t>
      </w:r>
      <w:r w:rsidR="00D51B1B" w:rsidRPr="00D51B1B">
        <w:rPr>
          <w:b w:val="0"/>
        </w:rPr>
        <w:t>such as CRP and interleukin-6 (IL-6) [</w:t>
      </w:r>
      <w:r w:rsidR="009D7BCB">
        <w:rPr>
          <w:b w:val="0"/>
        </w:rPr>
        <w:t>8</w:t>
      </w:r>
      <w:r w:rsidR="00B974F4">
        <w:rPr>
          <w:b w:val="0"/>
        </w:rPr>
        <w:t>1</w:t>
      </w:r>
      <w:r w:rsidR="00D51B1B" w:rsidRPr="00D51B1B">
        <w:rPr>
          <w:b w:val="0"/>
        </w:rPr>
        <w:t>]</w:t>
      </w:r>
      <w:r w:rsidR="005E6F03">
        <w:rPr>
          <w:b w:val="0"/>
        </w:rPr>
        <w:t xml:space="preserve"> and they </w:t>
      </w:r>
      <w:r w:rsidR="00D51B1B" w:rsidRPr="00D51B1B">
        <w:rPr>
          <w:b w:val="0"/>
        </w:rPr>
        <w:t>influence the function of immune cells (e.g., macrophages and T lymphocytes) [</w:t>
      </w:r>
      <w:r w:rsidR="009D7BCB">
        <w:rPr>
          <w:b w:val="0"/>
        </w:rPr>
        <w:t>8</w:t>
      </w:r>
      <w:r w:rsidR="00B974F4">
        <w:rPr>
          <w:b w:val="0"/>
        </w:rPr>
        <w:t>2,</w:t>
      </w:r>
      <w:r w:rsidR="009D7BCB">
        <w:rPr>
          <w:b w:val="0"/>
        </w:rPr>
        <w:t>8</w:t>
      </w:r>
      <w:r w:rsidR="00B974F4">
        <w:rPr>
          <w:b w:val="0"/>
        </w:rPr>
        <w:t>3</w:t>
      </w:r>
      <w:r w:rsidR="00D51B1B" w:rsidRPr="00D51B1B">
        <w:rPr>
          <w:b w:val="0"/>
        </w:rPr>
        <w:t xml:space="preserve">], which play essential roles in inflammation. By modulating the activity of these cells, statins can dampen the inflammatory response. Since inflammation plays a pivotal role in </w:t>
      </w:r>
      <w:r w:rsidR="005E6F03">
        <w:rPr>
          <w:b w:val="0"/>
        </w:rPr>
        <w:t xml:space="preserve">endothelial dysfunction and in atherosclerotic </w:t>
      </w:r>
      <w:r w:rsidR="00D51B1B" w:rsidRPr="00D51B1B">
        <w:rPr>
          <w:b w:val="0"/>
        </w:rPr>
        <w:t xml:space="preserve">plaque instability, </w:t>
      </w:r>
      <w:r w:rsidR="005E6F03">
        <w:rPr>
          <w:b w:val="0"/>
        </w:rPr>
        <w:t xml:space="preserve">the effect of statins is to improve endothelial function and to </w:t>
      </w:r>
      <w:r w:rsidR="00D51B1B" w:rsidRPr="00D51B1B">
        <w:rPr>
          <w:b w:val="0"/>
        </w:rPr>
        <w:t>stabilize atherosclerotic plaques</w:t>
      </w:r>
      <w:r w:rsidR="005E6F03">
        <w:rPr>
          <w:b w:val="0"/>
        </w:rPr>
        <w:t xml:space="preserve">, </w:t>
      </w:r>
      <w:r w:rsidR="00D51B1B" w:rsidRPr="00D51B1B">
        <w:rPr>
          <w:b w:val="0"/>
        </w:rPr>
        <w:t xml:space="preserve">making </w:t>
      </w:r>
      <w:r w:rsidR="005E6F03">
        <w:rPr>
          <w:b w:val="0"/>
        </w:rPr>
        <w:t>them</w:t>
      </w:r>
      <w:r w:rsidR="005E6F03" w:rsidRPr="00D51B1B">
        <w:rPr>
          <w:b w:val="0"/>
        </w:rPr>
        <w:t xml:space="preserve"> </w:t>
      </w:r>
      <w:r w:rsidR="00D51B1B" w:rsidRPr="00D51B1B">
        <w:rPr>
          <w:b w:val="0"/>
        </w:rPr>
        <w:t>less prone to rupture and reducing the risk of cardiovascular events [</w:t>
      </w:r>
      <w:r w:rsidR="009D7BCB">
        <w:rPr>
          <w:b w:val="0"/>
        </w:rPr>
        <w:t>8</w:t>
      </w:r>
      <w:r w:rsidR="00B974F4">
        <w:rPr>
          <w:b w:val="0"/>
        </w:rPr>
        <w:t>4</w:t>
      </w:r>
      <w:r w:rsidR="00D51B1B" w:rsidRPr="00D51B1B">
        <w:rPr>
          <w:b w:val="0"/>
        </w:rPr>
        <w:t xml:space="preserve">]. In addition to </w:t>
      </w:r>
      <w:r>
        <w:rPr>
          <w:b w:val="0"/>
        </w:rPr>
        <w:t xml:space="preserve">direct </w:t>
      </w:r>
      <w:r w:rsidR="00D51B1B" w:rsidRPr="00D51B1B">
        <w:rPr>
          <w:b w:val="0"/>
        </w:rPr>
        <w:t xml:space="preserve">anti-inflammatory </w:t>
      </w:r>
      <w:r>
        <w:rPr>
          <w:b w:val="0"/>
        </w:rPr>
        <w:t>action</w:t>
      </w:r>
      <w:r w:rsidRPr="00D51B1B">
        <w:rPr>
          <w:b w:val="0"/>
        </w:rPr>
        <w:t>s</w:t>
      </w:r>
      <w:r w:rsidR="00D51B1B" w:rsidRPr="00D51B1B">
        <w:rPr>
          <w:b w:val="0"/>
        </w:rPr>
        <w:t xml:space="preserve">, statins can affect </w:t>
      </w:r>
      <w:r>
        <w:rPr>
          <w:b w:val="0"/>
        </w:rPr>
        <w:t xml:space="preserve">the expression and activity of key </w:t>
      </w:r>
      <w:r w:rsidR="00D51B1B" w:rsidRPr="00D51B1B">
        <w:rPr>
          <w:b w:val="0"/>
        </w:rPr>
        <w:t xml:space="preserve">enzymes involved in the pathway of synthesis of oxylipins, </w:t>
      </w:r>
      <w:r w:rsidR="00D359C5" w:rsidRPr="00115C75">
        <w:rPr>
          <w:b w:val="0"/>
        </w:rPr>
        <w:t>resulting in</w:t>
      </w:r>
      <w:r w:rsidR="002629EB" w:rsidRPr="00115C75">
        <w:rPr>
          <w:b w:val="0"/>
        </w:rPr>
        <w:t xml:space="preserve"> enhance</w:t>
      </w:r>
      <w:r w:rsidR="00D359C5" w:rsidRPr="00115C75">
        <w:rPr>
          <w:b w:val="0"/>
        </w:rPr>
        <w:t>d</w:t>
      </w:r>
      <w:r w:rsidR="002629EB" w:rsidRPr="00115C75">
        <w:rPr>
          <w:b w:val="0"/>
        </w:rPr>
        <w:t xml:space="preserve"> the production of at least some SPMs (see [</w:t>
      </w:r>
      <w:r w:rsidR="009D7BCB">
        <w:rPr>
          <w:b w:val="0"/>
        </w:rPr>
        <w:t>8</w:t>
      </w:r>
      <w:r w:rsidR="00B974F4" w:rsidRPr="00115C75">
        <w:rPr>
          <w:b w:val="0"/>
        </w:rPr>
        <w:t>5</w:t>
      </w:r>
      <w:r w:rsidR="002629EB" w:rsidRPr="00115C75">
        <w:rPr>
          <w:b w:val="0"/>
        </w:rPr>
        <w:t xml:space="preserve">] and references therein). </w:t>
      </w:r>
      <w:r w:rsidR="00D359C5" w:rsidRPr="00115C75">
        <w:rPr>
          <w:b w:val="0"/>
        </w:rPr>
        <w:t xml:space="preserve">One mechanism of action involves the </w:t>
      </w:r>
      <w:r w:rsidR="002629EB" w:rsidRPr="00115C75">
        <w:rPr>
          <w:b w:val="0"/>
        </w:rPr>
        <w:t xml:space="preserve">S-nitrosylation of COX-2, </w:t>
      </w:r>
      <w:r w:rsidR="00D359C5" w:rsidRPr="00115C75">
        <w:rPr>
          <w:b w:val="0"/>
        </w:rPr>
        <w:t>which</w:t>
      </w:r>
      <w:r w:rsidR="002629EB" w:rsidRPr="00115C75">
        <w:rPr>
          <w:b w:val="0"/>
        </w:rPr>
        <w:t xml:space="preserve"> promote</w:t>
      </w:r>
      <w:r w:rsidR="00D359C5" w:rsidRPr="00115C75">
        <w:rPr>
          <w:b w:val="0"/>
        </w:rPr>
        <w:t>s</w:t>
      </w:r>
      <w:r w:rsidR="002629EB" w:rsidRPr="00115C75">
        <w:rPr>
          <w:b w:val="0"/>
        </w:rPr>
        <w:t xml:space="preserve"> the production of 15R-hydroxyeicosatetraenoic acid (15R-HETE) from AA, which further serves as substrate for the 5-LOX-mediated conversion to 15-epi-lipoxins (Figure 2). Similarly, statins can induce the generation of resolvins and protectins from EPA and DHA, again as a result of S-nitrosylation of COX-2 (Figure 2).</w:t>
      </w:r>
    </w:p>
    <w:p w14:paraId="4B8284FC" w14:textId="77777777" w:rsidR="002629EB" w:rsidRDefault="002629EB" w:rsidP="00497632">
      <w:pPr>
        <w:pStyle w:val="MDPI21heading1"/>
        <w:spacing w:before="0" w:after="0"/>
        <w:ind w:firstLine="454"/>
        <w:jc w:val="both"/>
        <w:rPr>
          <w:b w:val="0"/>
        </w:rPr>
      </w:pPr>
    </w:p>
    <w:p w14:paraId="68C60A16" w14:textId="77777777" w:rsidR="002629EB" w:rsidRPr="008F54B8" w:rsidRDefault="002629EB" w:rsidP="002629EB">
      <w:pPr>
        <w:pStyle w:val="MDPI21heading1"/>
        <w:spacing w:before="0" w:after="0"/>
        <w:ind w:firstLine="452"/>
        <w:jc w:val="both"/>
        <w:rPr>
          <w:b w:val="0"/>
        </w:rPr>
      </w:pPr>
    </w:p>
    <w:p w14:paraId="107DEE6C" w14:textId="4C4AA62D" w:rsidR="002629EB" w:rsidRDefault="0038600B" w:rsidP="002629EB">
      <w:pPr>
        <w:pStyle w:val="MDPI21heading1"/>
        <w:ind w:left="2550"/>
        <w:jc w:val="both"/>
        <w:rPr>
          <w:sz w:val="18"/>
          <w:szCs w:val="18"/>
        </w:rPr>
      </w:pPr>
      <w:r>
        <w:rPr>
          <w:noProof/>
          <w:sz w:val="18"/>
          <w:szCs w:val="18"/>
        </w:rPr>
        <w:lastRenderedPageBreak/>
        <w:drawing>
          <wp:inline distT="0" distB="0" distL="0" distR="0" wp14:anchorId="6F413969" wp14:editId="18CE3D24">
            <wp:extent cx="4996722" cy="35861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153" cy="3609428"/>
                    </a:xfrm>
                    <a:prstGeom prst="rect">
                      <a:avLst/>
                    </a:prstGeom>
                    <a:noFill/>
                  </pic:spPr>
                </pic:pic>
              </a:graphicData>
            </a:graphic>
          </wp:inline>
        </w:drawing>
      </w:r>
    </w:p>
    <w:p w14:paraId="4A306573" w14:textId="77777777" w:rsidR="002629EB" w:rsidRDefault="002629EB" w:rsidP="002629EB">
      <w:pPr>
        <w:pStyle w:val="MDPI21heading1"/>
        <w:spacing w:after="0"/>
        <w:ind w:left="2550"/>
        <w:jc w:val="both"/>
        <w:rPr>
          <w:b w:val="0"/>
          <w:sz w:val="18"/>
          <w:szCs w:val="18"/>
        </w:rPr>
      </w:pPr>
      <w:r w:rsidRPr="00AD44B1">
        <w:rPr>
          <w:sz w:val="18"/>
          <w:szCs w:val="18"/>
        </w:rPr>
        <w:t>Figure 2.</w:t>
      </w:r>
      <w:r w:rsidRPr="00AD44B1">
        <w:rPr>
          <w:b w:val="0"/>
          <w:sz w:val="18"/>
          <w:szCs w:val="18"/>
        </w:rPr>
        <w:t xml:space="preserve"> Statins can induce specialized pro-resolving mediator</w:t>
      </w:r>
      <w:r>
        <w:rPr>
          <w:b w:val="0"/>
          <w:sz w:val="18"/>
          <w:szCs w:val="18"/>
        </w:rPr>
        <w:t xml:space="preserve"> production</w:t>
      </w:r>
      <w:r w:rsidRPr="00AD44B1">
        <w:rPr>
          <w:b w:val="0"/>
          <w:sz w:val="18"/>
          <w:szCs w:val="18"/>
        </w:rPr>
        <w:t xml:space="preserve"> via S-nitrosylation of cyclooxygenase-2 (COX-2) mitigat</w:t>
      </w:r>
      <w:r>
        <w:rPr>
          <w:b w:val="0"/>
          <w:sz w:val="18"/>
          <w:szCs w:val="18"/>
        </w:rPr>
        <w:t>ing</w:t>
      </w:r>
      <w:r w:rsidRPr="00AD44B1">
        <w:rPr>
          <w:b w:val="0"/>
          <w:sz w:val="18"/>
          <w:szCs w:val="18"/>
        </w:rPr>
        <w:t xml:space="preserve"> the inflammatory processes underlying atherosclerotic cardiovascular diseases. </w:t>
      </w:r>
      <w:r w:rsidRPr="00AD44B1">
        <w:rPr>
          <w:sz w:val="18"/>
          <w:szCs w:val="18"/>
        </w:rPr>
        <w:t>Abbreviations used:</w:t>
      </w:r>
      <w:r w:rsidRPr="00AD44B1">
        <w:rPr>
          <w:b w:val="0"/>
          <w:sz w:val="18"/>
          <w:szCs w:val="18"/>
        </w:rPr>
        <w:t xml:space="preserve"> </w:t>
      </w:r>
      <w:r>
        <w:rPr>
          <w:b w:val="0"/>
          <w:sz w:val="18"/>
          <w:szCs w:val="18"/>
        </w:rPr>
        <w:t xml:space="preserve">COX-2*, S-nitrosylated COX-2; </w:t>
      </w:r>
      <w:r w:rsidRPr="00AD44B1">
        <w:rPr>
          <w:b w:val="0"/>
          <w:sz w:val="18"/>
          <w:szCs w:val="18"/>
        </w:rPr>
        <w:t>n-6 PUFAs, n-6 polyunsaturated fatty acids; n-3 PUFAs, n-3 polyunsaturated fatty acids; AA, arachidonic acid; EPA, eicosapentaenoic acid, DHA, docosahex</w:t>
      </w:r>
      <w:r>
        <w:rPr>
          <w:b w:val="0"/>
          <w:sz w:val="18"/>
          <w:szCs w:val="18"/>
        </w:rPr>
        <w:t xml:space="preserve">aenoic acid; </w:t>
      </w:r>
      <w:r w:rsidRPr="00AD44B1">
        <w:rPr>
          <w:b w:val="0"/>
          <w:sz w:val="18"/>
          <w:szCs w:val="18"/>
        </w:rPr>
        <w:t>5-LOX, 5-lipoxygenase; 15-LOX, 15-lipoxygenase; 12-LOX, 12-lipoxygenase; 5R-HETE, 5R-hydroxy</w:t>
      </w:r>
      <w:r>
        <w:rPr>
          <w:b w:val="0"/>
          <w:sz w:val="18"/>
          <w:szCs w:val="18"/>
        </w:rPr>
        <w:t>-</w:t>
      </w:r>
      <w:r w:rsidRPr="00AD44B1">
        <w:rPr>
          <w:b w:val="0"/>
          <w:sz w:val="18"/>
          <w:szCs w:val="18"/>
        </w:rPr>
        <w:t xml:space="preserve">eicosatetraenoic acid; 18R-HpEPE, 18R-hydroperoxy-eicosapentaenoic acid; 18R-HEPE, 18R-hydroxy-eicosapentaenoic acid; 17S-HpDHA, </w:t>
      </w:r>
      <w:r>
        <w:rPr>
          <w:b w:val="0"/>
          <w:sz w:val="18"/>
          <w:szCs w:val="18"/>
        </w:rPr>
        <w:t xml:space="preserve">17S-hydroperoxy-docosahexaenoic </w:t>
      </w:r>
      <w:r w:rsidRPr="00AD44B1">
        <w:rPr>
          <w:b w:val="0"/>
          <w:sz w:val="18"/>
          <w:szCs w:val="18"/>
        </w:rPr>
        <w:t>acid; 14S-HpDHA, 14S-hydroperoxy-docosahexaenoic acid.</w:t>
      </w:r>
    </w:p>
    <w:p w14:paraId="3DB0B9CE" w14:textId="77777777" w:rsidR="002629EB" w:rsidRDefault="002629EB" w:rsidP="002629EB">
      <w:pPr>
        <w:pStyle w:val="MDPI21heading1"/>
        <w:spacing w:before="0" w:after="0"/>
        <w:ind w:firstLine="452"/>
        <w:jc w:val="both"/>
        <w:rPr>
          <w:b w:val="0"/>
        </w:rPr>
      </w:pPr>
    </w:p>
    <w:p w14:paraId="6F86FE53" w14:textId="5C1AFEC4" w:rsidR="00F01298" w:rsidRDefault="00327B0E" w:rsidP="00842BEE">
      <w:pPr>
        <w:pStyle w:val="MDPI21heading1"/>
        <w:spacing w:before="0" w:after="0"/>
        <w:ind w:firstLine="454"/>
        <w:jc w:val="both"/>
      </w:pPr>
      <w:r>
        <w:rPr>
          <w:b w:val="0"/>
        </w:rPr>
        <w:t xml:space="preserve">Statins also regulate the levels of enzymes involved in oxylipin synthesis and this has been studied in the context of CVDs. </w:t>
      </w:r>
      <w:r w:rsidR="00D51B1B" w:rsidRPr="00D51B1B">
        <w:rPr>
          <w:b w:val="0"/>
        </w:rPr>
        <w:t xml:space="preserve">For example, in a rabbit model of atherosclerosis, atorvastatin treatment </w:t>
      </w:r>
      <w:r w:rsidR="00BE4A67">
        <w:rPr>
          <w:b w:val="0"/>
        </w:rPr>
        <w:t>decreased</w:t>
      </w:r>
      <w:r w:rsidR="00D51B1B" w:rsidRPr="00D51B1B">
        <w:rPr>
          <w:b w:val="0"/>
        </w:rPr>
        <w:t xml:space="preserve"> </w:t>
      </w:r>
      <w:r w:rsidR="00BE4A67">
        <w:rPr>
          <w:b w:val="0"/>
        </w:rPr>
        <w:t xml:space="preserve">expression of mRNA for </w:t>
      </w:r>
      <w:r w:rsidR="00D51B1B" w:rsidRPr="00D51B1B">
        <w:rPr>
          <w:b w:val="0"/>
        </w:rPr>
        <w:t xml:space="preserve">5-LOX-activating protein and the leukotriene receptor cysLT1R along with </w:t>
      </w:r>
      <w:r w:rsidR="00BE4A67">
        <w:rPr>
          <w:b w:val="0"/>
        </w:rPr>
        <w:t xml:space="preserve">lowering </w:t>
      </w:r>
      <w:r w:rsidR="00D51B1B" w:rsidRPr="00D51B1B">
        <w:rPr>
          <w:b w:val="0"/>
        </w:rPr>
        <w:t>serum LTD4</w:t>
      </w:r>
      <w:r w:rsidR="00BE4A67">
        <w:rPr>
          <w:b w:val="0"/>
        </w:rPr>
        <w:t xml:space="preserve"> levels</w:t>
      </w:r>
      <w:r w:rsidR="00D51B1B" w:rsidRPr="00D51B1B">
        <w:rPr>
          <w:b w:val="0"/>
        </w:rPr>
        <w:t xml:space="preserve">, </w:t>
      </w:r>
      <w:r w:rsidR="00BE4A67">
        <w:rPr>
          <w:b w:val="0"/>
        </w:rPr>
        <w:t xml:space="preserve">all associated with stabilization, and even regression, of </w:t>
      </w:r>
      <w:r w:rsidR="00D51B1B" w:rsidRPr="00D51B1B">
        <w:rPr>
          <w:b w:val="0"/>
        </w:rPr>
        <w:t>carotid atherosclerotic plaque</w:t>
      </w:r>
      <w:r w:rsidR="00BE4A67">
        <w:rPr>
          <w:b w:val="0"/>
        </w:rPr>
        <w:t>s</w:t>
      </w:r>
      <w:r w:rsidR="00DF3D62">
        <w:rPr>
          <w:b w:val="0"/>
        </w:rPr>
        <w:t xml:space="preserve"> [</w:t>
      </w:r>
      <w:r w:rsidR="006C64D0">
        <w:rPr>
          <w:b w:val="0"/>
        </w:rPr>
        <w:t>8</w:t>
      </w:r>
      <w:r w:rsidR="00DC0A29">
        <w:rPr>
          <w:b w:val="0"/>
        </w:rPr>
        <w:t>6</w:t>
      </w:r>
      <w:r w:rsidR="00DF3D62">
        <w:rPr>
          <w:b w:val="0"/>
        </w:rPr>
        <w:t xml:space="preserve">]. </w:t>
      </w:r>
      <w:r w:rsidR="00D51B1B" w:rsidRPr="00D51B1B">
        <w:rPr>
          <w:b w:val="0"/>
        </w:rPr>
        <w:t>Atorvastatin increased</w:t>
      </w:r>
      <w:r w:rsidR="006028E7">
        <w:rPr>
          <w:b w:val="0"/>
        </w:rPr>
        <w:t xml:space="preserve"> </w:t>
      </w:r>
      <w:r w:rsidR="00D51B1B" w:rsidRPr="00D51B1B">
        <w:rPr>
          <w:b w:val="0"/>
        </w:rPr>
        <w:t xml:space="preserve">levels of LXA4 and 15-epi-LXA4 </w:t>
      </w:r>
      <w:r w:rsidR="006028E7">
        <w:rPr>
          <w:b w:val="0"/>
        </w:rPr>
        <w:t xml:space="preserve">in the rat myocardium which was linked with </w:t>
      </w:r>
      <w:r w:rsidR="00D51B1B" w:rsidRPr="00D51B1B">
        <w:rPr>
          <w:b w:val="0"/>
        </w:rPr>
        <w:t>overexpression of 5-LOX and COX-2 in myocardial cells. A study with rats showed that atorvastatin at different doses markedly increased COX-2 and 15-epi-LXA4 levels in heart tissue [</w:t>
      </w:r>
      <w:r w:rsidR="006C64D0">
        <w:rPr>
          <w:b w:val="0"/>
        </w:rPr>
        <w:t>8</w:t>
      </w:r>
      <w:r w:rsidR="00DC0A29">
        <w:rPr>
          <w:b w:val="0"/>
        </w:rPr>
        <w:t>7</w:t>
      </w:r>
      <w:r w:rsidR="00D51B1B" w:rsidRPr="00D51B1B">
        <w:rPr>
          <w:b w:val="0"/>
        </w:rPr>
        <w:t>]. A study on atorvastatin-treated rats also showed overproduction of 15-epi-LXA4 and increased COX-2 and 5-LOX levels in the cytosolic fra</w:t>
      </w:r>
      <w:r w:rsidR="00DF3D62">
        <w:rPr>
          <w:b w:val="0"/>
        </w:rPr>
        <w:t>ction of myocardial cells [</w:t>
      </w:r>
      <w:r w:rsidR="006C64D0">
        <w:rPr>
          <w:b w:val="0"/>
        </w:rPr>
        <w:t>8</w:t>
      </w:r>
      <w:r w:rsidR="00DC0A29">
        <w:rPr>
          <w:b w:val="0"/>
        </w:rPr>
        <w:t>8</w:t>
      </w:r>
      <w:r w:rsidR="00DF3D62">
        <w:rPr>
          <w:b w:val="0"/>
        </w:rPr>
        <w:t xml:space="preserve">]. </w:t>
      </w:r>
      <w:r w:rsidR="006028E7">
        <w:rPr>
          <w:b w:val="0"/>
        </w:rPr>
        <w:t>In diabetic mice</w:t>
      </w:r>
      <w:r>
        <w:rPr>
          <w:b w:val="0"/>
        </w:rPr>
        <w:t>,</w:t>
      </w:r>
      <w:r w:rsidR="006028E7">
        <w:rPr>
          <w:b w:val="0"/>
        </w:rPr>
        <w:t xml:space="preserve"> r</w:t>
      </w:r>
      <w:r w:rsidR="00D51B1B" w:rsidRPr="00D51B1B">
        <w:rPr>
          <w:b w:val="0"/>
        </w:rPr>
        <w:t xml:space="preserve">osuvastatin increased 15-epi-LXA4 levels and </w:t>
      </w:r>
      <w:r w:rsidR="006028E7">
        <w:rPr>
          <w:b w:val="0"/>
        </w:rPr>
        <w:t>decreased</w:t>
      </w:r>
      <w:r w:rsidR="00D51B1B" w:rsidRPr="00D51B1B">
        <w:rPr>
          <w:b w:val="0"/>
        </w:rPr>
        <w:t xml:space="preserve"> atherosclerotic plaque</w:t>
      </w:r>
      <w:r w:rsidR="006028E7">
        <w:rPr>
          <w:b w:val="0"/>
        </w:rPr>
        <w:t xml:space="preserve"> area</w:t>
      </w:r>
      <w:r w:rsidR="00D51B1B" w:rsidRPr="00D51B1B">
        <w:rPr>
          <w:b w:val="0"/>
        </w:rPr>
        <w:t>, inflammation and progression of atherosclerosis [</w:t>
      </w:r>
      <w:r w:rsidR="006C64D0">
        <w:rPr>
          <w:b w:val="0"/>
        </w:rPr>
        <w:t>9</w:t>
      </w:r>
      <w:r w:rsidR="00DC0A29">
        <w:rPr>
          <w:b w:val="0"/>
        </w:rPr>
        <w:t>9</w:t>
      </w:r>
      <w:r w:rsidR="00D51B1B" w:rsidRPr="00D51B1B">
        <w:rPr>
          <w:b w:val="0"/>
        </w:rPr>
        <w:t xml:space="preserve">]. </w:t>
      </w:r>
      <w:r w:rsidR="006028E7">
        <w:rPr>
          <w:b w:val="0"/>
        </w:rPr>
        <w:t>Thus, e</w:t>
      </w:r>
      <w:r w:rsidR="00D51B1B" w:rsidRPr="00D51B1B">
        <w:rPr>
          <w:b w:val="0"/>
        </w:rPr>
        <w:t>nhanced 15-epi-LXA4 production</w:t>
      </w:r>
      <w:r w:rsidR="006028E7">
        <w:rPr>
          <w:b w:val="0"/>
        </w:rPr>
        <w:t xml:space="preserve"> is a common finding in these studies of statins in laboratory animals; this could involve increased expression of the relevant synthetic enzymes (COX-2 and 5-LOX) and increased activity of COX-2 due to S-nitrosylation. As such</w:t>
      </w:r>
      <w:r>
        <w:rPr>
          <w:b w:val="0"/>
        </w:rPr>
        <w:t>,</w:t>
      </w:r>
      <w:r w:rsidR="006028E7">
        <w:rPr>
          <w:b w:val="0"/>
        </w:rPr>
        <w:t xml:space="preserve"> up-regulation of the lipoxin pathway </w:t>
      </w:r>
      <w:r w:rsidR="00D51B1B" w:rsidRPr="00D51B1B">
        <w:rPr>
          <w:b w:val="0"/>
        </w:rPr>
        <w:t xml:space="preserve">could </w:t>
      </w:r>
      <w:r w:rsidR="006028E7">
        <w:rPr>
          <w:b w:val="0"/>
        </w:rPr>
        <w:t xml:space="preserve">be </w:t>
      </w:r>
      <w:r w:rsidR="00D51B1B" w:rsidRPr="00D51B1B">
        <w:rPr>
          <w:b w:val="0"/>
        </w:rPr>
        <w:t xml:space="preserve">a novel mechanism for statin-induced anti-inflammatory and immune regulatory effects. </w:t>
      </w:r>
      <w:r>
        <w:rPr>
          <w:b w:val="0"/>
        </w:rPr>
        <w:t>There may also be interaction of statins with n-3 PUFA</w:t>
      </w:r>
      <w:r w:rsidR="00A46D49">
        <w:rPr>
          <w:b w:val="0"/>
        </w:rPr>
        <w:t>s</w:t>
      </w:r>
      <w:r>
        <w:rPr>
          <w:b w:val="0"/>
        </w:rPr>
        <w:t>, in part through S-nitrosylation of COX-2 as described above, but there are other relevant observations. For example, s</w:t>
      </w:r>
      <w:r w:rsidR="00497632">
        <w:rPr>
          <w:b w:val="0"/>
        </w:rPr>
        <w:t>tatin</w:t>
      </w:r>
      <w:r>
        <w:rPr>
          <w:b w:val="0"/>
        </w:rPr>
        <w:t xml:space="preserve">s resulted in </w:t>
      </w:r>
      <w:r w:rsidR="00497632">
        <w:rPr>
          <w:b w:val="0"/>
        </w:rPr>
        <w:t xml:space="preserve">higher expression </w:t>
      </w:r>
      <w:r w:rsidR="00D51B1B" w:rsidRPr="00D51B1B">
        <w:rPr>
          <w:b w:val="0"/>
        </w:rPr>
        <w:t xml:space="preserve">of the RvE1 receptor </w:t>
      </w:r>
      <w:r w:rsidR="00497632">
        <w:rPr>
          <w:b w:val="0"/>
        </w:rPr>
        <w:t>(</w:t>
      </w:r>
      <w:r w:rsidR="00D51B1B" w:rsidRPr="00D51B1B">
        <w:rPr>
          <w:b w:val="0"/>
        </w:rPr>
        <w:t>Erv1/ChemR23</w:t>
      </w:r>
      <w:r w:rsidR="00497632">
        <w:rPr>
          <w:b w:val="0"/>
        </w:rPr>
        <w:t>)</w:t>
      </w:r>
      <w:r w:rsidR="00D51B1B" w:rsidRPr="00D51B1B">
        <w:rPr>
          <w:b w:val="0"/>
        </w:rPr>
        <w:t xml:space="preserve"> in macrophages </w:t>
      </w:r>
      <w:r w:rsidR="00497632">
        <w:rPr>
          <w:b w:val="0"/>
        </w:rPr>
        <w:t>from</w:t>
      </w:r>
      <w:r w:rsidR="00D51B1B" w:rsidRPr="00D51B1B">
        <w:rPr>
          <w:b w:val="0"/>
        </w:rPr>
        <w:t xml:space="preserve"> the proximity of the necrotic core </w:t>
      </w:r>
      <w:r w:rsidR="00497632">
        <w:rPr>
          <w:b w:val="0"/>
        </w:rPr>
        <w:t>of atherosclerotic</w:t>
      </w:r>
      <w:r w:rsidR="00497632" w:rsidRPr="00D51B1B">
        <w:rPr>
          <w:b w:val="0"/>
        </w:rPr>
        <w:t xml:space="preserve"> </w:t>
      </w:r>
      <w:r w:rsidR="00D51B1B" w:rsidRPr="00D51B1B">
        <w:rPr>
          <w:b w:val="0"/>
        </w:rPr>
        <w:t>plaques [</w:t>
      </w:r>
      <w:r w:rsidR="006C64D0">
        <w:rPr>
          <w:b w:val="0"/>
        </w:rPr>
        <w:t>9</w:t>
      </w:r>
      <w:r w:rsidR="00DC0A29">
        <w:rPr>
          <w:b w:val="0"/>
        </w:rPr>
        <w:t>0</w:t>
      </w:r>
      <w:r w:rsidR="00D51B1B" w:rsidRPr="00D51B1B">
        <w:rPr>
          <w:b w:val="0"/>
        </w:rPr>
        <w:t xml:space="preserve">]. </w:t>
      </w:r>
      <w:r>
        <w:rPr>
          <w:b w:val="0"/>
        </w:rPr>
        <w:t xml:space="preserve">The combination of </w:t>
      </w:r>
      <w:r w:rsidRPr="00DC0A29">
        <w:rPr>
          <w:b w:val="0"/>
        </w:rPr>
        <w:t>R</w:t>
      </w:r>
      <w:r w:rsidR="00A46D49" w:rsidRPr="00DC0A29">
        <w:rPr>
          <w:b w:val="0"/>
        </w:rPr>
        <w:t>v</w:t>
      </w:r>
      <w:r w:rsidRPr="00DC0A29">
        <w:rPr>
          <w:b w:val="0"/>
        </w:rPr>
        <w:t xml:space="preserve">E1 and </w:t>
      </w:r>
      <w:r w:rsidR="00D359C5" w:rsidRPr="00DC0A29">
        <w:rPr>
          <w:b w:val="0"/>
        </w:rPr>
        <w:t>atorvastatin</w:t>
      </w:r>
      <w:r w:rsidRPr="00DC0A29">
        <w:rPr>
          <w:b w:val="0"/>
        </w:rPr>
        <w:t xml:space="preserve"> has been tested in mice</w:t>
      </w:r>
      <w:r w:rsidR="00D359C5" w:rsidRPr="00DC0A29">
        <w:rPr>
          <w:b w:val="0"/>
        </w:rPr>
        <w:t xml:space="preserve"> [</w:t>
      </w:r>
      <w:r w:rsidR="006C64D0">
        <w:rPr>
          <w:b w:val="0"/>
        </w:rPr>
        <w:t>7</w:t>
      </w:r>
      <w:r w:rsidR="00DC0A29" w:rsidRPr="00DC0A29">
        <w:rPr>
          <w:b w:val="0"/>
        </w:rPr>
        <w:t>7</w:t>
      </w:r>
      <w:r w:rsidR="00D359C5" w:rsidRPr="00DC0A29">
        <w:rPr>
          <w:b w:val="0"/>
        </w:rPr>
        <w:t>].</w:t>
      </w:r>
    </w:p>
    <w:p w14:paraId="3C0EF2AF" w14:textId="77777777" w:rsidR="00F01298" w:rsidRPr="00D51B1B" w:rsidRDefault="00F01298" w:rsidP="00067BD0">
      <w:pPr>
        <w:pStyle w:val="MDPI21heading1"/>
        <w:spacing w:before="0" w:after="0"/>
        <w:ind w:hanging="56"/>
        <w:jc w:val="both"/>
        <w:rPr>
          <w:b w:val="0"/>
        </w:rPr>
      </w:pPr>
    </w:p>
    <w:p w14:paraId="0B5A64E6" w14:textId="64861A71" w:rsidR="00F55D29" w:rsidRDefault="00C457F6" w:rsidP="00067BD0">
      <w:pPr>
        <w:pStyle w:val="MDPI21heading1"/>
        <w:spacing w:before="0" w:after="0"/>
        <w:ind w:hanging="56"/>
        <w:jc w:val="both"/>
      </w:pPr>
      <w:r>
        <w:lastRenderedPageBreak/>
        <w:t>6</w:t>
      </w:r>
      <w:r w:rsidR="00D47EA5">
        <w:t xml:space="preserve">. </w:t>
      </w:r>
      <w:r w:rsidR="00F55D29">
        <w:t xml:space="preserve">Omega-3 (N-3) Fatty Acids and CVD: Findings From Cohort Studies </w:t>
      </w:r>
    </w:p>
    <w:p w14:paraId="7D86DD1E" w14:textId="39A6160B" w:rsidR="009A358D" w:rsidRPr="00FF50CB" w:rsidRDefault="00303713" w:rsidP="00067BD0">
      <w:pPr>
        <w:autoSpaceDE w:val="0"/>
        <w:autoSpaceDN w:val="0"/>
        <w:adjustRightInd w:val="0"/>
        <w:spacing w:line="240" w:lineRule="auto"/>
        <w:ind w:left="2552" w:firstLine="369"/>
        <w:rPr>
          <w:rFonts w:cs="URWPalladioL-Roma"/>
          <w:noProof w:val="0"/>
          <w:lang w:val="en-GB"/>
        </w:rPr>
      </w:pPr>
      <w:r>
        <w:rPr>
          <w:rFonts w:cs="URWPalladioL-Roma"/>
          <w:noProof w:val="0"/>
          <w:lang w:val="en-GB"/>
        </w:rPr>
        <w:t xml:space="preserve">Clues to the impact of dietary EPA+DHA on CVDs came from early studies in the native Inuit population of Greenland, who showed a much lower rate of mortality from </w:t>
      </w:r>
      <w:r w:rsidR="00F2303C">
        <w:rPr>
          <w:rFonts w:cs="URWPalladioL-Roma"/>
          <w:noProof w:val="0"/>
          <w:lang w:val="en-GB"/>
        </w:rPr>
        <w:t>myocardial infarction (</w:t>
      </w:r>
      <w:r>
        <w:rPr>
          <w:rFonts w:cs="URWPalladioL-Roma"/>
          <w:noProof w:val="0"/>
          <w:lang w:val="en-GB"/>
        </w:rPr>
        <w:t>MI</w:t>
      </w:r>
      <w:r w:rsidR="00F2303C">
        <w:rPr>
          <w:rFonts w:cs="URWPalladioL-Roma"/>
          <w:noProof w:val="0"/>
          <w:lang w:val="en-GB"/>
        </w:rPr>
        <w:t>)</w:t>
      </w:r>
      <w:r>
        <w:rPr>
          <w:rFonts w:cs="URWPalladioL-Roma"/>
          <w:noProof w:val="0"/>
          <w:lang w:val="en-GB"/>
        </w:rPr>
        <w:t xml:space="preserve"> and from CHD than anticipated [</w:t>
      </w:r>
      <w:r w:rsidR="006C64D0">
        <w:rPr>
          <w:rFonts w:cs="URWPalladioL-Roma"/>
          <w:noProof w:val="0"/>
          <w:lang w:val="en-GB"/>
        </w:rPr>
        <w:t>91,92</w:t>
      </w:r>
      <w:r>
        <w:rPr>
          <w:rFonts w:cs="URWPalladioL-Roma"/>
          <w:noProof w:val="0"/>
          <w:lang w:val="en-GB"/>
        </w:rPr>
        <w:t>]</w:t>
      </w:r>
      <w:r w:rsidR="00F2303C">
        <w:rPr>
          <w:rFonts w:cs="URWPalladioL-Roma"/>
          <w:noProof w:val="0"/>
          <w:lang w:val="en-GB"/>
        </w:rPr>
        <w:t xml:space="preserve"> with these effects being linked with the verry high intake of EPA and DHA from the diet [</w:t>
      </w:r>
      <w:r w:rsidR="006C64D0">
        <w:rPr>
          <w:rFonts w:cs="URWPalladioL-Roma"/>
          <w:noProof w:val="0"/>
          <w:lang w:val="en-GB"/>
        </w:rPr>
        <w:t>93</w:t>
      </w:r>
      <w:r w:rsidR="00F2303C">
        <w:rPr>
          <w:rFonts w:cs="URWPalladioL-Roma"/>
          <w:noProof w:val="0"/>
          <w:lang w:val="en-GB"/>
        </w:rPr>
        <w:t>]. Observations of low risk of CVDs with high EPA and DHA intake were replicated in other populations from the Arctic [</w:t>
      </w:r>
      <w:r w:rsidR="006C64D0">
        <w:rPr>
          <w:rFonts w:cs="URWPalladioL-Roma"/>
          <w:noProof w:val="0"/>
          <w:lang w:val="en-GB"/>
        </w:rPr>
        <w:t>94</w:t>
      </w:r>
      <w:r w:rsidR="00F2303C">
        <w:rPr>
          <w:rFonts w:cs="URWPalladioL-Roma"/>
          <w:noProof w:val="0"/>
          <w:lang w:val="en-GB"/>
        </w:rPr>
        <w:t>] and Japan [</w:t>
      </w:r>
      <w:r w:rsidR="006C64D0">
        <w:rPr>
          <w:rFonts w:cs="URWPalladioL-Roma"/>
          <w:noProof w:val="0"/>
          <w:lang w:val="en-GB"/>
        </w:rPr>
        <w:t>95</w:t>
      </w:r>
      <w:r w:rsidR="00F2303C">
        <w:rPr>
          <w:rFonts w:cs="URWPalladioL-Roma"/>
          <w:noProof w:val="0"/>
          <w:lang w:val="en-GB"/>
        </w:rPr>
        <w:t>]. Multiple studies have reported inverse associations between dietary intake of EPA and DHA, or their levels in the blood or tissues, and risk of various CVD outcomes (see [</w:t>
      </w:r>
      <w:r w:rsidR="006C64D0">
        <w:rPr>
          <w:rFonts w:cs="URWPalladioL-Roma"/>
          <w:noProof w:val="0"/>
          <w:lang w:val="en-GB"/>
        </w:rPr>
        <w:t>96</w:t>
      </w:r>
      <w:r w:rsidR="00F2303C">
        <w:rPr>
          <w:rFonts w:cs="URWPalladioL-Roma"/>
          <w:noProof w:val="0"/>
          <w:lang w:val="en-GB"/>
        </w:rPr>
        <w:t>]</w:t>
      </w:r>
      <w:r w:rsidR="006C64D0">
        <w:rPr>
          <w:rFonts w:cs="URWPalladioL-Roma"/>
          <w:noProof w:val="0"/>
          <w:lang w:val="en-GB"/>
        </w:rPr>
        <w:t>)</w:t>
      </w:r>
      <w:r w:rsidR="00F2303C">
        <w:rPr>
          <w:rFonts w:cs="URWPalladioL-Roma"/>
          <w:noProof w:val="0"/>
          <w:lang w:val="en-GB"/>
        </w:rPr>
        <w:t xml:space="preserve">. </w:t>
      </w:r>
      <w:r w:rsidRPr="00067BD0">
        <w:rPr>
          <w:rFonts w:cs="URWPalladioL-Roma"/>
          <w:noProof w:val="0"/>
          <w:lang w:val="en-GB"/>
        </w:rPr>
        <w:t xml:space="preserve">For example, </w:t>
      </w:r>
      <w:r w:rsidR="00F2303C">
        <w:rPr>
          <w:rFonts w:cs="URWPalladioL-Roma"/>
          <w:noProof w:val="0"/>
          <w:lang w:val="en-GB"/>
        </w:rPr>
        <w:t xml:space="preserve">data from </w:t>
      </w:r>
      <w:r w:rsidRPr="00067BD0">
        <w:rPr>
          <w:rFonts w:cs="URWPalladioL-Roma"/>
          <w:noProof w:val="0"/>
          <w:lang w:val="en-GB"/>
        </w:rPr>
        <w:t>the Nurse’s Health Study</w:t>
      </w:r>
      <w:r w:rsidR="00F2303C">
        <w:rPr>
          <w:rFonts w:cs="URWPalladioL-Roma"/>
          <w:noProof w:val="0"/>
          <w:lang w:val="en-GB"/>
        </w:rPr>
        <w:t xml:space="preserve"> showed a</w:t>
      </w:r>
      <w:r w:rsidRPr="00067BD0">
        <w:rPr>
          <w:rFonts w:cs="URWPalladioL-Roma"/>
          <w:noProof w:val="0"/>
          <w:lang w:val="en-GB"/>
        </w:rPr>
        <w:t>n inverse dose-dependent</w:t>
      </w:r>
      <w:r w:rsidR="00F2303C">
        <w:rPr>
          <w:rFonts w:cs="URWPalladioL-Roma"/>
          <w:noProof w:val="0"/>
          <w:lang w:val="en-GB"/>
        </w:rPr>
        <w:t xml:space="preserve"> </w:t>
      </w:r>
      <w:r w:rsidRPr="00067BD0">
        <w:rPr>
          <w:rFonts w:cs="URWPalladioL-Roma"/>
          <w:noProof w:val="0"/>
          <w:lang w:val="en-GB"/>
        </w:rPr>
        <w:t>association of risk for developing CHD, having a non-fatal MI or dying from CHD across quintiles</w:t>
      </w:r>
      <w:r w:rsidR="00F2303C">
        <w:rPr>
          <w:rFonts w:cs="URWPalladioL-Roma"/>
          <w:noProof w:val="0"/>
          <w:lang w:val="en-GB"/>
        </w:rPr>
        <w:t xml:space="preserve"> </w:t>
      </w:r>
      <w:r w:rsidRPr="00067BD0">
        <w:rPr>
          <w:rFonts w:cs="URWPalladioL-Roma"/>
          <w:noProof w:val="0"/>
          <w:lang w:val="en-GB"/>
        </w:rPr>
        <w:t xml:space="preserve">of intake of EPA </w:t>
      </w:r>
      <w:r w:rsidRPr="00067BD0">
        <w:rPr>
          <w:rFonts w:cs="Rpxr"/>
          <w:noProof w:val="0"/>
          <w:lang w:val="en-GB"/>
        </w:rPr>
        <w:t xml:space="preserve">+ </w:t>
      </w:r>
      <w:r w:rsidRPr="00067BD0">
        <w:rPr>
          <w:rFonts w:cs="URWPalladioL-Roma"/>
          <w:noProof w:val="0"/>
          <w:lang w:val="en-GB"/>
        </w:rPr>
        <w:t>DHA [</w:t>
      </w:r>
      <w:r w:rsidR="006C64D0">
        <w:rPr>
          <w:rFonts w:cs="URWPalladioL-Roma"/>
          <w:noProof w:val="0"/>
          <w:lang w:val="en-GB"/>
        </w:rPr>
        <w:t>97</w:t>
      </w:r>
      <w:r w:rsidRPr="00067BD0">
        <w:rPr>
          <w:rFonts w:cs="URWPalladioL-Roma"/>
          <w:noProof w:val="0"/>
          <w:lang w:val="en-GB"/>
        </w:rPr>
        <w:t xml:space="preserve">]. </w:t>
      </w:r>
      <w:r w:rsidR="00F2303C">
        <w:rPr>
          <w:rFonts w:cs="URWPalladioL-Roma"/>
          <w:noProof w:val="0"/>
          <w:lang w:val="en-GB"/>
        </w:rPr>
        <w:t>A</w:t>
      </w:r>
      <w:r w:rsidRPr="00067BD0">
        <w:rPr>
          <w:rFonts w:cs="URWPalladioL-Roma"/>
          <w:noProof w:val="0"/>
          <w:lang w:val="en-GB"/>
        </w:rPr>
        <w:t xml:space="preserve">ll three outcomes </w:t>
      </w:r>
      <w:r w:rsidR="00F2303C">
        <w:rPr>
          <w:rFonts w:cs="URWPalladioL-Roma"/>
          <w:noProof w:val="0"/>
          <w:lang w:val="en-GB"/>
        </w:rPr>
        <w:t>were decreased by</w:t>
      </w:r>
      <w:r w:rsidRPr="00067BD0">
        <w:rPr>
          <w:rFonts w:cs="URWPalladioL-Roma"/>
          <w:noProof w:val="0"/>
          <w:lang w:val="en-GB"/>
        </w:rPr>
        <w:t xml:space="preserve"> about 50% in th</w:t>
      </w:r>
      <w:r w:rsidR="00F2303C">
        <w:rPr>
          <w:rFonts w:cs="URWPalladioL-Roma"/>
          <w:noProof w:val="0"/>
          <w:lang w:val="en-GB"/>
        </w:rPr>
        <w:t xml:space="preserve">ose </w:t>
      </w:r>
      <w:r w:rsidRPr="00067BD0">
        <w:rPr>
          <w:rFonts w:cs="URWPalladioL-Roma"/>
          <w:noProof w:val="0"/>
          <w:lang w:val="en-GB"/>
        </w:rPr>
        <w:t>with the</w:t>
      </w:r>
      <w:r w:rsidR="00F2303C">
        <w:rPr>
          <w:rFonts w:cs="URWPalladioL-Roma"/>
          <w:noProof w:val="0"/>
          <w:lang w:val="en-GB"/>
        </w:rPr>
        <w:t xml:space="preserve"> </w:t>
      </w:r>
      <w:r w:rsidRPr="00067BD0">
        <w:rPr>
          <w:rFonts w:cs="URWPalladioL-Roma"/>
          <w:noProof w:val="0"/>
          <w:lang w:val="en-GB"/>
        </w:rPr>
        <w:t>highest intake compared with the lowest intake of EPA</w:t>
      </w:r>
      <w:r w:rsidR="006C64D0">
        <w:rPr>
          <w:rFonts w:cs="URWPalladioL-Roma"/>
          <w:noProof w:val="0"/>
          <w:lang w:val="en-GB"/>
        </w:rPr>
        <w:t xml:space="preserve"> </w:t>
      </w:r>
      <w:r w:rsidRPr="00067BD0">
        <w:rPr>
          <w:rFonts w:cs="Rpxr"/>
          <w:noProof w:val="0"/>
          <w:lang w:val="en-GB"/>
        </w:rPr>
        <w:t>+</w:t>
      </w:r>
      <w:r w:rsidR="006C64D0">
        <w:rPr>
          <w:rFonts w:cs="Rpxr"/>
          <w:noProof w:val="0"/>
          <w:lang w:val="en-GB"/>
        </w:rPr>
        <w:t xml:space="preserve"> </w:t>
      </w:r>
      <w:r w:rsidRPr="00067BD0">
        <w:rPr>
          <w:rFonts w:cs="URWPalladioL-Roma"/>
          <w:noProof w:val="0"/>
          <w:lang w:val="en-GB"/>
        </w:rPr>
        <w:t>DHA</w:t>
      </w:r>
      <w:r w:rsidR="00F2303C">
        <w:rPr>
          <w:rFonts w:cs="URWPalladioL-Roma"/>
          <w:noProof w:val="0"/>
          <w:lang w:val="en-GB"/>
        </w:rPr>
        <w:t xml:space="preserve"> [</w:t>
      </w:r>
      <w:r w:rsidR="006C64D0">
        <w:rPr>
          <w:rFonts w:cs="URWPalladioL-Roma"/>
          <w:noProof w:val="0"/>
          <w:lang w:val="en-GB"/>
        </w:rPr>
        <w:t>97</w:t>
      </w:r>
      <w:r w:rsidR="00F2303C">
        <w:rPr>
          <w:rFonts w:cs="URWPalladioL-Roma"/>
          <w:noProof w:val="0"/>
          <w:lang w:val="en-GB"/>
        </w:rPr>
        <w:t>]</w:t>
      </w:r>
      <w:r w:rsidRPr="00067BD0">
        <w:rPr>
          <w:rFonts w:cs="URWPalladioL-Roma"/>
          <w:noProof w:val="0"/>
          <w:lang w:val="en-GB"/>
        </w:rPr>
        <w:t>.</w:t>
      </w:r>
      <w:r w:rsidR="00F2303C">
        <w:rPr>
          <w:rFonts w:cs="URWPalladioL-Roma"/>
          <w:noProof w:val="0"/>
          <w:lang w:val="en-GB"/>
        </w:rPr>
        <w:t xml:space="preserve"> </w:t>
      </w:r>
      <w:r w:rsidR="008874AB">
        <w:rPr>
          <w:rFonts w:cs="URWPalladioL-Roma"/>
          <w:noProof w:val="0"/>
          <w:lang w:val="en-GB"/>
        </w:rPr>
        <w:t xml:space="preserve">The prospective </w:t>
      </w:r>
      <w:r w:rsidR="008874AB" w:rsidRPr="00FF50CB">
        <w:rPr>
          <w:rFonts w:cs="URWPalladioL-Roma"/>
          <w:noProof w:val="0"/>
          <w:lang w:val="en-GB"/>
        </w:rPr>
        <w:t>National Institutes of Health AARP Diet and Health Study included</w:t>
      </w:r>
      <w:r w:rsidR="008874AB">
        <w:rPr>
          <w:rFonts w:cs="URWPalladioL-Roma"/>
          <w:noProof w:val="0"/>
          <w:lang w:val="en-GB"/>
        </w:rPr>
        <w:t xml:space="preserve"> </w:t>
      </w:r>
      <w:r w:rsidR="008874AB" w:rsidRPr="00FF50CB">
        <w:rPr>
          <w:rFonts w:cs="URWPalladioL-Roma"/>
          <w:noProof w:val="0"/>
          <w:lang w:val="en-GB"/>
        </w:rPr>
        <w:t xml:space="preserve">~420,000 participants </w:t>
      </w:r>
      <w:r w:rsidR="008874AB">
        <w:rPr>
          <w:rFonts w:cs="URWPalladioL-Roma"/>
          <w:noProof w:val="0"/>
          <w:lang w:val="en-GB"/>
        </w:rPr>
        <w:t xml:space="preserve">and had </w:t>
      </w:r>
      <w:r w:rsidR="008874AB" w:rsidRPr="00FF50CB">
        <w:rPr>
          <w:rFonts w:cs="URWPalladioL-Roma"/>
          <w:noProof w:val="0"/>
          <w:lang w:val="en-GB"/>
        </w:rPr>
        <w:t>a</w:t>
      </w:r>
      <w:r w:rsidR="008874AB">
        <w:rPr>
          <w:rFonts w:cs="URWPalladioL-Roma"/>
          <w:noProof w:val="0"/>
          <w:lang w:val="en-GB"/>
        </w:rPr>
        <w:t xml:space="preserve"> </w:t>
      </w:r>
      <w:r w:rsidR="008874AB" w:rsidRPr="00FF50CB">
        <w:rPr>
          <w:rFonts w:cs="URWPalladioL-Roma"/>
          <w:noProof w:val="0"/>
          <w:lang w:val="en-GB"/>
        </w:rPr>
        <w:t>16-year follow-up</w:t>
      </w:r>
      <w:r w:rsidR="008874AB">
        <w:rPr>
          <w:rFonts w:cs="URWPalladioL-Roma"/>
          <w:noProof w:val="0"/>
          <w:lang w:val="en-GB"/>
        </w:rPr>
        <w:t xml:space="preserve">; there was a </w:t>
      </w:r>
      <w:r w:rsidR="008874AB" w:rsidRPr="00FF50CB">
        <w:rPr>
          <w:rFonts w:cs="URWPalladioL-Roma"/>
          <w:noProof w:val="0"/>
          <w:lang w:val="en-GB"/>
        </w:rPr>
        <w:t xml:space="preserve">significant inverse association between EPA </w:t>
      </w:r>
      <w:r w:rsidR="008874AB" w:rsidRPr="00FF50CB">
        <w:rPr>
          <w:rFonts w:cs="Rpxr"/>
          <w:noProof w:val="0"/>
          <w:lang w:val="en-GB"/>
        </w:rPr>
        <w:t xml:space="preserve">+ </w:t>
      </w:r>
      <w:r w:rsidR="008874AB" w:rsidRPr="00FF50CB">
        <w:rPr>
          <w:rFonts w:cs="URWPalladioL-Roma"/>
          <w:noProof w:val="0"/>
          <w:lang w:val="en-GB"/>
        </w:rPr>
        <w:t>DHA intake</w:t>
      </w:r>
      <w:r w:rsidR="008874AB">
        <w:rPr>
          <w:rFonts w:cs="URWPalladioL-Roma"/>
          <w:noProof w:val="0"/>
          <w:lang w:val="en-GB"/>
        </w:rPr>
        <w:t xml:space="preserve"> </w:t>
      </w:r>
      <w:r w:rsidR="008874AB" w:rsidRPr="00FF50CB">
        <w:rPr>
          <w:rFonts w:cs="URWPalladioL-Roma"/>
          <w:noProof w:val="0"/>
          <w:lang w:val="en-GB"/>
        </w:rPr>
        <w:t>and various mortality outcomes [</w:t>
      </w:r>
      <w:r w:rsidR="006C64D0">
        <w:rPr>
          <w:rFonts w:cs="URWPalladioL-Roma"/>
          <w:noProof w:val="0"/>
          <w:lang w:val="en-GB"/>
        </w:rPr>
        <w:t>98</w:t>
      </w:r>
      <w:r w:rsidR="008874AB" w:rsidRPr="00FF50CB">
        <w:rPr>
          <w:rFonts w:cs="URWPalladioL-Roma"/>
          <w:noProof w:val="0"/>
          <w:lang w:val="en-GB"/>
        </w:rPr>
        <w:t xml:space="preserve">]. </w:t>
      </w:r>
      <w:r w:rsidR="008874AB">
        <w:rPr>
          <w:rFonts w:cs="URWPalladioL-Roma"/>
          <w:noProof w:val="0"/>
          <w:lang w:val="en-GB"/>
        </w:rPr>
        <w:t xml:space="preserve">For example, </w:t>
      </w:r>
      <w:r w:rsidR="008874AB" w:rsidRPr="00FF50CB">
        <w:rPr>
          <w:rFonts w:cs="URWPalladioL-Roma"/>
          <w:noProof w:val="0"/>
          <w:lang w:val="en-GB"/>
        </w:rPr>
        <w:t xml:space="preserve">EPA </w:t>
      </w:r>
      <w:r w:rsidR="008874AB" w:rsidRPr="00FF50CB">
        <w:rPr>
          <w:rFonts w:cs="Rpxr"/>
          <w:noProof w:val="0"/>
          <w:lang w:val="en-GB"/>
        </w:rPr>
        <w:t xml:space="preserve">+ </w:t>
      </w:r>
      <w:r w:rsidR="008874AB" w:rsidRPr="00FF50CB">
        <w:rPr>
          <w:rFonts w:cs="URWPalladioL-Roma"/>
          <w:noProof w:val="0"/>
          <w:lang w:val="en-GB"/>
        </w:rPr>
        <w:t>DHA intake was associated with 15% and 18%</w:t>
      </w:r>
      <w:r w:rsidR="008874AB">
        <w:rPr>
          <w:rFonts w:cs="URWPalladioL-Roma"/>
          <w:noProof w:val="0"/>
          <w:lang w:val="en-GB"/>
        </w:rPr>
        <w:t xml:space="preserve"> </w:t>
      </w:r>
      <w:r w:rsidR="008874AB" w:rsidRPr="00FF50CB">
        <w:rPr>
          <w:rFonts w:cs="URWPalladioL-Roma"/>
          <w:noProof w:val="0"/>
          <w:lang w:val="en-GB"/>
        </w:rPr>
        <w:t>lower CVD mortality in men and women, respectively, across extreme quintiles.</w:t>
      </w:r>
      <w:r w:rsidR="00DC68A7">
        <w:rPr>
          <w:rFonts w:cs="URWPalladioL-Roma"/>
          <w:noProof w:val="0"/>
          <w:lang w:val="en-GB"/>
        </w:rPr>
        <w:t xml:space="preserve"> Cho</w:t>
      </w:r>
      <w:r w:rsidR="007771E9">
        <w:rPr>
          <w:rFonts w:cs="URWPalladioL-Roma"/>
          <w:noProof w:val="0"/>
          <w:lang w:val="en-GB"/>
        </w:rPr>
        <w:t>w</w:t>
      </w:r>
      <w:r w:rsidR="00DC68A7">
        <w:rPr>
          <w:rFonts w:cs="URWPalladioL-Roma"/>
          <w:noProof w:val="0"/>
          <w:lang w:val="en-GB"/>
        </w:rPr>
        <w:t>dhury et al. [</w:t>
      </w:r>
      <w:r w:rsidR="006C64D0">
        <w:rPr>
          <w:rFonts w:cs="URWPalladioL-Roma"/>
          <w:noProof w:val="0"/>
          <w:lang w:val="en-GB"/>
        </w:rPr>
        <w:t>99</w:t>
      </w:r>
      <w:r w:rsidR="00DC68A7">
        <w:rPr>
          <w:rFonts w:cs="URWPalladioL-Roma"/>
          <w:noProof w:val="0"/>
          <w:lang w:val="en-GB"/>
        </w:rPr>
        <w:t>] reported that the combined d</w:t>
      </w:r>
      <w:r w:rsidR="00DC68A7" w:rsidRPr="00FF50CB">
        <w:rPr>
          <w:rFonts w:cs="URWPalladioL-Roma"/>
          <w:noProof w:val="0"/>
          <w:lang w:val="en-GB"/>
        </w:rPr>
        <w:t xml:space="preserve">ata </w:t>
      </w:r>
      <w:r w:rsidR="00DC68A7">
        <w:rPr>
          <w:rFonts w:cs="URWPalladioL-Roma"/>
          <w:noProof w:val="0"/>
          <w:lang w:val="en-GB"/>
        </w:rPr>
        <w:t xml:space="preserve">on dietary intake of EPA + DHA </w:t>
      </w:r>
      <w:r w:rsidR="00DC68A7" w:rsidRPr="00FF50CB">
        <w:rPr>
          <w:rFonts w:cs="URWPalladioL-Roma"/>
          <w:noProof w:val="0"/>
          <w:lang w:val="en-GB"/>
        </w:rPr>
        <w:t xml:space="preserve">from 16 studies involving over 422,000 individuals </w:t>
      </w:r>
      <w:r w:rsidR="00DC68A7">
        <w:rPr>
          <w:rFonts w:cs="URWPalladioL-Roma"/>
          <w:noProof w:val="0"/>
          <w:lang w:val="en-GB"/>
        </w:rPr>
        <w:t xml:space="preserve">demonstrated a 13% </w:t>
      </w:r>
      <w:r w:rsidR="00DC68A7" w:rsidRPr="00FF50CB">
        <w:rPr>
          <w:rFonts w:cs="URWPalladioL-Roma"/>
          <w:noProof w:val="0"/>
          <w:lang w:val="en-GB"/>
        </w:rPr>
        <w:t xml:space="preserve">reduction </w:t>
      </w:r>
      <w:r w:rsidR="00DC68A7">
        <w:rPr>
          <w:rFonts w:cs="URWPalladioL-Roma"/>
          <w:noProof w:val="0"/>
          <w:lang w:val="en-GB"/>
        </w:rPr>
        <w:t xml:space="preserve">in risk of coronary outcomes </w:t>
      </w:r>
      <w:r w:rsidR="00DC68A7" w:rsidRPr="00FF50CB">
        <w:rPr>
          <w:rFonts w:cs="URWPalladioL-Roma"/>
          <w:noProof w:val="0"/>
          <w:lang w:val="en-GB"/>
        </w:rPr>
        <w:t>of 13%</w:t>
      </w:r>
      <w:r w:rsidR="00DC68A7">
        <w:rPr>
          <w:rFonts w:cs="URWPalladioL-Roma"/>
          <w:noProof w:val="0"/>
          <w:lang w:val="en-GB"/>
        </w:rPr>
        <w:t xml:space="preserve"> for those in the top tertile of intake compared with those in the lower tertile. </w:t>
      </w:r>
      <w:r w:rsidR="009A36BB">
        <w:rPr>
          <w:rFonts w:cs="URWPalladioL-Roma"/>
          <w:noProof w:val="0"/>
          <w:lang w:val="en-GB"/>
        </w:rPr>
        <w:t xml:space="preserve">More recently, </w:t>
      </w:r>
      <w:r w:rsidR="009A358D" w:rsidRPr="00FF50CB">
        <w:rPr>
          <w:rFonts w:cs="URWPalladioL-Roma"/>
          <w:noProof w:val="0"/>
          <w:lang w:val="en-GB"/>
        </w:rPr>
        <w:t xml:space="preserve">Alexander et al. </w:t>
      </w:r>
      <w:r w:rsidR="009A36BB">
        <w:rPr>
          <w:rFonts w:cs="URWPalladioL-Roma"/>
          <w:noProof w:val="0"/>
          <w:lang w:val="en-GB"/>
        </w:rPr>
        <w:t>[</w:t>
      </w:r>
      <w:r w:rsidR="006C64D0">
        <w:rPr>
          <w:rFonts w:cs="URWPalladioL-Roma"/>
          <w:noProof w:val="0"/>
          <w:lang w:val="en-GB"/>
        </w:rPr>
        <w:t>100</w:t>
      </w:r>
      <w:r w:rsidR="009A358D" w:rsidRPr="00FF50CB">
        <w:rPr>
          <w:rFonts w:cs="URWPalladioL-Roma"/>
          <w:noProof w:val="0"/>
          <w:lang w:val="en-GB"/>
        </w:rPr>
        <w:t xml:space="preserve">] </w:t>
      </w:r>
      <w:r w:rsidR="009A36BB">
        <w:rPr>
          <w:rFonts w:cs="URWPalladioL-Roma"/>
          <w:noProof w:val="0"/>
          <w:lang w:val="en-GB"/>
        </w:rPr>
        <w:t>combined data from 17 cohort studies and found that risk of CHD, fatal coronary events, coronary death or sudden cardiac death was lower by 18%, 23%, 19% and 47%, respectively, in</w:t>
      </w:r>
      <w:r w:rsidR="009A358D" w:rsidRPr="00FF50CB">
        <w:rPr>
          <w:rFonts w:cs="URWPalladioL-Roma"/>
          <w:noProof w:val="0"/>
          <w:lang w:val="en-GB"/>
        </w:rPr>
        <w:t xml:space="preserve"> those with higher dietary intake of EPA </w:t>
      </w:r>
      <w:r w:rsidR="009A358D" w:rsidRPr="00FF50CB">
        <w:rPr>
          <w:rFonts w:cs="Rpxr"/>
          <w:noProof w:val="0"/>
          <w:lang w:val="en-GB"/>
        </w:rPr>
        <w:t xml:space="preserve">+ </w:t>
      </w:r>
      <w:r w:rsidR="009A358D" w:rsidRPr="00FF50CB">
        <w:rPr>
          <w:rFonts w:cs="URWPalladioL-Roma"/>
          <w:noProof w:val="0"/>
          <w:lang w:val="en-GB"/>
        </w:rPr>
        <w:t>DHA compared to those with lower</w:t>
      </w:r>
      <w:r w:rsidR="009A36BB">
        <w:rPr>
          <w:rFonts w:cs="URWPalladioL-Roma"/>
          <w:noProof w:val="0"/>
          <w:lang w:val="en-GB"/>
        </w:rPr>
        <w:t xml:space="preserve"> </w:t>
      </w:r>
      <w:r w:rsidR="009A358D" w:rsidRPr="00FF50CB">
        <w:rPr>
          <w:rFonts w:cs="URWPalladioL-Roma"/>
          <w:noProof w:val="0"/>
          <w:lang w:val="en-GB"/>
        </w:rPr>
        <w:t xml:space="preserve">intake. </w:t>
      </w:r>
    </w:p>
    <w:p w14:paraId="28374E07" w14:textId="7424791A" w:rsidR="0040719E" w:rsidRDefault="00F2303C" w:rsidP="00067BD0">
      <w:pPr>
        <w:autoSpaceDE w:val="0"/>
        <w:autoSpaceDN w:val="0"/>
        <w:adjustRightInd w:val="0"/>
        <w:spacing w:line="228" w:lineRule="auto"/>
        <w:ind w:left="2552" w:firstLine="369"/>
        <w:rPr>
          <w:rFonts w:cs="URWPalladioL-Roma"/>
          <w:noProof w:val="0"/>
          <w:lang w:val="en-GB"/>
        </w:rPr>
      </w:pPr>
      <w:r>
        <w:rPr>
          <w:rFonts w:cs="URWPalladioL-Roma"/>
          <w:noProof w:val="0"/>
          <w:lang w:val="en-GB"/>
        </w:rPr>
        <w:t xml:space="preserve">Going beyond measurements of dietary intake of EPA and DHA, a </w:t>
      </w:r>
      <w:r w:rsidR="00303713" w:rsidRPr="00067BD0">
        <w:rPr>
          <w:rFonts w:cs="URWPalladioL-Roma"/>
          <w:noProof w:val="0"/>
          <w:lang w:val="en-GB"/>
        </w:rPr>
        <w:t xml:space="preserve">number of studies have </w:t>
      </w:r>
      <w:r w:rsidR="00321932">
        <w:rPr>
          <w:rFonts w:cs="URWPalladioL-Roma"/>
          <w:noProof w:val="0"/>
          <w:lang w:val="en-GB"/>
        </w:rPr>
        <w:t xml:space="preserve">examined the </w:t>
      </w:r>
      <w:r w:rsidR="00303713" w:rsidRPr="00067BD0">
        <w:rPr>
          <w:rFonts w:cs="URWPalladioL-Roma"/>
          <w:noProof w:val="0"/>
          <w:lang w:val="en-GB"/>
        </w:rPr>
        <w:t>associat</w:t>
      </w:r>
      <w:r w:rsidR="00321932">
        <w:rPr>
          <w:rFonts w:cs="URWPalladioL-Roma"/>
          <w:noProof w:val="0"/>
          <w:lang w:val="en-GB"/>
        </w:rPr>
        <w:t xml:space="preserve">ions between </w:t>
      </w:r>
      <w:r w:rsidR="00303713" w:rsidRPr="00067BD0">
        <w:rPr>
          <w:rFonts w:cs="URWPalladioL-Roma"/>
          <w:noProof w:val="0"/>
          <w:lang w:val="en-GB"/>
        </w:rPr>
        <w:t xml:space="preserve">the concentrations of EPA </w:t>
      </w:r>
      <w:r w:rsidR="00303713" w:rsidRPr="00067BD0">
        <w:rPr>
          <w:rFonts w:cs="Rpxr"/>
          <w:noProof w:val="0"/>
          <w:lang w:val="en-GB"/>
        </w:rPr>
        <w:t xml:space="preserve">+ </w:t>
      </w:r>
      <w:r w:rsidR="00303713" w:rsidRPr="00067BD0">
        <w:rPr>
          <w:rFonts w:cs="URWPalladioL-Roma"/>
          <w:noProof w:val="0"/>
          <w:lang w:val="en-GB"/>
        </w:rPr>
        <w:t xml:space="preserve">DHA in blood </w:t>
      </w:r>
      <w:r w:rsidR="00321932">
        <w:rPr>
          <w:rFonts w:cs="URWPalladioL-Roma"/>
          <w:noProof w:val="0"/>
          <w:lang w:val="en-GB"/>
        </w:rPr>
        <w:t>or blood pools (e.g. plasma, serum, serum lipids or red blood cells) and CVD morbidity and mortality (see [</w:t>
      </w:r>
      <w:r w:rsidR="006C64D0">
        <w:rPr>
          <w:rFonts w:cs="URWPalladioL-Roma"/>
          <w:noProof w:val="0"/>
          <w:lang w:val="en-GB"/>
        </w:rPr>
        <w:t>96</w:t>
      </w:r>
      <w:r w:rsidR="00321932">
        <w:rPr>
          <w:rFonts w:cs="URWPalladioL-Roma"/>
          <w:noProof w:val="0"/>
          <w:lang w:val="en-GB"/>
        </w:rPr>
        <w:t xml:space="preserve">]). </w:t>
      </w:r>
      <w:r w:rsidR="008874AB">
        <w:rPr>
          <w:rFonts w:cs="URWPalladioL-Roma"/>
          <w:noProof w:val="0"/>
          <w:lang w:val="en-GB"/>
        </w:rPr>
        <w:t xml:space="preserve">In the </w:t>
      </w:r>
      <w:r w:rsidR="00303713" w:rsidRPr="00067BD0">
        <w:rPr>
          <w:rFonts w:cs="URWPalladioL-Roma"/>
          <w:noProof w:val="0"/>
          <w:lang w:val="en-GB"/>
        </w:rPr>
        <w:t>Physician’s Health Study, there was an inverse dose-dependent association of risk for sudden</w:t>
      </w:r>
      <w:r w:rsidR="008874AB">
        <w:rPr>
          <w:rFonts w:cs="URWPalladioL-Roma"/>
          <w:noProof w:val="0"/>
          <w:lang w:val="en-GB"/>
        </w:rPr>
        <w:t xml:space="preserve"> </w:t>
      </w:r>
      <w:r w:rsidR="00303713" w:rsidRPr="00067BD0">
        <w:rPr>
          <w:rFonts w:cs="URWPalladioL-Roma"/>
          <w:noProof w:val="0"/>
          <w:lang w:val="en-GB"/>
        </w:rPr>
        <w:t xml:space="preserve">death across quartiles of whole blood EPA </w:t>
      </w:r>
      <w:r w:rsidR="00303713" w:rsidRPr="00067BD0">
        <w:rPr>
          <w:rFonts w:cs="Rpxr"/>
          <w:noProof w:val="0"/>
          <w:lang w:val="en-GB"/>
        </w:rPr>
        <w:t xml:space="preserve">+ </w:t>
      </w:r>
      <w:r w:rsidR="00303713" w:rsidRPr="00067BD0">
        <w:rPr>
          <w:rFonts w:cs="URWPalladioL-Roma"/>
          <w:noProof w:val="0"/>
          <w:lang w:val="en-GB"/>
        </w:rPr>
        <w:t>DHA, with an 80% lower risk in those with the highest</w:t>
      </w:r>
      <w:r w:rsidR="008874AB">
        <w:rPr>
          <w:rFonts w:cs="URWPalladioL-Roma"/>
          <w:noProof w:val="0"/>
          <w:lang w:val="en-GB"/>
        </w:rPr>
        <w:t xml:space="preserve"> </w:t>
      </w:r>
      <w:r w:rsidR="00303713" w:rsidRPr="00067BD0">
        <w:rPr>
          <w:rFonts w:cs="URWPalladioL-Roma"/>
          <w:noProof w:val="0"/>
          <w:lang w:val="en-GB"/>
        </w:rPr>
        <w:t>whole blood EPA</w:t>
      </w:r>
      <w:r w:rsidR="00303713" w:rsidRPr="00067BD0">
        <w:rPr>
          <w:rFonts w:cs="Rpxr"/>
          <w:noProof w:val="0"/>
          <w:lang w:val="en-GB"/>
        </w:rPr>
        <w:t>+</w:t>
      </w:r>
      <w:r w:rsidR="00303713" w:rsidRPr="00067BD0">
        <w:rPr>
          <w:rFonts w:cs="URWPalladioL-Roma"/>
          <w:noProof w:val="0"/>
          <w:lang w:val="en-GB"/>
        </w:rPr>
        <w:t xml:space="preserve">DHA concentration compared to those with the lowest whole blood EPA </w:t>
      </w:r>
      <w:r w:rsidR="00303713" w:rsidRPr="00067BD0">
        <w:rPr>
          <w:rFonts w:cs="Rpxr"/>
          <w:noProof w:val="0"/>
          <w:lang w:val="en-GB"/>
        </w:rPr>
        <w:t xml:space="preserve">+ </w:t>
      </w:r>
      <w:r w:rsidR="00303713" w:rsidRPr="00067BD0">
        <w:rPr>
          <w:rFonts w:cs="URWPalladioL-Roma"/>
          <w:noProof w:val="0"/>
          <w:lang w:val="en-GB"/>
        </w:rPr>
        <w:t>DHA</w:t>
      </w:r>
      <w:r w:rsidR="008874AB">
        <w:rPr>
          <w:rFonts w:cs="URWPalladioL-Roma"/>
          <w:noProof w:val="0"/>
          <w:lang w:val="en-GB"/>
        </w:rPr>
        <w:t xml:space="preserve"> </w:t>
      </w:r>
      <w:r w:rsidR="00303713" w:rsidRPr="00067BD0">
        <w:rPr>
          <w:rFonts w:cs="URWPalladioL-Roma"/>
          <w:noProof w:val="0"/>
          <w:lang w:val="en-GB"/>
        </w:rPr>
        <w:t>concentration [</w:t>
      </w:r>
      <w:r w:rsidR="006C64D0">
        <w:rPr>
          <w:rFonts w:cs="URWPalladioL-Roma"/>
          <w:noProof w:val="0"/>
          <w:lang w:val="en-GB"/>
        </w:rPr>
        <w:t>101</w:t>
      </w:r>
      <w:r w:rsidR="00303713" w:rsidRPr="00067BD0">
        <w:rPr>
          <w:rFonts w:cs="URWPalladioL-Roma"/>
          <w:noProof w:val="0"/>
          <w:lang w:val="en-GB"/>
        </w:rPr>
        <w:t>].</w:t>
      </w:r>
      <w:r w:rsidR="009A358D">
        <w:rPr>
          <w:rFonts w:cs="URWPalladioL-Roma"/>
          <w:noProof w:val="0"/>
          <w:lang w:val="en-GB"/>
        </w:rPr>
        <w:t xml:space="preserve"> Cho</w:t>
      </w:r>
      <w:r w:rsidR="007771E9">
        <w:rPr>
          <w:rFonts w:cs="URWPalladioL-Roma"/>
          <w:noProof w:val="0"/>
          <w:lang w:val="en-GB"/>
        </w:rPr>
        <w:t>w</w:t>
      </w:r>
      <w:r w:rsidR="009A358D">
        <w:rPr>
          <w:rFonts w:cs="URWPalladioL-Roma"/>
          <w:noProof w:val="0"/>
          <w:lang w:val="en-GB"/>
        </w:rPr>
        <w:t>dhury et al. [</w:t>
      </w:r>
      <w:r w:rsidR="006C64D0">
        <w:rPr>
          <w:rFonts w:cs="URWPalladioL-Roma"/>
          <w:noProof w:val="0"/>
          <w:lang w:val="en-GB"/>
        </w:rPr>
        <w:t>99</w:t>
      </w:r>
      <w:r w:rsidR="009A358D">
        <w:rPr>
          <w:rFonts w:cs="URWPalladioL-Roma"/>
          <w:noProof w:val="0"/>
          <w:lang w:val="en-GB"/>
        </w:rPr>
        <w:t xml:space="preserve">] combined </w:t>
      </w:r>
      <w:r w:rsidR="00303713" w:rsidRPr="00067BD0">
        <w:rPr>
          <w:rFonts w:cs="URWPalladioL-Roma"/>
          <w:noProof w:val="0"/>
          <w:lang w:val="en-GB"/>
        </w:rPr>
        <w:t xml:space="preserve">data from 13 studies involving over 20,000 individuals </w:t>
      </w:r>
      <w:r w:rsidR="009A358D">
        <w:rPr>
          <w:rFonts w:cs="URWPalladioL-Roma"/>
          <w:noProof w:val="0"/>
          <w:lang w:val="en-GB"/>
        </w:rPr>
        <w:t xml:space="preserve">in a meta-analysis that </w:t>
      </w:r>
      <w:r w:rsidR="00303713" w:rsidRPr="00067BD0">
        <w:rPr>
          <w:rFonts w:cs="URWPalladioL-Roma"/>
          <w:noProof w:val="0"/>
          <w:lang w:val="en-GB"/>
        </w:rPr>
        <w:t>showed</w:t>
      </w:r>
      <w:r w:rsidR="009A358D">
        <w:rPr>
          <w:rFonts w:cs="URWPalladioL-Roma"/>
          <w:noProof w:val="0"/>
          <w:lang w:val="en-GB"/>
        </w:rPr>
        <w:t xml:space="preserve"> </w:t>
      </w:r>
      <w:r w:rsidR="00303713" w:rsidRPr="00067BD0">
        <w:rPr>
          <w:rFonts w:cs="URWPalladioL-Roma"/>
          <w:noProof w:val="0"/>
          <w:lang w:val="en-GB"/>
        </w:rPr>
        <w:t xml:space="preserve">risk reductions </w:t>
      </w:r>
      <w:r w:rsidR="009A358D">
        <w:rPr>
          <w:rFonts w:cs="URWPalladioL-Roma"/>
          <w:noProof w:val="0"/>
          <w:lang w:val="en-GB"/>
        </w:rPr>
        <w:t xml:space="preserve">for coronary outcomes </w:t>
      </w:r>
      <w:r w:rsidR="00303713" w:rsidRPr="00067BD0">
        <w:rPr>
          <w:rFonts w:cs="URWPalladioL-Roma"/>
          <w:noProof w:val="0"/>
          <w:lang w:val="en-GB"/>
        </w:rPr>
        <w:t xml:space="preserve">of 22%, 21% and 25% for those in the top tertile of circulating EPA, DHA and EPA </w:t>
      </w:r>
      <w:r w:rsidR="00303713" w:rsidRPr="00067BD0">
        <w:rPr>
          <w:rFonts w:cs="Rpxr"/>
          <w:noProof w:val="0"/>
          <w:lang w:val="en-GB"/>
        </w:rPr>
        <w:t>+</w:t>
      </w:r>
      <w:r w:rsidR="009A358D">
        <w:rPr>
          <w:rFonts w:cs="URWPalladioL-Roma"/>
          <w:noProof w:val="0"/>
          <w:lang w:val="en-GB"/>
        </w:rPr>
        <w:t xml:space="preserve"> </w:t>
      </w:r>
      <w:r w:rsidR="00303713" w:rsidRPr="00067BD0">
        <w:rPr>
          <w:rFonts w:cs="URWPalladioL-Roma"/>
          <w:noProof w:val="0"/>
          <w:lang w:val="en-GB"/>
        </w:rPr>
        <w:t>DHA, respectively, compared with those in the lower tertile.</w:t>
      </w:r>
      <w:r w:rsidR="00217E47">
        <w:rPr>
          <w:rFonts w:cs="URWPalladioL-Roma"/>
          <w:noProof w:val="0"/>
          <w:lang w:val="en-GB"/>
        </w:rPr>
        <w:t xml:space="preserve"> del Gobbo et al. [</w:t>
      </w:r>
      <w:r w:rsidR="006C64D0">
        <w:rPr>
          <w:rFonts w:cs="URWPalladioL-Roma"/>
          <w:noProof w:val="0"/>
          <w:lang w:val="en-GB"/>
        </w:rPr>
        <w:t>102</w:t>
      </w:r>
      <w:r w:rsidR="00217E47">
        <w:rPr>
          <w:rFonts w:cs="URWPalladioL-Roma"/>
          <w:noProof w:val="0"/>
          <w:lang w:val="en-GB"/>
        </w:rPr>
        <w:t xml:space="preserve">] pooled data from 19 studies </w:t>
      </w:r>
      <w:r w:rsidR="00303713" w:rsidRPr="00067BD0">
        <w:rPr>
          <w:rFonts w:cs="URWPalladioL-Roma"/>
          <w:noProof w:val="0"/>
          <w:lang w:val="en-GB"/>
        </w:rPr>
        <w:t>involving over 45,000 individuals</w:t>
      </w:r>
      <w:r w:rsidR="00217E47">
        <w:rPr>
          <w:rFonts w:cs="URWPalladioL-Roma"/>
          <w:noProof w:val="0"/>
          <w:lang w:val="en-GB"/>
        </w:rPr>
        <w:t xml:space="preserve">; they found that each standard deviation increase in the </w:t>
      </w:r>
      <w:r w:rsidR="00303713" w:rsidRPr="00067BD0">
        <w:rPr>
          <w:rFonts w:cs="URWPalladioL-Roma"/>
          <w:noProof w:val="0"/>
          <w:lang w:val="en-GB"/>
        </w:rPr>
        <w:t>EPA</w:t>
      </w:r>
      <w:r w:rsidR="00217E47">
        <w:rPr>
          <w:rFonts w:cs="URWPalladioL-Roma"/>
          <w:noProof w:val="0"/>
          <w:lang w:val="en-GB"/>
        </w:rPr>
        <w:t xml:space="preserve"> or </w:t>
      </w:r>
      <w:r w:rsidR="00303713" w:rsidRPr="00067BD0">
        <w:rPr>
          <w:rFonts w:cs="URWPalladioL-Roma"/>
          <w:noProof w:val="0"/>
          <w:lang w:val="en-GB"/>
        </w:rPr>
        <w:t xml:space="preserve">DHA </w:t>
      </w:r>
      <w:r w:rsidR="00217E47">
        <w:rPr>
          <w:rFonts w:cs="URWPalladioL-Roma"/>
          <w:noProof w:val="0"/>
          <w:lang w:val="en-GB"/>
        </w:rPr>
        <w:t>content of a blood or tissue pool was</w:t>
      </w:r>
      <w:r w:rsidR="00303713" w:rsidRPr="00067BD0">
        <w:rPr>
          <w:rFonts w:cs="URWPalladioL-Roma"/>
          <w:noProof w:val="0"/>
          <w:lang w:val="en-GB"/>
        </w:rPr>
        <w:t xml:space="preserve"> independently associated with a </w:t>
      </w:r>
      <w:r w:rsidR="00217E47">
        <w:rPr>
          <w:rFonts w:cs="URWPalladioL-Roma"/>
          <w:noProof w:val="0"/>
          <w:lang w:val="en-GB"/>
        </w:rPr>
        <w:t xml:space="preserve">10% </w:t>
      </w:r>
      <w:r w:rsidR="00303713" w:rsidRPr="00067BD0">
        <w:rPr>
          <w:rFonts w:cs="URWPalladioL-Roma"/>
          <w:noProof w:val="0"/>
          <w:lang w:val="en-GB"/>
        </w:rPr>
        <w:t xml:space="preserve">lower risk of fatal CHD. </w:t>
      </w:r>
      <w:r w:rsidR="007771E9">
        <w:rPr>
          <w:rFonts w:cs="URWPalladioL-Roma"/>
          <w:noProof w:val="0"/>
          <w:lang w:val="en-GB"/>
        </w:rPr>
        <w:t>More recently, data from 10 cohort studies identified a 15% reduction in risk of fatal CHD with each one standard deviation increase in omega-3 index (EPA + DHA as a percentage of total fatty acids in red blood cells) [</w:t>
      </w:r>
      <w:r w:rsidR="006C64D0">
        <w:rPr>
          <w:rFonts w:cs="URWPalladioL-Roma"/>
          <w:noProof w:val="0"/>
          <w:lang w:val="en-GB"/>
        </w:rPr>
        <w:t>103</w:t>
      </w:r>
      <w:r w:rsidR="007771E9">
        <w:rPr>
          <w:rFonts w:cs="URWPalladioL-Roma"/>
          <w:noProof w:val="0"/>
          <w:lang w:val="en-GB"/>
        </w:rPr>
        <w:t>].</w:t>
      </w:r>
      <w:r w:rsidR="002616E8">
        <w:rPr>
          <w:rFonts w:cs="URWPalladioL-Roma"/>
          <w:noProof w:val="0"/>
          <w:lang w:val="en-GB"/>
        </w:rPr>
        <w:t xml:space="preserve"> Another pooling study of data from 17 prospective cohort studies with over 42,000 participants reported a lower risk of death from CVD in those with the highest tertile of either EPA or DHA or EPA+DHA in a blood pool [</w:t>
      </w:r>
      <w:r w:rsidR="006C64D0">
        <w:rPr>
          <w:rFonts w:cs="URWPalladioL-Roma"/>
          <w:noProof w:val="0"/>
          <w:lang w:val="en-GB"/>
        </w:rPr>
        <w:t>104</w:t>
      </w:r>
      <w:r w:rsidR="002616E8">
        <w:rPr>
          <w:rFonts w:cs="URWPalladioL-Roma"/>
          <w:noProof w:val="0"/>
          <w:lang w:val="en-GB"/>
        </w:rPr>
        <w:t xml:space="preserve">]. </w:t>
      </w:r>
    </w:p>
    <w:p w14:paraId="2B13DBA7" w14:textId="1701C10E" w:rsidR="002616E8" w:rsidRPr="007771E9" w:rsidRDefault="0040719E" w:rsidP="00067BD0">
      <w:pPr>
        <w:autoSpaceDE w:val="0"/>
        <w:autoSpaceDN w:val="0"/>
        <w:adjustRightInd w:val="0"/>
        <w:spacing w:after="100" w:afterAutospacing="1" w:line="228" w:lineRule="auto"/>
        <w:ind w:left="2552" w:firstLine="369"/>
      </w:pPr>
      <w:r>
        <w:rPr>
          <w:rFonts w:cs="URWPalladioL-Roma"/>
          <w:noProof w:val="0"/>
          <w:lang w:val="en-GB"/>
        </w:rPr>
        <w:lastRenderedPageBreak/>
        <w:t xml:space="preserve">Taken together this literature base provides consistent evidence that higher dietary intake of EPA and DHA, which results in higher blood and tissue levels of these two n-3 fatty acids, is associated with lower risk of developing CHD and CVDs and of dying as a result of these diseases. Definitive proof of a case-and-effect relationship can only come from RCTs.     </w:t>
      </w:r>
      <w:r w:rsidR="002616E8">
        <w:rPr>
          <w:rFonts w:cs="URWPalladioL-Roma"/>
          <w:noProof w:val="0"/>
          <w:lang w:val="en-GB"/>
        </w:rPr>
        <w:t xml:space="preserve"> </w:t>
      </w:r>
    </w:p>
    <w:p w14:paraId="0A19B30C" w14:textId="35F569D9" w:rsidR="00D47EA5" w:rsidRPr="00325902" w:rsidRDefault="00F55D29" w:rsidP="005A435E">
      <w:pPr>
        <w:pStyle w:val="MDPI21heading1"/>
      </w:pPr>
      <w:r>
        <w:t xml:space="preserve">7. </w:t>
      </w:r>
      <w:r w:rsidR="00DF3D62">
        <w:t>Clinical Trials on T</w:t>
      </w:r>
      <w:r w:rsidR="00DF3D62" w:rsidRPr="00DF3D62">
        <w:t xml:space="preserve">herapeutic </w:t>
      </w:r>
      <w:r w:rsidR="00DF3D62">
        <w:t>Effects of Combined Statins and Omega-3 (N-3) Fatty Acids i</w:t>
      </w:r>
      <w:r w:rsidR="00DF3D62" w:rsidRPr="00DF3D62">
        <w:t>n CVD</w:t>
      </w:r>
    </w:p>
    <w:p w14:paraId="16F69201" w14:textId="0252AF7A" w:rsidR="00A129C6" w:rsidRDefault="00DF3D62" w:rsidP="00A129C6">
      <w:pPr>
        <w:pStyle w:val="MDPI21heading1"/>
        <w:spacing w:before="0" w:after="0"/>
        <w:ind w:firstLine="454"/>
        <w:jc w:val="both"/>
        <w:rPr>
          <w:b w:val="0"/>
        </w:rPr>
      </w:pPr>
      <w:r w:rsidRPr="00DF3D62">
        <w:rPr>
          <w:b w:val="0"/>
        </w:rPr>
        <w:t xml:space="preserve">A </w:t>
      </w:r>
      <w:r w:rsidR="00FE09D5">
        <w:rPr>
          <w:b w:val="0"/>
        </w:rPr>
        <w:t>small number of</w:t>
      </w:r>
      <w:r w:rsidRPr="00DF3D62">
        <w:rPr>
          <w:b w:val="0"/>
        </w:rPr>
        <w:t xml:space="preserve"> </w:t>
      </w:r>
      <w:r w:rsidR="00FE09D5">
        <w:rPr>
          <w:b w:val="0"/>
        </w:rPr>
        <w:t>large</w:t>
      </w:r>
      <w:r w:rsidR="003B0F8F">
        <w:rPr>
          <w:b w:val="0"/>
        </w:rPr>
        <w:t>,</w:t>
      </w:r>
      <w:r w:rsidR="00FE09D5">
        <w:rPr>
          <w:b w:val="0"/>
        </w:rPr>
        <w:t xml:space="preserve"> </w:t>
      </w:r>
      <w:r w:rsidRPr="00DF3D62">
        <w:rPr>
          <w:b w:val="0"/>
        </w:rPr>
        <w:t xml:space="preserve">long-term clinical trials </w:t>
      </w:r>
      <w:r w:rsidR="00FE09D5">
        <w:rPr>
          <w:b w:val="0"/>
        </w:rPr>
        <w:t xml:space="preserve">have </w:t>
      </w:r>
      <w:r w:rsidRPr="00DF3D62">
        <w:rPr>
          <w:b w:val="0"/>
        </w:rPr>
        <w:t xml:space="preserve">evaluated the effect of n-3 </w:t>
      </w:r>
      <w:r w:rsidR="00FE09D5">
        <w:rPr>
          <w:b w:val="0"/>
        </w:rPr>
        <w:t>PUFAs</w:t>
      </w:r>
      <w:r w:rsidRPr="00DF3D62">
        <w:rPr>
          <w:b w:val="0"/>
        </w:rPr>
        <w:t xml:space="preserve"> combined with statins on cardiovascular </w:t>
      </w:r>
      <w:r w:rsidR="00FE09D5">
        <w:rPr>
          <w:b w:val="0"/>
        </w:rPr>
        <w:t>outcomes</w:t>
      </w:r>
      <w:r w:rsidR="00FE09D5" w:rsidRPr="00DF3D62">
        <w:rPr>
          <w:b w:val="0"/>
        </w:rPr>
        <w:t xml:space="preserve"> </w:t>
      </w:r>
      <w:r w:rsidRPr="00DF3D62">
        <w:rPr>
          <w:b w:val="0"/>
        </w:rPr>
        <w:t xml:space="preserve">in patients with high cardiovascular risk. The first </w:t>
      </w:r>
      <w:r w:rsidR="00FE09D5">
        <w:rPr>
          <w:b w:val="0"/>
        </w:rPr>
        <w:t xml:space="preserve">of these studies was the important </w:t>
      </w:r>
      <w:r w:rsidRPr="00DF3D62">
        <w:rPr>
          <w:b w:val="0"/>
        </w:rPr>
        <w:t>Japan EPA Lipid Intervention Study (JELIS), published in 2007</w:t>
      </w:r>
      <w:r w:rsidR="00FE09D5">
        <w:rPr>
          <w:b w:val="0"/>
        </w:rPr>
        <w:t>. JELIS</w:t>
      </w:r>
      <w:r w:rsidRPr="00DF3D62">
        <w:rPr>
          <w:b w:val="0"/>
        </w:rPr>
        <w:t xml:space="preserve"> enrolle</w:t>
      </w:r>
      <w:r w:rsidRPr="00DF3D62">
        <w:rPr>
          <w:rFonts w:hint="eastAsia"/>
          <w:b w:val="0"/>
        </w:rPr>
        <w:t xml:space="preserve">d over 18,000 patients </w:t>
      </w:r>
      <w:r w:rsidR="00FE09D5">
        <w:rPr>
          <w:b w:val="0"/>
        </w:rPr>
        <w:t>who had</w:t>
      </w:r>
      <w:r w:rsidR="00FE09D5" w:rsidRPr="00DF3D62">
        <w:rPr>
          <w:rFonts w:hint="eastAsia"/>
          <w:b w:val="0"/>
        </w:rPr>
        <w:t xml:space="preserve"> </w:t>
      </w:r>
      <w:r w:rsidRPr="00DF3D62">
        <w:rPr>
          <w:rFonts w:hint="eastAsia"/>
          <w:b w:val="0"/>
        </w:rPr>
        <w:t>total cholesterol</w:t>
      </w:r>
      <w:r w:rsidR="00FE09D5">
        <w:rPr>
          <w:b w:val="0"/>
        </w:rPr>
        <w:t xml:space="preserve"> concentrations</w:t>
      </w:r>
      <w:r w:rsidRPr="00DF3D62">
        <w:rPr>
          <w:rFonts w:hint="eastAsia"/>
          <w:b w:val="0"/>
        </w:rPr>
        <w:t xml:space="preserve"> ≥ 6.5 mmol/L and LDL-C ≥ 4.4 mmol/L</w:t>
      </w:r>
      <w:r w:rsidR="00FE09D5">
        <w:rPr>
          <w:b w:val="0"/>
        </w:rPr>
        <w:t xml:space="preserve">. These patients </w:t>
      </w:r>
      <w:r w:rsidRPr="00DF3D62">
        <w:rPr>
          <w:rFonts w:hint="eastAsia"/>
          <w:b w:val="0"/>
        </w:rPr>
        <w:t xml:space="preserve">were randomized to receive either a statin alone or a statin along with highly concentrated EPA (1.8 g/d EPA </w:t>
      </w:r>
      <w:r w:rsidR="00FE09D5">
        <w:rPr>
          <w:b w:val="0"/>
        </w:rPr>
        <w:t>as an</w:t>
      </w:r>
      <w:r w:rsidRPr="00DF3D62">
        <w:rPr>
          <w:rFonts w:hint="eastAsia"/>
          <w:b w:val="0"/>
        </w:rPr>
        <w:t xml:space="preserve"> ethyl ester) with a follow-up of 5-years [</w:t>
      </w:r>
      <w:r w:rsidR="006C64D0">
        <w:rPr>
          <w:b w:val="0"/>
        </w:rPr>
        <w:t>105</w:t>
      </w:r>
      <w:r w:rsidRPr="00DF3D62">
        <w:rPr>
          <w:rFonts w:hint="eastAsia"/>
          <w:b w:val="0"/>
        </w:rPr>
        <w:t xml:space="preserve">]. </w:t>
      </w:r>
      <w:r w:rsidR="00FE09D5">
        <w:rPr>
          <w:b w:val="0"/>
        </w:rPr>
        <w:t>Patients</w:t>
      </w:r>
      <w:r w:rsidR="00FE09D5" w:rsidRPr="00DF3D62">
        <w:rPr>
          <w:b w:val="0"/>
        </w:rPr>
        <w:t xml:space="preserve"> </w:t>
      </w:r>
      <w:r w:rsidRPr="00DF3D62">
        <w:rPr>
          <w:b w:val="0"/>
        </w:rPr>
        <w:t>received 5 mg of simvastatin or 10 mg of pravastatin once daily</w:t>
      </w:r>
      <w:r w:rsidR="00FE09D5">
        <w:rPr>
          <w:b w:val="0"/>
        </w:rPr>
        <w:t xml:space="preserve"> as the first line of treatment</w:t>
      </w:r>
      <w:r w:rsidRPr="00DF3D62">
        <w:rPr>
          <w:b w:val="0"/>
        </w:rPr>
        <w:t xml:space="preserve">. For uncontrolled hypercholesterolemia, the daily dose was increased to 10 mg simvastatin or 20 mg pravastatin. </w:t>
      </w:r>
      <w:r w:rsidR="00FE09D5">
        <w:rPr>
          <w:b w:val="0"/>
        </w:rPr>
        <w:t xml:space="preserve">The combination of </w:t>
      </w:r>
      <w:r w:rsidRPr="00DF3D62">
        <w:rPr>
          <w:b w:val="0"/>
        </w:rPr>
        <w:t xml:space="preserve">EPA-ethyl ester </w:t>
      </w:r>
      <w:r w:rsidR="00FE09D5">
        <w:rPr>
          <w:b w:val="0"/>
        </w:rPr>
        <w:t xml:space="preserve">and statin </w:t>
      </w:r>
      <w:r w:rsidRPr="00DF3D62">
        <w:rPr>
          <w:b w:val="0"/>
        </w:rPr>
        <w:t xml:space="preserve">had </w:t>
      </w:r>
      <w:r w:rsidR="00FE09D5">
        <w:rPr>
          <w:b w:val="0"/>
        </w:rPr>
        <w:t>the same effect as</w:t>
      </w:r>
      <w:r w:rsidRPr="00DF3D62">
        <w:rPr>
          <w:b w:val="0"/>
        </w:rPr>
        <w:t xml:space="preserve"> statin alone on serum LDL-C levels in hypercholestero</w:t>
      </w:r>
      <w:r w:rsidR="002E6491">
        <w:rPr>
          <w:b w:val="0"/>
        </w:rPr>
        <w:t>l</w:t>
      </w:r>
      <w:r w:rsidRPr="00DF3D62">
        <w:rPr>
          <w:b w:val="0"/>
        </w:rPr>
        <w:t>emic patients</w:t>
      </w:r>
      <w:r w:rsidR="00FE09D5">
        <w:rPr>
          <w:b w:val="0"/>
        </w:rPr>
        <w:t xml:space="preserve">: there was a 25% decrease in </w:t>
      </w:r>
      <w:r w:rsidRPr="00DF3D62">
        <w:rPr>
          <w:b w:val="0"/>
        </w:rPr>
        <w:t xml:space="preserve">LDL-C concentrations in both groups. In the primary prevention arm of the trial, the primary outcome, </w:t>
      </w:r>
      <w:r w:rsidR="00FE09D5">
        <w:rPr>
          <w:b w:val="0"/>
        </w:rPr>
        <w:t xml:space="preserve">which </w:t>
      </w:r>
      <w:r w:rsidRPr="00DF3D62">
        <w:rPr>
          <w:b w:val="0"/>
        </w:rPr>
        <w:t>includ</w:t>
      </w:r>
      <w:r w:rsidR="00FE09D5">
        <w:rPr>
          <w:b w:val="0"/>
        </w:rPr>
        <w:t>ed</w:t>
      </w:r>
      <w:r w:rsidRPr="00DF3D62">
        <w:rPr>
          <w:b w:val="0"/>
        </w:rPr>
        <w:t xml:space="preserve"> </w:t>
      </w:r>
      <w:r w:rsidR="00FE09D5">
        <w:rPr>
          <w:b w:val="0"/>
        </w:rPr>
        <w:t xml:space="preserve">a </w:t>
      </w:r>
      <w:r w:rsidRPr="00DF3D62">
        <w:rPr>
          <w:b w:val="0"/>
        </w:rPr>
        <w:t xml:space="preserve">major coronary event (i.e., sudden cardiac death, fatal and non-fatal MI) </w:t>
      </w:r>
      <w:r w:rsidR="00FE09D5">
        <w:rPr>
          <w:b w:val="0"/>
        </w:rPr>
        <w:t xml:space="preserve">or another </w:t>
      </w:r>
      <w:r w:rsidRPr="00DF3D62">
        <w:rPr>
          <w:b w:val="0"/>
        </w:rPr>
        <w:t xml:space="preserve">non-fatal event (i.e., unstable angina pectoris, angioplasty, stenting, and coronary artery bypass grafting), </w:t>
      </w:r>
      <w:r w:rsidR="00FE09D5">
        <w:rPr>
          <w:b w:val="0"/>
        </w:rPr>
        <w:t>was not s</w:t>
      </w:r>
      <w:r w:rsidR="002E6491">
        <w:rPr>
          <w:b w:val="0"/>
        </w:rPr>
        <w:t xml:space="preserve">ignificantly </w:t>
      </w:r>
      <w:r w:rsidR="00FE09D5">
        <w:rPr>
          <w:b w:val="0"/>
        </w:rPr>
        <w:t xml:space="preserve">different between the groups receiving statins alone or statins plus EPA-ethyl ester. </w:t>
      </w:r>
      <w:r w:rsidRPr="00DF3D62">
        <w:rPr>
          <w:b w:val="0"/>
        </w:rPr>
        <w:t xml:space="preserve">In </w:t>
      </w:r>
      <w:r w:rsidR="00FE09D5">
        <w:rPr>
          <w:b w:val="0"/>
        </w:rPr>
        <w:t>the secondary prevention arm of the tri</w:t>
      </w:r>
      <w:r w:rsidR="009C49FE">
        <w:rPr>
          <w:b w:val="0"/>
        </w:rPr>
        <w:t>a</w:t>
      </w:r>
      <w:r w:rsidR="00FE09D5">
        <w:rPr>
          <w:b w:val="0"/>
        </w:rPr>
        <w:t>l, which involved those patie</w:t>
      </w:r>
      <w:r w:rsidR="009C49FE">
        <w:rPr>
          <w:b w:val="0"/>
        </w:rPr>
        <w:t>nt</w:t>
      </w:r>
      <w:r w:rsidR="00FE09D5">
        <w:rPr>
          <w:b w:val="0"/>
        </w:rPr>
        <w:t xml:space="preserve">s </w:t>
      </w:r>
      <w:r w:rsidRPr="00DF3D62">
        <w:rPr>
          <w:b w:val="0"/>
        </w:rPr>
        <w:t>with a history of CAD</w:t>
      </w:r>
      <w:r w:rsidR="009C49FE">
        <w:rPr>
          <w:b w:val="0"/>
        </w:rPr>
        <w:t xml:space="preserve">, </w:t>
      </w:r>
      <w:r w:rsidRPr="00DF3D62">
        <w:rPr>
          <w:b w:val="0"/>
        </w:rPr>
        <w:t xml:space="preserve">non-fatal coronary events were </w:t>
      </w:r>
      <w:r w:rsidR="002E6491">
        <w:rPr>
          <w:b w:val="0"/>
        </w:rPr>
        <w:t>significantly</w:t>
      </w:r>
      <w:r w:rsidR="002E6491" w:rsidRPr="00DF3D62">
        <w:rPr>
          <w:b w:val="0"/>
        </w:rPr>
        <w:t xml:space="preserve"> </w:t>
      </w:r>
      <w:r w:rsidRPr="00DF3D62">
        <w:rPr>
          <w:b w:val="0"/>
        </w:rPr>
        <w:t xml:space="preserve">reduced by 19% </w:t>
      </w:r>
      <w:r w:rsidR="009C49FE">
        <w:rPr>
          <w:b w:val="0"/>
        </w:rPr>
        <w:t xml:space="preserve">in patients receiving statins plus EPA </w:t>
      </w:r>
      <w:r w:rsidRPr="00DF3D62">
        <w:rPr>
          <w:b w:val="0"/>
        </w:rPr>
        <w:t>versus th</w:t>
      </w:r>
      <w:r w:rsidR="009C49FE">
        <w:rPr>
          <w:b w:val="0"/>
        </w:rPr>
        <w:t>ose receiving</w:t>
      </w:r>
      <w:r w:rsidRPr="00DF3D62">
        <w:rPr>
          <w:b w:val="0"/>
        </w:rPr>
        <w:t xml:space="preserve"> statin</w:t>
      </w:r>
      <w:r w:rsidR="009C49FE">
        <w:rPr>
          <w:b w:val="0"/>
        </w:rPr>
        <w:t>s</w:t>
      </w:r>
      <w:r w:rsidRPr="00DF3D62">
        <w:rPr>
          <w:b w:val="0"/>
        </w:rPr>
        <w:t xml:space="preserve"> alone [</w:t>
      </w:r>
      <w:r w:rsidR="006C64D0">
        <w:rPr>
          <w:b w:val="0"/>
        </w:rPr>
        <w:t>105</w:t>
      </w:r>
      <w:r w:rsidRPr="00DF3D62">
        <w:rPr>
          <w:b w:val="0"/>
        </w:rPr>
        <w:t>].</w:t>
      </w:r>
    </w:p>
    <w:p w14:paraId="0C4BDE26" w14:textId="5AFE87ED" w:rsidR="00A129C6" w:rsidRDefault="003C2293" w:rsidP="00A129C6">
      <w:pPr>
        <w:pStyle w:val="MDPI21heading1"/>
        <w:spacing w:before="0" w:after="0"/>
        <w:ind w:firstLine="454"/>
        <w:jc w:val="both"/>
        <w:rPr>
          <w:b w:val="0"/>
        </w:rPr>
      </w:pPr>
      <w:r>
        <w:rPr>
          <w:b w:val="0"/>
        </w:rPr>
        <w:t>T</w:t>
      </w:r>
      <w:r w:rsidR="00DF3D62" w:rsidRPr="00DF3D62">
        <w:rPr>
          <w:b w:val="0"/>
        </w:rPr>
        <w:t>he Reduction of Cardiovascular Events with Icosapent Ethyl Intervention Trial (REDUCE-IT) [</w:t>
      </w:r>
      <w:r w:rsidR="006C64D0">
        <w:rPr>
          <w:b w:val="0"/>
        </w:rPr>
        <w:t>106</w:t>
      </w:r>
      <w:r w:rsidR="00DF3D62" w:rsidRPr="00DF3D62">
        <w:rPr>
          <w:b w:val="0"/>
        </w:rPr>
        <w:t>]</w:t>
      </w:r>
      <w:r>
        <w:rPr>
          <w:b w:val="0"/>
        </w:rPr>
        <w:t xml:space="preserve"> </w:t>
      </w:r>
      <w:r w:rsidR="00DF3D62" w:rsidRPr="00DF3D62">
        <w:rPr>
          <w:b w:val="0"/>
        </w:rPr>
        <w:t xml:space="preserve">including 8,179 patients with established </w:t>
      </w:r>
      <w:r>
        <w:rPr>
          <w:b w:val="0"/>
        </w:rPr>
        <w:t>CVD</w:t>
      </w:r>
      <w:r w:rsidR="00DF3D62" w:rsidRPr="00DF3D62">
        <w:rPr>
          <w:b w:val="0"/>
        </w:rPr>
        <w:t xml:space="preserve"> or with diabetes (58% of all </w:t>
      </w:r>
      <w:r w:rsidR="00977E13">
        <w:rPr>
          <w:b w:val="0"/>
        </w:rPr>
        <w:t>patients</w:t>
      </w:r>
      <w:r w:rsidR="00977E13" w:rsidRPr="00DF3D62">
        <w:rPr>
          <w:b w:val="0"/>
        </w:rPr>
        <w:t xml:space="preserve"> </w:t>
      </w:r>
      <w:r w:rsidR="00DF3D62" w:rsidRPr="00DF3D62">
        <w:rPr>
          <w:b w:val="0"/>
        </w:rPr>
        <w:t xml:space="preserve">had type 2 diabetes mellitus) and other risk factors. Of all participants, 62% </w:t>
      </w:r>
      <w:r w:rsidR="00977E13">
        <w:rPr>
          <w:b w:val="0"/>
        </w:rPr>
        <w:t>received</w:t>
      </w:r>
      <w:r w:rsidR="00DF3D62" w:rsidRPr="00DF3D62">
        <w:rPr>
          <w:b w:val="0"/>
        </w:rPr>
        <w:t xml:space="preserve"> moderate-intensity statins, 31.5% high-intensity statins, and the rest low-intensity statins. Plasma LDL-C concentrations were well controlled with statin therapy (baseline range was 1.06 to 2.59 mmol/L), </w:t>
      </w:r>
      <w:r w:rsidR="00977E13">
        <w:rPr>
          <w:b w:val="0"/>
        </w:rPr>
        <w:t>but</w:t>
      </w:r>
      <w:r w:rsidR="00977E13" w:rsidRPr="00DF3D62">
        <w:rPr>
          <w:b w:val="0"/>
        </w:rPr>
        <w:t xml:space="preserve"> </w:t>
      </w:r>
      <w:r w:rsidR="00DF3D62" w:rsidRPr="00DF3D62">
        <w:rPr>
          <w:b w:val="0"/>
        </w:rPr>
        <w:t xml:space="preserve">fasting TG levels were borderline and moderately elevated (1.52 to 5.63 mmol/L). </w:t>
      </w:r>
      <w:r w:rsidR="00977E13">
        <w:rPr>
          <w:b w:val="0"/>
        </w:rPr>
        <w:t>Patients</w:t>
      </w:r>
      <w:r w:rsidR="00DF3D62" w:rsidRPr="00DF3D62">
        <w:rPr>
          <w:b w:val="0"/>
        </w:rPr>
        <w:t xml:space="preserve"> receive</w:t>
      </w:r>
      <w:r w:rsidR="00977E13">
        <w:rPr>
          <w:b w:val="0"/>
        </w:rPr>
        <w:t>d either</w:t>
      </w:r>
      <w:r w:rsidR="00DF3D62" w:rsidRPr="00DF3D62">
        <w:rPr>
          <w:b w:val="0"/>
        </w:rPr>
        <w:t xml:space="preserve"> 4 g/day of</w:t>
      </w:r>
      <w:r w:rsidR="00977E13">
        <w:rPr>
          <w:b w:val="0"/>
        </w:rPr>
        <w:t xml:space="preserve"> </w:t>
      </w:r>
      <w:r w:rsidR="00DF3D62" w:rsidRPr="00DF3D62">
        <w:rPr>
          <w:b w:val="0"/>
        </w:rPr>
        <w:t>EPA ethyl ester (referred to as icosapent ethyl - the same concentrated pharmaceutical grade preparation as used in JELIS), providing 3.6 g</w:t>
      </w:r>
      <w:r w:rsidR="00977E13">
        <w:rPr>
          <w:b w:val="0"/>
        </w:rPr>
        <w:t>/day</w:t>
      </w:r>
      <w:r w:rsidR="00DF3D62" w:rsidRPr="00DF3D62">
        <w:rPr>
          <w:b w:val="0"/>
        </w:rPr>
        <w:t xml:space="preserve"> of EPA, or placebo (mineral oil). </w:t>
      </w:r>
      <w:r w:rsidR="00977E13">
        <w:rPr>
          <w:b w:val="0"/>
        </w:rPr>
        <w:t>M</w:t>
      </w:r>
      <w:r w:rsidR="00DF3D62" w:rsidRPr="00DF3D62">
        <w:rPr>
          <w:b w:val="0"/>
        </w:rPr>
        <w:t xml:space="preserve">edian </w:t>
      </w:r>
      <w:r w:rsidR="00977E13">
        <w:rPr>
          <w:b w:val="0"/>
        </w:rPr>
        <w:t xml:space="preserve">follow-up time was </w:t>
      </w:r>
      <w:r w:rsidR="00DF3D62" w:rsidRPr="00DF3D62">
        <w:rPr>
          <w:b w:val="0"/>
        </w:rPr>
        <w:t>4.9</w:t>
      </w:r>
      <w:r w:rsidR="00977E13">
        <w:rPr>
          <w:b w:val="0"/>
        </w:rPr>
        <w:t xml:space="preserve"> </w:t>
      </w:r>
      <w:r w:rsidR="00DF3D62" w:rsidRPr="00DF3D62">
        <w:rPr>
          <w:b w:val="0"/>
        </w:rPr>
        <w:t>year</w:t>
      </w:r>
      <w:r w:rsidR="00977E13">
        <w:rPr>
          <w:b w:val="0"/>
        </w:rPr>
        <w:t>s. T</w:t>
      </w:r>
      <w:r w:rsidR="00DF3D62" w:rsidRPr="00DF3D62">
        <w:rPr>
          <w:b w:val="0"/>
        </w:rPr>
        <w:t xml:space="preserve">he primary outcome (a composite of cardiovascular death, non-fatal stroke, non-fatal </w:t>
      </w:r>
      <w:r w:rsidR="00977E13">
        <w:rPr>
          <w:b w:val="0"/>
        </w:rPr>
        <w:t>myocardial infarction</w:t>
      </w:r>
      <w:r w:rsidR="00DF3D62" w:rsidRPr="00DF3D62">
        <w:rPr>
          <w:b w:val="0"/>
        </w:rPr>
        <w:t xml:space="preserve">, coronary revascularization or unstable angina) was </w:t>
      </w:r>
      <w:r w:rsidR="002E6491">
        <w:rPr>
          <w:b w:val="0"/>
        </w:rPr>
        <w:t>significantly improved</w:t>
      </w:r>
      <w:r w:rsidR="002E6491" w:rsidRPr="00DF3D62">
        <w:rPr>
          <w:b w:val="0"/>
        </w:rPr>
        <w:t xml:space="preserve"> </w:t>
      </w:r>
      <w:r w:rsidR="00DF3D62" w:rsidRPr="00DF3D62">
        <w:rPr>
          <w:b w:val="0"/>
        </w:rPr>
        <w:t xml:space="preserve">in </w:t>
      </w:r>
      <w:r w:rsidR="00977E13">
        <w:rPr>
          <w:b w:val="0"/>
        </w:rPr>
        <w:t>the</w:t>
      </w:r>
      <w:r w:rsidR="00DF3D62" w:rsidRPr="00DF3D62">
        <w:rPr>
          <w:b w:val="0"/>
        </w:rPr>
        <w:t xml:space="preserve"> icosapent ethyl </w:t>
      </w:r>
      <w:r w:rsidR="00977E13">
        <w:rPr>
          <w:b w:val="0"/>
        </w:rPr>
        <w:t xml:space="preserve">group </w:t>
      </w:r>
      <w:r w:rsidR="00DF3D62" w:rsidRPr="00DF3D62">
        <w:rPr>
          <w:b w:val="0"/>
        </w:rPr>
        <w:t>compared to the mineral oil control group (</w:t>
      </w:r>
      <w:r w:rsidR="00977E13">
        <w:rPr>
          <w:b w:val="0"/>
        </w:rPr>
        <w:t>hazard ratio (</w:t>
      </w:r>
      <w:r w:rsidR="00DF3D62" w:rsidRPr="00DF3D62">
        <w:rPr>
          <w:b w:val="0"/>
        </w:rPr>
        <w:t>HR</w:t>
      </w:r>
      <w:r w:rsidR="00977E13">
        <w:rPr>
          <w:b w:val="0"/>
        </w:rPr>
        <w:t>)</w:t>
      </w:r>
      <w:r w:rsidR="00DF3D62" w:rsidRPr="00DF3D62">
        <w:rPr>
          <w:b w:val="0"/>
        </w:rPr>
        <w:t xml:space="preserve">: 0.75; 95% </w:t>
      </w:r>
      <w:r w:rsidR="00977E13">
        <w:rPr>
          <w:b w:val="0"/>
        </w:rPr>
        <w:t>confidence interval (</w:t>
      </w:r>
      <w:r w:rsidR="00DF3D62" w:rsidRPr="00DF3D62">
        <w:rPr>
          <w:b w:val="0"/>
        </w:rPr>
        <w:t>CI</w:t>
      </w:r>
      <w:r w:rsidR="00977E13">
        <w:rPr>
          <w:b w:val="0"/>
        </w:rPr>
        <w:t>)</w:t>
      </w:r>
      <w:r w:rsidR="00DF3D62" w:rsidRPr="00DF3D62">
        <w:rPr>
          <w:b w:val="0"/>
        </w:rPr>
        <w:t xml:space="preserve">: 0.68, 0.83; p &lt; 0.001). </w:t>
      </w:r>
      <w:r w:rsidR="00977E13">
        <w:rPr>
          <w:b w:val="0"/>
        </w:rPr>
        <w:t>I</w:t>
      </w:r>
      <w:r w:rsidR="00977E13" w:rsidRPr="00DF3D62">
        <w:rPr>
          <w:b w:val="0"/>
        </w:rPr>
        <w:t xml:space="preserve">cosapent ethyl </w:t>
      </w:r>
      <w:r w:rsidR="00977E13">
        <w:rPr>
          <w:b w:val="0"/>
        </w:rPr>
        <w:t>also improved the</w:t>
      </w:r>
      <w:r w:rsidR="00844013">
        <w:rPr>
          <w:b w:val="0"/>
        </w:rPr>
        <w:t xml:space="preserve"> </w:t>
      </w:r>
      <w:r w:rsidR="00977E13">
        <w:rPr>
          <w:b w:val="0"/>
        </w:rPr>
        <w:t>main</w:t>
      </w:r>
      <w:r w:rsidR="00977E13" w:rsidRPr="00DF3D62">
        <w:rPr>
          <w:b w:val="0"/>
        </w:rPr>
        <w:t xml:space="preserve"> </w:t>
      </w:r>
      <w:r w:rsidR="00DF3D62" w:rsidRPr="00DF3D62">
        <w:rPr>
          <w:b w:val="0"/>
        </w:rPr>
        <w:t xml:space="preserve">pre-specified secondary outcome (a composite of cardiovascular death, non-fatal </w:t>
      </w:r>
      <w:r w:rsidR="00977E13">
        <w:rPr>
          <w:b w:val="0"/>
        </w:rPr>
        <w:t>myocardial infarction</w:t>
      </w:r>
      <w:r w:rsidR="00DF3D62" w:rsidRPr="00DF3D62">
        <w:rPr>
          <w:b w:val="0"/>
        </w:rPr>
        <w:t>, or non-fatal stroke) (HR: 0.80; 95% CI: 0.66, 0.98; p = 0.03) as were a whole range of other clinical outcomes [</w:t>
      </w:r>
      <w:r w:rsidR="006C64D0">
        <w:rPr>
          <w:b w:val="0"/>
        </w:rPr>
        <w:t>106</w:t>
      </w:r>
      <w:r w:rsidR="00DF3D62" w:rsidRPr="00DF3D62">
        <w:rPr>
          <w:b w:val="0"/>
        </w:rPr>
        <w:t xml:space="preserve">]. </w:t>
      </w:r>
      <w:r w:rsidR="00977E13">
        <w:rPr>
          <w:b w:val="0"/>
        </w:rPr>
        <w:t>Serum EPA increased 3.6</w:t>
      </w:r>
      <w:r w:rsidR="009A1553">
        <w:rPr>
          <w:b w:val="0"/>
        </w:rPr>
        <w:t xml:space="preserve">-fold over the period of </w:t>
      </w:r>
      <w:r w:rsidR="009A1553" w:rsidRPr="00DF3D62">
        <w:rPr>
          <w:b w:val="0"/>
        </w:rPr>
        <w:t xml:space="preserve">icosapent ethyl </w:t>
      </w:r>
      <w:r w:rsidR="009A1553">
        <w:rPr>
          <w:b w:val="0"/>
        </w:rPr>
        <w:t>intervention and the increase was associated with improv</w:t>
      </w:r>
      <w:r w:rsidR="0004717D">
        <w:rPr>
          <w:b w:val="0"/>
        </w:rPr>
        <w:t>e</w:t>
      </w:r>
      <w:r w:rsidR="009A1553">
        <w:rPr>
          <w:b w:val="0"/>
        </w:rPr>
        <w:t>ments in</w:t>
      </w:r>
      <w:r w:rsidR="00DF3D62" w:rsidRPr="00DF3D62">
        <w:rPr>
          <w:b w:val="0"/>
        </w:rPr>
        <w:t xml:space="preserve"> clinical endpoints </w:t>
      </w:r>
      <w:r w:rsidR="00A129C6">
        <w:rPr>
          <w:b w:val="0"/>
        </w:rPr>
        <w:t>[</w:t>
      </w:r>
      <w:r w:rsidR="006C64D0">
        <w:rPr>
          <w:b w:val="0"/>
        </w:rPr>
        <w:t>107</w:t>
      </w:r>
      <w:r w:rsidR="00A129C6">
        <w:rPr>
          <w:b w:val="0"/>
        </w:rPr>
        <w:t xml:space="preserve">]. </w:t>
      </w:r>
    </w:p>
    <w:p w14:paraId="55960A9B" w14:textId="3E1F1058" w:rsidR="00A129C6" w:rsidRDefault="00DF3D62" w:rsidP="00A129C6">
      <w:pPr>
        <w:pStyle w:val="MDPI21heading1"/>
        <w:spacing w:before="0" w:after="0"/>
        <w:ind w:firstLine="454"/>
        <w:jc w:val="both"/>
        <w:rPr>
          <w:b w:val="0"/>
        </w:rPr>
      </w:pPr>
      <w:r w:rsidRPr="00DF3D62">
        <w:rPr>
          <w:b w:val="0"/>
        </w:rPr>
        <w:t xml:space="preserve">Results from </w:t>
      </w:r>
      <w:r w:rsidR="0004717D">
        <w:rPr>
          <w:b w:val="0"/>
        </w:rPr>
        <w:t xml:space="preserve">the </w:t>
      </w:r>
      <w:r w:rsidRPr="00DF3D62">
        <w:rPr>
          <w:b w:val="0"/>
        </w:rPr>
        <w:t xml:space="preserve">EVAPORATE (Effect of Vascepa on Improving Coronary Atherosclerosis in People with High Triglycerides Taking Statin Therapy) </w:t>
      </w:r>
      <w:r w:rsidR="002E6491">
        <w:rPr>
          <w:b w:val="0"/>
        </w:rPr>
        <w:t xml:space="preserve">trial </w:t>
      </w:r>
      <w:r w:rsidRPr="00DF3D62">
        <w:rPr>
          <w:b w:val="0"/>
        </w:rPr>
        <w:t xml:space="preserve">suggest that the EPA </w:t>
      </w:r>
      <w:r w:rsidR="00FB2C58">
        <w:rPr>
          <w:b w:val="0"/>
        </w:rPr>
        <w:t xml:space="preserve">has benefits related to </w:t>
      </w:r>
      <w:r w:rsidRPr="00DF3D62">
        <w:rPr>
          <w:b w:val="0"/>
        </w:rPr>
        <w:t>plaque reduction and stabilization [</w:t>
      </w:r>
      <w:r w:rsidR="006C64D0">
        <w:rPr>
          <w:b w:val="0"/>
        </w:rPr>
        <w:t>108</w:t>
      </w:r>
      <w:r w:rsidRPr="00DF3D62">
        <w:rPr>
          <w:b w:val="0"/>
        </w:rPr>
        <w:t xml:space="preserve">]. </w:t>
      </w:r>
      <w:r w:rsidR="00FB2C58">
        <w:rPr>
          <w:b w:val="0"/>
        </w:rPr>
        <w:t xml:space="preserve">EVAPORATE </w:t>
      </w:r>
      <w:r w:rsidRPr="00DF3D62">
        <w:rPr>
          <w:rFonts w:hint="eastAsia"/>
          <w:b w:val="0"/>
        </w:rPr>
        <w:t>enrolled 80 patients with coronary atherosclerosis (one or more angiographic stenoses with ≥</w:t>
      </w:r>
      <w:r w:rsidR="00FB2C58">
        <w:rPr>
          <w:b w:val="0"/>
        </w:rPr>
        <w:t xml:space="preserve"> </w:t>
      </w:r>
      <w:r w:rsidRPr="00DF3D62">
        <w:rPr>
          <w:rFonts w:hint="eastAsia"/>
          <w:b w:val="0"/>
        </w:rPr>
        <w:t>20% narrowing) and elevated fasting</w:t>
      </w:r>
      <w:r w:rsidR="00A129C6">
        <w:rPr>
          <w:rFonts w:hint="eastAsia"/>
          <w:b w:val="0"/>
        </w:rPr>
        <w:t xml:space="preserve"> TG levels (1.5 - 5.6 mmol/L). </w:t>
      </w:r>
      <w:r w:rsidRPr="00DF3D62">
        <w:rPr>
          <w:rFonts w:hint="eastAsia"/>
          <w:b w:val="0"/>
        </w:rPr>
        <w:t xml:space="preserve">All patients were </w:t>
      </w:r>
      <w:r w:rsidR="00FB2C58">
        <w:rPr>
          <w:b w:val="0"/>
        </w:rPr>
        <w:t>receiving</w:t>
      </w:r>
      <w:r w:rsidR="00FB2C58" w:rsidRPr="00DF3D62">
        <w:rPr>
          <w:rFonts w:hint="eastAsia"/>
          <w:b w:val="0"/>
        </w:rPr>
        <w:t xml:space="preserve"> </w:t>
      </w:r>
      <w:r w:rsidRPr="00DF3D62">
        <w:rPr>
          <w:rFonts w:hint="eastAsia"/>
          <w:b w:val="0"/>
        </w:rPr>
        <w:t>stable statin therapy</w:t>
      </w:r>
      <w:r w:rsidR="00FB2C58">
        <w:rPr>
          <w:b w:val="0"/>
        </w:rPr>
        <w:t xml:space="preserve">. They had no history </w:t>
      </w:r>
      <w:r w:rsidRPr="00DF3D62">
        <w:rPr>
          <w:rFonts w:hint="eastAsia"/>
          <w:b w:val="0"/>
        </w:rPr>
        <w:t xml:space="preserve">of </w:t>
      </w:r>
      <w:r w:rsidR="00FB2C58">
        <w:rPr>
          <w:b w:val="0"/>
        </w:rPr>
        <w:t>myocardial infarction</w:t>
      </w:r>
      <w:r w:rsidRPr="00DF3D62">
        <w:rPr>
          <w:rFonts w:hint="eastAsia"/>
          <w:b w:val="0"/>
        </w:rPr>
        <w:t>, stro</w:t>
      </w:r>
      <w:r w:rsidRPr="00DF3D62">
        <w:rPr>
          <w:b w:val="0"/>
        </w:rPr>
        <w:t>ke, or life-threatening arrhythmia within the p</w:t>
      </w:r>
      <w:r w:rsidR="005D3D16">
        <w:rPr>
          <w:b w:val="0"/>
        </w:rPr>
        <w:t>revious</w:t>
      </w:r>
      <w:r w:rsidRPr="00DF3D62">
        <w:rPr>
          <w:b w:val="0"/>
        </w:rPr>
        <w:t xml:space="preserve"> six months. </w:t>
      </w:r>
      <w:r w:rsidR="005D3D16">
        <w:rPr>
          <w:b w:val="0"/>
        </w:rPr>
        <w:t xml:space="preserve">EVAPORATE used the same dose </w:t>
      </w:r>
      <w:r w:rsidR="005D3D16">
        <w:rPr>
          <w:b w:val="0"/>
        </w:rPr>
        <w:lastRenderedPageBreak/>
        <w:t>of i</w:t>
      </w:r>
      <w:r w:rsidRPr="00DF3D62">
        <w:rPr>
          <w:b w:val="0"/>
        </w:rPr>
        <w:t xml:space="preserve">cosapent ethyl </w:t>
      </w:r>
      <w:r w:rsidR="005D3D16">
        <w:rPr>
          <w:b w:val="0"/>
        </w:rPr>
        <w:t xml:space="preserve">as in </w:t>
      </w:r>
      <w:r w:rsidRPr="00DF3D62">
        <w:rPr>
          <w:b w:val="0"/>
        </w:rPr>
        <w:t xml:space="preserve">REDUCE-IT. The EVAPORATE trial </w:t>
      </w:r>
      <w:r w:rsidR="005D3D16">
        <w:rPr>
          <w:b w:val="0"/>
        </w:rPr>
        <w:t>reported</w:t>
      </w:r>
      <w:r w:rsidR="005D3D16" w:rsidRPr="00DF3D62">
        <w:rPr>
          <w:b w:val="0"/>
        </w:rPr>
        <w:t xml:space="preserve"> </w:t>
      </w:r>
      <w:r w:rsidRPr="00DF3D62">
        <w:rPr>
          <w:b w:val="0"/>
        </w:rPr>
        <w:t xml:space="preserve">a significant </w:t>
      </w:r>
      <w:r w:rsidR="005D3D16">
        <w:rPr>
          <w:b w:val="0"/>
        </w:rPr>
        <w:t xml:space="preserve">regression of </w:t>
      </w:r>
      <w:r w:rsidRPr="00DF3D62">
        <w:rPr>
          <w:b w:val="0"/>
        </w:rPr>
        <w:t>atherosclerotic plaque</w:t>
      </w:r>
      <w:r w:rsidR="005D3D16">
        <w:rPr>
          <w:b w:val="0"/>
        </w:rPr>
        <w:t xml:space="preserve">s </w:t>
      </w:r>
      <w:r w:rsidRPr="00DF3D62">
        <w:rPr>
          <w:b w:val="0"/>
        </w:rPr>
        <w:t>over 18 months</w:t>
      </w:r>
      <w:r w:rsidR="00A129C6">
        <w:rPr>
          <w:b w:val="0"/>
        </w:rPr>
        <w:t xml:space="preserve"> in </w:t>
      </w:r>
      <w:r w:rsidR="005D3D16">
        <w:rPr>
          <w:b w:val="0"/>
        </w:rPr>
        <w:t xml:space="preserve">patients receiving </w:t>
      </w:r>
      <w:r w:rsidR="00A129C6">
        <w:rPr>
          <w:b w:val="0"/>
        </w:rPr>
        <w:t>icosapent ethyl [</w:t>
      </w:r>
      <w:r w:rsidR="006C64D0">
        <w:rPr>
          <w:b w:val="0"/>
        </w:rPr>
        <w:t>108</w:t>
      </w:r>
      <w:r w:rsidR="00A129C6">
        <w:rPr>
          <w:b w:val="0"/>
        </w:rPr>
        <w:t>].</w:t>
      </w:r>
    </w:p>
    <w:p w14:paraId="7821BBFD" w14:textId="6073BBE4" w:rsidR="00A129C6" w:rsidRDefault="00F97739" w:rsidP="00096952">
      <w:pPr>
        <w:pStyle w:val="MDPI21heading1"/>
        <w:spacing w:before="0" w:after="0"/>
        <w:ind w:firstLine="454"/>
        <w:jc w:val="both"/>
        <w:rPr>
          <w:b w:val="0"/>
        </w:rPr>
      </w:pPr>
      <w:r>
        <w:rPr>
          <w:b w:val="0"/>
        </w:rPr>
        <w:t>F</w:t>
      </w:r>
      <w:r w:rsidR="00DF3D62" w:rsidRPr="00DF3D62">
        <w:rPr>
          <w:b w:val="0"/>
        </w:rPr>
        <w:t>indings of STRENGTH (Long Term Outcomes Study to Assess Statin Residual Risk with Epanova in High Cardiovascular Risk Patients with Hypertriglyceridemia) [</w:t>
      </w:r>
      <w:r w:rsidR="006C64D0">
        <w:rPr>
          <w:b w:val="0"/>
        </w:rPr>
        <w:t>109]</w:t>
      </w:r>
      <w:r w:rsidR="00DF3D62" w:rsidRPr="00DF3D62">
        <w:rPr>
          <w:b w:val="0"/>
        </w:rPr>
        <w:t xml:space="preserve"> differ from those of REDUCE-IT, although </w:t>
      </w:r>
      <w:r>
        <w:rPr>
          <w:b w:val="0"/>
        </w:rPr>
        <w:t>the</w:t>
      </w:r>
      <w:r w:rsidR="00DF3D62" w:rsidRPr="00DF3D62">
        <w:rPr>
          <w:b w:val="0"/>
        </w:rPr>
        <w:t xml:space="preserve"> study design, target populations and assessed similar primary outcomes </w:t>
      </w:r>
      <w:r>
        <w:rPr>
          <w:b w:val="0"/>
        </w:rPr>
        <w:t>were similar in both trial and both use “</w:t>
      </w:r>
      <w:r w:rsidR="00DF3D62" w:rsidRPr="00DF3D62">
        <w:rPr>
          <w:b w:val="0"/>
        </w:rPr>
        <w:t>high-dose</w:t>
      </w:r>
      <w:r>
        <w:rPr>
          <w:b w:val="0"/>
        </w:rPr>
        <w:t>”</w:t>
      </w:r>
      <w:r w:rsidR="00DF3D62" w:rsidRPr="00DF3D62">
        <w:rPr>
          <w:b w:val="0"/>
        </w:rPr>
        <w:t xml:space="preserve"> n-3 PUFAs. In STRENGTH, patients with hypertriglyceridemia</w:t>
      </w:r>
      <w:r>
        <w:rPr>
          <w:b w:val="0"/>
        </w:rPr>
        <w:t>,</w:t>
      </w:r>
      <w:r w:rsidR="00DF3D62" w:rsidRPr="00DF3D62">
        <w:rPr>
          <w:b w:val="0"/>
        </w:rPr>
        <w:t xml:space="preserve"> high cardiovascular risk</w:t>
      </w:r>
      <w:r>
        <w:rPr>
          <w:b w:val="0"/>
        </w:rPr>
        <w:t>, and receiving</w:t>
      </w:r>
      <w:r w:rsidR="00DF3D62" w:rsidRPr="00DF3D62">
        <w:rPr>
          <w:b w:val="0"/>
        </w:rPr>
        <w:t xml:space="preserve"> standard statin therapy </w:t>
      </w:r>
      <w:r>
        <w:rPr>
          <w:b w:val="0"/>
        </w:rPr>
        <w:t>received either</w:t>
      </w:r>
      <w:r w:rsidR="00DF3D62" w:rsidRPr="00DF3D62">
        <w:rPr>
          <w:b w:val="0"/>
        </w:rPr>
        <w:t xml:space="preserve"> 2.2 g EPA + 0.8 g DHA daily (as free fatty acids) or corn oil as placebo. The</w:t>
      </w:r>
      <w:r w:rsidR="00096952">
        <w:rPr>
          <w:b w:val="0"/>
        </w:rPr>
        <w:t xml:space="preserve"> different findings of REDUCE-IT and STRE</w:t>
      </w:r>
      <w:r w:rsidR="006C64D0">
        <w:rPr>
          <w:b w:val="0"/>
        </w:rPr>
        <w:t>N</w:t>
      </w:r>
      <w:r w:rsidR="00096952">
        <w:rPr>
          <w:b w:val="0"/>
        </w:rPr>
        <w:t>GTH have been the subject of much discussion, especially given the apparently similar interventions and study designs.</w:t>
      </w:r>
      <w:r w:rsidR="00DF3D62" w:rsidRPr="00DF3D62">
        <w:rPr>
          <w:b w:val="0"/>
        </w:rPr>
        <w:t xml:space="preserve"> </w:t>
      </w:r>
      <w:r w:rsidR="00096952">
        <w:rPr>
          <w:b w:val="0"/>
        </w:rPr>
        <w:t xml:space="preserve">However here are some differences that might be important. Firstly, </w:t>
      </w:r>
      <w:r w:rsidR="00DF3D62" w:rsidRPr="00DF3D62">
        <w:rPr>
          <w:b w:val="0"/>
        </w:rPr>
        <w:t xml:space="preserve">REDUCE-IT used highly purified EPA (as an ethyl ester), while STRENGTH </w:t>
      </w:r>
      <w:r w:rsidR="00096952">
        <w:rPr>
          <w:b w:val="0"/>
        </w:rPr>
        <w:t>used</w:t>
      </w:r>
      <w:r w:rsidR="00096952" w:rsidRPr="00DF3D62">
        <w:rPr>
          <w:b w:val="0"/>
        </w:rPr>
        <w:t xml:space="preserve"> </w:t>
      </w:r>
      <w:r w:rsidR="00DF3D62" w:rsidRPr="00DF3D62">
        <w:rPr>
          <w:b w:val="0"/>
        </w:rPr>
        <w:t xml:space="preserve">both EPA and DHA (as free fatty acids). </w:t>
      </w:r>
      <w:r w:rsidR="00096952">
        <w:rPr>
          <w:b w:val="0"/>
        </w:rPr>
        <w:t xml:space="preserve">Secondly, </w:t>
      </w:r>
      <w:r w:rsidR="00DF3D62" w:rsidRPr="00DF3D62">
        <w:rPr>
          <w:b w:val="0"/>
        </w:rPr>
        <w:t>REDUCE-IT used a higher overall dose of EPA</w:t>
      </w:r>
      <w:r w:rsidR="00096952">
        <w:rPr>
          <w:b w:val="0"/>
        </w:rPr>
        <w:t xml:space="preserve"> (3.6 vs 2.2 g/day) and did not use DHA. Thirdly the </w:t>
      </w:r>
      <w:r w:rsidR="00DF3D62" w:rsidRPr="00DF3D62">
        <w:rPr>
          <w:b w:val="0"/>
        </w:rPr>
        <w:t>two studies used different placebos</w:t>
      </w:r>
      <w:r w:rsidR="00096952">
        <w:rPr>
          <w:b w:val="0"/>
        </w:rPr>
        <w:t xml:space="preserve"> (mineral oil vs corn oil)</w:t>
      </w:r>
      <w:r w:rsidR="00DF3D62" w:rsidRPr="00DF3D62">
        <w:rPr>
          <w:b w:val="0"/>
        </w:rPr>
        <w:t xml:space="preserve">. </w:t>
      </w:r>
      <w:r w:rsidR="00096952">
        <w:rPr>
          <w:b w:val="0"/>
        </w:rPr>
        <w:t>Finally,</w:t>
      </w:r>
      <w:r w:rsidR="00DF3D62" w:rsidRPr="00DF3D62">
        <w:rPr>
          <w:b w:val="0"/>
        </w:rPr>
        <w:t xml:space="preserve"> REDUCE-IT had a higher proportion of secondary prevention patients with a high risk of cardiovascular eve</w:t>
      </w:r>
      <w:r w:rsidR="00A129C6">
        <w:rPr>
          <w:b w:val="0"/>
        </w:rPr>
        <w:t xml:space="preserve">nts than STRENGTH. </w:t>
      </w:r>
    </w:p>
    <w:p w14:paraId="4135D764" w14:textId="29B0D6E9" w:rsidR="00DF3D62" w:rsidRDefault="00F44C34" w:rsidP="00A129C6">
      <w:pPr>
        <w:pStyle w:val="MDPI21heading1"/>
        <w:spacing w:before="0" w:after="0"/>
        <w:ind w:firstLine="454"/>
        <w:jc w:val="both"/>
        <w:rPr>
          <w:b w:val="0"/>
        </w:rPr>
      </w:pPr>
      <w:r>
        <w:rPr>
          <w:b w:val="0"/>
        </w:rPr>
        <w:t>There is a</w:t>
      </w:r>
      <w:r w:rsidR="00DF3D62" w:rsidRPr="00DF3D62">
        <w:rPr>
          <w:b w:val="0"/>
        </w:rPr>
        <w:t xml:space="preserve">n ongoing </w:t>
      </w:r>
      <w:r>
        <w:rPr>
          <w:b w:val="0"/>
        </w:rPr>
        <w:t>t</w:t>
      </w:r>
      <w:r w:rsidR="00DF3D62" w:rsidRPr="00DF3D62">
        <w:rPr>
          <w:b w:val="0"/>
        </w:rPr>
        <w:t xml:space="preserve">rial </w:t>
      </w:r>
      <w:r>
        <w:rPr>
          <w:b w:val="0"/>
        </w:rPr>
        <w:t xml:space="preserve">of relevance. This is the </w:t>
      </w:r>
      <w:r w:rsidR="00DF3D62" w:rsidRPr="00DF3D62">
        <w:rPr>
          <w:b w:val="0"/>
        </w:rPr>
        <w:t xml:space="preserve">Evaluation in Secondary Prevention Efficacy of Combination Therapy-Statin and Eicosapentaenoic Acid (RESPECT-EPA) </w:t>
      </w:r>
      <w:r>
        <w:rPr>
          <w:b w:val="0"/>
        </w:rPr>
        <w:t xml:space="preserve">trial. RESPECT-EPA </w:t>
      </w:r>
      <w:r w:rsidR="002E6491">
        <w:rPr>
          <w:b w:val="0"/>
        </w:rPr>
        <w:t xml:space="preserve">has </w:t>
      </w:r>
      <w:r w:rsidR="00DF3D62" w:rsidRPr="00DF3D62">
        <w:rPr>
          <w:b w:val="0"/>
        </w:rPr>
        <w:t xml:space="preserve">enrolled 2,460 patients with CAD who </w:t>
      </w:r>
      <w:r w:rsidR="002E6491">
        <w:rPr>
          <w:b w:val="0"/>
        </w:rPr>
        <w:t xml:space="preserve">had </w:t>
      </w:r>
      <w:r w:rsidR="00DF3D62" w:rsidRPr="00DF3D62">
        <w:rPr>
          <w:b w:val="0"/>
        </w:rPr>
        <w:t>receiv</w:t>
      </w:r>
      <w:r w:rsidR="002E6491">
        <w:rPr>
          <w:b w:val="0"/>
        </w:rPr>
        <w:t>ed</w:t>
      </w:r>
      <w:r w:rsidR="00DF3D62" w:rsidRPr="00DF3D62">
        <w:rPr>
          <w:b w:val="0"/>
        </w:rPr>
        <w:t xml:space="preserve"> standard statin therapy for &gt; 1 month</w:t>
      </w:r>
      <w:r>
        <w:rPr>
          <w:b w:val="0"/>
        </w:rPr>
        <w:t xml:space="preserve"> and who had a </w:t>
      </w:r>
      <w:r w:rsidR="00DF3D62" w:rsidRPr="00DF3D62">
        <w:rPr>
          <w:rFonts w:hint="eastAsia"/>
          <w:b w:val="0"/>
        </w:rPr>
        <w:t xml:space="preserve">low </w:t>
      </w:r>
      <w:r>
        <w:rPr>
          <w:b w:val="0"/>
        </w:rPr>
        <w:t xml:space="preserve">plasma ratio of </w:t>
      </w:r>
      <w:r w:rsidR="00DF3D62" w:rsidRPr="00DF3D62">
        <w:rPr>
          <w:rFonts w:hint="eastAsia"/>
          <w:b w:val="0"/>
        </w:rPr>
        <w:t>EPA</w:t>
      </w:r>
      <w:r>
        <w:rPr>
          <w:b w:val="0"/>
        </w:rPr>
        <w:t xml:space="preserve"> to </w:t>
      </w:r>
      <w:r w:rsidR="00DF3D62" w:rsidRPr="00DF3D62">
        <w:rPr>
          <w:rFonts w:hint="eastAsia"/>
          <w:b w:val="0"/>
        </w:rPr>
        <w:t>AA ratio (≤ 0.4)</w:t>
      </w:r>
      <w:r>
        <w:rPr>
          <w:b w:val="0"/>
        </w:rPr>
        <w:t>. Patients were randomized</w:t>
      </w:r>
      <w:r w:rsidR="00DF3D62" w:rsidRPr="00DF3D62">
        <w:rPr>
          <w:rFonts w:hint="eastAsia"/>
          <w:b w:val="0"/>
        </w:rPr>
        <w:t xml:space="preserve"> to </w:t>
      </w:r>
      <w:r>
        <w:rPr>
          <w:b w:val="0"/>
        </w:rPr>
        <w:t xml:space="preserve">1.8 g/day </w:t>
      </w:r>
      <w:r w:rsidR="00DF3D62" w:rsidRPr="00DF3D62">
        <w:rPr>
          <w:rFonts w:hint="eastAsia"/>
          <w:b w:val="0"/>
        </w:rPr>
        <w:t>highly purified EPA (</w:t>
      </w:r>
      <w:r>
        <w:rPr>
          <w:b w:val="0"/>
        </w:rPr>
        <w:t>as ethyl ester</w:t>
      </w:r>
      <w:r w:rsidR="00DF3D62" w:rsidRPr="00DF3D62">
        <w:rPr>
          <w:rFonts w:hint="eastAsia"/>
          <w:b w:val="0"/>
        </w:rPr>
        <w:t xml:space="preserve">) or control. The primary endpoint </w:t>
      </w:r>
      <w:r w:rsidR="002E6491">
        <w:rPr>
          <w:b w:val="0"/>
        </w:rPr>
        <w:t xml:space="preserve">of RESPECT-EPA is </w:t>
      </w:r>
      <w:r w:rsidR="00FD58DB">
        <w:rPr>
          <w:b w:val="0"/>
        </w:rPr>
        <w:t xml:space="preserve">the composite of </w:t>
      </w:r>
      <w:r w:rsidR="00DF3D62" w:rsidRPr="00DF3D62">
        <w:rPr>
          <w:rFonts w:hint="eastAsia"/>
          <w:b w:val="0"/>
        </w:rPr>
        <w:t xml:space="preserve">cardiovascular death, non-fatal </w:t>
      </w:r>
      <w:r w:rsidR="00FD58DB">
        <w:rPr>
          <w:b w:val="0"/>
        </w:rPr>
        <w:t>myocardial infarction</w:t>
      </w:r>
      <w:r w:rsidR="00DF3D62" w:rsidRPr="00DF3D62">
        <w:rPr>
          <w:rFonts w:hint="eastAsia"/>
          <w:b w:val="0"/>
        </w:rPr>
        <w:t>, non-fatal ische</w:t>
      </w:r>
      <w:r w:rsidR="00DF3D62" w:rsidRPr="00DF3D62">
        <w:rPr>
          <w:b w:val="0"/>
        </w:rPr>
        <w:t xml:space="preserve">mic stroke, unstable angina pectoris, </w:t>
      </w:r>
      <w:r w:rsidR="00FD58DB">
        <w:rPr>
          <w:b w:val="0"/>
        </w:rPr>
        <w:t>or</w:t>
      </w:r>
      <w:r w:rsidR="00DF3D62" w:rsidRPr="00DF3D62">
        <w:rPr>
          <w:b w:val="0"/>
        </w:rPr>
        <w:t xml:space="preserve"> clinically indicated coronary revascularization [</w:t>
      </w:r>
      <w:r w:rsidR="006C64D0">
        <w:rPr>
          <w:b w:val="0"/>
        </w:rPr>
        <w:t>110</w:t>
      </w:r>
      <w:r w:rsidR="00DF3D62" w:rsidRPr="00DF3D62">
        <w:rPr>
          <w:b w:val="0"/>
        </w:rPr>
        <w:t xml:space="preserve">]. </w:t>
      </w:r>
      <w:r w:rsidR="00FD58DB">
        <w:rPr>
          <w:b w:val="0"/>
        </w:rPr>
        <w:t xml:space="preserve">The selection of patients based on plasma EPA to AA ratio is a novelty for this type of trial, the rationale being that </w:t>
      </w:r>
      <w:r w:rsidR="00DF3D62" w:rsidRPr="00DF3D62">
        <w:rPr>
          <w:b w:val="0"/>
        </w:rPr>
        <w:t xml:space="preserve">epidemiological studies </w:t>
      </w:r>
      <w:r w:rsidR="00FD58DB">
        <w:rPr>
          <w:b w:val="0"/>
        </w:rPr>
        <w:t>report an inverse association between plasma ratio of EPA to AA and</w:t>
      </w:r>
      <w:r w:rsidR="00DF3D62" w:rsidRPr="00DF3D62">
        <w:rPr>
          <w:b w:val="0"/>
        </w:rPr>
        <w:t xml:space="preserve"> cardiovascular events and other atherosclerotic </w:t>
      </w:r>
      <w:r w:rsidR="00FD58DB">
        <w:rPr>
          <w:b w:val="0"/>
        </w:rPr>
        <w:t>outcomes</w:t>
      </w:r>
      <w:r w:rsidR="00FD58DB" w:rsidRPr="00DF3D62">
        <w:rPr>
          <w:b w:val="0"/>
        </w:rPr>
        <w:t xml:space="preserve"> </w:t>
      </w:r>
      <w:r w:rsidR="00DF3D62" w:rsidRPr="00DF3D62">
        <w:rPr>
          <w:b w:val="0"/>
        </w:rPr>
        <w:t>[</w:t>
      </w:r>
      <w:r w:rsidR="006C64D0">
        <w:rPr>
          <w:b w:val="0"/>
        </w:rPr>
        <w:t>111,112</w:t>
      </w:r>
      <w:r w:rsidR="00DF3D62" w:rsidRPr="00DF3D62">
        <w:rPr>
          <w:b w:val="0"/>
        </w:rPr>
        <w:t xml:space="preserve">]. RESPECT-EPA </w:t>
      </w:r>
      <w:r w:rsidR="00FD58DB">
        <w:rPr>
          <w:b w:val="0"/>
        </w:rPr>
        <w:t>has yet to report</w:t>
      </w:r>
      <w:r w:rsidR="00DF3D62" w:rsidRPr="00DF3D62">
        <w:rPr>
          <w:b w:val="0"/>
        </w:rPr>
        <w:t>.</w:t>
      </w:r>
    </w:p>
    <w:p w14:paraId="4994E22E" w14:textId="00317C7E" w:rsidR="00D47EA5" w:rsidRDefault="00F55D29" w:rsidP="002A586D">
      <w:pPr>
        <w:pStyle w:val="MDPI21heading1"/>
        <w:jc w:val="both"/>
      </w:pPr>
      <w:r>
        <w:t>8</w:t>
      </w:r>
      <w:r w:rsidR="00D47EA5">
        <w:t xml:space="preserve">. </w:t>
      </w:r>
      <w:r w:rsidR="00A129C6">
        <w:t>Meta-</w:t>
      </w:r>
      <w:r w:rsidR="00C87B5A">
        <w:t>A</w:t>
      </w:r>
      <w:r w:rsidR="00A129C6">
        <w:t>nalys</w:t>
      </w:r>
      <w:r w:rsidR="00523C4C">
        <w:t>e</w:t>
      </w:r>
      <w:r w:rsidR="00A129C6">
        <w:t>s of Clinical T</w:t>
      </w:r>
      <w:r w:rsidR="00A129C6" w:rsidRPr="00A129C6">
        <w:t>rials</w:t>
      </w:r>
      <w:r w:rsidR="00C87B5A">
        <w:t xml:space="preserve"> of Statins and N-3 PUFAs and Blood Lipids </w:t>
      </w:r>
      <w:r w:rsidR="003B0F8F">
        <w:t>a</w:t>
      </w:r>
      <w:r w:rsidR="00C87B5A">
        <w:t>nd Cardiovascular Diseases</w:t>
      </w:r>
    </w:p>
    <w:p w14:paraId="4E10374D" w14:textId="3562D3D8" w:rsidR="003B0F8F" w:rsidRDefault="003B0F8F" w:rsidP="00A129C6">
      <w:pPr>
        <w:pStyle w:val="MDPI31text"/>
      </w:pPr>
      <w:r>
        <w:t>AbuMweiss et al. published a comprehensive meta-analysis of RCTs of n-3 PUFAs (EPA+DHA) on cardiovascular risk factors, including blood lipids [19]. Using data from 110 RCTs, EPA+DHA w</w:t>
      </w:r>
      <w:r w:rsidR="00196E0B">
        <w:t>ere</w:t>
      </w:r>
      <w:r>
        <w:t xml:space="preserve"> shown to </w:t>
      </w:r>
      <w:r w:rsidR="00196E0B">
        <w:t xml:space="preserve">markedly </w:t>
      </w:r>
      <w:r>
        <w:t>lower blood TG concentrations</w:t>
      </w:r>
      <w:r w:rsidR="00196E0B">
        <w:t xml:space="preserve"> (effect size: -0.368; 95% CI: -0.427, -0.309; p = 0.0001) and to raise blood HDL-C concentrations (effect size: 0.039; 95% CI: 0.024, 0.054; p = 0.0001). LDL-C concentrations were also elevated (effect size: 0.150; 95% CI: 0.058, 0.243; p = 0.001), likely due to the aforementioned increase in size of LDL particles, making them less atherogenic. This meta-analysis also reported significant benefits of EPA+DHA on other risk factors for CVDs including systolic and diastolic blood pressure, heart rate, and the inflammatory biomarker CRP [19]. A meta-analysis of 16 RCTs of n-3 PUFAs (12 of EPA+DHA, two of DHA, one of EPA and one on </w:t>
      </w:r>
      <w:r w:rsidR="00196E0B" w:rsidRPr="00196E0B">
        <w:rPr>
          <w:rFonts w:ascii="Symbol" w:hAnsi="Symbol"/>
        </w:rPr>
        <w:t>a</w:t>
      </w:r>
      <w:r w:rsidR="00196E0B">
        <w:t xml:space="preserve">-linolenic acid) reported a significant improvement in vascular function assessed by flow-mediated dilatation </w:t>
      </w:r>
      <w:r w:rsidR="006C64D0">
        <w:t>[113</w:t>
      </w:r>
      <w:r w:rsidR="00196E0B">
        <w:t>]. Multiple meta-analyses of RCTs of EPA+DHA report reductions in blood concentrations of CRP, IL-6 and tumor necrosis factor [</w:t>
      </w:r>
      <w:r w:rsidR="006C64D0">
        <w:t>114-118</w:t>
      </w:r>
      <w:r w:rsidR="00196E0B">
        <w:t>]. These findings emphasi</w:t>
      </w:r>
      <w:r w:rsidR="00213D37">
        <w:t>z</w:t>
      </w:r>
      <w:r w:rsidR="00196E0B">
        <w:t>e the broad ranging beneficial actions of n-3 P</w:t>
      </w:r>
      <w:r w:rsidR="00213D37">
        <w:t>U</w:t>
      </w:r>
      <w:r w:rsidR="00196E0B">
        <w:t>FAs, especially EPA and DH</w:t>
      </w:r>
      <w:r w:rsidR="00213D37">
        <w:t>A</w:t>
      </w:r>
      <w:r w:rsidR="00196E0B">
        <w:t>, on risk fac</w:t>
      </w:r>
      <w:r w:rsidR="00213D37">
        <w:t>t</w:t>
      </w:r>
      <w:r w:rsidR="00196E0B">
        <w:t>o</w:t>
      </w:r>
      <w:r w:rsidR="00213D37">
        <w:t>r</w:t>
      </w:r>
      <w:r w:rsidR="00196E0B">
        <w:t>s for CVD.</w:t>
      </w:r>
      <w:r w:rsidR="00213D37">
        <w:t xml:space="preserve"> There are also a number of meta-analyses of trials of n-3 PUFAs conducted in at-risk patients and reporting on clinical outcomes; meta-analyses published up to 2018, which are mostly favorable, are collated and summarized elsewhere [</w:t>
      </w:r>
      <w:r w:rsidR="006C64D0">
        <w:t>3</w:t>
      </w:r>
      <w:r w:rsidR="00213D37">
        <w:t>5]. In 2019, Hu et al. published a meta-analysis of 12 or 13 RCTs (depending upon the outcome) of EPA+DHA (or EPA alone) on clinical outcomes [</w:t>
      </w:r>
      <w:r w:rsidR="006C64D0">
        <w:t>118</w:t>
      </w:r>
      <w:r w:rsidR="00213D37">
        <w:t xml:space="preserve">]. </w:t>
      </w:r>
      <w:bookmarkStart w:id="0" w:name="_Hlk160745371"/>
      <w:r w:rsidR="00213D37">
        <w:t xml:space="preserve">They identified that n-3 PUFAs decreased risk of CVDs (rate ratio (RR): </w:t>
      </w:r>
      <w:r w:rsidR="001142FD">
        <w:t>0.95; 95% CI: 0.82, 0.98; p &lt; 0.001</w:t>
      </w:r>
      <w:r w:rsidR="00213D37">
        <w:t>), CVD death (</w:t>
      </w:r>
      <w:r w:rsidR="001142FD">
        <w:t>RR: 0.92; 95% CI: 0.88, 0.97; p &lt; 0.001)</w:t>
      </w:r>
      <w:r w:rsidR="00213D37">
        <w:t>, CHD (</w:t>
      </w:r>
      <w:r w:rsidR="001142FD">
        <w:t>RR: 0.93; 95% CI: 0.89, 0.96; p &lt; 0.001</w:t>
      </w:r>
      <w:r w:rsidR="00213D37">
        <w:t>), CHD death (</w:t>
      </w:r>
      <w:r w:rsidR="001142FD">
        <w:t>RR: 0.92; 95% CI: 0.86, 0.98; p = 0.014</w:t>
      </w:r>
      <w:r w:rsidR="00213D37">
        <w:t>), myocardial infarction (</w:t>
      </w:r>
      <w:r w:rsidR="001142FD">
        <w:t>RR: 0.88; 95% CI: 0.83, 0.94; p &lt; 0.001</w:t>
      </w:r>
      <w:r w:rsidR="00213D37">
        <w:t>) and major vascular events (</w:t>
      </w:r>
      <w:r w:rsidR="001142FD">
        <w:t>RR: 0.95; 95% CI: 0.93, 0.98; p &lt; 0.001</w:t>
      </w:r>
      <w:r w:rsidR="00213D37">
        <w:t xml:space="preserve">). </w:t>
      </w:r>
      <w:bookmarkEnd w:id="0"/>
      <w:r w:rsidR="00141224">
        <w:t>The meta-analysis of Bernasconi et al. [</w:t>
      </w:r>
      <w:r w:rsidR="006C64D0">
        <w:t>119</w:t>
      </w:r>
      <w:r w:rsidR="00141224">
        <w:t xml:space="preserve">] published in 2021 included a larger number </w:t>
      </w:r>
      <w:r w:rsidR="00141224">
        <w:lastRenderedPageBreak/>
        <w:t>of RCTs (14 to 39, deeding upon the outcome).</w:t>
      </w:r>
      <w:r w:rsidR="00213D37">
        <w:t xml:space="preserve"> </w:t>
      </w:r>
      <w:r w:rsidR="00141224">
        <w:t>This meta-analysis identified that n-3 PUFAs decreased risk of CVD events (relative risk (RelR): 0.95; 95% CI: 0.90, 1.00), CHD events (RelR: 0.90; 95% CI: 0.84, 0.97), CHD death (RelR: 0.91; 95% CI: 0.85, 0.98), myocardial infarction (RelR: 0.87; 95% CI: 0.80, 0.96) and fatal myocardial infarction (RelR: 0.65; 95% CI: 0.46, 0.91).</w:t>
      </w:r>
      <w:r w:rsidR="00A70338">
        <w:t xml:space="preserve"> Both Hu et al. [</w:t>
      </w:r>
      <w:r w:rsidR="006C64D0">
        <w:t>118</w:t>
      </w:r>
      <w:r w:rsidR="00A70338">
        <w:t>] and Bernasconi et al. [</w:t>
      </w:r>
      <w:r w:rsidR="006C64D0">
        <w:t>119</w:t>
      </w:r>
      <w:r w:rsidR="00A70338">
        <w:t xml:space="preserve">] included REDUCE-IT but not STRENGTH. </w:t>
      </w:r>
      <w:r w:rsidR="00141224">
        <w:t xml:space="preserve"> </w:t>
      </w:r>
      <w:r w:rsidR="00196E0B">
        <w:t xml:space="preserve">       </w:t>
      </w:r>
      <w:r>
        <w:t xml:space="preserve">  </w:t>
      </w:r>
    </w:p>
    <w:p w14:paraId="6FB5EA28" w14:textId="7E292BE3" w:rsidR="00A129C6" w:rsidRDefault="001729D5" w:rsidP="00A129C6">
      <w:pPr>
        <w:pStyle w:val="MDPI31text"/>
      </w:pPr>
      <w:r>
        <w:t xml:space="preserve">A small number of meta-analyses have attempted to decipher whether the combination of statins and n-3 PUFAs has a different effect on blood lipids compared to either therapy alone. </w:t>
      </w:r>
      <w:r w:rsidR="00523C4C">
        <w:t>A 2018</w:t>
      </w:r>
      <w:r w:rsidR="00A129C6">
        <w:t xml:space="preserve"> meta-analysis of 6 RCTs </w:t>
      </w:r>
      <w:r>
        <w:t>evaluated</w:t>
      </w:r>
      <w:r w:rsidR="00A129C6">
        <w:t xml:space="preserve"> the effects of statin monotherapy versus combination therapy </w:t>
      </w:r>
      <w:r w:rsidR="00523C4C">
        <w:t xml:space="preserve">of </w:t>
      </w:r>
      <w:r w:rsidR="00A129C6">
        <w:t>statins and n-3 PUFAs</w:t>
      </w:r>
      <w:r w:rsidR="00523C4C">
        <w:t xml:space="preserve"> on blood lipids</w:t>
      </w:r>
      <w:r w:rsidR="002E6491">
        <w:t xml:space="preserve"> [</w:t>
      </w:r>
      <w:r w:rsidR="006C64D0">
        <w:t>120</w:t>
      </w:r>
      <w:r w:rsidR="002E6491">
        <w:t>]</w:t>
      </w:r>
      <w:r w:rsidR="00A129C6">
        <w:t xml:space="preserve">. The dosage of n-3 PUFAs used in the included trials was 2 or 4 g/day along with moderate-intensity statin therapy, and the duration </w:t>
      </w:r>
      <w:r w:rsidR="00523C4C">
        <w:t xml:space="preserve">of included trials </w:t>
      </w:r>
      <w:r w:rsidR="00A129C6">
        <w:t xml:space="preserve">was 6 to 16 weeks. </w:t>
      </w:r>
      <w:r w:rsidR="00523C4C">
        <w:t>There was no significant difference in LDL-C between the two groups, suggesting that n-3 PUFAs do not interfere with the LDL-</w:t>
      </w:r>
      <w:r>
        <w:t>C</w:t>
      </w:r>
      <w:r w:rsidR="00523C4C">
        <w:t xml:space="preserve"> lowering effect of statins</w:t>
      </w:r>
      <w:r>
        <w:t>, and that statins mitigate the LDL-C raising effects of n-3 PUFAs</w:t>
      </w:r>
      <w:r w:rsidR="00523C4C">
        <w:t>. However</w:t>
      </w:r>
      <w:r w:rsidR="00A129C6">
        <w:t xml:space="preserve">, the combination </w:t>
      </w:r>
      <w:r w:rsidR="00523C4C">
        <w:t xml:space="preserve">therapy caused a greater decrease in the ratio of </w:t>
      </w:r>
      <w:r w:rsidR="00A129C6">
        <w:t>total cholesterol</w:t>
      </w:r>
      <w:r w:rsidR="00523C4C">
        <w:t xml:space="preserve"> to </w:t>
      </w:r>
      <w:r w:rsidR="00A129C6">
        <w:t>HDL-C than statin monotherapy (</w:t>
      </w:r>
      <w:r w:rsidR="00523C4C">
        <w:t>standard mean difference (</w:t>
      </w:r>
      <w:r w:rsidR="00A129C6">
        <w:t>SMD</w:t>
      </w:r>
      <w:r w:rsidR="00523C4C">
        <w:t>)</w:t>
      </w:r>
      <w:r w:rsidR="00911D2B">
        <w:t>:</w:t>
      </w:r>
      <w:r w:rsidR="005529D9">
        <w:t xml:space="preserve"> </w:t>
      </w:r>
      <w:r w:rsidR="00A129C6">
        <w:t> −0.215; 95% CI:</w:t>
      </w:r>
      <w:r w:rsidR="005529D9">
        <w:t xml:space="preserve"> </w:t>
      </w:r>
      <w:r w:rsidR="00A129C6">
        <w:t>−0.359,</w:t>
      </w:r>
      <w:r w:rsidR="005529D9">
        <w:t xml:space="preserve"> </w:t>
      </w:r>
      <w:r w:rsidR="00A129C6">
        <w:t xml:space="preserve">−0.071). </w:t>
      </w:r>
      <w:r w:rsidR="00911D2B">
        <w:t>Thus</w:t>
      </w:r>
      <w:r w:rsidR="00D16339">
        <w:t>,</w:t>
      </w:r>
      <w:r w:rsidR="00911D2B">
        <w:t xml:space="preserve"> </w:t>
      </w:r>
      <w:r>
        <w:t xml:space="preserve">this meta-analysis suggests that </w:t>
      </w:r>
      <w:r w:rsidR="00911D2B">
        <w:t xml:space="preserve">there is an advantage in the combination of satins plus n-3 PUFAs compared to statins alone </w:t>
      </w:r>
      <w:r w:rsidR="00A129C6">
        <w:t>[</w:t>
      </w:r>
      <w:r w:rsidR="006C64D0">
        <w:t>120</w:t>
      </w:r>
      <w:r w:rsidR="00A129C6">
        <w:t xml:space="preserve">]. </w:t>
      </w:r>
    </w:p>
    <w:p w14:paraId="30E4EC81" w14:textId="6A37E996" w:rsidR="00A129C6" w:rsidRDefault="00A129C6" w:rsidP="004054D4">
      <w:pPr>
        <w:pStyle w:val="MDPI31text"/>
      </w:pPr>
      <w:r>
        <w:t xml:space="preserve">A </w:t>
      </w:r>
      <w:r w:rsidR="00911D2B">
        <w:t xml:space="preserve">more </w:t>
      </w:r>
      <w:r>
        <w:t xml:space="preserve">recent meta-analysis </w:t>
      </w:r>
      <w:r w:rsidR="00911D2B">
        <w:t xml:space="preserve">of 32 RCTs involving 15,903 participants </w:t>
      </w:r>
      <w:r>
        <w:t>evaluated the effect of n-3 fatty acids or their combination with statins on the lipid profile in patients with hypertriglyceridemia [</w:t>
      </w:r>
      <w:r w:rsidR="006C64D0">
        <w:t>121</w:t>
      </w:r>
      <w:r>
        <w:t xml:space="preserve">]. The mean baseline TG level ranged from 154.2 to 699 mg/dl. </w:t>
      </w:r>
      <w:r w:rsidR="00911D2B">
        <w:t>S</w:t>
      </w:r>
      <w:r>
        <w:t>tudy duration varied from 4 to 48 weeks</w:t>
      </w:r>
      <w:r w:rsidR="00911D2B">
        <w:t xml:space="preserve"> and d</w:t>
      </w:r>
      <w:r>
        <w:t xml:space="preserve">osage of EPA+DHA ranged from 1.24 to 4 g/day. The </w:t>
      </w:r>
      <w:r w:rsidR="00911D2B">
        <w:t xml:space="preserve">individual </w:t>
      </w:r>
      <w:r>
        <w:t>dosage of EPA and DHA was 0.6–4 g/day and 3–4 g/day, respectively.</w:t>
      </w:r>
      <w:r w:rsidR="00911D2B">
        <w:t xml:space="preserve"> N</w:t>
      </w:r>
      <w:r>
        <w:t>-3 fatty acids as monotherapy decreased TGs (</w:t>
      </w:r>
      <w:r w:rsidR="00911D2B">
        <w:t>mean difference (</w:t>
      </w:r>
      <w:r>
        <w:t>MD</w:t>
      </w:r>
      <w:r w:rsidR="00911D2B">
        <w:t>)</w:t>
      </w:r>
      <w:r>
        <w:t>: −39.81; 95% CI: −54.94, −24.69; p &lt; 0.001), total cholesterol (MD: −2.98; 95% CI: −5.72, −0.25; p = 0.03), VLDL-C (MD: −25.12; 95% CI: −37.09, −13.14; p &lt; 0.001), and non-HDL-C (MD: −5.42; 95% CI: −8.06,</w:t>
      </w:r>
      <w:r w:rsidR="005529D9">
        <w:t xml:space="preserve"> </w:t>
      </w:r>
      <w:r>
        <w:t xml:space="preserve">−2.78; p &lt; 0.001), and increased LDL-C (MD: 9.10; 95% CI: 4.27, 13.94; p &lt; 0.001) and HDL-C (MD: 1.60; 95% CI: 0.06, 3.15; p = 0.04). </w:t>
      </w:r>
      <w:r w:rsidR="0073411A">
        <w:t>The cholesterol lowering effect only occurred for combina</w:t>
      </w:r>
      <w:r w:rsidR="004054D4">
        <w:t>ti</w:t>
      </w:r>
      <w:r w:rsidR="0073411A">
        <w:t>ons of E</w:t>
      </w:r>
      <w:r w:rsidR="004054D4">
        <w:t>P</w:t>
      </w:r>
      <w:r w:rsidR="0073411A">
        <w:t>A and DHA and at d</w:t>
      </w:r>
      <w:r w:rsidR="004054D4">
        <w:t>o</w:t>
      </w:r>
      <w:r w:rsidR="0073411A">
        <w:t xml:space="preserve">ses </w:t>
      </w:r>
      <w:r w:rsidR="004054D4" w:rsidRPr="004054D4">
        <w:rPr>
          <w:u w:val="single"/>
        </w:rPr>
        <w:t>&gt;</w:t>
      </w:r>
      <w:r w:rsidR="004054D4">
        <w:t xml:space="preserve"> </w:t>
      </w:r>
      <w:r w:rsidR="0073411A">
        <w:t xml:space="preserve">4 g/day; DHA alone increased total cholesterol. </w:t>
      </w:r>
      <w:r w:rsidR="00676AA5">
        <w:t>There was n</w:t>
      </w:r>
      <w:r>
        <w:t xml:space="preserve">o significant effect </w:t>
      </w:r>
      <w:r w:rsidR="00676AA5">
        <w:t xml:space="preserve">of n-3 PUFAs on </w:t>
      </w:r>
      <w:r>
        <w:t>apolipoprotein B (Apo-B) and apolipoprotein AI (Apo-AI)</w:t>
      </w:r>
      <w:r w:rsidR="00676AA5">
        <w:t xml:space="preserve"> concentrations</w:t>
      </w:r>
      <w:r>
        <w:t xml:space="preserve">. </w:t>
      </w:r>
      <w:r w:rsidR="00676AA5">
        <w:t xml:space="preserve">The combination of </w:t>
      </w:r>
      <w:r>
        <w:t xml:space="preserve">n-3 fatty acids </w:t>
      </w:r>
      <w:r w:rsidR="00676AA5">
        <w:t xml:space="preserve">and </w:t>
      </w:r>
      <w:r>
        <w:t>statins significant</w:t>
      </w:r>
      <w:r w:rsidR="00676AA5">
        <w:t>ly decreased</w:t>
      </w:r>
      <w:r>
        <w:t xml:space="preserve"> TGs (MD: −29.63; 95% CI: −36.24, −23.02; p &lt; 0.001), total cholesterol (MD: −6.87; 95% CI: −9.30, −4.45; p &lt; 0.001), VLDL-C (MD: −20.13; 95% CI: −24.76, −15.50; p &lt; 0.001), non-HDL-C (MD: −8.71; 95% CI: −11.45, −5.98; p &lt; 0.001), Apo-B (MD: −3.50; 95% CI: −5.37, −1.64; p &lt; 0.001), and Apo-AI (MD: −2.01, 95% CI: −3.07, −0.95; p &lt; 0.001). </w:t>
      </w:r>
      <w:r w:rsidR="004054D4">
        <w:t xml:space="preserve">The combination of n-3 PUFAs and statins caused a greater decrease in total cholesterol than n-3 PUFAs alone. </w:t>
      </w:r>
      <w:r>
        <w:t xml:space="preserve">However, the combined therapy did not significantly change the levels of HDL-C and LDL-C compared to the </w:t>
      </w:r>
      <w:r w:rsidR="0073411A">
        <w:t>control</w:t>
      </w:r>
      <w:r w:rsidR="00676AA5">
        <w:t xml:space="preserve"> group</w:t>
      </w:r>
      <w:r w:rsidR="004054D4">
        <w:t>, a lack of effect that is difficult to explain, and which contrasts with the findings of Choi et al. [</w:t>
      </w:r>
      <w:r w:rsidR="006C64D0">
        <w:t>120</w:t>
      </w:r>
      <w:r w:rsidR="004054D4">
        <w:t>]</w:t>
      </w:r>
      <w:r>
        <w:t xml:space="preserve">. </w:t>
      </w:r>
    </w:p>
    <w:p w14:paraId="5951E0F6" w14:textId="3D3A568C" w:rsidR="00A129C6" w:rsidRDefault="00A129C6" w:rsidP="00A129C6">
      <w:pPr>
        <w:pStyle w:val="MDPI31text"/>
      </w:pPr>
      <w:r>
        <w:t xml:space="preserve">A meta-analysis and network meta-analysis </w:t>
      </w:r>
      <w:r w:rsidR="00C12166">
        <w:t xml:space="preserve">published in 2020 </w:t>
      </w:r>
      <w:r>
        <w:t>reported the comparative efficacy of a statin</w:t>
      </w:r>
      <w:r w:rsidR="00C12166">
        <w:t xml:space="preserve"> vs</w:t>
      </w:r>
      <w:r>
        <w:t xml:space="preserve"> a statin, a statin</w:t>
      </w:r>
      <w:r w:rsidR="00C12166">
        <w:t xml:space="preserve"> vs</w:t>
      </w:r>
      <w:r>
        <w:t xml:space="preserve"> an n-3 PUFA, </w:t>
      </w:r>
      <w:r w:rsidR="004054D4">
        <w:t xml:space="preserve">or </w:t>
      </w:r>
      <w:r>
        <w:t>a statin or n-3 PUFA</w:t>
      </w:r>
      <w:r w:rsidR="00C12166">
        <w:t xml:space="preserve"> vs</w:t>
      </w:r>
      <w:r>
        <w:t xml:space="preserve"> control for the prevention of total CVD, CHD, </w:t>
      </w:r>
      <w:r w:rsidR="00C12166">
        <w:t>myocardial infarction</w:t>
      </w:r>
      <w:r>
        <w:t>, and stroke [</w:t>
      </w:r>
      <w:r w:rsidR="006C64D0">
        <w:t>122</w:t>
      </w:r>
      <w:r>
        <w:t xml:space="preserve">]. </w:t>
      </w:r>
      <w:r w:rsidR="00C12166">
        <w:t>The analysis included</w:t>
      </w:r>
      <w:r>
        <w:t xml:space="preserve"> 63 RCTs</w:t>
      </w:r>
      <w:r w:rsidR="00C12166">
        <w:t xml:space="preserve"> involving 264,516 patients; of these</w:t>
      </w:r>
      <w:r w:rsidR="004054D4">
        <w:t>,</w:t>
      </w:r>
      <w:r w:rsidR="00C12166">
        <w:t xml:space="preserve"> </w:t>
      </w:r>
      <w:r>
        <w:t xml:space="preserve">45 RCTs </w:t>
      </w:r>
      <w:r w:rsidR="00C12166">
        <w:t xml:space="preserve">used </w:t>
      </w:r>
      <w:r>
        <w:t>statins and 18</w:t>
      </w:r>
      <w:r w:rsidR="00C12166">
        <w:t xml:space="preserve"> used</w:t>
      </w:r>
      <w:r>
        <w:t xml:space="preserve"> n-3 PUFA</w:t>
      </w:r>
      <w:r w:rsidR="00C87B5A">
        <w:t>s. M</w:t>
      </w:r>
      <w:r>
        <w:t>edian follow-up</w:t>
      </w:r>
      <w:r w:rsidR="00C87B5A">
        <w:t xml:space="preserve"> w</w:t>
      </w:r>
      <w:r>
        <w:t xml:space="preserve">as 3.7 years. </w:t>
      </w:r>
      <w:r w:rsidR="00C87B5A">
        <w:t>Overall lipid lowering therapy (i.e. statins or n-3 PUFAs)</w:t>
      </w:r>
      <w:r>
        <w:t xml:space="preserve"> </w:t>
      </w:r>
      <w:r w:rsidR="00C87B5A">
        <w:t>lowered</w:t>
      </w:r>
      <w:r>
        <w:t xml:space="preserve"> risks of total CVD (R</w:t>
      </w:r>
      <w:r w:rsidR="004054D4">
        <w:t>el</w:t>
      </w:r>
      <w:r>
        <w:t>R</w:t>
      </w:r>
      <w:r w:rsidR="00C87B5A">
        <w:t>):</w:t>
      </w:r>
      <w:r w:rsidR="005529D9">
        <w:t xml:space="preserve"> </w:t>
      </w:r>
      <w:r>
        <w:t>0.89; 95% CI: 0.85</w:t>
      </w:r>
      <w:r w:rsidR="005529D9">
        <w:t xml:space="preserve">, </w:t>
      </w:r>
      <w:r>
        <w:t>0.94), CHD (R</w:t>
      </w:r>
      <w:r w:rsidR="004054D4">
        <w:t>el</w:t>
      </w:r>
      <w:r>
        <w:t>R</w:t>
      </w:r>
      <w:r w:rsidR="00C87B5A">
        <w:t>:</w:t>
      </w:r>
      <w:r w:rsidR="005529D9">
        <w:t xml:space="preserve"> </w:t>
      </w:r>
      <w:r>
        <w:t>0.81; 95% CI: 0.75</w:t>
      </w:r>
      <w:r w:rsidR="005529D9">
        <w:t xml:space="preserve">, </w:t>
      </w:r>
      <w:r>
        <w:t xml:space="preserve">0.89), </w:t>
      </w:r>
      <w:r w:rsidR="00C87B5A">
        <w:t>myocardial infarction</w:t>
      </w:r>
      <w:r>
        <w:t xml:space="preserve"> (R</w:t>
      </w:r>
      <w:r w:rsidR="004054D4">
        <w:t>el</w:t>
      </w:r>
      <w:r>
        <w:t>R</w:t>
      </w:r>
      <w:r w:rsidR="00C87B5A">
        <w:t>:</w:t>
      </w:r>
      <w:r w:rsidR="005529D9">
        <w:t xml:space="preserve"> </w:t>
      </w:r>
      <w:r>
        <w:t>0.78; 95% CI: 0.78</w:t>
      </w:r>
      <w:r w:rsidR="005529D9">
        <w:t xml:space="preserve">, </w:t>
      </w:r>
      <w:r>
        <w:t>0.85) and stroke (R</w:t>
      </w:r>
      <w:r w:rsidR="004054D4">
        <w:t>el</w:t>
      </w:r>
      <w:r>
        <w:t>R</w:t>
      </w:r>
      <w:r w:rsidR="00C87B5A">
        <w:t>:</w:t>
      </w:r>
      <w:r w:rsidR="005529D9">
        <w:t xml:space="preserve"> </w:t>
      </w:r>
      <w:r>
        <w:t>0.91; 95% CI: 0.85</w:t>
      </w:r>
      <w:r w:rsidR="005529D9">
        <w:t xml:space="preserve">, </w:t>
      </w:r>
      <w:r>
        <w:t xml:space="preserve">0.98). </w:t>
      </w:r>
      <w:r w:rsidR="00C87B5A">
        <w:t>Statins lowered</w:t>
      </w:r>
      <w:r>
        <w:t xml:space="preserve"> risks of total CVD, CHD, </w:t>
      </w:r>
      <w:r w:rsidR="00C87B5A">
        <w:t>myocardial infarction</w:t>
      </w:r>
      <w:r>
        <w:t xml:space="preserve">, and stroke, with </w:t>
      </w:r>
      <w:r w:rsidR="00176518">
        <w:t xml:space="preserve">a </w:t>
      </w:r>
      <w:r>
        <w:t>R</w:t>
      </w:r>
      <w:r w:rsidR="00176518">
        <w:t>el</w:t>
      </w:r>
      <w:r>
        <w:t>R (95% CI) of 0.81 (0.76</w:t>
      </w:r>
      <w:r w:rsidR="005529D9">
        <w:t>, 0</w:t>
      </w:r>
      <w:r>
        <w:t>.86), 0.70 (0.62</w:t>
      </w:r>
      <w:r w:rsidR="005529D9">
        <w:t xml:space="preserve">, </w:t>
      </w:r>
      <w:r>
        <w:t>0.77), 0.69 (0.61</w:t>
      </w:r>
      <w:r w:rsidR="005529D9">
        <w:t xml:space="preserve">, </w:t>
      </w:r>
      <w:r>
        <w:t>0.78), and 0.85 (0.79</w:t>
      </w:r>
      <w:r w:rsidR="005529D9">
        <w:t xml:space="preserve">, </w:t>
      </w:r>
      <w:r>
        <w:t xml:space="preserve">0.82), respectively. </w:t>
      </w:r>
      <w:r w:rsidR="00C87B5A">
        <w:t>N</w:t>
      </w:r>
      <w:r>
        <w:t>-3 PUFA</w:t>
      </w:r>
      <w:r w:rsidR="00C87B5A">
        <w:t>s</w:t>
      </w:r>
      <w:r>
        <w:t xml:space="preserve"> </w:t>
      </w:r>
      <w:r w:rsidR="00C87B5A">
        <w:t xml:space="preserve">decreased risks of </w:t>
      </w:r>
      <w:r>
        <w:t>CHD (R</w:t>
      </w:r>
      <w:r w:rsidR="00176518">
        <w:t>el</w:t>
      </w:r>
      <w:r>
        <w:t>R</w:t>
      </w:r>
      <w:r w:rsidR="00C87B5A">
        <w:t>:</w:t>
      </w:r>
      <w:r w:rsidR="005529D9">
        <w:t xml:space="preserve"> </w:t>
      </w:r>
      <w:r>
        <w:t>0.81; 95% CI: 0.75</w:t>
      </w:r>
      <w:r w:rsidR="005529D9">
        <w:t xml:space="preserve">, </w:t>
      </w:r>
      <w:r>
        <w:t xml:space="preserve">0.89) and </w:t>
      </w:r>
      <w:r w:rsidR="00C87B5A">
        <w:t>myocardial infarction</w:t>
      </w:r>
      <w:r>
        <w:t xml:space="preserve"> (R</w:t>
      </w:r>
      <w:r w:rsidR="00176518">
        <w:t>el</w:t>
      </w:r>
      <w:r>
        <w:t>R</w:t>
      </w:r>
      <w:r w:rsidR="00C87B5A">
        <w:t>:</w:t>
      </w:r>
      <w:r w:rsidR="005529D9">
        <w:t xml:space="preserve"> </w:t>
      </w:r>
      <w:r>
        <w:t>0.89; 95% CI: 0.80</w:t>
      </w:r>
      <w:r w:rsidR="005529D9">
        <w:t xml:space="preserve">, </w:t>
      </w:r>
      <w:r>
        <w:t xml:space="preserve">0.99) in comparison with the control group. </w:t>
      </w:r>
      <w:r w:rsidR="00C87B5A">
        <w:t>S</w:t>
      </w:r>
      <w:r>
        <w:t xml:space="preserve">tatins </w:t>
      </w:r>
      <w:r w:rsidR="00C87B5A">
        <w:t xml:space="preserve">had </w:t>
      </w:r>
      <w:r>
        <w:t xml:space="preserve">a significant LDL-C lowering effect, which was not seen </w:t>
      </w:r>
      <w:r w:rsidR="00C87B5A">
        <w:t>with</w:t>
      </w:r>
      <w:r>
        <w:t xml:space="preserve"> n-3 PUFA</w:t>
      </w:r>
      <w:r w:rsidR="00C87B5A">
        <w:t>s</w:t>
      </w:r>
      <w:r>
        <w:t>. Th</w:t>
      </w:r>
      <w:r w:rsidR="00C87B5A">
        <w:t xml:space="preserve">is study suggests that statins, </w:t>
      </w:r>
      <w:r w:rsidR="00C64219">
        <w:t xml:space="preserve">especially </w:t>
      </w:r>
      <w:r>
        <w:t>atorvastatin and pravastatin, may be more beneficial than n-3 PUFA</w:t>
      </w:r>
      <w:r w:rsidR="00C64219">
        <w:t>s</w:t>
      </w:r>
      <w:r>
        <w:t xml:space="preserve"> in reducing risk of total CVD, CHD, and </w:t>
      </w:r>
      <w:r w:rsidR="00C64219">
        <w:t>myocardial infarction</w:t>
      </w:r>
      <w:r>
        <w:t xml:space="preserve">.   </w:t>
      </w:r>
    </w:p>
    <w:p w14:paraId="35301DE0" w14:textId="47F64890" w:rsidR="001546BA" w:rsidRDefault="00A129C6" w:rsidP="002A586D">
      <w:pPr>
        <w:pStyle w:val="MDPI31text"/>
      </w:pPr>
      <w:r>
        <w:lastRenderedPageBreak/>
        <w:t xml:space="preserve">Fan et al. pooled data </w:t>
      </w:r>
      <w:r w:rsidR="00D758BB">
        <w:t>f</w:t>
      </w:r>
      <w:r>
        <w:t>rom 8 RCTs</w:t>
      </w:r>
      <w:r w:rsidR="00D758BB">
        <w:t xml:space="preserve"> involving 803 patients</w:t>
      </w:r>
      <w:r>
        <w:t xml:space="preserve"> to compare the effect of </w:t>
      </w:r>
      <w:r w:rsidR="00D758BB">
        <w:t xml:space="preserve">statins alone </w:t>
      </w:r>
      <w:r w:rsidR="00176518">
        <w:t xml:space="preserve">and statins combined with </w:t>
      </w:r>
      <w:r>
        <w:t>n-3 PUFA</w:t>
      </w:r>
      <w:r w:rsidR="00D758BB">
        <w:t>s</w:t>
      </w:r>
      <w:r>
        <w:t xml:space="preserve"> on coronary artery plaques [</w:t>
      </w:r>
      <w:r w:rsidR="006C64D0">
        <w:t>123</w:t>
      </w:r>
      <w:r>
        <w:t xml:space="preserve">]. </w:t>
      </w:r>
      <w:r w:rsidR="00D758BB">
        <w:t>T</w:t>
      </w:r>
      <w:r>
        <w:t xml:space="preserve">he combined treatment significantly </w:t>
      </w:r>
      <w:r w:rsidR="005529D9">
        <w:t>decreased</w:t>
      </w:r>
      <w:r>
        <w:t xml:space="preserve"> the progression of coronary plaque volume (SMD:</w:t>
      </w:r>
      <w:r w:rsidR="005529D9">
        <w:t xml:space="preserve"> </w:t>
      </w:r>
      <w:r>
        <w:t>-0.36; 95% CI: -0.64</w:t>
      </w:r>
      <w:r w:rsidR="005529D9">
        <w:t>,</w:t>
      </w:r>
      <w:r>
        <w:t xml:space="preserve"> -0.08; p = 0.01) and fiber content (SMD</w:t>
      </w:r>
      <w:r w:rsidR="00D758BB">
        <w:t>:</w:t>
      </w:r>
      <w:r w:rsidR="005529D9">
        <w:t xml:space="preserve"> </w:t>
      </w:r>
      <w:r>
        <w:t>-0.40; 95% CI: -0.68</w:t>
      </w:r>
      <w:r w:rsidR="005529D9">
        <w:t xml:space="preserve">, </w:t>
      </w:r>
      <w:r>
        <w:t xml:space="preserve">-0.13; p = 0.004) compared with statin therapy alone. The subgroup analysis demonstrated that EPA therapy had a greater effect than the combination of EPA and DHA, but the difference was not statistically significant. Furthermore, the combined treatment </w:t>
      </w:r>
      <w:r w:rsidR="005529D9">
        <w:t>decreased</w:t>
      </w:r>
      <w:r>
        <w:t xml:space="preserve"> plasma CRP level compared to statin monotherapy. </w:t>
      </w:r>
      <w:r w:rsidR="005529D9">
        <w:t>T</w:t>
      </w:r>
      <w:r>
        <w:t>here were no significant differences in plasma HDL-C</w:t>
      </w:r>
      <w:r w:rsidR="00176518">
        <w:t xml:space="preserve"> or </w:t>
      </w:r>
      <w:r>
        <w:t>LDL-C, or lipid content in plaques between the two groups. These findings implicate that combined n-3 PUFA and statin treatment is superior to statin therapy alone in stabilizing and promoting coronary plaque regression and reducing risk of further occurrence of cardiovascular events.</w:t>
      </w:r>
    </w:p>
    <w:p w14:paraId="11F6F26B" w14:textId="4E4AA849" w:rsidR="002A586D" w:rsidRDefault="00F55D29" w:rsidP="002A586D">
      <w:pPr>
        <w:pStyle w:val="MDPI31text"/>
        <w:spacing w:before="240" w:after="60"/>
        <w:ind w:left="2041" w:firstLine="510"/>
        <w:rPr>
          <w:b/>
        </w:rPr>
      </w:pPr>
      <w:r>
        <w:rPr>
          <w:b/>
        </w:rPr>
        <w:t>9</w:t>
      </w:r>
      <w:r w:rsidR="001546BA" w:rsidRPr="001546BA">
        <w:rPr>
          <w:b/>
        </w:rPr>
        <w:t xml:space="preserve">. </w:t>
      </w:r>
      <w:r w:rsidR="001546BA">
        <w:rPr>
          <w:b/>
        </w:rPr>
        <w:t>Summary and C</w:t>
      </w:r>
      <w:r w:rsidR="001546BA" w:rsidRPr="001546BA">
        <w:rPr>
          <w:b/>
        </w:rPr>
        <w:t>onclusions</w:t>
      </w:r>
    </w:p>
    <w:p w14:paraId="49BEB6C2" w14:textId="2126DF8C" w:rsidR="002A586D" w:rsidRDefault="001546BA" w:rsidP="002A586D">
      <w:pPr>
        <w:pStyle w:val="MDPI31text"/>
        <w:ind w:left="2550" w:firstLine="510"/>
        <w:rPr>
          <w:b/>
        </w:rPr>
      </w:pPr>
      <w:r>
        <w:t>Management of ASCVD remains a challenge despite effective lipid-lowering treatments as specified in current guidelines, since a residual cardiovascular risk persists [</w:t>
      </w:r>
      <w:r w:rsidR="00FD79AB">
        <w:t>1</w:t>
      </w:r>
      <w:r w:rsidR="006C64D0">
        <w:t>24</w:t>
      </w:r>
      <w:r>
        <w:t>]. While statins and n-3 PUFAs offer synergistic effects on dyslipidemia, the pleiotropic effects of the two overlap, including modulation of inflammatory markers and immune cell function, stabilization of atherosclerotic plaques, and improvement of endothelial function [19]. Furthermore, statins induce the endogenous synthesis of SPMs</w:t>
      </w:r>
      <w:r w:rsidR="00740E0A">
        <w:t xml:space="preserve"> from AA and n-3 PUFAs</w:t>
      </w:r>
      <w:r>
        <w:t xml:space="preserve">, contributing to their </w:t>
      </w:r>
      <w:r w:rsidR="005E4D55">
        <w:t>inflammation resolving</w:t>
      </w:r>
      <w:r>
        <w:t xml:space="preserve"> properties. As n-3 PUFAs are </w:t>
      </w:r>
      <w:r w:rsidR="00740E0A">
        <w:t>major</w:t>
      </w:r>
      <w:r>
        <w:t xml:space="preserve"> substrates for SPM synthesis</w:t>
      </w:r>
      <w:r w:rsidR="00D16339">
        <w:t>,</w:t>
      </w:r>
      <w:r>
        <w:t xml:space="preserve"> this may represent an important synergistic interaction between statins and n-3 PUFAs. </w:t>
      </w:r>
    </w:p>
    <w:p w14:paraId="3475F9AF" w14:textId="2EE4BEB2" w:rsidR="001546BA" w:rsidRPr="002A586D" w:rsidRDefault="001546BA" w:rsidP="00AF6FA9">
      <w:pPr>
        <w:pStyle w:val="MDPI31text"/>
        <w:ind w:left="2550" w:firstLine="510"/>
        <w:rPr>
          <w:b/>
        </w:rPr>
      </w:pPr>
      <w:r>
        <w:t>As chronic low-grade inflammation is involved in all stages of atherosclerotic diseases, inflammation is now considered an important therapeutic target [</w:t>
      </w:r>
      <w:r w:rsidR="00FD79AB">
        <w:t>1</w:t>
      </w:r>
      <w:r w:rsidR="006C64D0">
        <w:t>25</w:t>
      </w:r>
      <w:r>
        <w:t xml:space="preserve">]. Clinical evidence demonstrates that low plasma and tissue levels of SPMs are </w:t>
      </w:r>
      <w:r w:rsidR="005E4D55">
        <w:t xml:space="preserve">linked </w:t>
      </w:r>
      <w:r>
        <w:t>with the progression of ASCVD [</w:t>
      </w:r>
      <w:r w:rsidR="006C64D0">
        <w:t>8</w:t>
      </w:r>
      <w:r w:rsidR="00D16339">
        <w:t>5</w:t>
      </w:r>
      <w:r>
        <w:t>]. N-3 PUFAs, as SPM substrates promote their production [</w:t>
      </w:r>
      <w:r w:rsidR="00F53FCC">
        <w:t>23</w:t>
      </w:r>
      <w:r>
        <w:t>], reduce inflammation [</w:t>
      </w:r>
      <w:r w:rsidR="00F53FCC">
        <w:t>21,22</w:t>
      </w:r>
      <w:r>
        <w:t>], limit the progression of atherosclerotic plaques in animal models [</w:t>
      </w:r>
      <w:r w:rsidR="00FD79AB">
        <w:t>1</w:t>
      </w:r>
      <w:r w:rsidR="005F70B4">
        <w:t>26</w:t>
      </w:r>
      <w:r>
        <w:t>] and increase plaque stability [</w:t>
      </w:r>
      <w:r w:rsidR="005F70B4">
        <w:t>127,128</w:t>
      </w:r>
      <w:r>
        <w:t xml:space="preserve">]. </w:t>
      </w:r>
      <w:r w:rsidR="005E4D55">
        <w:t>Statin</w:t>
      </w:r>
      <w:r>
        <w:t xml:space="preserve"> treatment </w:t>
      </w:r>
      <w:r w:rsidR="005E4D55">
        <w:t xml:space="preserve">may </w:t>
      </w:r>
      <w:r w:rsidR="00740E0A">
        <w:t xml:space="preserve">promote </w:t>
      </w:r>
      <w:r>
        <w:t>the production of SPMs, reducing inflammation and the progression of atherosclerosis. Studies on animal models in clinical settings show the potential therapeutic benefits of synthetic SPM analogs, either alone or in combination with statins, in attenuating atherosclerosis and promoting plaque regression [</w:t>
      </w:r>
      <w:r w:rsidR="005F70B4">
        <w:t>7</w:t>
      </w:r>
      <w:r w:rsidR="00D16339">
        <w:t>2</w:t>
      </w:r>
      <w:r>
        <w:t>]. These findings highlight the promising role of SPMs as novel therapeutic targets for ASCVD treatment [</w:t>
      </w:r>
      <w:r w:rsidR="00FD79AB">
        <w:t>1</w:t>
      </w:r>
      <w:r w:rsidR="005F70B4">
        <w:t>29</w:t>
      </w:r>
      <w:r>
        <w:t xml:space="preserve">]. </w:t>
      </w:r>
    </w:p>
    <w:p w14:paraId="2CF873CF" w14:textId="371EE788" w:rsidR="001546BA" w:rsidRPr="001546BA" w:rsidRDefault="001546BA" w:rsidP="001546BA">
      <w:pPr>
        <w:pStyle w:val="MDPI31text"/>
        <w:ind w:firstLine="452"/>
        <w:rPr>
          <w:b/>
        </w:rPr>
      </w:pPr>
      <w:r>
        <w:t xml:space="preserve">The interaction between n-3 PUFAs and statins in cardiovascular diseases has been investigated extensively through many long-term clinical trials and </w:t>
      </w:r>
      <w:r w:rsidR="004066EE">
        <w:t xml:space="preserve">some recent </w:t>
      </w:r>
      <w:r>
        <w:t>meta-analyses, with the main focus being blood lipid and lipoprotein concentrations. In the leading RCTs, standard statins (moderate or high-intensity) were combined with relatively high doses solely of EPA or EPA+DHA (up to 4</w:t>
      </w:r>
      <w:r w:rsidR="00740E0A">
        <w:t xml:space="preserve"> </w:t>
      </w:r>
      <w:r>
        <w:t xml:space="preserve">g/day), except for the JELIS trial, where subjects underwent low-intensity statin therapy. All studies (JELIS, REDUCE-IT and EVAPORATE) using highly purified EPA (as icosapent ethyl) demonstrated cardiovascular benefits related to plaque reduction and stabilization and reduced coronary events. Despite having a similar study design and target populations, REDUCE-IT and STRENGTH had positive and null outcomes, respectively. As explained earlier, possible reasons for inconsistencies may relate to dose of n-3 PUFAs used and the exact composition and formulation used. The ongoing RESPECT-EPA trial could elucidate whether highly purified EPA with current standard statins is effective in reducing cardiovascular events, considering the </w:t>
      </w:r>
      <w:r w:rsidR="004066EE">
        <w:t xml:space="preserve">plasma ratio of </w:t>
      </w:r>
      <w:r>
        <w:t>EPA</w:t>
      </w:r>
      <w:r w:rsidR="004066EE">
        <w:t xml:space="preserve"> to </w:t>
      </w:r>
      <w:r>
        <w:t xml:space="preserve">AA as a biomarker </w:t>
      </w:r>
      <w:r w:rsidR="004066EE">
        <w:t xml:space="preserve">of risk </w:t>
      </w:r>
      <w:r>
        <w:t>in CAD patients. Meta-analyses have provided additional insights into the efficacy of n-3 PUFAs and statins in reducing cardiovascular risk. These analyses have shown that combined n-3 PUFA and statin therapy is generally more effective than statin monotherapy in improving lipid profiles, stabilizing and promoting coronary plaque regression, and reducing risk of further occurrence of cardiovascular events. This suggests that for optimal patient care</w:t>
      </w:r>
      <w:r w:rsidR="00740E0A">
        <w:t>,</w:t>
      </w:r>
      <w:r>
        <w:t xml:space="preserve"> the combination of statins and high-dose n-3 PUFAs should be considered. Further </w:t>
      </w:r>
      <w:r>
        <w:lastRenderedPageBreak/>
        <w:t>research should further investigate SPMs as a target for combined therapy with statins and n-3 PUFAs.</w:t>
      </w:r>
    </w:p>
    <w:p w14:paraId="527F9FBE" w14:textId="77777777" w:rsidR="001546BA" w:rsidRDefault="001546BA" w:rsidP="00D47EA5">
      <w:pPr>
        <w:pStyle w:val="MDPI62BackMatter"/>
        <w:rPr>
          <w:b/>
        </w:rPr>
      </w:pPr>
    </w:p>
    <w:p w14:paraId="05202A2C" w14:textId="18746CA9" w:rsidR="001B6425" w:rsidRDefault="00D47EA5" w:rsidP="00D47EA5">
      <w:pPr>
        <w:pStyle w:val="MDPI62BackMatter"/>
      </w:pPr>
      <w:r w:rsidRPr="00613B31">
        <w:rPr>
          <w:b/>
        </w:rPr>
        <w:t>Author Contributions:</w:t>
      </w:r>
      <w:r w:rsidRPr="00613B31">
        <w:t xml:space="preserve"> Conceptualization, </w:t>
      </w:r>
      <w:r w:rsidR="00797BF7">
        <w:t>I.D</w:t>
      </w:r>
      <w:r w:rsidRPr="00613B31">
        <w:t xml:space="preserve">. and </w:t>
      </w:r>
      <w:r w:rsidR="00797BF7">
        <w:t>P.C</w:t>
      </w:r>
      <w:r w:rsidRPr="00613B31">
        <w:t xml:space="preserve">.; writing—original draft preparation, </w:t>
      </w:r>
      <w:r w:rsidR="00797BF7">
        <w:t>I.D</w:t>
      </w:r>
      <w:r w:rsidRPr="00613B31">
        <w:t xml:space="preserve">.; writing—review and editing, </w:t>
      </w:r>
      <w:r w:rsidR="00797BF7">
        <w:t>P.C</w:t>
      </w:r>
      <w:r w:rsidRPr="00613B31">
        <w:t>. All authors have read and agreed to the published version of the manuscript.</w:t>
      </w:r>
      <w:r w:rsidR="006349C5">
        <w:t xml:space="preserve"> </w:t>
      </w:r>
    </w:p>
    <w:p w14:paraId="3DFE8DE9" w14:textId="77777777" w:rsidR="00D47EA5" w:rsidRPr="00613B31" w:rsidRDefault="00D47EA5" w:rsidP="00D47EA5">
      <w:pPr>
        <w:pStyle w:val="MDPI62BackMatter"/>
      </w:pPr>
      <w:r w:rsidRPr="00613B31">
        <w:rPr>
          <w:b/>
        </w:rPr>
        <w:t>Funding:</w:t>
      </w:r>
      <w:r w:rsidRPr="00613B31">
        <w:t xml:space="preserve"> This research received no external funding.</w:t>
      </w:r>
    </w:p>
    <w:p w14:paraId="6996F8C3" w14:textId="77777777" w:rsidR="0020578D" w:rsidRPr="00B27433" w:rsidRDefault="0020578D" w:rsidP="0020578D">
      <w:pPr>
        <w:pStyle w:val="MDPI62BackMatter"/>
        <w:rPr>
          <w:b/>
        </w:rPr>
      </w:pPr>
      <w:bookmarkStart w:id="1" w:name="_Hlk89945590"/>
      <w:bookmarkStart w:id="2" w:name="_Hlk60054323"/>
      <w:r w:rsidRPr="00B27433">
        <w:rPr>
          <w:b/>
        </w:rPr>
        <w:t xml:space="preserve">Institutional Review Board Statement: </w:t>
      </w:r>
      <w:r w:rsidRPr="00B27433">
        <w:t>Not applicable</w:t>
      </w:r>
      <w:r w:rsidR="00C1001F">
        <w:t>.</w:t>
      </w:r>
    </w:p>
    <w:bookmarkEnd w:id="1"/>
    <w:p w14:paraId="5FD237DD" w14:textId="77777777" w:rsidR="00C1001F" w:rsidRDefault="00980381" w:rsidP="00C1001F">
      <w:pPr>
        <w:pStyle w:val="MDPI62BackMatter"/>
      </w:pPr>
      <w:r w:rsidRPr="007D75A8">
        <w:rPr>
          <w:b/>
        </w:rPr>
        <w:t xml:space="preserve">Informed Consent Statement: </w:t>
      </w:r>
      <w:r w:rsidR="0027719E">
        <w:t>Not applicable</w:t>
      </w:r>
      <w:r w:rsidR="00C1001F">
        <w:t>.</w:t>
      </w:r>
      <w:bookmarkEnd w:id="2"/>
    </w:p>
    <w:p w14:paraId="02865ED1" w14:textId="77777777" w:rsidR="00D0487E" w:rsidRDefault="00DE1434" w:rsidP="00D0487E">
      <w:pPr>
        <w:pStyle w:val="MDPI62BackMatter"/>
      </w:pPr>
      <w:r w:rsidRPr="00DE1434">
        <w:rPr>
          <w:b/>
        </w:rPr>
        <w:t>Data Availability Statement:</w:t>
      </w:r>
      <w:r w:rsidRPr="00DE1434">
        <w:t xml:space="preserve"> </w:t>
      </w:r>
      <w:r w:rsidR="00C1001F" w:rsidRPr="00C1001F">
        <w:t>Not applicable.</w:t>
      </w:r>
    </w:p>
    <w:p w14:paraId="4995523F" w14:textId="3E2DEA68" w:rsidR="00D47EA5" w:rsidRPr="00FF57BF" w:rsidRDefault="00D47EA5" w:rsidP="00D0487E">
      <w:pPr>
        <w:pStyle w:val="MDPI62BackMatter"/>
      </w:pPr>
      <w:r w:rsidRPr="00613B31">
        <w:rPr>
          <w:b/>
        </w:rPr>
        <w:t>Conflicts of Interest:</w:t>
      </w:r>
      <w:r w:rsidR="00FF57BF">
        <w:rPr>
          <w:b/>
        </w:rPr>
        <w:t xml:space="preserve"> </w:t>
      </w:r>
      <w:r w:rsidR="00FF57BF" w:rsidRPr="00933215">
        <w:rPr>
          <w:rFonts w:cs="JansonTextLTStd-Roman"/>
          <w:color w:val="auto"/>
          <w:szCs w:val="18"/>
          <w:lang w:val="en-GB"/>
        </w:rPr>
        <w:t xml:space="preserve">P.C. </w:t>
      </w:r>
      <w:r w:rsidR="00FF57BF">
        <w:rPr>
          <w:rFonts w:cs="JansonTextLTStd-Roman"/>
          <w:color w:val="auto"/>
          <w:szCs w:val="18"/>
          <w:lang w:val="en-GB"/>
        </w:rPr>
        <w:t>acts</w:t>
      </w:r>
      <w:r w:rsidR="00FF57BF" w:rsidRPr="00933215">
        <w:rPr>
          <w:rFonts w:cs="JansonTextLTStd-Roman"/>
          <w:color w:val="auto"/>
          <w:szCs w:val="18"/>
          <w:lang w:val="en-GB"/>
        </w:rPr>
        <w:t xml:space="preserve"> as a</w:t>
      </w:r>
      <w:r w:rsidR="00FF57BF">
        <w:rPr>
          <w:rFonts w:cs="JansonTextLTStd-Roman"/>
          <w:color w:val="auto"/>
          <w:szCs w:val="18"/>
          <w:lang w:val="en-GB"/>
        </w:rPr>
        <w:t>n ad hoc</w:t>
      </w:r>
      <w:r w:rsidR="00FF57BF" w:rsidRPr="00933215">
        <w:rPr>
          <w:rFonts w:cs="JansonTextLTStd-Roman"/>
          <w:color w:val="auto"/>
          <w:szCs w:val="18"/>
          <w:lang w:val="en-GB"/>
        </w:rPr>
        <w:t xml:space="preserve"> consultant/advisor to BASF, </w:t>
      </w:r>
      <w:r w:rsidR="00FF57BF">
        <w:rPr>
          <w:rFonts w:cs="JansonTextLTStd-Roman"/>
          <w:color w:val="auto"/>
          <w:szCs w:val="18"/>
          <w:lang w:val="en-GB"/>
        </w:rPr>
        <w:t xml:space="preserve">Danone Nutricia Research, </w:t>
      </w:r>
      <w:r w:rsidR="00FF57BF" w:rsidRPr="00933215">
        <w:rPr>
          <w:rFonts w:cs="JansonTextLTStd-Roman"/>
          <w:color w:val="auto"/>
          <w:szCs w:val="18"/>
          <w:lang w:val="en-GB"/>
        </w:rPr>
        <w:t xml:space="preserve">Smartfish, </w:t>
      </w:r>
      <w:r w:rsidR="00FF57BF">
        <w:rPr>
          <w:rFonts w:cs="JansonTextLTStd-Roman"/>
          <w:color w:val="auto"/>
          <w:szCs w:val="18"/>
          <w:lang w:val="en-GB"/>
        </w:rPr>
        <w:t>dsm-fermenich</w:t>
      </w:r>
      <w:r w:rsidR="00FF57BF" w:rsidRPr="00933215">
        <w:rPr>
          <w:rFonts w:cs="JansonTextLTStd-Roman"/>
          <w:color w:val="auto"/>
          <w:szCs w:val="18"/>
          <w:lang w:val="en-GB"/>
        </w:rPr>
        <w:t>, Cargill, Bunge, Fresenius Kabi</w:t>
      </w:r>
      <w:r w:rsidR="00FF57BF">
        <w:rPr>
          <w:rFonts w:cs="JansonTextLTStd-Roman"/>
          <w:color w:val="auto"/>
          <w:szCs w:val="18"/>
          <w:lang w:val="en-GB"/>
        </w:rPr>
        <w:t xml:space="preserve"> and Baxter Healthcare</w:t>
      </w:r>
      <w:r w:rsidR="00FF57BF" w:rsidRPr="00933215">
        <w:rPr>
          <w:rFonts w:cs="JansonTextLTStd-Roman"/>
          <w:color w:val="auto"/>
          <w:szCs w:val="18"/>
          <w:lang w:val="en-GB"/>
        </w:rPr>
        <w:t xml:space="preserve">. I.D. </w:t>
      </w:r>
      <w:r w:rsidR="00FF57BF">
        <w:rPr>
          <w:rFonts w:cs="JansonTextLTStd-Roman"/>
          <w:color w:val="auto"/>
          <w:szCs w:val="18"/>
          <w:lang w:val="en-GB"/>
        </w:rPr>
        <w:t>has no conflicts to declare</w:t>
      </w:r>
      <w:r w:rsidR="00FF57BF" w:rsidRPr="00933215">
        <w:rPr>
          <w:rFonts w:cs="JansonTextLTStd-Roman"/>
          <w:color w:val="auto"/>
          <w:szCs w:val="18"/>
          <w:lang w:val="en-GB"/>
        </w:rPr>
        <w:t>.</w:t>
      </w:r>
      <w:r w:rsidRPr="00FF57BF">
        <w:t xml:space="preserve"> </w:t>
      </w:r>
    </w:p>
    <w:p w14:paraId="008124B1" w14:textId="77777777" w:rsidR="00D47EA5" w:rsidRPr="00FA04F1" w:rsidRDefault="00D47EA5" w:rsidP="00E22B91">
      <w:pPr>
        <w:pStyle w:val="MDPI21heading1"/>
        <w:ind w:left="0"/>
      </w:pPr>
      <w:r w:rsidRPr="00FA04F1">
        <w:t>References</w:t>
      </w:r>
    </w:p>
    <w:p w14:paraId="756939B1" w14:textId="77777777" w:rsidR="00D47EA5" w:rsidRPr="00325902" w:rsidRDefault="00D47EA5" w:rsidP="008E01FB">
      <w:pPr>
        <w:pStyle w:val="MDPI71References"/>
        <w:numPr>
          <w:ilvl w:val="0"/>
          <w:numId w:val="0"/>
        </w:numPr>
        <w:ind w:left="425"/>
      </w:pPr>
    </w:p>
    <w:p w14:paraId="60D73FA0" w14:textId="77777777" w:rsidR="00C1001F" w:rsidRPr="00C1001F" w:rsidRDefault="00C1001F" w:rsidP="00C1001F">
      <w:pPr>
        <w:pStyle w:val="MDPI63Notes"/>
        <w:spacing w:before="0"/>
        <w:ind w:left="510" w:hanging="510"/>
        <w:jc w:val="left"/>
        <w:rPr>
          <w:rFonts w:eastAsia="Times New Roman"/>
          <w:snapToGrid/>
          <w:lang w:eastAsia="de-DE"/>
        </w:rPr>
      </w:pPr>
      <w:r w:rsidRPr="00C1001F">
        <w:rPr>
          <w:rFonts w:eastAsia="Times New Roman"/>
          <w:snapToGrid/>
          <w:lang w:eastAsia="de-DE"/>
        </w:rPr>
        <w:t>1.</w:t>
      </w:r>
      <w:r w:rsidRPr="00C1001F">
        <w:rPr>
          <w:rFonts w:eastAsia="Times New Roman"/>
          <w:snapToGrid/>
          <w:lang w:eastAsia="de-DE"/>
        </w:rPr>
        <w:tab/>
        <w:t>World Health Organization. Cardiovascular diseases. Available online: https://www.who.int/health-topics/cardiovascular-diseases#tab=tab_1.</w:t>
      </w:r>
    </w:p>
    <w:p w14:paraId="3CB0B9F6" w14:textId="5551F225"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2.</w:t>
      </w:r>
      <w:r w:rsidRPr="00C1001F">
        <w:rPr>
          <w:rFonts w:eastAsia="Times New Roman"/>
          <w:snapToGrid/>
          <w:lang w:eastAsia="de-DE"/>
        </w:rPr>
        <w:tab/>
        <w:t xml:space="preserve">Pirillo, A.; Casula, M.; Olmastroni, E.; Norata, G.D.; Catapano, A.L. Global epidemiology of dyslipidaemias. Nature </w:t>
      </w:r>
      <w:r w:rsidR="00D0487E">
        <w:rPr>
          <w:rFonts w:eastAsia="Times New Roman"/>
          <w:snapToGrid/>
          <w:lang w:eastAsia="de-DE"/>
        </w:rPr>
        <w:t>R</w:t>
      </w:r>
      <w:r w:rsidRPr="00C1001F">
        <w:rPr>
          <w:rFonts w:eastAsia="Times New Roman"/>
          <w:snapToGrid/>
          <w:lang w:eastAsia="de-DE"/>
        </w:rPr>
        <w:t>eviews Cardiology 2021, 18, 689-700</w:t>
      </w:r>
      <w:r w:rsidR="00D0487E">
        <w:rPr>
          <w:rFonts w:eastAsia="Times New Roman"/>
          <w:snapToGrid/>
          <w:lang w:eastAsia="de-DE"/>
        </w:rPr>
        <w:t>.</w:t>
      </w:r>
    </w:p>
    <w:p w14:paraId="62DAEE3A" w14:textId="1800B5DE"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3.</w:t>
      </w:r>
      <w:r w:rsidRPr="00C1001F">
        <w:rPr>
          <w:rFonts w:eastAsia="Times New Roman"/>
          <w:snapToGrid/>
          <w:lang w:eastAsia="de-DE"/>
        </w:rPr>
        <w:tab/>
        <w:t xml:space="preserve">Ference, B.A.; Ginsberg, H.N.; Graham, I.; Ray, K.K.; Packard, C.J.; Bruckert, E.; Hegele, R.A.; Krauss, R.M.; Raal, F.J.; Schunkert, H. Low-density lipoproteins cause atherosclerotic cardiovascular disease. 1. Evidence from genetic, epidemiologic, and clinical studies. A consensus statement from the European Atherosclerosis Society Consensus Panel. European </w:t>
      </w:r>
      <w:r w:rsidR="00D0487E">
        <w:rPr>
          <w:rFonts w:eastAsia="Times New Roman"/>
          <w:snapToGrid/>
          <w:lang w:eastAsia="de-DE"/>
        </w:rPr>
        <w:t>H</w:t>
      </w:r>
      <w:r w:rsidRPr="00C1001F">
        <w:rPr>
          <w:rFonts w:eastAsia="Times New Roman"/>
          <w:snapToGrid/>
          <w:lang w:eastAsia="de-DE"/>
        </w:rPr>
        <w:t xml:space="preserve">eart </w:t>
      </w:r>
      <w:r w:rsidR="00D0487E">
        <w:rPr>
          <w:rFonts w:eastAsia="Times New Roman"/>
          <w:snapToGrid/>
          <w:lang w:eastAsia="de-DE"/>
        </w:rPr>
        <w:t>J</w:t>
      </w:r>
      <w:r w:rsidRPr="00C1001F">
        <w:rPr>
          <w:rFonts w:eastAsia="Times New Roman"/>
          <w:snapToGrid/>
          <w:lang w:eastAsia="de-DE"/>
        </w:rPr>
        <w:t>ournal 2017, 38, 2459-2472.</w:t>
      </w:r>
    </w:p>
    <w:p w14:paraId="03F21B70" w14:textId="0C5E816F" w:rsidR="00C1001F" w:rsidRPr="00D0487E" w:rsidRDefault="00C1001F" w:rsidP="00C1001F">
      <w:pPr>
        <w:pStyle w:val="MDPI63Notes"/>
        <w:spacing w:before="0"/>
        <w:ind w:left="510" w:hanging="510"/>
        <w:rPr>
          <w:rFonts w:eastAsia="Times New Roman"/>
          <w:snapToGrid/>
          <w:color w:val="auto"/>
          <w:lang w:eastAsia="de-DE"/>
        </w:rPr>
      </w:pPr>
      <w:r w:rsidRPr="00C1001F">
        <w:rPr>
          <w:rFonts w:eastAsia="Times New Roman"/>
          <w:snapToGrid/>
          <w:lang w:eastAsia="de-DE"/>
        </w:rPr>
        <w:t>4.</w:t>
      </w:r>
      <w:r w:rsidRPr="00C1001F">
        <w:rPr>
          <w:rFonts w:eastAsia="Times New Roman"/>
          <w:snapToGrid/>
          <w:lang w:eastAsia="de-DE"/>
        </w:rPr>
        <w:tab/>
      </w:r>
      <w:r w:rsidR="00206D98" w:rsidRPr="00206D98">
        <w:rPr>
          <w:rFonts w:eastAsia="Times New Roman"/>
          <w:snapToGrid/>
          <w:lang w:eastAsia="de-DE"/>
        </w:rPr>
        <w:t xml:space="preserve">Akivis, Y.; Alkaissi, H.; McFarlane, S.I.; Bukharovich, I. The </w:t>
      </w:r>
      <w:r w:rsidR="00D0487E" w:rsidRPr="00206D98">
        <w:rPr>
          <w:rFonts w:eastAsia="Times New Roman"/>
          <w:snapToGrid/>
          <w:lang w:eastAsia="de-DE"/>
        </w:rPr>
        <w:t>role of triglycerides in atherosclerosis: recent pathophysiologic insights and therapeutic implicatio</w:t>
      </w:r>
      <w:r w:rsidR="00206D98" w:rsidRPr="00206D98">
        <w:rPr>
          <w:rFonts w:eastAsia="Times New Roman"/>
          <w:snapToGrid/>
          <w:lang w:eastAsia="de-DE"/>
        </w:rPr>
        <w:t>ns. Current Cardiology Reviews 2024</w:t>
      </w:r>
      <w:r w:rsidR="00D0487E">
        <w:rPr>
          <w:rFonts w:eastAsia="Times New Roman"/>
          <w:snapToGrid/>
          <w:lang w:eastAsia="de-DE"/>
        </w:rPr>
        <w:t>, in press</w:t>
      </w:r>
      <w:r w:rsidR="00D0487E">
        <w:rPr>
          <w:rFonts w:cs="Segoe UI"/>
          <w:color w:val="auto"/>
          <w:shd w:val="clear" w:color="auto" w:fill="FFFFFF"/>
        </w:rPr>
        <w:t>.</w:t>
      </w:r>
      <w:r w:rsidR="00D0487E" w:rsidRPr="00D0487E">
        <w:rPr>
          <w:rFonts w:eastAsia="Times New Roman"/>
          <w:snapToGrid/>
          <w:color w:val="auto"/>
          <w:lang w:eastAsia="de-DE"/>
        </w:rPr>
        <w:t xml:space="preserve"> </w:t>
      </w:r>
    </w:p>
    <w:p w14:paraId="7A134E88" w14:textId="1225CD9E"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5.</w:t>
      </w:r>
      <w:r w:rsidRPr="00C1001F">
        <w:rPr>
          <w:rFonts w:eastAsia="Times New Roman"/>
          <w:snapToGrid/>
          <w:lang w:eastAsia="de-DE"/>
        </w:rPr>
        <w:tab/>
        <w:t xml:space="preserve">Banach, M.; Surma, S.; Toth, P.P. 2023: The year in cardiovascular disease - the year of new and prospective lipid lowering therapies. Can we render dyslipidemia a rare disease by 2024? Archives of </w:t>
      </w:r>
      <w:r w:rsidR="00C728C9">
        <w:rPr>
          <w:rFonts w:eastAsia="Times New Roman"/>
          <w:snapToGrid/>
          <w:lang w:eastAsia="de-DE"/>
        </w:rPr>
        <w:t>M</w:t>
      </w:r>
      <w:r w:rsidRPr="00C1001F">
        <w:rPr>
          <w:rFonts w:eastAsia="Times New Roman"/>
          <w:snapToGrid/>
          <w:lang w:eastAsia="de-DE"/>
        </w:rPr>
        <w:t xml:space="preserve">edical </w:t>
      </w:r>
      <w:r w:rsidR="00C728C9">
        <w:rPr>
          <w:rFonts w:eastAsia="Times New Roman"/>
          <w:snapToGrid/>
          <w:lang w:eastAsia="de-DE"/>
        </w:rPr>
        <w:t>S</w:t>
      </w:r>
      <w:r w:rsidRPr="00C1001F">
        <w:rPr>
          <w:rFonts w:eastAsia="Times New Roman"/>
          <w:snapToGrid/>
          <w:lang w:eastAsia="de-DE"/>
        </w:rPr>
        <w:t>cience 2023, 19, 1602-1615.</w:t>
      </w:r>
    </w:p>
    <w:p w14:paraId="51B8B61C" w14:textId="66F3CD53"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6.</w:t>
      </w:r>
      <w:r w:rsidRPr="00C1001F">
        <w:rPr>
          <w:rFonts w:eastAsia="Times New Roman"/>
          <w:snapToGrid/>
          <w:lang w:eastAsia="de-DE"/>
        </w:rPr>
        <w:tab/>
        <w:t xml:space="preserve">Yanai, H.; Yoshida, H. Secondary dyslipidemia: its treatments and association with atherosclerosis. Global </w:t>
      </w:r>
      <w:r w:rsidR="00C728C9">
        <w:rPr>
          <w:rFonts w:eastAsia="Times New Roman"/>
          <w:snapToGrid/>
          <w:lang w:eastAsia="de-DE"/>
        </w:rPr>
        <w:t>H</w:t>
      </w:r>
      <w:r w:rsidRPr="00C1001F">
        <w:rPr>
          <w:rFonts w:eastAsia="Times New Roman"/>
          <w:snapToGrid/>
          <w:lang w:eastAsia="de-DE"/>
        </w:rPr>
        <w:t xml:space="preserve">ealth &amp; </w:t>
      </w:r>
      <w:r w:rsidR="00C728C9">
        <w:rPr>
          <w:rFonts w:eastAsia="Times New Roman"/>
          <w:snapToGrid/>
          <w:lang w:eastAsia="de-DE"/>
        </w:rPr>
        <w:t>M</w:t>
      </w:r>
      <w:r w:rsidRPr="00C1001F">
        <w:rPr>
          <w:rFonts w:eastAsia="Times New Roman"/>
          <w:snapToGrid/>
          <w:lang w:eastAsia="de-DE"/>
        </w:rPr>
        <w:t>edicine 2021, 3, 15-23.</w:t>
      </w:r>
    </w:p>
    <w:p w14:paraId="362F3002" w14:textId="11C62C4D"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7.</w:t>
      </w:r>
      <w:r w:rsidRPr="00C1001F">
        <w:rPr>
          <w:rFonts w:eastAsia="Times New Roman"/>
          <w:snapToGrid/>
          <w:lang w:eastAsia="de-DE"/>
        </w:rPr>
        <w:tab/>
        <w:t xml:space="preserve">Aygun, S.; Tokgozoglu, L. Comparison of </w:t>
      </w:r>
      <w:r w:rsidR="00C728C9" w:rsidRPr="00C1001F">
        <w:rPr>
          <w:rFonts w:eastAsia="Times New Roman"/>
          <w:snapToGrid/>
          <w:lang w:eastAsia="de-DE"/>
        </w:rPr>
        <w:t>current international guidelines for the management of dyslipidemia</w:t>
      </w:r>
      <w:r w:rsidRPr="00C1001F">
        <w:rPr>
          <w:rFonts w:eastAsia="Times New Roman"/>
          <w:snapToGrid/>
          <w:lang w:eastAsia="de-DE"/>
        </w:rPr>
        <w:t>. Journal of Clinical Medicine 2022, 11, 7249.</w:t>
      </w:r>
    </w:p>
    <w:p w14:paraId="4B517C6A" w14:textId="4F88B933"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8.</w:t>
      </w:r>
      <w:r w:rsidRPr="00C1001F">
        <w:rPr>
          <w:rFonts w:eastAsia="Times New Roman"/>
          <w:snapToGrid/>
          <w:lang w:eastAsia="de-DE"/>
        </w:rPr>
        <w:tab/>
        <w:t>Piepoli, M.F.; Hoes, A.W.; Agewall, S.; Albus, C.; Brotons, C.; Catapano, A.L.; Cooney, M.-T.; Corrà, U.; Cosyns, B.; Deaton, C., et al. 2016 European Guidelines on cardiovascular disease prevention in clinical practice: The Sixth Joint Task Force of the European Society of Cardiology and Other Societies on Cardiovascular Disease Prevention in Clinical Practice (constituted by representatives of 10 societies and by invited experts)Developed with the special contribution of the European Association for Cardiovascular Prevention &amp;amp; Rehabilitation (EACPR). European Heart Journal 2016, 37, 2315-2381.</w:t>
      </w:r>
    </w:p>
    <w:p w14:paraId="101ED77C" w14:textId="246A19F6"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9.</w:t>
      </w:r>
      <w:r w:rsidRPr="00C1001F">
        <w:rPr>
          <w:rFonts w:eastAsia="Times New Roman"/>
          <w:snapToGrid/>
          <w:lang w:eastAsia="de-DE"/>
        </w:rPr>
        <w:tab/>
        <w:t>Mach, F.; Baigent, C.; Catapano, A.L.; Koskinas, K.C.; Casula, M.; Badimon, L.; Chapman, M.J.; De Backer, G.G.; Delgado, V.; Ference, B.A., et al. 2019 ESC/EAS Guidelines for the management of dyslipidaemias: lipid modification to reduce cardiovascular risk: The Task Force for the management of dyslipidaemias of the European Society of Cardiology (ESC) and European Atherosclerosis Society (EAS). European Heart Journal 2019, 41, 111-188.</w:t>
      </w:r>
    </w:p>
    <w:p w14:paraId="0A3D75E2"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10.</w:t>
      </w:r>
      <w:r w:rsidRPr="00C1001F">
        <w:rPr>
          <w:rFonts w:eastAsia="Times New Roman"/>
          <w:snapToGrid/>
          <w:lang w:eastAsia="de-DE"/>
        </w:rPr>
        <w:tab/>
        <w:t>Arnett, D.K.; Blumenthal, R.S.; Albert, M.A.; Buroker, A.B.; Goldberger, Z.D.; Hahn, E.J.; Himmelfarb, C.D.; Khera, A.; Lloyd-Jones, D.; McEvoy, J.W. 2019 ACC/AHA guideline on the primary prevention of cardiovascular disease: a report of the American College of Cardiology/American Heart Association Task Force on Clinical Practice Guidelines. Circulation 2019, 140, e596-e646.</w:t>
      </w:r>
    </w:p>
    <w:p w14:paraId="72E01DAA"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11.</w:t>
      </w:r>
      <w:r w:rsidRPr="00C1001F">
        <w:rPr>
          <w:rFonts w:eastAsia="Times New Roman"/>
          <w:snapToGrid/>
          <w:lang w:eastAsia="de-DE"/>
        </w:rPr>
        <w:tab/>
        <w:t>Grundy, S.M.; Stone, N.J.; Bailey, A.L.; Beam, C.; Birtcher, K.K.; Blumenthal, R.S.; Braun, L.T.; De Ferranti, S.; Faiella-Tommasino, J.; Forman, D.E. 2018 AHA/ACC/AACVPR/AAPA/ABC/ACPM/ADA/AGS/APhA/ASPC/NLA/PCNA guideline on the management of blood cholesterol: executive summary: a report of the American College of Cardiology/American Heart Association Task Force on Clinical Practice Guidelines. Journal of the American College of Cardiology 2019, 73, 3168-3209.</w:t>
      </w:r>
    </w:p>
    <w:p w14:paraId="1ADEF64D" w14:textId="65114E33"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12.</w:t>
      </w:r>
      <w:r w:rsidRPr="00C1001F">
        <w:rPr>
          <w:rFonts w:eastAsia="Times New Roman"/>
          <w:snapToGrid/>
          <w:lang w:eastAsia="de-DE"/>
        </w:rPr>
        <w:tab/>
        <w:t>Chou, R.; Dana, T.; Blazina, I.; Daeges, M.; Jeanne, T.L. Statins for prevention of cardiovascular disease in adults: evidence report and systematic review for the US Preventive Services Task Force. J</w:t>
      </w:r>
      <w:r w:rsidR="00C728C9">
        <w:rPr>
          <w:rFonts w:eastAsia="Times New Roman"/>
          <w:snapToGrid/>
          <w:lang w:eastAsia="de-DE"/>
        </w:rPr>
        <w:t>AMA</w:t>
      </w:r>
      <w:r w:rsidRPr="00C1001F">
        <w:rPr>
          <w:rFonts w:eastAsia="Times New Roman"/>
          <w:snapToGrid/>
          <w:lang w:eastAsia="de-DE"/>
        </w:rPr>
        <w:t xml:space="preserve"> 2016, 316, 2008-2024.</w:t>
      </w:r>
    </w:p>
    <w:p w14:paraId="769B9F0B"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13.</w:t>
      </w:r>
      <w:r w:rsidRPr="00C1001F">
        <w:rPr>
          <w:rFonts w:eastAsia="Times New Roman"/>
          <w:snapToGrid/>
          <w:lang w:eastAsia="de-DE"/>
        </w:rPr>
        <w:tab/>
        <w:t>Skulas-Ray, A.C.; Wilson, P.W.; Harris, W.S.; Brinton, E.A.; Kris-Etherton, P.M.; Richter, C.K.; Jacobson, T.A.; Engler, M.B.; Miller, M.; Robinson, J.G. Omega-3 fatty acids for the management of hypertriglyceridemia: a science advisory from the American Heart Association. Circulation 2019, 140, e673-e691.</w:t>
      </w:r>
    </w:p>
    <w:p w14:paraId="4B31563E" w14:textId="77777777" w:rsidR="00C1001F" w:rsidRPr="00C1001F" w:rsidRDefault="00C1001F" w:rsidP="00C1001F">
      <w:pPr>
        <w:pStyle w:val="MDPI63Notes"/>
        <w:spacing w:before="0"/>
        <w:rPr>
          <w:rFonts w:eastAsia="Times New Roman"/>
          <w:snapToGrid/>
          <w:lang w:eastAsia="de-DE"/>
        </w:rPr>
      </w:pPr>
      <w:r w:rsidRPr="00C1001F">
        <w:rPr>
          <w:rFonts w:eastAsia="Times New Roman"/>
          <w:snapToGrid/>
          <w:lang w:eastAsia="de-DE"/>
        </w:rPr>
        <w:t>14.</w:t>
      </w:r>
      <w:r w:rsidRPr="00C1001F">
        <w:rPr>
          <w:rFonts w:eastAsia="Times New Roman"/>
          <w:snapToGrid/>
          <w:lang w:eastAsia="de-DE"/>
        </w:rPr>
        <w:tab/>
        <w:t>Roche, H.M. Unsaturated fatty acids. Proceedings of the Nutrition Society 1999, 58, 397-401.</w:t>
      </w:r>
    </w:p>
    <w:p w14:paraId="3EC65C12"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lastRenderedPageBreak/>
        <w:t>15.</w:t>
      </w:r>
      <w:r w:rsidRPr="00C1001F">
        <w:rPr>
          <w:rFonts w:eastAsia="Times New Roman"/>
          <w:snapToGrid/>
          <w:lang w:eastAsia="de-DE"/>
        </w:rPr>
        <w:tab/>
        <w:t>Hodson, L.; Rosqvist, F.; Parry, S.A. The influence of dietary fatty acids on liver fat content and metabolism. Proceedings of the Nutrition Society 2020, 79, 30-41.</w:t>
      </w:r>
    </w:p>
    <w:p w14:paraId="5AC6E652"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16.</w:t>
      </w:r>
      <w:r w:rsidRPr="00C1001F">
        <w:rPr>
          <w:rFonts w:eastAsia="Times New Roman"/>
          <w:snapToGrid/>
          <w:lang w:eastAsia="de-DE"/>
        </w:rPr>
        <w:tab/>
        <w:t>Calder, P.C. Omega-3 fatty acids and metabolic partitioning of fatty acids within the liver in the context of nonalcoholic fatty liver disease. Current Opinion in Clinical Nutrition and Metabolic Care 2022, 25, 248-255.</w:t>
      </w:r>
    </w:p>
    <w:p w14:paraId="1B7EB215"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17.</w:t>
      </w:r>
      <w:r w:rsidRPr="00C1001F">
        <w:rPr>
          <w:rFonts w:eastAsia="Times New Roman"/>
          <w:snapToGrid/>
          <w:lang w:eastAsia="de-DE"/>
        </w:rPr>
        <w:tab/>
        <w:t>Shearer, G.C.; Savinova, O.V.; Harris, W.S. Fish oil—how does it reduce plasma triglycerides? Biochimica et Biophysica Acta (BBA)-Molecular and Cell Biology of Lipids 2012, 1821, 843-851.</w:t>
      </w:r>
    </w:p>
    <w:p w14:paraId="66827E62" w14:textId="77777777" w:rsidR="00C1001F" w:rsidRPr="00C1001F"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18.</w:t>
      </w:r>
      <w:r w:rsidRPr="00C1001F">
        <w:rPr>
          <w:rFonts w:eastAsia="Times New Roman"/>
          <w:snapToGrid/>
          <w:lang w:eastAsia="de-DE"/>
        </w:rPr>
        <w:tab/>
        <w:t>Rundblad, A.; Sandoval, V.; Holven, K.B.; Ordovás, J.M.; Ulven, S.M. Omega-3 fatty acids and individual variability in plasma triglyceride response: A mini-review. Redox Biology 2023, 63, 102730.</w:t>
      </w:r>
    </w:p>
    <w:p w14:paraId="593EC593" w14:textId="77777777" w:rsidR="00BB25C9" w:rsidRDefault="00C1001F" w:rsidP="00C1001F">
      <w:pPr>
        <w:pStyle w:val="MDPI63Notes"/>
        <w:spacing w:before="0"/>
        <w:ind w:left="510" w:hanging="510"/>
        <w:rPr>
          <w:rFonts w:eastAsia="Times New Roman"/>
          <w:snapToGrid/>
          <w:lang w:eastAsia="de-DE"/>
        </w:rPr>
      </w:pPr>
      <w:r w:rsidRPr="00C1001F">
        <w:rPr>
          <w:rFonts w:eastAsia="Times New Roman"/>
          <w:snapToGrid/>
          <w:lang w:eastAsia="de-DE"/>
        </w:rPr>
        <w:t>19.</w:t>
      </w:r>
      <w:r w:rsidRPr="00C1001F">
        <w:rPr>
          <w:rFonts w:eastAsia="Times New Roman"/>
          <w:snapToGrid/>
          <w:lang w:eastAsia="de-DE"/>
        </w:rPr>
        <w:tab/>
      </w:r>
      <w:r w:rsidR="00BB25C9" w:rsidRPr="00293848">
        <w:rPr>
          <w:rFonts w:eastAsia="Times New Roman" w:hint="eastAsia"/>
          <w:snapToGrid/>
          <w:lang w:eastAsia="de-DE"/>
        </w:rPr>
        <w:t xml:space="preserve">AbuMweis, S.; Jew, S.; Tayyem, R.; Agraib, L. Eicosapentaenoic acid and docosahexaenoic acid containing supplements modulate risk factors for cardiovascular disease: a meta‐analysis of randomised placebo‐control human clinical trials. Journal of </w:t>
      </w:r>
      <w:r w:rsidR="00BB25C9">
        <w:rPr>
          <w:rFonts w:eastAsia="Times New Roman"/>
          <w:snapToGrid/>
          <w:lang w:eastAsia="de-DE"/>
        </w:rPr>
        <w:t>H</w:t>
      </w:r>
      <w:r w:rsidR="00BB25C9" w:rsidRPr="00293848">
        <w:rPr>
          <w:rFonts w:eastAsia="Times New Roman" w:hint="eastAsia"/>
          <w:snapToGrid/>
          <w:lang w:eastAsia="de-DE"/>
        </w:rPr>
        <w:t xml:space="preserve">uman </w:t>
      </w:r>
      <w:r w:rsidR="00BB25C9">
        <w:rPr>
          <w:rFonts w:eastAsia="Times New Roman"/>
          <w:snapToGrid/>
          <w:lang w:eastAsia="de-DE"/>
        </w:rPr>
        <w:t>N</w:t>
      </w:r>
      <w:r w:rsidR="00BB25C9" w:rsidRPr="00293848">
        <w:rPr>
          <w:rFonts w:eastAsia="Times New Roman" w:hint="eastAsia"/>
          <w:snapToGrid/>
          <w:lang w:eastAsia="de-DE"/>
        </w:rPr>
        <w:t>utr</w:t>
      </w:r>
      <w:r w:rsidR="00BB25C9" w:rsidRPr="00293848">
        <w:rPr>
          <w:rFonts w:eastAsia="Times New Roman"/>
          <w:snapToGrid/>
          <w:lang w:eastAsia="de-DE"/>
        </w:rPr>
        <w:t xml:space="preserve">ition and </w:t>
      </w:r>
      <w:r w:rsidR="00BB25C9">
        <w:rPr>
          <w:rFonts w:eastAsia="Times New Roman"/>
          <w:snapToGrid/>
          <w:lang w:eastAsia="de-DE"/>
        </w:rPr>
        <w:t>D</w:t>
      </w:r>
      <w:r w:rsidR="00BB25C9" w:rsidRPr="00293848">
        <w:rPr>
          <w:rFonts w:eastAsia="Times New Roman"/>
          <w:snapToGrid/>
          <w:lang w:eastAsia="de-DE"/>
        </w:rPr>
        <w:t>ietetics 2018, 31, 67-84.</w:t>
      </w:r>
    </w:p>
    <w:p w14:paraId="491485A4" w14:textId="67729702" w:rsidR="00293848" w:rsidRPr="00C1001F" w:rsidRDefault="00BB25C9" w:rsidP="00BB25C9">
      <w:pPr>
        <w:pStyle w:val="MDPI63Notes"/>
        <w:spacing w:before="0"/>
        <w:ind w:left="510" w:hanging="510"/>
        <w:rPr>
          <w:rFonts w:eastAsia="Times New Roman"/>
          <w:snapToGrid/>
          <w:lang w:eastAsia="de-DE"/>
        </w:rPr>
      </w:pPr>
      <w:r>
        <w:rPr>
          <w:rFonts w:eastAsia="Times New Roman"/>
          <w:snapToGrid/>
          <w:lang w:eastAsia="de-DE"/>
        </w:rPr>
        <w:t>20.</w:t>
      </w:r>
      <w:r>
        <w:rPr>
          <w:rFonts w:eastAsia="Times New Roman"/>
          <w:snapToGrid/>
          <w:lang w:eastAsia="de-DE"/>
        </w:rPr>
        <w:tab/>
      </w:r>
      <w:r w:rsidR="00C1001F" w:rsidRPr="00C1001F">
        <w:rPr>
          <w:rFonts w:eastAsia="Times New Roman"/>
          <w:snapToGrid/>
          <w:lang w:eastAsia="de-DE"/>
        </w:rPr>
        <w:t xml:space="preserve">Bird, J.K.; Calder, P.C.; Eggersdorfer, M. The </w:t>
      </w:r>
      <w:r w:rsidR="00C728C9" w:rsidRPr="00C1001F">
        <w:rPr>
          <w:rFonts w:eastAsia="Times New Roman"/>
          <w:snapToGrid/>
          <w:lang w:eastAsia="de-DE"/>
        </w:rPr>
        <w:t>role of n-3 long chain polyunsaturated fatty acids in cardiovascular disease prevention, and interactions with stat</w:t>
      </w:r>
      <w:r w:rsidR="00C1001F" w:rsidRPr="00C1001F">
        <w:rPr>
          <w:rFonts w:eastAsia="Times New Roman"/>
          <w:snapToGrid/>
          <w:lang w:eastAsia="de-DE"/>
        </w:rPr>
        <w:t>ins. Nutrients 2018, 10, 775.</w:t>
      </w:r>
    </w:p>
    <w:p w14:paraId="61E95CF6" w14:textId="2A538AFF" w:rsidR="00C1001F" w:rsidRPr="00C1001F" w:rsidRDefault="00293848" w:rsidP="00C1001F">
      <w:pPr>
        <w:pStyle w:val="MDPI63Notes"/>
        <w:spacing w:before="0"/>
        <w:ind w:left="510" w:hanging="510"/>
        <w:rPr>
          <w:rFonts w:eastAsia="Times New Roman"/>
          <w:snapToGrid/>
          <w:lang w:eastAsia="de-DE"/>
        </w:rPr>
      </w:pPr>
      <w:r>
        <w:rPr>
          <w:rFonts w:eastAsia="Times New Roman"/>
          <w:snapToGrid/>
          <w:lang w:eastAsia="de-DE"/>
        </w:rPr>
        <w:t>21</w:t>
      </w:r>
      <w:r w:rsidR="00C1001F" w:rsidRPr="00C1001F">
        <w:rPr>
          <w:rFonts w:eastAsia="Times New Roman"/>
          <w:snapToGrid/>
          <w:lang w:eastAsia="de-DE"/>
        </w:rPr>
        <w:t>.</w:t>
      </w:r>
      <w:r w:rsidR="00C1001F" w:rsidRPr="00C1001F">
        <w:rPr>
          <w:rFonts w:eastAsia="Times New Roman"/>
          <w:snapToGrid/>
          <w:lang w:eastAsia="de-DE"/>
        </w:rPr>
        <w:tab/>
        <w:t>Calder, P.C. Marine omega-3 fatty acids and inflammatory processes: Effects, mechanisms and clinical relevance. Biochimica et Biophysica Acta (BBA)-Molecular and Cell Biology of Lipids 2015, 1851, 469-484.</w:t>
      </w:r>
    </w:p>
    <w:p w14:paraId="50A0265A" w14:textId="19F339DA" w:rsidR="00C1001F" w:rsidRPr="00C1001F" w:rsidRDefault="00293848" w:rsidP="00C1001F">
      <w:pPr>
        <w:pStyle w:val="MDPI63Notes"/>
        <w:spacing w:before="0"/>
        <w:ind w:left="510" w:hanging="510"/>
        <w:rPr>
          <w:rFonts w:eastAsia="Times New Roman"/>
          <w:snapToGrid/>
          <w:lang w:eastAsia="de-DE"/>
        </w:rPr>
      </w:pPr>
      <w:r>
        <w:rPr>
          <w:rFonts w:eastAsia="Times New Roman"/>
          <w:snapToGrid/>
          <w:lang w:eastAsia="de-DE"/>
        </w:rPr>
        <w:t>22.</w:t>
      </w:r>
      <w:r w:rsidR="00C1001F" w:rsidRPr="00C1001F">
        <w:rPr>
          <w:rFonts w:eastAsia="Times New Roman"/>
          <w:snapToGrid/>
          <w:lang w:eastAsia="de-DE"/>
        </w:rPr>
        <w:tab/>
        <w:t xml:space="preserve">Calder, P.C. </w:t>
      </w:r>
      <w:r w:rsidR="00C728C9">
        <w:rPr>
          <w:rFonts w:eastAsia="Times New Roman"/>
          <w:snapToGrid/>
          <w:lang w:eastAsia="de-DE"/>
        </w:rPr>
        <w:t>N</w:t>
      </w:r>
      <w:r w:rsidR="00C1001F" w:rsidRPr="00C1001F">
        <w:rPr>
          <w:rFonts w:eastAsia="Times New Roman"/>
          <w:snapToGrid/>
          <w:lang w:eastAsia="de-DE"/>
        </w:rPr>
        <w:t>-3 PUFA and inflammation: from membrane to nucleus and from bench to bedside. Proceedings of the Nutrition Society 2020, 79, 404-416.</w:t>
      </w:r>
    </w:p>
    <w:p w14:paraId="7286517C" w14:textId="77777777" w:rsidR="00AC1A47" w:rsidRDefault="00293848" w:rsidP="00AC1A47">
      <w:pPr>
        <w:pStyle w:val="MDPI63Notes"/>
        <w:spacing w:before="0" w:line="240" w:lineRule="auto"/>
        <w:ind w:left="510" w:hanging="510"/>
        <w:rPr>
          <w:rFonts w:eastAsia="Times New Roman"/>
          <w:snapToGrid/>
          <w:lang w:eastAsia="de-DE"/>
        </w:rPr>
      </w:pPr>
      <w:r>
        <w:rPr>
          <w:rFonts w:eastAsia="Times New Roman"/>
          <w:snapToGrid/>
          <w:lang w:eastAsia="de-DE"/>
        </w:rPr>
        <w:t>23.</w:t>
      </w:r>
      <w:r w:rsidR="00C1001F" w:rsidRPr="00C1001F">
        <w:rPr>
          <w:rFonts w:eastAsia="Times New Roman"/>
          <w:snapToGrid/>
          <w:lang w:eastAsia="de-DE"/>
        </w:rPr>
        <w:tab/>
        <w:t>Calder, P.C. Eicosapentaenoic and docosahexaenoic acid derived specialised pro-resolving mediators: Concentrations in humans and the effects of age, sex, disease and increased omega-3 fatty acid intake. Biochimie 2020, 178, 105-123.</w:t>
      </w:r>
    </w:p>
    <w:p w14:paraId="2B45F543" w14:textId="605C5D88" w:rsidR="00AC1A47" w:rsidRDefault="00AC1A47" w:rsidP="00AC1A47">
      <w:pPr>
        <w:pStyle w:val="MDPI63Notes"/>
        <w:spacing w:before="0" w:line="240" w:lineRule="auto"/>
        <w:ind w:left="510" w:hanging="510"/>
        <w:rPr>
          <w:rFonts w:cs="URWPalladioL-Roma"/>
          <w:color w:val="auto"/>
          <w:szCs w:val="18"/>
          <w:lang w:val="en-GB"/>
        </w:rPr>
      </w:pPr>
      <w:r>
        <w:rPr>
          <w:rFonts w:eastAsia="Times New Roman"/>
          <w:snapToGrid/>
          <w:lang w:eastAsia="de-DE"/>
        </w:rPr>
        <w:t>24.</w:t>
      </w:r>
      <w:r>
        <w:rPr>
          <w:rFonts w:eastAsia="Times New Roman"/>
          <w:snapToGrid/>
          <w:lang w:eastAsia="de-DE"/>
        </w:rPr>
        <w:tab/>
      </w:r>
      <w:r w:rsidRPr="00AC1A47">
        <w:rPr>
          <w:rFonts w:eastAsia="Times New Roman"/>
          <w:snapToGrid/>
          <w:szCs w:val="18"/>
          <w:lang w:eastAsia="de-DE"/>
        </w:rPr>
        <w:t xml:space="preserve">Calder, P.C. </w:t>
      </w:r>
      <w:r w:rsidRPr="00067BD0">
        <w:rPr>
          <w:rFonts w:cs="URWPalladioL-Roma"/>
          <w:color w:val="auto"/>
          <w:szCs w:val="18"/>
          <w:lang w:val="en-GB"/>
        </w:rPr>
        <w:t xml:space="preserve">Very long-chain n-3 fatty acids and human health: Fact, fiction and the future. </w:t>
      </w:r>
      <w:r w:rsidRPr="00067BD0">
        <w:rPr>
          <w:rFonts w:cs="URWPalladioL-Ital"/>
          <w:color w:val="auto"/>
          <w:szCs w:val="18"/>
          <w:lang w:val="en-GB"/>
        </w:rPr>
        <w:t>Proc</w:t>
      </w:r>
      <w:r>
        <w:rPr>
          <w:rFonts w:cs="URWPalladioL-Ital"/>
          <w:color w:val="auto"/>
          <w:szCs w:val="18"/>
          <w:lang w:val="en-GB"/>
        </w:rPr>
        <w:t xml:space="preserve">eeedings of the Nutrition Society </w:t>
      </w:r>
      <w:r w:rsidRPr="00067BD0">
        <w:rPr>
          <w:rFonts w:cs="URWPalladioL-Bold"/>
          <w:color w:val="auto"/>
          <w:szCs w:val="18"/>
          <w:lang w:val="en-GB"/>
        </w:rPr>
        <w:t>2018</w:t>
      </w:r>
      <w:r w:rsidRPr="00067BD0">
        <w:rPr>
          <w:rFonts w:cs="URWPalladioL-Roma"/>
          <w:color w:val="auto"/>
          <w:szCs w:val="18"/>
          <w:lang w:val="en-GB"/>
        </w:rPr>
        <w:t xml:space="preserve">, </w:t>
      </w:r>
      <w:r w:rsidRPr="00067BD0">
        <w:rPr>
          <w:rFonts w:cs="URWPalladioL-Ital"/>
          <w:color w:val="auto"/>
          <w:szCs w:val="18"/>
          <w:lang w:val="en-GB"/>
        </w:rPr>
        <w:t>77</w:t>
      </w:r>
      <w:r w:rsidRPr="00067BD0">
        <w:rPr>
          <w:rFonts w:cs="URWPalladioL-Roma"/>
          <w:color w:val="auto"/>
          <w:szCs w:val="18"/>
          <w:lang w:val="en-GB"/>
        </w:rPr>
        <w:t>, 52</w:t>
      </w:r>
      <w:r>
        <w:rPr>
          <w:rFonts w:cs="URWPalladioL-Roma"/>
          <w:color w:val="auto"/>
          <w:szCs w:val="18"/>
          <w:lang w:val="en-GB"/>
        </w:rPr>
        <w:t>-</w:t>
      </w:r>
      <w:r w:rsidRPr="00067BD0">
        <w:rPr>
          <w:rFonts w:cs="URWPalladioL-Roma"/>
          <w:color w:val="auto"/>
          <w:szCs w:val="18"/>
          <w:lang w:val="en-GB"/>
        </w:rPr>
        <w:t>72</w:t>
      </w:r>
      <w:r>
        <w:rPr>
          <w:rFonts w:cs="URWPalladioL-Roma"/>
          <w:color w:val="auto"/>
          <w:szCs w:val="18"/>
          <w:lang w:val="en-GB"/>
        </w:rPr>
        <w:t>.</w:t>
      </w:r>
    </w:p>
    <w:p w14:paraId="5003DED5" w14:textId="50BA44DE" w:rsidR="00AC1A47" w:rsidRDefault="00AC1A47" w:rsidP="00AC1A47">
      <w:pPr>
        <w:pStyle w:val="MDPI63Notes"/>
        <w:spacing w:before="0" w:line="240" w:lineRule="auto"/>
        <w:ind w:left="510" w:hanging="510"/>
        <w:rPr>
          <w:rFonts w:cs="AdvTT2a1c7c1f"/>
          <w:color w:val="auto"/>
          <w:szCs w:val="18"/>
          <w:lang w:val="en-GB"/>
        </w:rPr>
      </w:pPr>
      <w:r>
        <w:rPr>
          <w:rFonts w:cs="URWPalladioL-Roma"/>
          <w:color w:val="auto"/>
          <w:szCs w:val="18"/>
          <w:lang w:val="en-GB"/>
        </w:rPr>
        <w:t>25.</w:t>
      </w:r>
      <w:r>
        <w:rPr>
          <w:rFonts w:cs="URWPalladioL-Roma"/>
          <w:color w:val="auto"/>
          <w:szCs w:val="18"/>
          <w:lang w:val="en-GB"/>
        </w:rPr>
        <w:tab/>
      </w:r>
      <w:r w:rsidRPr="00067BD0">
        <w:rPr>
          <w:rFonts w:cs="AdvTT2a1c7c1f"/>
          <w:color w:val="auto"/>
          <w:szCs w:val="18"/>
          <w:lang w:val="en-GB"/>
        </w:rPr>
        <w:t>Meyer</w:t>
      </w:r>
      <w:r>
        <w:rPr>
          <w:rFonts w:cs="AdvTT2a1c7c1f"/>
          <w:color w:val="auto"/>
          <w:szCs w:val="18"/>
          <w:lang w:val="en-GB"/>
        </w:rPr>
        <w:t>,</w:t>
      </w:r>
      <w:r w:rsidRPr="00067BD0">
        <w:rPr>
          <w:rFonts w:cs="AdvTT2a1c7c1f"/>
          <w:color w:val="auto"/>
          <w:szCs w:val="18"/>
          <w:lang w:val="en-GB"/>
        </w:rPr>
        <w:t xml:space="preserve"> B</w:t>
      </w:r>
      <w:r>
        <w:rPr>
          <w:rFonts w:cs="AdvTT2a1c7c1f"/>
          <w:color w:val="auto"/>
          <w:szCs w:val="18"/>
          <w:lang w:val="en-GB"/>
        </w:rPr>
        <w:t>.</w:t>
      </w:r>
      <w:r w:rsidRPr="00067BD0">
        <w:rPr>
          <w:rFonts w:cs="AdvTT2a1c7c1f"/>
          <w:color w:val="auto"/>
          <w:szCs w:val="18"/>
          <w:lang w:val="en-GB"/>
        </w:rPr>
        <w:t>J</w:t>
      </w:r>
      <w:r>
        <w:rPr>
          <w:rFonts w:cs="AdvTT2a1c7c1f"/>
          <w:color w:val="auto"/>
          <w:szCs w:val="18"/>
          <w:lang w:val="en-GB"/>
        </w:rPr>
        <w:t>.;</w:t>
      </w:r>
      <w:r w:rsidRPr="00067BD0">
        <w:rPr>
          <w:rFonts w:cs="AdvTT2a1c7c1f"/>
          <w:color w:val="auto"/>
          <w:szCs w:val="18"/>
          <w:lang w:val="en-GB"/>
        </w:rPr>
        <w:t xml:space="preserve"> Mann</w:t>
      </w:r>
      <w:r>
        <w:rPr>
          <w:rFonts w:cs="AdvTT2a1c7c1f"/>
          <w:color w:val="auto"/>
          <w:szCs w:val="18"/>
          <w:lang w:val="en-GB"/>
        </w:rPr>
        <w:t>,</w:t>
      </w:r>
      <w:r w:rsidRPr="00067BD0">
        <w:rPr>
          <w:rFonts w:cs="AdvTT2a1c7c1f"/>
          <w:color w:val="auto"/>
          <w:szCs w:val="18"/>
          <w:lang w:val="en-GB"/>
        </w:rPr>
        <w:t xml:space="preserve"> N</w:t>
      </w:r>
      <w:r>
        <w:rPr>
          <w:rFonts w:cs="AdvTT2a1c7c1f"/>
          <w:color w:val="auto"/>
          <w:szCs w:val="18"/>
          <w:lang w:val="en-GB"/>
        </w:rPr>
        <w:t>.</w:t>
      </w:r>
      <w:r w:rsidRPr="00067BD0">
        <w:rPr>
          <w:rFonts w:cs="AdvTT2a1c7c1f"/>
          <w:color w:val="auto"/>
          <w:szCs w:val="18"/>
          <w:lang w:val="en-GB"/>
        </w:rPr>
        <w:t>J</w:t>
      </w:r>
      <w:r>
        <w:rPr>
          <w:rFonts w:cs="AdvTT2a1c7c1f"/>
          <w:color w:val="auto"/>
          <w:szCs w:val="18"/>
          <w:lang w:val="en-GB"/>
        </w:rPr>
        <w:t>.;</w:t>
      </w:r>
      <w:r w:rsidRPr="00067BD0">
        <w:rPr>
          <w:rFonts w:cs="AdvTT2a1c7c1f"/>
          <w:color w:val="auto"/>
          <w:szCs w:val="18"/>
          <w:lang w:val="en-GB"/>
        </w:rPr>
        <w:t xml:space="preserve"> Lewis</w:t>
      </w:r>
      <w:r>
        <w:rPr>
          <w:rFonts w:cs="AdvTT2a1c7c1f"/>
          <w:color w:val="auto"/>
          <w:szCs w:val="18"/>
          <w:lang w:val="en-GB"/>
        </w:rPr>
        <w:t>,</w:t>
      </w:r>
      <w:r w:rsidRPr="00067BD0">
        <w:rPr>
          <w:rFonts w:cs="AdvTT2a1c7c1f"/>
          <w:color w:val="auto"/>
          <w:szCs w:val="18"/>
          <w:lang w:val="en-GB"/>
        </w:rPr>
        <w:t xml:space="preserve"> J</w:t>
      </w:r>
      <w:r>
        <w:rPr>
          <w:rFonts w:cs="AdvTT2a1c7c1f"/>
          <w:color w:val="auto"/>
          <w:szCs w:val="18"/>
          <w:lang w:val="en-GB"/>
        </w:rPr>
        <w:t>.</w:t>
      </w:r>
      <w:r w:rsidRPr="00067BD0">
        <w:rPr>
          <w:rFonts w:cs="AdvTT2a1c7c1f"/>
          <w:color w:val="auto"/>
          <w:szCs w:val="18"/>
          <w:lang w:val="en-GB"/>
        </w:rPr>
        <w:t>L</w:t>
      </w:r>
      <w:r>
        <w:rPr>
          <w:rFonts w:cs="AdvTT2a1c7c1f"/>
          <w:color w:val="auto"/>
          <w:szCs w:val="18"/>
          <w:lang w:val="en-GB"/>
        </w:rPr>
        <w:t>.; Milligan, G.C.; Sinclair, A.J.; Howe, P.R.</w:t>
      </w:r>
      <w:r w:rsidRPr="00067BD0">
        <w:rPr>
          <w:rFonts w:cs="AdvTT2a1c7c1f"/>
          <w:color w:val="auto"/>
          <w:szCs w:val="18"/>
          <w:lang w:val="en-GB"/>
        </w:rPr>
        <w:t xml:space="preserve"> Dietary intakes</w:t>
      </w:r>
      <w:r>
        <w:rPr>
          <w:rFonts w:cs="AdvTT2a1c7c1f"/>
          <w:color w:val="auto"/>
          <w:szCs w:val="18"/>
          <w:lang w:val="en-GB"/>
        </w:rPr>
        <w:t xml:space="preserve"> </w:t>
      </w:r>
      <w:r w:rsidRPr="00067BD0">
        <w:rPr>
          <w:rFonts w:cs="AdvTT2a1c7c1f"/>
          <w:color w:val="auto"/>
          <w:szCs w:val="18"/>
          <w:lang w:val="en-GB"/>
        </w:rPr>
        <w:t>and food sources of omega-6 and omega-3 polyunsaturated</w:t>
      </w:r>
      <w:r>
        <w:rPr>
          <w:rFonts w:cs="AdvTT2a1c7c1f"/>
          <w:color w:val="auto"/>
          <w:szCs w:val="18"/>
          <w:lang w:val="en-GB"/>
        </w:rPr>
        <w:t xml:space="preserve"> </w:t>
      </w:r>
      <w:r w:rsidRPr="00067BD0">
        <w:rPr>
          <w:rFonts w:cs="AdvTT2a1c7c1f"/>
          <w:color w:val="auto"/>
          <w:szCs w:val="18"/>
          <w:lang w:val="en-GB"/>
        </w:rPr>
        <w:t xml:space="preserve">fatty acids. </w:t>
      </w:r>
      <w:r w:rsidRPr="00067BD0">
        <w:rPr>
          <w:rFonts w:cs="AdvTTbf56cded.I"/>
          <w:color w:val="auto"/>
          <w:szCs w:val="18"/>
          <w:lang w:val="en-GB"/>
        </w:rPr>
        <w:t xml:space="preserve">Lipids </w:t>
      </w:r>
      <w:r>
        <w:rPr>
          <w:rFonts w:cs="AdvTTbf56cded.I"/>
          <w:color w:val="auto"/>
          <w:szCs w:val="18"/>
          <w:lang w:val="en-GB"/>
        </w:rPr>
        <w:t xml:space="preserve">2003, </w:t>
      </w:r>
      <w:r w:rsidRPr="00067BD0">
        <w:rPr>
          <w:rFonts w:cs="AdvTT532d99f6.B"/>
          <w:color w:val="auto"/>
          <w:szCs w:val="18"/>
          <w:lang w:val="en-GB"/>
        </w:rPr>
        <w:t>38</w:t>
      </w:r>
      <w:r w:rsidRPr="00067BD0">
        <w:rPr>
          <w:rFonts w:cs="AdvTT2a1c7c1f"/>
          <w:color w:val="auto"/>
          <w:szCs w:val="18"/>
          <w:lang w:val="en-GB"/>
        </w:rPr>
        <w:t>, 391</w:t>
      </w:r>
      <w:r>
        <w:rPr>
          <w:rFonts w:cs="AdvTT2a1c7c1f+20"/>
          <w:color w:val="auto"/>
          <w:szCs w:val="18"/>
          <w:lang w:val="en-GB"/>
        </w:rPr>
        <w:t>-</w:t>
      </w:r>
      <w:r w:rsidRPr="00067BD0">
        <w:rPr>
          <w:rFonts w:cs="AdvTT2a1c7c1f"/>
          <w:color w:val="auto"/>
          <w:szCs w:val="18"/>
          <w:lang w:val="en-GB"/>
        </w:rPr>
        <w:t>398.</w:t>
      </w:r>
    </w:p>
    <w:p w14:paraId="7A22107A" w14:textId="77777777" w:rsidR="00293718" w:rsidRDefault="00AC1A47" w:rsidP="00293718">
      <w:pPr>
        <w:pStyle w:val="MDPI63Notes"/>
        <w:spacing w:before="0" w:line="240" w:lineRule="auto"/>
        <w:ind w:left="510" w:hanging="510"/>
        <w:rPr>
          <w:rFonts w:cs="AdvTT2a1c7c1f"/>
          <w:color w:val="auto"/>
          <w:szCs w:val="18"/>
          <w:lang w:val="en-GB"/>
        </w:rPr>
      </w:pPr>
      <w:r>
        <w:rPr>
          <w:rFonts w:cs="AdvTT2a1c7c1f"/>
          <w:color w:val="auto"/>
          <w:szCs w:val="18"/>
          <w:lang w:val="en-GB"/>
        </w:rPr>
        <w:t>26.</w:t>
      </w:r>
      <w:r>
        <w:rPr>
          <w:rFonts w:cs="AdvTT2a1c7c1f"/>
          <w:color w:val="auto"/>
          <w:szCs w:val="18"/>
          <w:lang w:val="en-GB"/>
        </w:rPr>
        <w:tab/>
      </w:r>
      <w:r w:rsidRPr="00067BD0">
        <w:rPr>
          <w:rFonts w:cs="AdvTT2a1c7c1f"/>
          <w:color w:val="auto"/>
          <w:szCs w:val="18"/>
          <w:lang w:val="en-GB"/>
        </w:rPr>
        <w:t>Howe</w:t>
      </w:r>
      <w:r>
        <w:rPr>
          <w:rFonts w:cs="AdvTT2a1c7c1f"/>
          <w:color w:val="auto"/>
          <w:szCs w:val="18"/>
          <w:lang w:val="en-GB"/>
        </w:rPr>
        <w:t>,</w:t>
      </w:r>
      <w:r w:rsidRPr="00067BD0">
        <w:rPr>
          <w:rFonts w:cs="AdvTT2a1c7c1f"/>
          <w:color w:val="auto"/>
          <w:szCs w:val="18"/>
          <w:lang w:val="en-GB"/>
        </w:rPr>
        <w:t xml:space="preserve"> P</w:t>
      </w:r>
      <w:r>
        <w:rPr>
          <w:rFonts w:cs="AdvTT2a1c7c1f"/>
          <w:color w:val="auto"/>
          <w:szCs w:val="18"/>
          <w:lang w:val="en-GB"/>
        </w:rPr>
        <w:t>.;</w:t>
      </w:r>
      <w:r w:rsidRPr="00067BD0">
        <w:rPr>
          <w:rFonts w:cs="AdvTT2a1c7c1f"/>
          <w:color w:val="auto"/>
          <w:szCs w:val="18"/>
          <w:lang w:val="en-GB"/>
        </w:rPr>
        <w:t xml:space="preserve"> Meyer</w:t>
      </w:r>
      <w:r>
        <w:rPr>
          <w:rFonts w:cs="AdvTT2a1c7c1f"/>
          <w:color w:val="auto"/>
          <w:szCs w:val="18"/>
          <w:lang w:val="en-GB"/>
        </w:rPr>
        <w:t>,</w:t>
      </w:r>
      <w:r w:rsidRPr="00067BD0">
        <w:rPr>
          <w:rFonts w:cs="AdvTT2a1c7c1f"/>
          <w:color w:val="auto"/>
          <w:szCs w:val="18"/>
          <w:lang w:val="en-GB"/>
        </w:rPr>
        <w:t xml:space="preserve"> B</w:t>
      </w:r>
      <w:r>
        <w:rPr>
          <w:rFonts w:cs="AdvTT2a1c7c1f"/>
          <w:color w:val="auto"/>
          <w:szCs w:val="18"/>
          <w:lang w:val="en-GB"/>
        </w:rPr>
        <w:t>.;</w:t>
      </w:r>
      <w:r w:rsidRPr="00067BD0">
        <w:rPr>
          <w:rFonts w:cs="AdvTT2a1c7c1f"/>
          <w:color w:val="auto"/>
          <w:szCs w:val="18"/>
          <w:lang w:val="en-GB"/>
        </w:rPr>
        <w:t xml:space="preserve"> Record</w:t>
      </w:r>
      <w:r>
        <w:rPr>
          <w:rFonts w:cs="AdvTT2a1c7c1f"/>
          <w:color w:val="auto"/>
          <w:szCs w:val="18"/>
          <w:lang w:val="en-GB"/>
        </w:rPr>
        <w:t>,</w:t>
      </w:r>
      <w:r w:rsidRPr="00067BD0">
        <w:rPr>
          <w:rFonts w:cs="AdvTT2a1c7c1f"/>
          <w:color w:val="auto"/>
          <w:szCs w:val="18"/>
          <w:lang w:val="en-GB"/>
        </w:rPr>
        <w:t xml:space="preserve"> S</w:t>
      </w:r>
      <w:r>
        <w:rPr>
          <w:rFonts w:cs="AdvTT2a1c7c1f"/>
          <w:color w:val="auto"/>
          <w:szCs w:val="18"/>
          <w:lang w:val="en-GB"/>
        </w:rPr>
        <w:t>.;</w:t>
      </w:r>
      <w:r w:rsidRPr="00067BD0">
        <w:rPr>
          <w:rFonts w:cs="AdvTT2a1c7c1f"/>
          <w:color w:val="auto"/>
          <w:szCs w:val="18"/>
          <w:lang w:val="en-GB"/>
        </w:rPr>
        <w:t xml:space="preserve"> </w:t>
      </w:r>
      <w:r>
        <w:rPr>
          <w:rFonts w:cs="AdvTTbf56cded.I"/>
          <w:color w:val="auto"/>
          <w:szCs w:val="18"/>
          <w:lang w:val="en-GB"/>
        </w:rPr>
        <w:t>Baghurst, K</w:t>
      </w:r>
      <w:r w:rsidRPr="00067BD0">
        <w:rPr>
          <w:rFonts w:cs="AdvTT2a1c7c1f"/>
          <w:color w:val="auto"/>
          <w:szCs w:val="18"/>
          <w:lang w:val="en-GB"/>
        </w:rPr>
        <w:t>. Dietary intake of</w:t>
      </w:r>
      <w:r>
        <w:rPr>
          <w:rFonts w:cs="AdvTT2a1c7c1f"/>
          <w:color w:val="auto"/>
          <w:szCs w:val="18"/>
          <w:lang w:val="en-GB"/>
        </w:rPr>
        <w:t xml:space="preserve"> </w:t>
      </w:r>
      <w:r w:rsidRPr="00067BD0">
        <w:rPr>
          <w:rFonts w:cs="AdvTT2a1c7c1f"/>
          <w:color w:val="auto"/>
          <w:szCs w:val="18"/>
          <w:lang w:val="en-GB"/>
        </w:rPr>
        <w:t>long-chain omega-3 polyunsaturated fatty acids: contribution</w:t>
      </w:r>
      <w:r>
        <w:rPr>
          <w:rFonts w:cs="URWPalladioL-Roma"/>
          <w:color w:val="auto"/>
          <w:szCs w:val="18"/>
          <w:lang w:val="en-GB"/>
        </w:rPr>
        <w:t xml:space="preserve"> </w:t>
      </w:r>
      <w:r w:rsidRPr="00067BD0">
        <w:rPr>
          <w:rFonts w:cs="AdvTT2a1c7c1f"/>
          <w:color w:val="auto"/>
          <w:szCs w:val="18"/>
          <w:lang w:val="en-GB"/>
        </w:rPr>
        <w:t xml:space="preserve">of meat sources. </w:t>
      </w:r>
      <w:r w:rsidRPr="00067BD0">
        <w:rPr>
          <w:rFonts w:cs="AdvTTbf56cded.I"/>
          <w:color w:val="auto"/>
          <w:szCs w:val="18"/>
          <w:lang w:val="en-GB"/>
        </w:rPr>
        <w:t xml:space="preserve">Nutrition </w:t>
      </w:r>
      <w:r>
        <w:rPr>
          <w:rFonts w:cs="AdvTTbf56cded.I"/>
          <w:color w:val="auto"/>
          <w:szCs w:val="18"/>
          <w:lang w:val="en-GB"/>
        </w:rPr>
        <w:t xml:space="preserve">2006, </w:t>
      </w:r>
      <w:r w:rsidRPr="00067BD0">
        <w:rPr>
          <w:rFonts w:cs="AdvTT532d99f6.B"/>
          <w:color w:val="auto"/>
          <w:szCs w:val="18"/>
          <w:lang w:val="en-GB"/>
        </w:rPr>
        <w:t>22</w:t>
      </w:r>
      <w:r w:rsidRPr="00067BD0">
        <w:rPr>
          <w:rFonts w:cs="AdvTT2a1c7c1f"/>
          <w:color w:val="auto"/>
          <w:szCs w:val="18"/>
          <w:lang w:val="en-GB"/>
        </w:rPr>
        <w:t>, 47</w:t>
      </w:r>
      <w:r>
        <w:rPr>
          <w:rFonts w:cs="AdvTT2a1c7c1f+20"/>
          <w:color w:val="auto"/>
          <w:szCs w:val="18"/>
          <w:lang w:val="en-GB"/>
        </w:rPr>
        <w:t>-</w:t>
      </w:r>
      <w:r w:rsidRPr="00067BD0">
        <w:rPr>
          <w:rFonts w:cs="AdvTT2a1c7c1f"/>
          <w:color w:val="auto"/>
          <w:szCs w:val="18"/>
          <w:lang w:val="en-GB"/>
        </w:rPr>
        <w:t>53.</w:t>
      </w:r>
    </w:p>
    <w:p w14:paraId="096E53D0" w14:textId="77777777" w:rsidR="00293718" w:rsidRDefault="00293718" w:rsidP="00293718">
      <w:pPr>
        <w:pStyle w:val="MDPI63Notes"/>
        <w:spacing w:before="0" w:line="240" w:lineRule="auto"/>
        <w:ind w:left="510" w:hanging="510"/>
        <w:rPr>
          <w:rFonts w:cs="AdvTT2a1c7c1f"/>
          <w:color w:val="auto"/>
          <w:szCs w:val="18"/>
          <w:lang w:val="en-GB"/>
        </w:rPr>
      </w:pPr>
      <w:r>
        <w:rPr>
          <w:rFonts w:cs="AdvTT2a1c7c1f"/>
          <w:color w:val="auto"/>
          <w:szCs w:val="18"/>
          <w:lang w:val="en-GB"/>
        </w:rPr>
        <w:t>27.</w:t>
      </w:r>
      <w:r>
        <w:rPr>
          <w:rFonts w:cs="AdvTT2a1c7c1f"/>
          <w:color w:val="auto"/>
          <w:szCs w:val="18"/>
          <w:lang w:val="en-GB"/>
        </w:rPr>
        <w:tab/>
      </w:r>
      <w:r w:rsidRPr="00067BD0">
        <w:rPr>
          <w:rFonts w:cs="AdvTT2a1c7c1f"/>
          <w:color w:val="auto"/>
          <w:szCs w:val="18"/>
          <w:lang w:val="en-GB"/>
        </w:rPr>
        <w:t>European Food Safety Authority</w:t>
      </w:r>
      <w:r>
        <w:rPr>
          <w:rFonts w:cs="AdvTT2a1c7c1f"/>
          <w:color w:val="auto"/>
          <w:szCs w:val="18"/>
          <w:lang w:val="en-GB"/>
        </w:rPr>
        <w:t>.</w:t>
      </w:r>
      <w:r w:rsidRPr="00067BD0">
        <w:rPr>
          <w:rFonts w:cs="AdvTT2a1c7c1f"/>
          <w:color w:val="auto"/>
          <w:szCs w:val="18"/>
          <w:lang w:val="en-GB"/>
        </w:rPr>
        <w:t xml:space="preserve"> Scienti</w:t>
      </w:r>
      <w:r w:rsidRPr="00067BD0">
        <w:rPr>
          <w:rFonts w:cs="AdvTT2a1c7c1f+fb"/>
          <w:color w:val="auto"/>
          <w:szCs w:val="18"/>
          <w:lang w:val="en-GB"/>
        </w:rPr>
        <w:t>fi</w:t>
      </w:r>
      <w:r w:rsidRPr="00067BD0">
        <w:rPr>
          <w:rFonts w:cs="AdvTT2a1c7c1f"/>
          <w:color w:val="auto"/>
          <w:szCs w:val="18"/>
          <w:lang w:val="en-GB"/>
        </w:rPr>
        <w:t>c opinion</w:t>
      </w:r>
      <w:r>
        <w:rPr>
          <w:rFonts w:cs="AdvTT2a1c7c1f"/>
          <w:color w:val="auto"/>
          <w:szCs w:val="18"/>
          <w:lang w:val="en-GB"/>
        </w:rPr>
        <w:t xml:space="preserve"> </w:t>
      </w:r>
      <w:r w:rsidRPr="00067BD0">
        <w:rPr>
          <w:rFonts w:cs="AdvTT2a1c7c1f"/>
          <w:color w:val="auto"/>
          <w:szCs w:val="18"/>
          <w:lang w:val="en-GB"/>
        </w:rPr>
        <w:t>on dietary reference values for fats, including saturated</w:t>
      </w:r>
      <w:r>
        <w:rPr>
          <w:rFonts w:cs="AdvTT2a1c7c1f"/>
          <w:color w:val="auto"/>
          <w:szCs w:val="18"/>
          <w:lang w:val="en-GB"/>
        </w:rPr>
        <w:t xml:space="preserve"> </w:t>
      </w:r>
      <w:r w:rsidRPr="00067BD0">
        <w:rPr>
          <w:rFonts w:cs="AdvTT2a1c7c1f"/>
          <w:color w:val="auto"/>
          <w:szCs w:val="18"/>
          <w:lang w:val="en-GB"/>
        </w:rPr>
        <w:t>fatty acids, polyunsaturated fatty acids, monounsaturated</w:t>
      </w:r>
      <w:r>
        <w:rPr>
          <w:rFonts w:cs="AdvTT2a1c7c1f"/>
          <w:color w:val="auto"/>
          <w:szCs w:val="18"/>
          <w:lang w:val="en-GB"/>
        </w:rPr>
        <w:t xml:space="preserve"> </w:t>
      </w:r>
      <w:r w:rsidRPr="00067BD0">
        <w:rPr>
          <w:rFonts w:cs="AdvTT2a1c7c1f"/>
          <w:color w:val="auto"/>
          <w:szCs w:val="18"/>
          <w:lang w:val="en-GB"/>
        </w:rPr>
        <w:t xml:space="preserve">fatty acids, trans fatty acids and cholesterol. </w:t>
      </w:r>
      <w:r w:rsidRPr="00067BD0">
        <w:rPr>
          <w:rFonts w:cs="AdvTTbf56cded.I"/>
          <w:color w:val="auto"/>
          <w:szCs w:val="18"/>
          <w:lang w:val="en-GB"/>
        </w:rPr>
        <w:t>EFSA J</w:t>
      </w:r>
      <w:r>
        <w:rPr>
          <w:rFonts w:cs="AdvTTbf56cded.I"/>
          <w:color w:val="auto"/>
          <w:szCs w:val="18"/>
          <w:lang w:val="en-GB"/>
        </w:rPr>
        <w:t>ournal 2010,</w:t>
      </w:r>
      <w:r w:rsidRPr="00067BD0">
        <w:rPr>
          <w:rFonts w:cs="AdvTTbf56cded.I"/>
          <w:color w:val="auto"/>
          <w:szCs w:val="18"/>
          <w:lang w:val="en-GB"/>
        </w:rPr>
        <w:t xml:space="preserve"> </w:t>
      </w:r>
      <w:r w:rsidRPr="00067BD0">
        <w:rPr>
          <w:rFonts w:cs="AdvTT532d99f6.B"/>
          <w:color w:val="auto"/>
          <w:szCs w:val="18"/>
          <w:lang w:val="en-GB"/>
        </w:rPr>
        <w:t>8</w:t>
      </w:r>
      <w:r w:rsidRPr="00067BD0">
        <w:rPr>
          <w:rFonts w:cs="AdvTT2a1c7c1f"/>
          <w:color w:val="auto"/>
          <w:szCs w:val="18"/>
          <w:lang w:val="en-GB"/>
        </w:rPr>
        <w:t>,</w:t>
      </w:r>
      <w:r>
        <w:rPr>
          <w:rFonts w:cs="AdvTT2a1c7c1f"/>
          <w:color w:val="auto"/>
          <w:szCs w:val="18"/>
          <w:lang w:val="en-GB"/>
        </w:rPr>
        <w:t xml:space="preserve"> </w:t>
      </w:r>
      <w:r w:rsidRPr="00067BD0">
        <w:rPr>
          <w:rFonts w:cs="AdvTT2a1c7c1f"/>
          <w:color w:val="auto"/>
          <w:szCs w:val="18"/>
          <w:lang w:val="en-GB"/>
        </w:rPr>
        <w:t>1461</w:t>
      </w:r>
      <w:r>
        <w:rPr>
          <w:rFonts w:cs="AdvTT2a1c7c1f"/>
          <w:color w:val="auto"/>
          <w:szCs w:val="18"/>
          <w:lang w:val="en-GB"/>
        </w:rPr>
        <w:t>.</w:t>
      </w:r>
    </w:p>
    <w:p w14:paraId="59CB9C95" w14:textId="654A5B60" w:rsidR="00293718" w:rsidRDefault="00293718" w:rsidP="00293718">
      <w:pPr>
        <w:pStyle w:val="MDPI63Notes"/>
        <w:spacing w:before="0" w:line="240" w:lineRule="auto"/>
        <w:ind w:left="510" w:hanging="510"/>
        <w:rPr>
          <w:rFonts w:cs="AdvTT2a1c7c1f"/>
          <w:color w:val="auto"/>
          <w:szCs w:val="18"/>
          <w:lang w:val="en-GB"/>
        </w:rPr>
      </w:pPr>
      <w:r>
        <w:rPr>
          <w:rFonts w:cs="AdvTT2a1c7c1f"/>
          <w:color w:val="auto"/>
          <w:szCs w:val="18"/>
          <w:lang w:val="en-GB"/>
        </w:rPr>
        <w:t>28.</w:t>
      </w:r>
      <w:r>
        <w:rPr>
          <w:rFonts w:cs="AdvTT2a1c7c1f"/>
          <w:color w:val="auto"/>
          <w:szCs w:val="18"/>
          <w:lang w:val="en-GB"/>
        </w:rPr>
        <w:tab/>
      </w:r>
      <w:r w:rsidRPr="00067BD0">
        <w:rPr>
          <w:rFonts w:cs="AdvTT2a1c7c1f"/>
          <w:color w:val="auto"/>
          <w:szCs w:val="18"/>
          <w:lang w:val="en-GB"/>
        </w:rPr>
        <w:t>Food and Agricultural Organisation of the United</w:t>
      </w:r>
      <w:r>
        <w:rPr>
          <w:rFonts w:cs="AdvTT2a1c7c1f"/>
          <w:color w:val="auto"/>
          <w:szCs w:val="18"/>
          <w:lang w:val="en-GB"/>
        </w:rPr>
        <w:t xml:space="preserve"> </w:t>
      </w:r>
      <w:r w:rsidRPr="00067BD0">
        <w:rPr>
          <w:rFonts w:cs="AdvTT2a1c7c1f"/>
          <w:color w:val="auto"/>
          <w:szCs w:val="18"/>
          <w:lang w:val="en-GB"/>
        </w:rPr>
        <w:t>Nations</w:t>
      </w:r>
      <w:r>
        <w:rPr>
          <w:rFonts w:cs="AdvTT2a1c7c1f"/>
          <w:color w:val="auto"/>
          <w:szCs w:val="18"/>
          <w:lang w:val="en-GB"/>
        </w:rPr>
        <w:t>. F</w:t>
      </w:r>
      <w:r w:rsidRPr="00067BD0">
        <w:rPr>
          <w:rFonts w:cs="AdvTT2a1c7c1f"/>
          <w:color w:val="auto"/>
          <w:szCs w:val="18"/>
          <w:lang w:val="en-GB"/>
        </w:rPr>
        <w:t>at and Fatty Acids in Human</w:t>
      </w:r>
      <w:r>
        <w:rPr>
          <w:rFonts w:cs="AdvTT2a1c7c1f"/>
          <w:color w:val="auto"/>
          <w:szCs w:val="18"/>
          <w:lang w:val="en-GB"/>
        </w:rPr>
        <w:t xml:space="preserve"> </w:t>
      </w:r>
      <w:r w:rsidRPr="00067BD0">
        <w:rPr>
          <w:rFonts w:cs="AdvTT2a1c7c1f"/>
          <w:color w:val="auto"/>
          <w:szCs w:val="18"/>
          <w:lang w:val="en-GB"/>
        </w:rPr>
        <w:t xml:space="preserve">Nutrition: </w:t>
      </w:r>
      <w:r>
        <w:rPr>
          <w:rFonts w:cs="AdvTT2a1c7c1f"/>
          <w:color w:val="auto"/>
          <w:szCs w:val="18"/>
          <w:lang w:val="en-GB"/>
        </w:rPr>
        <w:t>R</w:t>
      </w:r>
      <w:r w:rsidRPr="00067BD0">
        <w:rPr>
          <w:rFonts w:cs="AdvTT2a1c7c1f"/>
          <w:color w:val="auto"/>
          <w:szCs w:val="18"/>
          <w:lang w:val="en-GB"/>
        </w:rPr>
        <w:t xml:space="preserve">eport of an Expert Consultation. </w:t>
      </w:r>
      <w:r>
        <w:rPr>
          <w:rFonts w:cs="AdvTT2a1c7c1f"/>
          <w:color w:val="auto"/>
          <w:szCs w:val="18"/>
          <w:lang w:val="en-GB"/>
        </w:rPr>
        <w:t xml:space="preserve">2010, </w:t>
      </w:r>
      <w:r w:rsidRPr="00067BD0">
        <w:rPr>
          <w:rFonts w:cs="AdvTT2a1c7c1f"/>
          <w:color w:val="auto"/>
          <w:szCs w:val="18"/>
          <w:lang w:val="en-GB"/>
        </w:rPr>
        <w:t>Food and</w:t>
      </w:r>
      <w:r>
        <w:rPr>
          <w:rFonts w:cs="AdvTT2a1c7c1f"/>
          <w:color w:val="auto"/>
          <w:szCs w:val="18"/>
          <w:lang w:val="en-GB"/>
        </w:rPr>
        <w:t xml:space="preserve"> </w:t>
      </w:r>
      <w:r w:rsidRPr="00067BD0">
        <w:rPr>
          <w:rFonts w:cs="AdvTT2a1c7c1f"/>
          <w:color w:val="auto"/>
          <w:szCs w:val="18"/>
          <w:lang w:val="en-GB"/>
        </w:rPr>
        <w:t>Agricultural Organisation of the United Nations, Rome.</w:t>
      </w:r>
    </w:p>
    <w:p w14:paraId="70367C7E" w14:textId="77777777" w:rsidR="00293718" w:rsidRDefault="00293718" w:rsidP="00293718">
      <w:pPr>
        <w:pStyle w:val="MDPI63Notes"/>
        <w:spacing w:before="0" w:line="240" w:lineRule="auto"/>
        <w:ind w:left="510" w:hanging="510"/>
        <w:rPr>
          <w:rFonts w:cs="AdvTT2a1c7c1f"/>
          <w:color w:val="auto"/>
          <w:szCs w:val="18"/>
          <w:lang w:val="en-GB"/>
        </w:rPr>
      </w:pPr>
      <w:r>
        <w:rPr>
          <w:rFonts w:cs="AdvTT2a1c7c1f"/>
          <w:color w:val="auto"/>
          <w:szCs w:val="18"/>
          <w:lang w:val="en-GB"/>
        </w:rPr>
        <w:t>29.</w:t>
      </w:r>
      <w:r>
        <w:rPr>
          <w:rFonts w:cs="AdvTT2a1c7c1f"/>
          <w:color w:val="auto"/>
          <w:szCs w:val="18"/>
          <w:lang w:val="en-GB"/>
        </w:rPr>
        <w:tab/>
      </w:r>
      <w:r w:rsidRPr="00067BD0">
        <w:rPr>
          <w:rFonts w:cs="AdvTT2a1c7c1f"/>
          <w:color w:val="auto"/>
          <w:szCs w:val="18"/>
          <w:lang w:val="en-GB"/>
        </w:rPr>
        <w:t>Scienti</w:t>
      </w:r>
      <w:r w:rsidRPr="00067BD0">
        <w:rPr>
          <w:rFonts w:cs="AdvTT2a1c7c1f+fb"/>
          <w:color w:val="auto"/>
          <w:szCs w:val="18"/>
          <w:lang w:val="en-GB"/>
        </w:rPr>
        <w:t>fi</w:t>
      </w:r>
      <w:r w:rsidRPr="00067BD0">
        <w:rPr>
          <w:rFonts w:cs="AdvTT2a1c7c1f"/>
          <w:color w:val="auto"/>
          <w:szCs w:val="18"/>
          <w:lang w:val="en-GB"/>
        </w:rPr>
        <w:t>c Advisory Committee on Nutrition/Committee on</w:t>
      </w:r>
      <w:r>
        <w:rPr>
          <w:rFonts w:cs="AdvTT2a1c7c1f"/>
          <w:color w:val="auto"/>
          <w:szCs w:val="18"/>
          <w:lang w:val="en-GB"/>
        </w:rPr>
        <w:t xml:space="preserve"> </w:t>
      </w:r>
      <w:r w:rsidRPr="00067BD0">
        <w:rPr>
          <w:rFonts w:cs="AdvTT2a1c7c1f"/>
          <w:color w:val="auto"/>
          <w:szCs w:val="18"/>
          <w:lang w:val="en-GB"/>
        </w:rPr>
        <w:t>Toxicity</w:t>
      </w:r>
      <w:r>
        <w:rPr>
          <w:rFonts w:cs="AdvTT2a1c7c1f"/>
          <w:color w:val="auto"/>
          <w:szCs w:val="18"/>
          <w:lang w:val="en-GB"/>
        </w:rPr>
        <w:t>.</w:t>
      </w:r>
      <w:r w:rsidRPr="00067BD0">
        <w:rPr>
          <w:rFonts w:cs="AdvTT2a1c7c1f"/>
          <w:color w:val="auto"/>
          <w:szCs w:val="18"/>
          <w:lang w:val="en-GB"/>
        </w:rPr>
        <w:t xml:space="preserve"> </w:t>
      </w:r>
      <w:r w:rsidRPr="00067BD0">
        <w:rPr>
          <w:rFonts w:cs="AdvTTbf56cded.I"/>
          <w:color w:val="auto"/>
          <w:szCs w:val="18"/>
          <w:lang w:val="en-GB"/>
        </w:rPr>
        <w:t>Advice on Fish Consumption: Bene</w:t>
      </w:r>
      <w:r w:rsidRPr="00067BD0">
        <w:rPr>
          <w:rFonts w:cs="AdvTTbf56cded.I+fb"/>
          <w:color w:val="auto"/>
          <w:szCs w:val="18"/>
          <w:lang w:val="en-GB"/>
        </w:rPr>
        <w:t>fi</w:t>
      </w:r>
      <w:r w:rsidRPr="00067BD0">
        <w:rPr>
          <w:rFonts w:cs="AdvTTbf56cded.I"/>
          <w:color w:val="auto"/>
          <w:szCs w:val="18"/>
          <w:lang w:val="en-GB"/>
        </w:rPr>
        <w:t>ts and</w:t>
      </w:r>
      <w:r>
        <w:rPr>
          <w:rFonts w:cs="AdvTT2a1c7c1f"/>
          <w:color w:val="auto"/>
          <w:szCs w:val="18"/>
          <w:lang w:val="en-GB"/>
        </w:rPr>
        <w:t xml:space="preserve"> </w:t>
      </w:r>
      <w:r w:rsidRPr="00067BD0">
        <w:rPr>
          <w:rFonts w:cs="AdvTTbf56cded.I"/>
          <w:color w:val="auto"/>
          <w:szCs w:val="18"/>
          <w:lang w:val="en-GB"/>
        </w:rPr>
        <w:t>Risks</w:t>
      </w:r>
      <w:r>
        <w:rPr>
          <w:rFonts w:cs="AdvTT2a1c7c1f"/>
          <w:color w:val="auto"/>
          <w:szCs w:val="18"/>
          <w:lang w:val="en-GB"/>
        </w:rPr>
        <w:t xml:space="preserve">. 2004, TSA, </w:t>
      </w:r>
      <w:r w:rsidRPr="00067BD0">
        <w:rPr>
          <w:rFonts w:cs="AdvTT2a1c7c1f"/>
          <w:color w:val="auto"/>
          <w:szCs w:val="18"/>
          <w:lang w:val="en-GB"/>
        </w:rPr>
        <w:t>London</w:t>
      </w:r>
      <w:r>
        <w:rPr>
          <w:rFonts w:cs="AdvTT2a1c7c1f"/>
          <w:color w:val="auto"/>
          <w:szCs w:val="18"/>
          <w:lang w:val="en-GB"/>
        </w:rPr>
        <w:t>.</w:t>
      </w:r>
    </w:p>
    <w:p w14:paraId="407F2AC1" w14:textId="77777777" w:rsidR="00293718" w:rsidRDefault="00293718" w:rsidP="00293718">
      <w:pPr>
        <w:pStyle w:val="MDPI63Notes"/>
        <w:spacing w:before="0" w:line="240" w:lineRule="auto"/>
        <w:ind w:left="510" w:hanging="510"/>
        <w:rPr>
          <w:rFonts w:cs="AdvTT2a1c7c1f"/>
          <w:color w:val="auto"/>
          <w:szCs w:val="18"/>
          <w:lang w:val="en-GB"/>
        </w:rPr>
      </w:pPr>
      <w:r>
        <w:rPr>
          <w:rFonts w:cs="AdvTT2a1c7c1f"/>
          <w:color w:val="auto"/>
          <w:szCs w:val="18"/>
          <w:lang w:val="en-GB"/>
        </w:rPr>
        <w:t>30.</w:t>
      </w:r>
      <w:r>
        <w:rPr>
          <w:rFonts w:cs="AdvTT2a1c7c1f"/>
          <w:color w:val="auto"/>
          <w:szCs w:val="18"/>
          <w:lang w:val="en-GB"/>
        </w:rPr>
        <w:tab/>
      </w:r>
      <w:r w:rsidRPr="00067BD0">
        <w:rPr>
          <w:rFonts w:cs="AdvTT2a1c7c1f"/>
          <w:color w:val="auto"/>
          <w:szCs w:val="18"/>
          <w:lang w:val="en-GB"/>
        </w:rPr>
        <w:t>Simopolous</w:t>
      </w:r>
      <w:r>
        <w:rPr>
          <w:rFonts w:cs="AdvTT2a1c7c1f"/>
          <w:color w:val="auto"/>
          <w:szCs w:val="18"/>
          <w:lang w:val="en-GB"/>
        </w:rPr>
        <w:t>,</w:t>
      </w:r>
      <w:r w:rsidRPr="00067BD0">
        <w:rPr>
          <w:rFonts w:cs="AdvTT2a1c7c1f"/>
          <w:color w:val="auto"/>
          <w:szCs w:val="18"/>
          <w:lang w:val="en-GB"/>
        </w:rPr>
        <w:t xml:space="preserve"> A</w:t>
      </w:r>
      <w:r>
        <w:rPr>
          <w:rFonts w:cs="AdvTT2a1c7c1f"/>
          <w:color w:val="auto"/>
          <w:szCs w:val="18"/>
          <w:lang w:val="en-GB"/>
        </w:rPr>
        <w:t>.</w:t>
      </w:r>
      <w:r w:rsidRPr="00067BD0">
        <w:rPr>
          <w:rFonts w:cs="AdvTT2a1c7c1f"/>
          <w:color w:val="auto"/>
          <w:szCs w:val="18"/>
          <w:lang w:val="en-GB"/>
        </w:rPr>
        <w:t>P</w:t>
      </w:r>
      <w:r>
        <w:rPr>
          <w:rFonts w:cs="AdvTT2a1c7c1f"/>
          <w:color w:val="auto"/>
          <w:szCs w:val="18"/>
          <w:lang w:val="en-GB"/>
        </w:rPr>
        <w:t>.;</w:t>
      </w:r>
      <w:r w:rsidRPr="00067BD0">
        <w:rPr>
          <w:rFonts w:cs="AdvTT2a1c7c1f"/>
          <w:color w:val="auto"/>
          <w:szCs w:val="18"/>
          <w:lang w:val="en-GB"/>
        </w:rPr>
        <w:t xml:space="preserve"> Leaf</w:t>
      </w:r>
      <w:r>
        <w:rPr>
          <w:rFonts w:cs="AdvTT2a1c7c1f"/>
          <w:color w:val="auto"/>
          <w:szCs w:val="18"/>
          <w:lang w:val="en-GB"/>
        </w:rPr>
        <w:t>,</w:t>
      </w:r>
      <w:r w:rsidRPr="00067BD0">
        <w:rPr>
          <w:rFonts w:cs="AdvTT2a1c7c1f"/>
          <w:color w:val="auto"/>
          <w:szCs w:val="18"/>
          <w:lang w:val="en-GB"/>
        </w:rPr>
        <w:t xml:space="preserve"> A</w:t>
      </w:r>
      <w:r>
        <w:rPr>
          <w:rFonts w:cs="AdvTT2a1c7c1f"/>
          <w:color w:val="auto"/>
          <w:szCs w:val="18"/>
          <w:lang w:val="en-GB"/>
        </w:rPr>
        <w:t>.;</w:t>
      </w:r>
      <w:r w:rsidRPr="00067BD0">
        <w:rPr>
          <w:rFonts w:cs="AdvTT2a1c7c1f"/>
          <w:color w:val="auto"/>
          <w:szCs w:val="18"/>
          <w:lang w:val="en-GB"/>
        </w:rPr>
        <w:t xml:space="preserve"> Salem</w:t>
      </w:r>
      <w:r>
        <w:rPr>
          <w:rFonts w:cs="AdvTT2a1c7c1f"/>
          <w:color w:val="auto"/>
          <w:szCs w:val="18"/>
          <w:lang w:val="en-GB"/>
        </w:rPr>
        <w:t>,</w:t>
      </w:r>
      <w:r w:rsidRPr="00067BD0">
        <w:rPr>
          <w:rFonts w:cs="AdvTT2a1c7c1f"/>
          <w:color w:val="auto"/>
          <w:szCs w:val="18"/>
          <w:lang w:val="en-GB"/>
        </w:rPr>
        <w:t xml:space="preserve"> N</w:t>
      </w:r>
      <w:r>
        <w:rPr>
          <w:rFonts w:cs="AdvTT2a1c7c1f"/>
          <w:color w:val="auto"/>
          <w:szCs w:val="18"/>
          <w:lang w:val="en-GB"/>
        </w:rPr>
        <w:t>.</w:t>
      </w:r>
      <w:r w:rsidRPr="00067BD0">
        <w:rPr>
          <w:rFonts w:cs="AdvTT2a1c7c1f"/>
          <w:color w:val="auto"/>
          <w:szCs w:val="18"/>
          <w:lang w:val="en-GB"/>
        </w:rPr>
        <w:t xml:space="preserve"> Essentiality</w:t>
      </w:r>
      <w:r>
        <w:rPr>
          <w:rFonts w:cs="AdvTT2a1c7c1f"/>
          <w:color w:val="auto"/>
          <w:szCs w:val="18"/>
          <w:lang w:val="en-GB"/>
        </w:rPr>
        <w:t xml:space="preserve"> </w:t>
      </w:r>
      <w:r w:rsidRPr="00067BD0">
        <w:rPr>
          <w:rFonts w:cs="AdvTT2a1c7c1f"/>
          <w:color w:val="auto"/>
          <w:szCs w:val="18"/>
          <w:lang w:val="en-GB"/>
        </w:rPr>
        <w:t>and recommended dietary intakes for omega-6 and</w:t>
      </w:r>
      <w:r>
        <w:rPr>
          <w:rFonts w:cs="AdvTT2a1c7c1f"/>
          <w:color w:val="auto"/>
          <w:szCs w:val="18"/>
          <w:lang w:val="en-GB"/>
        </w:rPr>
        <w:t xml:space="preserve"> </w:t>
      </w:r>
      <w:r w:rsidRPr="00067BD0">
        <w:rPr>
          <w:rFonts w:cs="AdvTT2a1c7c1f"/>
          <w:color w:val="auto"/>
          <w:szCs w:val="18"/>
          <w:lang w:val="en-GB"/>
        </w:rPr>
        <w:t xml:space="preserve">omega-3 fatty acids. </w:t>
      </w:r>
      <w:r w:rsidRPr="00067BD0">
        <w:rPr>
          <w:rFonts w:cs="AdvTTbf56cded.I"/>
          <w:color w:val="auto"/>
          <w:szCs w:val="18"/>
          <w:lang w:val="en-GB"/>
        </w:rPr>
        <w:t>Ann</w:t>
      </w:r>
      <w:r>
        <w:rPr>
          <w:rFonts w:cs="AdvTTbf56cded.I"/>
          <w:color w:val="auto"/>
          <w:szCs w:val="18"/>
          <w:lang w:val="en-GB"/>
        </w:rPr>
        <w:t>als of</w:t>
      </w:r>
      <w:r w:rsidRPr="00067BD0">
        <w:rPr>
          <w:rFonts w:cs="AdvTTbf56cded.I"/>
          <w:color w:val="auto"/>
          <w:szCs w:val="18"/>
          <w:lang w:val="en-GB"/>
        </w:rPr>
        <w:t xml:space="preserve"> Nutr</w:t>
      </w:r>
      <w:r>
        <w:rPr>
          <w:rFonts w:cs="AdvTTbf56cded.I"/>
          <w:color w:val="auto"/>
          <w:szCs w:val="18"/>
          <w:lang w:val="en-GB"/>
        </w:rPr>
        <w:t>ition and</w:t>
      </w:r>
      <w:r w:rsidRPr="00067BD0">
        <w:rPr>
          <w:rFonts w:cs="AdvTTbf56cded.I"/>
          <w:color w:val="auto"/>
          <w:szCs w:val="18"/>
          <w:lang w:val="en-GB"/>
        </w:rPr>
        <w:t xml:space="preserve"> Metab</w:t>
      </w:r>
      <w:r>
        <w:rPr>
          <w:rFonts w:cs="AdvTTbf56cded.I"/>
          <w:color w:val="auto"/>
          <w:szCs w:val="18"/>
          <w:lang w:val="en-GB"/>
        </w:rPr>
        <w:t xml:space="preserve">olism 1999, </w:t>
      </w:r>
      <w:r w:rsidRPr="00067BD0">
        <w:rPr>
          <w:rFonts w:cs="AdvTT532d99f6.B"/>
          <w:color w:val="auto"/>
          <w:szCs w:val="18"/>
          <w:lang w:val="en-GB"/>
        </w:rPr>
        <w:t>43</w:t>
      </w:r>
      <w:r w:rsidRPr="00067BD0">
        <w:rPr>
          <w:rFonts w:cs="AdvTT2a1c7c1f"/>
          <w:color w:val="auto"/>
          <w:szCs w:val="18"/>
          <w:lang w:val="en-GB"/>
        </w:rPr>
        <w:t>, 127</w:t>
      </w:r>
      <w:r>
        <w:rPr>
          <w:rFonts w:cs="AdvTT2a1c7c1f+20"/>
          <w:color w:val="auto"/>
          <w:szCs w:val="18"/>
          <w:lang w:val="en-GB"/>
        </w:rPr>
        <w:t>-</w:t>
      </w:r>
      <w:r w:rsidRPr="00067BD0">
        <w:rPr>
          <w:rFonts w:cs="AdvTT2a1c7c1f"/>
          <w:color w:val="auto"/>
          <w:szCs w:val="18"/>
          <w:lang w:val="en-GB"/>
        </w:rPr>
        <w:t>130.</w:t>
      </w:r>
    </w:p>
    <w:p w14:paraId="4C3E15E1" w14:textId="77777777" w:rsidR="00BE1525" w:rsidRDefault="00293718" w:rsidP="00BE1525">
      <w:pPr>
        <w:pStyle w:val="MDPI63Notes"/>
        <w:spacing w:before="0" w:line="240" w:lineRule="auto"/>
        <w:ind w:left="510" w:hanging="510"/>
        <w:rPr>
          <w:rFonts w:cs="AdvTT2a1c7c1f"/>
          <w:szCs w:val="18"/>
          <w:lang w:val="en-GB"/>
        </w:rPr>
      </w:pPr>
      <w:r>
        <w:rPr>
          <w:rFonts w:cs="AdvTT2a1c7c1f"/>
          <w:color w:val="auto"/>
          <w:szCs w:val="18"/>
          <w:lang w:val="en-GB"/>
        </w:rPr>
        <w:t>31.</w:t>
      </w:r>
      <w:r>
        <w:rPr>
          <w:rFonts w:cs="AdvTT2a1c7c1f"/>
          <w:color w:val="auto"/>
          <w:szCs w:val="18"/>
          <w:lang w:val="en-GB"/>
        </w:rPr>
        <w:tab/>
      </w:r>
      <w:r w:rsidRPr="00067BD0">
        <w:rPr>
          <w:rFonts w:cs="AdvTT2a1c7c1f"/>
          <w:szCs w:val="18"/>
          <w:lang w:val="en-GB"/>
        </w:rPr>
        <w:t>National Health and Medical Research Council</w:t>
      </w:r>
      <w:r>
        <w:rPr>
          <w:rFonts w:cs="AdvTT2a1c7c1f"/>
          <w:szCs w:val="18"/>
          <w:lang w:val="en-GB"/>
        </w:rPr>
        <w:t>;</w:t>
      </w:r>
      <w:r w:rsidRPr="00293718">
        <w:rPr>
          <w:rFonts w:cs="AdvTT2a1c7c1f"/>
          <w:szCs w:val="18"/>
          <w:lang w:val="en-GB"/>
        </w:rPr>
        <w:t xml:space="preserve"> </w:t>
      </w:r>
      <w:r w:rsidRPr="00067BD0">
        <w:rPr>
          <w:rFonts w:eastAsia="Garamond-Light" w:cs="Garamond-Light"/>
          <w:color w:val="auto"/>
          <w:szCs w:val="18"/>
          <w:lang w:val="en-GB"/>
        </w:rPr>
        <w:t>Australian Government Department</w:t>
      </w:r>
      <w:r>
        <w:rPr>
          <w:rFonts w:eastAsia="Garamond-Light" w:cs="Garamond-Light"/>
          <w:color w:val="auto"/>
          <w:szCs w:val="18"/>
          <w:lang w:val="en-GB"/>
        </w:rPr>
        <w:t xml:space="preserve"> </w:t>
      </w:r>
      <w:r w:rsidRPr="00067BD0">
        <w:rPr>
          <w:rFonts w:eastAsia="Garamond-Light" w:cs="Garamond-Light"/>
          <w:color w:val="auto"/>
          <w:szCs w:val="18"/>
          <w:lang w:val="en-GB"/>
        </w:rPr>
        <w:t>of Health and Ageing</w:t>
      </w:r>
      <w:r>
        <w:rPr>
          <w:rFonts w:eastAsia="Garamond-Light" w:cs="Garamond-Light"/>
          <w:color w:val="auto"/>
          <w:szCs w:val="18"/>
          <w:lang w:val="en-GB"/>
        </w:rPr>
        <w:t>;</w:t>
      </w:r>
      <w:r w:rsidRPr="00067BD0">
        <w:rPr>
          <w:rFonts w:eastAsia="Garamond-Light" w:cs="Garamond-Light"/>
          <w:color w:val="auto"/>
          <w:szCs w:val="18"/>
          <w:lang w:val="en-GB"/>
        </w:rPr>
        <w:t xml:space="preserve"> New Zealand Ministry of Health</w:t>
      </w:r>
      <w:r w:rsidRPr="00293718">
        <w:rPr>
          <w:rFonts w:cs="AdvTT2a1c7c1f"/>
          <w:szCs w:val="18"/>
          <w:lang w:val="en-GB"/>
        </w:rPr>
        <w:t xml:space="preserve">. </w:t>
      </w:r>
      <w:r w:rsidRPr="00067BD0">
        <w:rPr>
          <w:rFonts w:cs="AdvTT2a1c7c1f"/>
          <w:szCs w:val="18"/>
          <w:lang w:val="en-GB"/>
        </w:rPr>
        <w:t>Nutrient reference values for Australia and New</w:t>
      </w:r>
      <w:r w:rsidRPr="00293718">
        <w:rPr>
          <w:rFonts w:cs="AdvTT2a1c7c1f"/>
          <w:szCs w:val="18"/>
          <w:lang w:val="en-GB"/>
        </w:rPr>
        <w:t xml:space="preserve"> </w:t>
      </w:r>
      <w:r w:rsidRPr="00067BD0">
        <w:rPr>
          <w:rFonts w:cs="AdvTT2a1c7c1f"/>
          <w:szCs w:val="18"/>
          <w:lang w:val="en-GB"/>
        </w:rPr>
        <w:t>Zealand including recommended dietary intakes.</w:t>
      </w:r>
      <w:r w:rsidRPr="00293718">
        <w:rPr>
          <w:rFonts w:cs="AdvTT2a1c7c1f"/>
          <w:szCs w:val="18"/>
          <w:lang w:val="en-GB"/>
        </w:rPr>
        <w:t xml:space="preserve"> 2006</w:t>
      </w:r>
      <w:r w:rsidR="00BE1525">
        <w:rPr>
          <w:rFonts w:cs="AdvTT2a1c7c1f"/>
          <w:szCs w:val="18"/>
          <w:lang w:val="en-GB"/>
        </w:rPr>
        <w:t>, National Health and Medical Research Council, Canberra</w:t>
      </w:r>
      <w:r w:rsidRPr="00293718">
        <w:rPr>
          <w:rFonts w:cs="AdvTT2a1c7c1f"/>
          <w:szCs w:val="18"/>
          <w:lang w:val="en-GB"/>
        </w:rPr>
        <w:t xml:space="preserve">. </w:t>
      </w:r>
    </w:p>
    <w:p w14:paraId="0172AAA8" w14:textId="77777777" w:rsidR="00BE1525" w:rsidRDefault="00BE1525" w:rsidP="00BE1525">
      <w:pPr>
        <w:pStyle w:val="MDPI63Notes"/>
        <w:spacing w:before="0" w:line="240" w:lineRule="auto"/>
        <w:ind w:left="510" w:hanging="510"/>
        <w:rPr>
          <w:rFonts w:eastAsia="Times New Roman" w:cs="Segoe UI"/>
          <w:color w:val="000000" w:themeColor="text1"/>
          <w:szCs w:val="18"/>
          <w:lang w:val="en-GB" w:eastAsia="en-GB"/>
        </w:rPr>
      </w:pPr>
      <w:r>
        <w:rPr>
          <w:rFonts w:cs="AdvTT2a1c7c1f"/>
          <w:szCs w:val="18"/>
          <w:lang w:val="en-GB"/>
        </w:rPr>
        <w:t>32.</w:t>
      </w:r>
      <w:r>
        <w:rPr>
          <w:rFonts w:cs="AdvTT2a1c7c1f"/>
          <w:szCs w:val="18"/>
          <w:lang w:val="en-GB"/>
        </w:rPr>
        <w:tab/>
      </w:r>
      <w:r w:rsidRPr="00BE1525">
        <w:rPr>
          <w:rFonts w:eastAsia="Times New Roman"/>
          <w:color w:val="000000" w:themeColor="text1"/>
          <w:szCs w:val="18"/>
          <w:lang w:val="en-GB" w:eastAsia="en-GB"/>
        </w:rPr>
        <w:t>Sands</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S</w:t>
      </w:r>
      <w:r>
        <w:rPr>
          <w:rFonts w:eastAsia="Times New Roman"/>
          <w:color w:val="000000" w:themeColor="text1"/>
          <w:szCs w:val="18"/>
          <w:lang w:val="en-GB" w:eastAsia="en-GB"/>
        </w:rPr>
        <w:t>.</w:t>
      </w:r>
      <w:r w:rsidRPr="00BE1525">
        <w:rPr>
          <w:rFonts w:eastAsia="Times New Roman"/>
          <w:color w:val="000000" w:themeColor="text1"/>
          <w:szCs w:val="18"/>
          <w:lang w:val="en-GB" w:eastAsia="en-GB"/>
        </w:rPr>
        <w:t>A</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Reid</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K</w:t>
      </w:r>
      <w:r>
        <w:rPr>
          <w:rFonts w:eastAsia="Times New Roman"/>
          <w:color w:val="000000" w:themeColor="text1"/>
          <w:szCs w:val="18"/>
          <w:lang w:val="en-GB" w:eastAsia="en-GB"/>
        </w:rPr>
        <w:t>.</w:t>
      </w:r>
      <w:r w:rsidRPr="00BE1525">
        <w:rPr>
          <w:rFonts w:eastAsia="Times New Roman"/>
          <w:color w:val="000000" w:themeColor="text1"/>
          <w:szCs w:val="18"/>
          <w:lang w:val="en-GB" w:eastAsia="en-GB"/>
        </w:rPr>
        <w:t>J</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Windsor</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S</w:t>
      </w:r>
      <w:r>
        <w:rPr>
          <w:rFonts w:eastAsia="Times New Roman"/>
          <w:color w:val="000000" w:themeColor="text1"/>
          <w:szCs w:val="18"/>
          <w:lang w:val="en-GB" w:eastAsia="en-GB"/>
        </w:rPr>
        <w:t>.</w:t>
      </w:r>
      <w:r w:rsidRPr="00BE1525">
        <w:rPr>
          <w:rFonts w:eastAsia="Times New Roman"/>
          <w:color w:val="000000" w:themeColor="text1"/>
          <w:szCs w:val="18"/>
          <w:lang w:val="en-GB" w:eastAsia="en-GB"/>
        </w:rPr>
        <w:t>L</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Harris</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W</w:t>
      </w:r>
      <w:r>
        <w:rPr>
          <w:rFonts w:eastAsia="Times New Roman"/>
          <w:color w:val="000000" w:themeColor="text1"/>
          <w:szCs w:val="18"/>
          <w:lang w:val="en-GB" w:eastAsia="en-GB"/>
        </w:rPr>
        <w:t>.</w:t>
      </w:r>
      <w:r w:rsidRPr="00BE1525">
        <w:rPr>
          <w:rFonts w:eastAsia="Times New Roman"/>
          <w:color w:val="000000" w:themeColor="text1"/>
          <w:szCs w:val="18"/>
          <w:lang w:val="en-GB" w:eastAsia="en-GB"/>
        </w:rPr>
        <w:t>S</w:t>
      </w:r>
      <w:r>
        <w:rPr>
          <w:rFonts w:eastAsia="Times New Roman"/>
          <w:color w:val="000000" w:themeColor="text1"/>
          <w:szCs w:val="18"/>
          <w:lang w:val="en-GB" w:eastAsia="en-GB"/>
        </w:rPr>
        <w:t>.</w:t>
      </w:r>
      <w:r w:rsidRPr="00BE1525">
        <w:rPr>
          <w:rFonts w:eastAsia="Times New Roman"/>
          <w:color w:val="000000" w:themeColor="text1"/>
          <w:szCs w:val="18"/>
          <w:lang w:val="en-GB" w:eastAsia="en-GB"/>
        </w:rPr>
        <w:t xml:space="preserve"> </w:t>
      </w:r>
      <w:hyperlink r:id="rId10" w:history="1">
        <w:r w:rsidRPr="00067BD0">
          <w:rPr>
            <w:rFonts w:eastAsia="Times New Roman" w:cs="Segoe UI"/>
            <w:color w:val="000000" w:themeColor="text1"/>
            <w:szCs w:val="18"/>
            <w:shd w:val="clear" w:color="auto" w:fill="FFFFFF"/>
            <w:lang w:val="en-GB" w:eastAsia="en-GB"/>
          </w:rPr>
          <w:t>The impact of age, body mass index, and fish intake on the EPA and DHA content of human erythrocytes.</w:t>
        </w:r>
      </w:hyperlink>
      <w:r>
        <w:rPr>
          <w:rFonts w:eastAsia="Times New Roman"/>
          <w:color w:val="000000" w:themeColor="text1"/>
          <w:szCs w:val="18"/>
          <w:lang w:val="en-GB" w:eastAsia="en-GB"/>
        </w:rPr>
        <w:t xml:space="preserve"> </w:t>
      </w:r>
      <w:r w:rsidRPr="00067BD0">
        <w:rPr>
          <w:rFonts w:eastAsia="Times New Roman" w:cs="Segoe UI"/>
          <w:color w:val="000000" w:themeColor="text1"/>
          <w:szCs w:val="18"/>
          <w:lang w:val="en-GB" w:eastAsia="en-GB"/>
        </w:rPr>
        <w:t>Lipids 2005</w:t>
      </w:r>
      <w:r>
        <w:rPr>
          <w:rFonts w:eastAsia="Times New Roman" w:cs="Segoe UI"/>
          <w:color w:val="000000" w:themeColor="text1"/>
          <w:szCs w:val="18"/>
          <w:lang w:val="en-GB" w:eastAsia="en-GB"/>
        </w:rPr>
        <w:t xml:space="preserve">, </w:t>
      </w:r>
      <w:r w:rsidRPr="00067BD0">
        <w:rPr>
          <w:rFonts w:eastAsia="Times New Roman" w:cs="Segoe UI"/>
          <w:color w:val="000000" w:themeColor="text1"/>
          <w:szCs w:val="18"/>
          <w:lang w:val="en-GB" w:eastAsia="en-GB"/>
        </w:rPr>
        <w:t>40</w:t>
      </w:r>
      <w:r>
        <w:rPr>
          <w:rFonts w:eastAsia="Times New Roman" w:cs="Segoe UI"/>
          <w:color w:val="000000" w:themeColor="text1"/>
          <w:szCs w:val="18"/>
          <w:lang w:val="en-GB" w:eastAsia="en-GB"/>
        </w:rPr>
        <w:t xml:space="preserve">, </w:t>
      </w:r>
      <w:r w:rsidRPr="00067BD0">
        <w:rPr>
          <w:rFonts w:eastAsia="Times New Roman" w:cs="Segoe UI"/>
          <w:color w:val="000000" w:themeColor="text1"/>
          <w:szCs w:val="18"/>
          <w:lang w:val="en-GB" w:eastAsia="en-GB"/>
        </w:rPr>
        <w:t>343-</w:t>
      </w:r>
      <w:r>
        <w:rPr>
          <w:rFonts w:eastAsia="Times New Roman" w:cs="Segoe UI"/>
          <w:color w:val="000000" w:themeColor="text1"/>
          <w:szCs w:val="18"/>
          <w:lang w:val="en-GB" w:eastAsia="en-GB"/>
        </w:rPr>
        <w:t>34</w:t>
      </w:r>
      <w:r w:rsidRPr="00067BD0">
        <w:rPr>
          <w:rFonts w:eastAsia="Times New Roman" w:cs="Segoe UI"/>
          <w:color w:val="000000" w:themeColor="text1"/>
          <w:szCs w:val="18"/>
          <w:lang w:val="en-GB" w:eastAsia="en-GB"/>
        </w:rPr>
        <w:t>7.</w:t>
      </w:r>
    </w:p>
    <w:p w14:paraId="2F8C248E" w14:textId="13C35493" w:rsidR="00BE1525" w:rsidRPr="00067BD0" w:rsidRDefault="00BE1525" w:rsidP="00BE1525">
      <w:pPr>
        <w:pStyle w:val="MDPI63Notes"/>
        <w:spacing w:before="0" w:line="240" w:lineRule="auto"/>
        <w:ind w:left="510" w:hanging="510"/>
        <w:rPr>
          <w:rFonts w:cs="AdvTT2a1c7c1f"/>
          <w:color w:val="auto"/>
          <w:szCs w:val="18"/>
          <w:lang w:val="en-GB"/>
        </w:rPr>
      </w:pPr>
      <w:r>
        <w:rPr>
          <w:rFonts w:cs="AdvTT2a1c7c1f"/>
          <w:szCs w:val="18"/>
          <w:lang w:val="en-GB"/>
        </w:rPr>
        <w:t>33.</w:t>
      </w:r>
      <w:r>
        <w:rPr>
          <w:rFonts w:cs="URWPalladioL-Roma"/>
          <w:color w:val="auto"/>
          <w:szCs w:val="18"/>
          <w:lang w:val="en-GB"/>
        </w:rPr>
        <w:tab/>
      </w:r>
      <w:r w:rsidRPr="00067BD0">
        <w:rPr>
          <w:rFonts w:cs="URWPalladioL-Roma"/>
          <w:color w:val="auto"/>
          <w:szCs w:val="18"/>
          <w:lang w:val="en-GB"/>
        </w:rPr>
        <w:t>Browning, L.M.; Walker, C.G.; Mander, A.P.; West, A.L.; Madden, J.; Gambell, J.M.; Young, S.; Wang, L.;</w:t>
      </w:r>
      <w:r>
        <w:rPr>
          <w:rFonts w:cs="URWPalladioL-Roma"/>
          <w:color w:val="auto"/>
          <w:szCs w:val="18"/>
          <w:lang w:val="en-GB"/>
        </w:rPr>
        <w:t xml:space="preserve"> </w:t>
      </w:r>
      <w:r w:rsidRPr="00067BD0">
        <w:rPr>
          <w:rFonts w:cs="URWPalladioL-Roma"/>
          <w:color w:val="auto"/>
          <w:szCs w:val="18"/>
          <w:lang w:val="en-GB"/>
        </w:rPr>
        <w:t>Jebb, S.A.; Calder, P.C. Incorporation of eicosapentaenoic and docosahexaenoic acids into lipid pools when</w:t>
      </w:r>
      <w:r>
        <w:rPr>
          <w:rFonts w:cs="URWPalladioL-Roma"/>
          <w:color w:val="auto"/>
          <w:szCs w:val="18"/>
          <w:lang w:val="en-GB"/>
        </w:rPr>
        <w:t xml:space="preserve"> </w:t>
      </w:r>
      <w:r w:rsidRPr="00067BD0">
        <w:rPr>
          <w:rFonts w:cs="URWPalladioL-Roma"/>
          <w:color w:val="auto"/>
          <w:szCs w:val="18"/>
          <w:lang w:val="en-GB"/>
        </w:rPr>
        <w:t xml:space="preserve">given as supplements providing doses equivalent to typical intakes of oily fish. </w:t>
      </w:r>
      <w:r w:rsidRPr="00067BD0">
        <w:rPr>
          <w:rFonts w:cs="URWPalladioL-Ital"/>
          <w:color w:val="auto"/>
          <w:szCs w:val="18"/>
          <w:lang w:val="en-GB"/>
        </w:rPr>
        <w:t>Am</w:t>
      </w:r>
      <w:r>
        <w:rPr>
          <w:rFonts w:cs="URWPalladioL-Ital"/>
          <w:color w:val="auto"/>
          <w:szCs w:val="18"/>
          <w:lang w:val="en-GB"/>
        </w:rPr>
        <w:t>erican</w:t>
      </w:r>
      <w:r w:rsidRPr="00067BD0">
        <w:rPr>
          <w:rFonts w:cs="URWPalladioL-Ital"/>
          <w:color w:val="auto"/>
          <w:szCs w:val="18"/>
          <w:lang w:val="en-GB"/>
        </w:rPr>
        <w:t xml:space="preserve"> J</w:t>
      </w:r>
      <w:r>
        <w:rPr>
          <w:rFonts w:cs="URWPalladioL-Ital"/>
          <w:color w:val="auto"/>
          <w:szCs w:val="18"/>
          <w:lang w:val="en-GB"/>
        </w:rPr>
        <w:t>ournal of</w:t>
      </w:r>
      <w:r w:rsidRPr="00067BD0">
        <w:rPr>
          <w:rFonts w:cs="URWPalladioL-Ital"/>
          <w:color w:val="auto"/>
          <w:szCs w:val="18"/>
          <w:lang w:val="en-GB"/>
        </w:rPr>
        <w:t xml:space="preserve"> Clin</w:t>
      </w:r>
      <w:r>
        <w:rPr>
          <w:rFonts w:cs="URWPalladioL-Ital"/>
          <w:color w:val="auto"/>
          <w:szCs w:val="18"/>
          <w:lang w:val="en-GB"/>
        </w:rPr>
        <w:t>ical</w:t>
      </w:r>
      <w:r w:rsidRPr="00067BD0">
        <w:rPr>
          <w:rFonts w:cs="URWPalladioL-Ital"/>
          <w:color w:val="auto"/>
          <w:szCs w:val="18"/>
          <w:lang w:val="en-GB"/>
        </w:rPr>
        <w:t xml:space="preserve"> Nutr</w:t>
      </w:r>
      <w:r>
        <w:rPr>
          <w:rFonts w:cs="URWPalladioL-Ital"/>
          <w:color w:val="auto"/>
          <w:szCs w:val="18"/>
          <w:lang w:val="en-GB"/>
        </w:rPr>
        <w:t>ition 2012</w:t>
      </w:r>
      <w:r w:rsidRPr="00067BD0">
        <w:rPr>
          <w:rFonts w:cs="URWPalladioL-Roma"/>
          <w:color w:val="auto"/>
          <w:szCs w:val="18"/>
          <w:lang w:val="en-GB"/>
        </w:rPr>
        <w:t xml:space="preserve">, </w:t>
      </w:r>
      <w:r w:rsidRPr="00067BD0">
        <w:rPr>
          <w:rFonts w:cs="URWPalladioL-Ital"/>
          <w:color w:val="auto"/>
          <w:szCs w:val="18"/>
          <w:lang w:val="en-GB"/>
        </w:rPr>
        <w:t>96</w:t>
      </w:r>
      <w:r w:rsidRPr="00067BD0">
        <w:rPr>
          <w:rFonts w:cs="URWPalladioL-Roma"/>
          <w:color w:val="auto"/>
          <w:szCs w:val="18"/>
          <w:lang w:val="en-GB"/>
        </w:rPr>
        <w:t>,</w:t>
      </w:r>
      <w:r>
        <w:rPr>
          <w:rFonts w:cs="URWPalladioL-Roma"/>
          <w:color w:val="auto"/>
          <w:szCs w:val="18"/>
          <w:lang w:val="en-GB"/>
        </w:rPr>
        <w:t xml:space="preserve"> </w:t>
      </w:r>
      <w:r w:rsidRPr="00067BD0">
        <w:rPr>
          <w:rFonts w:cs="URWPalladioL-Roma"/>
          <w:color w:val="auto"/>
          <w:szCs w:val="18"/>
          <w:lang w:val="en-GB"/>
        </w:rPr>
        <w:t>748</w:t>
      </w:r>
      <w:r>
        <w:rPr>
          <w:rFonts w:cs="URWPalladioL-Roma"/>
          <w:color w:val="auto"/>
          <w:szCs w:val="18"/>
          <w:lang w:val="en-GB"/>
        </w:rPr>
        <w:t>-</w:t>
      </w:r>
      <w:r w:rsidRPr="00067BD0">
        <w:rPr>
          <w:rFonts w:cs="URWPalladioL-Roma"/>
          <w:color w:val="auto"/>
          <w:szCs w:val="18"/>
          <w:lang w:val="en-GB"/>
        </w:rPr>
        <w:t>758.</w:t>
      </w:r>
    </w:p>
    <w:p w14:paraId="42A6B1E5" w14:textId="45795980"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3</w:t>
      </w:r>
      <w:r w:rsidR="00293848">
        <w:rPr>
          <w:rFonts w:eastAsia="Times New Roman"/>
          <w:snapToGrid/>
          <w:lang w:eastAsia="de-DE"/>
        </w:rPr>
        <w:t>4</w:t>
      </w:r>
      <w:r w:rsidR="00C1001F" w:rsidRPr="00C1001F">
        <w:rPr>
          <w:rFonts w:eastAsia="Times New Roman"/>
          <w:snapToGrid/>
          <w:lang w:eastAsia="de-DE"/>
        </w:rPr>
        <w:t>.</w:t>
      </w:r>
      <w:r w:rsidR="00C1001F" w:rsidRPr="00C1001F">
        <w:rPr>
          <w:rFonts w:eastAsia="Times New Roman"/>
          <w:snapToGrid/>
          <w:lang w:eastAsia="de-DE"/>
        </w:rPr>
        <w:tab/>
        <w:t xml:space="preserve">Djuricic, I.; Calder, P.C. Pros and cons of long-chain omega-3 polyunsaturated fatty acids in cardiovascular health. Annual </w:t>
      </w:r>
      <w:r w:rsidR="00C728C9">
        <w:rPr>
          <w:rFonts w:eastAsia="Times New Roman"/>
          <w:snapToGrid/>
          <w:lang w:eastAsia="de-DE"/>
        </w:rPr>
        <w:t>R</w:t>
      </w:r>
      <w:r w:rsidR="00C1001F" w:rsidRPr="00C1001F">
        <w:rPr>
          <w:rFonts w:eastAsia="Times New Roman"/>
          <w:snapToGrid/>
          <w:lang w:eastAsia="de-DE"/>
        </w:rPr>
        <w:t xml:space="preserve">eview of </w:t>
      </w:r>
      <w:r w:rsidR="00C728C9">
        <w:rPr>
          <w:rFonts w:eastAsia="Times New Roman"/>
          <w:snapToGrid/>
          <w:lang w:eastAsia="de-DE"/>
        </w:rPr>
        <w:t>P</w:t>
      </w:r>
      <w:r w:rsidR="00C1001F" w:rsidRPr="00C1001F">
        <w:rPr>
          <w:rFonts w:eastAsia="Times New Roman"/>
          <w:snapToGrid/>
          <w:lang w:eastAsia="de-DE"/>
        </w:rPr>
        <w:t xml:space="preserve">harmacology and </w:t>
      </w:r>
      <w:r w:rsidR="00C728C9">
        <w:rPr>
          <w:rFonts w:eastAsia="Times New Roman"/>
          <w:snapToGrid/>
          <w:lang w:eastAsia="de-DE"/>
        </w:rPr>
        <w:t>T</w:t>
      </w:r>
      <w:r w:rsidR="00C1001F" w:rsidRPr="00C1001F">
        <w:rPr>
          <w:rFonts w:eastAsia="Times New Roman"/>
          <w:snapToGrid/>
          <w:lang w:eastAsia="de-DE"/>
        </w:rPr>
        <w:t>oxicology 2023, 63, 383-406.</w:t>
      </w:r>
    </w:p>
    <w:p w14:paraId="10037C28" w14:textId="5B6B4FA0"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3</w:t>
      </w:r>
      <w:r w:rsidR="00293848">
        <w:rPr>
          <w:rFonts w:eastAsia="Times New Roman"/>
          <w:snapToGrid/>
          <w:lang w:eastAsia="de-DE"/>
        </w:rPr>
        <w:t>5.</w:t>
      </w:r>
      <w:r w:rsidR="00C1001F" w:rsidRPr="00C1001F">
        <w:rPr>
          <w:rFonts w:eastAsia="Times New Roman"/>
          <w:snapToGrid/>
          <w:lang w:eastAsia="de-DE"/>
        </w:rPr>
        <w:tab/>
        <w:t xml:space="preserve">Innes, J.K.; Calder, P.C. Marine omega-3 (N-3) fatty acids for cardiovascular health: an update for 2020. International journal of </w:t>
      </w:r>
      <w:r w:rsidR="00C728C9">
        <w:rPr>
          <w:rFonts w:eastAsia="Times New Roman"/>
          <w:snapToGrid/>
          <w:lang w:eastAsia="de-DE"/>
        </w:rPr>
        <w:t>M</w:t>
      </w:r>
      <w:r w:rsidR="00C1001F" w:rsidRPr="00C1001F">
        <w:rPr>
          <w:rFonts w:eastAsia="Times New Roman"/>
          <w:snapToGrid/>
          <w:lang w:eastAsia="de-DE"/>
        </w:rPr>
        <w:t xml:space="preserve">olecular </w:t>
      </w:r>
      <w:r w:rsidR="00C728C9">
        <w:rPr>
          <w:rFonts w:eastAsia="Times New Roman"/>
          <w:snapToGrid/>
          <w:lang w:eastAsia="de-DE"/>
        </w:rPr>
        <w:t>S</w:t>
      </w:r>
      <w:r w:rsidR="00C1001F" w:rsidRPr="00C1001F">
        <w:rPr>
          <w:rFonts w:eastAsia="Times New Roman"/>
          <w:snapToGrid/>
          <w:lang w:eastAsia="de-DE"/>
        </w:rPr>
        <w:t>ciences 2020, 21, 1362.</w:t>
      </w:r>
    </w:p>
    <w:p w14:paraId="70BEB576" w14:textId="3EDA9BF2"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3</w:t>
      </w:r>
      <w:r w:rsidR="00293848">
        <w:rPr>
          <w:rFonts w:eastAsia="Times New Roman"/>
          <w:snapToGrid/>
          <w:lang w:eastAsia="de-DE"/>
        </w:rPr>
        <w:t>6.</w:t>
      </w:r>
      <w:r w:rsidR="00C1001F" w:rsidRPr="00C1001F">
        <w:rPr>
          <w:rFonts w:eastAsia="Times New Roman"/>
          <w:snapToGrid/>
          <w:lang w:eastAsia="de-DE"/>
        </w:rPr>
        <w:tab/>
        <w:t xml:space="preserve">Oscarsson, J.; Hurt-Camejo, E. Omega-3 fatty acids eicosapentaenoic acid and docosahexaenoic acid and their mechanisms of action on apolipoprotein B-containing lipoproteins in humans: a review. Lipids in </w:t>
      </w:r>
      <w:r w:rsidR="00C728C9">
        <w:rPr>
          <w:rFonts w:eastAsia="Times New Roman"/>
          <w:snapToGrid/>
          <w:lang w:eastAsia="de-DE"/>
        </w:rPr>
        <w:t>H</w:t>
      </w:r>
      <w:r w:rsidR="00C1001F" w:rsidRPr="00C1001F">
        <w:rPr>
          <w:rFonts w:eastAsia="Times New Roman"/>
          <w:snapToGrid/>
          <w:lang w:eastAsia="de-DE"/>
        </w:rPr>
        <w:t xml:space="preserve">ealth and </w:t>
      </w:r>
      <w:r w:rsidR="00C728C9">
        <w:rPr>
          <w:rFonts w:eastAsia="Times New Roman"/>
          <w:snapToGrid/>
          <w:lang w:eastAsia="de-DE"/>
        </w:rPr>
        <w:t>D</w:t>
      </w:r>
      <w:r w:rsidR="00C1001F" w:rsidRPr="00C1001F">
        <w:rPr>
          <w:rFonts w:eastAsia="Times New Roman"/>
          <w:snapToGrid/>
          <w:lang w:eastAsia="de-DE"/>
        </w:rPr>
        <w:t>isease 2017, 16, 1-13.</w:t>
      </w:r>
    </w:p>
    <w:p w14:paraId="5F447324" w14:textId="639D5F30"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3</w:t>
      </w:r>
      <w:r w:rsidR="00293848">
        <w:rPr>
          <w:rFonts w:eastAsia="Times New Roman"/>
          <w:snapToGrid/>
          <w:lang w:eastAsia="de-DE"/>
        </w:rPr>
        <w:t>7.</w:t>
      </w:r>
      <w:r w:rsidR="00C1001F" w:rsidRPr="00C1001F">
        <w:rPr>
          <w:rFonts w:eastAsia="Times New Roman"/>
          <w:snapToGrid/>
          <w:lang w:eastAsia="de-DE"/>
        </w:rPr>
        <w:tab/>
        <w:t>Grevengoed, T.J.; Trammell, S.A.; Svenningsen, J.S.; Makarov, M.V.; Nielsen, T.S.; Jacobsen, J.C.B.; Treebak, J.T.; Calder, P.C.; Migaud, M.E.; Cravatt, B.F. An abundant biliary metabolite derived from dietary omega-3 polyunsaturated fatty acids regulates triglycerides. Journal of Clinical Investigation 2021, 131.</w:t>
      </w:r>
    </w:p>
    <w:p w14:paraId="60020EE8" w14:textId="2759B132"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3</w:t>
      </w:r>
      <w:r w:rsidR="00293848">
        <w:rPr>
          <w:rFonts w:eastAsia="Times New Roman"/>
          <w:snapToGrid/>
          <w:lang w:eastAsia="de-DE"/>
        </w:rPr>
        <w:t>8.</w:t>
      </w:r>
      <w:r w:rsidR="00C1001F" w:rsidRPr="00C1001F">
        <w:rPr>
          <w:rFonts w:eastAsia="Times New Roman"/>
          <w:snapToGrid/>
          <w:lang w:eastAsia="de-DE"/>
        </w:rPr>
        <w:tab/>
        <w:t xml:space="preserve">Allaire, J.; Couture, P.; Leclerc, M.; Charest, A.; Marin, J.; Lépine, M.-C.; Talbot, D.; Tchernof, A.; Lamarche, B. A randomized, crossover, head-to-head comparison of eicosapentaenoic acid and docosahexaenoic acid supplementation to reduce inflammation markers in men and women: the Comparing EPA to DHA (ComparED) Study. American </w:t>
      </w:r>
      <w:r w:rsidR="00C728C9">
        <w:rPr>
          <w:rFonts w:eastAsia="Times New Roman"/>
          <w:snapToGrid/>
          <w:lang w:eastAsia="de-DE"/>
        </w:rPr>
        <w:t>J</w:t>
      </w:r>
      <w:r w:rsidR="00C1001F" w:rsidRPr="00C1001F">
        <w:rPr>
          <w:rFonts w:eastAsia="Times New Roman"/>
          <w:snapToGrid/>
          <w:lang w:eastAsia="de-DE"/>
        </w:rPr>
        <w:t xml:space="preserve">ournal of </w:t>
      </w:r>
      <w:r w:rsidR="00C728C9">
        <w:rPr>
          <w:rFonts w:eastAsia="Times New Roman"/>
          <w:snapToGrid/>
          <w:lang w:eastAsia="de-DE"/>
        </w:rPr>
        <w:t>C</w:t>
      </w:r>
      <w:r w:rsidR="00C1001F" w:rsidRPr="00C1001F">
        <w:rPr>
          <w:rFonts w:eastAsia="Times New Roman"/>
          <w:snapToGrid/>
          <w:lang w:eastAsia="de-DE"/>
        </w:rPr>
        <w:t xml:space="preserve">linical </w:t>
      </w:r>
      <w:r w:rsidR="00C728C9">
        <w:rPr>
          <w:rFonts w:eastAsia="Times New Roman"/>
          <w:snapToGrid/>
          <w:lang w:eastAsia="de-DE"/>
        </w:rPr>
        <w:t>N</w:t>
      </w:r>
      <w:r w:rsidR="00C1001F" w:rsidRPr="00C1001F">
        <w:rPr>
          <w:rFonts w:eastAsia="Times New Roman"/>
          <w:snapToGrid/>
          <w:lang w:eastAsia="de-DE"/>
        </w:rPr>
        <w:t>utrition 2016, 104, 280-287.</w:t>
      </w:r>
    </w:p>
    <w:p w14:paraId="4A02CA86" w14:textId="36EF8F33"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3</w:t>
      </w:r>
      <w:r w:rsidR="00293848">
        <w:rPr>
          <w:rFonts w:eastAsia="Times New Roman"/>
          <w:snapToGrid/>
          <w:lang w:eastAsia="de-DE"/>
        </w:rPr>
        <w:t>9.</w:t>
      </w:r>
      <w:r w:rsidR="00C1001F" w:rsidRPr="00C1001F">
        <w:rPr>
          <w:rFonts w:eastAsia="Times New Roman"/>
          <w:snapToGrid/>
          <w:lang w:eastAsia="de-DE"/>
        </w:rPr>
        <w:tab/>
        <w:t>Innes, J.K.; Calder, P.C. The differential effects of eicosapentaenoic acid and docosahexaenoic acid on cardiometabolic risk factors: a systematic review. International journal of</w:t>
      </w:r>
      <w:r w:rsidR="00C728C9">
        <w:rPr>
          <w:rFonts w:eastAsia="Times New Roman"/>
          <w:snapToGrid/>
          <w:lang w:eastAsia="de-DE"/>
        </w:rPr>
        <w:t xml:space="preserve"> M</w:t>
      </w:r>
      <w:r w:rsidR="00C1001F" w:rsidRPr="00C1001F">
        <w:rPr>
          <w:rFonts w:eastAsia="Times New Roman"/>
          <w:snapToGrid/>
          <w:lang w:eastAsia="de-DE"/>
        </w:rPr>
        <w:t xml:space="preserve">olecular </w:t>
      </w:r>
      <w:r w:rsidR="00C728C9">
        <w:rPr>
          <w:rFonts w:eastAsia="Times New Roman"/>
          <w:snapToGrid/>
          <w:lang w:eastAsia="de-DE"/>
        </w:rPr>
        <w:t>S</w:t>
      </w:r>
      <w:r w:rsidR="00C1001F" w:rsidRPr="00C1001F">
        <w:rPr>
          <w:rFonts w:eastAsia="Times New Roman"/>
          <w:snapToGrid/>
          <w:lang w:eastAsia="de-DE"/>
        </w:rPr>
        <w:t>ciences 2018, 19, 532.</w:t>
      </w:r>
    </w:p>
    <w:p w14:paraId="68205443" w14:textId="1F556EAC"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0.</w:t>
      </w:r>
      <w:r w:rsidR="00C1001F" w:rsidRPr="00C1001F">
        <w:rPr>
          <w:rFonts w:eastAsia="Times New Roman"/>
          <w:snapToGrid/>
          <w:lang w:eastAsia="de-DE"/>
        </w:rPr>
        <w:tab/>
        <w:t xml:space="preserve">Woodman, R.J.; Mori, T.A.; Burke, V.; Puddey, I.B.; Watts, G.F.; Beilin, L.J. Effects of purified eicosapentaenoic and docosahexaenoic acids on glycemic control, blood pressure, and serum lipids in type 2 diabetic patients with treated hypertension. American </w:t>
      </w:r>
      <w:r w:rsidR="00C728C9">
        <w:rPr>
          <w:rFonts w:eastAsia="Times New Roman"/>
          <w:snapToGrid/>
          <w:lang w:eastAsia="de-DE"/>
        </w:rPr>
        <w:t>J</w:t>
      </w:r>
      <w:r w:rsidR="00C1001F" w:rsidRPr="00C1001F">
        <w:rPr>
          <w:rFonts w:eastAsia="Times New Roman"/>
          <w:snapToGrid/>
          <w:lang w:eastAsia="de-DE"/>
        </w:rPr>
        <w:t xml:space="preserve">ournal of </w:t>
      </w:r>
      <w:r w:rsidR="00C728C9">
        <w:rPr>
          <w:rFonts w:eastAsia="Times New Roman"/>
          <w:snapToGrid/>
          <w:lang w:eastAsia="de-DE"/>
        </w:rPr>
        <w:t>C</w:t>
      </w:r>
      <w:r w:rsidR="00C1001F" w:rsidRPr="00C1001F">
        <w:rPr>
          <w:rFonts w:eastAsia="Times New Roman"/>
          <w:snapToGrid/>
          <w:lang w:eastAsia="de-DE"/>
        </w:rPr>
        <w:t xml:space="preserve">linical </w:t>
      </w:r>
      <w:r w:rsidR="00C728C9">
        <w:rPr>
          <w:rFonts w:eastAsia="Times New Roman"/>
          <w:snapToGrid/>
          <w:lang w:eastAsia="de-DE"/>
        </w:rPr>
        <w:t>N</w:t>
      </w:r>
      <w:r w:rsidR="00C1001F" w:rsidRPr="00C1001F">
        <w:rPr>
          <w:rFonts w:eastAsia="Times New Roman"/>
          <w:snapToGrid/>
          <w:lang w:eastAsia="de-DE"/>
        </w:rPr>
        <w:t>utrition 2002, 76, 1007-1015.</w:t>
      </w:r>
    </w:p>
    <w:p w14:paraId="3B4D8986" w14:textId="2B83797A"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lastRenderedPageBreak/>
        <w:t>4</w:t>
      </w:r>
      <w:r w:rsidR="00293848">
        <w:rPr>
          <w:rFonts w:eastAsia="Times New Roman"/>
          <w:snapToGrid/>
          <w:lang w:eastAsia="de-DE"/>
        </w:rPr>
        <w:t>1.</w:t>
      </w:r>
      <w:r w:rsidR="00C1001F" w:rsidRPr="00C1001F">
        <w:rPr>
          <w:rFonts w:eastAsia="Times New Roman"/>
          <w:snapToGrid/>
          <w:lang w:eastAsia="de-DE"/>
        </w:rPr>
        <w:tab/>
        <w:t xml:space="preserve">Mori, T.A.; Burke, V.; Puddey, I.B.; Watts, G.F.; O'Neal, D.N.; Best, J.D.; Beilin, L.J. Purified eicosapentaenoic and docosahexaenoic acids have differential effects on serum lipids and lipoproteins, LDL particle size, glucose, and insulin in mildly hyperlipidemic men. American </w:t>
      </w:r>
      <w:r w:rsidR="00C728C9">
        <w:rPr>
          <w:rFonts w:eastAsia="Times New Roman"/>
          <w:snapToGrid/>
          <w:lang w:eastAsia="de-DE"/>
        </w:rPr>
        <w:t>J</w:t>
      </w:r>
      <w:r w:rsidR="00C1001F" w:rsidRPr="00C1001F">
        <w:rPr>
          <w:rFonts w:eastAsia="Times New Roman"/>
          <w:snapToGrid/>
          <w:lang w:eastAsia="de-DE"/>
        </w:rPr>
        <w:t xml:space="preserve">ournal of </w:t>
      </w:r>
      <w:r w:rsidR="00C728C9">
        <w:rPr>
          <w:rFonts w:eastAsia="Times New Roman"/>
          <w:snapToGrid/>
          <w:lang w:eastAsia="de-DE"/>
        </w:rPr>
        <w:t>C</w:t>
      </w:r>
      <w:r w:rsidR="00C1001F" w:rsidRPr="00C1001F">
        <w:rPr>
          <w:rFonts w:eastAsia="Times New Roman"/>
          <w:snapToGrid/>
          <w:lang w:eastAsia="de-DE"/>
        </w:rPr>
        <w:t xml:space="preserve">linical </w:t>
      </w:r>
      <w:r w:rsidR="00C728C9">
        <w:rPr>
          <w:rFonts w:eastAsia="Times New Roman"/>
          <w:snapToGrid/>
          <w:lang w:eastAsia="de-DE"/>
        </w:rPr>
        <w:t>N</w:t>
      </w:r>
      <w:r w:rsidR="00C1001F" w:rsidRPr="00C1001F">
        <w:rPr>
          <w:rFonts w:eastAsia="Times New Roman"/>
          <w:snapToGrid/>
          <w:lang w:eastAsia="de-DE"/>
        </w:rPr>
        <w:t>utrition 2000, 71, 1085-1094.</w:t>
      </w:r>
    </w:p>
    <w:p w14:paraId="28A1A4D6" w14:textId="6DD8119D"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2.</w:t>
      </w:r>
      <w:r w:rsidR="00C1001F" w:rsidRPr="00C1001F">
        <w:rPr>
          <w:rFonts w:eastAsia="Times New Roman"/>
          <w:snapToGrid/>
          <w:lang w:eastAsia="de-DE"/>
        </w:rPr>
        <w:tab/>
        <w:t xml:space="preserve">Sniderman, A.D.; Navar, A.M.; Thanassoulis, G. Apolipoprotein B vs low-density lipoprotein cholesterol and non–high-density lipoprotein cholesterol as the primary measure of apolipoprotein B lipoprotein-related risk: the debate is over. JAMA </w:t>
      </w:r>
      <w:r w:rsidR="00C728C9">
        <w:rPr>
          <w:rFonts w:eastAsia="Times New Roman"/>
          <w:snapToGrid/>
          <w:lang w:eastAsia="de-DE"/>
        </w:rPr>
        <w:t>C</w:t>
      </w:r>
      <w:r w:rsidR="00C1001F" w:rsidRPr="00C1001F">
        <w:rPr>
          <w:rFonts w:eastAsia="Times New Roman"/>
          <w:snapToGrid/>
          <w:lang w:eastAsia="de-DE"/>
        </w:rPr>
        <w:t>ardiology 2022, 7, 257-258.</w:t>
      </w:r>
    </w:p>
    <w:p w14:paraId="5C3D6056" w14:textId="15289B24"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3.</w:t>
      </w:r>
      <w:r w:rsidR="00C1001F" w:rsidRPr="00C1001F">
        <w:rPr>
          <w:rFonts w:eastAsia="Times New Roman"/>
          <w:snapToGrid/>
          <w:lang w:eastAsia="de-DE"/>
        </w:rPr>
        <w:tab/>
        <w:t>Sherratt, S.C.; Juliano, R.A.; Mason, R.P. Eicosapentaenoic acid (EPA) has optimal chain length and degree of unsaturation to inhibit oxidation of small dense LDL and membrane cholesterol domains as compared to related fatty acids in vitro. Biochimica et Biophysica Acta (BBA)-Biomembranes 2020, 1862, 183254.</w:t>
      </w:r>
    </w:p>
    <w:p w14:paraId="39A59EBB" w14:textId="51D46528"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4.</w:t>
      </w:r>
      <w:r w:rsidR="00C1001F" w:rsidRPr="00C1001F">
        <w:rPr>
          <w:rFonts w:eastAsia="Times New Roman"/>
          <w:snapToGrid/>
          <w:lang w:eastAsia="de-DE"/>
        </w:rPr>
        <w:tab/>
        <w:t>Sherratt, S.C.; Juliano, R.A.; Copland, C.; Bhatt, D.L.; Libby, P.; Mason, R.P. EPA and DHA containing phospholipids have contrasting effects on membrane structure. Journal of Lipid Research 2021, 62</w:t>
      </w:r>
      <w:r w:rsidR="00C728C9">
        <w:rPr>
          <w:rFonts w:eastAsia="Times New Roman"/>
          <w:snapToGrid/>
          <w:lang w:eastAsia="de-DE"/>
        </w:rPr>
        <w:t>, 100106</w:t>
      </w:r>
      <w:r w:rsidR="00C1001F" w:rsidRPr="00C1001F">
        <w:rPr>
          <w:rFonts w:eastAsia="Times New Roman"/>
          <w:snapToGrid/>
          <w:lang w:eastAsia="de-DE"/>
        </w:rPr>
        <w:t>.</w:t>
      </w:r>
    </w:p>
    <w:p w14:paraId="21C73D75" w14:textId="5C398865"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5.</w:t>
      </w:r>
      <w:r w:rsidR="00C1001F" w:rsidRPr="00C1001F">
        <w:rPr>
          <w:rFonts w:eastAsia="Times New Roman"/>
          <w:snapToGrid/>
          <w:lang w:eastAsia="de-DE"/>
        </w:rPr>
        <w:tab/>
        <w:t>Jacobs, M.L.; Faizi, H.A.; Peruzzi, J.A.; Vlahovska, P.M.; Kamat, N.P. EPA and DHA differentially modulate membrane elasticity in the presence of cholesterol. Biophysical Journal 2021, 120, 2317-2329.</w:t>
      </w:r>
    </w:p>
    <w:p w14:paraId="738D7CF4" w14:textId="263274DE"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6.</w:t>
      </w:r>
      <w:r w:rsidR="00C1001F" w:rsidRPr="00C1001F">
        <w:rPr>
          <w:rFonts w:eastAsia="Times New Roman"/>
          <w:snapToGrid/>
          <w:lang w:eastAsia="de-DE"/>
        </w:rPr>
        <w:tab/>
        <w:t>Mason, R.P.; Jacob, R.F.; Shrivastava, S.; Sherratt, S.C.; Chattopadhyay, A. Eicosapentaenoic acid reduces membrane fluidity, inhibits cholesterol domain formation, and normalizes bilayer width in atherosclerotic-like model membranes. Biochimica et Biophysica Acta (BBA)-Biomembranes 2016, 1858, 3131-3140.</w:t>
      </w:r>
    </w:p>
    <w:p w14:paraId="15FF9979" w14:textId="78BA2AE2" w:rsidR="00C1001F" w:rsidRPr="00C1001F" w:rsidRDefault="00BE1525" w:rsidP="00C1001F">
      <w:pPr>
        <w:pStyle w:val="MDPI63Notes"/>
        <w:spacing w:before="0"/>
        <w:rPr>
          <w:rFonts w:eastAsia="Times New Roman"/>
          <w:snapToGrid/>
          <w:lang w:eastAsia="de-DE"/>
        </w:rPr>
      </w:pPr>
      <w:r>
        <w:rPr>
          <w:rFonts w:eastAsia="Times New Roman"/>
          <w:snapToGrid/>
          <w:lang w:eastAsia="de-DE"/>
        </w:rPr>
        <w:t>4</w:t>
      </w:r>
      <w:r w:rsidR="00293848">
        <w:rPr>
          <w:rFonts w:eastAsia="Times New Roman"/>
          <w:snapToGrid/>
          <w:lang w:eastAsia="de-DE"/>
        </w:rPr>
        <w:t>7.</w:t>
      </w:r>
      <w:r w:rsidR="00C1001F" w:rsidRPr="00C1001F">
        <w:rPr>
          <w:rFonts w:eastAsia="Times New Roman"/>
          <w:snapToGrid/>
          <w:lang w:eastAsia="de-DE"/>
        </w:rPr>
        <w:tab/>
        <w:t>Glass, C.K.; Witztum, J.L. Atherosclerosis: the road ahead. Cell 2001, 104, 503-516.</w:t>
      </w:r>
    </w:p>
    <w:p w14:paraId="09AF821D" w14:textId="190C0FD3" w:rsidR="00C1001F" w:rsidRPr="00C1001F" w:rsidRDefault="00BE1525" w:rsidP="00C1001F">
      <w:pPr>
        <w:pStyle w:val="MDPI63Notes"/>
        <w:spacing w:before="0"/>
        <w:rPr>
          <w:rFonts w:eastAsia="Times New Roman"/>
          <w:snapToGrid/>
          <w:lang w:eastAsia="de-DE"/>
        </w:rPr>
      </w:pPr>
      <w:r>
        <w:rPr>
          <w:rFonts w:eastAsia="Times New Roman"/>
          <w:snapToGrid/>
          <w:lang w:eastAsia="de-DE"/>
        </w:rPr>
        <w:t>4</w:t>
      </w:r>
      <w:r w:rsidR="00293848">
        <w:rPr>
          <w:rFonts w:eastAsia="Times New Roman"/>
          <w:snapToGrid/>
          <w:lang w:eastAsia="de-DE"/>
        </w:rPr>
        <w:t>8.</w:t>
      </w:r>
      <w:r w:rsidR="00C1001F" w:rsidRPr="00C1001F">
        <w:rPr>
          <w:rFonts w:eastAsia="Times New Roman"/>
          <w:snapToGrid/>
          <w:lang w:eastAsia="de-DE"/>
        </w:rPr>
        <w:tab/>
        <w:t xml:space="preserve">Blake, G.J.; Ridker, P.M. Novel clinical markers of vascular wall inflammation. Circulation </w:t>
      </w:r>
      <w:r w:rsidR="00C728C9">
        <w:rPr>
          <w:rFonts w:eastAsia="Times New Roman"/>
          <w:snapToGrid/>
          <w:lang w:eastAsia="de-DE"/>
        </w:rPr>
        <w:t>R</w:t>
      </w:r>
      <w:r w:rsidR="00C1001F" w:rsidRPr="00C1001F">
        <w:rPr>
          <w:rFonts w:eastAsia="Times New Roman"/>
          <w:snapToGrid/>
          <w:lang w:eastAsia="de-DE"/>
        </w:rPr>
        <w:t>esearch 2001, 89, 763-771.</w:t>
      </w:r>
    </w:p>
    <w:p w14:paraId="2D1F4D21" w14:textId="7EC7BE88"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4</w:t>
      </w:r>
      <w:r w:rsidR="00293848">
        <w:rPr>
          <w:rFonts w:eastAsia="Times New Roman"/>
          <w:snapToGrid/>
          <w:lang w:eastAsia="de-DE"/>
        </w:rPr>
        <w:t>9.</w:t>
      </w:r>
      <w:r w:rsidR="00C1001F" w:rsidRPr="00C1001F">
        <w:rPr>
          <w:rFonts w:eastAsia="Times New Roman"/>
          <w:snapToGrid/>
          <w:lang w:eastAsia="de-DE"/>
        </w:rPr>
        <w:tab/>
        <w:t xml:space="preserve">Hansson, G.K. Inflammation, atherosclerosis, and coronary artery disease. New England </w:t>
      </w:r>
      <w:r w:rsidR="00C728C9">
        <w:rPr>
          <w:rFonts w:eastAsia="Times New Roman"/>
          <w:snapToGrid/>
          <w:lang w:eastAsia="de-DE"/>
        </w:rPr>
        <w:t>J</w:t>
      </w:r>
      <w:r w:rsidR="00C1001F" w:rsidRPr="00C1001F">
        <w:rPr>
          <w:rFonts w:eastAsia="Times New Roman"/>
          <w:snapToGrid/>
          <w:lang w:eastAsia="de-DE"/>
        </w:rPr>
        <w:t xml:space="preserve">ournal of </w:t>
      </w:r>
      <w:r w:rsidR="00C728C9">
        <w:rPr>
          <w:rFonts w:eastAsia="Times New Roman"/>
          <w:snapToGrid/>
          <w:lang w:eastAsia="de-DE"/>
        </w:rPr>
        <w:t>M</w:t>
      </w:r>
      <w:r w:rsidR="00C1001F" w:rsidRPr="00C1001F">
        <w:rPr>
          <w:rFonts w:eastAsia="Times New Roman"/>
          <w:snapToGrid/>
          <w:lang w:eastAsia="de-DE"/>
        </w:rPr>
        <w:t>edicine 2005, 352, 1685-1695.</w:t>
      </w:r>
    </w:p>
    <w:p w14:paraId="117107D8" w14:textId="4FE5600A" w:rsidR="00C1001F" w:rsidRPr="00C1001F" w:rsidRDefault="00BE1525" w:rsidP="00F53FCC">
      <w:pPr>
        <w:pStyle w:val="MDPI63Notes"/>
        <w:spacing w:before="0"/>
        <w:ind w:left="510" w:hanging="510"/>
        <w:rPr>
          <w:rFonts w:eastAsia="Times New Roman"/>
          <w:snapToGrid/>
          <w:lang w:eastAsia="de-DE"/>
        </w:rPr>
      </w:pPr>
      <w:r>
        <w:rPr>
          <w:rFonts w:eastAsia="Times New Roman"/>
          <w:snapToGrid/>
          <w:lang w:eastAsia="de-DE"/>
        </w:rPr>
        <w:t>5</w:t>
      </w:r>
      <w:r w:rsidR="00293848">
        <w:rPr>
          <w:rFonts w:eastAsia="Times New Roman"/>
          <w:snapToGrid/>
          <w:lang w:eastAsia="de-DE"/>
        </w:rPr>
        <w:t>0.</w:t>
      </w:r>
      <w:r w:rsidR="00C1001F" w:rsidRPr="00C1001F">
        <w:rPr>
          <w:rFonts w:eastAsia="Times New Roman"/>
          <w:snapToGrid/>
          <w:lang w:eastAsia="de-DE"/>
        </w:rPr>
        <w:tab/>
        <w:t xml:space="preserve">Hallenbeck, J.M.; Hansson, G.K.; Becker, K.J. Immunology of ischemic vascular disease: plaque to attack. Trends in </w:t>
      </w:r>
      <w:r w:rsidR="00C728C9">
        <w:rPr>
          <w:rFonts w:eastAsia="Times New Roman"/>
          <w:snapToGrid/>
          <w:lang w:eastAsia="de-DE"/>
        </w:rPr>
        <w:t>I</w:t>
      </w:r>
      <w:r w:rsidR="00C1001F" w:rsidRPr="00C1001F">
        <w:rPr>
          <w:rFonts w:eastAsia="Times New Roman"/>
          <w:snapToGrid/>
          <w:lang w:eastAsia="de-DE"/>
        </w:rPr>
        <w:t>mmunology 2005, 26, 550-556.</w:t>
      </w:r>
    </w:p>
    <w:p w14:paraId="3846B4EC" w14:textId="2DA24A8F"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5</w:t>
      </w:r>
      <w:r w:rsidR="00C1001F" w:rsidRPr="00C1001F">
        <w:rPr>
          <w:rFonts w:eastAsia="Times New Roman"/>
          <w:snapToGrid/>
          <w:lang w:eastAsia="de-DE"/>
        </w:rPr>
        <w:t>1.</w:t>
      </w:r>
      <w:r w:rsidR="00C1001F" w:rsidRPr="00C1001F">
        <w:rPr>
          <w:rFonts w:eastAsia="Times New Roman"/>
          <w:snapToGrid/>
          <w:lang w:eastAsia="de-DE"/>
        </w:rPr>
        <w:tab/>
        <w:t xml:space="preserve">Christie, W.W.; Harwood, J.L. Oxidation of polyunsaturated fatty acids to produce lipid mediators. Essays in </w:t>
      </w:r>
      <w:r w:rsidR="00C728C9">
        <w:rPr>
          <w:rFonts w:eastAsia="Times New Roman"/>
          <w:snapToGrid/>
          <w:lang w:eastAsia="de-DE"/>
        </w:rPr>
        <w:t>B</w:t>
      </w:r>
      <w:r w:rsidR="00C1001F" w:rsidRPr="00C1001F">
        <w:rPr>
          <w:rFonts w:eastAsia="Times New Roman"/>
          <w:snapToGrid/>
          <w:lang w:eastAsia="de-DE"/>
        </w:rPr>
        <w:t>iochemistry 2020, 64, 401-421.</w:t>
      </w:r>
    </w:p>
    <w:p w14:paraId="0B979835" w14:textId="46130B24"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5</w:t>
      </w:r>
      <w:r w:rsidR="00C1001F" w:rsidRPr="00C1001F">
        <w:rPr>
          <w:rFonts w:eastAsia="Times New Roman"/>
          <w:snapToGrid/>
          <w:lang w:eastAsia="de-DE"/>
        </w:rPr>
        <w:t>2.</w:t>
      </w:r>
      <w:r w:rsidR="00C1001F" w:rsidRPr="00C1001F">
        <w:rPr>
          <w:rFonts w:eastAsia="Times New Roman"/>
          <w:snapToGrid/>
          <w:lang w:eastAsia="de-DE"/>
        </w:rPr>
        <w:tab/>
        <w:t>Chiang, N.; Serhan, C.N. Specialized pro-resolving mediator network: an update on production and actions. Essays in Biochemistry 2020, 64, 443-462.</w:t>
      </w:r>
    </w:p>
    <w:p w14:paraId="51B6CDE5" w14:textId="639F50F2" w:rsidR="00C1001F" w:rsidRPr="00C1001F" w:rsidRDefault="00BE1525" w:rsidP="00C1001F">
      <w:pPr>
        <w:pStyle w:val="MDPI63Notes"/>
        <w:spacing w:before="0"/>
        <w:rPr>
          <w:rFonts w:eastAsia="Times New Roman"/>
          <w:snapToGrid/>
          <w:lang w:eastAsia="de-DE"/>
        </w:rPr>
      </w:pPr>
      <w:r>
        <w:rPr>
          <w:rFonts w:eastAsia="Times New Roman"/>
          <w:snapToGrid/>
          <w:lang w:eastAsia="de-DE"/>
        </w:rPr>
        <w:t>5</w:t>
      </w:r>
      <w:r w:rsidR="00C1001F" w:rsidRPr="00C1001F">
        <w:rPr>
          <w:rFonts w:eastAsia="Times New Roman"/>
          <w:snapToGrid/>
          <w:lang w:eastAsia="de-DE"/>
        </w:rPr>
        <w:t>3.</w:t>
      </w:r>
      <w:r w:rsidR="00C1001F" w:rsidRPr="00C1001F">
        <w:rPr>
          <w:rFonts w:eastAsia="Times New Roman"/>
          <w:snapToGrid/>
          <w:lang w:eastAsia="de-DE"/>
        </w:rPr>
        <w:tab/>
        <w:t xml:space="preserve">Calder, P.C. Eicosanoids. Essays </w:t>
      </w:r>
      <w:r w:rsidR="00C728C9">
        <w:rPr>
          <w:rFonts w:eastAsia="Times New Roman"/>
          <w:snapToGrid/>
          <w:lang w:eastAsia="de-DE"/>
        </w:rPr>
        <w:t xml:space="preserve">in </w:t>
      </w:r>
      <w:r w:rsidR="00C1001F" w:rsidRPr="00C1001F">
        <w:rPr>
          <w:rFonts w:eastAsia="Times New Roman"/>
          <w:snapToGrid/>
          <w:lang w:eastAsia="de-DE"/>
        </w:rPr>
        <w:t>Biochem</w:t>
      </w:r>
      <w:r w:rsidR="00C728C9">
        <w:rPr>
          <w:rFonts w:eastAsia="Times New Roman"/>
          <w:snapToGrid/>
          <w:lang w:eastAsia="de-DE"/>
        </w:rPr>
        <w:t>istry</w:t>
      </w:r>
      <w:r w:rsidR="00C1001F" w:rsidRPr="00C1001F">
        <w:rPr>
          <w:rFonts w:eastAsia="Times New Roman"/>
          <w:snapToGrid/>
          <w:lang w:eastAsia="de-DE"/>
        </w:rPr>
        <w:t xml:space="preserve"> 2020, 64, 423-441.</w:t>
      </w:r>
    </w:p>
    <w:p w14:paraId="11BC18EF" w14:textId="71F15131" w:rsidR="00BB25C9" w:rsidRPr="00C1001F" w:rsidRDefault="00BE1525" w:rsidP="00BB25C9">
      <w:pPr>
        <w:pStyle w:val="MDPI63Notes"/>
        <w:spacing w:before="0"/>
        <w:ind w:left="510" w:hanging="510"/>
        <w:rPr>
          <w:rFonts w:eastAsia="Times New Roman"/>
          <w:snapToGrid/>
          <w:lang w:eastAsia="de-DE"/>
        </w:rPr>
      </w:pPr>
      <w:r>
        <w:rPr>
          <w:rFonts w:eastAsia="Times New Roman"/>
          <w:snapToGrid/>
          <w:lang w:eastAsia="de-DE"/>
        </w:rPr>
        <w:t>5</w:t>
      </w:r>
      <w:r w:rsidR="00C1001F" w:rsidRPr="00C1001F">
        <w:rPr>
          <w:rFonts w:eastAsia="Times New Roman"/>
          <w:snapToGrid/>
          <w:lang w:eastAsia="de-DE"/>
        </w:rPr>
        <w:t>4.</w:t>
      </w:r>
      <w:r w:rsidR="00C1001F" w:rsidRPr="00C1001F">
        <w:rPr>
          <w:rFonts w:eastAsia="Times New Roman"/>
          <w:snapToGrid/>
          <w:lang w:eastAsia="de-DE"/>
        </w:rPr>
        <w:tab/>
      </w:r>
      <w:r w:rsidR="00BB25C9" w:rsidRPr="00C1001F">
        <w:rPr>
          <w:rFonts w:eastAsia="Times New Roman"/>
          <w:snapToGrid/>
          <w:lang w:eastAsia="de-DE"/>
        </w:rPr>
        <w:t>Djuricic, I.; Calder, P.C. Beneficial outcomes of omega-6 and omega-3 polyunsaturated fatty acids on human health: An update for 2021. Nutrients 2021, 13, 2421.</w:t>
      </w:r>
    </w:p>
    <w:p w14:paraId="6D059D36" w14:textId="51C4B99D"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5</w:t>
      </w:r>
      <w:r w:rsidR="00BB25C9">
        <w:rPr>
          <w:rFonts w:eastAsia="Times New Roman"/>
          <w:snapToGrid/>
          <w:lang w:eastAsia="de-DE"/>
        </w:rPr>
        <w:t>5.</w:t>
      </w:r>
      <w:r w:rsidR="00BB25C9">
        <w:rPr>
          <w:rFonts w:eastAsia="Times New Roman"/>
          <w:snapToGrid/>
          <w:lang w:eastAsia="de-DE"/>
        </w:rPr>
        <w:tab/>
      </w:r>
      <w:r w:rsidR="00C1001F" w:rsidRPr="00C1001F">
        <w:rPr>
          <w:rFonts w:eastAsia="Times New Roman"/>
          <w:snapToGrid/>
          <w:lang w:eastAsia="de-DE"/>
        </w:rPr>
        <w:t>Pan, G.; Zhang, P.; Yang, J.; Wu, Y. The regulatory effect of specialized pro-resolving mediators on immune cells. Biomedicine &amp; Pharmacotherapy 2022, 156, 113980.</w:t>
      </w:r>
    </w:p>
    <w:p w14:paraId="0B6D045A" w14:textId="03119CC6"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5</w:t>
      </w:r>
      <w:r w:rsidR="00BB25C9">
        <w:rPr>
          <w:rFonts w:eastAsia="Times New Roman"/>
          <w:snapToGrid/>
          <w:lang w:eastAsia="de-DE"/>
        </w:rPr>
        <w:t>6</w:t>
      </w:r>
      <w:r w:rsidR="00C1001F" w:rsidRPr="00C1001F">
        <w:rPr>
          <w:rFonts w:eastAsia="Times New Roman"/>
          <w:snapToGrid/>
          <w:lang w:eastAsia="de-DE"/>
        </w:rPr>
        <w:t>.</w:t>
      </w:r>
      <w:r w:rsidR="00C1001F" w:rsidRPr="00C1001F">
        <w:rPr>
          <w:rFonts w:eastAsia="Times New Roman"/>
          <w:snapToGrid/>
          <w:lang w:eastAsia="de-DE"/>
        </w:rPr>
        <w:tab/>
        <w:t xml:space="preserve">Serhan, C.N. Discovery of specialized pro-resolving mediators marks the dawn of resolution physiology and pharmacology. Molecular </w:t>
      </w:r>
      <w:r w:rsidR="00C728C9">
        <w:rPr>
          <w:rFonts w:eastAsia="Times New Roman"/>
          <w:snapToGrid/>
          <w:lang w:eastAsia="de-DE"/>
        </w:rPr>
        <w:t>A</w:t>
      </w:r>
      <w:r w:rsidR="00C1001F" w:rsidRPr="00C1001F">
        <w:rPr>
          <w:rFonts w:eastAsia="Times New Roman"/>
          <w:snapToGrid/>
          <w:lang w:eastAsia="de-DE"/>
        </w:rPr>
        <w:t xml:space="preserve">spects of </w:t>
      </w:r>
      <w:r w:rsidR="00C728C9">
        <w:rPr>
          <w:rFonts w:eastAsia="Times New Roman"/>
          <w:snapToGrid/>
          <w:lang w:eastAsia="de-DE"/>
        </w:rPr>
        <w:t>M</w:t>
      </w:r>
      <w:r w:rsidR="00C1001F" w:rsidRPr="00C1001F">
        <w:rPr>
          <w:rFonts w:eastAsia="Times New Roman"/>
          <w:snapToGrid/>
          <w:lang w:eastAsia="de-DE"/>
        </w:rPr>
        <w:t>edicine 2017, 58, 1-11.</w:t>
      </w:r>
    </w:p>
    <w:p w14:paraId="704C9B2D" w14:textId="55B7F826"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5</w:t>
      </w:r>
      <w:r w:rsidR="00BB25C9">
        <w:rPr>
          <w:rFonts w:eastAsia="Times New Roman"/>
          <w:snapToGrid/>
          <w:lang w:eastAsia="de-DE"/>
        </w:rPr>
        <w:t>7</w:t>
      </w:r>
      <w:r w:rsidR="00C1001F" w:rsidRPr="00C1001F">
        <w:rPr>
          <w:rFonts w:eastAsia="Times New Roman"/>
          <w:snapToGrid/>
          <w:lang w:eastAsia="de-DE"/>
        </w:rPr>
        <w:t>.</w:t>
      </w:r>
      <w:r w:rsidR="00C1001F" w:rsidRPr="00C1001F">
        <w:rPr>
          <w:rFonts w:eastAsia="Times New Roman"/>
          <w:snapToGrid/>
          <w:lang w:eastAsia="de-DE"/>
        </w:rPr>
        <w:tab/>
        <w:t xml:space="preserve">Serhan, C.N.; Levy, B.D. Resolvins in inflammation: emergence of the pro-resolving superfamily of mediators. Journal of </w:t>
      </w:r>
      <w:r w:rsidR="00C728C9">
        <w:rPr>
          <w:rFonts w:eastAsia="Times New Roman"/>
          <w:snapToGrid/>
          <w:lang w:eastAsia="de-DE"/>
        </w:rPr>
        <w:t>C</w:t>
      </w:r>
      <w:r w:rsidR="00C1001F" w:rsidRPr="00C1001F">
        <w:rPr>
          <w:rFonts w:eastAsia="Times New Roman"/>
          <w:snapToGrid/>
          <w:lang w:eastAsia="de-DE"/>
        </w:rPr>
        <w:t xml:space="preserve">linical </w:t>
      </w:r>
      <w:r w:rsidR="00C728C9">
        <w:rPr>
          <w:rFonts w:eastAsia="Times New Roman"/>
          <w:snapToGrid/>
          <w:lang w:eastAsia="de-DE"/>
        </w:rPr>
        <w:t>I</w:t>
      </w:r>
      <w:r w:rsidR="00C1001F" w:rsidRPr="00C1001F">
        <w:rPr>
          <w:rFonts w:eastAsia="Times New Roman"/>
          <w:snapToGrid/>
          <w:lang w:eastAsia="de-DE"/>
        </w:rPr>
        <w:t>nvestigation 2018, 128, 2657-2669.</w:t>
      </w:r>
    </w:p>
    <w:p w14:paraId="7BA2C17A" w14:textId="0DB7A7B2" w:rsidR="00BB25C9" w:rsidRPr="00C1001F" w:rsidRDefault="00BE1525" w:rsidP="00BB25C9">
      <w:pPr>
        <w:pStyle w:val="MDPI63Notes"/>
        <w:spacing w:before="0"/>
        <w:ind w:left="510" w:hanging="510"/>
        <w:rPr>
          <w:rFonts w:eastAsia="Times New Roman"/>
          <w:snapToGrid/>
          <w:lang w:eastAsia="de-DE"/>
        </w:rPr>
      </w:pPr>
      <w:r>
        <w:rPr>
          <w:rFonts w:eastAsia="Times New Roman"/>
          <w:snapToGrid/>
          <w:lang w:eastAsia="de-DE"/>
        </w:rPr>
        <w:t>5</w:t>
      </w:r>
      <w:r w:rsidR="00BB25C9">
        <w:rPr>
          <w:rFonts w:eastAsia="Times New Roman"/>
          <w:snapToGrid/>
          <w:lang w:eastAsia="de-DE"/>
        </w:rPr>
        <w:t>8</w:t>
      </w:r>
      <w:r w:rsidR="00C1001F" w:rsidRPr="00C1001F">
        <w:rPr>
          <w:rFonts w:eastAsia="Times New Roman"/>
          <w:snapToGrid/>
          <w:lang w:eastAsia="de-DE"/>
        </w:rPr>
        <w:t>.</w:t>
      </w:r>
      <w:r w:rsidR="00C1001F" w:rsidRPr="00C1001F">
        <w:rPr>
          <w:rFonts w:eastAsia="Times New Roman"/>
          <w:snapToGrid/>
          <w:lang w:eastAsia="de-DE"/>
        </w:rPr>
        <w:tab/>
      </w:r>
      <w:r w:rsidR="00BB25C9" w:rsidRPr="00C1001F">
        <w:rPr>
          <w:rFonts w:eastAsia="Times New Roman"/>
          <w:snapToGrid/>
          <w:lang w:eastAsia="de-DE"/>
        </w:rPr>
        <w:t xml:space="preserve">Chiang, N.; Serhan, C.N. Structural elucidation and physiologic functions of specialized pro-resolving mediators and their receptors. Molecular </w:t>
      </w:r>
      <w:r w:rsidR="00BB25C9">
        <w:rPr>
          <w:rFonts w:eastAsia="Times New Roman"/>
          <w:snapToGrid/>
          <w:lang w:eastAsia="de-DE"/>
        </w:rPr>
        <w:t>A</w:t>
      </w:r>
      <w:r w:rsidR="00BB25C9" w:rsidRPr="00C1001F">
        <w:rPr>
          <w:rFonts w:eastAsia="Times New Roman"/>
          <w:snapToGrid/>
          <w:lang w:eastAsia="de-DE"/>
        </w:rPr>
        <w:t xml:space="preserve">spects of </w:t>
      </w:r>
      <w:r w:rsidR="00BB25C9">
        <w:rPr>
          <w:rFonts w:eastAsia="Times New Roman"/>
          <w:snapToGrid/>
          <w:lang w:eastAsia="de-DE"/>
        </w:rPr>
        <w:t>M</w:t>
      </w:r>
      <w:r w:rsidR="00BB25C9" w:rsidRPr="00C1001F">
        <w:rPr>
          <w:rFonts w:eastAsia="Times New Roman"/>
          <w:snapToGrid/>
          <w:lang w:eastAsia="de-DE"/>
        </w:rPr>
        <w:t>edicine 2017, 58, 114-129.</w:t>
      </w:r>
    </w:p>
    <w:p w14:paraId="2DE5715D" w14:textId="59A912A2" w:rsidR="00BB25C9" w:rsidRPr="00C1001F" w:rsidRDefault="00BE1525" w:rsidP="00BB25C9">
      <w:pPr>
        <w:pStyle w:val="MDPI63Notes"/>
        <w:spacing w:before="0"/>
        <w:ind w:left="510" w:hanging="510"/>
        <w:rPr>
          <w:rFonts w:eastAsia="Times New Roman"/>
          <w:snapToGrid/>
          <w:lang w:eastAsia="de-DE"/>
        </w:rPr>
      </w:pPr>
      <w:r>
        <w:rPr>
          <w:rFonts w:eastAsia="Times New Roman"/>
          <w:snapToGrid/>
          <w:lang w:eastAsia="de-DE"/>
        </w:rPr>
        <w:t>5</w:t>
      </w:r>
      <w:r w:rsidR="00BB25C9">
        <w:rPr>
          <w:rFonts w:eastAsia="Times New Roman"/>
          <w:snapToGrid/>
          <w:lang w:eastAsia="de-DE"/>
        </w:rPr>
        <w:t>9</w:t>
      </w:r>
      <w:r w:rsidR="00BB25C9" w:rsidRPr="00C1001F">
        <w:rPr>
          <w:rFonts w:eastAsia="Times New Roman"/>
          <w:snapToGrid/>
          <w:lang w:eastAsia="de-DE"/>
        </w:rPr>
        <w:t>.</w:t>
      </w:r>
      <w:r w:rsidR="00BB25C9" w:rsidRPr="00C1001F">
        <w:rPr>
          <w:rFonts w:eastAsia="Times New Roman"/>
          <w:snapToGrid/>
          <w:lang w:eastAsia="de-DE"/>
        </w:rPr>
        <w:tab/>
        <w:t xml:space="preserve">Leuti, A.; Maccarrone, M.; Chiurchiù, V. Proresolving lipid mediators: endogenous modulators of oxidative stress. Oxidative </w:t>
      </w:r>
      <w:r w:rsidR="00BB25C9">
        <w:rPr>
          <w:rFonts w:eastAsia="Times New Roman"/>
          <w:snapToGrid/>
          <w:lang w:eastAsia="de-DE"/>
        </w:rPr>
        <w:t>M</w:t>
      </w:r>
      <w:r w:rsidR="00BB25C9" w:rsidRPr="00C1001F">
        <w:rPr>
          <w:rFonts w:eastAsia="Times New Roman"/>
          <w:snapToGrid/>
          <w:lang w:eastAsia="de-DE"/>
        </w:rPr>
        <w:t xml:space="preserve">edicine and </w:t>
      </w:r>
      <w:r w:rsidR="00BB25C9">
        <w:rPr>
          <w:rFonts w:eastAsia="Times New Roman"/>
          <w:snapToGrid/>
          <w:lang w:eastAsia="de-DE"/>
        </w:rPr>
        <w:t>C</w:t>
      </w:r>
      <w:r w:rsidR="00BB25C9" w:rsidRPr="00C1001F">
        <w:rPr>
          <w:rFonts w:eastAsia="Times New Roman"/>
          <w:snapToGrid/>
          <w:lang w:eastAsia="de-DE"/>
        </w:rPr>
        <w:t xml:space="preserve">ellular </w:t>
      </w:r>
      <w:r w:rsidR="00BB25C9">
        <w:rPr>
          <w:rFonts w:eastAsia="Times New Roman"/>
          <w:snapToGrid/>
          <w:lang w:eastAsia="de-DE"/>
        </w:rPr>
        <w:t>L</w:t>
      </w:r>
      <w:r w:rsidR="00BB25C9" w:rsidRPr="00C1001F">
        <w:rPr>
          <w:rFonts w:eastAsia="Times New Roman"/>
          <w:snapToGrid/>
          <w:lang w:eastAsia="de-DE"/>
        </w:rPr>
        <w:t>ongevity 2019, 2019</w:t>
      </w:r>
      <w:r w:rsidR="00BB25C9">
        <w:rPr>
          <w:rFonts w:eastAsia="Times New Roman"/>
          <w:snapToGrid/>
          <w:lang w:eastAsia="de-DE"/>
        </w:rPr>
        <w:t>, 8107265</w:t>
      </w:r>
      <w:r w:rsidR="00BB25C9" w:rsidRPr="00C1001F">
        <w:rPr>
          <w:rFonts w:eastAsia="Times New Roman"/>
          <w:snapToGrid/>
          <w:lang w:eastAsia="de-DE"/>
        </w:rPr>
        <w:t>.</w:t>
      </w:r>
    </w:p>
    <w:p w14:paraId="563AC2FE" w14:textId="463CA8D1" w:rsidR="00BB25C9" w:rsidRPr="00C1001F" w:rsidRDefault="00BE1525" w:rsidP="00BB25C9">
      <w:pPr>
        <w:pStyle w:val="MDPI63Notes"/>
        <w:spacing w:before="0"/>
        <w:ind w:left="510" w:hanging="510"/>
        <w:rPr>
          <w:rFonts w:eastAsia="Times New Roman"/>
          <w:snapToGrid/>
          <w:lang w:eastAsia="de-DE"/>
        </w:rPr>
      </w:pPr>
      <w:r>
        <w:rPr>
          <w:rFonts w:eastAsia="Times New Roman"/>
          <w:snapToGrid/>
          <w:lang w:eastAsia="de-DE"/>
        </w:rPr>
        <w:t>6</w:t>
      </w:r>
      <w:r w:rsidR="00BB25C9">
        <w:rPr>
          <w:rFonts w:eastAsia="Times New Roman"/>
          <w:snapToGrid/>
          <w:lang w:eastAsia="de-DE"/>
        </w:rPr>
        <w:t>0</w:t>
      </w:r>
      <w:r w:rsidR="00BB25C9" w:rsidRPr="00C1001F">
        <w:rPr>
          <w:rFonts w:eastAsia="Times New Roman"/>
          <w:snapToGrid/>
          <w:lang w:eastAsia="de-DE"/>
        </w:rPr>
        <w:t>.</w:t>
      </w:r>
      <w:r w:rsidR="00BB25C9" w:rsidRPr="00C1001F">
        <w:rPr>
          <w:rFonts w:eastAsia="Times New Roman"/>
          <w:snapToGrid/>
          <w:lang w:eastAsia="de-DE"/>
        </w:rPr>
        <w:tab/>
        <w:t>Bisicchia, E.; Sasso, V.; Catanzaro, G.; Leuti, A.; Besharat, Z.M.; Chiacchiarini, M.; Molinari, M.; Ferretti, E.; Viscomi, M.T.; Chiurchiù, V. Resolvin D1 halts remote neuroinflammation and improves functional recovery after focal brain damage via ALX/FPR2 receptor-regulated microRNAs. Molecular Neurobiology 2018, 55, 6894-6905.</w:t>
      </w:r>
    </w:p>
    <w:p w14:paraId="27576BAF" w14:textId="20253D35" w:rsidR="00BB25C9" w:rsidRPr="00C1001F" w:rsidRDefault="00BE1525" w:rsidP="00BB25C9">
      <w:pPr>
        <w:pStyle w:val="MDPI63Notes"/>
        <w:spacing w:before="0"/>
        <w:ind w:left="510" w:hanging="510"/>
        <w:rPr>
          <w:rFonts w:eastAsia="Times New Roman"/>
          <w:snapToGrid/>
          <w:lang w:eastAsia="de-DE"/>
        </w:rPr>
      </w:pPr>
      <w:r>
        <w:rPr>
          <w:rFonts w:eastAsia="Times New Roman"/>
          <w:snapToGrid/>
          <w:lang w:eastAsia="de-DE"/>
        </w:rPr>
        <w:t>6</w:t>
      </w:r>
      <w:r w:rsidR="00BB25C9">
        <w:rPr>
          <w:rFonts w:eastAsia="Times New Roman"/>
          <w:snapToGrid/>
          <w:lang w:eastAsia="de-DE"/>
        </w:rPr>
        <w:t>1</w:t>
      </w:r>
      <w:r w:rsidR="00BB25C9" w:rsidRPr="00C1001F">
        <w:rPr>
          <w:rFonts w:eastAsia="Times New Roman"/>
          <w:snapToGrid/>
          <w:lang w:eastAsia="de-DE"/>
        </w:rPr>
        <w:t>.</w:t>
      </w:r>
      <w:r w:rsidR="00BB25C9" w:rsidRPr="00C1001F">
        <w:rPr>
          <w:rFonts w:eastAsia="Times New Roman"/>
          <w:snapToGrid/>
          <w:lang w:eastAsia="de-DE"/>
        </w:rPr>
        <w:tab/>
        <w:t xml:space="preserve">Recchiuti, A.; Serhan, C.N. Pro-resolving lipid mediators (SPMs) and their actions in regulating miRNA in novel resolution circuits in inflammation. Frontiers in </w:t>
      </w:r>
      <w:r w:rsidR="00BB25C9">
        <w:rPr>
          <w:rFonts w:eastAsia="Times New Roman"/>
          <w:snapToGrid/>
          <w:lang w:eastAsia="de-DE"/>
        </w:rPr>
        <w:t>I</w:t>
      </w:r>
      <w:r w:rsidR="00BB25C9" w:rsidRPr="00C1001F">
        <w:rPr>
          <w:rFonts w:eastAsia="Times New Roman"/>
          <w:snapToGrid/>
          <w:lang w:eastAsia="de-DE"/>
        </w:rPr>
        <w:t>mmunology 2012, 3, 298.</w:t>
      </w:r>
    </w:p>
    <w:p w14:paraId="3F084CB1" w14:textId="4FA9E794" w:rsidR="00C1001F" w:rsidRP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6</w:t>
      </w:r>
      <w:r w:rsidR="00BB25C9">
        <w:rPr>
          <w:rFonts w:eastAsia="Times New Roman"/>
          <w:snapToGrid/>
          <w:lang w:eastAsia="de-DE"/>
        </w:rPr>
        <w:t>2</w:t>
      </w:r>
      <w:r w:rsidR="00C1001F" w:rsidRPr="00C1001F">
        <w:rPr>
          <w:rFonts w:eastAsia="Times New Roman"/>
          <w:snapToGrid/>
          <w:lang w:eastAsia="de-DE"/>
        </w:rPr>
        <w:t>.</w:t>
      </w:r>
      <w:r w:rsidR="00C1001F" w:rsidRPr="00C1001F">
        <w:rPr>
          <w:rFonts w:eastAsia="Times New Roman"/>
          <w:snapToGrid/>
          <w:lang w:eastAsia="de-DE"/>
        </w:rPr>
        <w:tab/>
        <w:t>Dalli, J.; Gomez, E.A.; Jouvene, C.C. Utility of the specialized pro-resolving mediators as diagnostic and prognostic biomarkers in disease. Biomolecules 2022, 12, 353.</w:t>
      </w:r>
    </w:p>
    <w:p w14:paraId="3C72F7DF" w14:textId="442603FD" w:rsid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6</w:t>
      </w:r>
      <w:r w:rsidR="00BB25C9">
        <w:rPr>
          <w:rFonts w:eastAsia="Times New Roman"/>
          <w:snapToGrid/>
          <w:lang w:eastAsia="de-DE"/>
        </w:rPr>
        <w:t>3</w:t>
      </w:r>
      <w:r w:rsidR="00C1001F" w:rsidRPr="00C1001F">
        <w:rPr>
          <w:rFonts w:eastAsia="Times New Roman"/>
          <w:snapToGrid/>
          <w:lang w:eastAsia="de-DE"/>
        </w:rPr>
        <w:t>.</w:t>
      </w:r>
      <w:r w:rsidR="00C1001F" w:rsidRPr="00C1001F">
        <w:rPr>
          <w:rFonts w:eastAsia="Times New Roman"/>
          <w:snapToGrid/>
          <w:lang w:eastAsia="de-DE"/>
        </w:rPr>
        <w:tab/>
        <w:t>Jaén, R.I.; Sánchez-García, S.; Fernández-Velasco, M.; Boscá, L.; Prieto, P. Resolution-based therapies: the potential of lipoxins to treat human diseases. Frontiers in Immunology 2021, 12, 658840.</w:t>
      </w:r>
    </w:p>
    <w:p w14:paraId="1ECB6CF5" w14:textId="0173D7FB"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6</w:t>
      </w:r>
      <w:r w:rsidR="00C26709">
        <w:rPr>
          <w:rFonts w:eastAsia="Times New Roman"/>
          <w:snapToGrid/>
          <w:lang w:eastAsia="de-DE"/>
        </w:rPr>
        <w:t>4.</w:t>
      </w:r>
      <w:r w:rsidR="00C26709">
        <w:rPr>
          <w:rFonts w:eastAsia="Times New Roman"/>
          <w:snapToGrid/>
          <w:lang w:eastAsia="de-DE"/>
        </w:rPr>
        <w:tab/>
      </w:r>
      <w:r w:rsidR="00C26709" w:rsidRPr="00C1001F">
        <w:rPr>
          <w:rFonts w:eastAsia="Times New Roman"/>
          <w:snapToGrid/>
          <w:lang w:eastAsia="de-DE"/>
        </w:rPr>
        <w:t>Fosshaug, L.E.; Colas, R.A.; Anstensrud, A.K.; Gregersen, I.; Nymo, S.; Sagen, E.L.; Michelsen, A.; Vinge, L.E.; Øie, E.; Gullestad, L. Early increase of specialized pro-resolving lipid mediators in patients with ST-elevation myocardial infarction. EBioMedicine 2019, 46, 264-273.</w:t>
      </w:r>
    </w:p>
    <w:p w14:paraId="7D1FA61A" w14:textId="54316E35"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6</w:t>
      </w:r>
      <w:r w:rsidR="00C26709">
        <w:rPr>
          <w:rFonts w:eastAsia="Times New Roman"/>
          <w:snapToGrid/>
          <w:lang w:eastAsia="de-DE"/>
        </w:rPr>
        <w:t>5</w:t>
      </w:r>
      <w:r w:rsidR="00C26709" w:rsidRPr="00C1001F">
        <w:rPr>
          <w:rFonts w:eastAsia="Times New Roman" w:hint="eastAsia"/>
          <w:snapToGrid/>
          <w:lang w:eastAsia="de-DE"/>
        </w:rPr>
        <w:t>.</w:t>
      </w:r>
      <w:r w:rsidR="00C26709" w:rsidRPr="00C1001F">
        <w:rPr>
          <w:rFonts w:eastAsia="Times New Roman" w:hint="eastAsia"/>
          <w:snapToGrid/>
          <w:lang w:eastAsia="de-DE"/>
        </w:rPr>
        <w:tab/>
        <w:t>Halade, G.V.; Kain, V.; Dillion, C.; Beasley, M.; Dudenbostel, T.; Oparil, S.; Limdi, N.A. Race‐based and sex‐based differences in bioactive lipid mediators after myocardial infarction. ESC Heart Failure 2020, 7, 1700-1710.</w:t>
      </w:r>
    </w:p>
    <w:p w14:paraId="42342F01" w14:textId="075DBFAD"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6</w:t>
      </w:r>
      <w:r w:rsidR="00C26709">
        <w:rPr>
          <w:rFonts w:eastAsia="Times New Roman"/>
          <w:snapToGrid/>
          <w:lang w:eastAsia="de-DE"/>
        </w:rPr>
        <w:t>6</w:t>
      </w:r>
      <w:r w:rsidR="00C26709" w:rsidRPr="00C1001F">
        <w:rPr>
          <w:rFonts w:eastAsia="Times New Roman"/>
          <w:snapToGrid/>
          <w:lang w:eastAsia="de-DE"/>
        </w:rPr>
        <w:t>.</w:t>
      </w:r>
      <w:r w:rsidR="00C26709" w:rsidRPr="00C1001F">
        <w:rPr>
          <w:rFonts w:eastAsia="Times New Roman"/>
          <w:snapToGrid/>
          <w:lang w:eastAsia="de-DE"/>
        </w:rPr>
        <w:tab/>
        <w:t xml:space="preserve">Schaller, M.S.; Zahner, G.J.; Gasper, W.J.; Harris, W.S.; Conte, M.S.; Hills, N.K.; Grenon, S.M. Relationship between the omega-3 index and specialized pro-resolving lipid mediators in patients with peripheral arterial disease taking fish oil supplements. Journal of </w:t>
      </w:r>
      <w:r w:rsidR="00C26709">
        <w:rPr>
          <w:rFonts w:eastAsia="Times New Roman"/>
          <w:snapToGrid/>
          <w:lang w:eastAsia="de-DE"/>
        </w:rPr>
        <w:t>C</w:t>
      </w:r>
      <w:r w:rsidR="00C26709" w:rsidRPr="00C1001F">
        <w:rPr>
          <w:rFonts w:eastAsia="Times New Roman"/>
          <w:snapToGrid/>
          <w:lang w:eastAsia="de-DE"/>
        </w:rPr>
        <w:t xml:space="preserve">linical </w:t>
      </w:r>
      <w:r w:rsidR="00C26709">
        <w:rPr>
          <w:rFonts w:eastAsia="Times New Roman"/>
          <w:snapToGrid/>
          <w:lang w:eastAsia="de-DE"/>
        </w:rPr>
        <w:t>L</w:t>
      </w:r>
      <w:r w:rsidR="00C26709" w:rsidRPr="00C1001F">
        <w:rPr>
          <w:rFonts w:eastAsia="Times New Roman"/>
          <w:snapToGrid/>
          <w:lang w:eastAsia="de-DE"/>
        </w:rPr>
        <w:t>ipidology 2017, 11, 1289-1295.</w:t>
      </w:r>
    </w:p>
    <w:p w14:paraId="66FC0111" w14:textId="328EF550"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6</w:t>
      </w:r>
      <w:r w:rsidR="00C26709">
        <w:rPr>
          <w:rFonts w:eastAsia="Times New Roman"/>
          <w:snapToGrid/>
          <w:lang w:eastAsia="de-DE"/>
        </w:rPr>
        <w:t>7</w:t>
      </w:r>
      <w:r w:rsidR="00C26709" w:rsidRPr="00C1001F">
        <w:rPr>
          <w:rFonts w:eastAsia="Times New Roman"/>
          <w:snapToGrid/>
          <w:lang w:eastAsia="de-DE"/>
        </w:rPr>
        <w:t>.</w:t>
      </w:r>
      <w:r w:rsidR="00C26709" w:rsidRPr="00C1001F">
        <w:rPr>
          <w:rFonts w:eastAsia="Times New Roman"/>
          <w:snapToGrid/>
          <w:lang w:eastAsia="de-DE"/>
        </w:rPr>
        <w:tab/>
        <w:t>Önal, M.A.; Fentoğlu, Ö.; Aksoy, F.; Calapoğlu, M.; Varol, E.; Orhan, H. Salivary levels of last generation specific pro</w:t>
      </w:r>
      <w:r w:rsidR="00C26709" w:rsidRPr="00C1001F">
        <w:rPr>
          <w:rFonts w:eastAsia="Times New Roman" w:hint="eastAsia"/>
          <w:snapToGrid/>
          <w:lang w:eastAsia="de-DE"/>
        </w:rPr>
        <w:t>‐</w:t>
      </w:r>
      <w:r w:rsidR="00C26709" w:rsidRPr="00C1001F">
        <w:rPr>
          <w:rFonts w:eastAsia="Times New Roman"/>
          <w:snapToGrid/>
          <w:lang w:eastAsia="de-DE"/>
        </w:rPr>
        <w:t>resolving lipid mediators (SPMs)(protectin and maresin) in patients with cardiovascular and periodontal disease: A case</w:t>
      </w:r>
      <w:r w:rsidR="00C26709" w:rsidRPr="00C1001F">
        <w:rPr>
          <w:rFonts w:eastAsia="Times New Roman" w:hint="eastAsia"/>
          <w:snapToGrid/>
          <w:lang w:eastAsia="de-DE"/>
        </w:rPr>
        <w:t>‐</w:t>
      </w:r>
      <w:r w:rsidR="00C26709" w:rsidRPr="00C1001F">
        <w:rPr>
          <w:rFonts w:eastAsia="Times New Roman"/>
          <w:snapToGrid/>
          <w:lang w:eastAsia="de-DE"/>
        </w:rPr>
        <w:t>control study. Journal of Periodontal Research 2021, 56, 606-615.</w:t>
      </w:r>
    </w:p>
    <w:p w14:paraId="6CC1E2DB" w14:textId="3165D102"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lastRenderedPageBreak/>
        <w:t>6</w:t>
      </w:r>
      <w:r w:rsidR="00C26709">
        <w:rPr>
          <w:rFonts w:eastAsia="Times New Roman"/>
          <w:snapToGrid/>
          <w:lang w:eastAsia="de-DE"/>
        </w:rPr>
        <w:t>8</w:t>
      </w:r>
      <w:r w:rsidR="00C26709" w:rsidRPr="00C1001F">
        <w:rPr>
          <w:rFonts w:eastAsia="Times New Roman"/>
          <w:snapToGrid/>
          <w:lang w:eastAsia="de-DE"/>
        </w:rPr>
        <w:t>.</w:t>
      </w:r>
      <w:r w:rsidR="00C26709" w:rsidRPr="00C1001F">
        <w:rPr>
          <w:rFonts w:eastAsia="Times New Roman"/>
          <w:snapToGrid/>
          <w:lang w:eastAsia="de-DE"/>
        </w:rPr>
        <w:tab/>
        <w:t xml:space="preserve">Welty, F.K.; Schulte, F.; Alfaddagh, A.; Elajami, T.K.; Bistrian, B.R.; Hardt, M. Regression of human coronary artery plaque is associated with a high ratio of (18-hydroxy-eicosapentaenoic acid+ resolvin E1) to leukotriene B4. FASEB </w:t>
      </w:r>
      <w:r w:rsidR="00C26709">
        <w:rPr>
          <w:rFonts w:eastAsia="Times New Roman"/>
          <w:snapToGrid/>
          <w:lang w:eastAsia="de-DE"/>
        </w:rPr>
        <w:t>J</w:t>
      </w:r>
      <w:r w:rsidR="00C26709" w:rsidRPr="00C1001F">
        <w:rPr>
          <w:rFonts w:eastAsia="Times New Roman"/>
          <w:snapToGrid/>
          <w:lang w:eastAsia="de-DE"/>
        </w:rPr>
        <w:t>ournal</w:t>
      </w:r>
      <w:r w:rsidR="00C26709">
        <w:rPr>
          <w:rFonts w:eastAsia="Times New Roman"/>
          <w:snapToGrid/>
          <w:lang w:eastAsia="de-DE"/>
        </w:rPr>
        <w:t xml:space="preserve"> </w:t>
      </w:r>
      <w:r w:rsidR="00C26709" w:rsidRPr="00C1001F">
        <w:rPr>
          <w:rFonts w:eastAsia="Times New Roman"/>
          <w:snapToGrid/>
          <w:lang w:eastAsia="de-DE"/>
        </w:rPr>
        <w:t>2021, 35, e21448.</w:t>
      </w:r>
    </w:p>
    <w:p w14:paraId="6528EB29" w14:textId="2A10167D"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6</w:t>
      </w:r>
      <w:r w:rsidR="00C26709">
        <w:rPr>
          <w:rFonts w:eastAsia="Times New Roman"/>
          <w:snapToGrid/>
          <w:lang w:eastAsia="de-DE"/>
        </w:rPr>
        <w:t>9</w:t>
      </w:r>
      <w:r w:rsidR="00C26709" w:rsidRPr="00C1001F">
        <w:rPr>
          <w:rFonts w:eastAsia="Times New Roman"/>
          <w:snapToGrid/>
          <w:lang w:eastAsia="de-DE"/>
        </w:rPr>
        <w:t>.</w:t>
      </w:r>
      <w:r w:rsidR="00C26709" w:rsidRPr="00C1001F">
        <w:rPr>
          <w:rFonts w:eastAsia="Times New Roman"/>
          <w:snapToGrid/>
          <w:lang w:eastAsia="de-DE"/>
        </w:rPr>
        <w:tab/>
        <w:t xml:space="preserve">Fredman, G.; Hellmann, J.; Proto, J.D.; Kuriakose, G.; Colas, R.A.; Dorweiler, B.; Connolly, E.S.; Solomon, R.; Jones, D.M.; Heyer, E.J. An imbalance between specialized pro-resolving lipid mediators and pro-inflammatory leukotrienes promotes instability of atherosclerotic plaques. Nature </w:t>
      </w:r>
      <w:r w:rsidR="00C26709">
        <w:rPr>
          <w:rFonts w:eastAsia="Times New Roman"/>
          <w:snapToGrid/>
          <w:lang w:eastAsia="de-DE"/>
        </w:rPr>
        <w:t>C</w:t>
      </w:r>
      <w:r w:rsidR="00C26709" w:rsidRPr="00C1001F">
        <w:rPr>
          <w:rFonts w:eastAsia="Times New Roman"/>
          <w:snapToGrid/>
          <w:lang w:eastAsia="de-DE"/>
        </w:rPr>
        <w:t>ommunications 2016, 7, 12859.</w:t>
      </w:r>
    </w:p>
    <w:p w14:paraId="6DD26A9E" w14:textId="463B8E4E"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0</w:t>
      </w:r>
      <w:r w:rsidR="00C26709" w:rsidRPr="00C1001F">
        <w:rPr>
          <w:rFonts w:eastAsia="Times New Roman"/>
          <w:snapToGrid/>
          <w:lang w:eastAsia="de-DE"/>
        </w:rPr>
        <w:t>.</w:t>
      </w:r>
      <w:r w:rsidR="00C26709" w:rsidRPr="00C1001F">
        <w:rPr>
          <w:rFonts w:eastAsia="Times New Roman"/>
          <w:snapToGrid/>
          <w:lang w:eastAsia="de-DE"/>
        </w:rPr>
        <w:tab/>
        <w:t xml:space="preserve">Ho, K.J.; Spite, M.; Owens, C.D.; Lancero, H.; Kroemer, A.H.; Pande, R.; Creager, M.A.; Serhan, C.N.; Conte, M.S. Aspirin-triggered lipoxin and resolvin E1 modulate vascular smooth muscle phenotype and correlate with peripheral atherosclerosis. American </w:t>
      </w:r>
      <w:r w:rsidR="00C26709">
        <w:rPr>
          <w:rFonts w:eastAsia="Times New Roman"/>
          <w:snapToGrid/>
          <w:lang w:eastAsia="de-DE"/>
        </w:rPr>
        <w:t>J</w:t>
      </w:r>
      <w:r w:rsidR="00C26709" w:rsidRPr="00C1001F">
        <w:rPr>
          <w:rFonts w:eastAsia="Times New Roman"/>
          <w:snapToGrid/>
          <w:lang w:eastAsia="de-DE"/>
        </w:rPr>
        <w:t xml:space="preserve">ournal of </w:t>
      </w:r>
      <w:r w:rsidR="00C26709">
        <w:rPr>
          <w:rFonts w:eastAsia="Times New Roman"/>
          <w:snapToGrid/>
          <w:lang w:eastAsia="de-DE"/>
        </w:rPr>
        <w:t>P</w:t>
      </w:r>
      <w:r w:rsidR="00C26709" w:rsidRPr="00C1001F">
        <w:rPr>
          <w:rFonts w:eastAsia="Times New Roman"/>
          <w:snapToGrid/>
          <w:lang w:eastAsia="de-DE"/>
        </w:rPr>
        <w:t>athology 2010, 177, 2116-2123.</w:t>
      </w:r>
    </w:p>
    <w:p w14:paraId="3C5130BA" w14:textId="75CF1874" w:rsidR="00C26709"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1</w:t>
      </w:r>
      <w:r w:rsidR="00C26709" w:rsidRPr="00C1001F">
        <w:rPr>
          <w:rFonts w:eastAsia="Times New Roman"/>
          <w:snapToGrid/>
          <w:lang w:eastAsia="de-DE"/>
        </w:rPr>
        <w:t>.</w:t>
      </w:r>
      <w:r w:rsidR="00C26709" w:rsidRPr="00C1001F">
        <w:rPr>
          <w:rFonts w:eastAsia="Times New Roman"/>
          <w:snapToGrid/>
          <w:lang w:eastAsia="de-DE"/>
        </w:rPr>
        <w:tab/>
        <w:t xml:space="preserve">Colas, R.A.; Souza, P.R.; Walker, M.E.; Burton, M.; Zasłona, Z.; Curtis, A.M.; Marques, R.M.; Dalli, J. Impaired production and diurnal regulation of vascular RvDn-3 DPA increase systemic inflammation and cardiovascular disease. Circulation </w:t>
      </w:r>
      <w:r w:rsidR="00C26709">
        <w:rPr>
          <w:rFonts w:eastAsia="Times New Roman"/>
          <w:snapToGrid/>
          <w:lang w:eastAsia="de-DE"/>
        </w:rPr>
        <w:t>R</w:t>
      </w:r>
      <w:r w:rsidR="00C26709" w:rsidRPr="00C1001F">
        <w:rPr>
          <w:rFonts w:eastAsia="Times New Roman"/>
          <w:snapToGrid/>
          <w:lang w:eastAsia="de-DE"/>
        </w:rPr>
        <w:t>esearch 2018, 122, 855-863.</w:t>
      </w:r>
    </w:p>
    <w:p w14:paraId="30D0201C" w14:textId="24EA1D58"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2.</w:t>
      </w:r>
      <w:r w:rsidR="00C26709">
        <w:rPr>
          <w:rFonts w:eastAsia="Times New Roman"/>
          <w:snapToGrid/>
          <w:lang w:eastAsia="de-DE"/>
        </w:rPr>
        <w:tab/>
      </w:r>
      <w:r w:rsidR="00C26709" w:rsidRPr="00C1001F">
        <w:rPr>
          <w:rFonts w:eastAsia="Times New Roman"/>
          <w:snapToGrid/>
          <w:lang w:eastAsia="de-DE"/>
        </w:rPr>
        <w:t>Salazar, J.; Pirela, D.; Nava, M.; Castro, A.; Angarita, L.; Parra, H.; Durán-Agüero, S.; Rojas-Gómez, D.M.; Galbán, N.; Añez, R. Specialized proresolving lipid mediators: A potential therapeutic target for atherosclerosis. International Journal of Molecular Sciences 2022, 23, 3133.</w:t>
      </w:r>
    </w:p>
    <w:p w14:paraId="3B6CAE69" w14:textId="44746E8B"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3</w:t>
      </w:r>
      <w:r w:rsidR="00C26709" w:rsidRPr="00C1001F">
        <w:rPr>
          <w:rFonts w:eastAsia="Times New Roman"/>
          <w:snapToGrid/>
          <w:lang w:eastAsia="de-DE"/>
        </w:rPr>
        <w:t>.</w:t>
      </w:r>
      <w:r w:rsidR="00C26709" w:rsidRPr="00C1001F">
        <w:rPr>
          <w:rFonts w:eastAsia="Times New Roman"/>
          <w:snapToGrid/>
          <w:lang w:eastAsia="de-DE"/>
        </w:rPr>
        <w:tab/>
        <w:t xml:space="preserve">Hasturk, H.; Abdallah, R.; Kantarci, A.; Nguyen, D.; Giordano, N.; Hamilton, J.; Van Dyke, T.E. Resolvin E1 (RvE1) attenuates atherosclerotic plaque formation in diet and inflammation-induced atherogenesis. Arteriosclerosis, </w:t>
      </w:r>
      <w:r w:rsidR="00C26709">
        <w:rPr>
          <w:rFonts w:eastAsia="Times New Roman"/>
          <w:snapToGrid/>
          <w:lang w:eastAsia="de-DE"/>
        </w:rPr>
        <w:t>T</w:t>
      </w:r>
      <w:r w:rsidR="00C26709" w:rsidRPr="00C1001F">
        <w:rPr>
          <w:rFonts w:eastAsia="Times New Roman"/>
          <w:snapToGrid/>
          <w:lang w:eastAsia="de-DE"/>
        </w:rPr>
        <w:t xml:space="preserve">hrombosis, and </w:t>
      </w:r>
      <w:r w:rsidR="00C26709">
        <w:rPr>
          <w:rFonts w:eastAsia="Times New Roman"/>
          <w:snapToGrid/>
          <w:lang w:eastAsia="de-DE"/>
        </w:rPr>
        <w:t>V</w:t>
      </w:r>
      <w:r w:rsidR="00C26709" w:rsidRPr="00C1001F">
        <w:rPr>
          <w:rFonts w:eastAsia="Times New Roman"/>
          <w:snapToGrid/>
          <w:lang w:eastAsia="de-DE"/>
        </w:rPr>
        <w:t xml:space="preserve">ascular </w:t>
      </w:r>
      <w:r w:rsidR="00C26709">
        <w:rPr>
          <w:rFonts w:eastAsia="Times New Roman"/>
          <w:snapToGrid/>
          <w:lang w:eastAsia="de-DE"/>
        </w:rPr>
        <w:t>B</w:t>
      </w:r>
      <w:r w:rsidR="00C26709" w:rsidRPr="00C1001F">
        <w:rPr>
          <w:rFonts w:eastAsia="Times New Roman"/>
          <w:snapToGrid/>
          <w:lang w:eastAsia="de-DE"/>
        </w:rPr>
        <w:t>iology 2015, 35, 1123-1133.</w:t>
      </w:r>
    </w:p>
    <w:p w14:paraId="536BBC9F" w14:textId="41C19F77"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4</w:t>
      </w:r>
      <w:r w:rsidR="00C26709" w:rsidRPr="00C1001F">
        <w:rPr>
          <w:rFonts w:eastAsia="Times New Roman"/>
          <w:snapToGrid/>
          <w:lang w:eastAsia="de-DE"/>
        </w:rPr>
        <w:t>.</w:t>
      </w:r>
      <w:r w:rsidR="00C26709" w:rsidRPr="00C1001F">
        <w:rPr>
          <w:rFonts w:eastAsia="Times New Roman"/>
          <w:snapToGrid/>
          <w:lang w:eastAsia="de-DE"/>
        </w:rPr>
        <w:tab/>
        <w:t xml:space="preserve">Viola, J.R.; Lemnitzer, P.; Jansen, Y.; Csaba, G.; Winter, C.; Neideck, C.; Silvestre-Roig, C.; Dittmar, G.; Döring, Y.; Drechsler, M. Resolving lipid mediators maresin 1 and resolvin D2 prevent atheroprogression in mice. Circulation </w:t>
      </w:r>
      <w:r w:rsidR="00C26709">
        <w:rPr>
          <w:rFonts w:eastAsia="Times New Roman"/>
          <w:snapToGrid/>
          <w:lang w:eastAsia="de-DE"/>
        </w:rPr>
        <w:t>R</w:t>
      </w:r>
      <w:r w:rsidR="00C26709" w:rsidRPr="00C1001F">
        <w:rPr>
          <w:rFonts w:eastAsia="Times New Roman"/>
          <w:snapToGrid/>
          <w:lang w:eastAsia="de-DE"/>
        </w:rPr>
        <w:t>esearch 2016, 119, 1030-1038.</w:t>
      </w:r>
    </w:p>
    <w:p w14:paraId="67300EBA" w14:textId="3C0F7152"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5</w:t>
      </w:r>
      <w:r w:rsidR="00C26709" w:rsidRPr="00C1001F">
        <w:rPr>
          <w:rFonts w:eastAsia="Times New Roman"/>
          <w:snapToGrid/>
          <w:lang w:eastAsia="de-DE"/>
        </w:rPr>
        <w:t>.</w:t>
      </w:r>
      <w:r w:rsidR="00C26709" w:rsidRPr="00C1001F">
        <w:rPr>
          <w:rFonts w:eastAsia="Times New Roman"/>
          <w:snapToGrid/>
          <w:lang w:eastAsia="de-DE"/>
        </w:rPr>
        <w:tab/>
        <w:t>Akagi, D.; Chen, M.; Toy, R.; Chatterjee, A.; Conte, M.S. Systemic delivery of proresolving lipid mediators resolvin D2 and maresin 1 attenuates intimal hyperplasia in mice. FASEB Journal 2015, 29, 2504.</w:t>
      </w:r>
    </w:p>
    <w:p w14:paraId="39B1F626" w14:textId="377B2F81"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6</w:t>
      </w:r>
      <w:r w:rsidR="00C26709" w:rsidRPr="00C1001F">
        <w:rPr>
          <w:rFonts w:eastAsia="Times New Roman"/>
          <w:snapToGrid/>
          <w:lang w:eastAsia="de-DE"/>
        </w:rPr>
        <w:t>.</w:t>
      </w:r>
      <w:r w:rsidR="00C26709" w:rsidRPr="00C1001F">
        <w:rPr>
          <w:rFonts w:eastAsia="Times New Roman"/>
          <w:snapToGrid/>
          <w:lang w:eastAsia="de-DE"/>
        </w:rPr>
        <w:tab/>
        <w:t>Makino, Y.; Miyahara, T.; Nitta, J.; Miyahara, K.; Seo, A.; Kimura, M.; Suhara, M.; Akai, A.; Akagi, D.; Yamamoto, K. Proresolving lipid mediators resolvin D1 and protectin D1 isomer attenuate neointimal hyperplasia in the rat carotid artery balloon injury model. Journal of Surgical Research 2019, 233, 104-110.</w:t>
      </w:r>
    </w:p>
    <w:p w14:paraId="7B3CDDF4" w14:textId="0BDA441B"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7</w:t>
      </w:r>
      <w:r w:rsidR="00C26709">
        <w:rPr>
          <w:rFonts w:eastAsia="Times New Roman"/>
          <w:snapToGrid/>
          <w:lang w:eastAsia="de-DE"/>
        </w:rPr>
        <w:t>7</w:t>
      </w:r>
      <w:r w:rsidR="00C26709" w:rsidRPr="00C1001F">
        <w:rPr>
          <w:rFonts w:eastAsia="Times New Roman"/>
          <w:snapToGrid/>
          <w:lang w:eastAsia="de-DE"/>
        </w:rPr>
        <w:t>.</w:t>
      </w:r>
      <w:r w:rsidR="00C26709" w:rsidRPr="00C1001F">
        <w:rPr>
          <w:rFonts w:eastAsia="Times New Roman"/>
          <w:snapToGrid/>
          <w:lang w:eastAsia="de-DE"/>
        </w:rPr>
        <w:tab/>
        <w:t>Salic, K.; Morrison, M.C.; Verschuren, L.; Wielinga, P.Y.; Wu, L.; Kleemann, R.; Gjorstrup, P.; Kooistra, T. Resolvin E1 attenuates atherosclerosis in absence of cholesterol-lowering effects and on top of atorvastatin. Atherosclerosis 2016, 250, 158-165.</w:t>
      </w:r>
    </w:p>
    <w:p w14:paraId="219BEA20" w14:textId="4F7363EC" w:rsidR="00C1001F" w:rsidRPr="00C1001F" w:rsidRDefault="00BE1525" w:rsidP="00C1001F">
      <w:pPr>
        <w:pStyle w:val="MDPI63Notes"/>
        <w:spacing w:before="0"/>
        <w:rPr>
          <w:rFonts w:eastAsia="Times New Roman"/>
          <w:snapToGrid/>
          <w:lang w:eastAsia="de-DE"/>
        </w:rPr>
      </w:pPr>
      <w:r>
        <w:rPr>
          <w:rFonts w:eastAsia="Times New Roman"/>
          <w:snapToGrid/>
          <w:lang w:eastAsia="de-DE"/>
        </w:rPr>
        <w:t>7</w:t>
      </w:r>
      <w:r w:rsidR="00BB25C9">
        <w:rPr>
          <w:rFonts w:eastAsia="Times New Roman"/>
          <w:snapToGrid/>
          <w:lang w:eastAsia="de-DE"/>
        </w:rPr>
        <w:t>8</w:t>
      </w:r>
      <w:r w:rsidR="00C1001F" w:rsidRPr="00C1001F">
        <w:rPr>
          <w:rFonts w:eastAsia="Times New Roman"/>
          <w:snapToGrid/>
          <w:lang w:eastAsia="de-DE"/>
        </w:rPr>
        <w:t>.</w:t>
      </w:r>
      <w:r w:rsidR="00C1001F" w:rsidRPr="00C1001F">
        <w:rPr>
          <w:rFonts w:eastAsia="Times New Roman"/>
          <w:snapToGrid/>
          <w:lang w:eastAsia="de-DE"/>
        </w:rPr>
        <w:tab/>
        <w:t>Istvan, E. Statin inhibition of HMG-CoA reductase: a 3-dimensional view. Atherosclerosis Supplements 2003, 4, 3-8.</w:t>
      </w:r>
    </w:p>
    <w:p w14:paraId="7571855E" w14:textId="18CD43B5" w:rsidR="00C1001F" w:rsidRDefault="00BE1525" w:rsidP="00C1001F">
      <w:pPr>
        <w:pStyle w:val="MDPI63Notes"/>
        <w:spacing w:before="0"/>
        <w:ind w:left="510" w:hanging="510"/>
        <w:rPr>
          <w:rFonts w:eastAsia="Times New Roman"/>
          <w:snapToGrid/>
          <w:lang w:eastAsia="de-DE"/>
        </w:rPr>
      </w:pPr>
      <w:r>
        <w:rPr>
          <w:rFonts w:eastAsia="Times New Roman"/>
          <w:snapToGrid/>
          <w:lang w:eastAsia="de-DE"/>
        </w:rPr>
        <w:t>7</w:t>
      </w:r>
      <w:r w:rsidR="00BB25C9">
        <w:rPr>
          <w:rFonts w:eastAsia="Times New Roman"/>
          <w:snapToGrid/>
          <w:lang w:eastAsia="de-DE"/>
        </w:rPr>
        <w:t>9</w:t>
      </w:r>
      <w:r w:rsidR="00C1001F" w:rsidRPr="00C1001F">
        <w:rPr>
          <w:rFonts w:eastAsia="Times New Roman"/>
          <w:snapToGrid/>
          <w:lang w:eastAsia="de-DE"/>
        </w:rPr>
        <w:t>.</w:t>
      </w:r>
      <w:r w:rsidR="00C1001F" w:rsidRPr="00C1001F">
        <w:rPr>
          <w:rFonts w:eastAsia="Times New Roman"/>
          <w:snapToGrid/>
          <w:lang w:eastAsia="de-DE"/>
        </w:rPr>
        <w:tab/>
        <w:t xml:space="preserve">German, C.A.; Liao, J.K. Understanding the molecular mechanisms of statin pleiotropic effects. Archives of Toxicology 2023, </w:t>
      </w:r>
      <w:r w:rsidR="00C728C9">
        <w:rPr>
          <w:rFonts w:eastAsia="Times New Roman"/>
          <w:snapToGrid/>
          <w:lang w:eastAsia="de-DE"/>
        </w:rPr>
        <w:t>97, 1529-1545</w:t>
      </w:r>
      <w:r w:rsidR="00C1001F" w:rsidRPr="00C1001F">
        <w:rPr>
          <w:rFonts w:eastAsia="Times New Roman"/>
          <w:snapToGrid/>
          <w:lang w:eastAsia="de-DE"/>
        </w:rPr>
        <w:t>.</w:t>
      </w:r>
    </w:p>
    <w:p w14:paraId="2D78F338" w14:textId="15AB2A9B"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0.</w:t>
      </w:r>
      <w:r w:rsidR="00C26709">
        <w:rPr>
          <w:rFonts w:eastAsia="Times New Roman"/>
          <w:snapToGrid/>
          <w:lang w:eastAsia="de-DE"/>
        </w:rPr>
        <w:tab/>
      </w:r>
      <w:r w:rsidR="00C26709" w:rsidRPr="00C1001F">
        <w:rPr>
          <w:rFonts w:eastAsia="Times New Roman"/>
          <w:snapToGrid/>
          <w:lang w:eastAsia="de-DE"/>
        </w:rPr>
        <w:t>Stone, N.J.; Robinson, J.G.; Lichtenstein, A.H.; Bairey Merz, C.N.; Blum, C.B.; Eckel, R.H.; Goldberg, A.C.; Gordon, D.; Levy, D.; Lloyd-Jones, D.M. 2013 ACC/AHA guideline on the treatment of blood cholesterol to reduce atherosclerotic cardiovascular risk in adults: a report of the American College of Cardiology/American Heart Association Task Force on Practice Guidelines. Circulation 2014, 129, S1-S45.</w:t>
      </w:r>
    </w:p>
    <w:p w14:paraId="52EAC9D0" w14:textId="628E4A75"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1.</w:t>
      </w:r>
      <w:r w:rsidR="00C26709">
        <w:rPr>
          <w:rFonts w:eastAsia="Times New Roman"/>
          <w:snapToGrid/>
          <w:lang w:eastAsia="de-DE"/>
        </w:rPr>
        <w:tab/>
      </w:r>
      <w:r w:rsidR="00C26709" w:rsidRPr="00C1001F">
        <w:rPr>
          <w:rFonts w:eastAsia="Times New Roman"/>
          <w:snapToGrid/>
          <w:lang w:eastAsia="de-DE"/>
        </w:rPr>
        <w:t>He, W.B.; Ko, H.T.; Curtis, A.J.; Zoungas, S.; Woods, R.L.; Tonkin, A.; Neumann, J.T.; Turner, S.L.; Hopper, I. The effects of statins on cardiovascular and inflammatory biomarkers in primary prevention: a systematic review and meta-analysis. Heart, Lung and Circulation 2023</w:t>
      </w:r>
      <w:r w:rsidR="00C26709">
        <w:rPr>
          <w:rFonts w:eastAsia="Times New Roman"/>
          <w:snapToGrid/>
          <w:lang w:eastAsia="de-DE"/>
        </w:rPr>
        <w:t>, 32, 938-948</w:t>
      </w:r>
      <w:r w:rsidR="00C26709" w:rsidRPr="00C1001F">
        <w:rPr>
          <w:rFonts w:eastAsia="Times New Roman"/>
          <w:snapToGrid/>
          <w:lang w:eastAsia="de-DE"/>
        </w:rPr>
        <w:t>.</w:t>
      </w:r>
    </w:p>
    <w:p w14:paraId="144D1951" w14:textId="07CB55A8"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2</w:t>
      </w:r>
      <w:r w:rsidR="00C26709" w:rsidRPr="00C1001F">
        <w:rPr>
          <w:rFonts w:eastAsia="Times New Roman"/>
          <w:snapToGrid/>
          <w:lang w:eastAsia="de-DE"/>
        </w:rPr>
        <w:t>.</w:t>
      </w:r>
      <w:r w:rsidR="00C26709" w:rsidRPr="00C1001F">
        <w:rPr>
          <w:rFonts w:eastAsia="Times New Roman"/>
          <w:snapToGrid/>
          <w:lang w:eastAsia="de-DE"/>
        </w:rPr>
        <w:tab/>
        <w:t>Sheridan, A.; Wheeler-Jones, C.P.D.; Gage, M.C. The immunomodulatory effects of statins on macrophages. Immuno 2022, 2, 317-343.</w:t>
      </w:r>
    </w:p>
    <w:p w14:paraId="6CD1005B" w14:textId="1EA1B7C5"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3</w:t>
      </w:r>
      <w:r w:rsidR="00C26709" w:rsidRPr="00C1001F">
        <w:rPr>
          <w:rFonts w:eastAsia="Times New Roman"/>
          <w:snapToGrid/>
          <w:lang w:eastAsia="de-DE"/>
        </w:rPr>
        <w:t>.</w:t>
      </w:r>
      <w:r w:rsidR="00C26709" w:rsidRPr="00C1001F">
        <w:rPr>
          <w:rFonts w:eastAsia="Times New Roman"/>
          <w:snapToGrid/>
          <w:lang w:eastAsia="de-DE"/>
        </w:rPr>
        <w:tab/>
        <w:t>Shahbaz, S.K.; Sadeghi, M.; Koushki, K.; Penson, P.E.; Sahebkar, A. Regulatory T cells: possible mediators for the anti-inflammatory action of statins. Pharmacological Research 2019, 149, 104469.</w:t>
      </w:r>
    </w:p>
    <w:p w14:paraId="29078B49" w14:textId="3D13BAB6" w:rsidR="00C26709"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4</w:t>
      </w:r>
      <w:r w:rsidR="00C26709" w:rsidRPr="00C1001F">
        <w:rPr>
          <w:rFonts w:eastAsia="Times New Roman"/>
          <w:snapToGrid/>
          <w:lang w:eastAsia="de-DE"/>
        </w:rPr>
        <w:t>.</w:t>
      </w:r>
      <w:r w:rsidR="00C26709" w:rsidRPr="00C1001F">
        <w:rPr>
          <w:rFonts w:eastAsia="Times New Roman"/>
          <w:snapToGrid/>
          <w:lang w:eastAsia="de-DE"/>
        </w:rPr>
        <w:tab/>
        <w:t xml:space="preserve">Diamantis, E.; Kyriakos, G.; Victoria Quiles-Sanchez, L.; Farmaki, P.; Troupis, T. The anti-inflammatory effects of statins on coronary artery disease: an updated review of the literature. Current </w:t>
      </w:r>
      <w:r w:rsidR="00C26709">
        <w:rPr>
          <w:rFonts w:eastAsia="Times New Roman"/>
          <w:snapToGrid/>
          <w:lang w:eastAsia="de-DE"/>
        </w:rPr>
        <w:t>C</w:t>
      </w:r>
      <w:r w:rsidR="00C26709" w:rsidRPr="00C1001F">
        <w:rPr>
          <w:rFonts w:eastAsia="Times New Roman"/>
          <w:snapToGrid/>
          <w:lang w:eastAsia="de-DE"/>
        </w:rPr>
        <w:t xml:space="preserve">ardiology </w:t>
      </w:r>
      <w:r w:rsidR="00C26709">
        <w:rPr>
          <w:rFonts w:eastAsia="Times New Roman"/>
          <w:snapToGrid/>
          <w:lang w:eastAsia="de-DE"/>
        </w:rPr>
        <w:t>R</w:t>
      </w:r>
      <w:r w:rsidR="00C26709" w:rsidRPr="00C1001F">
        <w:rPr>
          <w:rFonts w:eastAsia="Times New Roman"/>
          <w:snapToGrid/>
          <w:lang w:eastAsia="de-DE"/>
        </w:rPr>
        <w:t>eviews 2017, 13, 209-216.</w:t>
      </w:r>
    </w:p>
    <w:p w14:paraId="211A990C" w14:textId="38EEB029"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5.</w:t>
      </w:r>
      <w:r w:rsidR="00C26709">
        <w:rPr>
          <w:rFonts w:eastAsia="Times New Roman"/>
          <w:snapToGrid/>
          <w:lang w:eastAsia="de-DE"/>
        </w:rPr>
        <w:tab/>
      </w:r>
      <w:r w:rsidR="00C26709" w:rsidRPr="00C1001F">
        <w:rPr>
          <w:rFonts w:eastAsia="Times New Roman"/>
          <w:snapToGrid/>
          <w:lang w:eastAsia="de-DE"/>
        </w:rPr>
        <w:t>Radbakhsh, S.; Katsiki, N.; Santos, R.D.; Mikhailidis, D.P.; Mantzoros, C.S.; Sahebkar, A. Effects of statins on specialized pro-resolving mediators: An additional pathway leading to resolution of inflammation. Metabolism 2022, 132, 155211.</w:t>
      </w:r>
    </w:p>
    <w:p w14:paraId="21773C79" w14:textId="37E8D8C8"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6</w:t>
      </w:r>
      <w:r w:rsidR="00C26709" w:rsidRPr="00C1001F">
        <w:rPr>
          <w:rFonts w:eastAsia="Times New Roman"/>
          <w:snapToGrid/>
          <w:lang w:eastAsia="de-DE"/>
        </w:rPr>
        <w:t>.</w:t>
      </w:r>
      <w:r w:rsidR="00C26709" w:rsidRPr="00C1001F">
        <w:rPr>
          <w:rFonts w:eastAsia="Times New Roman"/>
          <w:snapToGrid/>
          <w:lang w:eastAsia="de-DE"/>
        </w:rPr>
        <w:tab/>
        <w:t>Zhou, G.; Ge, S.; Liu, D.; Xu, G.; Zhang, R.; Yin, Q.; Zhu, W.; Chen, J.; Liu, X. Atorvastatin reduces plaque vulnerability in an atherosclerotic rabbit model by altering the 5-lipoxygenase pathway. Cardiology 2010, 115, 221-228.</w:t>
      </w:r>
    </w:p>
    <w:p w14:paraId="7657B656" w14:textId="7AD139DC"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7</w:t>
      </w:r>
      <w:r w:rsidR="00C26709" w:rsidRPr="00C1001F">
        <w:rPr>
          <w:rFonts w:eastAsia="Times New Roman"/>
          <w:snapToGrid/>
          <w:lang w:eastAsia="de-DE"/>
        </w:rPr>
        <w:t>.</w:t>
      </w:r>
      <w:r w:rsidR="00C26709" w:rsidRPr="00C1001F">
        <w:rPr>
          <w:rFonts w:eastAsia="Times New Roman"/>
          <w:snapToGrid/>
          <w:lang w:eastAsia="de-DE"/>
        </w:rPr>
        <w:tab/>
        <w:t>Birnbaum, Y.; Ye, Y.; Lin, Y.; Freeberg, S.Y.; Nishi, S.P.; Martinez, J.D.; Huang, M.-H.; Uretsky, B.F.; Perez-Polo, J.R. Augmentation of myocardial production of 15-epi-lipoxin-a4 by pioglitazone and atorvastatin in the rat. Circulation 2006, 114, 929-935.</w:t>
      </w:r>
    </w:p>
    <w:p w14:paraId="1DFAECEB" w14:textId="47A59885"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8</w:t>
      </w:r>
      <w:r w:rsidR="00C26709" w:rsidRPr="00C1001F">
        <w:rPr>
          <w:rFonts w:eastAsia="Times New Roman"/>
          <w:snapToGrid/>
          <w:lang w:eastAsia="de-DE"/>
        </w:rPr>
        <w:t>.</w:t>
      </w:r>
      <w:r w:rsidR="00C26709" w:rsidRPr="00C1001F">
        <w:rPr>
          <w:rFonts w:eastAsia="Times New Roman"/>
          <w:snapToGrid/>
          <w:lang w:eastAsia="de-DE"/>
        </w:rPr>
        <w:tab/>
        <w:t>Ye, Y.; Lin, Y.; Perez-Polo, J.R.; Uretsky, B.F.; Ye, Z.; Tieu, B.C.; Birnbaum, Y. Phosphorylation of 5-lipoxygenase at ser523 by protein kinase A determines whether pioglitazone and atorvastatin induce proinflammatory leukotriene B4 or anti-inflammatory 15-epi-lipoxin a4 production. Journal of Immunology 2008, 181, 3515-3523.</w:t>
      </w:r>
    </w:p>
    <w:p w14:paraId="3E5FA799" w14:textId="36D8F9DD" w:rsidR="00C26709" w:rsidRPr="00C1001F" w:rsidRDefault="00BE1525" w:rsidP="00C26709">
      <w:pPr>
        <w:pStyle w:val="MDPI63Notes"/>
        <w:spacing w:before="0"/>
        <w:ind w:left="510" w:hanging="510"/>
        <w:rPr>
          <w:rFonts w:eastAsia="Times New Roman"/>
          <w:snapToGrid/>
          <w:lang w:eastAsia="de-DE"/>
        </w:rPr>
      </w:pPr>
      <w:r>
        <w:rPr>
          <w:rFonts w:eastAsia="Times New Roman"/>
          <w:snapToGrid/>
          <w:lang w:eastAsia="de-DE"/>
        </w:rPr>
        <w:t>8</w:t>
      </w:r>
      <w:r w:rsidR="00C26709">
        <w:rPr>
          <w:rFonts w:eastAsia="Times New Roman"/>
          <w:snapToGrid/>
          <w:lang w:eastAsia="de-DE"/>
        </w:rPr>
        <w:t>9</w:t>
      </w:r>
      <w:r w:rsidR="00C26709" w:rsidRPr="00C1001F">
        <w:rPr>
          <w:rFonts w:eastAsia="Times New Roman"/>
          <w:snapToGrid/>
          <w:lang w:eastAsia="de-DE"/>
        </w:rPr>
        <w:t>.</w:t>
      </w:r>
      <w:r w:rsidR="00C26709" w:rsidRPr="00C1001F">
        <w:rPr>
          <w:rFonts w:eastAsia="Times New Roman"/>
          <w:snapToGrid/>
          <w:lang w:eastAsia="de-DE"/>
        </w:rPr>
        <w:tab/>
        <w:t>Ye, Y.; Nylander, S.; Birnbaum, Y. Unraveling the interaction of aspirin, ticagrelor, and rosuvastatin on the progression of atherosclerosis and inflammation in diabetic mice. Cardiovascular Drugs and Therapy 2017, 31, 489-500.</w:t>
      </w:r>
    </w:p>
    <w:p w14:paraId="7DD84897" w14:textId="5C772B59" w:rsidR="003A548F" w:rsidRDefault="00BE1525" w:rsidP="00BE1525">
      <w:pPr>
        <w:pStyle w:val="MDPI63Notes"/>
        <w:spacing w:before="0"/>
        <w:ind w:left="510" w:hanging="510"/>
        <w:rPr>
          <w:rFonts w:eastAsia="Times New Roman"/>
          <w:snapToGrid/>
          <w:szCs w:val="18"/>
          <w:lang w:eastAsia="de-DE"/>
        </w:rPr>
      </w:pPr>
      <w:r>
        <w:rPr>
          <w:rFonts w:eastAsia="Times New Roman"/>
          <w:snapToGrid/>
          <w:lang w:eastAsia="de-DE"/>
        </w:rPr>
        <w:t>90</w:t>
      </w:r>
      <w:r w:rsidR="00C26709" w:rsidRPr="00C1001F">
        <w:rPr>
          <w:rFonts w:eastAsia="Times New Roman"/>
          <w:snapToGrid/>
          <w:lang w:eastAsia="de-DE"/>
        </w:rPr>
        <w:t>.</w:t>
      </w:r>
      <w:r w:rsidR="00C26709" w:rsidRPr="00C1001F">
        <w:rPr>
          <w:rFonts w:eastAsia="Times New Roman"/>
          <w:snapToGrid/>
          <w:lang w:eastAsia="de-DE"/>
        </w:rPr>
        <w:tab/>
        <w:t xml:space="preserve">Laguna-Fernandez, A.; Checa, A.; Carracedo, M.; Artiach, G.; Petri, M.H.; Baumgartner, R.; Forteza, M.J.; Jiang, X.; Andonova, T.; Walker, M.E. ERV1/ChemR23 signaling protects against atherosclerosis by modifying oxidized low-density lipoprotein </w:t>
      </w:r>
      <w:r w:rsidR="00C26709" w:rsidRPr="00BE1525">
        <w:rPr>
          <w:rFonts w:eastAsia="Times New Roman"/>
          <w:snapToGrid/>
          <w:szCs w:val="18"/>
          <w:lang w:eastAsia="de-DE"/>
        </w:rPr>
        <w:t>uptake and phagocytosis in macrophages. Circulation 2018, 138, 1693-1705.</w:t>
      </w:r>
    </w:p>
    <w:p w14:paraId="1A04257C" w14:textId="020085E6" w:rsidR="003A548F" w:rsidRDefault="00BE1525" w:rsidP="003A548F">
      <w:pPr>
        <w:pStyle w:val="MDPI63Notes"/>
        <w:spacing w:before="0"/>
        <w:ind w:left="510" w:hanging="510"/>
        <w:rPr>
          <w:rFonts w:cs="URWPalladioL-Roma"/>
          <w:szCs w:val="18"/>
          <w:lang w:val="en-GB"/>
        </w:rPr>
      </w:pPr>
      <w:r>
        <w:rPr>
          <w:rFonts w:eastAsia="Times New Roman"/>
          <w:snapToGrid/>
          <w:szCs w:val="18"/>
          <w:lang w:eastAsia="de-DE"/>
        </w:rPr>
        <w:t>91.</w:t>
      </w:r>
      <w:r>
        <w:rPr>
          <w:rFonts w:eastAsia="Times New Roman"/>
          <w:snapToGrid/>
          <w:szCs w:val="18"/>
          <w:lang w:eastAsia="de-DE"/>
        </w:rPr>
        <w:tab/>
      </w:r>
      <w:r w:rsidRPr="00067BD0">
        <w:rPr>
          <w:lang w:val="en-GB"/>
        </w:rPr>
        <w:t xml:space="preserve">Kromann, N.; Green, A. Epidemiological studies in the Upernavik district, Greenland. </w:t>
      </w:r>
      <w:r w:rsidRPr="00067BD0">
        <w:rPr>
          <w:rFonts w:cs="URWPalladioL-Ital"/>
          <w:lang w:val="en-GB"/>
        </w:rPr>
        <w:t>J</w:t>
      </w:r>
      <w:r w:rsidR="003A548F">
        <w:rPr>
          <w:rFonts w:cs="URWPalladioL-Ital"/>
          <w:lang w:val="en-GB"/>
        </w:rPr>
        <w:t>ournal of</w:t>
      </w:r>
      <w:r w:rsidRPr="00067BD0">
        <w:rPr>
          <w:rFonts w:cs="URWPalladioL-Ital"/>
          <w:lang w:val="en-GB"/>
        </w:rPr>
        <w:t xml:space="preserve"> Intern</w:t>
      </w:r>
      <w:r w:rsidR="003A548F">
        <w:rPr>
          <w:rFonts w:cs="URWPalladioL-Ital"/>
          <w:lang w:val="en-GB"/>
        </w:rPr>
        <w:t>al</w:t>
      </w:r>
      <w:r w:rsidRPr="00067BD0">
        <w:rPr>
          <w:rFonts w:cs="URWPalladioL-Ital"/>
          <w:lang w:val="en-GB"/>
        </w:rPr>
        <w:t xml:space="preserve"> Med</w:t>
      </w:r>
      <w:r w:rsidR="003A548F">
        <w:rPr>
          <w:rFonts w:cs="URWPalladioL-Ital"/>
          <w:lang w:val="en-GB"/>
        </w:rPr>
        <w:t>icine</w:t>
      </w:r>
      <w:r w:rsidRPr="00067BD0">
        <w:rPr>
          <w:rFonts w:cs="URWPalladioL-Ital"/>
          <w:lang w:val="en-GB"/>
        </w:rPr>
        <w:t xml:space="preserve"> </w:t>
      </w:r>
      <w:r w:rsidRPr="00067BD0">
        <w:rPr>
          <w:rFonts w:cs="URWPalladioL-Bold"/>
          <w:lang w:val="en-GB"/>
        </w:rPr>
        <w:t>1980</w:t>
      </w:r>
      <w:r w:rsidRPr="00067BD0">
        <w:rPr>
          <w:lang w:val="en-GB"/>
        </w:rPr>
        <w:t>,</w:t>
      </w:r>
      <w:r w:rsidR="003A548F">
        <w:rPr>
          <w:lang w:val="en-GB"/>
        </w:rPr>
        <w:t xml:space="preserve"> </w:t>
      </w:r>
      <w:r w:rsidRPr="00067BD0">
        <w:rPr>
          <w:rFonts w:cs="URWPalladioL-Ital"/>
          <w:szCs w:val="18"/>
          <w:lang w:val="en-GB"/>
        </w:rPr>
        <w:t>208</w:t>
      </w:r>
      <w:r w:rsidRPr="00067BD0">
        <w:rPr>
          <w:rFonts w:cs="URWPalladioL-Roma"/>
          <w:szCs w:val="18"/>
          <w:lang w:val="en-GB"/>
        </w:rPr>
        <w:t>, 401</w:t>
      </w:r>
      <w:r w:rsidR="003A548F">
        <w:rPr>
          <w:rFonts w:cs="URWPalladioL-Roma"/>
          <w:szCs w:val="18"/>
          <w:lang w:val="en-GB"/>
        </w:rPr>
        <w:t>-</w:t>
      </w:r>
      <w:r w:rsidRPr="00067BD0">
        <w:rPr>
          <w:rFonts w:cs="URWPalladioL-Roma"/>
          <w:szCs w:val="18"/>
          <w:lang w:val="en-GB"/>
        </w:rPr>
        <w:t>406.</w:t>
      </w:r>
    </w:p>
    <w:p w14:paraId="0DC611C6" w14:textId="77777777" w:rsidR="003A548F" w:rsidRDefault="003A548F" w:rsidP="003A548F">
      <w:pPr>
        <w:pStyle w:val="MDPI63Notes"/>
        <w:spacing w:before="0"/>
        <w:ind w:left="510" w:hanging="510"/>
        <w:rPr>
          <w:rFonts w:cs="URWPalladioL-Roma"/>
          <w:szCs w:val="18"/>
          <w:lang w:val="en-GB"/>
        </w:rPr>
      </w:pPr>
      <w:r>
        <w:rPr>
          <w:rFonts w:cs="URWPalladioL-Roma"/>
          <w:szCs w:val="18"/>
          <w:lang w:val="en-GB"/>
        </w:rPr>
        <w:lastRenderedPageBreak/>
        <w:t>92.</w:t>
      </w:r>
      <w:r>
        <w:rPr>
          <w:rFonts w:cs="URWPalladioL-Roma"/>
          <w:szCs w:val="18"/>
          <w:lang w:val="en-GB"/>
        </w:rPr>
        <w:tab/>
      </w:r>
      <w:r w:rsidR="00BE1525" w:rsidRPr="00067BD0">
        <w:rPr>
          <w:rFonts w:cs="URWPalladioL-Roma"/>
          <w:szCs w:val="18"/>
          <w:lang w:val="en-GB"/>
        </w:rPr>
        <w:t>Bjerregaard, P.; Dyerberg, J. Mortality from ischaemic heart disease and cerebrovascular disease in Greenland.</w:t>
      </w:r>
      <w:r>
        <w:rPr>
          <w:rFonts w:cs="URWPalladioL-Roma"/>
          <w:szCs w:val="18"/>
          <w:lang w:val="en-GB"/>
        </w:rPr>
        <w:t xml:space="preserve"> </w:t>
      </w:r>
      <w:r w:rsidR="00BE1525" w:rsidRPr="00067BD0">
        <w:rPr>
          <w:rFonts w:cs="URWPalladioL-Ital"/>
          <w:szCs w:val="18"/>
          <w:lang w:val="en-GB"/>
        </w:rPr>
        <w:t>Int</w:t>
      </w:r>
      <w:r>
        <w:rPr>
          <w:rFonts w:cs="URWPalladioL-Ital"/>
          <w:szCs w:val="18"/>
          <w:lang w:val="en-GB"/>
        </w:rPr>
        <w:t>ernational</w:t>
      </w:r>
      <w:r w:rsidR="00BE1525" w:rsidRPr="00067BD0">
        <w:rPr>
          <w:rFonts w:cs="URWPalladioL-Ital"/>
          <w:szCs w:val="18"/>
          <w:lang w:val="en-GB"/>
        </w:rPr>
        <w:t xml:space="preserve"> J</w:t>
      </w:r>
      <w:r>
        <w:rPr>
          <w:rFonts w:cs="URWPalladioL-Ital"/>
          <w:szCs w:val="18"/>
          <w:lang w:val="en-GB"/>
        </w:rPr>
        <w:t>ournal of</w:t>
      </w:r>
      <w:r w:rsidR="00BE1525" w:rsidRPr="00067BD0">
        <w:rPr>
          <w:rFonts w:cs="URWPalladioL-Ital"/>
          <w:szCs w:val="18"/>
          <w:lang w:val="en-GB"/>
        </w:rPr>
        <w:t xml:space="preserve"> Epidemiol</w:t>
      </w:r>
      <w:r>
        <w:rPr>
          <w:rFonts w:cs="URWPalladioL-Ital"/>
          <w:szCs w:val="18"/>
          <w:lang w:val="en-GB"/>
        </w:rPr>
        <w:t>ogy</w:t>
      </w:r>
      <w:r w:rsidR="00BE1525" w:rsidRPr="00067BD0">
        <w:rPr>
          <w:rFonts w:cs="URWPalladioL-Ital"/>
          <w:szCs w:val="18"/>
          <w:lang w:val="en-GB"/>
        </w:rPr>
        <w:t xml:space="preserve"> </w:t>
      </w:r>
      <w:r w:rsidR="00BE1525" w:rsidRPr="00067BD0">
        <w:rPr>
          <w:rFonts w:cs="URWPalladioL-Bold"/>
          <w:szCs w:val="18"/>
          <w:lang w:val="en-GB"/>
        </w:rPr>
        <w:t>1988</w:t>
      </w:r>
      <w:r w:rsidR="00BE1525" w:rsidRPr="00067BD0">
        <w:rPr>
          <w:rFonts w:cs="URWPalladioL-Roma"/>
          <w:szCs w:val="18"/>
          <w:lang w:val="en-GB"/>
        </w:rPr>
        <w:t xml:space="preserve">, </w:t>
      </w:r>
      <w:r w:rsidR="00BE1525" w:rsidRPr="00067BD0">
        <w:rPr>
          <w:rFonts w:cs="URWPalladioL-Ital"/>
          <w:szCs w:val="18"/>
          <w:lang w:val="en-GB"/>
        </w:rPr>
        <w:t>17</w:t>
      </w:r>
      <w:r w:rsidR="00BE1525" w:rsidRPr="00067BD0">
        <w:rPr>
          <w:rFonts w:cs="URWPalladioL-Roma"/>
          <w:szCs w:val="18"/>
          <w:lang w:val="en-GB"/>
        </w:rPr>
        <w:t>, 514</w:t>
      </w:r>
      <w:r>
        <w:rPr>
          <w:rFonts w:cs="URWPalladioL-Roma"/>
          <w:szCs w:val="18"/>
          <w:lang w:val="en-GB"/>
        </w:rPr>
        <w:t>-</w:t>
      </w:r>
      <w:r w:rsidR="00BE1525" w:rsidRPr="00067BD0">
        <w:rPr>
          <w:rFonts w:cs="URWPalladioL-Roma"/>
          <w:szCs w:val="18"/>
          <w:lang w:val="en-GB"/>
        </w:rPr>
        <w:t xml:space="preserve">519. </w:t>
      </w:r>
    </w:p>
    <w:p w14:paraId="371D2F85" w14:textId="77777777" w:rsidR="003A548F" w:rsidRDefault="003A548F" w:rsidP="003A548F">
      <w:pPr>
        <w:pStyle w:val="MDPI63Notes"/>
        <w:spacing w:before="0"/>
        <w:ind w:left="510" w:hanging="510"/>
        <w:rPr>
          <w:rFonts w:cs="URWPalladioL-Roma"/>
          <w:szCs w:val="18"/>
          <w:lang w:val="en-GB"/>
        </w:rPr>
      </w:pPr>
      <w:r>
        <w:rPr>
          <w:rFonts w:cs="URWPalladioL-Roma"/>
          <w:szCs w:val="18"/>
          <w:lang w:val="en-GB"/>
        </w:rPr>
        <w:t>93.</w:t>
      </w:r>
      <w:r>
        <w:rPr>
          <w:rFonts w:cs="URWPalladioL-Roma"/>
          <w:szCs w:val="18"/>
          <w:lang w:val="en-GB"/>
        </w:rPr>
        <w:tab/>
      </w:r>
      <w:r w:rsidR="00BE1525" w:rsidRPr="00067BD0">
        <w:rPr>
          <w:rFonts w:cs="URWPalladioL-Roma"/>
          <w:szCs w:val="18"/>
          <w:lang w:val="en-GB"/>
        </w:rPr>
        <w:t xml:space="preserve">Bang, H.; Dyerberg, J.; Hjørne, N. The composition of food consumed by Greenland Eskimos. </w:t>
      </w:r>
      <w:r w:rsidR="00BE1525" w:rsidRPr="00067BD0">
        <w:rPr>
          <w:rFonts w:cs="URWPalladioL-Ital"/>
          <w:szCs w:val="18"/>
          <w:lang w:val="en-GB"/>
        </w:rPr>
        <w:t>J</w:t>
      </w:r>
      <w:r>
        <w:rPr>
          <w:rFonts w:cs="URWPalladioL-Ital"/>
          <w:szCs w:val="18"/>
          <w:lang w:val="en-GB"/>
        </w:rPr>
        <w:t>ournal of</w:t>
      </w:r>
      <w:r w:rsidR="00BE1525" w:rsidRPr="00067BD0">
        <w:rPr>
          <w:rFonts w:cs="URWPalladioL-Ital"/>
          <w:szCs w:val="18"/>
          <w:lang w:val="en-GB"/>
        </w:rPr>
        <w:t xml:space="preserve"> Intern</w:t>
      </w:r>
      <w:r>
        <w:rPr>
          <w:rFonts w:cs="URWPalladioL-Ital"/>
          <w:szCs w:val="18"/>
          <w:lang w:val="en-GB"/>
        </w:rPr>
        <w:t>al</w:t>
      </w:r>
      <w:r w:rsidR="00BE1525" w:rsidRPr="00067BD0">
        <w:rPr>
          <w:rFonts w:cs="URWPalladioL-Ital"/>
          <w:szCs w:val="18"/>
          <w:lang w:val="en-GB"/>
        </w:rPr>
        <w:t xml:space="preserve"> Med</w:t>
      </w:r>
      <w:r>
        <w:rPr>
          <w:rFonts w:cs="URWPalladioL-Ital"/>
          <w:szCs w:val="18"/>
          <w:lang w:val="en-GB"/>
        </w:rPr>
        <w:t xml:space="preserve">icne </w:t>
      </w:r>
      <w:r w:rsidR="00BE1525" w:rsidRPr="00067BD0">
        <w:rPr>
          <w:rFonts w:cs="URWPalladioL-Bold"/>
          <w:szCs w:val="18"/>
          <w:lang w:val="en-GB"/>
        </w:rPr>
        <w:t>1976</w:t>
      </w:r>
      <w:r w:rsidR="00BE1525" w:rsidRPr="00067BD0">
        <w:rPr>
          <w:rFonts w:cs="URWPalladioL-Roma"/>
          <w:szCs w:val="18"/>
          <w:lang w:val="en-GB"/>
        </w:rPr>
        <w:t xml:space="preserve">, </w:t>
      </w:r>
      <w:r w:rsidR="00BE1525" w:rsidRPr="00067BD0">
        <w:rPr>
          <w:rFonts w:cs="URWPalladioL-Ital"/>
          <w:szCs w:val="18"/>
          <w:lang w:val="en-GB"/>
        </w:rPr>
        <w:t>200</w:t>
      </w:r>
      <w:r w:rsidR="00BE1525" w:rsidRPr="00067BD0">
        <w:rPr>
          <w:rFonts w:cs="URWPalladioL-Roma"/>
          <w:szCs w:val="18"/>
          <w:lang w:val="en-GB"/>
        </w:rPr>
        <w:t>, 69</w:t>
      </w:r>
      <w:r>
        <w:rPr>
          <w:rFonts w:cs="URWPalladioL-Roma"/>
          <w:szCs w:val="18"/>
          <w:lang w:val="en-GB"/>
        </w:rPr>
        <w:t>-</w:t>
      </w:r>
      <w:r w:rsidR="00BE1525" w:rsidRPr="00067BD0">
        <w:rPr>
          <w:rFonts w:cs="URWPalladioL-Roma"/>
          <w:szCs w:val="18"/>
          <w:lang w:val="en-GB"/>
        </w:rPr>
        <w:t>73.</w:t>
      </w:r>
    </w:p>
    <w:p w14:paraId="64721AC0" w14:textId="77777777" w:rsidR="003A548F" w:rsidRDefault="003A548F" w:rsidP="003A548F">
      <w:pPr>
        <w:pStyle w:val="MDPI63Notes"/>
        <w:spacing w:before="0"/>
        <w:ind w:left="510" w:hanging="510"/>
        <w:rPr>
          <w:rFonts w:cs="URWPalladioL-Roma"/>
          <w:szCs w:val="18"/>
          <w:lang w:val="en-GB"/>
        </w:rPr>
      </w:pPr>
      <w:r>
        <w:rPr>
          <w:rFonts w:cs="URWPalladioL-Roma"/>
          <w:szCs w:val="18"/>
          <w:lang w:val="en-GB"/>
        </w:rPr>
        <w:t>94.</w:t>
      </w:r>
      <w:r>
        <w:rPr>
          <w:rFonts w:cs="URWPalladioL-Roma"/>
          <w:szCs w:val="18"/>
          <w:lang w:val="en-GB"/>
        </w:rPr>
        <w:tab/>
      </w:r>
      <w:r w:rsidR="00BE1525" w:rsidRPr="00067BD0">
        <w:rPr>
          <w:rFonts w:cs="URWPalladioL-Roma"/>
          <w:szCs w:val="18"/>
          <w:lang w:val="en-GB"/>
        </w:rPr>
        <w:t>Newman, W.; Middaugh, J.; Propst, M.; Rogers, D. Atherosclerosis in Alaska Natives and non-Natives.</w:t>
      </w:r>
      <w:r>
        <w:rPr>
          <w:rFonts w:cs="URWPalladioL-Roma"/>
          <w:szCs w:val="18"/>
          <w:lang w:val="en-GB"/>
        </w:rPr>
        <w:t xml:space="preserve"> </w:t>
      </w:r>
      <w:r w:rsidR="00BE1525" w:rsidRPr="00067BD0">
        <w:rPr>
          <w:rFonts w:cs="URWPalladioL-Ital"/>
          <w:szCs w:val="18"/>
          <w:lang w:val="en-GB"/>
        </w:rPr>
        <w:t xml:space="preserve">Lancet </w:t>
      </w:r>
      <w:r w:rsidR="00BE1525" w:rsidRPr="00067BD0">
        <w:rPr>
          <w:rFonts w:cs="URWPalladioL-Bold"/>
          <w:szCs w:val="18"/>
          <w:lang w:val="en-GB"/>
        </w:rPr>
        <w:t>1993</w:t>
      </w:r>
      <w:r w:rsidR="00BE1525" w:rsidRPr="00067BD0">
        <w:rPr>
          <w:rFonts w:cs="URWPalladioL-Roma"/>
          <w:szCs w:val="18"/>
          <w:lang w:val="en-GB"/>
        </w:rPr>
        <w:t xml:space="preserve">, </w:t>
      </w:r>
      <w:r w:rsidR="00BE1525" w:rsidRPr="00067BD0">
        <w:rPr>
          <w:rFonts w:cs="URWPalladioL-Ital"/>
          <w:szCs w:val="18"/>
          <w:lang w:val="en-GB"/>
        </w:rPr>
        <w:t>341</w:t>
      </w:r>
      <w:r w:rsidR="00BE1525" w:rsidRPr="00067BD0">
        <w:rPr>
          <w:rFonts w:cs="URWPalladioL-Roma"/>
          <w:szCs w:val="18"/>
          <w:lang w:val="en-GB"/>
        </w:rPr>
        <w:t>, 1056</w:t>
      </w:r>
      <w:r>
        <w:rPr>
          <w:rFonts w:cs="URWPalladioL-Roma"/>
          <w:szCs w:val="18"/>
          <w:lang w:val="en-GB"/>
        </w:rPr>
        <w:t>-</w:t>
      </w:r>
      <w:r w:rsidR="00BE1525" w:rsidRPr="00067BD0">
        <w:rPr>
          <w:rFonts w:cs="URWPalladioL-Roma"/>
          <w:szCs w:val="18"/>
          <w:lang w:val="en-GB"/>
        </w:rPr>
        <w:t xml:space="preserve">1057. </w:t>
      </w:r>
    </w:p>
    <w:p w14:paraId="72B8CA8C" w14:textId="77777777" w:rsidR="003A548F" w:rsidRDefault="003A548F" w:rsidP="003A548F">
      <w:pPr>
        <w:pStyle w:val="MDPI63Notes"/>
        <w:spacing w:before="0"/>
        <w:ind w:left="510" w:hanging="510"/>
        <w:rPr>
          <w:rFonts w:cs="URWPalladioL-Roma"/>
          <w:szCs w:val="18"/>
          <w:lang w:val="en-GB"/>
        </w:rPr>
      </w:pPr>
      <w:r>
        <w:rPr>
          <w:rFonts w:cs="URWPalladioL-Roma"/>
          <w:szCs w:val="18"/>
          <w:lang w:val="en-GB"/>
        </w:rPr>
        <w:t>95.</w:t>
      </w:r>
      <w:r>
        <w:rPr>
          <w:rFonts w:cs="URWPalladioL-Roma"/>
          <w:szCs w:val="18"/>
          <w:lang w:val="en-GB"/>
        </w:rPr>
        <w:tab/>
      </w:r>
      <w:r w:rsidR="00BE1525" w:rsidRPr="00067BD0">
        <w:rPr>
          <w:rFonts w:cs="URWPalladioL-Roma"/>
          <w:szCs w:val="18"/>
          <w:lang w:val="en-GB"/>
        </w:rPr>
        <w:t>Yano, K.; MacLean, C.J.; Reed, D.M.; Shimizu, Y.; Sasaki, H.; Kodama, K.; Kato, H.; Kagan, A. A comparison</w:t>
      </w:r>
      <w:r>
        <w:rPr>
          <w:rFonts w:cs="URWPalladioL-Roma"/>
          <w:szCs w:val="18"/>
          <w:lang w:val="en-GB"/>
        </w:rPr>
        <w:t xml:space="preserve"> </w:t>
      </w:r>
      <w:r w:rsidR="00BE1525" w:rsidRPr="00067BD0">
        <w:rPr>
          <w:rFonts w:cs="URWPalladioL-Roma"/>
          <w:szCs w:val="18"/>
          <w:lang w:val="en-GB"/>
        </w:rPr>
        <w:t>of the 12-year mortality and predictive factors of coronary heart disease among Japanese men in Japan and</w:t>
      </w:r>
      <w:r>
        <w:rPr>
          <w:rFonts w:cs="URWPalladioL-Roma"/>
          <w:szCs w:val="18"/>
          <w:lang w:val="en-GB"/>
        </w:rPr>
        <w:t xml:space="preserve"> </w:t>
      </w:r>
      <w:r w:rsidR="00BE1525" w:rsidRPr="00067BD0">
        <w:rPr>
          <w:rFonts w:cs="URWPalladioL-Roma"/>
          <w:szCs w:val="18"/>
          <w:lang w:val="en-GB"/>
        </w:rPr>
        <w:t xml:space="preserve">Hawaii. </w:t>
      </w:r>
      <w:r w:rsidR="00BE1525" w:rsidRPr="00067BD0">
        <w:rPr>
          <w:rFonts w:cs="URWPalladioL-Ital"/>
          <w:szCs w:val="18"/>
          <w:lang w:val="en-GB"/>
        </w:rPr>
        <w:t>Am</w:t>
      </w:r>
      <w:r>
        <w:rPr>
          <w:rFonts w:cs="URWPalladioL-Ital"/>
          <w:szCs w:val="18"/>
          <w:lang w:val="en-GB"/>
        </w:rPr>
        <w:t>erican</w:t>
      </w:r>
      <w:r w:rsidR="00BE1525" w:rsidRPr="00067BD0">
        <w:rPr>
          <w:rFonts w:cs="URWPalladioL-Ital"/>
          <w:szCs w:val="18"/>
          <w:lang w:val="en-GB"/>
        </w:rPr>
        <w:t xml:space="preserve"> J</w:t>
      </w:r>
      <w:r>
        <w:rPr>
          <w:rFonts w:cs="URWPalladioL-Ital"/>
          <w:szCs w:val="18"/>
          <w:lang w:val="en-GB"/>
        </w:rPr>
        <w:t>ournal of</w:t>
      </w:r>
      <w:r w:rsidR="00BE1525" w:rsidRPr="00067BD0">
        <w:rPr>
          <w:rFonts w:cs="URWPalladioL-Ital"/>
          <w:szCs w:val="18"/>
          <w:lang w:val="en-GB"/>
        </w:rPr>
        <w:t xml:space="preserve"> Epidemiol</w:t>
      </w:r>
      <w:r>
        <w:rPr>
          <w:rFonts w:cs="URWPalladioL-Ital"/>
          <w:szCs w:val="18"/>
          <w:lang w:val="en-GB"/>
        </w:rPr>
        <w:t>ogy</w:t>
      </w:r>
      <w:r w:rsidR="00BE1525" w:rsidRPr="00067BD0">
        <w:rPr>
          <w:rFonts w:cs="URWPalladioL-Ital"/>
          <w:szCs w:val="18"/>
          <w:lang w:val="en-GB"/>
        </w:rPr>
        <w:t xml:space="preserve"> </w:t>
      </w:r>
      <w:r w:rsidR="00BE1525" w:rsidRPr="00067BD0">
        <w:rPr>
          <w:rFonts w:cs="URWPalladioL-Bold"/>
          <w:szCs w:val="18"/>
          <w:lang w:val="en-GB"/>
        </w:rPr>
        <w:t>1988</w:t>
      </w:r>
      <w:r w:rsidR="00BE1525" w:rsidRPr="00067BD0">
        <w:rPr>
          <w:rFonts w:cs="URWPalladioL-Roma"/>
          <w:szCs w:val="18"/>
          <w:lang w:val="en-GB"/>
        </w:rPr>
        <w:t xml:space="preserve">, </w:t>
      </w:r>
      <w:r w:rsidR="00BE1525" w:rsidRPr="00067BD0">
        <w:rPr>
          <w:rFonts w:cs="URWPalladioL-Ital"/>
          <w:szCs w:val="18"/>
          <w:lang w:val="en-GB"/>
        </w:rPr>
        <w:t>127</w:t>
      </w:r>
      <w:r w:rsidR="00BE1525" w:rsidRPr="00067BD0">
        <w:rPr>
          <w:rFonts w:cs="URWPalladioL-Roma"/>
          <w:szCs w:val="18"/>
          <w:lang w:val="en-GB"/>
        </w:rPr>
        <w:t>, 476</w:t>
      </w:r>
      <w:r>
        <w:rPr>
          <w:rFonts w:cs="URWPalladioL-Roma"/>
          <w:szCs w:val="18"/>
          <w:lang w:val="en-GB"/>
        </w:rPr>
        <w:t>-</w:t>
      </w:r>
      <w:r w:rsidR="00BE1525" w:rsidRPr="00067BD0">
        <w:rPr>
          <w:rFonts w:cs="URWPalladioL-Roma"/>
          <w:szCs w:val="18"/>
          <w:lang w:val="en-GB"/>
        </w:rPr>
        <w:t xml:space="preserve">487. </w:t>
      </w:r>
    </w:p>
    <w:p w14:paraId="1B9FA835" w14:textId="77777777" w:rsidR="003A548F" w:rsidRDefault="003A548F" w:rsidP="003A548F">
      <w:pPr>
        <w:pStyle w:val="MDPI63Notes"/>
        <w:spacing w:before="0"/>
        <w:ind w:left="510" w:hanging="510"/>
        <w:rPr>
          <w:rFonts w:cs="URWPalladioL-Roma"/>
          <w:szCs w:val="18"/>
          <w:lang w:val="en-GB"/>
        </w:rPr>
      </w:pPr>
      <w:r>
        <w:rPr>
          <w:rFonts w:cs="URWPalladioL-Roma"/>
          <w:szCs w:val="18"/>
          <w:lang w:val="en-GB"/>
        </w:rPr>
        <w:t>96.</w:t>
      </w:r>
      <w:r>
        <w:rPr>
          <w:rFonts w:cs="URWPalladioL-Roma"/>
          <w:szCs w:val="18"/>
          <w:lang w:val="en-GB"/>
        </w:rPr>
        <w:tab/>
      </w:r>
      <w:r w:rsidR="00BE1525" w:rsidRPr="00067BD0">
        <w:rPr>
          <w:rFonts w:cs="URWPalladioL-Roma"/>
          <w:szCs w:val="18"/>
          <w:lang w:val="en-GB"/>
        </w:rPr>
        <w:t xml:space="preserve">Calder, P.C. n-3 Fatty acids and cardiovascular disease: Evidence explained and mechanisms explored. </w:t>
      </w:r>
      <w:r w:rsidR="00BE1525" w:rsidRPr="00067BD0">
        <w:rPr>
          <w:rFonts w:cs="URWPalladioL-Ital"/>
          <w:szCs w:val="18"/>
          <w:lang w:val="en-GB"/>
        </w:rPr>
        <w:t>Clin</w:t>
      </w:r>
      <w:r>
        <w:rPr>
          <w:rFonts w:cs="URWPalladioL-Ital"/>
          <w:szCs w:val="18"/>
          <w:lang w:val="en-GB"/>
        </w:rPr>
        <w:t xml:space="preserve">ical </w:t>
      </w:r>
      <w:r w:rsidR="00BE1525" w:rsidRPr="00067BD0">
        <w:rPr>
          <w:rFonts w:cs="URWPalladioL-Ital"/>
          <w:szCs w:val="18"/>
          <w:lang w:val="en-GB"/>
        </w:rPr>
        <w:t>Sci</w:t>
      </w:r>
      <w:r>
        <w:rPr>
          <w:rFonts w:cs="URWPalladioL-Ital"/>
          <w:szCs w:val="18"/>
          <w:lang w:val="en-GB"/>
        </w:rPr>
        <w:t>ence</w:t>
      </w:r>
      <w:r w:rsidR="00BE1525" w:rsidRPr="00067BD0">
        <w:rPr>
          <w:rFonts w:cs="URWPalladioL-Ital"/>
          <w:szCs w:val="18"/>
          <w:lang w:val="en-GB"/>
        </w:rPr>
        <w:t xml:space="preserve"> </w:t>
      </w:r>
      <w:r w:rsidR="00BE1525" w:rsidRPr="00067BD0">
        <w:rPr>
          <w:rFonts w:cs="URWPalladioL-Bold"/>
          <w:szCs w:val="18"/>
          <w:lang w:val="en-GB"/>
        </w:rPr>
        <w:t>2004</w:t>
      </w:r>
      <w:r w:rsidR="00BE1525" w:rsidRPr="00067BD0">
        <w:rPr>
          <w:rFonts w:cs="URWPalladioL-Roma"/>
          <w:szCs w:val="18"/>
          <w:lang w:val="en-GB"/>
        </w:rPr>
        <w:t xml:space="preserve">, </w:t>
      </w:r>
      <w:r w:rsidR="00BE1525" w:rsidRPr="00067BD0">
        <w:rPr>
          <w:rFonts w:cs="URWPalladioL-Ital"/>
          <w:szCs w:val="18"/>
          <w:lang w:val="en-GB"/>
        </w:rPr>
        <w:t>107</w:t>
      </w:r>
      <w:r w:rsidR="00BE1525" w:rsidRPr="00067BD0">
        <w:rPr>
          <w:rFonts w:cs="URWPalladioL-Roma"/>
          <w:szCs w:val="18"/>
          <w:lang w:val="en-GB"/>
        </w:rPr>
        <w:t>, 1</w:t>
      </w:r>
      <w:r>
        <w:rPr>
          <w:rFonts w:cs="URWPalladioL-Roma"/>
          <w:szCs w:val="18"/>
          <w:lang w:val="en-GB"/>
        </w:rPr>
        <w:t>-</w:t>
      </w:r>
      <w:r w:rsidR="00BE1525" w:rsidRPr="00067BD0">
        <w:rPr>
          <w:rFonts w:cs="URWPalladioL-Roma"/>
          <w:szCs w:val="18"/>
          <w:lang w:val="en-GB"/>
        </w:rPr>
        <w:t>11.</w:t>
      </w:r>
    </w:p>
    <w:p w14:paraId="5CA1B8DC" w14:textId="77777777" w:rsidR="00E5012A" w:rsidRDefault="003A548F" w:rsidP="00E5012A">
      <w:pPr>
        <w:pStyle w:val="MDPI63Notes"/>
        <w:spacing w:before="0"/>
        <w:ind w:left="510" w:hanging="510"/>
        <w:rPr>
          <w:rFonts w:cs="URWPalladioL-Roma"/>
          <w:szCs w:val="18"/>
          <w:lang w:val="en-GB"/>
        </w:rPr>
      </w:pPr>
      <w:r>
        <w:rPr>
          <w:rFonts w:cs="URWPalladioL-Roma"/>
          <w:szCs w:val="18"/>
          <w:lang w:val="en-GB"/>
        </w:rPr>
        <w:t>97.</w:t>
      </w:r>
      <w:r>
        <w:rPr>
          <w:rFonts w:cs="URWPalladioL-Roma"/>
          <w:szCs w:val="18"/>
          <w:lang w:val="en-GB"/>
        </w:rPr>
        <w:tab/>
      </w:r>
      <w:r w:rsidR="00BE1525" w:rsidRPr="00067BD0">
        <w:rPr>
          <w:rFonts w:cs="URWPalladioL-Roma"/>
          <w:szCs w:val="18"/>
          <w:lang w:val="en-GB"/>
        </w:rPr>
        <w:t>Hu, F.; Bronner, L.; Willett, W.; Stampfer, M.; Rexrode, K.M.; Albert, C.; Hunter, D.; Manson, J. Fish and</w:t>
      </w:r>
      <w:r>
        <w:rPr>
          <w:rFonts w:eastAsia="Times New Roman"/>
          <w:snapToGrid/>
          <w:szCs w:val="18"/>
          <w:lang w:eastAsia="de-DE"/>
        </w:rPr>
        <w:t xml:space="preserve"> </w:t>
      </w:r>
      <w:r w:rsidR="00BE1525" w:rsidRPr="00067BD0">
        <w:rPr>
          <w:rFonts w:cs="URWPalladioL-Roma"/>
          <w:szCs w:val="18"/>
          <w:lang w:val="en-GB"/>
        </w:rPr>
        <w:t xml:space="preserve">omega-3 fatty acid intake and risk of coronary heart disease in women. </w:t>
      </w:r>
      <w:r w:rsidR="00BE1525" w:rsidRPr="00067BD0">
        <w:rPr>
          <w:rFonts w:cs="URWPalladioL-Ital"/>
          <w:szCs w:val="18"/>
          <w:lang w:val="en-GB"/>
        </w:rPr>
        <w:t xml:space="preserve">JAMA </w:t>
      </w:r>
      <w:r w:rsidR="00BE1525" w:rsidRPr="00067BD0">
        <w:rPr>
          <w:rFonts w:cs="URWPalladioL-Bold"/>
          <w:szCs w:val="18"/>
          <w:lang w:val="en-GB"/>
        </w:rPr>
        <w:t>2002</w:t>
      </w:r>
      <w:r w:rsidR="00BE1525" w:rsidRPr="00067BD0">
        <w:rPr>
          <w:rFonts w:cs="URWPalladioL-Roma"/>
          <w:szCs w:val="18"/>
          <w:lang w:val="en-GB"/>
        </w:rPr>
        <w:t xml:space="preserve">, </w:t>
      </w:r>
      <w:r w:rsidR="00BE1525" w:rsidRPr="00067BD0">
        <w:rPr>
          <w:rFonts w:cs="URWPalladioL-Ital"/>
          <w:szCs w:val="18"/>
          <w:lang w:val="en-GB"/>
        </w:rPr>
        <w:t>287</w:t>
      </w:r>
      <w:r w:rsidR="00BE1525" w:rsidRPr="00067BD0">
        <w:rPr>
          <w:rFonts w:cs="URWPalladioL-Roma"/>
          <w:szCs w:val="18"/>
          <w:lang w:val="en-GB"/>
        </w:rPr>
        <w:t>, 181</w:t>
      </w:r>
      <w:r>
        <w:rPr>
          <w:rFonts w:cs="URWPalladioL-Roma"/>
          <w:szCs w:val="18"/>
          <w:lang w:val="en-GB"/>
        </w:rPr>
        <w:t>.</w:t>
      </w:r>
    </w:p>
    <w:p w14:paraId="22BA2C55" w14:textId="77777777" w:rsidR="00E5012A" w:rsidRDefault="00E5012A" w:rsidP="00E5012A">
      <w:pPr>
        <w:pStyle w:val="MDPI63Notes"/>
        <w:spacing w:before="0"/>
        <w:ind w:left="510" w:hanging="510"/>
        <w:rPr>
          <w:rFonts w:cs="URWPalladioL-Roma"/>
          <w:color w:val="auto"/>
          <w:szCs w:val="18"/>
          <w:lang w:val="en-GB"/>
        </w:rPr>
      </w:pPr>
      <w:r>
        <w:rPr>
          <w:rFonts w:cs="URWPalladioL-Roma"/>
          <w:szCs w:val="18"/>
          <w:lang w:val="en-GB"/>
        </w:rPr>
        <w:t>98.</w:t>
      </w:r>
      <w:r>
        <w:rPr>
          <w:rFonts w:cs="URWPalladioL-Roma"/>
          <w:szCs w:val="18"/>
          <w:lang w:val="en-GB"/>
        </w:rPr>
        <w:tab/>
      </w:r>
      <w:r w:rsidR="003A548F" w:rsidRPr="00067BD0">
        <w:rPr>
          <w:rFonts w:cs="URWPalladioL-Roma"/>
          <w:color w:val="auto"/>
          <w:szCs w:val="18"/>
          <w:lang w:val="en-GB"/>
        </w:rPr>
        <w:t>Zhang, Y.; Zhuang, P.; He, W.; Chen, J.N.; Wang, W.Q.; Freedman, N.D.; Abnet, C.C.; Wang, J.B.; Jiao, J.J.</w:t>
      </w:r>
      <w:r>
        <w:rPr>
          <w:rFonts w:cs="URWPalladioL-Roma"/>
          <w:color w:val="auto"/>
          <w:szCs w:val="18"/>
          <w:lang w:val="en-GB"/>
        </w:rPr>
        <w:t xml:space="preserve"> </w:t>
      </w:r>
      <w:r w:rsidR="003A548F" w:rsidRPr="00067BD0">
        <w:rPr>
          <w:rFonts w:cs="URWPalladioL-Roma"/>
          <w:color w:val="auto"/>
          <w:szCs w:val="18"/>
          <w:lang w:val="en-GB"/>
        </w:rPr>
        <w:t>Association of fish and long-chain omega-3 fatty acids intakes with total and cause-specific mortality:</w:t>
      </w:r>
      <w:r>
        <w:rPr>
          <w:rFonts w:cs="URWPalladioL-Roma"/>
          <w:szCs w:val="18"/>
          <w:lang w:val="en-GB"/>
        </w:rPr>
        <w:t xml:space="preserve"> </w:t>
      </w:r>
      <w:r w:rsidR="003A548F" w:rsidRPr="00067BD0">
        <w:rPr>
          <w:rFonts w:cs="URWPalladioL-Roma"/>
          <w:color w:val="auto"/>
          <w:szCs w:val="18"/>
          <w:lang w:val="en-GB"/>
        </w:rPr>
        <w:t xml:space="preserve">Prospective analysis of 421 309 individuals. </w:t>
      </w:r>
      <w:r w:rsidR="003A548F" w:rsidRPr="00067BD0">
        <w:rPr>
          <w:rFonts w:cs="URWPalladioL-Ital"/>
          <w:color w:val="auto"/>
          <w:szCs w:val="18"/>
          <w:lang w:val="en-GB"/>
        </w:rPr>
        <w:t>J</w:t>
      </w:r>
      <w:r>
        <w:rPr>
          <w:rFonts w:cs="URWPalladioL-Ital"/>
          <w:color w:val="auto"/>
          <w:szCs w:val="18"/>
          <w:lang w:val="en-GB"/>
        </w:rPr>
        <w:t>ournal of</w:t>
      </w:r>
      <w:r w:rsidR="003A548F" w:rsidRPr="00067BD0">
        <w:rPr>
          <w:rFonts w:cs="URWPalladioL-Ital"/>
          <w:color w:val="auto"/>
          <w:szCs w:val="18"/>
          <w:lang w:val="en-GB"/>
        </w:rPr>
        <w:t xml:space="preserve"> Intern</w:t>
      </w:r>
      <w:r>
        <w:rPr>
          <w:rFonts w:cs="URWPalladioL-Ital"/>
          <w:color w:val="auto"/>
          <w:szCs w:val="18"/>
          <w:lang w:val="en-GB"/>
        </w:rPr>
        <w:t>al</w:t>
      </w:r>
      <w:r w:rsidR="003A548F" w:rsidRPr="00067BD0">
        <w:rPr>
          <w:rFonts w:cs="URWPalladioL-Ital"/>
          <w:color w:val="auto"/>
          <w:szCs w:val="18"/>
          <w:lang w:val="en-GB"/>
        </w:rPr>
        <w:t xml:space="preserve"> Med</w:t>
      </w:r>
      <w:r>
        <w:rPr>
          <w:rFonts w:cs="URWPalladioL-Ital"/>
          <w:color w:val="auto"/>
          <w:szCs w:val="18"/>
          <w:lang w:val="en-GB"/>
        </w:rPr>
        <w:t>icine</w:t>
      </w:r>
      <w:r w:rsidR="003A548F" w:rsidRPr="00067BD0">
        <w:rPr>
          <w:rFonts w:cs="URWPalladioL-Ital"/>
          <w:color w:val="auto"/>
          <w:szCs w:val="18"/>
          <w:lang w:val="en-GB"/>
        </w:rPr>
        <w:t xml:space="preserve"> </w:t>
      </w:r>
      <w:r w:rsidR="003A548F" w:rsidRPr="00067BD0">
        <w:rPr>
          <w:rFonts w:cs="URWPalladioL-Bold"/>
          <w:color w:val="auto"/>
          <w:szCs w:val="18"/>
          <w:lang w:val="en-GB"/>
        </w:rPr>
        <w:t>2018</w:t>
      </w:r>
      <w:r w:rsidR="003A548F" w:rsidRPr="00067BD0">
        <w:rPr>
          <w:rFonts w:cs="URWPalladioL-Roma"/>
          <w:color w:val="auto"/>
          <w:szCs w:val="18"/>
          <w:lang w:val="en-GB"/>
        </w:rPr>
        <w:t xml:space="preserve">, </w:t>
      </w:r>
      <w:r w:rsidR="003A548F" w:rsidRPr="00067BD0">
        <w:rPr>
          <w:rFonts w:cs="URWPalladioL-Ital"/>
          <w:color w:val="auto"/>
          <w:szCs w:val="18"/>
          <w:lang w:val="en-GB"/>
        </w:rPr>
        <w:t>284</w:t>
      </w:r>
      <w:r w:rsidR="003A548F" w:rsidRPr="00067BD0">
        <w:rPr>
          <w:rFonts w:cs="URWPalladioL-Roma"/>
          <w:color w:val="auto"/>
          <w:szCs w:val="18"/>
          <w:lang w:val="en-GB"/>
        </w:rPr>
        <w:t>, 399</w:t>
      </w:r>
      <w:r>
        <w:rPr>
          <w:rFonts w:cs="URWPalladioL-Roma"/>
          <w:color w:val="auto"/>
          <w:szCs w:val="18"/>
          <w:lang w:val="en-GB"/>
        </w:rPr>
        <w:t>-</w:t>
      </w:r>
      <w:r w:rsidR="003A548F" w:rsidRPr="00067BD0">
        <w:rPr>
          <w:rFonts w:cs="URWPalladioL-Roma"/>
          <w:color w:val="auto"/>
          <w:szCs w:val="18"/>
          <w:lang w:val="en-GB"/>
        </w:rPr>
        <w:t>417.</w:t>
      </w:r>
    </w:p>
    <w:p w14:paraId="723A7F4C" w14:textId="77777777" w:rsidR="00420F46" w:rsidRDefault="00E5012A" w:rsidP="00420F46">
      <w:pPr>
        <w:pStyle w:val="MDPI63Notes"/>
        <w:spacing w:before="0"/>
        <w:ind w:left="510" w:hanging="510"/>
        <w:rPr>
          <w:rFonts w:cs="URWPalladioL-Roma"/>
          <w:color w:val="auto"/>
          <w:szCs w:val="18"/>
          <w:lang w:val="en-GB"/>
        </w:rPr>
      </w:pPr>
      <w:r>
        <w:rPr>
          <w:rFonts w:cs="URWPalladioL-Roma"/>
          <w:szCs w:val="18"/>
          <w:lang w:val="en-GB"/>
        </w:rPr>
        <w:t>99.</w:t>
      </w:r>
      <w:r>
        <w:rPr>
          <w:rFonts w:cs="URWPalladioL-Roma"/>
          <w:color w:val="auto"/>
          <w:szCs w:val="18"/>
          <w:lang w:val="en-GB"/>
        </w:rPr>
        <w:tab/>
      </w:r>
      <w:r w:rsidR="003A548F" w:rsidRPr="00067BD0">
        <w:rPr>
          <w:rFonts w:cs="URWPalladioL-Roma"/>
          <w:color w:val="auto"/>
          <w:szCs w:val="18"/>
          <w:lang w:val="en-GB"/>
        </w:rPr>
        <w:t>Chowdhury, R.;</w:t>
      </w:r>
      <w:r>
        <w:rPr>
          <w:rFonts w:cs="URWPalladioL-Roma"/>
          <w:color w:val="auto"/>
          <w:szCs w:val="18"/>
          <w:lang w:val="en-GB"/>
        </w:rPr>
        <w:t xml:space="preserve"> </w:t>
      </w:r>
      <w:r w:rsidR="003A548F" w:rsidRPr="00067BD0">
        <w:rPr>
          <w:rFonts w:cs="URWPalladioL-Roma"/>
          <w:color w:val="auto"/>
          <w:szCs w:val="18"/>
          <w:lang w:val="en-GB"/>
        </w:rPr>
        <w:t>Warnakula, S.; Kunutsor, S.; Crowe, F.;</w:t>
      </w:r>
      <w:r>
        <w:rPr>
          <w:rFonts w:cs="URWPalladioL-Roma"/>
          <w:color w:val="auto"/>
          <w:szCs w:val="18"/>
          <w:lang w:val="en-GB"/>
        </w:rPr>
        <w:t xml:space="preserve"> </w:t>
      </w:r>
      <w:r w:rsidR="003A548F" w:rsidRPr="00067BD0">
        <w:rPr>
          <w:rFonts w:cs="URWPalladioL-Roma"/>
          <w:color w:val="auto"/>
          <w:szCs w:val="18"/>
          <w:lang w:val="en-GB"/>
        </w:rPr>
        <w:t>Ward, H.; Johnson, L.; Franco, O.; Butterworth, A.;</w:t>
      </w:r>
      <w:r>
        <w:rPr>
          <w:rFonts w:cs="URWPalladioL-Roma"/>
          <w:color w:val="auto"/>
          <w:szCs w:val="18"/>
          <w:lang w:val="en-GB"/>
        </w:rPr>
        <w:t xml:space="preserve"> </w:t>
      </w:r>
      <w:r w:rsidR="003A548F" w:rsidRPr="00067BD0">
        <w:rPr>
          <w:rFonts w:cs="URWPalladioL-Roma"/>
          <w:color w:val="auto"/>
          <w:szCs w:val="18"/>
          <w:lang w:val="en-GB"/>
        </w:rPr>
        <w:t xml:space="preserve">Forouhi, N.; Thompson, S.; </w:t>
      </w:r>
      <w:r w:rsidR="00420F46" w:rsidRPr="00067BD0">
        <w:rPr>
          <w:rFonts w:cs="Segoe UI"/>
          <w:color w:val="212121"/>
          <w:szCs w:val="18"/>
          <w:shd w:val="clear" w:color="auto" w:fill="FFFFFF"/>
        </w:rPr>
        <w:t>Khaw</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K</w:t>
      </w:r>
      <w:r w:rsidR="00420F46">
        <w:rPr>
          <w:rFonts w:cs="Segoe UI"/>
          <w:color w:val="212121"/>
          <w:szCs w:val="18"/>
          <w:shd w:val="clear" w:color="auto" w:fill="FFFFFF"/>
        </w:rPr>
        <w:t>.</w:t>
      </w:r>
      <w:r w:rsidR="00420F46" w:rsidRPr="00067BD0">
        <w:rPr>
          <w:rFonts w:cs="Segoe UI"/>
          <w:color w:val="212121"/>
          <w:szCs w:val="18"/>
          <w:shd w:val="clear" w:color="auto" w:fill="FFFFFF"/>
        </w:rPr>
        <w:t>T</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Mozaffarian</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D</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Danesh</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J</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Di Angelantonio</w:t>
      </w:r>
      <w:r w:rsidR="00420F46">
        <w:rPr>
          <w:rFonts w:cs="Segoe UI"/>
          <w:color w:val="212121"/>
          <w:szCs w:val="18"/>
          <w:shd w:val="clear" w:color="auto" w:fill="FFFFFF"/>
        </w:rPr>
        <w:t>,</w:t>
      </w:r>
      <w:r w:rsidR="00420F46" w:rsidRPr="00067BD0">
        <w:rPr>
          <w:rFonts w:cs="Segoe UI"/>
          <w:color w:val="212121"/>
          <w:szCs w:val="18"/>
          <w:shd w:val="clear" w:color="auto" w:fill="FFFFFF"/>
        </w:rPr>
        <w:t xml:space="preserve"> E.</w:t>
      </w:r>
      <w:r w:rsidR="003A548F" w:rsidRPr="00067BD0">
        <w:rPr>
          <w:rFonts w:cs="URWPalladioL-Roma"/>
          <w:color w:val="auto"/>
          <w:szCs w:val="18"/>
          <w:lang w:val="en-GB"/>
        </w:rPr>
        <w:t xml:space="preserve"> Association of dietary, circulating, and supplement fatty acids with coronary</w:t>
      </w:r>
      <w:r w:rsidR="00420F46">
        <w:rPr>
          <w:rFonts w:cs="URWPalladioL-Roma"/>
          <w:szCs w:val="18"/>
          <w:lang w:val="en-GB"/>
        </w:rPr>
        <w:t xml:space="preserve"> </w:t>
      </w:r>
      <w:r w:rsidR="003A548F" w:rsidRPr="00067BD0">
        <w:rPr>
          <w:rFonts w:cs="URWPalladioL-Roma"/>
          <w:color w:val="auto"/>
          <w:szCs w:val="18"/>
          <w:lang w:val="en-GB"/>
        </w:rPr>
        <w:t xml:space="preserve">risk: A systematic review and meta-analysis. </w:t>
      </w:r>
      <w:r w:rsidR="003A548F" w:rsidRPr="00067BD0">
        <w:rPr>
          <w:rFonts w:cs="URWPalladioL-Ital"/>
          <w:color w:val="auto"/>
          <w:szCs w:val="18"/>
          <w:lang w:val="en-GB"/>
        </w:rPr>
        <w:t>Ann</w:t>
      </w:r>
      <w:r w:rsidR="00420F46">
        <w:rPr>
          <w:rFonts w:cs="URWPalladioL-Ital"/>
          <w:color w:val="auto"/>
          <w:szCs w:val="18"/>
          <w:lang w:val="en-GB"/>
        </w:rPr>
        <w:t>als of</w:t>
      </w:r>
      <w:r w:rsidR="003A548F" w:rsidRPr="00067BD0">
        <w:rPr>
          <w:rFonts w:cs="URWPalladioL-Ital"/>
          <w:color w:val="auto"/>
          <w:szCs w:val="18"/>
          <w:lang w:val="en-GB"/>
        </w:rPr>
        <w:t xml:space="preserve"> Intern</w:t>
      </w:r>
      <w:r w:rsidR="00420F46">
        <w:rPr>
          <w:rFonts w:cs="URWPalladioL-Ital"/>
          <w:color w:val="auto"/>
          <w:szCs w:val="18"/>
          <w:lang w:val="en-GB"/>
        </w:rPr>
        <w:t>al</w:t>
      </w:r>
      <w:r w:rsidR="003A548F" w:rsidRPr="00067BD0">
        <w:rPr>
          <w:rFonts w:cs="URWPalladioL-Ital"/>
          <w:color w:val="auto"/>
          <w:szCs w:val="18"/>
          <w:lang w:val="en-GB"/>
        </w:rPr>
        <w:t xml:space="preserve"> Med</w:t>
      </w:r>
      <w:r w:rsidR="00420F46">
        <w:rPr>
          <w:rFonts w:cs="URWPalladioL-Ital"/>
          <w:color w:val="auto"/>
          <w:szCs w:val="18"/>
          <w:lang w:val="en-GB"/>
        </w:rPr>
        <w:t>icine</w:t>
      </w:r>
      <w:r w:rsidR="003A548F" w:rsidRPr="00067BD0">
        <w:rPr>
          <w:rFonts w:cs="URWPalladioL-Ital"/>
          <w:color w:val="auto"/>
          <w:szCs w:val="18"/>
          <w:lang w:val="en-GB"/>
        </w:rPr>
        <w:t xml:space="preserve"> </w:t>
      </w:r>
      <w:r w:rsidR="003A548F" w:rsidRPr="00067BD0">
        <w:rPr>
          <w:rFonts w:cs="URWPalladioL-Bold"/>
          <w:color w:val="auto"/>
          <w:szCs w:val="18"/>
          <w:lang w:val="en-GB"/>
        </w:rPr>
        <w:t>2014</w:t>
      </w:r>
      <w:r w:rsidR="003A548F" w:rsidRPr="00067BD0">
        <w:rPr>
          <w:rFonts w:cs="URWPalladioL-Roma"/>
          <w:color w:val="auto"/>
          <w:szCs w:val="18"/>
          <w:lang w:val="en-GB"/>
        </w:rPr>
        <w:t xml:space="preserve">, </w:t>
      </w:r>
      <w:r w:rsidR="003A548F" w:rsidRPr="00067BD0">
        <w:rPr>
          <w:rFonts w:cs="URWPalladioL-Ital"/>
          <w:color w:val="auto"/>
          <w:szCs w:val="18"/>
          <w:lang w:val="en-GB"/>
        </w:rPr>
        <w:t>160</w:t>
      </w:r>
      <w:r w:rsidR="003A548F" w:rsidRPr="00067BD0">
        <w:rPr>
          <w:rFonts w:cs="URWPalladioL-Roma"/>
          <w:color w:val="auto"/>
          <w:szCs w:val="18"/>
          <w:lang w:val="en-GB"/>
        </w:rPr>
        <w:t>, 398</w:t>
      </w:r>
      <w:r w:rsidR="00420F46">
        <w:rPr>
          <w:rFonts w:cs="URWPalladioL-Roma"/>
          <w:color w:val="auto"/>
          <w:szCs w:val="18"/>
          <w:lang w:val="en-GB"/>
        </w:rPr>
        <w:t>-</w:t>
      </w:r>
      <w:r w:rsidR="003A548F" w:rsidRPr="00067BD0">
        <w:rPr>
          <w:rFonts w:cs="URWPalladioL-Roma"/>
          <w:color w:val="auto"/>
          <w:szCs w:val="18"/>
          <w:lang w:val="en-GB"/>
        </w:rPr>
        <w:t>406</w:t>
      </w:r>
      <w:r w:rsidR="003A548F" w:rsidRPr="00067BD0">
        <w:rPr>
          <w:rFonts w:cs="URWPalladioL-Roma"/>
          <w:color w:val="auto"/>
          <w:szCs w:val="18"/>
          <w:lang w:val="en-GB"/>
        </w:rPr>
        <w:t>.</w:t>
      </w:r>
    </w:p>
    <w:p w14:paraId="71D959F7" w14:textId="77777777" w:rsidR="00420F46" w:rsidRDefault="00420F46" w:rsidP="00420F46">
      <w:pPr>
        <w:pStyle w:val="MDPI63Notes"/>
        <w:spacing w:before="0"/>
        <w:ind w:left="510" w:hanging="510"/>
        <w:rPr>
          <w:rFonts w:cs="URWPalladioL-Roma"/>
          <w:color w:val="auto"/>
          <w:szCs w:val="18"/>
          <w:lang w:val="en-GB"/>
        </w:rPr>
      </w:pPr>
      <w:r>
        <w:rPr>
          <w:rFonts w:cs="URWPalladioL-Roma"/>
          <w:szCs w:val="18"/>
          <w:lang w:val="en-GB"/>
        </w:rPr>
        <w:t>100.</w:t>
      </w:r>
      <w:r>
        <w:rPr>
          <w:rFonts w:cs="URWPalladioL-Roma"/>
          <w:color w:val="auto"/>
          <w:szCs w:val="18"/>
          <w:lang w:val="en-GB"/>
        </w:rPr>
        <w:tab/>
      </w:r>
      <w:r w:rsidR="003A548F" w:rsidRPr="00067BD0">
        <w:rPr>
          <w:rFonts w:cs="URWPalladioL-Roma"/>
          <w:color w:val="auto"/>
          <w:szCs w:val="18"/>
          <w:lang w:val="en-GB"/>
        </w:rPr>
        <w:t>Alexander, D.D.; Miller, P.E.; Van Elswyk, M.E.; Kuratko, C.N.; Bylsma, L.C. A meta-analysis of randomized</w:t>
      </w:r>
      <w:r>
        <w:rPr>
          <w:rFonts w:cs="URWPalladioL-Roma"/>
          <w:color w:val="auto"/>
          <w:szCs w:val="18"/>
          <w:lang w:val="en-GB"/>
        </w:rPr>
        <w:t xml:space="preserve"> </w:t>
      </w:r>
      <w:r w:rsidR="003A548F" w:rsidRPr="00067BD0">
        <w:rPr>
          <w:rFonts w:cs="URWPalladioL-Roma"/>
          <w:color w:val="auto"/>
          <w:szCs w:val="18"/>
          <w:lang w:val="en-GB"/>
        </w:rPr>
        <w:t>controlled trials and prospective cohort studies of eicosapentaenoic and docosahexaenoic long-chain omega-3</w:t>
      </w:r>
      <w:r>
        <w:rPr>
          <w:rFonts w:cs="URWPalladioL-Roma"/>
          <w:szCs w:val="18"/>
          <w:lang w:val="en-GB"/>
        </w:rPr>
        <w:t xml:space="preserve"> </w:t>
      </w:r>
      <w:r w:rsidR="003A548F" w:rsidRPr="00067BD0">
        <w:rPr>
          <w:rFonts w:cs="URWPalladioL-Roma"/>
          <w:color w:val="auto"/>
          <w:szCs w:val="18"/>
          <w:lang w:val="en-GB"/>
        </w:rPr>
        <w:t xml:space="preserve">fatty acids and coronary heart disease risk. </w:t>
      </w:r>
      <w:r w:rsidR="003A548F" w:rsidRPr="00067BD0">
        <w:rPr>
          <w:rFonts w:cs="URWPalladioL-Ital"/>
          <w:color w:val="auto"/>
          <w:szCs w:val="18"/>
          <w:lang w:val="en-GB"/>
        </w:rPr>
        <w:t>Mayo Clin</w:t>
      </w:r>
      <w:r>
        <w:rPr>
          <w:rFonts w:cs="URWPalladioL-Ital"/>
          <w:color w:val="auto"/>
          <w:szCs w:val="18"/>
          <w:lang w:val="en-GB"/>
        </w:rPr>
        <w:t>ic</w:t>
      </w:r>
      <w:r w:rsidR="003A548F" w:rsidRPr="00067BD0">
        <w:rPr>
          <w:rFonts w:cs="URWPalladioL-Ital"/>
          <w:color w:val="auto"/>
          <w:szCs w:val="18"/>
          <w:lang w:val="en-GB"/>
        </w:rPr>
        <w:t xml:space="preserve"> Proc</w:t>
      </w:r>
      <w:r>
        <w:rPr>
          <w:rFonts w:cs="URWPalladioL-Ital"/>
          <w:color w:val="auto"/>
          <w:szCs w:val="18"/>
          <w:lang w:val="en-GB"/>
        </w:rPr>
        <w:t>eedings</w:t>
      </w:r>
      <w:r w:rsidR="003A548F" w:rsidRPr="00067BD0">
        <w:rPr>
          <w:rFonts w:cs="URWPalladioL-Ital"/>
          <w:color w:val="auto"/>
          <w:szCs w:val="18"/>
          <w:lang w:val="en-GB"/>
        </w:rPr>
        <w:t xml:space="preserve"> </w:t>
      </w:r>
      <w:r w:rsidR="003A548F" w:rsidRPr="00067BD0">
        <w:rPr>
          <w:rFonts w:cs="URWPalladioL-Bold"/>
          <w:color w:val="auto"/>
          <w:szCs w:val="18"/>
          <w:lang w:val="en-GB"/>
        </w:rPr>
        <w:t>2017</w:t>
      </w:r>
      <w:r w:rsidR="003A548F" w:rsidRPr="00067BD0">
        <w:rPr>
          <w:rFonts w:cs="URWPalladioL-Roma"/>
          <w:color w:val="auto"/>
          <w:szCs w:val="18"/>
          <w:lang w:val="en-GB"/>
        </w:rPr>
        <w:t xml:space="preserve">, </w:t>
      </w:r>
      <w:r w:rsidR="003A548F" w:rsidRPr="00067BD0">
        <w:rPr>
          <w:rFonts w:cs="URWPalladioL-Ital"/>
          <w:color w:val="auto"/>
          <w:szCs w:val="18"/>
          <w:lang w:val="en-GB"/>
        </w:rPr>
        <w:t>92</w:t>
      </w:r>
      <w:r w:rsidR="003A548F" w:rsidRPr="00067BD0">
        <w:rPr>
          <w:rFonts w:cs="URWPalladioL-Roma"/>
          <w:color w:val="auto"/>
          <w:szCs w:val="18"/>
          <w:lang w:val="en-GB"/>
        </w:rPr>
        <w:t>, 15</w:t>
      </w:r>
      <w:r>
        <w:rPr>
          <w:rFonts w:cs="URWPalladioL-Roma"/>
          <w:color w:val="auto"/>
          <w:szCs w:val="18"/>
          <w:lang w:val="en-GB"/>
        </w:rPr>
        <w:t>-</w:t>
      </w:r>
      <w:r w:rsidR="003A548F" w:rsidRPr="00067BD0">
        <w:rPr>
          <w:rFonts w:cs="URWPalladioL-Roma"/>
          <w:color w:val="auto"/>
          <w:szCs w:val="18"/>
          <w:lang w:val="en-GB"/>
        </w:rPr>
        <w:t>29.</w:t>
      </w:r>
    </w:p>
    <w:p w14:paraId="0FD2FFEF" w14:textId="77777777" w:rsidR="00420F46" w:rsidRDefault="00420F46" w:rsidP="00420F46">
      <w:pPr>
        <w:pStyle w:val="MDPI63Notes"/>
        <w:spacing w:before="0"/>
        <w:ind w:left="510" w:hanging="510"/>
        <w:rPr>
          <w:rFonts w:cs="URWPalladioL-Roma"/>
          <w:color w:val="auto"/>
          <w:szCs w:val="18"/>
          <w:lang w:val="en-GB"/>
        </w:rPr>
      </w:pPr>
      <w:r>
        <w:rPr>
          <w:rFonts w:cs="URWPalladioL-Roma"/>
          <w:szCs w:val="18"/>
          <w:lang w:val="en-GB"/>
        </w:rPr>
        <w:t>101.</w:t>
      </w:r>
      <w:r>
        <w:rPr>
          <w:rFonts w:cs="URWPalladioL-Roma"/>
          <w:color w:val="auto"/>
          <w:szCs w:val="18"/>
          <w:lang w:val="en-GB"/>
        </w:rPr>
        <w:tab/>
      </w:r>
      <w:r w:rsidR="003A548F" w:rsidRPr="00067BD0">
        <w:rPr>
          <w:rFonts w:cs="URWPalladioL-Roma"/>
          <w:color w:val="auto"/>
          <w:szCs w:val="18"/>
          <w:lang w:val="en-GB"/>
        </w:rPr>
        <w:t>Albert, C.; Campos, H.; Stampfer, M.; Ridker, P.; Manson, J.; Willett, W.; Ma, J. Blood levels of long-chain n–3</w:t>
      </w:r>
      <w:r>
        <w:rPr>
          <w:rFonts w:cs="URWPalladioL-Roma"/>
          <w:szCs w:val="18"/>
          <w:lang w:val="en-GB"/>
        </w:rPr>
        <w:t xml:space="preserve"> </w:t>
      </w:r>
      <w:r w:rsidR="003A548F" w:rsidRPr="00067BD0">
        <w:rPr>
          <w:rFonts w:cs="URWPalladioL-Roma"/>
          <w:color w:val="auto"/>
          <w:szCs w:val="18"/>
          <w:lang w:val="en-GB"/>
        </w:rPr>
        <w:t xml:space="preserve">fatty acids and the risk of sudden death. </w:t>
      </w:r>
      <w:r w:rsidR="003A548F" w:rsidRPr="00067BD0">
        <w:rPr>
          <w:rFonts w:cs="URWPalladioL-Ital"/>
          <w:color w:val="auto"/>
          <w:szCs w:val="18"/>
          <w:lang w:val="en-GB"/>
        </w:rPr>
        <w:t>N</w:t>
      </w:r>
      <w:r>
        <w:rPr>
          <w:rFonts w:cs="URWPalladioL-Ital"/>
          <w:color w:val="auto"/>
          <w:szCs w:val="18"/>
          <w:lang w:val="en-GB"/>
        </w:rPr>
        <w:t xml:space="preserve">ew </w:t>
      </w:r>
      <w:r w:rsidR="003A548F" w:rsidRPr="00067BD0">
        <w:rPr>
          <w:rFonts w:cs="URWPalladioL-Ital"/>
          <w:color w:val="auto"/>
          <w:szCs w:val="18"/>
          <w:lang w:val="en-GB"/>
        </w:rPr>
        <w:t>Engl</w:t>
      </w:r>
      <w:r>
        <w:rPr>
          <w:rFonts w:cs="URWPalladioL-Ital"/>
          <w:color w:val="auto"/>
          <w:szCs w:val="18"/>
          <w:lang w:val="en-GB"/>
        </w:rPr>
        <w:t>and</w:t>
      </w:r>
      <w:r w:rsidR="003A548F" w:rsidRPr="00067BD0">
        <w:rPr>
          <w:rFonts w:cs="URWPalladioL-Ital"/>
          <w:color w:val="auto"/>
          <w:szCs w:val="18"/>
          <w:lang w:val="en-GB"/>
        </w:rPr>
        <w:t xml:space="preserve"> J</w:t>
      </w:r>
      <w:r>
        <w:rPr>
          <w:rFonts w:cs="URWPalladioL-Ital"/>
          <w:color w:val="auto"/>
          <w:szCs w:val="18"/>
          <w:lang w:val="en-GB"/>
        </w:rPr>
        <w:t>ournal of</w:t>
      </w:r>
      <w:r w:rsidR="003A548F" w:rsidRPr="00067BD0">
        <w:rPr>
          <w:rFonts w:cs="URWPalladioL-Ital"/>
          <w:color w:val="auto"/>
          <w:szCs w:val="18"/>
          <w:lang w:val="en-GB"/>
        </w:rPr>
        <w:t xml:space="preserve"> Med</w:t>
      </w:r>
      <w:r>
        <w:rPr>
          <w:rFonts w:cs="URWPalladioL-Ital"/>
          <w:color w:val="auto"/>
          <w:szCs w:val="18"/>
          <w:lang w:val="en-GB"/>
        </w:rPr>
        <w:t>icine</w:t>
      </w:r>
      <w:r w:rsidR="003A548F" w:rsidRPr="00067BD0">
        <w:rPr>
          <w:rFonts w:cs="URWPalladioL-Ital"/>
          <w:color w:val="auto"/>
          <w:szCs w:val="18"/>
          <w:lang w:val="en-GB"/>
        </w:rPr>
        <w:t xml:space="preserve"> </w:t>
      </w:r>
      <w:r w:rsidR="003A548F" w:rsidRPr="00067BD0">
        <w:rPr>
          <w:rFonts w:cs="URWPalladioL-Bold"/>
          <w:color w:val="auto"/>
          <w:szCs w:val="18"/>
          <w:lang w:val="en-GB"/>
        </w:rPr>
        <w:t>2002</w:t>
      </w:r>
      <w:r w:rsidR="003A548F" w:rsidRPr="00067BD0">
        <w:rPr>
          <w:rFonts w:cs="URWPalladioL-Roma"/>
          <w:color w:val="auto"/>
          <w:szCs w:val="18"/>
          <w:lang w:val="en-GB"/>
        </w:rPr>
        <w:t xml:space="preserve">, </w:t>
      </w:r>
      <w:r w:rsidR="003A548F" w:rsidRPr="00067BD0">
        <w:rPr>
          <w:rFonts w:cs="URWPalladioL-Ital"/>
          <w:color w:val="auto"/>
          <w:szCs w:val="18"/>
          <w:lang w:val="en-GB"/>
        </w:rPr>
        <w:t>346</w:t>
      </w:r>
      <w:r w:rsidR="003A548F" w:rsidRPr="00067BD0">
        <w:rPr>
          <w:rFonts w:cs="URWPalladioL-Roma"/>
          <w:color w:val="auto"/>
          <w:szCs w:val="18"/>
          <w:lang w:val="en-GB"/>
        </w:rPr>
        <w:t>, 1113</w:t>
      </w:r>
      <w:r>
        <w:rPr>
          <w:rFonts w:cs="URWPalladioL-Roma"/>
          <w:color w:val="auto"/>
          <w:szCs w:val="18"/>
          <w:lang w:val="en-GB"/>
        </w:rPr>
        <w:t>-</w:t>
      </w:r>
      <w:r w:rsidR="003A548F" w:rsidRPr="00067BD0">
        <w:rPr>
          <w:rFonts w:cs="URWPalladioL-Roma"/>
          <w:color w:val="auto"/>
          <w:szCs w:val="18"/>
          <w:lang w:val="en-GB"/>
        </w:rPr>
        <w:t>1118</w:t>
      </w:r>
      <w:r>
        <w:rPr>
          <w:rFonts w:cs="URWPalladioL-Roma"/>
          <w:color w:val="auto"/>
          <w:szCs w:val="18"/>
          <w:lang w:val="en-GB"/>
        </w:rPr>
        <w:t>.</w:t>
      </w:r>
    </w:p>
    <w:p w14:paraId="5923868D" w14:textId="77777777" w:rsidR="00420F46" w:rsidRDefault="00420F46" w:rsidP="00420F46">
      <w:pPr>
        <w:pStyle w:val="MDPI63Notes"/>
        <w:spacing w:before="0"/>
        <w:ind w:left="510" w:hanging="510"/>
        <w:rPr>
          <w:rFonts w:cs="URWPalladioL-Roma"/>
          <w:color w:val="auto"/>
          <w:szCs w:val="18"/>
          <w:lang w:val="en-GB"/>
        </w:rPr>
      </w:pPr>
      <w:r>
        <w:rPr>
          <w:rFonts w:cs="URWPalladioL-Roma"/>
          <w:szCs w:val="18"/>
          <w:lang w:val="en-GB"/>
        </w:rPr>
        <w:t>102.</w:t>
      </w:r>
      <w:r>
        <w:rPr>
          <w:rFonts w:cs="URWPalladioL-Roma"/>
          <w:color w:val="auto"/>
          <w:szCs w:val="18"/>
          <w:lang w:val="en-GB"/>
        </w:rPr>
        <w:tab/>
      </w:r>
      <w:r w:rsidR="003A548F" w:rsidRPr="00067BD0">
        <w:rPr>
          <w:rFonts w:cs="URWPalladioL-Roma"/>
          <w:color w:val="auto"/>
          <w:szCs w:val="18"/>
          <w:lang w:val="en-GB"/>
        </w:rPr>
        <w:t>Del Gobbo, L.C.; Imamura, F.; Aslibekyan, S.; Marklund, M.; Virtanen, J.K.; Wennberg, M.; Yakoob, M.Y.;</w:t>
      </w:r>
      <w:r>
        <w:rPr>
          <w:rFonts w:cs="URWPalladioL-Roma"/>
          <w:color w:val="auto"/>
          <w:szCs w:val="18"/>
          <w:lang w:val="en-GB"/>
        </w:rPr>
        <w:t xml:space="preserve"> </w:t>
      </w:r>
      <w:r w:rsidR="003A548F" w:rsidRPr="00067BD0">
        <w:rPr>
          <w:rFonts w:cs="URWPalladioL-Roma"/>
          <w:color w:val="auto"/>
          <w:szCs w:val="18"/>
          <w:lang w:val="en-GB"/>
        </w:rPr>
        <w:t xml:space="preserve">Chiuve, S.E.; Dela Cruz, L.; Frazier-Wood, A.C.; </w:t>
      </w:r>
      <w:r w:rsidRPr="00067BD0">
        <w:rPr>
          <w:rFonts w:cs="Segoe UI"/>
          <w:color w:val="212121"/>
          <w:szCs w:val="18"/>
          <w:shd w:val="clear" w:color="auto" w:fill="FFFFFF"/>
        </w:rPr>
        <w:t>Fretts</w:t>
      </w:r>
      <w:r>
        <w:rPr>
          <w:rFonts w:cs="Segoe UI"/>
          <w:color w:val="212121"/>
          <w:szCs w:val="18"/>
          <w:shd w:val="clear" w:color="auto" w:fill="FFFFFF"/>
        </w:rPr>
        <w:t>,</w:t>
      </w:r>
      <w:r w:rsidRPr="00067BD0">
        <w:rPr>
          <w:rFonts w:cs="Segoe UI"/>
          <w:color w:val="212121"/>
          <w:szCs w:val="18"/>
          <w:shd w:val="clear" w:color="auto" w:fill="FFFFFF"/>
        </w:rPr>
        <w:t xml:space="preserve"> A</w:t>
      </w:r>
      <w:r>
        <w:rPr>
          <w:rFonts w:cs="Segoe UI"/>
          <w:color w:val="212121"/>
          <w:szCs w:val="18"/>
          <w:shd w:val="clear" w:color="auto" w:fill="FFFFFF"/>
        </w:rPr>
        <w:t>.</w:t>
      </w:r>
      <w:r w:rsidRPr="00067BD0">
        <w:rPr>
          <w:rFonts w:cs="Segoe UI"/>
          <w:color w:val="212121"/>
          <w:szCs w:val="18"/>
          <w:shd w:val="clear" w:color="auto" w:fill="FFFFFF"/>
        </w:rPr>
        <w:t>M</w:t>
      </w:r>
      <w:r>
        <w:rPr>
          <w:rFonts w:cs="Segoe UI"/>
          <w:color w:val="212121"/>
          <w:szCs w:val="18"/>
          <w:shd w:val="clear" w:color="auto" w:fill="FFFFFF"/>
        </w:rPr>
        <w:t>.;</w:t>
      </w:r>
      <w:r w:rsidRPr="00067BD0">
        <w:rPr>
          <w:rFonts w:cs="Segoe UI"/>
          <w:color w:val="212121"/>
          <w:szCs w:val="18"/>
          <w:shd w:val="clear" w:color="auto" w:fill="FFFFFF"/>
        </w:rPr>
        <w:t xml:space="preserve"> Guallar</w:t>
      </w:r>
      <w:r>
        <w:rPr>
          <w:rFonts w:cs="Segoe UI"/>
          <w:color w:val="212121"/>
          <w:szCs w:val="18"/>
          <w:shd w:val="clear" w:color="auto" w:fill="FFFFFF"/>
        </w:rPr>
        <w:t>,</w:t>
      </w:r>
      <w:r w:rsidRPr="00067BD0">
        <w:rPr>
          <w:rFonts w:cs="Segoe UI"/>
          <w:color w:val="212121"/>
          <w:szCs w:val="18"/>
          <w:shd w:val="clear" w:color="auto" w:fill="FFFFFF"/>
        </w:rPr>
        <w:t xml:space="preserve"> E</w:t>
      </w:r>
      <w:r>
        <w:rPr>
          <w:rFonts w:cs="Segoe UI"/>
          <w:color w:val="212121"/>
          <w:szCs w:val="18"/>
          <w:shd w:val="clear" w:color="auto" w:fill="FFFFFF"/>
        </w:rPr>
        <w:t>.;</w:t>
      </w:r>
      <w:r w:rsidRPr="00067BD0">
        <w:rPr>
          <w:rFonts w:cs="Segoe UI"/>
          <w:color w:val="212121"/>
          <w:szCs w:val="18"/>
          <w:shd w:val="clear" w:color="auto" w:fill="FFFFFF"/>
        </w:rPr>
        <w:t xml:space="preserve"> Matsumoto</w:t>
      </w:r>
      <w:r>
        <w:rPr>
          <w:rFonts w:cs="Segoe UI"/>
          <w:color w:val="212121"/>
          <w:szCs w:val="18"/>
          <w:shd w:val="clear" w:color="auto" w:fill="FFFFFF"/>
        </w:rPr>
        <w:t>,</w:t>
      </w:r>
      <w:r w:rsidRPr="00067BD0">
        <w:rPr>
          <w:rFonts w:cs="Segoe UI"/>
          <w:color w:val="212121"/>
          <w:szCs w:val="18"/>
          <w:shd w:val="clear" w:color="auto" w:fill="FFFFFF"/>
        </w:rPr>
        <w:t xml:space="preserve"> C</w:t>
      </w:r>
      <w:r>
        <w:rPr>
          <w:rFonts w:cs="Segoe UI"/>
          <w:color w:val="212121"/>
          <w:szCs w:val="18"/>
          <w:shd w:val="clear" w:color="auto" w:fill="FFFFFF"/>
        </w:rPr>
        <w:t>.;</w:t>
      </w:r>
      <w:r w:rsidRPr="00067BD0">
        <w:rPr>
          <w:rFonts w:cs="Segoe UI"/>
          <w:color w:val="212121"/>
          <w:szCs w:val="18"/>
          <w:shd w:val="clear" w:color="auto" w:fill="FFFFFF"/>
        </w:rPr>
        <w:t xml:space="preserve"> Prem</w:t>
      </w:r>
      <w:r>
        <w:rPr>
          <w:rFonts w:cs="Segoe UI"/>
          <w:color w:val="212121"/>
          <w:szCs w:val="18"/>
          <w:shd w:val="clear" w:color="auto" w:fill="FFFFFF"/>
        </w:rPr>
        <w:t>,</w:t>
      </w:r>
      <w:r w:rsidRPr="00067BD0">
        <w:rPr>
          <w:rFonts w:cs="Segoe UI"/>
          <w:color w:val="212121"/>
          <w:szCs w:val="18"/>
          <w:shd w:val="clear" w:color="auto" w:fill="FFFFFF"/>
        </w:rPr>
        <w:t xml:space="preserve"> K</w:t>
      </w:r>
      <w:r>
        <w:rPr>
          <w:rFonts w:cs="Segoe UI"/>
          <w:color w:val="212121"/>
          <w:szCs w:val="18"/>
          <w:shd w:val="clear" w:color="auto" w:fill="FFFFFF"/>
        </w:rPr>
        <w:t>.;</w:t>
      </w:r>
      <w:r w:rsidRPr="00067BD0">
        <w:rPr>
          <w:rFonts w:cs="Segoe UI"/>
          <w:color w:val="212121"/>
          <w:szCs w:val="18"/>
          <w:shd w:val="clear" w:color="auto" w:fill="FFFFFF"/>
        </w:rPr>
        <w:t xml:space="preserve"> Tanaka</w:t>
      </w:r>
      <w:r>
        <w:rPr>
          <w:rFonts w:cs="Segoe UI"/>
          <w:color w:val="212121"/>
          <w:szCs w:val="18"/>
          <w:shd w:val="clear" w:color="auto" w:fill="FFFFFF"/>
        </w:rPr>
        <w:t>,</w:t>
      </w:r>
      <w:r w:rsidRPr="00067BD0">
        <w:rPr>
          <w:rFonts w:cs="Segoe UI"/>
          <w:color w:val="212121"/>
          <w:szCs w:val="18"/>
          <w:shd w:val="clear" w:color="auto" w:fill="FFFFFF"/>
        </w:rPr>
        <w:t xml:space="preserve"> T</w:t>
      </w:r>
      <w:r>
        <w:rPr>
          <w:rFonts w:cs="Segoe UI"/>
          <w:color w:val="212121"/>
          <w:szCs w:val="18"/>
          <w:shd w:val="clear" w:color="auto" w:fill="FFFFFF"/>
        </w:rPr>
        <w:t>.;</w:t>
      </w:r>
      <w:r w:rsidRPr="00067BD0">
        <w:rPr>
          <w:rFonts w:cs="Segoe UI"/>
          <w:color w:val="212121"/>
          <w:szCs w:val="18"/>
          <w:shd w:val="clear" w:color="auto" w:fill="FFFFFF"/>
        </w:rPr>
        <w:t xml:space="preserve"> Wu</w:t>
      </w:r>
      <w:r>
        <w:rPr>
          <w:rFonts w:cs="Segoe UI"/>
          <w:color w:val="212121"/>
          <w:szCs w:val="18"/>
          <w:shd w:val="clear" w:color="auto" w:fill="FFFFFF"/>
        </w:rPr>
        <w:t>,</w:t>
      </w:r>
      <w:r w:rsidRPr="00067BD0">
        <w:rPr>
          <w:rFonts w:cs="Segoe UI"/>
          <w:color w:val="212121"/>
          <w:szCs w:val="18"/>
          <w:shd w:val="clear" w:color="auto" w:fill="FFFFFF"/>
        </w:rPr>
        <w:t xml:space="preserve"> J</w:t>
      </w:r>
      <w:r>
        <w:rPr>
          <w:rFonts w:cs="Segoe UI"/>
          <w:color w:val="212121"/>
          <w:szCs w:val="18"/>
          <w:shd w:val="clear" w:color="auto" w:fill="FFFFFF"/>
        </w:rPr>
        <w:t>.</w:t>
      </w:r>
      <w:r w:rsidRPr="00067BD0">
        <w:rPr>
          <w:rFonts w:cs="Segoe UI"/>
          <w:color w:val="212121"/>
          <w:szCs w:val="18"/>
          <w:shd w:val="clear" w:color="auto" w:fill="FFFFFF"/>
        </w:rPr>
        <w:t>H</w:t>
      </w:r>
      <w:r>
        <w:rPr>
          <w:rFonts w:cs="Segoe UI"/>
          <w:color w:val="212121"/>
          <w:szCs w:val="18"/>
          <w:shd w:val="clear" w:color="auto" w:fill="FFFFFF"/>
        </w:rPr>
        <w:t>.;</w:t>
      </w:r>
      <w:r w:rsidRPr="00067BD0">
        <w:rPr>
          <w:rFonts w:cs="Segoe UI"/>
          <w:color w:val="212121"/>
          <w:szCs w:val="18"/>
          <w:shd w:val="clear" w:color="auto" w:fill="FFFFFF"/>
        </w:rPr>
        <w:t xml:space="preserve"> Zhou</w:t>
      </w:r>
      <w:r>
        <w:rPr>
          <w:rFonts w:cs="Segoe UI"/>
          <w:color w:val="212121"/>
          <w:szCs w:val="18"/>
          <w:shd w:val="clear" w:color="auto" w:fill="FFFFFF"/>
        </w:rPr>
        <w:t>,</w:t>
      </w:r>
      <w:r w:rsidRPr="00067BD0">
        <w:rPr>
          <w:rFonts w:cs="Segoe UI"/>
          <w:color w:val="212121"/>
          <w:szCs w:val="18"/>
          <w:shd w:val="clear" w:color="auto" w:fill="FFFFFF"/>
        </w:rPr>
        <w:t xml:space="preserve"> X</w:t>
      </w:r>
      <w:r>
        <w:rPr>
          <w:rFonts w:cs="Segoe UI"/>
          <w:color w:val="212121"/>
          <w:szCs w:val="18"/>
          <w:shd w:val="clear" w:color="auto" w:fill="FFFFFF"/>
        </w:rPr>
        <w:t>.;</w:t>
      </w:r>
      <w:r w:rsidRPr="00067BD0">
        <w:rPr>
          <w:rFonts w:cs="Segoe UI"/>
          <w:color w:val="212121"/>
          <w:szCs w:val="18"/>
          <w:shd w:val="clear" w:color="auto" w:fill="FFFFFF"/>
        </w:rPr>
        <w:t xml:space="preserve"> Helmer</w:t>
      </w:r>
      <w:r>
        <w:rPr>
          <w:rFonts w:cs="Segoe UI"/>
          <w:color w:val="212121"/>
          <w:szCs w:val="18"/>
          <w:shd w:val="clear" w:color="auto" w:fill="FFFFFF"/>
        </w:rPr>
        <w:t>,</w:t>
      </w:r>
      <w:r w:rsidRPr="00067BD0">
        <w:rPr>
          <w:rFonts w:cs="Segoe UI"/>
          <w:color w:val="212121"/>
          <w:szCs w:val="18"/>
          <w:shd w:val="clear" w:color="auto" w:fill="FFFFFF"/>
        </w:rPr>
        <w:t xml:space="preserve"> C</w:t>
      </w:r>
      <w:r>
        <w:rPr>
          <w:rFonts w:cs="Segoe UI"/>
          <w:color w:val="212121"/>
          <w:szCs w:val="18"/>
          <w:shd w:val="clear" w:color="auto" w:fill="FFFFFF"/>
        </w:rPr>
        <w:t>.;</w:t>
      </w:r>
      <w:r w:rsidRPr="00067BD0">
        <w:rPr>
          <w:rFonts w:cs="Segoe UI"/>
          <w:color w:val="212121"/>
          <w:szCs w:val="18"/>
          <w:shd w:val="clear" w:color="auto" w:fill="FFFFFF"/>
        </w:rPr>
        <w:t xml:space="preserve"> Ingelsson</w:t>
      </w:r>
      <w:r>
        <w:rPr>
          <w:rFonts w:cs="Segoe UI"/>
          <w:color w:val="212121"/>
          <w:szCs w:val="18"/>
          <w:shd w:val="clear" w:color="auto" w:fill="FFFFFF"/>
        </w:rPr>
        <w:t>,</w:t>
      </w:r>
      <w:r w:rsidRPr="00067BD0">
        <w:rPr>
          <w:rFonts w:cs="Segoe UI"/>
          <w:color w:val="212121"/>
          <w:szCs w:val="18"/>
          <w:shd w:val="clear" w:color="auto" w:fill="FFFFFF"/>
        </w:rPr>
        <w:t xml:space="preserve"> E</w:t>
      </w:r>
      <w:r>
        <w:rPr>
          <w:rFonts w:cs="Segoe UI"/>
          <w:color w:val="212121"/>
          <w:szCs w:val="18"/>
          <w:shd w:val="clear" w:color="auto" w:fill="FFFFFF"/>
        </w:rPr>
        <w:t>.;</w:t>
      </w:r>
      <w:r w:rsidRPr="00067BD0">
        <w:rPr>
          <w:rFonts w:cs="Segoe UI"/>
          <w:color w:val="212121"/>
          <w:szCs w:val="18"/>
          <w:shd w:val="clear" w:color="auto" w:fill="FFFFFF"/>
        </w:rPr>
        <w:t xml:space="preserve"> Yuan</w:t>
      </w:r>
      <w:r>
        <w:rPr>
          <w:rFonts w:cs="Segoe UI"/>
          <w:color w:val="212121"/>
          <w:szCs w:val="18"/>
          <w:shd w:val="clear" w:color="auto" w:fill="FFFFFF"/>
        </w:rPr>
        <w:t>,</w:t>
      </w:r>
      <w:r w:rsidRPr="00067BD0">
        <w:rPr>
          <w:rFonts w:cs="Segoe UI"/>
          <w:color w:val="212121"/>
          <w:szCs w:val="18"/>
          <w:shd w:val="clear" w:color="auto" w:fill="FFFFFF"/>
        </w:rPr>
        <w:t xml:space="preserve"> J</w:t>
      </w:r>
      <w:r>
        <w:rPr>
          <w:rFonts w:cs="Segoe UI"/>
          <w:color w:val="212121"/>
          <w:szCs w:val="18"/>
          <w:shd w:val="clear" w:color="auto" w:fill="FFFFFF"/>
        </w:rPr>
        <w:t>.</w:t>
      </w:r>
      <w:r w:rsidRPr="00067BD0">
        <w:rPr>
          <w:rFonts w:cs="Segoe UI"/>
          <w:color w:val="212121"/>
          <w:szCs w:val="18"/>
          <w:shd w:val="clear" w:color="auto" w:fill="FFFFFF"/>
        </w:rPr>
        <w:t>M</w:t>
      </w:r>
      <w:r>
        <w:rPr>
          <w:rFonts w:cs="Segoe UI"/>
          <w:color w:val="212121"/>
          <w:szCs w:val="18"/>
          <w:shd w:val="clear" w:color="auto" w:fill="FFFFFF"/>
        </w:rPr>
        <w:t>.;</w:t>
      </w:r>
      <w:r w:rsidRPr="00067BD0">
        <w:rPr>
          <w:rFonts w:cs="Segoe UI"/>
          <w:color w:val="212121"/>
          <w:szCs w:val="18"/>
          <w:shd w:val="clear" w:color="auto" w:fill="FFFFFF"/>
        </w:rPr>
        <w:t xml:space="preserve"> Barberger-Gateau</w:t>
      </w:r>
      <w:r>
        <w:rPr>
          <w:rFonts w:cs="Segoe UI"/>
          <w:color w:val="212121"/>
          <w:szCs w:val="18"/>
          <w:shd w:val="clear" w:color="auto" w:fill="FFFFFF"/>
        </w:rPr>
        <w:t>,</w:t>
      </w:r>
      <w:r w:rsidRPr="00067BD0">
        <w:rPr>
          <w:rFonts w:cs="Segoe UI"/>
          <w:color w:val="212121"/>
          <w:szCs w:val="18"/>
          <w:shd w:val="clear" w:color="auto" w:fill="FFFFFF"/>
        </w:rPr>
        <w:t xml:space="preserve"> P</w:t>
      </w:r>
      <w:r>
        <w:rPr>
          <w:rFonts w:cs="Segoe UI"/>
          <w:color w:val="212121"/>
          <w:szCs w:val="18"/>
          <w:shd w:val="clear" w:color="auto" w:fill="FFFFFF"/>
        </w:rPr>
        <w:t>.;</w:t>
      </w:r>
      <w:r w:rsidRPr="00067BD0">
        <w:rPr>
          <w:rFonts w:cs="Segoe UI"/>
          <w:color w:val="212121"/>
          <w:szCs w:val="18"/>
          <w:shd w:val="clear" w:color="auto" w:fill="FFFFFF"/>
        </w:rPr>
        <w:t xml:space="preserve"> Campos</w:t>
      </w:r>
      <w:r>
        <w:rPr>
          <w:rFonts w:cs="Segoe UI"/>
          <w:color w:val="212121"/>
          <w:szCs w:val="18"/>
          <w:shd w:val="clear" w:color="auto" w:fill="FFFFFF"/>
        </w:rPr>
        <w:t>,</w:t>
      </w:r>
      <w:r w:rsidRPr="00067BD0">
        <w:rPr>
          <w:rFonts w:cs="Segoe UI"/>
          <w:color w:val="212121"/>
          <w:szCs w:val="18"/>
          <w:shd w:val="clear" w:color="auto" w:fill="FFFFFF"/>
        </w:rPr>
        <w:t xml:space="preserve"> H</w:t>
      </w:r>
      <w:r>
        <w:rPr>
          <w:rFonts w:cs="Segoe UI"/>
          <w:color w:val="212121"/>
          <w:szCs w:val="18"/>
          <w:shd w:val="clear" w:color="auto" w:fill="FFFFFF"/>
        </w:rPr>
        <w:t>.;</w:t>
      </w:r>
      <w:r w:rsidRPr="00067BD0">
        <w:rPr>
          <w:rFonts w:cs="Segoe UI"/>
          <w:color w:val="212121"/>
          <w:szCs w:val="18"/>
          <w:shd w:val="clear" w:color="auto" w:fill="FFFFFF"/>
        </w:rPr>
        <w:t xml:space="preserve"> Chaves</w:t>
      </w:r>
      <w:r>
        <w:rPr>
          <w:rFonts w:cs="Segoe UI"/>
          <w:color w:val="212121"/>
          <w:szCs w:val="18"/>
          <w:shd w:val="clear" w:color="auto" w:fill="FFFFFF"/>
        </w:rPr>
        <w:t>,</w:t>
      </w:r>
      <w:r w:rsidRPr="00067BD0">
        <w:rPr>
          <w:rFonts w:cs="Segoe UI"/>
          <w:color w:val="212121"/>
          <w:szCs w:val="18"/>
          <w:shd w:val="clear" w:color="auto" w:fill="FFFFFF"/>
        </w:rPr>
        <w:t xml:space="preserve"> P</w:t>
      </w:r>
      <w:r>
        <w:rPr>
          <w:rFonts w:cs="Segoe UI"/>
          <w:color w:val="212121"/>
          <w:szCs w:val="18"/>
          <w:shd w:val="clear" w:color="auto" w:fill="FFFFFF"/>
        </w:rPr>
        <w:t>.</w:t>
      </w:r>
      <w:r w:rsidRPr="00067BD0">
        <w:rPr>
          <w:rFonts w:cs="Segoe UI"/>
          <w:color w:val="212121"/>
          <w:szCs w:val="18"/>
          <w:shd w:val="clear" w:color="auto" w:fill="FFFFFF"/>
        </w:rPr>
        <w:t>H</w:t>
      </w:r>
      <w:r>
        <w:rPr>
          <w:rFonts w:cs="Segoe UI"/>
          <w:color w:val="212121"/>
          <w:szCs w:val="18"/>
          <w:shd w:val="clear" w:color="auto" w:fill="FFFFFF"/>
        </w:rPr>
        <w:t>.;</w:t>
      </w:r>
      <w:r w:rsidRPr="00067BD0">
        <w:rPr>
          <w:rFonts w:cs="Segoe UI"/>
          <w:color w:val="212121"/>
          <w:szCs w:val="18"/>
          <w:shd w:val="clear" w:color="auto" w:fill="FFFFFF"/>
        </w:rPr>
        <w:t xml:space="preserve"> Djoussé</w:t>
      </w:r>
      <w:r>
        <w:rPr>
          <w:rFonts w:cs="Segoe UI"/>
          <w:color w:val="212121"/>
          <w:szCs w:val="18"/>
          <w:shd w:val="clear" w:color="auto" w:fill="FFFFFF"/>
        </w:rPr>
        <w:t>,</w:t>
      </w:r>
      <w:r w:rsidRPr="00067BD0">
        <w:rPr>
          <w:rFonts w:cs="Segoe UI"/>
          <w:color w:val="212121"/>
          <w:szCs w:val="18"/>
          <w:shd w:val="clear" w:color="auto" w:fill="FFFFFF"/>
        </w:rPr>
        <w:t xml:space="preserve"> L</w:t>
      </w:r>
      <w:r>
        <w:rPr>
          <w:rFonts w:cs="Segoe UI"/>
          <w:color w:val="212121"/>
          <w:szCs w:val="18"/>
          <w:shd w:val="clear" w:color="auto" w:fill="FFFFFF"/>
        </w:rPr>
        <w:t>.;</w:t>
      </w:r>
      <w:r w:rsidRPr="00067BD0">
        <w:rPr>
          <w:rFonts w:cs="Segoe UI"/>
          <w:color w:val="212121"/>
          <w:szCs w:val="18"/>
          <w:shd w:val="clear" w:color="auto" w:fill="FFFFFF"/>
        </w:rPr>
        <w:t xml:space="preserve"> Giles</w:t>
      </w:r>
      <w:r>
        <w:rPr>
          <w:rFonts w:cs="Segoe UI"/>
          <w:color w:val="212121"/>
          <w:szCs w:val="18"/>
          <w:shd w:val="clear" w:color="auto" w:fill="FFFFFF"/>
        </w:rPr>
        <w:t>,</w:t>
      </w:r>
      <w:r w:rsidRPr="00067BD0">
        <w:rPr>
          <w:rFonts w:cs="Segoe UI"/>
          <w:color w:val="212121"/>
          <w:szCs w:val="18"/>
          <w:shd w:val="clear" w:color="auto" w:fill="FFFFFF"/>
        </w:rPr>
        <w:t xml:space="preserve"> G</w:t>
      </w:r>
      <w:r>
        <w:rPr>
          <w:rFonts w:cs="Segoe UI"/>
          <w:color w:val="212121"/>
          <w:szCs w:val="18"/>
          <w:shd w:val="clear" w:color="auto" w:fill="FFFFFF"/>
        </w:rPr>
        <w:t>.</w:t>
      </w:r>
      <w:r w:rsidRPr="00067BD0">
        <w:rPr>
          <w:rFonts w:cs="Segoe UI"/>
          <w:color w:val="212121"/>
          <w:szCs w:val="18"/>
          <w:shd w:val="clear" w:color="auto" w:fill="FFFFFF"/>
        </w:rPr>
        <w:t>G</w:t>
      </w:r>
      <w:r>
        <w:rPr>
          <w:rFonts w:cs="Segoe UI"/>
          <w:color w:val="212121"/>
          <w:szCs w:val="18"/>
          <w:shd w:val="clear" w:color="auto" w:fill="FFFFFF"/>
        </w:rPr>
        <w:t>.;</w:t>
      </w:r>
      <w:r w:rsidRPr="00067BD0">
        <w:rPr>
          <w:rFonts w:cs="Segoe UI"/>
          <w:color w:val="212121"/>
          <w:szCs w:val="18"/>
          <w:shd w:val="clear" w:color="auto" w:fill="FFFFFF"/>
        </w:rPr>
        <w:t xml:space="preserve"> Gómez-Aracena</w:t>
      </w:r>
      <w:r>
        <w:rPr>
          <w:rFonts w:cs="Segoe UI"/>
          <w:color w:val="212121"/>
          <w:szCs w:val="18"/>
          <w:shd w:val="clear" w:color="auto" w:fill="FFFFFF"/>
        </w:rPr>
        <w:t>,</w:t>
      </w:r>
      <w:r w:rsidRPr="00067BD0">
        <w:rPr>
          <w:rFonts w:cs="Segoe UI"/>
          <w:color w:val="212121"/>
          <w:szCs w:val="18"/>
          <w:shd w:val="clear" w:color="auto" w:fill="FFFFFF"/>
        </w:rPr>
        <w:t xml:space="preserve"> J</w:t>
      </w:r>
      <w:r>
        <w:rPr>
          <w:rFonts w:cs="Segoe UI"/>
          <w:color w:val="212121"/>
          <w:szCs w:val="18"/>
          <w:shd w:val="clear" w:color="auto" w:fill="FFFFFF"/>
        </w:rPr>
        <w:t>.;</w:t>
      </w:r>
      <w:r w:rsidRPr="00067BD0">
        <w:rPr>
          <w:rFonts w:cs="Segoe UI"/>
          <w:color w:val="212121"/>
          <w:szCs w:val="18"/>
          <w:shd w:val="clear" w:color="auto" w:fill="FFFFFF"/>
        </w:rPr>
        <w:t xml:space="preserve"> Hodge</w:t>
      </w:r>
      <w:r>
        <w:rPr>
          <w:rFonts w:cs="Segoe UI"/>
          <w:color w:val="212121"/>
          <w:szCs w:val="18"/>
          <w:shd w:val="clear" w:color="auto" w:fill="FFFFFF"/>
        </w:rPr>
        <w:t>,</w:t>
      </w:r>
      <w:r w:rsidRPr="00067BD0">
        <w:rPr>
          <w:rFonts w:cs="Segoe UI"/>
          <w:color w:val="212121"/>
          <w:szCs w:val="18"/>
          <w:shd w:val="clear" w:color="auto" w:fill="FFFFFF"/>
        </w:rPr>
        <w:t xml:space="preserve"> A</w:t>
      </w:r>
      <w:r>
        <w:rPr>
          <w:rFonts w:cs="Segoe UI"/>
          <w:color w:val="212121"/>
          <w:szCs w:val="18"/>
          <w:shd w:val="clear" w:color="auto" w:fill="FFFFFF"/>
        </w:rPr>
        <w:t>.</w:t>
      </w:r>
      <w:r w:rsidRPr="00067BD0">
        <w:rPr>
          <w:rFonts w:cs="Segoe UI"/>
          <w:color w:val="212121"/>
          <w:szCs w:val="18"/>
          <w:shd w:val="clear" w:color="auto" w:fill="FFFFFF"/>
        </w:rPr>
        <w:t>M</w:t>
      </w:r>
      <w:r>
        <w:rPr>
          <w:rFonts w:cs="Segoe UI"/>
          <w:color w:val="212121"/>
          <w:szCs w:val="18"/>
          <w:shd w:val="clear" w:color="auto" w:fill="FFFFFF"/>
        </w:rPr>
        <w:t>.;</w:t>
      </w:r>
      <w:r w:rsidRPr="00067BD0">
        <w:rPr>
          <w:rFonts w:cs="Segoe UI"/>
          <w:color w:val="212121"/>
          <w:szCs w:val="18"/>
          <w:shd w:val="clear" w:color="auto" w:fill="FFFFFF"/>
        </w:rPr>
        <w:t xml:space="preserve"> Hu</w:t>
      </w:r>
      <w:r>
        <w:rPr>
          <w:rFonts w:cs="Segoe UI"/>
          <w:color w:val="212121"/>
          <w:szCs w:val="18"/>
          <w:shd w:val="clear" w:color="auto" w:fill="FFFFFF"/>
        </w:rPr>
        <w:t>,</w:t>
      </w:r>
      <w:r w:rsidRPr="00067BD0">
        <w:rPr>
          <w:rFonts w:cs="Segoe UI"/>
          <w:color w:val="212121"/>
          <w:szCs w:val="18"/>
          <w:shd w:val="clear" w:color="auto" w:fill="FFFFFF"/>
        </w:rPr>
        <w:t xml:space="preserve"> F</w:t>
      </w:r>
      <w:r>
        <w:rPr>
          <w:rFonts w:cs="Segoe UI"/>
          <w:color w:val="212121"/>
          <w:szCs w:val="18"/>
          <w:shd w:val="clear" w:color="auto" w:fill="FFFFFF"/>
        </w:rPr>
        <w:t>.</w:t>
      </w:r>
      <w:r w:rsidRPr="00067BD0">
        <w:rPr>
          <w:rFonts w:cs="Segoe UI"/>
          <w:color w:val="212121"/>
          <w:szCs w:val="18"/>
          <w:shd w:val="clear" w:color="auto" w:fill="FFFFFF"/>
        </w:rPr>
        <w:t>B</w:t>
      </w:r>
      <w:r>
        <w:rPr>
          <w:rFonts w:cs="Segoe UI"/>
          <w:color w:val="212121"/>
          <w:szCs w:val="18"/>
          <w:shd w:val="clear" w:color="auto" w:fill="FFFFFF"/>
        </w:rPr>
        <w:t>.;</w:t>
      </w:r>
      <w:r w:rsidRPr="00067BD0">
        <w:rPr>
          <w:rFonts w:cs="Segoe UI"/>
          <w:color w:val="212121"/>
          <w:szCs w:val="18"/>
          <w:shd w:val="clear" w:color="auto" w:fill="FFFFFF"/>
        </w:rPr>
        <w:t xml:space="preserve"> Jansson</w:t>
      </w:r>
      <w:r>
        <w:rPr>
          <w:rFonts w:cs="Segoe UI"/>
          <w:color w:val="212121"/>
          <w:szCs w:val="18"/>
          <w:shd w:val="clear" w:color="auto" w:fill="FFFFFF"/>
        </w:rPr>
        <w:t>,</w:t>
      </w:r>
      <w:r w:rsidRPr="00067BD0">
        <w:rPr>
          <w:rFonts w:cs="Segoe UI"/>
          <w:color w:val="212121"/>
          <w:szCs w:val="18"/>
          <w:shd w:val="clear" w:color="auto" w:fill="FFFFFF"/>
        </w:rPr>
        <w:t xml:space="preserve"> J</w:t>
      </w:r>
      <w:r>
        <w:rPr>
          <w:rFonts w:cs="Segoe UI"/>
          <w:color w:val="212121"/>
          <w:szCs w:val="18"/>
          <w:shd w:val="clear" w:color="auto" w:fill="FFFFFF"/>
        </w:rPr>
        <w:t>.</w:t>
      </w:r>
      <w:r w:rsidRPr="00067BD0">
        <w:rPr>
          <w:rFonts w:cs="Segoe UI"/>
          <w:color w:val="212121"/>
          <w:szCs w:val="18"/>
          <w:shd w:val="clear" w:color="auto" w:fill="FFFFFF"/>
        </w:rPr>
        <w:t>H</w:t>
      </w:r>
      <w:r>
        <w:rPr>
          <w:rFonts w:cs="Segoe UI"/>
          <w:color w:val="212121"/>
          <w:szCs w:val="18"/>
          <w:shd w:val="clear" w:color="auto" w:fill="FFFFFF"/>
        </w:rPr>
        <w:t>.;</w:t>
      </w:r>
      <w:r w:rsidRPr="00067BD0">
        <w:rPr>
          <w:rFonts w:cs="Segoe UI"/>
          <w:color w:val="212121"/>
          <w:szCs w:val="18"/>
          <w:shd w:val="clear" w:color="auto" w:fill="FFFFFF"/>
        </w:rPr>
        <w:t xml:space="preserve"> Johansson</w:t>
      </w:r>
      <w:r>
        <w:rPr>
          <w:rFonts w:cs="Segoe UI"/>
          <w:color w:val="212121"/>
          <w:szCs w:val="18"/>
          <w:shd w:val="clear" w:color="auto" w:fill="FFFFFF"/>
        </w:rPr>
        <w:t>,</w:t>
      </w:r>
      <w:r w:rsidRPr="00067BD0">
        <w:rPr>
          <w:rFonts w:cs="Segoe UI"/>
          <w:color w:val="212121"/>
          <w:szCs w:val="18"/>
          <w:shd w:val="clear" w:color="auto" w:fill="FFFFFF"/>
        </w:rPr>
        <w:t xml:space="preserve"> I</w:t>
      </w:r>
      <w:r>
        <w:rPr>
          <w:rFonts w:cs="Segoe UI"/>
          <w:color w:val="212121"/>
          <w:szCs w:val="18"/>
          <w:shd w:val="clear" w:color="auto" w:fill="FFFFFF"/>
        </w:rPr>
        <w:t>.;</w:t>
      </w:r>
      <w:r w:rsidRPr="00067BD0">
        <w:rPr>
          <w:rFonts w:cs="Segoe UI"/>
          <w:color w:val="212121"/>
          <w:szCs w:val="18"/>
          <w:shd w:val="clear" w:color="auto" w:fill="FFFFFF"/>
        </w:rPr>
        <w:t xml:space="preserve"> Khaw</w:t>
      </w:r>
      <w:r>
        <w:rPr>
          <w:rFonts w:cs="Segoe UI"/>
          <w:color w:val="212121"/>
          <w:szCs w:val="18"/>
          <w:shd w:val="clear" w:color="auto" w:fill="FFFFFF"/>
        </w:rPr>
        <w:t>,</w:t>
      </w:r>
      <w:r w:rsidRPr="00067BD0">
        <w:rPr>
          <w:rFonts w:cs="Segoe UI"/>
          <w:color w:val="212121"/>
          <w:szCs w:val="18"/>
          <w:shd w:val="clear" w:color="auto" w:fill="FFFFFF"/>
        </w:rPr>
        <w:t xml:space="preserve"> K</w:t>
      </w:r>
      <w:r>
        <w:rPr>
          <w:rFonts w:cs="Segoe UI"/>
          <w:color w:val="212121"/>
          <w:szCs w:val="18"/>
          <w:shd w:val="clear" w:color="auto" w:fill="FFFFFF"/>
        </w:rPr>
        <w:t>.</w:t>
      </w:r>
      <w:r w:rsidRPr="00067BD0">
        <w:rPr>
          <w:rFonts w:cs="Segoe UI"/>
          <w:color w:val="212121"/>
          <w:szCs w:val="18"/>
          <w:shd w:val="clear" w:color="auto" w:fill="FFFFFF"/>
        </w:rPr>
        <w:t>T</w:t>
      </w:r>
      <w:r>
        <w:rPr>
          <w:rFonts w:cs="Segoe UI"/>
          <w:color w:val="212121"/>
          <w:szCs w:val="18"/>
          <w:shd w:val="clear" w:color="auto" w:fill="FFFFFF"/>
        </w:rPr>
        <w:t>.;</w:t>
      </w:r>
      <w:r w:rsidRPr="00067BD0">
        <w:rPr>
          <w:rFonts w:cs="Segoe UI"/>
          <w:color w:val="212121"/>
          <w:szCs w:val="18"/>
          <w:shd w:val="clear" w:color="auto" w:fill="FFFFFF"/>
        </w:rPr>
        <w:t xml:space="preserve"> Koh</w:t>
      </w:r>
      <w:r>
        <w:rPr>
          <w:rFonts w:cs="Segoe UI"/>
          <w:color w:val="212121"/>
          <w:szCs w:val="18"/>
          <w:shd w:val="clear" w:color="auto" w:fill="FFFFFF"/>
        </w:rPr>
        <w:t>,</w:t>
      </w:r>
      <w:r w:rsidRPr="00067BD0">
        <w:rPr>
          <w:rFonts w:cs="Segoe UI"/>
          <w:color w:val="212121"/>
          <w:szCs w:val="18"/>
          <w:shd w:val="clear" w:color="auto" w:fill="FFFFFF"/>
        </w:rPr>
        <w:t xml:space="preserve"> W</w:t>
      </w:r>
      <w:r>
        <w:rPr>
          <w:rFonts w:cs="Segoe UI"/>
          <w:color w:val="212121"/>
          <w:szCs w:val="18"/>
          <w:shd w:val="clear" w:color="auto" w:fill="FFFFFF"/>
        </w:rPr>
        <w:t>.</w:t>
      </w:r>
      <w:r w:rsidRPr="00067BD0">
        <w:rPr>
          <w:rFonts w:cs="Segoe UI"/>
          <w:color w:val="212121"/>
          <w:szCs w:val="18"/>
          <w:shd w:val="clear" w:color="auto" w:fill="FFFFFF"/>
        </w:rPr>
        <w:t>P</w:t>
      </w:r>
      <w:r>
        <w:rPr>
          <w:rFonts w:cs="Segoe UI"/>
          <w:color w:val="212121"/>
          <w:szCs w:val="18"/>
          <w:shd w:val="clear" w:color="auto" w:fill="FFFFFF"/>
        </w:rPr>
        <w:t>.;</w:t>
      </w:r>
      <w:r w:rsidRPr="00067BD0">
        <w:rPr>
          <w:rFonts w:cs="Segoe UI"/>
          <w:color w:val="212121"/>
          <w:szCs w:val="18"/>
          <w:shd w:val="clear" w:color="auto" w:fill="FFFFFF"/>
        </w:rPr>
        <w:t xml:space="preserve"> Lemaitre</w:t>
      </w:r>
      <w:r>
        <w:rPr>
          <w:rFonts w:cs="Segoe UI"/>
          <w:color w:val="212121"/>
          <w:szCs w:val="18"/>
          <w:shd w:val="clear" w:color="auto" w:fill="FFFFFF"/>
        </w:rPr>
        <w:t>,</w:t>
      </w:r>
      <w:r w:rsidRPr="00067BD0">
        <w:rPr>
          <w:rFonts w:cs="Segoe UI"/>
          <w:color w:val="212121"/>
          <w:szCs w:val="18"/>
          <w:shd w:val="clear" w:color="auto" w:fill="FFFFFF"/>
        </w:rPr>
        <w:t xml:space="preserve"> R</w:t>
      </w:r>
      <w:r>
        <w:rPr>
          <w:rFonts w:cs="Segoe UI"/>
          <w:color w:val="212121"/>
          <w:szCs w:val="18"/>
          <w:shd w:val="clear" w:color="auto" w:fill="FFFFFF"/>
        </w:rPr>
        <w:t>.</w:t>
      </w:r>
      <w:r w:rsidRPr="00067BD0">
        <w:rPr>
          <w:rFonts w:cs="Segoe UI"/>
          <w:color w:val="212121"/>
          <w:szCs w:val="18"/>
          <w:shd w:val="clear" w:color="auto" w:fill="FFFFFF"/>
        </w:rPr>
        <w:t>N</w:t>
      </w:r>
      <w:r>
        <w:rPr>
          <w:rFonts w:cs="Segoe UI"/>
          <w:color w:val="212121"/>
          <w:szCs w:val="18"/>
          <w:shd w:val="clear" w:color="auto" w:fill="FFFFFF"/>
        </w:rPr>
        <w:t>.;</w:t>
      </w:r>
      <w:r w:rsidRPr="00067BD0">
        <w:rPr>
          <w:rFonts w:cs="Segoe UI"/>
          <w:color w:val="212121"/>
          <w:szCs w:val="18"/>
          <w:shd w:val="clear" w:color="auto" w:fill="FFFFFF"/>
        </w:rPr>
        <w:t xml:space="preserve"> Lind</w:t>
      </w:r>
      <w:r>
        <w:rPr>
          <w:rFonts w:cs="Segoe UI"/>
          <w:color w:val="212121"/>
          <w:szCs w:val="18"/>
          <w:shd w:val="clear" w:color="auto" w:fill="FFFFFF"/>
        </w:rPr>
        <w:t>,</w:t>
      </w:r>
      <w:r w:rsidRPr="00067BD0">
        <w:rPr>
          <w:rFonts w:cs="Segoe UI"/>
          <w:color w:val="212121"/>
          <w:szCs w:val="18"/>
          <w:shd w:val="clear" w:color="auto" w:fill="FFFFFF"/>
        </w:rPr>
        <w:t xml:space="preserve"> L</w:t>
      </w:r>
      <w:r>
        <w:rPr>
          <w:rFonts w:cs="Segoe UI"/>
          <w:color w:val="212121"/>
          <w:szCs w:val="18"/>
          <w:shd w:val="clear" w:color="auto" w:fill="FFFFFF"/>
        </w:rPr>
        <w:t>.;</w:t>
      </w:r>
      <w:r w:rsidRPr="00067BD0">
        <w:rPr>
          <w:rFonts w:cs="Segoe UI"/>
          <w:color w:val="212121"/>
          <w:szCs w:val="18"/>
          <w:shd w:val="clear" w:color="auto" w:fill="FFFFFF"/>
        </w:rPr>
        <w:t xml:space="preserve"> Luben</w:t>
      </w:r>
      <w:r>
        <w:rPr>
          <w:rFonts w:cs="Segoe UI"/>
          <w:color w:val="212121"/>
          <w:szCs w:val="18"/>
          <w:shd w:val="clear" w:color="auto" w:fill="FFFFFF"/>
        </w:rPr>
        <w:t>,</w:t>
      </w:r>
      <w:r w:rsidRPr="00067BD0">
        <w:rPr>
          <w:rFonts w:cs="Segoe UI"/>
          <w:color w:val="212121"/>
          <w:szCs w:val="18"/>
          <w:shd w:val="clear" w:color="auto" w:fill="FFFFFF"/>
        </w:rPr>
        <w:t xml:space="preserve"> R</w:t>
      </w:r>
      <w:r>
        <w:rPr>
          <w:rFonts w:cs="Segoe UI"/>
          <w:color w:val="212121"/>
          <w:szCs w:val="18"/>
          <w:shd w:val="clear" w:color="auto" w:fill="FFFFFF"/>
        </w:rPr>
        <w:t>.</w:t>
      </w:r>
      <w:r w:rsidRPr="00067BD0">
        <w:rPr>
          <w:rFonts w:cs="Segoe UI"/>
          <w:color w:val="212121"/>
          <w:szCs w:val="18"/>
          <w:shd w:val="clear" w:color="auto" w:fill="FFFFFF"/>
        </w:rPr>
        <w:t>N</w:t>
      </w:r>
      <w:r>
        <w:rPr>
          <w:rFonts w:cs="Segoe UI"/>
          <w:color w:val="212121"/>
          <w:szCs w:val="18"/>
          <w:shd w:val="clear" w:color="auto" w:fill="FFFFFF"/>
        </w:rPr>
        <w:t>.;</w:t>
      </w:r>
      <w:r w:rsidRPr="00067BD0">
        <w:rPr>
          <w:rFonts w:cs="Segoe UI"/>
          <w:color w:val="212121"/>
          <w:szCs w:val="18"/>
          <w:shd w:val="clear" w:color="auto" w:fill="FFFFFF"/>
        </w:rPr>
        <w:t xml:space="preserve"> Rimm</w:t>
      </w:r>
      <w:r>
        <w:rPr>
          <w:rFonts w:cs="Segoe UI"/>
          <w:color w:val="212121"/>
          <w:szCs w:val="18"/>
          <w:shd w:val="clear" w:color="auto" w:fill="FFFFFF"/>
        </w:rPr>
        <w:t>,</w:t>
      </w:r>
      <w:r w:rsidRPr="00067BD0">
        <w:rPr>
          <w:rFonts w:cs="Segoe UI"/>
          <w:color w:val="212121"/>
          <w:szCs w:val="18"/>
          <w:shd w:val="clear" w:color="auto" w:fill="FFFFFF"/>
        </w:rPr>
        <w:t xml:space="preserve"> E</w:t>
      </w:r>
      <w:r>
        <w:rPr>
          <w:rFonts w:cs="Segoe UI"/>
          <w:color w:val="212121"/>
          <w:szCs w:val="18"/>
          <w:shd w:val="clear" w:color="auto" w:fill="FFFFFF"/>
        </w:rPr>
        <w:t>.</w:t>
      </w:r>
      <w:r w:rsidRPr="00067BD0">
        <w:rPr>
          <w:rFonts w:cs="Segoe UI"/>
          <w:color w:val="212121"/>
          <w:szCs w:val="18"/>
          <w:shd w:val="clear" w:color="auto" w:fill="FFFFFF"/>
        </w:rPr>
        <w:t>B</w:t>
      </w:r>
      <w:r>
        <w:rPr>
          <w:rFonts w:cs="Segoe UI"/>
          <w:color w:val="212121"/>
          <w:szCs w:val="18"/>
          <w:shd w:val="clear" w:color="auto" w:fill="FFFFFF"/>
        </w:rPr>
        <w:t>.;</w:t>
      </w:r>
      <w:r w:rsidRPr="00067BD0">
        <w:rPr>
          <w:rFonts w:cs="Segoe UI"/>
          <w:color w:val="212121"/>
          <w:szCs w:val="18"/>
          <w:shd w:val="clear" w:color="auto" w:fill="FFFFFF"/>
        </w:rPr>
        <w:t xml:space="preserve"> Risérus</w:t>
      </w:r>
      <w:r>
        <w:rPr>
          <w:rFonts w:cs="Segoe UI"/>
          <w:color w:val="212121"/>
          <w:szCs w:val="18"/>
          <w:shd w:val="clear" w:color="auto" w:fill="FFFFFF"/>
        </w:rPr>
        <w:t>,</w:t>
      </w:r>
      <w:r w:rsidRPr="00067BD0">
        <w:rPr>
          <w:rFonts w:cs="Segoe UI"/>
          <w:color w:val="212121"/>
          <w:szCs w:val="18"/>
          <w:shd w:val="clear" w:color="auto" w:fill="FFFFFF"/>
        </w:rPr>
        <w:t xml:space="preserve"> U</w:t>
      </w:r>
      <w:r>
        <w:rPr>
          <w:rFonts w:cs="Segoe UI"/>
          <w:color w:val="212121"/>
          <w:szCs w:val="18"/>
          <w:shd w:val="clear" w:color="auto" w:fill="FFFFFF"/>
        </w:rPr>
        <w:t>.;</w:t>
      </w:r>
      <w:r w:rsidRPr="00067BD0">
        <w:rPr>
          <w:rFonts w:cs="Segoe UI"/>
          <w:color w:val="212121"/>
          <w:szCs w:val="18"/>
          <w:shd w:val="clear" w:color="auto" w:fill="FFFFFF"/>
        </w:rPr>
        <w:t xml:space="preserve"> Samieri</w:t>
      </w:r>
      <w:r>
        <w:rPr>
          <w:rFonts w:cs="Segoe UI"/>
          <w:color w:val="212121"/>
          <w:szCs w:val="18"/>
          <w:shd w:val="clear" w:color="auto" w:fill="FFFFFF"/>
        </w:rPr>
        <w:t>,</w:t>
      </w:r>
      <w:r w:rsidRPr="00067BD0">
        <w:rPr>
          <w:rFonts w:cs="Segoe UI"/>
          <w:color w:val="212121"/>
          <w:szCs w:val="18"/>
          <w:shd w:val="clear" w:color="auto" w:fill="FFFFFF"/>
        </w:rPr>
        <w:t xml:space="preserve"> C</w:t>
      </w:r>
      <w:r>
        <w:rPr>
          <w:rFonts w:cs="Segoe UI"/>
          <w:color w:val="212121"/>
          <w:szCs w:val="18"/>
          <w:shd w:val="clear" w:color="auto" w:fill="FFFFFF"/>
        </w:rPr>
        <w:t>.;</w:t>
      </w:r>
      <w:r w:rsidRPr="00067BD0">
        <w:rPr>
          <w:rFonts w:cs="Segoe UI"/>
          <w:color w:val="212121"/>
          <w:szCs w:val="18"/>
          <w:shd w:val="clear" w:color="auto" w:fill="FFFFFF"/>
        </w:rPr>
        <w:t xml:space="preserve"> Franks</w:t>
      </w:r>
      <w:r>
        <w:rPr>
          <w:rFonts w:cs="Segoe UI"/>
          <w:color w:val="212121"/>
          <w:szCs w:val="18"/>
          <w:shd w:val="clear" w:color="auto" w:fill="FFFFFF"/>
        </w:rPr>
        <w:t>,</w:t>
      </w:r>
      <w:r w:rsidRPr="00067BD0">
        <w:rPr>
          <w:rFonts w:cs="Segoe UI"/>
          <w:color w:val="212121"/>
          <w:szCs w:val="18"/>
          <w:shd w:val="clear" w:color="auto" w:fill="FFFFFF"/>
        </w:rPr>
        <w:t xml:space="preserve"> P</w:t>
      </w:r>
      <w:r>
        <w:rPr>
          <w:rFonts w:cs="Segoe UI"/>
          <w:color w:val="212121"/>
          <w:szCs w:val="18"/>
          <w:shd w:val="clear" w:color="auto" w:fill="FFFFFF"/>
        </w:rPr>
        <w:t>.</w:t>
      </w:r>
      <w:r w:rsidRPr="00067BD0">
        <w:rPr>
          <w:rFonts w:cs="Segoe UI"/>
          <w:color w:val="212121"/>
          <w:szCs w:val="18"/>
          <w:shd w:val="clear" w:color="auto" w:fill="FFFFFF"/>
        </w:rPr>
        <w:t>W</w:t>
      </w:r>
      <w:r>
        <w:rPr>
          <w:rFonts w:cs="Segoe UI"/>
          <w:color w:val="212121"/>
          <w:szCs w:val="18"/>
          <w:shd w:val="clear" w:color="auto" w:fill="FFFFFF"/>
        </w:rPr>
        <w:t>.;</w:t>
      </w:r>
      <w:r w:rsidRPr="00067BD0">
        <w:rPr>
          <w:rFonts w:cs="Segoe UI"/>
          <w:color w:val="212121"/>
          <w:szCs w:val="18"/>
          <w:shd w:val="clear" w:color="auto" w:fill="FFFFFF"/>
        </w:rPr>
        <w:t xml:space="preserve"> Siscovick</w:t>
      </w:r>
      <w:r>
        <w:rPr>
          <w:rFonts w:cs="Segoe UI"/>
          <w:color w:val="212121"/>
          <w:szCs w:val="18"/>
          <w:shd w:val="clear" w:color="auto" w:fill="FFFFFF"/>
        </w:rPr>
        <w:t>,</w:t>
      </w:r>
      <w:r w:rsidRPr="00067BD0">
        <w:rPr>
          <w:rFonts w:cs="Segoe UI"/>
          <w:color w:val="212121"/>
          <w:szCs w:val="18"/>
          <w:shd w:val="clear" w:color="auto" w:fill="FFFFFF"/>
        </w:rPr>
        <w:t xml:space="preserve"> D</w:t>
      </w:r>
      <w:r>
        <w:rPr>
          <w:rFonts w:cs="Segoe UI"/>
          <w:color w:val="212121"/>
          <w:szCs w:val="18"/>
          <w:shd w:val="clear" w:color="auto" w:fill="FFFFFF"/>
        </w:rPr>
        <w:t>.</w:t>
      </w:r>
      <w:r w:rsidRPr="00067BD0">
        <w:rPr>
          <w:rFonts w:cs="Segoe UI"/>
          <w:color w:val="212121"/>
          <w:szCs w:val="18"/>
          <w:shd w:val="clear" w:color="auto" w:fill="FFFFFF"/>
        </w:rPr>
        <w:t>S</w:t>
      </w:r>
      <w:r>
        <w:rPr>
          <w:rFonts w:cs="Segoe UI"/>
          <w:color w:val="212121"/>
          <w:szCs w:val="18"/>
          <w:shd w:val="clear" w:color="auto" w:fill="FFFFFF"/>
        </w:rPr>
        <w:t>.</w:t>
      </w:r>
      <w:r w:rsidRPr="00067BD0">
        <w:rPr>
          <w:rFonts w:cs="Segoe UI"/>
          <w:color w:val="212121"/>
          <w:szCs w:val="18"/>
          <w:shd w:val="clear" w:color="auto" w:fill="FFFFFF"/>
        </w:rPr>
        <w:t>, Stampfer</w:t>
      </w:r>
      <w:r>
        <w:rPr>
          <w:rFonts w:cs="Segoe UI"/>
          <w:color w:val="212121"/>
          <w:szCs w:val="18"/>
          <w:shd w:val="clear" w:color="auto" w:fill="FFFFFF"/>
        </w:rPr>
        <w:t>,</w:t>
      </w:r>
      <w:r w:rsidRPr="00067BD0">
        <w:rPr>
          <w:rFonts w:cs="Segoe UI"/>
          <w:color w:val="212121"/>
          <w:szCs w:val="18"/>
          <w:shd w:val="clear" w:color="auto" w:fill="FFFFFF"/>
        </w:rPr>
        <w:t xml:space="preserve"> M</w:t>
      </w:r>
      <w:r>
        <w:rPr>
          <w:rFonts w:cs="Segoe UI"/>
          <w:color w:val="212121"/>
          <w:szCs w:val="18"/>
          <w:shd w:val="clear" w:color="auto" w:fill="FFFFFF"/>
        </w:rPr>
        <w:t>.;</w:t>
      </w:r>
      <w:r w:rsidRPr="00067BD0">
        <w:rPr>
          <w:rFonts w:cs="Segoe UI"/>
          <w:color w:val="212121"/>
          <w:szCs w:val="18"/>
          <w:shd w:val="clear" w:color="auto" w:fill="FFFFFF"/>
        </w:rPr>
        <w:t xml:space="preserve"> Steffen</w:t>
      </w:r>
      <w:r>
        <w:rPr>
          <w:rFonts w:cs="Segoe UI"/>
          <w:color w:val="212121"/>
          <w:szCs w:val="18"/>
          <w:shd w:val="clear" w:color="auto" w:fill="FFFFFF"/>
        </w:rPr>
        <w:t xml:space="preserve">, </w:t>
      </w:r>
      <w:r w:rsidRPr="00067BD0">
        <w:rPr>
          <w:rFonts w:cs="Segoe UI"/>
          <w:color w:val="212121"/>
          <w:szCs w:val="18"/>
          <w:shd w:val="clear" w:color="auto" w:fill="FFFFFF"/>
        </w:rPr>
        <w:t>L</w:t>
      </w:r>
      <w:r>
        <w:rPr>
          <w:rFonts w:cs="Segoe UI"/>
          <w:color w:val="212121"/>
          <w:szCs w:val="18"/>
          <w:shd w:val="clear" w:color="auto" w:fill="FFFFFF"/>
        </w:rPr>
        <w:t>.</w:t>
      </w:r>
      <w:r w:rsidRPr="00067BD0">
        <w:rPr>
          <w:rFonts w:cs="Segoe UI"/>
          <w:color w:val="212121"/>
          <w:szCs w:val="18"/>
          <w:shd w:val="clear" w:color="auto" w:fill="FFFFFF"/>
        </w:rPr>
        <w:t>M</w:t>
      </w:r>
      <w:r>
        <w:rPr>
          <w:rFonts w:cs="Segoe UI"/>
          <w:color w:val="212121"/>
          <w:szCs w:val="18"/>
          <w:shd w:val="clear" w:color="auto" w:fill="FFFFFF"/>
        </w:rPr>
        <w:t>.;</w:t>
      </w:r>
      <w:r w:rsidRPr="00067BD0">
        <w:rPr>
          <w:rFonts w:cs="Segoe UI"/>
          <w:color w:val="212121"/>
          <w:szCs w:val="18"/>
          <w:shd w:val="clear" w:color="auto" w:fill="FFFFFF"/>
        </w:rPr>
        <w:t xml:space="preserve"> Steffen</w:t>
      </w:r>
      <w:r>
        <w:rPr>
          <w:rFonts w:cs="Segoe UI"/>
          <w:color w:val="212121"/>
          <w:szCs w:val="18"/>
          <w:shd w:val="clear" w:color="auto" w:fill="FFFFFF"/>
        </w:rPr>
        <w:t>,</w:t>
      </w:r>
      <w:r w:rsidRPr="00067BD0">
        <w:rPr>
          <w:rFonts w:cs="Segoe UI"/>
          <w:color w:val="212121"/>
          <w:szCs w:val="18"/>
          <w:shd w:val="clear" w:color="auto" w:fill="FFFFFF"/>
        </w:rPr>
        <w:t xml:space="preserve"> B</w:t>
      </w:r>
      <w:r>
        <w:rPr>
          <w:rFonts w:cs="Segoe UI"/>
          <w:color w:val="212121"/>
          <w:szCs w:val="18"/>
          <w:shd w:val="clear" w:color="auto" w:fill="FFFFFF"/>
        </w:rPr>
        <w:t>.</w:t>
      </w:r>
      <w:r w:rsidRPr="00067BD0">
        <w:rPr>
          <w:rFonts w:cs="Segoe UI"/>
          <w:color w:val="212121"/>
          <w:szCs w:val="18"/>
          <w:shd w:val="clear" w:color="auto" w:fill="FFFFFF"/>
        </w:rPr>
        <w:t>T</w:t>
      </w:r>
      <w:r>
        <w:rPr>
          <w:rFonts w:cs="Segoe UI"/>
          <w:color w:val="212121"/>
          <w:szCs w:val="18"/>
          <w:shd w:val="clear" w:color="auto" w:fill="FFFFFF"/>
        </w:rPr>
        <w:t>.;</w:t>
      </w:r>
      <w:r w:rsidRPr="00067BD0">
        <w:rPr>
          <w:rFonts w:cs="Segoe UI"/>
          <w:color w:val="212121"/>
          <w:szCs w:val="18"/>
          <w:shd w:val="clear" w:color="auto" w:fill="FFFFFF"/>
        </w:rPr>
        <w:t xml:space="preserve"> Tsai</w:t>
      </w:r>
      <w:r>
        <w:rPr>
          <w:rFonts w:cs="Segoe UI"/>
          <w:color w:val="212121"/>
          <w:szCs w:val="18"/>
          <w:shd w:val="clear" w:color="auto" w:fill="FFFFFF"/>
        </w:rPr>
        <w:t>,</w:t>
      </w:r>
      <w:r w:rsidRPr="00067BD0">
        <w:rPr>
          <w:rFonts w:cs="Segoe UI"/>
          <w:color w:val="212121"/>
          <w:szCs w:val="18"/>
          <w:shd w:val="clear" w:color="auto" w:fill="FFFFFF"/>
        </w:rPr>
        <w:t xml:space="preserve"> M</w:t>
      </w:r>
      <w:r>
        <w:rPr>
          <w:rFonts w:cs="Segoe UI"/>
          <w:color w:val="212121"/>
          <w:szCs w:val="18"/>
          <w:shd w:val="clear" w:color="auto" w:fill="FFFFFF"/>
        </w:rPr>
        <w:t>.</w:t>
      </w:r>
      <w:r w:rsidRPr="00067BD0">
        <w:rPr>
          <w:rFonts w:cs="Segoe UI"/>
          <w:color w:val="212121"/>
          <w:szCs w:val="18"/>
          <w:shd w:val="clear" w:color="auto" w:fill="FFFFFF"/>
        </w:rPr>
        <w:t>Y</w:t>
      </w:r>
      <w:r>
        <w:rPr>
          <w:rFonts w:cs="Segoe UI"/>
          <w:color w:val="212121"/>
          <w:szCs w:val="18"/>
          <w:shd w:val="clear" w:color="auto" w:fill="FFFFFF"/>
        </w:rPr>
        <w:t>.;</w:t>
      </w:r>
      <w:r w:rsidRPr="00067BD0">
        <w:rPr>
          <w:rFonts w:cs="Segoe UI"/>
          <w:color w:val="212121"/>
          <w:szCs w:val="18"/>
          <w:shd w:val="clear" w:color="auto" w:fill="FFFFFF"/>
        </w:rPr>
        <w:t xml:space="preserve"> van Dam</w:t>
      </w:r>
      <w:r>
        <w:rPr>
          <w:rFonts w:cs="Segoe UI"/>
          <w:color w:val="212121"/>
          <w:szCs w:val="18"/>
          <w:shd w:val="clear" w:color="auto" w:fill="FFFFFF"/>
        </w:rPr>
        <w:t>,</w:t>
      </w:r>
      <w:r w:rsidRPr="00067BD0">
        <w:rPr>
          <w:rFonts w:cs="Segoe UI"/>
          <w:color w:val="212121"/>
          <w:szCs w:val="18"/>
          <w:shd w:val="clear" w:color="auto" w:fill="FFFFFF"/>
        </w:rPr>
        <w:t xml:space="preserve"> R</w:t>
      </w:r>
      <w:r>
        <w:rPr>
          <w:rFonts w:cs="Segoe UI"/>
          <w:color w:val="212121"/>
          <w:szCs w:val="18"/>
          <w:shd w:val="clear" w:color="auto" w:fill="FFFFFF"/>
        </w:rPr>
        <w:t>.</w:t>
      </w:r>
      <w:r w:rsidRPr="00067BD0">
        <w:rPr>
          <w:rFonts w:cs="Segoe UI"/>
          <w:color w:val="212121"/>
          <w:szCs w:val="18"/>
          <w:shd w:val="clear" w:color="auto" w:fill="FFFFFF"/>
        </w:rPr>
        <w:t>M</w:t>
      </w:r>
      <w:r>
        <w:rPr>
          <w:rFonts w:cs="Segoe UI"/>
          <w:color w:val="212121"/>
          <w:szCs w:val="18"/>
          <w:shd w:val="clear" w:color="auto" w:fill="FFFFFF"/>
        </w:rPr>
        <w:t>.;</w:t>
      </w:r>
      <w:r w:rsidRPr="00067BD0">
        <w:rPr>
          <w:rFonts w:cs="Segoe UI"/>
          <w:color w:val="212121"/>
          <w:szCs w:val="18"/>
          <w:shd w:val="clear" w:color="auto" w:fill="FFFFFF"/>
        </w:rPr>
        <w:t xml:space="preserve"> Voutilainen</w:t>
      </w:r>
      <w:r>
        <w:rPr>
          <w:rFonts w:cs="Segoe UI"/>
          <w:color w:val="212121"/>
          <w:szCs w:val="18"/>
          <w:shd w:val="clear" w:color="auto" w:fill="FFFFFF"/>
        </w:rPr>
        <w:t>,</w:t>
      </w:r>
      <w:r w:rsidRPr="00067BD0">
        <w:rPr>
          <w:rFonts w:cs="Segoe UI"/>
          <w:color w:val="212121"/>
          <w:szCs w:val="18"/>
          <w:shd w:val="clear" w:color="auto" w:fill="FFFFFF"/>
        </w:rPr>
        <w:t xml:space="preserve"> S</w:t>
      </w:r>
      <w:r>
        <w:rPr>
          <w:rFonts w:cs="Segoe UI"/>
          <w:color w:val="212121"/>
          <w:szCs w:val="18"/>
          <w:shd w:val="clear" w:color="auto" w:fill="FFFFFF"/>
        </w:rPr>
        <w:t>.;</w:t>
      </w:r>
      <w:r w:rsidRPr="00067BD0">
        <w:rPr>
          <w:rFonts w:cs="Segoe UI"/>
          <w:color w:val="212121"/>
          <w:szCs w:val="18"/>
          <w:shd w:val="clear" w:color="auto" w:fill="FFFFFF"/>
        </w:rPr>
        <w:t xml:space="preserve"> Willett</w:t>
      </w:r>
      <w:r>
        <w:rPr>
          <w:rFonts w:cs="Segoe UI"/>
          <w:color w:val="212121"/>
          <w:szCs w:val="18"/>
          <w:shd w:val="clear" w:color="auto" w:fill="FFFFFF"/>
        </w:rPr>
        <w:t>,</w:t>
      </w:r>
      <w:r w:rsidRPr="00067BD0">
        <w:rPr>
          <w:rFonts w:cs="Segoe UI"/>
          <w:color w:val="212121"/>
          <w:szCs w:val="18"/>
          <w:shd w:val="clear" w:color="auto" w:fill="FFFFFF"/>
        </w:rPr>
        <w:t xml:space="preserve"> W</w:t>
      </w:r>
      <w:r>
        <w:rPr>
          <w:rFonts w:cs="Segoe UI"/>
          <w:color w:val="212121"/>
          <w:szCs w:val="18"/>
          <w:shd w:val="clear" w:color="auto" w:fill="FFFFFF"/>
        </w:rPr>
        <w:t>.</w:t>
      </w:r>
      <w:r w:rsidRPr="00067BD0">
        <w:rPr>
          <w:rFonts w:cs="Segoe UI"/>
          <w:color w:val="212121"/>
          <w:szCs w:val="18"/>
          <w:shd w:val="clear" w:color="auto" w:fill="FFFFFF"/>
        </w:rPr>
        <w:t>C</w:t>
      </w:r>
      <w:r>
        <w:rPr>
          <w:rFonts w:cs="Segoe UI"/>
          <w:color w:val="212121"/>
          <w:szCs w:val="18"/>
          <w:shd w:val="clear" w:color="auto" w:fill="FFFFFF"/>
        </w:rPr>
        <w:t>.;</w:t>
      </w:r>
      <w:r w:rsidRPr="00067BD0">
        <w:rPr>
          <w:rFonts w:cs="Segoe UI"/>
          <w:color w:val="212121"/>
          <w:szCs w:val="18"/>
          <w:shd w:val="clear" w:color="auto" w:fill="FFFFFF"/>
        </w:rPr>
        <w:t xml:space="preserve"> Woodward</w:t>
      </w:r>
      <w:r>
        <w:rPr>
          <w:rFonts w:cs="Segoe UI"/>
          <w:color w:val="212121"/>
          <w:szCs w:val="18"/>
          <w:shd w:val="clear" w:color="auto" w:fill="FFFFFF"/>
        </w:rPr>
        <w:t>,</w:t>
      </w:r>
      <w:r w:rsidRPr="00067BD0">
        <w:rPr>
          <w:rFonts w:cs="Segoe UI"/>
          <w:color w:val="212121"/>
          <w:szCs w:val="18"/>
          <w:shd w:val="clear" w:color="auto" w:fill="FFFFFF"/>
        </w:rPr>
        <w:t xml:space="preserve"> M</w:t>
      </w:r>
      <w:r>
        <w:rPr>
          <w:rFonts w:cs="Segoe UI"/>
          <w:color w:val="212121"/>
          <w:szCs w:val="18"/>
          <w:shd w:val="clear" w:color="auto" w:fill="FFFFFF"/>
        </w:rPr>
        <w:t>.;</w:t>
      </w:r>
      <w:r w:rsidRPr="00067BD0">
        <w:rPr>
          <w:rFonts w:cs="Segoe UI"/>
          <w:color w:val="212121"/>
          <w:szCs w:val="18"/>
          <w:shd w:val="clear" w:color="auto" w:fill="FFFFFF"/>
        </w:rPr>
        <w:t xml:space="preserve"> Mozaffarian</w:t>
      </w:r>
      <w:r>
        <w:rPr>
          <w:rFonts w:cs="Segoe UI"/>
          <w:color w:val="212121"/>
          <w:szCs w:val="18"/>
          <w:shd w:val="clear" w:color="auto" w:fill="FFFFFF"/>
        </w:rPr>
        <w:t>,</w:t>
      </w:r>
      <w:r w:rsidRPr="00067BD0">
        <w:rPr>
          <w:rFonts w:cs="Segoe UI"/>
          <w:color w:val="212121"/>
          <w:szCs w:val="18"/>
          <w:shd w:val="clear" w:color="auto" w:fill="FFFFFF"/>
        </w:rPr>
        <w:t xml:space="preserve"> D</w:t>
      </w:r>
      <w:r>
        <w:rPr>
          <w:rFonts w:cs="Segoe UI"/>
          <w:color w:val="212121"/>
          <w:szCs w:val="18"/>
          <w:shd w:val="clear" w:color="auto" w:fill="FFFFFF"/>
        </w:rPr>
        <w:t>.</w:t>
      </w:r>
      <w:r w:rsidRPr="00067BD0">
        <w:rPr>
          <w:rFonts w:cs="Segoe UI"/>
          <w:color w:val="212121"/>
          <w:szCs w:val="18"/>
          <w:shd w:val="clear" w:color="auto" w:fill="FFFFFF"/>
        </w:rPr>
        <w:t>; Cohorts for Heart and Aging Research in Genomic Epidemiology (CHARGE) Fatty Acids and Outcomes Research Consortium (FORCe).</w:t>
      </w:r>
      <w:r>
        <w:rPr>
          <w:rFonts w:cs="Segoe UI"/>
          <w:color w:val="212121"/>
          <w:szCs w:val="18"/>
          <w:shd w:val="clear" w:color="auto" w:fill="FFFFFF"/>
        </w:rPr>
        <w:t xml:space="preserve"> </w:t>
      </w:r>
      <w:r>
        <w:rPr>
          <w:rFonts w:ascii="Symbol" w:hAnsi="Symbol" w:cs="EURM10"/>
          <w:color w:val="auto"/>
          <w:szCs w:val="18"/>
          <w:lang w:val="en-GB"/>
        </w:rPr>
        <w:t>w</w:t>
      </w:r>
      <w:r w:rsidR="003A548F" w:rsidRPr="00067BD0">
        <w:rPr>
          <w:rFonts w:cs="URWPalladioL-Roma"/>
          <w:color w:val="auto"/>
          <w:szCs w:val="18"/>
          <w:lang w:val="en-GB"/>
        </w:rPr>
        <w:t>-3 Polyunsaturated fatty acid biomarkers and</w:t>
      </w:r>
      <w:r w:rsidRPr="00420F46">
        <w:rPr>
          <w:rFonts w:cs="URWPalladioL-Roma"/>
          <w:szCs w:val="18"/>
          <w:lang w:val="en-GB"/>
        </w:rPr>
        <w:t xml:space="preserve"> c</w:t>
      </w:r>
      <w:r w:rsidR="003A548F" w:rsidRPr="00067BD0">
        <w:rPr>
          <w:rFonts w:cs="URWPalladioL-Roma"/>
          <w:color w:val="auto"/>
          <w:szCs w:val="18"/>
          <w:lang w:val="en-GB"/>
        </w:rPr>
        <w:t xml:space="preserve">oronary heart disease: Pooling project of 19 cohort studies. </w:t>
      </w:r>
      <w:r w:rsidR="003A548F" w:rsidRPr="00067BD0">
        <w:rPr>
          <w:rFonts w:cs="URWPalladioL-Ital"/>
          <w:color w:val="auto"/>
          <w:szCs w:val="18"/>
          <w:lang w:val="en-GB"/>
        </w:rPr>
        <w:t>JAMA Intern</w:t>
      </w:r>
      <w:r>
        <w:rPr>
          <w:rFonts w:cs="URWPalladioL-Ital"/>
          <w:color w:val="auto"/>
          <w:szCs w:val="18"/>
          <w:lang w:val="en-GB"/>
        </w:rPr>
        <w:t>al</w:t>
      </w:r>
      <w:r w:rsidR="003A548F" w:rsidRPr="00067BD0">
        <w:rPr>
          <w:rFonts w:cs="URWPalladioL-Ital"/>
          <w:color w:val="auto"/>
          <w:szCs w:val="18"/>
          <w:lang w:val="en-GB"/>
        </w:rPr>
        <w:t xml:space="preserve"> Med</w:t>
      </w:r>
      <w:r>
        <w:rPr>
          <w:rFonts w:cs="URWPalladioL-Ital"/>
          <w:color w:val="auto"/>
          <w:szCs w:val="18"/>
          <w:lang w:val="en-GB"/>
        </w:rPr>
        <w:t>icine</w:t>
      </w:r>
      <w:r w:rsidR="003A548F" w:rsidRPr="00067BD0">
        <w:rPr>
          <w:rFonts w:cs="URWPalladioL-Ital"/>
          <w:color w:val="auto"/>
          <w:szCs w:val="18"/>
          <w:lang w:val="en-GB"/>
        </w:rPr>
        <w:t xml:space="preserve"> </w:t>
      </w:r>
      <w:r w:rsidR="003A548F" w:rsidRPr="00067BD0">
        <w:rPr>
          <w:rFonts w:cs="URWPalladioL-Bold"/>
          <w:color w:val="auto"/>
          <w:szCs w:val="18"/>
          <w:lang w:val="en-GB"/>
        </w:rPr>
        <w:t>2016</w:t>
      </w:r>
      <w:r w:rsidR="003A548F" w:rsidRPr="00067BD0">
        <w:rPr>
          <w:rFonts w:cs="URWPalladioL-Roma"/>
          <w:color w:val="auto"/>
          <w:szCs w:val="18"/>
          <w:lang w:val="en-GB"/>
        </w:rPr>
        <w:t xml:space="preserve">, </w:t>
      </w:r>
      <w:r w:rsidR="003A548F" w:rsidRPr="00067BD0">
        <w:rPr>
          <w:rFonts w:cs="URWPalladioL-Ital"/>
          <w:color w:val="auto"/>
          <w:szCs w:val="18"/>
          <w:lang w:val="en-GB"/>
        </w:rPr>
        <w:t>176</w:t>
      </w:r>
      <w:r w:rsidR="003A548F" w:rsidRPr="00067BD0">
        <w:rPr>
          <w:rFonts w:cs="URWPalladioL-Roma"/>
          <w:color w:val="auto"/>
          <w:szCs w:val="18"/>
          <w:lang w:val="en-GB"/>
        </w:rPr>
        <w:t>, 1155</w:t>
      </w:r>
      <w:r>
        <w:rPr>
          <w:rFonts w:cs="URWPalladioL-Roma"/>
          <w:color w:val="auto"/>
          <w:szCs w:val="18"/>
          <w:lang w:val="en-GB"/>
        </w:rPr>
        <w:t>-</w:t>
      </w:r>
      <w:r w:rsidR="003A548F" w:rsidRPr="00067BD0">
        <w:rPr>
          <w:rFonts w:cs="URWPalladioL-Roma"/>
          <w:color w:val="auto"/>
          <w:szCs w:val="18"/>
          <w:lang w:val="en-GB"/>
        </w:rPr>
        <w:t>1166.</w:t>
      </w:r>
    </w:p>
    <w:p w14:paraId="5DA1F2EB" w14:textId="77777777" w:rsidR="00420F46" w:rsidRDefault="00420F46" w:rsidP="00420F46">
      <w:pPr>
        <w:pStyle w:val="MDPI63Notes"/>
        <w:spacing w:before="0"/>
        <w:ind w:left="510" w:hanging="510"/>
        <w:rPr>
          <w:rFonts w:cs="URWPalladioL-Roma"/>
          <w:szCs w:val="18"/>
          <w:lang w:val="en-GB"/>
        </w:rPr>
      </w:pPr>
      <w:r>
        <w:rPr>
          <w:rFonts w:cs="URWPalladioL-Roma"/>
          <w:szCs w:val="18"/>
          <w:lang w:val="en-GB"/>
        </w:rPr>
        <w:t>103.</w:t>
      </w:r>
      <w:r>
        <w:rPr>
          <w:rFonts w:cs="URWPalladioL-Roma"/>
          <w:color w:val="auto"/>
          <w:szCs w:val="18"/>
          <w:lang w:val="en-GB"/>
        </w:rPr>
        <w:tab/>
      </w:r>
      <w:r w:rsidR="003A548F" w:rsidRPr="00067BD0">
        <w:rPr>
          <w:rFonts w:cs="URWPalladioL-Roma"/>
          <w:color w:val="auto"/>
          <w:szCs w:val="18"/>
          <w:lang w:val="en-GB"/>
        </w:rPr>
        <w:t>Harris, W.S.; Del Gobbo, L.; Tintle, N.L. The omega-3 index and relative risk for coronary heart disease</w:t>
      </w:r>
      <w:r>
        <w:rPr>
          <w:rFonts w:cs="URWPalladioL-Roma"/>
          <w:szCs w:val="18"/>
          <w:lang w:val="en-GB"/>
        </w:rPr>
        <w:t xml:space="preserve"> </w:t>
      </w:r>
      <w:r w:rsidR="003A548F" w:rsidRPr="00067BD0">
        <w:rPr>
          <w:rFonts w:cs="URWPalladioL-Roma"/>
          <w:color w:val="auto"/>
          <w:szCs w:val="18"/>
          <w:lang w:val="en-GB"/>
        </w:rPr>
        <w:t xml:space="preserve">mortality: Estimation from 10 cohort studies. </w:t>
      </w:r>
      <w:r w:rsidR="003A548F" w:rsidRPr="00067BD0">
        <w:rPr>
          <w:rFonts w:cs="URWPalladioL-Ital"/>
          <w:color w:val="auto"/>
          <w:szCs w:val="18"/>
          <w:lang w:val="en-GB"/>
        </w:rPr>
        <w:t xml:space="preserve">Atherosclerosis </w:t>
      </w:r>
      <w:r w:rsidR="003A548F" w:rsidRPr="00067BD0">
        <w:rPr>
          <w:rFonts w:cs="URWPalladioL-Bold"/>
          <w:color w:val="auto"/>
          <w:szCs w:val="18"/>
          <w:lang w:val="en-GB"/>
        </w:rPr>
        <w:t>2017</w:t>
      </w:r>
      <w:r w:rsidR="003A548F" w:rsidRPr="00067BD0">
        <w:rPr>
          <w:rFonts w:cs="URWPalladioL-Roma"/>
          <w:color w:val="auto"/>
          <w:szCs w:val="18"/>
          <w:lang w:val="en-GB"/>
        </w:rPr>
        <w:t xml:space="preserve">, </w:t>
      </w:r>
      <w:r w:rsidR="003A548F" w:rsidRPr="00067BD0">
        <w:rPr>
          <w:rFonts w:cs="URWPalladioL-Ital"/>
          <w:color w:val="auto"/>
          <w:szCs w:val="18"/>
          <w:lang w:val="en-GB"/>
        </w:rPr>
        <w:t>262</w:t>
      </w:r>
      <w:r w:rsidR="003A548F" w:rsidRPr="00067BD0">
        <w:rPr>
          <w:rFonts w:cs="URWPalladioL-Roma"/>
          <w:color w:val="auto"/>
          <w:szCs w:val="18"/>
          <w:lang w:val="en-GB"/>
        </w:rPr>
        <w:t>, 51</w:t>
      </w:r>
      <w:r>
        <w:rPr>
          <w:rFonts w:cs="URWPalladioL-Roma"/>
          <w:color w:val="auto"/>
          <w:szCs w:val="18"/>
          <w:lang w:val="en-GB"/>
        </w:rPr>
        <w:t>-</w:t>
      </w:r>
      <w:r w:rsidR="003A548F" w:rsidRPr="00067BD0">
        <w:rPr>
          <w:rFonts w:cs="URWPalladioL-Roma"/>
          <w:color w:val="auto"/>
          <w:szCs w:val="18"/>
          <w:lang w:val="en-GB"/>
        </w:rPr>
        <w:t>54</w:t>
      </w:r>
      <w:r>
        <w:rPr>
          <w:rFonts w:cs="URWPalladioL-Roma"/>
          <w:color w:val="auto"/>
          <w:szCs w:val="18"/>
          <w:lang w:val="en-GB"/>
        </w:rPr>
        <w:t>.</w:t>
      </w:r>
    </w:p>
    <w:p w14:paraId="75A30DF1" w14:textId="029E0B1E" w:rsidR="00473DB2" w:rsidRDefault="00420F46" w:rsidP="00473DB2">
      <w:pPr>
        <w:pStyle w:val="MDPI63Notes"/>
        <w:spacing w:before="0"/>
        <w:ind w:left="510" w:hanging="510"/>
        <w:rPr>
          <w:rFonts w:cs="URWPalladioL-Roma"/>
          <w:szCs w:val="18"/>
          <w:lang w:val="en-GB"/>
        </w:rPr>
      </w:pPr>
      <w:r>
        <w:rPr>
          <w:rFonts w:cs="URWPalladioL-Roma"/>
          <w:szCs w:val="18"/>
          <w:lang w:val="en-GB"/>
        </w:rPr>
        <w:t>104.</w:t>
      </w:r>
      <w:r>
        <w:tab/>
      </w:r>
      <w:r w:rsidR="004A0CEE" w:rsidRPr="00067BD0">
        <w:rPr>
          <w:szCs w:val="18"/>
        </w:rPr>
        <w:t>Harris</w:t>
      </w:r>
      <w:r w:rsidR="00473DB2">
        <w:rPr>
          <w:szCs w:val="18"/>
        </w:rPr>
        <w:t>,</w:t>
      </w:r>
      <w:r w:rsidR="004A0CEE" w:rsidRPr="00067BD0">
        <w:rPr>
          <w:szCs w:val="18"/>
        </w:rPr>
        <w:t xml:space="preserve"> W</w:t>
      </w:r>
      <w:r w:rsidR="00473DB2">
        <w:rPr>
          <w:szCs w:val="18"/>
        </w:rPr>
        <w:t>.</w:t>
      </w:r>
      <w:r w:rsidR="004A0CEE" w:rsidRPr="00067BD0">
        <w:rPr>
          <w:szCs w:val="18"/>
        </w:rPr>
        <w:t>S</w:t>
      </w:r>
      <w:r w:rsidR="00473DB2">
        <w:rPr>
          <w:szCs w:val="18"/>
        </w:rPr>
        <w:t>.;</w:t>
      </w:r>
      <w:r w:rsidR="004A0CEE" w:rsidRPr="00067BD0">
        <w:rPr>
          <w:szCs w:val="18"/>
        </w:rPr>
        <w:t xml:space="preserve"> Tintle</w:t>
      </w:r>
      <w:r w:rsidR="00473DB2">
        <w:rPr>
          <w:szCs w:val="18"/>
        </w:rPr>
        <w:t>,</w:t>
      </w:r>
      <w:r w:rsidR="004A0CEE" w:rsidRPr="00067BD0">
        <w:rPr>
          <w:szCs w:val="18"/>
        </w:rPr>
        <w:t xml:space="preserve"> N</w:t>
      </w:r>
      <w:r w:rsidR="00473DB2">
        <w:rPr>
          <w:szCs w:val="18"/>
        </w:rPr>
        <w:t>.</w:t>
      </w:r>
      <w:r w:rsidR="004A0CEE" w:rsidRPr="00067BD0">
        <w:rPr>
          <w:szCs w:val="18"/>
        </w:rPr>
        <w:t>L</w:t>
      </w:r>
      <w:r w:rsidR="00473DB2">
        <w:rPr>
          <w:szCs w:val="18"/>
        </w:rPr>
        <w:t>.;</w:t>
      </w:r>
      <w:r w:rsidR="004A0CEE" w:rsidRPr="00067BD0">
        <w:rPr>
          <w:szCs w:val="18"/>
        </w:rPr>
        <w:t xml:space="preserve"> Imamura</w:t>
      </w:r>
      <w:r w:rsidR="00473DB2">
        <w:rPr>
          <w:szCs w:val="18"/>
        </w:rPr>
        <w:t>,</w:t>
      </w:r>
      <w:r w:rsidR="004A0CEE" w:rsidRPr="00067BD0">
        <w:rPr>
          <w:szCs w:val="18"/>
        </w:rPr>
        <w:t xml:space="preserve"> F</w:t>
      </w:r>
      <w:r w:rsidR="00473DB2">
        <w:rPr>
          <w:szCs w:val="18"/>
        </w:rPr>
        <w:t>.;</w:t>
      </w:r>
      <w:r w:rsidR="004A0CEE" w:rsidRPr="00067BD0">
        <w:rPr>
          <w:szCs w:val="18"/>
        </w:rPr>
        <w:t xml:space="preserve"> Qian</w:t>
      </w:r>
      <w:r w:rsidR="00473DB2">
        <w:rPr>
          <w:szCs w:val="18"/>
        </w:rPr>
        <w:t>,</w:t>
      </w:r>
      <w:r w:rsidR="004A0CEE" w:rsidRPr="00067BD0">
        <w:rPr>
          <w:szCs w:val="18"/>
        </w:rPr>
        <w:t xml:space="preserve"> F</w:t>
      </w:r>
      <w:r w:rsidR="00473DB2">
        <w:rPr>
          <w:szCs w:val="18"/>
        </w:rPr>
        <w:t>.;</w:t>
      </w:r>
      <w:r w:rsidR="004A0CEE" w:rsidRPr="00067BD0">
        <w:rPr>
          <w:szCs w:val="18"/>
        </w:rPr>
        <w:t xml:space="preserve"> Korat</w:t>
      </w:r>
      <w:r w:rsidR="00473DB2">
        <w:rPr>
          <w:szCs w:val="18"/>
        </w:rPr>
        <w:t>,</w:t>
      </w:r>
      <w:r w:rsidR="004A0CEE" w:rsidRPr="00067BD0">
        <w:rPr>
          <w:szCs w:val="18"/>
        </w:rPr>
        <w:t xml:space="preserve"> A</w:t>
      </w:r>
      <w:r w:rsidR="00473DB2">
        <w:rPr>
          <w:szCs w:val="18"/>
        </w:rPr>
        <w:t>.</w:t>
      </w:r>
      <w:r w:rsidR="004A0CEE" w:rsidRPr="00067BD0">
        <w:rPr>
          <w:szCs w:val="18"/>
        </w:rPr>
        <w:t>V</w:t>
      </w:r>
      <w:r w:rsidR="00473DB2">
        <w:rPr>
          <w:szCs w:val="18"/>
        </w:rPr>
        <w:t>.</w:t>
      </w:r>
      <w:r w:rsidR="004A0CEE" w:rsidRPr="00067BD0">
        <w:rPr>
          <w:szCs w:val="18"/>
        </w:rPr>
        <w:t>A</w:t>
      </w:r>
      <w:r w:rsidR="00473DB2">
        <w:rPr>
          <w:szCs w:val="18"/>
        </w:rPr>
        <w:t>.;</w:t>
      </w:r>
      <w:r w:rsidR="004A0CEE" w:rsidRPr="00067BD0">
        <w:rPr>
          <w:szCs w:val="18"/>
        </w:rPr>
        <w:t xml:space="preserve"> Marklund</w:t>
      </w:r>
      <w:r w:rsidR="00473DB2">
        <w:rPr>
          <w:szCs w:val="18"/>
        </w:rPr>
        <w:t>,</w:t>
      </w:r>
      <w:r w:rsidR="004A0CEE" w:rsidRPr="00067BD0">
        <w:rPr>
          <w:szCs w:val="18"/>
        </w:rPr>
        <w:t xml:space="preserve"> M</w:t>
      </w:r>
      <w:r w:rsidR="00473DB2">
        <w:rPr>
          <w:szCs w:val="18"/>
        </w:rPr>
        <w:t>.;</w:t>
      </w:r>
      <w:r w:rsidR="004A0CEE" w:rsidRPr="00067BD0">
        <w:rPr>
          <w:szCs w:val="18"/>
        </w:rPr>
        <w:t xml:space="preserve"> Djousse</w:t>
      </w:r>
      <w:r w:rsidR="00473DB2">
        <w:rPr>
          <w:szCs w:val="18"/>
        </w:rPr>
        <w:t>,</w:t>
      </w:r>
      <w:r w:rsidR="004A0CEE" w:rsidRPr="00067BD0">
        <w:rPr>
          <w:szCs w:val="18"/>
        </w:rPr>
        <w:t xml:space="preserve"> L</w:t>
      </w:r>
      <w:r w:rsidR="00473DB2">
        <w:rPr>
          <w:szCs w:val="18"/>
        </w:rPr>
        <w:t>.;</w:t>
      </w:r>
      <w:r w:rsidR="004A0CEE" w:rsidRPr="00067BD0">
        <w:rPr>
          <w:szCs w:val="18"/>
        </w:rPr>
        <w:t xml:space="preserve"> Bassett</w:t>
      </w:r>
      <w:r w:rsidR="00473DB2">
        <w:rPr>
          <w:szCs w:val="18"/>
        </w:rPr>
        <w:t>,</w:t>
      </w:r>
      <w:r w:rsidR="004A0CEE" w:rsidRPr="00067BD0">
        <w:rPr>
          <w:szCs w:val="18"/>
        </w:rPr>
        <w:t xml:space="preserve"> J</w:t>
      </w:r>
      <w:r w:rsidR="00473DB2">
        <w:rPr>
          <w:szCs w:val="18"/>
        </w:rPr>
        <w:t>.</w:t>
      </w:r>
      <w:r w:rsidR="004A0CEE" w:rsidRPr="00067BD0">
        <w:rPr>
          <w:szCs w:val="18"/>
        </w:rPr>
        <w:t>K</w:t>
      </w:r>
      <w:r w:rsidR="00473DB2">
        <w:rPr>
          <w:szCs w:val="18"/>
        </w:rPr>
        <w:t>.;</w:t>
      </w:r>
      <w:r w:rsidR="004A0CEE" w:rsidRPr="00067BD0">
        <w:rPr>
          <w:szCs w:val="18"/>
        </w:rPr>
        <w:t xml:space="preserve"> Carmichael</w:t>
      </w:r>
      <w:r w:rsidR="00473DB2">
        <w:rPr>
          <w:szCs w:val="18"/>
        </w:rPr>
        <w:t>,</w:t>
      </w:r>
      <w:r w:rsidR="004A0CEE" w:rsidRPr="00067BD0">
        <w:rPr>
          <w:szCs w:val="18"/>
        </w:rPr>
        <w:t xml:space="preserve"> P</w:t>
      </w:r>
      <w:r w:rsidR="00473DB2">
        <w:rPr>
          <w:szCs w:val="18"/>
        </w:rPr>
        <w:t>.</w:t>
      </w:r>
      <w:r w:rsidR="004A0CEE" w:rsidRPr="00067BD0">
        <w:rPr>
          <w:szCs w:val="18"/>
        </w:rPr>
        <w:t>H</w:t>
      </w:r>
      <w:r w:rsidR="00473DB2">
        <w:rPr>
          <w:szCs w:val="18"/>
        </w:rPr>
        <w:t>.;</w:t>
      </w:r>
      <w:r w:rsidR="004A0CEE" w:rsidRPr="00067BD0">
        <w:rPr>
          <w:szCs w:val="18"/>
        </w:rPr>
        <w:t xml:space="preserve"> Chen</w:t>
      </w:r>
      <w:r w:rsidR="00473DB2">
        <w:rPr>
          <w:szCs w:val="18"/>
        </w:rPr>
        <w:t>,</w:t>
      </w:r>
      <w:r w:rsidR="004A0CEE" w:rsidRPr="00067BD0">
        <w:rPr>
          <w:szCs w:val="18"/>
        </w:rPr>
        <w:t xml:space="preserve"> Y</w:t>
      </w:r>
      <w:r w:rsidR="00473DB2">
        <w:rPr>
          <w:szCs w:val="18"/>
        </w:rPr>
        <w:t>.</w:t>
      </w:r>
      <w:r w:rsidR="004A0CEE" w:rsidRPr="00067BD0">
        <w:rPr>
          <w:szCs w:val="18"/>
        </w:rPr>
        <w:t>Y</w:t>
      </w:r>
      <w:r w:rsidR="00473DB2">
        <w:rPr>
          <w:szCs w:val="18"/>
        </w:rPr>
        <w:t>.;</w:t>
      </w:r>
      <w:r w:rsidR="004A0CEE" w:rsidRPr="00067BD0">
        <w:rPr>
          <w:szCs w:val="18"/>
        </w:rPr>
        <w:t xml:space="preserve"> </w:t>
      </w:r>
      <w:r w:rsidR="00BB1A76" w:rsidRPr="00067BD0">
        <w:rPr>
          <w:rFonts w:cs="Segoe UI"/>
          <w:color w:val="212121"/>
          <w:szCs w:val="18"/>
          <w:shd w:val="clear" w:color="auto" w:fill="FFFFFF"/>
        </w:rPr>
        <w:t>Hirakawa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Küpers</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w:t>
      </w:r>
      <w:r w:rsidR="00473DB2">
        <w:rPr>
          <w:rFonts w:cs="Segoe UI"/>
          <w:color w:val="212121"/>
          <w:szCs w:val="18"/>
          <w:shd w:val="clear" w:color="auto" w:fill="FFFFFF"/>
        </w:rPr>
        <w:t>.</w:t>
      </w:r>
      <w:r w:rsidR="00BB1A76" w:rsidRPr="00067BD0">
        <w:rPr>
          <w:rFonts w:cs="Segoe UI"/>
          <w:color w:val="212121"/>
          <w:szCs w:val="18"/>
          <w:shd w:val="clear" w:color="auto" w:fill="FFFFFF"/>
        </w:rPr>
        <w:t>K</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Laguzzi</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F</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Lankinen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Murphy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R</w:t>
      </w:r>
      <w:r w:rsidR="00473DB2">
        <w:rPr>
          <w:rFonts w:cs="Segoe UI"/>
          <w:color w:val="212121"/>
          <w:szCs w:val="18"/>
          <w:shd w:val="clear" w:color="auto" w:fill="FFFFFF"/>
        </w:rPr>
        <w:t>.</w:t>
      </w:r>
      <w:r w:rsidR="00BB1A76" w:rsidRPr="00067BD0">
        <w:rPr>
          <w:rFonts w:cs="Segoe UI"/>
          <w:color w:val="212121"/>
          <w:szCs w:val="18"/>
          <w:shd w:val="clear" w:color="auto" w:fill="FFFFFF"/>
        </w:rPr>
        <w:t>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Samieri</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C</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Senn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w:t>
      </w:r>
      <w:r w:rsidR="00473DB2">
        <w:rPr>
          <w:rFonts w:cs="Segoe UI"/>
          <w:color w:val="212121"/>
          <w:szCs w:val="18"/>
          <w:shd w:val="clear" w:color="auto" w:fill="FFFFFF"/>
        </w:rPr>
        <w:t>.</w:t>
      </w:r>
      <w:r w:rsidR="00BB1A76" w:rsidRPr="00067BD0">
        <w:rPr>
          <w:rFonts w:cs="Segoe UI"/>
          <w:color w:val="212121"/>
          <w:szCs w:val="18"/>
          <w:shd w:val="clear" w:color="auto" w:fill="FFFFFF"/>
        </w:rPr>
        <w:t>K</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Shi</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P</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Virtanen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w:t>
      </w:r>
      <w:r w:rsidR="00473DB2">
        <w:rPr>
          <w:rFonts w:cs="Segoe UI"/>
          <w:color w:val="212121"/>
          <w:szCs w:val="18"/>
          <w:shd w:val="clear" w:color="auto" w:fill="FFFFFF"/>
        </w:rPr>
        <w:t>.</w:t>
      </w:r>
      <w:r w:rsidR="00BB1A76" w:rsidRPr="00067BD0">
        <w:rPr>
          <w:rFonts w:cs="Segoe UI"/>
          <w:color w:val="212121"/>
          <w:szCs w:val="18"/>
          <w:shd w:val="clear" w:color="auto" w:fill="FFFFFF"/>
        </w:rPr>
        <w:t>K</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Brouwer</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I</w:t>
      </w:r>
      <w:r w:rsidR="00473DB2">
        <w:rPr>
          <w:rFonts w:cs="Segoe UI"/>
          <w:color w:val="212121"/>
          <w:szCs w:val="18"/>
          <w:shd w:val="clear" w:color="auto" w:fill="FFFFFF"/>
        </w:rPr>
        <w:t>.</w:t>
      </w:r>
      <w:r w:rsidR="00BB1A76" w:rsidRPr="00067BD0">
        <w:rPr>
          <w:rFonts w:cs="Segoe UI"/>
          <w:color w:val="212121"/>
          <w:szCs w:val="18"/>
          <w:shd w:val="clear" w:color="auto" w:fill="FFFFFF"/>
        </w:rPr>
        <w:t>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Chien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K</w:t>
      </w:r>
      <w:r w:rsidR="00473DB2">
        <w:rPr>
          <w:rFonts w:cs="Segoe UI"/>
          <w:color w:val="212121"/>
          <w:szCs w:val="18"/>
          <w:shd w:val="clear" w:color="auto" w:fill="FFFFFF"/>
        </w:rPr>
        <w:t>.</w:t>
      </w:r>
      <w:r w:rsidR="00BB1A76" w:rsidRPr="00067BD0">
        <w:rPr>
          <w:rFonts w:cs="Segoe UI"/>
          <w:color w:val="212121"/>
          <w:szCs w:val="18"/>
          <w:shd w:val="clear" w:color="auto" w:fill="FFFFFF"/>
        </w:rPr>
        <w:t>L</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Eiriksdottir</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G</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Forouhi</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N</w:t>
      </w:r>
      <w:r w:rsidR="00473DB2">
        <w:rPr>
          <w:rFonts w:cs="Segoe UI"/>
          <w:color w:val="212121"/>
          <w:szCs w:val="18"/>
          <w:shd w:val="clear" w:color="auto" w:fill="FFFFFF"/>
        </w:rPr>
        <w:t>.</w:t>
      </w:r>
      <w:r w:rsidR="00BB1A76" w:rsidRPr="00067BD0">
        <w:rPr>
          <w:rFonts w:cs="Segoe UI"/>
          <w:color w:val="212121"/>
          <w:szCs w:val="18"/>
          <w:shd w:val="clear" w:color="auto" w:fill="FFFFFF"/>
        </w:rPr>
        <w:t>G</w:t>
      </w:r>
      <w:r w:rsidR="00473DB2">
        <w:rPr>
          <w:rFonts w:cs="Segoe UI"/>
          <w:color w:val="212121"/>
          <w:szCs w:val="18"/>
          <w:shd w:val="clear" w:color="auto" w:fill="FFFFFF"/>
        </w:rPr>
        <w:t xml:space="preserve">.; </w:t>
      </w:r>
      <w:r w:rsidR="00BB1A76" w:rsidRPr="00067BD0">
        <w:rPr>
          <w:rFonts w:cs="Segoe UI"/>
          <w:color w:val="212121"/>
          <w:szCs w:val="18"/>
          <w:shd w:val="clear" w:color="auto" w:fill="FFFFFF"/>
        </w:rPr>
        <w:t>Geleijnse</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w:t>
      </w:r>
      <w:r w:rsidR="00473DB2">
        <w:rPr>
          <w:rFonts w:cs="Segoe UI"/>
          <w:color w:val="212121"/>
          <w:szCs w:val="18"/>
          <w:shd w:val="clear" w:color="auto" w:fill="FFFFFF"/>
        </w:rPr>
        <w:t>.</w:t>
      </w:r>
      <w:r w:rsidR="00BB1A76" w:rsidRPr="00067BD0">
        <w:rPr>
          <w:rFonts w:cs="Segoe UI"/>
          <w:color w:val="212121"/>
          <w:szCs w:val="18"/>
          <w:shd w:val="clear" w:color="auto" w:fill="FFFFFF"/>
        </w:rPr>
        <w:t>M</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Giles</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G</w:t>
      </w:r>
      <w:r w:rsidR="00473DB2">
        <w:rPr>
          <w:rFonts w:cs="Segoe UI"/>
          <w:color w:val="212121"/>
          <w:szCs w:val="18"/>
          <w:shd w:val="clear" w:color="auto" w:fill="FFFFFF"/>
        </w:rPr>
        <w:t>.</w:t>
      </w:r>
      <w:r w:rsidR="00BB1A76" w:rsidRPr="00067BD0">
        <w:rPr>
          <w:rFonts w:cs="Segoe UI"/>
          <w:color w:val="212121"/>
          <w:szCs w:val="18"/>
          <w:shd w:val="clear" w:color="auto" w:fill="FFFFFF"/>
        </w:rPr>
        <w:t>G</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Gudnason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V,</w:t>
      </w:r>
      <w:r w:rsidR="00473DB2">
        <w:rPr>
          <w:rFonts w:cs="Segoe UI"/>
          <w:color w:val="212121"/>
          <w:szCs w:val="18"/>
          <w:shd w:val="clear" w:color="auto" w:fill="FFFFFF"/>
        </w:rPr>
        <w:t xml:space="preserve">; </w:t>
      </w:r>
      <w:r w:rsidR="00BB1A76" w:rsidRPr="00067BD0">
        <w:rPr>
          <w:rFonts w:cs="Segoe UI"/>
          <w:color w:val="212121"/>
          <w:szCs w:val="18"/>
          <w:shd w:val="clear" w:color="auto" w:fill="FFFFFF"/>
        </w:rPr>
        <w:t>Helmer</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C</w:t>
      </w:r>
      <w:r w:rsidR="00473DB2">
        <w:rPr>
          <w:rFonts w:cs="Segoe UI"/>
          <w:color w:val="212121"/>
          <w:szCs w:val="18"/>
          <w:shd w:val="clear" w:color="auto" w:fill="FFFFFF"/>
        </w:rPr>
        <w:t xml:space="preserve">.; </w:t>
      </w:r>
      <w:r w:rsidR="00BB1A76" w:rsidRPr="00067BD0">
        <w:rPr>
          <w:rFonts w:cs="Segoe UI"/>
          <w:color w:val="212121"/>
          <w:szCs w:val="18"/>
          <w:shd w:val="clear" w:color="auto" w:fill="FFFFFF"/>
        </w:rPr>
        <w:t>Hodge</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Jackson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R</w:t>
      </w:r>
      <w:r w:rsidR="00473DB2">
        <w:rPr>
          <w:rFonts w:cs="Segoe UI"/>
          <w:color w:val="212121"/>
          <w:szCs w:val="18"/>
          <w:shd w:val="clear" w:color="auto" w:fill="FFFFFF"/>
        </w:rPr>
        <w:t xml:space="preserve">.; </w:t>
      </w:r>
      <w:r w:rsidR="00BB1A76" w:rsidRPr="00067BD0">
        <w:rPr>
          <w:rFonts w:cs="Segoe UI"/>
          <w:color w:val="212121"/>
          <w:szCs w:val="18"/>
          <w:shd w:val="clear" w:color="auto" w:fill="FFFFFF"/>
        </w:rPr>
        <w:t>Khaw</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K</w:t>
      </w:r>
      <w:r w:rsidR="00473DB2">
        <w:rPr>
          <w:rFonts w:cs="Segoe UI"/>
          <w:color w:val="212121"/>
          <w:szCs w:val="18"/>
          <w:shd w:val="clear" w:color="auto" w:fill="FFFFFF"/>
        </w:rPr>
        <w:t>.</w:t>
      </w:r>
      <w:r w:rsidR="00BB1A76" w:rsidRPr="00067BD0">
        <w:rPr>
          <w:rFonts w:cs="Segoe UI"/>
          <w:color w:val="212121"/>
          <w:szCs w:val="18"/>
          <w:shd w:val="clear" w:color="auto" w:fill="FFFFFF"/>
        </w:rPr>
        <w:t>T</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Laakso</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Lai</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H</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Laurin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D</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Leander</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K</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Lindsay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Micha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R</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Mursu</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Ninomiya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T</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Post</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W</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Psaty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B</w:t>
      </w:r>
      <w:r w:rsidR="00473DB2">
        <w:rPr>
          <w:rFonts w:cs="Segoe UI"/>
          <w:color w:val="212121"/>
          <w:szCs w:val="18"/>
          <w:shd w:val="clear" w:color="auto" w:fill="FFFFFF"/>
        </w:rPr>
        <w:t>.</w:t>
      </w:r>
      <w:r w:rsidR="00BB1A76" w:rsidRPr="00067BD0">
        <w:rPr>
          <w:rFonts w:cs="Segoe UI"/>
          <w:color w:val="212121"/>
          <w:szCs w:val="18"/>
          <w:shd w:val="clear" w:color="auto" w:fill="FFFFFF"/>
        </w:rPr>
        <w:t>M</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Risérus</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U</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Robinson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w:t>
      </w:r>
      <w:r w:rsidR="00473DB2">
        <w:rPr>
          <w:rFonts w:cs="Segoe UI"/>
          <w:color w:val="212121"/>
          <w:szCs w:val="18"/>
          <w:shd w:val="clear" w:color="auto" w:fill="FFFFFF"/>
        </w:rPr>
        <w:t>.</w:t>
      </w:r>
      <w:r w:rsidR="00BB1A76" w:rsidRPr="00067BD0">
        <w:rPr>
          <w:rFonts w:cs="Segoe UI"/>
          <w:color w:val="212121"/>
          <w:szCs w:val="18"/>
          <w:shd w:val="clear" w:color="auto" w:fill="FFFFFF"/>
        </w:rPr>
        <w:t>G</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Shadyab</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A</w:t>
      </w:r>
      <w:r w:rsidR="00473DB2">
        <w:rPr>
          <w:rFonts w:cs="Segoe UI"/>
          <w:color w:val="212121"/>
          <w:szCs w:val="18"/>
          <w:shd w:val="clear" w:color="auto" w:fill="FFFFFF"/>
        </w:rPr>
        <w:t>.</w:t>
      </w:r>
      <w:r w:rsidR="00BB1A76" w:rsidRPr="00067BD0">
        <w:rPr>
          <w:rFonts w:cs="Segoe UI"/>
          <w:color w:val="212121"/>
          <w:szCs w:val="18"/>
          <w:shd w:val="clear" w:color="auto" w:fill="FFFFFF"/>
        </w:rPr>
        <w:t>H</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Snetselaar</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Sala-Vila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A</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Sun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Steffen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w:t>
      </w:r>
      <w:r w:rsidR="00473DB2">
        <w:rPr>
          <w:rFonts w:cs="Segoe UI"/>
          <w:color w:val="212121"/>
          <w:szCs w:val="18"/>
          <w:shd w:val="clear" w:color="auto" w:fill="FFFFFF"/>
        </w:rPr>
        <w:t>.</w:t>
      </w:r>
      <w:r w:rsidR="00BB1A76" w:rsidRPr="00067BD0">
        <w:rPr>
          <w:rFonts w:cs="Segoe UI"/>
          <w:color w:val="212121"/>
          <w:szCs w:val="18"/>
          <w:shd w:val="clear" w:color="auto" w:fill="FFFFFF"/>
        </w:rPr>
        <w:t>M</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Tsai</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w:t>
      </w:r>
      <w:r w:rsidR="00473DB2">
        <w:rPr>
          <w:rFonts w:cs="Segoe UI"/>
          <w:color w:val="212121"/>
          <w:szCs w:val="18"/>
          <w:shd w:val="clear" w:color="auto" w:fill="FFFFFF"/>
        </w:rPr>
        <w:t>.</w:t>
      </w:r>
      <w:r w:rsidR="00BB1A76" w:rsidRPr="00067BD0">
        <w:rPr>
          <w:rFonts w:cs="Segoe UI"/>
          <w:color w:val="212121"/>
          <w:szCs w:val="18"/>
          <w:shd w:val="clear" w:color="auto" w:fill="FFFFFF"/>
        </w:rPr>
        <w:t>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Wareham</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N</w:t>
      </w:r>
      <w:r w:rsidR="00473DB2">
        <w:rPr>
          <w:rFonts w:cs="Segoe UI"/>
          <w:color w:val="212121"/>
          <w:szCs w:val="18"/>
          <w:shd w:val="clear" w:color="auto" w:fill="FFFFFF"/>
        </w:rPr>
        <w:t>.</w:t>
      </w:r>
      <w:r w:rsidR="00BB1A76" w:rsidRPr="00067BD0">
        <w:rPr>
          <w:rFonts w:cs="Segoe UI"/>
          <w:color w:val="212121"/>
          <w:szCs w:val="18"/>
          <w:shd w:val="clear" w:color="auto" w:fill="FFFFFF"/>
        </w:rPr>
        <w:t>J</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Wood</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A</w:t>
      </w:r>
      <w:r w:rsidR="00473DB2">
        <w:rPr>
          <w:rFonts w:cs="Segoe UI"/>
          <w:color w:val="212121"/>
          <w:szCs w:val="18"/>
          <w:shd w:val="clear" w:color="auto" w:fill="FFFFFF"/>
        </w:rPr>
        <w:t>.</w:t>
      </w:r>
      <w:r w:rsidR="00BB1A76" w:rsidRPr="00067BD0">
        <w:rPr>
          <w:rFonts w:cs="Segoe UI"/>
          <w:color w:val="212121"/>
          <w:szCs w:val="18"/>
          <w:shd w:val="clear" w:color="auto" w:fill="FFFFFF"/>
        </w:rPr>
        <w:t>C</w:t>
      </w:r>
      <w:r w:rsidR="00473DB2">
        <w:rPr>
          <w:rFonts w:cs="Segoe UI"/>
          <w:color w:val="212121"/>
          <w:szCs w:val="18"/>
          <w:shd w:val="clear" w:color="auto" w:fill="FFFFFF"/>
        </w:rPr>
        <w:t>.</w:t>
      </w:r>
      <w:r w:rsidR="00BB1A76" w:rsidRPr="00067BD0">
        <w:rPr>
          <w:rFonts w:cs="Segoe UI"/>
          <w:color w:val="212121"/>
          <w:szCs w:val="18"/>
          <w:shd w:val="clear" w:color="auto" w:fill="FFFFFF"/>
        </w:rPr>
        <w:t>, Wu</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J</w:t>
      </w:r>
      <w:r w:rsidR="00473DB2">
        <w:rPr>
          <w:rFonts w:cs="Segoe UI"/>
          <w:color w:val="212121"/>
          <w:szCs w:val="18"/>
          <w:shd w:val="clear" w:color="auto" w:fill="FFFFFF"/>
        </w:rPr>
        <w:t>.</w:t>
      </w:r>
      <w:r w:rsidR="00BB1A76" w:rsidRPr="00067BD0">
        <w:rPr>
          <w:rFonts w:cs="Segoe UI"/>
          <w:color w:val="212121"/>
          <w:szCs w:val="18"/>
          <w:shd w:val="clear" w:color="auto" w:fill="FFFFFF"/>
        </w:rPr>
        <w:t>H</w:t>
      </w:r>
      <w:r w:rsidR="00473DB2">
        <w:rPr>
          <w:rFonts w:cs="Segoe UI"/>
          <w:color w:val="212121"/>
          <w:szCs w:val="18"/>
          <w:shd w:val="clear" w:color="auto" w:fill="FFFFFF"/>
        </w:rPr>
        <w:t>.</w:t>
      </w:r>
      <w:r w:rsidR="00BB1A76" w:rsidRPr="00067BD0">
        <w:rPr>
          <w:rFonts w:cs="Segoe UI"/>
          <w:color w:val="212121"/>
          <w:szCs w:val="18"/>
          <w:shd w:val="clear" w:color="auto" w:fill="FFFFFF"/>
        </w:rPr>
        <w:t>Y</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Hu</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F</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Sun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Q</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Siscovick</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D</w:t>
      </w:r>
      <w:r w:rsidR="00473DB2">
        <w:rPr>
          <w:rFonts w:cs="Segoe UI"/>
          <w:color w:val="212121"/>
          <w:szCs w:val="18"/>
          <w:shd w:val="clear" w:color="auto" w:fill="FFFFFF"/>
        </w:rPr>
        <w:t>.</w:t>
      </w:r>
      <w:r w:rsidR="00BB1A76" w:rsidRPr="00067BD0">
        <w:rPr>
          <w:rFonts w:cs="Segoe UI"/>
          <w:color w:val="212121"/>
          <w:szCs w:val="18"/>
          <w:shd w:val="clear" w:color="auto" w:fill="FFFFFF"/>
        </w:rPr>
        <w:t>S</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Lemaitre</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R</w:t>
      </w:r>
      <w:r w:rsidR="00473DB2">
        <w:rPr>
          <w:rFonts w:cs="Segoe UI"/>
          <w:color w:val="212121"/>
          <w:szCs w:val="18"/>
          <w:shd w:val="clear" w:color="auto" w:fill="FFFFFF"/>
        </w:rPr>
        <w:t>.</w:t>
      </w:r>
      <w:r w:rsidR="00BB1A76" w:rsidRPr="00067BD0">
        <w:rPr>
          <w:rFonts w:cs="Segoe UI"/>
          <w:color w:val="212121"/>
          <w:szCs w:val="18"/>
          <w:shd w:val="clear" w:color="auto" w:fill="FFFFFF"/>
        </w:rPr>
        <w:t>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Mozaffarian</w:t>
      </w:r>
      <w:r w:rsidR="00473DB2">
        <w:rPr>
          <w:rFonts w:cs="Segoe UI"/>
          <w:color w:val="212121"/>
          <w:szCs w:val="18"/>
          <w:shd w:val="clear" w:color="auto" w:fill="FFFFFF"/>
        </w:rPr>
        <w:t>,</w:t>
      </w:r>
      <w:r w:rsidR="00BB1A76" w:rsidRPr="00067BD0">
        <w:rPr>
          <w:rFonts w:cs="Segoe UI"/>
          <w:color w:val="212121"/>
          <w:szCs w:val="18"/>
          <w:shd w:val="clear" w:color="auto" w:fill="FFFFFF"/>
        </w:rPr>
        <w:t xml:space="preserve"> D</w:t>
      </w:r>
      <w:r w:rsidR="00473DB2">
        <w:rPr>
          <w:rFonts w:cs="Segoe UI"/>
          <w:color w:val="212121"/>
          <w:szCs w:val="18"/>
          <w:shd w:val="clear" w:color="auto" w:fill="FFFFFF"/>
        </w:rPr>
        <w:t>.</w:t>
      </w:r>
      <w:r w:rsidR="00BB1A76" w:rsidRPr="00067BD0">
        <w:rPr>
          <w:rFonts w:cs="Segoe UI"/>
          <w:color w:val="212121"/>
          <w:szCs w:val="18"/>
          <w:shd w:val="clear" w:color="auto" w:fill="FFFFFF"/>
        </w:rPr>
        <w:t>; Fatty Acids and Outcomes Research Consortium (FORCE)</w:t>
      </w:r>
      <w:r w:rsidR="004A0CEE" w:rsidRPr="00067BD0">
        <w:rPr>
          <w:szCs w:val="18"/>
        </w:rPr>
        <w:t xml:space="preserve"> Blood n-3 fatty acid levels and total and cause-specific mortality from 17 prospective studies. Nat</w:t>
      </w:r>
      <w:r w:rsidRPr="00BB1A76">
        <w:rPr>
          <w:szCs w:val="18"/>
        </w:rPr>
        <w:t>ure</w:t>
      </w:r>
      <w:r w:rsidR="004A0CEE" w:rsidRPr="00067BD0">
        <w:rPr>
          <w:szCs w:val="18"/>
        </w:rPr>
        <w:t xml:space="preserve"> Commun</w:t>
      </w:r>
      <w:r w:rsidRPr="00BB1A76">
        <w:rPr>
          <w:szCs w:val="18"/>
        </w:rPr>
        <w:t>ications</w:t>
      </w:r>
      <w:r w:rsidR="004A0CEE" w:rsidRPr="00067BD0">
        <w:rPr>
          <w:szCs w:val="18"/>
        </w:rPr>
        <w:t xml:space="preserve"> 2021, 12</w:t>
      </w:r>
      <w:r w:rsidRPr="00BB1A76">
        <w:rPr>
          <w:szCs w:val="18"/>
        </w:rPr>
        <w:t xml:space="preserve">, </w:t>
      </w:r>
      <w:r w:rsidR="004A0CEE" w:rsidRPr="00067BD0">
        <w:rPr>
          <w:szCs w:val="18"/>
        </w:rPr>
        <w:t>2329.</w:t>
      </w:r>
    </w:p>
    <w:p w14:paraId="1E67D11F" w14:textId="6FB985A0" w:rsidR="00C1001F" w:rsidRPr="00067BD0" w:rsidRDefault="00473DB2" w:rsidP="00473DB2">
      <w:pPr>
        <w:pStyle w:val="MDPI63Notes"/>
        <w:spacing w:before="0"/>
        <w:ind w:left="510" w:hanging="510"/>
        <w:rPr>
          <w:rFonts w:cs="URWPalladioL-Roma"/>
          <w:szCs w:val="18"/>
          <w:lang w:val="en-GB"/>
        </w:rPr>
      </w:pPr>
      <w:r>
        <w:rPr>
          <w:rFonts w:cs="URWPalladioL-Roma"/>
          <w:szCs w:val="18"/>
          <w:lang w:val="en-GB"/>
        </w:rPr>
        <w:t xml:space="preserve">105. </w:t>
      </w:r>
      <w:r>
        <w:rPr>
          <w:rFonts w:cs="URWPalladioL-Roma"/>
          <w:szCs w:val="18"/>
          <w:lang w:val="en-GB"/>
        </w:rPr>
        <w:tab/>
      </w:r>
      <w:r w:rsidR="00C1001F" w:rsidRPr="00C1001F">
        <w:rPr>
          <w:rFonts w:eastAsia="Times New Roman"/>
          <w:snapToGrid/>
          <w:lang w:eastAsia="de-DE"/>
        </w:rPr>
        <w:t xml:space="preserve">Yokoyama, M.; Origasa, H.; Matsuzaki, M.; Matsuzawa, Y.; Saito, Y.; Ishikawa, Y.; Oikawa, S.; Sasaki, J.; Hishida, H.; Itakura, H. Effects of eicosapentaenoic acid on major coronary events in hypercholesterolaemic patients (JELIS): a randomised open-label, blinded endpoint analysis. </w:t>
      </w:r>
      <w:r w:rsidR="003A6332">
        <w:rPr>
          <w:rFonts w:eastAsia="Times New Roman"/>
          <w:snapToGrid/>
          <w:lang w:eastAsia="de-DE"/>
        </w:rPr>
        <w:t>L</w:t>
      </w:r>
      <w:r w:rsidR="00C1001F" w:rsidRPr="00C1001F">
        <w:rPr>
          <w:rFonts w:eastAsia="Times New Roman"/>
          <w:snapToGrid/>
          <w:lang w:eastAsia="de-DE"/>
        </w:rPr>
        <w:t>ancet 2007, 369, 1090-1098.</w:t>
      </w:r>
    </w:p>
    <w:p w14:paraId="0FCE5267" w14:textId="2BA4CB26"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106</w:t>
      </w:r>
      <w:r w:rsidR="00C1001F" w:rsidRPr="00C1001F">
        <w:rPr>
          <w:rFonts w:eastAsia="Times New Roman"/>
          <w:snapToGrid/>
          <w:lang w:eastAsia="de-DE"/>
        </w:rPr>
        <w:t>.</w:t>
      </w:r>
      <w:r w:rsidR="00C1001F" w:rsidRPr="00C1001F">
        <w:rPr>
          <w:rFonts w:eastAsia="Times New Roman"/>
          <w:snapToGrid/>
          <w:lang w:eastAsia="de-DE"/>
        </w:rPr>
        <w:tab/>
        <w:t>Bhatt, D.L.; Steg, P.G.; Miller, M.; Brinton, E.A.; Jacobson, T.A.; Ketchum, S.B.; Doyle Jr, R.T.; Juliano, R.A.; Jiao, L.; Granowitz, C. Cardiovascular risk reduction with icosapent ethyl for hypertriglyceridemia. New England Journal of Medicine 2019, 380, 11-22.</w:t>
      </w:r>
    </w:p>
    <w:p w14:paraId="793BFF79" w14:textId="6C124D90"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107</w:t>
      </w:r>
      <w:r w:rsidR="00C1001F" w:rsidRPr="00C1001F">
        <w:rPr>
          <w:rFonts w:eastAsia="Times New Roman"/>
          <w:snapToGrid/>
          <w:lang w:eastAsia="de-DE"/>
        </w:rPr>
        <w:t>.</w:t>
      </w:r>
      <w:r w:rsidR="00C1001F" w:rsidRPr="00C1001F">
        <w:rPr>
          <w:rFonts w:eastAsia="Times New Roman"/>
          <w:snapToGrid/>
          <w:lang w:eastAsia="de-DE"/>
        </w:rPr>
        <w:tab/>
        <w:t>Jo, S.-H.; Han, S.H.; Kim, S.-H.; Eckel, R.H.; Koh, K.K. Cardiovascular effects of omega-3 fatty acids: Hope or hype? Atherosclerosis 2021</w:t>
      </w:r>
      <w:r w:rsidR="003A6332">
        <w:rPr>
          <w:rFonts w:eastAsia="Times New Roman"/>
          <w:snapToGrid/>
          <w:lang w:eastAsia="de-DE"/>
        </w:rPr>
        <w:t>, 322, 15-23</w:t>
      </w:r>
    </w:p>
    <w:p w14:paraId="0DC4BECB" w14:textId="15368893"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108</w:t>
      </w:r>
      <w:r w:rsidR="00C1001F" w:rsidRPr="00C1001F">
        <w:rPr>
          <w:rFonts w:eastAsia="Times New Roman"/>
          <w:snapToGrid/>
          <w:lang w:eastAsia="de-DE"/>
        </w:rPr>
        <w:t>.</w:t>
      </w:r>
      <w:r w:rsidR="00C1001F" w:rsidRPr="00C1001F">
        <w:rPr>
          <w:rFonts w:eastAsia="Times New Roman"/>
          <w:snapToGrid/>
          <w:lang w:eastAsia="de-DE"/>
        </w:rPr>
        <w:tab/>
        <w:t xml:space="preserve">Budoff, M.J.; Bhatt, D.L.; Kinninger, A.; Lakshmanan, S.; Muhlestein, J.B.; Le, V.T.; May, H.T.; Shaikh, K.; Shekar, C.; Roy, S.K. Effect of icosapent ethyl on progression of coronary atherosclerosis in patients with elevated triglycerides on statin therapy: final results of the EVAPORATE trial. European </w:t>
      </w:r>
      <w:r w:rsidR="003A6332">
        <w:rPr>
          <w:rFonts w:eastAsia="Times New Roman"/>
          <w:snapToGrid/>
          <w:lang w:eastAsia="de-DE"/>
        </w:rPr>
        <w:t>H</w:t>
      </w:r>
      <w:r w:rsidR="00C1001F" w:rsidRPr="00C1001F">
        <w:rPr>
          <w:rFonts w:eastAsia="Times New Roman"/>
          <w:snapToGrid/>
          <w:lang w:eastAsia="de-DE"/>
        </w:rPr>
        <w:t xml:space="preserve">eart </w:t>
      </w:r>
      <w:r w:rsidR="003A6332">
        <w:rPr>
          <w:rFonts w:eastAsia="Times New Roman"/>
          <w:snapToGrid/>
          <w:lang w:eastAsia="de-DE"/>
        </w:rPr>
        <w:t>J</w:t>
      </w:r>
      <w:r w:rsidR="00C1001F" w:rsidRPr="00C1001F">
        <w:rPr>
          <w:rFonts w:eastAsia="Times New Roman"/>
          <w:snapToGrid/>
          <w:lang w:eastAsia="de-DE"/>
        </w:rPr>
        <w:t>ournal 2020, 41, 3925-3932.</w:t>
      </w:r>
    </w:p>
    <w:p w14:paraId="4FD832B5" w14:textId="68221B3C"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109</w:t>
      </w:r>
      <w:r w:rsidR="00C1001F" w:rsidRPr="00C1001F">
        <w:rPr>
          <w:rFonts w:eastAsia="Times New Roman"/>
          <w:snapToGrid/>
          <w:lang w:eastAsia="de-DE"/>
        </w:rPr>
        <w:t>.</w:t>
      </w:r>
      <w:r w:rsidR="00C1001F" w:rsidRPr="00C1001F">
        <w:rPr>
          <w:rFonts w:eastAsia="Times New Roman"/>
          <w:snapToGrid/>
          <w:lang w:eastAsia="de-DE"/>
        </w:rPr>
        <w:tab/>
        <w:t>Nicholls, S.J.; Lincoff, A.M.; Garcia, M.; Bash, D.; Ballantyne, C.M.; Barter, P.J.; Davidson, M.H.; Kastelein, J.J.; Koenig, W.; McGuire, D.K. Effect of high-dose omega-3 fatty acids vs corn oil on major adverse cardiovascular events in patients at high cardiovascular risk: the STRENGTH randomized clinical trial. J</w:t>
      </w:r>
      <w:r w:rsidR="003A6332">
        <w:rPr>
          <w:rFonts w:eastAsia="Times New Roman"/>
          <w:snapToGrid/>
          <w:lang w:eastAsia="de-DE"/>
        </w:rPr>
        <w:t>AMA</w:t>
      </w:r>
      <w:r w:rsidR="00C1001F" w:rsidRPr="00C1001F">
        <w:rPr>
          <w:rFonts w:eastAsia="Times New Roman"/>
          <w:snapToGrid/>
          <w:lang w:eastAsia="de-DE"/>
        </w:rPr>
        <w:t xml:space="preserve"> 2020, 324, 2268-2280.</w:t>
      </w:r>
    </w:p>
    <w:p w14:paraId="3263702A" w14:textId="4732DBB0" w:rsidR="00473DB2" w:rsidRDefault="00473DB2" w:rsidP="00473DB2">
      <w:pPr>
        <w:pStyle w:val="MDPI63Notes"/>
        <w:spacing w:before="0"/>
        <w:ind w:left="510" w:hanging="510"/>
        <w:rPr>
          <w:rFonts w:eastAsia="Times New Roman"/>
          <w:snapToGrid/>
          <w:lang w:eastAsia="de-DE"/>
        </w:rPr>
      </w:pPr>
      <w:r>
        <w:rPr>
          <w:rFonts w:eastAsia="Times New Roman"/>
          <w:snapToGrid/>
          <w:lang w:eastAsia="de-DE"/>
        </w:rPr>
        <w:t>110</w:t>
      </w:r>
      <w:r w:rsidR="00C1001F" w:rsidRPr="00C1001F">
        <w:rPr>
          <w:rFonts w:eastAsia="Times New Roman"/>
          <w:snapToGrid/>
          <w:lang w:eastAsia="de-DE"/>
        </w:rPr>
        <w:t>.</w:t>
      </w:r>
      <w:r w:rsidR="00C1001F" w:rsidRPr="00C1001F">
        <w:rPr>
          <w:rFonts w:eastAsia="Times New Roman"/>
          <w:snapToGrid/>
          <w:lang w:eastAsia="de-DE"/>
        </w:rPr>
        <w:tab/>
        <w:t>Nishizaki, Y.; Miyauchi, K.; Iwata, H.; Inoue, T.; Hirayama, A.; Kimura, K.; Ozaki, Y.; Murohara, T.; Ueshima, K.; Kuwabara, Y. Study protocol and baseline characteristics of Randomized trial for Evaluation in Secondary Prevention Efficacy of Combination Therapy–Statin and Eicosapentaenoic Acid: RESPECT-EPA, the combination of a randomized control trial and an observational biomarker study. American Heart Journal 2023, 257, 1-8.</w:t>
      </w:r>
    </w:p>
    <w:p w14:paraId="060E4FF3" w14:textId="0522BD64" w:rsidR="00C1001F" w:rsidRPr="00C1001F" w:rsidRDefault="00473DB2" w:rsidP="00473DB2">
      <w:pPr>
        <w:pStyle w:val="MDPI63Notes"/>
        <w:spacing w:before="0"/>
        <w:ind w:left="510" w:hanging="510"/>
        <w:rPr>
          <w:rFonts w:eastAsia="Times New Roman"/>
          <w:snapToGrid/>
          <w:lang w:eastAsia="de-DE"/>
        </w:rPr>
      </w:pPr>
      <w:r>
        <w:rPr>
          <w:rFonts w:eastAsia="Times New Roman"/>
          <w:snapToGrid/>
          <w:lang w:eastAsia="de-DE"/>
        </w:rPr>
        <w:lastRenderedPageBreak/>
        <w:t>111.</w:t>
      </w:r>
      <w:r>
        <w:rPr>
          <w:rFonts w:eastAsia="Times New Roman"/>
          <w:snapToGrid/>
          <w:lang w:eastAsia="de-DE"/>
        </w:rPr>
        <w:tab/>
      </w:r>
      <w:r w:rsidR="00C1001F" w:rsidRPr="00C1001F">
        <w:rPr>
          <w:rFonts w:eastAsia="Times New Roman"/>
          <w:snapToGrid/>
          <w:lang w:eastAsia="de-DE"/>
        </w:rPr>
        <w:t xml:space="preserve">Nelson, J.; Raskin, S. The eicosapentaenoic acid: arachidonic acid ratio and its clinical utility in cardiovascular disease. Postgraduate </w:t>
      </w:r>
      <w:r w:rsidR="003A6332">
        <w:rPr>
          <w:rFonts w:eastAsia="Times New Roman"/>
          <w:snapToGrid/>
          <w:lang w:eastAsia="de-DE"/>
        </w:rPr>
        <w:t>M</w:t>
      </w:r>
      <w:r w:rsidR="00C1001F" w:rsidRPr="00C1001F">
        <w:rPr>
          <w:rFonts w:eastAsia="Times New Roman"/>
          <w:snapToGrid/>
          <w:lang w:eastAsia="de-DE"/>
        </w:rPr>
        <w:t>edicine 2019, 131, 268-277.</w:t>
      </w:r>
    </w:p>
    <w:p w14:paraId="0F9DA5D4" w14:textId="20C85FA0" w:rsidR="00A424AC" w:rsidRDefault="00473DB2" w:rsidP="00A424AC">
      <w:pPr>
        <w:pStyle w:val="MDPI63Notes"/>
        <w:spacing w:before="0"/>
        <w:ind w:left="510" w:hanging="510"/>
        <w:rPr>
          <w:rFonts w:eastAsia="Times New Roman"/>
          <w:snapToGrid/>
          <w:lang w:eastAsia="de-DE"/>
        </w:rPr>
      </w:pPr>
      <w:r>
        <w:rPr>
          <w:rFonts w:eastAsia="Times New Roman"/>
          <w:snapToGrid/>
          <w:lang w:eastAsia="de-DE"/>
        </w:rPr>
        <w:t>112</w:t>
      </w:r>
      <w:r w:rsidR="00C1001F" w:rsidRPr="00C1001F">
        <w:rPr>
          <w:rFonts w:eastAsia="Times New Roman"/>
          <w:snapToGrid/>
          <w:lang w:eastAsia="de-DE"/>
        </w:rPr>
        <w:t>.</w:t>
      </w:r>
      <w:r w:rsidR="00C1001F" w:rsidRPr="00C1001F">
        <w:rPr>
          <w:rFonts w:eastAsia="Times New Roman"/>
          <w:snapToGrid/>
          <w:lang w:eastAsia="de-DE"/>
        </w:rPr>
        <w:tab/>
        <w:t>Abe, S.; Sugimura, H.; Watanabe, S.; Murakami, Y.; Ebisawa, K.; Ioka, T.; Takahashi, T.; Ando, T.; Kono, K.; Inoue, T. Eicosapantaenoic acid treatment based on the EPA/AA ratio in patients with coronary artery disease: Follow-up data from the Tochigi Ryomo EPA/AA Trial in Coronary Artery Disease (TREAT-CAD) study. Hypertension Research 2018, 41, 939-946.</w:t>
      </w:r>
    </w:p>
    <w:p w14:paraId="00E1DDD1" w14:textId="42093CBD" w:rsidR="00A424AC" w:rsidRDefault="00473DB2" w:rsidP="00A424AC">
      <w:pPr>
        <w:pStyle w:val="MDPI63Notes"/>
        <w:spacing w:before="0"/>
        <w:ind w:left="510" w:hanging="510"/>
        <w:rPr>
          <w:rFonts w:eastAsia="Times New Roman" w:cs="Segoe UI"/>
          <w:color w:val="auto"/>
          <w:szCs w:val="18"/>
          <w:lang w:val="en-GB" w:eastAsia="en-GB"/>
        </w:rPr>
      </w:pPr>
      <w:r>
        <w:rPr>
          <w:rFonts w:eastAsia="Times New Roman"/>
          <w:snapToGrid/>
          <w:lang w:eastAsia="de-DE"/>
        </w:rPr>
        <w:t>113</w:t>
      </w:r>
      <w:r w:rsidR="00A424AC">
        <w:rPr>
          <w:rFonts w:eastAsia="Times New Roman"/>
          <w:snapToGrid/>
          <w:lang w:eastAsia="de-DE"/>
        </w:rPr>
        <w:t>.</w:t>
      </w:r>
      <w:r w:rsidR="00A424AC">
        <w:rPr>
          <w:rFonts w:eastAsia="Times New Roman"/>
          <w:snapToGrid/>
          <w:lang w:eastAsia="de-DE"/>
        </w:rPr>
        <w:tab/>
      </w:r>
      <w:r w:rsidR="00A424AC" w:rsidRPr="00A424AC">
        <w:rPr>
          <w:rFonts w:eastAsia="Times New Roman" w:cs="Segoe UI"/>
          <w:color w:val="auto"/>
          <w:szCs w:val="18"/>
          <w:lang w:val="en-GB" w:eastAsia="en-GB"/>
        </w:rPr>
        <w:t>Wang</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Q</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Liang</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X</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Wang</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L</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Lu</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X</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Huang</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J</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Cao</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J</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Li</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H</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Gu</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D.</w:t>
      </w:r>
      <w:r w:rsidR="00A424AC">
        <w:rPr>
          <w:rFonts w:eastAsia="Times New Roman" w:cs="Segoe UI"/>
          <w:color w:val="auto"/>
          <w:szCs w:val="18"/>
          <w:lang w:val="en-GB" w:eastAsia="en-GB"/>
        </w:rPr>
        <w:t xml:space="preserve"> </w:t>
      </w:r>
      <w:hyperlink r:id="rId11" w:history="1">
        <w:r w:rsidR="00A424AC" w:rsidRPr="00A424AC">
          <w:rPr>
            <w:rFonts w:eastAsia="Times New Roman" w:cs="Segoe UI"/>
            <w:color w:val="auto"/>
            <w:szCs w:val="18"/>
            <w:shd w:val="clear" w:color="auto" w:fill="FFFFFF"/>
            <w:lang w:val="en-GB" w:eastAsia="en-GB"/>
          </w:rPr>
          <w:t>Effect of omega-3 fatty acids supplementation on endothelial function: a meta-analysis of randomized controlled trials.</w:t>
        </w:r>
      </w:hyperlink>
      <w:r w:rsidR="00A424AC">
        <w:rPr>
          <w:rFonts w:eastAsia="Times New Roman"/>
          <w:color w:val="auto"/>
          <w:szCs w:val="18"/>
          <w:lang w:val="en-GB" w:eastAsia="en-GB"/>
        </w:rPr>
        <w:t xml:space="preserve"> </w:t>
      </w:r>
      <w:r w:rsidR="00A424AC" w:rsidRPr="00A424AC">
        <w:rPr>
          <w:rFonts w:eastAsia="Times New Roman" w:cs="Segoe UI"/>
          <w:color w:val="auto"/>
          <w:szCs w:val="18"/>
          <w:lang w:val="en-GB" w:eastAsia="en-GB"/>
        </w:rPr>
        <w:t>Atherosclerosis</w:t>
      </w:r>
      <w:r w:rsidR="00A424AC">
        <w:rPr>
          <w:rFonts w:eastAsia="Times New Roman" w:cs="Segoe UI"/>
          <w:color w:val="auto"/>
          <w:szCs w:val="18"/>
          <w:lang w:val="en-GB" w:eastAsia="en-GB"/>
        </w:rPr>
        <w:t xml:space="preserve"> </w:t>
      </w:r>
      <w:r w:rsidR="00A424AC" w:rsidRPr="00A424AC">
        <w:rPr>
          <w:rFonts w:eastAsia="Times New Roman" w:cs="Segoe UI"/>
          <w:color w:val="auto"/>
          <w:szCs w:val="18"/>
          <w:lang w:val="en-GB" w:eastAsia="en-GB"/>
        </w:rPr>
        <w:t>2012</w:t>
      </w:r>
      <w:r w:rsidR="00A424AC">
        <w:rPr>
          <w:rFonts w:eastAsia="Times New Roman" w:cs="Segoe UI"/>
          <w:color w:val="auto"/>
          <w:szCs w:val="18"/>
          <w:lang w:val="en-GB" w:eastAsia="en-GB"/>
        </w:rPr>
        <w:t xml:space="preserve">, </w:t>
      </w:r>
      <w:r w:rsidR="00A424AC" w:rsidRPr="00A424AC">
        <w:rPr>
          <w:rFonts w:eastAsia="Times New Roman" w:cs="Segoe UI"/>
          <w:color w:val="auto"/>
          <w:szCs w:val="18"/>
          <w:lang w:val="en-GB" w:eastAsia="en-GB"/>
        </w:rPr>
        <w:t>221</w:t>
      </w:r>
      <w:r w:rsidR="00A424AC">
        <w:rPr>
          <w:rFonts w:eastAsia="Times New Roman" w:cs="Segoe UI"/>
          <w:color w:val="auto"/>
          <w:szCs w:val="18"/>
          <w:lang w:val="en-GB" w:eastAsia="en-GB"/>
        </w:rPr>
        <w:t xml:space="preserve">, </w:t>
      </w:r>
      <w:r w:rsidR="00A424AC" w:rsidRPr="00A424AC">
        <w:rPr>
          <w:rFonts w:eastAsia="Times New Roman" w:cs="Segoe UI"/>
          <w:color w:val="auto"/>
          <w:szCs w:val="18"/>
          <w:lang w:val="en-GB" w:eastAsia="en-GB"/>
        </w:rPr>
        <w:t>536-</w:t>
      </w:r>
      <w:r w:rsidR="00A424AC">
        <w:rPr>
          <w:rFonts w:eastAsia="Times New Roman" w:cs="Segoe UI"/>
          <w:color w:val="auto"/>
          <w:szCs w:val="18"/>
          <w:lang w:val="en-GB" w:eastAsia="en-GB"/>
        </w:rPr>
        <w:t>5</w:t>
      </w:r>
      <w:r w:rsidR="00A424AC" w:rsidRPr="00A424AC">
        <w:rPr>
          <w:rFonts w:eastAsia="Times New Roman" w:cs="Segoe UI"/>
          <w:color w:val="auto"/>
          <w:szCs w:val="18"/>
          <w:lang w:val="en-GB" w:eastAsia="en-GB"/>
        </w:rPr>
        <w:t>43.</w:t>
      </w:r>
    </w:p>
    <w:p w14:paraId="5AF6689B" w14:textId="05626A14" w:rsidR="00B07DBC" w:rsidRDefault="00473DB2" w:rsidP="00B07DBC">
      <w:pPr>
        <w:pStyle w:val="MDPI63Notes"/>
        <w:spacing w:before="0"/>
        <w:ind w:left="510" w:hanging="510"/>
        <w:rPr>
          <w:rFonts w:eastAsia="Times New Roman" w:cs="Segoe UI"/>
          <w:color w:val="auto"/>
          <w:szCs w:val="18"/>
          <w:lang w:val="en-GB" w:eastAsia="en-GB"/>
        </w:rPr>
      </w:pPr>
      <w:r>
        <w:rPr>
          <w:rFonts w:eastAsia="Times New Roman"/>
          <w:snapToGrid/>
          <w:lang w:eastAsia="de-DE"/>
        </w:rPr>
        <w:t>114</w:t>
      </w:r>
      <w:r w:rsidR="00A424AC">
        <w:rPr>
          <w:rFonts w:eastAsia="Times New Roman"/>
          <w:snapToGrid/>
          <w:lang w:eastAsia="de-DE"/>
        </w:rPr>
        <w:t>.</w:t>
      </w:r>
      <w:r w:rsidR="00A424AC">
        <w:rPr>
          <w:rFonts w:eastAsia="Times New Roman" w:cs="Segoe UI"/>
          <w:color w:val="auto"/>
          <w:szCs w:val="18"/>
          <w:lang w:val="en-GB" w:eastAsia="en-GB"/>
        </w:rPr>
        <w:tab/>
      </w:r>
      <w:r w:rsidR="00A424AC" w:rsidRPr="00A424AC">
        <w:rPr>
          <w:rFonts w:eastAsia="Times New Roman" w:cs="Segoe UI"/>
          <w:color w:val="auto"/>
          <w:szCs w:val="18"/>
          <w:lang w:val="en-GB" w:eastAsia="en-GB"/>
        </w:rPr>
        <w:t>Lin</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N</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Shi</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J</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J</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Li</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Y</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M</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Zhang</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X</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Y</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Chen</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Y</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Calder</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P</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C</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Tang</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 xml:space="preserve"> L</w:t>
      </w:r>
      <w:r w:rsidR="00A424AC">
        <w:rPr>
          <w:rFonts w:eastAsia="Times New Roman" w:cs="Segoe UI"/>
          <w:color w:val="auto"/>
          <w:szCs w:val="18"/>
          <w:lang w:val="en-GB" w:eastAsia="en-GB"/>
        </w:rPr>
        <w:t>.</w:t>
      </w:r>
      <w:r w:rsidR="00A424AC" w:rsidRPr="00A424AC">
        <w:rPr>
          <w:rFonts w:eastAsia="Times New Roman" w:cs="Segoe UI"/>
          <w:color w:val="auto"/>
          <w:szCs w:val="18"/>
          <w:lang w:val="en-GB" w:eastAsia="en-GB"/>
        </w:rPr>
        <w:t>J.</w:t>
      </w:r>
      <w:r w:rsidR="00A424AC">
        <w:rPr>
          <w:rFonts w:eastAsia="Times New Roman" w:cs="Segoe UI"/>
          <w:color w:val="auto"/>
          <w:szCs w:val="18"/>
          <w:lang w:val="en-GB" w:eastAsia="en-GB"/>
        </w:rPr>
        <w:t xml:space="preserve"> </w:t>
      </w:r>
      <w:hyperlink r:id="rId12" w:history="1">
        <w:r w:rsidR="00A424AC" w:rsidRPr="00A424AC">
          <w:rPr>
            <w:rFonts w:eastAsia="Times New Roman" w:cs="Segoe UI"/>
            <w:color w:val="auto"/>
            <w:szCs w:val="18"/>
            <w:shd w:val="clear" w:color="auto" w:fill="FFFFFF"/>
            <w:lang w:val="en-GB" w:eastAsia="en-GB"/>
          </w:rPr>
          <w:t>What is the impact of n-3 PUFAs on inflammation markers in Type 2 diabetic mellitus populations?: a systematic review and meta-analysis of randomized controlled trials.</w:t>
        </w:r>
      </w:hyperlink>
      <w:r w:rsidR="00A424AC">
        <w:rPr>
          <w:rFonts w:eastAsia="Times New Roman"/>
          <w:color w:val="auto"/>
          <w:szCs w:val="18"/>
          <w:lang w:val="en-GB" w:eastAsia="en-GB"/>
        </w:rPr>
        <w:t xml:space="preserve"> </w:t>
      </w:r>
      <w:r w:rsidR="00A424AC" w:rsidRPr="00A424AC">
        <w:rPr>
          <w:rFonts w:eastAsia="Times New Roman" w:cs="Segoe UI"/>
          <w:color w:val="auto"/>
          <w:szCs w:val="18"/>
          <w:lang w:val="en-GB" w:eastAsia="en-GB"/>
        </w:rPr>
        <w:t xml:space="preserve">Lipids </w:t>
      </w:r>
      <w:r w:rsidR="00A424AC">
        <w:rPr>
          <w:rFonts w:eastAsia="Times New Roman" w:cs="Segoe UI"/>
          <w:color w:val="auto"/>
          <w:szCs w:val="18"/>
          <w:lang w:val="en-GB" w:eastAsia="en-GB"/>
        </w:rPr>
        <w:t xml:space="preserve">in </w:t>
      </w:r>
      <w:r w:rsidR="00A424AC" w:rsidRPr="00A424AC">
        <w:rPr>
          <w:rFonts w:eastAsia="Times New Roman" w:cs="Segoe UI"/>
          <w:color w:val="auto"/>
          <w:szCs w:val="18"/>
          <w:lang w:val="en-GB" w:eastAsia="en-GB"/>
        </w:rPr>
        <w:t xml:space="preserve">Health </w:t>
      </w:r>
      <w:r w:rsidR="00A424AC">
        <w:rPr>
          <w:rFonts w:eastAsia="Times New Roman" w:cs="Segoe UI"/>
          <w:color w:val="auto"/>
          <w:szCs w:val="18"/>
          <w:lang w:val="en-GB" w:eastAsia="en-GB"/>
        </w:rPr>
        <w:t xml:space="preserve">and </w:t>
      </w:r>
      <w:r w:rsidR="00A424AC" w:rsidRPr="00A424AC">
        <w:rPr>
          <w:rFonts w:eastAsia="Times New Roman" w:cs="Segoe UI"/>
          <w:color w:val="auto"/>
          <w:szCs w:val="18"/>
          <w:lang w:val="en-GB" w:eastAsia="en-GB"/>
        </w:rPr>
        <w:t>Dis</w:t>
      </w:r>
      <w:r w:rsidR="00A424AC">
        <w:rPr>
          <w:rFonts w:eastAsia="Times New Roman" w:cs="Segoe UI"/>
          <w:color w:val="auto"/>
          <w:szCs w:val="18"/>
          <w:lang w:val="en-GB" w:eastAsia="en-GB"/>
        </w:rPr>
        <w:t>ease</w:t>
      </w:r>
      <w:r w:rsidR="00A424AC" w:rsidRPr="00A424AC">
        <w:rPr>
          <w:rFonts w:eastAsia="Times New Roman" w:cs="Segoe UI"/>
          <w:color w:val="auto"/>
          <w:szCs w:val="18"/>
          <w:lang w:val="en-GB" w:eastAsia="en-GB"/>
        </w:rPr>
        <w:t xml:space="preserve"> 2016</w:t>
      </w:r>
      <w:r w:rsidR="00A424AC">
        <w:rPr>
          <w:rFonts w:eastAsia="Times New Roman" w:cs="Segoe UI"/>
          <w:color w:val="auto"/>
          <w:szCs w:val="18"/>
          <w:lang w:val="en-GB" w:eastAsia="en-GB"/>
        </w:rPr>
        <w:t xml:space="preserve">, </w:t>
      </w:r>
      <w:r w:rsidR="00A424AC" w:rsidRPr="00A424AC">
        <w:rPr>
          <w:rFonts w:eastAsia="Times New Roman" w:cs="Segoe UI"/>
          <w:color w:val="auto"/>
          <w:szCs w:val="18"/>
          <w:lang w:val="en-GB" w:eastAsia="en-GB"/>
        </w:rPr>
        <w:t>15</w:t>
      </w:r>
      <w:r w:rsidR="00A424AC">
        <w:rPr>
          <w:rFonts w:eastAsia="Times New Roman" w:cs="Segoe UI"/>
          <w:color w:val="auto"/>
          <w:szCs w:val="18"/>
          <w:lang w:val="en-GB" w:eastAsia="en-GB"/>
        </w:rPr>
        <w:t xml:space="preserve">, </w:t>
      </w:r>
      <w:r w:rsidR="00A424AC" w:rsidRPr="00A424AC">
        <w:rPr>
          <w:rFonts w:eastAsia="Times New Roman" w:cs="Segoe UI"/>
          <w:color w:val="auto"/>
          <w:szCs w:val="18"/>
          <w:lang w:val="en-GB" w:eastAsia="en-GB"/>
        </w:rPr>
        <w:t>133.</w:t>
      </w:r>
    </w:p>
    <w:p w14:paraId="509F5837" w14:textId="3E6E1C13" w:rsidR="00B07DBC" w:rsidRDefault="00473DB2" w:rsidP="00B07DBC">
      <w:pPr>
        <w:pStyle w:val="MDPI63Notes"/>
        <w:spacing w:before="0"/>
        <w:ind w:left="510" w:hanging="510"/>
        <w:rPr>
          <w:rFonts w:eastAsia="Times New Roman" w:cs="Segoe UI"/>
          <w:color w:val="auto"/>
          <w:szCs w:val="18"/>
          <w:lang w:val="en-GB" w:eastAsia="en-GB"/>
        </w:rPr>
      </w:pPr>
      <w:r>
        <w:rPr>
          <w:rFonts w:eastAsia="Times New Roman"/>
          <w:snapToGrid/>
          <w:lang w:eastAsia="de-DE"/>
        </w:rPr>
        <w:t>115</w:t>
      </w:r>
      <w:r w:rsidR="00B07DBC">
        <w:rPr>
          <w:rFonts w:eastAsia="Times New Roman"/>
          <w:snapToGrid/>
          <w:lang w:eastAsia="de-DE"/>
        </w:rPr>
        <w:t>.</w:t>
      </w:r>
      <w:r w:rsidR="00B07DBC">
        <w:rPr>
          <w:rFonts w:eastAsia="Times New Roman" w:cs="Segoe UI"/>
          <w:color w:val="auto"/>
          <w:szCs w:val="18"/>
          <w:lang w:val="en-GB" w:eastAsia="en-GB"/>
        </w:rPr>
        <w:tab/>
      </w:r>
      <w:r w:rsidR="00B07DBC" w:rsidRPr="00B07DBC">
        <w:rPr>
          <w:rFonts w:eastAsia="Times New Roman" w:cs="Segoe UI"/>
          <w:color w:val="auto"/>
          <w:szCs w:val="18"/>
          <w:lang w:val="en-GB" w:eastAsia="en-GB"/>
        </w:rPr>
        <w:t>O'Mahoney</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L</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L</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Matu</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J</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Price</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O</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J</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Birch</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K</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Ajjan</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R</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A</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Farrar</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D</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Tapp</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R</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West</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D</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J</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Deighton</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K</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Campbell</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D.</w:t>
      </w:r>
      <w:r w:rsidR="00B07DBC">
        <w:rPr>
          <w:rFonts w:eastAsia="Times New Roman" w:cs="Segoe UI"/>
          <w:color w:val="auto"/>
          <w:szCs w:val="18"/>
          <w:lang w:val="en-GB" w:eastAsia="en-GB"/>
        </w:rPr>
        <w:t xml:space="preserve"> </w:t>
      </w:r>
      <w:hyperlink r:id="rId13" w:history="1">
        <w:r w:rsidR="00B07DBC" w:rsidRPr="00B07DBC">
          <w:rPr>
            <w:rFonts w:eastAsia="Times New Roman" w:cs="Segoe UI"/>
            <w:color w:val="auto"/>
            <w:szCs w:val="18"/>
            <w:shd w:val="clear" w:color="auto" w:fill="FFFFFF"/>
            <w:lang w:val="en-GB" w:eastAsia="en-GB"/>
          </w:rPr>
          <w:t>Omega-3 polyunsaturated fatty acids favourably modulate cardiometabolic biomarkers in type 2 diabetes: a meta-analysis and meta-regression of randomized controlled trials.</w:t>
        </w:r>
      </w:hyperlink>
      <w:r w:rsidR="00B07DBC">
        <w:rPr>
          <w:rFonts w:eastAsia="Times New Roman"/>
          <w:color w:val="auto"/>
          <w:szCs w:val="18"/>
          <w:lang w:val="en-GB" w:eastAsia="en-GB"/>
        </w:rPr>
        <w:t xml:space="preserve"> </w:t>
      </w:r>
      <w:r w:rsidR="00B07DBC" w:rsidRPr="00B07DBC">
        <w:rPr>
          <w:rFonts w:eastAsia="Times New Roman" w:cs="Segoe UI"/>
          <w:color w:val="auto"/>
          <w:szCs w:val="18"/>
          <w:lang w:val="en-GB" w:eastAsia="en-GB"/>
        </w:rPr>
        <w:t>Cardiovasc</w:t>
      </w:r>
      <w:r w:rsidR="00B07DBC">
        <w:rPr>
          <w:rFonts w:eastAsia="Times New Roman" w:cs="Segoe UI"/>
          <w:color w:val="auto"/>
          <w:szCs w:val="18"/>
          <w:lang w:val="en-GB" w:eastAsia="en-GB"/>
        </w:rPr>
        <w:t>ular</w:t>
      </w:r>
      <w:r w:rsidR="00B07DBC" w:rsidRPr="00B07DBC">
        <w:rPr>
          <w:rFonts w:eastAsia="Times New Roman" w:cs="Segoe UI"/>
          <w:color w:val="auto"/>
          <w:szCs w:val="18"/>
          <w:lang w:val="en-GB" w:eastAsia="en-GB"/>
        </w:rPr>
        <w:t xml:space="preserve"> Diabetol</w:t>
      </w:r>
      <w:r w:rsidR="00B07DBC">
        <w:rPr>
          <w:rFonts w:eastAsia="Times New Roman" w:cs="Segoe UI"/>
          <w:color w:val="auto"/>
          <w:szCs w:val="18"/>
          <w:lang w:val="en-GB" w:eastAsia="en-GB"/>
        </w:rPr>
        <w:t>ogy</w:t>
      </w:r>
      <w:r w:rsidR="00B07DBC" w:rsidRPr="00B07DBC">
        <w:rPr>
          <w:rFonts w:eastAsia="Times New Roman" w:cs="Segoe UI"/>
          <w:color w:val="auto"/>
          <w:szCs w:val="18"/>
          <w:lang w:val="en-GB" w:eastAsia="en-GB"/>
        </w:rPr>
        <w:t xml:space="preserve"> 2018</w:t>
      </w:r>
      <w:r w:rsidR="00B07DBC">
        <w:rPr>
          <w:rFonts w:eastAsia="Times New Roman" w:cs="Segoe UI"/>
          <w:color w:val="auto"/>
          <w:szCs w:val="18"/>
          <w:lang w:val="en-GB" w:eastAsia="en-GB"/>
        </w:rPr>
        <w:t xml:space="preserve">, </w:t>
      </w:r>
      <w:r w:rsidR="00B07DBC" w:rsidRPr="00B07DBC">
        <w:rPr>
          <w:rFonts w:eastAsia="Times New Roman" w:cs="Segoe UI"/>
          <w:color w:val="auto"/>
          <w:szCs w:val="18"/>
          <w:lang w:val="en-GB" w:eastAsia="en-GB"/>
        </w:rPr>
        <w:t>17</w:t>
      </w:r>
      <w:r w:rsidR="00B07DBC">
        <w:rPr>
          <w:rFonts w:eastAsia="Times New Roman" w:cs="Segoe UI"/>
          <w:color w:val="auto"/>
          <w:szCs w:val="18"/>
          <w:lang w:val="en-GB" w:eastAsia="en-GB"/>
        </w:rPr>
        <w:t xml:space="preserve">, </w:t>
      </w:r>
      <w:r w:rsidR="00B07DBC" w:rsidRPr="00B07DBC">
        <w:rPr>
          <w:rFonts w:eastAsia="Times New Roman" w:cs="Segoe UI"/>
          <w:color w:val="auto"/>
          <w:szCs w:val="18"/>
          <w:lang w:val="en-GB" w:eastAsia="en-GB"/>
        </w:rPr>
        <w:t>98</w:t>
      </w:r>
      <w:r w:rsidR="00B07DBC">
        <w:rPr>
          <w:rFonts w:eastAsia="Times New Roman" w:cs="Segoe UI"/>
          <w:color w:val="auto"/>
          <w:szCs w:val="18"/>
          <w:lang w:val="en-GB" w:eastAsia="en-GB"/>
        </w:rPr>
        <w:t>.</w:t>
      </w:r>
    </w:p>
    <w:p w14:paraId="642AAAE5" w14:textId="2137CC50" w:rsidR="00B07DBC" w:rsidRDefault="00473DB2" w:rsidP="00B07DBC">
      <w:pPr>
        <w:pStyle w:val="MDPI63Notes"/>
        <w:spacing w:before="0"/>
        <w:ind w:left="510" w:hanging="510"/>
        <w:rPr>
          <w:rFonts w:eastAsia="Times New Roman" w:cs="Segoe UI"/>
          <w:color w:val="auto"/>
          <w:szCs w:val="18"/>
          <w:lang w:val="en-GB" w:eastAsia="en-GB"/>
        </w:rPr>
      </w:pPr>
      <w:r>
        <w:rPr>
          <w:rFonts w:eastAsia="Times New Roman"/>
          <w:snapToGrid/>
          <w:lang w:eastAsia="de-DE"/>
        </w:rPr>
        <w:t>116</w:t>
      </w:r>
      <w:r w:rsidR="00B07DBC">
        <w:rPr>
          <w:rFonts w:eastAsia="Times New Roman"/>
          <w:snapToGrid/>
          <w:lang w:eastAsia="de-DE"/>
        </w:rPr>
        <w:t>.</w:t>
      </w:r>
      <w:r w:rsidR="00B07DBC">
        <w:rPr>
          <w:rFonts w:eastAsia="Times New Roman" w:cs="Segoe UI"/>
          <w:color w:val="auto"/>
          <w:szCs w:val="18"/>
          <w:lang w:val="en-GB" w:eastAsia="en-GB"/>
        </w:rPr>
        <w:tab/>
      </w:r>
      <w:r w:rsidR="00B07DBC" w:rsidRPr="00B07DBC">
        <w:rPr>
          <w:rFonts w:eastAsia="Times New Roman" w:cs="Segoe UI"/>
          <w:color w:val="auto"/>
          <w:szCs w:val="18"/>
          <w:lang w:val="en-GB" w:eastAsia="en-GB"/>
        </w:rPr>
        <w:t>Sedighiyan</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Djafarian</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K</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Dabiri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S</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Abdolahi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Shab-Bidar</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S.</w:t>
      </w:r>
      <w:r w:rsidR="00B07DBC">
        <w:rPr>
          <w:rFonts w:eastAsia="Times New Roman" w:cs="Segoe UI"/>
          <w:color w:val="auto"/>
          <w:szCs w:val="18"/>
          <w:lang w:val="en-GB" w:eastAsia="en-GB"/>
        </w:rPr>
        <w:t xml:space="preserve"> </w:t>
      </w:r>
      <w:hyperlink r:id="rId14" w:history="1">
        <w:r w:rsidR="00B07DBC" w:rsidRPr="00B07DBC">
          <w:rPr>
            <w:rFonts w:eastAsia="Times New Roman" w:cs="Segoe UI"/>
            <w:color w:val="auto"/>
            <w:szCs w:val="18"/>
            <w:shd w:val="clear" w:color="auto" w:fill="FFFFFF"/>
            <w:lang w:val="en-GB" w:eastAsia="en-GB"/>
          </w:rPr>
          <w:t>The effects of omega-3 supplementation on the expanded disability status scale and inflammatory cytokines in multiple sclerosis patients: A systematic review and meta-analysis.</w:t>
        </w:r>
      </w:hyperlink>
      <w:r w:rsidR="00B07DBC">
        <w:rPr>
          <w:rFonts w:eastAsia="Times New Roman"/>
          <w:color w:val="auto"/>
          <w:szCs w:val="18"/>
          <w:lang w:val="en-GB" w:eastAsia="en-GB"/>
        </w:rPr>
        <w:t xml:space="preserve"> </w:t>
      </w:r>
      <w:r w:rsidR="00B07DBC" w:rsidRPr="00B07DBC">
        <w:rPr>
          <w:rFonts w:eastAsia="Times New Roman" w:cs="Segoe UI"/>
          <w:color w:val="auto"/>
          <w:szCs w:val="18"/>
          <w:lang w:val="en-GB" w:eastAsia="en-GB"/>
        </w:rPr>
        <w:t xml:space="preserve">CNS </w:t>
      </w:r>
      <w:r w:rsidR="00B07DBC">
        <w:rPr>
          <w:rFonts w:eastAsia="Times New Roman" w:cs="Segoe UI"/>
          <w:color w:val="auto"/>
          <w:szCs w:val="18"/>
          <w:lang w:val="en-GB" w:eastAsia="en-GB"/>
        </w:rPr>
        <w:t xml:space="preserve">and </w:t>
      </w:r>
      <w:r w:rsidR="00B07DBC" w:rsidRPr="00B07DBC">
        <w:rPr>
          <w:rFonts w:eastAsia="Times New Roman" w:cs="Segoe UI"/>
          <w:color w:val="auto"/>
          <w:szCs w:val="18"/>
          <w:lang w:val="en-GB" w:eastAsia="en-GB"/>
        </w:rPr>
        <w:t>Neurol</w:t>
      </w:r>
      <w:r w:rsidR="00B07DBC">
        <w:rPr>
          <w:rFonts w:eastAsia="Times New Roman" w:cs="Segoe UI"/>
          <w:color w:val="auto"/>
          <w:szCs w:val="18"/>
          <w:lang w:val="en-GB" w:eastAsia="en-GB"/>
        </w:rPr>
        <w:t>ogical</w:t>
      </w:r>
      <w:r w:rsidR="00B07DBC" w:rsidRPr="00B07DBC">
        <w:rPr>
          <w:rFonts w:eastAsia="Times New Roman" w:cs="Segoe UI"/>
          <w:color w:val="auto"/>
          <w:szCs w:val="18"/>
          <w:lang w:val="en-GB" w:eastAsia="en-GB"/>
        </w:rPr>
        <w:t xml:space="preserve"> Disord</w:t>
      </w:r>
      <w:r w:rsidR="00B07DBC">
        <w:rPr>
          <w:rFonts w:eastAsia="Times New Roman" w:cs="Segoe UI"/>
          <w:color w:val="auto"/>
          <w:szCs w:val="18"/>
          <w:lang w:val="en-GB" w:eastAsia="en-GB"/>
        </w:rPr>
        <w:t>ers -</w:t>
      </w:r>
      <w:r w:rsidR="00B07DBC" w:rsidRPr="00B07DBC">
        <w:rPr>
          <w:rFonts w:eastAsia="Times New Roman" w:cs="Segoe UI"/>
          <w:color w:val="auto"/>
          <w:szCs w:val="18"/>
          <w:lang w:val="en-GB" w:eastAsia="en-GB"/>
        </w:rPr>
        <w:t xml:space="preserve"> Drug Targets 2019</w:t>
      </w:r>
      <w:r w:rsidR="00B07DBC">
        <w:rPr>
          <w:rFonts w:eastAsia="Times New Roman" w:cs="Segoe UI"/>
          <w:color w:val="auto"/>
          <w:szCs w:val="18"/>
          <w:lang w:val="en-GB" w:eastAsia="en-GB"/>
        </w:rPr>
        <w:t xml:space="preserve">, </w:t>
      </w:r>
      <w:r w:rsidR="00B07DBC" w:rsidRPr="00B07DBC">
        <w:rPr>
          <w:rFonts w:eastAsia="Times New Roman" w:cs="Segoe UI"/>
          <w:color w:val="auto"/>
          <w:szCs w:val="18"/>
          <w:lang w:val="en-GB" w:eastAsia="en-GB"/>
        </w:rPr>
        <w:t>18</w:t>
      </w:r>
      <w:r w:rsidR="00B07DBC">
        <w:rPr>
          <w:rFonts w:eastAsia="Times New Roman" w:cs="Segoe UI"/>
          <w:color w:val="auto"/>
          <w:szCs w:val="18"/>
          <w:lang w:val="en-GB" w:eastAsia="en-GB"/>
        </w:rPr>
        <w:t xml:space="preserve">, </w:t>
      </w:r>
      <w:r w:rsidR="00B07DBC" w:rsidRPr="00B07DBC">
        <w:rPr>
          <w:rFonts w:eastAsia="Times New Roman" w:cs="Segoe UI"/>
          <w:color w:val="auto"/>
          <w:szCs w:val="18"/>
          <w:lang w:val="en-GB" w:eastAsia="en-GB"/>
        </w:rPr>
        <w:t>523-529.</w:t>
      </w:r>
    </w:p>
    <w:p w14:paraId="09A98F70" w14:textId="74A5D082" w:rsidR="00B07DBC" w:rsidRDefault="00473DB2" w:rsidP="00B07DBC">
      <w:pPr>
        <w:pStyle w:val="MDPI63Notes"/>
        <w:spacing w:before="0"/>
        <w:ind w:left="510" w:hanging="510"/>
        <w:rPr>
          <w:rFonts w:eastAsia="Times New Roman" w:cs="Segoe UI"/>
          <w:color w:val="auto"/>
          <w:szCs w:val="18"/>
          <w:lang w:val="en-GB" w:eastAsia="en-GB"/>
        </w:rPr>
      </w:pPr>
      <w:r>
        <w:rPr>
          <w:rFonts w:eastAsia="Times New Roman"/>
          <w:snapToGrid/>
          <w:lang w:eastAsia="de-DE"/>
        </w:rPr>
        <w:t>117</w:t>
      </w:r>
      <w:r w:rsidR="00B07DBC">
        <w:rPr>
          <w:rFonts w:eastAsia="Times New Roman"/>
          <w:snapToGrid/>
          <w:lang w:eastAsia="de-DE"/>
        </w:rPr>
        <w:t>.</w:t>
      </w:r>
      <w:r w:rsidR="00B07DBC">
        <w:rPr>
          <w:rFonts w:eastAsia="Times New Roman" w:cs="Segoe UI"/>
          <w:color w:val="auto"/>
          <w:szCs w:val="18"/>
          <w:lang w:val="en-GB" w:eastAsia="en-GB"/>
        </w:rPr>
        <w:tab/>
      </w:r>
      <w:r w:rsidR="00B07DBC" w:rsidRPr="00B07DBC">
        <w:rPr>
          <w:rFonts w:eastAsia="Times New Roman" w:cs="Segoe UI"/>
          <w:color w:val="auto"/>
          <w:szCs w:val="18"/>
          <w:lang w:val="en-GB" w:eastAsia="en-GB"/>
        </w:rPr>
        <w:t>Guo</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X</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F</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Li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K</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L</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Li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J</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Li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D.</w:t>
      </w:r>
      <w:r w:rsidR="00B07DBC">
        <w:rPr>
          <w:rFonts w:eastAsia="Times New Roman" w:cs="Segoe UI"/>
          <w:color w:val="auto"/>
          <w:szCs w:val="18"/>
          <w:lang w:val="en-GB" w:eastAsia="en-GB"/>
        </w:rPr>
        <w:t xml:space="preserve"> </w:t>
      </w:r>
      <w:hyperlink r:id="rId15" w:history="1">
        <w:r w:rsidR="00B07DBC" w:rsidRPr="00B07DBC">
          <w:rPr>
            <w:rFonts w:eastAsia="Times New Roman" w:cs="Segoe UI"/>
            <w:color w:val="auto"/>
            <w:szCs w:val="18"/>
            <w:shd w:val="clear" w:color="auto" w:fill="FFFFFF"/>
            <w:lang w:val="en-GB" w:eastAsia="en-GB"/>
          </w:rPr>
          <w:t>Effects of EPA and DHA on blood pressure and inflammatory factors: a meta-analysis of randomized controlled trials.</w:t>
        </w:r>
      </w:hyperlink>
      <w:r w:rsidR="00B07DBC">
        <w:rPr>
          <w:rFonts w:eastAsia="Times New Roman"/>
          <w:color w:val="auto"/>
          <w:szCs w:val="18"/>
          <w:lang w:val="en-GB" w:eastAsia="en-GB"/>
        </w:rPr>
        <w:t xml:space="preserve"> </w:t>
      </w:r>
      <w:r w:rsidR="00B07DBC" w:rsidRPr="00B07DBC">
        <w:rPr>
          <w:rFonts w:eastAsia="Times New Roman" w:cs="Segoe UI"/>
          <w:color w:val="auto"/>
          <w:szCs w:val="18"/>
          <w:lang w:val="en-GB" w:eastAsia="en-GB"/>
        </w:rPr>
        <w:t>Crit</w:t>
      </w:r>
      <w:r w:rsidR="00B07DBC">
        <w:rPr>
          <w:rFonts w:eastAsia="Times New Roman" w:cs="Segoe UI"/>
          <w:color w:val="auto"/>
          <w:szCs w:val="18"/>
          <w:lang w:val="en-GB" w:eastAsia="en-GB"/>
        </w:rPr>
        <w:t>ical</w:t>
      </w:r>
      <w:r w:rsidR="00B07DBC" w:rsidRPr="00B07DBC">
        <w:rPr>
          <w:rFonts w:eastAsia="Times New Roman" w:cs="Segoe UI"/>
          <w:color w:val="auto"/>
          <w:szCs w:val="18"/>
          <w:lang w:val="en-GB" w:eastAsia="en-GB"/>
        </w:rPr>
        <w:t xml:space="preserve"> Rev</w:t>
      </w:r>
      <w:r w:rsidR="00B07DBC">
        <w:rPr>
          <w:rFonts w:eastAsia="Times New Roman" w:cs="Segoe UI"/>
          <w:color w:val="auto"/>
          <w:szCs w:val="18"/>
          <w:lang w:val="en-GB" w:eastAsia="en-GB"/>
        </w:rPr>
        <w:t>iews in</w:t>
      </w:r>
      <w:r w:rsidR="00B07DBC" w:rsidRPr="00B07DBC">
        <w:rPr>
          <w:rFonts w:eastAsia="Times New Roman" w:cs="Segoe UI"/>
          <w:color w:val="auto"/>
          <w:szCs w:val="18"/>
          <w:lang w:val="en-GB" w:eastAsia="en-GB"/>
        </w:rPr>
        <w:t xml:space="preserve"> Food Sci</w:t>
      </w:r>
      <w:r w:rsidR="00B07DBC">
        <w:rPr>
          <w:rFonts w:eastAsia="Times New Roman" w:cs="Segoe UI"/>
          <w:color w:val="auto"/>
          <w:szCs w:val="18"/>
          <w:lang w:val="en-GB" w:eastAsia="en-GB"/>
        </w:rPr>
        <w:t>ence and</w:t>
      </w:r>
      <w:r w:rsidR="00B07DBC" w:rsidRPr="00B07DBC">
        <w:rPr>
          <w:rFonts w:eastAsia="Times New Roman" w:cs="Segoe UI"/>
          <w:color w:val="auto"/>
          <w:szCs w:val="18"/>
          <w:lang w:val="en-GB" w:eastAsia="en-GB"/>
        </w:rPr>
        <w:t xml:space="preserve"> Nutr</w:t>
      </w:r>
      <w:r w:rsidR="00B07DBC">
        <w:rPr>
          <w:rFonts w:eastAsia="Times New Roman" w:cs="Segoe UI"/>
          <w:color w:val="auto"/>
          <w:szCs w:val="18"/>
          <w:lang w:val="en-GB" w:eastAsia="en-GB"/>
        </w:rPr>
        <w:t>ition</w:t>
      </w:r>
      <w:r w:rsidR="00B07DBC" w:rsidRPr="00B07DBC">
        <w:rPr>
          <w:rFonts w:eastAsia="Times New Roman" w:cs="Segoe UI"/>
          <w:color w:val="auto"/>
          <w:szCs w:val="18"/>
          <w:lang w:val="en-GB" w:eastAsia="en-GB"/>
        </w:rPr>
        <w:t xml:space="preserve"> 201</w:t>
      </w:r>
      <w:r w:rsidR="00B07DBC">
        <w:rPr>
          <w:rFonts w:eastAsia="Times New Roman" w:cs="Segoe UI"/>
          <w:color w:val="auto"/>
          <w:szCs w:val="18"/>
          <w:lang w:val="en-GB" w:eastAsia="en-GB"/>
        </w:rPr>
        <w:t xml:space="preserve">9, </w:t>
      </w:r>
      <w:r w:rsidR="00B07DBC" w:rsidRPr="00B07DBC">
        <w:rPr>
          <w:rFonts w:eastAsia="Times New Roman" w:cs="Segoe UI"/>
          <w:color w:val="auto"/>
          <w:szCs w:val="18"/>
          <w:lang w:val="en-GB" w:eastAsia="en-GB"/>
        </w:rPr>
        <w:t>59</w:t>
      </w:r>
      <w:r w:rsidR="00B07DBC">
        <w:rPr>
          <w:rFonts w:eastAsia="Times New Roman" w:cs="Segoe UI"/>
          <w:color w:val="auto"/>
          <w:szCs w:val="18"/>
          <w:lang w:val="en-GB" w:eastAsia="en-GB"/>
        </w:rPr>
        <w:t xml:space="preserve">, </w:t>
      </w:r>
      <w:r w:rsidR="00B07DBC" w:rsidRPr="00B07DBC">
        <w:rPr>
          <w:rFonts w:eastAsia="Times New Roman" w:cs="Segoe UI"/>
          <w:color w:val="auto"/>
          <w:szCs w:val="18"/>
          <w:lang w:val="en-GB" w:eastAsia="en-GB"/>
        </w:rPr>
        <w:t>3380-3393.</w:t>
      </w:r>
    </w:p>
    <w:p w14:paraId="1B271D4B" w14:textId="183CF4F4" w:rsidR="00B07DBC" w:rsidRDefault="00473DB2" w:rsidP="00B07DBC">
      <w:pPr>
        <w:pStyle w:val="MDPI63Notes"/>
        <w:spacing w:before="0"/>
        <w:ind w:left="510" w:hanging="510"/>
        <w:rPr>
          <w:rFonts w:cs="URWPalladioL-Roma"/>
          <w:color w:val="auto"/>
          <w:szCs w:val="18"/>
          <w:lang w:val="en-GB"/>
        </w:rPr>
      </w:pPr>
      <w:r>
        <w:rPr>
          <w:rFonts w:eastAsia="Times New Roman"/>
          <w:snapToGrid/>
          <w:lang w:eastAsia="de-DE"/>
        </w:rPr>
        <w:t>118</w:t>
      </w:r>
      <w:r w:rsidR="00B07DBC">
        <w:rPr>
          <w:rFonts w:eastAsia="Times New Roman"/>
          <w:snapToGrid/>
          <w:lang w:eastAsia="de-DE"/>
        </w:rPr>
        <w:t>.</w:t>
      </w:r>
      <w:r w:rsidR="00B07DBC">
        <w:rPr>
          <w:rFonts w:cs="URWPalladioL-Roma"/>
          <w:color w:val="auto"/>
          <w:szCs w:val="18"/>
          <w:lang w:val="en-GB"/>
        </w:rPr>
        <w:tab/>
      </w:r>
      <w:r w:rsidR="00B07DBC" w:rsidRPr="00B07DBC">
        <w:rPr>
          <w:rFonts w:cs="URWPalladioL-Roma"/>
          <w:color w:val="auto"/>
          <w:szCs w:val="18"/>
          <w:lang w:val="en-GB"/>
        </w:rPr>
        <w:t>Hu, Y.; Hu, F.B.; Manson, J.E. Marine omega-3 supplementation and cardiovascular disease: An updated</w:t>
      </w:r>
      <w:r w:rsidR="00B07DBC">
        <w:rPr>
          <w:rFonts w:cs="URWPalladioL-Roma"/>
          <w:color w:val="auto"/>
          <w:szCs w:val="18"/>
          <w:lang w:val="en-GB"/>
        </w:rPr>
        <w:t xml:space="preserve"> </w:t>
      </w:r>
      <w:r w:rsidR="00B07DBC" w:rsidRPr="00B07DBC">
        <w:rPr>
          <w:rFonts w:cs="URWPalladioL-Roma"/>
          <w:color w:val="auto"/>
          <w:szCs w:val="18"/>
          <w:lang w:val="en-GB"/>
        </w:rPr>
        <w:t xml:space="preserve">meta-analysis of 13 randomized controlled trials involving 127,477 participants. </w:t>
      </w:r>
      <w:r w:rsidR="00B07DBC" w:rsidRPr="00B07DBC">
        <w:rPr>
          <w:rFonts w:cs="URWPalladioL-Ital"/>
          <w:color w:val="auto"/>
          <w:szCs w:val="18"/>
          <w:lang w:val="en-GB"/>
        </w:rPr>
        <w:t>J</w:t>
      </w:r>
      <w:r w:rsidR="00B07DBC">
        <w:rPr>
          <w:rFonts w:cs="URWPalladioL-Ital"/>
          <w:color w:val="auto"/>
          <w:szCs w:val="18"/>
          <w:lang w:val="en-GB"/>
        </w:rPr>
        <w:t>ournal of the</w:t>
      </w:r>
      <w:r w:rsidR="00B07DBC" w:rsidRPr="00B07DBC">
        <w:rPr>
          <w:rFonts w:cs="URWPalladioL-Ital"/>
          <w:color w:val="auto"/>
          <w:szCs w:val="18"/>
          <w:lang w:val="en-GB"/>
        </w:rPr>
        <w:t xml:space="preserve"> Am</w:t>
      </w:r>
      <w:r w:rsidR="00B07DBC">
        <w:rPr>
          <w:rFonts w:cs="URWPalladioL-Ital"/>
          <w:color w:val="auto"/>
          <w:szCs w:val="18"/>
          <w:lang w:val="en-GB"/>
        </w:rPr>
        <w:t>erican</w:t>
      </w:r>
      <w:r w:rsidR="00B07DBC" w:rsidRPr="00B07DBC">
        <w:rPr>
          <w:rFonts w:cs="URWPalladioL-Ital"/>
          <w:color w:val="auto"/>
          <w:szCs w:val="18"/>
          <w:lang w:val="en-GB"/>
        </w:rPr>
        <w:t xml:space="preserve"> Heart Assoc</w:t>
      </w:r>
      <w:r w:rsidR="00B07DBC">
        <w:rPr>
          <w:rFonts w:cs="URWPalladioL-Ital"/>
          <w:color w:val="auto"/>
          <w:szCs w:val="18"/>
          <w:lang w:val="en-GB"/>
        </w:rPr>
        <w:t>iation</w:t>
      </w:r>
      <w:r w:rsidR="00B07DBC" w:rsidRPr="00B07DBC">
        <w:rPr>
          <w:rFonts w:cs="URWPalladioL-Ital"/>
          <w:color w:val="auto"/>
          <w:szCs w:val="18"/>
          <w:lang w:val="en-GB"/>
        </w:rPr>
        <w:t xml:space="preserve"> </w:t>
      </w:r>
      <w:r w:rsidR="00B07DBC" w:rsidRPr="00B07DBC">
        <w:rPr>
          <w:rFonts w:cs="URWPalladioL-Bold"/>
          <w:color w:val="auto"/>
          <w:szCs w:val="18"/>
          <w:lang w:val="en-GB"/>
        </w:rPr>
        <w:t>2019</w:t>
      </w:r>
      <w:r w:rsidR="00B07DBC" w:rsidRPr="00B07DBC">
        <w:rPr>
          <w:rFonts w:cs="URWPalladioL-Roma"/>
          <w:color w:val="auto"/>
          <w:szCs w:val="18"/>
          <w:lang w:val="en-GB"/>
        </w:rPr>
        <w:t xml:space="preserve">, </w:t>
      </w:r>
      <w:r w:rsidR="00B07DBC" w:rsidRPr="00B07DBC">
        <w:rPr>
          <w:rFonts w:cs="URWPalladioL-Ital"/>
          <w:color w:val="auto"/>
          <w:szCs w:val="18"/>
          <w:lang w:val="en-GB"/>
        </w:rPr>
        <w:t>8</w:t>
      </w:r>
      <w:r w:rsidR="00B07DBC" w:rsidRPr="00B07DBC">
        <w:rPr>
          <w:rFonts w:cs="URWPalladioL-Roma"/>
          <w:color w:val="auto"/>
          <w:szCs w:val="18"/>
          <w:lang w:val="en-GB"/>
        </w:rPr>
        <w:t>,</w:t>
      </w:r>
      <w:r w:rsidR="00B07DBC">
        <w:rPr>
          <w:rFonts w:eastAsia="Times New Roman" w:cs="Segoe UI"/>
          <w:color w:val="auto"/>
          <w:szCs w:val="18"/>
          <w:lang w:val="en-GB" w:eastAsia="en-GB"/>
        </w:rPr>
        <w:t xml:space="preserve"> </w:t>
      </w:r>
      <w:r w:rsidR="00B07DBC" w:rsidRPr="00B07DBC">
        <w:rPr>
          <w:rFonts w:cs="URWPalladioL-Roma"/>
          <w:color w:val="auto"/>
          <w:szCs w:val="18"/>
          <w:lang w:val="en-GB"/>
        </w:rPr>
        <w:t>e013543.</w:t>
      </w:r>
    </w:p>
    <w:p w14:paraId="5C3FE83A" w14:textId="758DF381" w:rsidR="00B07DBC" w:rsidRPr="00B07DBC" w:rsidRDefault="00473DB2" w:rsidP="00B07DBC">
      <w:pPr>
        <w:pStyle w:val="MDPI63Notes"/>
        <w:spacing w:before="0"/>
        <w:ind w:left="510" w:hanging="510"/>
        <w:rPr>
          <w:rFonts w:eastAsia="Times New Roman" w:cs="Segoe UI"/>
          <w:color w:val="auto"/>
          <w:szCs w:val="18"/>
          <w:lang w:val="en-GB" w:eastAsia="en-GB"/>
        </w:rPr>
      </w:pPr>
      <w:r>
        <w:rPr>
          <w:rFonts w:eastAsia="Times New Roman"/>
          <w:snapToGrid/>
          <w:lang w:eastAsia="de-DE"/>
        </w:rPr>
        <w:t>119</w:t>
      </w:r>
      <w:r w:rsidR="00B07DBC">
        <w:rPr>
          <w:rFonts w:eastAsia="Times New Roman"/>
          <w:snapToGrid/>
          <w:lang w:eastAsia="de-DE"/>
        </w:rPr>
        <w:t>.</w:t>
      </w:r>
      <w:r w:rsidR="00B07DBC">
        <w:rPr>
          <w:rFonts w:eastAsia="Times New Roman"/>
          <w:color w:val="auto"/>
          <w:szCs w:val="18"/>
          <w:lang w:val="en-GB" w:eastAsia="en-GB"/>
        </w:rPr>
        <w:tab/>
      </w:r>
      <w:hyperlink r:id="rId16" w:history="1">
        <w:r w:rsidR="00B07DBC" w:rsidRPr="00B07DBC">
          <w:rPr>
            <w:rFonts w:eastAsia="Times New Roman" w:cs="Segoe UI"/>
            <w:color w:val="auto"/>
            <w:szCs w:val="18"/>
            <w:lang w:val="en-GB" w:eastAsia="en-GB"/>
          </w:rPr>
          <w:t>Bernasconi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A</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A</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Wiest</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M</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Lavie</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C</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J</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Milani</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R</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V</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Laukkanen</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J</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A.</w:t>
        </w:r>
        <w:r w:rsidR="00B07DBC">
          <w:rPr>
            <w:rFonts w:eastAsia="Times New Roman" w:cs="Segoe UI"/>
            <w:color w:val="auto"/>
            <w:szCs w:val="18"/>
            <w:lang w:val="en-GB" w:eastAsia="en-GB"/>
          </w:rPr>
          <w:t xml:space="preserve"> </w:t>
        </w:r>
        <w:r w:rsidR="00B07DBC" w:rsidRPr="00B07DBC">
          <w:rPr>
            <w:rFonts w:eastAsia="Times New Roman" w:cs="Segoe UI"/>
            <w:color w:val="auto"/>
            <w:szCs w:val="18"/>
            <w:shd w:val="clear" w:color="auto" w:fill="FFFFFF"/>
            <w:lang w:val="en-GB" w:eastAsia="en-GB"/>
          </w:rPr>
          <w:t>Effect of omega-3 dosage on cardiovascular outcomes: an updated meta-analysis and meta-regression of interventional trials.</w:t>
        </w:r>
      </w:hyperlink>
      <w:r w:rsidR="00B07DBC">
        <w:rPr>
          <w:rFonts w:eastAsia="Times New Roman"/>
          <w:color w:val="auto"/>
          <w:szCs w:val="18"/>
          <w:lang w:val="en-GB" w:eastAsia="en-GB"/>
        </w:rPr>
        <w:t xml:space="preserve"> </w:t>
      </w:r>
      <w:r w:rsidR="00B07DBC" w:rsidRPr="00B07DBC">
        <w:rPr>
          <w:rFonts w:eastAsia="Times New Roman" w:cs="Segoe UI"/>
          <w:color w:val="auto"/>
          <w:szCs w:val="18"/>
          <w:lang w:val="en-GB" w:eastAsia="en-GB"/>
        </w:rPr>
        <w:t>Mayo Clin</w:t>
      </w:r>
      <w:r w:rsidR="00B07DBC">
        <w:rPr>
          <w:rFonts w:eastAsia="Times New Roman" w:cs="Segoe UI"/>
          <w:color w:val="auto"/>
          <w:szCs w:val="18"/>
          <w:lang w:val="en-GB" w:eastAsia="en-GB"/>
        </w:rPr>
        <w:t>ic</w:t>
      </w:r>
      <w:r w:rsidR="00B07DBC" w:rsidRPr="00B07DBC">
        <w:rPr>
          <w:rFonts w:eastAsia="Times New Roman" w:cs="Segoe UI"/>
          <w:color w:val="auto"/>
          <w:szCs w:val="18"/>
          <w:lang w:val="en-GB" w:eastAsia="en-GB"/>
        </w:rPr>
        <w:t xml:space="preserve"> Proc</w:t>
      </w:r>
      <w:r w:rsidR="00B07DBC">
        <w:rPr>
          <w:rFonts w:eastAsia="Times New Roman" w:cs="Segoe UI"/>
          <w:color w:val="auto"/>
          <w:szCs w:val="18"/>
          <w:lang w:val="en-GB" w:eastAsia="en-GB"/>
        </w:rPr>
        <w:t>eedings</w:t>
      </w:r>
      <w:r w:rsidR="00B07DBC" w:rsidRPr="00B07DBC">
        <w:rPr>
          <w:rFonts w:eastAsia="Times New Roman" w:cs="Segoe UI"/>
          <w:color w:val="auto"/>
          <w:szCs w:val="18"/>
          <w:lang w:val="en-GB" w:eastAsia="en-GB"/>
        </w:rPr>
        <w:t xml:space="preserve"> 2021</w:t>
      </w:r>
      <w:r w:rsidR="00B07DBC">
        <w:rPr>
          <w:rFonts w:eastAsia="Times New Roman" w:cs="Segoe UI"/>
          <w:color w:val="auto"/>
          <w:szCs w:val="18"/>
          <w:lang w:val="en-GB" w:eastAsia="en-GB"/>
        </w:rPr>
        <w:t>,</w:t>
      </w:r>
      <w:r w:rsidR="00B07DBC" w:rsidRPr="00B07DBC">
        <w:rPr>
          <w:rFonts w:eastAsia="Times New Roman" w:cs="Segoe UI"/>
          <w:color w:val="auto"/>
          <w:szCs w:val="18"/>
          <w:lang w:val="en-GB" w:eastAsia="en-GB"/>
        </w:rPr>
        <w:t xml:space="preserve"> 96</w:t>
      </w:r>
      <w:r w:rsidR="00B07DBC">
        <w:rPr>
          <w:rFonts w:eastAsia="Times New Roman" w:cs="Segoe UI"/>
          <w:color w:val="auto"/>
          <w:szCs w:val="18"/>
          <w:lang w:val="en-GB" w:eastAsia="en-GB"/>
        </w:rPr>
        <w:t xml:space="preserve">, </w:t>
      </w:r>
      <w:r w:rsidR="00B07DBC" w:rsidRPr="00B07DBC">
        <w:rPr>
          <w:rFonts w:eastAsia="Times New Roman" w:cs="Segoe UI"/>
          <w:color w:val="auto"/>
          <w:szCs w:val="18"/>
          <w:lang w:val="en-GB" w:eastAsia="en-GB"/>
        </w:rPr>
        <w:t>304-313.</w:t>
      </w:r>
    </w:p>
    <w:p w14:paraId="0B7C0FA8" w14:textId="61C384E9"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120</w:t>
      </w:r>
      <w:r w:rsidR="00FD79AB">
        <w:rPr>
          <w:rFonts w:eastAsia="Times New Roman"/>
          <w:snapToGrid/>
          <w:lang w:eastAsia="de-DE"/>
        </w:rPr>
        <w:t>.</w:t>
      </w:r>
      <w:r w:rsidR="00FD79AB">
        <w:rPr>
          <w:rFonts w:eastAsia="Times New Roman"/>
          <w:snapToGrid/>
          <w:lang w:eastAsia="de-DE"/>
        </w:rPr>
        <w:tab/>
      </w:r>
      <w:r w:rsidR="00C1001F" w:rsidRPr="00C1001F">
        <w:rPr>
          <w:rFonts w:eastAsia="Times New Roman"/>
          <w:snapToGrid/>
          <w:lang w:eastAsia="de-DE"/>
        </w:rPr>
        <w:t>Choi, H.D.; Chae, S.M. Comparison of efficacy and safety of combination therapy with statins and omega-3 fatty acids versus statin monotherapy in patients with dyslipidemia: A systematic review and meta-analysis. Medicine 2018, 97</w:t>
      </w:r>
      <w:r w:rsidR="003A6332">
        <w:rPr>
          <w:rFonts w:eastAsia="Times New Roman"/>
          <w:snapToGrid/>
          <w:lang w:eastAsia="de-DE"/>
        </w:rPr>
        <w:t>, e13593</w:t>
      </w:r>
      <w:r w:rsidR="00C1001F" w:rsidRPr="00C1001F">
        <w:rPr>
          <w:rFonts w:eastAsia="Times New Roman"/>
          <w:snapToGrid/>
          <w:lang w:eastAsia="de-DE"/>
        </w:rPr>
        <w:t>.</w:t>
      </w:r>
    </w:p>
    <w:p w14:paraId="31715202" w14:textId="2D5992C0"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121</w:t>
      </w:r>
      <w:r w:rsidR="00C1001F" w:rsidRPr="00C1001F">
        <w:rPr>
          <w:rFonts w:eastAsia="Times New Roman"/>
          <w:snapToGrid/>
          <w:lang w:eastAsia="de-DE"/>
        </w:rPr>
        <w:t>.</w:t>
      </w:r>
      <w:r w:rsidR="00C1001F" w:rsidRPr="00C1001F">
        <w:rPr>
          <w:rFonts w:eastAsia="Times New Roman"/>
          <w:snapToGrid/>
          <w:lang w:eastAsia="de-DE"/>
        </w:rPr>
        <w:tab/>
        <w:t>Yang, Y.; Deng, W.; Wang, Y.; Li, T.; Chen, Y.; Long, C.; Wen, Q.; Wu, Y.; Chen, Q. The effect of omega-3 fatty acids and its combination with statins on lipid profile in patients with hypertriglyceridemia: A systematic review and meta-analysis of randomized controlled trials. Frontiers in Nutrition 2022, 9, 1039056.</w:t>
      </w:r>
    </w:p>
    <w:p w14:paraId="6363F67C" w14:textId="4DE63AF6"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122</w:t>
      </w:r>
      <w:r w:rsidR="00C1001F" w:rsidRPr="00C1001F">
        <w:rPr>
          <w:rFonts w:eastAsia="Times New Roman"/>
          <w:snapToGrid/>
          <w:lang w:eastAsia="de-DE"/>
        </w:rPr>
        <w:t>.</w:t>
      </w:r>
      <w:r w:rsidR="00C1001F" w:rsidRPr="00C1001F">
        <w:rPr>
          <w:rFonts w:eastAsia="Times New Roman"/>
          <w:snapToGrid/>
          <w:lang w:eastAsia="de-DE"/>
        </w:rPr>
        <w:tab/>
        <w:t>Hoang, T.; Kim, J. Comparative effect of statins and omega-3 supplementation on cardiovascular events: meta-analysis and network meta-analysis of 63 randomized controlled trials including 264,516 participants. Nutrients 2020, 12, 2218.</w:t>
      </w:r>
    </w:p>
    <w:p w14:paraId="0CF3D222" w14:textId="4850ABFE" w:rsidR="00C1001F" w:rsidRPr="00C1001F" w:rsidRDefault="00473DB2" w:rsidP="001B6425">
      <w:pPr>
        <w:pStyle w:val="MDPI63Notes"/>
        <w:spacing w:before="0"/>
        <w:ind w:left="510" w:hanging="510"/>
        <w:rPr>
          <w:rFonts w:eastAsia="Times New Roman"/>
          <w:snapToGrid/>
          <w:lang w:eastAsia="de-DE"/>
        </w:rPr>
      </w:pPr>
      <w:r>
        <w:rPr>
          <w:rFonts w:eastAsia="Times New Roman"/>
          <w:snapToGrid/>
          <w:lang w:eastAsia="de-DE"/>
        </w:rPr>
        <w:t>123</w:t>
      </w:r>
      <w:r w:rsidR="00C1001F" w:rsidRPr="00C1001F">
        <w:rPr>
          <w:rFonts w:eastAsia="Times New Roman"/>
          <w:snapToGrid/>
          <w:lang w:eastAsia="de-DE"/>
        </w:rPr>
        <w:t>.</w:t>
      </w:r>
      <w:r w:rsidR="00C1001F" w:rsidRPr="00C1001F">
        <w:rPr>
          <w:rFonts w:eastAsia="Times New Roman"/>
          <w:snapToGrid/>
          <w:lang w:eastAsia="de-DE"/>
        </w:rPr>
        <w:tab/>
        <w:t>Fan, H.; Zhou, J.; Yuan, Z. Meta-analysis comparing the effect of combined omega-3+ statin therapy versus statin therapy alone on coronary artery plaques. American Journal of Cardiology 2021, 151, 15-24.</w:t>
      </w:r>
    </w:p>
    <w:p w14:paraId="00D12917" w14:textId="59E300DE" w:rsidR="00C1001F" w:rsidRPr="00C1001F" w:rsidRDefault="00FD79AB" w:rsidP="001B6425">
      <w:pPr>
        <w:pStyle w:val="MDPI63Notes"/>
        <w:spacing w:before="0"/>
        <w:ind w:left="510" w:hanging="510"/>
        <w:rPr>
          <w:rFonts w:eastAsia="Times New Roman"/>
          <w:snapToGrid/>
          <w:lang w:eastAsia="de-DE"/>
        </w:rPr>
      </w:pPr>
      <w:r>
        <w:rPr>
          <w:rFonts w:eastAsia="Times New Roman"/>
          <w:snapToGrid/>
          <w:lang w:eastAsia="de-DE"/>
        </w:rPr>
        <w:t>1</w:t>
      </w:r>
      <w:r w:rsidR="00473DB2">
        <w:rPr>
          <w:rFonts w:eastAsia="Times New Roman"/>
          <w:snapToGrid/>
          <w:lang w:eastAsia="de-DE"/>
        </w:rPr>
        <w:t>24</w:t>
      </w:r>
      <w:r w:rsidR="00C1001F" w:rsidRPr="00C1001F">
        <w:rPr>
          <w:rFonts w:eastAsia="Times New Roman"/>
          <w:snapToGrid/>
          <w:lang w:eastAsia="de-DE"/>
        </w:rPr>
        <w:t>.</w:t>
      </w:r>
      <w:r w:rsidR="00C1001F" w:rsidRPr="00C1001F">
        <w:rPr>
          <w:rFonts w:eastAsia="Times New Roman"/>
          <w:snapToGrid/>
          <w:lang w:eastAsia="de-DE"/>
        </w:rPr>
        <w:tab/>
        <w:t>Reijnders, E.; van der Laarse, A.; Jukema, J.W.; Cobbaert, C.M. High residual cardiovascular risk after lipid-lowering: prime time for predictive, preventive, personalized, participatory, and psycho-cognitive medicine. Frontiers in Cardiovascular Medicine 2023, 10, 1264319.</w:t>
      </w:r>
    </w:p>
    <w:p w14:paraId="7321F673" w14:textId="74A53D6E" w:rsidR="00C1001F" w:rsidRPr="00C1001F" w:rsidRDefault="00FD79AB" w:rsidP="001B6425">
      <w:pPr>
        <w:pStyle w:val="MDPI63Notes"/>
        <w:spacing w:before="0"/>
        <w:ind w:left="510" w:hanging="510"/>
        <w:rPr>
          <w:rFonts w:eastAsia="Times New Roman"/>
          <w:snapToGrid/>
          <w:lang w:eastAsia="de-DE"/>
        </w:rPr>
      </w:pPr>
      <w:r>
        <w:rPr>
          <w:rFonts w:eastAsia="Times New Roman"/>
          <w:snapToGrid/>
          <w:lang w:eastAsia="de-DE"/>
        </w:rPr>
        <w:t>1</w:t>
      </w:r>
      <w:r w:rsidR="00473DB2">
        <w:rPr>
          <w:rFonts w:eastAsia="Times New Roman"/>
          <w:snapToGrid/>
          <w:lang w:eastAsia="de-DE"/>
        </w:rPr>
        <w:t>25</w:t>
      </w:r>
      <w:r w:rsidR="00C1001F" w:rsidRPr="00C1001F">
        <w:rPr>
          <w:rFonts w:eastAsia="Times New Roman"/>
          <w:snapToGrid/>
          <w:lang w:eastAsia="de-DE"/>
        </w:rPr>
        <w:t>.</w:t>
      </w:r>
      <w:r w:rsidR="00C1001F" w:rsidRPr="00C1001F">
        <w:rPr>
          <w:rFonts w:eastAsia="Times New Roman"/>
          <w:snapToGrid/>
          <w:lang w:eastAsia="de-DE"/>
        </w:rPr>
        <w:tab/>
        <w:t>Arnold, N.; Lechner, K.; Waldeyer, C.; Shapiro, M.D.; Koenig, W. Inflammation and cardiovascular disease: the future. European Cardiology Review 2021, 16</w:t>
      </w:r>
      <w:r w:rsidR="003A6332">
        <w:rPr>
          <w:rFonts w:eastAsia="Times New Roman"/>
          <w:snapToGrid/>
          <w:lang w:eastAsia="de-DE"/>
        </w:rPr>
        <w:t>, e20</w:t>
      </w:r>
      <w:r w:rsidR="00C1001F" w:rsidRPr="00C1001F">
        <w:rPr>
          <w:rFonts w:eastAsia="Times New Roman"/>
          <w:snapToGrid/>
          <w:lang w:eastAsia="de-DE"/>
        </w:rPr>
        <w:t>.</w:t>
      </w:r>
    </w:p>
    <w:p w14:paraId="78F8823A" w14:textId="02329DAD" w:rsidR="00C1001F" w:rsidRPr="00C1001F" w:rsidRDefault="00FD79AB" w:rsidP="00AF6FA9">
      <w:pPr>
        <w:pStyle w:val="MDPI63Notes"/>
        <w:spacing w:before="0"/>
        <w:ind w:left="510" w:hanging="510"/>
        <w:rPr>
          <w:rFonts w:eastAsia="Times New Roman"/>
          <w:snapToGrid/>
          <w:lang w:eastAsia="de-DE"/>
        </w:rPr>
      </w:pPr>
      <w:r>
        <w:rPr>
          <w:rFonts w:eastAsia="Times New Roman"/>
          <w:snapToGrid/>
          <w:lang w:eastAsia="de-DE"/>
        </w:rPr>
        <w:t>1</w:t>
      </w:r>
      <w:r w:rsidR="00473DB2">
        <w:rPr>
          <w:rFonts w:eastAsia="Times New Roman"/>
          <w:snapToGrid/>
          <w:lang w:eastAsia="de-DE"/>
        </w:rPr>
        <w:t>26</w:t>
      </w:r>
      <w:r w:rsidR="00C1001F" w:rsidRPr="00C1001F">
        <w:rPr>
          <w:rFonts w:eastAsia="Times New Roman"/>
          <w:snapToGrid/>
          <w:lang w:eastAsia="de-DE"/>
        </w:rPr>
        <w:t>.</w:t>
      </w:r>
      <w:r w:rsidR="00C1001F" w:rsidRPr="00C1001F">
        <w:rPr>
          <w:rFonts w:eastAsia="Times New Roman"/>
          <w:snapToGrid/>
          <w:lang w:eastAsia="de-DE"/>
        </w:rPr>
        <w:tab/>
        <w:t>Matsumoto, M.; Sata, M.; Fukuda, D.; Tanaka, K.; Soma, M.; Hirata, Y.; Nagai, R. Orally administered eicosapentaenoic acid reduces and stabilizes atherosclerotic lesions in ApoE-deficient mice. Atherosclerosis 2008, 197, 524-533.</w:t>
      </w:r>
    </w:p>
    <w:p w14:paraId="70A8D863" w14:textId="6AD79AEF" w:rsidR="00C1001F" w:rsidRPr="00C1001F" w:rsidRDefault="00FD79AB" w:rsidP="001B6425">
      <w:pPr>
        <w:pStyle w:val="MDPI63Notes"/>
        <w:spacing w:before="0"/>
        <w:ind w:left="510" w:hanging="510"/>
        <w:rPr>
          <w:rFonts w:eastAsia="Times New Roman"/>
          <w:snapToGrid/>
          <w:lang w:eastAsia="de-DE"/>
        </w:rPr>
      </w:pPr>
      <w:r>
        <w:rPr>
          <w:rFonts w:eastAsia="Times New Roman"/>
          <w:snapToGrid/>
          <w:lang w:eastAsia="de-DE"/>
        </w:rPr>
        <w:t>1</w:t>
      </w:r>
      <w:r w:rsidR="00473DB2">
        <w:rPr>
          <w:rFonts w:eastAsia="Times New Roman"/>
          <w:snapToGrid/>
          <w:lang w:eastAsia="de-DE"/>
        </w:rPr>
        <w:t>27</w:t>
      </w:r>
      <w:r w:rsidR="00C1001F" w:rsidRPr="00C1001F">
        <w:rPr>
          <w:rFonts w:eastAsia="Times New Roman"/>
          <w:snapToGrid/>
          <w:lang w:eastAsia="de-DE"/>
        </w:rPr>
        <w:t>.</w:t>
      </w:r>
      <w:r w:rsidR="00C1001F" w:rsidRPr="00C1001F">
        <w:rPr>
          <w:rFonts w:eastAsia="Times New Roman"/>
          <w:snapToGrid/>
          <w:lang w:eastAsia="de-DE"/>
        </w:rPr>
        <w:tab/>
        <w:t>Thies, F.; Garry, J.M.; Yaqoob, P.; Rerkasem, K.; Williams, J.; Shearman, C.P.; Gallagher, P.J.; Calder, P.C.; Grimble, R.F. Association of n-3 polyunsaturated fatty acids with stability of atherosclerotic plaques: a randomised controlled trial. Lancet 2003, 361, 477-485.</w:t>
      </w:r>
    </w:p>
    <w:p w14:paraId="18824EC5" w14:textId="6C5FBFA8" w:rsidR="00C1001F" w:rsidRPr="00C1001F" w:rsidRDefault="00FD79AB" w:rsidP="001B6425">
      <w:pPr>
        <w:pStyle w:val="MDPI63Notes"/>
        <w:spacing w:before="0"/>
        <w:ind w:left="510" w:hanging="510"/>
        <w:rPr>
          <w:rFonts w:eastAsia="Times New Roman"/>
          <w:snapToGrid/>
          <w:lang w:eastAsia="de-DE"/>
        </w:rPr>
      </w:pPr>
      <w:r>
        <w:rPr>
          <w:rFonts w:eastAsia="Times New Roman"/>
          <w:snapToGrid/>
          <w:lang w:eastAsia="de-DE"/>
        </w:rPr>
        <w:t>1</w:t>
      </w:r>
      <w:r w:rsidR="00473DB2">
        <w:rPr>
          <w:rFonts w:eastAsia="Times New Roman"/>
          <w:snapToGrid/>
          <w:lang w:eastAsia="de-DE"/>
        </w:rPr>
        <w:t>28</w:t>
      </w:r>
      <w:r w:rsidR="00C1001F" w:rsidRPr="00C1001F">
        <w:rPr>
          <w:rFonts w:eastAsia="Times New Roman"/>
          <w:snapToGrid/>
          <w:lang w:eastAsia="de-DE"/>
        </w:rPr>
        <w:t>.</w:t>
      </w:r>
      <w:r w:rsidR="00C1001F" w:rsidRPr="00C1001F">
        <w:rPr>
          <w:rFonts w:eastAsia="Times New Roman"/>
          <w:snapToGrid/>
          <w:lang w:eastAsia="de-DE"/>
        </w:rPr>
        <w:tab/>
        <w:t>Cawood, A.L.; Ding, R.; Napper, F.L.; Young, R.H.; Williams, J.A.; Ward, M.J.; Gudmundsen, O.; Vige, R.; Payne, S.P.; Ye, S. Eicosapentaenoic acid (EPA) from highly concentrated n− 3 fatty acid ethyl esters is incorporated into advanced atherosclerotic plaques and higher plaque EPA is associated with decreased plaque inflammation and increased stability. Atherosclerosis 2010, 212, 252-259.</w:t>
      </w:r>
    </w:p>
    <w:p w14:paraId="5A149855" w14:textId="3048721D" w:rsidR="00C1001F" w:rsidRPr="00C1001F" w:rsidRDefault="00FD79AB" w:rsidP="001B6425">
      <w:pPr>
        <w:pStyle w:val="MDPI63Notes"/>
        <w:spacing w:before="0"/>
        <w:ind w:left="510" w:hanging="510"/>
        <w:rPr>
          <w:rFonts w:eastAsia="Times New Roman"/>
          <w:snapToGrid/>
          <w:lang w:eastAsia="de-DE"/>
        </w:rPr>
      </w:pPr>
      <w:r>
        <w:rPr>
          <w:rFonts w:eastAsia="Times New Roman"/>
          <w:snapToGrid/>
          <w:lang w:eastAsia="de-DE"/>
        </w:rPr>
        <w:t>1</w:t>
      </w:r>
      <w:r w:rsidR="00473DB2">
        <w:rPr>
          <w:rFonts w:eastAsia="Times New Roman"/>
          <w:snapToGrid/>
          <w:lang w:eastAsia="de-DE"/>
        </w:rPr>
        <w:t>29</w:t>
      </w:r>
      <w:r w:rsidR="00C1001F" w:rsidRPr="00C1001F">
        <w:rPr>
          <w:rFonts w:eastAsia="Times New Roman"/>
          <w:snapToGrid/>
          <w:lang w:eastAsia="de-DE"/>
        </w:rPr>
        <w:t>.</w:t>
      </w:r>
      <w:r w:rsidR="00C1001F" w:rsidRPr="00C1001F">
        <w:rPr>
          <w:rFonts w:eastAsia="Times New Roman"/>
          <w:snapToGrid/>
          <w:lang w:eastAsia="de-DE"/>
        </w:rPr>
        <w:tab/>
        <w:t xml:space="preserve">Fredman, G.; Serhan, C.N. Specialized pro-resolving mediators in vascular inflammation and atherosclerotic cardiovascular disease. Nature Reviews Cardiology 2024, </w:t>
      </w:r>
      <w:r w:rsidR="003A6332">
        <w:rPr>
          <w:rFonts w:eastAsia="Times New Roman"/>
          <w:snapToGrid/>
          <w:lang w:eastAsia="de-DE"/>
        </w:rPr>
        <w:t>in press</w:t>
      </w:r>
      <w:r w:rsidR="00C1001F" w:rsidRPr="00C1001F">
        <w:rPr>
          <w:rFonts w:eastAsia="Times New Roman"/>
          <w:snapToGrid/>
          <w:lang w:eastAsia="de-DE"/>
        </w:rPr>
        <w:t>.</w:t>
      </w:r>
    </w:p>
    <w:p w14:paraId="6324DAA1" w14:textId="77777777" w:rsidR="00C1001F" w:rsidRPr="00C1001F" w:rsidRDefault="00C1001F" w:rsidP="00C1001F">
      <w:pPr>
        <w:pStyle w:val="MDPI63Notes"/>
        <w:spacing w:before="0"/>
        <w:rPr>
          <w:rFonts w:eastAsia="Times New Roman"/>
          <w:snapToGrid/>
          <w:lang w:eastAsia="de-DE"/>
        </w:rPr>
      </w:pPr>
    </w:p>
    <w:p w14:paraId="17E445F5" w14:textId="77777777" w:rsidR="00D47EA5" w:rsidRPr="00DE1434" w:rsidRDefault="00D47EA5" w:rsidP="00DE1434">
      <w:pPr>
        <w:pStyle w:val="MDPI63Notes"/>
      </w:pPr>
    </w:p>
    <w:sectPr w:rsidR="00D47EA5" w:rsidRPr="00DE1434" w:rsidSect="00C57E47">
      <w:headerReference w:type="even" r:id="rId17"/>
      <w:headerReference w:type="default" r:id="rId18"/>
      <w:footerReference w:type="default" r:id="rId19"/>
      <w:headerReference w:type="first" r:id="rId20"/>
      <w:footerReference w:type="first" r:id="rId21"/>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A6FB" w14:textId="77777777" w:rsidR="00781BEA" w:rsidRDefault="00781BEA">
      <w:pPr>
        <w:spacing w:line="240" w:lineRule="auto"/>
      </w:pPr>
      <w:r>
        <w:separator/>
      </w:r>
    </w:p>
  </w:endnote>
  <w:endnote w:type="continuationSeparator" w:id="0">
    <w:p w14:paraId="62303514" w14:textId="77777777" w:rsidR="00781BEA" w:rsidRDefault="00781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Roma">
    <w:altName w:val="Calibri"/>
    <w:panose1 w:val="00000000000000000000"/>
    <w:charset w:val="00"/>
    <w:family w:val="auto"/>
    <w:notTrueType/>
    <w:pitch w:val="default"/>
    <w:sig w:usb0="00000003" w:usb1="00000000" w:usb2="00000000" w:usb3="00000000" w:csb0="00000001" w:csb1="00000000"/>
  </w:font>
  <w:font w:name="Rpxr">
    <w:altName w:val="Calibri"/>
    <w:panose1 w:val="00000000000000000000"/>
    <w:charset w:val="00"/>
    <w:family w:val="auto"/>
    <w:notTrueType/>
    <w:pitch w:val="default"/>
    <w:sig w:usb0="00000003" w:usb1="00000000" w:usb2="00000000" w:usb3="00000000" w:csb0="00000001" w:csb1="00000000"/>
  </w:font>
  <w:font w:name="JansonTextLTStd-Roman">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Ital">
    <w:altName w:val="Calibri"/>
    <w:panose1 w:val="00000000000000000000"/>
    <w:charset w:val="00"/>
    <w:family w:val="auto"/>
    <w:notTrueType/>
    <w:pitch w:val="default"/>
    <w:sig w:usb0="00000003" w:usb1="00000000" w:usb2="00000000" w:usb3="00000000" w:csb0="00000001" w:csb1="00000000"/>
  </w:font>
  <w:font w:name="URWPalladioL-Bold">
    <w:altName w:val="Calibri"/>
    <w:panose1 w:val="00000000000000000000"/>
    <w:charset w:val="00"/>
    <w:family w:val="auto"/>
    <w:notTrueType/>
    <w:pitch w:val="default"/>
    <w:sig w:usb0="00000003" w:usb1="00000000" w:usb2="00000000" w:usb3="00000000" w:csb0="00000001" w:csb1="00000000"/>
  </w:font>
  <w:font w:name="AdvTT2a1c7c1f">
    <w:altName w:val="Cambria"/>
    <w:panose1 w:val="00000000000000000000"/>
    <w:charset w:val="00"/>
    <w:family w:val="roman"/>
    <w:notTrueType/>
    <w:pitch w:val="default"/>
    <w:sig w:usb0="00000003" w:usb1="00000000" w:usb2="00000000" w:usb3="00000000" w:csb0="00000001" w:csb1="00000000"/>
  </w:font>
  <w:font w:name="AdvTTbf56cded.I">
    <w:altName w:val="Cambria"/>
    <w:panose1 w:val="00000000000000000000"/>
    <w:charset w:val="00"/>
    <w:family w:val="roman"/>
    <w:notTrueType/>
    <w:pitch w:val="default"/>
    <w:sig w:usb0="00000003" w:usb1="00000000" w:usb2="00000000" w:usb3="00000000" w:csb0="00000001" w:csb1="00000000"/>
  </w:font>
  <w:font w:name="AdvTT532d99f6.B">
    <w:altName w:val="Cambria"/>
    <w:panose1 w:val="00000000000000000000"/>
    <w:charset w:val="00"/>
    <w:family w:val="roman"/>
    <w:notTrueType/>
    <w:pitch w:val="default"/>
    <w:sig w:usb0="00000003" w:usb1="00000000" w:usb2="00000000" w:usb3="00000000" w:csb0="00000001" w:csb1="00000000"/>
  </w:font>
  <w:font w:name="AdvTT2a1c7c1f+20">
    <w:altName w:val="Calibri"/>
    <w:panose1 w:val="00000000000000000000"/>
    <w:charset w:val="00"/>
    <w:family w:val="swiss"/>
    <w:notTrueType/>
    <w:pitch w:val="default"/>
    <w:sig w:usb0="00000003" w:usb1="00000000" w:usb2="00000000" w:usb3="00000000" w:csb0="00000001" w:csb1="00000000"/>
  </w:font>
  <w:font w:name="AdvTT2a1c7c1f+fb">
    <w:altName w:val="Calibri"/>
    <w:panose1 w:val="00000000000000000000"/>
    <w:charset w:val="00"/>
    <w:family w:val="auto"/>
    <w:notTrueType/>
    <w:pitch w:val="default"/>
    <w:sig w:usb0="00000003" w:usb1="00000000" w:usb2="00000000" w:usb3="00000000" w:csb0="00000001" w:csb1="00000000"/>
  </w:font>
  <w:font w:name="AdvTTbf56cded.I+fb">
    <w:altName w:val="Calibri"/>
    <w:panose1 w:val="00000000000000000000"/>
    <w:charset w:val="00"/>
    <w:family w:val="auto"/>
    <w:notTrueType/>
    <w:pitch w:val="default"/>
    <w:sig w:usb0="00000003" w:usb1="00000000" w:usb2="00000000" w:usb3="00000000" w:csb0="00000001" w:csb1="00000000"/>
  </w:font>
  <w:font w:name="Garamond-Light">
    <w:altName w:val="HGPMinchoE"/>
    <w:panose1 w:val="00000000000000000000"/>
    <w:charset w:val="80"/>
    <w:family w:val="roman"/>
    <w:notTrueType/>
    <w:pitch w:val="default"/>
    <w:sig w:usb0="00000001" w:usb1="08070000" w:usb2="00000010" w:usb3="00000000" w:csb0="00020000" w:csb1="00000000"/>
  </w:font>
  <w:font w:name="EURM10">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F2EA" w14:textId="77777777" w:rsidR="00DF60D4" w:rsidRPr="00885BB0" w:rsidRDefault="00DF60D4" w:rsidP="00C90B3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A488" w14:textId="77777777" w:rsidR="00DF60D4" w:rsidRDefault="00DF60D4" w:rsidP="00F25C65">
    <w:pPr>
      <w:pStyle w:val="MDPIfooterfirstpage"/>
      <w:pBdr>
        <w:top w:val="single" w:sz="4" w:space="0" w:color="000000"/>
      </w:pBdr>
      <w:adjustRightInd w:val="0"/>
      <w:snapToGrid w:val="0"/>
      <w:spacing w:before="480" w:line="100" w:lineRule="exact"/>
      <w:rPr>
        <w:i/>
        <w:szCs w:val="16"/>
      </w:rPr>
    </w:pPr>
  </w:p>
  <w:p w14:paraId="4AB4A8BB" w14:textId="77777777" w:rsidR="00DF60D4" w:rsidRPr="008B308E" w:rsidRDefault="00DF60D4" w:rsidP="000943F3">
    <w:pPr>
      <w:pStyle w:val="MDPIfooterfirstpage"/>
      <w:tabs>
        <w:tab w:val="clear" w:pos="8845"/>
        <w:tab w:val="right" w:pos="10466"/>
      </w:tabs>
      <w:spacing w:line="240" w:lineRule="auto"/>
      <w:jc w:val="both"/>
      <w:rPr>
        <w:lang w:val="fr-CH"/>
      </w:rPr>
    </w:pPr>
    <w:r w:rsidRPr="00141586">
      <w:rPr>
        <w:i/>
        <w:szCs w:val="16"/>
      </w:rPr>
      <w:t>Nutrients</w:t>
    </w:r>
    <w:r w:rsidRPr="00A70616">
      <w:rPr>
        <w:iCs/>
        <w:szCs w:val="16"/>
      </w:rPr>
      <w:t xml:space="preserve"> </w:t>
    </w:r>
    <w:r>
      <w:rPr>
        <w:b/>
        <w:bCs/>
        <w:iCs/>
        <w:szCs w:val="16"/>
      </w:rPr>
      <w:t>2024</w:t>
    </w:r>
    <w:r w:rsidRPr="008313A9">
      <w:rPr>
        <w:bCs/>
        <w:iCs/>
        <w:szCs w:val="16"/>
      </w:rPr>
      <w:t>,</w:t>
    </w:r>
    <w:r>
      <w:rPr>
        <w:bCs/>
        <w:i/>
        <w:iCs/>
        <w:szCs w:val="16"/>
      </w:rPr>
      <w:t xml:space="preserve"> 16</w:t>
    </w:r>
    <w:r w:rsidRPr="008313A9">
      <w:rPr>
        <w:bCs/>
        <w:iCs/>
        <w:szCs w:val="16"/>
      </w:rPr>
      <w:t xml:space="preserve">, </w:t>
    </w:r>
    <w:r>
      <w:rPr>
        <w:bCs/>
        <w:iCs/>
        <w:szCs w:val="16"/>
      </w:rPr>
      <w:t>x. https://doi.org/10.3390/xxxxx</w:t>
    </w:r>
    <w:r w:rsidRPr="008B308E">
      <w:rPr>
        <w:lang w:val="fr-CH"/>
      </w:rPr>
      <w:tab/>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0E77" w14:textId="77777777" w:rsidR="00781BEA" w:rsidRDefault="00781BEA">
      <w:pPr>
        <w:spacing w:line="240" w:lineRule="auto"/>
      </w:pPr>
      <w:r>
        <w:separator/>
      </w:r>
    </w:p>
  </w:footnote>
  <w:footnote w:type="continuationSeparator" w:id="0">
    <w:p w14:paraId="56B8E564" w14:textId="77777777" w:rsidR="00781BEA" w:rsidRDefault="00781B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4E00" w14:textId="77777777" w:rsidR="00DF60D4" w:rsidRDefault="00DF60D4"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509F" w14:textId="77777777" w:rsidR="00DF60D4" w:rsidRDefault="00DF60D4" w:rsidP="000943F3">
    <w:pPr>
      <w:tabs>
        <w:tab w:val="right" w:pos="10466"/>
      </w:tabs>
      <w:adjustRightInd w:val="0"/>
      <w:snapToGrid w:val="0"/>
      <w:spacing w:line="240" w:lineRule="auto"/>
      <w:rPr>
        <w:sz w:val="16"/>
      </w:rPr>
    </w:pPr>
    <w:r>
      <w:rPr>
        <w:i/>
        <w:sz w:val="16"/>
      </w:rPr>
      <w:t xml:space="preserve">Nutrients </w:t>
    </w:r>
    <w:r>
      <w:rPr>
        <w:b/>
        <w:sz w:val="16"/>
      </w:rPr>
      <w:t>2024</w:t>
    </w:r>
    <w:r w:rsidRPr="008313A9">
      <w:rPr>
        <w:sz w:val="16"/>
      </w:rPr>
      <w:t>,</w:t>
    </w:r>
    <w:r>
      <w:rPr>
        <w:i/>
        <w:sz w:val="16"/>
      </w:rPr>
      <w:t xml:space="preserve"> 16</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sidR="005E742B">
      <w:rPr>
        <w:sz w:val="16"/>
      </w:rPr>
      <w:t>3</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5E742B">
      <w:rPr>
        <w:sz w:val="16"/>
      </w:rPr>
      <w:t>15</w:t>
    </w:r>
    <w:r>
      <w:rPr>
        <w:sz w:val="16"/>
      </w:rPr>
      <w:fldChar w:fldCharType="end"/>
    </w:r>
  </w:p>
  <w:p w14:paraId="1407B968" w14:textId="77777777" w:rsidR="00DF60D4" w:rsidRPr="00310EBF" w:rsidRDefault="00DF60D4"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DF60D4" w:rsidRPr="000943F3" w14:paraId="6DA76D58" w14:textId="77777777" w:rsidTr="00327B8E">
      <w:trPr>
        <w:trHeight w:val="686"/>
      </w:trPr>
      <w:tc>
        <w:tcPr>
          <w:tcW w:w="3679" w:type="dxa"/>
          <w:shd w:val="clear" w:color="auto" w:fill="auto"/>
          <w:vAlign w:val="center"/>
        </w:tcPr>
        <w:p w14:paraId="14FFF2C3" w14:textId="77777777" w:rsidR="00DF60D4" w:rsidRPr="00D15AC3" w:rsidRDefault="00DF60D4" w:rsidP="000943F3">
          <w:pPr>
            <w:pStyle w:val="Header"/>
            <w:pBdr>
              <w:bottom w:val="none" w:sz="0" w:space="0" w:color="auto"/>
            </w:pBdr>
            <w:jc w:val="left"/>
            <w:rPr>
              <w:rFonts w:eastAsia="DengXian"/>
              <w:b/>
              <w:bCs/>
            </w:rPr>
          </w:pPr>
          <w:r w:rsidRPr="00D15AC3">
            <w:rPr>
              <w:rFonts w:eastAsia="DengXian"/>
              <w:b/>
              <w:bCs/>
              <w:lang w:val="en-GB" w:eastAsia="en-GB"/>
            </w:rPr>
            <w:drawing>
              <wp:inline distT="0" distB="0" distL="0" distR="0" wp14:anchorId="36C4EFE8" wp14:editId="3C346AFA">
                <wp:extent cx="1704340" cy="429260"/>
                <wp:effectExtent l="0" t="0" r="0" b="0"/>
                <wp:docPr id="1"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3A10F1D1" w14:textId="77777777" w:rsidR="00DF60D4" w:rsidRPr="00D15AC3" w:rsidRDefault="00DF60D4" w:rsidP="000943F3">
          <w:pPr>
            <w:pStyle w:val="Header"/>
            <w:pBdr>
              <w:bottom w:val="none" w:sz="0" w:space="0" w:color="auto"/>
            </w:pBdr>
            <w:rPr>
              <w:rFonts w:eastAsia="DengXian"/>
              <w:b/>
              <w:bCs/>
            </w:rPr>
          </w:pPr>
        </w:p>
      </w:tc>
      <w:tc>
        <w:tcPr>
          <w:tcW w:w="2273" w:type="dxa"/>
          <w:shd w:val="clear" w:color="auto" w:fill="auto"/>
          <w:vAlign w:val="center"/>
        </w:tcPr>
        <w:p w14:paraId="3719A3A3" w14:textId="77777777" w:rsidR="00DF60D4" w:rsidRPr="00D15AC3" w:rsidRDefault="00DF60D4" w:rsidP="00327B8E">
          <w:pPr>
            <w:pStyle w:val="Header"/>
            <w:pBdr>
              <w:bottom w:val="none" w:sz="0" w:space="0" w:color="auto"/>
            </w:pBdr>
            <w:jc w:val="right"/>
            <w:rPr>
              <w:rFonts w:eastAsia="DengXian"/>
              <w:b/>
              <w:bCs/>
            </w:rPr>
          </w:pPr>
          <w:r>
            <w:rPr>
              <w:rFonts w:eastAsia="DengXian"/>
              <w:b/>
              <w:bCs/>
              <w:lang w:val="en-GB" w:eastAsia="en-GB"/>
            </w:rPr>
            <w:drawing>
              <wp:inline distT="0" distB="0" distL="0" distR="0" wp14:anchorId="41F8CE8A" wp14:editId="0118562F">
                <wp:extent cx="540000" cy="360000"/>
                <wp:effectExtent l="0" t="0" r="0" b="2540"/>
                <wp:docPr id="1652467288" name="Picture 1"/>
                <wp:cNvGraphicFramePr/>
                <a:graphic xmlns:a="http://schemas.openxmlformats.org/drawingml/2006/main">
                  <a:graphicData uri="http://schemas.openxmlformats.org/drawingml/2006/picture">
                    <pic:pic xmlns:pic="http://schemas.openxmlformats.org/drawingml/2006/picture">
                      <pic:nvPicPr>
                        <pic:cNvPr id="1652467288" name=""/>
                        <pic:cNvPicPr/>
                      </pic:nvPicPr>
                      <pic:blipFill>
                        <a:blip r:embed="rId2"/>
                        <a:stretch>
                          <a:fillRect/>
                        </a:stretch>
                      </pic:blipFill>
                      <pic:spPr>
                        <a:xfrm>
                          <a:off x="0" y="0"/>
                          <a:ext cx="540000" cy="360000"/>
                        </a:xfrm>
                        <a:prstGeom prst="rect">
                          <a:avLst/>
                        </a:prstGeom>
                      </pic:spPr>
                    </pic:pic>
                  </a:graphicData>
                </a:graphic>
              </wp:inline>
            </w:drawing>
          </w:r>
        </w:p>
      </w:tc>
    </w:tr>
  </w:tbl>
  <w:p w14:paraId="4B1AAD99" w14:textId="77777777" w:rsidR="00DF60D4" w:rsidRPr="0045699E" w:rsidRDefault="00DF60D4" w:rsidP="00F25C6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D00"/>
    <w:multiLevelType w:val="hybridMultilevel"/>
    <w:tmpl w:val="8F4A89D6"/>
    <w:lvl w:ilvl="0" w:tplc="D4ECF69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CD3E7292"/>
    <w:lvl w:ilvl="0" w:tplc="F7B6C75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FC80097"/>
    <w:multiLevelType w:val="hybridMultilevel"/>
    <w:tmpl w:val="DE12E9C8"/>
    <w:lvl w:ilvl="0" w:tplc="8D8CDB2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F3F3AAB"/>
    <w:multiLevelType w:val="hybridMultilevel"/>
    <w:tmpl w:val="4E3A6B1A"/>
    <w:lvl w:ilvl="0" w:tplc="956E42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1A3F4C"/>
    <w:multiLevelType w:val="hybridMultilevel"/>
    <w:tmpl w:val="5D841F04"/>
    <w:lvl w:ilvl="0" w:tplc="C3B0C1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497401">
    <w:abstractNumId w:val="5"/>
  </w:num>
  <w:num w:numId="2" w16cid:durableId="1537618968">
    <w:abstractNumId w:val="7"/>
  </w:num>
  <w:num w:numId="3" w16cid:durableId="762190966">
    <w:abstractNumId w:val="4"/>
  </w:num>
  <w:num w:numId="4" w16cid:durableId="2092651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2687632">
    <w:abstractNumId w:val="6"/>
  </w:num>
  <w:num w:numId="6" w16cid:durableId="529495361">
    <w:abstractNumId w:val="9"/>
  </w:num>
  <w:num w:numId="7" w16cid:durableId="1650093298">
    <w:abstractNumId w:val="2"/>
  </w:num>
  <w:num w:numId="8" w16cid:durableId="1799762470">
    <w:abstractNumId w:val="9"/>
  </w:num>
  <w:num w:numId="9" w16cid:durableId="1191801683">
    <w:abstractNumId w:val="2"/>
  </w:num>
  <w:num w:numId="10" w16cid:durableId="418865166">
    <w:abstractNumId w:val="9"/>
  </w:num>
  <w:num w:numId="11" w16cid:durableId="1699044433">
    <w:abstractNumId w:val="2"/>
  </w:num>
  <w:num w:numId="12" w16cid:durableId="455175675">
    <w:abstractNumId w:val="12"/>
  </w:num>
  <w:num w:numId="13" w16cid:durableId="88351564">
    <w:abstractNumId w:val="9"/>
  </w:num>
  <w:num w:numId="14" w16cid:durableId="414322826">
    <w:abstractNumId w:val="2"/>
  </w:num>
  <w:num w:numId="15" w16cid:durableId="990595902">
    <w:abstractNumId w:val="1"/>
  </w:num>
  <w:num w:numId="16" w16cid:durableId="1335107309">
    <w:abstractNumId w:val="8"/>
  </w:num>
  <w:num w:numId="17" w16cid:durableId="1778022868">
    <w:abstractNumId w:val="0"/>
  </w:num>
  <w:num w:numId="18" w16cid:durableId="2099862276">
    <w:abstractNumId w:val="9"/>
  </w:num>
  <w:num w:numId="19" w16cid:durableId="2097437728">
    <w:abstractNumId w:val="2"/>
  </w:num>
  <w:num w:numId="20" w16cid:durableId="1725717693">
    <w:abstractNumId w:val="1"/>
  </w:num>
  <w:num w:numId="21" w16cid:durableId="477115822">
    <w:abstractNumId w:val="0"/>
  </w:num>
  <w:num w:numId="22" w16cid:durableId="191264811">
    <w:abstractNumId w:val="11"/>
  </w:num>
  <w:num w:numId="23" w16cid:durableId="1097865713">
    <w:abstractNumId w:val="3"/>
  </w:num>
  <w:num w:numId="24" w16cid:durableId="56992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BUIjU1MzcwMTY2NzUyUdpeDU4uLM/DyQApNaAD4lJYMsAAAA"/>
  </w:docVars>
  <w:rsids>
    <w:rsidRoot w:val="00E50990"/>
    <w:rsid w:val="00007E22"/>
    <w:rsid w:val="00024F1F"/>
    <w:rsid w:val="0002778D"/>
    <w:rsid w:val="000330FF"/>
    <w:rsid w:val="0004717D"/>
    <w:rsid w:val="00055290"/>
    <w:rsid w:val="00067BD0"/>
    <w:rsid w:val="00070240"/>
    <w:rsid w:val="00071F06"/>
    <w:rsid w:val="00077A11"/>
    <w:rsid w:val="0008055A"/>
    <w:rsid w:val="00084274"/>
    <w:rsid w:val="000943F3"/>
    <w:rsid w:val="00095203"/>
    <w:rsid w:val="00096952"/>
    <w:rsid w:val="000A0720"/>
    <w:rsid w:val="000A33CD"/>
    <w:rsid w:val="000B6163"/>
    <w:rsid w:val="000E5185"/>
    <w:rsid w:val="000F03E2"/>
    <w:rsid w:val="00106E2E"/>
    <w:rsid w:val="001142FD"/>
    <w:rsid w:val="00115C75"/>
    <w:rsid w:val="0013280E"/>
    <w:rsid w:val="001376AB"/>
    <w:rsid w:val="00141224"/>
    <w:rsid w:val="00147C72"/>
    <w:rsid w:val="001546BA"/>
    <w:rsid w:val="00162C05"/>
    <w:rsid w:val="00165B08"/>
    <w:rsid w:val="001729D5"/>
    <w:rsid w:val="00173DDF"/>
    <w:rsid w:val="00176518"/>
    <w:rsid w:val="001832F0"/>
    <w:rsid w:val="00192EF9"/>
    <w:rsid w:val="00196E0B"/>
    <w:rsid w:val="001978F7"/>
    <w:rsid w:val="00197A9B"/>
    <w:rsid w:val="001A2B1A"/>
    <w:rsid w:val="001B341B"/>
    <w:rsid w:val="001B6425"/>
    <w:rsid w:val="001B7D47"/>
    <w:rsid w:val="001D43A5"/>
    <w:rsid w:val="001E2AEB"/>
    <w:rsid w:val="001E4BE2"/>
    <w:rsid w:val="0020251C"/>
    <w:rsid w:val="00202E01"/>
    <w:rsid w:val="0020578D"/>
    <w:rsid w:val="00206D98"/>
    <w:rsid w:val="00211876"/>
    <w:rsid w:val="00211C8D"/>
    <w:rsid w:val="0021329E"/>
    <w:rsid w:val="00213D37"/>
    <w:rsid w:val="002175F2"/>
    <w:rsid w:val="00217E47"/>
    <w:rsid w:val="002456CD"/>
    <w:rsid w:val="0024698A"/>
    <w:rsid w:val="002549C8"/>
    <w:rsid w:val="002616E8"/>
    <w:rsid w:val="002629EB"/>
    <w:rsid w:val="00264F54"/>
    <w:rsid w:val="0027719E"/>
    <w:rsid w:val="00277B9C"/>
    <w:rsid w:val="002807C6"/>
    <w:rsid w:val="00293718"/>
    <w:rsid w:val="00293848"/>
    <w:rsid w:val="0029512B"/>
    <w:rsid w:val="002A586D"/>
    <w:rsid w:val="002B13D7"/>
    <w:rsid w:val="002B69FB"/>
    <w:rsid w:val="002B6A5F"/>
    <w:rsid w:val="002C5127"/>
    <w:rsid w:val="002E6491"/>
    <w:rsid w:val="002F5B81"/>
    <w:rsid w:val="00303713"/>
    <w:rsid w:val="00320E31"/>
    <w:rsid w:val="00321932"/>
    <w:rsid w:val="0032435E"/>
    <w:rsid w:val="00326141"/>
    <w:rsid w:val="00327B0E"/>
    <w:rsid w:val="00327B8E"/>
    <w:rsid w:val="00355677"/>
    <w:rsid w:val="00370457"/>
    <w:rsid w:val="0038600B"/>
    <w:rsid w:val="00390107"/>
    <w:rsid w:val="003934AC"/>
    <w:rsid w:val="003A548F"/>
    <w:rsid w:val="003A6332"/>
    <w:rsid w:val="003B0F8F"/>
    <w:rsid w:val="003B11AD"/>
    <w:rsid w:val="003B1F9E"/>
    <w:rsid w:val="003C2293"/>
    <w:rsid w:val="003C44BB"/>
    <w:rsid w:val="003C50B5"/>
    <w:rsid w:val="003D4190"/>
    <w:rsid w:val="003E4154"/>
    <w:rsid w:val="003F0A40"/>
    <w:rsid w:val="003F4BFE"/>
    <w:rsid w:val="00401D30"/>
    <w:rsid w:val="004054D4"/>
    <w:rsid w:val="004066EE"/>
    <w:rsid w:val="0040719E"/>
    <w:rsid w:val="00413234"/>
    <w:rsid w:val="00420F46"/>
    <w:rsid w:val="00435811"/>
    <w:rsid w:val="004450F9"/>
    <w:rsid w:val="00453B15"/>
    <w:rsid w:val="004564EF"/>
    <w:rsid w:val="0045699E"/>
    <w:rsid w:val="00461281"/>
    <w:rsid w:val="00473DB2"/>
    <w:rsid w:val="00497632"/>
    <w:rsid w:val="004A0CEE"/>
    <w:rsid w:val="004A6A50"/>
    <w:rsid w:val="004B543E"/>
    <w:rsid w:val="004B786D"/>
    <w:rsid w:val="004C025E"/>
    <w:rsid w:val="004C210B"/>
    <w:rsid w:val="004C3BAD"/>
    <w:rsid w:val="004C4CE0"/>
    <w:rsid w:val="004C5585"/>
    <w:rsid w:val="004D39A2"/>
    <w:rsid w:val="004D6FF9"/>
    <w:rsid w:val="004E4F43"/>
    <w:rsid w:val="004F0CF6"/>
    <w:rsid w:val="00520DC1"/>
    <w:rsid w:val="00521B0E"/>
    <w:rsid w:val="00523C4C"/>
    <w:rsid w:val="0054052D"/>
    <w:rsid w:val="005529D9"/>
    <w:rsid w:val="00557412"/>
    <w:rsid w:val="0057020A"/>
    <w:rsid w:val="0058522B"/>
    <w:rsid w:val="005902CF"/>
    <w:rsid w:val="005A435E"/>
    <w:rsid w:val="005A79DF"/>
    <w:rsid w:val="005C1D7B"/>
    <w:rsid w:val="005C1DC3"/>
    <w:rsid w:val="005C2B81"/>
    <w:rsid w:val="005C71E1"/>
    <w:rsid w:val="005C74F1"/>
    <w:rsid w:val="005D3D16"/>
    <w:rsid w:val="005E3F38"/>
    <w:rsid w:val="005E4D55"/>
    <w:rsid w:val="005E6F03"/>
    <w:rsid w:val="005E742B"/>
    <w:rsid w:val="005F70B4"/>
    <w:rsid w:val="006028E7"/>
    <w:rsid w:val="0060709B"/>
    <w:rsid w:val="00610718"/>
    <w:rsid w:val="00611206"/>
    <w:rsid w:val="00612EEA"/>
    <w:rsid w:val="00616502"/>
    <w:rsid w:val="0062420F"/>
    <w:rsid w:val="00630433"/>
    <w:rsid w:val="006349C5"/>
    <w:rsid w:val="00634DFA"/>
    <w:rsid w:val="0064500E"/>
    <w:rsid w:val="00645667"/>
    <w:rsid w:val="00651060"/>
    <w:rsid w:val="00657213"/>
    <w:rsid w:val="00657B19"/>
    <w:rsid w:val="006659ED"/>
    <w:rsid w:val="00666D33"/>
    <w:rsid w:val="00676AA5"/>
    <w:rsid w:val="0069142C"/>
    <w:rsid w:val="00692393"/>
    <w:rsid w:val="0069485F"/>
    <w:rsid w:val="006C5F6E"/>
    <w:rsid w:val="006C64D0"/>
    <w:rsid w:val="006C747A"/>
    <w:rsid w:val="006D5B1F"/>
    <w:rsid w:val="006D6B09"/>
    <w:rsid w:val="006E00A0"/>
    <w:rsid w:val="006F0855"/>
    <w:rsid w:val="00701D8C"/>
    <w:rsid w:val="00703117"/>
    <w:rsid w:val="0070418D"/>
    <w:rsid w:val="00712901"/>
    <w:rsid w:val="007169E4"/>
    <w:rsid w:val="00721BCF"/>
    <w:rsid w:val="00724FEC"/>
    <w:rsid w:val="0073411A"/>
    <w:rsid w:val="00740E0A"/>
    <w:rsid w:val="00742B3E"/>
    <w:rsid w:val="00742CFE"/>
    <w:rsid w:val="00743AB9"/>
    <w:rsid w:val="00747DA1"/>
    <w:rsid w:val="0075186F"/>
    <w:rsid w:val="00762A45"/>
    <w:rsid w:val="007771E9"/>
    <w:rsid w:val="00781595"/>
    <w:rsid w:val="00781BEA"/>
    <w:rsid w:val="00797BF7"/>
    <w:rsid w:val="00797D64"/>
    <w:rsid w:val="007A05EB"/>
    <w:rsid w:val="007A5582"/>
    <w:rsid w:val="007C247A"/>
    <w:rsid w:val="007D0BB0"/>
    <w:rsid w:val="00801504"/>
    <w:rsid w:val="0080768E"/>
    <w:rsid w:val="00815C96"/>
    <w:rsid w:val="00830F91"/>
    <w:rsid w:val="008313A9"/>
    <w:rsid w:val="00831BDE"/>
    <w:rsid w:val="0084006D"/>
    <w:rsid w:val="008427A3"/>
    <w:rsid w:val="00842BEE"/>
    <w:rsid w:val="00844013"/>
    <w:rsid w:val="00850CDD"/>
    <w:rsid w:val="00875F3E"/>
    <w:rsid w:val="0088192B"/>
    <w:rsid w:val="00882750"/>
    <w:rsid w:val="008838D2"/>
    <w:rsid w:val="008874AB"/>
    <w:rsid w:val="00891137"/>
    <w:rsid w:val="0089117D"/>
    <w:rsid w:val="008949C9"/>
    <w:rsid w:val="00895499"/>
    <w:rsid w:val="008A2B64"/>
    <w:rsid w:val="008B1FD8"/>
    <w:rsid w:val="008B5FC5"/>
    <w:rsid w:val="008C1BAF"/>
    <w:rsid w:val="008C455F"/>
    <w:rsid w:val="008D534B"/>
    <w:rsid w:val="008D7DAF"/>
    <w:rsid w:val="008E01FB"/>
    <w:rsid w:val="008E0DD3"/>
    <w:rsid w:val="008E2340"/>
    <w:rsid w:val="008F17DA"/>
    <w:rsid w:val="008F54B8"/>
    <w:rsid w:val="00906C66"/>
    <w:rsid w:val="00911D2B"/>
    <w:rsid w:val="00915BFC"/>
    <w:rsid w:val="00922D57"/>
    <w:rsid w:val="00933215"/>
    <w:rsid w:val="00937C38"/>
    <w:rsid w:val="009568CB"/>
    <w:rsid w:val="00977E13"/>
    <w:rsid w:val="00980381"/>
    <w:rsid w:val="009905E2"/>
    <w:rsid w:val="0099245F"/>
    <w:rsid w:val="0099746A"/>
    <w:rsid w:val="009A1553"/>
    <w:rsid w:val="009A16F7"/>
    <w:rsid w:val="009A234D"/>
    <w:rsid w:val="009A358D"/>
    <w:rsid w:val="009A36BB"/>
    <w:rsid w:val="009A5A05"/>
    <w:rsid w:val="009A6662"/>
    <w:rsid w:val="009B1D1B"/>
    <w:rsid w:val="009B682C"/>
    <w:rsid w:val="009C49FE"/>
    <w:rsid w:val="009C50EC"/>
    <w:rsid w:val="009D7BCB"/>
    <w:rsid w:val="009E1AD8"/>
    <w:rsid w:val="009E6F3F"/>
    <w:rsid w:val="009F70E6"/>
    <w:rsid w:val="00A109FA"/>
    <w:rsid w:val="00A129C6"/>
    <w:rsid w:val="00A142AC"/>
    <w:rsid w:val="00A149BE"/>
    <w:rsid w:val="00A21A6C"/>
    <w:rsid w:val="00A23186"/>
    <w:rsid w:val="00A34E42"/>
    <w:rsid w:val="00A424AC"/>
    <w:rsid w:val="00A46D49"/>
    <w:rsid w:val="00A52D2B"/>
    <w:rsid w:val="00A61CC6"/>
    <w:rsid w:val="00A64F56"/>
    <w:rsid w:val="00A70338"/>
    <w:rsid w:val="00A8670E"/>
    <w:rsid w:val="00A922EE"/>
    <w:rsid w:val="00AA3201"/>
    <w:rsid w:val="00AA340D"/>
    <w:rsid w:val="00AB7A1A"/>
    <w:rsid w:val="00AC1A47"/>
    <w:rsid w:val="00AC4E1F"/>
    <w:rsid w:val="00AD2DCF"/>
    <w:rsid w:val="00AD44B1"/>
    <w:rsid w:val="00AE2AAE"/>
    <w:rsid w:val="00AE6C73"/>
    <w:rsid w:val="00AF33F6"/>
    <w:rsid w:val="00AF3A21"/>
    <w:rsid w:val="00AF6758"/>
    <w:rsid w:val="00AF6FA9"/>
    <w:rsid w:val="00B07DBC"/>
    <w:rsid w:val="00B20555"/>
    <w:rsid w:val="00B257C3"/>
    <w:rsid w:val="00B31388"/>
    <w:rsid w:val="00B3254F"/>
    <w:rsid w:val="00B34E8E"/>
    <w:rsid w:val="00B42244"/>
    <w:rsid w:val="00B612C4"/>
    <w:rsid w:val="00B715CF"/>
    <w:rsid w:val="00B751BD"/>
    <w:rsid w:val="00B9176A"/>
    <w:rsid w:val="00B919EF"/>
    <w:rsid w:val="00B9388D"/>
    <w:rsid w:val="00B974F4"/>
    <w:rsid w:val="00BA3481"/>
    <w:rsid w:val="00BB1A76"/>
    <w:rsid w:val="00BB25C9"/>
    <w:rsid w:val="00BD0170"/>
    <w:rsid w:val="00BD2F41"/>
    <w:rsid w:val="00BD3278"/>
    <w:rsid w:val="00BE05D8"/>
    <w:rsid w:val="00BE1525"/>
    <w:rsid w:val="00BE4A67"/>
    <w:rsid w:val="00BF0847"/>
    <w:rsid w:val="00BF157E"/>
    <w:rsid w:val="00BF476B"/>
    <w:rsid w:val="00BF47B9"/>
    <w:rsid w:val="00C06DD9"/>
    <w:rsid w:val="00C07C75"/>
    <w:rsid w:val="00C1001F"/>
    <w:rsid w:val="00C1192A"/>
    <w:rsid w:val="00C12166"/>
    <w:rsid w:val="00C12296"/>
    <w:rsid w:val="00C26709"/>
    <w:rsid w:val="00C31AF5"/>
    <w:rsid w:val="00C40A45"/>
    <w:rsid w:val="00C4146D"/>
    <w:rsid w:val="00C457F6"/>
    <w:rsid w:val="00C51ABD"/>
    <w:rsid w:val="00C57E47"/>
    <w:rsid w:val="00C6083F"/>
    <w:rsid w:val="00C64219"/>
    <w:rsid w:val="00C64435"/>
    <w:rsid w:val="00C655B1"/>
    <w:rsid w:val="00C658BF"/>
    <w:rsid w:val="00C728C9"/>
    <w:rsid w:val="00C77084"/>
    <w:rsid w:val="00C835E3"/>
    <w:rsid w:val="00C86505"/>
    <w:rsid w:val="00C876E2"/>
    <w:rsid w:val="00C87B5A"/>
    <w:rsid w:val="00C90B3B"/>
    <w:rsid w:val="00C97651"/>
    <w:rsid w:val="00CB5A21"/>
    <w:rsid w:val="00CC03C7"/>
    <w:rsid w:val="00CC0501"/>
    <w:rsid w:val="00CE0C59"/>
    <w:rsid w:val="00CE429C"/>
    <w:rsid w:val="00CE591F"/>
    <w:rsid w:val="00CF0670"/>
    <w:rsid w:val="00D0487E"/>
    <w:rsid w:val="00D15AC3"/>
    <w:rsid w:val="00D16339"/>
    <w:rsid w:val="00D30929"/>
    <w:rsid w:val="00D3488C"/>
    <w:rsid w:val="00D359C5"/>
    <w:rsid w:val="00D36044"/>
    <w:rsid w:val="00D40120"/>
    <w:rsid w:val="00D458A3"/>
    <w:rsid w:val="00D47EA5"/>
    <w:rsid w:val="00D51B1B"/>
    <w:rsid w:val="00D543BC"/>
    <w:rsid w:val="00D67E28"/>
    <w:rsid w:val="00D7309C"/>
    <w:rsid w:val="00D758BB"/>
    <w:rsid w:val="00D86B9D"/>
    <w:rsid w:val="00DA4375"/>
    <w:rsid w:val="00DA6C33"/>
    <w:rsid w:val="00DC0A29"/>
    <w:rsid w:val="00DC68A7"/>
    <w:rsid w:val="00DD1D1E"/>
    <w:rsid w:val="00DD3F21"/>
    <w:rsid w:val="00DE1434"/>
    <w:rsid w:val="00DE66F9"/>
    <w:rsid w:val="00DF1C1D"/>
    <w:rsid w:val="00DF3D62"/>
    <w:rsid w:val="00DF60D4"/>
    <w:rsid w:val="00E21B5D"/>
    <w:rsid w:val="00E22B91"/>
    <w:rsid w:val="00E23D9F"/>
    <w:rsid w:val="00E37FE8"/>
    <w:rsid w:val="00E45AA3"/>
    <w:rsid w:val="00E5012A"/>
    <w:rsid w:val="00E50990"/>
    <w:rsid w:val="00E61A19"/>
    <w:rsid w:val="00E632D8"/>
    <w:rsid w:val="00E6381B"/>
    <w:rsid w:val="00E80413"/>
    <w:rsid w:val="00E80EE6"/>
    <w:rsid w:val="00E841CB"/>
    <w:rsid w:val="00E85E0E"/>
    <w:rsid w:val="00EA70F0"/>
    <w:rsid w:val="00EC71B4"/>
    <w:rsid w:val="00F01298"/>
    <w:rsid w:val="00F176CC"/>
    <w:rsid w:val="00F2303C"/>
    <w:rsid w:val="00F23629"/>
    <w:rsid w:val="00F25C65"/>
    <w:rsid w:val="00F300E3"/>
    <w:rsid w:val="00F321CD"/>
    <w:rsid w:val="00F365DC"/>
    <w:rsid w:val="00F410D8"/>
    <w:rsid w:val="00F44C34"/>
    <w:rsid w:val="00F45636"/>
    <w:rsid w:val="00F53FCC"/>
    <w:rsid w:val="00F55D29"/>
    <w:rsid w:val="00F6585D"/>
    <w:rsid w:val="00F65AD5"/>
    <w:rsid w:val="00F732F0"/>
    <w:rsid w:val="00F83519"/>
    <w:rsid w:val="00F97739"/>
    <w:rsid w:val="00FA2128"/>
    <w:rsid w:val="00FA7192"/>
    <w:rsid w:val="00FB2C58"/>
    <w:rsid w:val="00FC780D"/>
    <w:rsid w:val="00FD58DB"/>
    <w:rsid w:val="00FD79AB"/>
    <w:rsid w:val="00FE09D5"/>
    <w:rsid w:val="00FE6B4A"/>
    <w:rsid w:val="00FF5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8325C0"/>
  <w15:docId w15:val="{C81C492C-5CA6-4953-8E30-9F86F2F2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47EA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47EA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47EA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47EA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D47EA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47EA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47EA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47E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47EA5"/>
    <w:pPr>
      <w:ind w:firstLine="0"/>
    </w:pPr>
  </w:style>
  <w:style w:type="paragraph" w:customStyle="1" w:styleId="MDPI31text">
    <w:name w:val="MDPI_3.1_text"/>
    <w:qFormat/>
    <w:rsid w:val="005902C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47EA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47EA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47EA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B4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B4A"/>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47EA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47EA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47EA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47EA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47EA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47EA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47EA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47EA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E01F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C57E47"/>
    <w:rPr>
      <w:rFonts w:ascii="Palatino Linotype" w:hAnsi="Palatino Linotype"/>
      <w:sz w:val="16"/>
    </w:rPr>
  </w:style>
  <w:style w:type="table" w:customStyle="1" w:styleId="MDPI41threelinetable">
    <w:name w:val="MDPI_4.1_three_line_table"/>
    <w:basedOn w:val="TableNormal"/>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customStyle="1" w:styleId="UnresolvedMention1">
    <w:name w:val="Unresolved Mention1"/>
    <w:uiPriority w:val="99"/>
    <w:semiHidden/>
    <w:unhideWhenUsed/>
    <w:rsid w:val="00891137"/>
    <w:rPr>
      <w:color w:val="605E5C"/>
      <w:shd w:val="clear" w:color="auto" w:fill="E1DFDD"/>
    </w:rPr>
  </w:style>
  <w:style w:type="table" w:customStyle="1" w:styleId="PlainTable41">
    <w:name w:val="Plain Table 41"/>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47EA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47EA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47EA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37045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rsid w:val="00D47EA5"/>
    <w:rPr>
      <w:sz w:val="21"/>
      <w:szCs w:val="21"/>
    </w:rPr>
  </w:style>
  <w:style w:type="paragraph" w:styleId="CommentText">
    <w:name w:val="annotation text"/>
    <w:basedOn w:val="Normal"/>
    <w:link w:val="CommentTextChar"/>
    <w:rsid w:val="00D47EA5"/>
  </w:style>
  <w:style w:type="character" w:customStyle="1" w:styleId="CommentTextChar">
    <w:name w:val="Comment Text Char"/>
    <w:link w:val="CommentTex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
    <w:name w:val="MDPI_7.1_FootNotes"/>
    <w:qFormat/>
    <w:rsid w:val="0020578D"/>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Revision">
    <w:name w:val="Revision"/>
    <w:hidden/>
    <w:uiPriority w:val="99"/>
    <w:semiHidden/>
    <w:rsid w:val="0075186F"/>
    <w:rPr>
      <w:rFonts w:ascii="Palatino Linotype" w:hAnsi="Palatino Linotype"/>
      <w:noProof/>
      <w:color w:val="000000"/>
    </w:rPr>
  </w:style>
  <w:style w:type="character" w:customStyle="1" w:styleId="UnresolvedMention2">
    <w:name w:val="Unresolved Mention2"/>
    <w:basedOn w:val="DefaultParagraphFont"/>
    <w:uiPriority w:val="99"/>
    <w:semiHidden/>
    <w:unhideWhenUsed/>
    <w:rsid w:val="00751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3326">
      <w:bodyDiv w:val="1"/>
      <w:marLeft w:val="0"/>
      <w:marRight w:val="0"/>
      <w:marTop w:val="0"/>
      <w:marBottom w:val="0"/>
      <w:divBdr>
        <w:top w:val="none" w:sz="0" w:space="0" w:color="auto"/>
        <w:left w:val="none" w:sz="0" w:space="0" w:color="auto"/>
        <w:bottom w:val="none" w:sz="0" w:space="0" w:color="auto"/>
        <w:right w:val="none" w:sz="0" w:space="0" w:color="auto"/>
      </w:divBdr>
      <w:divsChild>
        <w:div w:id="1975868740">
          <w:marLeft w:val="0"/>
          <w:marRight w:val="0"/>
          <w:marTop w:val="0"/>
          <w:marBottom w:val="0"/>
          <w:divBdr>
            <w:top w:val="none" w:sz="0" w:space="0" w:color="auto"/>
            <w:left w:val="none" w:sz="0" w:space="0" w:color="auto"/>
            <w:bottom w:val="none" w:sz="0" w:space="0" w:color="auto"/>
            <w:right w:val="none" w:sz="0" w:space="0" w:color="auto"/>
          </w:divBdr>
        </w:div>
      </w:divsChild>
    </w:div>
    <w:div w:id="320354934">
      <w:bodyDiv w:val="1"/>
      <w:marLeft w:val="0"/>
      <w:marRight w:val="0"/>
      <w:marTop w:val="0"/>
      <w:marBottom w:val="0"/>
      <w:divBdr>
        <w:top w:val="none" w:sz="0" w:space="0" w:color="auto"/>
        <w:left w:val="none" w:sz="0" w:space="0" w:color="auto"/>
        <w:bottom w:val="none" w:sz="0" w:space="0" w:color="auto"/>
        <w:right w:val="none" w:sz="0" w:space="0" w:color="auto"/>
      </w:divBdr>
      <w:divsChild>
        <w:div w:id="826629871">
          <w:marLeft w:val="0"/>
          <w:marRight w:val="0"/>
          <w:marTop w:val="0"/>
          <w:marBottom w:val="0"/>
          <w:divBdr>
            <w:top w:val="none" w:sz="0" w:space="0" w:color="auto"/>
            <w:left w:val="none" w:sz="0" w:space="0" w:color="auto"/>
            <w:bottom w:val="none" w:sz="0" w:space="0" w:color="auto"/>
            <w:right w:val="none" w:sz="0" w:space="0" w:color="auto"/>
          </w:divBdr>
        </w:div>
      </w:divsChild>
    </w:div>
    <w:div w:id="351228325">
      <w:bodyDiv w:val="1"/>
      <w:marLeft w:val="0"/>
      <w:marRight w:val="0"/>
      <w:marTop w:val="0"/>
      <w:marBottom w:val="0"/>
      <w:divBdr>
        <w:top w:val="none" w:sz="0" w:space="0" w:color="auto"/>
        <w:left w:val="none" w:sz="0" w:space="0" w:color="auto"/>
        <w:bottom w:val="none" w:sz="0" w:space="0" w:color="auto"/>
        <w:right w:val="none" w:sz="0" w:space="0" w:color="auto"/>
      </w:divBdr>
      <w:divsChild>
        <w:div w:id="313066770">
          <w:marLeft w:val="0"/>
          <w:marRight w:val="0"/>
          <w:marTop w:val="0"/>
          <w:marBottom w:val="0"/>
          <w:divBdr>
            <w:top w:val="none" w:sz="0" w:space="0" w:color="auto"/>
            <w:left w:val="none" w:sz="0" w:space="0" w:color="auto"/>
            <w:bottom w:val="none" w:sz="0" w:space="0" w:color="auto"/>
            <w:right w:val="none" w:sz="0" w:space="0" w:color="auto"/>
          </w:divBdr>
        </w:div>
      </w:divsChild>
    </w:div>
    <w:div w:id="360015429">
      <w:bodyDiv w:val="1"/>
      <w:marLeft w:val="0"/>
      <w:marRight w:val="0"/>
      <w:marTop w:val="0"/>
      <w:marBottom w:val="0"/>
      <w:divBdr>
        <w:top w:val="none" w:sz="0" w:space="0" w:color="auto"/>
        <w:left w:val="none" w:sz="0" w:space="0" w:color="auto"/>
        <w:bottom w:val="none" w:sz="0" w:space="0" w:color="auto"/>
        <w:right w:val="none" w:sz="0" w:space="0" w:color="auto"/>
      </w:divBdr>
      <w:divsChild>
        <w:div w:id="168912784">
          <w:marLeft w:val="0"/>
          <w:marRight w:val="0"/>
          <w:marTop w:val="0"/>
          <w:marBottom w:val="0"/>
          <w:divBdr>
            <w:top w:val="none" w:sz="0" w:space="0" w:color="auto"/>
            <w:left w:val="none" w:sz="0" w:space="0" w:color="auto"/>
            <w:bottom w:val="none" w:sz="0" w:space="0" w:color="auto"/>
            <w:right w:val="none" w:sz="0" w:space="0" w:color="auto"/>
          </w:divBdr>
        </w:div>
      </w:divsChild>
    </w:div>
    <w:div w:id="384722187">
      <w:bodyDiv w:val="1"/>
      <w:marLeft w:val="0"/>
      <w:marRight w:val="0"/>
      <w:marTop w:val="0"/>
      <w:marBottom w:val="0"/>
      <w:divBdr>
        <w:top w:val="none" w:sz="0" w:space="0" w:color="auto"/>
        <w:left w:val="none" w:sz="0" w:space="0" w:color="auto"/>
        <w:bottom w:val="none" w:sz="0" w:space="0" w:color="auto"/>
        <w:right w:val="none" w:sz="0" w:space="0" w:color="auto"/>
      </w:divBdr>
      <w:divsChild>
        <w:div w:id="98255884">
          <w:marLeft w:val="0"/>
          <w:marRight w:val="0"/>
          <w:marTop w:val="0"/>
          <w:marBottom w:val="0"/>
          <w:divBdr>
            <w:top w:val="none" w:sz="0" w:space="0" w:color="auto"/>
            <w:left w:val="none" w:sz="0" w:space="0" w:color="auto"/>
            <w:bottom w:val="none" w:sz="0" w:space="0" w:color="auto"/>
            <w:right w:val="none" w:sz="0" w:space="0" w:color="auto"/>
          </w:divBdr>
        </w:div>
      </w:divsChild>
    </w:div>
    <w:div w:id="466895917">
      <w:bodyDiv w:val="1"/>
      <w:marLeft w:val="0"/>
      <w:marRight w:val="0"/>
      <w:marTop w:val="0"/>
      <w:marBottom w:val="0"/>
      <w:divBdr>
        <w:top w:val="none" w:sz="0" w:space="0" w:color="auto"/>
        <w:left w:val="none" w:sz="0" w:space="0" w:color="auto"/>
        <w:bottom w:val="none" w:sz="0" w:space="0" w:color="auto"/>
        <w:right w:val="none" w:sz="0" w:space="0" w:color="auto"/>
      </w:divBdr>
    </w:div>
    <w:div w:id="1141388910">
      <w:bodyDiv w:val="1"/>
      <w:marLeft w:val="0"/>
      <w:marRight w:val="0"/>
      <w:marTop w:val="0"/>
      <w:marBottom w:val="0"/>
      <w:divBdr>
        <w:top w:val="none" w:sz="0" w:space="0" w:color="auto"/>
        <w:left w:val="none" w:sz="0" w:space="0" w:color="auto"/>
        <w:bottom w:val="none" w:sz="0" w:space="0" w:color="auto"/>
        <w:right w:val="none" w:sz="0" w:space="0" w:color="auto"/>
      </w:divBdr>
      <w:divsChild>
        <w:div w:id="455416779">
          <w:marLeft w:val="0"/>
          <w:marRight w:val="0"/>
          <w:marTop w:val="0"/>
          <w:marBottom w:val="0"/>
          <w:divBdr>
            <w:top w:val="none" w:sz="0" w:space="0" w:color="auto"/>
            <w:left w:val="none" w:sz="0" w:space="0" w:color="auto"/>
            <w:bottom w:val="none" w:sz="0" w:space="0" w:color="auto"/>
            <w:right w:val="none" w:sz="0" w:space="0" w:color="auto"/>
          </w:divBdr>
        </w:div>
      </w:divsChild>
    </w:div>
    <w:div w:id="1205288834">
      <w:bodyDiv w:val="1"/>
      <w:marLeft w:val="0"/>
      <w:marRight w:val="0"/>
      <w:marTop w:val="0"/>
      <w:marBottom w:val="0"/>
      <w:divBdr>
        <w:top w:val="none" w:sz="0" w:space="0" w:color="auto"/>
        <w:left w:val="none" w:sz="0" w:space="0" w:color="auto"/>
        <w:bottom w:val="none" w:sz="0" w:space="0" w:color="auto"/>
        <w:right w:val="none" w:sz="0" w:space="0" w:color="auto"/>
      </w:divBdr>
    </w:div>
    <w:div w:id="1904949336">
      <w:bodyDiv w:val="1"/>
      <w:marLeft w:val="0"/>
      <w:marRight w:val="0"/>
      <w:marTop w:val="0"/>
      <w:marBottom w:val="0"/>
      <w:divBdr>
        <w:top w:val="none" w:sz="0" w:space="0" w:color="auto"/>
        <w:left w:val="none" w:sz="0" w:space="0" w:color="auto"/>
        <w:bottom w:val="none" w:sz="0" w:space="0" w:color="auto"/>
        <w:right w:val="none" w:sz="0" w:space="0" w:color="auto"/>
      </w:divBdr>
      <w:divsChild>
        <w:div w:id="3138030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ubmed.ncbi.nlm.nih.gov/2998157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pubmed.ncbi.nlm.nih.gov/2754407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32951855/"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2317966/" TargetMode="External"/><Relationship Id="rId5" Type="http://schemas.openxmlformats.org/officeDocument/2006/relationships/footnotes" Target="footnotes.xml"/><Relationship Id="rId15" Type="http://schemas.openxmlformats.org/officeDocument/2006/relationships/hyperlink" Target="https://pubmed.ncbi.nlm.nih.gov/29993265/" TargetMode="External"/><Relationship Id="rId23" Type="http://schemas.openxmlformats.org/officeDocument/2006/relationships/theme" Target="theme/theme1.xml"/><Relationship Id="rId10" Type="http://schemas.openxmlformats.org/officeDocument/2006/relationships/hyperlink" Target="https://pubmed.ncbi.nlm.nih.gov/160287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ubmed.ncbi.nlm.nih.gov/31096898/"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nutrients-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nutrients-template(1).dot</Template>
  <TotalTime>1</TotalTime>
  <Pages>19</Pages>
  <Words>12416</Words>
  <Characters>70775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Asus</dc:creator>
  <cp:lastModifiedBy>Philip Calder</cp:lastModifiedBy>
  <cp:revision>2</cp:revision>
  <cp:lastPrinted>2024-03-08T03:05:00Z</cp:lastPrinted>
  <dcterms:created xsi:type="dcterms:W3CDTF">2024-03-24T17:35:00Z</dcterms:created>
  <dcterms:modified xsi:type="dcterms:W3CDTF">2024-03-24T17:35:00Z</dcterms:modified>
</cp:coreProperties>
</file>