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17C3" w14:textId="77777777" w:rsidR="006E4BC5" w:rsidRDefault="006E4BC5" w:rsidP="006E4BC5">
      <w:pPr>
        <w:pStyle w:val="Heading1"/>
      </w:pPr>
      <w:bookmarkStart w:id="0" w:name="Paper"/>
      <w:bookmarkEnd w:id="0"/>
      <w:r>
        <w:t>eHealth literacy and the use of NHS111 online urgent care service in England: A cross-sectional survey</w:t>
      </w:r>
    </w:p>
    <w:p w14:paraId="4F06E386" w14:textId="77777777" w:rsidR="00A92780" w:rsidRDefault="00A92780" w:rsidP="00A92780"/>
    <w:p w14:paraId="4FAA1844" w14:textId="77777777" w:rsidR="00A92780" w:rsidRPr="00A92780" w:rsidRDefault="00A92780" w:rsidP="00A92780"/>
    <w:p w14:paraId="30C53560" w14:textId="5789607B" w:rsidR="00A92780" w:rsidRPr="004C52F5" w:rsidRDefault="00A92780">
      <w:pPr>
        <w:rPr>
          <w:rFonts w:asciiTheme="majorHAnsi" w:hAnsiTheme="majorHAnsi" w:cstheme="majorHAnsi"/>
          <w:sz w:val="22"/>
          <w:szCs w:val="22"/>
          <w:lang w:val="fr-FR"/>
        </w:rPr>
      </w:pPr>
      <w:r w:rsidRPr="004C52F5">
        <w:rPr>
          <w:rFonts w:asciiTheme="majorHAnsi" w:hAnsiTheme="majorHAnsi" w:cstheme="majorHAnsi"/>
          <w:sz w:val="22"/>
          <w:szCs w:val="22"/>
          <w:lang w:val="fr-FR"/>
        </w:rPr>
        <w:t>Joanne Turnbull</w:t>
      </w:r>
      <w:r w:rsidR="000E4BF5" w:rsidRPr="004C52F5">
        <w:rPr>
          <w:rFonts w:asciiTheme="majorHAnsi" w:hAnsiTheme="majorHAnsi" w:cstheme="majorHAnsi"/>
          <w:sz w:val="22"/>
          <w:szCs w:val="22"/>
          <w:vertAlign w:val="superscript"/>
          <w:lang w:val="fr-FR"/>
        </w:rPr>
        <w:t>1</w:t>
      </w:r>
      <w:r w:rsidRPr="004C52F5">
        <w:rPr>
          <w:rFonts w:asciiTheme="majorHAnsi" w:hAnsiTheme="majorHAnsi" w:cstheme="majorHAnsi"/>
          <w:sz w:val="22"/>
          <w:szCs w:val="22"/>
          <w:lang w:val="fr-FR"/>
        </w:rPr>
        <w:t>, Jane Prichard</w:t>
      </w:r>
      <w:r w:rsidR="000E4BF5" w:rsidRPr="004C52F5">
        <w:rPr>
          <w:rFonts w:asciiTheme="majorHAnsi" w:hAnsiTheme="majorHAnsi" w:cstheme="majorHAnsi"/>
          <w:sz w:val="22"/>
          <w:szCs w:val="22"/>
          <w:vertAlign w:val="superscript"/>
          <w:lang w:val="fr-FR"/>
        </w:rPr>
        <w:t>1</w:t>
      </w:r>
      <w:r w:rsidRPr="004C52F5">
        <w:rPr>
          <w:rFonts w:asciiTheme="majorHAnsi" w:hAnsiTheme="majorHAnsi" w:cstheme="majorHAnsi"/>
          <w:sz w:val="22"/>
          <w:szCs w:val="22"/>
          <w:lang w:val="fr-FR"/>
        </w:rPr>
        <w:t>, Jennifer MacLellan</w:t>
      </w:r>
      <w:r w:rsidR="000E4BF5" w:rsidRPr="004C52F5">
        <w:rPr>
          <w:rFonts w:asciiTheme="majorHAnsi" w:hAnsiTheme="majorHAnsi" w:cstheme="majorHAnsi"/>
          <w:sz w:val="22"/>
          <w:szCs w:val="22"/>
          <w:vertAlign w:val="superscript"/>
          <w:lang w:val="fr-FR"/>
        </w:rPr>
        <w:t>2</w:t>
      </w:r>
      <w:r w:rsidRPr="004C52F5">
        <w:rPr>
          <w:rFonts w:asciiTheme="majorHAnsi" w:hAnsiTheme="majorHAnsi" w:cstheme="majorHAnsi"/>
          <w:sz w:val="22"/>
          <w:szCs w:val="22"/>
          <w:lang w:val="fr-FR"/>
        </w:rPr>
        <w:t>, Catherine Pope</w:t>
      </w:r>
      <w:r w:rsidR="000E4BF5" w:rsidRPr="004C52F5">
        <w:rPr>
          <w:rFonts w:asciiTheme="majorHAnsi" w:hAnsiTheme="majorHAnsi" w:cstheme="majorHAnsi"/>
          <w:sz w:val="22"/>
          <w:szCs w:val="22"/>
          <w:vertAlign w:val="superscript"/>
          <w:lang w:val="fr-FR"/>
        </w:rPr>
        <w:t>2</w:t>
      </w:r>
    </w:p>
    <w:p w14:paraId="6A7FC316" w14:textId="77777777" w:rsidR="00A92780" w:rsidRPr="004C52F5" w:rsidRDefault="00A92780">
      <w:pPr>
        <w:rPr>
          <w:rFonts w:asciiTheme="majorHAnsi" w:hAnsiTheme="majorHAnsi" w:cstheme="majorHAnsi"/>
          <w:sz w:val="22"/>
          <w:szCs w:val="22"/>
          <w:lang w:val="fr-FR"/>
        </w:rPr>
      </w:pPr>
    </w:p>
    <w:p w14:paraId="44E8FC60" w14:textId="77777777" w:rsidR="00A92780" w:rsidRPr="004C52F5" w:rsidRDefault="00A92780">
      <w:pPr>
        <w:rPr>
          <w:rFonts w:asciiTheme="majorHAnsi" w:hAnsiTheme="majorHAnsi" w:cstheme="majorHAnsi"/>
          <w:sz w:val="22"/>
          <w:szCs w:val="22"/>
          <w:lang w:val="fr-FR"/>
        </w:rPr>
      </w:pPr>
    </w:p>
    <w:p w14:paraId="6057D4F2" w14:textId="58065EDA" w:rsidR="000E4BF5" w:rsidRPr="004C52F5" w:rsidRDefault="000E4BF5">
      <w:pPr>
        <w:rPr>
          <w:rFonts w:asciiTheme="majorHAnsi" w:hAnsiTheme="majorHAnsi" w:cstheme="majorHAnsi"/>
          <w:sz w:val="22"/>
          <w:szCs w:val="22"/>
          <w:lang w:val="en-GB"/>
        </w:rPr>
      </w:pPr>
      <w:r w:rsidRPr="004C52F5">
        <w:rPr>
          <w:rFonts w:asciiTheme="majorHAnsi" w:hAnsiTheme="majorHAnsi" w:cstheme="majorHAnsi"/>
          <w:sz w:val="22"/>
          <w:szCs w:val="22"/>
          <w:vertAlign w:val="superscript"/>
          <w:lang w:val="en-GB"/>
        </w:rPr>
        <w:t>1</w:t>
      </w:r>
      <w:r w:rsidRPr="004C52F5">
        <w:rPr>
          <w:rFonts w:asciiTheme="majorHAnsi" w:hAnsiTheme="majorHAnsi" w:cstheme="majorHAnsi"/>
          <w:sz w:val="22"/>
          <w:szCs w:val="22"/>
          <w:lang w:val="en-GB"/>
        </w:rPr>
        <w:t>School of Health Sciences, University of Southampton, Southampton, SO17 1BJ, UK</w:t>
      </w:r>
    </w:p>
    <w:p w14:paraId="60FA3E4C" w14:textId="77777777" w:rsidR="000E4BF5" w:rsidRPr="00BC5FA2" w:rsidRDefault="000E4BF5">
      <w:pPr>
        <w:rPr>
          <w:rFonts w:asciiTheme="majorHAnsi" w:hAnsiTheme="majorHAnsi" w:cstheme="majorHAnsi"/>
          <w:sz w:val="22"/>
          <w:szCs w:val="22"/>
          <w:lang w:val="en-GB"/>
        </w:rPr>
      </w:pPr>
    </w:p>
    <w:p w14:paraId="357F5ED1" w14:textId="26829BD6" w:rsidR="000E4BF5" w:rsidRPr="00BC5FA2" w:rsidRDefault="004C52F5">
      <w:pPr>
        <w:rPr>
          <w:rFonts w:asciiTheme="majorHAnsi" w:hAnsiTheme="majorHAnsi" w:cstheme="majorHAnsi"/>
          <w:sz w:val="22"/>
          <w:szCs w:val="22"/>
          <w:lang w:val="en-GB"/>
        </w:rPr>
      </w:pPr>
      <w:r w:rsidRPr="00BC5FA2">
        <w:rPr>
          <w:rFonts w:asciiTheme="majorHAnsi" w:hAnsiTheme="majorHAnsi" w:cstheme="majorHAnsi"/>
          <w:sz w:val="22"/>
          <w:szCs w:val="22"/>
          <w:shd w:val="clear" w:color="auto" w:fill="FFFFFF"/>
          <w:vertAlign w:val="superscript"/>
        </w:rPr>
        <w:t>2</w:t>
      </w:r>
      <w:r w:rsidRPr="00BC5FA2">
        <w:rPr>
          <w:rFonts w:asciiTheme="majorHAnsi" w:hAnsiTheme="majorHAnsi" w:cstheme="majorHAnsi"/>
          <w:sz w:val="22"/>
          <w:szCs w:val="22"/>
          <w:shd w:val="clear" w:color="auto" w:fill="FFFFFF"/>
        </w:rPr>
        <w:t>Nuffield Department of Primary Care Health Sciences, University of Oxford, OX2 6GG</w:t>
      </w:r>
    </w:p>
    <w:p w14:paraId="3271EFB9" w14:textId="77777777" w:rsidR="000E4BF5" w:rsidRPr="004C52F5" w:rsidRDefault="000E4BF5">
      <w:pPr>
        <w:rPr>
          <w:rFonts w:asciiTheme="majorHAnsi" w:hAnsiTheme="majorHAnsi" w:cstheme="majorHAnsi"/>
          <w:sz w:val="22"/>
          <w:szCs w:val="22"/>
          <w:lang w:val="en-GB"/>
        </w:rPr>
      </w:pPr>
    </w:p>
    <w:p w14:paraId="7177BBE0" w14:textId="77777777" w:rsidR="000E4BF5" w:rsidRPr="004C52F5" w:rsidRDefault="000E4BF5">
      <w:pPr>
        <w:rPr>
          <w:rFonts w:asciiTheme="majorHAnsi" w:hAnsiTheme="majorHAnsi" w:cstheme="majorHAnsi"/>
          <w:sz w:val="22"/>
          <w:szCs w:val="22"/>
          <w:lang w:val="en-GB"/>
        </w:rPr>
      </w:pPr>
    </w:p>
    <w:p w14:paraId="0D75548D" w14:textId="77777777" w:rsidR="000E4BF5" w:rsidRDefault="000E4BF5">
      <w:pPr>
        <w:rPr>
          <w:rFonts w:asciiTheme="majorHAnsi" w:hAnsiTheme="majorHAnsi" w:cstheme="majorHAnsi"/>
          <w:sz w:val="22"/>
          <w:szCs w:val="22"/>
          <w:lang w:val="en-GB"/>
        </w:rPr>
      </w:pPr>
      <w:r w:rsidRPr="004C52F5">
        <w:rPr>
          <w:rFonts w:asciiTheme="majorHAnsi" w:hAnsiTheme="majorHAnsi" w:cstheme="majorHAnsi"/>
          <w:sz w:val="22"/>
          <w:szCs w:val="22"/>
          <w:lang w:val="en-GB"/>
        </w:rPr>
        <w:t>Journal of Medical Internet Research</w:t>
      </w:r>
    </w:p>
    <w:p w14:paraId="5498CA72" w14:textId="1770DFDA" w:rsidR="00932DB9" w:rsidRPr="004C52F5" w:rsidRDefault="00932DB9">
      <w:pPr>
        <w:rPr>
          <w:rFonts w:asciiTheme="majorHAnsi" w:hAnsiTheme="majorHAnsi" w:cstheme="majorHAnsi"/>
          <w:sz w:val="22"/>
          <w:szCs w:val="22"/>
          <w:lang w:val="en-GB"/>
        </w:rPr>
      </w:pPr>
      <w:r>
        <w:rPr>
          <w:rFonts w:asciiTheme="majorHAnsi" w:hAnsiTheme="majorHAnsi" w:cstheme="majorHAnsi"/>
          <w:sz w:val="22"/>
          <w:szCs w:val="22"/>
          <w:lang w:val="en-GB"/>
        </w:rPr>
        <w:t>Accepted</w:t>
      </w:r>
      <w:r w:rsidR="009257A5">
        <w:rPr>
          <w:rFonts w:asciiTheme="majorHAnsi" w:hAnsiTheme="majorHAnsi" w:cstheme="majorHAnsi"/>
          <w:sz w:val="22"/>
          <w:szCs w:val="22"/>
          <w:lang w:val="en-GB"/>
        </w:rPr>
        <w:t xml:space="preserve"> 11</w:t>
      </w:r>
      <w:r w:rsidR="008F0ECA">
        <w:rPr>
          <w:rFonts w:asciiTheme="majorHAnsi" w:hAnsiTheme="majorHAnsi" w:cstheme="majorHAnsi"/>
          <w:sz w:val="22"/>
          <w:szCs w:val="22"/>
          <w:lang w:val="en-GB"/>
        </w:rPr>
        <w:t xml:space="preserve"> April 2024.</w:t>
      </w:r>
    </w:p>
    <w:p w14:paraId="5A9EDF15" w14:textId="77777777" w:rsidR="000E4BF5" w:rsidRDefault="000E4BF5">
      <w:pPr>
        <w:rPr>
          <w:lang w:val="en-GB"/>
        </w:rPr>
      </w:pPr>
    </w:p>
    <w:p w14:paraId="3CDD915D" w14:textId="693969DB" w:rsidR="00A92780" w:rsidRPr="000E4BF5" w:rsidRDefault="00A92780">
      <w:pPr>
        <w:rPr>
          <w:lang w:val="en-GB"/>
        </w:rPr>
      </w:pPr>
      <w:r w:rsidRPr="000E4BF5">
        <w:rPr>
          <w:lang w:val="en-GB"/>
        </w:rPr>
        <w:br/>
      </w:r>
    </w:p>
    <w:p w14:paraId="6B0E3B92" w14:textId="77777777" w:rsidR="00A92780" w:rsidRPr="000E4BF5" w:rsidRDefault="00A92780">
      <w:pPr>
        <w:rPr>
          <w:lang w:val="en-GB"/>
        </w:rPr>
      </w:pPr>
      <w:r w:rsidRPr="000E4BF5">
        <w:rPr>
          <w:lang w:val="en-GB"/>
        </w:rPr>
        <w:br w:type="page"/>
      </w:r>
    </w:p>
    <w:p w14:paraId="410D99C0" w14:textId="77777777" w:rsidR="006E4BC5" w:rsidRPr="000E4BF5" w:rsidRDefault="006E4BC5">
      <w:pPr>
        <w:rPr>
          <w:rFonts w:asciiTheme="majorHAnsi" w:eastAsiaTheme="majorEastAsia" w:hAnsiTheme="majorHAnsi" w:cstheme="majorBidi"/>
          <w:b/>
          <w:bCs/>
          <w:color w:val="4F81BD" w:themeColor="accent1"/>
          <w:sz w:val="26"/>
          <w:szCs w:val="26"/>
          <w:lang w:val="en-GB"/>
        </w:rPr>
      </w:pPr>
    </w:p>
    <w:p w14:paraId="16581FA5" w14:textId="6CD83105" w:rsidR="00EF5BB5" w:rsidRDefault="00A4097A" w:rsidP="00E70D5C">
      <w:pPr>
        <w:pStyle w:val="Heading2"/>
      </w:pPr>
      <w:r>
        <w:t>Original Paper</w:t>
      </w:r>
    </w:p>
    <w:p w14:paraId="529FE712" w14:textId="77777777" w:rsidR="00C17322" w:rsidRDefault="00C17322">
      <w:bookmarkStart w:id="1" w:name="Authors"/>
      <w:bookmarkEnd w:id="1"/>
    </w:p>
    <w:p w14:paraId="50B801FB" w14:textId="2CFDD50E" w:rsidR="000A70D6" w:rsidRDefault="00984C4C" w:rsidP="000A70D6">
      <w:pPr>
        <w:pStyle w:val="Heading1"/>
      </w:pPr>
      <w:bookmarkStart w:id="2" w:name="Title"/>
      <w:bookmarkEnd w:id="2"/>
      <w:r>
        <w:t xml:space="preserve">eHealth literacy and the use of NHS111 online </w:t>
      </w:r>
      <w:r w:rsidR="007D39E4">
        <w:t xml:space="preserve">urgent care </w:t>
      </w:r>
      <w:r w:rsidR="00681AE0">
        <w:t xml:space="preserve">service </w:t>
      </w:r>
      <w:r>
        <w:t>in England: A cross-sectional survey</w:t>
      </w:r>
    </w:p>
    <w:p w14:paraId="740BC237" w14:textId="388F4D27" w:rsidR="00420DCC" w:rsidRDefault="00F255AE" w:rsidP="00F255AE">
      <w:pPr>
        <w:pStyle w:val="Heading2"/>
      </w:pPr>
      <w:bookmarkStart w:id="3" w:name="Abstract"/>
      <w:bookmarkEnd w:id="3"/>
      <w:r>
        <w:t>Abstract</w:t>
      </w:r>
    </w:p>
    <w:p w14:paraId="06F67912" w14:textId="277724E3" w:rsidR="00F255AE" w:rsidRPr="00FB2313" w:rsidRDefault="00657882">
      <w:pPr>
        <w:rPr>
          <w:b/>
        </w:rPr>
      </w:pPr>
      <w:r w:rsidRPr="00FB2313">
        <w:rPr>
          <w:b/>
        </w:rPr>
        <w:t>Background:</w:t>
      </w:r>
      <w:r w:rsidR="00C31485" w:rsidRPr="00FB2313">
        <w:rPr>
          <w:b/>
        </w:rPr>
        <w:t xml:space="preserve"> </w:t>
      </w:r>
      <w:r w:rsidR="00C31485" w:rsidRPr="00FB2313">
        <w:rPr>
          <w:bCs/>
        </w:rPr>
        <w:t>M</w:t>
      </w:r>
      <w:r w:rsidR="00C31485" w:rsidRPr="00FB2313">
        <w:rPr>
          <w:rStyle w:val="Strong"/>
          <w:rFonts w:eastAsiaTheme="majorEastAsia" w:cstheme="minorHAnsi"/>
          <w:b w:val="0"/>
          <w:bdr w:val="none" w:sz="0" w:space="0" w:color="auto" w:frame="1"/>
        </w:rPr>
        <w:t xml:space="preserve">any healthcare systems have </w:t>
      </w:r>
      <w:r w:rsidR="00CB6324">
        <w:rPr>
          <w:rStyle w:val="Strong"/>
          <w:rFonts w:eastAsiaTheme="majorEastAsia" w:cstheme="minorHAnsi"/>
          <w:b w:val="0"/>
          <w:bdr w:val="none" w:sz="0" w:space="0" w:color="auto" w:frame="1"/>
        </w:rPr>
        <w:t>employed</w:t>
      </w:r>
      <w:r w:rsidR="00C31485" w:rsidRPr="00FB2313">
        <w:rPr>
          <w:rStyle w:val="Strong"/>
          <w:rFonts w:eastAsiaTheme="majorEastAsia" w:cstheme="minorHAnsi"/>
          <w:b w:val="0"/>
          <w:bdr w:val="none" w:sz="0" w:space="0" w:color="auto" w:frame="1"/>
        </w:rPr>
        <w:t xml:space="preserve"> </w:t>
      </w:r>
      <w:r w:rsidR="00C31485" w:rsidRPr="00FB2313">
        <w:rPr>
          <w:rFonts w:cstheme="minorHAnsi"/>
        </w:rPr>
        <w:t xml:space="preserve">digital technologies to support care delivery, a trend amplified by the COVID-19 pandemic. ‘Digital first’ may exacerbate health inequalities due to variation in eHealth literacy. </w:t>
      </w:r>
      <w:r w:rsidR="006D2099">
        <w:rPr>
          <w:rFonts w:cstheme="minorHAnsi"/>
        </w:rPr>
        <w:t xml:space="preserve">The relationship between </w:t>
      </w:r>
      <w:r w:rsidR="00EC009D">
        <w:rPr>
          <w:rFonts w:cstheme="minorHAnsi"/>
        </w:rPr>
        <w:t xml:space="preserve">eHealth literacy </w:t>
      </w:r>
      <w:r w:rsidR="009C2738">
        <w:rPr>
          <w:rFonts w:cstheme="minorHAnsi"/>
        </w:rPr>
        <w:t xml:space="preserve">in relation to online urgent care </w:t>
      </w:r>
      <w:r w:rsidR="0057565E">
        <w:rPr>
          <w:rFonts w:cstheme="minorHAnsi"/>
        </w:rPr>
        <w:t>service use</w:t>
      </w:r>
      <w:r w:rsidR="006D2099">
        <w:rPr>
          <w:rFonts w:cstheme="minorHAnsi"/>
        </w:rPr>
        <w:t xml:space="preserve"> is unknown</w:t>
      </w:r>
      <w:r w:rsidR="009C2738">
        <w:rPr>
          <w:rFonts w:cstheme="minorHAnsi"/>
        </w:rPr>
        <w:t>.</w:t>
      </w:r>
    </w:p>
    <w:p w14:paraId="1E6C6102" w14:textId="77777777" w:rsidR="00F72663" w:rsidRDefault="00657882">
      <w:pPr>
        <w:rPr>
          <w:rFonts w:cstheme="minorHAnsi"/>
        </w:rPr>
      </w:pPr>
      <w:r w:rsidRPr="00FB2313">
        <w:rPr>
          <w:b/>
        </w:rPr>
        <w:t>Objective:</w:t>
      </w:r>
      <w:r w:rsidR="00604359" w:rsidRPr="00FB2313">
        <w:rPr>
          <w:b/>
        </w:rPr>
        <w:t xml:space="preserve"> </w:t>
      </w:r>
      <w:r w:rsidR="00604359" w:rsidRPr="00D1250F">
        <w:rPr>
          <w:rFonts w:cstheme="minorHAnsi"/>
        </w:rPr>
        <w:t xml:space="preserve">We </w:t>
      </w:r>
      <w:r w:rsidR="00397B30" w:rsidRPr="00D1250F">
        <w:rPr>
          <w:rFonts w:cstheme="minorHAnsi"/>
        </w:rPr>
        <w:t>measured</w:t>
      </w:r>
      <w:r w:rsidR="00397B30" w:rsidRPr="00814D60">
        <w:rPr>
          <w:rFonts w:cstheme="minorHAnsi"/>
        </w:rPr>
        <w:t xml:space="preserve"> </w:t>
      </w:r>
      <w:r w:rsidR="00345B5E" w:rsidRPr="00814D60">
        <w:rPr>
          <w:rFonts w:cstheme="minorHAnsi"/>
        </w:rPr>
        <w:t xml:space="preserve">the association of </w:t>
      </w:r>
      <w:r w:rsidR="00604359" w:rsidRPr="00814D60">
        <w:rPr>
          <w:rFonts w:cstheme="minorHAnsi"/>
        </w:rPr>
        <w:t xml:space="preserve">eHealth literacy </w:t>
      </w:r>
      <w:r w:rsidR="00345B5E" w:rsidRPr="00814D60">
        <w:rPr>
          <w:rFonts w:cstheme="minorHAnsi"/>
        </w:rPr>
        <w:t xml:space="preserve">with use of </w:t>
      </w:r>
      <w:r w:rsidR="00FE48E8" w:rsidRPr="00814D60">
        <w:rPr>
          <w:rFonts w:cstheme="minorHAnsi"/>
        </w:rPr>
        <w:t xml:space="preserve">the </w:t>
      </w:r>
      <w:r w:rsidR="00604359" w:rsidRPr="00814D60">
        <w:rPr>
          <w:rFonts w:cstheme="minorHAnsi"/>
        </w:rPr>
        <w:t>NHS 111 online urgent care service.</w:t>
      </w:r>
      <w:r w:rsidR="00BC70EB">
        <w:rPr>
          <w:rFonts w:cstheme="minorHAnsi"/>
        </w:rPr>
        <w:t xml:space="preserve"> </w:t>
      </w:r>
    </w:p>
    <w:p w14:paraId="03529D06" w14:textId="5DEB1408" w:rsidR="00657882" w:rsidRPr="00FB2313" w:rsidRDefault="00657882">
      <w:pPr>
        <w:rPr>
          <w:rFonts w:cstheme="minorHAnsi"/>
        </w:rPr>
      </w:pPr>
      <w:r w:rsidRPr="00FB2313">
        <w:rPr>
          <w:b/>
        </w:rPr>
        <w:t>Methods:</w:t>
      </w:r>
      <w:r w:rsidR="00604359" w:rsidRPr="00FB2313">
        <w:rPr>
          <w:b/>
        </w:rPr>
        <w:t xml:space="preserve"> </w:t>
      </w:r>
      <w:r w:rsidR="00604359" w:rsidRPr="00FB2313">
        <w:rPr>
          <w:rFonts w:cstheme="minorHAnsi"/>
        </w:rPr>
        <w:t xml:space="preserve">A cross-sectional </w:t>
      </w:r>
      <w:r w:rsidR="00604359" w:rsidRPr="00FB2313">
        <w:rPr>
          <w:rFonts w:cstheme="minorHAnsi"/>
          <w:shd w:val="clear" w:color="auto" w:fill="FFFFFF"/>
        </w:rPr>
        <w:t xml:space="preserve">sequential convenience sample </w:t>
      </w:r>
      <w:r w:rsidR="00604359" w:rsidRPr="00FB2313">
        <w:rPr>
          <w:rFonts w:cstheme="minorHAnsi"/>
        </w:rPr>
        <w:t>survey of 2754 adults (</w:t>
      </w:r>
      <w:r w:rsidR="00604359" w:rsidRPr="00FB2313">
        <w:rPr>
          <w:rStyle w:val="Strong"/>
          <w:rFonts w:eastAsiaTheme="majorEastAsia" w:cstheme="minorHAnsi"/>
          <w:b w:val="0"/>
          <w:bCs w:val="0"/>
          <w:bdr w:val="none" w:sz="0" w:space="0" w:color="auto" w:frame="1"/>
        </w:rPr>
        <w:t xml:space="preserve">October 2020 - July 2021), from </w:t>
      </w:r>
      <w:r w:rsidR="00604359" w:rsidRPr="00FB2313">
        <w:rPr>
          <w:rFonts w:cstheme="minorHAnsi"/>
        </w:rPr>
        <w:t xml:space="preserve">primary, urgent/emergency care, third sector organisations and </w:t>
      </w:r>
      <w:r w:rsidR="009E6EB1">
        <w:rPr>
          <w:rFonts w:cstheme="minorHAnsi"/>
        </w:rPr>
        <w:t xml:space="preserve">the </w:t>
      </w:r>
      <w:r w:rsidR="00604359" w:rsidRPr="00FB2313">
        <w:rPr>
          <w:rFonts w:cstheme="minorHAnsi"/>
        </w:rPr>
        <w:t xml:space="preserve">NHS 111 </w:t>
      </w:r>
      <w:r w:rsidR="009E6EB1">
        <w:rPr>
          <w:rFonts w:cstheme="minorHAnsi"/>
        </w:rPr>
        <w:t xml:space="preserve">online </w:t>
      </w:r>
      <w:r w:rsidR="00604359" w:rsidRPr="00FB2313">
        <w:rPr>
          <w:rFonts w:cstheme="minorHAnsi"/>
        </w:rPr>
        <w:t>website</w:t>
      </w:r>
      <w:r w:rsidR="00604359" w:rsidRPr="00FB2313">
        <w:rPr>
          <w:rFonts w:cstheme="minorHAnsi"/>
          <w:shd w:val="clear" w:color="auto" w:fill="FFFFFF"/>
        </w:rPr>
        <w:t>.</w:t>
      </w:r>
      <w:r w:rsidR="00604359" w:rsidRPr="00FB2313">
        <w:rPr>
          <w:rFonts w:cstheme="minorHAnsi"/>
        </w:rPr>
        <w:t xml:space="preserve"> The survey included the eHealth Literacy Questionnaire (eHLQ), questions about use and preferences for using 111 online, and sociodemographic</w:t>
      </w:r>
      <w:r w:rsidR="0083563A" w:rsidRPr="00FB2313">
        <w:rPr>
          <w:rFonts w:cstheme="minorHAnsi"/>
        </w:rPr>
        <w:t xml:space="preserve"> characteristics</w:t>
      </w:r>
      <w:r w:rsidR="00604359" w:rsidRPr="00FB2313">
        <w:rPr>
          <w:rFonts w:cstheme="minorHAnsi"/>
        </w:rPr>
        <w:t>.</w:t>
      </w:r>
    </w:p>
    <w:p w14:paraId="31399135" w14:textId="2F98B4B5" w:rsidR="00657882" w:rsidRPr="00FB2313" w:rsidRDefault="00657882">
      <w:r w:rsidRPr="00FB2313">
        <w:rPr>
          <w:b/>
        </w:rPr>
        <w:t>Results:</w:t>
      </w:r>
      <w:r w:rsidRPr="00FB2313">
        <w:t xml:space="preserve"> </w:t>
      </w:r>
      <w:r w:rsidR="00AB6A81" w:rsidRPr="00504ECB">
        <w:rPr>
          <w:rFonts w:cstheme="minorHAnsi"/>
        </w:rPr>
        <w:t>Across almost all d</w:t>
      </w:r>
      <w:r w:rsidR="00EF59CB">
        <w:rPr>
          <w:rFonts w:cstheme="minorHAnsi"/>
        </w:rPr>
        <w:t>imensions</w:t>
      </w:r>
      <w:r w:rsidR="00AB6A81" w:rsidRPr="00504ECB">
        <w:rPr>
          <w:rFonts w:cstheme="minorHAnsi"/>
        </w:rPr>
        <w:t xml:space="preserve"> of the eHLQ, NHS 111 online users had higher</w:t>
      </w:r>
      <w:r w:rsidR="00F4798A" w:rsidRPr="00504ECB">
        <w:rPr>
          <w:rFonts w:cstheme="minorHAnsi"/>
        </w:rPr>
        <w:t xml:space="preserve"> mean</w:t>
      </w:r>
      <w:r w:rsidR="00AB6A81" w:rsidRPr="00504ECB">
        <w:rPr>
          <w:rFonts w:cstheme="minorHAnsi"/>
        </w:rPr>
        <w:t xml:space="preserve"> digital literacy scores than non-users</w:t>
      </w:r>
      <w:r w:rsidR="00325438" w:rsidRPr="00504ECB">
        <w:rPr>
          <w:rFonts w:cstheme="minorHAnsi"/>
        </w:rPr>
        <w:t xml:space="preserve"> (</w:t>
      </w:r>
      <w:r w:rsidR="00EE747A" w:rsidRPr="00EE747A">
        <w:rPr>
          <w:rFonts w:cstheme="minorHAnsi"/>
          <w:i/>
          <w:iCs/>
        </w:rPr>
        <w:t>P</w:t>
      </w:r>
      <w:r w:rsidR="00325438" w:rsidRPr="00504ECB">
        <w:rPr>
          <w:rFonts w:cstheme="minorHAnsi"/>
        </w:rPr>
        <w:t>&lt;0.001)</w:t>
      </w:r>
      <w:r w:rsidR="00AB6A81" w:rsidRPr="00504ECB">
        <w:rPr>
          <w:rFonts w:cstheme="minorHAnsi"/>
        </w:rPr>
        <w:t xml:space="preserve">. </w:t>
      </w:r>
      <w:r w:rsidR="00AB6A81" w:rsidRPr="00CC58E8">
        <w:rPr>
          <w:rFonts w:cstheme="minorHAnsi"/>
        </w:rPr>
        <w:t>Four eHLQ d</w:t>
      </w:r>
      <w:r w:rsidR="008E37B2">
        <w:rPr>
          <w:rFonts w:cstheme="minorHAnsi"/>
        </w:rPr>
        <w:t>imensions</w:t>
      </w:r>
      <w:r w:rsidR="00AB6A81" w:rsidRPr="00CC58E8">
        <w:rPr>
          <w:rFonts w:cstheme="minorHAnsi"/>
        </w:rPr>
        <w:t xml:space="preserve"> were significant predictors of use</w:t>
      </w:r>
      <w:r w:rsidR="009448B7" w:rsidRPr="00CC58E8">
        <w:rPr>
          <w:rFonts w:cstheme="minorHAnsi"/>
        </w:rPr>
        <w:t xml:space="preserve">, </w:t>
      </w:r>
      <w:r w:rsidR="00386C25" w:rsidRPr="00CC58E8">
        <w:rPr>
          <w:rFonts w:cstheme="minorHAnsi"/>
        </w:rPr>
        <w:t>most highly significant for eHLQ1 (Using technology to process health information) and eHLQ3 (Ability to actively e</w:t>
      </w:r>
      <w:r w:rsidR="00386C25" w:rsidRPr="00CC58E8">
        <w:rPr>
          <w:rFonts w:cstheme="minorHAnsi"/>
          <w:lang w:eastAsia="en-GB"/>
        </w:rPr>
        <w:t>ngage with digital services)</w:t>
      </w:r>
      <w:r w:rsidR="00CC58E8" w:rsidRPr="00CC58E8">
        <w:rPr>
          <w:rFonts w:cstheme="minorHAnsi"/>
          <w:lang w:eastAsia="en-GB"/>
        </w:rPr>
        <w:t xml:space="preserve"> </w:t>
      </w:r>
      <w:r w:rsidR="00EA528B">
        <w:rPr>
          <w:rFonts w:cstheme="minorHAnsi"/>
          <w:lang w:eastAsia="en-GB"/>
        </w:rPr>
        <w:t xml:space="preserve">- </w:t>
      </w:r>
      <w:r w:rsidR="00CC58E8" w:rsidRPr="00343484">
        <w:rPr>
          <w:rFonts w:cstheme="minorHAnsi"/>
          <w:lang w:eastAsia="en-GB"/>
        </w:rPr>
        <w:t>odds ratios</w:t>
      </w:r>
      <w:r w:rsidR="00774196" w:rsidRPr="00343484">
        <w:rPr>
          <w:rFonts w:cstheme="minorHAnsi"/>
          <w:lang w:eastAsia="en-GB"/>
        </w:rPr>
        <w:t xml:space="preserve"> (95% CI)</w:t>
      </w:r>
      <w:r w:rsidR="00CC58E8" w:rsidRPr="00343484">
        <w:rPr>
          <w:rFonts w:cstheme="minorHAnsi"/>
          <w:lang w:eastAsia="en-GB"/>
        </w:rPr>
        <w:t xml:space="preserve"> of </w:t>
      </w:r>
      <w:r w:rsidR="00D22A8E" w:rsidRPr="00343484">
        <w:rPr>
          <w:rFonts w:cstheme="minorHAnsi"/>
        </w:rPr>
        <w:t xml:space="preserve">1.86 (1.46 to 2.38) and </w:t>
      </w:r>
      <w:r w:rsidR="00CC58E8" w:rsidRPr="00343484">
        <w:rPr>
          <w:rFonts w:cstheme="minorHAnsi"/>
        </w:rPr>
        <w:t>1</w:t>
      </w:r>
      <w:r w:rsidR="00E36D96" w:rsidRPr="00343484">
        <w:rPr>
          <w:rFonts w:cstheme="minorHAnsi"/>
        </w:rPr>
        <w:t>.51 (1.22 to 1.88)</w:t>
      </w:r>
      <w:r w:rsidR="00CC58E8" w:rsidRPr="00343484">
        <w:rPr>
          <w:rFonts w:cstheme="minorHAnsi"/>
        </w:rPr>
        <w:t xml:space="preserve"> respectively. </w:t>
      </w:r>
      <w:r w:rsidR="00AB6A81" w:rsidRPr="00343484">
        <w:rPr>
          <w:rFonts w:cstheme="minorHAnsi"/>
        </w:rPr>
        <w:t xml:space="preserve">Respondents reporting a long-term </w:t>
      </w:r>
      <w:r w:rsidR="007509E2" w:rsidRPr="00343484">
        <w:rPr>
          <w:rFonts w:cstheme="minorHAnsi"/>
        </w:rPr>
        <w:t xml:space="preserve">health </w:t>
      </w:r>
      <w:r w:rsidR="00AB6A81" w:rsidRPr="00343484">
        <w:rPr>
          <w:rFonts w:cstheme="minorHAnsi"/>
        </w:rPr>
        <w:t>condition (LT</w:t>
      </w:r>
      <w:r w:rsidR="007509E2" w:rsidRPr="00343484">
        <w:rPr>
          <w:rFonts w:cstheme="minorHAnsi"/>
        </w:rPr>
        <w:t>H</w:t>
      </w:r>
      <w:r w:rsidR="00AB6A81" w:rsidRPr="00343484">
        <w:rPr>
          <w:rFonts w:cstheme="minorHAnsi"/>
        </w:rPr>
        <w:t xml:space="preserve">C) had lower eHLQ scores.  </w:t>
      </w:r>
      <w:r w:rsidR="00E30F5A" w:rsidRPr="00343484">
        <w:rPr>
          <w:rFonts w:cstheme="minorHAnsi"/>
        </w:rPr>
        <w:t xml:space="preserve">People under 25 </w:t>
      </w:r>
      <w:r w:rsidR="007151C7" w:rsidRPr="00343484">
        <w:rPr>
          <w:rFonts w:cstheme="minorHAnsi"/>
        </w:rPr>
        <w:t>(OR</w:t>
      </w:r>
      <w:r w:rsidR="00774196" w:rsidRPr="00343484">
        <w:rPr>
          <w:rFonts w:cstheme="minorHAnsi"/>
        </w:rPr>
        <w:t xml:space="preserve"> (95% CI)</w:t>
      </w:r>
      <w:r w:rsidR="00B86952" w:rsidRPr="00343484">
        <w:rPr>
          <w:rFonts w:cstheme="minorHAnsi"/>
        </w:rPr>
        <w:t xml:space="preserve"> </w:t>
      </w:r>
      <w:r w:rsidR="00774196" w:rsidRPr="00343484">
        <w:rPr>
          <w:rFonts w:cstheme="minorHAnsi"/>
        </w:rPr>
        <w:t>3.24</w:t>
      </w:r>
      <w:r w:rsidR="00B86952" w:rsidRPr="00343484">
        <w:rPr>
          <w:rFonts w:cstheme="minorHAnsi"/>
        </w:rPr>
        <w:t xml:space="preserve"> (1.87 to 5.62)</w:t>
      </w:r>
      <w:r w:rsidR="008F77BE" w:rsidRPr="00343484">
        <w:rPr>
          <w:rFonts w:cstheme="minorHAnsi"/>
        </w:rPr>
        <w:t>)</w:t>
      </w:r>
      <w:r w:rsidR="00B86952" w:rsidRPr="00343484">
        <w:rPr>
          <w:rFonts w:cstheme="minorHAnsi"/>
        </w:rPr>
        <w:t xml:space="preserve">, </w:t>
      </w:r>
      <w:r w:rsidR="00785DD5" w:rsidRPr="00343484">
        <w:rPr>
          <w:rFonts w:cstheme="minorHAnsi"/>
        </w:rPr>
        <w:t xml:space="preserve">and </w:t>
      </w:r>
      <w:r w:rsidR="00AB6A81" w:rsidRPr="00343484">
        <w:rPr>
          <w:rFonts w:cstheme="minorHAnsi"/>
        </w:rPr>
        <w:t xml:space="preserve">those with formal qualifications </w:t>
      </w:r>
      <w:r w:rsidR="00B86952" w:rsidRPr="00343484">
        <w:rPr>
          <w:rFonts w:cstheme="minorHAnsi"/>
        </w:rPr>
        <w:t>(</w:t>
      </w:r>
      <w:r w:rsidR="006C6B5F" w:rsidRPr="00343484">
        <w:rPr>
          <w:rFonts w:cstheme="minorHAnsi"/>
        </w:rPr>
        <w:t>0.74 (0.55 to 0.99)</w:t>
      </w:r>
      <w:r w:rsidR="00AB6A81" w:rsidRPr="00343484">
        <w:rPr>
          <w:rFonts w:cstheme="minorHAnsi"/>
        </w:rPr>
        <w:t xml:space="preserve"> were</w:t>
      </w:r>
      <w:r w:rsidR="00AB6A81" w:rsidRPr="00104C12">
        <w:rPr>
          <w:rFonts w:cstheme="minorHAnsi"/>
        </w:rPr>
        <w:t xml:space="preserve"> more likely to use 111 online</w:t>
      </w:r>
      <w:r w:rsidR="00AB6A81" w:rsidRPr="008228BD">
        <w:rPr>
          <w:rFonts w:cstheme="minorHAnsi"/>
        </w:rPr>
        <w:t xml:space="preserve">. Users and non-users </w:t>
      </w:r>
      <w:r w:rsidR="001B5F65">
        <w:rPr>
          <w:rFonts w:cstheme="minorHAnsi"/>
        </w:rPr>
        <w:t xml:space="preserve">were likely to </w:t>
      </w:r>
      <w:r w:rsidR="00AB6A81" w:rsidRPr="008228BD">
        <w:rPr>
          <w:rFonts w:cstheme="minorHAnsi"/>
        </w:rPr>
        <w:t>use NHS 111 online for a range of sym</w:t>
      </w:r>
      <w:r w:rsidR="00AB6A81" w:rsidRPr="00D520CC">
        <w:rPr>
          <w:rFonts w:cstheme="minorHAnsi"/>
        </w:rPr>
        <w:t>ptoms, including chest pain symptoms</w:t>
      </w:r>
      <w:r w:rsidR="00F32299" w:rsidRPr="00D520CC">
        <w:rPr>
          <w:rFonts w:cstheme="minorHAnsi"/>
        </w:rPr>
        <w:t xml:space="preserve"> (</w:t>
      </w:r>
      <w:r w:rsidR="00D82F36" w:rsidRPr="00D520CC">
        <w:rPr>
          <w:rFonts w:cstheme="minorHAnsi"/>
        </w:rPr>
        <w:t>70.4%</w:t>
      </w:r>
      <w:r w:rsidR="009413C9" w:rsidRPr="00D520CC">
        <w:rPr>
          <w:rFonts w:cstheme="minorHAnsi"/>
        </w:rPr>
        <w:t xml:space="preserve">) </w:t>
      </w:r>
      <w:r w:rsidR="00AB6A81" w:rsidRPr="00D520CC">
        <w:rPr>
          <w:rFonts w:cstheme="minorHAnsi"/>
        </w:rPr>
        <w:t>or for illness in children</w:t>
      </w:r>
      <w:r w:rsidR="009413C9" w:rsidRPr="00D520CC">
        <w:rPr>
          <w:rFonts w:cstheme="minorHAnsi"/>
        </w:rPr>
        <w:t xml:space="preserve"> (</w:t>
      </w:r>
      <w:r w:rsidR="008228BD" w:rsidRPr="00D520CC">
        <w:rPr>
          <w:rFonts w:cstheme="minorHAnsi"/>
        </w:rPr>
        <w:t>70.0%)</w:t>
      </w:r>
      <w:r w:rsidR="00AB6A81" w:rsidRPr="00D520CC">
        <w:rPr>
          <w:rFonts w:cstheme="minorHAnsi"/>
        </w:rPr>
        <w:t>. Users of NHS 111 online were more likely to have also used other health services, particularly the 111 telephone service</w:t>
      </w:r>
      <w:r w:rsidR="0069472F" w:rsidRPr="00D520CC">
        <w:rPr>
          <w:rFonts w:cstheme="minorHAnsi"/>
        </w:rPr>
        <w:t xml:space="preserve"> (X</w:t>
      </w:r>
      <w:r w:rsidR="00A9302F" w:rsidRPr="00D520CC">
        <w:rPr>
          <w:rFonts w:cstheme="minorHAnsi"/>
          <w:vertAlign w:val="superscript"/>
        </w:rPr>
        <w:t>2</w:t>
      </w:r>
      <w:r w:rsidR="00D520CC">
        <w:rPr>
          <w:rFonts w:cstheme="minorHAnsi"/>
        </w:rPr>
        <w:t>=</w:t>
      </w:r>
      <w:r w:rsidR="00A9302F" w:rsidRPr="00D520CC">
        <w:rPr>
          <w:rFonts w:cstheme="minorHAnsi"/>
        </w:rPr>
        <w:t>138.57</w:t>
      </w:r>
      <w:r w:rsidR="00881EFF" w:rsidRPr="00D520CC">
        <w:rPr>
          <w:rFonts w:cstheme="minorHAnsi"/>
        </w:rPr>
        <w:t xml:space="preserve">; </w:t>
      </w:r>
      <w:r w:rsidR="00AC2D90" w:rsidRPr="00EE747A">
        <w:rPr>
          <w:rFonts w:cstheme="minorHAnsi"/>
          <w:i/>
          <w:iCs/>
        </w:rPr>
        <w:t>P</w:t>
      </w:r>
      <w:r w:rsidR="00AC2D90" w:rsidRPr="00D520CC">
        <w:rPr>
          <w:rFonts w:cstheme="minorHAnsi"/>
        </w:rPr>
        <w:t xml:space="preserve"> </w:t>
      </w:r>
      <w:r w:rsidR="00881EFF" w:rsidRPr="00D520CC">
        <w:rPr>
          <w:rFonts w:cstheme="minorHAnsi"/>
        </w:rPr>
        <w:t>&lt;0.001)</w:t>
      </w:r>
      <w:r w:rsidR="00AB6A81" w:rsidRPr="00D520CC">
        <w:rPr>
          <w:rFonts w:cstheme="minorHAnsi"/>
        </w:rPr>
        <w:t>.</w:t>
      </w:r>
    </w:p>
    <w:p w14:paraId="5FBF46A4" w14:textId="4B064466" w:rsidR="00722248" w:rsidRPr="00FB2313" w:rsidRDefault="00722248">
      <w:pPr>
        <w:rPr>
          <w:b/>
        </w:rPr>
      </w:pPr>
      <w:r w:rsidRPr="00FB2313">
        <w:rPr>
          <w:b/>
        </w:rPr>
        <w:t>Conclusions:</w:t>
      </w:r>
      <w:r w:rsidR="003D194A" w:rsidRPr="00FB2313">
        <w:rPr>
          <w:b/>
        </w:rPr>
        <w:t xml:space="preserve"> </w:t>
      </w:r>
      <w:r w:rsidR="003D194A" w:rsidRPr="00FB2313">
        <w:rPr>
          <w:rStyle w:val="Strong"/>
          <w:rFonts w:eastAsiaTheme="majorEastAsia" w:cstheme="minorHAnsi"/>
          <w:b w:val="0"/>
          <w:bdr w:val="none" w:sz="0" w:space="0" w:color="auto" w:frame="1"/>
        </w:rPr>
        <w:t>These d</w:t>
      </w:r>
      <w:r w:rsidR="003D194A" w:rsidRPr="00FB2313">
        <w:rPr>
          <w:rFonts w:cstheme="minorHAnsi"/>
        </w:rPr>
        <w:t xml:space="preserve">ifferences in eHealth literacy scores amplify perennial concerns about digital exclusion and access to care for those impacted by intersecting forms of disadvantage, including long term illness.  Although many appear willing to use NHS 111 online for a range of health scenarios, indicating broad acceptability, not all are able or </w:t>
      </w:r>
      <w:r w:rsidR="00DB31D9">
        <w:rPr>
          <w:rFonts w:cstheme="minorHAnsi"/>
        </w:rPr>
        <w:t>likely</w:t>
      </w:r>
      <w:r w:rsidR="003D194A" w:rsidRPr="00FB2313">
        <w:rPr>
          <w:rFonts w:cstheme="minorHAnsi"/>
        </w:rPr>
        <w:t xml:space="preserve"> to </w:t>
      </w:r>
      <w:r w:rsidR="0004307F">
        <w:rPr>
          <w:rFonts w:cstheme="minorHAnsi"/>
        </w:rPr>
        <w:t>do this</w:t>
      </w:r>
      <w:r w:rsidR="003D194A" w:rsidRPr="00FB2313">
        <w:rPr>
          <w:rFonts w:cstheme="minorHAnsi"/>
        </w:rPr>
        <w:t xml:space="preserve">. Despite a policy ambition for 111 online to substitute for other services, it appears to be used alongside other urgent care </w:t>
      </w:r>
      <w:r w:rsidR="0066346C">
        <w:rPr>
          <w:rFonts w:cstheme="minorHAnsi"/>
        </w:rPr>
        <w:t>services</w:t>
      </w:r>
      <w:r w:rsidR="003D194A" w:rsidRPr="00FB2313">
        <w:rPr>
          <w:rFonts w:cstheme="minorHAnsi"/>
        </w:rPr>
        <w:t>, and thus may not reduce demand.</w:t>
      </w:r>
    </w:p>
    <w:p w14:paraId="110216BF" w14:textId="77777777" w:rsidR="00660442" w:rsidRDefault="00660442">
      <w:pPr>
        <w:rPr>
          <w:b/>
        </w:rPr>
      </w:pPr>
      <w:bookmarkStart w:id="4" w:name="Trial"/>
      <w:bookmarkEnd w:id="4"/>
    </w:p>
    <w:p w14:paraId="2277C9D5" w14:textId="04B96469" w:rsidR="003A733F" w:rsidRPr="00037FF2" w:rsidRDefault="003A733F">
      <w:bookmarkStart w:id="5" w:name="Keywords"/>
      <w:bookmarkEnd w:id="5"/>
      <w:r w:rsidRPr="00660442">
        <w:rPr>
          <w:b/>
        </w:rPr>
        <w:t>Keywords</w:t>
      </w:r>
      <w:r w:rsidR="00660442">
        <w:rPr>
          <w:b/>
        </w:rPr>
        <w:t>:</w:t>
      </w:r>
      <w:r w:rsidR="006B7E71">
        <w:rPr>
          <w:b/>
        </w:rPr>
        <w:t xml:space="preserve"> </w:t>
      </w:r>
      <w:r w:rsidR="00375CF9" w:rsidRPr="00FB6557">
        <w:rPr>
          <w:bCs/>
        </w:rPr>
        <w:t xml:space="preserve">Urgent care; digital health; access to healthcare; </w:t>
      </w:r>
      <w:r w:rsidR="00FB6557" w:rsidRPr="00FB6557">
        <w:rPr>
          <w:bCs/>
        </w:rPr>
        <w:t>e-</w:t>
      </w:r>
      <w:r w:rsidR="00FB6557" w:rsidRPr="008212BD">
        <w:rPr>
          <w:bCs/>
        </w:rPr>
        <w:t xml:space="preserve">health </w:t>
      </w:r>
      <w:r w:rsidR="008212BD" w:rsidRPr="008212BD">
        <w:rPr>
          <w:bCs/>
        </w:rPr>
        <w:t>literacy</w:t>
      </w:r>
    </w:p>
    <w:p w14:paraId="6C60A24D" w14:textId="77777777" w:rsidR="003A733F" w:rsidRDefault="003A733F"/>
    <w:p w14:paraId="711C5C96" w14:textId="744C9FB7" w:rsidR="00E06F7F" w:rsidRPr="00E06F7F" w:rsidRDefault="00515897" w:rsidP="00E06F7F">
      <w:pPr>
        <w:pStyle w:val="Heading2"/>
      </w:pPr>
      <w:bookmarkStart w:id="6" w:name="Introduction"/>
      <w:bookmarkStart w:id="7" w:name="_Introduction_1"/>
      <w:bookmarkEnd w:id="6"/>
      <w:bookmarkEnd w:id="7"/>
      <w:r>
        <w:lastRenderedPageBreak/>
        <w:t>Introduction</w:t>
      </w:r>
    </w:p>
    <w:p w14:paraId="58DCA363" w14:textId="0B0CAE0C" w:rsidR="003B6C27" w:rsidRPr="00DA5457" w:rsidRDefault="00FC4F97" w:rsidP="00FC4F97">
      <w:pPr>
        <w:spacing w:line="276" w:lineRule="auto"/>
        <w:rPr>
          <w:rFonts w:cstheme="minorHAnsi"/>
        </w:rPr>
      </w:pPr>
      <w:r w:rsidRPr="00FB2313">
        <w:rPr>
          <w:rFonts w:cstheme="minorHAnsi"/>
          <w:shd w:val="clear" w:color="auto" w:fill="FFFFFF"/>
        </w:rPr>
        <w:t xml:space="preserve">‘Digital first’ as the central point of contact is increasingly being pursued in the delivery of a wide range of services, including </w:t>
      </w:r>
      <w:r w:rsidRPr="00CB46B2">
        <w:rPr>
          <w:rFonts w:cstheme="minorHAnsi"/>
          <w:shd w:val="clear" w:color="auto" w:fill="FFFFFF"/>
        </w:rPr>
        <w:t>healthcare</w:t>
      </w:r>
      <w:r w:rsidR="00943A98" w:rsidRPr="00CB46B2">
        <w:rPr>
          <w:rFonts w:cstheme="minorHAnsi"/>
          <w:shd w:val="clear" w:color="auto" w:fill="FFFFFF"/>
        </w:rPr>
        <w:t xml:space="preserve"> </w:t>
      </w:r>
      <w:r w:rsidR="000209D2">
        <w:rPr>
          <w:rFonts w:cstheme="minorHAnsi"/>
          <w:shd w:val="clear" w:color="auto" w:fill="FFFFFF"/>
        </w:rPr>
        <w:t>[</w:t>
      </w:r>
      <w:r w:rsidR="00DC6DAF">
        <w:rPr>
          <w:rFonts w:cstheme="minorHAnsi"/>
          <w:shd w:val="clear" w:color="auto" w:fill="FFFFFF"/>
        </w:rPr>
        <w:t>1</w:t>
      </w:r>
      <w:r w:rsidR="000209D2">
        <w:rPr>
          <w:rFonts w:cstheme="minorHAnsi"/>
          <w:shd w:val="clear" w:color="auto" w:fill="FFFFFF"/>
        </w:rPr>
        <w:t>]</w:t>
      </w:r>
      <w:r w:rsidRPr="00CB46B2">
        <w:rPr>
          <w:rFonts w:cstheme="minorHAnsi"/>
          <w:shd w:val="clear" w:color="auto" w:fill="FFFFFF"/>
        </w:rPr>
        <w:t xml:space="preserve">. </w:t>
      </w:r>
      <w:r w:rsidRPr="00CB46B2">
        <w:rPr>
          <w:rFonts w:cstheme="minorHAnsi"/>
        </w:rPr>
        <w:t>The</w:t>
      </w:r>
      <w:r w:rsidRPr="00FB2313">
        <w:rPr>
          <w:rFonts w:cstheme="minorHAnsi"/>
        </w:rPr>
        <w:t xml:space="preserve"> Covid-19 pandemic rapidly </w:t>
      </w:r>
      <w:r w:rsidRPr="00FB2313">
        <w:rPr>
          <w:rFonts w:cstheme="minorHAnsi"/>
          <w:shd w:val="clear" w:color="auto" w:fill="FFFFFF"/>
        </w:rPr>
        <w:t>accelerated the use of apps,</w:t>
      </w:r>
      <w:r w:rsidRPr="00FB2313">
        <w:rPr>
          <w:rFonts w:cstheme="minorHAnsi"/>
        </w:rPr>
        <w:t xml:space="preserve"> web-based digital technologies, and </w:t>
      </w:r>
      <w:r w:rsidR="007C392E">
        <w:rPr>
          <w:rFonts w:cstheme="minorHAnsi"/>
        </w:rPr>
        <w:t>online</w:t>
      </w:r>
      <w:r w:rsidRPr="00FB2313">
        <w:rPr>
          <w:rFonts w:cstheme="minorHAnsi"/>
          <w:shd w:val="clear" w:color="auto" w:fill="FFFFFF"/>
        </w:rPr>
        <w:t xml:space="preserve"> triage </w:t>
      </w:r>
      <w:r w:rsidRPr="00FB2313">
        <w:rPr>
          <w:rFonts w:cstheme="minorHAnsi"/>
        </w:rPr>
        <w:t>in general practice and urgent care, internationally</w:t>
      </w:r>
      <w:r w:rsidR="009036E6">
        <w:rPr>
          <w:rFonts w:cstheme="minorHAnsi"/>
        </w:rPr>
        <w:t xml:space="preserve"> [</w:t>
      </w:r>
      <w:r w:rsidR="00F27FDF">
        <w:rPr>
          <w:rFonts w:cstheme="minorHAnsi"/>
        </w:rPr>
        <w:t>2</w:t>
      </w:r>
      <w:r w:rsidR="009036E6">
        <w:rPr>
          <w:rFonts w:cstheme="minorHAnsi"/>
        </w:rPr>
        <w:t>]</w:t>
      </w:r>
      <w:r w:rsidRPr="00FB2313">
        <w:rPr>
          <w:rFonts w:cstheme="minorHAnsi"/>
        </w:rPr>
        <w:t xml:space="preserve"> and in the UK</w:t>
      </w:r>
      <w:r w:rsidR="009036E6">
        <w:rPr>
          <w:rFonts w:cstheme="minorHAnsi"/>
        </w:rPr>
        <w:t xml:space="preserve"> [</w:t>
      </w:r>
      <w:r w:rsidR="00DC6DAF">
        <w:rPr>
          <w:rFonts w:cstheme="minorHAnsi"/>
        </w:rPr>
        <w:t>3</w:t>
      </w:r>
      <w:r w:rsidR="009036E6">
        <w:rPr>
          <w:rFonts w:cstheme="minorHAnsi"/>
        </w:rPr>
        <w:t>]</w:t>
      </w:r>
      <w:r w:rsidRPr="00FB2313">
        <w:rPr>
          <w:rFonts w:cstheme="minorHAnsi"/>
        </w:rPr>
        <w:t xml:space="preserve">. </w:t>
      </w:r>
      <w:r w:rsidRPr="00FB2313">
        <w:rPr>
          <w:rFonts w:cstheme="minorHAnsi"/>
          <w:shd w:val="clear" w:color="auto" w:fill="FFFFFF"/>
        </w:rPr>
        <w:t>Digital</w:t>
      </w:r>
      <w:r w:rsidR="00DB4C85">
        <w:rPr>
          <w:rFonts w:cstheme="minorHAnsi"/>
          <w:shd w:val="clear" w:color="auto" w:fill="FFFFFF"/>
        </w:rPr>
        <w:t xml:space="preserve"> and t</w:t>
      </w:r>
      <w:r w:rsidR="005138AC">
        <w:rPr>
          <w:rFonts w:cstheme="minorHAnsi"/>
          <w:shd w:val="clear" w:color="auto" w:fill="FFFFFF"/>
        </w:rPr>
        <w:t>elephone</w:t>
      </w:r>
      <w:r w:rsidR="00DB4C85">
        <w:rPr>
          <w:rFonts w:cstheme="minorHAnsi"/>
          <w:shd w:val="clear" w:color="auto" w:fill="FFFFFF"/>
        </w:rPr>
        <w:t xml:space="preserve"> </w:t>
      </w:r>
      <w:r w:rsidRPr="00816EE4">
        <w:rPr>
          <w:rFonts w:cstheme="minorHAnsi"/>
          <w:shd w:val="clear" w:color="auto" w:fill="FFFFFF"/>
        </w:rPr>
        <w:t>access is now core to primary</w:t>
      </w:r>
      <w:r w:rsidR="00135406">
        <w:rPr>
          <w:rFonts w:cstheme="minorHAnsi"/>
          <w:shd w:val="clear" w:color="auto" w:fill="FFFFFF"/>
        </w:rPr>
        <w:t xml:space="preserve"> </w:t>
      </w:r>
      <w:r w:rsidR="00F27FDF">
        <w:rPr>
          <w:rFonts w:cstheme="minorHAnsi"/>
          <w:shd w:val="clear" w:color="auto" w:fill="FFFFFF"/>
        </w:rPr>
        <w:t>[</w:t>
      </w:r>
      <w:r w:rsidR="001C437C">
        <w:rPr>
          <w:rFonts w:cstheme="minorHAnsi"/>
          <w:shd w:val="clear" w:color="auto" w:fill="FFFFFF"/>
        </w:rPr>
        <w:t>4,5</w:t>
      </w:r>
      <w:r w:rsidR="00F27FDF">
        <w:rPr>
          <w:rFonts w:cstheme="minorHAnsi"/>
          <w:shd w:val="clear" w:color="auto" w:fill="FFFFFF"/>
        </w:rPr>
        <w:t>]</w:t>
      </w:r>
      <w:r w:rsidRPr="00816EE4">
        <w:rPr>
          <w:rFonts w:cstheme="minorHAnsi"/>
          <w:shd w:val="clear" w:color="auto" w:fill="FFFFFF"/>
        </w:rPr>
        <w:t>, urgent and emergency care provision in the UK NHS</w:t>
      </w:r>
      <w:r w:rsidR="007A3E50">
        <w:rPr>
          <w:rFonts w:cstheme="minorHAnsi"/>
          <w:shd w:val="clear" w:color="auto" w:fill="FFFFFF"/>
        </w:rPr>
        <w:t xml:space="preserve"> </w:t>
      </w:r>
      <w:r w:rsidR="00F27FDF">
        <w:rPr>
          <w:rFonts w:cstheme="minorHAnsi"/>
          <w:shd w:val="clear" w:color="auto" w:fill="FFFFFF"/>
        </w:rPr>
        <w:t>[</w:t>
      </w:r>
      <w:r w:rsidR="001C437C">
        <w:rPr>
          <w:rFonts w:cstheme="minorHAnsi"/>
          <w:shd w:val="clear" w:color="auto" w:fill="FFFFFF"/>
        </w:rPr>
        <w:t>6,7</w:t>
      </w:r>
      <w:r w:rsidR="00F27FDF">
        <w:rPr>
          <w:rFonts w:cstheme="minorHAnsi"/>
          <w:shd w:val="clear" w:color="auto" w:fill="FFFFFF"/>
        </w:rPr>
        <w:t>]</w:t>
      </w:r>
      <w:r w:rsidRPr="00816EE4">
        <w:rPr>
          <w:rFonts w:cstheme="minorHAnsi"/>
          <w:shd w:val="clear" w:color="auto" w:fill="FFFFFF"/>
        </w:rPr>
        <w:t xml:space="preserve">, with a range of telephone and online services that triage and manage demand via </w:t>
      </w:r>
      <w:r w:rsidRPr="00816EE4">
        <w:rPr>
          <w:rFonts w:cstheme="minorHAnsi"/>
        </w:rPr>
        <w:t>e-consultation systems</w:t>
      </w:r>
      <w:r w:rsidR="00943A98" w:rsidRPr="00816EE4">
        <w:rPr>
          <w:rFonts w:cstheme="minorHAnsi"/>
        </w:rPr>
        <w:t xml:space="preserve"> </w:t>
      </w:r>
      <w:r w:rsidR="00F27FDF">
        <w:rPr>
          <w:rFonts w:cstheme="minorHAnsi"/>
        </w:rPr>
        <w:t>[</w:t>
      </w:r>
      <w:r w:rsidR="00487190">
        <w:rPr>
          <w:rFonts w:cstheme="minorHAnsi"/>
        </w:rPr>
        <w:t>6,8</w:t>
      </w:r>
      <w:r w:rsidR="00F27FDF">
        <w:rPr>
          <w:rFonts w:cstheme="minorHAnsi"/>
        </w:rPr>
        <w:t>]</w:t>
      </w:r>
      <w:r w:rsidR="00C10BB0" w:rsidRPr="00816EE4">
        <w:rPr>
          <w:rFonts w:cstheme="minorHAnsi"/>
        </w:rPr>
        <w:t xml:space="preserve">. </w:t>
      </w:r>
      <w:r w:rsidR="001609B3" w:rsidRPr="00816EE4">
        <w:rPr>
          <w:rFonts w:cstheme="minorHAnsi"/>
        </w:rPr>
        <w:t>T</w:t>
      </w:r>
      <w:r w:rsidR="001609B3">
        <w:rPr>
          <w:rFonts w:cstheme="minorHAnsi"/>
        </w:rPr>
        <w:t xml:space="preserve">hese systems typically offer </w:t>
      </w:r>
      <w:r w:rsidRPr="00FB2313">
        <w:rPr>
          <w:rFonts w:cstheme="minorHAnsi"/>
        </w:rPr>
        <w:t xml:space="preserve">urgent care call-handling, online triage and </w:t>
      </w:r>
      <w:r w:rsidR="001609B3">
        <w:rPr>
          <w:rFonts w:cstheme="minorHAnsi"/>
        </w:rPr>
        <w:t xml:space="preserve">sign </w:t>
      </w:r>
      <w:r w:rsidR="001609B3" w:rsidRPr="00DA5457">
        <w:rPr>
          <w:rFonts w:cstheme="minorHAnsi"/>
        </w:rPr>
        <w:t xml:space="preserve">posting to </w:t>
      </w:r>
      <w:r w:rsidR="00C549FC" w:rsidRPr="00DA5457">
        <w:rPr>
          <w:rFonts w:cstheme="minorHAnsi"/>
        </w:rPr>
        <w:t>suitable services</w:t>
      </w:r>
      <w:r w:rsidR="00A45589" w:rsidRPr="00DA5457">
        <w:rPr>
          <w:rFonts w:cstheme="minorHAnsi"/>
        </w:rPr>
        <w:t xml:space="preserve"> (</w:t>
      </w:r>
      <w:r w:rsidR="00037A98" w:rsidRPr="00DA5457">
        <w:rPr>
          <w:rFonts w:cstheme="minorHAnsi"/>
        </w:rPr>
        <w:t xml:space="preserve">for example, </w:t>
      </w:r>
      <w:r w:rsidR="00A45589" w:rsidRPr="00DA5457">
        <w:rPr>
          <w:rFonts w:cstheme="minorHAnsi"/>
        </w:rPr>
        <w:t>general practice, urgent care centres, emergency departments)</w:t>
      </w:r>
      <w:r w:rsidR="00C549FC" w:rsidRPr="00DA5457">
        <w:rPr>
          <w:rFonts w:cstheme="minorHAnsi"/>
        </w:rPr>
        <w:t>. [</w:t>
      </w:r>
      <w:r w:rsidR="008471AE">
        <w:rPr>
          <w:rFonts w:cstheme="minorHAnsi"/>
        </w:rPr>
        <w:t>9</w:t>
      </w:r>
      <w:r w:rsidR="00444506" w:rsidRPr="00DA5457">
        <w:rPr>
          <w:rFonts w:cstheme="minorHAnsi"/>
        </w:rPr>
        <w:t>]</w:t>
      </w:r>
      <w:r w:rsidRPr="00DA5457">
        <w:rPr>
          <w:rFonts w:cstheme="minorHAnsi"/>
        </w:rPr>
        <w:t xml:space="preserve">.  </w:t>
      </w:r>
    </w:p>
    <w:p w14:paraId="7D27C52D" w14:textId="77777777" w:rsidR="00960C3A" w:rsidRPr="003F490A" w:rsidRDefault="00960C3A" w:rsidP="00FC4F97">
      <w:pPr>
        <w:spacing w:line="276" w:lineRule="auto"/>
        <w:rPr>
          <w:rFonts w:ascii="Cambria" w:hAnsi="Cambria"/>
          <w:color w:val="212121"/>
          <w:shd w:val="clear" w:color="auto" w:fill="FFFFFF"/>
        </w:rPr>
      </w:pPr>
    </w:p>
    <w:p w14:paraId="44C25958" w14:textId="5E53F57F" w:rsidR="00FC4F97" w:rsidRDefault="004B4725" w:rsidP="006B4BF2">
      <w:pPr>
        <w:spacing w:line="276" w:lineRule="auto"/>
        <w:rPr>
          <w:rFonts w:cstheme="minorHAnsi"/>
          <w:vertAlign w:val="superscript"/>
        </w:rPr>
      </w:pPr>
      <w:r w:rsidRPr="003F490A">
        <w:rPr>
          <w:rFonts w:ascii="Cambria" w:hAnsi="Cambria"/>
          <w:color w:val="212121"/>
          <w:shd w:val="clear" w:color="auto" w:fill="FFFFFF"/>
        </w:rPr>
        <w:t xml:space="preserve">Digital healthcare offers the potential to </w:t>
      </w:r>
      <w:r w:rsidR="0023064A" w:rsidRPr="003F490A">
        <w:rPr>
          <w:rFonts w:ascii="Cambria" w:hAnsi="Cambria"/>
          <w:color w:val="212121"/>
          <w:shd w:val="clear" w:color="auto" w:fill="FFFFFF"/>
        </w:rPr>
        <w:t>im</w:t>
      </w:r>
      <w:r w:rsidR="004D0F15" w:rsidRPr="003F490A">
        <w:rPr>
          <w:rFonts w:ascii="Cambria" w:hAnsi="Cambria"/>
          <w:color w:val="212121"/>
          <w:shd w:val="clear" w:color="auto" w:fill="FFFFFF"/>
        </w:rPr>
        <w:t xml:space="preserve">prove </w:t>
      </w:r>
      <w:r w:rsidR="0023064A" w:rsidRPr="003F490A">
        <w:rPr>
          <w:rFonts w:ascii="Cambria" w:hAnsi="Cambria"/>
          <w:color w:val="212121"/>
          <w:shd w:val="clear" w:color="auto" w:fill="FFFFFF"/>
        </w:rPr>
        <w:t xml:space="preserve">the quality of patient care, </w:t>
      </w:r>
      <w:r w:rsidR="00F42117">
        <w:rPr>
          <w:rFonts w:ascii="Cambria" w:hAnsi="Cambria"/>
          <w:color w:val="212121"/>
          <w:shd w:val="clear" w:color="auto" w:fill="FFFFFF"/>
        </w:rPr>
        <w:t xml:space="preserve">and provide </w:t>
      </w:r>
      <w:r w:rsidR="00FA737E" w:rsidRPr="003F490A">
        <w:rPr>
          <w:rFonts w:ascii="Cambria" w:hAnsi="Cambria"/>
          <w:color w:val="212121"/>
          <w:shd w:val="clear" w:color="auto" w:fill="FFFFFF"/>
        </w:rPr>
        <w:t xml:space="preserve">timely </w:t>
      </w:r>
      <w:r w:rsidR="00B67E8A">
        <w:rPr>
          <w:rFonts w:ascii="Cambria" w:hAnsi="Cambria"/>
          <w:color w:val="212121"/>
          <w:shd w:val="clear" w:color="auto" w:fill="FFFFFF"/>
        </w:rPr>
        <w:t xml:space="preserve">and more convenient </w:t>
      </w:r>
      <w:r w:rsidR="00FA737E" w:rsidRPr="003F490A">
        <w:rPr>
          <w:rFonts w:ascii="Cambria" w:hAnsi="Cambria"/>
          <w:color w:val="212121"/>
          <w:shd w:val="clear" w:color="auto" w:fill="FFFFFF"/>
        </w:rPr>
        <w:t xml:space="preserve">access to </w:t>
      </w:r>
      <w:r w:rsidR="00506F25" w:rsidRPr="003F490A">
        <w:rPr>
          <w:rFonts w:ascii="Cambria" w:hAnsi="Cambria"/>
          <w:color w:val="212121"/>
          <w:shd w:val="clear" w:color="auto" w:fill="FFFFFF"/>
        </w:rPr>
        <w:t xml:space="preserve">services </w:t>
      </w:r>
      <w:r w:rsidR="00192FF7">
        <w:rPr>
          <w:rFonts w:ascii="Cambria" w:hAnsi="Cambria"/>
          <w:color w:val="212121"/>
          <w:shd w:val="clear" w:color="auto" w:fill="FFFFFF"/>
        </w:rPr>
        <w:t>[6]</w:t>
      </w:r>
      <w:r w:rsidR="00F42117">
        <w:rPr>
          <w:shd w:val="clear" w:color="auto" w:fill="FFFFFF"/>
        </w:rPr>
        <w:t>. They may als</w:t>
      </w:r>
      <w:r w:rsidR="00B67E8A">
        <w:rPr>
          <w:shd w:val="clear" w:color="auto" w:fill="FFFFFF"/>
        </w:rPr>
        <w:t xml:space="preserve">o </w:t>
      </w:r>
      <w:r w:rsidR="00066748" w:rsidRPr="003F490A">
        <w:rPr>
          <w:rFonts w:ascii="Cambria" w:hAnsi="Cambria"/>
          <w:color w:val="212121"/>
          <w:shd w:val="clear" w:color="auto" w:fill="FFFFFF"/>
        </w:rPr>
        <w:t xml:space="preserve">empower people to manage </w:t>
      </w:r>
      <w:r w:rsidR="000727E2" w:rsidRPr="003F490A">
        <w:rPr>
          <w:rFonts w:ascii="Cambria" w:hAnsi="Cambria"/>
          <w:color w:val="212121"/>
          <w:shd w:val="clear" w:color="auto" w:fill="FFFFFF"/>
        </w:rPr>
        <w:t xml:space="preserve">and maintain </w:t>
      </w:r>
      <w:r w:rsidR="00B67E8A">
        <w:rPr>
          <w:rFonts w:ascii="Cambria" w:hAnsi="Cambria"/>
          <w:color w:val="212121"/>
          <w:shd w:val="clear" w:color="auto" w:fill="FFFFFF"/>
        </w:rPr>
        <w:t xml:space="preserve">their </w:t>
      </w:r>
      <w:r w:rsidR="00066748" w:rsidRPr="003F490A">
        <w:rPr>
          <w:rFonts w:ascii="Cambria" w:hAnsi="Cambria"/>
          <w:color w:val="212121"/>
          <w:shd w:val="clear" w:color="auto" w:fill="FFFFFF"/>
        </w:rPr>
        <w:t xml:space="preserve">own </w:t>
      </w:r>
      <w:r w:rsidR="000727E2" w:rsidRPr="003F490A">
        <w:rPr>
          <w:rFonts w:ascii="Cambria" w:hAnsi="Cambria"/>
          <w:color w:val="212121"/>
          <w:shd w:val="clear" w:color="auto" w:fill="FFFFFF"/>
        </w:rPr>
        <w:t>health</w:t>
      </w:r>
      <w:r w:rsidR="00192FF7">
        <w:rPr>
          <w:rFonts w:ascii="Cambria" w:hAnsi="Cambria"/>
          <w:color w:val="212121"/>
          <w:shd w:val="clear" w:color="auto" w:fill="FFFFFF"/>
        </w:rPr>
        <w:t xml:space="preserve"> [</w:t>
      </w:r>
      <w:r w:rsidR="0043216D">
        <w:rPr>
          <w:rFonts w:ascii="Cambria" w:hAnsi="Cambria"/>
          <w:color w:val="212121"/>
          <w:shd w:val="clear" w:color="auto" w:fill="FFFFFF"/>
        </w:rPr>
        <w:t>10</w:t>
      </w:r>
      <w:r w:rsidR="00192FF7">
        <w:rPr>
          <w:rFonts w:ascii="Cambria" w:hAnsi="Cambria"/>
          <w:color w:val="212121"/>
          <w:shd w:val="clear" w:color="auto" w:fill="FFFFFF"/>
        </w:rPr>
        <w:t>]</w:t>
      </w:r>
      <w:r w:rsidR="00053C64" w:rsidRPr="00DA5457">
        <w:rPr>
          <w:shd w:val="clear" w:color="auto" w:fill="FFFFFF"/>
        </w:rPr>
        <w:t>.</w:t>
      </w:r>
      <w:r w:rsidR="00960C3A" w:rsidRPr="00DA5457">
        <w:rPr>
          <w:shd w:val="clear" w:color="auto" w:fill="FFFFFF"/>
        </w:rPr>
        <w:t xml:space="preserve"> </w:t>
      </w:r>
      <w:r w:rsidR="00AA7A28" w:rsidRPr="003F490A">
        <w:rPr>
          <w:rFonts w:ascii="Cambria" w:hAnsi="Cambria"/>
          <w:color w:val="212121"/>
          <w:shd w:val="clear" w:color="auto" w:fill="FFFFFF"/>
          <w:lang w:val="en-GB"/>
        </w:rPr>
        <w:t xml:space="preserve">Evidence suggests that </w:t>
      </w:r>
      <w:r w:rsidR="001C47AC" w:rsidRPr="003F490A">
        <w:rPr>
          <w:rFonts w:ascii="Cambria" w:hAnsi="Cambria"/>
          <w:color w:val="212121"/>
          <w:shd w:val="clear" w:color="auto" w:fill="FFFFFF"/>
          <w:lang w:val="en-GB"/>
        </w:rPr>
        <w:t xml:space="preserve">participants often express high levels of satisfaction </w:t>
      </w:r>
      <w:r w:rsidR="00B67E8A">
        <w:rPr>
          <w:rFonts w:ascii="Cambria" w:hAnsi="Cambria"/>
          <w:color w:val="212121"/>
          <w:shd w:val="clear" w:color="auto" w:fill="FFFFFF"/>
          <w:lang w:val="en-GB"/>
        </w:rPr>
        <w:t>amon</w:t>
      </w:r>
      <w:r w:rsidR="00397D2D">
        <w:rPr>
          <w:rFonts w:ascii="Cambria" w:hAnsi="Cambria"/>
          <w:color w:val="212121"/>
          <w:shd w:val="clear" w:color="auto" w:fill="FFFFFF"/>
          <w:lang w:val="en-GB"/>
        </w:rPr>
        <w:t xml:space="preserve">gst users of </w:t>
      </w:r>
      <w:r w:rsidR="001C47AC" w:rsidRPr="003F490A">
        <w:rPr>
          <w:rFonts w:ascii="Cambria" w:hAnsi="Cambria"/>
          <w:color w:val="212121"/>
          <w:shd w:val="clear" w:color="auto" w:fill="FFFFFF"/>
          <w:lang w:val="en-GB"/>
        </w:rPr>
        <w:t>online symptom checke</w:t>
      </w:r>
      <w:r w:rsidR="00B67E8A">
        <w:rPr>
          <w:rFonts w:ascii="Cambria" w:hAnsi="Cambria"/>
          <w:color w:val="212121"/>
          <w:shd w:val="clear" w:color="auto" w:fill="FFFFFF"/>
          <w:lang w:val="en-GB"/>
        </w:rPr>
        <w:t>r</w:t>
      </w:r>
      <w:r w:rsidR="001C47AC" w:rsidRPr="003F490A">
        <w:rPr>
          <w:rFonts w:ascii="Cambria" w:hAnsi="Cambria"/>
          <w:color w:val="212121"/>
          <w:shd w:val="clear" w:color="auto" w:fill="FFFFFF"/>
          <w:lang w:val="en-GB"/>
        </w:rPr>
        <w:t xml:space="preserve">s and </w:t>
      </w:r>
      <w:r w:rsidR="00960C3A" w:rsidRPr="003F490A">
        <w:rPr>
          <w:rFonts w:ascii="Cambria" w:hAnsi="Cambria"/>
          <w:color w:val="212121"/>
          <w:shd w:val="clear" w:color="auto" w:fill="FFFFFF"/>
          <w:lang w:val="en-GB"/>
        </w:rPr>
        <w:t xml:space="preserve">assessment services </w:t>
      </w:r>
      <w:r w:rsidR="00192FF7">
        <w:rPr>
          <w:rFonts w:ascii="Cambria" w:hAnsi="Cambria"/>
          <w:color w:val="212121"/>
          <w:shd w:val="clear" w:color="auto" w:fill="FFFFFF"/>
          <w:lang w:val="en-GB"/>
        </w:rPr>
        <w:t>[</w:t>
      </w:r>
      <w:r w:rsidR="00605F53">
        <w:rPr>
          <w:rFonts w:ascii="Cambria" w:hAnsi="Cambria"/>
          <w:color w:val="212121"/>
          <w:shd w:val="clear" w:color="auto" w:fill="FFFFFF"/>
          <w:lang w:val="en-GB"/>
        </w:rPr>
        <w:t>7</w:t>
      </w:r>
      <w:r w:rsidR="00192FF7">
        <w:rPr>
          <w:rFonts w:ascii="Cambria" w:hAnsi="Cambria"/>
          <w:color w:val="212121"/>
          <w:shd w:val="clear" w:color="auto" w:fill="FFFFFF"/>
          <w:lang w:val="en-GB"/>
        </w:rPr>
        <w:t>]</w:t>
      </w:r>
      <w:r w:rsidR="00397D2D">
        <w:rPr>
          <w:rFonts w:ascii="Cambria" w:hAnsi="Cambria"/>
          <w:color w:val="212121"/>
          <w:shd w:val="clear" w:color="auto" w:fill="FFFFFF"/>
          <w:lang w:val="en-GB"/>
        </w:rPr>
        <w:t xml:space="preserve">. However, </w:t>
      </w:r>
      <w:r w:rsidRPr="003F490A">
        <w:rPr>
          <w:rFonts w:ascii="Cambria" w:hAnsi="Cambria"/>
          <w:color w:val="212121"/>
          <w:shd w:val="clear" w:color="auto" w:fill="FFFFFF"/>
          <w:lang w:val="en-GB"/>
        </w:rPr>
        <w:t xml:space="preserve">important </w:t>
      </w:r>
      <w:r w:rsidR="006B4BF2" w:rsidRPr="003F490A">
        <w:rPr>
          <w:rFonts w:ascii="Cambria" w:hAnsi="Cambria"/>
          <w:color w:val="212121"/>
          <w:shd w:val="clear" w:color="auto" w:fill="FFFFFF"/>
          <w:lang w:val="en-GB"/>
        </w:rPr>
        <w:t xml:space="preserve">longstanding </w:t>
      </w:r>
      <w:r w:rsidRPr="003F490A">
        <w:rPr>
          <w:rFonts w:ascii="Cambria" w:hAnsi="Cambria"/>
          <w:color w:val="212121"/>
          <w:shd w:val="clear" w:color="auto" w:fill="FFFFFF"/>
          <w:lang w:val="en-GB"/>
        </w:rPr>
        <w:t>concerns remain</w:t>
      </w:r>
      <w:r w:rsidR="006B4BF2" w:rsidRPr="003F490A">
        <w:rPr>
          <w:rFonts w:ascii="Cambria" w:hAnsi="Cambria"/>
          <w:color w:val="212121"/>
          <w:shd w:val="clear" w:color="auto" w:fill="FFFFFF"/>
          <w:lang w:val="en-GB"/>
        </w:rPr>
        <w:t xml:space="preserve"> </w:t>
      </w:r>
      <w:r w:rsidR="00FC4F97" w:rsidRPr="00DA5457">
        <w:rPr>
          <w:rFonts w:cstheme="minorHAnsi"/>
          <w:shd w:val="clear" w:color="auto" w:fill="FFFFFF"/>
        </w:rPr>
        <w:t>that socioeconomic and cultural factors</w:t>
      </w:r>
      <w:r w:rsidR="00444506" w:rsidRPr="00DA5457">
        <w:rPr>
          <w:rFonts w:cstheme="minorHAnsi"/>
          <w:shd w:val="clear" w:color="auto" w:fill="FFFFFF"/>
        </w:rPr>
        <w:t xml:space="preserve"> [</w:t>
      </w:r>
      <w:r w:rsidR="00D27C7C">
        <w:rPr>
          <w:rFonts w:cstheme="minorHAnsi"/>
          <w:shd w:val="clear" w:color="auto" w:fill="FFFFFF"/>
        </w:rPr>
        <w:t>1</w:t>
      </w:r>
      <w:r w:rsidR="00685233">
        <w:rPr>
          <w:rFonts w:cstheme="minorHAnsi"/>
          <w:shd w:val="clear" w:color="auto" w:fill="FFFFFF"/>
        </w:rPr>
        <w:t>1</w:t>
      </w:r>
      <w:r w:rsidR="00444506" w:rsidRPr="00DA5457">
        <w:rPr>
          <w:rFonts w:cstheme="minorHAnsi"/>
          <w:shd w:val="clear" w:color="auto" w:fill="FFFFFF"/>
        </w:rPr>
        <w:t>]</w:t>
      </w:r>
      <w:r w:rsidR="00FC4F97" w:rsidRPr="00DA5457">
        <w:rPr>
          <w:rFonts w:cstheme="minorHAnsi"/>
          <w:shd w:val="clear" w:color="auto" w:fill="FFFFFF"/>
        </w:rPr>
        <w:t>,</w:t>
      </w:r>
      <w:r w:rsidR="00444506" w:rsidRPr="00DA5457">
        <w:rPr>
          <w:rFonts w:cstheme="minorHAnsi"/>
          <w:shd w:val="clear" w:color="auto" w:fill="FFFFFF"/>
        </w:rPr>
        <w:t xml:space="preserve"> </w:t>
      </w:r>
      <w:r w:rsidR="00FC4F97" w:rsidRPr="00DA5457">
        <w:rPr>
          <w:rFonts w:cstheme="minorHAnsi"/>
          <w:shd w:val="clear" w:color="auto" w:fill="FFFFFF"/>
        </w:rPr>
        <w:t xml:space="preserve">language difficulties, disability, and wider </w:t>
      </w:r>
      <w:r w:rsidR="00FC4F97" w:rsidRPr="00DA5457">
        <w:rPr>
          <w:rFonts w:cstheme="minorHAnsi"/>
        </w:rPr>
        <w:t xml:space="preserve">structural and technical infrastructure obstacles act as barriers to </w:t>
      </w:r>
      <w:r w:rsidR="00397D2D">
        <w:rPr>
          <w:rFonts w:cstheme="minorHAnsi"/>
        </w:rPr>
        <w:t>using, and benefitting from</w:t>
      </w:r>
      <w:r w:rsidR="003F490A">
        <w:rPr>
          <w:rFonts w:cstheme="minorHAnsi"/>
        </w:rPr>
        <w:t>,</w:t>
      </w:r>
      <w:r w:rsidR="00397D2D">
        <w:rPr>
          <w:rFonts w:cstheme="minorHAnsi"/>
        </w:rPr>
        <w:t xml:space="preserve"> </w:t>
      </w:r>
      <w:r w:rsidR="00FC4F97" w:rsidRPr="00FB2313">
        <w:rPr>
          <w:rFonts w:cstheme="minorHAnsi"/>
        </w:rPr>
        <w:t xml:space="preserve">digital access </w:t>
      </w:r>
      <w:r w:rsidR="003F490A">
        <w:rPr>
          <w:rFonts w:cstheme="minorHAnsi"/>
        </w:rPr>
        <w:t>to health</w:t>
      </w:r>
      <w:r w:rsidR="00FC4F97" w:rsidRPr="00FB2313">
        <w:rPr>
          <w:rFonts w:cstheme="minorHAnsi"/>
        </w:rPr>
        <w:t>care</w:t>
      </w:r>
      <w:r w:rsidR="00444506">
        <w:rPr>
          <w:rFonts w:cstheme="minorHAnsi"/>
        </w:rPr>
        <w:t xml:space="preserve"> [</w:t>
      </w:r>
      <w:r w:rsidR="00D27C7C">
        <w:rPr>
          <w:rFonts w:cstheme="minorHAnsi"/>
        </w:rPr>
        <w:t>1</w:t>
      </w:r>
      <w:r w:rsidR="00685233">
        <w:rPr>
          <w:rFonts w:cstheme="minorHAnsi"/>
        </w:rPr>
        <w:t>2</w:t>
      </w:r>
      <w:r w:rsidR="00444506">
        <w:rPr>
          <w:rFonts w:cstheme="minorHAnsi"/>
        </w:rPr>
        <w:t>]</w:t>
      </w:r>
      <w:r w:rsidR="00FC4F97" w:rsidRPr="00FB2313">
        <w:rPr>
          <w:rFonts w:cstheme="minorHAnsi"/>
        </w:rPr>
        <w:t xml:space="preserve">. </w:t>
      </w:r>
      <w:r w:rsidR="00577BEA">
        <w:rPr>
          <w:rFonts w:cstheme="minorHAnsi"/>
        </w:rPr>
        <w:t xml:space="preserve">Studies </w:t>
      </w:r>
      <w:r w:rsidR="003D0728">
        <w:rPr>
          <w:rFonts w:cstheme="minorHAnsi"/>
        </w:rPr>
        <w:t xml:space="preserve">have </w:t>
      </w:r>
      <w:r w:rsidR="00577BEA">
        <w:rPr>
          <w:rFonts w:cstheme="minorHAnsi"/>
        </w:rPr>
        <w:t>show</w:t>
      </w:r>
      <w:r w:rsidR="003D0728">
        <w:rPr>
          <w:rFonts w:cstheme="minorHAnsi"/>
        </w:rPr>
        <w:t>n</w:t>
      </w:r>
      <w:r w:rsidR="00577BEA">
        <w:rPr>
          <w:rFonts w:cstheme="minorHAnsi"/>
        </w:rPr>
        <w:t xml:space="preserve"> that </w:t>
      </w:r>
      <w:r w:rsidR="00FC4F97" w:rsidRPr="00FB2313">
        <w:rPr>
          <w:rFonts w:cstheme="minorHAnsi"/>
          <w:shd w:val="clear" w:color="auto" w:fill="FFFFFF"/>
        </w:rPr>
        <w:t xml:space="preserve">people from lower socioeconomic groups </w:t>
      </w:r>
      <w:r w:rsidR="008108CB">
        <w:rPr>
          <w:rFonts w:cstheme="minorHAnsi"/>
          <w:shd w:val="clear" w:color="auto" w:fill="FFFFFF"/>
        </w:rPr>
        <w:t xml:space="preserve">are </w:t>
      </w:r>
      <w:r w:rsidR="008C622F">
        <w:rPr>
          <w:rFonts w:cstheme="minorHAnsi"/>
          <w:shd w:val="clear" w:color="auto" w:fill="FFFFFF"/>
        </w:rPr>
        <w:t xml:space="preserve">typically </w:t>
      </w:r>
      <w:r w:rsidR="008108CB">
        <w:rPr>
          <w:rFonts w:cstheme="minorHAnsi"/>
          <w:shd w:val="clear" w:color="auto" w:fill="FFFFFF"/>
        </w:rPr>
        <w:t xml:space="preserve">less likely to </w:t>
      </w:r>
      <w:r w:rsidR="008C622F">
        <w:rPr>
          <w:rFonts w:cstheme="minorHAnsi"/>
          <w:shd w:val="clear" w:color="auto" w:fill="FFFFFF"/>
        </w:rPr>
        <w:t>use</w:t>
      </w:r>
      <w:r w:rsidR="00FC4F97" w:rsidRPr="00FB2313">
        <w:rPr>
          <w:rFonts w:cstheme="minorHAnsi"/>
          <w:shd w:val="clear" w:color="auto" w:fill="FFFFFF"/>
        </w:rPr>
        <w:t xml:space="preserve"> web-based information </w:t>
      </w:r>
      <w:r w:rsidR="008C622F">
        <w:rPr>
          <w:rFonts w:cstheme="minorHAnsi"/>
          <w:shd w:val="clear" w:color="auto" w:fill="FFFFFF"/>
        </w:rPr>
        <w:t xml:space="preserve">seeking </w:t>
      </w:r>
      <w:r w:rsidR="00444506">
        <w:rPr>
          <w:rFonts w:cstheme="minorHAnsi"/>
          <w:shd w:val="clear" w:color="auto" w:fill="FFFFFF"/>
        </w:rPr>
        <w:t>[</w:t>
      </w:r>
      <w:r w:rsidR="00D27C7C">
        <w:rPr>
          <w:rFonts w:cstheme="minorHAnsi"/>
          <w:shd w:val="clear" w:color="auto" w:fill="FFFFFF"/>
        </w:rPr>
        <w:t>1</w:t>
      </w:r>
      <w:r w:rsidR="00D40269">
        <w:rPr>
          <w:rFonts w:cstheme="minorHAnsi"/>
          <w:shd w:val="clear" w:color="auto" w:fill="FFFFFF"/>
        </w:rPr>
        <w:t>3</w:t>
      </w:r>
      <w:r w:rsidR="00444506">
        <w:rPr>
          <w:rFonts w:cstheme="minorHAnsi"/>
          <w:shd w:val="clear" w:color="auto" w:fill="FFFFFF"/>
        </w:rPr>
        <w:t>]</w:t>
      </w:r>
      <w:r w:rsidR="00FC4F97" w:rsidRPr="00FB2313">
        <w:rPr>
          <w:rFonts w:cstheme="minorHAnsi"/>
          <w:shd w:val="clear" w:color="auto" w:fill="FFFFFF"/>
          <w:vertAlign w:val="superscript"/>
        </w:rPr>
        <w:t xml:space="preserve"> </w:t>
      </w:r>
      <w:r w:rsidR="008C622F" w:rsidRPr="005E4158">
        <w:rPr>
          <w:rFonts w:cstheme="minorHAnsi"/>
          <w:shd w:val="clear" w:color="auto" w:fill="FFFFFF"/>
        </w:rPr>
        <w:t xml:space="preserve">and </w:t>
      </w:r>
      <w:r w:rsidR="008C622F">
        <w:rPr>
          <w:rFonts w:cstheme="minorHAnsi"/>
          <w:shd w:val="clear" w:color="auto" w:fill="FFFFFF"/>
        </w:rPr>
        <w:t>symptom checkers</w:t>
      </w:r>
      <w:r w:rsidR="0076361C">
        <w:rPr>
          <w:rFonts w:cstheme="minorHAnsi"/>
          <w:shd w:val="clear" w:color="auto" w:fill="FFFFFF"/>
        </w:rPr>
        <w:t xml:space="preserve"> </w:t>
      </w:r>
      <w:r w:rsidR="00D40269">
        <w:rPr>
          <w:rFonts w:cstheme="minorHAnsi"/>
          <w:shd w:val="clear" w:color="auto" w:fill="FFFFFF"/>
        </w:rPr>
        <w:t>[14]</w:t>
      </w:r>
      <w:r w:rsidR="008108CB">
        <w:rPr>
          <w:rFonts w:cstheme="minorHAnsi"/>
          <w:shd w:val="clear" w:color="auto" w:fill="FFFFFF"/>
        </w:rPr>
        <w:t xml:space="preserve">. </w:t>
      </w:r>
      <w:r w:rsidR="00FC4F97" w:rsidRPr="00FB2313">
        <w:rPr>
          <w:rFonts w:cstheme="minorHAnsi"/>
          <w:shd w:val="clear" w:color="auto" w:fill="FFFFFF"/>
        </w:rPr>
        <w:t>Black / African American and Hispanic adults in the USA have been shown to be less likely to use technology for health-related purposes</w:t>
      </w:r>
      <w:r w:rsidR="00444506">
        <w:rPr>
          <w:rFonts w:cstheme="minorHAnsi"/>
          <w:shd w:val="clear" w:color="auto" w:fill="FFFFFF"/>
        </w:rPr>
        <w:t xml:space="preserve"> [</w:t>
      </w:r>
      <w:r w:rsidR="00D27C7C">
        <w:rPr>
          <w:rFonts w:cstheme="minorHAnsi"/>
          <w:shd w:val="clear" w:color="auto" w:fill="FFFFFF"/>
        </w:rPr>
        <w:t>1</w:t>
      </w:r>
      <w:r w:rsidR="00C00ADA">
        <w:rPr>
          <w:rFonts w:cstheme="minorHAnsi"/>
          <w:shd w:val="clear" w:color="auto" w:fill="FFFFFF"/>
        </w:rPr>
        <w:t>5</w:t>
      </w:r>
      <w:r w:rsidR="00444506">
        <w:rPr>
          <w:rFonts w:cstheme="minorHAnsi"/>
          <w:shd w:val="clear" w:color="auto" w:fill="FFFFFF"/>
        </w:rPr>
        <w:t>].</w:t>
      </w:r>
      <w:r w:rsidR="00FC4F97" w:rsidRPr="00FB2313">
        <w:rPr>
          <w:rFonts w:cstheme="minorHAnsi"/>
          <w:shd w:val="clear" w:color="auto" w:fill="FFFFFF"/>
          <w:vertAlign w:val="superscript"/>
        </w:rPr>
        <w:t xml:space="preserve"> </w:t>
      </w:r>
      <w:r w:rsidR="003D0728">
        <w:rPr>
          <w:rFonts w:cstheme="minorHAnsi"/>
          <w:shd w:val="clear" w:color="auto" w:fill="FFFFFF"/>
        </w:rPr>
        <w:t xml:space="preserve">Conversely, </w:t>
      </w:r>
      <w:r w:rsidR="00FC4F97" w:rsidRPr="00FB2313">
        <w:rPr>
          <w:rFonts w:cstheme="minorHAnsi"/>
          <w:shd w:val="clear" w:color="auto" w:fill="FFFFFF"/>
        </w:rPr>
        <w:t>y</w:t>
      </w:r>
      <w:r w:rsidR="00FC4F97" w:rsidRPr="00FB2313">
        <w:rPr>
          <w:rFonts w:cstheme="minorHAnsi"/>
        </w:rPr>
        <w:t>ounger and more highly educated people were more likely to use online triage and symptom checkers</w:t>
      </w:r>
      <w:r w:rsidR="00444506">
        <w:rPr>
          <w:rFonts w:cstheme="minorHAnsi"/>
        </w:rPr>
        <w:t xml:space="preserve"> [</w:t>
      </w:r>
      <w:r w:rsidR="003749F4">
        <w:rPr>
          <w:rFonts w:cstheme="minorHAnsi"/>
        </w:rPr>
        <w:t>7</w:t>
      </w:r>
      <w:r w:rsidR="00444506">
        <w:rPr>
          <w:rFonts w:cstheme="minorHAnsi"/>
        </w:rPr>
        <w:t>].</w:t>
      </w:r>
      <w:r w:rsidR="00FC4F97" w:rsidRPr="00FB2313">
        <w:rPr>
          <w:rFonts w:cstheme="minorHAnsi"/>
          <w:vertAlign w:val="superscript"/>
        </w:rPr>
        <w:t xml:space="preserve">  </w:t>
      </w:r>
    </w:p>
    <w:p w14:paraId="566EA039" w14:textId="77777777" w:rsidR="00FC4F97" w:rsidRPr="00FB2313" w:rsidRDefault="00FC4F97" w:rsidP="00FC4F97">
      <w:pPr>
        <w:spacing w:line="276" w:lineRule="auto"/>
        <w:rPr>
          <w:rFonts w:cstheme="minorHAnsi"/>
          <w:vertAlign w:val="superscript"/>
        </w:rPr>
      </w:pPr>
    </w:p>
    <w:p w14:paraId="6EEA52BE" w14:textId="4DC590F6" w:rsidR="00FC4F97" w:rsidRDefault="008B6171" w:rsidP="00FC4F97">
      <w:pPr>
        <w:spacing w:line="276" w:lineRule="auto"/>
        <w:rPr>
          <w:rFonts w:cstheme="minorHAnsi"/>
          <w:shd w:val="clear" w:color="auto" w:fill="FFFFFF"/>
        </w:rPr>
      </w:pPr>
      <w:r>
        <w:rPr>
          <w:shd w:val="clear" w:color="auto" w:fill="FFFFFF"/>
        </w:rPr>
        <w:t>A</w:t>
      </w:r>
      <w:r w:rsidRPr="000F30E5">
        <w:rPr>
          <w:shd w:val="clear" w:color="auto" w:fill="FFFFFF"/>
        </w:rPr>
        <w:t>ccess</w:t>
      </w:r>
      <w:r>
        <w:rPr>
          <w:shd w:val="clear" w:color="auto" w:fill="FFFFFF"/>
        </w:rPr>
        <w:t>ing</w:t>
      </w:r>
      <w:r w:rsidRPr="000F30E5">
        <w:rPr>
          <w:shd w:val="clear" w:color="auto" w:fill="FFFFFF"/>
        </w:rPr>
        <w:t xml:space="preserve"> </w:t>
      </w:r>
      <w:r>
        <w:rPr>
          <w:shd w:val="clear" w:color="auto" w:fill="FFFFFF"/>
        </w:rPr>
        <w:t>healthcare services vi</w:t>
      </w:r>
      <w:r w:rsidRPr="000F30E5">
        <w:rPr>
          <w:shd w:val="clear" w:color="auto" w:fill="FFFFFF"/>
        </w:rPr>
        <w:t xml:space="preserve">a </w:t>
      </w:r>
      <w:r>
        <w:rPr>
          <w:shd w:val="clear" w:color="auto" w:fill="FFFFFF"/>
        </w:rPr>
        <w:t xml:space="preserve">digital </w:t>
      </w:r>
      <w:r w:rsidR="005F2DC5">
        <w:rPr>
          <w:shd w:val="clear" w:color="auto" w:fill="FFFFFF"/>
        </w:rPr>
        <w:t>technologies pr</w:t>
      </w:r>
      <w:r w:rsidRPr="000F30E5">
        <w:rPr>
          <w:shd w:val="clear" w:color="auto" w:fill="FFFFFF"/>
        </w:rPr>
        <w:t xml:space="preserve">edicates that </w:t>
      </w:r>
      <w:r w:rsidR="00A523F4">
        <w:t>p</w:t>
      </w:r>
      <w:r w:rsidR="00616DDD">
        <w:t xml:space="preserve">eople </w:t>
      </w:r>
      <w:r w:rsidR="00A523F4">
        <w:t xml:space="preserve">have sufficient knowledge, </w:t>
      </w:r>
      <w:r w:rsidR="00616DDD">
        <w:t xml:space="preserve">skills, </w:t>
      </w:r>
      <w:r w:rsidR="00D27C7C">
        <w:t>resources</w:t>
      </w:r>
      <w:r w:rsidR="00A523F4">
        <w:t xml:space="preserve"> and motivation to access and use </w:t>
      </w:r>
      <w:r w:rsidR="00032767">
        <w:t xml:space="preserve">digital technologies </w:t>
      </w:r>
      <w:r w:rsidR="00A523F4">
        <w:t xml:space="preserve">to make decisions about a health problem </w:t>
      </w:r>
      <w:r w:rsidR="003749F4">
        <w:t>[</w:t>
      </w:r>
      <w:r w:rsidR="00545F81">
        <w:t>1</w:t>
      </w:r>
      <w:r w:rsidR="003749F4">
        <w:t>6]</w:t>
      </w:r>
      <w:r w:rsidR="00A523F4">
        <w:t xml:space="preserve">. </w:t>
      </w:r>
      <w:r w:rsidR="00FC4F97" w:rsidRPr="00FB2313">
        <w:rPr>
          <w:rFonts w:cstheme="minorHAnsi"/>
        </w:rPr>
        <w:t xml:space="preserve">The concept of </w:t>
      </w:r>
      <w:r w:rsidR="00FC4F97" w:rsidRPr="00FB2313">
        <w:rPr>
          <w:rFonts w:cstheme="minorHAnsi"/>
          <w:iCs/>
        </w:rPr>
        <w:t>eHealth literacy which com</w:t>
      </w:r>
      <w:r w:rsidR="00FC4F97" w:rsidRPr="00FB2313">
        <w:rPr>
          <w:rFonts w:cstheme="minorHAnsi"/>
        </w:rPr>
        <w:t xml:space="preserve">bines ideas about </w:t>
      </w:r>
      <w:r w:rsidR="00FC4F97" w:rsidRPr="00FB2313">
        <w:rPr>
          <w:rFonts w:cstheme="minorHAnsi"/>
          <w:shd w:val="clear" w:color="auto" w:fill="FFFFFF"/>
        </w:rPr>
        <w:t xml:space="preserve">‘health’ and ‘health service’ literacy (appreciation of symptoms and signs of illness, and awareness of service provision) with digital </w:t>
      </w:r>
      <w:r w:rsidR="00FC4F97" w:rsidRPr="005E4158">
        <w:rPr>
          <w:rFonts w:cstheme="minorHAnsi"/>
          <w:shd w:val="clear" w:color="auto" w:fill="FFFFFF"/>
        </w:rPr>
        <w:t xml:space="preserve">literacy (ability to use digital technologies such as the Web or smartphones) </w:t>
      </w:r>
      <w:r w:rsidR="00444506" w:rsidRPr="005E4158">
        <w:rPr>
          <w:rFonts w:cstheme="minorHAnsi"/>
          <w:shd w:val="clear" w:color="auto" w:fill="FFFFFF"/>
        </w:rPr>
        <w:t>[</w:t>
      </w:r>
      <w:r w:rsidR="00964F37">
        <w:rPr>
          <w:rFonts w:cstheme="minorHAnsi"/>
          <w:shd w:val="clear" w:color="auto" w:fill="FFFFFF"/>
        </w:rPr>
        <w:t>16,</w:t>
      </w:r>
      <w:r w:rsidR="00C729E1">
        <w:rPr>
          <w:rFonts w:cstheme="minorHAnsi"/>
          <w:shd w:val="clear" w:color="auto" w:fill="FFFFFF"/>
        </w:rPr>
        <w:t>17</w:t>
      </w:r>
      <w:r w:rsidR="003F0661" w:rsidRPr="005E4158">
        <w:rPr>
          <w:rFonts w:cstheme="minorHAnsi"/>
          <w:shd w:val="clear" w:color="auto" w:fill="FFFFFF"/>
        </w:rPr>
        <w:t>]</w:t>
      </w:r>
      <w:r w:rsidR="00FC4F97" w:rsidRPr="005E4158">
        <w:rPr>
          <w:rFonts w:cstheme="minorHAnsi"/>
          <w:shd w:val="clear" w:color="auto" w:fill="FFFFFF"/>
        </w:rPr>
        <w:t xml:space="preserve"> has proved useful for examining this ‘digital divide’</w:t>
      </w:r>
      <w:r w:rsidR="003F0661" w:rsidRPr="005E4158">
        <w:rPr>
          <w:rFonts w:cstheme="minorHAnsi"/>
          <w:shd w:val="clear" w:color="auto" w:fill="FFFFFF"/>
        </w:rPr>
        <w:t xml:space="preserve"> [</w:t>
      </w:r>
      <w:r w:rsidR="005443AF">
        <w:rPr>
          <w:rFonts w:cstheme="minorHAnsi"/>
          <w:shd w:val="clear" w:color="auto" w:fill="FFFFFF"/>
        </w:rPr>
        <w:t>11,</w:t>
      </w:r>
      <w:r w:rsidR="00DE6ABA">
        <w:rPr>
          <w:rFonts w:cstheme="minorHAnsi"/>
          <w:shd w:val="clear" w:color="auto" w:fill="FFFFFF"/>
        </w:rPr>
        <w:t>18-</w:t>
      </w:r>
      <w:r w:rsidR="00B20207">
        <w:rPr>
          <w:rFonts w:cstheme="minorHAnsi"/>
          <w:shd w:val="clear" w:color="auto" w:fill="FFFFFF"/>
        </w:rPr>
        <w:t>20</w:t>
      </w:r>
      <w:r w:rsidR="003F0661" w:rsidRPr="005E4158">
        <w:rPr>
          <w:rFonts w:cstheme="minorHAnsi"/>
          <w:shd w:val="clear" w:color="auto" w:fill="FFFFFF"/>
        </w:rPr>
        <w:t>]</w:t>
      </w:r>
      <w:r w:rsidR="009F4816" w:rsidRPr="005E4158">
        <w:rPr>
          <w:rFonts w:cstheme="minorHAnsi"/>
          <w:shd w:val="clear" w:color="auto" w:fill="FFFFFF"/>
        </w:rPr>
        <w:t>.</w:t>
      </w:r>
      <w:r w:rsidR="00FC4F97" w:rsidRPr="005E4158">
        <w:rPr>
          <w:rFonts w:cstheme="minorHAnsi"/>
          <w:shd w:val="clear" w:color="auto" w:fill="FFFFFF"/>
        </w:rPr>
        <w:t xml:space="preserve"> </w:t>
      </w:r>
      <w:r w:rsidR="00F87F43" w:rsidRPr="005E4158">
        <w:rPr>
          <w:rFonts w:cstheme="minorHAnsi"/>
          <w:shd w:val="clear" w:color="auto" w:fill="FFFFFF"/>
        </w:rPr>
        <w:t>Studies</w:t>
      </w:r>
      <w:r w:rsidR="00BE35EA" w:rsidRPr="005E4158">
        <w:rPr>
          <w:rFonts w:cstheme="minorHAnsi"/>
          <w:shd w:val="clear" w:color="auto" w:fill="FFFFFF"/>
        </w:rPr>
        <w:t>,</w:t>
      </w:r>
      <w:r w:rsidR="00F87F43" w:rsidRPr="005E4158">
        <w:rPr>
          <w:rFonts w:cstheme="minorHAnsi"/>
          <w:shd w:val="clear" w:color="auto" w:fill="FFFFFF"/>
        </w:rPr>
        <w:t xml:space="preserve"> using the </w:t>
      </w:r>
      <w:r w:rsidR="00762432" w:rsidRPr="005E4158">
        <w:rPr>
          <w:rFonts w:cstheme="minorHAnsi"/>
          <w:shd w:val="clear" w:color="auto" w:fill="FFFFFF"/>
        </w:rPr>
        <w:t>eHealth literacy scale (</w:t>
      </w:r>
      <w:r w:rsidR="00F87F43" w:rsidRPr="005E4158">
        <w:rPr>
          <w:rFonts w:cstheme="minorHAnsi"/>
          <w:shd w:val="clear" w:color="auto" w:fill="FFFFFF"/>
        </w:rPr>
        <w:t>eHEAL</w:t>
      </w:r>
      <w:r w:rsidR="002560B9" w:rsidRPr="005E4158">
        <w:rPr>
          <w:rFonts w:cstheme="minorHAnsi"/>
          <w:shd w:val="clear" w:color="auto" w:fill="FFFFFF"/>
        </w:rPr>
        <w:t>S) [</w:t>
      </w:r>
      <w:r w:rsidR="00D45EDF">
        <w:rPr>
          <w:rFonts w:cstheme="minorHAnsi"/>
          <w:shd w:val="clear" w:color="auto" w:fill="FFFFFF"/>
        </w:rPr>
        <w:t>17</w:t>
      </w:r>
      <w:r w:rsidR="002560B9" w:rsidRPr="005E4158">
        <w:rPr>
          <w:rFonts w:cstheme="minorHAnsi"/>
          <w:shd w:val="clear" w:color="auto" w:fill="FFFFFF"/>
        </w:rPr>
        <w:t xml:space="preserve">] </w:t>
      </w:r>
      <w:r w:rsidR="00FC4F97" w:rsidRPr="005E4158">
        <w:rPr>
          <w:rFonts w:cstheme="minorHAnsi"/>
          <w:shd w:val="clear" w:color="auto" w:fill="FFFFFF"/>
        </w:rPr>
        <w:t>ha</w:t>
      </w:r>
      <w:r w:rsidR="002560B9" w:rsidRPr="005E4158">
        <w:rPr>
          <w:rFonts w:cstheme="minorHAnsi"/>
          <w:shd w:val="clear" w:color="auto" w:fill="FFFFFF"/>
        </w:rPr>
        <w:t>ve</w:t>
      </w:r>
      <w:r w:rsidR="00FC4F97" w:rsidRPr="005E4158">
        <w:rPr>
          <w:rFonts w:cstheme="minorHAnsi"/>
          <w:shd w:val="clear" w:color="auto" w:fill="FFFFFF"/>
        </w:rPr>
        <w:t xml:space="preserve"> demonstrated that </w:t>
      </w:r>
      <w:r w:rsidR="00863E04" w:rsidRPr="005E4158">
        <w:rPr>
          <w:rFonts w:cstheme="minorHAnsi"/>
          <w:shd w:val="clear" w:color="auto" w:fill="FFFFFF"/>
        </w:rPr>
        <w:t xml:space="preserve">lower </w:t>
      </w:r>
      <w:r w:rsidR="00FC4F97" w:rsidRPr="005E4158">
        <w:rPr>
          <w:rFonts w:cstheme="minorHAnsi"/>
        </w:rPr>
        <w:t xml:space="preserve">eHealth literacy </w:t>
      </w:r>
      <w:r w:rsidR="009D12C5" w:rsidRPr="005E4158">
        <w:rPr>
          <w:rFonts w:cstheme="minorHAnsi"/>
        </w:rPr>
        <w:t xml:space="preserve">is associated with increased </w:t>
      </w:r>
      <w:r w:rsidR="00FC4F97" w:rsidRPr="005E4158">
        <w:rPr>
          <w:rFonts w:cstheme="minorHAnsi"/>
        </w:rPr>
        <w:t>age</w:t>
      </w:r>
      <w:r w:rsidR="003F0661" w:rsidRPr="005E4158">
        <w:rPr>
          <w:rFonts w:cstheme="minorHAnsi"/>
        </w:rPr>
        <w:t xml:space="preserve"> [</w:t>
      </w:r>
      <w:r w:rsidR="00D66B77">
        <w:rPr>
          <w:rFonts w:cstheme="minorHAnsi"/>
        </w:rPr>
        <w:t>21,22</w:t>
      </w:r>
      <w:r w:rsidR="003F0661" w:rsidRPr="005E4158">
        <w:rPr>
          <w:rFonts w:cstheme="minorHAnsi"/>
        </w:rPr>
        <w:t>]</w:t>
      </w:r>
      <w:r w:rsidR="00FC4F97" w:rsidRPr="005E4158">
        <w:rPr>
          <w:rFonts w:cstheme="minorHAnsi"/>
        </w:rPr>
        <w:t xml:space="preserve"> </w:t>
      </w:r>
      <w:r w:rsidR="009D12C5" w:rsidRPr="005E4158">
        <w:rPr>
          <w:rFonts w:cstheme="minorHAnsi"/>
        </w:rPr>
        <w:t xml:space="preserve">lower levels of </w:t>
      </w:r>
      <w:r w:rsidR="00FC4F97" w:rsidRPr="005E4158">
        <w:rPr>
          <w:rFonts w:cstheme="minorHAnsi"/>
        </w:rPr>
        <w:t>education</w:t>
      </w:r>
      <w:r w:rsidR="003F0661" w:rsidRPr="005E4158">
        <w:rPr>
          <w:rFonts w:cstheme="minorHAnsi"/>
        </w:rPr>
        <w:t xml:space="preserve"> [</w:t>
      </w:r>
      <w:r w:rsidR="00D66B77">
        <w:rPr>
          <w:rFonts w:cstheme="minorHAnsi"/>
        </w:rPr>
        <w:t>23</w:t>
      </w:r>
      <w:r w:rsidR="003F0661" w:rsidRPr="005E4158">
        <w:rPr>
          <w:rFonts w:cstheme="minorHAnsi"/>
        </w:rPr>
        <w:t>],</w:t>
      </w:r>
      <w:r w:rsidR="00FC4F97" w:rsidRPr="005E4158">
        <w:rPr>
          <w:rFonts w:cstheme="minorHAnsi"/>
        </w:rPr>
        <w:t xml:space="preserve"> </w:t>
      </w:r>
      <w:r w:rsidR="009D12C5" w:rsidRPr="005E4158">
        <w:rPr>
          <w:rFonts w:cstheme="minorHAnsi"/>
        </w:rPr>
        <w:t xml:space="preserve">lower </w:t>
      </w:r>
      <w:r w:rsidR="00FC4F97" w:rsidRPr="005E4158">
        <w:rPr>
          <w:rFonts w:cstheme="minorHAnsi"/>
        </w:rPr>
        <w:t>socioeconomic status</w:t>
      </w:r>
      <w:r w:rsidR="009078C8" w:rsidRPr="005E4158">
        <w:rPr>
          <w:rFonts w:cstheme="minorHAnsi"/>
        </w:rPr>
        <w:t xml:space="preserve"> [</w:t>
      </w:r>
      <w:r w:rsidR="00D66B77">
        <w:rPr>
          <w:rFonts w:cstheme="minorHAnsi"/>
        </w:rPr>
        <w:t>22</w:t>
      </w:r>
      <w:r w:rsidR="009078C8" w:rsidRPr="005E4158">
        <w:rPr>
          <w:rFonts w:cstheme="minorHAnsi"/>
        </w:rPr>
        <w:t>],</w:t>
      </w:r>
      <w:r w:rsidR="00FC4F97" w:rsidRPr="005E4158">
        <w:rPr>
          <w:rFonts w:cstheme="minorHAnsi"/>
        </w:rPr>
        <w:t xml:space="preserve"> and </w:t>
      </w:r>
      <w:r w:rsidR="009D12C5" w:rsidRPr="005E4158">
        <w:rPr>
          <w:rFonts w:cstheme="minorHAnsi"/>
        </w:rPr>
        <w:t xml:space="preserve">the presence of a </w:t>
      </w:r>
      <w:r w:rsidR="00FC4F97" w:rsidRPr="005E4158">
        <w:rPr>
          <w:rFonts w:cstheme="minorHAnsi"/>
          <w:shd w:val="clear" w:color="auto" w:fill="FFFFFF"/>
        </w:rPr>
        <w:t>long</w:t>
      </w:r>
      <w:r w:rsidR="00F60E8E">
        <w:rPr>
          <w:rFonts w:cstheme="minorHAnsi"/>
          <w:shd w:val="clear" w:color="auto" w:fill="FFFFFF"/>
        </w:rPr>
        <w:t>-</w:t>
      </w:r>
      <w:r w:rsidR="00FC4F97" w:rsidRPr="005E4158">
        <w:rPr>
          <w:rFonts w:cstheme="minorHAnsi"/>
          <w:shd w:val="clear" w:color="auto" w:fill="FFFFFF"/>
        </w:rPr>
        <w:t xml:space="preserve">term </w:t>
      </w:r>
      <w:r w:rsidR="009D12C5" w:rsidRPr="005E4158">
        <w:rPr>
          <w:rFonts w:cstheme="minorHAnsi"/>
          <w:shd w:val="clear" w:color="auto" w:fill="FFFFFF"/>
        </w:rPr>
        <w:t xml:space="preserve">health condition </w:t>
      </w:r>
      <w:r w:rsidR="009078C8" w:rsidRPr="005E4158">
        <w:rPr>
          <w:rFonts w:cstheme="minorHAnsi"/>
          <w:shd w:val="clear" w:color="auto" w:fill="FFFFFF"/>
        </w:rPr>
        <w:t>[</w:t>
      </w:r>
      <w:r w:rsidR="00D66B77">
        <w:rPr>
          <w:rFonts w:cstheme="minorHAnsi"/>
          <w:shd w:val="clear" w:color="auto" w:fill="FFFFFF"/>
        </w:rPr>
        <w:t>23</w:t>
      </w:r>
      <w:r w:rsidR="009078C8" w:rsidRPr="005E4158">
        <w:rPr>
          <w:rFonts w:cstheme="minorHAnsi"/>
          <w:shd w:val="clear" w:color="auto" w:fill="FFFFFF"/>
        </w:rPr>
        <w:t>]</w:t>
      </w:r>
      <w:r w:rsidR="00D14F65" w:rsidRPr="005E4158">
        <w:rPr>
          <w:rFonts w:cstheme="minorHAnsi"/>
          <w:shd w:val="clear" w:color="auto" w:fill="FFFFFF"/>
        </w:rPr>
        <w:t>.</w:t>
      </w:r>
      <w:r w:rsidR="00AA1B46">
        <w:rPr>
          <w:rFonts w:cstheme="minorHAnsi"/>
          <w:shd w:val="clear" w:color="auto" w:fill="FFFFFF"/>
        </w:rPr>
        <w:t xml:space="preserve"> </w:t>
      </w:r>
      <w:r w:rsidR="00716997">
        <w:rPr>
          <w:rFonts w:cstheme="minorHAnsi"/>
          <w:shd w:val="clear" w:color="auto" w:fill="FFFFFF"/>
        </w:rPr>
        <w:t>Much of th</w:t>
      </w:r>
      <w:r w:rsidR="00A46F40">
        <w:rPr>
          <w:rFonts w:cstheme="minorHAnsi"/>
          <w:shd w:val="clear" w:color="auto" w:fill="FFFFFF"/>
        </w:rPr>
        <w:t>is</w:t>
      </w:r>
      <w:r w:rsidR="00716997">
        <w:rPr>
          <w:rFonts w:cstheme="minorHAnsi"/>
          <w:shd w:val="clear" w:color="auto" w:fill="FFFFFF"/>
        </w:rPr>
        <w:t xml:space="preserve"> literature has focused on eHealth literacy in relation to </w:t>
      </w:r>
      <w:r w:rsidR="00D71297">
        <w:rPr>
          <w:rFonts w:cstheme="minorHAnsi"/>
          <w:shd w:val="clear" w:color="auto" w:fill="FFFFFF"/>
        </w:rPr>
        <w:t xml:space="preserve">internet use for </w:t>
      </w:r>
      <w:r w:rsidR="008D3EBC">
        <w:rPr>
          <w:rFonts w:cstheme="minorHAnsi"/>
          <w:shd w:val="clear" w:color="auto" w:fill="FFFFFF"/>
        </w:rPr>
        <w:t xml:space="preserve">health </w:t>
      </w:r>
      <w:r w:rsidR="00260A03">
        <w:rPr>
          <w:rFonts w:cstheme="minorHAnsi"/>
          <w:shd w:val="clear" w:color="auto" w:fill="FFFFFF"/>
        </w:rPr>
        <w:t xml:space="preserve">information seeking, rather than using symptom checkers or online </w:t>
      </w:r>
      <w:r w:rsidR="003C42B5">
        <w:rPr>
          <w:rFonts w:cstheme="minorHAnsi"/>
          <w:shd w:val="clear" w:color="auto" w:fill="FFFFFF"/>
        </w:rPr>
        <w:t>triage</w:t>
      </w:r>
      <w:r w:rsidR="00DA5C00">
        <w:rPr>
          <w:rFonts w:cstheme="minorHAnsi"/>
          <w:shd w:val="clear" w:color="auto" w:fill="FFFFFF"/>
        </w:rPr>
        <w:t xml:space="preserve">. </w:t>
      </w:r>
      <w:r w:rsidR="002047D6">
        <w:rPr>
          <w:rFonts w:cstheme="minorHAnsi"/>
          <w:shd w:val="clear" w:color="auto" w:fill="FFFFFF"/>
        </w:rPr>
        <w:t xml:space="preserve">A survey using the eHealth Literacy Questionnaire </w:t>
      </w:r>
      <w:r w:rsidR="00EA2475">
        <w:rPr>
          <w:rFonts w:cstheme="minorHAnsi"/>
          <w:shd w:val="clear" w:color="auto" w:fill="FFFFFF"/>
        </w:rPr>
        <w:t>(eHLQ)</w:t>
      </w:r>
      <w:r w:rsidR="00611454">
        <w:rPr>
          <w:rFonts w:cstheme="minorHAnsi"/>
          <w:shd w:val="clear" w:color="auto" w:fill="FFFFFF"/>
        </w:rPr>
        <w:t xml:space="preserve"> </w:t>
      </w:r>
      <w:r w:rsidR="00424996">
        <w:rPr>
          <w:rFonts w:cstheme="minorHAnsi"/>
          <w:shd w:val="clear" w:color="auto" w:fill="FFFFFF"/>
        </w:rPr>
        <w:t xml:space="preserve">[24] </w:t>
      </w:r>
      <w:r w:rsidR="00EB55D8">
        <w:rPr>
          <w:rFonts w:cstheme="minorHAnsi"/>
          <w:shd w:val="clear" w:color="auto" w:fill="FFFFFF"/>
        </w:rPr>
        <w:t xml:space="preserve">reported that </w:t>
      </w:r>
      <w:r w:rsidR="004114A9">
        <w:rPr>
          <w:rFonts w:cstheme="minorHAnsi"/>
          <w:shd w:val="clear" w:color="auto" w:fill="FFFFFF"/>
        </w:rPr>
        <w:t xml:space="preserve">users of </w:t>
      </w:r>
      <w:r w:rsidR="00BE4A0E">
        <w:rPr>
          <w:rFonts w:cstheme="minorHAnsi"/>
          <w:shd w:val="clear" w:color="auto" w:fill="FFFFFF"/>
        </w:rPr>
        <w:t>digital ac</w:t>
      </w:r>
      <w:r w:rsidR="00CE139F">
        <w:rPr>
          <w:rFonts w:cstheme="minorHAnsi"/>
          <w:shd w:val="clear" w:color="auto" w:fill="FFFFFF"/>
        </w:rPr>
        <w:t>cess to health care services (e.g., communi</w:t>
      </w:r>
      <w:r w:rsidR="00B45095">
        <w:rPr>
          <w:rFonts w:cstheme="minorHAnsi"/>
          <w:shd w:val="clear" w:color="auto" w:fill="FFFFFF"/>
        </w:rPr>
        <w:t>cating</w:t>
      </w:r>
      <w:r w:rsidR="00CE139F">
        <w:rPr>
          <w:rFonts w:cstheme="minorHAnsi"/>
          <w:shd w:val="clear" w:color="auto" w:fill="FFFFFF"/>
        </w:rPr>
        <w:t xml:space="preserve"> with health professionals</w:t>
      </w:r>
      <w:r w:rsidR="00EA2475">
        <w:rPr>
          <w:rFonts w:cstheme="minorHAnsi"/>
          <w:shd w:val="clear" w:color="auto" w:fill="FFFFFF"/>
        </w:rPr>
        <w:t>,</w:t>
      </w:r>
      <w:r w:rsidR="00CE139F">
        <w:rPr>
          <w:rFonts w:cstheme="minorHAnsi"/>
          <w:shd w:val="clear" w:color="auto" w:fill="FFFFFF"/>
        </w:rPr>
        <w:t xml:space="preserve"> access</w:t>
      </w:r>
      <w:r w:rsidR="00B45095">
        <w:rPr>
          <w:rFonts w:cstheme="minorHAnsi"/>
          <w:shd w:val="clear" w:color="auto" w:fill="FFFFFF"/>
        </w:rPr>
        <w:t>ing</w:t>
      </w:r>
      <w:r w:rsidR="00CE139F">
        <w:rPr>
          <w:rFonts w:cstheme="minorHAnsi"/>
          <w:shd w:val="clear" w:color="auto" w:fill="FFFFFF"/>
        </w:rPr>
        <w:t xml:space="preserve"> health-related information) sc</w:t>
      </w:r>
      <w:r w:rsidR="007B188E">
        <w:rPr>
          <w:rFonts w:cstheme="minorHAnsi"/>
          <w:shd w:val="clear" w:color="auto" w:fill="FFFFFF"/>
        </w:rPr>
        <w:t xml:space="preserve">ored higher on </w:t>
      </w:r>
      <w:r w:rsidR="00CE139F">
        <w:rPr>
          <w:rFonts w:cstheme="minorHAnsi"/>
          <w:shd w:val="clear" w:color="auto" w:fill="FFFFFF"/>
        </w:rPr>
        <w:t>m</w:t>
      </w:r>
      <w:r w:rsidR="007B188E">
        <w:rPr>
          <w:rFonts w:cstheme="minorHAnsi"/>
          <w:shd w:val="clear" w:color="auto" w:fill="FFFFFF"/>
        </w:rPr>
        <w:t>ost dimensions of</w:t>
      </w:r>
      <w:r w:rsidR="002047D6">
        <w:rPr>
          <w:rFonts w:cstheme="minorHAnsi"/>
          <w:shd w:val="clear" w:color="auto" w:fill="FFFFFF"/>
        </w:rPr>
        <w:t xml:space="preserve"> the scale </w:t>
      </w:r>
      <w:r w:rsidR="001258F6">
        <w:rPr>
          <w:rFonts w:cstheme="minorHAnsi"/>
          <w:shd w:val="clear" w:color="auto" w:fill="FFFFFF"/>
        </w:rPr>
        <w:t>[2</w:t>
      </w:r>
      <w:r w:rsidR="00424996">
        <w:rPr>
          <w:rFonts w:cstheme="minorHAnsi"/>
          <w:shd w:val="clear" w:color="auto" w:fill="FFFFFF"/>
        </w:rPr>
        <w:t>5</w:t>
      </w:r>
      <w:r w:rsidR="001258F6">
        <w:rPr>
          <w:rFonts w:cstheme="minorHAnsi"/>
          <w:shd w:val="clear" w:color="auto" w:fill="FFFFFF"/>
        </w:rPr>
        <w:t>]</w:t>
      </w:r>
      <w:r w:rsidR="00A06C73">
        <w:rPr>
          <w:rFonts w:cstheme="minorHAnsi"/>
          <w:shd w:val="clear" w:color="auto" w:fill="FFFFFF"/>
        </w:rPr>
        <w:t xml:space="preserve">. </w:t>
      </w:r>
      <w:r w:rsidR="001258F6">
        <w:rPr>
          <w:rFonts w:cstheme="minorHAnsi"/>
          <w:shd w:val="clear" w:color="auto" w:fill="FFFFFF"/>
        </w:rPr>
        <w:t xml:space="preserve">However, </w:t>
      </w:r>
      <w:r w:rsidR="00414D6E" w:rsidRPr="0087740D">
        <w:rPr>
          <w:rFonts w:cstheme="minorHAnsi"/>
          <w:shd w:val="clear" w:color="auto" w:fill="FFFFFF"/>
        </w:rPr>
        <w:t xml:space="preserve">little research </w:t>
      </w:r>
      <w:r w:rsidR="00EA2475">
        <w:rPr>
          <w:rFonts w:cstheme="minorHAnsi"/>
          <w:shd w:val="clear" w:color="auto" w:fill="FFFFFF"/>
        </w:rPr>
        <w:t>has focused on</w:t>
      </w:r>
      <w:r w:rsidR="00414D6E" w:rsidRPr="0087740D">
        <w:rPr>
          <w:rFonts w:cstheme="minorHAnsi"/>
          <w:shd w:val="clear" w:color="auto" w:fill="FFFFFF"/>
        </w:rPr>
        <w:t xml:space="preserve"> </w:t>
      </w:r>
      <w:r w:rsidR="0087740D" w:rsidRPr="0087740D">
        <w:rPr>
          <w:rFonts w:cstheme="minorHAnsi"/>
          <w:shd w:val="clear" w:color="auto" w:fill="FFFFFF"/>
        </w:rPr>
        <w:t xml:space="preserve">eHealth literacy in </w:t>
      </w:r>
      <w:r w:rsidR="009236ED">
        <w:rPr>
          <w:rFonts w:cstheme="minorHAnsi"/>
          <w:shd w:val="clear" w:color="auto" w:fill="FFFFFF"/>
        </w:rPr>
        <w:t xml:space="preserve">the context of </w:t>
      </w:r>
      <w:r w:rsidR="00A5344E" w:rsidRPr="0087740D">
        <w:rPr>
          <w:rFonts w:cstheme="minorHAnsi"/>
          <w:shd w:val="clear" w:color="auto" w:fill="FFFFFF"/>
        </w:rPr>
        <w:t xml:space="preserve">online urgent care </w:t>
      </w:r>
      <w:r w:rsidR="0087740D" w:rsidRPr="0087740D">
        <w:rPr>
          <w:rFonts w:cstheme="minorHAnsi"/>
          <w:shd w:val="clear" w:color="auto" w:fill="FFFFFF"/>
        </w:rPr>
        <w:t>triage and assessment</w:t>
      </w:r>
      <w:r w:rsidR="00EA2475">
        <w:rPr>
          <w:rFonts w:cstheme="minorHAnsi"/>
          <w:shd w:val="clear" w:color="auto" w:fill="FFFFFF"/>
        </w:rPr>
        <w:t>.</w:t>
      </w:r>
    </w:p>
    <w:p w14:paraId="2F151D5F" w14:textId="77777777" w:rsidR="00235A36" w:rsidRPr="00FE7D33" w:rsidRDefault="00235A36" w:rsidP="00FC4F97">
      <w:pPr>
        <w:spacing w:line="276" w:lineRule="auto"/>
        <w:rPr>
          <w:rFonts w:cstheme="minorHAnsi"/>
          <w:shd w:val="clear" w:color="auto" w:fill="FFFFFF"/>
          <w:lang w:val="en-GB"/>
        </w:rPr>
      </w:pPr>
    </w:p>
    <w:p w14:paraId="0B07DA83" w14:textId="2C605439" w:rsidR="00FC4F97" w:rsidRPr="002B36B0" w:rsidRDefault="00891425" w:rsidP="002B36B0">
      <w:pPr>
        <w:pStyle w:val="Heading3"/>
        <w:spacing w:line="276" w:lineRule="auto"/>
        <w:rPr>
          <w:rFonts w:asciiTheme="minorHAnsi" w:hAnsiTheme="minorHAnsi"/>
        </w:rPr>
      </w:pPr>
      <w:r w:rsidRPr="002B36B0">
        <w:rPr>
          <w:rFonts w:asciiTheme="minorHAnsi" w:hAnsiTheme="minorHAnsi"/>
        </w:rPr>
        <w:t>NHS 111 online</w:t>
      </w:r>
    </w:p>
    <w:p w14:paraId="1021EE64" w14:textId="5AC6F6B5" w:rsidR="000520E5" w:rsidRPr="00C663CE" w:rsidRDefault="00BF5672" w:rsidP="000520E5">
      <w:pPr>
        <w:spacing w:line="276" w:lineRule="auto"/>
      </w:pPr>
      <w:r>
        <w:rPr>
          <w:rFonts w:cstheme="minorHAnsi"/>
          <w:shd w:val="clear" w:color="auto" w:fill="FFFFFF"/>
        </w:rPr>
        <w:t xml:space="preserve">The </w:t>
      </w:r>
      <w:r w:rsidR="00FC4F97" w:rsidRPr="00E22EAC">
        <w:rPr>
          <w:rFonts w:cstheme="minorHAnsi"/>
          <w:shd w:val="clear" w:color="auto" w:fill="FFFFFF"/>
        </w:rPr>
        <w:t xml:space="preserve">NHS 111 online </w:t>
      </w:r>
      <w:r>
        <w:rPr>
          <w:rFonts w:cstheme="minorHAnsi"/>
          <w:shd w:val="clear" w:color="auto" w:fill="FFFFFF"/>
        </w:rPr>
        <w:t xml:space="preserve">urgent care service </w:t>
      </w:r>
      <w:r w:rsidR="00005E9E" w:rsidRPr="00E22EAC">
        <w:rPr>
          <w:rFonts w:cstheme="minorHAnsi"/>
          <w:shd w:val="clear" w:color="auto" w:fill="FFFFFF"/>
        </w:rPr>
        <w:t xml:space="preserve">was launched in 2017 across </w:t>
      </w:r>
      <w:r w:rsidR="00FC4F97" w:rsidRPr="00E22EAC">
        <w:rPr>
          <w:rFonts w:cstheme="minorHAnsi"/>
          <w:shd w:val="clear" w:color="auto" w:fill="FFFFFF"/>
        </w:rPr>
        <w:t xml:space="preserve">the four nations of the UK, and </w:t>
      </w:r>
      <w:r w:rsidR="00AE4CF7">
        <w:rPr>
          <w:rFonts w:cstheme="minorHAnsi"/>
          <w:shd w:val="clear" w:color="auto" w:fill="FFFFFF"/>
        </w:rPr>
        <w:t xml:space="preserve">is </w:t>
      </w:r>
      <w:r w:rsidR="00FC4F97" w:rsidRPr="00E22EAC">
        <w:rPr>
          <w:rFonts w:cstheme="minorHAnsi"/>
          <w:shd w:val="clear" w:color="auto" w:fill="FFFFFF"/>
        </w:rPr>
        <w:t>an exemplar of a policy push to ‘digital first’ that is not unique to the NHS.</w:t>
      </w:r>
      <w:r>
        <w:rPr>
          <w:rFonts w:cstheme="minorHAnsi"/>
          <w:shd w:val="clear" w:color="auto" w:fill="FFFFFF"/>
        </w:rPr>
        <w:t xml:space="preserve"> </w:t>
      </w:r>
      <w:r w:rsidRPr="002B36B0">
        <w:rPr>
          <w:rFonts w:cstheme="minorHAnsi"/>
          <w:shd w:val="clear" w:color="auto" w:fill="FFFFFF"/>
        </w:rPr>
        <w:t xml:space="preserve">NHS 111 online was </w:t>
      </w:r>
      <w:r>
        <w:rPr>
          <w:rFonts w:cstheme="minorHAnsi"/>
          <w:shd w:val="clear" w:color="auto" w:fill="FFFFFF"/>
        </w:rPr>
        <w:t xml:space="preserve">designed </w:t>
      </w:r>
      <w:r w:rsidRPr="002B36B0">
        <w:rPr>
          <w:rFonts w:cstheme="minorHAnsi"/>
          <w:shd w:val="clear" w:color="auto" w:fill="FFFFFF"/>
        </w:rPr>
        <w:t xml:space="preserve">to augment the NHS 111 </w:t>
      </w:r>
      <w:r w:rsidRPr="002B36B0">
        <w:t xml:space="preserve">telephone </w:t>
      </w:r>
      <w:r>
        <w:t xml:space="preserve">triage and assessment </w:t>
      </w:r>
      <w:r w:rsidRPr="002B36B0">
        <w:t xml:space="preserve">service </w:t>
      </w:r>
      <w:r>
        <w:t>which launched in England in 2011 [3]</w:t>
      </w:r>
      <w:r w:rsidRPr="00E22EAC">
        <w:t xml:space="preserve">. </w:t>
      </w:r>
      <w:r w:rsidR="008A4065" w:rsidRPr="00E22EAC">
        <w:rPr>
          <w:rFonts w:cstheme="minorHAnsi"/>
          <w:shd w:val="clear" w:color="auto" w:fill="FFFFFF"/>
        </w:rPr>
        <w:t xml:space="preserve">NHS 111 online is </w:t>
      </w:r>
      <w:r w:rsidR="00610FC5">
        <w:rPr>
          <w:rFonts w:cstheme="minorHAnsi"/>
          <w:shd w:val="clear" w:color="auto" w:fill="FFFFFF"/>
        </w:rPr>
        <w:t xml:space="preserve">freely available </w:t>
      </w:r>
      <w:r w:rsidR="001258F6">
        <w:t>24-hour a day</w:t>
      </w:r>
      <w:r w:rsidR="004E3141" w:rsidRPr="00E22EAC">
        <w:t xml:space="preserve"> </w:t>
      </w:r>
      <w:r w:rsidR="00507358">
        <w:t xml:space="preserve">giving </w:t>
      </w:r>
      <w:r w:rsidR="004E3141" w:rsidRPr="00E22EAC">
        <w:t>access to Web-based assessment and triage</w:t>
      </w:r>
      <w:r w:rsidR="001258F6">
        <w:t xml:space="preserve"> (</w:t>
      </w:r>
      <w:r w:rsidR="008A4065" w:rsidRPr="00E22EAC">
        <w:t xml:space="preserve">via </w:t>
      </w:r>
      <w:r w:rsidR="004E3141" w:rsidRPr="00E22EAC">
        <w:t>a smartphone, tablet or computer</w:t>
      </w:r>
      <w:r w:rsidR="001258F6">
        <w:t xml:space="preserve">) for </w:t>
      </w:r>
      <w:r w:rsidR="00A6620A" w:rsidRPr="00E22EAC">
        <w:t>people</w:t>
      </w:r>
      <w:r w:rsidR="004933EB" w:rsidRPr="00E22EAC">
        <w:t xml:space="preserve"> </w:t>
      </w:r>
      <w:r w:rsidR="006A2B9D" w:rsidRPr="00E22EAC">
        <w:t>with urgent (non-emergency) care needs</w:t>
      </w:r>
      <w:r w:rsidR="006A2B9D">
        <w:t xml:space="preserve"> </w:t>
      </w:r>
      <w:r w:rsidR="00E432AD">
        <w:t xml:space="preserve">aged </w:t>
      </w:r>
      <w:r w:rsidR="001258F6">
        <w:t>o</w:t>
      </w:r>
      <w:r w:rsidR="004933EB" w:rsidRPr="00E22EAC">
        <w:t>ver five years</w:t>
      </w:r>
      <w:r w:rsidR="009D50DE" w:rsidRPr="00E22EAC">
        <w:rPr>
          <w:spacing w:val="-4"/>
        </w:rPr>
        <w:t xml:space="preserve">. </w:t>
      </w:r>
      <w:r w:rsidR="00877C83">
        <w:rPr>
          <w:spacing w:val="-4"/>
        </w:rPr>
        <w:t xml:space="preserve">The </w:t>
      </w:r>
      <w:r w:rsidR="000D2AA2" w:rsidRPr="00E22EAC">
        <w:rPr>
          <w:spacing w:val="-4"/>
        </w:rPr>
        <w:t xml:space="preserve">NHS </w:t>
      </w:r>
      <w:r w:rsidR="009D50DE" w:rsidRPr="00E22EAC">
        <w:rPr>
          <w:spacing w:val="-4"/>
        </w:rPr>
        <w:t>111 telephone and online service</w:t>
      </w:r>
      <w:r w:rsidR="00877C83">
        <w:rPr>
          <w:spacing w:val="-4"/>
        </w:rPr>
        <w:t>s</w:t>
      </w:r>
      <w:r w:rsidR="009D50DE" w:rsidRPr="00E22EAC">
        <w:rPr>
          <w:spacing w:val="-4"/>
        </w:rPr>
        <w:t xml:space="preserve"> </w:t>
      </w:r>
      <w:r w:rsidR="00A6620A" w:rsidRPr="00E22EAC">
        <w:rPr>
          <w:spacing w:val="-4"/>
        </w:rPr>
        <w:t xml:space="preserve">are </w:t>
      </w:r>
      <w:r w:rsidR="00877C83">
        <w:rPr>
          <w:spacing w:val="-4"/>
        </w:rPr>
        <w:t xml:space="preserve">both </w:t>
      </w:r>
      <w:r w:rsidR="00111C35" w:rsidRPr="00E22EAC">
        <w:rPr>
          <w:spacing w:val="-4"/>
        </w:rPr>
        <w:t xml:space="preserve">underpinned by </w:t>
      </w:r>
      <w:r w:rsidR="009D50DE" w:rsidRPr="00E22EAC">
        <w:t>a computer decision support software system</w:t>
      </w:r>
      <w:r w:rsidR="00111C35" w:rsidRPr="00E22EAC">
        <w:t>. NHS 111 online users follow a tailored algorithm, answering questions about symptoms</w:t>
      </w:r>
      <w:r w:rsidR="00111C35" w:rsidRPr="002B36B0">
        <w:t xml:space="preserve"> or health concerns</w:t>
      </w:r>
      <w:r w:rsidR="007950BB">
        <w:t xml:space="preserve">. This </w:t>
      </w:r>
      <w:r w:rsidR="00111C35" w:rsidRPr="002B36B0">
        <w:t>result</w:t>
      </w:r>
      <w:r w:rsidR="007950BB">
        <w:t>s</w:t>
      </w:r>
      <w:r w:rsidR="00111C35" w:rsidRPr="002B36B0">
        <w:t xml:space="preserve"> in </w:t>
      </w:r>
      <w:r w:rsidR="004F0CD3" w:rsidRPr="002B36B0">
        <w:t xml:space="preserve">an outcome </w:t>
      </w:r>
      <w:r w:rsidR="001C0C6D">
        <w:t xml:space="preserve">which </w:t>
      </w:r>
      <w:r w:rsidR="00111C35" w:rsidRPr="002B36B0">
        <w:t>direct</w:t>
      </w:r>
      <w:r w:rsidR="001C0C6D">
        <w:t>s</w:t>
      </w:r>
      <w:r w:rsidR="00111C35" w:rsidRPr="002B36B0">
        <w:t xml:space="preserve"> users to appropriate services </w:t>
      </w:r>
      <w:r w:rsidR="00A56E92" w:rsidRPr="002B36B0">
        <w:t xml:space="preserve">(for example, </w:t>
      </w:r>
      <w:r w:rsidR="001C0C6D">
        <w:t xml:space="preserve">emergency </w:t>
      </w:r>
      <w:r w:rsidR="00A56E92" w:rsidRPr="002B36B0">
        <w:t>ambulance, emergency department</w:t>
      </w:r>
      <w:r w:rsidR="001C0C6D">
        <w:t xml:space="preserve">, </w:t>
      </w:r>
      <w:r w:rsidR="004F0CD3" w:rsidRPr="002B36B0">
        <w:t>general practice</w:t>
      </w:r>
      <w:r w:rsidR="00A56E92" w:rsidRPr="002B36B0">
        <w:t xml:space="preserve">) </w:t>
      </w:r>
      <w:r w:rsidR="00111C35" w:rsidRPr="002B36B0">
        <w:t>or self-care advice</w:t>
      </w:r>
      <w:r w:rsidR="00A735DF">
        <w:t xml:space="preserve"> is provided</w:t>
      </w:r>
      <w:r w:rsidR="00111C35" w:rsidRPr="002B36B0">
        <w:rPr>
          <w:spacing w:val="-4"/>
        </w:rPr>
        <w:t xml:space="preserve">. </w:t>
      </w:r>
      <w:r w:rsidR="00111C35" w:rsidRPr="002B36B0">
        <w:t>Where indicated, a call back from a healthcare professional may be offered</w:t>
      </w:r>
      <w:r w:rsidR="00933953" w:rsidRPr="002B36B0">
        <w:t>. F</w:t>
      </w:r>
      <w:r w:rsidR="00111C35" w:rsidRPr="002B36B0">
        <w:t xml:space="preserve">acilities for booking arrival at </w:t>
      </w:r>
      <w:r w:rsidR="00933953" w:rsidRPr="002B36B0">
        <w:t xml:space="preserve">an </w:t>
      </w:r>
      <w:r w:rsidR="003E6A0F">
        <w:t>e</w:t>
      </w:r>
      <w:r w:rsidR="00111C35" w:rsidRPr="002B36B0">
        <w:t xml:space="preserve">mergency </w:t>
      </w:r>
      <w:r w:rsidR="003E6A0F">
        <w:t>d</w:t>
      </w:r>
      <w:r w:rsidR="00111C35" w:rsidRPr="002B36B0">
        <w:t xml:space="preserve">epartment </w:t>
      </w:r>
      <w:r w:rsidR="003E6A0F">
        <w:t xml:space="preserve">were more </w:t>
      </w:r>
      <w:r w:rsidR="00A56E92" w:rsidRPr="002B36B0">
        <w:t xml:space="preserve">recently </w:t>
      </w:r>
      <w:r w:rsidR="00111C35" w:rsidRPr="002B36B0">
        <w:t>added</w:t>
      </w:r>
      <w:r w:rsidR="00A56E92" w:rsidRPr="002B36B0">
        <w:t xml:space="preserve"> </w:t>
      </w:r>
      <w:r w:rsidR="00A735DF">
        <w:t>[</w:t>
      </w:r>
      <w:r w:rsidR="002D4E8D">
        <w:t>2</w:t>
      </w:r>
      <w:r w:rsidR="00424996">
        <w:t>6</w:t>
      </w:r>
      <w:r w:rsidR="002D4E8D">
        <w:t>]</w:t>
      </w:r>
      <w:r w:rsidR="00111C35" w:rsidRPr="002B36B0">
        <w:t>.</w:t>
      </w:r>
      <w:r w:rsidR="00110F23" w:rsidRPr="002B36B0">
        <w:t xml:space="preserve"> </w:t>
      </w:r>
      <w:r w:rsidR="00443EB0">
        <w:t>In a single month (</w:t>
      </w:r>
      <w:r w:rsidR="00110F23" w:rsidRPr="002B36B0">
        <w:t>September 2023</w:t>
      </w:r>
      <w:r w:rsidR="00443EB0">
        <w:t>)</w:t>
      </w:r>
      <w:r w:rsidR="00110F23" w:rsidRPr="002B36B0">
        <w:t xml:space="preserve">, 577,973 NHS </w:t>
      </w:r>
      <w:r w:rsidR="008E5EB8">
        <w:t xml:space="preserve">111 </w:t>
      </w:r>
      <w:r w:rsidR="00110F23" w:rsidRPr="002B36B0">
        <w:t>online</w:t>
      </w:r>
      <w:r w:rsidR="003E6A0F">
        <w:t xml:space="preserve"> session</w:t>
      </w:r>
      <w:r w:rsidR="008E5EB8">
        <w:t xml:space="preserve">s were completed: </w:t>
      </w:r>
      <w:r w:rsidR="00110F23" w:rsidRPr="002B36B0">
        <w:t xml:space="preserve">11% resulted in an ambulance </w:t>
      </w:r>
      <w:r w:rsidR="008E5EB8">
        <w:t>outcome, 11</w:t>
      </w:r>
      <w:r w:rsidR="00110F23" w:rsidRPr="002B36B0">
        <w:t xml:space="preserve">% emergency treatment, 40% primary care, 12% needing a prescription, and 6% dentalcare. </w:t>
      </w:r>
      <w:r w:rsidR="00090586">
        <w:t>O</w:t>
      </w:r>
      <w:r w:rsidR="002B5650" w:rsidRPr="002B36B0">
        <w:rPr>
          <w:rStyle w:val="cf01"/>
          <w:rFonts w:asciiTheme="minorHAnsi" w:hAnsiTheme="minorHAnsi"/>
          <w:sz w:val="24"/>
          <w:szCs w:val="24"/>
        </w:rPr>
        <w:t xml:space="preserve">nly 8% of calls resulted in </w:t>
      </w:r>
      <w:r w:rsidR="00DE74FD" w:rsidRPr="002B36B0">
        <w:rPr>
          <w:rStyle w:val="cf01"/>
          <w:rFonts w:asciiTheme="minorHAnsi" w:hAnsiTheme="minorHAnsi"/>
          <w:sz w:val="24"/>
          <w:szCs w:val="24"/>
        </w:rPr>
        <w:t>self-man</w:t>
      </w:r>
      <w:r w:rsidR="00090586">
        <w:rPr>
          <w:rStyle w:val="cf01"/>
          <w:rFonts w:asciiTheme="minorHAnsi" w:hAnsiTheme="minorHAnsi"/>
          <w:sz w:val="24"/>
          <w:szCs w:val="24"/>
        </w:rPr>
        <w:t>a</w:t>
      </w:r>
      <w:r w:rsidR="00DE74FD" w:rsidRPr="002B36B0">
        <w:rPr>
          <w:rStyle w:val="cf01"/>
          <w:rFonts w:asciiTheme="minorHAnsi" w:hAnsiTheme="minorHAnsi"/>
          <w:sz w:val="24"/>
          <w:szCs w:val="24"/>
        </w:rPr>
        <w:t xml:space="preserve">gement </w:t>
      </w:r>
      <w:r w:rsidR="008E5EB8">
        <w:rPr>
          <w:rStyle w:val="cf01"/>
          <w:rFonts w:asciiTheme="minorHAnsi" w:hAnsiTheme="minorHAnsi"/>
          <w:sz w:val="24"/>
          <w:szCs w:val="24"/>
        </w:rPr>
        <w:t>[</w:t>
      </w:r>
      <w:r w:rsidR="001F789E">
        <w:rPr>
          <w:rStyle w:val="cf01"/>
          <w:rFonts w:asciiTheme="minorHAnsi" w:hAnsiTheme="minorHAnsi"/>
          <w:sz w:val="24"/>
          <w:szCs w:val="24"/>
        </w:rPr>
        <w:t>2</w:t>
      </w:r>
      <w:r w:rsidR="00424996">
        <w:rPr>
          <w:rStyle w:val="cf01"/>
          <w:rFonts w:asciiTheme="minorHAnsi" w:hAnsiTheme="minorHAnsi"/>
          <w:sz w:val="24"/>
          <w:szCs w:val="24"/>
        </w:rPr>
        <w:t>7</w:t>
      </w:r>
      <w:r w:rsidR="001F789E">
        <w:rPr>
          <w:rStyle w:val="cf01"/>
          <w:rFonts w:asciiTheme="minorHAnsi" w:hAnsiTheme="minorHAnsi"/>
          <w:sz w:val="24"/>
          <w:szCs w:val="24"/>
        </w:rPr>
        <w:t>]</w:t>
      </w:r>
      <w:r w:rsidR="000520E5">
        <w:t xml:space="preserve">. </w:t>
      </w:r>
      <w:r w:rsidR="000520E5" w:rsidRPr="002B36B0">
        <w:rPr>
          <w:rStyle w:val="cf01"/>
          <w:rFonts w:asciiTheme="minorHAnsi" w:hAnsiTheme="minorHAnsi"/>
          <w:sz w:val="24"/>
          <w:szCs w:val="24"/>
        </w:rPr>
        <w:t xml:space="preserve">There is some expectation NHS 111 online </w:t>
      </w:r>
      <w:r w:rsidR="00047165">
        <w:rPr>
          <w:rStyle w:val="cf01"/>
          <w:rFonts w:asciiTheme="minorHAnsi" w:hAnsiTheme="minorHAnsi"/>
          <w:sz w:val="24"/>
          <w:szCs w:val="24"/>
        </w:rPr>
        <w:t xml:space="preserve">may </w:t>
      </w:r>
      <w:r w:rsidR="000520E5" w:rsidRPr="002B36B0">
        <w:rPr>
          <w:rStyle w:val="cf01"/>
          <w:rFonts w:asciiTheme="minorHAnsi" w:hAnsiTheme="minorHAnsi"/>
          <w:sz w:val="24"/>
          <w:szCs w:val="24"/>
        </w:rPr>
        <w:t xml:space="preserve">help reduce </w:t>
      </w:r>
      <w:r w:rsidR="000520E5">
        <w:rPr>
          <w:rStyle w:val="cf01"/>
          <w:rFonts w:asciiTheme="minorHAnsi" w:hAnsiTheme="minorHAnsi"/>
          <w:sz w:val="24"/>
          <w:szCs w:val="24"/>
        </w:rPr>
        <w:t xml:space="preserve">or ameliorate </w:t>
      </w:r>
      <w:r w:rsidR="000520E5" w:rsidRPr="002B36B0">
        <w:rPr>
          <w:rStyle w:val="cf01"/>
          <w:rFonts w:asciiTheme="minorHAnsi" w:hAnsiTheme="minorHAnsi"/>
          <w:sz w:val="24"/>
          <w:szCs w:val="24"/>
        </w:rPr>
        <w:t>demand for face</w:t>
      </w:r>
      <w:r w:rsidR="00047165">
        <w:rPr>
          <w:rStyle w:val="cf01"/>
          <w:rFonts w:asciiTheme="minorHAnsi" w:hAnsiTheme="minorHAnsi"/>
          <w:sz w:val="24"/>
          <w:szCs w:val="24"/>
        </w:rPr>
        <w:t>-</w:t>
      </w:r>
      <w:r w:rsidR="000520E5" w:rsidRPr="002B36B0">
        <w:rPr>
          <w:rStyle w:val="cf01"/>
          <w:rFonts w:asciiTheme="minorHAnsi" w:hAnsiTheme="minorHAnsi"/>
          <w:sz w:val="24"/>
          <w:szCs w:val="24"/>
        </w:rPr>
        <w:t>to</w:t>
      </w:r>
      <w:r w:rsidR="00047165">
        <w:rPr>
          <w:rStyle w:val="cf01"/>
          <w:rFonts w:asciiTheme="minorHAnsi" w:hAnsiTheme="minorHAnsi"/>
          <w:sz w:val="24"/>
          <w:szCs w:val="24"/>
        </w:rPr>
        <w:t>-</w:t>
      </w:r>
      <w:r w:rsidR="000520E5" w:rsidRPr="002B36B0">
        <w:rPr>
          <w:rStyle w:val="cf01"/>
          <w:rFonts w:asciiTheme="minorHAnsi" w:hAnsiTheme="minorHAnsi"/>
          <w:sz w:val="24"/>
          <w:szCs w:val="24"/>
        </w:rPr>
        <w:t>face urgent and emergency care services</w:t>
      </w:r>
      <w:r w:rsidR="000520E5">
        <w:rPr>
          <w:rStyle w:val="cf01"/>
          <w:rFonts w:asciiTheme="minorHAnsi" w:hAnsiTheme="minorHAnsi"/>
          <w:sz w:val="24"/>
          <w:szCs w:val="24"/>
        </w:rPr>
        <w:t xml:space="preserve"> </w:t>
      </w:r>
      <w:r w:rsidR="001F789E">
        <w:rPr>
          <w:rStyle w:val="cf01"/>
          <w:rFonts w:asciiTheme="minorHAnsi" w:hAnsiTheme="minorHAnsi"/>
          <w:sz w:val="24"/>
          <w:szCs w:val="24"/>
        </w:rPr>
        <w:t>[3]</w:t>
      </w:r>
      <w:r w:rsidR="003C3A23">
        <w:rPr>
          <w:rStyle w:val="cf01"/>
          <w:rFonts w:asciiTheme="minorHAnsi" w:hAnsiTheme="minorHAnsi"/>
          <w:sz w:val="24"/>
          <w:szCs w:val="24"/>
        </w:rPr>
        <w:t xml:space="preserve"> but </w:t>
      </w:r>
      <w:r w:rsidR="008351FD">
        <w:rPr>
          <w:rStyle w:val="cf01"/>
          <w:rFonts w:asciiTheme="minorHAnsi" w:hAnsiTheme="minorHAnsi"/>
          <w:sz w:val="24"/>
          <w:szCs w:val="24"/>
        </w:rPr>
        <w:t xml:space="preserve">there is some evidence to </w:t>
      </w:r>
      <w:r w:rsidR="00ED2168">
        <w:rPr>
          <w:rStyle w:val="cf01"/>
          <w:rFonts w:asciiTheme="minorHAnsi" w:hAnsiTheme="minorHAnsi"/>
          <w:sz w:val="24"/>
          <w:szCs w:val="24"/>
        </w:rPr>
        <w:t xml:space="preserve">suggest </w:t>
      </w:r>
      <w:r w:rsidR="000520E5">
        <w:rPr>
          <w:rStyle w:val="cf01"/>
          <w:rFonts w:asciiTheme="minorHAnsi" w:hAnsiTheme="minorHAnsi"/>
          <w:sz w:val="24"/>
          <w:szCs w:val="24"/>
        </w:rPr>
        <w:t xml:space="preserve">that </w:t>
      </w:r>
      <w:r w:rsidR="000520E5" w:rsidRPr="002B36B0">
        <w:t>NHS 111 online had little impact on the number of calls to the NHS 1</w:t>
      </w:r>
      <w:r w:rsidR="00ED2168">
        <w:t>1</w:t>
      </w:r>
      <w:r w:rsidR="000520E5" w:rsidRPr="002B36B0">
        <w:t>1 telephone serv</w:t>
      </w:r>
      <w:r w:rsidR="000520E5" w:rsidRPr="00C663CE">
        <w:t>ice</w:t>
      </w:r>
      <w:r w:rsidR="001F789E">
        <w:t xml:space="preserve"> [</w:t>
      </w:r>
      <w:r w:rsidR="003C42B5">
        <w:t>2</w:t>
      </w:r>
      <w:r w:rsidR="00424996">
        <w:t>8</w:t>
      </w:r>
      <w:r w:rsidR="003C42B5">
        <w:t>]</w:t>
      </w:r>
      <w:r w:rsidR="001B7CF7" w:rsidRPr="00C663CE">
        <w:t>.</w:t>
      </w:r>
      <w:r w:rsidR="00886984" w:rsidRPr="00C663CE">
        <w:t xml:space="preserve"> </w:t>
      </w:r>
    </w:p>
    <w:p w14:paraId="470DC1F8" w14:textId="77777777" w:rsidR="000520E5" w:rsidRPr="00C663CE" w:rsidRDefault="000520E5" w:rsidP="000520E5">
      <w:pPr>
        <w:spacing w:line="276" w:lineRule="auto"/>
      </w:pPr>
    </w:p>
    <w:p w14:paraId="2E7531B2" w14:textId="2C8E9575" w:rsidR="00FC4F97" w:rsidRPr="00561F9B" w:rsidRDefault="00B345A2" w:rsidP="00FC4F97">
      <w:pPr>
        <w:spacing w:line="276" w:lineRule="auto"/>
        <w:rPr>
          <w:rFonts w:cs="Arial"/>
        </w:rPr>
      </w:pPr>
      <w:r>
        <w:rPr>
          <w:rFonts w:cstheme="minorHAnsi"/>
        </w:rPr>
        <w:t xml:space="preserve">There </w:t>
      </w:r>
      <w:r w:rsidR="008618D0">
        <w:rPr>
          <w:rFonts w:cstheme="minorHAnsi"/>
        </w:rPr>
        <w:t xml:space="preserve">is little </w:t>
      </w:r>
      <w:r>
        <w:rPr>
          <w:rFonts w:cstheme="minorHAnsi"/>
        </w:rPr>
        <w:t xml:space="preserve">research </w:t>
      </w:r>
      <w:r w:rsidR="00900129">
        <w:rPr>
          <w:rFonts w:cstheme="minorHAnsi"/>
        </w:rPr>
        <w:t xml:space="preserve">to date </w:t>
      </w:r>
      <w:r>
        <w:rPr>
          <w:rFonts w:cstheme="minorHAnsi"/>
        </w:rPr>
        <w:t xml:space="preserve">about </w:t>
      </w:r>
      <w:r w:rsidR="00AA1B46" w:rsidRPr="00C663CE">
        <w:rPr>
          <w:rFonts w:cstheme="minorHAnsi"/>
        </w:rPr>
        <w:t xml:space="preserve">eHealth literacy </w:t>
      </w:r>
      <w:r w:rsidR="00900129">
        <w:rPr>
          <w:rFonts w:cstheme="minorHAnsi"/>
        </w:rPr>
        <w:t xml:space="preserve">and the use of </w:t>
      </w:r>
      <w:r w:rsidR="00AA1B46" w:rsidRPr="00C663CE">
        <w:rPr>
          <w:rFonts w:cstheme="minorHAnsi"/>
        </w:rPr>
        <w:t xml:space="preserve">online </w:t>
      </w:r>
      <w:r w:rsidR="00893115">
        <w:rPr>
          <w:rFonts w:cstheme="minorHAnsi"/>
        </w:rPr>
        <w:t xml:space="preserve">triage and assessment </w:t>
      </w:r>
      <w:r w:rsidR="00AA1B46" w:rsidRPr="00C663CE">
        <w:rPr>
          <w:rFonts w:cstheme="minorHAnsi"/>
        </w:rPr>
        <w:t>urgent care service</w:t>
      </w:r>
      <w:r w:rsidR="00893115">
        <w:rPr>
          <w:rFonts w:cstheme="minorHAnsi"/>
        </w:rPr>
        <w:t>s</w:t>
      </w:r>
      <w:r w:rsidR="000C6B6B" w:rsidRPr="00C663CE">
        <w:rPr>
          <w:rFonts w:cstheme="minorHAnsi"/>
        </w:rPr>
        <w:t xml:space="preserve">. </w:t>
      </w:r>
      <w:r w:rsidR="00893115">
        <w:rPr>
          <w:rFonts w:cstheme="minorHAnsi"/>
        </w:rPr>
        <w:t xml:space="preserve">Since </w:t>
      </w:r>
      <w:r w:rsidR="00C351DC" w:rsidRPr="00C663CE">
        <w:rPr>
          <w:rStyle w:val="cf01"/>
          <w:rFonts w:asciiTheme="minorHAnsi" w:hAnsiTheme="minorHAnsi"/>
          <w:sz w:val="24"/>
          <w:szCs w:val="24"/>
        </w:rPr>
        <w:t xml:space="preserve">NHS 111 online </w:t>
      </w:r>
      <w:r w:rsidR="00293E13" w:rsidRPr="00C663CE">
        <w:rPr>
          <w:rStyle w:val="cf01"/>
          <w:rFonts w:asciiTheme="minorHAnsi" w:hAnsiTheme="minorHAnsi"/>
          <w:sz w:val="24"/>
          <w:szCs w:val="24"/>
        </w:rPr>
        <w:t>is</w:t>
      </w:r>
      <w:r w:rsidR="00C351DC" w:rsidRPr="00C663CE">
        <w:rPr>
          <w:rStyle w:val="cf01"/>
          <w:rFonts w:asciiTheme="minorHAnsi" w:hAnsiTheme="minorHAnsi"/>
          <w:sz w:val="24"/>
          <w:szCs w:val="24"/>
        </w:rPr>
        <w:t xml:space="preserve"> used directly by patients and the public</w:t>
      </w:r>
      <w:r w:rsidR="00293E13" w:rsidRPr="00C663CE">
        <w:rPr>
          <w:rStyle w:val="cf01"/>
          <w:rFonts w:asciiTheme="minorHAnsi" w:hAnsiTheme="minorHAnsi"/>
          <w:sz w:val="24"/>
          <w:szCs w:val="24"/>
        </w:rPr>
        <w:t xml:space="preserve"> - </w:t>
      </w:r>
      <w:r w:rsidR="00C351DC" w:rsidRPr="00C663CE">
        <w:rPr>
          <w:rStyle w:val="cf01"/>
          <w:rFonts w:asciiTheme="minorHAnsi" w:hAnsiTheme="minorHAnsi"/>
          <w:sz w:val="24"/>
          <w:szCs w:val="24"/>
        </w:rPr>
        <w:t>without a call handler or clinical intermediary</w:t>
      </w:r>
      <w:r w:rsidR="00293E13" w:rsidRPr="00C663CE">
        <w:rPr>
          <w:rStyle w:val="cf01"/>
          <w:rFonts w:asciiTheme="minorHAnsi" w:hAnsiTheme="minorHAnsi"/>
          <w:sz w:val="24"/>
          <w:szCs w:val="24"/>
        </w:rPr>
        <w:t xml:space="preserve"> </w:t>
      </w:r>
      <w:r w:rsidR="002D03A2" w:rsidRPr="00C663CE">
        <w:rPr>
          <w:rStyle w:val="cf01"/>
          <w:rFonts w:asciiTheme="minorHAnsi" w:hAnsiTheme="minorHAnsi"/>
          <w:sz w:val="24"/>
          <w:szCs w:val="24"/>
        </w:rPr>
        <w:t>–</w:t>
      </w:r>
      <w:r w:rsidR="00293E13" w:rsidRPr="00C663CE">
        <w:rPr>
          <w:rStyle w:val="cf01"/>
          <w:rFonts w:asciiTheme="minorHAnsi" w:hAnsiTheme="minorHAnsi"/>
          <w:sz w:val="24"/>
          <w:szCs w:val="24"/>
        </w:rPr>
        <w:t xml:space="preserve"> </w:t>
      </w:r>
      <w:r w:rsidR="00CE2A22">
        <w:rPr>
          <w:rStyle w:val="cf01"/>
          <w:rFonts w:asciiTheme="minorHAnsi" w:hAnsiTheme="minorHAnsi"/>
          <w:sz w:val="24"/>
          <w:szCs w:val="24"/>
        </w:rPr>
        <w:t xml:space="preserve">this </w:t>
      </w:r>
      <w:r w:rsidR="00C351DC" w:rsidRPr="00C663CE">
        <w:rPr>
          <w:rStyle w:val="cf01"/>
          <w:rFonts w:asciiTheme="minorHAnsi" w:hAnsiTheme="minorHAnsi"/>
          <w:sz w:val="24"/>
          <w:szCs w:val="24"/>
        </w:rPr>
        <w:t xml:space="preserve">raises additional concerns about </w:t>
      </w:r>
      <w:r w:rsidR="000C6B6B" w:rsidRPr="00C663CE">
        <w:rPr>
          <w:rStyle w:val="cf01"/>
          <w:rFonts w:asciiTheme="minorHAnsi" w:hAnsiTheme="minorHAnsi"/>
          <w:sz w:val="24"/>
          <w:szCs w:val="24"/>
        </w:rPr>
        <w:t>eH</w:t>
      </w:r>
      <w:r w:rsidR="00C351DC" w:rsidRPr="00C663CE">
        <w:rPr>
          <w:rStyle w:val="cf01"/>
          <w:rFonts w:asciiTheme="minorHAnsi" w:hAnsiTheme="minorHAnsi"/>
          <w:sz w:val="24"/>
          <w:szCs w:val="24"/>
        </w:rPr>
        <w:t>ealth literacy and equity of access</w:t>
      </w:r>
      <w:r w:rsidR="00AA1B46" w:rsidRPr="00C663CE">
        <w:rPr>
          <w:rStyle w:val="cf01"/>
          <w:rFonts w:asciiTheme="minorHAnsi" w:hAnsiTheme="minorHAnsi"/>
          <w:sz w:val="24"/>
          <w:szCs w:val="24"/>
        </w:rPr>
        <w:t xml:space="preserve"> </w:t>
      </w:r>
      <w:r w:rsidR="002D03A2" w:rsidRPr="00C663CE">
        <w:rPr>
          <w:rStyle w:val="cf01"/>
          <w:rFonts w:asciiTheme="minorHAnsi" w:hAnsiTheme="minorHAnsi"/>
          <w:sz w:val="24"/>
          <w:szCs w:val="24"/>
        </w:rPr>
        <w:t>via digital services</w:t>
      </w:r>
      <w:r w:rsidR="00E16E22" w:rsidRPr="00C663CE">
        <w:rPr>
          <w:rStyle w:val="cf01"/>
          <w:rFonts w:asciiTheme="minorHAnsi" w:hAnsiTheme="minorHAnsi"/>
          <w:sz w:val="24"/>
          <w:szCs w:val="24"/>
        </w:rPr>
        <w:t xml:space="preserve">. </w:t>
      </w:r>
      <w:r w:rsidR="00293E13" w:rsidRPr="00C663CE">
        <w:rPr>
          <w:rStyle w:val="cf01"/>
          <w:rFonts w:asciiTheme="minorHAnsi" w:hAnsiTheme="minorHAnsi"/>
          <w:sz w:val="24"/>
          <w:szCs w:val="24"/>
        </w:rPr>
        <w:t xml:space="preserve">It is </w:t>
      </w:r>
      <w:r w:rsidR="00C07EE7">
        <w:rPr>
          <w:rStyle w:val="cf01"/>
          <w:rFonts w:asciiTheme="minorHAnsi" w:hAnsiTheme="minorHAnsi"/>
          <w:sz w:val="24"/>
          <w:szCs w:val="24"/>
        </w:rPr>
        <w:t xml:space="preserve">unclear </w:t>
      </w:r>
      <w:r w:rsidR="00E16E22" w:rsidRPr="00C663CE">
        <w:rPr>
          <w:rStyle w:val="cf01"/>
          <w:rFonts w:asciiTheme="minorHAnsi" w:hAnsiTheme="minorHAnsi"/>
          <w:sz w:val="24"/>
          <w:szCs w:val="24"/>
        </w:rPr>
        <w:t xml:space="preserve">if </w:t>
      </w:r>
      <w:r w:rsidR="00E01DBC" w:rsidRPr="00C663CE">
        <w:rPr>
          <w:rStyle w:val="cf01"/>
          <w:rFonts w:asciiTheme="minorHAnsi" w:hAnsiTheme="minorHAnsi"/>
          <w:sz w:val="24"/>
          <w:szCs w:val="24"/>
        </w:rPr>
        <w:t xml:space="preserve">potential benefits of </w:t>
      </w:r>
      <w:r w:rsidR="005B7471" w:rsidRPr="00C663CE">
        <w:rPr>
          <w:rStyle w:val="cf01"/>
          <w:rFonts w:asciiTheme="minorHAnsi" w:hAnsiTheme="minorHAnsi"/>
          <w:sz w:val="24"/>
          <w:szCs w:val="24"/>
        </w:rPr>
        <w:t xml:space="preserve">urgent </w:t>
      </w:r>
      <w:r w:rsidR="00844DEE" w:rsidRPr="00C663CE">
        <w:rPr>
          <w:rStyle w:val="cf01"/>
          <w:rFonts w:asciiTheme="minorHAnsi" w:hAnsiTheme="minorHAnsi"/>
          <w:sz w:val="24"/>
          <w:szCs w:val="24"/>
        </w:rPr>
        <w:t>online health services</w:t>
      </w:r>
      <w:r w:rsidR="00C07EE7">
        <w:rPr>
          <w:rStyle w:val="cf01"/>
          <w:rFonts w:asciiTheme="minorHAnsi" w:hAnsiTheme="minorHAnsi"/>
          <w:sz w:val="24"/>
          <w:szCs w:val="24"/>
        </w:rPr>
        <w:t xml:space="preserve">, such as </w:t>
      </w:r>
      <w:r w:rsidR="00C825F9" w:rsidRPr="00C663CE">
        <w:rPr>
          <w:rStyle w:val="cf01"/>
          <w:rFonts w:asciiTheme="minorHAnsi" w:hAnsiTheme="minorHAnsi"/>
          <w:sz w:val="24"/>
          <w:szCs w:val="24"/>
        </w:rPr>
        <w:t>improving access</w:t>
      </w:r>
      <w:r w:rsidR="00E16E22" w:rsidRPr="00C663CE">
        <w:rPr>
          <w:rStyle w:val="cf01"/>
          <w:rFonts w:asciiTheme="minorHAnsi" w:hAnsiTheme="minorHAnsi"/>
          <w:sz w:val="24"/>
          <w:szCs w:val="24"/>
        </w:rPr>
        <w:t xml:space="preserve"> </w:t>
      </w:r>
      <w:r w:rsidR="00843B31" w:rsidRPr="00C663CE">
        <w:rPr>
          <w:rStyle w:val="cf01"/>
          <w:rFonts w:asciiTheme="minorHAnsi" w:hAnsiTheme="minorHAnsi"/>
          <w:sz w:val="24"/>
          <w:szCs w:val="24"/>
        </w:rPr>
        <w:t xml:space="preserve">to services and </w:t>
      </w:r>
      <w:r w:rsidR="00C07EE7">
        <w:rPr>
          <w:rStyle w:val="cf01"/>
          <w:rFonts w:asciiTheme="minorHAnsi" w:hAnsiTheme="minorHAnsi"/>
          <w:sz w:val="24"/>
          <w:szCs w:val="24"/>
        </w:rPr>
        <w:t>gre</w:t>
      </w:r>
      <w:r w:rsidR="00C825F9" w:rsidRPr="00C663CE">
        <w:rPr>
          <w:rStyle w:val="cf01"/>
          <w:rFonts w:asciiTheme="minorHAnsi" w:hAnsiTheme="minorHAnsi"/>
          <w:sz w:val="24"/>
          <w:szCs w:val="24"/>
        </w:rPr>
        <w:t xml:space="preserve">ater </w:t>
      </w:r>
      <w:r w:rsidR="008952CD" w:rsidRPr="00C663CE">
        <w:rPr>
          <w:rStyle w:val="cf01"/>
          <w:rFonts w:asciiTheme="minorHAnsi" w:hAnsiTheme="minorHAnsi"/>
          <w:sz w:val="24"/>
          <w:szCs w:val="24"/>
        </w:rPr>
        <w:t>empowerment</w:t>
      </w:r>
      <w:r w:rsidR="00C825F9" w:rsidRPr="00C663CE">
        <w:rPr>
          <w:rStyle w:val="cf01"/>
          <w:rFonts w:asciiTheme="minorHAnsi" w:hAnsiTheme="minorHAnsi"/>
          <w:sz w:val="24"/>
          <w:szCs w:val="24"/>
        </w:rPr>
        <w:t xml:space="preserve"> / self</w:t>
      </w:r>
      <w:r w:rsidR="005B7471" w:rsidRPr="00C663CE">
        <w:rPr>
          <w:rStyle w:val="cf01"/>
          <w:rFonts w:asciiTheme="minorHAnsi" w:hAnsiTheme="minorHAnsi"/>
          <w:sz w:val="24"/>
          <w:szCs w:val="24"/>
        </w:rPr>
        <w:t xml:space="preserve">-management </w:t>
      </w:r>
      <w:r w:rsidR="00843B31" w:rsidRPr="00C663CE">
        <w:rPr>
          <w:rStyle w:val="cf01"/>
          <w:rFonts w:asciiTheme="minorHAnsi" w:hAnsiTheme="minorHAnsi"/>
          <w:sz w:val="24"/>
          <w:szCs w:val="24"/>
        </w:rPr>
        <w:t>of own health</w:t>
      </w:r>
      <w:r w:rsidR="00671505">
        <w:rPr>
          <w:rStyle w:val="cf01"/>
          <w:rFonts w:asciiTheme="minorHAnsi" w:hAnsiTheme="minorHAnsi"/>
          <w:sz w:val="24"/>
          <w:szCs w:val="24"/>
        </w:rPr>
        <w:t xml:space="preserve"> [6, 10]</w:t>
      </w:r>
      <w:r w:rsidR="00122CB6">
        <w:rPr>
          <w:rStyle w:val="cf01"/>
          <w:rFonts w:asciiTheme="minorHAnsi" w:hAnsiTheme="minorHAnsi"/>
          <w:sz w:val="24"/>
          <w:szCs w:val="24"/>
        </w:rPr>
        <w:t>,</w:t>
      </w:r>
      <w:r w:rsidR="00843B31" w:rsidRPr="00C663CE">
        <w:rPr>
          <w:rStyle w:val="cf01"/>
          <w:rFonts w:asciiTheme="minorHAnsi" w:hAnsiTheme="minorHAnsi"/>
          <w:sz w:val="24"/>
          <w:szCs w:val="24"/>
        </w:rPr>
        <w:t xml:space="preserve"> </w:t>
      </w:r>
      <w:r w:rsidR="003947F5" w:rsidRPr="00C663CE">
        <w:rPr>
          <w:rStyle w:val="cf01"/>
          <w:rFonts w:asciiTheme="minorHAnsi" w:hAnsiTheme="minorHAnsi"/>
          <w:sz w:val="24"/>
          <w:szCs w:val="24"/>
        </w:rPr>
        <w:t xml:space="preserve">may be hindered by </w:t>
      </w:r>
      <w:r w:rsidR="00C663CE" w:rsidRPr="00C663CE">
        <w:rPr>
          <w:rStyle w:val="cf01"/>
          <w:rFonts w:asciiTheme="minorHAnsi" w:hAnsiTheme="minorHAnsi"/>
          <w:sz w:val="24"/>
          <w:szCs w:val="24"/>
        </w:rPr>
        <w:t>e</w:t>
      </w:r>
      <w:r w:rsidR="003947F5" w:rsidRPr="00C663CE">
        <w:rPr>
          <w:rStyle w:val="cf01"/>
          <w:rFonts w:asciiTheme="minorHAnsi" w:hAnsiTheme="minorHAnsi"/>
          <w:sz w:val="24"/>
          <w:szCs w:val="24"/>
        </w:rPr>
        <w:t>Health literacy</w:t>
      </w:r>
      <w:r w:rsidR="00293E13" w:rsidRPr="00C663CE">
        <w:rPr>
          <w:rStyle w:val="cf01"/>
          <w:rFonts w:asciiTheme="minorHAnsi" w:hAnsiTheme="minorHAnsi"/>
          <w:sz w:val="24"/>
          <w:szCs w:val="24"/>
        </w:rPr>
        <w:t xml:space="preserve">. </w:t>
      </w:r>
      <w:r w:rsidR="003829C1" w:rsidRPr="00C663CE">
        <w:rPr>
          <w:rStyle w:val="cf01"/>
          <w:rFonts w:asciiTheme="minorHAnsi" w:hAnsiTheme="minorHAnsi"/>
          <w:sz w:val="24"/>
          <w:szCs w:val="24"/>
        </w:rPr>
        <w:t xml:space="preserve">This study </w:t>
      </w:r>
      <w:r w:rsidR="002E1D91" w:rsidRPr="00C663CE">
        <w:rPr>
          <w:rStyle w:val="cf01"/>
          <w:rFonts w:asciiTheme="minorHAnsi" w:hAnsiTheme="minorHAnsi"/>
          <w:sz w:val="24"/>
          <w:szCs w:val="24"/>
        </w:rPr>
        <w:t xml:space="preserve">provides the first large scale </w:t>
      </w:r>
      <w:r w:rsidR="00561F9B" w:rsidRPr="00C663CE">
        <w:rPr>
          <w:rStyle w:val="cf01"/>
          <w:rFonts w:asciiTheme="minorHAnsi" w:hAnsiTheme="minorHAnsi"/>
          <w:sz w:val="24"/>
          <w:szCs w:val="24"/>
        </w:rPr>
        <w:t xml:space="preserve">survey which aims to measure </w:t>
      </w:r>
      <w:r w:rsidR="00FC4F97" w:rsidRPr="00C663CE">
        <w:rPr>
          <w:rFonts w:cstheme="minorHAnsi"/>
        </w:rPr>
        <w:t>eHealth literacy and the help-seeking preferences of users and non-users NHS 111 online</w:t>
      </w:r>
      <w:r w:rsidR="00561F9B" w:rsidRPr="00C663CE">
        <w:rPr>
          <w:rFonts w:cstheme="minorHAnsi"/>
        </w:rPr>
        <w:t xml:space="preserve"> </w:t>
      </w:r>
      <w:r w:rsidR="00561F9B" w:rsidRPr="00C663CE">
        <w:rPr>
          <w:rStyle w:val="cf01"/>
          <w:rFonts w:asciiTheme="minorHAnsi" w:hAnsiTheme="minorHAnsi"/>
          <w:sz w:val="24"/>
          <w:szCs w:val="24"/>
        </w:rPr>
        <w:t xml:space="preserve">in the context of online urgent care </w:t>
      </w:r>
      <w:r w:rsidR="00122CB6">
        <w:rPr>
          <w:rStyle w:val="cf01"/>
          <w:rFonts w:asciiTheme="minorHAnsi" w:hAnsiTheme="minorHAnsi"/>
          <w:sz w:val="24"/>
          <w:szCs w:val="24"/>
        </w:rPr>
        <w:t>use.</w:t>
      </w:r>
    </w:p>
    <w:p w14:paraId="07C6B0C3" w14:textId="77777777" w:rsidR="00424EA6" w:rsidRDefault="00424EA6"/>
    <w:p w14:paraId="6C77D246" w14:textId="3A2BE820" w:rsidR="00424EA6" w:rsidRDefault="00424EA6" w:rsidP="00424EA6">
      <w:pPr>
        <w:pStyle w:val="Heading2"/>
      </w:pPr>
      <w:bookmarkStart w:id="8" w:name="Methods"/>
      <w:bookmarkStart w:id="9" w:name="_Methods_1"/>
      <w:bookmarkEnd w:id="8"/>
      <w:bookmarkEnd w:id="9"/>
      <w:r>
        <w:t>Methods</w:t>
      </w:r>
    </w:p>
    <w:p w14:paraId="4BCAB26D" w14:textId="0F17E6CC" w:rsidR="00424EA6" w:rsidRDefault="00613D4C" w:rsidP="00424EA6">
      <w:pPr>
        <w:pStyle w:val="Heading3"/>
      </w:pPr>
      <w:r>
        <w:t>Study design</w:t>
      </w:r>
    </w:p>
    <w:p w14:paraId="0A29E292" w14:textId="1C2307F7" w:rsidR="00337DCC" w:rsidRDefault="00C13556" w:rsidP="00393995">
      <w:pPr>
        <w:spacing w:line="276" w:lineRule="auto"/>
      </w:pPr>
      <w:bookmarkStart w:id="10" w:name="Subheadings"/>
      <w:bookmarkEnd w:id="10"/>
      <w:r w:rsidRPr="00FB2313">
        <w:rPr>
          <w:rFonts w:cstheme="minorHAnsi"/>
        </w:rPr>
        <w:t>A cross sectional survey was conducted in England between October 2020 and July 2021, including periods when COVID-19 restrictions were in place. The survey included the eHealth Literacy Questionnaire (eHLQ), a validated 35-item 7-</w:t>
      </w:r>
      <w:r w:rsidR="008E37B2">
        <w:rPr>
          <w:rFonts w:cstheme="minorHAnsi"/>
        </w:rPr>
        <w:t>dimension</w:t>
      </w:r>
      <w:r w:rsidR="008E37B2" w:rsidRPr="00FB2313">
        <w:rPr>
          <w:rFonts w:cstheme="minorHAnsi"/>
        </w:rPr>
        <w:t xml:space="preserve"> </w:t>
      </w:r>
      <w:r w:rsidRPr="00FB2313">
        <w:rPr>
          <w:rFonts w:cstheme="minorHAnsi"/>
        </w:rPr>
        <w:t>questionnaire</w:t>
      </w:r>
      <w:r w:rsidR="009078C8">
        <w:rPr>
          <w:rFonts w:cstheme="minorHAnsi"/>
        </w:rPr>
        <w:t xml:space="preserve"> [</w:t>
      </w:r>
      <w:r w:rsidR="00F764BE">
        <w:rPr>
          <w:rFonts w:cstheme="minorHAnsi"/>
        </w:rPr>
        <w:t>28</w:t>
      </w:r>
      <w:r w:rsidR="009078C8" w:rsidRPr="009078C8">
        <w:rPr>
          <w:rFonts w:cstheme="minorHAnsi"/>
        </w:rPr>
        <w:t>]</w:t>
      </w:r>
      <w:r w:rsidRPr="00FB2313">
        <w:rPr>
          <w:rFonts w:cstheme="minorHAnsi"/>
        </w:rPr>
        <w:t xml:space="preserve"> used to explore individuals’ reported competencies, experiences and interactions with technologies and services.</w:t>
      </w:r>
      <w:r w:rsidR="00CF0B11">
        <w:rPr>
          <w:rFonts w:cstheme="minorHAnsi"/>
        </w:rPr>
        <w:t xml:space="preserve"> </w:t>
      </w:r>
      <w:r w:rsidR="00CF0B11">
        <w:t>The eHLQ consists of seven d</w:t>
      </w:r>
      <w:r w:rsidR="005B3C34">
        <w:t>imensions</w:t>
      </w:r>
      <w:r w:rsidR="00CF0B11">
        <w:t xml:space="preserve">: eHLQ1: using technology to process health information (five items), eHLQ2: understanding of health concepts and language (five items), eHLQ3: ability to actively engage with digital services (five items), eHLQ4: feel safe and in control (five items), eHLQ5: motivated to engage with digital services (five items), eHLQ6: access to digital services that </w:t>
      </w:r>
      <w:r w:rsidR="00CF0B11" w:rsidRPr="00393995">
        <w:t>work (six items) and eHLQ7: digital services that suit individual needs (four items</w:t>
      </w:r>
      <w:r w:rsidR="00CF0B11" w:rsidRPr="001048E2">
        <w:t>).</w:t>
      </w:r>
      <w:r w:rsidR="00F2790A" w:rsidRPr="001048E2">
        <w:t xml:space="preserve"> </w:t>
      </w:r>
      <w:r w:rsidR="00337DCC" w:rsidRPr="001048E2">
        <w:rPr>
          <w:rFonts w:ascii="Cambria" w:hAnsi="Cambria"/>
          <w:color w:val="212121"/>
          <w:shd w:val="clear" w:color="auto" w:fill="FFFFFF"/>
        </w:rPr>
        <w:t xml:space="preserve">The eHLQ </w:t>
      </w:r>
      <w:r w:rsidR="00F84453" w:rsidRPr="001048E2">
        <w:rPr>
          <w:rFonts w:ascii="Cambria" w:hAnsi="Cambria"/>
          <w:color w:val="212121"/>
          <w:shd w:val="clear" w:color="auto" w:fill="FFFFFF"/>
        </w:rPr>
        <w:t xml:space="preserve">was </w:t>
      </w:r>
      <w:r w:rsidR="00337DCC" w:rsidRPr="001048E2">
        <w:rPr>
          <w:rFonts w:ascii="Cambria" w:hAnsi="Cambria"/>
          <w:color w:val="212121"/>
          <w:shd w:val="clear" w:color="auto" w:fill="FFFFFF"/>
        </w:rPr>
        <w:t xml:space="preserve">developed </w:t>
      </w:r>
      <w:r w:rsidR="00F84453" w:rsidRPr="001048E2">
        <w:rPr>
          <w:rFonts w:ascii="Cambria" w:hAnsi="Cambria"/>
          <w:color w:val="212121"/>
          <w:shd w:val="clear" w:color="auto" w:fill="FFFFFF"/>
        </w:rPr>
        <w:t xml:space="preserve">simultaneously in </w:t>
      </w:r>
      <w:r w:rsidR="00337DCC" w:rsidRPr="001048E2">
        <w:rPr>
          <w:rFonts w:ascii="Cambria" w:hAnsi="Cambria"/>
          <w:color w:val="212121"/>
          <w:shd w:val="clear" w:color="auto" w:fill="FFFFFF"/>
        </w:rPr>
        <w:t>Danish and English using classical and modern test theory [</w:t>
      </w:r>
      <w:r w:rsidR="00337DCC" w:rsidRPr="007D274F">
        <w:rPr>
          <w:rFonts w:ascii="Cambria" w:hAnsi="Cambria"/>
          <w:shd w:val="clear" w:color="auto" w:fill="FFFFFF"/>
        </w:rPr>
        <w:t>2</w:t>
      </w:r>
      <w:r w:rsidR="00BC125F">
        <w:rPr>
          <w:rFonts w:ascii="Cambria" w:hAnsi="Cambria"/>
          <w:shd w:val="clear" w:color="auto" w:fill="FFFFFF"/>
        </w:rPr>
        <w:t>8</w:t>
      </w:r>
      <w:r w:rsidR="00337DCC" w:rsidRPr="001048E2">
        <w:rPr>
          <w:rFonts w:ascii="Cambria" w:hAnsi="Cambria"/>
          <w:color w:val="212121"/>
          <w:shd w:val="clear" w:color="auto" w:fill="FFFFFF"/>
        </w:rPr>
        <w:t xml:space="preserve">]. The instrument </w:t>
      </w:r>
      <w:r w:rsidR="00EA48E9" w:rsidRPr="001048E2">
        <w:rPr>
          <w:rFonts w:ascii="Cambria" w:hAnsi="Cambria"/>
          <w:color w:val="212121"/>
          <w:shd w:val="clear" w:color="auto" w:fill="FFFFFF"/>
        </w:rPr>
        <w:t xml:space="preserve">has been used in a range of countries and healthcare settings. </w:t>
      </w:r>
      <w:r w:rsidR="00BC125F">
        <w:rPr>
          <w:rFonts w:ascii="Cambria" w:hAnsi="Cambria"/>
          <w:color w:val="212121"/>
          <w:shd w:val="clear" w:color="auto" w:fill="FFFFFF"/>
        </w:rPr>
        <w:t xml:space="preserve">Since its development, there have been </w:t>
      </w:r>
      <w:r w:rsidR="005163DB">
        <w:rPr>
          <w:rFonts w:ascii="Cambria" w:hAnsi="Cambria"/>
          <w:color w:val="212121"/>
          <w:shd w:val="clear" w:color="auto" w:fill="FFFFFF"/>
        </w:rPr>
        <w:t>several</w:t>
      </w:r>
      <w:r w:rsidR="00BC125F">
        <w:rPr>
          <w:rFonts w:ascii="Cambria" w:hAnsi="Cambria"/>
          <w:color w:val="212121"/>
          <w:shd w:val="clear" w:color="auto" w:fill="FFFFFF"/>
        </w:rPr>
        <w:t xml:space="preserve"> </w:t>
      </w:r>
      <w:r w:rsidR="00337DCC" w:rsidRPr="001048E2">
        <w:rPr>
          <w:rFonts w:ascii="Cambria" w:hAnsi="Cambria"/>
          <w:color w:val="212121"/>
          <w:shd w:val="clear" w:color="auto" w:fill="FFFFFF"/>
        </w:rPr>
        <w:t xml:space="preserve">translations and cultural adaptations </w:t>
      </w:r>
      <w:r w:rsidR="00F56D3A">
        <w:rPr>
          <w:rFonts w:ascii="Cambria" w:hAnsi="Cambria"/>
          <w:color w:val="212121"/>
          <w:shd w:val="clear" w:color="auto" w:fill="FFFFFF"/>
        </w:rPr>
        <w:t xml:space="preserve">and research </w:t>
      </w:r>
      <w:r w:rsidR="00BC125F">
        <w:rPr>
          <w:rFonts w:ascii="Cambria" w:hAnsi="Cambria"/>
          <w:color w:val="212121"/>
          <w:shd w:val="clear" w:color="auto" w:fill="FFFFFF"/>
        </w:rPr>
        <w:t>indicate</w:t>
      </w:r>
      <w:r w:rsidR="00F56D3A">
        <w:rPr>
          <w:rFonts w:ascii="Cambria" w:hAnsi="Cambria"/>
          <w:color w:val="212121"/>
          <w:shd w:val="clear" w:color="auto" w:fill="FFFFFF"/>
        </w:rPr>
        <w:t>s</w:t>
      </w:r>
      <w:r w:rsidR="00BC125F">
        <w:rPr>
          <w:rFonts w:ascii="Cambria" w:hAnsi="Cambria"/>
          <w:color w:val="212121"/>
          <w:shd w:val="clear" w:color="auto" w:fill="FFFFFF"/>
        </w:rPr>
        <w:t xml:space="preserve"> </w:t>
      </w:r>
      <w:r w:rsidR="00337DCC" w:rsidRPr="001048E2">
        <w:rPr>
          <w:rFonts w:ascii="Cambria" w:hAnsi="Cambria"/>
          <w:color w:val="212121"/>
          <w:shd w:val="clear" w:color="auto" w:fill="FFFFFF"/>
        </w:rPr>
        <w:t xml:space="preserve">that the instrument is robust across </w:t>
      </w:r>
      <w:r w:rsidR="001048E2" w:rsidRPr="001048E2">
        <w:rPr>
          <w:rFonts w:ascii="Cambria" w:hAnsi="Cambria"/>
          <w:color w:val="212121"/>
          <w:shd w:val="clear" w:color="auto" w:fill="FFFFFF"/>
        </w:rPr>
        <w:t>a range of health care contexts</w:t>
      </w:r>
      <w:r w:rsidR="00C96590">
        <w:rPr>
          <w:rFonts w:ascii="Cambria" w:hAnsi="Cambria"/>
          <w:color w:val="212121"/>
          <w:shd w:val="clear" w:color="auto" w:fill="FFFFFF"/>
        </w:rPr>
        <w:t xml:space="preserve"> [</w:t>
      </w:r>
      <w:r w:rsidR="003B1AC4">
        <w:rPr>
          <w:rFonts w:ascii="Cambria" w:hAnsi="Cambria"/>
          <w:color w:val="212121"/>
          <w:shd w:val="clear" w:color="auto" w:fill="FFFFFF"/>
        </w:rPr>
        <w:t>e.g.</w:t>
      </w:r>
      <w:r w:rsidR="005163DB">
        <w:rPr>
          <w:rFonts w:ascii="Cambria" w:hAnsi="Cambria"/>
          <w:color w:val="212121"/>
          <w:shd w:val="clear" w:color="auto" w:fill="FFFFFF"/>
        </w:rPr>
        <w:t>,</w:t>
      </w:r>
      <w:r w:rsidR="003B1AC4">
        <w:rPr>
          <w:rFonts w:ascii="Cambria" w:hAnsi="Cambria"/>
          <w:color w:val="212121"/>
          <w:shd w:val="clear" w:color="auto" w:fill="FFFFFF"/>
        </w:rPr>
        <w:t xml:space="preserve"> 2</w:t>
      </w:r>
      <w:r w:rsidR="00895F98">
        <w:rPr>
          <w:rFonts w:ascii="Cambria" w:hAnsi="Cambria"/>
          <w:color w:val="212121"/>
          <w:shd w:val="clear" w:color="auto" w:fill="FFFFFF"/>
        </w:rPr>
        <w:t>9</w:t>
      </w:r>
      <w:r w:rsidR="003B1AC4">
        <w:rPr>
          <w:rFonts w:ascii="Cambria" w:hAnsi="Cambria"/>
          <w:color w:val="212121"/>
          <w:shd w:val="clear" w:color="auto" w:fill="FFFFFF"/>
        </w:rPr>
        <w:t>-3</w:t>
      </w:r>
      <w:r w:rsidR="00895F98">
        <w:rPr>
          <w:rFonts w:ascii="Cambria" w:hAnsi="Cambria"/>
          <w:color w:val="212121"/>
          <w:shd w:val="clear" w:color="auto" w:fill="FFFFFF"/>
        </w:rPr>
        <w:t>1</w:t>
      </w:r>
      <w:r w:rsidR="003B1AC4">
        <w:rPr>
          <w:rFonts w:ascii="Cambria" w:hAnsi="Cambria"/>
          <w:color w:val="212121"/>
          <w:shd w:val="clear" w:color="auto" w:fill="FFFFFF"/>
        </w:rPr>
        <w:t>]</w:t>
      </w:r>
      <w:r w:rsidR="004E047F">
        <w:rPr>
          <w:rFonts w:ascii="Cambria" w:hAnsi="Cambria"/>
          <w:color w:val="212121"/>
          <w:shd w:val="clear" w:color="auto" w:fill="FFFFFF"/>
        </w:rPr>
        <w:t>.</w:t>
      </w:r>
      <w:r w:rsidR="003B1AC4">
        <w:rPr>
          <w:rFonts w:ascii="Cambria" w:hAnsi="Cambria"/>
          <w:color w:val="212121"/>
          <w:shd w:val="clear" w:color="auto" w:fill="FFFFFF"/>
        </w:rPr>
        <w:t xml:space="preserve"> </w:t>
      </w:r>
    </w:p>
    <w:p w14:paraId="1ABCE2E8" w14:textId="77777777" w:rsidR="00337DCC" w:rsidRDefault="00337DCC" w:rsidP="00393995">
      <w:pPr>
        <w:spacing w:line="276" w:lineRule="auto"/>
      </w:pPr>
    </w:p>
    <w:p w14:paraId="46706DF4" w14:textId="22072FEF" w:rsidR="00F2790A" w:rsidRDefault="00C13556" w:rsidP="00C13556">
      <w:pPr>
        <w:spacing w:line="276" w:lineRule="auto"/>
        <w:rPr>
          <w:rFonts w:cstheme="minorHAnsi"/>
        </w:rPr>
      </w:pPr>
      <w:r w:rsidRPr="00393995">
        <w:rPr>
          <w:rFonts w:cstheme="minorHAnsi"/>
        </w:rPr>
        <w:t xml:space="preserve">The eHLQ is scored using a four-point ordinal scale, from strongly disagree (1) to strongly agree (4). </w:t>
      </w:r>
      <w:r w:rsidRPr="00FB2313">
        <w:rPr>
          <w:rFonts w:cstheme="minorHAnsi"/>
        </w:rPr>
        <w:t>Each d</w:t>
      </w:r>
      <w:r w:rsidR="005B3C34">
        <w:rPr>
          <w:rFonts w:cstheme="minorHAnsi"/>
        </w:rPr>
        <w:t>imension</w:t>
      </w:r>
      <w:r w:rsidRPr="00FB2313">
        <w:rPr>
          <w:rFonts w:cstheme="minorHAnsi"/>
        </w:rPr>
        <w:t xml:space="preserve"> contains between four to six items, with scores averaged to calculate each d</w:t>
      </w:r>
      <w:r w:rsidR="005B3C34">
        <w:rPr>
          <w:rFonts w:cstheme="minorHAnsi"/>
        </w:rPr>
        <w:t>imension</w:t>
      </w:r>
      <w:r w:rsidRPr="00FB2313">
        <w:rPr>
          <w:rFonts w:cstheme="minorHAnsi"/>
        </w:rPr>
        <w:t xml:space="preserve">. A higher mean score indicates a higher self-reported </w:t>
      </w:r>
      <w:r w:rsidR="001A79D3">
        <w:rPr>
          <w:rFonts w:cstheme="minorHAnsi"/>
        </w:rPr>
        <w:t>e</w:t>
      </w:r>
      <w:r w:rsidR="00AC263B">
        <w:rPr>
          <w:rFonts w:cstheme="minorHAnsi"/>
        </w:rPr>
        <w:t>H</w:t>
      </w:r>
      <w:r w:rsidRPr="00FB2313">
        <w:rPr>
          <w:rFonts w:cstheme="minorHAnsi"/>
        </w:rPr>
        <w:t xml:space="preserve">ealth literacy score (a scale of 1 to 4). </w:t>
      </w:r>
      <w:r w:rsidR="00A90577" w:rsidRPr="00393995">
        <w:rPr>
          <w:rFonts w:cstheme="minorHAnsi"/>
        </w:rPr>
        <w:t xml:space="preserve">The highest score of 4 indicates </w:t>
      </w:r>
      <w:r w:rsidR="00A90577">
        <w:rPr>
          <w:rFonts w:cstheme="minorHAnsi"/>
        </w:rPr>
        <w:t xml:space="preserve">individuals’ self-reported </w:t>
      </w:r>
      <w:r w:rsidR="00A90577" w:rsidRPr="00393995">
        <w:rPr>
          <w:rFonts w:cstheme="minorHAnsi"/>
        </w:rPr>
        <w:t xml:space="preserve">positive experiences </w:t>
      </w:r>
      <w:r w:rsidR="00A90577">
        <w:rPr>
          <w:rFonts w:cstheme="minorHAnsi"/>
        </w:rPr>
        <w:t xml:space="preserve">and </w:t>
      </w:r>
      <w:r w:rsidR="006A39F4">
        <w:rPr>
          <w:rFonts w:cstheme="minorHAnsi"/>
        </w:rPr>
        <w:t xml:space="preserve">self-reported </w:t>
      </w:r>
      <w:r w:rsidR="00A90577" w:rsidRPr="00393995">
        <w:rPr>
          <w:rFonts w:cstheme="minorHAnsi"/>
        </w:rPr>
        <w:t xml:space="preserve">strengths and comfort with </w:t>
      </w:r>
      <w:r w:rsidR="006A39F4">
        <w:rPr>
          <w:rFonts w:cstheme="minorHAnsi"/>
        </w:rPr>
        <w:t xml:space="preserve">using </w:t>
      </w:r>
      <w:r w:rsidR="00A90577">
        <w:rPr>
          <w:rFonts w:cstheme="minorHAnsi"/>
        </w:rPr>
        <w:t>digitized health services</w:t>
      </w:r>
      <w:r w:rsidR="00A90577" w:rsidRPr="00393995">
        <w:rPr>
          <w:rFonts w:cstheme="minorHAnsi"/>
        </w:rPr>
        <w:t xml:space="preserve">. </w:t>
      </w:r>
      <w:r w:rsidR="00A90577" w:rsidRPr="00F06D3A">
        <w:rPr>
          <w:rFonts w:cs="Open Sans"/>
          <w:color w:val="000000"/>
          <w:shd w:val="clear" w:color="auto" w:fill="FFFFFF"/>
        </w:rPr>
        <w:t>The eHLQ does not include cut-off points or a benchmarking score for high or low eHealth literacy levels.</w:t>
      </w:r>
    </w:p>
    <w:p w14:paraId="72AD2171" w14:textId="77777777" w:rsidR="00F2790A" w:rsidRDefault="00F2790A" w:rsidP="00C13556">
      <w:pPr>
        <w:spacing w:line="276" w:lineRule="auto"/>
        <w:rPr>
          <w:rFonts w:cstheme="minorHAnsi"/>
        </w:rPr>
      </w:pPr>
    </w:p>
    <w:p w14:paraId="4B984A46" w14:textId="1B45F793" w:rsidR="00A80D0D" w:rsidRPr="007174E7" w:rsidRDefault="00C13556" w:rsidP="00CE5BD2">
      <w:pPr>
        <w:spacing w:line="276" w:lineRule="auto"/>
      </w:pPr>
      <w:r w:rsidRPr="00FB2313">
        <w:rPr>
          <w:rFonts w:cstheme="minorHAnsi"/>
        </w:rPr>
        <w:t xml:space="preserve">The </w:t>
      </w:r>
      <w:r w:rsidRPr="004E047F">
        <w:rPr>
          <w:rFonts w:cstheme="minorHAnsi"/>
        </w:rPr>
        <w:t xml:space="preserve">survey also included questions about age, gender, educational attainment, </w:t>
      </w:r>
      <w:r w:rsidR="00F83CED" w:rsidRPr="004E047F">
        <w:rPr>
          <w:rFonts w:cstheme="minorHAnsi"/>
        </w:rPr>
        <w:t xml:space="preserve">and </w:t>
      </w:r>
      <w:r w:rsidRPr="004E047F">
        <w:rPr>
          <w:rFonts w:cstheme="minorHAnsi"/>
        </w:rPr>
        <w:t xml:space="preserve">employment status and presence of a long-term </w:t>
      </w:r>
      <w:r w:rsidR="005814F0" w:rsidRPr="004E047F">
        <w:rPr>
          <w:rFonts w:cstheme="minorHAnsi"/>
        </w:rPr>
        <w:t xml:space="preserve">health </w:t>
      </w:r>
      <w:r w:rsidRPr="004E047F">
        <w:rPr>
          <w:rFonts w:cstheme="minorHAnsi"/>
        </w:rPr>
        <w:t>condition (LT</w:t>
      </w:r>
      <w:r w:rsidR="005814F0" w:rsidRPr="004E047F">
        <w:rPr>
          <w:rFonts w:cstheme="minorHAnsi"/>
        </w:rPr>
        <w:t>H</w:t>
      </w:r>
      <w:r w:rsidRPr="004E047F">
        <w:rPr>
          <w:rFonts w:cstheme="minorHAnsi"/>
        </w:rPr>
        <w:t xml:space="preserve">C). </w:t>
      </w:r>
      <w:r w:rsidR="00E23565" w:rsidRPr="004E047F">
        <w:rPr>
          <w:rFonts w:cstheme="minorHAnsi"/>
        </w:rPr>
        <w:t xml:space="preserve">Respondents were asked </w:t>
      </w:r>
      <w:r w:rsidR="00E228A4" w:rsidRPr="004E047F">
        <w:rPr>
          <w:rFonts w:cstheme="minorHAnsi"/>
        </w:rPr>
        <w:t>if they had “</w:t>
      </w:r>
      <w:r w:rsidR="00E228A4" w:rsidRPr="007174E7">
        <w:rPr>
          <w:rFonts w:cstheme="minorHAnsi"/>
        </w:rPr>
        <w:t xml:space="preserve">a </w:t>
      </w:r>
      <w:r w:rsidR="00A80D0D" w:rsidRPr="007174E7">
        <w:t>long</w:t>
      </w:r>
      <w:r w:rsidR="006A39F4" w:rsidRPr="007174E7">
        <w:t>-</w:t>
      </w:r>
      <w:r w:rsidR="00A80D0D" w:rsidRPr="007174E7">
        <w:t>term condition or chronic disease</w:t>
      </w:r>
      <w:r w:rsidR="00E228A4" w:rsidRPr="007174E7">
        <w:t>”, for example “</w:t>
      </w:r>
      <w:r w:rsidR="00A80D0D" w:rsidRPr="007174E7">
        <w:t>diabetes, chronic obstructive pulmonary disease, arthritis, hypertension</w:t>
      </w:r>
      <w:r w:rsidR="00C46DFE" w:rsidRPr="007174E7">
        <w:t>”</w:t>
      </w:r>
      <w:r w:rsidR="0069599C" w:rsidRPr="007174E7">
        <w:t>.</w:t>
      </w:r>
      <w:r w:rsidR="00CE5BD2" w:rsidRPr="007174E7">
        <w:t xml:space="preserve"> As such</w:t>
      </w:r>
      <w:r w:rsidR="00C46DFE" w:rsidRPr="007174E7">
        <w:t>,</w:t>
      </w:r>
      <w:r w:rsidR="00CE5BD2" w:rsidRPr="007174E7">
        <w:t xml:space="preserve"> </w:t>
      </w:r>
      <w:r w:rsidR="00406408" w:rsidRPr="007174E7">
        <w:t xml:space="preserve">having a </w:t>
      </w:r>
      <w:r w:rsidR="00541CD8" w:rsidRPr="007174E7">
        <w:t>LTHC is defined by respondents themselves</w:t>
      </w:r>
      <w:r w:rsidR="00A80D0D" w:rsidRPr="007174E7">
        <w:t>.</w:t>
      </w:r>
      <w:r w:rsidR="00466913" w:rsidRPr="007174E7">
        <w:t xml:space="preserve"> </w:t>
      </w:r>
      <w:r w:rsidR="00FB6A11" w:rsidRPr="007174E7">
        <w:t xml:space="preserve">Educational attainment </w:t>
      </w:r>
      <w:r w:rsidR="00C8122E" w:rsidRPr="007174E7">
        <w:t xml:space="preserve">was </w:t>
      </w:r>
      <w:r w:rsidR="00B92F7C" w:rsidRPr="007174E7">
        <w:t xml:space="preserve">aggregated to </w:t>
      </w:r>
      <w:r w:rsidR="005B4164" w:rsidRPr="007174E7">
        <w:t>four levels: 1) No formal qualifications</w:t>
      </w:r>
      <w:r w:rsidR="00E96BCB" w:rsidRPr="007174E7">
        <w:t xml:space="preserve"> 2) </w:t>
      </w:r>
      <w:r w:rsidR="004E68FE" w:rsidRPr="007174E7">
        <w:t>comprehensive</w:t>
      </w:r>
      <w:r w:rsidR="00E96BCB" w:rsidRPr="007174E7">
        <w:t xml:space="preserve"> / secondary </w:t>
      </w:r>
      <w:r w:rsidR="006A48CE" w:rsidRPr="007174E7">
        <w:t xml:space="preserve">school </w:t>
      </w:r>
      <w:r w:rsidR="00775672" w:rsidRPr="007174E7">
        <w:t xml:space="preserve">education </w:t>
      </w:r>
      <w:r w:rsidR="004E68FE" w:rsidRPr="007174E7">
        <w:t>equivalent</w:t>
      </w:r>
      <w:r w:rsidR="00C8122E" w:rsidRPr="007174E7">
        <w:t xml:space="preserve"> -</w:t>
      </w:r>
      <w:r w:rsidR="00775672" w:rsidRPr="007174E7">
        <w:t xml:space="preserve"> </w:t>
      </w:r>
      <w:r w:rsidR="00775672" w:rsidRPr="007174E7">
        <w:rPr>
          <w:shd w:val="clear" w:color="auto" w:fill="FFFFFF"/>
        </w:rPr>
        <w:t xml:space="preserve">International Standard Classification of Education 2011 (ISCED-2011) levels 1 and 2; </w:t>
      </w:r>
      <w:r w:rsidR="00C92D15" w:rsidRPr="007174E7">
        <w:rPr>
          <w:shd w:val="clear" w:color="auto" w:fill="FFFFFF"/>
        </w:rPr>
        <w:t xml:space="preserve">3) </w:t>
      </w:r>
      <w:r w:rsidR="00451985" w:rsidRPr="007174E7">
        <w:rPr>
          <w:shd w:val="clear" w:color="auto" w:fill="FFFFFF"/>
        </w:rPr>
        <w:t>F</w:t>
      </w:r>
      <w:r w:rsidR="00AC5779" w:rsidRPr="007174E7">
        <w:rPr>
          <w:shd w:val="clear" w:color="auto" w:fill="FFFFFF"/>
        </w:rPr>
        <w:t>urther</w:t>
      </w:r>
      <w:r w:rsidR="00C92D15" w:rsidRPr="007174E7">
        <w:rPr>
          <w:shd w:val="clear" w:color="auto" w:fill="FFFFFF"/>
        </w:rPr>
        <w:t xml:space="preserve"> (short) </w:t>
      </w:r>
      <w:r w:rsidR="00A80141" w:rsidRPr="007174E7">
        <w:t>education</w:t>
      </w:r>
      <w:r w:rsidR="00AC5779" w:rsidRPr="007174E7">
        <w:t xml:space="preserve"> </w:t>
      </w:r>
      <w:r w:rsidR="00AC5779" w:rsidRPr="007174E7">
        <w:rPr>
          <w:shd w:val="clear" w:color="auto" w:fill="FFFFFF"/>
        </w:rPr>
        <w:t xml:space="preserve">equivalent to ISCED levels 3, 4, and 5; and </w:t>
      </w:r>
      <w:r w:rsidR="00A27215" w:rsidRPr="007174E7">
        <w:rPr>
          <w:shd w:val="clear" w:color="auto" w:fill="FFFFFF"/>
        </w:rPr>
        <w:t xml:space="preserve">4) </w:t>
      </w:r>
      <w:r w:rsidR="005A5DFE" w:rsidRPr="007174E7">
        <w:rPr>
          <w:shd w:val="clear" w:color="auto" w:fill="FFFFFF"/>
        </w:rPr>
        <w:t>H</w:t>
      </w:r>
      <w:r w:rsidR="00A80141" w:rsidRPr="007174E7">
        <w:t>igher education</w:t>
      </w:r>
      <w:r w:rsidR="005A5DFE" w:rsidRPr="007174E7">
        <w:t xml:space="preserve"> (m</w:t>
      </w:r>
      <w:r w:rsidR="005A5DFE" w:rsidRPr="007174E7">
        <w:rPr>
          <w:shd w:val="clear" w:color="auto" w:fill="FFFFFF"/>
        </w:rPr>
        <w:t>edium and long</w:t>
      </w:r>
      <w:r w:rsidR="00A80141" w:rsidRPr="007174E7">
        <w:t xml:space="preserve"> </w:t>
      </w:r>
      <w:r w:rsidR="005A5DFE" w:rsidRPr="007174E7">
        <w:t xml:space="preserve">equivalent to </w:t>
      </w:r>
      <w:r w:rsidR="004E68FE" w:rsidRPr="007174E7">
        <w:t>ISCED levels 6</w:t>
      </w:r>
      <w:r w:rsidR="00575604" w:rsidRPr="007174E7">
        <w:t>, 7</w:t>
      </w:r>
      <w:r w:rsidR="004E68FE" w:rsidRPr="007174E7">
        <w:t xml:space="preserve"> and </w:t>
      </w:r>
      <w:r w:rsidR="000B4692" w:rsidRPr="007174E7">
        <w:t>8</w:t>
      </w:r>
      <w:r w:rsidR="004E68FE" w:rsidRPr="007174E7">
        <w:t>)</w:t>
      </w:r>
      <w:r w:rsidR="005147E0" w:rsidRPr="007174E7">
        <w:t xml:space="preserve"> [32]</w:t>
      </w:r>
      <w:r w:rsidR="004E68FE" w:rsidRPr="007174E7">
        <w:t>.</w:t>
      </w:r>
      <w:r w:rsidR="000E4788" w:rsidRPr="007174E7">
        <w:t xml:space="preserve"> </w:t>
      </w:r>
    </w:p>
    <w:p w14:paraId="3357FF40" w14:textId="77777777" w:rsidR="00A80D0D" w:rsidRDefault="00A80D0D" w:rsidP="00C13556">
      <w:pPr>
        <w:spacing w:line="276" w:lineRule="auto"/>
        <w:rPr>
          <w:rFonts w:cstheme="minorHAnsi"/>
        </w:rPr>
      </w:pPr>
    </w:p>
    <w:p w14:paraId="5FFC3FE1" w14:textId="58C702EB" w:rsidR="00C13556" w:rsidRDefault="00C13556" w:rsidP="00C13556">
      <w:pPr>
        <w:spacing w:line="276" w:lineRule="auto"/>
        <w:rPr>
          <w:rFonts w:cstheme="minorHAnsi"/>
        </w:rPr>
      </w:pPr>
      <w:r w:rsidRPr="00FB2313">
        <w:rPr>
          <w:rFonts w:cstheme="minorHAnsi"/>
        </w:rPr>
        <w:t>Additionally, ten scenarios describing common presenting conditions or urgent care needs were used to explore preferences for using NHS 111 online. These scenarios were informed by data from our previous research</w:t>
      </w:r>
      <w:r w:rsidR="009078C8">
        <w:rPr>
          <w:rFonts w:cstheme="minorHAnsi"/>
        </w:rPr>
        <w:t xml:space="preserve"> [</w:t>
      </w:r>
      <w:r w:rsidR="00A52673">
        <w:rPr>
          <w:rFonts w:cstheme="minorHAnsi"/>
        </w:rPr>
        <w:t>33</w:t>
      </w:r>
      <w:r w:rsidR="009078C8" w:rsidRPr="009078C8">
        <w:rPr>
          <w:rFonts w:cstheme="minorHAnsi"/>
        </w:rPr>
        <w:t>]</w:t>
      </w:r>
      <w:r w:rsidRPr="00FB2313">
        <w:rPr>
          <w:rFonts w:cstheme="minorHAnsi"/>
        </w:rPr>
        <w:t xml:space="preserve"> and developed in consultation with NHS Digital and patient and public representatives. Scenario preferences for using NHS 111 online were rated on a five-point Likert scale from ‘very likely’ to ‘very unlikely’. Respondents were also asked </w:t>
      </w:r>
      <w:r w:rsidR="00D726C6">
        <w:rPr>
          <w:rFonts w:cstheme="minorHAnsi"/>
        </w:rPr>
        <w:t xml:space="preserve">if they had </w:t>
      </w:r>
      <w:r w:rsidR="00D726C6" w:rsidRPr="00263CB1">
        <w:rPr>
          <w:rFonts w:cstheme="minorHAnsi"/>
          <w:i/>
          <w:iCs/>
        </w:rPr>
        <w:t>ever</w:t>
      </w:r>
      <w:r w:rsidR="00D726C6">
        <w:rPr>
          <w:rFonts w:cstheme="minorHAnsi"/>
        </w:rPr>
        <w:t xml:space="preserve"> </w:t>
      </w:r>
      <w:r w:rsidR="002C5D9F">
        <w:rPr>
          <w:rFonts w:cstheme="minorHAnsi"/>
        </w:rPr>
        <w:t xml:space="preserve">previously </w:t>
      </w:r>
      <w:r w:rsidR="00D726C6">
        <w:rPr>
          <w:rFonts w:cstheme="minorHAnsi"/>
        </w:rPr>
        <w:t>used a</w:t>
      </w:r>
      <w:r w:rsidR="002C5D9F">
        <w:rPr>
          <w:rFonts w:cstheme="minorHAnsi"/>
        </w:rPr>
        <w:t>n</w:t>
      </w:r>
      <w:r w:rsidR="00D726C6">
        <w:rPr>
          <w:rFonts w:cstheme="minorHAnsi"/>
        </w:rPr>
        <w:t xml:space="preserve"> </w:t>
      </w:r>
      <w:r w:rsidRPr="00FB2313">
        <w:rPr>
          <w:rFonts w:cstheme="minorHAnsi"/>
        </w:rPr>
        <w:t>urgent and emergency service</w:t>
      </w:r>
      <w:r w:rsidR="00D726C6">
        <w:rPr>
          <w:rFonts w:cstheme="minorHAnsi"/>
        </w:rPr>
        <w:t xml:space="preserve"> (</w:t>
      </w:r>
      <w:r w:rsidR="002C5D9F">
        <w:rPr>
          <w:rFonts w:cstheme="minorHAnsi"/>
        </w:rPr>
        <w:t>N</w:t>
      </w:r>
      <w:r w:rsidR="00A93300">
        <w:rPr>
          <w:rFonts w:cstheme="minorHAnsi"/>
        </w:rPr>
        <w:t xml:space="preserve">HS 111 online; NHS 111 telephone service; </w:t>
      </w:r>
      <w:r w:rsidR="00A074BC">
        <w:rPr>
          <w:rFonts w:cstheme="minorHAnsi"/>
        </w:rPr>
        <w:t>U</w:t>
      </w:r>
      <w:r w:rsidR="00A93300">
        <w:rPr>
          <w:rFonts w:cstheme="minorHAnsi"/>
        </w:rPr>
        <w:t xml:space="preserve">rgent </w:t>
      </w:r>
      <w:r w:rsidR="00A074BC">
        <w:rPr>
          <w:rFonts w:cstheme="minorHAnsi"/>
        </w:rPr>
        <w:t>C</w:t>
      </w:r>
      <w:r w:rsidR="00A93300">
        <w:rPr>
          <w:rFonts w:cstheme="minorHAnsi"/>
        </w:rPr>
        <w:t xml:space="preserve">are </w:t>
      </w:r>
      <w:r w:rsidR="00A074BC">
        <w:rPr>
          <w:rFonts w:cstheme="minorHAnsi"/>
        </w:rPr>
        <w:t>C</w:t>
      </w:r>
      <w:r w:rsidR="00A93300">
        <w:rPr>
          <w:rFonts w:cstheme="minorHAnsi"/>
        </w:rPr>
        <w:t>e</w:t>
      </w:r>
      <w:r w:rsidR="00542D90">
        <w:rPr>
          <w:rFonts w:cstheme="minorHAnsi"/>
        </w:rPr>
        <w:t>ntr</w:t>
      </w:r>
      <w:r w:rsidR="00A93300">
        <w:rPr>
          <w:rFonts w:cstheme="minorHAnsi"/>
        </w:rPr>
        <w:t>e; GP out</w:t>
      </w:r>
      <w:r w:rsidR="00542D90">
        <w:rPr>
          <w:rFonts w:cstheme="minorHAnsi"/>
        </w:rPr>
        <w:t>-</w:t>
      </w:r>
      <w:r w:rsidR="00A93300">
        <w:rPr>
          <w:rFonts w:cstheme="minorHAnsi"/>
        </w:rPr>
        <w:t xml:space="preserve">of-hours service; 999 </w:t>
      </w:r>
      <w:r w:rsidR="00542D90">
        <w:rPr>
          <w:rFonts w:cstheme="minorHAnsi"/>
        </w:rPr>
        <w:t>emergency</w:t>
      </w:r>
      <w:r w:rsidR="00A93300">
        <w:rPr>
          <w:rFonts w:cstheme="minorHAnsi"/>
        </w:rPr>
        <w:t xml:space="preserve"> ambulance; </w:t>
      </w:r>
      <w:r w:rsidR="00A074BC">
        <w:rPr>
          <w:rFonts w:cstheme="minorHAnsi"/>
        </w:rPr>
        <w:t>E</w:t>
      </w:r>
      <w:r w:rsidR="00A93300">
        <w:rPr>
          <w:rFonts w:cstheme="minorHAnsi"/>
        </w:rPr>
        <w:t xml:space="preserve">mergency </w:t>
      </w:r>
      <w:r w:rsidR="00A074BC">
        <w:rPr>
          <w:rFonts w:cstheme="minorHAnsi"/>
        </w:rPr>
        <w:t>D</w:t>
      </w:r>
      <w:r w:rsidR="00A93300">
        <w:rPr>
          <w:rFonts w:cstheme="minorHAnsi"/>
        </w:rPr>
        <w:t>ep</w:t>
      </w:r>
      <w:r w:rsidR="00542D90">
        <w:rPr>
          <w:rFonts w:cstheme="minorHAnsi"/>
        </w:rPr>
        <w:t>artment)</w:t>
      </w:r>
      <w:r w:rsidRPr="00FB2313">
        <w:rPr>
          <w:rFonts w:cstheme="minorHAnsi"/>
        </w:rPr>
        <w:t>.</w:t>
      </w:r>
    </w:p>
    <w:p w14:paraId="37B615E8" w14:textId="77777777" w:rsidR="00681006" w:rsidRDefault="00681006" w:rsidP="00C13556">
      <w:pPr>
        <w:spacing w:line="276" w:lineRule="auto"/>
        <w:rPr>
          <w:rFonts w:cstheme="minorHAnsi"/>
        </w:rPr>
      </w:pPr>
    </w:p>
    <w:p w14:paraId="43EC524E" w14:textId="2D5BC684" w:rsidR="005A0F2C" w:rsidRDefault="00424EA6" w:rsidP="00C13556">
      <w:pPr>
        <w:pStyle w:val="Heading3"/>
      </w:pPr>
      <w:r>
        <w:t>S</w:t>
      </w:r>
      <w:r w:rsidR="00C13556">
        <w:t>urvey sampling and participants</w:t>
      </w:r>
    </w:p>
    <w:p w14:paraId="5394BFA9" w14:textId="2AD9658B" w:rsidR="006C3271" w:rsidRDefault="00C8753D" w:rsidP="00C8753D">
      <w:pPr>
        <w:spacing w:line="276" w:lineRule="auto"/>
        <w:rPr>
          <w:rFonts w:cstheme="minorHAnsi"/>
        </w:rPr>
      </w:pPr>
      <w:r w:rsidRPr="00FB2313">
        <w:rPr>
          <w:rFonts w:cstheme="minorHAnsi"/>
          <w:shd w:val="clear" w:color="auto" w:fill="FFFFFF"/>
        </w:rPr>
        <w:t xml:space="preserve">Non-probability sequential convenience sampling was a pragmatic choice to access people who had and had not previously used NHS 111 online. </w:t>
      </w:r>
      <w:r w:rsidR="00DC0225">
        <w:rPr>
          <w:rFonts w:cstheme="minorHAnsi"/>
          <w:shd w:val="clear" w:color="auto" w:fill="FFFFFF"/>
        </w:rPr>
        <w:t xml:space="preserve">The </w:t>
      </w:r>
      <w:r w:rsidR="00240B47">
        <w:rPr>
          <w:rFonts w:cstheme="minorHAnsi"/>
          <w:shd w:val="clear" w:color="auto" w:fill="FFFFFF"/>
        </w:rPr>
        <w:t xml:space="preserve">sampling and recruitment strategy </w:t>
      </w:r>
      <w:r w:rsidR="00DC0225">
        <w:rPr>
          <w:rFonts w:cstheme="minorHAnsi"/>
          <w:shd w:val="clear" w:color="auto" w:fill="FFFFFF"/>
        </w:rPr>
        <w:t xml:space="preserve">meant that it was not possible </w:t>
      </w:r>
      <w:r w:rsidR="00741124">
        <w:rPr>
          <w:rFonts w:cstheme="minorHAnsi"/>
          <w:shd w:val="clear" w:color="auto" w:fill="FFFFFF"/>
        </w:rPr>
        <w:t xml:space="preserve">to calculate a response rate. </w:t>
      </w:r>
      <w:r w:rsidRPr="00FB2313">
        <w:rPr>
          <w:rFonts w:cstheme="minorHAnsi"/>
          <w:shd w:val="clear" w:color="auto" w:fill="FFFFFF"/>
        </w:rPr>
        <w:t xml:space="preserve">Respondents were recruited via </w:t>
      </w:r>
      <w:r w:rsidRPr="00FB2313">
        <w:rPr>
          <w:rFonts w:cstheme="minorHAnsi"/>
        </w:rPr>
        <w:t xml:space="preserve">24 primary care organisations, seven urgent/emergency care settings, the NHS 111 online website, and two non-NHS third sector (charity) organisations. The small number of respondents from the charity sites (n=5 respondents) have been combined with primary care data in the analysis presented here. </w:t>
      </w:r>
      <w:r w:rsidRPr="00FB2313">
        <w:rPr>
          <w:rFonts w:cstheme="minorHAnsi"/>
          <w:bCs/>
        </w:rPr>
        <w:t>Potential respondents (aged 18 years or over) were identified sequentially by administrative or clinical staff at participating sites/organisations (e.g., by reception staff at Emergency Departments</w:t>
      </w:r>
      <w:r w:rsidR="00CC315D">
        <w:rPr>
          <w:rFonts w:cstheme="minorHAnsi"/>
          <w:bCs/>
        </w:rPr>
        <w:t xml:space="preserve"> </w:t>
      </w:r>
      <w:r w:rsidR="00CC315D" w:rsidRPr="00FB2313">
        <w:rPr>
          <w:rFonts w:cstheme="minorHAnsi"/>
          <w:bCs/>
        </w:rPr>
        <w:t>(EDs)</w:t>
      </w:r>
      <w:r w:rsidRPr="00FB2313">
        <w:rPr>
          <w:rFonts w:cstheme="minorHAnsi"/>
          <w:bCs/>
        </w:rPr>
        <w:t xml:space="preserve">, or GP surgeries). </w:t>
      </w:r>
      <w:r w:rsidRPr="00FB2313">
        <w:rPr>
          <w:rFonts w:cstheme="minorHAnsi"/>
          <w:shd w:val="clear" w:color="auto" w:fill="FFFFFF"/>
        </w:rPr>
        <w:t xml:space="preserve">General Practices used a </w:t>
      </w:r>
      <w:r w:rsidR="00A767CA">
        <w:rPr>
          <w:rFonts w:cstheme="minorHAnsi"/>
          <w:shd w:val="clear" w:color="auto" w:fill="FFFFFF"/>
        </w:rPr>
        <w:t>Short Messa</w:t>
      </w:r>
      <w:r w:rsidR="00D47890">
        <w:rPr>
          <w:rFonts w:cstheme="minorHAnsi"/>
          <w:shd w:val="clear" w:color="auto" w:fill="FFFFFF"/>
        </w:rPr>
        <w:t xml:space="preserve">ging Service (Text Message) </w:t>
      </w:r>
      <w:r w:rsidRPr="00FB2313">
        <w:rPr>
          <w:rFonts w:cstheme="minorHAnsi"/>
          <w:shd w:val="clear" w:color="auto" w:fill="FFFFFF"/>
        </w:rPr>
        <w:t xml:space="preserve">mail out of the survey to eligible patients registered at their practice who had agreed to receive practice information via text message. </w:t>
      </w:r>
      <w:r w:rsidR="00E85F9E">
        <w:rPr>
          <w:rFonts w:eastAsia="Times New Roman"/>
          <w:color w:val="000000"/>
        </w:rPr>
        <w:t xml:space="preserve">Practices were asked to select 100 random patients on their practice list that had consented to SMS mail outs. Some practices chose to sample a further random sample of patients on the SMS mail out list to expand the mail out and increase recruitment numbers (between an additional 1 and 135 patients per practice). </w:t>
      </w:r>
      <w:r w:rsidRPr="00FB2313">
        <w:rPr>
          <w:rFonts w:cstheme="minorHAnsi"/>
          <w:bCs/>
        </w:rPr>
        <w:t xml:space="preserve">Emergency departments and Urgent Care Centres (UCCs) invited attendees to their services to take part either by providing them with an online link to the survey or offering the opportunity to complete the survey on a computer tablet in the waiting room (assisted, if necessary, by a research nurse). </w:t>
      </w:r>
      <w:r w:rsidR="00E85F9E" w:rsidRPr="00E82074">
        <w:rPr>
          <w:shd w:val="clear" w:color="auto" w:fill="FFFFFF"/>
        </w:rPr>
        <w:t xml:space="preserve">Sequential </w:t>
      </w:r>
      <w:r w:rsidR="00E85F9E" w:rsidRPr="00E82074">
        <w:t>p</w:t>
      </w:r>
      <w:r w:rsidR="00E85F9E" w:rsidRPr="00E82074">
        <w:rPr>
          <w:shd w:val="clear" w:color="auto" w:fill="FFFFFF"/>
        </w:rPr>
        <w:t xml:space="preserve">atients were offered a </w:t>
      </w:r>
      <w:r w:rsidR="00E85F9E">
        <w:rPr>
          <w:shd w:val="clear" w:color="auto" w:fill="FFFFFF"/>
        </w:rPr>
        <w:t>survey</w:t>
      </w:r>
      <w:r w:rsidR="00E85F9E" w:rsidRPr="00E82074">
        <w:rPr>
          <w:shd w:val="clear" w:color="auto" w:fill="FFFFFF"/>
        </w:rPr>
        <w:t xml:space="preserve"> until a minimum of </w:t>
      </w:r>
      <w:r w:rsidR="00E85F9E">
        <w:rPr>
          <w:shd w:val="clear" w:color="auto" w:fill="FFFFFF"/>
        </w:rPr>
        <w:t>50</w:t>
      </w:r>
      <w:r w:rsidR="00E85F9E" w:rsidRPr="00E82074">
        <w:rPr>
          <w:shd w:val="clear" w:color="auto" w:fill="FFFFFF"/>
        </w:rPr>
        <w:t xml:space="preserve"> participants had been recruited at each site. </w:t>
      </w:r>
      <w:r w:rsidRPr="00FB2313">
        <w:rPr>
          <w:rFonts w:cstheme="minorHAnsi"/>
          <w:shd w:val="clear" w:color="auto" w:fill="FFFFFF"/>
        </w:rPr>
        <w:t>P</w:t>
      </w:r>
      <w:r w:rsidRPr="00FB2313">
        <w:rPr>
          <w:rFonts w:cstheme="minorHAnsi"/>
        </w:rPr>
        <w:t>atients in England who completed the NHS 111 online triage were offered a tailored hyperlink to complete the survey.</w:t>
      </w:r>
    </w:p>
    <w:p w14:paraId="45581E16" w14:textId="77777777" w:rsidR="006C3271" w:rsidRDefault="006C3271" w:rsidP="00C8753D">
      <w:pPr>
        <w:spacing w:line="276" w:lineRule="auto"/>
        <w:rPr>
          <w:rFonts w:cstheme="minorHAnsi"/>
        </w:rPr>
      </w:pPr>
    </w:p>
    <w:p w14:paraId="5E7DA2C5" w14:textId="77777777" w:rsidR="006C3271" w:rsidRDefault="006C3271" w:rsidP="00C8753D">
      <w:pPr>
        <w:spacing w:line="276" w:lineRule="auto"/>
        <w:rPr>
          <w:rFonts w:cstheme="minorHAnsi"/>
        </w:rPr>
      </w:pPr>
    </w:p>
    <w:p w14:paraId="1DFD1BF3" w14:textId="473D447E" w:rsidR="00B86E64" w:rsidRPr="00585D47" w:rsidRDefault="00C8753D" w:rsidP="00B86E64">
      <w:pPr>
        <w:spacing w:line="276" w:lineRule="auto"/>
        <w:rPr>
          <w:rFonts w:cstheme="minorHAnsi"/>
        </w:rPr>
      </w:pPr>
      <w:r w:rsidRPr="00FB2313">
        <w:rPr>
          <w:rFonts w:cstheme="minorHAnsi"/>
        </w:rPr>
        <w:t>Of 2754 valid responses, 1621 (58·9%) were recruited via primary care and charity settings, 626 (22·7%) through ED/UCC, and 507 (18·4%) via NHS 111 online.</w:t>
      </w:r>
    </w:p>
    <w:p w14:paraId="7F4FB256" w14:textId="77777777" w:rsidR="00B86E64" w:rsidRPr="00FB2313" w:rsidRDefault="00B86E64" w:rsidP="00C8753D">
      <w:pPr>
        <w:spacing w:line="276" w:lineRule="auto"/>
        <w:rPr>
          <w:rFonts w:cstheme="minorHAnsi"/>
        </w:rPr>
      </w:pPr>
    </w:p>
    <w:p w14:paraId="24FFE563" w14:textId="40AC33B2" w:rsidR="00037A74" w:rsidRDefault="00037A74" w:rsidP="00037A74"/>
    <w:p w14:paraId="7EFDFA80" w14:textId="47574317" w:rsidR="00C8753D" w:rsidRDefault="00C8753D" w:rsidP="00C8753D">
      <w:pPr>
        <w:pStyle w:val="Heading3"/>
      </w:pPr>
      <w:r>
        <w:t>Patient and public involvement</w:t>
      </w:r>
    </w:p>
    <w:p w14:paraId="648BA0D0" w14:textId="77777777" w:rsidR="00813802" w:rsidRDefault="00813802" w:rsidP="00813802">
      <w:pPr>
        <w:spacing w:line="276" w:lineRule="auto"/>
        <w:rPr>
          <w:rFonts w:cstheme="minorHAnsi"/>
          <w:shd w:val="clear" w:color="auto" w:fill="FFFFFF"/>
        </w:rPr>
      </w:pPr>
      <w:r w:rsidRPr="00FB2313">
        <w:rPr>
          <w:rFonts w:cstheme="minorHAnsi"/>
        </w:rPr>
        <w:t>A patient and public involvement (PPI) representative was on the project team and the study steering group and contributed to the design of the study and interpretation of the results. A</w:t>
      </w:r>
      <w:r w:rsidRPr="00FB2313">
        <w:rPr>
          <w:rFonts w:cstheme="minorHAnsi"/>
          <w:shd w:val="clear" w:color="auto" w:fill="FFFFFF"/>
        </w:rPr>
        <w:t xml:space="preserve">dditional PPI representatives (homeless health peer advocates of the charity Groundswell and members of the public from the Deep End Sheffield cluster PPI Group) took part in </w:t>
      </w:r>
      <w:r w:rsidRPr="00FB2313">
        <w:rPr>
          <w:rFonts w:cstheme="minorHAnsi"/>
        </w:rPr>
        <w:t xml:space="preserve">PPI events throughout the project, contributing to decisions about survey recruitment, helping to develop the scenario questions, and discussing the interpretation of results and </w:t>
      </w:r>
      <w:r w:rsidRPr="00FB2313">
        <w:rPr>
          <w:rFonts w:cstheme="minorHAnsi"/>
          <w:shd w:val="clear" w:color="auto" w:fill="FFFFFF"/>
        </w:rPr>
        <w:t>how best to present information from the study for public audiences.</w:t>
      </w:r>
    </w:p>
    <w:p w14:paraId="55EC4BCB" w14:textId="77777777" w:rsidR="00FB2313" w:rsidRPr="00FB2313" w:rsidRDefault="00FB2313" w:rsidP="00813802">
      <w:pPr>
        <w:spacing w:line="276" w:lineRule="auto"/>
        <w:rPr>
          <w:rFonts w:cstheme="minorHAnsi"/>
        </w:rPr>
      </w:pPr>
    </w:p>
    <w:p w14:paraId="74752C2B" w14:textId="77777777" w:rsidR="00C8753D" w:rsidRDefault="00C8753D" w:rsidP="00C8753D">
      <w:pPr>
        <w:pStyle w:val="Heading3"/>
      </w:pPr>
      <w:r>
        <w:t>Data analysis</w:t>
      </w:r>
    </w:p>
    <w:p w14:paraId="054C02AB" w14:textId="28EE9795" w:rsidR="009078C8" w:rsidRDefault="0007304C" w:rsidP="0007304C">
      <w:pPr>
        <w:spacing w:line="276" w:lineRule="auto"/>
        <w:rPr>
          <w:rFonts w:cstheme="minorHAnsi"/>
          <w:shd w:val="clear" w:color="auto" w:fill="FFFFFF"/>
        </w:rPr>
      </w:pPr>
      <w:r w:rsidRPr="00AD40D5">
        <w:rPr>
          <w:rFonts w:cstheme="minorHAnsi"/>
        </w:rPr>
        <w:t>Analysis compared those who had previously used NHS 111 online at least once (‘users’) and those that had not (‘non-users)’. Descriptive</w:t>
      </w:r>
      <w:r w:rsidRPr="00FB2313">
        <w:rPr>
          <w:rFonts w:cstheme="minorHAnsi"/>
        </w:rPr>
        <w:t xml:space="preserve"> categorical data are summarised and presented as frequency counts and percentages. Chi square analysis was used to compare users and non-users and whether they had ever used other urgent and emergency services, and the likelihood of using NHS 111 online for the ten health scenarios with previous use/non-use of NHS 111 online</w:t>
      </w:r>
      <w:r w:rsidR="00F80CA1">
        <w:rPr>
          <w:rFonts w:cstheme="minorHAnsi"/>
        </w:rPr>
        <w:t>. W</w:t>
      </w:r>
      <w:r w:rsidRPr="00FB2313">
        <w:rPr>
          <w:rFonts w:cstheme="minorHAnsi"/>
        </w:rPr>
        <w:t xml:space="preserve">e created a binary variable of ‘likely’ or ‘not likely’ by removing the small number of neutral responses. </w:t>
      </w:r>
      <w:r w:rsidR="00F80CA1" w:rsidRPr="006C5270">
        <w:rPr>
          <w:rFonts w:cstheme="minorHAnsi"/>
        </w:rPr>
        <w:t>Neutral responses accounted for 8-16% of the data depending on the scenario</w:t>
      </w:r>
      <w:r w:rsidR="00F80CA1">
        <w:rPr>
          <w:rFonts w:cstheme="minorHAnsi"/>
        </w:rPr>
        <w:t xml:space="preserve">. </w:t>
      </w:r>
      <w:r w:rsidR="00111BB8">
        <w:rPr>
          <w:rFonts w:cstheme="minorHAnsi"/>
        </w:rPr>
        <w:t xml:space="preserve">Whilst </w:t>
      </w:r>
      <w:r w:rsidR="00F80CA1" w:rsidRPr="006C5270">
        <w:rPr>
          <w:rFonts w:cstheme="minorHAnsi"/>
        </w:rPr>
        <w:t>this grouping loses some of the detail of responses</w:t>
      </w:r>
      <w:r w:rsidR="00111BB8">
        <w:rPr>
          <w:rFonts w:cstheme="minorHAnsi"/>
        </w:rPr>
        <w:t xml:space="preserve"> it facilitated </w:t>
      </w:r>
      <w:r w:rsidR="00111BB8" w:rsidRPr="00FB2313">
        <w:rPr>
          <w:rFonts w:cstheme="minorHAnsi"/>
        </w:rPr>
        <w:t>comparison</w:t>
      </w:r>
      <w:r w:rsidR="00F80CA1" w:rsidRPr="006C5270">
        <w:rPr>
          <w:rFonts w:cstheme="minorHAnsi"/>
        </w:rPr>
        <w:t>.</w:t>
      </w:r>
      <w:r w:rsidR="00111BB8">
        <w:rPr>
          <w:rFonts w:cstheme="minorHAnsi"/>
        </w:rPr>
        <w:t xml:space="preserve">  </w:t>
      </w:r>
      <w:r w:rsidRPr="00FB2313">
        <w:rPr>
          <w:rFonts w:cstheme="minorHAnsi"/>
        </w:rPr>
        <w:t>Analyses of the difference between users and non-users were conducted using Bonferroni adjusted alpha levels of 0·007 per test (0·05/7). Effect sizes are reported due to the large sample size (</w:t>
      </w:r>
      <w:r w:rsidRPr="00FB2313">
        <w:rPr>
          <w:rFonts w:cstheme="minorHAnsi"/>
          <w:shd w:val="clear" w:color="auto" w:fill="FFFFFF"/>
        </w:rPr>
        <w:t xml:space="preserve">phi correlation coefficient (phi)). </w:t>
      </w:r>
    </w:p>
    <w:p w14:paraId="6D1EF187" w14:textId="77777777" w:rsidR="009078C8" w:rsidRDefault="009078C8" w:rsidP="0007304C">
      <w:pPr>
        <w:spacing w:line="276" w:lineRule="auto"/>
        <w:rPr>
          <w:rFonts w:cstheme="minorHAnsi"/>
          <w:shd w:val="clear" w:color="auto" w:fill="FFFFFF"/>
        </w:rPr>
      </w:pPr>
    </w:p>
    <w:p w14:paraId="277B9A5F" w14:textId="1676B881" w:rsidR="0007304C" w:rsidRDefault="0007304C" w:rsidP="0007304C">
      <w:pPr>
        <w:spacing w:line="276" w:lineRule="auto"/>
        <w:rPr>
          <w:rFonts w:cstheme="minorHAnsi"/>
          <w:shd w:val="clear" w:color="auto" w:fill="FFFFFF"/>
        </w:rPr>
      </w:pPr>
      <w:r w:rsidRPr="00FB2313">
        <w:rPr>
          <w:rFonts w:cstheme="minorHAnsi"/>
        </w:rPr>
        <w:t>Secondary analysis was performed to assess the effects of age, gender, education, and use of 111 online on eHealth Literacy scores. Continuous data are presented as means (standard deviations). When comparing a continuous variable between two groups, t-tests were applied. The mean eHLQ score for each d</w:t>
      </w:r>
      <w:r w:rsidR="005B3C34">
        <w:rPr>
          <w:rFonts w:cstheme="minorHAnsi"/>
        </w:rPr>
        <w:t>imension</w:t>
      </w:r>
      <w:r w:rsidRPr="00FB2313">
        <w:rPr>
          <w:rFonts w:cstheme="minorHAnsi"/>
        </w:rPr>
        <w:t xml:space="preserve"> was compared for users and non-users of 111 online. Analysis of the difference in eHLQ scores were conducted using Bonferroni adjusted alpha levels of 0·007 per test (0·05/7). Due to the large sample size, effect sizes are reported (Hedges’ </w:t>
      </w:r>
      <w:r w:rsidRPr="00FB2313">
        <w:rPr>
          <w:rFonts w:cstheme="minorHAnsi"/>
          <w:i/>
          <w:iCs/>
        </w:rPr>
        <w:t>g</w:t>
      </w:r>
      <w:r w:rsidRPr="00FB2313">
        <w:rPr>
          <w:rFonts w:cstheme="minorHAnsi"/>
        </w:rPr>
        <w:t>)</w:t>
      </w:r>
      <w:r w:rsidRPr="00FB2313">
        <w:rPr>
          <w:rFonts w:cstheme="minorHAnsi"/>
          <w:shd w:val="clear" w:color="auto" w:fill="FFFFFF"/>
        </w:rPr>
        <w:t xml:space="preserve">. </w:t>
      </w:r>
    </w:p>
    <w:p w14:paraId="35B35235" w14:textId="77777777" w:rsidR="009078C8" w:rsidRPr="00FB2313" w:rsidRDefault="009078C8" w:rsidP="0007304C">
      <w:pPr>
        <w:spacing w:line="276" w:lineRule="auto"/>
        <w:rPr>
          <w:rFonts w:cstheme="minorHAnsi"/>
        </w:rPr>
      </w:pPr>
    </w:p>
    <w:p w14:paraId="0D604D7B" w14:textId="02AF2932" w:rsidR="005D7D16" w:rsidRDefault="0007304C" w:rsidP="0007304C">
      <w:pPr>
        <w:spacing w:line="276" w:lineRule="auto"/>
        <w:rPr>
          <w:rFonts w:cstheme="minorHAnsi"/>
        </w:rPr>
      </w:pPr>
      <w:r w:rsidRPr="00FB2313">
        <w:rPr>
          <w:rFonts w:cstheme="minorHAnsi"/>
        </w:rPr>
        <w:t xml:space="preserve">Logistic regression was used to extend the univariate analysis outlined above to explore use versus non-use of NHS 111 online. Logistic regression reports Odds Ratios associated with each predictor value. The ‘Enter’ method (where all variables are entered into the model) was chosen so that all chosen variables were entered into the model in a single step. </w:t>
      </w:r>
      <w:r w:rsidR="006B7794">
        <w:rPr>
          <w:rFonts w:cstheme="minorHAnsi"/>
        </w:rPr>
        <w:t xml:space="preserve">Education was </w:t>
      </w:r>
      <w:r w:rsidR="00227C47">
        <w:rPr>
          <w:rFonts w:cstheme="minorHAnsi"/>
        </w:rPr>
        <w:t xml:space="preserve">aggregated into </w:t>
      </w:r>
      <w:r w:rsidR="006B7794">
        <w:rPr>
          <w:rFonts w:cstheme="minorHAnsi"/>
        </w:rPr>
        <w:t xml:space="preserve">a binary variable in the regression analysis </w:t>
      </w:r>
      <w:r w:rsidR="00B96A7A">
        <w:rPr>
          <w:rFonts w:cstheme="minorHAnsi"/>
        </w:rPr>
        <w:t xml:space="preserve">since there was no strong association between </w:t>
      </w:r>
      <w:r w:rsidR="002D480A">
        <w:rPr>
          <w:rFonts w:cstheme="minorHAnsi"/>
        </w:rPr>
        <w:t xml:space="preserve">eHLQ </w:t>
      </w:r>
      <w:r w:rsidR="009B0549">
        <w:rPr>
          <w:rFonts w:cstheme="minorHAnsi"/>
        </w:rPr>
        <w:t>and education level</w:t>
      </w:r>
      <w:r w:rsidR="00B96A7A">
        <w:rPr>
          <w:rFonts w:cstheme="minorHAnsi"/>
        </w:rPr>
        <w:t xml:space="preserve"> (</w:t>
      </w:r>
      <w:r w:rsidR="009C7EDA">
        <w:rPr>
          <w:rFonts w:cstheme="minorHAnsi"/>
        </w:rPr>
        <w:t xml:space="preserve">except that </w:t>
      </w:r>
      <w:r w:rsidR="003C0727">
        <w:rPr>
          <w:rFonts w:cstheme="minorHAnsi"/>
        </w:rPr>
        <w:t xml:space="preserve">people with no </w:t>
      </w:r>
      <w:r w:rsidR="009B0549">
        <w:rPr>
          <w:rFonts w:cstheme="minorHAnsi"/>
        </w:rPr>
        <w:t>formal qualifications</w:t>
      </w:r>
      <w:r w:rsidR="00191E7D">
        <w:rPr>
          <w:rFonts w:cstheme="minorHAnsi"/>
        </w:rPr>
        <w:t xml:space="preserve"> </w:t>
      </w:r>
      <w:r w:rsidR="009C7EDA">
        <w:rPr>
          <w:rFonts w:cstheme="minorHAnsi"/>
        </w:rPr>
        <w:t xml:space="preserve">had </w:t>
      </w:r>
      <w:r w:rsidR="00191E7D">
        <w:rPr>
          <w:rFonts w:cstheme="minorHAnsi"/>
        </w:rPr>
        <w:t>lower eHLQ scores</w:t>
      </w:r>
      <w:r w:rsidR="00686E48">
        <w:rPr>
          <w:rFonts w:cstheme="minorHAnsi"/>
        </w:rPr>
        <w:t xml:space="preserve"> </w:t>
      </w:r>
      <w:r w:rsidR="009C7EDA">
        <w:rPr>
          <w:rFonts w:cstheme="minorHAnsi"/>
        </w:rPr>
        <w:t xml:space="preserve">compared to </w:t>
      </w:r>
      <w:r w:rsidR="00686E48">
        <w:rPr>
          <w:rFonts w:cstheme="minorHAnsi"/>
        </w:rPr>
        <w:t xml:space="preserve">people with </w:t>
      </w:r>
      <w:r w:rsidR="009C7EDA">
        <w:rPr>
          <w:rFonts w:cstheme="minorHAnsi"/>
        </w:rPr>
        <w:t xml:space="preserve">any </w:t>
      </w:r>
      <w:r w:rsidR="00686E48">
        <w:rPr>
          <w:rFonts w:cstheme="minorHAnsi"/>
        </w:rPr>
        <w:t>level of qualification</w:t>
      </w:r>
      <w:r w:rsidR="009C7EDA">
        <w:rPr>
          <w:rFonts w:cstheme="minorHAnsi"/>
        </w:rPr>
        <w:t>)</w:t>
      </w:r>
      <w:r w:rsidR="00686E48">
        <w:rPr>
          <w:rFonts w:cstheme="minorHAnsi"/>
        </w:rPr>
        <w:t>.</w:t>
      </w:r>
      <w:r w:rsidR="00191E7D">
        <w:rPr>
          <w:rFonts w:cstheme="minorHAnsi"/>
        </w:rPr>
        <w:t xml:space="preserve"> </w:t>
      </w:r>
      <w:r w:rsidRPr="00FB2313">
        <w:rPr>
          <w:rFonts w:cstheme="minorHAnsi"/>
        </w:rPr>
        <w:t xml:space="preserve">The logistic regression model was examined for multicollinearity by examining tolerance, </w:t>
      </w:r>
      <w:r w:rsidRPr="00FB2313">
        <w:rPr>
          <w:rFonts w:cstheme="minorHAnsi"/>
          <w:shd w:val="clear" w:color="auto" w:fill="FFFFFF"/>
        </w:rPr>
        <w:t>variance inflation factor,</w:t>
      </w:r>
      <w:r w:rsidRPr="00FB2313">
        <w:rPr>
          <w:rFonts w:cstheme="minorHAnsi"/>
        </w:rPr>
        <w:t xml:space="preserve"> and the variance of proportions. </w:t>
      </w:r>
    </w:p>
    <w:p w14:paraId="2D5280A8" w14:textId="77777777" w:rsidR="005D7D16" w:rsidRDefault="005D7D16" w:rsidP="0007304C">
      <w:pPr>
        <w:spacing w:line="276" w:lineRule="auto"/>
        <w:rPr>
          <w:rFonts w:cstheme="minorHAnsi"/>
        </w:rPr>
      </w:pPr>
    </w:p>
    <w:p w14:paraId="630BD931" w14:textId="3918851F" w:rsidR="00585D47" w:rsidRDefault="005D7D16" w:rsidP="0007304C">
      <w:pPr>
        <w:spacing w:line="276" w:lineRule="auto"/>
      </w:pPr>
      <w:r w:rsidRPr="00AD40D5">
        <w:t>We included respondents with incomplete data. Data for each analysis include all available values (case-by-case).</w:t>
      </w:r>
      <w:r>
        <w:t xml:space="preserve"> In calculating the </w:t>
      </w:r>
      <w:r w:rsidR="00813F65">
        <w:t>eHLQ dimensions</w:t>
      </w:r>
      <w:r w:rsidR="00164720">
        <w:t>,</w:t>
      </w:r>
      <w:r w:rsidR="00F06EC8">
        <w:t xml:space="preserve"> where more than 50% of the data were missing, a score was not </w:t>
      </w:r>
      <w:r w:rsidR="003C5399">
        <w:t>calculated for that dimension and excluded from the analysis.</w:t>
      </w:r>
    </w:p>
    <w:p w14:paraId="2434CAAC" w14:textId="77777777" w:rsidR="00611FF3" w:rsidRPr="003C5399" w:rsidRDefault="00611FF3" w:rsidP="0007304C">
      <w:pPr>
        <w:spacing w:line="276" w:lineRule="auto"/>
      </w:pPr>
    </w:p>
    <w:p w14:paraId="70C1596F" w14:textId="7AAD82E0" w:rsidR="00F255AE" w:rsidRDefault="00D26D40" w:rsidP="00D26D40">
      <w:pPr>
        <w:pStyle w:val="Heading2"/>
      </w:pPr>
      <w:bookmarkStart w:id="11" w:name="Results"/>
      <w:bookmarkStart w:id="12" w:name="_Results_1"/>
      <w:bookmarkEnd w:id="11"/>
      <w:bookmarkEnd w:id="12"/>
      <w:r>
        <w:t>Results</w:t>
      </w:r>
    </w:p>
    <w:p w14:paraId="6D82BBFD" w14:textId="0E25E667" w:rsidR="00D26D40" w:rsidRDefault="007D4608" w:rsidP="00EB6E35">
      <w:pPr>
        <w:pStyle w:val="Heading3"/>
      </w:pPr>
      <w:r>
        <w:t xml:space="preserve">Characteristics </w:t>
      </w:r>
      <w:r w:rsidR="00D6370B">
        <w:t xml:space="preserve">of </w:t>
      </w:r>
      <w:r>
        <w:t xml:space="preserve">users </w:t>
      </w:r>
      <w:r w:rsidR="00D6370B">
        <w:t xml:space="preserve">and non-users </w:t>
      </w:r>
      <w:r>
        <w:t>of NHS 111 online</w:t>
      </w:r>
    </w:p>
    <w:p w14:paraId="6B76AF33" w14:textId="363D3CE2" w:rsidR="007B2B0C" w:rsidRPr="00FB2313" w:rsidRDefault="007B2B0C" w:rsidP="007B2B0C">
      <w:pPr>
        <w:spacing w:line="276" w:lineRule="auto"/>
        <w:rPr>
          <w:rFonts w:cstheme="minorHAnsi"/>
        </w:rPr>
      </w:pPr>
      <w:bookmarkStart w:id="13" w:name="Other"/>
      <w:bookmarkEnd w:id="13"/>
      <w:r w:rsidRPr="00FB2313">
        <w:rPr>
          <w:rFonts w:cstheme="minorHAnsi"/>
        </w:rPr>
        <w:t xml:space="preserve">Of 2754 </w:t>
      </w:r>
      <w:r w:rsidR="004622B0">
        <w:rPr>
          <w:rFonts w:cstheme="minorHAnsi"/>
        </w:rPr>
        <w:t xml:space="preserve">valid </w:t>
      </w:r>
      <w:r w:rsidRPr="00FB2313">
        <w:rPr>
          <w:rFonts w:cstheme="minorHAnsi"/>
        </w:rPr>
        <w:t xml:space="preserve">respondents, </w:t>
      </w:r>
      <w:r w:rsidR="00304759">
        <w:rPr>
          <w:rFonts w:cstheme="minorHAnsi"/>
        </w:rPr>
        <w:t>1617 (58</w:t>
      </w:r>
      <w:r w:rsidR="000033C0">
        <w:rPr>
          <w:rFonts w:cstheme="minorHAnsi"/>
        </w:rPr>
        <w:t>.7</w:t>
      </w:r>
      <w:r w:rsidR="00304759">
        <w:rPr>
          <w:rFonts w:cstheme="minorHAnsi"/>
        </w:rPr>
        <w:t>%) had previously used NHS111 online</w:t>
      </w:r>
      <w:r w:rsidR="00770CD1">
        <w:rPr>
          <w:rFonts w:cstheme="minorHAnsi"/>
        </w:rPr>
        <w:t xml:space="preserve"> </w:t>
      </w:r>
      <w:r w:rsidR="00FF2298">
        <w:rPr>
          <w:rFonts w:cstheme="minorHAnsi"/>
        </w:rPr>
        <w:t xml:space="preserve">(‘user’ </w:t>
      </w:r>
      <w:r w:rsidR="00770CD1">
        <w:rPr>
          <w:rFonts w:cstheme="minorHAnsi"/>
        </w:rPr>
        <w:t>and 1137 (41.3%) had not used NHS 111 online (‘non-</w:t>
      </w:r>
      <w:r w:rsidR="00770CD1" w:rsidRPr="002E1CAE">
        <w:rPr>
          <w:rFonts w:cstheme="minorHAnsi"/>
        </w:rPr>
        <w:t xml:space="preserve">users’). In total, </w:t>
      </w:r>
      <w:r w:rsidRPr="002E1CAE">
        <w:rPr>
          <w:rFonts w:cstheme="minorHAnsi"/>
        </w:rPr>
        <w:t xml:space="preserve">63·5% </w:t>
      </w:r>
      <w:r w:rsidR="00D40762">
        <w:rPr>
          <w:rFonts w:cstheme="minorHAnsi"/>
        </w:rPr>
        <w:t xml:space="preserve">respondents </w:t>
      </w:r>
      <w:r w:rsidRPr="002E1CAE">
        <w:rPr>
          <w:rFonts w:cstheme="minorHAnsi"/>
        </w:rPr>
        <w:t xml:space="preserve">were female, 43·6% were aged between 45-64 years and 44·2% reported a </w:t>
      </w:r>
      <w:r w:rsidR="00CC453A" w:rsidRPr="002E1CAE">
        <w:rPr>
          <w:rFonts w:cstheme="minorHAnsi"/>
        </w:rPr>
        <w:t>LTHC</w:t>
      </w:r>
      <w:r w:rsidRPr="002E1CAE">
        <w:rPr>
          <w:rFonts w:cstheme="minorHAnsi"/>
        </w:rPr>
        <w:t xml:space="preserve"> (Table 1).</w:t>
      </w:r>
      <w:r w:rsidR="00AD40D5" w:rsidRPr="002E1CAE">
        <w:rPr>
          <w:rFonts w:cstheme="minorHAnsi"/>
        </w:rPr>
        <w:t xml:space="preserve"> </w:t>
      </w:r>
      <w:r w:rsidRPr="002E1CAE">
        <w:rPr>
          <w:rFonts w:cstheme="minorHAnsi"/>
        </w:rPr>
        <w:t xml:space="preserve"> More women reported using 111 online and the proportion of 111 online users declined consistently with each increasing age band and increased with reported level of education. In total, </w:t>
      </w:r>
      <w:r w:rsidR="001B425A">
        <w:rPr>
          <w:rFonts w:cstheme="minorHAnsi"/>
        </w:rPr>
        <w:t xml:space="preserve">there is a small </w:t>
      </w:r>
      <w:r w:rsidR="00B70F1B">
        <w:rPr>
          <w:rFonts w:cstheme="minorHAnsi"/>
        </w:rPr>
        <w:t xml:space="preserve">difference in the proportion of people </w:t>
      </w:r>
      <w:r w:rsidRPr="002E1CAE">
        <w:rPr>
          <w:rFonts w:cstheme="minorHAnsi"/>
        </w:rPr>
        <w:t xml:space="preserve">with a long term or chronic condition </w:t>
      </w:r>
      <w:r w:rsidR="00B70F1B">
        <w:rPr>
          <w:rFonts w:cstheme="minorHAnsi"/>
        </w:rPr>
        <w:t xml:space="preserve">that </w:t>
      </w:r>
      <w:r w:rsidRPr="002E1CAE">
        <w:rPr>
          <w:rFonts w:cstheme="minorHAnsi"/>
        </w:rPr>
        <w:t>had used 111 online</w:t>
      </w:r>
      <w:r w:rsidR="00B70F1B">
        <w:rPr>
          <w:rFonts w:cstheme="minorHAnsi"/>
        </w:rPr>
        <w:t xml:space="preserve"> </w:t>
      </w:r>
      <w:r w:rsidR="006313E0">
        <w:rPr>
          <w:rFonts w:cstheme="minorHAnsi"/>
        </w:rPr>
        <w:t xml:space="preserve">compared to those that had not </w:t>
      </w:r>
      <w:r w:rsidR="00B70F1B">
        <w:rPr>
          <w:rFonts w:cstheme="minorHAnsi"/>
        </w:rPr>
        <w:t>(</w:t>
      </w:r>
      <w:r w:rsidR="00B70F1B" w:rsidRPr="002E1CAE">
        <w:rPr>
          <w:rFonts w:cstheme="minorHAnsi"/>
        </w:rPr>
        <w:t xml:space="preserve">46.7% </w:t>
      </w:r>
      <w:r w:rsidR="00DA43AF">
        <w:rPr>
          <w:rFonts w:cstheme="minorHAnsi"/>
        </w:rPr>
        <w:t xml:space="preserve">and </w:t>
      </w:r>
      <w:r w:rsidR="002E06F7">
        <w:rPr>
          <w:rFonts w:cstheme="minorHAnsi"/>
        </w:rPr>
        <w:t>42</w:t>
      </w:r>
      <w:r w:rsidR="006968FF">
        <w:rPr>
          <w:rFonts w:cstheme="minorHAnsi"/>
        </w:rPr>
        <w:t xml:space="preserve">.4% </w:t>
      </w:r>
      <w:r w:rsidR="006313E0">
        <w:rPr>
          <w:rFonts w:cstheme="minorHAnsi"/>
        </w:rPr>
        <w:t>respectively).</w:t>
      </w:r>
    </w:p>
    <w:p w14:paraId="5AC0F7DF" w14:textId="77777777" w:rsidR="00FF4961" w:rsidRDefault="00FF4961" w:rsidP="00EB6E35"/>
    <w:p w14:paraId="446EFB26" w14:textId="66ECB2E4" w:rsidR="00FF4961" w:rsidRPr="00E435C7" w:rsidRDefault="00FF4961" w:rsidP="00EB6E35">
      <w:pPr>
        <w:rPr>
          <w:vertAlign w:val="superscript"/>
        </w:rPr>
      </w:pPr>
      <w:bookmarkStart w:id="14" w:name="Textbox"/>
      <w:bookmarkStart w:id="15" w:name="Table"/>
      <w:bookmarkEnd w:id="14"/>
      <w:bookmarkEnd w:id="15"/>
      <w:r>
        <w:t>Table</w:t>
      </w:r>
      <w:r w:rsidR="00206502">
        <w:t xml:space="preserve"> 1. </w:t>
      </w:r>
      <w:r w:rsidR="00F05D9B">
        <w:t>Characteristics of respondents by previous use of NHS 111 online</w:t>
      </w:r>
    </w:p>
    <w:tbl>
      <w:tblPr>
        <w:tblStyle w:val="TableGrid"/>
        <w:tblW w:w="0" w:type="auto"/>
        <w:tblLook w:val="04A0" w:firstRow="1" w:lastRow="0" w:firstColumn="1" w:lastColumn="0" w:noHBand="0" w:noVBand="1"/>
      </w:tblPr>
      <w:tblGrid>
        <w:gridCol w:w="4106"/>
        <w:gridCol w:w="1559"/>
        <w:gridCol w:w="1418"/>
        <w:gridCol w:w="1547"/>
      </w:tblGrid>
      <w:tr w:rsidR="00166B86" w14:paraId="77EABE5B" w14:textId="77777777" w:rsidTr="00AC028A">
        <w:tc>
          <w:tcPr>
            <w:tcW w:w="4106" w:type="dxa"/>
          </w:tcPr>
          <w:p w14:paraId="3593A459" w14:textId="77777777" w:rsidR="00261684" w:rsidRPr="00025A2A" w:rsidRDefault="00261684" w:rsidP="00261684"/>
        </w:tc>
        <w:tc>
          <w:tcPr>
            <w:tcW w:w="1559" w:type="dxa"/>
          </w:tcPr>
          <w:p w14:paraId="7C14CBE3" w14:textId="6F50A3B7" w:rsidR="00261684" w:rsidRPr="00025A2A" w:rsidRDefault="00261684" w:rsidP="00261684">
            <w:r w:rsidRPr="00025A2A">
              <w:t xml:space="preserve">Non-user </w:t>
            </w:r>
          </w:p>
        </w:tc>
        <w:tc>
          <w:tcPr>
            <w:tcW w:w="1418" w:type="dxa"/>
          </w:tcPr>
          <w:p w14:paraId="44DEBBCD" w14:textId="5560282B" w:rsidR="00261684" w:rsidRPr="00025A2A" w:rsidRDefault="00261684" w:rsidP="00261684">
            <w:r w:rsidRPr="00025A2A">
              <w:t xml:space="preserve">User </w:t>
            </w:r>
          </w:p>
        </w:tc>
        <w:tc>
          <w:tcPr>
            <w:tcW w:w="1547" w:type="dxa"/>
          </w:tcPr>
          <w:p w14:paraId="2FD77686" w14:textId="08AABE06" w:rsidR="00261684" w:rsidRPr="00025A2A" w:rsidRDefault="00261684" w:rsidP="00261684">
            <w:r w:rsidRPr="00025A2A">
              <w:t xml:space="preserve">Total </w:t>
            </w:r>
          </w:p>
        </w:tc>
      </w:tr>
      <w:tr w:rsidR="00796233" w14:paraId="42B44428" w14:textId="77777777" w:rsidTr="00AC028A">
        <w:tc>
          <w:tcPr>
            <w:tcW w:w="4106" w:type="dxa"/>
          </w:tcPr>
          <w:p w14:paraId="47FA78B3" w14:textId="77777777" w:rsidR="00796233" w:rsidRPr="00025A2A" w:rsidRDefault="00796233" w:rsidP="00261684"/>
        </w:tc>
        <w:tc>
          <w:tcPr>
            <w:tcW w:w="1559" w:type="dxa"/>
          </w:tcPr>
          <w:p w14:paraId="6EF53341" w14:textId="09588885" w:rsidR="00796233" w:rsidRPr="00025A2A" w:rsidRDefault="0048010B" w:rsidP="00261684">
            <w:r>
              <w:t>N (%)</w:t>
            </w:r>
          </w:p>
        </w:tc>
        <w:tc>
          <w:tcPr>
            <w:tcW w:w="1418" w:type="dxa"/>
          </w:tcPr>
          <w:p w14:paraId="4FBC48B6" w14:textId="6FBBE164" w:rsidR="00796233" w:rsidRPr="00025A2A" w:rsidRDefault="00796233" w:rsidP="00261684">
            <w:r w:rsidRPr="00025A2A">
              <w:t>N (%)</w:t>
            </w:r>
          </w:p>
        </w:tc>
        <w:tc>
          <w:tcPr>
            <w:tcW w:w="1547" w:type="dxa"/>
          </w:tcPr>
          <w:p w14:paraId="053E50F4" w14:textId="4639B578" w:rsidR="00796233" w:rsidRPr="00025A2A" w:rsidRDefault="00796233" w:rsidP="00261684">
            <w:r w:rsidRPr="00025A2A">
              <w:t>N (%)</w:t>
            </w:r>
          </w:p>
        </w:tc>
      </w:tr>
      <w:tr w:rsidR="00166B86" w14:paraId="4923017F" w14:textId="77777777" w:rsidTr="00AC028A">
        <w:tc>
          <w:tcPr>
            <w:tcW w:w="4106" w:type="dxa"/>
          </w:tcPr>
          <w:p w14:paraId="1B3BF333" w14:textId="6CE0769F" w:rsidR="00261684" w:rsidRPr="00025A2A" w:rsidRDefault="00261684" w:rsidP="00261684">
            <w:r w:rsidRPr="00025A2A">
              <w:rPr>
                <w:b/>
              </w:rPr>
              <w:t>Gender</w:t>
            </w:r>
            <w:r w:rsidR="00A9579B">
              <w:rPr>
                <w:vertAlign w:val="superscript"/>
              </w:rPr>
              <w:t xml:space="preserve"> a</w:t>
            </w:r>
          </w:p>
        </w:tc>
        <w:tc>
          <w:tcPr>
            <w:tcW w:w="1559" w:type="dxa"/>
          </w:tcPr>
          <w:p w14:paraId="65EDABE4" w14:textId="77777777" w:rsidR="00261684" w:rsidRPr="00025A2A" w:rsidRDefault="00261684" w:rsidP="00261684"/>
        </w:tc>
        <w:tc>
          <w:tcPr>
            <w:tcW w:w="1418" w:type="dxa"/>
          </w:tcPr>
          <w:p w14:paraId="69E824CA" w14:textId="77777777" w:rsidR="00261684" w:rsidRPr="00025A2A" w:rsidRDefault="00261684" w:rsidP="00261684"/>
        </w:tc>
        <w:tc>
          <w:tcPr>
            <w:tcW w:w="1547" w:type="dxa"/>
          </w:tcPr>
          <w:p w14:paraId="09D846DB" w14:textId="4505757B" w:rsidR="00261684" w:rsidRPr="00025A2A" w:rsidRDefault="00261684" w:rsidP="00261684"/>
        </w:tc>
      </w:tr>
      <w:tr w:rsidR="00D151AD" w14:paraId="4B680148" w14:textId="77777777" w:rsidTr="00AC028A">
        <w:tc>
          <w:tcPr>
            <w:tcW w:w="4106" w:type="dxa"/>
          </w:tcPr>
          <w:p w14:paraId="5EFD38FB" w14:textId="750548D9" w:rsidR="00D151AD" w:rsidRDefault="00D151AD" w:rsidP="00D151AD">
            <w:r>
              <w:t>Female</w:t>
            </w:r>
          </w:p>
        </w:tc>
        <w:tc>
          <w:tcPr>
            <w:tcW w:w="1559" w:type="dxa"/>
          </w:tcPr>
          <w:p w14:paraId="337FD8D7" w14:textId="2CC8C3F0" w:rsidR="00D151AD" w:rsidRPr="00D151AD" w:rsidRDefault="00D151AD" w:rsidP="00D151AD">
            <w:r w:rsidRPr="00D151AD">
              <w:t>1000 (</w:t>
            </w:r>
            <w:r w:rsidR="001317A1">
              <w:t>62.0</w:t>
            </w:r>
            <w:r w:rsidRPr="00D151AD">
              <w:t>)</w:t>
            </w:r>
          </w:p>
        </w:tc>
        <w:tc>
          <w:tcPr>
            <w:tcW w:w="1418" w:type="dxa"/>
          </w:tcPr>
          <w:p w14:paraId="4AAE79E9" w14:textId="7A1F9190" w:rsidR="00D151AD" w:rsidRPr="00D151AD" w:rsidRDefault="00D151AD" w:rsidP="00D151AD">
            <w:r w:rsidRPr="00D151AD">
              <w:t>745 (</w:t>
            </w:r>
            <w:r w:rsidR="0073667C">
              <w:t>65.7</w:t>
            </w:r>
            <w:r w:rsidRPr="00D151AD">
              <w:t>)</w:t>
            </w:r>
          </w:p>
        </w:tc>
        <w:tc>
          <w:tcPr>
            <w:tcW w:w="1547" w:type="dxa"/>
          </w:tcPr>
          <w:p w14:paraId="2287B644" w14:textId="3B7B4F9B" w:rsidR="00D151AD" w:rsidRPr="00D151AD" w:rsidRDefault="00D151AD" w:rsidP="00D151AD">
            <w:r w:rsidRPr="00D151AD">
              <w:t>1745 (63·5)</w:t>
            </w:r>
          </w:p>
        </w:tc>
      </w:tr>
      <w:tr w:rsidR="00D151AD" w14:paraId="5BD84A8C" w14:textId="77777777" w:rsidTr="00AC028A">
        <w:tc>
          <w:tcPr>
            <w:tcW w:w="4106" w:type="dxa"/>
          </w:tcPr>
          <w:p w14:paraId="3A363942" w14:textId="5FF2BDF1" w:rsidR="00D151AD" w:rsidRDefault="00D151AD" w:rsidP="00D151AD">
            <w:r>
              <w:t>Male</w:t>
            </w:r>
          </w:p>
        </w:tc>
        <w:tc>
          <w:tcPr>
            <w:tcW w:w="1559" w:type="dxa"/>
          </w:tcPr>
          <w:p w14:paraId="4D3F645B" w14:textId="6D781944" w:rsidR="00D151AD" w:rsidRPr="00D151AD" w:rsidRDefault="00D151AD" w:rsidP="00D151AD">
            <w:r w:rsidRPr="00D151AD">
              <w:t>606 (</w:t>
            </w:r>
            <w:r w:rsidR="00817F2E">
              <w:t>37.6</w:t>
            </w:r>
            <w:r w:rsidRPr="00D151AD">
              <w:t>)</w:t>
            </w:r>
          </w:p>
        </w:tc>
        <w:tc>
          <w:tcPr>
            <w:tcW w:w="1418" w:type="dxa"/>
          </w:tcPr>
          <w:p w14:paraId="13F9C68F" w14:textId="78ACFAAA" w:rsidR="00D151AD" w:rsidRPr="00D151AD" w:rsidRDefault="00D151AD" w:rsidP="00D151AD">
            <w:r w:rsidRPr="00D151AD">
              <w:t>373 (</w:t>
            </w:r>
            <w:r w:rsidR="001F5DE1">
              <w:t>32.9</w:t>
            </w:r>
            <w:r w:rsidRPr="00D151AD">
              <w:t>)</w:t>
            </w:r>
          </w:p>
        </w:tc>
        <w:tc>
          <w:tcPr>
            <w:tcW w:w="1547" w:type="dxa"/>
          </w:tcPr>
          <w:p w14:paraId="70432B12" w14:textId="78B5BE8F" w:rsidR="00D151AD" w:rsidRPr="00D151AD" w:rsidRDefault="00D151AD" w:rsidP="00D151AD">
            <w:r w:rsidRPr="00D151AD">
              <w:t>979 (35·7)</w:t>
            </w:r>
          </w:p>
        </w:tc>
      </w:tr>
      <w:tr w:rsidR="00D151AD" w14:paraId="46403D15" w14:textId="77777777" w:rsidTr="00AC028A">
        <w:tc>
          <w:tcPr>
            <w:tcW w:w="4106" w:type="dxa"/>
          </w:tcPr>
          <w:p w14:paraId="54D29275" w14:textId="5E7730DF" w:rsidR="00D151AD" w:rsidRDefault="00D151AD" w:rsidP="00D151AD">
            <w:r>
              <w:t>Non-binary/prefer not to say</w:t>
            </w:r>
          </w:p>
        </w:tc>
        <w:tc>
          <w:tcPr>
            <w:tcW w:w="1559" w:type="dxa"/>
          </w:tcPr>
          <w:p w14:paraId="2D497988" w14:textId="0A9AFFB7" w:rsidR="00D151AD" w:rsidRPr="00D151AD" w:rsidRDefault="00D151AD" w:rsidP="00D151AD">
            <w:r w:rsidRPr="00D151AD">
              <w:t>6 (</w:t>
            </w:r>
            <w:r w:rsidR="0048010B">
              <w:t>0.4</w:t>
            </w:r>
            <w:r w:rsidRPr="00D151AD">
              <w:t>)</w:t>
            </w:r>
          </w:p>
        </w:tc>
        <w:tc>
          <w:tcPr>
            <w:tcW w:w="1418" w:type="dxa"/>
          </w:tcPr>
          <w:p w14:paraId="76C826E0" w14:textId="3DA47FDB" w:rsidR="00D151AD" w:rsidRPr="00D151AD" w:rsidRDefault="00D151AD" w:rsidP="00D151AD">
            <w:r w:rsidRPr="00D151AD">
              <w:t>16 (</w:t>
            </w:r>
            <w:r w:rsidR="00A402DC">
              <w:t>1.</w:t>
            </w:r>
            <w:r w:rsidR="001F5DE1">
              <w:t>4</w:t>
            </w:r>
            <w:r w:rsidRPr="00D151AD">
              <w:t>)</w:t>
            </w:r>
          </w:p>
        </w:tc>
        <w:tc>
          <w:tcPr>
            <w:tcW w:w="1547" w:type="dxa"/>
          </w:tcPr>
          <w:p w14:paraId="778862B9" w14:textId="5013786F" w:rsidR="00D151AD" w:rsidRPr="00D151AD" w:rsidRDefault="00D151AD" w:rsidP="00D151AD">
            <w:r w:rsidRPr="00D151AD">
              <w:t>22 (0·8)</w:t>
            </w:r>
          </w:p>
        </w:tc>
      </w:tr>
      <w:tr w:rsidR="00166B86" w14:paraId="5983ED51" w14:textId="77777777" w:rsidTr="00AC028A">
        <w:tc>
          <w:tcPr>
            <w:tcW w:w="4106" w:type="dxa"/>
          </w:tcPr>
          <w:p w14:paraId="738DF367" w14:textId="3098C689" w:rsidR="00261684" w:rsidRDefault="00025A2A" w:rsidP="00261684">
            <w:r>
              <w:rPr>
                <w:b/>
              </w:rPr>
              <w:t>Age group</w:t>
            </w:r>
          </w:p>
        </w:tc>
        <w:tc>
          <w:tcPr>
            <w:tcW w:w="1559" w:type="dxa"/>
          </w:tcPr>
          <w:p w14:paraId="27BFA803" w14:textId="77777777" w:rsidR="00261684" w:rsidRDefault="00261684" w:rsidP="00261684"/>
        </w:tc>
        <w:tc>
          <w:tcPr>
            <w:tcW w:w="1418" w:type="dxa"/>
          </w:tcPr>
          <w:p w14:paraId="7E9D3CA6" w14:textId="77777777" w:rsidR="00261684" w:rsidRDefault="00261684" w:rsidP="00261684"/>
        </w:tc>
        <w:tc>
          <w:tcPr>
            <w:tcW w:w="1547" w:type="dxa"/>
          </w:tcPr>
          <w:p w14:paraId="712CAA08" w14:textId="71204CCC" w:rsidR="00261684" w:rsidRDefault="00261684" w:rsidP="00261684"/>
        </w:tc>
      </w:tr>
      <w:tr w:rsidR="005E2013" w14:paraId="2B293E51" w14:textId="77777777" w:rsidTr="00AC028A">
        <w:tc>
          <w:tcPr>
            <w:tcW w:w="4106" w:type="dxa"/>
          </w:tcPr>
          <w:p w14:paraId="0CA22E76" w14:textId="2F13845D" w:rsidR="005E2013" w:rsidRPr="005E2013" w:rsidRDefault="005E2013" w:rsidP="005E2013">
            <w:pPr>
              <w:rPr>
                <w:b/>
              </w:rPr>
            </w:pPr>
            <w:r w:rsidRPr="005E2013">
              <w:t>18-24 years</w:t>
            </w:r>
          </w:p>
        </w:tc>
        <w:tc>
          <w:tcPr>
            <w:tcW w:w="1559" w:type="dxa"/>
          </w:tcPr>
          <w:p w14:paraId="44DD1BA4" w14:textId="6F69C6AE" w:rsidR="005E2013" w:rsidRPr="005E2013" w:rsidRDefault="005E2013" w:rsidP="005E2013">
            <w:r w:rsidRPr="005E2013">
              <w:t>55 (3</w:t>
            </w:r>
            <w:r w:rsidR="007B710B">
              <w:t>.4</w:t>
            </w:r>
            <w:r w:rsidRPr="005E2013">
              <w:t>)</w:t>
            </w:r>
          </w:p>
        </w:tc>
        <w:tc>
          <w:tcPr>
            <w:tcW w:w="1418" w:type="dxa"/>
          </w:tcPr>
          <w:p w14:paraId="717A33F3" w14:textId="32E5D3EA" w:rsidR="005E2013" w:rsidRPr="005E2013" w:rsidRDefault="005E2013" w:rsidP="005E2013">
            <w:r w:rsidRPr="005E2013">
              <w:t>104 (</w:t>
            </w:r>
            <w:r w:rsidR="00A44936">
              <w:t>9.2</w:t>
            </w:r>
            <w:r w:rsidRPr="005E2013">
              <w:t>)</w:t>
            </w:r>
          </w:p>
        </w:tc>
        <w:tc>
          <w:tcPr>
            <w:tcW w:w="1547" w:type="dxa"/>
          </w:tcPr>
          <w:p w14:paraId="7827D527" w14:textId="7345FD0F" w:rsidR="005E2013" w:rsidRPr="005E2013" w:rsidRDefault="005E2013" w:rsidP="005E2013">
            <w:pPr>
              <w:rPr>
                <w:rStyle w:val="CommentReference"/>
                <w:sz w:val="24"/>
                <w:szCs w:val="24"/>
              </w:rPr>
            </w:pPr>
            <w:r w:rsidRPr="005E2013">
              <w:t>159 (5·8)</w:t>
            </w:r>
          </w:p>
        </w:tc>
      </w:tr>
      <w:tr w:rsidR="005E2013" w14:paraId="30270504" w14:textId="77777777" w:rsidTr="00AC028A">
        <w:tc>
          <w:tcPr>
            <w:tcW w:w="4106" w:type="dxa"/>
          </w:tcPr>
          <w:p w14:paraId="3AF8AD71" w14:textId="3285E91C" w:rsidR="005E2013" w:rsidRPr="005E2013" w:rsidRDefault="005E2013" w:rsidP="005E2013">
            <w:r w:rsidRPr="005E2013">
              <w:t>25-34 years</w:t>
            </w:r>
          </w:p>
        </w:tc>
        <w:tc>
          <w:tcPr>
            <w:tcW w:w="1559" w:type="dxa"/>
          </w:tcPr>
          <w:p w14:paraId="7122960C" w14:textId="38EBCF21" w:rsidR="005E2013" w:rsidRPr="005E2013" w:rsidRDefault="005E2013" w:rsidP="005E2013">
            <w:r w:rsidRPr="005E2013">
              <w:t>149 (</w:t>
            </w:r>
            <w:r w:rsidR="00430596">
              <w:t>9.3</w:t>
            </w:r>
            <w:r w:rsidRPr="005E2013">
              <w:t>)</w:t>
            </w:r>
          </w:p>
        </w:tc>
        <w:tc>
          <w:tcPr>
            <w:tcW w:w="1418" w:type="dxa"/>
          </w:tcPr>
          <w:p w14:paraId="56E34DEF" w14:textId="70398901" w:rsidR="005E2013" w:rsidRPr="005E2013" w:rsidRDefault="005E2013" w:rsidP="005E2013">
            <w:r w:rsidRPr="005E2013">
              <w:t>182 (</w:t>
            </w:r>
            <w:r w:rsidR="00815676">
              <w:t>16.0</w:t>
            </w:r>
            <w:r w:rsidRPr="005E2013">
              <w:t>)</w:t>
            </w:r>
          </w:p>
        </w:tc>
        <w:tc>
          <w:tcPr>
            <w:tcW w:w="1547" w:type="dxa"/>
          </w:tcPr>
          <w:p w14:paraId="6931A22A" w14:textId="79CB2A3F" w:rsidR="005E2013" w:rsidRPr="005E2013" w:rsidRDefault="005E2013" w:rsidP="005E2013">
            <w:r w:rsidRPr="005E2013">
              <w:t>331 (12·1)</w:t>
            </w:r>
          </w:p>
        </w:tc>
      </w:tr>
      <w:tr w:rsidR="005E2013" w14:paraId="3CF04DE0" w14:textId="77777777" w:rsidTr="00AC028A">
        <w:tc>
          <w:tcPr>
            <w:tcW w:w="4106" w:type="dxa"/>
          </w:tcPr>
          <w:p w14:paraId="15D02486" w14:textId="7EF36237" w:rsidR="005E2013" w:rsidRPr="005E2013" w:rsidRDefault="005E2013" w:rsidP="005E2013">
            <w:r w:rsidRPr="005E2013">
              <w:t>35-44 years</w:t>
            </w:r>
          </w:p>
        </w:tc>
        <w:tc>
          <w:tcPr>
            <w:tcW w:w="1559" w:type="dxa"/>
          </w:tcPr>
          <w:p w14:paraId="6D15DE40" w14:textId="3879437B" w:rsidR="005E2013" w:rsidRPr="005E2013" w:rsidRDefault="005E2013" w:rsidP="005E2013">
            <w:r w:rsidRPr="005E2013">
              <w:t>245 (</w:t>
            </w:r>
            <w:r w:rsidR="0025155D">
              <w:t>15.2</w:t>
            </w:r>
            <w:r w:rsidRPr="005E2013">
              <w:t>)</w:t>
            </w:r>
          </w:p>
        </w:tc>
        <w:tc>
          <w:tcPr>
            <w:tcW w:w="1418" w:type="dxa"/>
          </w:tcPr>
          <w:p w14:paraId="7AFC3894" w14:textId="290F0616" w:rsidR="005E2013" w:rsidRPr="005E2013" w:rsidRDefault="005E2013" w:rsidP="005E2013">
            <w:r w:rsidRPr="005E2013">
              <w:t>203 (</w:t>
            </w:r>
            <w:r w:rsidR="00815676">
              <w:t>17.9</w:t>
            </w:r>
            <w:r w:rsidRPr="005E2013">
              <w:t>)</w:t>
            </w:r>
          </w:p>
        </w:tc>
        <w:tc>
          <w:tcPr>
            <w:tcW w:w="1547" w:type="dxa"/>
          </w:tcPr>
          <w:p w14:paraId="3913855F" w14:textId="098620BF" w:rsidR="005E2013" w:rsidRPr="005E2013" w:rsidRDefault="005E2013" w:rsidP="005E2013">
            <w:r w:rsidRPr="005E2013">
              <w:t>448 (16·3)</w:t>
            </w:r>
          </w:p>
        </w:tc>
      </w:tr>
      <w:tr w:rsidR="005E2013" w14:paraId="74ADAC70" w14:textId="77777777" w:rsidTr="00AC028A">
        <w:tc>
          <w:tcPr>
            <w:tcW w:w="4106" w:type="dxa"/>
          </w:tcPr>
          <w:p w14:paraId="2A3DE059" w14:textId="279066B9" w:rsidR="005E2013" w:rsidRPr="005E2013" w:rsidRDefault="005E2013" w:rsidP="005E2013">
            <w:r w:rsidRPr="005E2013">
              <w:t>45-54 years</w:t>
            </w:r>
          </w:p>
        </w:tc>
        <w:tc>
          <w:tcPr>
            <w:tcW w:w="1559" w:type="dxa"/>
          </w:tcPr>
          <w:p w14:paraId="22D48A41" w14:textId="0F19ED32" w:rsidR="005E2013" w:rsidRPr="005E2013" w:rsidRDefault="005E2013" w:rsidP="005E2013">
            <w:r w:rsidRPr="005E2013">
              <w:t>328 (</w:t>
            </w:r>
            <w:r w:rsidR="0025155D">
              <w:t>20.4</w:t>
            </w:r>
            <w:r w:rsidRPr="005E2013">
              <w:t>)</w:t>
            </w:r>
          </w:p>
        </w:tc>
        <w:tc>
          <w:tcPr>
            <w:tcW w:w="1418" w:type="dxa"/>
          </w:tcPr>
          <w:p w14:paraId="4EC8A3DF" w14:textId="1F386ED6" w:rsidR="005E2013" w:rsidRPr="005E2013" w:rsidRDefault="005E2013" w:rsidP="005E2013">
            <w:r w:rsidRPr="005E2013">
              <w:t>240 (</w:t>
            </w:r>
            <w:r w:rsidR="001E432E">
              <w:t>21.2</w:t>
            </w:r>
            <w:r w:rsidRPr="005E2013">
              <w:t>)</w:t>
            </w:r>
          </w:p>
        </w:tc>
        <w:tc>
          <w:tcPr>
            <w:tcW w:w="1547" w:type="dxa"/>
          </w:tcPr>
          <w:p w14:paraId="02438E10" w14:textId="785047DA" w:rsidR="005E2013" w:rsidRPr="005E2013" w:rsidRDefault="005E2013" w:rsidP="005E2013">
            <w:r w:rsidRPr="005E2013">
              <w:t>568 (20·7)</w:t>
            </w:r>
          </w:p>
        </w:tc>
      </w:tr>
      <w:tr w:rsidR="005E2013" w14:paraId="34F0CCEB" w14:textId="77777777" w:rsidTr="00AC028A">
        <w:tc>
          <w:tcPr>
            <w:tcW w:w="4106" w:type="dxa"/>
          </w:tcPr>
          <w:p w14:paraId="11D09EAB" w14:textId="5C8C6001" w:rsidR="005E2013" w:rsidRPr="005E2013" w:rsidRDefault="005E2013" w:rsidP="005E2013">
            <w:r w:rsidRPr="005E2013">
              <w:t>55-64 years</w:t>
            </w:r>
          </w:p>
        </w:tc>
        <w:tc>
          <w:tcPr>
            <w:tcW w:w="1559" w:type="dxa"/>
          </w:tcPr>
          <w:p w14:paraId="0B63BD0C" w14:textId="29E52298" w:rsidR="005E2013" w:rsidRPr="005E2013" w:rsidRDefault="005E2013" w:rsidP="005E2013">
            <w:r w:rsidRPr="005E2013">
              <w:t>405 (</w:t>
            </w:r>
            <w:r w:rsidR="00463AB8">
              <w:t>25.2</w:t>
            </w:r>
            <w:r w:rsidRPr="005E2013">
              <w:t>)</w:t>
            </w:r>
          </w:p>
        </w:tc>
        <w:tc>
          <w:tcPr>
            <w:tcW w:w="1418" w:type="dxa"/>
          </w:tcPr>
          <w:p w14:paraId="0C582E4F" w14:textId="4AECF1B4" w:rsidR="005E2013" w:rsidRPr="005E2013" w:rsidRDefault="005E2013" w:rsidP="005E2013">
            <w:r w:rsidRPr="005E2013">
              <w:t>222 (</w:t>
            </w:r>
            <w:r w:rsidR="001E432E">
              <w:t>19.6</w:t>
            </w:r>
            <w:r w:rsidRPr="005E2013">
              <w:t>)</w:t>
            </w:r>
          </w:p>
        </w:tc>
        <w:tc>
          <w:tcPr>
            <w:tcW w:w="1547" w:type="dxa"/>
          </w:tcPr>
          <w:p w14:paraId="2DF541FA" w14:textId="043D7B32" w:rsidR="005E2013" w:rsidRPr="005E2013" w:rsidRDefault="005E2013" w:rsidP="005E2013">
            <w:r w:rsidRPr="005E2013">
              <w:t>627 (22·9)</w:t>
            </w:r>
          </w:p>
        </w:tc>
      </w:tr>
      <w:tr w:rsidR="005E2013" w14:paraId="38B8C83B" w14:textId="77777777" w:rsidTr="00AC028A">
        <w:tc>
          <w:tcPr>
            <w:tcW w:w="4106" w:type="dxa"/>
          </w:tcPr>
          <w:p w14:paraId="159E44B0" w14:textId="0FC3CC43" w:rsidR="005E2013" w:rsidRPr="005E2013" w:rsidRDefault="005E2013" w:rsidP="005E2013">
            <w:r w:rsidRPr="005E2013">
              <w:t>65-74 years</w:t>
            </w:r>
          </w:p>
        </w:tc>
        <w:tc>
          <w:tcPr>
            <w:tcW w:w="1559" w:type="dxa"/>
          </w:tcPr>
          <w:p w14:paraId="73BDDBF1" w14:textId="74824CEF" w:rsidR="005E2013" w:rsidRPr="005E2013" w:rsidRDefault="005E2013" w:rsidP="005E2013">
            <w:r w:rsidRPr="005E2013">
              <w:t>321 (</w:t>
            </w:r>
            <w:r w:rsidR="00B81F46">
              <w:t>19.</w:t>
            </w:r>
            <w:r w:rsidR="00A55848">
              <w:t>0</w:t>
            </w:r>
            <w:r w:rsidRPr="005E2013">
              <w:t>)</w:t>
            </w:r>
          </w:p>
        </w:tc>
        <w:tc>
          <w:tcPr>
            <w:tcW w:w="1418" w:type="dxa"/>
          </w:tcPr>
          <w:p w14:paraId="55AB9BBE" w14:textId="59923863" w:rsidR="005E2013" w:rsidRPr="005E2013" w:rsidRDefault="005E2013" w:rsidP="005E2013">
            <w:r w:rsidRPr="005E2013">
              <w:t>139 (</w:t>
            </w:r>
            <w:r w:rsidR="00FD7495">
              <w:t>12.2</w:t>
            </w:r>
            <w:r w:rsidRPr="005E2013">
              <w:t>)</w:t>
            </w:r>
          </w:p>
        </w:tc>
        <w:tc>
          <w:tcPr>
            <w:tcW w:w="1547" w:type="dxa"/>
          </w:tcPr>
          <w:p w14:paraId="3382B725" w14:textId="7EC0E9BB" w:rsidR="005E2013" w:rsidRPr="005E2013" w:rsidRDefault="005E2013" w:rsidP="005E2013">
            <w:r w:rsidRPr="005E2013">
              <w:t>460 (16·8)</w:t>
            </w:r>
          </w:p>
        </w:tc>
      </w:tr>
      <w:tr w:rsidR="005E2013" w14:paraId="1CABB976" w14:textId="77777777" w:rsidTr="00AC028A">
        <w:tc>
          <w:tcPr>
            <w:tcW w:w="4106" w:type="dxa"/>
          </w:tcPr>
          <w:p w14:paraId="7FC2544C" w14:textId="3FDC4EAA" w:rsidR="005E2013" w:rsidRPr="005E2013" w:rsidRDefault="005E2013" w:rsidP="005E2013">
            <w:r w:rsidRPr="005E2013">
              <w:t>75+ years</w:t>
            </w:r>
          </w:p>
        </w:tc>
        <w:tc>
          <w:tcPr>
            <w:tcW w:w="1559" w:type="dxa"/>
          </w:tcPr>
          <w:p w14:paraId="5D28D4EE" w14:textId="3FDD252C" w:rsidR="005E2013" w:rsidRPr="005E2013" w:rsidRDefault="005E2013" w:rsidP="005E2013">
            <w:r w:rsidRPr="005E2013">
              <w:t>106 (</w:t>
            </w:r>
            <w:r w:rsidR="00F0710C">
              <w:t>6.6</w:t>
            </w:r>
            <w:r w:rsidRPr="005E2013">
              <w:t>)</w:t>
            </w:r>
          </w:p>
        </w:tc>
        <w:tc>
          <w:tcPr>
            <w:tcW w:w="1418" w:type="dxa"/>
          </w:tcPr>
          <w:p w14:paraId="027D88E7" w14:textId="127D1679" w:rsidR="005E2013" w:rsidRPr="005E2013" w:rsidRDefault="005E2013" w:rsidP="005E2013">
            <w:r w:rsidRPr="005E2013">
              <w:t>44 (</w:t>
            </w:r>
            <w:r w:rsidR="00FD7495">
              <w:t>3.9</w:t>
            </w:r>
            <w:r w:rsidRPr="005E2013">
              <w:t>)</w:t>
            </w:r>
          </w:p>
        </w:tc>
        <w:tc>
          <w:tcPr>
            <w:tcW w:w="1547" w:type="dxa"/>
          </w:tcPr>
          <w:p w14:paraId="24F9C29D" w14:textId="4E670DE0" w:rsidR="005E2013" w:rsidRPr="005E2013" w:rsidRDefault="005E2013" w:rsidP="005E2013">
            <w:r w:rsidRPr="005E2013">
              <w:t>150 (5·5)</w:t>
            </w:r>
          </w:p>
        </w:tc>
      </w:tr>
      <w:tr w:rsidR="00796233" w14:paraId="2F11CD61" w14:textId="77777777" w:rsidTr="00AC028A">
        <w:tc>
          <w:tcPr>
            <w:tcW w:w="4106" w:type="dxa"/>
          </w:tcPr>
          <w:p w14:paraId="6BA0AB67" w14:textId="381D3CC9" w:rsidR="00796233" w:rsidRPr="0082240D" w:rsidRDefault="0082240D" w:rsidP="00261684">
            <w:pPr>
              <w:rPr>
                <w:b/>
                <w:bCs/>
              </w:rPr>
            </w:pPr>
            <w:r w:rsidRPr="0082240D">
              <w:rPr>
                <w:b/>
                <w:bCs/>
              </w:rPr>
              <w:t>Educational level</w:t>
            </w:r>
          </w:p>
        </w:tc>
        <w:tc>
          <w:tcPr>
            <w:tcW w:w="1559" w:type="dxa"/>
          </w:tcPr>
          <w:p w14:paraId="0DDC6DA8" w14:textId="77777777" w:rsidR="00796233" w:rsidRDefault="00796233" w:rsidP="00261684"/>
        </w:tc>
        <w:tc>
          <w:tcPr>
            <w:tcW w:w="1418" w:type="dxa"/>
          </w:tcPr>
          <w:p w14:paraId="5C677469" w14:textId="77777777" w:rsidR="00796233" w:rsidRDefault="00796233" w:rsidP="00261684"/>
        </w:tc>
        <w:tc>
          <w:tcPr>
            <w:tcW w:w="1547" w:type="dxa"/>
          </w:tcPr>
          <w:p w14:paraId="07E9CAB2" w14:textId="77777777" w:rsidR="00796233" w:rsidRDefault="00796233" w:rsidP="00261684"/>
        </w:tc>
      </w:tr>
      <w:tr w:rsidR="006815BB" w14:paraId="2F758234" w14:textId="77777777" w:rsidTr="00AC028A">
        <w:tc>
          <w:tcPr>
            <w:tcW w:w="4106" w:type="dxa"/>
          </w:tcPr>
          <w:p w14:paraId="7979B2BE" w14:textId="425E5E47" w:rsidR="006815BB" w:rsidRPr="006815BB" w:rsidRDefault="006815BB" w:rsidP="006815BB">
            <w:r w:rsidRPr="006815BB">
              <w:t>No formal qualifications</w:t>
            </w:r>
          </w:p>
        </w:tc>
        <w:tc>
          <w:tcPr>
            <w:tcW w:w="1559" w:type="dxa"/>
          </w:tcPr>
          <w:p w14:paraId="4CCB1FB4" w14:textId="362144A3" w:rsidR="006815BB" w:rsidRPr="006815BB" w:rsidRDefault="006815BB" w:rsidP="006815BB">
            <w:r w:rsidRPr="006815BB">
              <w:t>233 (</w:t>
            </w:r>
            <w:r w:rsidR="00C7195B">
              <w:t>14.7</w:t>
            </w:r>
            <w:r w:rsidRPr="006815BB">
              <w:t>)</w:t>
            </w:r>
          </w:p>
        </w:tc>
        <w:tc>
          <w:tcPr>
            <w:tcW w:w="1418" w:type="dxa"/>
          </w:tcPr>
          <w:p w14:paraId="278C1FD3" w14:textId="6D1072A6" w:rsidR="006815BB" w:rsidRPr="006815BB" w:rsidRDefault="006815BB" w:rsidP="006815BB">
            <w:r w:rsidRPr="006815BB">
              <w:t>83 (</w:t>
            </w:r>
            <w:r w:rsidR="00101484">
              <w:t>7.4</w:t>
            </w:r>
            <w:r w:rsidRPr="006815BB">
              <w:t>)</w:t>
            </w:r>
          </w:p>
        </w:tc>
        <w:tc>
          <w:tcPr>
            <w:tcW w:w="1547" w:type="dxa"/>
          </w:tcPr>
          <w:p w14:paraId="45AD968D" w14:textId="3037F297" w:rsidR="006815BB" w:rsidRPr="006815BB" w:rsidRDefault="006815BB" w:rsidP="006815BB">
            <w:r w:rsidRPr="006815BB">
              <w:t>316 (11·7)</w:t>
            </w:r>
          </w:p>
        </w:tc>
      </w:tr>
      <w:tr w:rsidR="006815BB" w14:paraId="5B90CC17" w14:textId="77777777" w:rsidTr="00AC028A">
        <w:tc>
          <w:tcPr>
            <w:tcW w:w="4106" w:type="dxa"/>
          </w:tcPr>
          <w:p w14:paraId="5940A38E" w14:textId="54FE379D" w:rsidR="006815BB" w:rsidRPr="006815BB" w:rsidRDefault="009F6EAA" w:rsidP="006815BB">
            <w:r>
              <w:t xml:space="preserve">Comprehensive school </w:t>
            </w:r>
            <w:r w:rsidR="006815BB" w:rsidRPr="006815BB">
              <w:t xml:space="preserve">General Certificate </w:t>
            </w:r>
            <w:r w:rsidR="0029675A" w:rsidRPr="006815BB">
              <w:t>of Secondary</w:t>
            </w:r>
            <w:r w:rsidR="006815BB" w:rsidRPr="006815BB">
              <w:t xml:space="preserve"> Education or equivalent</w:t>
            </w:r>
          </w:p>
        </w:tc>
        <w:tc>
          <w:tcPr>
            <w:tcW w:w="1559" w:type="dxa"/>
          </w:tcPr>
          <w:p w14:paraId="1FCF6397" w14:textId="1F528C6F" w:rsidR="006815BB" w:rsidRPr="006815BB" w:rsidRDefault="006815BB" w:rsidP="006815BB">
            <w:r w:rsidRPr="006815BB">
              <w:t>327 (</w:t>
            </w:r>
            <w:r w:rsidR="00C7195B">
              <w:t>20.7</w:t>
            </w:r>
            <w:r w:rsidRPr="006815BB">
              <w:t>)</w:t>
            </w:r>
          </w:p>
        </w:tc>
        <w:tc>
          <w:tcPr>
            <w:tcW w:w="1418" w:type="dxa"/>
          </w:tcPr>
          <w:p w14:paraId="722C6BFF" w14:textId="48F7A687" w:rsidR="006815BB" w:rsidRPr="006815BB" w:rsidRDefault="006815BB" w:rsidP="006815BB">
            <w:r w:rsidRPr="006815BB">
              <w:t>213 (</w:t>
            </w:r>
            <w:r w:rsidR="002F67E9">
              <w:t>19.0</w:t>
            </w:r>
            <w:r w:rsidRPr="006815BB">
              <w:t>)</w:t>
            </w:r>
          </w:p>
        </w:tc>
        <w:tc>
          <w:tcPr>
            <w:tcW w:w="1547" w:type="dxa"/>
          </w:tcPr>
          <w:p w14:paraId="2D38152B" w14:textId="6C11DFB8" w:rsidR="006815BB" w:rsidRPr="006815BB" w:rsidRDefault="006815BB" w:rsidP="006815BB">
            <w:r w:rsidRPr="006815BB">
              <w:t>540 (20·0)</w:t>
            </w:r>
          </w:p>
        </w:tc>
      </w:tr>
      <w:tr w:rsidR="006815BB" w14:paraId="35607F74" w14:textId="77777777" w:rsidTr="00AC028A">
        <w:tc>
          <w:tcPr>
            <w:tcW w:w="4106" w:type="dxa"/>
          </w:tcPr>
          <w:p w14:paraId="32961CAD" w14:textId="125EC00D" w:rsidR="006815BB" w:rsidRPr="006815BB" w:rsidRDefault="006815BB" w:rsidP="006815BB">
            <w:r w:rsidRPr="006815BB">
              <w:t>Further education</w:t>
            </w:r>
          </w:p>
        </w:tc>
        <w:tc>
          <w:tcPr>
            <w:tcW w:w="1559" w:type="dxa"/>
          </w:tcPr>
          <w:p w14:paraId="43D6DD68" w14:textId="09B08A3B" w:rsidR="006815BB" w:rsidRPr="006815BB" w:rsidRDefault="006815BB" w:rsidP="006815BB">
            <w:r w:rsidRPr="006815BB">
              <w:t>420 (</w:t>
            </w:r>
            <w:r w:rsidR="00013A8C">
              <w:t>26.6</w:t>
            </w:r>
            <w:r w:rsidRPr="006815BB">
              <w:t>)</w:t>
            </w:r>
          </w:p>
        </w:tc>
        <w:tc>
          <w:tcPr>
            <w:tcW w:w="1418" w:type="dxa"/>
          </w:tcPr>
          <w:p w14:paraId="24F8C057" w14:textId="3DE7E288" w:rsidR="006815BB" w:rsidRPr="006815BB" w:rsidRDefault="006815BB" w:rsidP="006815BB">
            <w:r w:rsidRPr="006815BB">
              <w:t>334 (</w:t>
            </w:r>
            <w:r w:rsidR="002F67E9">
              <w:t>29.7</w:t>
            </w:r>
            <w:r w:rsidRPr="006815BB">
              <w:t>)</w:t>
            </w:r>
          </w:p>
        </w:tc>
        <w:tc>
          <w:tcPr>
            <w:tcW w:w="1547" w:type="dxa"/>
          </w:tcPr>
          <w:p w14:paraId="75F7901C" w14:textId="1D314CD5" w:rsidR="006815BB" w:rsidRPr="006815BB" w:rsidRDefault="006815BB" w:rsidP="006815BB">
            <w:r w:rsidRPr="006815BB">
              <w:t>754 (27·9)</w:t>
            </w:r>
          </w:p>
        </w:tc>
      </w:tr>
      <w:tr w:rsidR="006815BB" w14:paraId="049490B3" w14:textId="77777777" w:rsidTr="00AC028A">
        <w:tc>
          <w:tcPr>
            <w:tcW w:w="4106" w:type="dxa"/>
          </w:tcPr>
          <w:p w14:paraId="7DC9377B" w14:textId="0658B58A" w:rsidR="006815BB" w:rsidRPr="006815BB" w:rsidRDefault="00237268" w:rsidP="006815BB">
            <w:r>
              <w:t>Higher education (</w:t>
            </w:r>
            <w:r w:rsidR="006815BB" w:rsidRPr="006815BB">
              <w:t>Degree or higher</w:t>
            </w:r>
            <w:r w:rsidR="009B3A55">
              <w:t>)</w:t>
            </w:r>
          </w:p>
        </w:tc>
        <w:tc>
          <w:tcPr>
            <w:tcW w:w="1559" w:type="dxa"/>
          </w:tcPr>
          <w:p w14:paraId="2B626A7D" w14:textId="76EC8BB8" w:rsidR="006815BB" w:rsidRPr="006815BB" w:rsidRDefault="006815BB" w:rsidP="006815BB">
            <w:r w:rsidRPr="006815BB">
              <w:t>601 (</w:t>
            </w:r>
            <w:r w:rsidR="00013A8C">
              <w:t>38.0</w:t>
            </w:r>
            <w:r w:rsidRPr="006815BB">
              <w:t>)</w:t>
            </w:r>
          </w:p>
        </w:tc>
        <w:tc>
          <w:tcPr>
            <w:tcW w:w="1418" w:type="dxa"/>
          </w:tcPr>
          <w:p w14:paraId="799BFA2C" w14:textId="4B8E3B2B" w:rsidR="006815BB" w:rsidRPr="006815BB" w:rsidRDefault="006815BB" w:rsidP="006815BB">
            <w:r w:rsidRPr="006815BB">
              <w:t>493 (4</w:t>
            </w:r>
            <w:r w:rsidR="00CB0648">
              <w:t>3.9</w:t>
            </w:r>
            <w:r w:rsidRPr="006815BB">
              <w:t>)</w:t>
            </w:r>
          </w:p>
        </w:tc>
        <w:tc>
          <w:tcPr>
            <w:tcW w:w="1547" w:type="dxa"/>
          </w:tcPr>
          <w:p w14:paraId="6FD97619" w14:textId="2109F929" w:rsidR="006815BB" w:rsidRPr="006815BB" w:rsidRDefault="006815BB" w:rsidP="006815BB">
            <w:r w:rsidRPr="006815BB">
              <w:t>1094 (40·5)</w:t>
            </w:r>
          </w:p>
        </w:tc>
      </w:tr>
      <w:tr w:rsidR="006815BB" w14:paraId="722930E0" w14:textId="77777777" w:rsidTr="00AC028A">
        <w:tc>
          <w:tcPr>
            <w:tcW w:w="4106" w:type="dxa"/>
          </w:tcPr>
          <w:p w14:paraId="3087CC1E" w14:textId="44EA4131" w:rsidR="006815BB" w:rsidRDefault="002B1A6F" w:rsidP="006815BB">
            <w:r>
              <w:rPr>
                <w:b/>
                <w:bCs/>
              </w:rPr>
              <w:t xml:space="preserve">Long term </w:t>
            </w:r>
            <w:r w:rsidR="00CC453A">
              <w:rPr>
                <w:b/>
                <w:bCs/>
              </w:rPr>
              <w:t>health</w:t>
            </w:r>
            <w:r w:rsidR="00407098">
              <w:rPr>
                <w:b/>
                <w:bCs/>
              </w:rPr>
              <w:t xml:space="preserve"> </w:t>
            </w:r>
            <w:r>
              <w:rPr>
                <w:b/>
                <w:bCs/>
              </w:rPr>
              <w:t>condition</w:t>
            </w:r>
            <w:r w:rsidR="00142253">
              <w:rPr>
                <w:vertAlign w:val="superscript"/>
              </w:rPr>
              <w:t>b</w:t>
            </w:r>
          </w:p>
        </w:tc>
        <w:tc>
          <w:tcPr>
            <w:tcW w:w="1559" w:type="dxa"/>
          </w:tcPr>
          <w:p w14:paraId="64AE593D" w14:textId="77777777" w:rsidR="006815BB" w:rsidRDefault="006815BB" w:rsidP="006815BB"/>
        </w:tc>
        <w:tc>
          <w:tcPr>
            <w:tcW w:w="1418" w:type="dxa"/>
          </w:tcPr>
          <w:p w14:paraId="0FA257CC" w14:textId="77777777" w:rsidR="006815BB" w:rsidRDefault="006815BB" w:rsidP="006815BB"/>
        </w:tc>
        <w:tc>
          <w:tcPr>
            <w:tcW w:w="1547" w:type="dxa"/>
          </w:tcPr>
          <w:p w14:paraId="620EF065" w14:textId="77777777" w:rsidR="006815BB" w:rsidRDefault="006815BB" w:rsidP="006815BB"/>
        </w:tc>
      </w:tr>
      <w:tr w:rsidR="003A717C" w14:paraId="6609E3A2" w14:textId="77777777" w:rsidTr="00AC028A">
        <w:tc>
          <w:tcPr>
            <w:tcW w:w="4106" w:type="dxa"/>
          </w:tcPr>
          <w:p w14:paraId="1426CF1C" w14:textId="33591B0B" w:rsidR="003A717C" w:rsidRPr="003A717C" w:rsidRDefault="003A717C" w:rsidP="003A717C">
            <w:r w:rsidRPr="003A717C">
              <w:t>Yes</w:t>
            </w:r>
          </w:p>
        </w:tc>
        <w:tc>
          <w:tcPr>
            <w:tcW w:w="1559" w:type="dxa"/>
          </w:tcPr>
          <w:p w14:paraId="2FE4234A" w14:textId="1845AB3F" w:rsidR="003A717C" w:rsidRPr="003A717C" w:rsidRDefault="003A717C" w:rsidP="003A717C">
            <w:r w:rsidRPr="003A717C">
              <w:t>674 (</w:t>
            </w:r>
            <w:r w:rsidR="004D2162">
              <w:t>42</w:t>
            </w:r>
            <w:r w:rsidR="00325BBC">
              <w:t>.4</w:t>
            </w:r>
            <w:r w:rsidRPr="003A717C">
              <w:t>)</w:t>
            </w:r>
          </w:p>
        </w:tc>
        <w:tc>
          <w:tcPr>
            <w:tcW w:w="1418" w:type="dxa"/>
          </w:tcPr>
          <w:p w14:paraId="5E2A979C" w14:textId="740E4F0B" w:rsidR="003A717C" w:rsidRPr="003A717C" w:rsidRDefault="003A717C" w:rsidP="003A717C">
            <w:r w:rsidRPr="003A717C">
              <w:t>523 (4</w:t>
            </w:r>
            <w:r w:rsidR="00BE6F60">
              <w:t>6</w:t>
            </w:r>
            <w:r w:rsidR="004878DC">
              <w:t>.7</w:t>
            </w:r>
            <w:r w:rsidRPr="003A717C">
              <w:t>)</w:t>
            </w:r>
          </w:p>
        </w:tc>
        <w:tc>
          <w:tcPr>
            <w:tcW w:w="1547" w:type="dxa"/>
          </w:tcPr>
          <w:p w14:paraId="230731B0" w14:textId="1368E34F" w:rsidR="003A717C" w:rsidRPr="003A717C" w:rsidRDefault="003A717C" w:rsidP="003A717C">
            <w:r w:rsidRPr="003A717C">
              <w:t>1197 (44·2)</w:t>
            </w:r>
          </w:p>
        </w:tc>
      </w:tr>
      <w:tr w:rsidR="003A717C" w14:paraId="6CD52068" w14:textId="77777777" w:rsidTr="00AC028A">
        <w:tc>
          <w:tcPr>
            <w:tcW w:w="4106" w:type="dxa"/>
          </w:tcPr>
          <w:p w14:paraId="29470700" w14:textId="67574DFD" w:rsidR="003A717C" w:rsidRPr="003A717C" w:rsidRDefault="003A717C" w:rsidP="003A717C">
            <w:r w:rsidRPr="003A717C">
              <w:t>No</w:t>
            </w:r>
          </w:p>
        </w:tc>
        <w:tc>
          <w:tcPr>
            <w:tcW w:w="1559" w:type="dxa"/>
          </w:tcPr>
          <w:p w14:paraId="24E454CE" w14:textId="792551FD" w:rsidR="003A717C" w:rsidRPr="003A717C" w:rsidRDefault="003A717C" w:rsidP="003A717C">
            <w:r w:rsidRPr="003A717C">
              <w:t>916 (</w:t>
            </w:r>
            <w:r w:rsidR="00325BBC">
              <w:t>57.6</w:t>
            </w:r>
            <w:r w:rsidRPr="003A717C">
              <w:t>)</w:t>
            </w:r>
          </w:p>
        </w:tc>
        <w:tc>
          <w:tcPr>
            <w:tcW w:w="1418" w:type="dxa"/>
          </w:tcPr>
          <w:p w14:paraId="66963973" w14:textId="2135BEAB" w:rsidR="003A717C" w:rsidRPr="003A717C" w:rsidRDefault="003A717C" w:rsidP="003A717C">
            <w:r w:rsidRPr="003A717C">
              <w:t>597 (</w:t>
            </w:r>
            <w:r w:rsidR="004878DC">
              <w:t>53.3</w:t>
            </w:r>
            <w:r w:rsidRPr="003A717C">
              <w:t>)</w:t>
            </w:r>
          </w:p>
        </w:tc>
        <w:tc>
          <w:tcPr>
            <w:tcW w:w="1547" w:type="dxa"/>
          </w:tcPr>
          <w:p w14:paraId="2C26F015" w14:textId="3507CC65" w:rsidR="003A717C" w:rsidRPr="003A717C" w:rsidRDefault="003A717C" w:rsidP="003A717C">
            <w:r w:rsidRPr="003A717C">
              <w:t>1513 (55·8)</w:t>
            </w:r>
          </w:p>
        </w:tc>
      </w:tr>
    </w:tbl>
    <w:p w14:paraId="2524A80C" w14:textId="623A2DF2" w:rsidR="00142253" w:rsidRPr="00C93D80" w:rsidRDefault="00E435C7" w:rsidP="00142253">
      <w:pPr>
        <w:rPr>
          <w:sz w:val="20"/>
          <w:szCs w:val="20"/>
        </w:rPr>
      </w:pPr>
      <w:bookmarkStart w:id="16" w:name="Footnotes"/>
      <w:bookmarkEnd w:id="16"/>
      <w:r>
        <w:rPr>
          <w:vertAlign w:val="superscript"/>
        </w:rPr>
        <w:t>a</w:t>
      </w:r>
      <w:r w:rsidR="00A9579B">
        <w:t xml:space="preserve">Gender: significant </w:t>
      </w:r>
      <w:r w:rsidR="00C472FF">
        <w:t>difference between male and f</w:t>
      </w:r>
      <w:r w:rsidR="00C472FF" w:rsidRPr="00142253">
        <w:t xml:space="preserve">emale </w:t>
      </w:r>
      <w:r w:rsidR="00142253" w:rsidRPr="00142253">
        <w:t>(X</w:t>
      </w:r>
      <w:r w:rsidR="00142253" w:rsidRPr="00142253">
        <w:rPr>
          <w:vertAlign w:val="superscript"/>
        </w:rPr>
        <w:t>2</w:t>
      </w:r>
      <w:r w:rsidR="00142253" w:rsidRPr="00142253">
        <w:t>=5·46; 0·019; Phi=0·05)</w:t>
      </w:r>
    </w:p>
    <w:p w14:paraId="5580AAFB" w14:textId="6DEAAEB9" w:rsidR="00FD5790" w:rsidRDefault="00FD5790" w:rsidP="00EB6E35">
      <w:r>
        <w:rPr>
          <w:vertAlign w:val="superscript"/>
        </w:rPr>
        <w:t>b</w:t>
      </w:r>
      <w:r w:rsidR="006A2BF6">
        <w:t xml:space="preserve">Long term </w:t>
      </w:r>
      <w:r w:rsidR="00831673">
        <w:t>health</w:t>
      </w:r>
      <w:r w:rsidR="006A2BF6">
        <w:t xml:space="preserve"> condition: significa</w:t>
      </w:r>
      <w:r w:rsidR="006A2BF6" w:rsidRPr="006E49AF">
        <w:t xml:space="preserve">nt difference </w:t>
      </w:r>
      <w:r w:rsidR="00F35F12" w:rsidRPr="006E49AF">
        <w:t xml:space="preserve">between yes and no </w:t>
      </w:r>
      <w:r w:rsidR="006E49AF" w:rsidRPr="006E49AF">
        <w:t>(X</w:t>
      </w:r>
      <w:r w:rsidR="006E49AF" w:rsidRPr="006E49AF">
        <w:rPr>
          <w:vertAlign w:val="superscript"/>
        </w:rPr>
        <w:t>2</w:t>
      </w:r>
      <w:r w:rsidR="006E49AF" w:rsidRPr="006E49AF">
        <w:t>=4·94; 0·026; Phi=0·04)</w:t>
      </w:r>
    </w:p>
    <w:p w14:paraId="4C30F148" w14:textId="77777777" w:rsidR="00107C2E" w:rsidRDefault="00107C2E" w:rsidP="00EB6E35"/>
    <w:p w14:paraId="16D2BC33" w14:textId="13A574D3" w:rsidR="00032EBA" w:rsidRDefault="00032EBA" w:rsidP="00032EBA">
      <w:pPr>
        <w:pStyle w:val="Heading3"/>
      </w:pPr>
      <w:r>
        <w:t>eHealth Literacy</w:t>
      </w:r>
    </w:p>
    <w:p w14:paraId="464FC5E4" w14:textId="50B940F0" w:rsidR="00357B9B" w:rsidRPr="00357B9B" w:rsidRDefault="00357B9B" w:rsidP="00357B9B">
      <w:pPr>
        <w:spacing w:line="276" w:lineRule="auto"/>
        <w:rPr>
          <w:rFonts w:cstheme="minorHAnsi"/>
        </w:rPr>
      </w:pPr>
      <w:r w:rsidRPr="00357B9B">
        <w:rPr>
          <w:rFonts w:cstheme="minorHAnsi"/>
        </w:rPr>
        <w:t>Across almost all d</w:t>
      </w:r>
      <w:r w:rsidR="005B3C34">
        <w:rPr>
          <w:rFonts w:cstheme="minorHAnsi"/>
        </w:rPr>
        <w:t>imensions</w:t>
      </w:r>
      <w:r w:rsidRPr="00357B9B">
        <w:rPr>
          <w:rFonts w:cstheme="minorHAnsi"/>
        </w:rPr>
        <w:t xml:space="preserve"> of the eHLQ, as might be expected, NHS 111 online users had higher </w:t>
      </w:r>
      <w:r w:rsidR="00374FD9">
        <w:rPr>
          <w:rFonts w:cstheme="minorHAnsi"/>
        </w:rPr>
        <w:t>eHealth</w:t>
      </w:r>
      <w:r w:rsidRPr="00357B9B">
        <w:rPr>
          <w:rFonts w:cstheme="minorHAnsi"/>
        </w:rPr>
        <w:t xml:space="preserve"> literacy (</w:t>
      </w:r>
      <w:r w:rsidR="001B1DFF">
        <w:rPr>
          <w:rFonts w:cstheme="minorHAnsi"/>
        </w:rPr>
        <w:t>T</w:t>
      </w:r>
      <w:r w:rsidRPr="00357B9B">
        <w:rPr>
          <w:rFonts w:cstheme="minorHAnsi"/>
        </w:rPr>
        <w:t>able 2). Significant differences were observed for all d</w:t>
      </w:r>
      <w:r w:rsidR="005B3C34">
        <w:rPr>
          <w:rFonts w:cstheme="minorHAnsi"/>
        </w:rPr>
        <w:t>imensions</w:t>
      </w:r>
      <w:r w:rsidRPr="00357B9B">
        <w:rPr>
          <w:rFonts w:cstheme="minorHAnsi"/>
        </w:rPr>
        <w:t xml:space="preserve"> except eHLQ4 (Feel safe and in control) and eHLQ6 (Access to digital services that work). Effect size calculations revealed differences between users and non-users were largest for the d</w:t>
      </w:r>
      <w:r w:rsidR="005B3C34">
        <w:rPr>
          <w:rFonts w:cstheme="minorHAnsi"/>
        </w:rPr>
        <w:t>imensions</w:t>
      </w:r>
      <w:r w:rsidRPr="00357B9B">
        <w:rPr>
          <w:rFonts w:cstheme="minorHAnsi"/>
        </w:rPr>
        <w:t xml:space="preserve"> of eHLQ1 (Using technology to process health information), eHLQ3 (Ability to actively e</w:t>
      </w:r>
      <w:r w:rsidRPr="00357B9B">
        <w:rPr>
          <w:rFonts w:cstheme="minorHAnsi"/>
          <w:lang w:eastAsia="en-GB"/>
        </w:rPr>
        <w:t>ngage with digital services)</w:t>
      </w:r>
      <w:r w:rsidRPr="00357B9B">
        <w:rPr>
          <w:rFonts w:cstheme="minorHAnsi"/>
        </w:rPr>
        <w:t xml:space="preserve"> and eHLQ5 (Motivated to engage with digital services).</w:t>
      </w:r>
    </w:p>
    <w:p w14:paraId="20A5E1C3" w14:textId="77777777" w:rsidR="00032EBA" w:rsidRDefault="00032EBA" w:rsidP="00EB6E35"/>
    <w:p w14:paraId="55DD7C4B" w14:textId="22EB588E" w:rsidR="007A2581" w:rsidRPr="00E435C7" w:rsidRDefault="007A2581" w:rsidP="007A2581">
      <w:pPr>
        <w:rPr>
          <w:vertAlign w:val="superscript"/>
        </w:rPr>
      </w:pPr>
      <w:r>
        <w:t>Table 2. eHLQ d</w:t>
      </w:r>
      <w:r w:rsidR="005B3C34">
        <w:t>imensions</w:t>
      </w:r>
      <w:r>
        <w:t xml:space="preserve"> by previous use of NHS 111 online</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17"/>
        <w:gridCol w:w="2268"/>
        <w:gridCol w:w="851"/>
        <w:gridCol w:w="992"/>
        <w:gridCol w:w="992"/>
      </w:tblGrid>
      <w:tr w:rsidR="0059498A" w:rsidRPr="00487A8F" w14:paraId="7A143B30" w14:textId="77777777" w:rsidTr="0059498A">
        <w:tc>
          <w:tcPr>
            <w:tcW w:w="1276" w:type="dxa"/>
          </w:tcPr>
          <w:p w14:paraId="694F54F9" w14:textId="77777777" w:rsidR="0059498A" w:rsidRPr="00B044C3" w:rsidRDefault="0059498A" w:rsidP="003026DD"/>
        </w:tc>
        <w:tc>
          <w:tcPr>
            <w:tcW w:w="851" w:type="dxa"/>
          </w:tcPr>
          <w:p w14:paraId="237BD5B6" w14:textId="1A369DFB" w:rsidR="0059498A" w:rsidRPr="00B044C3" w:rsidRDefault="0059498A" w:rsidP="003026DD">
            <w:r w:rsidRPr="00B044C3">
              <w:t>n</w:t>
            </w:r>
          </w:p>
        </w:tc>
        <w:tc>
          <w:tcPr>
            <w:tcW w:w="1417" w:type="dxa"/>
          </w:tcPr>
          <w:p w14:paraId="60C26741" w14:textId="3C577515" w:rsidR="0059498A" w:rsidRPr="00B044C3" w:rsidRDefault="0059498A" w:rsidP="003026DD">
            <w:r w:rsidRPr="00B044C3">
              <w:t xml:space="preserve">Mean (SD)  </w:t>
            </w:r>
          </w:p>
        </w:tc>
        <w:tc>
          <w:tcPr>
            <w:tcW w:w="2268" w:type="dxa"/>
          </w:tcPr>
          <w:p w14:paraId="1D001509" w14:textId="02338ABD" w:rsidR="0059498A" w:rsidRPr="00B044C3" w:rsidRDefault="0059498A" w:rsidP="003026DD">
            <w:r w:rsidRPr="00B044C3">
              <w:t>Mean diff (95% CI)</w:t>
            </w:r>
          </w:p>
        </w:tc>
        <w:tc>
          <w:tcPr>
            <w:tcW w:w="851" w:type="dxa"/>
          </w:tcPr>
          <w:p w14:paraId="2733CDBE" w14:textId="0E5E1B8D" w:rsidR="0059498A" w:rsidRPr="00B044C3" w:rsidRDefault="0059498A" w:rsidP="003026DD">
            <w:r w:rsidRPr="00B044C3">
              <w:rPr>
                <w:i/>
                <w:iCs/>
              </w:rPr>
              <w:t>t</w:t>
            </w:r>
          </w:p>
        </w:tc>
        <w:tc>
          <w:tcPr>
            <w:tcW w:w="992" w:type="dxa"/>
          </w:tcPr>
          <w:p w14:paraId="0968B2D7" w14:textId="1F98AF34" w:rsidR="0059498A" w:rsidRPr="00B044C3" w:rsidRDefault="00AC2D90" w:rsidP="003026DD">
            <w:r w:rsidRPr="00EE747A">
              <w:rPr>
                <w:rFonts w:cstheme="minorHAnsi"/>
                <w:i/>
                <w:iCs/>
              </w:rPr>
              <w:t>P</w:t>
            </w:r>
          </w:p>
        </w:tc>
        <w:tc>
          <w:tcPr>
            <w:tcW w:w="992" w:type="dxa"/>
          </w:tcPr>
          <w:p w14:paraId="10A19A28" w14:textId="46677454" w:rsidR="0059498A" w:rsidRPr="00B044C3" w:rsidRDefault="0059498A" w:rsidP="003026DD">
            <w:pPr>
              <w:ind w:left="720" w:hanging="720"/>
            </w:pPr>
            <w:r>
              <w:t>Hedges g</w:t>
            </w:r>
          </w:p>
        </w:tc>
      </w:tr>
      <w:tr w:rsidR="00BB767B" w:rsidRPr="00487A8F" w14:paraId="410E9DC1" w14:textId="77777777" w:rsidTr="0059498A">
        <w:tc>
          <w:tcPr>
            <w:tcW w:w="1276" w:type="dxa"/>
          </w:tcPr>
          <w:p w14:paraId="7460A87C" w14:textId="77777777" w:rsidR="00BB767B" w:rsidRPr="00B044C3" w:rsidRDefault="00BB767B" w:rsidP="003026DD"/>
        </w:tc>
        <w:tc>
          <w:tcPr>
            <w:tcW w:w="851" w:type="dxa"/>
          </w:tcPr>
          <w:p w14:paraId="3B2C990E" w14:textId="77777777" w:rsidR="00BB767B" w:rsidRPr="00B044C3" w:rsidRDefault="00BB767B" w:rsidP="003026DD"/>
        </w:tc>
        <w:tc>
          <w:tcPr>
            <w:tcW w:w="1417" w:type="dxa"/>
          </w:tcPr>
          <w:p w14:paraId="38F8793D" w14:textId="77777777" w:rsidR="00BB767B" w:rsidRPr="00B044C3" w:rsidRDefault="00BB767B" w:rsidP="003026DD"/>
        </w:tc>
        <w:tc>
          <w:tcPr>
            <w:tcW w:w="2268" w:type="dxa"/>
          </w:tcPr>
          <w:p w14:paraId="2F4FFA1E" w14:textId="77777777" w:rsidR="00BB767B" w:rsidRPr="00B044C3" w:rsidRDefault="00BB767B" w:rsidP="003026DD"/>
        </w:tc>
        <w:tc>
          <w:tcPr>
            <w:tcW w:w="851" w:type="dxa"/>
          </w:tcPr>
          <w:p w14:paraId="2A3B2C63" w14:textId="77777777" w:rsidR="00BB767B" w:rsidRPr="00B044C3" w:rsidRDefault="00BB767B" w:rsidP="003026DD">
            <w:pPr>
              <w:rPr>
                <w:i/>
                <w:iCs/>
              </w:rPr>
            </w:pPr>
          </w:p>
        </w:tc>
        <w:tc>
          <w:tcPr>
            <w:tcW w:w="992" w:type="dxa"/>
          </w:tcPr>
          <w:p w14:paraId="3B22A37D" w14:textId="77777777" w:rsidR="00BB767B" w:rsidRPr="00B044C3" w:rsidRDefault="00BB767B" w:rsidP="003026DD">
            <w:pPr>
              <w:rPr>
                <w:i/>
                <w:iCs/>
              </w:rPr>
            </w:pPr>
          </w:p>
        </w:tc>
        <w:tc>
          <w:tcPr>
            <w:tcW w:w="992" w:type="dxa"/>
          </w:tcPr>
          <w:p w14:paraId="3AE6BDDD" w14:textId="77777777" w:rsidR="00BB767B" w:rsidRDefault="00BB767B" w:rsidP="003026DD">
            <w:pPr>
              <w:ind w:left="720" w:hanging="720"/>
            </w:pPr>
          </w:p>
        </w:tc>
      </w:tr>
      <w:tr w:rsidR="00407098" w:rsidRPr="00FE1BB8" w14:paraId="2B6FAC2B" w14:textId="77777777" w:rsidTr="00F8023A">
        <w:trPr>
          <w:trHeight w:val="287"/>
        </w:trPr>
        <w:tc>
          <w:tcPr>
            <w:tcW w:w="8647" w:type="dxa"/>
            <w:gridSpan w:val="7"/>
          </w:tcPr>
          <w:p w14:paraId="7A0386DC" w14:textId="2CCB31C8" w:rsidR="00407098" w:rsidRPr="00E82626" w:rsidRDefault="00407098" w:rsidP="003026DD">
            <w:pPr>
              <w:rPr>
                <w:rFonts w:cstheme="majorHAnsi"/>
              </w:rPr>
            </w:pPr>
            <w:r w:rsidRPr="00E82626">
              <w:rPr>
                <w:rFonts w:cstheme="majorHAnsi"/>
                <w:b/>
                <w:bCs/>
              </w:rPr>
              <w:t xml:space="preserve">eHLQ1: </w:t>
            </w:r>
            <w:r w:rsidRPr="00E82626">
              <w:rPr>
                <w:rStyle w:val="cf01"/>
                <w:rFonts w:asciiTheme="minorHAnsi" w:hAnsiTheme="minorHAnsi" w:cstheme="majorHAnsi"/>
                <w:sz w:val="24"/>
                <w:szCs w:val="24"/>
              </w:rPr>
              <w:t>using technology to process health information</w:t>
            </w:r>
          </w:p>
        </w:tc>
      </w:tr>
      <w:tr w:rsidR="0059498A" w:rsidRPr="00FE1BB8" w14:paraId="0F5082EE" w14:textId="77777777" w:rsidTr="0059498A">
        <w:trPr>
          <w:trHeight w:val="287"/>
        </w:trPr>
        <w:tc>
          <w:tcPr>
            <w:tcW w:w="1276" w:type="dxa"/>
          </w:tcPr>
          <w:p w14:paraId="01298C57" w14:textId="514831DD" w:rsidR="0059498A" w:rsidRPr="00E82626" w:rsidRDefault="0059498A" w:rsidP="003026DD">
            <w:pPr>
              <w:rPr>
                <w:rFonts w:cstheme="majorHAnsi"/>
              </w:rPr>
            </w:pPr>
            <w:r w:rsidRPr="00E82626">
              <w:rPr>
                <w:rFonts w:cstheme="majorHAnsi"/>
              </w:rPr>
              <w:t>Non-user</w:t>
            </w:r>
          </w:p>
        </w:tc>
        <w:tc>
          <w:tcPr>
            <w:tcW w:w="851" w:type="dxa"/>
          </w:tcPr>
          <w:p w14:paraId="31F99064" w14:textId="644F09FC" w:rsidR="0059498A" w:rsidRPr="00E82626" w:rsidRDefault="0059498A" w:rsidP="003026DD">
            <w:pPr>
              <w:rPr>
                <w:rFonts w:cstheme="majorHAnsi"/>
              </w:rPr>
            </w:pPr>
            <w:r w:rsidRPr="00E82626">
              <w:rPr>
                <w:rFonts w:cstheme="majorHAnsi"/>
              </w:rPr>
              <w:t>1565</w:t>
            </w:r>
          </w:p>
        </w:tc>
        <w:tc>
          <w:tcPr>
            <w:tcW w:w="1417" w:type="dxa"/>
          </w:tcPr>
          <w:p w14:paraId="4E251B4E" w14:textId="5A20BBEF" w:rsidR="0059498A" w:rsidRPr="00E82626" w:rsidRDefault="0059498A" w:rsidP="003026DD">
            <w:pPr>
              <w:rPr>
                <w:rFonts w:cstheme="majorHAnsi"/>
              </w:rPr>
            </w:pPr>
            <w:r w:rsidRPr="00E82626">
              <w:rPr>
                <w:rFonts w:cstheme="majorHAnsi"/>
              </w:rPr>
              <w:t>2·69 (0·62)</w:t>
            </w:r>
          </w:p>
        </w:tc>
        <w:tc>
          <w:tcPr>
            <w:tcW w:w="2268" w:type="dxa"/>
          </w:tcPr>
          <w:p w14:paraId="00954F8D" w14:textId="2B9F5689" w:rsidR="0059498A" w:rsidRPr="00E82626" w:rsidRDefault="0059498A" w:rsidP="003026DD">
            <w:pPr>
              <w:rPr>
                <w:rFonts w:cstheme="majorHAnsi"/>
              </w:rPr>
            </w:pPr>
            <w:r w:rsidRPr="00E82626">
              <w:rPr>
                <w:rFonts w:cstheme="majorHAnsi"/>
              </w:rPr>
              <w:t>-·22 (-·26 to -·17)</w:t>
            </w:r>
          </w:p>
        </w:tc>
        <w:tc>
          <w:tcPr>
            <w:tcW w:w="851" w:type="dxa"/>
          </w:tcPr>
          <w:p w14:paraId="7B1985AC" w14:textId="1AC78C48" w:rsidR="0059498A" w:rsidRPr="00E82626" w:rsidRDefault="0059498A" w:rsidP="003026DD">
            <w:pPr>
              <w:rPr>
                <w:rFonts w:cstheme="majorHAnsi"/>
              </w:rPr>
            </w:pPr>
            <w:r w:rsidRPr="00E82626">
              <w:rPr>
                <w:rFonts w:cstheme="majorHAnsi"/>
              </w:rPr>
              <w:t>-9·00</w:t>
            </w:r>
          </w:p>
        </w:tc>
        <w:tc>
          <w:tcPr>
            <w:tcW w:w="992" w:type="dxa"/>
          </w:tcPr>
          <w:p w14:paraId="1D2A1332" w14:textId="745D56B5" w:rsidR="0059498A" w:rsidRPr="00E82626" w:rsidRDefault="0059498A" w:rsidP="003026DD">
            <w:pPr>
              <w:rPr>
                <w:rFonts w:cstheme="majorHAnsi"/>
              </w:rPr>
            </w:pPr>
            <w:r w:rsidRPr="00E82626">
              <w:rPr>
                <w:rFonts w:cstheme="majorHAnsi"/>
              </w:rPr>
              <w:t>&lt;·001</w:t>
            </w:r>
          </w:p>
        </w:tc>
        <w:tc>
          <w:tcPr>
            <w:tcW w:w="992" w:type="dxa"/>
          </w:tcPr>
          <w:p w14:paraId="722F1FFB" w14:textId="3BD45291" w:rsidR="0059498A" w:rsidRPr="00E82626" w:rsidRDefault="0059498A" w:rsidP="003026DD">
            <w:pPr>
              <w:rPr>
                <w:rFonts w:cstheme="majorHAnsi"/>
              </w:rPr>
            </w:pPr>
            <w:r w:rsidRPr="00E82626">
              <w:rPr>
                <w:rFonts w:cstheme="majorHAnsi"/>
              </w:rPr>
              <w:t>-·35</w:t>
            </w:r>
          </w:p>
        </w:tc>
      </w:tr>
      <w:tr w:rsidR="0059498A" w:rsidRPr="00FE1BB8" w14:paraId="486C3F4C" w14:textId="77777777" w:rsidTr="0059498A">
        <w:trPr>
          <w:trHeight w:val="287"/>
        </w:trPr>
        <w:tc>
          <w:tcPr>
            <w:tcW w:w="1276" w:type="dxa"/>
          </w:tcPr>
          <w:p w14:paraId="762CB579" w14:textId="555DFEA4" w:rsidR="0059498A" w:rsidRPr="00E82626" w:rsidRDefault="0059498A" w:rsidP="003026DD">
            <w:pPr>
              <w:rPr>
                <w:rFonts w:cstheme="majorHAnsi"/>
              </w:rPr>
            </w:pPr>
            <w:r w:rsidRPr="00E82626">
              <w:rPr>
                <w:rFonts w:cstheme="majorHAnsi"/>
              </w:rPr>
              <w:t>User</w:t>
            </w:r>
          </w:p>
        </w:tc>
        <w:tc>
          <w:tcPr>
            <w:tcW w:w="851" w:type="dxa"/>
          </w:tcPr>
          <w:p w14:paraId="2C3AEA94" w14:textId="40BD7CDF" w:rsidR="0059498A" w:rsidRPr="00E82626" w:rsidRDefault="0059498A" w:rsidP="003026DD">
            <w:pPr>
              <w:rPr>
                <w:rFonts w:cstheme="majorHAnsi"/>
              </w:rPr>
            </w:pPr>
            <w:r w:rsidRPr="00E82626">
              <w:rPr>
                <w:rFonts w:cstheme="majorHAnsi"/>
              </w:rPr>
              <w:t>1114</w:t>
            </w:r>
          </w:p>
        </w:tc>
        <w:tc>
          <w:tcPr>
            <w:tcW w:w="1417" w:type="dxa"/>
          </w:tcPr>
          <w:p w14:paraId="6B4600E9" w14:textId="406C5B91" w:rsidR="0059498A" w:rsidRPr="00E82626" w:rsidRDefault="0059498A" w:rsidP="003026DD">
            <w:pPr>
              <w:rPr>
                <w:rFonts w:cstheme="majorHAnsi"/>
              </w:rPr>
            </w:pPr>
            <w:r w:rsidRPr="00E82626">
              <w:rPr>
                <w:rFonts w:cstheme="majorHAnsi"/>
              </w:rPr>
              <w:t>2·91 (0·60)</w:t>
            </w:r>
          </w:p>
        </w:tc>
        <w:tc>
          <w:tcPr>
            <w:tcW w:w="2268" w:type="dxa"/>
          </w:tcPr>
          <w:p w14:paraId="779DDFFB" w14:textId="51429D6F" w:rsidR="0059498A" w:rsidRPr="00E82626" w:rsidRDefault="0059498A" w:rsidP="003026DD">
            <w:pPr>
              <w:rPr>
                <w:rFonts w:cstheme="majorHAnsi"/>
              </w:rPr>
            </w:pPr>
          </w:p>
        </w:tc>
        <w:tc>
          <w:tcPr>
            <w:tcW w:w="851" w:type="dxa"/>
          </w:tcPr>
          <w:p w14:paraId="7EA68B67" w14:textId="77777777" w:rsidR="0059498A" w:rsidRPr="00E82626" w:rsidRDefault="0059498A" w:rsidP="003026DD">
            <w:pPr>
              <w:rPr>
                <w:rFonts w:cstheme="majorHAnsi"/>
              </w:rPr>
            </w:pPr>
          </w:p>
        </w:tc>
        <w:tc>
          <w:tcPr>
            <w:tcW w:w="992" w:type="dxa"/>
          </w:tcPr>
          <w:p w14:paraId="563EEBEC" w14:textId="77777777" w:rsidR="0059498A" w:rsidRPr="00E82626" w:rsidRDefault="0059498A" w:rsidP="003026DD">
            <w:pPr>
              <w:rPr>
                <w:rFonts w:cstheme="majorHAnsi"/>
              </w:rPr>
            </w:pPr>
          </w:p>
        </w:tc>
        <w:tc>
          <w:tcPr>
            <w:tcW w:w="992" w:type="dxa"/>
          </w:tcPr>
          <w:p w14:paraId="46EDA02A" w14:textId="77777777" w:rsidR="0059498A" w:rsidRPr="00E82626" w:rsidRDefault="0059498A" w:rsidP="003026DD">
            <w:pPr>
              <w:rPr>
                <w:rFonts w:cstheme="majorHAnsi"/>
              </w:rPr>
            </w:pPr>
          </w:p>
        </w:tc>
      </w:tr>
      <w:tr w:rsidR="00407098" w:rsidRPr="00FE1BB8" w14:paraId="19668B6D" w14:textId="77777777" w:rsidTr="000D0902">
        <w:trPr>
          <w:trHeight w:val="274"/>
        </w:trPr>
        <w:tc>
          <w:tcPr>
            <w:tcW w:w="8647" w:type="dxa"/>
            <w:gridSpan w:val="7"/>
          </w:tcPr>
          <w:p w14:paraId="1E537867" w14:textId="2047A0C8" w:rsidR="00407098" w:rsidRPr="00E82626" w:rsidRDefault="00407098" w:rsidP="003026DD">
            <w:pPr>
              <w:rPr>
                <w:rFonts w:cstheme="majorHAnsi"/>
              </w:rPr>
            </w:pPr>
            <w:r w:rsidRPr="00E82626">
              <w:rPr>
                <w:rFonts w:cstheme="majorHAnsi"/>
                <w:b/>
                <w:bCs/>
              </w:rPr>
              <w:t xml:space="preserve">eHLQ2: </w:t>
            </w:r>
            <w:r w:rsidRPr="00E82626">
              <w:rPr>
                <w:rStyle w:val="cf01"/>
                <w:rFonts w:asciiTheme="minorHAnsi" w:hAnsiTheme="minorHAnsi" w:cstheme="majorHAnsi"/>
                <w:sz w:val="24"/>
                <w:szCs w:val="24"/>
              </w:rPr>
              <w:t>understanding of health concepts and language</w:t>
            </w:r>
            <w:r w:rsidRPr="00E82626">
              <w:rPr>
                <w:rFonts w:cstheme="majorHAnsi"/>
                <w:b/>
                <w:bCs/>
              </w:rPr>
              <w:t xml:space="preserve"> </w:t>
            </w:r>
          </w:p>
        </w:tc>
      </w:tr>
      <w:tr w:rsidR="0059498A" w:rsidRPr="00FE1BB8" w14:paraId="0B96D4A0" w14:textId="77777777" w:rsidTr="0059498A">
        <w:trPr>
          <w:trHeight w:val="290"/>
        </w:trPr>
        <w:tc>
          <w:tcPr>
            <w:tcW w:w="1276" w:type="dxa"/>
          </w:tcPr>
          <w:p w14:paraId="146A7919" w14:textId="56ABB31F" w:rsidR="0059498A" w:rsidRPr="00E82626" w:rsidRDefault="0059498A" w:rsidP="0059498A">
            <w:pPr>
              <w:rPr>
                <w:rFonts w:cstheme="majorHAnsi"/>
              </w:rPr>
            </w:pPr>
            <w:r w:rsidRPr="00E82626">
              <w:rPr>
                <w:rFonts w:cstheme="majorHAnsi"/>
              </w:rPr>
              <w:t>Non-user</w:t>
            </w:r>
          </w:p>
        </w:tc>
        <w:tc>
          <w:tcPr>
            <w:tcW w:w="851" w:type="dxa"/>
          </w:tcPr>
          <w:p w14:paraId="53B45E91" w14:textId="077DD947" w:rsidR="0059498A" w:rsidRPr="00E82626" w:rsidRDefault="0059498A" w:rsidP="0059498A">
            <w:pPr>
              <w:rPr>
                <w:rFonts w:cstheme="majorHAnsi"/>
              </w:rPr>
            </w:pPr>
            <w:r w:rsidRPr="00E82626">
              <w:rPr>
                <w:rFonts w:cstheme="majorHAnsi"/>
              </w:rPr>
              <w:t>1584</w:t>
            </w:r>
          </w:p>
        </w:tc>
        <w:tc>
          <w:tcPr>
            <w:tcW w:w="1417" w:type="dxa"/>
          </w:tcPr>
          <w:p w14:paraId="499CC5A4" w14:textId="02053E41" w:rsidR="0059498A" w:rsidRPr="00E82626" w:rsidRDefault="0059498A" w:rsidP="0059498A">
            <w:pPr>
              <w:rPr>
                <w:rFonts w:cstheme="majorHAnsi"/>
              </w:rPr>
            </w:pPr>
            <w:r w:rsidRPr="00E82626">
              <w:rPr>
                <w:rFonts w:cstheme="majorHAnsi"/>
              </w:rPr>
              <w:t>2·96 (0·50)</w:t>
            </w:r>
          </w:p>
        </w:tc>
        <w:tc>
          <w:tcPr>
            <w:tcW w:w="2268" w:type="dxa"/>
          </w:tcPr>
          <w:p w14:paraId="1E570863" w14:textId="1E3205B4" w:rsidR="0059498A" w:rsidRPr="00E82626" w:rsidRDefault="0059498A" w:rsidP="0059498A">
            <w:pPr>
              <w:rPr>
                <w:rFonts w:cstheme="majorHAnsi"/>
              </w:rPr>
            </w:pPr>
            <w:r w:rsidRPr="00E82626">
              <w:rPr>
                <w:rFonts w:cstheme="majorHAnsi"/>
              </w:rPr>
              <w:t>-·10 (-·14 to -·06)</w:t>
            </w:r>
          </w:p>
        </w:tc>
        <w:tc>
          <w:tcPr>
            <w:tcW w:w="851" w:type="dxa"/>
          </w:tcPr>
          <w:p w14:paraId="0BE96F59" w14:textId="001185D1" w:rsidR="0059498A" w:rsidRPr="00E82626" w:rsidRDefault="0059498A" w:rsidP="0059498A">
            <w:pPr>
              <w:rPr>
                <w:rFonts w:cstheme="majorHAnsi"/>
              </w:rPr>
            </w:pPr>
            <w:r w:rsidRPr="00E82626">
              <w:rPr>
                <w:rFonts w:cstheme="majorHAnsi"/>
              </w:rPr>
              <w:t>-5·00</w:t>
            </w:r>
          </w:p>
        </w:tc>
        <w:tc>
          <w:tcPr>
            <w:tcW w:w="992" w:type="dxa"/>
          </w:tcPr>
          <w:p w14:paraId="15615159" w14:textId="3B47489E" w:rsidR="0059498A" w:rsidRPr="00E82626" w:rsidRDefault="0059498A" w:rsidP="0059498A">
            <w:pPr>
              <w:rPr>
                <w:rFonts w:cstheme="majorHAnsi"/>
              </w:rPr>
            </w:pPr>
            <w:r w:rsidRPr="00E82626">
              <w:rPr>
                <w:rFonts w:cstheme="majorHAnsi"/>
              </w:rPr>
              <w:t>&lt;·001</w:t>
            </w:r>
          </w:p>
        </w:tc>
        <w:tc>
          <w:tcPr>
            <w:tcW w:w="992" w:type="dxa"/>
          </w:tcPr>
          <w:p w14:paraId="517A76A8" w14:textId="38B996E3" w:rsidR="0059498A" w:rsidRPr="00E82626" w:rsidRDefault="0059498A" w:rsidP="0059498A">
            <w:pPr>
              <w:rPr>
                <w:rFonts w:cstheme="majorHAnsi"/>
              </w:rPr>
            </w:pPr>
            <w:r w:rsidRPr="00E82626">
              <w:rPr>
                <w:rFonts w:cstheme="majorHAnsi"/>
              </w:rPr>
              <w:t>-·20</w:t>
            </w:r>
          </w:p>
        </w:tc>
      </w:tr>
      <w:tr w:rsidR="0059498A" w:rsidRPr="00FE1BB8" w14:paraId="1C7A62CF" w14:textId="77777777" w:rsidTr="0059498A">
        <w:trPr>
          <w:trHeight w:val="345"/>
        </w:trPr>
        <w:tc>
          <w:tcPr>
            <w:tcW w:w="1276" w:type="dxa"/>
          </w:tcPr>
          <w:p w14:paraId="0DFF8DB3" w14:textId="6A9A8AA0" w:rsidR="0059498A" w:rsidRPr="00E82626" w:rsidRDefault="0059498A" w:rsidP="0059498A">
            <w:pPr>
              <w:rPr>
                <w:rFonts w:cstheme="majorHAnsi"/>
              </w:rPr>
            </w:pPr>
            <w:r w:rsidRPr="00E82626">
              <w:rPr>
                <w:rFonts w:cstheme="majorHAnsi"/>
              </w:rPr>
              <w:t>User</w:t>
            </w:r>
          </w:p>
        </w:tc>
        <w:tc>
          <w:tcPr>
            <w:tcW w:w="851" w:type="dxa"/>
          </w:tcPr>
          <w:p w14:paraId="1FEBBFE1" w14:textId="5DE1F233" w:rsidR="0059498A" w:rsidRPr="00E82626" w:rsidRDefault="0059498A" w:rsidP="0059498A">
            <w:pPr>
              <w:rPr>
                <w:rFonts w:cstheme="majorHAnsi"/>
              </w:rPr>
            </w:pPr>
            <w:r w:rsidRPr="00E82626">
              <w:rPr>
                <w:rFonts w:cstheme="majorHAnsi"/>
              </w:rPr>
              <w:t>1121</w:t>
            </w:r>
          </w:p>
        </w:tc>
        <w:tc>
          <w:tcPr>
            <w:tcW w:w="1417" w:type="dxa"/>
          </w:tcPr>
          <w:p w14:paraId="322CE8E4" w14:textId="40156645" w:rsidR="0059498A" w:rsidRPr="00E82626" w:rsidRDefault="0059498A" w:rsidP="0059498A">
            <w:pPr>
              <w:rPr>
                <w:rFonts w:cstheme="majorHAnsi"/>
              </w:rPr>
            </w:pPr>
            <w:r w:rsidRPr="00E82626">
              <w:rPr>
                <w:rFonts w:cstheme="majorHAnsi"/>
              </w:rPr>
              <w:t>3·06 (0·53)</w:t>
            </w:r>
          </w:p>
        </w:tc>
        <w:tc>
          <w:tcPr>
            <w:tcW w:w="2268" w:type="dxa"/>
          </w:tcPr>
          <w:p w14:paraId="7FEF379C" w14:textId="1EE7D9DA" w:rsidR="0059498A" w:rsidRPr="00E82626" w:rsidRDefault="0059498A" w:rsidP="0059498A">
            <w:pPr>
              <w:rPr>
                <w:rFonts w:cstheme="majorHAnsi"/>
              </w:rPr>
            </w:pPr>
          </w:p>
        </w:tc>
        <w:tc>
          <w:tcPr>
            <w:tcW w:w="851" w:type="dxa"/>
          </w:tcPr>
          <w:p w14:paraId="17355223" w14:textId="77777777" w:rsidR="0059498A" w:rsidRPr="00E82626" w:rsidRDefault="0059498A" w:rsidP="0059498A">
            <w:pPr>
              <w:rPr>
                <w:rFonts w:cstheme="majorHAnsi"/>
              </w:rPr>
            </w:pPr>
          </w:p>
        </w:tc>
        <w:tc>
          <w:tcPr>
            <w:tcW w:w="992" w:type="dxa"/>
          </w:tcPr>
          <w:p w14:paraId="739CC2EE" w14:textId="77777777" w:rsidR="0059498A" w:rsidRPr="00E82626" w:rsidRDefault="0059498A" w:rsidP="0059498A">
            <w:pPr>
              <w:rPr>
                <w:rFonts w:cstheme="majorHAnsi"/>
              </w:rPr>
            </w:pPr>
          </w:p>
        </w:tc>
        <w:tc>
          <w:tcPr>
            <w:tcW w:w="992" w:type="dxa"/>
          </w:tcPr>
          <w:p w14:paraId="5FEF29D5" w14:textId="77777777" w:rsidR="0059498A" w:rsidRPr="00E82626" w:rsidRDefault="0059498A" w:rsidP="0059498A">
            <w:pPr>
              <w:rPr>
                <w:rFonts w:cstheme="majorHAnsi"/>
              </w:rPr>
            </w:pPr>
          </w:p>
        </w:tc>
      </w:tr>
      <w:tr w:rsidR="00407098" w:rsidRPr="00FE1BB8" w14:paraId="590F47E1" w14:textId="77777777" w:rsidTr="00463357">
        <w:trPr>
          <w:trHeight w:val="316"/>
        </w:trPr>
        <w:tc>
          <w:tcPr>
            <w:tcW w:w="8647" w:type="dxa"/>
            <w:gridSpan w:val="7"/>
          </w:tcPr>
          <w:p w14:paraId="186AA1B3" w14:textId="1941436A" w:rsidR="00407098" w:rsidRPr="00E82626" w:rsidRDefault="00407098" w:rsidP="0059498A">
            <w:pPr>
              <w:rPr>
                <w:rFonts w:cstheme="majorHAnsi"/>
              </w:rPr>
            </w:pPr>
            <w:r w:rsidRPr="00E82626">
              <w:rPr>
                <w:rFonts w:cstheme="majorHAnsi"/>
                <w:b/>
                <w:bCs/>
              </w:rPr>
              <w:t xml:space="preserve">eHLQ3:  </w:t>
            </w:r>
            <w:r w:rsidRPr="00E82626">
              <w:rPr>
                <w:rStyle w:val="cf01"/>
                <w:rFonts w:asciiTheme="minorHAnsi" w:hAnsiTheme="minorHAnsi" w:cstheme="majorHAnsi"/>
                <w:sz w:val="24"/>
                <w:szCs w:val="24"/>
              </w:rPr>
              <w:t>ability to actively engage with digital services</w:t>
            </w:r>
          </w:p>
        </w:tc>
      </w:tr>
      <w:tr w:rsidR="0059498A" w:rsidRPr="00FE1BB8" w14:paraId="353E1200" w14:textId="77777777" w:rsidTr="0059498A">
        <w:trPr>
          <w:trHeight w:val="279"/>
        </w:trPr>
        <w:tc>
          <w:tcPr>
            <w:tcW w:w="1276" w:type="dxa"/>
          </w:tcPr>
          <w:p w14:paraId="3E8ED74D" w14:textId="45FF6BBB" w:rsidR="0059498A" w:rsidRPr="00E82626" w:rsidRDefault="0059498A" w:rsidP="0059498A">
            <w:pPr>
              <w:rPr>
                <w:rFonts w:cstheme="majorHAnsi"/>
              </w:rPr>
            </w:pPr>
            <w:r w:rsidRPr="00E82626">
              <w:rPr>
                <w:rFonts w:cstheme="majorHAnsi"/>
              </w:rPr>
              <w:t>Non-user</w:t>
            </w:r>
          </w:p>
        </w:tc>
        <w:tc>
          <w:tcPr>
            <w:tcW w:w="851" w:type="dxa"/>
          </w:tcPr>
          <w:p w14:paraId="08E667E3" w14:textId="04A230BC" w:rsidR="0059498A" w:rsidRPr="00E82626" w:rsidRDefault="0059498A" w:rsidP="0059498A">
            <w:pPr>
              <w:rPr>
                <w:rFonts w:cstheme="majorHAnsi"/>
              </w:rPr>
            </w:pPr>
            <w:r w:rsidRPr="00E82626">
              <w:rPr>
                <w:rFonts w:cstheme="majorHAnsi"/>
              </w:rPr>
              <w:t>1590</w:t>
            </w:r>
          </w:p>
        </w:tc>
        <w:tc>
          <w:tcPr>
            <w:tcW w:w="1417" w:type="dxa"/>
          </w:tcPr>
          <w:p w14:paraId="0A2C2AD0" w14:textId="32D95532" w:rsidR="0059498A" w:rsidRPr="00E82626" w:rsidRDefault="0059498A" w:rsidP="0059498A">
            <w:pPr>
              <w:rPr>
                <w:rFonts w:cstheme="majorHAnsi"/>
              </w:rPr>
            </w:pPr>
            <w:r w:rsidRPr="00E82626">
              <w:rPr>
                <w:rFonts w:cstheme="majorHAnsi"/>
              </w:rPr>
              <w:t>2·91 (0·67)</w:t>
            </w:r>
          </w:p>
        </w:tc>
        <w:tc>
          <w:tcPr>
            <w:tcW w:w="2268" w:type="dxa"/>
          </w:tcPr>
          <w:p w14:paraId="5B731BA4" w14:textId="7C8144D9" w:rsidR="0059498A" w:rsidRPr="00E82626" w:rsidRDefault="0059498A" w:rsidP="0059498A">
            <w:pPr>
              <w:rPr>
                <w:rFonts w:cstheme="majorHAnsi"/>
              </w:rPr>
            </w:pPr>
            <w:r w:rsidRPr="00E82626">
              <w:rPr>
                <w:rFonts w:cstheme="majorHAnsi"/>
              </w:rPr>
              <w:t>-·24 (-·29 to -·19)</w:t>
            </w:r>
          </w:p>
        </w:tc>
        <w:tc>
          <w:tcPr>
            <w:tcW w:w="851" w:type="dxa"/>
          </w:tcPr>
          <w:p w14:paraId="69F8579D" w14:textId="063B3B36" w:rsidR="0059498A" w:rsidRPr="00E82626" w:rsidRDefault="0059498A" w:rsidP="0059498A">
            <w:pPr>
              <w:rPr>
                <w:rFonts w:cstheme="majorHAnsi"/>
              </w:rPr>
            </w:pPr>
            <w:r w:rsidRPr="00E82626">
              <w:rPr>
                <w:rFonts w:cstheme="majorHAnsi"/>
              </w:rPr>
              <w:t>-9·70</w:t>
            </w:r>
          </w:p>
        </w:tc>
        <w:tc>
          <w:tcPr>
            <w:tcW w:w="992" w:type="dxa"/>
          </w:tcPr>
          <w:p w14:paraId="77461798" w14:textId="295B3C31" w:rsidR="0059498A" w:rsidRPr="00E82626" w:rsidRDefault="0059498A" w:rsidP="0059498A">
            <w:pPr>
              <w:rPr>
                <w:rFonts w:cstheme="majorHAnsi"/>
              </w:rPr>
            </w:pPr>
            <w:r w:rsidRPr="00E82626">
              <w:rPr>
                <w:rFonts w:cstheme="majorHAnsi"/>
              </w:rPr>
              <w:t>&lt;·001</w:t>
            </w:r>
          </w:p>
        </w:tc>
        <w:tc>
          <w:tcPr>
            <w:tcW w:w="992" w:type="dxa"/>
          </w:tcPr>
          <w:p w14:paraId="57042232" w14:textId="2C20F8C5" w:rsidR="0059498A" w:rsidRPr="00E82626" w:rsidRDefault="0059498A" w:rsidP="0059498A">
            <w:pPr>
              <w:rPr>
                <w:rFonts w:cstheme="majorHAnsi"/>
              </w:rPr>
            </w:pPr>
            <w:r w:rsidRPr="00E82626">
              <w:rPr>
                <w:rFonts w:cstheme="majorHAnsi"/>
              </w:rPr>
              <w:t>-·38</w:t>
            </w:r>
          </w:p>
        </w:tc>
      </w:tr>
      <w:tr w:rsidR="0059498A" w:rsidRPr="00FE1BB8" w14:paraId="115E5D42" w14:textId="77777777" w:rsidTr="0059498A">
        <w:trPr>
          <w:trHeight w:val="237"/>
        </w:trPr>
        <w:tc>
          <w:tcPr>
            <w:tcW w:w="1276" w:type="dxa"/>
          </w:tcPr>
          <w:p w14:paraId="3A4572E8" w14:textId="4E3AC372" w:rsidR="0059498A" w:rsidRPr="00E82626" w:rsidRDefault="0059498A" w:rsidP="0059498A">
            <w:pPr>
              <w:rPr>
                <w:rFonts w:cstheme="majorHAnsi"/>
              </w:rPr>
            </w:pPr>
            <w:r w:rsidRPr="00E82626">
              <w:rPr>
                <w:rFonts w:cstheme="majorHAnsi"/>
              </w:rPr>
              <w:t>User</w:t>
            </w:r>
          </w:p>
        </w:tc>
        <w:tc>
          <w:tcPr>
            <w:tcW w:w="851" w:type="dxa"/>
          </w:tcPr>
          <w:p w14:paraId="155604E7" w14:textId="454FB8B2" w:rsidR="0059498A" w:rsidRPr="00E82626" w:rsidRDefault="0059498A" w:rsidP="0059498A">
            <w:pPr>
              <w:rPr>
                <w:rFonts w:cstheme="majorHAnsi"/>
              </w:rPr>
            </w:pPr>
            <w:r w:rsidRPr="00E82626">
              <w:rPr>
                <w:rFonts w:cstheme="majorHAnsi"/>
              </w:rPr>
              <w:t>1124</w:t>
            </w:r>
          </w:p>
        </w:tc>
        <w:tc>
          <w:tcPr>
            <w:tcW w:w="1417" w:type="dxa"/>
          </w:tcPr>
          <w:p w14:paraId="2006C47F" w14:textId="1E6D543E" w:rsidR="0059498A" w:rsidRPr="00E82626" w:rsidRDefault="0059498A" w:rsidP="0059498A">
            <w:pPr>
              <w:rPr>
                <w:rFonts w:cstheme="majorHAnsi"/>
              </w:rPr>
            </w:pPr>
            <w:r w:rsidRPr="00E82626">
              <w:rPr>
                <w:rFonts w:cstheme="majorHAnsi"/>
              </w:rPr>
              <w:t>3·15 (0·62)</w:t>
            </w:r>
          </w:p>
        </w:tc>
        <w:tc>
          <w:tcPr>
            <w:tcW w:w="2268" w:type="dxa"/>
          </w:tcPr>
          <w:p w14:paraId="3EAD06EA" w14:textId="3F97305A" w:rsidR="0059498A" w:rsidRPr="00E82626" w:rsidRDefault="0059498A" w:rsidP="0059498A">
            <w:pPr>
              <w:rPr>
                <w:rFonts w:cstheme="majorHAnsi"/>
              </w:rPr>
            </w:pPr>
          </w:p>
        </w:tc>
        <w:tc>
          <w:tcPr>
            <w:tcW w:w="851" w:type="dxa"/>
          </w:tcPr>
          <w:p w14:paraId="0EEF237D" w14:textId="77777777" w:rsidR="0059498A" w:rsidRPr="00E82626" w:rsidRDefault="0059498A" w:rsidP="0059498A">
            <w:pPr>
              <w:rPr>
                <w:rFonts w:cstheme="majorHAnsi"/>
              </w:rPr>
            </w:pPr>
          </w:p>
        </w:tc>
        <w:tc>
          <w:tcPr>
            <w:tcW w:w="992" w:type="dxa"/>
          </w:tcPr>
          <w:p w14:paraId="07313C25" w14:textId="77777777" w:rsidR="0059498A" w:rsidRPr="00E82626" w:rsidRDefault="0059498A" w:rsidP="0059498A">
            <w:pPr>
              <w:rPr>
                <w:rFonts w:cstheme="majorHAnsi"/>
              </w:rPr>
            </w:pPr>
          </w:p>
        </w:tc>
        <w:tc>
          <w:tcPr>
            <w:tcW w:w="992" w:type="dxa"/>
          </w:tcPr>
          <w:p w14:paraId="06DD00BB" w14:textId="77777777" w:rsidR="0059498A" w:rsidRPr="00E82626" w:rsidRDefault="0059498A" w:rsidP="0059498A">
            <w:pPr>
              <w:rPr>
                <w:rFonts w:cstheme="majorHAnsi"/>
              </w:rPr>
            </w:pPr>
          </w:p>
        </w:tc>
      </w:tr>
      <w:tr w:rsidR="00407098" w:rsidRPr="00FE1BB8" w14:paraId="7D043FA6" w14:textId="77777777" w:rsidTr="008C4229">
        <w:trPr>
          <w:trHeight w:val="205"/>
        </w:trPr>
        <w:tc>
          <w:tcPr>
            <w:tcW w:w="8647" w:type="dxa"/>
            <w:gridSpan w:val="7"/>
          </w:tcPr>
          <w:p w14:paraId="3874BF1C" w14:textId="515649BF" w:rsidR="00407098" w:rsidRPr="00E82626" w:rsidRDefault="00407098" w:rsidP="0059498A">
            <w:pPr>
              <w:rPr>
                <w:rFonts w:cstheme="majorHAnsi"/>
              </w:rPr>
            </w:pPr>
            <w:r w:rsidRPr="00E82626">
              <w:rPr>
                <w:rFonts w:cstheme="majorHAnsi"/>
                <w:b/>
                <w:bCs/>
              </w:rPr>
              <w:t xml:space="preserve">eHLQ4: </w:t>
            </w:r>
            <w:r w:rsidRPr="00E82626">
              <w:rPr>
                <w:rStyle w:val="cf01"/>
                <w:rFonts w:asciiTheme="minorHAnsi" w:hAnsiTheme="minorHAnsi" w:cstheme="majorHAnsi"/>
                <w:sz w:val="24"/>
                <w:szCs w:val="24"/>
              </w:rPr>
              <w:t>feel safe and in control</w:t>
            </w:r>
          </w:p>
        </w:tc>
      </w:tr>
      <w:tr w:rsidR="0059498A" w14:paraId="4D1D096A" w14:textId="77777777" w:rsidTr="0059498A">
        <w:trPr>
          <w:trHeight w:val="285"/>
        </w:trPr>
        <w:tc>
          <w:tcPr>
            <w:tcW w:w="1276" w:type="dxa"/>
          </w:tcPr>
          <w:p w14:paraId="270AB1FA" w14:textId="1FAF3B8C" w:rsidR="0059498A" w:rsidRPr="00E82626" w:rsidRDefault="0059498A" w:rsidP="0059498A">
            <w:pPr>
              <w:rPr>
                <w:rFonts w:cstheme="majorHAnsi"/>
              </w:rPr>
            </w:pPr>
            <w:r w:rsidRPr="00E82626">
              <w:rPr>
                <w:rFonts w:cstheme="majorHAnsi"/>
              </w:rPr>
              <w:t>Non-user</w:t>
            </w:r>
          </w:p>
        </w:tc>
        <w:tc>
          <w:tcPr>
            <w:tcW w:w="851" w:type="dxa"/>
          </w:tcPr>
          <w:p w14:paraId="605A823C" w14:textId="1AC67F02" w:rsidR="0059498A" w:rsidRPr="00E82626" w:rsidRDefault="0059498A" w:rsidP="0059498A">
            <w:pPr>
              <w:rPr>
                <w:rFonts w:cstheme="majorHAnsi"/>
              </w:rPr>
            </w:pPr>
            <w:r w:rsidRPr="00E82626">
              <w:rPr>
                <w:rFonts w:cstheme="majorHAnsi"/>
              </w:rPr>
              <w:t>1574</w:t>
            </w:r>
          </w:p>
        </w:tc>
        <w:tc>
          <w:tcPr>
            <w:tcW w:w="1417" w:type="dxa"/>
          </w:tcPr>
          <w:p w14:paraId="0B431D67" w14:textId="4C033928" w:rsidR="0059498A" w:rsidRPr="00E82626" w:rsidRDefault="0059498A" w:rsidP="0059498A">
            <w:pPr>
              <w:rPr>
                <w:rFonts w:cstheme="majorHAnsi"/>
              </w:rPr>
            </w:pPr>
            <w:r w:rsidRPr="00E82626">
              <w:rPr>
                <w:rFonts w:cstheme="majorHAnsi"/>
              </w:rPr>
              <w:t>2·96 (0·58)</w:t>
            </w:r>
          </w:p>
        </w:tc>
        <w:tc>
          <w:tcPr>
            <w:tcW w:w="2268" w:type="dxa"/>
          </w:tcPr>
          <w:p w14:paraId="28CBB796" w14:textId="32B49B4F" w:rsidR="0059498A" w:rsidRPr="00E82626" w:rsidRDefault="0059498A" w:rsidP="0059498A">
            <w:pPr>
              <w:rPr>
                <w:rFonts w:cstheme="majorHAnsi"/>
              </w:rPr>
            </w:pPr>
            <w:r w:rsidRPr="00E82626">
              <w:rPr>
                <w:rFonts w:cstheme="majorHAnsi"/>
              </w:rPr>
              <w:t>·003 (-·04 to ·05)</w:t>
            </w:r>
          </w:p>
        </w:tc>
        <w:tc>
          <w:tcPr>
            <w:tcW w:w="851" w:type="dxa"/>
          </w:tcPr>
          <w:p w14:paraId="2A4EADB1" w14:textId="55B6EF21" w:rsidR="0059498A" w:rsidRPr="00E82626" w:rsidRDefault="0059498A" w:rsidP="0059498A">
            <w:pPr>
              <w:rPr>
                <w:rFonts w:cstheme="majorHAnsi"/>
              </w:rPr>
            </w:pPr>
            <w:r w:rsidRPr="00E82626">
              <w:rPr>
                <w:rFonts w:cstheme="majorHAnsi"/>
              </w:rPr>
              <w:t>0·14</w:t>
            </w:r>
          </w:p>
        </w:tc>
        <w:tc>
          <w:tcPr>
            <w:tcW w:w="992" w:type="dxa"/>
          </w:tcPr>
          <w:p w14:paraId="276A1B9F" w14:textId="66009F20" w:rsidR="0059498A" w:rsidRPr="00E82626" w:rsidRDefault="0059498A" w:rsidP="0059498A">
            <w:pPr>
              <w:rPr>
                <w:rFonts w:cstheme="majorHAnsi"/>
              </w:rPr>
            </w:pPr>
            <w:r w:rsidRPr="00E82626">
              <w:rPr>
                <w:rFonts w:cstheme="majorHAnsi"/>
              </w:rPr>
              <w:t>0·89</w:t>
            </w:r>
          </w:p>
        </w:tc>
        <w:tc>
          <w:tcPr>
            <w:tcW w:w="992" w:type="dxa"/>
          </w:tcPr>
          <w:p w14:paraId="2CB25EB5" w14:textId="40E57C2C" w:rsidR="0059498A" w:rsidRPr="00E82626" w:rsidRDefault="0059498A" w:rsidP="0059498A">
            <w:pPr>
              <w:rPr>
                <w:rFonts w:cstheme="majorHAnsi"/>
              </w:rPr>
            </w:pPr>
            <w:r w:rsidRPr="00E82626">
              <w:rPr>
                <w:rFonts w:cstheme="majorHAnsi"/>
              </w:rPr>
              <w:t>·01</w:t>
            </w:r>
          </w:p>
        </w:tc>
      </w:tr>
      <w:tr w:rsidR="0059498A" w14:paraId="757C97F3" w14:textId="77777777" w:rsidTr="0059498A">
        <w:trPr>
          <w:trHeight w:val="285"/>
        </w:trPr>
        <w:tc>
          <w:tcPr>
            <w:tcW w:w="1276" w:type="dxa"/>
          </w:tcPr>
          <w:p w14:paraId="08DCC313" w14:textId="208C27E7" w:rsidR="0059498A" w:rsidRPr="00E82626" w:rsidRDefault="0059498A" w:rsidP="0059498A">
            <w:pPr>
              <w:rPr>
                <w:rFonts w:cstheme="majorHAnsi"/>
              </w:rPr>
            </w:pPr>
            <w:r w:rsidRPr="00E82626">
              <w:rPr>
                <w:rFonts w:cstheme="majorHAnsi"/>
              </w:rPr>
              <w:t>User</w:t>
            </w:r>
          </w:p>
        </w:tc>
        <w:tc>
          <w:tcPr>
            <w:tcW w:w="851" w:type="dxa"/>
          </w:tcPr>
          <w:p w14:paraId="18346DB9" w14:textId="3ED96CE4" w:rsidR="0059498A" w:rsidRPr="00E82626" w:rsidRDefault="0059498A" w:rsidP="0059498A">
            <w:pPr>
              <w:rPr>
                <w:rFonts w:cstheme="majorHAnsi"/>
              </w:rPr>
            </w:pPr>
            <w:r w:rsidRPr="00E82626">
              <w:rPr>
                <w:rFonts w:cstheme="majorHAnsi"/>
              </w:rPr>
              <w:t>1114</w:t>
            </w:r>
          </w:p>
        </w:tc>
        <w:tc>
          <w:tcPr>
            <w:tcW w:w="1417" w:type="dxa"/>
          </w:tcPr>
          <w:p w14:paraId="2E620011" w14:textId="3633368E" w:rsidR="0059498A" w:rsidRPr="00E82626" w:rsidRDefault="0059498A" w:rsidP="0059498A">
            <w:pPr>
              <w:rPr>
                <w:rFonts w:cstheme="majorHAnsi"/>
              </w:rPr>
            </w:pPr>
            <w:r w:rsidRPr="00E82626">
              <w:rPr>
                <w:rFonts w:cstheme="majorHAnsi"/>
              </w:rPr>
              <w:t>2·95 (0·66)</w:t>
            </w:r>
          </w:p>
        </w:tc>
        <w:tc>
          <w:tcPr>
            <w:tcW w:w="2268" w:type="dxa"/>
          </w:tcPr>
          <w:p w14:paraId="00A945F3" w14:textId="77777777" w:rsidR="0059498A" w:rsidRPr="00E82626" w:rsidRDefault="0059498A" w:rsidP="0059498A">
            <w:pPr>
              <w:rPr>
                <w:rFonts w:cstheme="majorHAnsi"/>
              </w:rPr>
            </w:pPr>
          </w:p>
        </w:tc>
        <w:tc>
          <w:tcPr>
            <w:tcW w:w="851" w:type="dxa"/>
          </w:tcPr>
          <w:p w14:paraId="78ED3079" w14:textId="77777777" w:rsidR="0059498A" w:rsidRPr="00E82626" w:rsidRDefault="0059498A" w:rsidP="0059498A">
            <w:pPr>
              <w:rPr>
                <w:rFonts w:cstheme="majorHAnsi"/>
              </w:rPr>
            </w:pPr>
          </w:p>
        </w:tc>
        <w:tc>
          <w:tcPr>
            <w:tcW w:w="992" w:type="dxa"/>
          </w:tcPr>
          <w:p w14:paraId="3E6990D0" w14:textId="77777777" w:rsidR="0059498A" w:rsidRPr="00E82626" w:rsidRDefault="0059498A" w:rsidP="0059498A">
            <w:pPr>
              <w:rPr>
                <w:rFonts w:cstheme="majorHAnsi"/>
              </w:rPr>
            </w:pPr>
          </w:p>
        </w:tc>
        <w:tc>
          <w:tcPr>
            <w:tcW w:w="992" w:type="dxa"/>
          </w:tcPr>
          <w:p w14:paraId="72E54E81" w14:textId="77777777" w:rsidR="0059498A" w:rsidRPr="00E82626" w:rsidRDefault="0059498A" w:rsidP="0059498A">
            <w:pPr>
              <w:rPr>
                <w:rFonts w:cstheme="majorHAnsi"/>
              </w:rPr>
            </w:pPr>
          </w:p>
        </w:tc>
      </w:tr>
      <w:tr w:rsidR="00407098" w:rsidRPr="00FE1BB8" w14:paraId="64942AD7" w14:textId="77777777" w:rsidTr="00653966">
        <w:trPr>
          <w:trHeight w:val="325"/>
        </w:trPr>
        <w:tc>
          <w:tcPr>
            <w:tcW w:w="8647" w:type="dxa"/>
            <w:gridSpan w:val="7"/>
          </w:tcPr>
          <w:p w14:paraId="43FFC0CD" w14:textId="53B39A23" w:rsidR="00407098" w:rsidRPr="00E82626" w:rsidRDefault="00407098" w:rsidP="0059498A">
            <w:pPr>
              <w:rPr>
                <w:rFonts w:cstheme="majorHAnsi"/>
              </w:rPr>
            </w:pPr>
            <w:r w:rsidRPr="00E82626">
              <w:rPr>
                <w:rFonts w:cstheme="majorHAnsi"/>
                <w:b/>
                <w:bCs/>
              </w:rPr>
              <w:t xml:space="preserve">eHLQ5: </w:t>
            </w:r>
            <w:r w:rsidRPr="00E82626">
              <w:rPr>
                <w:rStyle w:val="cf01"/>
                <w:rFonts w:asciiTheme="minorHAnsi" w:hAnsiTheme="minorHAnsi" w:cstheme="majorHAnsi"/>
                <w:sz w:val="24"/>
                <w:szCs w:val="24"/>
              </w:rPr>
              <w:t>motivated to engage with digital services</w:t>
            </w:r>
          </w:p>
        </w:tc>
      </w:tr>
      <w:tr w:rsidR="0059498A" w:rsidRPr="00FE1BB8" w14:paraId="3DA19B81" w14:textId="77777777" w:rsidTr="0059498A">
        <w:trPr>
          <w:trHeight w:val="272"/>
        </w:trPr>
        <w:tc>
          <w:tcPr>
            <w:tcW w:w="1276" w:type="dxa"/>
          </w:tcPr>
          <w:p w14:paraId="24C7DA67" w14:textId="47C999B9" w:rsidR="0059498A" w:rsidRPr="00E82626" w:rsidRDefault="0059498A" w:rsidP="0059498A">
            <w:pPr>
              <w:rPr>
                <w:rFonts w:cstheme="majorHAnsi"/>
                <w:b/>
                <w:bCs/>
              </w:rPr>
            </w:pPr>
            <w:r w:rsidRPr="00E82626">
              <w:rPr>
                <w:rFonts w:cstheme="majorHAnsi"/>
              </w:rPr>
              <w:t>Non-use</w:t>
            </w:r>
          </w:p>
        </w:tc>
        <w:tc>
          <w:tcPr>
            <w:tcW w:w="851" w:type="dxa"/>
          </w:tcPr>
          <w:p w14:paraId="2212642E" w14:textId="43B37E59" w:rsidR="0059498A" w:rsidRPr="00E82626" w:rsidRDefault="0059498A" w:rsidP="0059498A">
            <w:pPr>
              <w:rPr>
                <w:rFonts w:cstheme="majorHAnsi"/>
              </w:rPr>
            </w:pPr>
            <w:r w:rsidRPr="00E82626">
              <w:rPr>
                <w:rFonts w:cstheme="majorHAnsi"/>
              </w:rPr>
              <w:t>1552</w:t>
            </w:r>
          </w:p>
        </w:tc>
        <w:tc>
          <w:tcPr>
            <w:tcW w:w="1417" w:type="dxa"/>
          </w:tcPr>
          <w:p w14:paraId="369A0C7B" w14:textId="461B674C" w:rsidR="0059498A" w:rsidRPr="00E82626" w:rsidRDefault="0059498A" w:rsidP="0059498A">
            <w:pPr>
              <w:rPr>
                <w:rFonts w:cstheme="majorHAnsi"/>
              </w:rPr>
            </w:pPr>
            <w:r w:rsidRPr="00E82626">
              <w:rPr>
                <w:rFonts w:cstheme="majorHAnsi"/>
              </w:rPr>
              <w:t>2·51 (0·62)</w:t>
            </w:r>
          </w:p>
        </w:tc>
        <w:tc>
          <w:tcPr>
            <w:tcW w:w="2268" w:type="dxa"/>
          </w:tcPr>
          <w:p w14:paraId="4EDDA75F" w14:textId="2456986A" w:rsidR="0059498A" w:rsidRPr="00E82626" w:rsidRDefault="0059498A" w:rsidP="0059498A">
            <w:pPr>
              <w:rPr>
                <w:rFonts w:cstheme="majorHAnsi"/>
              </w:rPr>
            </w:pPr>
            <w:r w:rsidRPr="00E82626">
              <w:rPr>
                <w:rFonts w:cstheme="majorHAnsi"/>
              </w:rPr>
              <w:t>-·17 (·03 to -·22)</w:t>
            </w:r>
          </w:p>
        </w:tc>
        <w:tc>
          <w:tcPr>
            <w:tcW w:w="851" w:type="dxa"/>
          </w:tcPr>
          <w:p w14:paraId="286AB570" w14:textId="2921F120" w:rsidR="0059498A" w:rsidRPr="00E82626" w:rsidRDefault="0059498A" w:rsidP="0059498A">
            <w:pPr>
              <w:rPr>
                <w:rFonts w:cstheme="majorHAnsi"/>
              </w:rPr>
            </w:pPr>
            <w:r w:rsidRPr="00E82626">
              <w:rPr>
                <w:rFonts w:cstheme="majorHAnsi"/>
              </w:rPr>
              <w:t>-6·80</w:t>
            </w:r>
          </w:p>
        </w:tc>
        <w:tc>
          <w:tcPr>
            <w:tcW w:w="992" w:type="dxa"/>
          </w:tcPr>
          <w:p w14:paraId="20BF5FEF" w14:textId="162C3191" w:rsidR="0059498A" w:rsidRPr="00E82626" w:rsidRDefault="0059498A" w:rsidP="0059498A">
            <w:pPr>
              <w:rPr>
                <w:rFonts w:cstheme="majorHAnsi"/>
              </w:rPr>
            </w:pPr>
            <w:r w:rsidRPr="00E82626">
              <w:rPr>
                <w:rFonts w:cstheme="majorHAnsi"/>
              </w:rPr>
              <w:t>&lt;·001</w:t>
            </w:r>
          </w:p>
        </w:tc>
        <w:tc>
          <w:tcPr>
            <w:tcW w:w="992" w:type="dxa"/>
          </w:tcPr>
          <w:p w14:paraId="68D009EC" w14:textId="38765274" w:rsidR="0059498A" w:rsidRPr="00E82626" w:rsidRDefault="0059498A" w:rsidP="0059498A">
            <w:pPr>
              <w:rPr>
                <w:rFonts w:cstheme="majorHAnsi"/>
              </w:rPr>
            </w:pPr>
            <w:r w:rsidRPr="00E82626">
              <w:rPr>
                <w:rFonts w:cstheme="majorHAnsi"/>
              </w:rPr>
              <w:t>-0·27</w:t>
            </w:r>
          </w:p>
        </w:tc>
      </w:tr>
      <w:tr w:rsidR="0059498A" w:rsidRPr="00FE1BB8" w14:paraId="5D47FF87" w14:textId="77777777" w:rsidTr="0059498A">
        <w:trPr>
          <w:trHeight w:val="315"/>
        </w:trPr>
        <w:tc>
          <w:tcPr>
            <w:tcW w:w="1276" w:type="dxa"/>
          </w:tcPr>
          <w:p w14:paraId="233C54FF" w14:textId="7A7196AF" w:rsidR="0059498A" w:rsidRPr="00E82626" w:rsidRDefault="0059498A" w:rsidP="0059498A">
            <w:pPr>
              <w:rPr>
                <w:rFonts w:cstheme="majorHAnsi"/>
              </w:rPr>
            </w:pPr>
            <w:r w:rsidRPr="00E82626">
              <w:rPr>
                <w:rFonts w:cstheme="majorHAnsi"/>
              </w:rPr>
              <w:t>Use</w:t>
            </w:r>
          </w:p>
        </w:tc>
        <w:tc>
          <w:tcPr>
            <w:tcW w:w="851" w:type="dxa"/>
          </w:tcPr>
          <w:p w14:paraId="5C957AC6" w14:textId="1C7B6CDD" w:rsidR="0059498A" w:rsidRPr="00E82626" w:rsidRDefault="0059498A" w:rsidP="0059498A">
            <w:pPr>
              <w:rPr>
                <w:rFonts w:cstheme="majorHAnsi"/>
              </w:rPr>
            </w:pPr>
            <w:r w:rsidRPr="00E82626">
              <w:rPr>
                <w:rFonts w:cstheme="majorHAnsi"/>
              </w:rPr>
              <w:t>1110</w:t>
            </w:r>
          </w:p>
        </w:tc>
        <w:tc>
          <w:tcPr>
            <w:tcW w:w="1417" w:type="dxa"/>
          </w:tcPr>
          <w:p w14:paraId="6D93EA59" w14:textId="460C0FEF" w:rsidR="0059498A" w:rsidRPr="00E82626" w:rsidRDefault="0059498A" w:rsidP="0059498A">
            <w:pPr>
              <w:rPr>
                <w:rFonts w:cstheme="majorHAnsi"/>
              </w:rPr>
            </w:pPr>
            <w:r w:rsidRPr="00E82626">
              <w:rPr>
                <w:rFonts w:cstheme="majorHAnsi"/>
              </w:rPr>
              <w:t>2·68 (0·63)</w:t>
            </w:r>
          </w:p>
        </w:tc>
        <w:tc>
          <w:tcPr>
            <w:tcW w:w="2268" w:type="dxa"/>
          </w:tcPr>
          <w:p w14:paraId="5E92522A" w14:textId="33F39C85" w:rsidR="0059498A" w:rsidRPr="00E82626" w:rsidRDefault="0059498A" w:rsidP="0059498A">
            <w:pPr>
              <w:rPr>
                <w:rFonts w:cstheme="majorHAnsi"/>
              </w:rPr>
            </w:pPr>
          </w:p>
        </w:tc>
        <w:tc>
          <w:tcPr>
            <w:tcW w:w="851" w:type="dxa"/>
          </w:tcPr>
          <w:p w14:paraId="2E66FC96" w14:textId="77777777" w:rsidR="0059498A" w:rsidRPr="00E82626" w:rsidRDefault="0059498A" w:rsidP="0059498A">
            <w:pPr>
              <w:rPr>
                <w:rFonts w:cstheme="majorHAnsi"/>
              </w:rPr>
            </w:pPr>
          </w:p>
        </w:tc>
        <w:tc>
          <w:tcPr>
            <w:tcW w:w="992" w:type="dxa"/>
          </w:tcPr>
          <w:p w14:paraId="3FF4CC7A" w14:textId="77777777" w:rsidR="0059498A" w:rsidRPr="00E82626" w:rsidRDefault="0059498A" w:rsidP="0059498A">
            <w:pPr>
              <w:rPr>
                <w:rFonts w:cstheme="majorHAnsi"/>
              </w:rPr>
            </w:pPr>
          </w:p>
        </w:tc>
        <w:tc>
          <w:tcPr>
            <w:tcW w:w="992" w:type="dxa"/>
          </w:tcPr>
          <w:p w14:paraId="2D5530D3" w14:textId="77777777" w:rsidR="0059498A" w:rsidRPr="00E82626" w:rsidRDefault="0059498A" w:rsidP="0059498A">
            <w:pPr>
              <w:rPr>
                <w:rFonts w:cstheme="majorHAnsi"/>
              </w:rPr>
            </w:pPr>
          </w:p>
        </w:tc>
      </w:tr>
      <w:tr w:rsidR="00407098" w:rsidRPr="00FE1BB8" w14:paraId="5A180B1F" w14:textId="77777777" w:rsidTr="00251FDF">
        <w:trPr>
          <w:trHeight w:val="279"/>
        </w:trPr>
        <w:tc>
          <w:tcPr>
            <w:tcW w:w="8647" w:type="dxa"/>
            <w:gridSpan w:val="7"/>
          </w:tcPr>
          <w:p w14:paraId="4BCACBAA" w14:textId="269324ED" w:rsidR="00407098" w:rsidRPr="00E82626" w:rsidRDefault="00407098" w:rsidP="0059498A">
            <w:pPr>
              <w:rPr>
                <w:rFonts w:cstheme="majorHAnsi"/>
              </w:rPr>
            </w:pPr>
            <w:r w:rsidRPr="00E82626">
              <w:rPr>
                <w:rFonts w:cstheme="majorHAnsi"/>
                <w:b/>
                <w:bCs/>
              </w:rPr>
              <w:t xml:space="preserve">eHLQ6: </w:t>
            </w:r>
            <w:r w:rsidRPr="00E82626">
              <w:rPr>
                <w:rStyle w:val="cf01"/>
                <w:rFonts w:asciiTheme="minorHAnsi" w:hAnsiTheme="minorHAnsi" w:cstheme="majorHAnsi"/>
                <w:sz w:val="24"/>
                <w:szCs w:val="24"/>
              </w:rPr>
              <w:t>access to digital services that work</w:t>
            </w:r>
          </w:p>
        </w:tc>
      </w:tr>
      <w:tr w:rsidR="0059498A" w:rsidRPr="00FE1BB8" w14:paraId="0AFA291A" w14:textId="77777777" w:rsidTr="0059498A">
        <w:trPr>
          <w:trHeight w:val="349"/>
        </w:trPr>
        <w:tc>
          <w:tcPr>
            <w:tcW w:w="1276" w:type="dxa"/>
          </w:tcPr>
          <w:p w14:paraId="676F7C86" w14:textId="49E4D6A4" w:rsidR="0059498A" w:rsidRPr="00E82626" w:rsidRDefault="0059498A" w:rsidP="0059498A">
            <w:pPr>
              <w:rPr>
                <w:rFonts w:cstheme="majorHAnsi"/>
              </w:rPr>
            </w:pPr>
            <w:r w:rsidRPr="00E82626">
              <w:rPr>
                <w:rFonts w:cstheme="majorHAnsi"/>
              </w:rPr>
              <w:t>Non-use</w:t>
            </w:r>
          </w:p>
        </w:tc>
        <w:tc>
          <w:tcPr>
            <w:tcW w:w="851" w:type="dxa"/>
          </w:tcPr>
          <w:p w14:paraId="3B091FD5" w14:textId="16605F00" w:rsidR="0059498A" w:rsidRPr="00E82626" w:rsidRDefault="0059498A" w:rsidP="0059498A">
            <w:pPr>
              <w:rPr>
                <w:rFonts w:cstheme="majorHAnsi"/>
              </w:rPr>
            </w:pPr>
            <w:r w:rsidRPr="00E82626">
              <w:rPr>
                <w:rFonts w:cstheme="majorHAnsi"/>
              </w:rPr>
              <w:t>1598</w:t>
            </w:r>
          </w:p>
        </w:tc>
        <w:tc>
          <w:tcPr>
            <w:tcW w:w="1417" w:type="dxa"/>
          </w:tcPr>
          <w:p w14:paraId="68171195" w14:textId="66F4649F" w:rsidR="0059498A" w:rsidRPr="00E82626" w:rsidRDefault="0059498A" w:rsidP="0059498A">
            <w:pPr>
              <w:rPr>
                <w:rFonts w:cstheme="majorHAnsi"/>
              </w:rPr>
            </w:pPr>
            <w:r w:rsidRPr="00E82626">
              <w:rPr>
                <w:rFonts w:cstheme="majorHAnsi"/>
              </w:rPr>
              <w:t>2·71 (0·57)</w:t>
            </w:r>
          </w:p>
        </w:tc>
        <w:tc>
          <w:tcPr>
            <w:tcW w:w="2268" w:type="dxa"/>
          </w:tcPr>
          <w:p w14:paraId="580A6DD9" w14:textId="0F0D919D" w:rsidR="0059498A" w:rsidRPr="00E82626" w:rsidRDefault="0059498A" w:rsidP="0059498A">
            <w:pPr>
              <w:rPr>
                <w:rFonts w:cstheme="majorHAnsi"/>
              </w:rPr>
            </w:pPr>
            <w:r w:rsidRPr="00E82626">
              <w:rPr>
                <w:rFonts w:cstheme="majorHAnsi"/>
              </w:rPr>
              <w:t>-·04 (·02 to -·09)</w:t>
            </w:r>
          </w:p>
        </w:tc>
        <w:tc>
          <w:tcPr>
            <w:tcW w:w="851" w:type="dxa"/>
          </w:tcPr>
          <w:p w14:paraId="23250D2D" w14:textId="1697ED35" w:rsidR="0059498A" w:rsidRPr="00E82626" w:rsidRDefault="0059498A" w:rsidP="0059498A">
            <w:pPr>
              <w:rPr>
                <w:rFonts w:cstheme="majorHAnsi"/>
              </w:rPr>
            </w:pPr>
            <w:r w:rsidRPr="00E82626">
              <w:rPr>
                <w:rFonts w:cstheme="majorHAnsi"/>
              </w:rPr>
              <w:t>-1·82</w:t>
            </w:r>
          </w:p>
        </w:tc>
        <w:tc>
          <w:tcPr>
            <w:tcW w:w="992" w:type="dxa"/>
          </w:tcPr>
          <w:p w14:paraId="5F774E0A" w14:textId="5D73D46E" w:rsidR="0059498A" w:rsidRPr="00E82626" w:rsidRDefault="0059498A" w:rsidP="0059498A">
            <w:pPr>
              <w:rPr>
                <w:rFonts w:cstheme="majorHAnsi"/>
              </w:rPr>
            </w:pPr>
            <w:r w:rsidRPr="00E82626">
              <w:rPr>
                <w:rFonts w:cstheme="majorHAnsi"/>
              </w:rPr>
              <w:t>0·068</w:t>
            </w:r>
          </w:p>
        </w:tc>
        <w:tc>
          <w:tcPr>
            <w:tcW w:w="992" w:type="dxa"/>
          </w:tcPr>
          <w:p w14:paraId="7EF9B58A" w14:textId="3FA9796C" w:rsidR="0059498A" w:rsidRPr="00E82626" w:rsidRDefault="0059498A" w:rsidP="0059498A">
            <w:pPr>
              <w:rPr>
                <w:rFonts w:cstheme="majorHAnsi"/>
              </w:rPr>
            </w:pPr>
            <w:r w:rsidRPr="00E82626">
              <w:rPr>
                <w:rFonts w:cstheme="majorHAnsi"/>
              </w:rPr>
              <w:t>-·07</w:t>
            </w:r>
          </w:p>
        </w:tc>
      </w:tr>
      <w:tr w:rsidR="0059498A" w:rsidRPr="00FE1BB8" w14:paraId="3EE810F5" w14:textId="77777777" w:rsidTr="0059498A">
        <w:trPr>
          <w:trHeight w:val="349"/>
        </w:trPr>
        <w:tc>
          <w:tcPr>
            <w:tcW w:w="1276" w:type="dxa"/>
          </w:tcPr>
          <w:p w14:paraId="7A589A04" w14:textId="195687F4" w:rsidR="0059498A" w:rsidRPr="00E82626" w:rsidRDefault="0059498A" w:rsidP="0059498A">
            <w:pPr>
              <w:rPr>
                <w:rFonts w:cstheme="majorHAnsi"/>
              </w:rPr>
            </w:pPr>
            <w:r w:rsidRPr="00E82626">
              <w:rPr>
                <w:rFonts w:cstheme="majorHAnsi"/>
              </w:rPr>
              <w:t>Use</w:t>
            </w:r>
          </w:p>
        </w:tc>
        <w:tc>
          <w:tcPr>
            <w:tcW w:w="851" w:type="dxa"/>
          </w:tcPr>
          <w:p w14:paraId="34198DD4" w14:textId="64478CBB" w:rsidR="0059498A" w:rsidRPr="00E82626" w:rsidRDefault="0059498A" w:rsidP="0059498A">
            <w:pPr>
              <w:rPr>
                <w:rFonts w:cstheme="majorHAnsi"/>
              </w:rPr>
            </w:pPr>
            <w:r w:rsidRPr="00E82626">
              <w:rPr>
                <w:rFonts w:cstheme="majorHAnsi"/>
              </w:rPr>
              <w:t>1132</w:t>
            </w:r>
          </w:p>
        </w:tc>
        <w:tc>
          <w:tcPr>
            <w:tcW w:w="1417" w:type="dxa"/>
          </w:tcPr>
          <w:p w14:paraId="5362D9F4" w14:textId="27EECE22" w:rsidR="0059498A" w:rsidRPr="00E82626" w:rsidRDefault="0059498A" w:rsidP="0059498A">
            <w:pPr>
              <w:rPr>
                <w:rFonts w:cstheme="majorHAnsi"/>
              </w:rPr>
            </w:pPr>
            <w:r w:rsidRPr="00E82626">
              <w:rPr>
                <w:rFonts w:cstheme="majorHAnsi"/>
              </w:rPr>
              <w:t>2·75 (0·62)</w:t>
            </w:r>
          </w:p>
        </w:tc>
        <w:tc>
          <w:tcPr>
            <w:tcW w:w="2268" w:type="dxa"/>
          </w:tcPr>
          <w:p w14:paraId="12503A9D" w14:textId="77777777" w:rsidR="0059498A" w:rsidRPr="00E82626" w:rsidRDefault="0059498A" w:rsidP="0059498A">
            <w:pPr>
              <w:rPr>
                <w:rFonts w:cstheme="majorHAnsi"/>
              </w:rPr>
            </w:pPr>
          </w:p>
        </w:tc>
        <w:tc>
          <w:tcPr>
            <w:tcW w:w="851" w:type="dxa"/>
          </w:tcPr>
          <w:p w14:paraId="2AE54BC3" w14:textId="77777777" w:rsidR="0059498A" w:rsidRPr="00E82626" w:rsidRDefault="0059498A" w:rsidP="0059498A">
            <w:pPr>
              <w:rPr>
                <w:rFonts w:cstheme="majorHAnsi"/>
              </w:rPr>
            </w:pPr>
          </w:p>
        </w:tc>
        <w:tc>
          <w:tcPr>
            <w:tcW w:w="992" w:type="dxa"/>
          </w:tcPr>
          <w:p w14:paraId="3998508E" w14:textId="77777777" w:rsidR="0059498A" w:rsidRPr="00E82626" w:rsidRDefault="0059498A" w:rsidP="0059498A">
            <w:pPr>
              <w:rPr>
                <w:rFonts w:cstheme="majorHAnsi"/>
              </w:rPr>
            </w:pPr>
          </w:p>
        </w:tc>
        <w:tc>
          <w:tcPr>
            <w:tcW w:w="992" w:type="dxa"/>
          </w:tcPr>
          <w:p w14:paraId="235733D3" w14:textId="77777777" w:rsidR="0059498A" w:rsidRPr="00E82626" w:rsidRDefault="0059498A" w:rsidP="0059498A">
            <w:pPr>
              <w:rPr>
                <w:rFonts w:cstheme="majorHAnsi"/>
              </w:rPr>
            </w:pPr>
          </w:p>
        </w:tc>
      </w:tr>
      <w:tr w:rsidR="00407098" w:rsidRPr="00FE1BB8" w14:paraId="4CF3C334" w14:textId="77777777" w:rsidTr="00253FAF">
        <w:trPr>
          <w:trHeight w:val="290"/>
        </w:trPr>
        <w:tc>
          <w:tcPr>
            <w:tcW w:w="8647" w:type="dxa"/>
            <w:gridSpan w:val="7"/>
          </w:tcPr>
          <w:p w14:paraId="1624D8D3" w14:textId="442811A0" w:rsidR="00407098" w:rsidRPr="00E82626" w:rsidRDefault="00407098" w:rsidP="0059498A">
            <w:pPr>
              <w:rPr>
                <w:rFonts w:cstheme="majorHAnsi"/>
              </w:rPr>
            </w:pPr>
            <w:r w:rsidRPr="00E82626">
              <w:rPr>
                <w:rFonts w:cstheme="majorHAnsi"/>
                <w:b/>
                <w:bCs/>
              </w:rPr>
              <w:t xml:space="preserve">eHLQ7: </w:t>
            </w:r>
            <w:r w:rsidR="00E82626" w:rsidRPr="00E82626">
              <w:rPr>
                <w:rFonts w:cstheme="majorHAnsi"/>
              </w:rPr>
              <w:t>d</w:t>
            </w:r>
            <w:r w:rsidRPr="00E82626">
              <w:rPr>
                <w:rStyle w:val="cf01"/>
                <w:rFonts w:asciiTheme="minorHAnsi" w:hAnsiTheme="minorHAnsi" w:cstheme="majorHAnsi"/>
                <w:sz w:val="24"/>
                <w:szCs w:val="24"/>
              </w:rPr>
              <w:t>igital services that suit individual needs</w:t>
            </w:r>
          </w:p>
        </w:tc>
      </w:tr>
      <w:tr w:rsidR="0059498A" w:rsidRPr="00FE1BB8" w14:paraId="57D611AB" w14:textId="77777777" w:rsidTr="003267C0">
        <w:trPr>
          <w:trHeight w:val="241"/>
        </w:trPr>
        <w:tc>
          <w:tcPr>
            <w:tcW w:w="1276" w:type="dxa"/>
          </w:tcPr>
          <w:p w14:paraId="4CBD134B" w14:textId="45EF0693" w:rsidR="0059498A" w:rsidRPr="00B044C3" w:rsidRDefault="0059498A" w:rsidP="0059498A">
            <w:r w:rsidRPr="00B044C3">
              <w:t>Non-user</w:t>
            </w:r>
          </w:p>
        </w:tc>
        <w:tc>
          <w:tcPr>
            <w:tcW w:w="851" w:type="dxa"/>
          </w:tcPr>
          <w:p w14:paraId="0C99F7CB" w14:textId="7125D76C" w:rsidR="0059498A" w:rsidRPr="00B044C3" w:rsidRDefault="0059498A" w:rsidP="0059498A">
            <w:r w:rsidRPr="00B044C3">
              <w:t>1559</w:t>
            </w:r>
          </w:p>
        </w:tc>
        <w:tc>
          <w:tcPr>
            <w:tcW w:w="1417" w:type="dxa"/>
          </w:tcPr>
          <w:p w14:paraId="09C3EE88" w14:textId="25661357" w:rsidR="0059498A" w:rsidRPr="00B044C3" w:rsidRDefault="0059498A" w:rsidP="0059498A">
            <w:r w:rsidRPr="00B044C3">
              <w:t>2·48 (0·67)</w:t>
            </w:r>
          </w:p>
        </w:tc>
        <w:tc>
          <w:tcPr>
            <w:tcW w:w="2268" w:type="dxa"/>
          </w:tcPr>
          <w:p w14:paraId="3CA28B55" w14:textId="6D9B8607" w:rsidR="0059498A" w:rsidRPr="00B044C3" w:rsidRDefault="0059498A" w:rsidP="0059498A">
            <w:r w:rsidRPr="00B044C3">
              <w:t>-·09 (-·15, -·04)</w:t>
            </w:r>
          </w:p>
        </w:tc>
        <w:tc>
          <w:tcPr>
            <w:tcW w:w="851" w:type="dxa"/>
          </w:tcPr>
          <w:p w14:paraId="42C810FF" w14:textId="0271A41F" w:rsidR="0059498A" w:rsidRPr="00B044C3" w:rsidRDefault="0059498A" w:rsidP="0059498A">
            <w:r w:rsidRPr="00B044C3">
              <w:t>-3·51</w:t>
            </w:r>
          </w:p>
        </w:tc>
        <w:tc>
          <w:tcPr>
            <w:tcW w:w="992" w:type="dxa"/>
          </w:tcPr>
          <w:p w14:paraId="1040EDAB" w14:textId="5CB1EA30" w:rsidR="0059498A" w:rsidRPr="00B044C3" w:rsidRDefault="0059498A" w:rsidP="0059498A">
            <w:r w:rsidRPr="00B044C3">
              <w:t>&lt;0·001</w:t>
            </w:r>
          </w:p>
        </w:tc>
        <w:tc>
          <w:tcPr>
            <w:tcW w:w="992" w:type="dxa"/>
          </w:tcPr>
          <w:p w14:paraId="25EA633C" w14:textId="307224BC" w:rsidR="0059498A" w:rsidRPr="00B044C3" w:rsidRDefault="0059498A" w:rsidP="0059498A">
            <w:r w:rsidRPr="00B044C3">
              <w:t>-·09</w:t>
            </w:r>
          </w:p>
        </w:tc>
      </w:tr>
      <w:tr w:rsidR="0059498A" w:rsidRPr="00FE1BB8" w14:paraId="32F64810" w14:textId="77777777" w:rsidTr="003267C0">
        <w:trPr>
          <w:trHeight w:val="245"/>
        </w:trPr>
        <w:tc>
          <w:tcPr>
            <w:tcW w:w="1276" w:type="dxa"/>
          </w:tcPr>
          <w:p w14:paraId="3E9479B5" w14:textId="47F1C774" w:rsidR="0059498A" w:rsidRPr="00B044C3" w:rsidRDefault="0059498A" w:rsidP="0059498A">
            <w:r w:rsidRPr="00B044C3">
              <w:t>User</w:t>
            </w:r>
          </w:p>
        </w:tc>
        <w:tc>
          <w:tcPr>
            <w:tcW w:w="851" w:type="dxa"/>
          </w:tcPr>
          <w:p w14:paraId="610DEA18" w14:textId="217D9B70" w:rsidR="0059498A" w:rsidRPr="00B044C3" w:rsidRDefault="0059498A" w:rsidP="0059498A">
            <w:r w:rsidRPr="00B044C3">
              <w:t>1111</w:t>
            </w:r>
          </w:p>
        </w:tc>
        <w:tc>
          <w:tcPr>
            <w:tcW w:w="1417" w:type="dxa"/>
          </w:tcPr>
          <w:p w14:paraId="6DDA96A6" w14:textId="6AC0D98C" w:rsidR="0059498A" w:rsidRPr="00B044C3" w:rsidRDefault="0059498A" w:rsidP="0059498A">
            <w:r w:rsidRPr="00B044C3">
              <w:t>2·57 (0·70)</w:t>
            </w:r>
          </w:p>
        </w:tc>
        <w:tc>
          <w:tcPr>
            <w:tcW w:w="2268" w:type="dxa"/>
          </w:tcPr>
          <w:p w14:paraId="75D248C6" w14:textId="46305567" w:rsidR="0059498A" w:rsidRPr="00B044C3" w:rsidRDefault="0059498A" w:rsidP="0059498A"/>
        </w:tc>
        <w:tc>
          <w:tcPr>
            <w:tcW w:w="851" w:type="dxa"/>
          </w:tcPr>
          <w:p w14:paraId="1F3ED87B" w14:textId="77777777" w:rsidR="0059498A" w:rsidRPr="00B044C3" w:rsidRDefault="0059498A" w:rsidP="0059498A"/>
        </w:tc>
        <w:tc>
          <w:tcPr>
            <w:tcW w:w="992" w:type="dxa"/>
          </w:tcPr>
          <w:p w14:paraId="4903A699" w14:textId="77777777" w:rsidR="0059498A" w:rsidRPr="00B044C3" w:rsidRDefault="0059498A" w:rsidP="0059498A"/>
        </w:tc>
        <w:tc>
          <w:tcPr>
            <w:tcW w:w="992" w:type="dxa"/>
          </w:tcPr>
          <w:p w14:paraId="2C1B131A" w14:textId="77777777" w:rsidR="0059498A" w:rsidRPr="00B044C3" w:rsidRDefault="0059498A" w:rsidP="0059498A"/>
        </w:tc>
      </w:tr>
    </w:tbl>
    <w:p w14:paraId="2ADC6FB0" w14:textId="77777777" w:rsidR="006E49AF" w:rsidRDefault="006E49AF" w:rsidP="00EB6E35"/>
    <w:p w14:paraId="4E9869E2" w14:textId="77777777" w:rsidR="00A45C7C" w:rsidRDefault="00A45C7C" w:rsidP="00EB6E35"/>
    <w:p w14:paraId="0541E182" w14:textId="106D73EF" w:rsidR="00A45C7C" w:rsidRPr="00DD6D4D" w:rsidRDefault="00A45C7C" w:rsidP="00A45C7C">
      <w:pPr>
        <w:spacing w:line="276" w:lineRule="auto"/>
        <w:rPr>
          <w:rFonts w:cstheme="minorHAnsi"/>
        </w:rPr>
      </w:pPr>
      <w:r w:rsidRPr="00A734BA">
        <w:rPr>
          <w:rFonts w:cstheme="minorHAnsi"/>
        </w:rPr>
        <w:t>Respondents who reported having a LT</w:t>
      </w:r>
      <w:r w:rsidR="00831673" w:rsidRPr="00A734BA">
        <w:rPr>
          <w:rFonts w:cstheme="minorHAnsi"/>
        </w:rPr>
        <w:t>H</w:t>
      </w:r>
      <w:r w:rsidRPr="00A734BA">
        <w:rPr>
          <w:rFonts w:cstheme="minorHAnsi"/>
        </w:rPr>
        <w:t>C tended to have lower eHLQ scores</w:t>
      </w:r>
      <w:r w:rsidR="00B30BF0" w:rsidRPr="00A734BA">
        <w:rPr>
          <w:rFonts w:cstheme="minorHAnsi"/>
        </w:rPr>
        <w:t xml:space="preserve"> on some dimensions</w:t>
      </w:r>
      <w:r w:rsidRPr="00A734BA">
        <w:rPr>
          <w:rFonts w:cstheme="minorHAnsi"/>
        </w:rPr>
        <w:t xml:space="preserve"> and yet were also more likely to have used NHS 111 online (Table 1). Further analysis identified that the subset people with an LT</w:t>
      </w:r>
      <w:r w:rsidR="00831673" w:rsidRPr="00A734BA">
        <w:rPr>
          <w:rFonts w:cstheme="minorHAnsi"/>
        </w:rPr>
        <w:t>H</w:t>
      </w:r>
      <w:r w:rsidRPr="00A734BA">
        <w:rPr>
          <w:rFonts w:cstheme="minorHAnsi"/>
        </w:rPr>
        <w:t>C who were non-users of NHS 111 had the lowest eHLQ mean score for each d</w:t>
      </w:r>
      <w:r w:rsidR="00BD68E7" w:rsidRPr="00A734BA">
        <w:rPr>
          <w:rFonts w:cstheme="minorHAnsi"/>
        </w:rPr>
        <w:t>imension</w:t>
      </w:r>
      <w:r w:rsidRPr="00A734BA">
        <w:rPr>
          <w:rFonts w:cstheme="minorHAnsi"/>
        </w:rPr>
        <w:t xml:space="preserve"> (Table 3). </w:t>
      </w:r>
      <w:r w:rsidR="003A3ACC" w:rsidRPr="00A734BA">
        <w:rPr>
          <w:rFonts w:cstheme="minorHAnsi"/>
        </w:rPr>
        <w:t xml:space="preserve"> </w:t>
      </w:r>
      <w:r w:rsidR="001B425A" w:rsidRPr="00A734BA">
        <w:rPr>
          <w:rFonts w:cstheme="minorHAnsi"/>
        </w:rPr>
        <w:t>This di</w:t>
      </w:r>
      <w:r w:rsidRPr="00A734BA">
        <w:rPr>
          <w:rFonts w:cstheme="minorHAnsi"/>
        </w:rPr>
        <w:t>fference</w:t>
      </w:r>
      <w:r w:rsidRPr="00DD6D4D">
        <w:rPr>
          <w:rFonts w:cstheme="minorHAnsi"/>
        </w:rPr>
        <w:t xml:space="preserve"> was </w:t>
      </w:r>
      <w:r w:rsidR="003454A6">
        <w:rPr>
          <w:rFonts w:cstheme="minorHAnsi"/>
        </w:rPr>
        <w:t xml:space="preserve">statistically </w:t>
      </w:r>
      <w:r w:rsidRPr="00DD6D4D">
        <w:rPr>
          <w:rFonts w:cstheme="minorHAnsi"/>
        </w:rPr>
        <w:t xml:space="preserve">significant for </w:t>
      </w:r>
      <w:r w:rsidR="001B425A">
        <w:rPr>
          <w:rFonts w:cstheme="minorHAnsi"/>
        </w:rPr>
        <w:t xml:space="preserve">five </w:t>
      </w:r>
      <w:r w:rsidRPr="00DD6D4D">
        <w:rPr>
          <w:rFonts w:cstheme="minorHAnsi"/>
        </w:rPr>
        <w:t>d</w:t>
      </w:r>
      <w:r w:rsidR="00BD68E7">
        <w:rPr>
          <w:rFonts w:cstheme="minorHAnsi"/>
        </w:rPr>
        <w:t>imensions</w:t>
      </w:r>
      <w:r w:rsidRPr="00DD6D4D">
        <w:rPr>
          <w:rFonts w:cstheme="minorHAnsi"/>
        </w:rPr>
        <w:t xml:space="preserve"> when compared to users both with and without a LT</w:t>
      </w:r>
      <w:r w:rsidR="00831673">
        <w:rPr>
          <w:rFonts w:cstheme="minorHAnsi"/>
        </w:rPr>
        <w:t>H</w:t>
      </w:r>
      <w:r w:rsidRPr="00DD6D4D">
        <w:rPr>
          <w:rFonts w:cstheme="minorHAnsi"/>
        </w:rPr>
        <w:t>C</w:t>
      </w:r>
      <w:r w:rsidR="001B425A">
        <w:rPr>
          <w:rFonts w:cstheme="minorHAnsi"/>
        </w:rPr>
        <w:t xml:space="preserve">, but </w:t>
      </w:r>
      <w:r w:rsidR="003923FD">
        <w:rPr>
          <w:rFonts w:cstheme="minorHAnsi"/>
        </w:rPr>
        <w:t xml:space="preserve">was not significant </w:t>
      </w:r>
      <w:r w:rsidR="001B425A">
        <w:rPr>
          <w:rFonts w:cstheme="minorHAnsi"/>
        </w:rPr>
        <w:t xml:space="preserve">for </w:t>
      </w:r>
      <w:r w:rsidRPr="00DD6D4D">
        <w:rPr>
          <w:rFonts w:cstheme="minorHAnsi"/>
        </w:rPr>
        <w:t>eHLQ4 (</w:t>
      </w:r>
      <w:r w:rsidRPr="00DD6D4D">
        <w:rPr>
          <w:rFonts w:cstheme="minorHAnsi"/>
          <w:lang w:eastAsia="en-GB"/>
        </w:rPr>
        <w:t>Feel safe and in control</w:t>
      </w:r>
      <w:r w:rsidRPr="00DD6D4D">
        <w:rPr>
          <w:rFonts w:cstheme="minorHAnsi"/>
        </w:rPr>
        <w:t>), and eHLQ6 (Access to digital services that work).</w:t>
      </w:r>
    </w:p>
    <w:p w14:paraId="6D0241AF" w14:textId="77777777" w:rsidR="003267C0" w:rsidRPr="00DD6D4D" w:rsidRDefault="003267C0" w:rsidP="00EB6E35"/>
    <w:p w14:paraId="6034A72D" w14:textId="68F4754C" w:rsidR="00DE678E" w:rsidRPr="005410F5" w:rsidRDefault="00DE678E" w:rsidP="00DE678E">
      <w:pPr>
        <w:pStyle w:val="Heading6"/>
        <w:rPr>
          <w:rFonts w:asciiTheme="minorHAnsi" w:hAnsiTheme="minorHAnsi"/>
          <w:color w:val="auto"/>
        </w:rPr>
      </w:pPr>
      <w:r w:rsidRPr="005410F5">
        <w:rPr>
          <w:rFonts w:asciiTheme="minorHAnsi" w:hAnsiTheme="minorHAnsi"/>
          <w:color w:val="auto"/>
        </w:rPr>
        <w:t>Table 3</w:t>
      </w:r>
      <w:r w:rsidR="00E22C6A">
        <w:rPr>
          <w:rFonts w:asciiTheme="minorHAnsi" w:hAnsiTheme="minorHAnsi"/>
          <w:color w:val="auto"/>
        </w:rPr>
        <w:t>.</w:t>
      </w:r>
      <w:r w:rsidRPr="005410F5">
        <w:rPr>
          <w:rFonts w:asciiTheme="minorHAnsi" w:hAnsiTheme="minorHAnsi"/>
          <w:color w:val="auto"/>
        </w:rPr>
        <w:t xml:space="preserve"> eHLQ mean, </w:t>
      </w:r>
      <w:r w:rsidR="00BF690D">
        <w:rPr>
          <w:rFonts w:asciiTheme="minorHAnsi" w:hAnsiTheme="minorHAnsi"/>
          <w:color w:val="auto"/>
        </w:rPr>
        <w:t xml:space="preserve">SD, </w:t>
      </w:r>
      <w:r w:rsidRPr="005410F5">
        <w:rPr>
          <w:rFonts w:asciiTheme="minorHAnsi" w:hAnsiTheme="minorHAnsi"/>
          <w:color w:val="auto"/>
        </w:rPr>
        <w:t>and mean difference for each d</w:t>
      </w:r>
      <w:r w:rsidR="00BD68E7">
        <w:rPr>
          <w:rFonts w:asciiTheme="minorHAnsi" w:hAnsiTheme="minorHAnsi"/>
          <w:color w:val="auto"/>
        </w:rPr>
        <w:t>imension</w:t>
      </w:r>
      <w:r w:rsidRPr="005410F5">
        <w:rPr>
          <w:rFonts w:asciiTheme="minorHAnsi" w:hAnsiTheme="minorHAnsi"/>
          <w:color w:val="auto"/>
        </w:rPr>
        <w:t xml:space="preserve"> grouped by self-reported long-term </w:t>
      </w:r>
      <w:r w:rsidR="00831673">
        <w:rPr>
          <w:rFonts w:asciiTheme="minorHAnsi" w:hAnsiTheme="minorHAnsi"/>
          <w:color w:val="auto"/>
        </w:rPr>
        <w:t xml:space="preserve">health </w:t>
      </w:r>
      <w:r w:rsidRPr="005410F5">
        <w:rPr>
          <w:rFonts w:asciiTheme="minorHAnsi" w:hAnsiTheme="minorHAnsi"/>
          <w:color w:val="auto"/>
        </w:rPr>
        <w:t xml:space="preserve">condition (Yes / No) and NHS 111 online (non-user / user)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850"/>
        <w:gridCol w:w="1316"/>
        <w:gridCol w:w="1378"/>
        <w:gridCol w:w="1417"/>
      </w:tblGrid>
      <w:tr w:rsidR="00B32F96" w14:paraId="0A2EEFBC" w14:textId="77777777" w:rsidTr="00BF690D">
        <w:trPr>
          <w:trHeight w:val="365"/>
        </w:trPr>
        <w:tc>
          <w:tcPr>
            <w:tcW w:w="2410" w:type="dxa"/>
          </w:tcPr>
          <w:p w14:paraId="5EFE4C8D" w14:textId="73CF5A1D" w:rsidR="00B32F96" w:rsidRPr="00DE678E" w:rsidRDefault="00B32F96" w:rsidP="00BB767B">
            <w:r w:rsidRPr="00DE678E">
              <w:t>D</w:t>
            </w:r>
            <w:r w:rsidR="00BD68E7">
              <w:t>imension</w:t>
            </w:r>
          </w:p>
        </w:tc>
        <w:tc>
          <w:tcPr>
            <w:tcW w:w="1276" w:type="dxa"/>
          </w:tcPr>
          <w:p w14:paraId="5CCBA9F1" w14:textId="0348D140" w:rsidR="00B32F96" w:rsidRPr="00DE678E" w:rsidRDefault="00B32F96" w:rsidP="00BB767B">
            <w:r w:rsidRPr="00DE678E">
              <w:t>Mean</w:t>
            </w:r>
          </w:p>
        </w:tc>
        <w:tc>
          <w:tcPr>
            <w:tcW w:w="850" w:type="dxa"/>
          </w:tcPr>
          <w:p w14:paraId="0C4371E6" w14:textId="1B903674" w:rsidR="00B32F96" w:rsidRPr="00DE678E" w:rsidRDefault="00B32F96" w:rsidP="00BB767B">
            <w:r w:rsidRPr="00DE678E">
              <w:t>SD</w:t>
            </w:r>
          </w:p>
        </w:tc>
        <w:tc>
          <w:tcPr>
            <w:tcW w:w="1316" w:type="dxa"/>
          </w:tcPr>
          <w:p w14:paraId="127534E3" w14:textId="1175D6DA" w:rsidR="00B32F96" w:rsidRPr="00B32F96" w:rsidRDefault="005410F5" w:rsidP="00BB767B">
            <w:r>
              <w:t>M</w:t>
            </w:r>
            <w:r w:rsidR="00B32F96" w:rsidRPr="00B32F96">
              <w:t>ean difference</w:t>
            </w:r>
          </w:p>
        </w:tc>
        <w:tc>
          <w:tcPr>
            <w:tcW w:w="1378" w:type="dxa"/>
          </w:tcPr>
          <w:p w14:paraId="357AA203" w14:textId="16D92FFC" w:rsidR="00B32F96" w:rsidRPr="00B32F96" w:rsidRDefault="005410F5" w:rsidP="00BB767B">
            <w:r>
              <w:t>M</w:t>
            </w:r>
            <w:r w:rsidR="00B32F96" w:rsidRPr="00B32F96">
              <w:t>ean difference</w:t>
            </w:r>
          </w:p>
        </w:tc>
        <w:tc>
          <w:tcPr>
            <w:tcW w:w="1417" w:type="dxa"/>
          </w:tcPr>
          <w:p w14:paraId="3CA613BF" w14:textId="549ECA55" w:rsidR="00B32F96" w:rsidRPr="00B32F96" w:rsidRDefault="005410F5" w:rsidP="00BB767B">
            <w:r>
              <w:t>M</w:t>
            </w:r>
            <w:r w:rsidR="00B32F96" w:rsidRPr="00B32F96">
              <w:t>ean difference</w:t>
            </w:r>
          </w:p>
        </w:tc>
      </w:tr>
      <w:tr w:rsidR="00B32F96" w14:paraId="5F544904" w14:textId="77777777" w:rsidTr="00BF690D">
        <w:trPr>
          <w:trHeight w:val="365"/>
        </w:trPr>
        <w:tc>
          <w:tcPr>
            <w:tcW w:w="2410" w:type="dxa"/>
          </w:tcPr>
          <w:p w14:paraId="07ECB9E2" w14:textId="502A8E6B" w:rsidR="00B32F96" w:rsidRPr="00DE678E" w:rsidRDefault="00B32F96" w:rsidP="005D2AE0">
            <w:r w:rsidRPr="00DE678E">
              <w:t>Previous user</w:t>
            </w:r>
            <w:r w:rsidR="005410F5">
              <w:t xml:space="preserve"> / </w:t>
            </w:r>
            <w:r w:rsidR="00831673">
              <w:t>LTHC</w:t>
            </w:r>
            <w:r w:rsidRPr="00DE678E">
              <w:t>?</w:t>
            </w:r>
          </w:p>
        </w:tc>
        <w:tc>
          <w:tcPr>
            <w:tcW w:w="1276" w:type="dxa"/>
          </w:tcPr>
          <w:p w14:paraId="1FA3B545" w14:textId="77777777" w:rsidR="00B32F96" w:rsidRPr="00DE678E" w:rsidRDefault="00B32F96" w:rsidP="005D2AE0"/>
        </w:tc>
        <w:tc>
          <w:tcPr>
            <w:tcW w:w="850" w:type="dxa"/>
          </w:tcPr>
          <w:p w14:paraId="666DEB4F" w14:textId="77777777" w:rsidR="00B32F96" w:rsidRPr="00DE678E" w:rsidRDefault="00B32F96" w:rsidP="005D2AE0"/>
        </w:tc>
        <w:tc>
          <w:tcPr>
            <w:tcW w:w="1316" w:type="dxa"/>
          </w:tcPr>
          <w:p w14:paraId="21E92E56" w14:textId="17D37411" w:rsidR="00B32F96" w:rsidRPr="00DE678E" w:rsidRDefault="00B32F96" w:rsidP="005D2AE0">
            <w:r w:rsidRPr="00DE678E">
              <w:t>Non-User / No</w:t>
            </w:r>
          </w:p>
        </w:tc>
        <w:tc>
          <w:tcPr>
            <w:tcW w:w="1378" w:type="dxa"/>
          </w:tcPr>
          <w:p w14:paraId="09A35DA8" w14:textId="261863A7" w:rsidR="00B32F96" w:rsidRPr="00DE678E" w:rsidRDefault="00B32F96" w:rsidP="005D2AE0">
            <w:r w:rsidRPr="00DE678E">
              <w:t>User / Yes</w:t>
            </w:r>
          </w:p>
        </w:tc>
        <w:tc>
          <w:tcPr>
            <w:tcW w:w="1417" w:type="dxa"/>
          </w:tcPr>
          <w:p w14:paraId="5B4CA349" w14:textId="10B3CF58" w:rsidR="00B32F96" w:rsidRPr="00DE678E" w:rsidRDefault="00B32F96" w:rsidP="005D2AE0">
            <w:r w:rsidRPr="00DE678E">
              <w:t>User / No</w:t>
            </w:r>
          </w:p>
        </w:tc>
      </w:tr>
      <w:tr w:rsidR="00B32F96" w14:paraId="5A38D6AC" w14:textId="77777777" w:rsidTr="00BF690D">
        <w:trPr>
          <w:trHeight w:val="365"/>
        </w:trPr>
        <w:tc>
          <w:tcPr>
            <w:tcW w:w="2410" w:type="dxa"/>
          </w:tcPr>
          <w:p w14:paraId="62AC33F9" w14:textId="77777777" w:rsidR="00B32F96" w:rsidRPr="00DE678E" w:rsidRDefault="00B32F96" w:rsidP="005D2AE0"/>
        </w:tc>
        <w:tc>
          <w:tcPr>
            <w:tcW w:w="1276" w:type="dxa"/>
          </w:tcPr>
          <w:p w14:paraId="0352B8F1" w14:textId="77777777" w:rsidR="00B32F96" w:rsidRPr="00DE678E" w:rsidRDefault="00B32F96" w:rsidP="005D2AE0"/>
        </w:tc>
        <w:tc>
          <w:tcPr>
            <w:tcW w:w="850" w:type="dxa"/>
          </w:tcPr>
          <w:p w14:paraId="178DB518" w14:textId="77777777" w:rsidR="00B32F96" w:rsidRPr="00DE678E" w:rsidRDefault="00B32F96" w:rsidP="005D2AE0"/>
        </w:tc>
        <w:tc>
          <w:tcPr>
            <w:tcW w:w="1316" w:type="dxa"/>
          </w:tcPr>
          <w:p w14:paraId="32690E66" w14:textId="77777777" w:rsidR="00B32F96" w:rsidRPr="00DE678E" w:rsidRDefault="00B32F96" w:rsidP="005D2AE0"/>
        </w:tc>
        <w:tc>
          <w:tcPr>
            <w:tcW w:w="1378" w:type="dxa"/>
          </w:tcPr>
          <w:p w14:paraId="035A1DC6" w14:textId="77777777" w:rsidR="00B32F96" w:rsidRPr="00DE678E" w:rsidRDefault="00B32F96" w:rsidP="005D2AE0"/>
        </w:tc>
        <w:tc>
          <w:tcPr>
            <w:tcW w:w="1417" w:type="dxa"/>
          </w:tcPr>
          <w:p w14:paraId="3334E9AE" w14:textId="77777777" w:rsidR="00B32F96" w:rsidRPr="00DE678E" w:rsidRDefault="00B32F96" w:rsidP="005D2AE0"/>
        </w:tc>
      </w:tr>
      <w:tr w:rsidR="00B32F96" w14:paraId="74377E15" w14:textId="77777777" w:rsidTr="00BF690D">
        <w:trPr>
          <w:trHeight w:val="301"/>
        </w:trPr>
        <w:tc>
          <w:tcPr>
            <w:tcW w:w="2410" w:type="dxa"/>
          </w:tcPr>
          <w:p w14:paraId="45AFBA57" w14:textId="00E4BEE8" w:rsidR="00B32F96" w:rsidRPr="00BB767B" w:rsidRDefault="00B32F96" w:rsidP="005D2AE0">
            <w:pPr>
              <w:rPr>
                <w:b/>
                <w:bCs/>
              </w:rPr>
            </w:pPr>
            <w:r w:rsidRPr="00BB767B">
              <w:rPr>
                <w:b/>
                <w:bCs/>
              </w:rPr>
              <w:t>eHLQ1</w:t>
            </w:r>
          </w:p>
        </w:tc>
        <w:tc>
          <w:tcPr>
            <w:tcW w:w="1276" w:type="dxa"/>
          </w:tcPr>
          <w:p w14:paraId="018C7A8B" w14:textId="20D7E031" w:rsidR="00B32F96" w:rsidRPr="00DE678E" w:rsidRDefault="00B32F96" w:rsidP="005D2AE0"/>
        </w:tc>
        <w:tc>
          <w:tcPr>
            <w:tcW w:w="850" w:type="dxa"/>
          </w:tcPr>
          <w:p w14:paraId="0545DF4C" w14:textId="2B1D5F25" w:rsidR="00B32F96" w:rsidRPr="00DE678E" w:rsidRDefault="00B32F96" w:rsidP="005D2AE0"/>
        </w:tc>
        <w:tc>
          <w:tcPr>
            <w:tcW w:w="1316" w:type="dxa"/>
          </w:tcPr>
          <w:p w14:paraId="64940DF2" w14:textId="7347F8B6" w:rsidR="00B32F96" w:rsidRPr="00DE678E" w:rsidRDefault="00B32F96" w:rsidP="005D2AE0"/>
        </w:tc>
        <w:tc>
          <w:tcPr>
            <w:tcW w:w="1378" w:type="dxa"/>
          </w:tcPr>
          <w:p w14:paraId="1EE7F01D" w14:textId="38C4DC66" w:rsidR="00B32F96" w:rsidRPr="00DE678E" w:rsidRDefault="00B32F96" w:rsidP="005D2AE0">
            <w:pPr>
              <w:rPr>
                <w:b/>
              </w:rPr>
            </w:pPr>
          </w:p>
        </w:tc>
        <w:tc>
          <w:tcPr>
            <w:tcW w:w="1417" w:type="dxa"/>
          </w:tcPr>
          <w:p w14:paraId="42F3520A" w14:textId="385BE74A" w:rsidR="00B32F96" w:rsidRPr="00DE678E" w:rsidRDefault="00B32F96" w:rsidP="005D2AE0">
            <w:pPr>
              <w:rPr>
                <w:b/>
              </w:rPr>
            </w:pPr>
          </w:p>
        </w:tc>
      </w:tr>
      <w:tr w:rsidR="00B32F96" w14:paraId="7647792E" w14:textId="77777777" w:rsidTr="00BF690D">
        <w:tc>
          <w:tcPr>
            <w:tcW w:w="2410" w:type="dxa"/>
          </w:tcPr>
          <w:p w14:paraId="0FECDB46" w14:textId="3FB243D2" w:rsidR="00B32F96" w:rsidRPr="00DE678E" w:rsidRDefault="00B32F96" w:rsidP="005D2AE0">
            <w:r w:rsidRPr="00DE678E">
              <w:t>Non-user / Yes</w:t>
            </w:r>
          </w:p>
        </w:tc>
        <w:tc>
          <w:tcPr>
            <w:tcW w:w="1276" w:type="dxa"/>
          </w:tcPr>
          <w:p w14:paraId="0CA4D8C9" w14:textId="34E0A109" w:rsidR="00B32F96" w:rsidRPr="00DE678E" w:rsidRDefault="00B32F96" w:rsidP="005D2AE0">
            <w:r w:rsidRPr="00DE678E">
              <w:t>2·63</w:t>
            </w:r>
          </w:p>
        </w:tc>
        <w:tc>
          <w:tcPr>
            <w:tcW w:w="850" w:type="dxa"/>
          </w:tcPr>
          <w:p w14:paraId="2B1D4E05" w14:textId="288EB6A1" w:rsidR="00B32F96" w:rsidRPr="00DE678E" w:rsidRDefault="00B32F96" w:rsidP="005D2AE0">
            <w:r w:rsidRPr="00DE678E">
              <w:t>0·65</w:t>
            </w:r>
          </w:p>
        </w:tc>
        <w:tc>
          <w:tcPr>
            <w:tcW w:w="1316" w:type="dxa"/>
          </w:tcPr>
          <w:p w14:paraId="1E46D5BC" w14:textId="06010899" w:rsidR="00B32F96" w:rsidRPr="005410F5" w:rsidRDefault="00B32F96" w:rsidP="005D2AE0">
            <w:pPr>
              <w:rPr>
                <w:bCs/>
                <w:i/>
                <w:iCs/>
              </w:rPr>
            </w:pPr>
            <w:r w:rsidRPr="005410F5">
              <w:rPr>
                <w:bCs/>
                <w:i/>
                <w:iCs/>
              </w:rPr>
              <w:t>-0·11</w:t>
            </w:r>
          </w:p>
        </w:tc>
        <w:tc>
          <w:tcPr>
            <w:tcW w:w="1378" w:type="dxa"/>
          </w:tcPr>
          <w:p w14:paraId="1E823E74" w14:textId="70B37B58" w:rsidR="00B32F96" w:rsidRPr="005410F5" w:rsidRDefault="00B32F96" w:rsidP="005D2AE0">
            <w:pPr>
              <w:rPr>
                <w:bCs/>
                <w:i/>
                <w:iCs/>
              </w:rPr>
            </w:pPr>
            <w:r w:rsidRPr="005410F5">
              <w:rPr>
                <w:bCs/>
                <w:i/>
                <w:iCs/>
              </w:rPr>
              <w:t>-0·24</w:t>
            </w:r>
          </w:p>
        </w:tc>
        <w:tc>
          <w:tcPr>
            <w:tcW w:w="1417" w:type="dxa"/>
          </w:tcPr>
          <w:p w14:paraId="05A2A19D" w14:textId="308FCDCA" w:rsidR="00B32F96" w:rsidRPr="005410F5" w:rsidRDefault="00B32F96" w:rsidP="005D2AE0">
            <w:pPr>
              <w:rPr>
                <w:bCs/>
                <w:i/>
                <w:iCs/>
              </w:rPr>
            </w:pPr>
            <w:r w:rsidRPr="005410F5">
              <w:rPr>
                <w:bCs/>
                <w:i/>
                <w:iCs/>
              </w:rPr>
              <w:t>-0·31</w:t>
            </w:r>
          </w:p>
        </w:tc>
      </w:tr>
      <w:tr w:rsidR="00B32F96" w14:paraId="5C58E591" w14:textId="77777777" w:rsidTr="00BF690D">
        <w:tc>
          <w:tcPr>
            <w:tcW w:w="2410" w:type="dxa"/>
          </w:tcPr>
          <w:p w14:paraId="2F00C5E9" w14:textId="17D68ABD" w:rsidR="00B32F96" w:rsidRPr="00DE678E" w:rsidRDefault="00B32F96" w:rsidP="005D2AE0">
            <w:r w:rsidRPr="00DE678E">
              <w:t>Non-user / No</w:t>
            </w:r>
          </w:p>
        </w:tc>
        <w:tc>
          <w:tcPr>
            <w:tcW w:w="1276" w:type="dxa"/>
          </w:tcPr>
          <w:p w14:paraId="4BB53A36" w14:textId="1C952BA9" w:rsidR="00B32F96" w:rsidRPr="00DE678E" w:rsidRDefault="00B32F96" w:rsidP="005D2AE0">
            <w:r w:rsidRPr="00DE678E">
              <w:t>2·74</w:t>
            </w:r>
          </w:p>
        </w:tc>
        <w:tc>
          <w:tcPr>
            <w:tcW w:w="850" w:type="dxa"/>
          </w:tcPr>
          <w:p w14:paraId="0286F6CC" w14:textId="21B8B24F" w:rsidR="00B32F96" w:rsidRPr="00DE678E" w:rsidRDefault="00B32F96" w:rsidP="005D2AE0">
            <w:r w:rsidRPr="00DE678E">
              <w:t>0·60</w:t>
            </w:r>
          </w:p>
        </w:tc>
        <w:tc>
          <w:tcPr>
            <w:tcW w:w="1316" w:type="dxa"/>
          </w:tcPr>
          <w:p w14:paraId="0EB6A709" w14:textId="2DBD3F6F" w:rsidR="00B32F96" w:rsidRPr="005410F5" w:rsidRDefault="00B32F96" w:rsidP="005D2AE0">
            <w:pPr>
              <w:rPr>
                <w:bCs/>
                <w:i/>
                <w:iCs/>
              </w:rPr>
            </w:pPr>
          </w:p>
        </w:tc>
        <w:tc>
          <w:tcPr>
            <w:tcW w:w="1378" w:type="dxa"/>
          </w:tcPr>
          <w:p w14:paraId="1032BD38" w14:textId="459D5837" w:rsidR="00B32F96" w:rsidRPr="005410F5" w:rsidRDefault="00B32F96" w:rsidP="005D2AE0">
            <w:pPr>
              <w:rPr>
                <w:bCs/>
                <w:i/>
                <w:iCs/>
              </w:rPr>
            </w:pPr>
            <w:r w:rsidRPr="005410F5">
              <w:rPr>
                <w:bCs/>
                <w:i/>
                <w:iCs/>
              </w:rPr>
              <w:t>-0·14</w:t>
            </w:r>
          </w:p>
        </w:tc>
        <w:tc>
          <w:tcPr>
            <w:tcW w:w="1417" w:type="dxa"/>
          </w:tcPr>
          <w:p w14:paraId="0591D9A0" w14:textId="404E15D0" w:rsidR="00B32F96" w:rsidRPr="005410F5" w:rsidRDefault="00B32F96" w:rsidP="005D2AE0">
            <w:pPr>
              <w:rPr>
                <w:bCs/>
                <w:i/>
                <w:iCs/>
              </w:rPr>
            </w:pPr>
            <w:r w:rsidRPr="005410F5">
              <w:rPr>
                <w:bCs/>
                <w:i/>
                <w:iCs/>
              </w:rPr>
              <w:t>-0·21</w:t>
            </w:r>
          </w:p>
        </w:tc>
      </w:tr>
      <w:tr w:rsidR="00B32F96" w14:paraId="4986CC01" w14:textId="77777777" w:rsidTr="00BF690D">
        <w:tc>
          <w:tcPr>
            <w:tcW w:w="2410" w:type="dxa"/>
          </w:tcPr>
          <w:p w14:paraId="596BC2D1" w14:textId="0EA7B29E" w:rsidR="00B32F96" w:rsidRPr="00DE678E" w:rsidRDefault="00B32F96" w:rsidP="005D2AE0">
            <w:r w:rsidRPr="00DE678E">
              <w:t>User / Yes</w:t>
            </w:r>
          </w:p>
        </w:tc>
        <w:tc>
          <w:tcPr>
            <w:tcW w:w="1276" w:type="dxa"/>
          </w:tcPr>
          <w:p w14:paraId="161DAF49" w14:textId="527C1A02" w:rsidR="00B32F96" w:rsidRPr="00DE678E" w:rsidRDefault="00B32F96" w:rsidP="005D2AE0">
            <w:r w:rsidRPr="00DE678E">
              <w:t>2·87</w:t>
            </w:r>
          </w:p>
        </w:tc>
        <w:tc>
          <w:tcPr>
            <w:tcW w:w="850" w:type="dxa"/>
          </w:tcPr>
          <w:p w14:paraId="0BDA3174" w14:textId="7DFEAAEB" w:rsidR="00B32F96" w:rsidRPr="00DE678E" w:rsidRDefault="00B32F96" w:rsidP="005D2AE0">
            <w:r w:rsidRPr="00DE678E">
              <w:t>0·62</w:t>
            </w:r>
          </w:p>
        </w:tc>
        <w:tc>
          <w:tcPr>
            <w:tcW w:w="1316" w:type="dxa"/>
          </w:tcPr>
          <w:p w14:paraId="4CA7EFE1" w14:textId="1E98C48A" w:rsidR="00B32F96" w:rsidRPr="00DE678E" w:rsidRDefault="00B32F96" w:rsidP="005D2AE0"/>
        </w:tc>
        <w:tc>
          <w:tcPr>
            <w:tcW w:w="1378" w:type="dxa"/>
          </w:tcPr>
          <w:p w14:paraId="61AA622E" w14:textId="77777777" w:rsidR="00B32F96" w:rsidRPr="00DE678E" w:rsidRDefault="00B32F96" w:rsidP="005D2AE0"/>
        </w:tc>
        <w:tc>
          <w:tcPr>
            <w:tcW w:w="1417" w:type="dxa"/>
          </w:tcPr>
          <w:p w14:paraId="60855793" w14:textId="2DF004AA" w:rsidR="00B32F96" w:rsidRPr="00DE678E" w:rsidRDefault="00B32F96" w:rsidP="005D2AE0">
            <w:r w:rsidRPr="00DE678E">
              <w:t>-0·07</w:t>
            </w:r>
          </w:p>
        </w:tc>
      </w:tr>
      <w:tr w:rsidR="00B32F96" w14:paraId="69F57439" w14:textId="77777777" w:rsidTr="00BF690D">
        <w:tc>
          <w:tcPr>
            <w:tcW w:w="2410" w:type="dxa"/>
          </w:tcPr>
          <w:p w14:paraId="5F3E111B" w14:textId="6BEFBB02" w:rsidR="00B32F96" w:rsidRPr="00DE678E" w:rsidRDefault="00B32F96" w:rsidP="005D2AE0">
            <w:r w:rsidRPr="00DE678E">
              <w:t>User / No</w:t>
            </w:r>
          </w:p>
        </w:tc>
        <w:tc>
          <w:tcPr>
            <w:tcW w:w="1276" w:type="dxa"/>
          </w:tcPr>
          <w:p w14:paraId="6B232EAB" w14:textId="66E61FFB" w:rsidR="00B32F96" w:rsidRPr="00DE678E" w:rsidRDefault="00B32F96" w:rsidP="005D2AE0">
            <w:r w:rsidRPr="00DE678E">
              <w:t>2·94</w:t>
            </w:r>
          </w:p>
        </w:tc>
        <w:tc>
          <w:tcPr>
            <w:tcW w:w="850" w:type="dxa"/>
          </w:tcPr>
          <w:p w14:paraId="3FC24B9C" w14:textId="2565BB86" w:rsidR="00B32F96" w:rsidRPr="00DE678E" w:rsidRDefault="00B32F96" w:rsidP="005D2AE0">
            <w:r w:rsidRPr="00DE678E">
              <w:t>0·57</w:t>
            </w:r>
          </w:p>
        </w:tc>
        <w:tc>
          <w:tcPr>
            <w:tcW w:w="1316" w:type="dxa"/>
          </w:tcPr>
          <w:p w14:paraId="1BDB7252" w14:textId="77777777" w:rsidR="00B32F96" w:rsidRPr="00DE678E" w:rsidRDefault="00B32F96" w:rsidP="005D2AE0"/>
        </w:tc>
        <w:tc>
          <w:tcPr>
            <w:tcW w:w="1378" w:type="dxa"/>
          </w:tcPr>
          <w:p w14:paraId="4CBD74AD" w14:textId="77777777" w:rsidR="00B32F96" w:rsidRPr="00DE678E" w:rsidRDefault="00B32F96" w:rsidP="005D2AE0"/>
        </w:tc>
        <w:tc>
          <w:tcPr>
            <w:tcW w:w="1417" w:type="dxa"/>
          </w:tcPr>
          <w:p w14:paraId="1B31F63A" w14:textId="77777777" w:rsidR="00B32F96" w:rsidRPr="00DE678E" w:rsidRDefault="00B32F96" w:rsidP="005D2AE0"/>
        </w:tc>
      </w:tr>
      <w:tr w:rsidR="00B32F96" w14:paraId="6784AE54" w14:textId="77777777" w:rsidTr="00BF690D">
        <w:tc>
          <w:tcPr>
            <w:tcW w:w="2410" w:type="dxa"/>
          </w:tcPr>
          <w:p w14:paraId="534D0BB8" w14:textId="627C8C11" w:rsidR="00B32F96" w:rsidRPr="00BB767B" w:rsidRDefault="00B32F96" w:rsidP="005D2AE0">
            <w:pPr>
              <w:rPr>
                <w:b/>
                <w:bCs/>
              </w:rPr>
            </w:pPr>
            <w:r w:rsidRPr="00BB767B">
              <w:rPr>
                <w:b/>
                <w:bCs/>
              </w:rPr>
              <w:t>eHLQ2</w:t>
            </w:r>
          </w:p>
        </w:tc>
        <w:tc>
          <w:tcPr>
            <w:tcW w:w="1276" w:type="dxa"/>
          </w:tcPr>
          <w:p w14:paraId="4DC76503" w14:textId="3099042C" w:rsidR="00B32F96" w:rsidRPr="00DE678E" w:rsidRDefault="00B32F96" w:rsidP="005D2AE0"/>
        </w:tc>
        <w:tc>
          <w:tcPr>
            <w:tcW w:w="850" w:type="dxa"/>
          </w:tcPr>
          <w:p w14:paraId="757B15C1" w14:textId="4D116D40" w:rsidR="00B32F96" w:rsidRPr="00DE678E" w:rsidRDefault="00B32F96" w:rsidP="005D2AE0"/>
        </w:tc>
        <w:tc>
          <w:tcPr>
            <w:tcW w:w="1316" w:type="dxa"/>
          </w:tcPr>
          <w:p w14:paraId="0DFE7C03" w14:textId="0AD5F47F" w:rsidR="00B32F96" w:rsidRPr="00DE678E" w:rsidRDefault="00B32F96" w:rsidP="005D2AE0"/>
        </w:tc>
        <w:tc>
          <w:tcPr>
            <w:tcW w:w="1378" w:type="dxa"/>
          </w:tcPr>
          <w:p w14:paraId="76E82BF8" w14:textId="7EC29B8A" w:rsidR="00B32F96" w:rsidRPr="00DE678E" w:rsidRDefault="00B32F96" w:rsidP="005D2AE0"/>
        </w:tc>
        <w:tc>
          <w:tcPr>
            <w:tcW w:w="1417" w:type="dxa"/>
          </w:tcPr>
          <w:p w14:paraId="43EBC1BA" w14:textId="33E54CDD" w:rsidR="00B32F96" w:rsidRPr="00DE678E" w:rsidRDefault="00B32F96" w:rsidP="005D2AE0">
            <w:pPr>
              <w:rPr>
                <w:b/>
              </w:rPr>
            </w:pPr>
          </w:p>
        </w:tc>
      </w:tr>
      <w:tr w:rsidR="00B32F96" w14:paraId="5138889F" w14:textId="77777777" w:rsidTr="00BF690D">
        <w:tc>
          <w:tcPr>
            <w:tcW w:w="2410" w:type="dxa"/>
          </w:tcPr>
          <w:p w14:paraId="6820B962" w14:textId="07172CA7" w:rsidR="00B32F96" w:rsidRPr="00DE678E" w:rsidRDefault="00B32F96" w:rsidP="005D2AE0">
            <w:r w:rsidRPr="00DE678E">
              <w:t>Non-user / Yes</w:t>
            </w:r>
          </w:p>
        </w:tc>
        <w:tc>
          <w:tcPr>
            <w:tcW w:w="1276" w:type="dxa"/>
          </w:tcPr>
          <w:p w14:paraId="4A74E1E2" w14:textId="1F18A7C3" w:rsidR="00B32F96" w:rsidRPr="00DE678E" w:rsidRDefault="00B32F96" w:rsidP="005D2AE0">
            <w:r w:rsidRPr="00DE678E">
              <w:t>2·94</w:t>
            </w:r>
          </w:p>
        </w:tc>
        <w:tc>
          <w:tcPr>
            <w:tcW w:w="850" w:type="dxa"/>
          </w:tcPr>
          <w:p w14:paraId="010A698E" w14:textId="0FE893F2" w:rsidR="00B32F96" w:rsidRPr="00DE678E" w:rsidRDefault="00B32F96" w:rsidP="005D2AE0">
            <w:r w:rsidRPr="00DE678E">
              <w:t>0·51</w:t>
            </w:r>
          </w:p>
        </w:tc>
        <w:tc>
          <w:tcPr>
            <w:tcW w:w="1316" w:type="dxa"/>
          </w:tcPr>
          <w:p w14:paraId="078026E2" w14:textId="688075EA" w:rsidR="00B32F96" w:rsidRPr="00DE678E" w:rsidRDefault="00B32F96" w:rsidP="005D2AE0">
            <w:r w:rsidRPr="00DE678E">
              <w:t>-0·03</w:t>
            </w:r>
          </w:p>
        </w:tc>
        <w:tc>
          <w:tcPr>
            <w:tcW w:w="1378" w:type="dxa"/>
          </w:tcPr>
          <w:p w14:paraId="5A606BB7" w14:textId="23388B65" w:rsidR="00B32F96" w:rsidRPr="005410F5" w:rsidRDefault="00B32F96" w:rsidP="005D2AE0">
            <w:pPr>
              <w:rPr>
                <w:bCs/>
                <w:i/>
                <w:iCs/>
              </w:rPr>
            </w:pPr>
            <w:r w:rsidRPr="005410F5">
              <w:rPr>
                <w:bCs/>
                <w:i/>
                <w:iCs/>
              </w:rPr>
              <w:t>-0·11</w:t>
            </w:r>
          </w:p>
        </w:tc>
        <w:tc>
          <w:tcPr>
            <w:tcW w:w="1417" w:type="dxa"/>
          </w:tcPr>
          <w:p w14:paraId="401138FD" w14:textId="4B485F0F" w:rsidR="00B32F96" w:rsidRPr="005410F5" w:rsidRDefault="00B32F96" w:rsidP="005D2AE0">
            <w:pPr>
              <w:rPr>
                <w:bCs/>
                <w:i/>
                <w:iCs/>
              </w:rPr>
            </w:pPr>
            <w:r w:rsidRPr="005410F5">
              <w:rPr>
                <w:bCs/>
                <w:i/>
                <w:iCs/>
              </w:rPr>
              <w:t>-0·12</w:t>
            </w:r>
          </w:p>
        </w:tc>
      </w:tr>
      <w:tr w:rsidR="00B32F96" w14:paraId="5231B1B9" w14:textId="77777777" w:rsidTr="00BF690D">
        <w:tc>
          <w:tcPr>
            <w:tcW w:w="2410" w:type="dxa"/>
          </w:tcPr>
          <w:p w14:paraId="00DE0E90" w14:textId="32739339" w:rsidR="00B32F96" w:rsidRPr="00DE678E" w:rsidRDefault="00B32F96" w:rsidP="005D2AE0">
            <w:r w:rsidRPr="00DE678E">
              <w:t>Non-user / No</w:t>
            </w:r>
          </w:p>
        </w:tc>
        <w:tc>
          <w:tcPr>
            <w:tcW w:w="1276" w:type="dxa"/>
          </w:tcPr>
          <w:p w14:paraId="61E152C6" w14:textId="16E3C435" w:rsidR="00B32F96" w:rsidRPr="00DE678E" w:rsidRDefault="00B32F96" w:rsidP="005D2AE0">
            <w:r w:rsidRPr="00DE678E">
              <w:t>2·97</w:t>
            </w:r>
          </w:p>
        </w:tc>
        <w:tc>
          <w:tcPr>
            <w:tcW w:w="850" w:type="dxa"/>
          </w:tcPr>
          <w:p w14:paraId="1C315312" w14:textId="3AEAD835" w:rsidR="00B32F96" w:rsidRPr="00DE678E" w:rsidRDefault="00B32F96" w:rsidP="005D2AE0">
            <w:r w:rsidRPr="00DE678E">
              <w:t>0·48</w:t>
            </w:r>
          </w:p>
        </w:tc>
        <w:tc>
          <w:tcPr>
            <w:tcW w:w="1316" w:type="dxa"/>
          </w:tcPr>
          <w:p w14:paraId="2B4C9003" w14:textId="31D2BC62" w:rsidR="00B32F96" w:rsidRPr="00DE678E" w:rsidRDefault="00B32F96" w:rsidP="005D2AE0"/>
        </w:tc>
        <w:tc>
          <w:tcPr>
            <w:tcW w:w="1378" w:type="dxa"/>
          </w:tcPr>
          <w:p w14:paraId="333D9EF4" w14:textId="5E753082" w:rsidR="00B32F96" w:rsidRPr="005410F5" w:rsidRDefault="00B32F96" w:rsidP="005D2AE0">
            <w:pPr>
              <w:rPr>
                <w:bCs/>
                <w:i/>
                <w:iCs/>
              </w:rPr>
            </w:pPr>
            <w:r w:rsidRPr="005410F5">
              <w:rPr>
                <w:bCs/>
                <w:i/>
                <w:iCs/>
              </w:rPr>
              <w:t>-0·79</w:t>
            </w:r>
          </w:p>
        </w:tc>
        <w:tc>
          <w:tcPr>
            <w:tcW w:w="1417" w:type="dxa"/>
          </w:tcPr>
          <w:p w14:paraId="5E07C4A4" w14:textId="50D2E176" w:rsidR="00B32F96" w:rsidRPr="005410F5" w:rsidRDefault="00B32F96" w:rsidP="005D2AE0">
            <w:pPr>
              <w:rPr>
                <w:bCs/>
                <w:i/>
                <w:iCs/>
              </w:rPr>
            </w:pPr>
            <w:r w:rsidRPr="005410F5">
              <w:rPr>
                <w:bCs/>
                <w:i/>
                <w:iCs/>
              </w:rPr>
              <w:t>-0·09</w:t>
            </w:r>
          </w:p>
        </w:tc>
      </w:tr>
      <w:tr w:rsidR="00B32F96" w14:paraId="28234C3E" w14:textId="77777777" w:rsidTr="00BF690D">
        <w:tc>
          <w:tcPr>
            <w:tcW w:w="2410" w:type="dxa"/>
          </w:tcPr>
          <w:p w14:paraId="577BE60A" w14:textId="45205DD5" w:rsidR="00B32F96" w:rsidRPr="00DE678E" w:rsidRDefault="00B32F96" w:rsidP="005D2AE0">
            <w:r w:rsidRPr="00DE678E">
              <w:t>User / Yes</w:t>
            </w:r>
          </w:p>
        </w:tc>
        <w:tc>
          <w:tcPr>
            <w:tcW w:w="1276" w:type="dxa"/>
          </w:tcPr>
          <w:p w14:paraId="4734F3AF" w14:textId="05BC98C9" w:rsidR="00B32F96" w:rsidRPr="00DE678E" w:rsidRDefault="00B32F96" w:rsidP="005D2AE0">
            <w:r w:rsidRPr="00DE678E">
              <w:t>3·05</w:t>
            </w:r>
          </w:p>
        </w:tc>
        <w:tc>
          <w:tcPr>
            <w:tcW w:w="850" w:type="dxa"/>
          </w:tcPr>
          <w:p w14:paraId="5575698C" w14:textId="2F3E19C8" w:rsidR="00B32F96" w:rsidRPr="00DE678E" w:rsidRDefault="00B32F96" w:rsidP="005D2AE0">
            <w:r w:rsidRPr="00DE678E">
              <w:t>0·54</w:t>
            </w:r>
          </w:p>
        </w:tc>
        <w:tc>
          <w:tcPr>
            <w:tcW w:w="1316" w:type="dxa"/>
          </w:tcPr>
          <w:p w14:paraId="145F0C0F" w14:textId="7A4C360F" w:rsidR="00B32F96" w:rsidRPr="00DE678E" w:rsidRDefault="00B32F96" w:rsidP="005D2AE0"/>
        </w:tc>
        <w:tc>
          <w:tcPr>
            <w:tcW w:w="1378" w:type="dxa"/>
          </w:tcPr>
          <w:p w14:paraId="1D5E5A04" w14:textId="77777777" w:rsidR="00B32F96" w:rsidRPr="00DE678E" w:rsidRDefault="00B32F96" w:rsidP="005D2AE0"/>
        </w:tc>
        <w:tc>
          <w:tcPr>
            <w:tcW w:w="1417" w:type="dxa"/>
          </w:tcPr>
          <w:p w14:paraId="47B018A1" w14:textId="7C6FE16C" w:rsidR="00B32F96" w:rsidRPr="00DE678E" w:rsidRDefault="00B32F96" w:rsidP="005D2AE0">
            <w:r w:rsidRPr="00DE678E">
              <w:t>-0·01</w:t>
            </w:r>
          </w:p>
        </w:tc>
      </w:tr>
      <w:tr w:rsidR="00B32F96" w14:paraId="00A19737" w14:textId="77777777" w:rsidTr="00BF690D">
        <w:tc>
          <w:tcPr>
            <w:tcW w:w="2410" w:type="dxa"/>
          </w:tcPr>
          <w:p w14:paraId="7B546246" w14:textId="6B27EF48" w:rsidR="00B32F96" w:rsidRPr="00DE678E" w:rsidRDefault="00B32F96" w:rsidP="005D2AE0">
            <w:r w:rsidRPr="00DE678E">
              <w:t>User / No</w:t>
            </w:r>
          </w:p>
        </w:tc>
        <w:tc>
          <w:tcPr>
            <w:tcW w:w="1276" w:type="dxa"/>
          </w:tcPr>
          <w:p w14:paraId="6F4B1A7A" w14:textId="76139184" w:rsidR="00B32F96" w:rsidRPr="00DE678E" w:rsidRDefault="00B32F96" w:rsidP="005D2AE0">
            <w:r w:rsidRPr="00DE678E">
              <w:t>3·07</w:t>
            </w:r>
          </w:p>
        </w:tc>
        <w:tc>
          <w:tcPr>
            <w:tcW w:w="850" w:type="dxa"/>
          </w:tcPr>
          <w:p w14:paraId="2F43AEAF" w14:textId="67C2789A" w:rsidR="00B32F96" w:rsidRPr="00DE678E" w:rsidRDefault="00B32F96" w:rsidP="005D2AE0">
            <w:r w:rsidRPr="00DE678E">
              <w:t>0·52</w:t>
            </w:r>
          </w:p>
        </w:tc>
        <w:tc>
          <w:tcPr>
            <w:tcW w:w="1316" w:type="dxa"/>
          </w:tcPr>
          <w:p w14:paraId="52914CDC" w14:textId="77777777" w:rsidR="00B32F96" w:rsidRPr="00DE678E" w:rsidRDefault="00B32F96" w:rsidP="005D2AE0"/>
        </w:tc>
        <w:tc>
          <w:tcPr>
            <w:tcW w:w="1378" w:type="dxa"/>
          </w:tcPr>
          <w:p w14:paraId="2B3E733B" w14:textId="77777777" w:rsidR="00B32F96" w:rsidRPr="00DE678E" w:rsidRDefault="00B32F96" w:rsidP="005D2AE0"/>
        </w:tc>
        <w:tc>
          <w:tcPr>
            <w:tcW w:w="1417" w:type="dxa"/>
          </w:tcPr>
          <w:p w14:paraId="15D77A13" w14:textId="77777777" w:rsidR="00B32F96" w:rsidRPr="00DE678E" w:rsidRDefault="00B32F96" w:rsidP="005D2AE0"/>
        </w:tc>
      </w:tr>
      <w:tr w:rsidR="00B32F96" w14:paraId="6F5862BD" w14:textId="77777777" w:rsidTr="00BF690D">
        <w:tc>
          <w:tcPr>
            <w:tcW w:w="2410" w:type="dxa"/>
          </w:tcPr>
          <w:p w14:paraId="6D309BCC" w14:textId="5F165472" w:rsidR="00B32F96" w:rsidRPr="00BB767B" w:rsidRDefault="00B32F96" w:rsidP="005D2AE0">
            <w:pPr>
              <w:rPr>
                <w:b/>
                <w:bCs/>
              </w:rPr>
            </w:pPr>
            <w:r w:rsidRPr="00BB767B">
              <w:rPr>
                <w:b/>
                <w:bCs/>
              </w:rPr>
              <w:t>eHLQ3</w:t>
            </w:r>
          </w:p>
        </w:tc>
        <w:tc>
          <w:tcPr>
            <w:tcW w:w="1276" w:type="dxa"/>
          </w:tcPr>
          <w:p w14:paraId="7CD5C091" w14:textId="7C619208" w:rsidR="00B32F96" w:rsidRPr="00DE678E" w:rsidRDefault="00B32F96" w:rsidP="005D2AE0"/>
        </w:tc>
        <w:tc>
          <w:tcPr>
            <w:tcW w:w="850" w:type="dxa"/>
          </w:tcPr>
          <w:p w14:paraId="2F496467" w14:textId="0BCE1753" w:rsidR="00B32F96" w:rsidRPr="00DE678E" w:rsidRDefault="00B32F96" w:rsidP="005D2AE0"/>
        </w:tc>
        <w:tc>
          <w:tcPr>
            <w:tcW w:w="1316" w:type="dxa"/>
          </w:tcPr>
          <w:p w14:paraId="2D9D8249" w14:textId="31685D3F" w:rsidR="00B32F96" w:rsidRPr="00DE678E" w:rsidRDefault="00B32F96" w:rsidP="005D2AE0"/>
        </w:tc>
        <w:tc>
          <w:tcPr>
            <w:tcW w:w="1378" w:type="dxa"/>
          </w:tcPr>
          <w:p w14:paraId="0E9BED36" w14:textId="2D264D18" w:rsidR="00B32F96" w:rsidRPr="00DE678E" w:rsidRDefault="00B32F96" w:rsidP="005D2AE0">
            <w:pPr>
              <w:rPr>
                <w:b/>
              </w:rPr>
            </w:pPr>
          </w:p>
        </w:tc>
        <w:tc>
          <w:tcPr>
            <w:tcW w:w="1417" w:type="dxa"/>
          </w:tcPr>
          <w:p w14:paraId="0EE7D70F" w14:textId="3B404F13" w:rsidR="00B32F96" w:rsidRPr="00DE678E" w:rsidRDefault="00B32F96" w:rsidP="005D2AE0">
            <w:pPr>
              <w:rPr>
                <w:b/>
              </w:rPr>
            </w:pPr>
          </w:p>
        </w:tc>
      </w:tr>
      <w:tr w:rsidR="00B32F96" w14:paraId="4EC08EB0" w14:textId="77777777" w:rsidTr="00BF690D">
        <w:tc>
          <w:tcPr>
            <w:tcW w:w="2410" w:type="dxa"/>
          </w:tcPr>
          <w:p w14:paraId="2CD0ECDD" w14:textId="05537AB5" w:rsidR="00B32F96" w:rsidRPr="00DE678E" w:rsidRDefault="00B32F96" w:rsidP="005D2AE0">
            <w:r w:rsidRPr="00DE678E">
              <w:t>Non-user / Yes</w:t>
            </w:r>
          </w:p>
        </w:tc>
        <w:tc>
          <w:tcPr>
            <w:tcW w:w="1276" w:type="dxa"/>
          </w:tcPr>
          <w:p w14:paraId="661BAC08" w14:textId="6E97381C" w:rsidR="00B32F96" w:rsidRPr="00DE678E" w:rsidRDefault="00B32F96" w:rsidP="005D2AE0">
            <w:r w:rsidRPr="00DE678E">
              <w:t>2·81</w:t>
            </w:r>
          </w:p>
        </w:tc>
        <w:tc>
          <w:tcPr>
            <w:tcW w:w="850" w:type="dxa"/>
          </w:tcPr>
          <w:p w14:paraId="4EA38F43" w14:textId="3A507984" w:rsidR="00B32F96" w:rsidRPr="00DE678E" w:rsidRDefault="00B32F96" w:rsidP="005D2AE0">
            <w:r w:rsidRPr="00DE678E">
              <w:t>0·72</w:t>
            </w:r>
          </w:p>
        </w:tc>
        <w:tc>
          <w:tcPr>
            <w:tcW w:w="1316" w:type="dxa"/>
          </w:tcPr>
          <w:p w14:paraId="73BBEDCE" w14:textId="3C5293CC" w:rsidR="00B32F96" w:rsidRPr="005410F5" w:rsidRDefault="00B32F96" w:rsidP="005D2AE0">
            <w:pPr>
              <w:rPr>
                <w:bCs/>
                <w:i/>
                <w:iCs/>
              </w:rPr>
            </w:pPr>
            <w:r w:rsidRPr="005410F5">
              <w:rPr>
                <w:bCs/>
                <w:i/>
                <w:iCs/>
              </w:rPr>
              <w:t>-0·17</w:t>
            </w:r>
          </w:p>
        </w:tc>
        <w:tc>
          <w:tcPr>
            <w:tcW w:w="1378" w:type="dxa"/>
          </w:tcPr>
          <w:p w14:paraId="0B9EEA54" w14:textId="46FCC097" w:rsidR="00B32F96" w:rsidRPr="005410F5" w:rsidRDefault="00B32F96" w:rsidP="005D2AE0">
            <w:pPr>
              <w:rPr>
                <w:bCs/>
                <w:i/>
                <w:iCs/>
              </w:rPr>
            </w:pPr>
            <w:r w:rsidRPr="005410F5">
              <w:rPr>
                <w:bCs/>
                <w:i/>
                <w:iCs/>
              </w:rPr>
              <w:t>-0·29</w:t>
            </w:r>
          </w:p>
        </w:tc>
        <w:tc>
          <w:tcPr>
            <w:tcW w:w="1417" w:type="dxa"/>
          </w:tcPr>
          <w:p w14:paraId="6A9060F8" w14:textId="697545A2" w:rsidR="00B32F96" w:rsidRPr="005410F5" w:rsidRDefault="00B32F96" w:rsidP="005D2AE0">
            <w:pPr>
              <w:rPr>
                <w:bCs/>
                <w:i/>
                <w:iCs/>
              </w:rPr>
            </w:pPr>
            <w:r w:rsidRPr="005410F5">
              <w:rPr>
                <w:bCs/>
                <w:i/>
                <w:iCs/>
              </w:rPr>
              <w:t>-0·39</w:t>
            </w:r>
          </w:p>
        </w:tc>
      </w:tr>
      <w:tr w:rsidR="00B32F96" w14:paraId="1AEDE9BD" w14:textId="77777777" w:rsidTr="00BF690D">
        <w:tc>
          <w:tcPr>
            <w:tcW w:w="2410" w:type="dxa"/>
          </w:tcPr>
          <w:p w14:paraId="4C2EE056" w14:textId="52FD3D74" w:rsidR="00B32F96" w:rsidRPr="00DE678E" w:rsidRDefault="00B32F96" w:rsidP="005D2AE0">
            <w:r w:rsidRPr="00DE678E">
              <w:t>Non-user / No</w:t>
            </w:r>
          </w:p>
        </w:tc>
        <w:tc>
          <w:tcPr>
            <w:tcW w:w="1276" w:type="dxa"/>
          </w:tcPr>
          <w:p w14:paraId="3D611A62" w14:textId="582B70AB" w:rsidR="00B32F96" w:rsidRPr="00DE678E" w:rsidRDefault="00B32F96" w:rsidP="005D2AE0">
            <w:r w:rsidRPr="00DE678E">
              <w:t>2·98</w:t>
            </w:r>
          </w:p>
        </w:tc>
        <w:tc>
          <w:tcPr>
            <w:tcW w:w="850" w:type="dxa"/>
          </w:tcPr>
          <w:p w14:paraId="513E04F5" w14:textId="158E2EAF" w:rsidR="00B32F96" w:rsidRPr="00DE678E" w:rsidRDefault="00B32F96" w:rsidP="005D2AE0">
            <w:r w:rsidRPr="00DE678E">
              <w:t>0·61</w:t>
            </w:r>
          </w:p>
        </w:tc>
        <w:tc>
          <w:tcPr>
            <w:tcW w:w="1316" w:type="dxa"/>
          </w:tcPr>
          <w:p w14:paraId="5350FF4C" w14:textId="76C5759A" w:rsidR="00B32F96" w:rsidRPr="005410F5" w:rsidRDefault="00B32F96" w:rsidP="005D2AE0">
            <w:pPr>
              <w:rPr>
                <w:bCs/>
                <w:i/>
                <w:iCs/>
              </w:rPr>
            </w:pPr>
          </w:p>
        </w:tc>
        <w:tc>
          <w:tcPr>
            <w:tcW w:w="1378" w:type="dxa"/>
          </w:tcPr>
          <w:p w14:paraId="655EEDB5" w14:textId="0AA1ABE5" w:rsidR="00B32F96" w:rsidRPr="005410F5" w:rsidRDefault="00B32F96" w:rsidP="005D2AE0">
            <w:pPr>
              <w:rPr>
                <w:bCs/>
                <w:i/>
                <w:iCs/>
              </w:rPr>
            </w:pPr>
            <w:r w:rsidRPr="005410F5">
              <w:rPr>
                <w:bCs/>
                <w:i/>
                <w:iCs/>
              </w:rPr>
              <w:t>-0·12</w:t>
            </w:r>
          </w:p>
        </w:tc>
        <w:tc>
          <w:tcPr>
            <w:tcW w:w="1417" w:type="dxa"/>
          </w:tcPr>
          <w:p w14:paraId="05D23690" w14:textId="774C2C22" w:rsidR="00B32F96" w:rsidRPr="005410F5" w:rsidRDefault="00B32F96" w:rsidP="005D2AE0">
            <w:pPr>
              <w:rPr>
                <w:bCs/>
                <w:i/>
                <w:iCs/>
              </w:rPr>
            </w:pPr>
            <w:r w:rsidRPr="005410F5">
              <w:rPr>
                <w:bCs/>
                <w:i/>
                <w:iCs/>
              </w:rPr>
              <w:t>-0·22</w:t>
            </w:r>
          </w:p>
        </w:tc>
      </w:tr>
      <w:tr w:rsidR="00B32F96" w14:paraId="19E8CD5A" w14:textId="77777777" w:rsidTr="00BF690D">
        <w:tc>
          <w:tcPr>
            <w:tcW w:w="2410" w:type="dxa"/>
          </w:tcPr>
          <w:p w14:paraId="342CB9F9" w14:textId="4045FA2E" w:rsidR="00B32F96" w:rsidRPr="00DE678E" w:rsidRDefault="00B32F96" w:rsidP="005D2AE0">
            <w:r w:rsidRPr="00DE678E">
              <w:t>User / Yes</w:t>
            </w:r>
          </w:p>
        </w:tc>
        <w:tc>
          <w:tcPr>
            <w:tcW w:w="1276" w:type="dxa"/>
          </w:tcPr>
          <w:p w14:paraId="32E755C8" w14:textId="579B8ADB" w:rsidR="00B32F96" w:rsidRPr="00DE678E" w:rsidRDefault="00B32F96" w:rsidP="005D2AE0">
            <w:r w:rsidRPr="00DE678E">
              <w:t>3·10</w:t>
            </w:r>
          </w:p>
        </w:tc>
        <w:tc>
          <w:tcPr>
            <w:tcW w:w="850" w:type="dxa"/>
          </w:tcPr>
          <w:p w14:paraId="6FD2A8B4" w14:textId="052ACCBA" w:rsidR="00B32F96" w:rsidRPr="00DE678E" w:rsidRDefault="00B32F96" w:rsidP="005D2AE0">
            <w:r w:rsidRPr="00DE678E">
              <w:t>0·66</w:t>
            </w:r>
          </w:p>
        </w:tc>
        <w:tc>
          <w:tcPr>
            <w:tcW w:w="1316" w:type="dxa"/>
          </w:tcPr>
          <w:p w14:paraId="7F9EF36E" w14:textId="73BDE021" w:rsidR="00B32F96" w:rsidRPr="005410F5" w:rsidRDefault="00B32F96" w:rsidP="005D2AE0">
            <w:pPr>
              <w:rPr>
                <w:bCs/>
                <w:i/>
                <w:iCs/>
              </w:rPr>
            </w:pPr>
          </w:p>
        </w:tc>
        <w:tc>
          <w:tcPr>
            <w:tcW w:w="1378" w:type="dxa"/>
          </w:tcPr>
          <w:p w14:paraId="0FEDAE7C" w14:textId="77777777" w:rsidR="00B32F96" w:rsidRPr="005410F5" w:rsidRDefault="00B32F96" w:rsidP="005D2AE0">
            <w:pPr>
              <w:rPr>
                <w:bCs/>
                <w:i/>
                <w:iCs/>
              </w:rPr>
            </w:pPr>
          </w:p>
        </w:tc>
        <w:tc>
          <w:tcPr>
            <w:tcW w:w="1417" w:type="dxa"/>
          </w:tcPr>
          <w:p w14:paraId="2C4B97B3" w14:textId="55FCB4E4" w:rsidR="00B32F96" w:rsidRPr="005410F5" w:rsidRDefault="00B32F96" w:rsidP="005D2AE0">
            <w:pPr>
              <w:rPr>
                <w:bCs/>
                <w:i/>
                <w:iCs/>
              </w:rPr>
            </w:pPr>
            <w:r w:rsidRPr="005410F5">
              <w:rPr>
                <w:bCs/>
                <w:i/>
                <w:iCs/>
              </w:rPr>
              <w:t>-0·11</w:t>
            </w:r>
          </w:p>
        </w:tc>
      </w:tr>
      <w:tr w:rsidR="00B32F96" w14:paraId="36CE1804" w14:textId="77777777" w:rsidTr="00BF690D">
        <w:tc>
          <w:tcPr>
            <w:tcW w:w="2410" w:type="dxa"/>
          </w:tcPr>
          <w:p w14:paraId="5BCD0EAB" w14:textId="5AB466F1" w:rsidR="00B32F96" w:rsidRPr="00DE678E" w:rsidRDefault="00B32F96" w:rsidP="005D2AE0">
            <w:r w:rsidRPr="00DE678E">
              <w:t>User / No</w:t>
            </w:r>
          </w:p>
        </w:tc>
        <w:tc>
          <w:tcPr>
            <w:tcW w:w="1276" w:type="dxa"/>
          </w:tcPr>
          <w:p w14:paraId="64B89FD8" w14:textId="55DE1CC4" w:rsidR="00B32F96" w:rsidRPr="00DE678E" w:rsidRDefault="00B32F96" w:rsidP="005D2AE0">
            <w:r w:rsidRPr="00DE678E">
              <w:t>3·21</w:t>
            </w:r>
          </w:p>
        </w:tc>
        <w:tc>
          <w:tcPr>
            <w:tcW w:w="850" w:type="dxa"/>
          </w:tcPr>
          <w:p w14:paraId="19D906A0" w14:textId="450276A6" w:rsidR="00B32F96" w:rsidRPr="00DE678E" w:rsidRDefault="00B32F96" w:rsidP="005D2AE0">
            <w:r w:rsidRPr="00DE678E">
              <w:t>0·58</w:t>
            </w:r>
          </w:p>
        </w:tc>
        <w:tc>
          <w:tcPr>
            <w:tcW w:w="1316" w:type="dxa"/>
          </w:tcPr>
          <w:p w14:paraId="35DFE3D8" w14:textId="77777777" w:rsidR="00B32F96" w:rsidRPr="00DE678E" w:rsidRDefault="00B32F96" w:rsidP="005D2AE0"/>
        </w:tc>
        <w:tc>
          <w:tcPr>
            <w:tcW w:w="1378" w:type="dxa"/>
          </w:tcPr>
          <w:p w14:paraId="6934A664" w14:textId="77777777" w:rsidR="00B32F96" w:rsidRPr="00DE678E" w:rsidRDefault="00B32F96" w:rsidP="005D2AE0"/>
        </w:tc>
        <w:tc>
          <w:tcPr>
            <w:tcW w:w="1417" w:type="dxa"/>
          </w:tcPr>
          <w:p w14:paraId="23E02AC3" w14:textId="77777777" w:rsidR="00B32F96" w:rsidRPr="00DE678E" w:rsidRDefault="00B32F96" w:rsidP="005D2AE0"/>
        </w:tc>
      </w:tr>
      <w:tr w:rsidR="00B32F96" w14:paraId="5153CFCF" w14:textId="77777777" w:rsidTr="00BF690D">
        <w:tc>
          <w:tcPr>
            <w:tcW w:w="2410" w:type="dxa"/>
          </w:tcPr>
          <w:p w14:paraId="131AA86D" w14:textId="76B290C6" w:rsidR="00B32F96" w:rsidRPr="00BB767B" w:rsidRDefault="00B32F96" w:rsidP="005D2AE0">
            <w:pPr>
              <w:rPr>
                <w:b/>
                <w:bCs/>
              </w:rPr>
            </w:pPr>
            <w:r w:rsidRPr="00BB767B">
              <w:rPr>
                <w:b/>
                <w:bCs/>
              </w:rPr>
              <w:t xml:space="preserve">eHLQ4 </w:t>
            </w:r>
          </w:p>
        </w:tc>
        <w:tc>
          <w:tcPr>
            <w:tcW w:w="1276" w:type="dxa"/>
          </w:tcPr>
          <w:p w14:paraId="00BC0FF4" w14:textId="55565423" w:rsidR="00B32F96" w:rsidRPr="00DE678E" w:rsidRDefault="00B32F96" w:rsidP="005D2AE0"/>
        </w:tc>
        <w:tc>
          <w:tcPr>
            <w:tcW w:w="850" w:type="dxa"/>
          </w:tcPr>
          <w:p w14:paraId="49BCB984" w14:textId="7D7A3BD5" w:rsidR="00B32F96" w:rsidRPr="00DE678E" w:rsidRDefault="00B32F96" w:rsidP="005D2AE0"/>
        </w:tc>
        <w:tc>
          <w:tcPr>
            <w:tcW w:w="1316" w:type="dxa"/>
          </w:tcPr>
          <w:p w14:paraId="6825C76E" w14:textId="172B9184" w:rsidR="00B32F96" w:rsidRPr="00DE678E" w:rsidRDefault="00B32F96" w:rsidP="005D2AE0"/>
        </w:tc>
        <w:tc>
          <w:tcPr>
            <w:tcW w:w="1378" w:type="dxa"/>
          </w:tcPr>
          <w:p w14:paraId="0C60C166" w14:textId="0C6B9B25" w:rsidR="00B32F96" w:rsidRPr="00DE678E" w:rsidRDefault="00B32F96" w:rsidP="005D2AE0"/>
        </w:tc>
        <w:tc>
          <w:tcPr>
            <w:tcW w:w="1417" w:type="dxa"/>
          </w:tcPr>
          <w:p w14:paraId="76E811E2" w14:textId="38F43A41" w:rsidR="00B32F96" w:rsidRPr="00DE678E" w:rsidRDefault="00B32F96" w:rsidP="005D2AE0"/>
        </w:tc>
      </w:tr>
      <w:tr w:rsidR="00B32F96" w14:paraId="25EF1F16" w14:textId="77777777" w:rsidTr="00BF690D">
        <w:tc>
          <w:tcPr>
            <w:tcW w:w="2410" w:type="dxa"/>
          </w:tcPr>
          <w:p w14:paraId="17580694" w14:textId="523EDAFB" w:rsidR="00B32F96" w:rsidRPr="00DE678E" w:rsidRDefault="00B32F96" w:rsidP="005D2AE0">
            <w:r w:rsidRPr="00DE678E">
              <w:t>Non-user / Yes</w:t>
            </w:r>
          </w:p>
        </w:tc>
        <w:tc>
          <w:tcPr>
            <w:tcW w:w="1276" w:type="dxa"/>
          </w:tcPr>
          <w:p w14:paraId="27010F18" w14:textId="5063BE00" w:rsidR="00B32F96" w:rsidRPr="00DE678E" w:rsidRDefault="00B32F96" w:rsidP="005D2AE0">
            <w:r w:rsidRPr="00DE678E">
              <w:t>2·96</w:t>
            </w:r>
          </w:p>
        </w:tc>
        <w:tc>
          <w:tcPr>
            <w:tcW w:w="850" w:type="dxa"/>
          </w:tcPr>
          <w:p w14:paraId="6EACCF74" w14:textId="1D7CF8A5" w:rsidR="00B32F96" w:rsidRPr="00DE678E" w:rsidRDefault="00B32F96" w:rsidP="005D2AE0">
            <w:r w:rsidRPr="00DE678E">
              <w:t>0·59</w:t>
            </w:r>
          </w:p>
        </w:tc>
        <w:tc>
          <w:tcPr>
            <w:tcW w:w="1316" w:type="dxa"/>
          </w:tcPr>
          <w:p w14:paraId="769F76C5" w14:textId="5E5B81F8" w:rsidR="00B32F96" w:rsidRPr="00DE678E" w:rsidRDefault="00B32F96" w:rsidP="005D2AE0">
            <w:r w:rsidRPr="00DE678E">
              <w:t>0·01</w:t>
            </w:r>
          </w:p>
        </w:tc>
        <w:tc>
          <w:tcPr>
            <w:tcW w:w="1378" w:type="dxa"/>
          </w:tcPr>
          <w:p w14:paraId="5E9C577B" w14:textId="7795F17D" w:rsidR="00B32F96" w:rsidRPr="00DE678E" w:rsidRDefault="00B32F96" w:rsidP="005D2AE0">
            <w:r w:rsidRPr="00DE678E">
              <w:t>0·02</w:t>
            </w:r>
          </w:p>
        </w:tc>
        <w:tc>
          <w:tcPr>
            <w:tcW w:w="1417" w:type="dxa"/>
          </w:tcPr>
          <w:p w14:paraId="2ED4E386" w14:textId="4E5E45EA" w:rsidR="00B32F96" w:rsidRPr="00DE678E" w:rsidRDefault="00B32F96" w:rsidP="005D2AE0">
            <w:r w:rsidRPr="00DE678E">
              <w:t>-0·01</w:t>
            </w:r>
          </w:p>
        </w:tc>
      </w:tr>
      <w:tr w:rsidR="00B32F96" w14:paraId="077CCECD" w14:textId="77777777" w:rsidTr="00BF690D">
        <w:tc>
          <w:tcPr>
            <w:tcW w:w="2410" w:type="dxa"/>
          </w:tcPr>
          <w:p w14:paraId="61885D37" w14:textId="11AD0571" w:rsidR="00B32F96" w:rsidRPr="00DE678E" w:rsidRDefault="00B32F96" w:rsidP="005D2AE0">
            <w:r w:rsidRPr="00DE678E">
              <w:t>Non-user / No</w:t>
            </w:r>
          </w:p>
        </w:tc>
        <w:tc>
          <w:tcPr>
            <w:tcW w:w="1276" w:type="dxa"/>
          </w:tcPr>
          <w:p w14:paraId="476CF919" w14:textId="35B674F3" w:rsidR="00B32F96" w:rsidRPr="00DE678E" w:rsidRDefault="00B32F96" w:rsidP="005D2AE0">
            <w:r w:rsidRPr="00DE678E">
              <w:t>2·95</w:t>
            </w:r>
          </w:p>
        </w:tc>
        <w:tc>
          <w:tcPr>
            <w:tcW w:w="850" w:type="dxa"/>
          </w:tcPr>
          <w:p w14:paraId="3A9D000F" w14:textId="33B17142" w:rsidR="00B32F96" w:rsidRPr="00DE678E" w:rsidRDefault="00B32F96" w:rsidP="005D2AE0">
            <w:r w:rsidRPr="00DE678E">
              <w:t>0·57</w:t>
            </w:r>
          </w:p>
        </w:tc>
        <w:tc>
          <w:tcPr>
            <w:tcW w:w="1316" w:type="dxa"/>
          </w:tcPr>
          <w:p w14:paraId="34182055" w14:textId="47D7132D" w:rsidR="00B32F96" w:rsidRPr="00DE678E" w:rsidRDefault="00B32F96" w:rsidP="005D2AE0"/>
        </w:tc>
        <w:tc>
          <w:tcPr>
            <w:tcW w:w="1378" w:type="dxa"/>
          </w:tcPr>
          <w:p w14:paraId="1C9D3167" w14:textId="3952C8CB" w:rsidR="00B32F96" w:rsidRPr="00DE678E" w:rsidRDefault="00B32F96" w:rsidP="005D2AE0">
            <w:r w:rsidRPr="00DE678E">
              <w:t>0·02</w:t>
            </w:r>
          </w:p>
        </w:tc>
        <w:tc>
          <w:tcPr>
            <w:tcW w:w="1417" w:type="dxa"/>
          </w:tcPr>
          <w:p w14:paraId="557CEBB2" w14:textId="37EDE917" w:rsidR="00B32F96" w:rsidRPr="00DE678E" w:rsidRDefault="00B32F96" w:rsidP="005D2AE0">
            <w:r w:rsidRPr="00DE678E">
              <w:t>-0·02</w:t>
            </w:r>
          </w:p>
        </w:tc>
      </w:tr>
      <w:tr w:rsidR="00B32F96" w14:paraId="1454966C" w14:textId="77777777" w:rsidTr="00BF690D">
        <w:tc>
          <w:tcPr>
            <w:tcW w:w="2410" w:type="dxa"/>
          </w:tcPr>
          <w:p w14:paraId="5A1647B7" w14:textId="3D13ECED" w:rsidR="00B32F96" w:rsidRPr="00DE678E" w:rsidRDefault="00B32F96" w:rsidP="005D2AE0">
            <w:r w:rsidRPr="00DE678E">
              <w:t>User / Yes</w:t>
            </w:r>
          </w:p>
        </w:tc>
        <w:tc>
          <w:tcPr>
            <w:tcW w:w="1276" w:type="dxa"/>
          </w:tcPr>
          <w:p w14:paraId="23CA2EFE" w14:textId="40750435" w:rsidR="00B32F96" w:rsidRPr="00DE678E" w:rsidRDefault="00B32F96" w:rsidP="005D2AE0">
            <w:r w:rsidRPr="00DE678E">
              <w:t>2·94</w:t>
            </w:r>
          </w:p>
        </w:tc>
        <w:tc>
          <w:tcPr>
            <w:tcW w:w="850" w:type="dxa"/>
          </w:tcPr>
          <w:p w14:paraId="1E799540" w14:textId="642F435D" w:rsidR="00B32F96" w:rsidRPr="00DE678E" w:rsidRDefault="00B32F96" w:rsidP="005D2AE0">
            <w:r w:rsidRPr="00DE678E">
              <w:t>0·67</w:t>
            </w:r>
          </w:p>
        </w:tc>
        <w:tc>
          <w:tcPr>
            <w:tcW w:w="1316" w:type="dxa"/>
          </w:tcPr>
          <w:p w14:paraId="395F7CF6" w14:textId="29EA4CB6" w:rsidR="00B32F96" w:rsidRPr="00DE678E" w:rsidRDefault="00B32F96" w:rsidP="005D2AE0"/>
        </w:tc>
        <w:tc>
          <w:tcPr>
            <w:tcW w:w="1378" w:type="dxa"/>
          </w:tcPr>
          <w:p w14:paraId="1F49B280" w14:textId="77777777" w:rsidR="00B32F96" w:rsidRPr="00DE678E" w:rsidRDefault="00B32F96" w:rsidP="005D2AE0"/>
        </w:tc>
        <w:tc>
          <w:tcPr>
            <w:tcW w:w="1417" w:type="dxa"/>
          </w:tcPr>
          <w:p w14:paraId="695196C3" w14:textId="04382606" w:rsidR="00B32F96" w:rsidRPr="00DE678E" w:rsidRDefault="00B32F96" w:rsidP="005D2AE0">
            <w:r w:rsidRPr="00DE678E">
              <w:t>-0·03</w:t>
            </w:r>
          </w:p>
        </w:tc>
      </w:tr>
      <w:tr w:rsidR="00B32F96" w14:paraId="0EE2C053" w14:textId="77777777" w:rsidTr="00BF690D">
        <w:tc>
          <w:tcPr>
            <w:tcW w:w="2410" w:type="dxa"/>
          </w:tcPr>
          <w:p w14:paraId="4B6C4E2E" w14:textId="7917627B" w:rsidR="00B32F96" w:rsidRPr="00DE678E" w:rsidRDefault="00B32F96" w:rsidP="005D2AE0">
            <w:r w:rsidRPr="00DE678E">
              <w:t>User / No</w:t>
            </w:r>
          </w:p>
        </w:tc>
        <w:tc>
          <w:tcPr>
            <w:tcW w:w="1276" w:type="dxa"/>
          </w:tcPr>
          <w:p w14:paraId="15002723" w14:textId="112A12A1" w:rsidR="00B32F96" w:rsidRPr="00DE678E" w:rsidRDefault="00B32F96" w:rsidP="005D2AE0">
            <w:r w:rsidRPr="00DE678E">
              <w:t>2·97</w:t>
            </w:r>
          </w:p>
        </w:tc>
        <w:tc>
          <w:tcPr>
            <w:tcW w:w="850" w:type="dxa"/>
          </w:tcPr>
          <w:p w14:paraId="41EA16D2" w14:textId="16196D67" w:rsidR="00B32F96" w:rsidRPr="00DE678E" w:rsidRDefault="00B32F96" w:rsidP="005D2AE0">
            <w:r w:rsidRPr="00DE678E">
              <w:t>0·65</w:t>
            </w:r>
          </w:p>
        </w:tc>
        <w:tc>
          <w:tcPr>
            <w:tcW w:w="1316" w:type="dxa"/>
          </w:tcPr>
          <w:p w14:paraId="4C7A5D77" w14:textId="77777777" w:rsidR="00B32F96" w:rsidRPr="00DE678E" w:rsidRDefault="00B32F96" w:rsidP="005D2AE0"/>
        </w:tc>
        <w:tc>
          <w:tcPr>
            <w:tcW w:w="1378" w:type="dxa"/>
          </w:tcPr>
          <w:p w14:paraId="0D607CA5" w14:textId="77777777" w:rsidR="00B32F96" w:rsidRPr="00DE678E" w:rsidRDefault="00B32F96" w:rsidP="005D2AE0"/>
        </w:tc>
        <w:tc>
          <w:tcPr>
            <w:tcW w:w="1417" w:type="dxa"/>
          </w:tcPr>
          <w:p w14:paraId="499A7452" w14:textId="77777777" w:rsidR="00B32F96" w:rsidRPr="00DE678E" w:rsidRDefault="00B32F96" w:rsidP="005D2AE0"/>
        </w:tc>
      </w:tr>
      <w:tr w:rsidR="00B32F96" w14:paraId="2155C02F" w14:textId="77777777" w:rsidTr="00BF690D">
        <w:tc>
          <w:tcPr>
            <w:tcW w:w="2410" w:type="dxa"/>
          </w:tcPr>
          <w:p w14:paraId="0C1B64C2" w14:textId="3B68E355" w:rsidR="00B32F96" w:rsidRPr="007815D1" w:rsidRDefault="00B32F96" w:rsidP="005D2AE0">
            <w:pPr>
              <w:rPr>
                <w:b/>
                <w:bCs/>
              </w:rPr>
            </w:pPr>
            <w:r w:rsidRPr="007815D1">
              <w:rPr>
                <w:b/>
                <w:bCs/>
              </w:rPr>
              <w:t>eHLQ5</w:t>
            </w:r>
          </w:p>
        </w:tc>
        <w:tc>
          <w:tcPr>
            <w:tcW w:w="1276" w:type="dxa"/>
          </w:tcPr>
          <w:p w14:paraId="11F530CF" w14:textId="7FFCF658" w:rsidR="00B32F96" w:rsidRPr="00DE678E" w:rsidRDefault="00B32F96" w:rsidP="005D2AE0"/>
        </w:tc>
        <w:tc>
          <w:tcPr>
            <w:tcW w:w="850" w:type="dxa"/>
          </w:tcPr>
          <w:p w14:paraId="065E2FDF" w14:textId="4ECBEAD6" w:rsidR="00B32F96" w:rsidRPr="00DE678E" w:rsidRDefault="00B32F96" w:rsidP="005D2AE0"/>
        </w:tc>
        <w:tc>
          <w:tcPr>
            <w:tcW w:w="1316" w:type="dxa"/>
          </w:tcPr>
          <w:p w14:paraId="665F3A1A" w14:textId="1FAD1A05" w:rsidR="00B32F96" w:rsidRPr="00DE678E" w:rsidRDefault="00B32F96" w:rsidP="005D2AE0"/>
        </w:tc>
        <w:tc>
          <w:tcPr>
            <w:tcW w:w="1378" w:type="dxa"/>
          </w:tcPr>
          <w:p w14:paraId="6E44EB35" w14:textId="664C7EE6" w:rsidR="00B32F96" w:rsidRPr="00DE678E" w:rsidRDefault="00B32F96" w:rsidP="005D2AE0"/>
        </w:tc>
        <w:tc>
          <w:tcPr>
            <w:tcW w:w="1417" w:type="dxa"/>
          </w:tcPr>
          <w:p w14:paraId="65004271" w14:textId="2C2D70C8" w:rsidR="00B32F96" w:rsidRPr="00DE678E" w:rsidRDefault="00B32F96" w:rsidP="005D2AE0">
            <w:pPr>
              <w:rPr>
                <w:b/>
              </w:rPr>
            </w:pPr>
          </w:p>
        </w:tc>
      </w:tr>
      <w:tr w:rsidR="00B32F96" w14:paraId="4A5FBF91" w14:textId="77777777" w:rsidTr="00BF690D">
        <w:tc>
          <w:tcPr>
            <w:tcW w:w="2410" w:type="dxa"/>
          </w:tcPr>
          <w:p w14:paraId="71BA9FF7" w14:textId="0D88FD9B" w:rsidR="00B32F96" w:rsidRPr="00DE678E" w:rsidRDefault="00B32F96" w:rsidP="007815D1">
            <w:r w:rsidRPr="00DE678E">
              <w:t>Non-user / Yes</w:t>
            </w:r>
          </w:p>
        </w:tc>
        <w:tc>
          <w:tcPr>
            <w:tcW w:w="1276" w:type="dxa"/>
          </w:tcPr>
          <w:p w14:paraId="1F97BF38" w14:textId="5B75DD01" w:rsidR="00B32F96" w:rsidRPr="00DE678E" w:rsidRDefault="00B32F96" w:rsidP="007815D1">
            <w:r w:rsidRPr="00DE678E">
              <w:t>2·47</w:t>
            </w:r>
          </w:p>
        </w:tc>
        <w:tc>
          <w:tcPr>
            <w:tcW w:w="850" w:type="dxa"/>
          </w:tcPr>
          <w:p w14:paraId="1B8F7DD2" w14:textId="53AC43F5" w:rsidR="00B32F96" w:rsidRPr="00DE678E" w:rsidRDefault="00B32F96" w:rsidP="007815D1">
            <w:r w:rsidRPr="00DE678E">
              <w:t>0·64</w:t>
            </w:r>
          </w:p>
        </w:tc>
        <w:tc>
          <w:tcPr>
            <w:tcW w:w="1316" w:type="dxa"/>
          </w:tcPr>
          <w:p w14:paraId="6ADA96C9" w14:textId="12B7EA9E" w:rsidR="00B32F96" w:rsidRPr="00DE678E" w:rsidRDefault="00B32F96" w:rsidP="007815D1">
            <w:r w:rsidRPr="00DE678E">
              <w:t>-0·07</w:t>
            </w:r>
          </w:p>
        </w:tc>
        <w:tc>
          <w:tcPr>
            <w:tcW w:w="1378" w:type="dxa"/>
          </w:tcPr>
          <w:p w14:paraId="5ED79162" w14:textId="34B0765B" w:rsidR="00B32F96" w:rsidRPr="005410F5" w:rsidRDefault="00B32F96" w:rsidP="007815D1">
            <w:pPr>
              <w:rPr>
                <w:bCs/>
                <w:i/>
                <w:iCs/>
              </w:rPr>
            </w:pPr>
            <w:r w:rsidRPr="005410F5">
              <w:rPr>
                <w:bCs/>
                <w:i/>
                <w:iCs/>
              </w:rPr>
              <w:t>-0·18</w:t>
            </w:r>
          </w:p>
        </w:tc>
        <w:tc>
          <w:tcPr>
            <w:tcW w:w="1417" w:type="dxa"/>
          </w:tcPr>
          <w:p w14:paraId="0EF139E4" w14:textId="70B95B6B" w:rsidR="00B32F96" w:rsidRPr="005410F5" w:rsidRDefault="00B32F96" w:rsidP="007815D1">
            <w:pPr>
              <w:rPr>
                <w:bCs/>
                <w:i/>
                <w:iCs/>
              </w:rPr>
            </w:pPr>
            <w:r w:rsidRPr="005410F5">
              <w:rPr>
                <w:bCs/>
                <w:i/>
                <w:iCs/>
              </w:rPr>
              <w:t>-0·24</w:t>
            </w:r>
          </w:p>
        </w:tc>
      </w:tr>
      <w:tr w:rsidR="00B32F96" w14:paraId="1991E078" w14:textId="77777777" w:rsidTr="00BF690D">
        <w:tc>
          <w:tcPr>
            <w:tcW w:w="2410" w:type="dxa"/>
          </w:tcPr>
          <w:p w14:paraId="5644FD22" w14:textId="11F51A53" w:rsidR="00B32F96" w:rsidRPr="00DE678E" w:rsidRDefault="00B32F96" w:rsidP="007815D1">
            <w:r w:rsidRPr="00DE678E">
              <w:t>Non-user / No</w:t>
            </w:r>
          </w:p>
        </w:tc>
        <w:tc>
          <w:tcPr>
            <w:tcW w:w="1276" w:type="dxa"/>
          </w:tcPr>
          <w:p w14:paraId="2FAFEAED" w14:textId="02FF9EC6" w:rsidR="00B32F96" w:rsidRPr="00DE678E" w:rsidRDefault="00B32F96" w:rsidP="007815D1">
            <w:r w:rsidRPr="00DE678E">
              <w:t>2·54</w:t>
            </w:r>
          </w:p>
        </w:tc>
        <w:tc>
          <w:tcPr>
            <w:tcW w:w="850" w:type="dxa"/>
          </w:tcPr>
          <w:p w14:paraId="0AD45D51" w14:textId="237AC362" w:rsidR="00B32F96" w:rsidRPr="00DE678E" w:rsidRDefault="00B32F96" w:rsidP="007815D1">
            <w:r w:rsidRPr="00DE678E">
              <w:t>0·61</w:t>
            </w:r>
          </w:p>
        </w:tc>
        <w:tc>
          <w:tcPr>
            <w:tcW w:w="1316" w:type="dxa"/>
          </w:tcPr>
          <w:p w14:paraId="100CB064" w14:textId="2510F08B" w:rsidR="00B32F96" w:rsidRPr="00DE678E" w:rsidRDefault="00B32F96" w:rsidP="007815D1"/>
        </w:tc>
        <w:tc>
          <w:tcPr>
            <w:tcW w:w="1378" w:type="dxa"/>
          </w:tcPr>
          <w:p w14:paraId="51D79623" w14:textId="37A65BF3" w:rsidR="00B32F96" w:rsidRPr="005410F5" w:rsidRDefault="00B32F96" w:rsidP="007815D1">
            <w:pPr>
              <w:rPr>
                <w:bCs/>
                <w:i/>
                <w:iCs/>
              </w:rPr>
            </w:pPr>
            <w:r w:rsidRPr="005410F5">
              <w:rPr>
                <w:bCs/>
                <w:i/>
                <w:iCs/>
              </w:rPr>
              <w:t>-0·10</w:t>
            </w:r>
          </w:p>
        </w:tc>
        <w:tc>
          <w:tcPr>
            <w:tcW w:w="1417" w:type="dxa"/>
          </w:tcPr>
          <w:p w14:paraId="56A7A431" w14:textId="04223F7D" w:rsidR="00B32F96" w:rsidRPr="005410F5" w:rsidRDefault="00B32F96" w:rsidP="007815D1">
            <w:pPr>
              <w:rPr>
                <w:bCs/>
                <w:i/>
                <w:iCs/>
              </w:rPr>
            </w:pPr>
            <w:r w:rsidRPr="005410F5">
              <w:rPr>
                <w:bCs/>
                <w:i/>
                <w:iCs/>
              </w:rPr>
              <w:t>-0·17</w:t>
            </w:r>
          </w:p>
        </w:tc>
      </w:tr>
      <w:tr w:rsidR="00B32F96" w14:paraId="1516F0B2" w14:textId="77777777" w:rsidTr="00BF690D">
        <w:tc>
          <w:tcPr>
            <w:tcW w:w="2410" w:type="dxa"/>
          </w:tcPr>
          <w:p w14:paraId="0C5D215B" w14:textId="30EA5974" w:rsidR="00B32F96" w:rsidRPr="00DE678E" w:rsidRDefault="00B32F96" w:rsidP="007815D1">
            <w:r w:rsidRPr="00DE678E">
              <w:t>User / Yes</w:t>
            </w:r>
          </w:p>
        </w:tc>
        <w:tc>
          <w:tcPr>
            <w:tcW w:w="1276" w:type="dxa"/>
          </w:tcPr>
          <w:p w14:paraId="6BD557A7" w14:textId="29769614" w:rsidR="00B32F96" w:rsidRPr="00DE678E" w:rsidRDefault="00B32F96" w:rsidP="007815D1">
            <w:r w:rsidRPr="00DE678E">
              <w:t>2·64</w:t>
            </w:r>
          </w:p>
        </w:tc>
        <w:tc>
          <w:tcPr>
            <w:tcW w:w="850" w:type="dxa"/>
          </w:tcPr>
          <w:p w14:paraId="72909953" w14:textId="45683610" w:rsidR="00B32F96" w:rsidRPr="00DE678E" w:rsidRDefault="00B32F96" w:rsidP="007815D1">
            <w:r w:rsidRPr="00DE678E">
              <w:t>0·64</w:t>
            </w:r>
          </w:p>
        </w:tc>
        <w:tc>
          <w:tcPr>
            <w:tcW w:w="1316" w:type="dxa"/>
          </w:tcPr>
          <w:p w14:paraId="30570881" w14:textId="45A2BBE6" w:rsidR="00B32F96" w:rsidRPr="00DE678E" w:rsidRDefault="00B32F96" w:rsidP="007815D1"/>
        </w:tc>
        <w:tc>
          <w:tcPr>
            <w:tcW w:w="1378" w:type="dxa"/>
          </w:tcPr>
          <w:p w14:paraId="15EE0060" w14:textId="77777777" w:rsidR="00B32F96" w:rsidRPr="00DE678E" w:rsidRDefault="00B32F96" w:rsidP="007815D1"/>
        </w:tc>
        <w:tc>
          <w:tcPr>
            <w:tcW w:w="1417" w:type="dxa"/>
          </w:tcPr>
          <w:p w14:paraId="66912F99" w14:textId="49EED183" w:rsidR="00B32F96" w:rsidRPr="00DE678E" w:rsidRDefault="00B32F96" w:rsidP="007815D1">
            <w:r w:rsidRPr="00DE678E">
              <w:t>-0·07</w:t>
            </w:r>
          </w:p>
        </w:tc>
      </w:tr>
      <w:tr w:rsidR="00B32F96" w14:paraId="6C0C97FA" w14:textId="77777777" w:rsidTr="00BF690D">
        <w:tc>
          <w:tcPr>
            <w:tcW w:w="2410" w:type="dxa"/>
          </w:tcPr>
          <w:p w14:paraId="52B09652" w14:textId="69E8764A" w:rsidR="00B32F96" w:rsidRPr="00DE678E" w:rsidRDefault="00B32F96" w:rsidP="007815D1">
            <w:r w:rsidRPr="00DE678E">
              <w:t>User / No</w:t>
            </w:r>
          </w:p>
        </w:tc>
        <w:tc>
          <w:tcPr>
            <w:tcW w:w="1276" w:type="dxa"/>
          </w:tcPr>
          <w:p w14:paraId="5B839D5B" w14:textId="160EDDB6" w:rsidR="00B32F96" w:rsidRPr="00DE678E" w:rsidRDefault="00B32F96" w:rsidP="007815D1">
            <w:r w:rsidRPr="00DE678E">
              <w:t>2·71</w:t>
            </w:r>
          </w:p>
        </w:tc>
        <w:tc>
          <w:tcPr>
            <w:tcW w:w="850" w:type="dxa"/>
          </w:tcPr>
          <w:p w14:paraId="63389688" w14:textId="535C4703" w:rsidR="00B32F96" w:rsidRPr="00DE678E" w:rsidRDefault="00B32F96" w:rsidP="007815D1">
            <w:r w:rsidRPr="00DE678E">
              <w:t>0·62</w:t>
            </w:r>
          </w:p>
        </w:tc>
        <w:tc>
          <w:tcPr>
            <w:tcW w:w="1316" w:type="dxa"/>
          </w:tcPr>
          <w:p w14:paraId="0CF3BD85" w14:textId="77777777" w:rsidR="00B32F96" w:rsidRPr="00DE678E" w:rsidRDefault="00B32F96" w:rsidP="007815D1"/>
        </w:tc>
        <w:tc>
          <w:tcPr>
            <w:tcW w:w="1378" w:type="dxa"/>
          </w:tcPr>
          <w:p w14:paraId="7DBA502F" w14:textId="77777777" w:rsidR="00B32F96" w:rsidRPr="00DE678E" w:rsidRDefault="00B32F96" w:rsidP="007815D1"/>
        </w:tc>
        <w:tc>
          <w:tcPr>
            <w:tcW w:w="1417" w:type="dxa"/>
          </w:tcPr>
          <w:p w14:paraId="6FA3161B" w14:textId="77777777" w:rsidR="00B32F96" w:rsidRPr="00DE678E" w:rsidRDefault="00B32F96" w:rsidP="007815D1"/>
        </w:tc>
      </w:tr>
      <w:tr w:rsidR="00B32F96" w14:paraId="60CDB26D" w14:textId="77777777" w:rsidTr="00BF690D">
        <w:tc>
          <w:tcPr>
            <w:tcW w:w="2410" w:type="dxa"/>
          </w:tcPr>
          <w:p w14:paraId="2C1C8FD7" w14:textId="41E600D5" w:rsidR="00B32F96" w:rsidRPr="007815D1" w:rsidRDefault="00B32F96" w:rsidP="007815D1">
            <w:pPr>
              <w:rPr>
                <w:b/>
                <w:bCs/>
              </w:rPr>
            </w:pPr>
            <w:r w:rsidRPr="007815D1">
              <w:rPr>
                <w:b/>
                <w:bCs/>
              </w:rPr>
              <w:t>eHLQ6</w:t>
            </w:r>
          </w:p>
        </w:tc>
        <w:tc>
          <w:tcPr>
            <w:tcW w:w="1276" w:type="dxa"/>
          </w:tcPr>
          <w:p w14:paraId="5EC70744" w14:textId="7A943721" w:rsidR="00B32F96" w:rsidRPr="00DE678E" w:rsidRDefault="00B32F96" w:rsidP="007815D1"/>
        </w:tc>
        <w:tc>
          <w:tcPr>
            <w:tcW w:w="850" w:type="dxa"/>
          </w:tcPr>
          <w:p w14:paraId="146EA594" w14:textId="0730EA2B" w:rsidR="00B32F96" w:rsidRPr="00DE678E" w:rsidRDefault="00B32F96" w:rsidP="007815D1"/>
        </w:tc>
        <w:tc>
          <w:tcPr>
            <w:tcW w:w="1316" w:type="dxa"/>
          </w:tcPr>
          <w:p w14:paraId="73D2EB7D" w14:textId="407943F5" w:rsidR="00B32F96" w:rsidRPr="00DE678E" w:rsidRDefault="00B32F96" w:rsidP="007815D1"/>
        </w:tc>
        <w:tc>
          <w:tcPr>
            <w:tcW w:w="1378" w:type="dxa"/>
          </w:tcPr>
          <w:p w14:paraId="7DA11A9C" w14:textId="21AB3768" w:rsidR="00B32F96" w:rsidRPr="00DE678E" w:rsidRDefault="00B32F96" w:rsidP="007815D1"/>
        </w:tc>
        <w:tc>
          <w:tcPr>
            <w:tcW w:w="1417" w:type="dxa"/>
          </w:tcPr>
          <w:p w14:paraId="2886CAC9" w14:textId="6418ACD4" w:rsidR="00B32F96" w:rsidRPr="00DE678E" w:rsidRDefault="00B32F96" w:rsidP="007815D1"/>
        </w:tc>
      </w:tr>
      <w:tr w:rsidR="00B32F96" w14:paraId="6BED7FE4" w14:textId="77777777" w:rsidTr="00BF690D">
        <w:tc>
          <w:tcPr>
            <w:tcW w:w="2410" w:type="dxa"/>
          </w:tcPr>
          <w:p w14:paraId="4E42EDF7" w14:textId="21DC7BE1" w:rsidR="00B32F96" w:rsidRPr="00DE678E" w:rsidRDefault="00B32F96" w:rsidP="007815D1">
            <w:r w:rsidRPr="00DE678E">
              <w:t>Non-user / Yes</w:t>
            </w:r>
          </w:p>
        </w:tc>
        <w:tc>
          <w:tcPr>
            <w:tcW w:w="1276" w:type="dxa"/>
          </w:tcPr>
          <w:p w14:paraId="78B00BEC" w14:textId="22892E72" w:rsidR="00B32F96" w:rsidRPr="00DE678E" w:rsidRDefault="00B32F96" w:rsidP="007815D1">
            <w:r w:rsidRPr="00DE678E">
              <w:t>2·71</w:t>
            </w:r>
          </w:p>
        </w:tc>
        <w:tc>
          <w:tcPr>
            <w:tcW w:w="850" w:type="dxa"/>
          </w:tcPr>
          <w:p w14:paraId="14C64BDB" w14:textId="03C79EBD" w:rsidR="00B32F96" w:rsidRPr="00DE678E" w:rsidRDefault="00B32F96" w:rsidP="007815D1">
            <w:r w:rsidRPr="00DE678E">
              <w:t>0·58</w:t>
            </w:r>
          </w:p>
        </w:tc>
        <w:tc>
          <w:tcPr>
            <w:tcW w:w="1316" w:type="dxa"/>
          </w:tcPr>
          <w:p w14:paraId="1658D26C" w14:textId="1C216B8A" w:rsidR="00B32F96" w:rsidRPr="00DE678E" w:rsidRDefault="00B32F96" w:rsidP="007815D1">
            <w:r w:rsidRPr="00DE678E">
              <w:t>-0·01</w:t>
            </w:r>
          </w:p>
        </w:tc>
        <w:tc>
          <w:tcPr>
            <w:tcW w:w="1378" w:type="dxa"/>
          </w:tcPr>
          <w:p w14:paraId="688D461C" w14:textId="49274D6C" w:rsidR="00B32F96" w:rsidRPr="00DE678E" w:rsidRDefault="00B32F96" w:rsidP="007815D1">
            <w:r w:rsidRPr="00DE678E">
              <w:t>-0·02</w:t>
            </w:r>
          </w:p>
        </w:tc>
        <w:tc>
          <w:tcPr>
            <w:tcW w:w="1417" w:type="dxa"/>
          </w:tcPr>
          <w:p w14:paraId="0EC787F3" w14:textId="03D1FC3C" w:rsidR="00B32F96" w:rsidRPr="00DE678E" w:rsidRDefault="00B32F96" w:rsidP="007815D1">
            <w:r w:rsidRPr="00DE678E">
              <w:t>-0·07</w:t>
            </w:r>
          </w:p>
        </w:tc>
      </w:tr>
      <w:tr w:rsidR="00B32F96" w14:paraId="4D855A85" w14:textId="77777777" w:rsidTr="00BF690D">
        <w:trPr>
          <w:trHeight w:val="196"/>
        </w:trPr>
        <w:tc>
          <w:tcPr>
            <w:tcW w:w="2410" w:type="dxa"/>
          </w:tcPr>
          <w:p w14:paraId="11503B60" w14:textId="29C62EAA" w:rsidR="00B32F96" w:rsidRPr="00DE678E" w:rsidRDefault="00B32F96" w:rsidP="007815D1">
            <w:r w:rsidRPr="00DE678E">
              <w:t>Non-user / No</w:t>
            </w:r>
          </w:p>
        </w:tc>
        <w:tc>
          <w:tcPr>
            <w:tcW w:w="1276" w:type="dxa"/>
          </w:tcPr>
          <w:p w14:paraId="4E029AEE" w14:textId="32F8F152" w:rsidR="00B32F96" w:rsidRPr="00DE678E" w:rsidRDefault="00B32F96" w:rsidP="007815D1">
            <w:r w:rsidRPr="00DE678E">
              <w:t>2·72</w:t>
            </w:r>
          </w:p>
        </w:tc>
        <w:tc>
          <w:tcPr>
            <w:tcW w:w="850" w:type="dxa"/>
          </w:tcPr>
          <w:p w14:paraId="54FE7A1F" w14:textId="134EAE29" w:rsidR="00B32F96" w:rsidRPr="00DE678E" w:rsidRDefault="00B32F96" w:rsidP="007815D1">
            <w:r w:rsidRPr="00DE678E">
              <w:t>0·56</w:t>
            </w:r>
          </w:p>
        </w:tc>
        <w:tc>
          <w:tcPr>
            <w:tcW w:w="1316" w:type="dxa"/>
          </w:tcPr>
          <w:p w14:paraId="419FD30D" w14:textId="6CC2A700" w:rsidR="00B32F96" w:rsidRPr="00DE678E" w:rsidRDefault="00B32F96" w:rsidP="007815D1"/>
        </w:tc>
        <w:tc>
          <w:tcPr>
            <w:tcW w:w="1378" w:type="dxa"/>
          </w:tcPr>
          <w:p w14:paraId="2B7060C2" w14:textId="4C7C066D" w:rsidR="00B32F96" w:rsidRPr="00DE678E" w:rsidRDefault="00B32F96" w:rsidP="007815D1">
            <w:r w:rsidRPr="00DE678E">
              <w:t>-0·01</w:t>
            </w:r>
          </w:p>
        </w:tc>
        <w:tc>
          <w:tcPr>
            <w:tcW w:w="1417" w:type="dxa"/>
          </w:tcPr>
          <w:p w14:paraId="113CAD73" w14:textId="4D0F71E4" w:rsidR="00B32F96" w:rsidRPr="00DE678E" w:rsidRDefault="00B32F96" w:rsidP="007815D1">
            <w:r w:rsidRPr="00DE678E">
              <w:t>-0·06</w:t>
            </w:r>
          </w:p>
        </w:tc>
      </w:tr>
      <w:tr w:rsidR="00B32F96" w14:paraId="44F8BC87" w14:textId="77777777" w:rsidTr="00BF690D">
        <w:tc>
          <w:tcPr>
            <w:tcW w:w="2410" w:type="dxa"/>
          </w:tcPr>
          <w:p w14:paraId="0FEE6DA5" w14:textId="6491200D" w:rsidR="00B32F96" w:rsidRPr="00DE678E" w:rsidRDefault="00B32F96" w:rsidP="007815D1">
            <w:r w:rsidRPr="00DE678E">
              <w:t>User / Yes</w:t>
            </w:r>
          </w:p>
        </w:tc>
        <w:tc>
          <w:tcPr>
            <w:tcW w:w="1276" w:type="dxa"/>
          </w:tcPr>
          <w:p w14:paraId="48F117CD" w14:textId="2E8785F7" w:rsidR="00B32F96" w:rsidRPr="00DE678E" w:rsidRDefault="00B32F96" w:rsidP="007815D1">
            <w:r w:rsidRPr="00DE678E">
              <w:t>2·73</w:t>
            </w:r>
          </w:p>
        </w:tc>
        <w:tc>
          <w:tcPr>
            <w:tcW w:w="850" w:type="dxa"/>
          </w:tcPr>
          <w:p w14:paraId="642AEA8A" w14:textId="202B1625" w:rsidR="00B32F96" w:rsidRPr="00DE678E" w:rsidRDefault="00B32F96" w:rsidP="007815D1">
            <w:r w:rsidRPr="00DE678E">
              <w:t>0·63</w:t>
            </w:r>
          </w:p>
        </w:tc>
        <w:tc>
          <w:tcPr>
            <w:tcW w:w="1316" w:type="dxa"/>
          </w:tcPr>
          <w:p w14:paraId="5D748C85" w14:textId="1F4B5648" w:rsidR="00B32F96" w:rsidRPr="00DE678E" w:rsidRDefault="00B32F96" w:rsidP="007815D1"/>
        </w:tc>
        <w:tc>
          <w:tcPr>
            <w:tcW w:w="1378" w:type="dxa"/>
          </w:tcPr>
          <w:p w14:paraId="5B3FA2BB" w14:textId="77777777" w:rsidR="00B32F96" w:rsidRPr="00DE678E" w:rsidRDefault="00B32F96" w:rsidP="007815D1"/>
        </w:tc>
        <w:tc>
          <w:tcPr>
            <w:tcW w:w="1417" w:type="dxa"/>
          </w:tcPr>
          <w:p w14:paraId="3352C6A9" w14:textId="2FFD52DF" w:rsidR="00B32F96" w:rsidRPr="00DE678E" w:rsidRDefault="00B32F96" w:rsidP="007815D1">
            <w:r w:rsidRPr="00DE678E">
              <w:t>-0·05</w:t>
            </w:r>
          </w:p>
        </w:tc>
      </w:tr>
      <w:tr w:rsidR="00B32F96" w14:paraId="6A0657E8" w14:textId="77777777" w:rsidTr="00BF690D">
        <w:tc>
          <w:tcPr>
            <w:tcW w:w="2410" w:type="dxa"/>
          </w:tcPr>
          <w:p w14:paraId="6E857DF2" w14:textId="24610F27" w:rsidR="00B32F96" w:rsidRPr="00DE678E" w:rsidRDefault="00B32F96" w:rsidP="007815D1">
            <w:r w:rsidRPr="00DE678E">
              <w:t>User / No</w:t>
            </w:r>
          </w:p>
        </w:tc>
        <w:tc>
          <w:tcPr>
            <w:tcW w:w="1276" w:type="dxa"/>
          </w:tcPr>
          <w:p w14:paraId="123D9239" w14:textId="3A8F125A" w:rsidR="00B32F96" w:rsidRPr="00DE678E" w:rsidRDefault="00B32F96" w:rsidP="007815D1">
            <w:r w:rsidRPr="00DE678E">
              <w:t>2·78</w:t>
            </w:r>
          </w:p>
        </w:tc>
        <w:tc>
          <w:tcPr>
            <w:tcW w:w="850" w:type="dxa"/>
          </w:tcPr>
          <w:p w14:paraId="5F1F4F13" w14:textId="1DBFCF9A" w:rsidR="00B32F96" w:rsidRPr="00DE678E" w:rsidRDefault="00B32F96" w:rsidP="007815D1">
            <w:r w:rsidRPr="00DE678E">
              <w:t>0·61</w:t>
            </w:r>
          </w:p>
        </w:tc>
        <w:tc>
          <w:tcPr>
            <w:tcW w:w="1316" w:type="dxa"/>
          </w:tcPr>
          <w:p w14:paraId="4F2978D9" w14:textId="77777777" w:rsidR="00B32F96" w:rsidRPr="00DE678E" w:rsidRDefault="00B32F96" w:rsidP="007815D1"/>
        </w:tc>
        <w:tc>
          <w:tcPr>
            <w:tcW w:w="1378" w:type="dxa"/>
          </w:tcPr>
          <w:p w14:paraId="050DFAB9" w14:textId="77777777" w:rsidR="00B32F96" w:rsidRPr="00DE678E" w:rsidRDefault="00B32F96" w:rsidP="007815D1"/>
        </w:tc>
        <w:tc>
          <w:tcPr>
            <w:tcW w:w="1417" w:type="dxa"/>
          </w:tcPr>
          <w:p w14:paraId="04582F2D" w14:textId="77777777" w:rsidR="00B32F96" w:rsidRPr="00DE678E" w:rsidRDefault="00B32F96" w:rsidP="007815D1"/>
        </w:tc>
      </w:tr>
      <w:tr w:rsidR="00B32F96" w14:paraId="2B39EAD8" w14:textId="77777777" w:rsidTr="00BF690D">
        <w:tc>
          <w:tcPr>
            <w:tcW w:w="2410" w:type="dxa"/>
          </w:tcPr>
          <w:p w14:paraId="15656F59" w14:textId="2FBAB3C3" w:rsidR="00B32F96" w:rsidRPr="007815D1" w:rsidRDefault="00B32F96" w:rsidP="007815D1">
            <w:pPr>
              <w:rPr>
                <w:b/>
                <w:bCs/>
              </w:rPr>
            </w:pPr>
            <w:r w:rsidRPr="007815D1">
              <w:rPr>
                <w:b/>
                <w:bCs/>
              </w:rPr>
              <w:t>eHLQ7</w:t>
            </w:r>
          </w:p>
        </w:tc>
        <w:tc>
          <w:tcPr>
            <w:tcW w:w="1276" w:type="dxa"/>
          </w:tcPr>
          <w:p w14:paraId="6F6D56D0" w14:textId="5F78983F" w:rsidR="00B32F96" w:rsidRPr="00DE678E" w:rsidRDefault="00B32F96" w:rsidP="007815D1"/>
        </w:tc>
        <w:tc>
          <w:tcPr>
            <w:tcW w:w="850" w:type="dxa"/>
          </w:tcPr>
          <w:p w14:paraId="50A84D37" w14:textId="167D497A" w:rsidR="00B32F96" w:rsidRPr="00DE678E" w:rsidRDefault="00B32F96" w:rsidP="007815D1"/>
        </w:tc>
        <w:tc>
          <w:tcPr>
            <w:tcW w:w="1316" w:type="dxa"/>
          </w:tcPr>
          <w:p w14:paraId="63A7274C" w14:textId="4D7ED9FB" w:rsidR="00B32F96" w:rsidRPr="00DE678E" w:rsidRDefault="00B32F96" w:rsidP="007815D1"/>
        </w:tc>
        <w:tc>
          <w:tcPr>
            <w:tcW w:w="1378" w:type="dxa"/>
          </w:tcPr>
          <w:p w14:paraId="1E9B732A" w14:textId="4A26CC77" w:rsidR="00B32F96" w:rsidRPr="00DE678E" w:rsidRDefault="00B32F96" w:rsidP="007815D1">
            <w:pPr>
              <w:rPr>
                <w:b/>
              </w:rPr>
            </w:pPr>
          </w:p>
        </w:tc>
        <w:tc>
          <w:tcPr>
            <w:tcW w:w="1417" w:type="dxa"/>
          </w:tcPr>
          <w:p w14:paraId="4C9DE2F5" w14:textId="675F32A5" w:rsidR="00B32F96" w:rsidRPr="00DE678E" w:rsidRDefault="00B32F96" w:rsidP="007815D1"/>
        </w:tc>
      </w:tr>
      <w:tr w:rsidR="00B32F96" w14:paraId="0FE47158" w14:textId="77777777" w:rsidTr="00BF690D">
        <w:tc>
          <w:tcPr>
            <w:tcW w:w="2410" w:type="dxa"/>
          </w:tcPr>
          <w:p w14:paraId="67F32759" w14:textId="03CBC796" w:rsidR="00B32F96" w:rsidRPr="00DE678E" w:rsidRDefault="00B32F96" w:rsidP="007815D1">
            <w:r w:rsidRPr="00DE678E">
              <w:t>Non-user / Yes</w:t>
            </w:r>
          </w:p>
        </w:tc>
        <w:tc>
          <w:tcPr>
            <w:tcW w:w="1276" w:type="dxa"/>
          </w:tcPr>
          <w:p w14:paraId="76397B16" w14:textId="3BB466B0" w:rsidR="00B32F96" w:rsidRPr="00DE678E" w:rsidRDefault="00B32F96" w:rsidP="007815D1">
            <w:r w:rsidRPr="00DE678E">
              <w:t>2·41</w:t>
            </w:r>
          </w:p>
        </w:tc>
        <w:tc>
          <w:tcPr>
            <w:tcW w:w="850" w:type="dxa"/>
          </w:tcPr>
          <w:p w14:paraId="16340191" w14:textId="12D43353" w:rsidR="00B32F96" w:rsidRPr="00DE678E" w:rsidRDefault="00B32F96" w:rsidP="007815D1">
            <w:r w:rsidRPr="00DE678E">
              <w:t>0·68</w:t>
            </w:r>
          </w:p>
        </w:tc>
        <w:tc>
          <w:tcPr>
            <w:tcW w:w="1316" w:type="dxa"/>
          </w:tcPr>
          <w:p w14:paraId="642CD3D7" w14:textId="71C1B245" w:rsidR="00B32F96" w:rsidRPr="005410F5" w:rsidRDefault="00B32F96" w:rsidP="007815D1">
            <w:pPr>
              <w:rPr>
                <w:bCs/>
                <w:i/>
                <w:iCs/>
              </w:rPr>
            </w:pPr>
            <w:r w:rsidRPr="005410F5">
              <w:rPr>
                <w:bCs/>
                <w:i/>
                <w:iCs/>
              </w:rPr>
              <w:t>-0·12</w:t>
            </w:r>
          </w:p>
        </w:tc>
        <w:tc>
          <w:tcPr>
            <w:tcW w:w="1378" w:type="dxa"/>
          </w:tcPr>
          <w:p w14:paraId="26C7D9D7" w14:textId="2EE0E6F8" w:rsidR="00B32F96" w:rsidRPr="00DE678E" w:rsidRDefault="00B32F96" w:rsidP="007815D1">
            <w:r w:rsidRPr="00DE678E">
              <w:t>-0·08</w:t>
            </w:r>
          </w:p>
        </w:tc>
        <w:tc>
          <w:tcPr>
            <w:tcW w:w="1417" w:type="dxa"/>
          </w:tcPr>
          <w:p w14:paraId="5BFCD4CF" w14:textId="05099323" w:rsidR="00B32F96" w:rsidRPr="005410F5" w:rsidRDefault="00B32F96" w:rsidP="007815D1">
            <w:pPr>
              <w:rPr>
                <w:bCs/>
                <w:i/>
                <w:iCs/>
              </w:rPr>
            </w:pPr>
            <w:r w:rsidRPr="005410F5">
              <w:rPr>
                <w:bCs/>
                <w:i/>
                <w:iCs/>
              </w:rPr>
              <w:t>-0·24</w:t>
            </w:r>
          </w:p>
        </w:tc>
      </w:tr>
      <w:tr w:rsidR="00B32F96" w14:paraId="35BB969C" w14:textId="77777777" w:rsidTr="00BF690D">
        <w:trPr>
          <w:trHeight w:val="137"/>
        </w:trPr>
        <w:tc>
          <w:tcPr>
            <w:tcW w:w="2410" w:type="dxa"/>
          </w:tcPr>
          <w:p w14:paraId="49DCFD42" w14:textId="5B5E4D6D" w:rsidR="00B32F96" w:rsidRPr="00DE678E" w:rsidRDefault="00B32F96" w:rsidP="007815D1">
            <w:r w:rsidRPr="00DE678E">
              <w:t>Non-user / No</w:t>
            </w:r>
          </w:p>
        </w:tc>
        <w:tc>
          <w:tcPr>
            <w:tcW w:w="1276" w:type="dxa"/>
          </w:tcPr>
          <w:p w14:paraId="3DECA0F9" w14:textId="4BCD32C7" w:rsidR="00B32F96" w:rsidRPr="00DE678E" w:rsidRDefault="00B32F96" w:rsidP="007815D1">
            <w:r w:rsidRPr="00DE678E">
              <w:t>2·53</w:t>
            </w:r>
          </w:p>
        </w:tc>
        <w:tc>
          <w:tcPr>
            <w:tcW w:w="850" w:type="dxa"/>
          </w:tcPr>
          <w:p w14:paraId="39E83BB0" w14:textId="1A21D084" w:rsidR="00B32F96" w:rsidRPr="00DE678E" w:rsidRDefault="00B32F96" w:rsidP="007815D1">
            <w:r w:rsidRPr="00DE678E">
              <w:t>0·65</w:t>
            </w:r>
          </w:p>
        </w:tc>
        <w:tc>
          <w:tcPr>
            <w:tcW w:w="1316" w:type="dxa"/>
          </w:tcPr>
          <w:p w14:paraId="1D469081" w14:textId="36BC1F13" w:rsidR="00B32F96" w:rsidRPr="00DE678E" w:rsidRDefault="00B32F96" w:rsidP="007815D1"/>
        </w:tc>
        <w:tc>
          <w:tcPr>
            <w:tcW w:w="1378" w:type="dxa"/>
          </w:tcPr>
          <w:p w14:paraId="372255DE" w14:textId="1E4911BA" w:rsidR="00B32F96" w:rsidRPr="00DE678E" w:rsidRDefault="00B32F96" w:rsidP="007815D1">
            <w:r w:rsidRPr="00DE678E">
              <w:t xml:space="preserve"> 0·04</w:t>
            </w:r>
          </w:p>
        </w:tc>
        <w:tc>
          <w:tcPr>
            <w:tcW w:w="1417" w:type="dxa"/>
          </w:tcPr>
          <w:p w14:paraId="3B44F78C" w14:textId="7439C1C4" w:rsidR="00B32F96" w:rsidRPr="005410F5" w:rsidRDefault="00B32F96" w:rsidP="007815D1">
            <w:pPr>
              <w:rPr>
                <w:bCs/>
                <w:i/>
                <w:iCs/>
              </w:rPr>
            </w:pPr>
            <w:r w:rsidRPr="005410F5">
              <w:rPr>
                <w:bCs/>
                <w:i/>
                <w:iCs/>
              </w:rPr>
              <w:t>-0·11</w:t>
            </w:r>
          </w:p>
        </w:tc>
      </w:tr>
      <w:tr w:rsidR="00B32F96" w14:paraId="4B6FFBBB" w14:textId="77777777" w:rsidTr="00BF690D">
        <w:trPr>
          <w:trHeight w:val="243"/>
        </w:trPr>
        <w:tc>
          <w:tcPr>
            <w:tcW w:w="2410" w:type="dxa"/>
          </w:tcPr>
          <w:p w14:paraId="788DAB8C" w14:textId="66CB7B0E" w:rsidR="00B32F96" w:rsidRPr="00DE678E" w:rsidRDefault="00B32F96" w:rsidP="007815D1">
            <w:r w:rsidRPr="00DE678E">
              <w:t>User / Yes</w:t>
            </w:r>
          </w:p>
        </w:tc>
        <w:tc>
          <w:tcPr>
            <w:tcW w:w="1276" w:type="dxa"/>
          </w:tcPr>
          <w:p w14:paraId="6DFB01A2" w14:textId="273CB5DC" w:rsidR="00B32F96" w:rsidRPr="00DE678E" w:rsidRDefault="00B32F96" w:rsidP="007815D1">
            <w:r w:rsidRPr="00DE678E">
              <w:t>2·49</w:t>
            </w:r>
          </w:p>
        </w:tc>
        <w:tc>
          <w:tcPr>
            <w:tcW w:w="850" w:type="dxa"/>
          </w:tcPr>
          <w:p w14:paraId="517A93B8" w14:textId="5F19705E" w:rsidR="00B32F96" w:rsidRPr="00DE678E" w:rsidRDefault="00B32F96" w:rsidP="007815D1">
            <w:r w:rsidRPr="00DE678E">
              <w:t>0·72</w:t>
            </w:r>
          </w:p>
        </w:tc>
        <w:tc>
          <w:tcPr>
            <w:tcW w:w="1316" w:type="dxa"/>
          </w:tcPr>
          <w:p w14:paraId="6681DB06" w14:textId="2239956F" w:rsidR="00B32F96" w:rsidRPr="00DE678E" w:rsidRDefault="00B32F96" w:rsidP="007815D1"/>
        </w:tc>
        <w:tc>
          <w:tcPr>
            <w:tcW w:w="1378" w:type="dxa"/>
          </w:tcPr>
          <w:p w14:paraId="1EBC6593" w14:textId="77777777" w:rsidR="00B32F96" w:rsidRPr="00DE678E" w:rsidRDefault="00B32F96" w:rsidP="007815D1"/>
        </w:tc>
        <w:tc>
          <w:tcPr>
            <w:tcW w:w="1417" w:type="dxa"/>
          </w:tcPr>
          <w:p w14:paraId="3C917D90" w14:textId="6DF8AFDF" w:rsidR="00B32F96" w:rsidRPr="005410F5" w:rsidRDefault="00B32F96" w:rsidP="007815D1">
            <w:pPr>
              <w:rPr>
                <w:bCs/>
                <w:i/>
                <w:iCs/>
              </w:rPr>
            </w:pPr>
            <w:r w:rsidRPr="005410F5">
              <w:rPr>
                <w:bCs/>
                <w:i/>
                <w:iCs/>
              </w:rPr>
              <w:t>-0·15</w:t>
            </w:r>
          </w:p>
        </w:tc>
      </w:tr>
      <w:tr w:rsidR="00B32F96" w14:paraId="6F989E0E" w14:textId="77777777" w:rsidTr="00BF690D">
        <w:trPr>
          <w:trHeight w:val="243"/>
        </w:trPr>
        <w:tc>
          <w:tcPr>
            <w:tcW w:w="2410" w:type="dxa"/>
          </w:tcPr>
          <w:p w14:paraId="06B82559" w14:textId="787FE329" w:rsidR="00B32F96" w:rsidRPr="00DE678E" w:rsidRDefault="00B32F96" w:rsidP="007815D1">
            <w:r w:rsidRPr="00DE678E">
              <w:t>User / No</w:t>
            </w:r>
          </w:p>
        </w:tc>
        <w:tc>
          <w:tcPr>
            <w:tcW w:w="1276" w:type="dxa"/>
          </w:tcPr>
          <w:p w14:paraId="617D6EF8" w14:textId="5D3AA47D" w:rsidR="00B32F96" w:rsidRPr="00DE678E" w:rsidRDefault="00B32F96" w:rsidP="007815D1">
            <w:r w:rsidRPr="00DE678E">
              <w:t>2·65</w:t>
            </w:r>
          </w:p>
        </w:tc>
        <w:tc>
          <w:tcPr>
            <w:tcW w:w="850" w:type="dxa"/>
          </w:tcPr>
          <w:p w14:paraId="2416FD4E" w14:textId="2DC52E59" w:rsidR="00B32F96" w:rsidRPr="00DE678E" w:rsidRDefault="00B32F96" w:rsidP="007815D1">
            <w:r w:rsidRPr="00DE678E">
              <w:t>0·67</w:t>
            </w:r>
          </w:p>
        </w:tc>
        <w:tc>
          <w:tcPr>
            <w:tcW w:w="1316" w:type="dxa"/>
          </w:tcPr>
          <w:p w14:paraId="210071AE" w14:textId="77777777" w:rsidR="00B32F96" w:rsidRPr="00DE678E" w:rsidRDefault="00B32F96" w:rsidP="007815D1"/>
        </w:tc>
        <w:tc>
          <w:tcPr>
            <w:tcW w:w="1378" w:type="dxa"/>
          </w:tcPr>
          <w:p w14:paraId="2915D99C" w14:textId="77777777" w:rsidR="00B32F96" w:rsidRPr="00DE678E" w:rsidRDefault="00B32F96" w:rsidP="007815D1"/>
        </w:tc>
        <w:tc>
          <w:tcPr>
            <w:tcW w:w="1417" w:type="dxa"/>
          </w:tcPr>
          <w:p w14:paraId="4649EE64" w14:textId="77777777" w:rsidR="00B32F96" w:rsidRPr="00DE678E" w:rsidRDefault="00B32F96" w:rsidP="007815D1"/>
        </w:tc>
      </w:tr>
    </w:tbl>
    <w:p w14:paraId="22190EDA" w14:textId="7CCB589C" w:rsidR="00DE678E" w:rsidRPr="007E69E0" w:rsidRDefault="00DE678E" w:rsidP="00DE678E">
      <w:pPr>
        <w:rPr>
          <w:b/>
          <w:sz w:val="20"/>
          <w:szCs w:val="20"/>
        </w:rPr>
      </w:pPr>
      <w:r w:rsidRPr="007E69E0">
        <w:rPr>
          <w:sz w:val="20"/>
          <w:szCs w:val="20"/>
        </w:rPr>
        <w:t xml:space="preserve">Significant differences between groups shown in </w:t>
      </w:r>
      <w:r w:rsidR="005410F5" w:rsidRPr="005410F5">
        <w:rPr>
          <w:i/>
          <w:iCs/>
          <w:sz w:val="20"/>
          <w:szCs w:val="20"/>
        </w:rPr>
        <w:t>italics</w:t>
      </w:r>
    </w:p>
    <w:p w14:paraId="074F8853" w14:textId="77777777" w:rsidR="003267C0" w:rsidRDefault="003267C0" w:rsidP="00EB6E35"/>
    <w:p w14:paraId="1B21935C" w14:textId="77777777" w:rsidR="003267C0" w:rsidRDefault="003267C0" w:rsidP="00EB6E35"/>
    <w:p w14:paraId="013CD009" w14:textId="45A37731" w:rsidR="00AB5615" w:rsidRDefault="00AB5615" w:rsidP="00AB5615">
      <w:pPr>
        <w:pStyle w:val="Heading3"/>
      </w:pPr>
      <w:r>
        <w:t>Use of other services in addition to NHS 111 online</w:t>
      </w:r>
    </w:p>
    <w:p w14:paraId="2CAC7882" w14:textId="16498542" w:rsidR="0010662A" w:rsidRDefault="0010662A" w:rsidP="0010662A">
      <w:pPr>
        <w:spacing w:line="276" w:lineRule="auto"/>
        <w:rPr>
          <w:rFonts w:cstheme="minorHAnsi"/>
          <w:sz w:val="22"/>
          <w:szCs w:val="22"/>
        </w:rPr>
      </w:pPr>
      <w:r w:rsidRPr="0010662A">
        <w:rPr>
          <w:rFonts w:cstheme="minorHAnsi"/>
        </w:rPr>
        <w:t xml:space="preserve">Use of NHS 111 online is associated with increased </w:t>
      </w:r>
      <w:r w:rsidR="00003ABD">
        <w:rPr>
          <w:rFonts w:cstheme="minorHAnsi"/>
        </w:rPr>
        <w:t xml:space="preserve">previous </w:t>
      </w:r>
      <w:r w:rsidRPr="0010662A">
        <w:rPr>
          <w:rFonts w:cstheme="minorHAnsi"/>
        </w:rPr>
        <w:t>use of other urgent and emergency services (Table 4)</w:t>
      </w:r>
      <w:r w:rsidR="00003ABD">
        <w:rPr>
          <w:rFonts w:cstheme="minorHAnsi"/>
        </w:rPr>
        <w:t xml:space="preserve"> (i.e. if </w:t>
      </w:r>
      <w:r w:rsidR="00A77995">
        <w:rPr>
          <w:rFonts w:cstheme="minorHAnsi"/>
        </w:rPr>
        <w:t xml:space="preserve">the respondent </w:t>
      </w:r>
      <w:r w:rsidR="00003ABD">
        <w:rPr>
          <w:rFonts w:cstheme="minorHAnsi"/>
        </w:rPr>
        <w:t xml:space="preserve">had ever used </w:t>
      </w:r>
      <w:r w:rsidR="001365DF">
        <w:rPr>
          <w:rFonts w:cstheme="minorHAnsi"/>
        </w:rPr>
        <w:t>other urgent and emergency services). N</w:t>
      </w:r>
      <w:r w:rsidRPr="0010662A">
        <w:rPr>
          <w:rFonts w:cstheme="minorHAnsi"/>
        </w:rPr>
        <w:t>otably 111 online users were likely to have also used the 111 telephone service</w:t>
      </w:r>
      <w:r w:rsidRPr="00C7502B">
        <w:rPr>
          <w:rFonts w:cstheme="minorHAnsi"/>
          <w:sz w:val="22"/>
          <w:szCs w:val="22"/>
        </w:rPr>
        <w:t>.</w:t>
      </w:r>
    </w:p>
    <w:p w14:paraId="3B778B8C" w14:textId="77777777" w:rsidR="00542D90" w:rsidRDefault="00542D90" w:rsidP="0010662A">
      <w:pPr>
        <w:spacing w:line="276" w:lineRule="auto"/>
        <w:rPr>
          <w:rFonts w:cstheme="minorHAnsi"/>
          <w:sz w:val="22"/>
          <w:szCs w:val="22"/>
        </w:rPr>
      </w:pPr>
    </w:p>
    <w:p w14:paraId="2AC86A4D" w14:textId="77777777" w:rsidR="003267C0" w:rsidRDefault="003267C0" w:rsidP="00EB6E35"/>
    <w:p w14:paraId="3555BB46" w14:textId="77777777" w:rsidR="00BA4C4B" w:rsidRDefault="00BA4C4B" w:rsidP="00EB6E35"/>
    <w:p w14:paraId="177C1207" w14:textId="63FBD579" w:rsidR="00BA4C4B" w:rsidRPr="00AF09C1" w:rsidRDefault="00BA4C4B" w:rsidP="00EB6E35">
      <w:r w:rsidRPr="001365DF">
        <w:t>Table 4. Previous use</w:t>
      </w:r>
      <w:r w:rsidRPr="00AF09C1">
        <w:t xml:space="preserve"> of urgent and emergency services by previous use of NHS 111 online</w:t>
      </w:r>
    </w:p>
    <w:tbl>
      <w:tblPr>
        <w:tblW w:w="8647" w:type="dxa"/>
        <w:tblLook w:val="04A0" w:firstRow="1" w:lastRow="0" w:firstColumn="1" w:lastColumn="0" w:noHBand="0" w:noVBand="1"/>
      </w:tblPr>
      <w:tblGrid>
        <w:gridCol w:w="2409"/>
        <w:gridCol w:w="1511"/>
        <w:gridCol w:w="1322"/>
        <w:gridCol w:w="750"/>
        <w:gridCol w:w="954"/>
        <w:gridCol w:w="992"/>
        <w:gridCol w:w="709"/>
      </w:tblGrid>
      <w:tr w:rsidR="00AF09C1" w:rsidRPr="005B412C" w14:paraId="6950DC17" w14:textId="77777777" w:rsidTr="00B61561">
        <w:tc>
          <w:tcPr>
            <w:tcW w:w="2409" w:type="dxa"/>
            <w:tcBorders>
              <w:top w:val="single" w:sz="4" w:space="0" w:color="auto"/>
              <w:left w:val="nil"/>
              <w:bottom w:val="single" w:sz="4" w:space="0" w:color="auto"/>
              <w:right w:val="nil"/>
            </w:tcBorders>
            <w:hideMark/>
          </w:tcPr>
          <w:p w14:paraId="68081D46" w14:textId="583C0797" w:rsidR="00AF09C1" w:rsidRPr="00871A62" w:rsidRDefault="00AF09C1" w:rsidP="00871A62">
            <w:r w:rsidRPr="00871A62">
              <w:t>Use of a service</w:t>
            </w:r>
          </w:p>
        </w:tc>
        <w:tc>
          <w:tcPr>
            <w:tcW w:w="1511" w:type="dxa"/>
            <w:tcBorders>
              <w:top w:val="single" w:sz="4" w:space="0" w:color="auto"/>
              <w:left w:val="nil"/>
              <w:bottom w:val="single" w:sz="4" w:space="0" w:color="auto"/>
              <w:right w:val="nil"/>
            </w:tcBorders>
            <w:hideMark/>
          </w:tcPr>
          <w:p w14:paraId="1A57E6F1" w14:textId="06A63EE6" w:rsidR="00AF09C1" w:rsidRPr="00871A62" w:rsidRDefault="00AF09C1" w:rsidP="00871A62">
            <w:r w:rsidRPr="00871A62">
              <w:t xml:space="preserve">Non-user </w:t>
            </w:r>
          </w:p>
        </w:tc>
        <w:tc>
          <w:tcPr>
            <w:tcW w:w="1322" w:type="dxa"/>
            <w:tcBorders>
              <w:top w:val="single" w:sz="4" w:space="0" w:color="auto"/>
              <w:left w:val="nil"/>
              <w:bottom w:val="single" w:sz="4" w:space="0" w:color="auto"/>
              <w:right w:val="nil"/>
            </w:tcBorders>
          </w:tcPr>
          <w:p w14:paraId="39435D3B" w14:textId="278D45F9" w:rsidR="00AF09C1" w:rsidRPr="00871A62" w:rsidRDefault="00AF09C1" w:rsidP="00871A62">
            <w:r w:rsidRPr="00871A62">
              <w:t xml:space="preserve">User </w:t>
            </w:r>
          </w:p>
        </w:tc>
        <w:tc>
          <w:tcPr>
            <w:tcW w:w="750" w:type="dxa"/>
            <w:tcBorders>
              <w:top w:val="single" w:sz="4" w:space="0" w:color="auto"/>
              <w:left w:val="nil"/>
              <w:bottom w:val="single" w:sz="4" w:space="0" w:color="auto"/>
              <w:right w:val="nil"/>
            </w:tcBorders>
          </w:tcPr>
          <w:p w14:paraId="685C6451" w14:textId="4466463E" w:rsidR="00AF09C1" w:rsidRPr="00871A62" w:rsidRDefault="00AF09C1" w:rsidP="00871A62">
            <w:r w:rsidRPr="00871A62">
              <w:t xml:space="preserve">Total </w:t>
            </w:r>
          </w:p>
        </w:tc>
        <w:tc>
          <w:tcPr>
            <w:tcW w:w="954" w:type="dxa"/>
            <w:tcBorders>
              <w:top w:val="single" w:sz="4" w:space="0" w:color="auto"/>
              <w:left w:val="nil"/>
              <w:bottom w:val="single" w:sz="4" w:space="0" w:color="auto"/>
              <w:right w:val="nil"/>
            </w:tcBorders>
          </w:tcPr>
          <w:p w14:paraId="3B8166FF" w14:textId="388472CB" w:rsidR="00AF09C1" w:rsidRPr="00871A62" w:rsidRDefault="00AF09C1" w:rsidP="00871A62"/>
        </w:tc>
        <w:tc>
          <w:tcPr>
            <w:tcW w:w="992" w:type="dxa"/>
            <w:tcBorders>
              <w:top w:val="single" w:sz="4" w:space="0" w:color="auto"/>
              <w:left w:val="nil"/>
              <w:bottom w:val="single" w:sz="4" w:space="0" w:color="auto"/>
              <w:right w:val="nil"/>
            </w:tcBorders>
          </w:tcPr>
          <w:p w14:paraId="6E5909DE" w14:textId="3CFFB30B" w:rsidR="00AF09C1" w:rsidRPr="00871A62" w:rsidRDefault="00AF09C1" w:rsidP="00871A62"/>
        </w:tc>
        <w:tc>
          <w:tcPr>
            <w:tcW w:w="709" w:type="dxa"/>
            <w:tcBorders>
              <w:top w:val="single" w:sz="4" w:space="0" w:color="auto"/>
              <w:left w:val="nil"/>
              <w:bottom w:val="single" w:sz="4" w:space="0" w:color="auto"/>
              <w:right w:val="nil"/>
            </w:tcBorders>
          </w:tcPr>
          <w:p w14:paraId="68DC838E" w14:textId="0A821F84" w:rsidR="00AF09C1" w:rsidRPr="00871A62" w:rsidRDefault="00AF09C1" w:rsidP="00871A62"/>
        </w:tc>
      </w:tr>
      <w:tr w:rsidR="00AF09C1" w:rsidRPr="005B412C" w14:paraId="39B482A0" w14:textId="77777777" w:rsidTr="00B61561">
        <w:tc>
          <w:tcPr>
            <w:tcW w:w="2409" w:type="dxa"/>
            <w:tcBorders>
              <w:top w:val="single" w:sz="4" w:space="0" w:color="auto"/>
              <w:left w:val="single" w:sz="4" w:space="0" w:color="auto"/>
              <w:bottom w:val="single" w:sz="4" w:space="0" w:color="auto"/>
              <w:right w:val="single" w:sz="4" w:space="0" w:color="auto"/>
            </w:tcBorders>
          </w:tcPr>
          <w:p w14:paraId="3EA783B0" w14:textId="77777777" w:rsidR="00AF09C1" w:rsidRPr="00871A62" w:rsidRDefault="00AF09C1" w:rsidP="00871A62"/>
        </w:tc>
        <w:tc>
          <w:tcPr>
            <w:tcW w:w="1511" w:type="dxa"/>
            <w:tcBorders>
              <w:top w:val="single" w:sz="4" w:space="0" w:color="auto"/>
              <w:left w:val="single" w:sz="4" w:space="0" w:color="auto"/>
              <w:bottom w:val="single" w:sz="4" w:space="0" w:color="auto"/>
              <w:right w:val="single" w:sz="4" w:space="0" w:color="auto"/>
            </w:tcBorders>
          </w:tcPr>
          <w:p w14:paraId="3B73D20D" w14:textId="32C7BB4C" w:rsidR="00AF09C1" w:rsidRPr="00871A62" w:rsidRDefault="00AF09C1" w:rsidP="00871A62">
            <w:r w:rsidRPr="00871A62">
              <w:t>n (%)</w:t>
            </w:r>
          </w:p>
        </w:tc>
        <w:tc>
          <w:tcPr>
            <w:tcW w:w="1322" w:type="dxa"/>
            <w:tcBorders>
              <w:top w:val="single" w:sz="4" w:space="0" w:color="auto"/>
              <w:left w:val="single" w:sz="4" w:space="0" w:color="auto"/>
              <w:bottom w:val="single" w:sz="4" w:space="0" w:color="auto"/>
              <w:right w:val="single" w:sz="4" w:space="0" w:color="auto"/>
            </w:tcBorders>
          </w:tcPr>
          <w:p w14:paraId="654E11C4" w14:textId="71C23BAB" w:rsidR="00AF09C1" w:rsidRPr="00871A62" w:rsidRDefault="00AF09C1" w:rsidP="00871A62">
            <w:r w:rsidRPr="00871A62">
              <w:t>n (%)</w:t>
            </w:r>
          </w:p>
        </w:tc>
        <w:tc>
          <w:tcPr>
            <w:tcW w:w="750" w:type="dxa"/>
            <w:tcBorders>
              <w:top w:val="single" w:sz="4" w:space="0" w:color="auto"/>
              <w:left w:val="single" w:sz="4" w:space="0" w:color="auto"/>
              <w:bottom w:val="single" w:sz="4" w:space="0" w:color="auto"/>
              <w:right w:val="single" w:sz="4" w:space="0" w:color="auto"/>
            </w:tcBorders>
          </w:tcPr>
          <w:p w14:paraId="7F0C6C42" w14:textId="22A19A75" w:rsidR="00AF09C1" w:rsidRPr="00871A62" w:rsidRDefault="00AF09C1" w:rsidP="00871A62">
            <w:r w:rsidRPr="00871A62">
              <w:t>n</w:t>
            </w:r>
          </w:p>
        </w:tc>
        <w:tc>
          <w:tcPr>
            <w:tcW w:w="954" w:type="dxa"/>
            <w:tcBorders>
              <w:top w:val="single" w:sz="4" w:space="0" w:color="auto"/>
              <w:left w:val="single" w:sz="4" w:space="0" w:color="auto"/>
              <w:bottom w:val="single" w:sz="4" w:space="0" w:color="auto"/>
              <w:right w:val="single" w:sz="4" w:space="0" w:color="auto"/>
            </w:tcBorders>
          </w:tcPr>
          <w:p w14:paraId="1AA21AF0" w14:textId="545A9BF7" w:rsidR="00AF09C1" w:rsidRPr="00871A62" w:rsidRDefault="00AF09C1" w:rsidP="00871A62">
            <w:r w:rsidRPr="00871A62">
              <w:t>X</w:t>
            </w:r>
            <w:r w:rsidRPr="00871A62">
              <w:rPr>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57F01F82" w14:textId="390DF6C3" w:rsidR="00AF09C1" w:rsidRPr="00871A62" w:rsidRDefault="00A45E15" w:rsidP="00871A62">
            <w:r w:rsidRPr="00EE747A">
              <w:rPr>
                <w:rFonts w:cstheme="minorHAnsi"/>
                <w:i/>
                <w:iCs/>
              </w:rPr>
              <w:t>P</w:t>
            </w:r>
          </w:p>
        </w:tc>
        <w:tc>
          <w:tcPr>
            <w:tcW w:w="709" w:type="dxa"/>
            <w:tcBorders>
              <w:top w:val="single" w:sz="4" w:space="0" w:color="auto"/>
              <w:left w:val="single" w:sz="4" w:space="0" w:color="auto"/>
              <w:bottom w:val="single" w:sz="4" w:space="0" w:color="auto"/>
              <w:right w:val="single" w:sz="4" w:space="0" w:color="auto"/>
            </w:tcBorders>
          </w:tcPr>
          <w:p w14:paraId="31F5B284" w14:textId="26FFB5F4" w:rsidR="00AF09C1" w:rsidRPr="00871A62" w:rsidRDefault="00AF09C1" w:rsidP="00871A62">
            <w:r w:rsidRPr="00871A62">
              <w:t xml:space="preserve">Phi </w:t>
            </w:r>
          </w:p>
        </w:tc>
      </w:tr>
      <w:tr w:rsidR="00AF09C1" w:rsidRPr="005B412C" w14:paraId="60E533A9" w14:textId="77777777" w:rsidTr="00B61561">
        <w:tc>
          <w:tcPr>
            <w:tcW w:w="2409" w:type="dxa"/>
            <w:tcBorders>
              <w:top w:val="single" w:sz="4" w:space="0" w:color="auto"/>
              <w:left w:val="single" w:sz="4" w:space="0" w:color="auto"/>
              <w:bottom w:val="single" w:sz="4" w:space="0" w:color="auto"/>
              <w:right w:val="single" w:sz="4" w:space="0" w:color="auto"/>
            </w:tcBorders>
          </w:tcPr>
          <w:p w14:paraId="15548C95" w14:textId="77777777" w:rsidR="00AF09C1" w:rsidRPr="00871A62" w:rsidRDefault="00AF09C1" w:rsidP="00871A62"/>
        </w:tc>
        <w:tc>
          <w:tcPr>
            <w:tcW w:w="1511" w:type="dxa"/>
            <w:tcBorders>
              <w:top w:val="single" w:sz="4" w:space="0" w:color="auto"/>
              <w:left w:val="single" w:sz="4" w:space="0" w:color="auto"/>
              <w:bottom w:val="single" w:sz="4" w:space="0" w:color="auto"/>
              <w:right w:val="single" w:sz="4" w:space="0" w:color="auto"/>
            </w:tcBorders>
          </w:tcPr>
          <w:p w14:paraId="67A1EADF" w14:textId="77777777" w:rsidR="00AF09C1" w:rsidRPr="00871A62" w:rsidRDefault="00AF09C1" w:rsidP="00871A62"/>
        </w:tc>
        <w:tc>
          <w:tcPr>
            <w:tcW w:w="1322" w:type="dxa"/>
            <w:tcBorders>
              <w:top w:val="single" w:sz="4" w:space="0" w:color="auto"/>
              <w:left w:val="single" w:sz="4" w:space="0" w:color="auto"/>
              <w:bottom w:val="single" w:sz="4" w:space="0" w:color="auto"/>
              <w:right w:val="single" w:sz="4" w:space="0" w:color="auto"/>
            </w:tcBorders>
          </w:tcPr>
          <w:p w14:paraId="49BC5670" w14:textId="77777777" w:rsidR="00AF09C1" w:rsidRPr="00871A62" w:rsidRDefault="00AF09C1" w:rsidP="00871A62"/>
        </w:tc>
        <w:tc>
          <w:tcPr>
            <w:tcW w:w="750" w:type="dxa"/>
            <w:tcBorders>
              <w:top w:val="single" w:sz="4" w:space="0" w:color="auto"/>
              <w:left w:val="single" w:sz="4" w:space="0" w:color="auto"/>
              <w:bottom w:val="single" w:sz="4" w:space="0" w:color="auto"/>
              <w:right w:val="single" w:sz="4" w:space="0" w:color="auto"/>
            </w:tcBorders>
          </w:tcPr>
          <w:p w14:paraId="594CCFF7" w14:textId="77777777" w:rsidR="00AF09C1" w:rsidRPr="00871A62" w:rsidRDefault="00AF09C1" w:rsidP="00871A62"/>
        </w:tc>
        <w:tc>
          <w:tcPr>
            <w:tcW w:w="954" w:type="dxa"/>
            <w:tcBorders>
              <w:top w:val="single" w:sz="4" w:space="0" w:color="auto"/>
              <w:left w:val="single" w:sz="4" w:space="0" w:color="auto"/>
              <w:bottom w:val="single" w:sz="4" w:space="0" w:color="auto"/>
              <w:right w:val="single" w:sz="4" w:space="0" w:color="auto"/>
            </w:tcBorders>
          </w:tcPr>
          <w:p w14:paraId="72D3294B" w14:textId="77777777" w:rsidR="00AF09C1" w:rsidRPr="00871A62" w:rsidRDefault="00AF09C1" w:rsidP="00871A62"/>
        </w:tc>
        <w:tc>
          <w:tcPr>
            <w:tcW w:w="992" w:type="dxa"/>
            <w:tcBorders>
              <w:top w:val="single" w:sz="4" w:space="0" w:color="auto"/>
              <w:left w:val="single" w:sz="4" w:space="0" w:color="auto"/>
              <w:bottom w:val="single" w:sz="4" w:space="0" w:color="auto"/>
              <w:right w:val="single" w:sz="4" w:space="0" w:color="auto"/>
            </w:tcBorders>
          </w:tcPr>
          <w:p w14:paraId="29E41809" w14:textId="77777777" w:rsidR="00AF09C1" w:rsidRPr="00871A62" w:rsidRDefault="00AF09C1" w:rsidP="00871A62"/>
        </w:tc>
        <w:tc>
          <w:tcPr>
            <w:tcW w:w="709" w:type="dxa"/>
            <w:tcBorders>
              <w:top w:val="single" w:sz="4" w:space="0" w:color="auto"/>
              <w:left w:val="single" w:sz="4" w:space="0" w:color="auto"/>
              <w:bottom w:val="single" w:sz="4" w:space="0" w:color="auto"/>
              <w:right w:val="single" w:sz="4" w:space="0" w:color="auto"/>
            </w:tcBorders>
          </w:tcPr>
          <w:p w14:paraId="2E7AD96D" w14:textId="77777777" w:rsidR="00AF09C1" w:rsidRPr="00871A62" w:rsidRDefault="00AF09C1" w:rsidP="00871A62"/>
        </w:tc>
      </w:tr>
      <w:tr w:rsidR="00AF09C1" w:rsidRPr="005B412C" w14:paraId="31077BC7"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148F62D6" w14:textId="77777777" w:rsidR="00AF09C1" w:rsidRPr="00B61561" w:rsidRDefault="00AF09C1" w:rsidP="00871A62">
            <w:pPr>
              <w:rPr>
                <w:b/>
                <w:bCs/>
              </w:rPr>
            </w:pPr>
            <w:r w:rsidRPr="00B61561">
              <w:rPr>
                <w:b/>
                <w:bCs/>
              </w:rPr>
              <w:t>NHS 111 telephone</w:t>
            </w:r>
          </w:p>
        </w:tc>
        <w:tc>
          <w:tcPr>
            <w:tcW w:w="1511" w:type="dxa"/>
            <w:tcBorders>
              <w:top w:val="single" w:sz="4" w:space="0" w:color="auto"/>
              <w:left w:val="single" w:sz="4" w:space="0" w:color="auto"/>
              <w:bottom w:val="single" w:sz="4" w:space="0" w:color="auto"/>
              <w:right w:val="single" w:sz="4" w:space="0" w:color="auto"/>
            </w:tcBorders>
          </w:tcPr>
          <w:p w14:paraId="5BCF74DF" w14:textId="77B0713D" w:rsidR="00AF09C1" w:rsidRPr="00871A62" w:rsidRDefault="00AF09C1" w:rsidP="00871A62"/>
        </w:tc>
        <w:tc>
          <w:tcPr>
            <w:tcW w:w="1322" w:type="dxa"/>
            <w:tcBorders>
              <w:top w:val="single" w:sz="4" w:space="0" w:color="auto"/>
              <w:left w:val="single" w:sz="4" w:space="0" w:color="auto"/>
              <w:bottom w:val="single" w:sz="4" w:space="0" w:color="auto"/>
              <w:right w:val="single" w:sz="4" w:space="0" w:color="auto"/>
            </w:tcBorders>
          </w:tcPr>
          <w:p w14:paraId="40C373A4" w14:textId="685749A0" w:rsidR="00AF09C1" w:rsidRPr="00871A62" w:rsidRDefault="00AF09C1" w:rsidP="00871A62"/>
        </w:tc>
        <w:tc>
          <w:tcPr>
            <w:tcW w:w="750" w:type="dxa"/>
            <w:tcBorders>
              <w:top w:val="single" w:sz="4" w:space="0" w:color="auto"/>
              <w:left w:val="single" w:sz="4" w:space="0" w:color="auto"/>
              <w:bottom w:val="single" w:sz="4" w:space="0" w:color="auto"/>
              <w:right w:val="single" w:sz="4" w:space="0" w:color="auto"/>
            </w:tcBorders>
          </w:tcPr>
          <w:p w14:paraId="2538323F" w14:textId="1F570493" w:rsidR="00AF09C1" w:rsidRPr="00871A62" w:rsidRDefault="00AF09C1" w:rsidP="00871A62"/>
        </w:tc>
        <w:tc>
          <w:tcPr>
            <w:tcW w:w="954" w:type="dxa"/>
            <w:tcBorders>
              <w:top w:val="single" w:sz="4" w:space="0" w:color="auto"/>
              <w:left w:val="single" w:sz="4" w:space="0" w:color="auto"/>
              <w:bottom w:val="single" w:sz="4" w:space="0" w:color="auto"/>
              <w:right w:val="single" w:sz="4" w:space="0" w:color="auto"/>
            </w:tcBorders>
          </w:tcPr>
          <w:p w14:paraId="77EC624A" w14:textId="5391E6FB" w:rsidR="00AF09C1" w:rsidRPr="00871A62" w:rsidRDefault="00AF09C1" w:rsidP="00871A62"/>
        </w:tc>
        <w:tc>
          <w:tcPr>
            <w:tcW w:w="992" w:type="dxa"/>
            <w:tcBorders>
              <w:top w:val="single" w:sz="4" w:space="0" w:color="auto"/>
              <w:left w:val="single" w:sz="4" w:space="0" w:color="auto"/>
              <w:bottom w:val="single" w:sz="4" w:space="0" w:color="auto"/>
              <w:right w:val="single" w:sz="4" w:space="0" w:color="auto"/>
            </w:tcBorders>
          </w:tcPr>
          <w:p w14:paraId="4283B50E" w14:textId="5231979B" w:rsidR="00AF09C1" w:rsidRPr="00871A62" w:rsidRDefault="00AF09C1" w:rsidP="00871A62"/>
        </w:tc>
        <w:tc>
          <w:tcPr>
            <w:tcW w:w="709" w:type="dxa"/>
            <w:tcBorders>
              <w:top w:val="single" w:sz="4" w:space="0" w:color="auto"/>
              <w:left w:val="single" w:sz="4" w:space="0" w:color="auto"/>
              <w:bottom w:val="single" w:sz="4" w:space="0" w:color="auto"/>
              <w:right w:val="single" w:sz="4" w:space="0" w:color="auto"/>
            </w:tcBorders>
          </w:tcPr>
          <w:p w14:paraId="51C5C3CF" w14:textId="533FD094" w:rsidR="00AF09C1" w:rsidRPr="00871A62" w:rsidRDefault="00AF09C1" w:rsidP="00871A62"/>
        </w:tc>
      </w:tr>
      <w:tr w:rsidR="00AF09C1" w:rsidRPr="005B412C" w14:paraId="126FF2DE" w14:textId="77777777" w:rsidTr="00B61561">
        <w:tc>
          <w:tcPr>
            <w:tcW w:w="2409" w:type="dxa"/>
            <w:tcBorders>
              <w:top w:val="single" w:sz="4" w:space="0" w:color="auto"/>
              <w:left w:val="single" w:sz="4" w:space="0" w:color="auto"/>
              <w:bottom w:val="single" w:sz="4" w:space="0" w:color="auto"/>
              <w:right w:val="single" w:sz="4" w:space="0" w:color="auto"/>
            </w:tcBorders>
          </w:tcPr>
          <w:p w14:paraId="07245238" w14:textId="57379129" w:rsidR="00AF09C1" w:rsidRPr="00871A62" w:rsidRDefault="00AF09C1" w:rsidP="00871A62">
            <w:r w:rsidRPr="00871A62">
              <w:t>No</w:t>
            </w:r>
          </w:p>
        </w:tc>
        <w:tc>
          <w:tcPr>
            <w:tcW w:w="1511" w:type="dxa"/>
            <w:tcBorders>
              <w:top w:val="single" w:sz="4" w:space="0" w:color="auto"/>
              <w:left w:val="single" w:sz="4" w:space="0" w:color="auto"/>
              <w:bottom w:val="single" w:sz="4" w:space="0" w:color="auto"/>
              <w:right w:val="single" w:sz="4" w:space="0" w:color="auto"/>
            </w:tcBorders>
          </w:tcPr>
          <w:p w14:paraId="1772E86A" w14:textId="09C8AEBC" w:rsidR="00AF09C1" w:rsidRPr="00871A62" w:rsidRDefault="00AF09C1" w:rsidP="00B61561">
            <w:pPr>
              <w:jc w:val="both"/>
            </w:pPr>
            <w:r w:rsidRPr="00871A62">
              <w:t>862 (53·3)</w:t>
            </w:r>
          </w:p>
        </w:tc>
        <w:tc>
          <w:tcPr>
            <w:tcW w:w="1322" w:type="dxa"/>
            <w:tcBorders>
              <w:top w:val="single" w:sz="4" w:space="0" w:color="auto"/>
              <w:left w:val="single" w:sz="4" w:space="0" w:color="auto"/>
              <w:bottom w:val="single" w:sz="4" w:space="0" w:color="auto"/>
              <w:right w:val="single" w:sz="4" w:space="0" w:color="auto"/>
            </w:tcBorders>
          </w:tcPr>
          <w:p w14:paraId="2E4AFB95" w14:textId="72E417CB" w:rsidR="00AF09C1" w:rsidRPr="00871A62" w:rsidRDefault="00AF09C1" w:rsidP="00871A62">
            <w:r w:rsidRPr="00871A62">
              <w:t>349 (30·7)</w:t>
            </w:r>
          </w:p>
        </w:tc>
        <w:tc>
          <w:tcPr>
            <w:tcW w:w="750" w:type="dxa"/>
            <w:tcBorders>
              <w:top w:val="single" w:sz="4" w:space="0" w:color="auto"/>
              <w:left w:val="single" w:sz="4" w:space="0" w:color="auto"/>
              <w:bottom w:val="single" w:sz="4" w:space="0" w:color="auto"/>
              <w:right w:val="single" w:sz="4" w:space="0" w:color="auto"/>
            </w:tcBorders>
          </w:tcPr>
          <w:p w14:paraId="0DA24B23" w14:textId="3371BB1C" w:rsidR="00AF09C1" w:rsidRPr="00871A62" w:rsidRDefault="00AF09C1" w:rsidP="00871A62">
            <w:r w:rsidRPr="00871A62">
              <w:t>1211</w:t>
            </w:r>
          </w:p>
        </w:tc>
        <w:tc>
          <w:tcPr>
            <w:tcW w:w="954" w:type="dxa"/>
            <w:tcBorders>
              <w:top w:val="single" w:sz="4" w:space="0" w:color="auto"/>
              <w:left w:val="single" w:sz="4" w:space="0" w:color="auto"/>
              <w:bottom w:val="single" w:sz="4" w:space="0" w:color="auto"/>
              <w:right w:val="single" w:sz="4" w:space="0" w:color="auto"/>
            </w:tcBorders>
          </w:tcPr>
          <w:p w14:paraId="2629468C" w14:textId="2D23FE76" w:rsidR="00AF09C1" w:rsidRPr="00871A62" w:rsidRDefault="00AF09C1" w:rsidP="00871A62">
            <w:r w:rsidRPr="00871A62">
              <w:t>138·57</w:t>
            </w:r>
          </w:p>
        </w:tc>
        <w:tc>
          <w:tcPr>
            <w:tcW w:w="992" w:type="dxa"/>
            <w:tcBorders>
              <w:top w:val="single" w:sz="4" w:space="0" w:color="auto"/>
              <w:left w:val="single" w:sz="4" w:space="0" w:color="auto"/>
              <w:bottom w:val="single" w:sz="4" w:space="0" w:color="auto"/>
              <w:right w:val="single" w:sz="4" w:space="0" w:color="auto"/>
            </w:tcBorders>
          </w:tcPr>
          <w:p w14:paraId="1884319E" w14:textId="67C05B19" w:rsidR="00AF09C1" w:rsidRPr="00871A62" w:rsidRDefault="00AF09C1" w:rsidP="00871A62">
            <w:r w:rsidRPr="00871A62">
              <w:t>&lt;·001</w:t>
            </w:r>
          </w:p>
        </w:tc>
        <w:tc>
          <w:tcPr>
            <w:tcW w:w="709" w:type="dxa"/>
            <w:tcBorders>
              <w:top w:val="single" w:sz="4" w:space="0" w:color="auto"/>
              <w:left w:val="single" w:sz="4" w:space="0" w:color="auto"/>
              <w:bottom w:val="single" w:sz="4" w:space="0" w:color="auto"/>
              <w:right w:val="single" w:sz="4" w:space="0" w:color="auto"/>
            </w:tcBorders>
          </w:tcPr>
          <w:p w14:paraId="22703C30" w14:textId="7E49E032" w:rsidR="00AF09C1" w:rsidRPr="00871A62" w:rsidRDefault="00AF09C1" w:rsidP="00871A62">
            <w:r w:rsidRPr="00871A62">
              <w:t>0·22</w:t>
            </w:r>
          </w:p>
        </w:tc>
      </w:tr>
      <w:tr w:rsidR="00AF09C1" w:rsidRPr="005B412C" w14:paraId="4E42CB2A" w14:textId="77777777" w:rsidTr="00B61561">
        <w:tc>
          <w:tcPr>
            <w:tcW w:w="2409" w:type="dxa"/>
            <w:tcBorders>
              <w:top w:val="single" w:sz="4" w:space="0" w:color="auto"/>
              <w:left w:val="single" w:sz="4" w:space="0" w:color="auto"/>
              <w:bottom w:val="single" w:sz="4" w:space="0" w:color="auto"/>
              <w:right w:val="single" w:sz="4" w:space="0" w:color="auto"/>
            </w:tcBorders>
          </w:tcPr>
          <w:p w14:paraId="6071455F" w14:textId="732AE3FC" w:rsidR="00AF09C1" w:rsidRPr="00871A62" w:rsidRDefault="00AF09C1" w:rsidP="00871A62">
            <w:r w:rsidRPr="00871A62">
              <w:t>Yes</w:t>
            </w:r>
          </w:p>
        </w:tc>
        <w:tc>
          <w:tcPr>
            <w:tcW w:w="1511" w:type="dxa"/>
            <w:tcBorders>
              <w:top w:val="single" w:sz="4" w:space="0" w:color="auto"/>
              <w:left w:val="single" w:sz="4" w:space="0" w:color="auto"/>
              <w:bottom w:val="single" w:sz="4" w:space="0" w:color="auto"/>
              <w:right w:val="single" w:sz="4" w:space="0" w:color="auto"/>
            </w:tcBorders>
          </w:tcPr>
          <w:p w14:paraId="747F3B5B" w14:textId="4F792445" w:rsidR="00AF09C1" w:rsidRPr="00871A62" w:rsidRDefault="00AF09C1" w:rsidP="00B61561">
            <w:pPr>
              <w:jc w:val="both"/>
            </w:pPr>
            <w:r w:rsidRPr="00871A62">
              <w:t>755 (46·7)</w:t>
            </w:r>
          </w:p>
        </w:tc>
        <w:tc>
          <w:tcPr>
            <w:tcW w:w="1322" w:type="dxa"/>
            <w:tcBorders>
              <w:top w:val="single" w:sz="4" w:space="0" w:color="auto"/>
              <w:left w:val="single" w:sz="4" w:space="0" w:color="auto"/>
              <w:bottom w:val="single" w:sz="4" w:space="0" w:color="auto"/>
              <w:right w:val="single" w:sz="4" w:space="0" w:color="auto"/>
            </w:tcBorders>
          </w:tcPr>
          <w:p w14:paraId="5014F6D6" w14:textId="7571504B" w:rsidR="00AF09C1" w:rsidRPr="00871A62" w:rsidRDefault="00AF09C1" w:rsidP="00871A62">
            <w:r w:rsidRPr="00871A62">
              <w:t>788 (69·3)</w:t>
            </w:r>
          </w:p>
        </w:tc>
        <w:tc>
          <w:tcPr>
            <w:tcW w:w="750" w:type="dxa"/>
            <w:tcBorders>
              <w:top w:val="single" w:sz="4" w:space="0" w:color="auto"/>
              <w:left w:val="single" w:sz="4" w:space="0" w:color="auto"/>
              <w:bottom w:val="single" w:sz="4" w:space="0" w:color="auto"/>
              <w:right w:val="single" w:sz="4" w:space="0" w:color="auto"/>
            </w:tcBorders>
          </w:tcPr>
          <w:p w14:paraId="4F4E556B" w14:textId="1722364C" w:rsidR="00AF09C1" w:rsidRPr="00871A62" w:rsidRDefault="00AF09C1" w:rsidP="00871A62">
            <w:r w:rsidRPr="00871A62">
              <w:t>1543</w:t>
            </w:r>
          </w:p>
        </w:tc>
        <w:tc>
          <w:tcPr>
            <w:tcW w:w="954" w:type="dxa"/>
            <w:tcBorders>
              <w:top w:val="single" w:sz="4" w:space="0" w:color="auto"/>
              <w:left w:val="single" w:sz="4" w:space="0" w:color="auto"/>
              <w:bottom w:val="single" w:sz="4" w:space="0" w:color="auto"/>
              <w:right w:val="single" w:sz="4" w:space="0" w:color="auto"/>
            </w:tcBorders>
          </w:tcPr>
          <w:p w14:paraId="0B2FD65F" w14:textId="77777777" w:rsidR="00AF09C1" w:rsidRPr="00871A62" w:rsidRDefault="00AF09C1" w:rsidP="00871A62"/>
        </w:tc>
        <w:tc>
          <w:tcPr>
            <w:tcW w:w="992" w:type="dxa"/>
            <w:tcBorders>
              <w:top w:val="single" w:sz="4" w:space="0" w:color="auto"/>
              <w:left w:val="single" w:sz="4" w:space="0" w:color="auto"/>
              <w:bottom w:val="single" w:sz="4" w:space="0" w:color="auto"/>
              <w:right w:val="single" w:sz="4" w:space="0" w:color="auto"/>
            </w:tcBorders>
          </w:tcPr>
          <w:p w14:paraId="453FAE96" w14:textId="77777777" w:rsidR="00AF09C1" w:rsidRPr="00871A62" w:rsidRDefault="00AF09C1" w:rsidP="00871A62"/>
        </w:tc>
        <w:tc>
          <w:tcPr>
            <w:tcW w:w="709" w:type="dxa"/>
            <w:tcBorders>
              <w:top w:val="single" w:sz="4" w:space="0" w:color="auto"/>
              <w:left w:val="single" w:sz="4" w:space="0" w:color="auto"/>
              <w:bottom w:val="single" w:sz="4" w:space="0" w:color="auto"/>
              <w:right w:val="single" w:sz="4" w:space="0" w:color="auto"/>
            </w:tcBorders>
            <w:vAlign w:val="center"/>
          </w:tcPr>
          <w:p w14:paraId="3719938C" w14:textId="77777777" w:rsidR="00AF09C1" w:rsidRPr="00871A62" w:rsidRDefault="00AF09C1" w:rsidP="00871A62"/>
        </w:tc>
      </w:tr>
      <w:tr w:rsidR="00AF09C1" w:rsidRPr="005B412C" w14:paraId="66238D4C"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6BC4F7B4" w14:textId="66558091" w:rsidR="00AF09C1" w:rsidRPr="00B61561" w:rsidRDefault="00AF09C1" w:rsidP="00871A62">
            <w:pPr>
              <w:rPr>
                <w:b/>
                <w:bCs/>
              </w:rPr>
            </w:pPr>
            <w:r w:rsidRPr="00B61561">
              <w:rPr>
                <w:b/>
                <w:bCs/>
              </w:rPr>
              <w:t>Urgent care centre</w:t>
            </w:r>
          </w:p>
        </w:tc>
        <w:tc>
          <w:tcPr>
            <w:tcW w:w="1511" w:type="dxa"/>
            <w:tcBorders>
              <w:top w:val="single" w:sz="4" w:space="0" w:color="auto"/>
              <w:left w:val="single" w:sz="4" w:space="0" w:color="auto"/>
              <w:bottom w:val="single" w:sz="4" w:space="0" w:color="auto"/>
              <w:right w:val="single" w:sz="4" w:space="0" w:color="auto"/>
            </w:tcBorders>
          </w:tcPr>
          <w:p w14:paraId="7E5F920C" w14:textId="214CF803" w:rsidR="00AF09C1" w:rsidRPr="00871A62" w:rsidRDefault="00AF09C1" w:rsidP="00B61561">
            <w:pPr>
              <w:jc w:val="both"/>
            </w:pPr>
          </w:p>
        </w:tc>
        <w:tc>
          <w:tcPr>
            <w:tcW w:w="1322" w:type="dxa"/>
            <w:tcBorders>
              <w:top w:val="single" w:sz="4" w:space="0" w:color="auto"/>
              <w:left w:val="single" w:sz="4" w:space="0" w:color="auto"/>
              <w:bottom w:val="single" w:sz="4" w:space="0" w:color="auto"/>
              <w:right w:val="single" w:sz="4" w:space="0" w:color="auto"/>
            </w:tcBorders>
          </w:tcPr>
          <w:p w14:paraId="3372D8A9" w14:textId="08EDAE86" w:rsidR="00AF09C1" w:rsidRPr="00871A62" w:rsidRDefault="00AF09C1" w:rsidP="00871A62"/>
        </w:tc>
        <w:tc>
          <w:tcPr>
            <w:tcW w:w="750" w:type="dxa"/>
            <w:tcBorders>
              <w:top w:val="single" w:sz="4" w:space="0" w:color="auto"/>
              <w:left w:val="single" w:sz="4" w:space="0" w:color="auto"/>
              <w:bottom w:val="single" w:sz="4" w:space="0" w:color="auto"/>
              <w:right w:val="single" w:sz="4" w:space="0" w:color="auto"/>
            </w:tcBorders>
          </w:tcPr>
          <w:p w14:paraId="57EEA070" w14:textId="4C2029BA" w:rsidR="00AF09C1" w:rsidRPr="00871A62" w:rsidRDefault="00AF09C1" w:rsidP="00871A62"/>
        </w:tc>
        <w:tc>
          <w:tcPr>
            <w:tcW w:w="954" w:type="dxa"/>
            <w:tcBorders>
              <w:top w:val="single" w:sz="4" w:space="0" w:color="auto"/>
              <w:left w:val="single" w:sz="4" w:space="0" w:color="auto"/>
              <w:bottom w:val="single" w:sz="4" w:space="0" w:color="auto"/>
              <w:right w:val="single" w:sz="4" w:space="0" w:color="auto"/>
            </w:tcBorders>
          </w:tcPr>
          <w:p w14:paraId="788DC8BE" w14:textId="48BE6B1E" w:rsidR="00AF09C1" w:rsidRPr="00871A62" w:rsidRDefault="00AF09C1" w:rsidP="00871A62"/>
        </w:tc>
        <w:tc>
          <w:tcPr>
            <w:tcW w:w="992" w:type="dxa"/>
            <w:tcBorders>
              <w:top w:val="single" w:sz="4" w:space="0" w:color="auto"/>
              <w:left w:val="single" w:sz="4" w:space="0" w:color="auto"/>
              <w:bottom w:val="single" w:sz="4" w:space="0" w:color="auto"/>
              <w:right w:val="single" w:sz="4" w:space="0" w:color="auto"/>
            </w:tcBorders>
          </w:tcPr>
          <w:p w14:paraId="725B1BFA" w14:textId="02F9EB24" w:rsidR="00AF09C1" w:rsidRPr="00871A62" w:rsidRDefault="00AF09C1" w:rsidP="00871A62"/>
        </w:tc>
        <w:tc>
          <w:tcPr>
            <w:tcW w:w="709" w:type="dxa"/>
            <w:tcBorders>
              <w:top w:val="single" w:sz="4" w:space="0" w:color="auto"/>
              <w:left w:val="single" w:sz="4" w:space="0" w:color="auto"/>
              <w:bottom w:val="single" w:sz="4" w:space="0" w:color="auto"/>
              <w:right w:val="single" w:sz="4" w:space="0" w:color="auto"/>
            </w:tcBorders>
          </w:tcPr>
          <w:p w14:paraId="2C4D48DF" w14:textId="21458487" w:rsidR="00AF09C1" w:rsidRPr="00871A62" w:rsidRDefault="00AF09C1" w:rsidP="00871A62"/>
        </w:tc>
      </w:tr>
      <w:tr w:rsidR="00AF09C1" w:rsidRPr="005B412C" w14:paraId="4C30BFCB"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7CF09B4F" w14:textId="23926677" w:rsidR="00AF09C1" w:rsidRPr="00871A62" w:rsidRDefault="00AF09C1" w:rsidP="00AF09C1">
            <w:r w:rsidRPr="00871A62">
              <w:t>No</w:t>
            </w:r>
          </w:p>
        </w:tc>
        <w:tc>
          <w:tcPr>
            <w:tcW w:w="1511" w:type="dxa"/>
            <w:tcBorders>
              <w:top w:val="single" w:sz="4" w:space="0" w:color="auto"/>
              <w:left w:val="single" w:sz="4" w:space="0" w:color="auto"/>
              <w:bottom w:val="single" w:sz="4" w:space="0" w:color="auto"/>
              <w:right w:val="single" w:sz="4" w:space="0" w:color="auto"/>
            </w:tcBorders>
          </w:tcPr>
          <w:p w14:paraId="35832BD2" w14:textId="4271AB89" w:rsidR="00AF09C1" w:rsidRPr="00871A62" w:rsidRDefault="00AF09C1" w:rsidP="00B61561">
            <w:pPr>
              <w:jc w:val="both"/>
            </w:pPr>
            <w:r w:rsidRPr="00871A62">
              <w:t>1156 (71·5)</w:t>
            </w:r>
          </w:p>
        </w:tc>
        <w:tc>
          <w:tcPr>
            <w:tcW w:w="1322" w:type="dxa"/>
            <w:tcBorders>
              <w:top w:val="single" w:sz="4" w:space="0" w:color="auto"/>
              <w:left w:val="single" w:sz="4" w:space="0" w:color="auto"/>
              <w:bottom w:val="single" w:sz="4" w:space="0" w:color="auto"/>
              <w:right w:val="single" w:sz="4" w:space="0" w:color="auto"/>
            </w:tcBorders>
          </w:tcPr>
          <w:p w14:paraId="0434F687" w14:textId="1DCE8B7A" w:rsidR="00AF09C1" w:rsidRPr="00871A62" w:rsidRDefault="00AF09C1" w:rsidP="00AF09C1">
            <w:r w:rsidRPr="00871A62">
              <w:t>612 (53·8)</w:t>
            </w:r>
          </w:p>
        </w:tc>
        <w:tc>
          <w:tcPr>
            <w:tcW w:w="750" w:type="dxa"/>
            <w:tcBorders>
              <w:top w:val="single" w:sz="4" w:space="0" w:color="auto"/>
              <w:left w:val="single" w:sz="4" w:space="0" w:color="auto"/>
              <w:bottom w:val="single" w:sz="4" w:space="0" w:color="auto"/>
              <w:right w:val="single" w:sz="4" w:space="0" w:color="auto"/>
            </w:tcBorders>
          </w:tcPr>
          <w:p w14:paraId="7EE24758" w14:textId="17C97F98" w:rsidR="00AF09C1" w:rsidRPr="00871A62" w:rsidRDefault="00AF09C1" w:rsidP="00AF09C1">
            <w:r w:rsidRPr="00871A62">
              <w:t>1768</w:t>
            </w:r>
          </w:p>
        </w:tc>
        <w:tc>
          <w:tcPr>
            <w:tcW w:w="954" w:type="dxa"/>
            <w:tcBorders>
              <w:top w:val="single" w:sz="4" w:space="0" w:color="auto"/>
              <w:left w:val="single" w:sz="4" w:space="0" w:color="auto"/>
              <w:bottom w:val="single" w:sz="4" w:space="0" w:color="auto"/>
              <w:right w:val="single" w:sz="4" w:space="0" w:color="auto"/>
            </w:tcBorders>
          </w:tcPr>
          <w:p w14:paraId="49D804E9" w14:textId="2830AD82" w:rsidR="00AF09C1" w:rsidRPr="00871A62" w:rsidRDefault="00AF09C1" w:rsidP="00AF09C1">
            <w:r w:rsidRPr="00871A62">
              <w:t>90·63</w:t>
            </w:r>
          </w:p>
        </w:tc>
        <w:tc>
          <w:tcPr>
            <w:tcW w:w="992" w:type="dxa"/>
            <w:tcBorders>
              <w:top w:val="single" w:sz="4" w:space="0" w:color="auto"/>
              <w:left w:val="single" w:sz="4" w:space="0" w:color="auto"/>
              <w:bottom w:val="single" w:sz="4" w:space="0" w:color="auto"/>
              <w:right w:val="single" w:sz="4" w:space="0" w:color="auto"/>
            </w:tcBorders>
          </w:tcPr>
          <w:p w14:paraId="7F4147EA" w14:textId="5973BA21" w:rsidR="00AF09C1" w:rsidRPr="00871A62" w:rsidRDefault="00AF09C1" w:rsidP="00AF09C1">
            <w:r w:rsidRPr="00871A62">
              <w:t>&lt;·001</w:t>
            </w:r>
          </w:p>
        </w:tc>
        <w:tc>
          <w:tcPr>
            <w:tcW w:w="709" w:type="dxa"/>
            <w:tcBorders>
              <w:top w:val="single" w:sz="4" w:space="0" w:color="auto"/>
              <w:left w:val="single" w:sz="4" w:space="0" w:color="auto"/>
              <w:bottom w:val="single" w:sz="4" w:space="0" w:color="auto"/>
              <w:right w:val="single" w:sz="4" w:space="0" w:color="auto"/>
            </w:tcBorders>
          </w:tcPr>
          <w:p w14:paraId="0670E415" w14:textId="4E440E90" w:rsidR="00AF09C1" w:rsidRPr="00871A62" w:rsidRDefault="00AF09C1" w:rsidP="00AF09C1">
            <w:r w:rsidRPr="00871A62">
              <w:t>0·18</w:t>
            </w:r>
          </w:p>
        </w:tc>
      </w:tr>
      <w:tr w:rsidR="00AF09C1" w:rsidRPr="005B412C" w14:paraId="2AC1E34A" w14:textId="77777777" w:rsidTr="00B61561">
        <w:tc>
          <w:tcPr>
            <w:tcW w:w="2409" w:type="dxa"/>
            <w:tcBorders>
              <w:top w:val="single" w:sz="4" w:space="0" w:color="auto"/>
              <w:left w:val="single" w:sz="4" w:space="0" w:color="auto"/>
              <w:bottom w:val="single" w:sz="4" w:space="0" w:color="auto"/>
              <w:right w:val="single" w:sz="4" w:space="0" w:color="auto"/>
            </w:tcBorders>
          </w:tcPr>
          <w:p w14:paraId="72DAD35B" w14:textId="23EF7ADD" w:rsidR="00AF09C1" w:rsidRPr="00871A62" w:rsidRDefault="00AF09C1" w:rsidP="00AF09C1">
            <w:r w:rsidRPr="00871A62">
              <w:t>Yes</w:t>
            </w:r>
          </w:p>
        </w:tc>
        <w:tc>
          <w:tcPr>
            <w:tcW w:w="1511" w:type="dxa"/>
            <w:tcBorders>
              <w:top w:val="single" w:sz="4" w:space="0" w:color="auto"/>
              <w:left w:val="single" w:sz="4" w:space="0" w:color="auto"/>
              <w:bottom w:val="single" w:sz="4" w:space="0" w:color="auto"/>
              <w:right w:val="single" w:sz="4" w:space="0" w:color="auto"/>
            </w:tcBorders>
          </w:tcPr>
          <w:p w14:paraId="4FEB4910" w14:textId="35492DE1" w:rsidR="00AF09C1" w:rsidRPr="00871A62" w:rsidRDefault="00AF09C1" w:rsidP="00B61561">
            <w:pPr>
              <w:jc w:val="both"/>
            </w:pPr>
            <w:r w:rsidRPr="00871A62">
              <w:t>461 (28·5)</w:t>
            </w:r>
          </w:p>
        </w:tc>
        <w:tc>
          <w:tcPr>
            <w:tcW w:w="1322" w:type="dxa"/>
            <w:tcBorders>
              <w:top w:val="single" w:sz="4" w:space="0" w:color="auto"/>
              <w:left w:val="single" w:sz="4" w:space="0" w:color="auto"/>
              <w:bottom w:val="single" w:sz="4" w:space="0" w:color="auto"/>
              <w:right w:val="single" w:sz="4" w:space="0" w:color="auto"/>
            </w:tcBorders>
          </w:tcPr>
          <w:p w14:paraId="105EC029" w14:textId="5371D00D" w:rsidR="00AF09C1" w:rsidRPr="00871A62" w:rsidRDefault="00AF09C1" w:rsidP="00AF09C1">
            <w:r w:rsidRPr="00871A62">
              <w:t>525 (46·2)</w:t>
            </w:r>
          </w:p>
        </w:tc>
        <w:tc>
          <w:tcPr>
            <w:tcW w:w="750" w:type="dxa"/>
            <w:tcBorders>
              <w:top w:val="single" w:sz="4" w:space="0" w:color="auto"/>
              <w:left w:val="single" w:sz="4" w:space="0" w:color="auto"/>
              <w:bottom w:val="single" w:sz="4" w:space="0" w:color="auto"/>
              <w:right w:val="single" w:sz="4" w:space="0" w:color="auto"/>
            </w:tcBorders>
          </w:tcPr>
          <w:p w14:paraId="1DFE941A" w14:textId="50476F38" w:rsidR="00AF09C1" w:rsidRPr="00871A62" w:rsidRDefault="00AF09C1" w:rsidP="00AF09C1">
            <w:r w:rsidRPr="00871A62">
              <w:t>986</w:t>
            </w:r>
          </w:p>
        </w:tc>
        <w:tc>
          <w:tcPr>
            <w:tcW w:w="954" w:type="dxa"/>
            <w:tcBorders>
              <w:top w:val="single" w:sz="4" w:space="0" w:color="auto"/>
              <w:left w:val="single" w:sz="4" w:space="0" w:color="auto"/>
              <w:bottom w:val="single" w:sz="4" w:space="0" w:color="auto"/>
              <w:right w:val="single" w:sz="4" w:space="0" w:color="auto"/>
            </w:tcBorders>
          </w:tcPr>
          <w:p w14:paraId="4A846D8E" w14:textId="77777777"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556BBEB2" w14:textId="77777777"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vAlign w:val="center"/>
          </w:tcPr>
          <w:p w14:paraId="217F91E6" w14:textId="77777777" w:rsidR="00AF09C1" w:rsidRPr="00871A62" w:rsidRDefault="00AF09C1" w:rsidP="00AF09C1"/>
        </w:tc>
      </w:tr>
      <w:tr w:rsidR="00AF09C1" w:rsidRPr="005B412C" w14:paraId="7C1833AB"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053A9DF3" w14:textId="77777777" w:rsidR="00AF09C1" w:rsidRPr="00B61561" w:rsidRDefault="00AF09C1" w:rsidP="00AF09C1">
            <w:pPr>
              <w:rPr>
                <w:b/>
                <w:bCs/>
              </w:rPr>
            </w:pPr>
            <w:r w:rsidRPr="00B61561">
              <w:rPr>
                <w:b/>
                <w:bCs/>
              </w:rPr>
              <w:t>GP out-of-hours services</w:t>
            </w:r>
          </w:p>
        </w:tc>
        <w:tc>
          <w:tcPr>
            <w:tcW w:w="1511" w:type="dxa"/>
            <w:tcBorders>
              <w:top w:val="single" w:sz="4" w:space="0" w:color="auto"/>
              <w:left w:val="single" w:sz="4" w:space="0" w:color="auto"/>
              <w:bottom w:val="single" w:sz="4" w:space="0" w:color="auto"/>
              <w:right w:val="single" w:sz="4" w:space="0" w:color="auto"/>
            </w:tcBorders>
          </w:tcPr>
          <w:p w14:paraId="34CA2688" w14:textId="24A90E33" w:rsidR="00AF09C1" w:rsidRPr="00871A62" w:rsidRDefault="00AF09C1" w:rsidP="00B61561">
            <w:pPr>
              <w:jc w:val="both"/>
            </w:pPr>
          </w:p>
        </w:tc>
        <w:tc>
          <w:tcPr>
            <w:tcW w:w="1322" w:type="dxa"/>
            <w:tcBorders>
              <w:top w:val="single" w:sz="4" w:space="0" w:color="auto"/>
              <w:left w:val="single" w:sz="4" w:space="0" w:color="auto"/>
              <w:bottom w:val="single" w:sz="4" w:space="0" w:color="auto"/>
              <w:right w:val="single" w:sz="4" w:space="0" w:color="auto"/>
            </w:tcBorders>
          </w:tcPr>
          <w:p w14:paraId="4A34EC2C" w14:textId="4CF66C64" w:rsidR="00AF09C1" w:rsidRPr="00871A62" w:rsidRDefault="00AF09C1" w:rsidP="00AF09C1"/>
        </w:tc>
        <w:tc>
          <w:tcPr>
            <w:tcW w:w="750" w:type="dxa"/>
            <w:tcBorders>
              <w:top w:val="single" w:sz="4" w:space="0" w:color="auto"/>
              <w:left w:val="single" w:sz="4" w:space="0" w:color="auto"/>
              <w:bottom w:val="single" w:sz="4" w:space="0" w:color="auto"/>
              <w:right w:val="single" w:sz="4" w:space="0" w:color="auto"/>
            </w:tcBorders>
          </w:tcPr>
          <w:p w14:paraId="6B5539BC" w14:textId="1E26AE38" w:rsidR="00AF09C1" w:rsidRPr="00871A62" w:rsidRDefault="00AF09C1" w:rsidP="00AF09C1"/>
        </w:tc>
        <w:tc>
          <w:tcPr>
            <w:tcW w:w="954" w:type="dxa"/>
            <w:tcBorders>
              <w:top w:val="single" w:sz="4" w:space="0" w:color="auto"/>
              <w:left w:val="single" w:sz="4" w:space="0" w:color="auto"/>
              <w:bottom w:val="single" w:sz="4" w:space="0" w:color="auto"/>
              <w:right w:val="single" w:sz="4" w:space="0" w:color="auto"/>
            </w:tcBorders>
          </w:tcPr>
          <w:p w14:paraId="3F94D4C3" w14:textId="6CF8C190"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4BB3133B" w14:textId="73F083AF"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tcPr>
          <w:p w14:paraId="2FF5A8D5" w14:textId="54D469ED" w:rsidR="00AF09C1" w:rsidRPr="00871A62" w:rsidRDefault="00AF09C1" w:rsidP="00AF09C1"/>
        </w:tc>
      </w:tr>
      <w:tr w:rsidR="00AF09C1" w:rsidRPr="005B412C" w14:paraId="2293DC87"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478321EE" w14:textId="02CEF54E" w:rsidR="00AF09C1" w:rsidRPr="00871A62" w:rsidRDefault="00AF09C1" w:rsidP="00AF09C1">
            <w:r w:rsidRPr="00871A62">
              <w:t>No</w:t>
            </w:r>
          </w:p>
        </w:tc>
        <w:tc>
          <w:tcPr>
            <w:tcW w:w="1511" w:type="dxa"/>
            <w:tcBorders>
              <w:top w:val="single" w:sz="4" w:space="0" w:color="auto"/>
              <w:left w:val="single" w:sz="4" w:space="0" w:color="auto"/>
              <w:bottom w:val="single" w:sz="4" w:space="0" w:color="auto"/>
              <w:right w:val="single" w:sz="4" w:space="0" w:color="auto"/>
            </w:tcBorders>
          </w:tcPr>
          <w:p w14:paraId="0CB97637" w14:textId="58A561BD" w:rsidR="00AF09C1" w:rsidRPr="00871A62" w:rsidRDefault="00AF09C1" w:rsidP="00B61561">
            <w:pPr>
              <w:jc w:val="both"/>
            </w:pPr>
            <w:r w:rsidRPr="00871A62">
              <w:t>1249 (77·2)</w:t>
            </w:r>
          </w:p>
        </w:tc>
        <w:tc>
          <w:tcPr>
            <w:tcW w:w="1322" w:type="dxa"/>
            <w:tcBorders>
              <w:top w:val="single" w:sz="4" w:space="0" w:color="auto"/>
              <w:left w:val="single" w:sz="4" w:space="0" w:color="auto"/>
              <w:bottom w:val="single" w:sz="4" w:space="0" w:color="auto"/>
              <w:right w:val="single" w:sz="4" w:space="0" w:color="auto"/>
            </w:tcBorders>
          </w:tcPr>
          <w:p w14:paraId="41F8CBC9" w14:textId="5BA3768A" w:rsidR="00AF09C1" w:rsidRPr="00871A62" w:rsidRDefault="00AF09C1" w:rsidP="00AF09C1">
            <w:r w:rsidRPr="00871A62">
              <w:t>692 (60·9)</w:t>
            </w:r>
          </w:p>
        </w:tc>
        <w:tc>
          <w:tcPr>
            <w:tcW w:w="750" w:type="dxa"/>
            <w:tcBorders>
              <w:top w:val="single" w:sz="4" w:space="0" w:color="auto"/>
              <w:left w:val="single" w:sz="4" w:space="0" w:color="auto"/>
              <w:bottom w:val="single" w:sz="4" w:space="0" w:color="auto"/>
              <w:right w:val="single" w:sz="4" w:space="0" w:color="auto"/>
            </w:tcBorders>
          </w:tcPr>
          <w:p w14:paraId="00AEB384" w14:textId="290765AD" w:rsidR="00AF09C1" w:rsidRPr="00871A62" w:rsidRDefault="00AF09C1" w:rsidP="00AF09C1">
            <w:r w:rsidRPr="00871A62">
              <w:t>1941</w:t>
            </w:r>
          </w:p>
        </w:tc>
        <w:tc>
          <w:tcPr>
            <w:tcW w:w="954" w:type="dxa"/>
            <w:tcBorders>
              <w:top w:val="single" w:sz="4" w:space="0" w:color="auto"/>
              <w:left w:val="single" w:sz="4" w:space="0" w:color="auto"/>
              <w:bottom w:val="single" w:sz="4" w:space="0" w:color="auto"/>
              <w:right w:val="single" w:sz="4" w:space="0" w:color="auto"/>
            </w:tcBorders>
          </w:tcPr>
          <w:p w14:paraId="49298C18" w14:textId="1BD453A6" w:rsidR="00AF09C1" w:rsidRPr="00871A62" w:rsidRDefault="00AF09C1" w:rsidP="00AF09C1">
            <w:r w:rsidRPr="00871A62">
              <w:t>86·08</w:t>
            </w:r>
          </w:p>
        </w:tc>
        <w:tc>
          <w:tcPr>
            <w:tcW w:w="992" w:type="dxa"/>
            <w:tcBorders>
              <w:top w:val="single" w:sz="4" w:space="0" w:color="auto"/>
              <w:left w:val="single" w:sz="4" w:space="0" w:color="auto"/>
              <w:bottom w:val="single" w:sz="4" w:space="0" w:color="auto"/>
              <w:right w:val="single" w:sz="4" w:space="0" w:color="auto"/>
            </w:tcBorders>
          </w:tcPr>
          <w:p w14:paraId="59F056F3" w14:textId="47B85AFB" w:rsidR="00AF09C1" w:rsidRPr="00871A62" w:rsidRDefault="00AF09C1" w:rsidP="00AF09C1">
            <w:r w:rsidRPr="00871A62">
              <w:t>&lt;·001</w:t>
            </w:r>
          </w:p>
        </w:tc>
        <w:tc>
          <w:tcPr>
            <w:tcW w:w="709" w:type="dxa"/>
            <w:tcBorders>
              <w:top w:val="single" w:sz="4" w:space="0" w:color="auto"/>
              <w:left w:val="single" w:sz="4" w:space="0" w:color="auto"/>
              <w:bottom w:val="single" w:sz="4" w:space="0" w:color="auto"/>
              <w:right w:val="single" w:sz="4" w:space="0" w:color="auto"/>
            </w:tcBorders>
          </w:tcPr>
          <w:p w14:paraId="74449299" w14:textId="160680A8" w:rsidR="00AF09C1" w:rsidRPr="00871A62" w:rsidRDefault="00AF09C1" w:rsidP="00AF09C1">
            <w:r w:rsidRPr="00871A62">
              <w:t>0·18</w:t>
            </w:r>
          </w:p>
        </w:tc>
      </w:tr>
      <w:tr w:rsidR="00AF09C1" w:rsidRPr="005B412C" w14:paraId="3FE0F607" w14:textId="77777777" w:rsidTr="00B61561">
        <w:tc>
          <w:tcPr>
            <w:tcW w:w="2409" w:type="dxa"/>
            <w:tcBorders>
              <w:top w:val="single" w:sz="4" w:space="0" w:color="auto"/>
              <w:left w:val="single" w:sz="4" w:space="0" w:color="auto"/>
              <w:bottom w:val="single" w:sz="4" w:space="0" w:color="auto"/>
              <w:right w:val="single" w:sz="4" w:space="0" w:color="auto"/>
            </w:tcBorders>
          </w:tcPr>
          <w:p w14:paraId="09F39433" w14:textId="12826083" w:rsidR="00AF09C1" w:rsidRPr="00871A62" w:rsidRDefault="00AF09C1" w:rsidP="00AF09C1">
            <w:r w:rsidRPr="00871A62">
              <w:t>Yes</w:t>
            </w:r>
          </w:p>
        </w:tc>
        <w:tc>
          <w:tcPr>
            <w:tcW w:w="1511" w:type="dxa"/>
            <w:tcBorders>
              <w:top w:val="single" w:sz="4" w:space="0" w:color="auto"/>
              <w:left w:val="single" w:sz="4" w:space="0" w:color="auto"/>
              <w:bottom w:val="single" w:sz="4" w:space="0" w:color="auto"/>
              <w:right w:val="single" w:sz="4" w:space="0" w:color="auto"/>
            </w:tcBorders>
          </w:tcPr>
          <w:p w14:paraId="60892059" w14:textId="2EBD2CE6" w:rsidR="00AF09C1" w:rsidRPr="00871A62" w:rsidRDefault="00AF09C1" w:rsidP="00B61561">
            <w:pPr>
              <w:jc w:val="both"/>
            </w:pPr>
            <w:r w:rsidRPr="00871A62">
              <w:t>368 (22·8)</w:t>
            </w:r>
          </w:p>
        </w:tc>
        <w:tc>
          <w:tcPr>
            <w:tcW w:w="1322" w:type="dxa"/>
            <w:tcBorders>
              <w:top w:val="single" w:sz="4" w:space="0" w:color="auto"/>
              <w:left w:val="single" w:sz="4" w:space="0" w:color="auto"/>
              <w:bottom w:val="single" w:sz="4" w:space="0" w:color="auto"/>
              <w:right w:val="single" w:sz="4" w:space="0" w:color="auto"/>
            </w:tcBorders>
          </w:tcPr>
          <w:p w14:paraId="07AADC8A" w14:textId="2A704CF2" w:rsidR="00AF09C1" w:rsidRPr="00871A62" w:rsidRDefault="00AF09C1" w:rsidP="00AF09C1">
            <w:r w:rsidRPr="00871A62">
              <w:t>445 (39·1)</w:t>
            </w:r>
          </w:p>
        </w:tc>
        <w:tc>
          <w:tcPr>
            <w:tcW w:w="750" w:type="dxa"/>
            <w:tcBorders>
              <w:top w:val="single" w:sz="4" w:space="0" w:color="auto"/>
              <w:left w:val="single" w:sz="4" w:space="0" w:color="auto"/>
              <w:bottom w:val="single" w:sz="4" w:space="0" w:color="auto"/>
              <w:right w:val="single" w:sz="4" w:space="0" w:color="auto"/>
            </w:tcBorders>
          </w:tcPr>
          <w:p w14:paraId="40DB4451" w14:textId="3144AE24" w:rsidR="00AF09C1" w:rsidRPr="00871A62" w:rsidRDefault="00AF09C1" w:rsidP="00AF09C1">
            <w:r w:rsidRPr="00871A62">
              <w:t>813</w:t>
            </w:r>
          </w:p>
        </w:tc>
        <w:tc>
          <w:tcPr>
            <w:tcW w:w="954" w:type="dxa"/>
            <w:tcBorders>
              <w:top w:val="single" w:sz="4" w:space="0" w:color="auto"/>
              <w:left w:val="single" w:sz="4" w:space="0" w:color="auto"/>
              <w:bottom w:val="single" w:sz="4" w:space="0" w:color="auto"/>
              <w:right w:val="single" w:sz="4" w:space="0" w:color="auto"/>
            </w:tcBorders>
          </w:tcPr>
          <w:p w14:paraId="36D8BB62" w14:textId="77777777"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33995DEB" w14:textId="77777777"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vAlign w:val="center"/>
          </w:tcPr>
          <w:p w14:paraId="1DB4C682" w14:textId="77777777" w:rsidR="00AF09C1" w:rsidRPr="00871A62" w:rsidRDefault="00AF09C1" w:rsidP="00AF09C1"/>
        </w:tc>
      </w:tr>
      <w:tr w:rsidR="00AF09C1" w:rsidRPr="005B412C" w14:paraId="0C2AE055"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1D7FE28A" w14:textId="77777777" w:rsidR="00AF09C1" w:rsidRPr="00B61561" w:rsidRDefault="00AF09C1" w:rsidP="00AF09C1">
            <w:pPr>
              <w:rPr>
                <w:b/>
                <w:bCs/>
              </w:rPr>
            </w:pPr>
            <w:r w:rsidRPr="00B61561">
              <w:rPr>
                <w:b/>
                <w:bCs/>
              </w:rPr>
              <w:t>999 ambulance service</w:t>
            </w:r>
          </w:p>
        </w:tc>
        <w:tc>
          <w:tcPr>
            <w:tcW w:w="1511" w:type="dxa"/>
            <w:tcBorders>
              <w:top w:val="single" w:sz="4" w:space="0" w:color="auto"/>
              <w:left w:val="single" w:sz="4" w:space="0" w:color="auto"/>
              <w:bottom w:val="single" w:sz="4" w:space="0" w:color="auto"/>
              <w:right w:val="single" w:sz="4" w:space="0" w:color="auto"/>
            </w:tcBorders>
          </w:tcPr>
          <w:p w14:paraId="4E228426" w14:textId="6361F210" w:rsidR="00AF09C1" w:rsidRPr="00871A62" w:rsidRDefault="00AF09C1" w:rsidP="00B61561">
            <w:pPr>
              <w:jc w:val="both"/>
            </w:pPr>
          </w:p>
        </w:tc>
        <w:tc>
          <w:tcPr>
            <w:tcW w:w="1322" w:type="dxa"/>
            <w:tcBorders>
              <w:top w:val="single" w:sz="4" w:space="0" w:color="auto"/>
              <w:left w:val="single" w:sz="4" w:space="0" w:color="auto"/>
              <w:bottom w:val="single" w:sz="4" w:space="0" w:color="auto"/>
              <w:right w:val="single" w:sz="4" w:space="0" w:color="auto"/>
            </w:tcBorders>
          </w:tcPr>
          <w:p w14:paraId="1D34929A" w14:textId="1B7E9D36" w:rsidR="00AF09C1" w:rsidRPr="00871A62" w:rsidRDefault="00AF09C1" w:rsidP="00AF09C1"/>
        </w:tc>
        <w:tc>
          <w:tcPr>
            <w:tcW w:w="750" w:type="dxa"/>
            <w:tcBorders>
              <w:top w:val="single" w:sz="4" w:space="0" w:color="auto"/>
              <w:left w:val="single" w:sz="4" w:space="0" w:color="auto"/>
              <w:bottom w:val="single" w:sz="4" w:space="0" w:color="auto"/>
              <w:right w:val="single" w:sz="4" w:space="0" w:color="auto"/>
            </w:tcBorders>
          </w:tcPr>
          <w:p w14:paraId="04E8EDE6" w14:textId="3C8A2A1E" w:rsidR="00AF09C1" w:rsidRPr="00871A62" w:rsidRDefault="00AF09C1" w:rsidP="00AF09C1"/>
        </w:tc>
        <w:tc>
          <w:tcPr>
            <w:tcW w:w="954" w:type="dxa"/>
            <w:tcBorders>
              <w:top w:val="single" w:sz="4" w:space="0" w:color="auto"/>
              <w:left w:val="single" w:sz="4" w:space="0" w:color="auto"/>
              <w:bottom w:val="single" w:sz="4" w:space="0" w:color="auto"/>
              <w:right w:val="single" w:sz="4" w:space="0" w:color="auto"/>
            </w:tcBorders>
          </w:tcPr>
          <w:p w14:paraId="76FB3CC2" w14:textId="4FE5C382"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1F56E520" w14:textId="0C345D23"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tcPr>
          <w:p w14:paraId="63A0BFD5" w14:textId="551E7326" w:rsidR="00AF09C1" w:rsidRPr="00871A62" w:rsidRDefault="00AF09C1" w:rsidP="00AF09C1"/>
        </w:tc>
      </w:tr>
      <w:tr w:rsidR="00AF09C1" w:rsidRPr="005B412C" w14:paraId="4399C9BC"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63ECC6B0" w14:textId="5948A28F" w:rsidR="00AF09C1" w:rsidRPr="00871A62" w:rsidRDefault="00AF09C1" w:rsidP="00AF09C1">
            <w:r w:rsidRPr="00871A62">
              <w:t>No</w:t>
            </w:r>
          </w:p>
        </w:tc>
        <w:tc>
          <w:tcPr>
            <w:tcW w:w="1511" w:type="dxa"/>
            <w:tcBorders>
              <w:top w:val="single" w:sz="4" w:space="0" w:color="auto"/>
              <w:left w:val="single" w:sz="4" w:space="0" w:color="auto"/>
              <w:bottom w:val="single" w:sz="4" w:space="0" w:color="auto"/>
              <w:right w:val="single" w:sz="4" w:space="0" w:color="auto"/>
            </w:tcBorders>
          </w:tcPr>
          <w:p w14:paraId="0D8F356B" w14:textId="52912323" w:rsidR="00AF09C1" w:rsidRPr="00871A62" w:rsidRDefault="00AF09C1" w:rsidP="00B61561">
            <w:pPr>
              <w:jc w:val="both"/>
            </w:pPr>
            <w:r w:rsidRPr="00871A62">
              <w:t>1136 (70·3)</w:t>
            </w:r>
          </w:p>
        </w:tc>
        <w:tc>
          <w:tcPr>
            <w:tcW w:w="1322" w:type="dxa"/>
            <w:tcBorders>
              <w:top w:val="single" w:sz="4" w:space="0" w:color="auto"/>
              <w:left w:val="single" w:sz="4" w:space="0" w:color="auto"/>
              <w:bottom w:val="single" w:sz="4" w:space="0" w:color="auto"/>
              <w:right w:val="single" w:sz="4" w:space="0" w:color="auto"/>
            </w:tcBorders>
          </w:tcPr>
          <w:p w14:paraId="4A00F76D" w14:textId="24FDD1BB" w:rsidR="00AF09C1" w:rsidRPr="00871A62" w:rsidRDefault="00AF09C1" w:rsidP="00AF09C1">
            <w:r w:rsidRPr="00871A62">
              <w:t>699 (61·5)</w:t>
            </w:r>
          </w:p>
        </w:tc>
        <w:tc>
          <w:tcPr>
            <w:tcW w:w="750" w:type="dxa"/>
            <w:tcBorders>
              <w:top w:val="single" w:sz="4" w:space="0" w:color="auto"/>
              <w:left w:val="single" w:sz="4" w:space="0" w:color="auto"/>
              <w:bottom w:val="single" w:sz="4" w:space="0" w:color="auto"/>
              <w:right w:val="single" w:sz="4" w:space="0" w:color="auto"/>
            </w:tcBorders>
          </w:tcPr>
          <w:p w14:paraId="2220FB39" w14:textId="3863A882" w:rsidR="00AF09C1" w:rsidRPr="00871A62" w:rsidRDefault="00AF09C1" w:rsidP="00AF09C1">
            <w:r w:rsidRPr="00871A62">
              <w:t>1835</w:t>
            </w:r>
          </w:p>
        </w:tc>
        <w:tc>
          <w:tcPr>
            <w:tcW w:w="954" w:type="dxa"/>
            <w:tcBorders>
              <w:top w:val="single" w:sz="4" w:space="0" w:color="auto"/>
              <w:left w:val="single" w:sz="4" w:space="0" w:color="auto"/>
              <w:bottom w:val="single" w:sz="4" w:space="0" w:color="auto"/>
              <w:right w:val="single" w:sz="4" w:space="0" w:color="auto"/>
            </w:tcBorders>
          </w:tcPr>
          <w:p w14:paraId="66527F63" w14:textId="62445832" w:rsidR="00AF09C1" w:rsidRPr="00871A62" w:rsidRDefault="00AF09C1" w:rsidP="00AF09C1">
            <w:r w:rsidRPr="00871A62">
              <w:t>23·12</w:t>
            </w:r>
          </w:p>
        </w:tc>
        <w:tc>
          <w:tcPr>
            <w:tcW w:w="992" w:type="dxa"/>
            <w:tcBorders>
              <w:top w:val="single" w:sz="4" w:space="0" w:color="auto"/>
              <w:left w:val="single" w:sz="4" w:space="0" w:color="auto"/>
              <w:bottom w:val="single" w:sz="4" w:space="0" w:color="auto"/>
              <w:right w:val="single" w:sz="4" w:space="0" w:color="auto"/>
            </w:tcBorders>
          </w:tcPr>
          <w:p w14:paraId="05EDF653" w14:textId="0687249B" w:rsidR="00AF09C1" w:rsidRPr="00871A62" w:rsidRDefault="00AF09C1" w:rsidP="00AF09C1">
            <w:r w:rsidRPr="00871A62">
              <w:t>&lt;·001</w:t>
            </w:r>
          </w:p>
        </w:tc>
        <w:tc>
          <w:tcPr>
            <w:tcW w:w="709" w:type="dxa"/>
            <w:tcBorders>
              <w:top w:val="single" w:sz="4" w:space="0" w:color="auto"/>
              <w:left w:val="single" w:sz="4" w:space="0" w:color="auto"/>
              <w:bottom w:val="single" w:sz="4" w:space="0" w:color="auto"/>
              <w:right w:val="single" w:sz="4" w:space="0" w:color="auto"/>
            </w:tcBorders>
          </w:tcPr>
          <w:p w14:paraId="150F7D36" w14:textId="3B054954" w:rsidR="00AF09C1" w:rsidRPr="00871A62" w:rsidRDefault="00AF09C1" w:rsidP="00AF09C1">
            <w:r w:rsidRPr="00871A62">
              <w:t>0·09</w:t>
            </w:r>
          </w:p>
        </w:tc>
      </w:tr>
      <w:tr w:rsidR="00AF09C1" w:rsidRPr="005B412C" w14:paraId="094DC18C" w14:textId="77777777" w:rsidTr="00B61561">
        <w:tc>
          <w:tcPr>
            <w:tcW w:w="2409" w:type="dxa"/>
            <w:tcBorders>
              <w:top w:val="single" w:sz="4" w:space="0" w:color="auto"/>
              <w:left w:val="single" w:sz="4" w:space="0" w:color="auto"/>
              <w:bottom w:val="single" w:sz="4" w:space="0" w:color="auto"/>
              <w:right w:val="single" w:sz="4" w:space="0" w:color="auto"/>
            </w:tcBorders>
          </w:tcPr>
          <w:p w14:paraId="426504EB" w14:textId="54DAF7C0" w:rsidR="00AF09C1" w:rsidRPr="00871A62" w:rsidRDefault="00AF09C1" w:rsidP="00AF09C1">
            <w:r w:rsidRPr="00871A62">
              <w:t>Yes</w:t>
            </w:r>
          </w:p>
        </w:tc>
        <w:tc>
          <w:tcPr>
            <w:tcW w:w="1511" w:type="dxa"/>
            <w:tcBorders>
              <w:top w:val="single" w:sz="4" w:space="0" w:color="auto"/>
              <w:left w:val="single" w:sz="4" w:space="0" w:color="auto"/>
              <w:bottom w:val="single" w:sz="4" w:space="0" w:color="auto"/>
              <w:right w:val="single" w:sz="4" w:space="0" w:color="auto"/>
            </w:tcBorders>
          </w:tcPr>
          <w:p w14:paraId="387A7746" w14:textId="6F5F7197" w:rsidR="00AF09C1" w:rsidRPr="00871A62" w:rsidRDefault="00AF09C1" w:rsidP="00B61561">
            <w:pPr>
              <w:jc w:val="both"/>
            </w:pPr>
            <w:r w:rsidRPr="00871A62">
              <w:t>481 (29·7)</w:t>
            </w:r>
          </w:p>
        </w:tc>
        <w:tc>
          <w:tcPr>
            <w:tcW w:w="1322" w:type="dxa"/>
            <w:tcBorders>
              <w:top w:val="single" w:sz="4" w:space="0" w:color="auto"/>
              <w:left w:val="single" w:sz="4" w:space="0" w:color="auto"/>
              <w:bottom w:val="single" w:sz="4" w:space="0" w:color="auto"/>
              <w:right w:val="single" w:sz="4" w:space="0" w:color="auto"/>
            </w:tcBorders>
          </w:tcPr>
          <w:p w14:paraId="4D3E9258" w14:textId="3B959CD3" w:rsidR="00AF09C1" w:rsidRPr="00871A62" w:rsidRDefault="00AF09C1" w:rsidP="00AF09C1">
            <w:r w:rsidRPr="00871A62">
              <w:t>438 (38·5)</w:t>
            </w:r>
          </w:p>
        </w:tc>
        <w:tc>
          <w:tcPr>
            <w:tcW w:w="750" w:type="dxa"/>
            <w:tcBorders>
              <w:top w:val="single" w:sz="4" w:space="0" w:color="auto"/>
              <w:left w:val="single" w:sz="4" w:space="0" w:color="auto"/>
              <w:bottom w:val="single" w:sz="4" w:space="0" w:color="auto"/>
              <w:right w:val="single" w:sz="4" w:space="0" w:color="auto"/>
            </w:tcBorders>
          </w:tcPr>
          <w:p w14:paraId="7481129B" w14:textId="75AE24F0" w:rsidR="00AF09C1" w:rsidRPr="00871A62" w:rsidRDefault="00AF09C1" w:rsidP="00AF09C1">
            <w:r w:rsidRPr="00871A62">
              <w:t>919</w:t>
            </w:r>
          </w:p>
        </w:tc>
        <w:tc>
          <w:tcPr>
            <w:tcW w:w="954" w:type="dxa"/>
            <w:tcBorders>
              <w:top w:val="single" w:sz="4" w:space="0" w:color="auto"/>
              <w:left w:val="single" w:sz="4" w:space="0" w:color="auto"/>
              <w:bottom w:val="single" w:sz="4" w:space="0" w:color="auto"/>
              <w:right w:val="single" w:sz="4" w:space="0" w:color="auto"/>
            </w:tcBorders>
          </w:tcPr>
          <w:p w14:paraId="16B3BFF1" w14:textId="77777777"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08D74F4E" w14:textId="77777777"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vAlign w:val="center"/>
          </w:tcPr>
          <w:p w14:paraId="470A1324" w14:textId="77777777" w:rsidR="00AF09C1" w:rsidRPr="00871A62" w:rsidRDefault="00AF09C1" w:rsidP="00AF09C1"/>
        </w:tc>
      </w:tr>
      <w:tr w:rsidR="00AF09C1" w:rsidRPr="005B412C" w14:paraId="1A1EF4E7"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7DDD0FC7" w14:textId="77777777" w:rsidR="00AF09C1" w:rsidRPr="00B61561" w:rsidRDefault="00AF09C1" w:rsidP="00AF09C1">
            <w:pPr>
              <w:rPr>
                <w:b/>
                <w:bCs/>
              </w:rPr>
            </w:pPr>
            <w:r w:rsidRPr="00B61561">
              <w:rPr>
                <w:b/>
                <w:bCs/>
              </w:rPr>
              <w:t>Emergency department</w:t>
            </w:r>
          </w:p>
        </w:tc>
        <w:tc>
          <w:tcPr>
            <w:tcW w:w="1511" w:type="dxa"/>
            <w:tcBorders>
              <w:top w:val="single" w:sz="4" w:space="0" w:color="auto"/>
              <w:left w:val="single" w:sz="4" w:space="0" w:color="auto"/>
              <w:bottom w:val="single" w:sz="4" w:space="0" w:color="auto"/>
              <w:right w:val="single" w:sz="4" w:space="0" w:color="auto"/>
            </w:tcBorders>
          </w:tcPr>
          <w:p w14:paraId="24B3475F" w14:textId="49C6FC56" w:rsidR="00AF09C1" w:rsidRPr="00871A62" w:rsidRDefault="00AF09C1" w:rsidP="00B61561">
            <w:pPr>
              <w:jc w:val="both"/>
            </w:pPr>
          </w:p>
        </w:tc>
        <w:tc>
          <w:tcPr>
            <w:tcW w:w="1322" w:type="dxa"/>
            <w:tcBorders>
              <w:top w:val="single" w:sz="4" w:space="0" w:color="auto"/>
              <w:left w:val="single" w:sz="4" w:space="0" w:color="auto"/>
              <w:bottom w:val="single" w:sz="4" w:space="0" w:color="auto"/>
              <w:right w:val="single" w:sz="4" w:space="0" w:color="auto"/>
            </w:tcBorders>
          </w:tcPr>
          <w:p w14:paraId="0CC5C794" w14:textId="18CB4948" w:rsidR="00AF09C1" w:rsidRPr="00871A62" w:rsidRDefault="00AF09C1" w:rsidP="00AF09C1"/>
        </w:tc>
        <w:tc>
          <w:tcPr>
            <w:tcW w:w="750" w:type="dxa"/>
            <w:tcBorders>
              <w:top w:val="single" w:sz="4" w:space="0" w:color="auto"/>
              <w:left w:val="single" w:sz="4" w:space="0" w:color="auto"/>
              <w:bottom w:val="single" w:sz="4" w:space="0" w:color="auto"/>
              <w:right w:val="single" w:sz="4" w:space="0" w:color="auto"/>
            </w:tcBorders>
          </w:tcPr>
          <w:p w14:paraId="1A8637DC" w14:textId="6DFCDD86" w:rsidR="00AF09C1" w:rsidRPr="00871A62" w:rsidRDefault="00AF09C1" w:rsidP="00AF09C1"/>
        </w:tc>
        <w:tc>
          <w:tcPr>
            <w:tcW w:w="954" w:type="dxa"/>
            <w:tcBorders>
              <w:top w:val="single" w:sz="4" w:space="0" w:color="auto"/>
              <w:left w:val="single" w:sz="4" w:space="0" w:color="auto"/>
              <w:bottom w:val="single" w:sz="4" w:space="0" w:color="auto"/>
              <w:right w:val="single" w:sz="4" w:space="0" w:color="auto"/>
            </w:tcBorders>
          </w:tcPr>
          <w:p w14:paraId="2A19A427" w14:textId="13603C7A"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34BB2C9B" w14:textId="28B3C383" w:rsidR="00AF09C1" w:rsidRPr="00871A62" w:rsidRDefault="00AF09C1" w:rsidP="00AF09C1"/>
        </w:tc>
        <w:tc>
          <w:tcPr>
            <w:tcW w:w="709" w:type="dxa"/>
            <w:tcBorders>
              <w:top w:val="single" w:sz="4" w:space="0" w:color="auto"/>
              <w:left w:val="single" w:sz="4" w:space="0" w:color="auto"/>
              <w:bottom w:val="single" w:sz="4" w:space="0" w:color="auto"/>
              <w:right w:val="single" w:sz="4" w:space="0" w:color="auto"/>
            </w:tcBorders>
          </w:tcPr>
          <w:p w14:paraId="0BAB183E" w14:textId="067DF1D9" w:rsidR="00AF09C1" w:rsidRPr="00871A62" w:rsidRDefault="00AF09C1" w:rsidP="00AF09C1"/>
        </w:tc>
      </w:tr>
      <w:tr w:rsidR="00AF09C1" w14:paraId="3046F9F1" w14:textId="77777777" w:rsidTr="00B61561">
        <w:tc>
          <w:tcPr>
            <w:tcW w:w="2409" w:type="dxa"/>
            <w:tcBorders>
              <w:top w:val="single" w:sz="4" w:space="0" w:color="auto"/>
              <w:left w:val="single" w:sz="4" w:space="0" w:color="auto"/>
              <w:bottom w:val="single" w:sz="4" w:space="0" w:color="auto"/>
              <w:right w:val="single" w:sz="4" w:space="0" w:color="auto"/>
            </w:tcBorders>
            <w:hideMark/>
          </w:tcPr>
          <w:p w14:paraId="30A6123E" w14:textId="3D4675FF" w:rsidR="00AF09C1" w:rsidRPr="00871A62" w:rsidRDefault="00AF09C1" w:rsidP="00AF09C1">
            <w:pPr>
              <w:spacing w:line="256" w:lineRule="auto"/>
            </w:pPr>
            <w:r w:rsidRPr="00871A62">
              <w:t>No</w:t>
            </w:r>
          </w:p>
        </w:tc>
        <w:tc>
          <w:tcPr>
            <w:tcW w:w="1511" w:type="dxa"/>
            <w:tcBorders>
              <w:top w:val="single" w:sz="4" w:space="0" w:color="auto"/>
              <w:left w:val="single" w:sz="4" w:space="0" w:color="auto"/>
              <w:bottom w:val="single" w:sz="4" w:space="0" w:color="auto"/>
              <w:right w:val="single" w:sz="4" w:space="0" w:color="auto"/>
            </w:tcBorders>
          </w:tcPr>
          <w:p w14:paraId="6E16A392" w14:textId="53299DB0" w:rsidR="00AF09C1" w:rsidRPr="00871A62" w:rsidRDefault="00AF09C1" w:rsidP="00B61561">
            <w:pPr>
              <w:jc w:val="both"/>
            </w:pPr>
            <w:r w:rsidRPr="00871A62">
              <w:t>913 (56·6)</w:t>
            </w:r>
          </w:p>
        </w:tc>
        <w:tc>
          <w:tcPr>
            <w:tcW w:w="1322" w:type="dxa"/>
            <w:tcBorders>
              <w:top w:val="single" w:sz="4" w:space="0" w:color="auto"/>
              <w:left w:val="single" w:sz="4" w:space="0" w:color="auto"/>
              <w:bottom w:val="single" w:sz="4" w:space="0" w:color="auto"/>
              <w:right w:val="single" w:sz="4" w:space="0" w:color="auto"/>
            </w:tcBorders>
          </w:tcPr>
          <w:p w14:paraId="758E0A14" w14:textId="7E9351E9" w:rsidR="00AF09C1" w:rsidRPr="00871A62" w:rsidRDefault="00AF09C1" w:rsidP="00AF09C1">
            <w:r w:rsidRPr="00871A62">
              <w:t>515 (45·3)</w:t>
            </w:r>
          </w:p>
        </w:tc>
        <w:tc>
          <w:tcPr>
            <w:tcW w:w="750" w:type="dxa"/>
            <w:tcBorders>
              <w:top w:val="single" w:sz="4" w:space="0" w:color="auto"/>
              <w:left w:val="single" w:sz="4" w:space="0" w:color="auto"/>
              <w:bottom w:val="single" w:sz="4" w:space="0" w:color="auto"/>
              <w:right w:val="single" w:sz="4" w:space="0" w:color="auto"/>
            </w:tcBorders>
          </w:tcPr>
          <w:p w14:paraId="65258CC9" w14:textId="74BA43D7" w:rsidR="00AF09C1" w:rsidRPr="00871A62" w:rsidRDefault="00AF09C1" w:rsidP="00AF09C1">
            <w:r w:rsidRPr="00871A62">
              <w:t>1428</w:t>
            </w:r>
          </w:p>
        </w:tc>
        <w:tc>
          <w:tcPr>
            <w:tcW w:w="954" w:type="dxa"/>
            <w:tcBorders>
              <w:top w:val="single" w:sz="4" w:space="0" w:color="auto"/>
              <w:left w:val="single" w:sz="4" w:space="0" w:color="auto"/>
              <w:bottom w:val="single" w:sz="4" w:space="0" w:color="auto"/>
              <w:right w:val="single" w:sz="4" w:space="0" w:color="auto"/>
            </w:tcBorders>
          </w:tcPr>
          <w:p w14:paraId="6C96EE08" w14:textId="28C97409" w:rsidR="00AF09C1" w:rsidRPr="00871A62" w:rsidRDefault="00AF09C1" w:rsidP="00AF09C1">
            <w:r w:rsidRPr="00871A62">
              <w:t>33·35</w:t>
            </w:r>
          </w:p>
        </w:tc>
        <w:tc>
          <w:tcPr>
            <w:tcW w:w="992" w:type="dxa"/>
            <w:tcBorders>
              <w:top w:val="single" w:sz="4" w:space="0" w:color="auto"/>
              <w:left w:val="single" w:sz="4" w:space="0" w:color="auto"/>
              <w:bottom w:val="single" w:sz="4" w:space="0" w:color="auto"/>
              <w:right w:val="single" w:sz="4" w:space="0" w:color="auto"/>
            </w:tcBorders>
          </w:tcPr>
          <w:p w14:paraId="7536A223" w14:textId="0994047C" w:rsidR="00AF09C1" w:rsidRPr="00871A62" w:rsidRDefault="00AF09C1" w:rsidP="00AF09C1">
            <w:pPr>
              <w:spacing w:line="256" w:lineRule="auto"/>
            </w:pPr>
            <w:r w:rsidRPr="00871A62">
              <w:t>&lt;·001</w:t>
            </w:r>
          </w:p>
        </w:tc>
        <w:tc>
          <w:tcPr>
            <w:tcW w:w="709" w:type="dxa"/>
            <w:tcBorders>
              <w:top w:val="single" w:sz="4" w:space="0" w:color="auto"/>
              <w:left w:val="single" w:sz="4" w:space="0" w:color="auto"/>
              <w:bottom w:val="single" w:sz="4" w:space="0" w:color="auto"/>
              <w:right w:val="single" w:sz="4" w:space="0" w:color="auto"/>
            </w:tcBorders>
          </w:tcPr>
          <w:p w14:paraId="4BF71505" w14:textId="55B8B492" w:rsidR="00AF09C1" w:rsidRPr="00871A62" w:rsidRDefault="00AF09C1" w:rsidP="00AF09C1">
            <w:pPr>
              <w:spacing w:line="256" w:lineRule="auto"/>
            </w:pPr>
            <w:r w:rsidRPr="00871A62">
              <w:t>0·11</w:t>
            </w:r>
          </w:p>
        </w:tc>
      </w:tr>
      <w:tr w:rsidR="00AF09C1" w14:paraId="2BC3455F" w14:textId="77777777" w:rsidTr="00B61561">
        <w:tc>
          <w:tcPr>
            <w:tcW w:w="2409" w:type="dxa"/>
            <w:tcBorders>
              <w:top w:val="single" w:sz="4" w:space="0" w:color="auto"/>
              <w:left w:val="single" w:sz="4" w:space="0" w:color="auto"/>
              <w:bottom w:val="single" w:sz="4" w:space="0" w:color="auto"/>
              <w:right w:val="single" w:sz="4" w:space="0" w:color="auto"/>
            </w:tcBorders>
          </w:tcPr>
          <w:p w14:paraId="51A7E5CC" w14:textId="29F4203A" w:rsidR="00AF09C1" w:rsidRPr="00871A62" w:rsidRDefault="00AF09C1" w:rsidP="00AF09C1">
            <w:pPr>
              <w:spacing w:line="256" w:lineRule="auto"/>
            </w:pPr>
            <w:r w:rsidRPr="00871A62">
              <w:t>Yes</w:t>
            </w:r>
          </w:p>
        </w:tc>
        <w:tc>
          <w:tcPr>
            <w:tcW w:w="1511" w:type="dxa"/>
            <w:tcBorders>
              <w:top w:val="single" w:sz="4" w:space="0" w:color="auto"/>
              <w:left w:val="single" w:sz="4" w:space="0" w:color="auto"/>
              <w:bottom w:val="single" w:sz="4" w:space="0" w:color="auto"/>
              <w:right w:val="single" w:sz="4" w:space="0" w:color="auto"/>
            </w:tcBorders>
          </w:tcPr>
          <w:p w14:paraId="3127A9C4" w14:textId="15852D16" w:rsidR="00AF09C1" w:rsidRPr="00871A62" w:rsidRDefault="00AF09C1" w:rsidP="00B61561">
            <w:pPr>
              <w:jc w:val="both"/>
            </w:pPr>
            <w:r w:rsidRPr="00871A62">
              <w:t>704 (43·5)</w:t>
            </w:r>
          </w:p>
        </w:tc>
        <w:tc>
          <w:tcPr>
            <w:tcW w:w="1322" w:type="dxa"/>
            <w:tcBorders>
              <w:top w:val="single" w:sz="4" w:space="0" w:color="auto"/>
              <w:left w:val="single" w:sz="4" w:space="0" w:color="auto"/>
              <w:bottom w:val="single" w:sz="4" w:space="0" w:color="auto"/>
              <w:right w:val="single" w:sz="4" w:space="0" w:color="auto"/>
            </w:tcBorders>
          </w:tcPr>
          <w:p w14:paraId="59A888D6" w14:textId="311F5A91" w:rsidR="00AF09C1" w:rsidRPr="00871A62" w:rsidRDefault="00AF09C1" w:rsidP="00AF09C1">
            <w:r w:rsidRPr="00871A62">
              <w:t>622 (54·7)</w:t>
            </w:r>
          </w:p>
        </w:tc>
        <w:tc>
          <w:tcPr>
            <w:tcW w:w="750" w:type="dxa"/>
            <w:tcBorders>
              <w:top w:val="single" w:sz="4" w:space="0" w:color="auto"/>
              <w:left w:val="single" w:sz="4" w:space="0" w:color="auto"/>
              <w:bottom w:val="single" w:sz="4" w:space="0" w:color="auto"/>
              <w:right w:val="single" w:sz="4" w:space="0" w:color="auto"/>
            </w:tcBorders>
          </w:tcPr>
          <w:p w14:paraId="31966245" w14:textId="1AE241A6" w:rsidR="00AF09C1" w:rsidRPr="00871A62" w:rsidRDefault="00AF09C1" w:rsidP="00AF09C1">
            <w:r w:rsidRPr="00871A62">
              <w:t>1326</w:t>
            </w:r>
          </w:p>
        </w:tc>
        <w:tc>
          <w:tcPr>
            <w:tcW w:w="954" w:type="dxa"/>
            <w:tcBorders>
              <w:top w:val="single" w:sz="4" w:space="0" w:color="auto"/>
              <w:left w:val="single" w:sz="4" w:space="0" w:color="auto"/>
              <w:bottom w:val="single" w:sz="4" w:space="0" w:color="auto"/>
              <w:right w:val="single" w:sz="4" w:space="0" w:color="auto"/>
            </w:tcBorders>
          </w:tcPr>
          <w:p w14:paraId="7144B373" w14:textId="77777777" w:rsidR="00AF09C1" w:rsidRPr="00871A62" w:rsidRDefault="00AF09C1" w:rsidP="00AF09C1"/>
        </w:tc>
        <w:tc>
          <w:tcPr>
            <w:tcW w:w="992" w:type="dxa"/>
            <w:tcBorders>
              <w:top w:val="single" w:sz="4" w:space="0" w:color="auto"/>
              <w:left w:val="single" w:sz="4" w:space="0" w:color="auto"/>
              <w:bottom w:val="single" w:sz="4" w:space="0" w:color="auto"/>
              <w:right w:val="single" w:sz="4" w:space="0" w:color="auto"/>
            </w:tcBorders>
          </w:tcPr>
          <w:p w14:paraId="73A5406E" w14:textId="77777777" w:rsidR="00AF09C1" w:rsidRPr="00871A62" w:rsidRDefault="00AF09C1" w:rsidP="00AF09C1">
            <w:pPr>
              <w:spacing w:line="256" w:lineRule="auto"/>
            </w:pPr>
          </w:p>
        </w:tc>
        <w:tc>
          <w:tcPr>
            <w:tcW w:w="709" w:type="dxa"/>
            <w:tcBorders>
              <w:top w:val="single" w:sz="4" w:space="0" w:color="auto"/>
              <w:left w:val="single" w:sz="4" w:space="0" w:color="auto"/>
              <w:bottom w:val="single" w:sz="4" w:space="0" w:color="auto"/>
              <w:right w:val="single" w:sz="4" w:space="0" w:color="auto"/>
            </w:tcBorders>
            <w:vAlign w:val="center"/>
          </w:tcPr>
          <w:p w14:paraId="25A5AD54" w14:textId="77777777" w:rsidR="00AF09C1" w:rsidRPr="00871A62" w:rsidRDefault="00AF09C1" w:rsidP="00AF09C1">
            <w:pPr>
              <w:spacing w:line="256" w:lineRule="auto"/>
            </w:pPr>
          </w:p>
        </w:tc>
      </w:tr>
    </w:tbl>
    <w:p w14:paraId="30B6E385" w14:textId="77777777" w:rsidR="003267C0" w:rsidRDefault="003267C0" w:rsidP="00EB6E35"/>
    <w:p w14:paraId="7185251F" w14:textId="77777777" w:rsidR="003267C0" w:rsidRDefault="003267C0" w:rsidP="00EB6E35"/>
    <w:p w14:paraId="4AC4FE6E" w14:textId="41D69424" w:rsidR="00EB169B" w:rsidRDefault="00EB169B" w:rsidP="00EB169B">
      <w:pPr>
        <w:pStyle w:val="Heading3"/>
      </w:pPr>
      <w:r>
        <w:t>Scenarios where NHS 111 online would be considered</w:t>
      </w:r>
    </w:p>
    <w:p w14:paraId="1EEA015B" w14:textId="12FBDB79" w:rsidR="00CB28F5" w:rsidRPr="00CB28F5" w:rsidRDefault="00CB28F5" w:rsidP="00CB28F5">
      <w:pPr>
        <w:spacing w:line="276" w:lineRule="auto"/>
        <w:rPr>
          <w:rFonts w:cstheme="minorHAnsi"/>
        </w:rPr>
      </w:pPr>
      <w:r w:rsidRPr="00CB28F5">
        <w:rPr>
          <w:rFonts w:cstheme="minorHAnsi"/>
        </w:rPr>
        <w:t xml:space="preserve">There were two scenarios for which both users and non-users reported they were especially likely to use NHS 111 online (Table 5); ‘young child with a temperature and crying’ and ‘severe chest pain that goes away after a few minutes’. A sizeable proportion of non-users reported that they might use NHS 111 online for seeking advice about young children (76·2%) or severe chest pain (69·3%). Nearly half of non-users also reported that they would be likely to use it for an itchy bite or sting (42·5%), pain when urinating (50·9%) and a headache for several hours (43·3%). </w:t>
      </w:r>
    </w:p>
    <w:p w14:paraId="5131C5CA" w14:textId="77777777" w:rsidR="00B61561" w:rsidRDefault="00B61561" w:rsidP="00EB6E35"/>
    <w:p w14:paraId="13BBD466" w14:textId="590AD880" w:rsidR="00F46B8E" w:rsidRDefault="00F46B8E" w:rsidP="00EB6E35">
      <w:r>
        <w:t>Table 5. Likelihood of using NHS 111 online for different health scenarios</w:t>
      </w:r>
    </w:p>
    <w:tbl>
      <w:tblPr>
        <w:tblW w:w="8781" w:type="dxa"/>
        <w:tblLayout w:type="fixed"/>
        <w:tblLook w:val="04A0" w:firstRow="1" w:lastRow="0" w:firstColumn="1" w:lastColumn="0" w:noHBand="0" w:noVBand="1"/>
      </w:tblPr>
      <w:tblGrid>
        <w:gridCol w:w="2454"/>
        <w:gridCol w:w="1515"/>
        <w:gridCol w:w="1403"/>
        <w:gridCol w:w="750"/>
        <w:gridCol w:w="824"/>
        <w:gridCol w:w="992"/>
        <w:gridCol w:w="843"/>
      </w:tblGrid>
      <w:tr w:rsidR="00903D63" w:rsidRPr="004C4BEC" w14:paraId="40DD9883" w14:textId="77777777" w:rsidTr="006944B8">
        <w:tc>
          <w:tcPr>
            <w:tcW w:w="2454" w:type="dxa"/>
            <w:tcBorders>
              <w:left w:val="nil"/>
              <w:right w:val="nil"/>
            </w:tcBorders>
            <w:vAlign w:val="center"/>
          </w:tcPr>
          <w:p w14:paraId="4C1CA563" w14:textId="510DC415" w:rsidR="00683247" w:rsidRPr="00683247" w:rsidRDefault="00683247" w:rsidP="00683247">
            <w:pPr>
              <w:spacing w:line="256" w:lineRule="auto"/>
            </w:pPr>
          </w:p>
        </w:tc>
        <w:tc>
          <w:tcPr>
            <w:tcW w:w="1515" w:type="dxa"/>
            <w:tcBorders>
              <w:top w:val="nil"/>
              <w:left w:val="nil"/>
              <w:right w:val="nil"/>
            </w:tcBorders>
          </w:tcPr>
          <w:p w14:paraId="0201A9B9" w14:textId="01707F2B" w:rsidR="00683247" w:rsidRPr="00683247" w:rsidRDefault="00683247" w:rsidP="00683247">
            <w:r w:rsidRPr="00683247">
              <w:t xml:space="preserve">Non-user </w:t>
            </w:r>
          </w:p>
        </w:tc>
        <w:tc>
          <w:tcPr>
            <w:tcW w:w="1403" w:type="dxa"/>
            <w:tcBorders>
              <w:top w:val="nil"/>
              <w:left w:val="nil"/>
              <w:right w:val="nil"/>
            </w:tcBorders>
          </w:tcPr>
          <w:p w14:paraId="14D8E11F" w14:textId="53CB5549" w:rsidR="00683247" w:rsidRPr="00683247" w:rsidRDefault="00683247" w:rsidP="00683247">
            <w:r w:rsidRPr="00683247">
              <w:t xml:space="preserve">User </w:t>
            </w:r>
          </w:p>
        </w:tc>
        <w:tc>
          <w:tcPr>
            <w:tcW w:w="750" w:type="dxa"/>
            <w:tcBorders>
              <w:top w:val="nil"/>
              <w:left w:val="nil"/>
              <w:right w:val="nil"/>
            </w:tcBorders>
          </w:tcPr>
          <w:p w14:paraId="5F411D9B" w14:textId="3A93A1FF" w:rsidR="00683247" w:rsidRPr="00683247" w:rsidRDefault="00683247" w:rsidP="00683247">
            <w:r w:rsidRPr="00683247">
              <w:t xml:space="preserve">Total </w:t>
            </w:r>
          </w:p>
        </w:tc>
        <w:tc>
          <w:tcPr>
            <w:tcW w:w="824" w:type="dxa"/>
            <w:tcBorders>
              <w:top w:val="nil"/>
              <w:left w:val="nil"/>
              <w:right w:val="nil"/>
            </w:tcBorders>
          </w:tcPr>
          <w:p w14:paraId="6019AEC1" w14:textId="1077B450" w:rsidR="00683247" w:rsidRPr="00683247" w:rsidRDefault="00683247" w:rsidP="00683247"/>
        </w:tc>
        <w:tc>
          <w:tcPr>
            <w:tcW w:w="992" w:type="dxa"/>
            <w:tcBorders>
              <w:left w:val="nil"/>
              <w:right w:val="nil"/>
            </w:tcBorders>
          </w:tcPr>
          <w:p w14:paraId="54520E16" w14:textId="0AC70782" w:rsidR="00683247" w:rsidRPr="00683247" w:rsidRDefault="00683247" w:rsidP="00683247">
            <w:pPr>
              <w:spacing w:line="256" w:lineRule="auto"/>
            </w:pPr>
          </w:p>
        </w:tc>
        <w:tc>
          <w:tcPr>
            <w:tcW w:w="843" w:type="dxa"/>
            <w:tcBorders>
              <w:left w:val="nil"/>
              <w:right w:val="nil"/>
            </w:tcBorders>
          </w:tcPr>
          <w:p w14:paraId="6AF33203" w14:textId="7C13483B" w:rsidR="00683247" w:rsidRPr="00683247" w:rsidRDefault="00683247" w:rsidP="00683247">
            <w:pPr>
              <w:spacing w:line="256" w:lineRule="auto"/>
            </w:pPr>
          </w:p>
        </w:tc>
      </w:tr>
      <w:tr w:rsidR="00903D63" w:rsidRPr="004C4BEC" w14:paraId="363A7590" w14:textId="77777777" w:rsidTr="006944B8">
        <w:tc>
          <w:tcPr>
            <w:tcW w:w="2454" w:type="dxa"/>
            <w:tcBorders>
              <w:left w:val="nil"/>
              <w:right w:val="nil"/>
            </w:tcBorders>
            <w:vAlign w:val="center"/>
          </w:tcPr>
          <w:p w14:paraId="147E4CC6" w14:textId="77777777" w:rsidR="00683247" w:rsidRPr="00683247" w:rsidRDefault="00683247" w:rsidP="00683247">
            <w:pPr>
              <w:spacing w:line="256" w:lineRule="auto"/>
            </w:pPr>
          </w:p>
        </w:tc>
        <w:tc>
          <w:tcPr>
            <w:tcW w:w="1515" w:type="dxa"/>
            <w:tcBorders>
              <w:top w:val="nil"/>
              <w:left w:val="nil"/>
              <w:right w:val="nil"/>
            </w:tcBorders>
          </w:tcPr>
          <w:p w14:paraId="4C541136" w14:textId="4CBA75B9" w:rsidR="00683247" w:rsidRPr="00683247" w:rsidRDefault="00683247" w:rsidP="00683247">
            <w:r w:rsidRPr="00683247">
              <w:t>n (%)</w:t>
            </w:r>
          </w:p>
        </w:tc>
        <w:tc>
          <w:tcPr>
            <w:tcW w:w="1403" w:type="dxa"/>
            <w:tcBorders>
              <w:top w:val="nil"/>
              <w:left w:val="nil"/>
              <w:right w:val="nil"/>
            </w:tcBorders>
          </w:tcPr>
          <w:p w14:paraId="502510D2" w14:textId="28431BFD" w:rsidR="00683247" w:rsidRPr="00683247" w:rsidRDefault="00683247" w:rsidP="00683247">
            <w:r w:rsidRPr="00683247">
              <w:t>n (%)</w:t>
            </w:r>
          </w:p>
        </w:tc>
        <w:tc>
          <w:tcPr>
            <w:tcW w:w="750" w:type="dxa"/>
            <w:tcBorders>
              <w:top w:val="nil"/>
              <w:left w:val="nil"/>
              <w:right w:val="nil"/>
            </w:tcBorders>
          </w:tcPr>
          <w:p w14:paraId="390317B7" w14:textId="31959453" w:rsidR="00683247" w:rsidRPr="00683247" w:rsidRDefault="00683247" w:rsidP="00683247">
            <w:r w:rsidRPr="00683247">
              <w:t>n</w:t>
            </w:r>
          </w:p>
        </w:tc>
        <w:tc>
          <w:tcPr>
            <w:tcW w:w="824" w:type="dxa"/>
            <w:tcBorders>
              <w:top w:val="nil"/>
              <w:left w:val="nil"/>
              <w:right w:val="nil"/>
            </w:tcBorders>
          </w:tcPr>
          <w:p w14:paraId="46B18FA3" w14:textId="5267FEB5" w:rsidR="00683247" w:rsidRPr="00683247" w:rsidRDefault="00683247" w:rsidP="00683247">
            <w:r w:rsidRPr="00683247">
              <w:t>X</w:t>
            </w:r>
            <w:r w:rsidRPr="00683247">
              <w:rPr>
                <w:vertAlign w:val="superscript"/>
              </w:rPr>
              <w:t>2</w:t>
            </w:r>
          </w:p>
        </w:tc>
        <w:tc>
          <w:tcPr>
            <w:tcW w:w="992" w:type="dxa"/>
            <w:tcBorders>
              <w:left w:val="nil"/>
              <w:right w:val="nil"/>
            </w:tcBorders>
          </w:tcPr>
          <w:p w14:paraId="24E036FC" w14:textId="631FEC14" w:rsidR="00683247" w:rsidRPr="00683247" w:rsidRDefault="00A45E15" w:rsidP="00683247">
            <w:pPr>
              <w:spacing w:line="256" w:lineRule="auto"/>
            </w:pPr>
            <w:r w:rsidRPr="00EE747A">
              <w:rPr>
                <w:rFonts w:cstheme="minorHAnsi"/>
                <w:i/>
                <w:iCs/>
              </w:rPr>
              <w:t>P</w:t>
            </w:r>
          </w:p>
        </w:tc>
        <w:tc>
          <w:tcPr>
            <w:tcW w:w="843" w:type="dxa"/>
            <w:tcBorders>
              <w:left w:val="nil"/>
              <w:right w:val="nil"/>
            </w:tcBorders>
          </w:tcPr>
          <w:p w14:paraId="48AA220F" w14:textId="6241AD9B" w:rsidR="00683247" w:rsidRPr="00683247" w:rsidRDefault="00683247" w:rsidP="00683247">
            <w:pPr>
              <w:spacing w:line="256" w:lineRule="auto"/>
            </w:pPr>
            <w:r w:rsidRPr="00683247">
              <w:t xml:space="preserve">Phi </w:t>
            </w:r>
          </w:p>
        </w:tc>
      </w:tr>
      <w:tr w:rsidR="00903D63" w:rsidRPr="004C4BEC" w14:paraId="6765D727" w14:textId="77777777" w:rsidTr="006944B8">
        <w:tc>
          <w:tcPr>
            <w:tcW w:w="2454" w:type="dxa"/>
            <w:tcBorders>
              <w:left w:val="nil"/>
              <w:right w:val="nil"/>
            </w:tcBorders>
            <w:vAlign w:val="center"/>
          </w:tcPr>
          <w:p w14:paraId="3B499BFD" w14:textId="273361A1" w:rsidR="00683247" w:rsidRPr="00683247" w:rsidRDefault="00683247" w:rsidP="00683247">
            <w:pPr>
              <w:spacing w:line="256" w:lineRule="auto"/>
              <w:rPr>
                <w:b/>
                <w:bCs/>
              </w:rPr>
            </w:pPr>
            <w:r w:rsidRPr="00683247">
              <w:rPr>
                <w:b/>
                <w:bCs/>
              </w:rPr>
              <w:t>Itchy bite</w:t>
            </w:r>
            <w:r>
              <w:rPr>
                <w:b/>
                <w:bCs/>
              </w:rPr>
              <w:t>/</w:t>
            </w:r>
            <w:r w:rsidRPr="00683247">
              <w:rPr>
                <w:b/>
                <w:bCs/>
              </w:rPr>
              <w:t>sting</w:t>
            </w:r>
          </w:p>
        </w:tc>
        <w:tc>
          <w:tcPr>
            <w:tcW w:w="1515" w:type="dxa"/>
            <w:tcBorders>
              <w:top w:val="nil"/>
              <w:left w:val="nil"/>
              <w:right w:val="nil"/>
            </w:tcBorders>
          </w:tcPr>
          <w:p w14:paraId="11F20EDB" w14:textId="67807FB5" w:rsidR="00683247" w:rsidRPr="00683247" w:rsidRDefault="00683247" w:rsidP="00683247"/>
        </w:tc>
        <w:tc>
          <w:tcPr>
            <w:tcW w:w="1403" w:type="dxa"/>
            <w:tcBorders>
              <w:top w:val="nil"/>
              <w:left w:val="nil"/>
              <w:right w:val="nil"/>
            </w:tcBorders>
          </w:tcPr>
          <w:p w14:paraId="0E30A826" w14:textId="00736F46" w:rsidR="00683247" w:rsidRPr="00683247" w:rsidRDefault="00683247" w:rsidP="00683247"/>
        </w:tc>
        <w:tc>
          <w:tcPr>
            <w:tcW w:w="750" w:type="dxa"/>
            <w:tcBorders>
              <w:top w:val="nil"/>
              <w:left w:val="nil"/>
              <w:right w:val="nil"/>
            </w:tcBorders>
          </w:tcPr>
          <w:p w14:paraId="7BAF834E" w14:textId="6189D9BF" w:rsidR="00683247" w:rsidRPr="00683247" w:rsidRDefault="00683247" w:rsidP="00683247"/>
        </w:tc>
        <w:tc>
          <w:tcPr>
            <w:tcW w:w="824" w:type="dxa"/>
            <w:tcBorders>
              <w:top w:val="nil"/>
              <w:left w:val="nil"/>
              <w:right w:val="nil"/>
            </w:tcBorders>
          </w:tcPr>
          <w:p w14:paraId="174D4ECF" w14:textId="0D8FD277" w:rsidR="00683247" w:rsidRPr="00683247" w:rsidRDefault="00683247" w:rsidP="00683247"/>
        </w:tc>
        <w:tc>
          <w:tcPr>
            <w:tcW w:w="992" w:type="dxa"/>
            <w:tcBorders>
              <w:left w:val="nil"/>
              <w:right w:val="nil"/>
            </w:tcBorders>
          </w:tcPr>
          <w:p w14:paraId="0BD51E43" w14:textId="1AFA40AC" w:rsidR="00683247" w:rsidRPr="00683247" w:rsidRDefault="00683247" w:rsidP="00683247">
            <w:pPr>
              <w:spacing w:line="256" w:lineRule="auto"/>
            </w:pPr>
          </w:p>
        </w:tc>
        <w:tc>
          <w:tcPr>
            <w:tcW w:w="843" w:type="dxa"/>
            <w:tcBorders>
              <w:left w:val="nil"/>
              <w:right w:val="nil"/>
            </w:tcBorders>
          </w:tcPr>
          <w:p w14:paraId="09F6B9A0" w14:textId="5FBAC3E6" w:rsidR="00683247" w:rsidRPr="00683247" w:rsidRDefault="00683247" w:rsidP="00683247">
            <w:pPr>
              <w:spacing w:line="256" w:lineRule="auto"/>
            </w:pPr>
          </w:p>
        </w:tc>
      </w:tr>
      <w:tr w:rsidR="00903D63" w:rsidRPr="004C4BEC" w14:paraId="64EA680C" w14:textId="77777777" w:rsidTr="006944B8">
        <w:tc>
          <w:tcPr>
            <w:tcW w:w="2454" w:type="dxa"/>
            <w:tcBorders>
              <w:left w:val="nil"/>
              <w:bottom w:val="single" w:sz="4" w:space="0" w:color="auto"/>
              <w:right w:val="nil"/>
            </w:tcBorders>
            <w:hideMark/>
          </w:tcPr>
          <w:p w14:paraId="1030A412" w14:textId="4EBE6BD9"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35130F25" w14:textId="7A3C32F4" w:rsidR="00683247" w:rsidRPr="00683247" w:rsidRDefault="00683247" w:rsidP="00683247">
            <w:r w:rsidRPr="00683247">
              <w:t>591 (42·5)</w:t>
            </w:r>
          </w:p>
        </w:tc>
        <w:tc>
          <w:tcPr>
            <w:tcW w:w="1403" w:type="dxa"/>
            <w:tcBorders>
              <w:top w:val="nil"/>
              <w:left w:val="nil"/>
              <w:bottom w:val="single" w:sz="4" w:space="0" w:color="auto"/>
              <w:right w:val="nil"/>
            </w:tcBorders>
          </w:tcPr>
          <w:p w14:paraId="3738D8A8" w14:textId="727BB3A6" w:rsidR="00683247" w:rsidRPr="00683247" w:rsidRDefault="00683247" w:rsidP="00683247">
            <w:r w:rsidRPr="00683247">
              <w:t>506 (51·6)</w:t>
            </w:r>
          </w:p>
        </w:tc>
        <w:tc>
          <w:tcPr>
            <w:tcW w:w="750" w:type="dxa"/>
            <w:tcBorders>
              <w:top w:val="nil"/>
              <w:left w:val="nil"/>
              <w:bottom w:val="single" w:sz="4" w:space="0" w:color="auto"/>
              <w:right w:val="nil"/>
            </w:tcBorders>
          </w:tcPr>
          <w:p w14:paraId="1ADC732F" w14:textId="0EA7CEA2" w:rsidR="00683247" w:rsidRPr="00683247" w:rsidRDefault="00683247" w:rsidP="00683247">
            <w:r w:rsidRPr="00683247">
              <w:t>1097</w:t>
            </w:r>
          </w:p>
        </w:tc>
        <w:tc>
          <w:tcPr>
            <w:tcW w:w="824" w:type="dxa"/>
            <w:tcBorders>
              <w:top w:val="nil"/>
              <w:left w:val="nil"/>
              <w:bottom w:val="single" w:sz="4" w:space="0" w:color="auto"/>
              <w:right w:val="nil"/>
            </w:tcBorders>
          </w:tcPr>
          <w:p w14:paraId="163B96DC" w14:textId="56AEE2E9" w:rsidR="00683247" w:rsidRPr="00683247" w:rsidRDefault="00683247" w:rsidP="00683247">
            <w:r w:rsidRPr="00683247">
              <w:t>19·48</w:t>
            </w:r>
          </w:p>
        </w:tc>
        <w:tc>
          <w:tcPr>
            <w:tcW w:w="992" w:type="dxa"/>
            <w:tcBorders>
              <w:left w:val="nil"/>
              <w:bottom w:val="single" w:sz="4" w:space="0" w:color="auto"/>
              <w:right w:val="nil"/>
            </w:tcBorders>
          </w:tcPr>
          <w:p w14:paraId="07174606" w14:textId="0E7CC90A" w:rsidR="00683247" w:rsidRPr="00683247" w:rsidRDefault="00683247" w:rsidP="00683247">
            <w:pPr>
              <w:spacing w:line="256" w:lineRule="auto"/>
            </w:pPr>
            <w:r w:rsidRPr="00683247">
              <w:t>&lt;·001</w:t>
            </w:r>
          </w:p>
        </w:tc>
        <w:tc>
          <w:tcPr>
            <w:tcW w:w="843" w:type="dxa"/>
            <w:tcBorders>
              <w:left w:val="nil"/>
              <w:bottom w:val="single" w:sz="4" w:space="0" w:color="auto"/>
              <w:right w:val="nil"/>
            </w:tcBorders>
            <w:vAlign w:val="center"/>
          </w:tcPr>
          <w:p w14:paraId="22E60E53" w14:textId="5BC6B7B6" w:rsidR="00683247" w:rsidRPr="00683247" w:rsidRDefault="00683247" w:rsidP="00683247">
            <w:pPr>
              <w:spacing w:line="256" w:lineRule="auto"/>
            </w:pPr>
            <w:r w:rsidRPr="00683247">
              <w:t>-0·09</w:t>
            </w:r>
          </w:p>
        </w:tc>
      </w:tr>
      <w:tr w:rsidR="00903D63" w:rsidRPr="004C4BEC" w14:paraId="41ADA5EC" w14:textId="77777777" w:rsidTr="006944B8">
        <w:tc>
          <w:tcPr>
            <w:tcW w:w="2454" w:type="dxa"/>
            <w:tcBorders>
              <w:left w:val="nil"/>
              <w:bottom w:val="single" w:sz="4" w:space="0" w:color="auto"/>
              <w:right w:val="nil"/>
            </w:tcBorders>
          </w:tcPr>
          <w:p w14:paraId="6C64F48C" w14:textId="71829F86"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78068775" w14:textId="3B2ED2CA" w:rsidR="00683247" w:rsidRPr="00683247" w:rsidRDefault="00683247" w:rsidP="00683247">
            <w:r w:rsidRPr="00683247">
              <w:t>801 (57·5)</w:t>
            </w:r>
          </w:p>
        </w:tc>
        <w:tc>
          <w:tcPr>
            <w:tcW w:w="1403" w:type="dxa"/>
            <w:tcBorders>
              <w:top w:val="nil"/>
              <w:left w:val="nil"/>
              <w:bottom w:val="single" w:sz="4" w:space="0" w:color="auto"/>
              <w:right w:val="nil"/>
            </w:tcBorders>
          </w:tcPr>
          <w:p w14:paraId="2D878339" w14:textId="0E5953A5" w:rsidR="00683247" w:rsidRPr="00683247" w:rsidRDefault="00683247" w:rsidP="00683247">
            <w:r w:rsidRPr="00683247">
              <w:t>474 (48·4)</w:t>
            </w:r>
          </w:p>
        </w:tc>
        <w:tc>
          <w:tcPr>
            <w:tcW w:w="750" w:type="dxa"/>
            <w:tcBorders>
              <w:top w:val="nil"/>
              <w:left w:val="nil"/>
              <w:bottom w:val="single" w:sz="4" w:space="0" w:color="auto"/>
              <w:right w:val="nil"/>
            </w:tcBorders>
          </w:tcPr>
          <w:p w14:paraId="42C1F4F4" w14:textId="13EAA6A1" w:rsidR="00683247" w:rsidRPr="00683247" w:rsidRDefault="00683247" w:rsidP="00683247">
            <w:r w:rsidRPr="00683247">
              <w:t>1275</w:t>
            </w:r>
          </w:p>
        </w:tc>
        <w:tc>
          <w:tcPr>
            <w:tcW w:w="824" w:type="dxa"/>
            <w:tcBorders>
              <w:top w:val="nil"/>
              <w:left w:val="nil"/>
              <w:bottom w:val="single" w:sz="4" w:space="0" w:color="auto"/>
              <w:right w:val="nil"/>
            </w:tcBorders>
          </w:tcPr>
          <w:p w14:paraId="25DF06EA" w14:textId="77777777" w:rsidR="00683247" w:rsidRPr="00683247" w:rsidRDefault="00683247" w:rsidP="00683247"/>
        </w:tc>
        <w:tc>
          <w:tcPr>
            <w:tcW w:w="992" w:type="dxa"/>
            <w:tcBorders>
              <w:left w:val="nil"/>
              <w:bottom w:val="single" w:sz="4" w:space="0" w:color="auto"/>
              <w:right w:val="nil"/>
            </w:tcBorders>
          </w:tcPr>
          <w:p w14:paraId="7819036A"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72A4F37D" w14:textId="77777777" w:rsidR="00683247" w:rsidRPr="00683247" w:rsidRDefault="00683247" w:rsidP="00683247">
            <w:pPr>
              <w:spacing w:line="256" w:lineRule="auto"/>
            </w:pPr>
          </w:p>
        </w:tc>
      </w:tr>
      <w:tr w:rsidR="00903D63" w:rsidRPr="004C4BEC" w14:paraId="72E5551D" w14:textId="77777777" w:rsidTr="006944B8">
        <w:tc>
          <w:tcPr>
            <w:tcW w:w="2454" w:type="dxa"/>
            <w:tcBorders>
              <w:left w:val="nil"/>
              <w:right w:val="nil"/>
            </w:tcBorders>
            <w:vAlign w:val="center"/>
            <w:hideMark/>
          </w:tcPr>
          <w:p w14:paraId="0FA68415" w14:textId="6063A9C6" w:rsidR="00683247" w:rsidRPr="00683247" w:rsidRDefault="00683247" w:rsidP="00683247">
            <w:pPr>
              <w:spacing w:line="256" w:lineRule="auto"/>
              <w:rPr>
                <w:b/>
                <w:bCs/>
              </w:rPr>
            </w:pPr>
            <w:r w:rsidRPr="00683247">
              <w:rPr>
                <w:b/>
                <w:bCs/>
              </w:rPr>
              <w:t>Young child temperature/crying</w:t>
            </w:r>
          </w:p>
        </w:tc>
        <w:tc>
          <w:tcPr>
            <w:tcW w:w="1515" w:type="dxa"/>
            <w:tcBorders>
              <w:top w:val="nil"/>
              <w:left w:val="nil"/>
              <w:right w:val="nil"/>
            </w:tcBorders>
          </w:tcPr>
          <w:p w14:paraId="0225C671" w14:textId="2409D898" w:rsidR="00683247" w:rsidRPr="00683247" w:rsidRDefault="00683247" w:rsidP="00683247"/>
        </w:tc>
        <w:tc>
          <w:tcPr>
            <w:tcW w:w="1403" w:type="dxa"/>
            <w:tcBorders>
              <w:top w:val="nil"/>
              <w:left w:val="nil"/>
              <w:right w:val="nil"/>
            </w:tcBorders>
          </w:tcPr>
          <w:p w14:paraId="7E3A81FD" w14:textId="69274EE0" w:rsidR="00683247" w:rsidRPr="00683247" w:rsidRDefault="00683247" w:rsidP="00683247"/>
        </w:tc>
        <w:tc>
          <w:tcPr>
            <w:tcW w:w="750" w:type="dxa"/>
            <w:tcBorders>
              <w:top w:val="nil"/>
              <w:left w:val="nil"/>
              <w:right w:val="nil"/>
            </w:tcBorders>
          </w:tcPr>
          <w:p w14:paraId="2599B5CF" w14:textId="323CFF9F" w:rsidR="00683247" w:rsidRPr="00683247" w:rsidRDefault="00683247" w:rsidP="00683247"/>
        </w:tc>
        <w:tc>
          <w:tcPr>
            <w:tcW w:w="824" w:type="dxa"/>
            <w:tcBorders>
              <w:top w:val="nil"/>
              <w:left w:val="nil"/>
              <w:right w:val="nil"/>
            </w:tcBorders>
          </w:tcPr>
          <w:p w14:paraId="14E08A2A" w14:textId="1E90C0B1" w:rsidR="00683247" w:rsidRPr="00683247" w:rsidRDefault="00683247" w:rsidP="00683247"/>
        </w:tc>
        <w:tc>
          <w:tcPr>
            <w:tcW w:w="992" w:type="dxa"/>
            <w:tcBorders>
              <w:left w:val="nil"/>
              <w:right w:val="nil"/>
            </w:tcBorders>
          </w:tcPr>
          <w:p w14:paraId="05211712" w14:textId="2AE1413E" w:rsidR="00683247" w:rsidRPr="00683247" w:rsidRDefault="00683247" w:rsidP="00683247">
            <w:pPr>
              <w:spacing w:line="256" w:lineRule="auto"/>
            </w:pPr>
          </w:p>
        </w:tc>
        <w:tc>
          <w:tcPr>
            <w:tcW w:w="843" w:type="dxa"/>
            <w:tcBorders>
              <w:left w:val="nil"/>
              <w:right w:val="nil"/>
            </w:tcBorders>
          </w:tcPr>
          <w:p w14:paraId="617ECEA6" w14:textId="0673FDEE" w:rsidR="00683247" w:rsidRPr="00683247" w:rsidRDefault="00683247" w:rsidP="00683247">
            <w:pPr>
              <w:spacing w:line="256" w:lineRule="auto"/>
            </w:pPr>
          </w:p>
        </w:tc>
      </w:tr>
      <w:tr w:rsidR="00903D63" w:rsidRPr="004C4BEC" w14:paraId="421C7BFD" w14:textId="77777777" w:rsidTr="006944B8">
        <w:tc>
          <w:tcPr>
            <w:tcW w:w="2454" w:type="dxa"/>
            <w:tcBorders>
              <w:left w:val="nil"/>
              <w:bottom w:val="single" w:sz="4" w:space="0" w:color="auto"/>
              <w:right w:val="nil"/>
            </w:tcBorders>
            <w:hideMark/>
          </w:tcPr>
          <w:p w14:paraId="62FF2594" w14:textId="212F7134"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71519C45" w14:textId="3416A72A" w:rsidR="00683247" w:rsidRPr="00683247" w:rsidRDefault="00683247" w:rsidP="00683247">
            <w:r w:rsidRPr="00683247">
              <w:t>1117 (76·2)</w:t>
            </w:r>
          </w:p>
        </w:tc>
        <w:tc>
          <w:tcPr>
            <w:tcW w:w="1403" w:type="dxa"/>
            <w:tcBorders>
              <w:top w:val="nil"/>
              <w:left w:val="nil"/>
              <w:bottom w:val="single" w:sz="4" w:space="0" w:color="auto"/>
              <w:right w:val="nil"/>
            </w:tcBorders>
          </w:tcPr>
          <w:p w14:paraId="62E4E66B" w14:textId="6417D6D7" w:rsidR="00683247" w:rsidRPr="00683247" w:rsidRDefault="00683247" w:rsidP="00683247">
            <w:r w:rsidRPr="00683247">
              <w:t>853 (83·0)</w:t>
            </w:r>
          </w:p>
        </w:tc>
        <w:tc>
          <w:tcPr>
            <w:tcW w:w="750" w:type="dxa"/>
            <w:tcBorders>
              <w:top w:val="nil"/>
              <w:left w:val="nil"/>
              <w:bottom w:val="single" w:sz="4" w:space="0" w:color="auto"/>
              <w:right w:val="nil"/>
            </w:tcBorders>
          </w:tcPr>
          <w:p w14:paraId="026891AF" w14:textId="0199D51E" w:rsidR="00683247" w:rsidRPr="00683247" w:rsidRDefault="00683247" w:rsidP="00683247">
            <w:r w:rsidRPr="00683247">
              <w:t>1970</w:t>
            </w:r>
          </w:p>
        </w:tc>
        <w:tc>
          <w:tcPr>
            <w:tcW w:w="824" w:type="dxa"/>
            <w:tcBorders>
              <w:top w:val="nil"/>
              <w:left w:val="nil"/>
              <w:bottom w:val="single" w:sz="4" w:space="0" w:color="auto"/>
              <w:right w:val="nil"/>
            </w:tcBorders>
          </w:tcPr>
          <w:p w14:paraId="00A98EE4" w14:textId="05919FAB" w:rsidR="00683247" w:rsidRPr="00683247" w:rsidRDefault="00683247" w:rsidP="00683247">
            <w:r w:rsidRPr="00683247">
              <w:t>16·51</w:t>
            </w:r>
          </w:p>
        </w:tc>
        <w:tc>
          <w:tcPr>
            <w:tcW w:w="992" w:type="dxa"/>
            <w:tcBorders>
              <w:left w:val="nil"/>
              <w:bottom w:val="single" w:sz="4" w:space="0" w:color="auto"/>
              <w:right w:val="nil"/>
            </w:tcBorders>
          </w:tcPr>
          <w:p w14:paraId="03DB69AC" w14:textId="64393CC1" w:rsidR="00683247" w:rsidRPr="00683247" w:rsidRDefault="00683247" w:rsidP="00683247">
            <w:pPr>
              <w:spacing w:line="256" w:lineRule="auto"/>
            </w:pPr>
            <w:r w:rsidRPr="00683247">
              <w:t>&lt;·001</w:t>
            </w:r>
          </w:p>
        </w:tc>
        <w:tc>
          <w:tcPr>
            <w:tcW w:w="843" w:type="dxa"/>
            <w:tcBorders>
              <w:left w:val="nil"/>
              <w:bottom w:val="single" w:sz="4" w:space="0" w:color="auto"/>
              <w:right w:val="nil"/>
            </w:tcBorders>
            <w:vAlign w:val="center"/>
          </w:tcPr>
          <w:p w14:paraId="13718F5F" w14:textId="28AB04D1" w:rsidR="00683247" w:rsidRPr="00683247" w:rsidRDefault="00683247" w:rsidP="00683247">
            <w:pPr>
              <w:spacing w:line="256" w:lineRule="auto"/>
            </w:pPr>
            <w:r w:rsidRPr="00683247">
              <w:t>-0·08</w:t>
            </w:r>
          </w:p>
        </w:tc>
      </w:tr>
      <w:tr w:rsidR="00903D63" w:rsidRPr="004C4BEC" w14:paraId="19A4DB68" w14:textId="77777777" w:rsidTr="006944B8">
        <w:tc>
          <w:tcPr>
            <w:tcW w:w="2454" w:type="dxa"/>
            <w:tcBorders>
              <w:left w:val="nil"/>
              <w:bottom w:val="single" w:sz="4" w:space="0" w:color="auto"/>
              <w:right w:val="nil"/>
            </w:tcBorders>
          </w:tcPr>
          <w:p w14:paraId="2CD1BBCD" w14:textId="43E48BE9"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051E6119" w14:textId="31D83626" w:rsidR="00683247" w:rsidRPr="00683247" w:rsidRDefault="00683247" w:rsidP="00683247">
            <w:r w:rsidRPr="00683247">
              <w:t>348 (23·8)</w:t>
            </w:r>
          </w:p>
        </w:tc>
        <w:tc>
          <w:tcPr>
            <w:tcW w:w="1403" w:type="dxa"/>
            <w:tcBorders>
              <w:top w:val="nil"/>
              <w:left w:val="nil"/>
              <w:bottom w:val="single" w:sz="4" w:space="0" w:color="auto"/>
              <w:right w:val="nil"/>
            </w:tcBorders>
          </w:tcPr>
          <w:p w14:paraId="797FA357" w14:textId="4EA214BD" w:rsidR="00683247" w:rsidRPr="00683247" w:rsidRDefault="00683247" w:rsidP="00683247">
            <w:r w:rsidRPr="00683247">
              <w:t>175 (17·0)</w:t>
            </w:r>
          </w:p>
        </w:tc>
        <w:tc>
          <w:tcPr>
            <w:tcW w:w="750" w:type="dxa"/>
            <w:tcBorders>
              <w:top w:val="nil"/>
              <w:left w:val="nil"/>
              <w:bottom w:val="single" w:sz="4" w:space="0" w:color="auto"/>
              <w:right w:val="nil"/>
            </w:tcBorders>
          </w:tcPr>
          <w:p w14:paraId="30AA47B4" w14:textId="3B0274B2" w:rsidR="00683247" w:rsidRPr="00683247" w:rsidRDefault="00683247" w:rsidP="00683247">
            <w:r w:rsidRPr="00683247">
              <w:t>523</w:t>
            </w:r>
          </w:p>
        </w:tc>
        <w:tc>
          <w:tcPr>
            <w:tcW w:w="824" w:type="dxa"/>
            <w:tcBorders>
              <w:top w:val="nil"/>
              <w:left w:val="nil"/>
              <w:bottom w:val="single" w:sz="4" w:space="0" w:color="auto"/>
              <w:right w:val="nil"/>
            </w:tcBorders>
          </w:tcPr>
          <w:p w14:paraId="0F8D8B0D" w14:textId="77777777" w:rsidR="00683247" w:rsidRPr="00683247" w:rsidRDefault="00683247" w:rsidP="00683247"/>
        </w:tc>
        <w:tc>
          <w:tcPr>
            <w:tcW w:w="992" w:type="dxa"/>
            <w:tcBorders>
              <w:left w:val="nil"/>
              <w:bottom w:val="single" w:sz="4" w:space="0" w:color="auto"/>
              <w:right w:val="nil"/>
            </w:tcBorders>
          </w:tcPr>
          <w:p w14:paraId="441C3037"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08727431" w14:textId="77777777" w:rsidR="00683247" w:rsidRPr="00683247" w:rsidRDefault="00683247" w:rsidP="00683247">
            <w:pPr>
              <w:spacing w:line="256" w:lineRule="auto"/>
            </w:pPr>
          </w:p>
        </w:tc>
      </w:tr>
      <w:tr w:rsidR="00903D63" w:rsidRPr="004C4BEC" w14:paraId="70E9062E" w14:textId="77777777" w:rsidTr="006944B8">
        <w:tc>
          <w:tcPr>
            <w:tcW w:w="2454" w:type="dxa"/>
            <w:tcBorders>
              <w:left w:val="nil"/>
              <w:right w:val="nil"/>
            </w:tcBorders>
            <w:vAlign w:val="center"/>
            <w:hideMark/>
          </w:tcPr>
          <w:p w14:paraId="59CD7F9E" w14:textId="77777777" w:rsidR="00683247" w:rsidRPr="00683247" w:rsidRDefault="00683247" w:rsidP="00683247">
            <w:pPr>
              <w:spacing w:line="256" w:lineRule="auto"/>
              <w:rPr>
                <w:b/>
                <w:bCs/>
              </w:rPr>
            </w:pPr>
            <w:r w:rsidRPr="00683247">
              <w:rPr>
                <w:b/>
                <w:bCs/>
              </w:rPr>
              <w:t>Cough, cold, sore throat</w:t>
            </w:r>
          </w:p>
        </w:tc>
        <w:tc>
          <w:tcPr>
            <w:tcW w:w="1515" w:type="dxa"/>
            <w:tcBorders>
              <w:top w:val="nil"/>
              <w:left w:val="nil"/>
              <w:right w:val="nil"/>
            </w:tcBorders>
          </w:tcPr>
          <w:p w14:paraId="3BA5B33B" w14:textId="7D619769" w:rsidR="00683247" w:rsidRPr="00683247" w:rsidRDefault="00683247" w:rsidP="00683247"/>
        </w:tc>
        <w:tc>
          <w:tcPr>
            <w:tcW w:w="1403" w:type="dxa"/>
            <w:tcBorders>
              <w:top w:val="nil"/>
              <w:left w:val="nil"/>
              <w:right w:val="nil"/>
            </w:tcBorders>
          </w:tcPr>
          <w:p w14:paraId="5ED9A850" w14:textId="04138F00" w:rsidR="00683247" w:rsidRPr="00683247" w:rsidRDefault="00683247" w:rsidP="00683247"/>
        </w:tc>
        <w:tc>
          <w:tcPr>
            <w:tcW w:w="750" w:type="dxa"/>
            <w:tcBorders>
              <w:top w:val="nil"/>
              <w:left w:val="nil"/>
              <w:right w:val="nil"/>
            </w:tcBorders>
          </w:tcPr>
          <w:p w14:paraId="5F1AE2A5" w14:textId="5AE45166" w:rsidR="00683247" w:rsidRPr="00683247" w:rsidRDefault="00683247" w:rsidP="00683247"/>
        </w:tc>
        <w:tc>
          <w:tcPr>
            <w:tcW w:w="824" w:type="dxa"/>
            <w:tcBorders>
              <w:top w:val="nil"/>
              <w:left w:val="nil"/>
              <w:right w:val="nil"/>
            </w:tcBorders>
          </w:tcPr>
          <w:p w14:paraId="2575CF20" w14:textId="5FFF2968" w:rsidR="00683247" w:rsidRPr="00683247" w:rsidRDefault="00683247" w:rsidP="00683247"/>
        </w:tc>
        <w:tc>
          <w:tcPr>
            <w:tcW w:w="992" w:type="dxa"/>
            <w:tcBorders>
              <w:left w:val="nil"/>
              <w:right w:val="nil"/>
            </w:tcBorders>
          </w:tcPr>
          <w:p w14:paraId="3397C9C7" w14:textId="2CD77062" w:rsidR="00683247" w:rsidRPr="00683247" w:rsidRDefault="00683247" w:rsidP="00683247">
            <w:pPr>
              <w:spacing w:line="256" w:lineRule="auto"/>
            </w:pPr>
          </w:p>
        </w:tc>
        <w:tc>
          <w:tcPr>
            <w:tcW w:w="843" w:type="dxa"/>
            <w:tcBorders>
              <w:left w:val="nil"/>
              <w:right w:val="nil"/>
            </w:tcBorders>
          </w:tcPr>
          <w:p w14:paraId="6124B840" w14:textId="5FCF4002" w:rsidR="00683247" w:rsidRPr="00683247" w:rsidRDefault="00683247" w:rsidP="00683247">
            <w:pPr>
              <w:spacing w:line="256" w:lineRule="auto"/>
            </w:pPr>
          </w:p>
        </w:tc>
      </w:tr>
      <w:tr w:rsidR="00903D63" w:rsidRPr="004C4BEC" w14:paraId="6EC86D53" w14:textId="77777777" w:rsidTr="006944B8">
        <w:tc>
          <w:tcPr>
            <w:tcW w:w="2454" w:type="dxa"/>
            <w:tcBorders>
              <w:left w:val="nil"/>
              <w:bottom w:val="single" w:sz="4" w:space="0" w:color="auto"/>
              <w:right w:val="nil"/>
            </w:tcBorders>
            <w:hideMark/>
          </w:tcPr>
          <w:p w14:paraId="369F0487" w14:textId="2A12C113"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0D7D8597" w14:textId="2C85CEEB" w:rsidR="00683247" w:rsidRPr="00683247" w:rsidRDefault="00683247" w:rsidP="00683247">
            <w:r w:rsidRPr="00683247">
              <w:t>462 (34·2)</w:t>
            </w:r>
          </w:p>
        </w:tc>
        <w:tc>
          <w:tcPr>
            <w:tcW w:w="1403" w:type="dxa"/>
            <w:tcBorders>
              <w:top w:val="nil"/>
              <w:left w:val="nil"/>
              <w:bottom w:val="single" w:sz="4" w:space="0" w:color="auto"/>
              <w:right w:val="nil"/>
            </w:tcBorders>
          </w:tcPr>
          <w:p w14:paraId="237A9D77" w14:textId="245FDF1F" w:rsidR="00683247" w:rsidRPr="00683247" w:rsidRDefault="00683247" w:rsidP="00683247">
            <w:r w:rsidRPr="00683247">
              <w:t>348 (36·5)</w:t>
            </w:r>
          </w:p>
        </w:tc>
        <w:tc>
          <w:tcPr>
            <w:tcW w:w="750" w:type="dxa"/>
            <w:tcBorders>
              <w:top w:val="nil"/>
              <w:left w:val="nil"/>
              <w:bottom w:val="single" w:sz="4" w:space="0" w:color="auto"/>
              <w:right w:val="nil"/>
            </w:tcBorders>
          </w:tcPr>
          <w:p w14:paraId="31F7AD22" w14:textId="0CFF6242" w:rsidR="00683247" w:rsidRPr="00683247" w:rsidRDefault="00683247" w:rsidP="00683247">
            <w:r w:rsidRPr="00683247">
              <w:t>810</w:t>
            </w:r>
          </w:p>
        </w:tc>
        <w:tc>
          <w:tcPr>
            <w:tcW w:w="824" w:type="dxa"/>
            <w:tcBorders>
              <w:top w:val="nil"/>
              <w:left w:val="nil"/>
              <w:bottom w:val="single" w:sz="4" w:space="0" w:color="auto"/>
              <w:right w:val="nil"/>
            </w:tcBorders>
          </w:tcPr>
          <w:p w14:paraId="05B9AF19" w14:textId="3C694815" w:rsidR="00683247" w:rsidRPr="00683247" w:rsidRDefault="00683247" w:rsidP="00683247">
            <w:r w:rsidRPr="00683247">
              <w:t>1·25</w:t>
            </w:r>
          </w:p>
        </w:tc>
        <w:tc>
          <w:tcPr>
            <w:tcW w:w="992" w:type="dxa"/>
            <w:tcBorders>
              <w:left w:val="nil"/>
              <w:bottom w:val="single" w:sz="4" w:space="0" w:color="auto"/>
              <w:right w:val="nil"/>
            </w:tcBorders>
          </w:tcPr>
          <w:p w14:paraId="3F7EF8F8" w14:textId="24F9943F" w:rsidR="00683247" w:rsidRPr="00683247" w:rsidRDefault="00683247" w:rsidP="00683247">
            <w:pPr>
              <w:spacing w:line="256" w:lineRule="auto"/>
            </w:pPr>
            <w:r w:rsidRPr="00683247">
              <w:t>·26</w:t>
            </w:r>
          </w:p>
        </w:tc>
        <w:tc>
          <w:tcPr>
            <w:tcW w:w="843" w:type="dxa"/>
            <w:tcBorders>
              <w:left w:val="nil"/>
              <w:bottom w:val="single" w:sz="4" w:space="0" w:color="auto"/>
              <w:right w:val="nil"/>
            </w:tcBorders>
            <w:vAlign w:val="center"/>
          </w:tcPr>
          <w:p w14:paraId="0522265A" w14:textId="2E8BEFEF" w:rsidR="00683247" w:rsidRPr="00683247" w:rsidRDefault="00683247" w:rsidP="00683247">
            <w:pPr>
              <w:spacing w:line="256" w:lineRule="auto"/>
            </w:pPr>
            <w:r w:rsidRPr="00683247">
              <w:t>-0·02</w:t>
            </w:r>
          </w:p>
        </w:tc>
      </w:tr>
      <w:tr w:rsidR="00903D63" w:rsidRPr="004C4BEC" w14:paraId="55C405C1" w14:textId="77777777" w:rsidTr="006944B8">
        <w:tc>
          <w:tcPr>
            <w:tcW w:w="2454" w:type="dxa"/>
            <w:tcBorders>
              <w:left w:val="nil"/>
              <w:bottom w:val="single" w:sz="4" w:space="0" w:color="auto"/>
              <w:right w:val="nil"/>
            </w:tcBorders>
          </w:tcPr>
          <w:p w14:paraId="2779D1FC" w14:textId="4980701A"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07798166" w14:textId="5F596BD6" w:rsidR="00683247" w:rsidRPr="00683247" w:rsidRDefault="00683247" w:rsidP="00683247">
            <w:r w:rsidRPr="00683247">
              <w:t>888 (65·8)</w:t>
            </w:r>
          </w:p>
        </w:tc>
        <w:tc>
          <w:tcPr>
            <w:tcW w:w="1403" w:type="dxa"/>
            <w:tcBorders>
              <w:top w:val="nil"/>
              <w:left w:val="nil"/>
              <w:bottom w:val="single" w:sz="4" w:space="0" w:color="auto"/>
              <w:right w:val="nil"/>
            </w:tcBorders>
          </w:tcPr>
          <w:p w14:paraId="5B65D928" w14:textId="048ADB25" w:rsidR="00683247" w:rsidRPr="00683247" w:rsidRDefault="00683247" w:rsidP="00683247">
            <w:r w:rsidRPr="00683247">
              <w:t>606 (63·5)</w:t>
            </w:r>
          </w:p>
        </w:tc>
        <w:tc>
          <w:tcPr>
            <w:tcW w:w="750" w:type="dxa"/>
            <w:tcBorders>
              <w:top w:val="nil"/>
              <w:left w:val="nil"/>
              <w:bottom w:val="single" w:sz="4" w:space="0" w:color="auto"/>
              <w:right w:val="nil"/>
            </w:tcBorders>
          </w:tcPr>
          <w:p w14:paraId="6D48A8B9" w14:textId="5E05CB38" w:rsidR="00683247" w:rsidRPr="00683247" w:rsidRDefault="00683247" w:rsidP="00683247">
            <w:r w:rsidRPr="00683247">
              <w:t>1494</w:t>
            </w:r>
          </w:p>
        </w:tc>
        <w:tc>
          <w:tcPr>
            <w:tcW w:w="824" w:type="dxa"/>
            <w:tcBorders>
              <w:top w:val="nil"/>
              <w:left w:val="nil"/>
              <w:bottom w:val="single" w:sz="4" w:space="0" w:color="auto"/>
              <w:right w:val="nil"/>
            </w:tcBorders>
          </w:tcPr>
          <w:p w14:paraId="177DAF34" w14:textId="77777777" w:rsidR="00683247" w:rsidRPr="00683247" w:rsidRDefault="00683247" w:rsidP="00683247"/>
        </w:tc>
        <w:tc>
          <w:tcPr>
            <w:tcW w:w="992" w:type="dxa"/>
            <w:tcBorders>
              <w:left w:val="nil"/>
              <w:bottom w:val="single" w:sz="4" w:space="0" w:color="auto"/>
              <w:right w:val="nil"/>
            </w:tcBorders>
          </w:tcPr>
          <w:p w14:paraId="4BB72A3E"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4CDC69E2" w14:textId="77777777" w:rsidR="00683247" w:rsidRPr="00683247" w:rsidRDefault="00683247" w:rsidP="00683247">
            <w:pPr>
              <w:spacing w:line="256" w:lineRule="auto"/>
            </w:pPr>
          </w:p>
        </w:tc>
      </w:tr>
      <w:tr w:rsidR="00903D63" w:rsidRPr="004C4BEC" w14:paraId="31DC9601" w14:textId="77777777" w:rsidTr="006944B8">
        <w:tc>
          <w:tcPr>
            <w:tcW w:w="2454" w:type="dxa"/>
            <w:tcBorders>
              <w:left w:val="nil"/>
              <w:right w:val="nil"/>
            </w:tcBorders>
            <w:vAlign w:val="center"/>
            <w:hideMark/>
          </w:tcPr>
          <w:p w14:paraId="1A170B75" w14:textId="34674FFB" w:rsidR="00683247" w:rsidRPr="00683247" w:rsidRDefault="00683247" w:rsidP="00683247">
            <w:pPr>
              <w:spacing w:line="256" w:lineRule="auto"/>
              <w:rPr>
                <w:b/>
                <w:bCs/>
              </w:rPr>
            </w:pPr>
            <w:r w:rsidRPr="00683247">
              <w:rPr>
                <w:b/>
                <w:bCs/>
              </w:rPr>
              <w:t>Diarrhoea</w:t>
            </w:r>
            <w:r w:rsidR="00903D63">
              <w:rPr>
                <w:b/>
                <w:bCs/>
              </w:rPr>
              <w:t>/</w:t>
            </w:r>
            <w:r w:rsidRPr="00683247">
              <w:rPr>
                <w:b/>
                <w:bCs/>
              </w:rPr>
              <w:t>vomiting</w:t>
            </w:r>
          </w:p>
        </w:tc>
        <w:tc>
          <w:tcPr>
            <w:tcW w:w="1515" w:type="dxa"/>
            <w:tcBorders>
              <w:top w:val="nil"/>
              <w:left w:val="nil"/>
              <w:right w:val="nil"/>
            </w:tcBorders>
          </w:tcPr>
          <w:p w14:paraId="011F3630" w14:textId="7A622F4E" w:rsidR="00683247" w:rsidRPr="00683247" w:rsidRDefault="00683247" w:rsidP="00683247"/>
        </w:tc>
        <w:tc>
          <w:tcPr>
            <w:tcW w:w="1403" w:type="dxa"/>
            <w:tcBorders>
              <w:top w:val="nil"/>
              <w:left w:val="nil"/>
              <w:right w:val="nil"/>
            </w:tcBorders>
          </w:tcPr>
          <w:p w14:paraId="256E8922" w14:textId="5FE8A080" w:rsidR="00683247" w:rsidRPr="00683247" w:rsidRDefault="00683247" w:rsidP="00683247"/>
        </w:tc>
        <w:tc>
          <w:tcPr>
            <w:tcW w:w="750" w:type="dxa"/>
            <w:tcBorders>
              <w:top w:val="nil"/>
              <w:left w:val="nil"/>
              <w:right w:val="nil"/>
            </w:tcBorders>
          </w:tcPr>
          <w:p w14:paraId="1C8FB1F3" w14:textId="4576214F" w:rsidR="00683247" w:rsidRPr="00683247" w:rsidRDefault="00683247" w:rsidP="00683247"/>
        </w:tc>
        <w:tc>
          <w:tcPr>
            <w:tcW w:w="824" w:type="dxa"/>
            <w:tcBorders>
              <w:top w:val="nil"/>
              <w:left w:val="nil"/>
              <w:right w:val="nil"/>
            </w:tcBorders>
          </w:tcPr>
          <w:p w14:paraId="4FAA7907" w14:textId="4445D12A" w:rsidR="00683247" w:rsidRPr="00683247" w:rsidRDefault="00683247" w:rsidP="00683247"/>
        </w:tc>
        <w:tc>
          <w:tcPr>
            <w:tcW w:w="992" w:type="dxa"/>
            <w:tcBorders>
              <w:left w:val="nil"/>
              <w:right w:val="nil"/>
            </w:tcBorders>
          </w:tcPr>
          <w:p w14:paraId="59F1D726" w14:textId="4517FCB0" w:rsidR="00683247" w:rsidRPr="00683247" w:rsidRDefault="00683247" w:rsidP="00683247">
            <w:pPr>
              <w:spacing w:line="256" w:lineRule="auto"/>
            </w:pPr>
          </w:p>
        </w:tc>
        <w:tc>
          <w:tcPr>
            <w:tcW w:w="843" w:type="dxa"/>
            <w:tcBorders>
              <w:left w:val="nil"/>
              <w:right w:val="nil"/>
            </w:tcBorders>
          </w:tcPr>
          <w:p w14:paraId="2DD7A79F" w14:textId="2F395253" w:rsidR="00683247" w:rsidRPr="00683247" w:rsidRDefault="00683247" w:rsidP="00683247">
            <w:pPr>
              <w:spacing w:line="256" w:lineRule="auto"/>
            </w:pPr>
          </w:p>
        </w:tc>
      </w:tr>
      <w:tr w:rsidR="00903D63" w:rsidRPr="004C4BEC" w14:paraId="6F186792" w14:textId="77777777" w:rsidTr="006944B8">
        <w:tc>
          <w:tcPr>
            <w:tcW w:w="2454" w:type="dxa"/>
            <w:tcBorders>
              <w:left w:val="nil"/>
              <w:bottom w:val="single" w:sz="4" w:space="0" w:color="auto"/>
              <w:right w:val="nil"/>
            </w:tcBorders>
            <w:hideMark/>
          </w:tcPr>
          <w:p w14:paraId="76737775" w14:textId="6C867BA9"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46BAAE34" w14:textId="7E42E9CB" w:rsidR="00683247" w:rsidRPr="00683247" w:rsidRDefault="00683247" w:rsidP="00683247">
            <w:r w:rsidRPr="00683247">
              <w:t>561 (40·8)</w:t>
            </w:r>
          </w:p>
        </w:tc>
        <w:tc>
          <w:tcPr>
            <w:tcW w:w="1403" w:type="dxa"/>
            <w:tcBorders>
              <w:top w:val="nil"/>
              <w:left w:val="nil"/>
              <w:bottom w:val="single" w:sz="4" w:space="0" w:color="auto"/>
              <w:right w:val="nil"/>
            </w:tcBorders>
          </w:tcPr>
          <w:p w14:paraId="02B9CD8C" w14:textId="6810040F" w:rsidR="00683247" w:rsidRPr="00683247" w:rsidRDefault="00683247" w:rsidP="00683247">
            <w:r w:rsidRPr="00683247">
              <w:t>411 (44·9)</w:t>
            </w:r>
          </w:p>
        </w:tc>
        <w:tc>
          <w:tcPr>
            <w:tcW w:w="750" w:type="dxa"/>
            <w:tcBorders>
              <w:top w:val="nil"/>
              <w:left w:val="nil"/>
              <w:bottom w:val="single" w:sz="4" w:space="0" w:color="auto"/>
              <w:right w:val="nil"/>
            </w:tcBorders>
          </w:tcPr>
          <w:p w14:paraId="2D0F205E" w14:textId="4978A245" w:rsidR="00683247" w:rsidRPr="00683247" w:rsidRDefault="00683247" w:rsidP="00683247">
            <w:r w:rsidRPr="00683247">
              <w:t>972</w:t>
            </w:r>
          </w:p>
        </w:tc>
        <w:tc>
          <w:tcPr>
            <w:tcW w:w="824" w:type="dxa"/>
            <w:tcBorders>
              <w:top w:val="nil"/>
              <w:left w:val="nil"/>
              <w:bottom w:val="single" w:sz="4" w:space="0" w:color="auto"/>
              <w:right w:val="nil"/>
            </w:tcBorders>
          </w:tcPr>
          <w:p w14:paraId="38598BF2" w14:textId="33F5FD58" w:rsidR="00683247" w:rsidRPr="00683247" w:rsidRDefault="00683247" w:rsidP="00683247">
            <w:r w:rsidRPr="00683247">
              <w:t>3·87</w:t>
            </w:r>
          </w:p>
        </w:tc>
        <w:tc>
          <w:tcPr>
            <w:tcW w:w="992" w:type="dxa"/>
            <w:tcBorders>
              <w:left w:val="nil"/>
              <w:bottom w:val="single" w:sz="4" w:space="0" w:color="auto"/>
              <w:right w:val="nil"/>
            </w:tcBorders>
          </w:tcPr>
          <w:p w14:paraId="5E5A8C91" w14:textId="631B2F7C" w:rsidR="00683247" w:rsidRPr="00683247" w:rsidRDefault="00683247" w:rsidP="00683247">
            <w:pPr>
              <w:spacing w:line="256" w:lineRule="auto"/>
            </w:pPr>
            <w:r w:rsidRPr="00683247">
              <w:t>·05</w:t>
            </w:r>
          </w:p>
        </w:tc>
        <w:tc>
          <w:tcPr>
            <w:tcW w:w="843" w:type="dxa"/>
            <w:tcBorders>
              <w:left w:val="nil"/>
              <w:bottom w:val="single" w:sz="4" w:space="0" w:color="auto"/>
              <w:right w:val="nil"/>
            </w:tcBorders>
            <w:vAlign w:val="center"/>
          </w:tcPr>
          <w:p w14:paraId="52CF85B8" w14:textId="7B5F86D1" w:rsidR="00683247" w:rsidRPr="00683247" w:rsidRDefault="00683247" w:rsidP="00683247">
            <w:pPr>
              <w:spacing w:line="256" w:lineRule="auto"/>
            </w:pPr>
            <w:r w:rsidRPr="00683247">
              <w:t>-0·04</w:t>
            </w:r>
          </w:p>
        </w:tc>
      </w:tr>
      <w:tr w:rsidR="00903D63" w:rsidRPr="004C4BEC" w14:paraId="7606E090" w14:textId="77777777" w:rsidTr="006944B8">
        <w:tc>
          <w:tcPr>
            <w:tcW w:w="2454" w:type="dxa"/>
            <w:tcBorders>
              <w:left w:val="nil"/>
              <w:bottom w:val="single" w:sz="4" w:space="0" w:color="auto"/>
              <w:right w:val="nil"/>
            </w:tcBorders>
          </w:tcPr>
          <w:p w14:paraId="404C665A" w14:textId="1AC3FD6F"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4DFF63C9" w14:textId="6BDE4863" w:rsidR="00683247" w:rsidRPr="00683247" w:rsidRDefault="00683247" w:rsidP="00683247">
            <w:r w:rsidRPr="00683247">
              <w:t>815 (59·2)</w:t>
            </w:r>
          </w:p>
        </w:tc>
        <w:tc>
          <w:tcPr>
            <w:tcW w:w="1403" w:type="dxa"/>
            <w:tcBorders>
              <w:top w:val="nil"/>
              <w:left w:val="nil"/>
              <w:bottom w:val="single" w:sz="4" w:space="0" w:color="auto"/>
              <w:right w:val="nil"/>
            </w:tcBorders>
          </w:tcPr>
          <w:p w14:paraId="59A3EEBC" w14:textId="498BFF97" w:rsidR="00683247" w:rsidRPr="00683247" w:rsidRDefault="00683247" w:rsidP="00683247">
            <w:r w:rsidRPr="00683247">
              <w:t>504 (55·1)</w:t>
            </w:r>
          </w:p>
        </w:tc>
        <w:tc>
          <w:tcPr>
            <w:tcW w:w="750" w:type="dxa"/>
            <w:tcBorders>
              <w:top w:val="nil"/>
              <w:left w:val="nil"/>
              <w:bottom w:val="single" w:sz="4" w:space="0" w:color="auto"/>
              <w:right w:val="nil"/>
            </w:tcBorders>
          </w:tcPr>
          <w:p w14:paraId="010A7E8A" w14:textId="1AD926FD" w:rsidR="00683247" w:rsidRPr="00683247" w:rsidRDefault="00683247" w:rsidP="00683247">
            <w:r w:rsidRPr="00683247">
              <w:t>1319</w:t>
            </w:r>
          </w:p>
        </w:tc>
        <w:tc>
          <w:tcPr>
            <w:tcW w:w="824" w:type="dxa"/>
            <w:tcBorders>
              <w:top w:val="nil"/>
              <w:left w:val="nil"/>
              <w:bottom w:val="single" w:sz="4" w:space="0" w:color="auto"/>
              <w:right w:val="nil"/>
            </w:tcBorders>
          </w:tcPr>
          <w:p w14:paraId="0AA51840" w14:textId="77777777" w:rsidR="00683247" w:rsidRPr="00683247" w:rsidRDefault="00683247" w:rsidP="00683247"/>
        </w:tc>
        <w:tc>
          <w:tcPr>
            <w:tcW w:w="992" w:type="dxa"/>
            <w:tcBorders>
              <w:left w:val="nil"/>
              <w:bottom w:val="single" w:sz="4" w:space="0" w:color="auto"/>
              <w:right w:val="nil"/>
            </w:tcBorders>
          </w:tcPr>
          <w:p w14:paraId="7AA017DA"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6AC01245" w14:textId="77777777" w:rsidR="00683247" w:rsidRPr="00683247" w:rsidRDefault="00683247" w:rsidP="00683247">
            <w:pPr>
              <w:spacing w:line="256" w:lineRule="auto"/>
            </w:pPr>
          </w:p>
        </w:tc>
      </w:tr>
      <w:tr w:rsidR="00903D63" w:rsidRPr="004C4BEC" w14:paraId="2D8EF424" w14:textId="77777777" w:rsidTr="006944B8">
        <w:tc>
          <w:tcPr>
            <w:tcW w:w="2454" w:type="dxa"/>
            <w:tcBorders>
              <w:left w:val="nil"/>
              <w:right w:val="nil"/>
            </w:tcBorders>
            <w:vAlign w:val="center"/>
            <w:hideMark/>
          </w:tcPr>
          <w:p w14:paraId="164A3790" w14:textId="77777777" w:rsidR="00683247" w:rsidRPr="00683247" w:rsidRDefault="00683247" w:rsidP="00683247">
            <w:pPr>
              <w:spacing w:line="256" w:lineRule="auto"/>
              <w:rPr>
                <w:b/>
                <w:bCs/>
              </w:rPr>
            </w:pPr>
            <w:r w:rsidRPr="00683247">
              <w:rPr>
                <w:b/>
                <w:bCs/>
              </w:rPr>
              <w:t>Scalded hand</w:t>
            </w:r>
          </w:p>
        </w:tc>
        <w:tc>
          <w:tcPr>
            <w:tcW w:w="1515" w:type="dxa"/>
            <w:tcBorders>
              <w:top w:val="nil"/>
              <w:left w:val="nil"/>
              <w:right w:val="nil"/>
            </w:tcBorders>
          </w:tcPr>
          <w:p w14:paraId="38425BF7" w14:textId="2F9A654F" w:rsidR="00683247" w:rsidRPr="00683247" w:rsidRDefault="00683247" w:rsidP="00683247"/>
        </w:tc>
        <w:tc>
          <w:tcPr>
            <w:tcW w:w="1403" w:type="dxa"/>
            <w:tcBorders>
              <w:top w:val="nil"/>
              <w:left w:val="nil"/>
              <w:right w:val="nil"/>
            </w:tcBorders>
          </w:tcPr>
          <w:p w14:paraId="64CEE599" w14:textId="79B1A881" w:rsidR="00683247" w:rsidRPr="00683247" w:rsidRDefault="00683247" w:rsidP="00683247"/>
        </w:tc>
        <w:tc>
          <w:tcPr>
            <w:tcW w:w="750" w:type="dxa"/>
            <w:tcBorders>
              <w:top w:val="nil"/>
              <w:left w:val="nil"/>
              <w:right w:val="nil"/>
            </w:tcBorders>
          </w:tcPr>
          <w:p w14:paraId="704B1ABC" w14:textId="044F8518" w:rsidR="00683247" w:rsidRPr="00683247" w:rsidRDefault="00683247" w:rsidP="00683247"/>
        </w:tc>
        <w:tc>
          <w:tcPr>
            <w:tcW w:w="824" w:type="dxa"/>
            <w:tcBorders>
              <w:top w:val="nil"/>
              <w:left w:val="nil"/>
              <w:right w:val="nil"/>
            </w:tcBorders>
          </w:tcPr>
          <w:p w14:paraId="0C4D9DAE" w14:textId="447CD6F6" w:rsidR="00683247" w:rsidRPr="00683247" w:rsidRDefault="00683247" w:rsidP="00683247"/>
        </w:tc>
        <w:tc>
          <w:tcPr>
            <w:tcW w:w="992" w:type="dxa"/>
            <w:tcBorders>
              <w:left w:val="nil"/>
              <w:right w:val="nil"/>
            </w:tcBorders>
          </w:tcPr>
          <w:p w14:paraId="18A6C799" w14:textId="72871D52" w:rsidR="00683247" w:rsidRPr="00683247" w:rsidRDefault="00683247" w:rsidP="00683247">
            <w:pPr>
              <w:spacing w:line="256" w:lineRule="auto"/>
            </w:pPr>
          </w:p>
        </w:tc>
        <w:tc>
          <w:tcPr>
            <w:tcW w:w="843" w:type="dxa"/>
            <w:tcBorders>
              <w:left w:val="nil"/>
              <w:right w:val="nil"/>
            </w:tcBorders>
          </w:tcPr>
          <w:p w14:paraId="5143F293" w14:textId="08CB18E7" w:rsidR="00683247" w:rsidRPr="00683247" w:rsidRDefault="00683247" w:rsidP="00683247">
            <w:pPr>
              <w:spacing w:line="256" w:lineRule="auto"/>
            </w:pPr>
          </w:p>
        </w:tc>
      </w:tr>
      <w:tr w:rsidR="00903D63" w:rsidRPr="004C4BEC" w14:paraId="6C7A0DC9" w14:textId="77777777" w:rsidTr="006944B8">
        <w:tc>
          <w:tcPr>
            <w:tcW w:w="2454" w:type="dxa"/>
            <w:tcBorders>
              <w:left w:val="nil"/>
              <w:bottom w:val="single" w:sz="4" w:space="0" w:color="auto"/>
              <w:right w:val="nil"/>
            </w:tcBorders>
            <w:hideMark/>
          </w:tcPr>
          <w:p w14:paraId="6038D188" w14:textId="2BC16C49"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7ECB410B" w14:textId="3663EE3C" w:rsidR="00683247" w:rsidRPr="00683247" w:rsidRDefault="00683247" w:rsidP="00683247">
            <w:r w:rsidRPr="00683247">
              <w:t>399 (28·0)</w:t>
            </w:r>
          </w:p>
        </w:tc>
        <w:tc>
          <w:tcPr>
            <w:tcW w:w="1403" w:type="dxa"/>
            <w:tcBorders>
              <w:top w:val="nil"/>
              <w:left w:val="nil"/>
              <w:bottom w:val="single" w:sz="4" w:space="0" w:color="auto"/>
              <w:right w:val="nil"/>
            </w:tcBorders>
          </w:tcPr>
          <w:p w14:paraId="568B3FC0" w14:textId="32B732BD" w:rsidR="00683247" w:rsidRPr="00683247" w:rsidRDefault="00683247" w:rsidP="00683247">
            <w:r w:rsidRPr="00683247">
              <w:t>339 (34·8)</w:t>
            </w:r>
          </w:p>
        </w:tc>
        <w:tc>
          <w:tcPr>
            <w:tcW w:w="750" w:type="dxa"/>
            <w:tcBorders>
              <w:top w:val="nil"/>
              <w:left w:val="nil"/>
              <w:bottom w:val="single" w:sz="4" w:space="0" w:color="auto"/>
              <w:right w:val="nil"/>
            </w:tcBorders>
          </w:tcPr>
          <w:p w14:paraId="37199339" w14:textId="39224651" w:rsidR="00683247" w:rsidRPr="00683247" w:rsidRDefault="00683247" w:rsidP="00683247">
            <w:r w:rsidRPr="00683247">
              <w:t>738</w:t>
            </w:r>
          </w:p>
        </w:tc>
        <w:tc>
          <w:tcPr>
            <w:tcW w:w="824" w:type="dxa"/>
            <w:tcBorders>
              <w:top w:val="nil"/>
              <w:left w:val="nil"/>
              <w:bottom w:val="single" w:sz="4" w:space="0" w:color="auto"/>
              <w:right w:val="nil"/>
            </w:tcBorders>
          </w:tcPr>
          <w:p w14:paraId="6B31CFD1" w14:textId="72F05A1A" w:rsidR="00683247" w:rsidRPr="00683247" w:rsidRDefault="00683247" w:rsidP="00683247">
            <w:r w:rsidRPr="00683247">
              <w:t xml:space="preserve">12·54 </w:t>
            </w:r>
          </w:p>
        </w:tc>
        <w:tc>
          <w:tcPr>
            <w:tcW w:w="992" w:type="dxa"/>
            <w:tcBorders>
              <w:left w:val="nil"/>
              <w:bottom w:val="single" w:sz="4" w:space="0" w:color="auto"/>
              <w:right w:val="nil"/>
            </w:tcBorders>
          </w:tcPr>
          <w:p w14:paraId="70FE6428" w14:textId="5AB0A0B8" w:rsidR="00683247" w:rsidRPr="00683247" w:rsidRDefault="00683247" w:rsidP="00683247">
            <w:pPr>
              <w:spacing w:line="256" w:lineRule="auto"/>
            </w:pPr>
            <w:r w:rsidRPr="00683247">
              <w:t>&lt;·001</w:t>
            </w:r>
          </w:p>
        </w:tc>
        <w:tc>
          <w:tcPr>
            <w:tcW w:w="843" w:type="dxa"/>
            <w:tcBorders>
              <w:left w:val="nil"/>
              <w:bottom w:val="single" w:sz="4" w:space="0" w:color="auto"/>
              <w:right w:val="nil"/>
            </w:tcBorders>
            <w:vAlign w:val="center"/>
          </w:tcPr>
          <w:p w14:paraId="6A554DA3" w14:textId="4A894061" w:rsidR="00683247" w:rsidRPr="00683247" w:rsidRDefault="00683247" w:rsidP="00683247">
            <w:pPr>
              <w:spacing w:line="256" w:lineRule="auto"/>
            </w:pPr>
            <w:r w:rsidRPr="00683247">
              <w:t>-0·07</w:t>
            </w:r>
          </w:p>
        </w:tc>
      </w:tr>
      <w:tr w:rsidR="00903D63" w:rsidRPr="004C4BEC" w14:paraId="1B96C202" w14:textId="77777777" w:rsidTr="006944B8">
        <w:tc>
          <w:tcPr>
            <w:tcW w:w="2454" w:type="dxa"/>
            <w:tcBorders>
              <w:left w:val="nil"/>
              <w:bottom w:val="single" w:sz="4" w:space="0" w:color="auto"/>
              <w:right w:val="nil"/>
            </w:tcBorders>
          </w:tcPr>
          <w:p w14:paraId="6F971AE6" w14:textId="0E77955E"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12EFDBE6" w14:textId="1CA9FF9B" w:rsidR="00683247" w:rsidRPr="00683247" w:rsidRDefault="00683247" w:rsidP="00683247">
            <w:r w:rsidRPr="00683247">
              <w:t>1024 (72·0)</w:t>
            </w:r>
          </w:p>
        </w:tc>
        <w:tc>
          <w:tcPr>
            <w:tcW w:w="1403" w:type="dxa"/>
            <w:tcBorders>
              <w:top w:val="nil"/>
              <w:left w:val="nil"/>
              <w:bottom w:val="single" w:sz="4" w:space="0" w:color="auto"/>
              <w:right w:val="nil"/>
            </w:tcBorders>
          </w:tcPr>
          <w:p w14:paraId="16D3C13A" w14:textId="40BFA996" w:rsidR="00683247" w:rsidRPr="00683247" w:rsidRDefault="00683247" w:rsidP="00683247">
            <w:r w:rsidRPr="00683247">
              <w:t>634 (65·2)</w:t>
            </w:r>
          </w:p>
        </w:tc>
        <w:tc>
          <w:tcPr>
            <w:tcW w:w="750" w:type="dxa"/>
            <w:tcBorders>
              <w:top w:val="nil"/>
              <w:left w:val="nil"/>
              <w:bottom w:val="single" w:sz="4" w:space="0" w:color="auto"/>
              <w:right w:val="nil"/>
            </w:tcBorders>
          </w:tcPr>
          <w:p w14:paraId="54A88A29" w14:textId="13D9B5E3" w:rsidR="00683247" w:rsidRPr="00683247" w:rsidRDefault="00683247" w:rsidP="00683247">
            <w:r w:rsidRPr="00683247">
              <w:t>1658</w:t>
            </w:r>
          </w:p>
        </w:tc>
        <w:tc>
          <w:tcPr>
            <w:tcW w:w="824" w:type="dxa"/>
            <w:tcBorders>
              <w:top w:val="nil"/>
              <w:left w:val="nil"/>
              <w:bottom w:val="single" w:sz="4" w:space="0" w:color="auto"/>
              <w:right w:val="nil"/>
            </w:tcBorders>
          </w:tcPr>
          <w:p w14:paraId="60C93AA8" w14:textId="77777777" w:rsidR="00683247" w:rsidRPr="00683247" w:rsidRDefault="00683247" w:rsidP="00683247"/>
        </w:tc>
        <w:tc>
          <w:tcPr>
            <w:tcW w:w="992" w:type="dxa"/>
            <w:tcBorders>
              <w:left w:val="nil"/>
              <w:bottom w:val="single" w:sz="4" w:space="0" w:color="auto"/>
              <w:right w:val="nil"/>
            </w:tcBorders>
          </w:tcPr>
          <w:p w14:paraId="22DC3139"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74592AA6" w14:textId="77777777" w:rsidR="00683247" w:rsidRPr="00683247" w:rsidRDefault="00683247" w:rsidP="00683247">
            <w:pPr>
              <w:spacing w:line="256" w:lineRule="auto"/>
            </w:pPr>
          </w:p>
        </w:tc>
      </w:tr>
      <w:tr w:rsidR="00903D63" w:rsidRPr="004C4BEC" w14:paraId="022ED2C6" w14:textId="77777777" w:rsidTr="006944B8">
        <w:tc>
          <w:tcPr>
            <w:tcW w:w="2454" w:type="dxa"/>
            <w:tcBorders>
              <w:left w:val="nil"/>
              <w:right w:val="nil"/>
            </w:tcBorders>
            <w:vAlign w:val="center"/>
            <w:hideMark/>
          </w:tcPr>
          <w:p w14:paraId="216FD560" w14:textId="521D6BB9" w:rsidR="00683247" w:rsidRPr="00683247" w:rsidRDefault="00683247" w:rsidP="00683247">
            <w:pPr>
              <w:spacing w:line="256" w:lineRule="auto"/>
              <w:rPr>
                <w:b/>
                <w:bCs/>
              </w:rPr>
            </w:pPr>
            <w:r w:rsidRPr="00683247">
              <w:rPr>
                <w:b/>
                <w:bCs/>
              </w:rPr>
              <w:t>Painful urinating</w:t>
            </w:r>
          </w:p>
        </w:tc>
        <w:tc>
          <w:tcPr>
            <w:tcW w:w="1515" w:type="dxa"/>
            <w:tcBorders>
              <w:top w:val="nil"/>
              <w:left w:val="nil"/>
              <w:right w:val="nil"/>
            </w:tcBorders>
          </w:tcPr>
          <w:p w14:paraId="5A59995E" w14:textId="58E58DD2" w:rsidR="00683247" w:rsidRPr="00683247" w:rsidRDefault="00683247" w:rsidP="00683247"/>
        </w:tc>
        <w:tc>
          <w:tcPr>
            <w:tcW w:w="1403" w:type="dxa"/>
            <w:tcBorders>
              <w:top w:val="nil"/>
              <w:left w:val="nil"/>
              <w:right w:val="nil"/>
            </w:tcBorders>
          </w:tcPr>
          <w:p w14:paraId="3A5D8EA7" w14:textId="365AEA91" w:rsidR="00683247" w:rsidRPr="00683247" w:rsidRDefault="00683247" w:rsidP="00683247"/>
        </w:tc>
        <w:tc>
          <w:tcPr>
            <w:tcW w:w="750" w:type="dxa"/>
            <w:tcBorders>
              <w:top w:val="nil"/>
              <w:left w:val="nil"/>
              <w:right w:val="nil"/>
            </w:tcBorders>
          </w:tcPr>
          <w:p w14:paraId="32367EE6" w14:textId="117AFD7A" w:rsidR="00683247" w:rsidRPr="00683247" w:rsidRDefault="00683247" w:rsidP="00683247"/>
        </w:tc>
        <w:tc>
          <w:tcPr>
            <w:tcW w:w="824" w:type="dxa"/>
            <w:tcBorders>
              <w:top w:val="nil"/>
              <w:left w:val="nil"/>
              <w:right w:val="nil"/>
            </w:tcBorders>
          </w:tcPr>
          <w:p w14:paraId="6FAF1C69" w14:textId="500601AC" w:rsidR="00683247" w:rsidRPr="00683247" w:rsidRDefault="00683247" w:rsidP="00683247"/>
        </w:tc>
        <w:tc>
          <w:tcPr>
            <w:tcW w:w="992" w:type="dxa"/>
            <w:tcBorders>
              <w:left w:val="nil"/>
              <w:right w:val="nil"/>
            </w:tcBorders>
          </w:tcPr>
          <w:p w14:paraId="2BE1E6B3" w14:textId="77108688" w:rsidR="00683247" w:rsidRPr="00683247" w:rsidRDefault="00683247" w:rsidP="00683247">
            <w:pPr>
              <w:spacing w:line="256" w:lineRule="auto"/>
            </w:pPr>
          </w:p>
        </w:tc>
        <w:tc>
          <w:tcPr>
            <w:tcW w:w="843" w:type="dxa"/>
            <w:tcBorders>
              <w:left w:val="nil"/>
              <w:right w:val="nil"/>
            </w:tcBorders>
          </w:tcPr>
          <w:p w14:paraId="145C32ED" w14:textId="266E7879" w:rsidR="00683247" w:rsidRPr="00683247" w:rsidRDefault="00683247" w:rsidP="00683247">
            <w:pPr>
              <w:spacing w:line="256" w:lineRule="auto"/>
            </w:pPr>
          </w:p>
        </w:tc>
      </w:tr>
      <w:tr w:rsidR="00903D63" w:rsidRPr="004C4BEC" w14:paraId="0E00333A" w14:textId="77777777" w:rsidTr="006944B8">
        <w:tc>
          <w:tcPr>
            <w:tcW w:w="2454" w:type="dxa"/>
            <w:tcBorders>
              <w:left w:val="nil"/>
              <w:bottom w:val="single" w:sz="4" w:space="0" w:color="auto"/>
              <w:right w:val="nil"/>
            </w:tcBorders>
            <w:hideMark/>
          </w:tcPr>
          <w:p w14:paraId="59589C71" w14:textId="61BF4C22"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377682D4" w14:textId="02D8AB31" w:rsidR="00683247" w:rsidRPr="00683247" w:rsidRDefault="00683247" w:rsidP="00683247">
            <w:r w:rsidRPr="00683247">
              <w:t>696 (50·9)</w:t>
            </w:r>
          </w:p>
        </w:tc>
        <w:tc>
          <w:tcPr>
            <w:tcW w:w="1403" w:type="dxa"/>
            <w:tcBorders>
              <w:top w:val="nil"/>
              <w:left w:val="nil"/>
              <w:bottom w:val="single" w:sz="4" w:space="0" w:color="auto"/>
              <w:right w:val="nil"/>
            </w:tcBorders>
          </w:tcPr>
          <w:p w14:paraId="5885DF72" w14:textId="4D2C2D6C" w:rsidR="00683247" w:rsidRPr="00683247" w:rsidRDefault="00683247" w:rsidP="00683247">
            <w:r w:rsidRPr="00683247">
              <w:t>598 (62·6)</w:t>
            </w:r>
          </w:p>
        </w:tc>
        <w:tc>
          <w:tcPr>
            <w:tcW w:w="750" w:type="dxa"/>
            <w:tcBorders>
              <w:top w:val="nil"/>
              <w:left w:val="nil"/>
              <w:bottom w:val="single" w:sz="4" w:space="0" w:color="auto"/>
              <w:right w:val="nil"/>
            </w:tcBorders>
          </w:tcPr>
          <w:p w14:paraId="22DA0FDA" w14:textId="32D77209" w:rsidR="00683247" w:rsidRPr="00683247" w:rsidRDefault="00683247" w:rsidP="00683247">
            <w:r w:rsidRPr="00683247">
              <w:t>1294</w:t>
            </w:r>
          </w:p>
        </w:tc>
        <w:tc>
          <w:tcPr>
            <w:tcW w:w="824" w:type="dxa"/>
            <w:tcBorders>
              <w:top w:val="nil"/>
              <w:left w:val="nil"/>
              <w:bottom w:val="single" w:sz="4" w:space="0" w:color="auto"/>
              <w:right w:val="nil"/>
            </w:tcBorders>
          </w:tcPr>
          <w:p w14:paraId="229EE634" w14:textId="0E3EA009" w:rsidR="00683247" w:rsidRPr="00683247" w:rsidRDefault="00683247" w:rsidP="00683247">
            <w:r w:rsidRPr="00683247">
              <w:t xml:space="preserve">31·42 </w:t>
            </w:r>
          </w:p>
        </w:tc>
        <w:tc>
          <w:tcPr>
            <w:tcW w:w="992" w:type="dxa"/>
            <w:tcBorders>
              <w:left w:val="nil"/>
              <w:bottom w:val="single" w:sz="4" w:space="0" w:color="auto"/>
              <w:right w:val="nil"/>
            </w:tcBorders>
          </w:tcPr>
          <w:p w14:paraId="44F221B9" w14:textId="4512A170" w:rsidR="00683247" w:rsidRPr="00683247" w:rsidRDefault="00683247" w:rsidP="00683247">
            <w:pPr>
              <w:spacing w:line="256" w:lineRule="auto"/>
            </w:pPr>
            <w:r w:rsidRPr="00683247">
              <w:t>&lt;·001</w:t>
            </w:r>
          </w:p>
        </w:tc>
        <w:tc>
          <w:tcPr>
            <w:tcW w:w="843" w:type="dxa"/>
            <w:tcBorders>
              <w:left w:val="nil"/>
              <w:bottom w:val="single" w:sz="4" w:space="0" w:color="auto"/>
              <w:right w:val="nil"/>
            </w:tcBorders>
            <w:vAlign w:val="center"/>
          </w:tcPr>
          <w:p w14:paraId="18047EF7" w14:textId="4F99B598" w:rsidR="00683247" w:rsidRPr="00683247" w:rsidRDefault="00683247" w:rsidP="00683247">
            <w:pPr>
              <w:spacing w:line="256" w:lineRule="auto"/>
            </w:pPr>
            <w:r w:rsidRPr="00683247">
              <w:t>-0·12</w:t>
            </w:r>
          </w:p>
        </w:tc>
      </w:tr>
      <w:tr w:rsidR="00903D63" w:rsidRPr="004C4BEC" w14:paraId="4529B867" w14:textId="77777777" w:rsidTr="006944B8">
        <w:tc>
          <w:tcPr>
            <w:tcW w:w="2454" w:type="dxa"/>
            <w:tcBorders>
              <w:left w:val="nil"/>
              <w:bottom w:val="single" w:sz="4" w:space="0" w:color="auto"/>
              <w:right w:val="nil"/>
            </w:tcBorders>
          </w:tcPr>
          <w:p w14:paraId="6C048A2B" w14:textId="56D8650E"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053584B1" w14:textId="46A9A5F3" w:rsidR="00683247" w:rsidRPr="00683247" w:rsidRDefault="00683247" w:rsidP="00683247">
            <w:r w:rsidRPr="00683247">
              <w:t>672 (49·1)</w:t>
            </w:r>
          </w:p>
        </w:tc>
        <w:tc>
          <w:tcPr>
            <w:tcW w:w="1403" w:type="dxa"/>
            <w:tcBorders>
              <w:top w:val="nil"/>
              <w:left w:val="nil"/>
              <w:bottom w:val="single" w:sz="4" w:space="0" w:color="auto"/>
              <w:right w:val="nil"/>
            </w:tcBorders>
          </w:tcPr>
          <w:p w14:paraId="71303185" w14:textId="75502946" w:rsidR="00683247" w:rsidRPr="00683247" w:rsidRDefault="00683247" w:rsidP="00683247">
            <w:r w:rsidRPr="00683247">
              <w:t>357 (37·4)</w:t>
            </w:r>
          </w:p>
        </w:tc>
        <w:tc>
          <w:tcPr>
            <w:tcW w:w="750" w:type="dxa"/>
            <w:tcBorders>
              <w:top w:val="nil"/>
              <w:left w:val="nil"/>
              <w:bottom w:val="single" w:sz="4" w:space="0" w:color="auto"/>
              <w:right w:val="nil"/>
            </w:tcBorders>
          </w:tcPr>
          <w:p w14:paraId="60E8B67F" w14:textId="1F4C6602" w:rsidR="00683247" w:rsidRPr="00683247" w:rsidRDefault="00683247" w:rsidP="00683247">
            <w:r w:rsidRPr="00683247">
              <w:t>1029</w:t>
            </w:r>
          </w:p>
        </w:tc>
        <w:tc>
          <w:tcPr>
            <w:tcW w:w="824" w:type="dxa"/>
            <w:tcBorders>
              <w:top w:val="nil"/>
              <w:left w:val="nil"/>
              <w:bottom w:val="single" w:sz="4" w:space="0" w:color="auto"/>
              <w:right w:val="nil"/>
            </w:tcBorders>
          </w:tcPr>
          <w:p w14:paraId="5AAE17A7" w14:textId="77777777" w:rsidR="00683247" w:rsidRPr="00683247" w:rsidRDefault="00683247" w:rsidP="00683247"/>
        </w:tc>
        <w:tc>
          <w:tcPr>
            <w:tcW w:w="992" w:type="dxa"/>
            <w:tcBorders>
              <w:left w:val="nil"/>
              <w:bottom w:val="single" w:sz="4" w:space="0" w:color="auto"/>
              <w:right w:val="nil"/>
            </w:tcBorders>
          </w:tcPr>
          <w:p w14:paraId="63CE42A0"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7ADECF9C" w14:textId="77777777" w:rsidR="00683247" w:rsidRPr="00683247" w:rsidRDefault="00683247" w:rsidP="00683247">
            <w:pPr>
              <w:spacing w:line="256" w:lineRule="auto"/>
            </w:pPr>
          </w:p>
        </w:tc>
      </w:tr>
      <w:tr w:rsidR="00903D63" w:rsidRPr="004C4BEC" w14:paraId="593350E9" w14:textId="77777777" w:rsidTr="006944B8">
        <w:tc>
          <w:tcPr>
            <w:tcW w:w="2454" w:type="dxa"/>
            <w:tcBorders>
              <w:left w:val="nil"/>
              <w:right w:val="nil"/>
            </w:tcBorders>
            <w:vAlign w:val="center"/>
            <w:hideMark/>
          </w:tcPr>
          <w:p w14:paraId="38B9FDAE" w14:textId="1E166062" w:rsidR="00683247" w:rsidRPr="00683247" w:rsidRDefault="00683247" w:rsidP="00683247">
            <w:pPr>
              <w:spacing w:line="256" w:lineRule="auto"/>
              <w:rPr>
                <w:b/>
                <w:bCs/>
              </w:rPr>
            </w:pPr>
            <w:r w:rsidRPr="00683247">
              <w:rPr>
                <w:b/>
                <w:bCs/>
              </w:rPr>
              <w:t xml:space="preserve">Toothache </w:t>
            </w:r>
            <w:r w:rsidR="001450F3">
              <w:rPr>
                <w:b/>
                <w:bCs/>
              </w:rPr>
              <w:t>&gt;</w:t>
            </w:r>
            <w:r w:rsidRPr="00683247">
              <w:rPr>
                <w:b/>
                <w:bCs/>
              </w:rPr>
              <w:t>24 hours</w:t>
            </w:r>
          </w:p>
        </w:tc>
        <w:tc>
          <w:tcPr>
            <w:tcW w:w="1515" w:type="dxa"/>
            <w:tcBorders>
              <w:top w:val="nil"/>
              <w:left w:val="nil"/>
              <w:right w:val="nil"/>
            </w:tcBorders>
          </w:tcPr>
          <w:p w14:paraId="5245CC3C" w14:textId="4DF186E4" w:rsidR="00683247" w:rsidRPr="00683247" w:rsidRDefault="00683247" w:rsidP="00683247"/>
        </w:tc>
        <w:tc>
          <w:tcPr>
            <w:tcW w:w="1403" w:type="dxa"/>
            <w:tcBorders>
              <w:top w:val="nil"/>
              <w:left w:val="nil"/>
              <w:right w:val="nil"/>
            </w:tcBorders>
          </w:tcPr>
          <w:p w14:paraId="5AB8F356" w14:textId="28C94F3C" w:rsidR="00683247" w:rsidRPr="00683247" w:rsidRDefault="00683247" w:rsidP="00683247"/>
        </w:tc>
        <w:tc>
          <w:tcPr>
            <w:tcW w:w="750" w:type="dxa"/>
            <w:tcBorders>
              <w:top w:val="nil"/>
              <w:left w:val="nil"/>
              <w:right w:val="nil"/>
            </w:tcBorders>
          </w:tcPr>
          <w:p w14:paraId="045C0668" w14:textId="5E2411BC" w:rsidR="00683247" w:rsidRPr="00683247" w:rsidRDefault="00683247" w:rsidP="00683247"/>
        </w:tc>
        <w:tc>
          <w:tcPr>
            <w:tcW w:w="824" w:type="dxa"/>
            <w:tcBorders>
              <w:top w:val="nil"/>
              <w:left w:val="nil"/>
              <w:right w:val="nil"/>
            </w:tcBorders>
          </w:tcPr>
          <w:p w14:paraId="596E874A" w14:textId="1B09B2FB" w:rsidR="00683247" w:rsidRPr="00683247" w:rsidRDefault="00683247" w:rsidP="00683247"/>
        </w:tc>
        <w:tc>
          <w:tcPr>
            <w:tcW w:w="992" w:type="dxa"/>
            <w:tcBorders>
              <w:left w:val="nil"/>
              <w:right w:val="nil"/>
            </w:tcBorders>
          </w:tcPr>
          <w:p w14:paraId="004914FA" w14:textId="3C837AC5" w:rsidR="00683247" w:rsidRPr="00683247" w:rsidRDefault="00683247" w:rsidP="00683247">
            <w:pPr>
              <w:spacing w:line="256" w:lineRule="auto"/>
            </w:pPr>
          </w:p>
        </w:tc>
        <w:tc>
          <w:tcPr>
            <w:tcW w:w="843" w:type="dxa"/>
            <w:tcBorders>
              <w:left w:val="nil"/>
              <w:right w:val="nil"/>
            </w:tcBorders>
          </w:tcPr>
          <w:p w14:paraId="0EB66E4D" w14:textId="65EFD321" w:rsidR="00683247" w:rsidRPr="00683247" w:rsidRDefault="00683247" w:rsidP="00683247">
            <w:pPr>
              <w:spacing w:line="256" w:lineRule="auto"/>
            </w:pPr>
          </w:p>
        </w:tc>
      </w:tr>
      <w:tr w:rsidR="00903D63" w:rsidRPr="004C4BEC" w14:paraId="2AA1FBBA" w14:textId="77777777" w:rsidTr="006944B8">
        <w:tc>
          <w:tcPr>
            <w:tcW w:w="2454" w:type="dxa"/>
            <w:tcBorders>
              <w:left w:val="nil"/>
              <w:bottom w:val="single" w:sz="4" w:space="0" w:color="auto"/>
              <w:right w:val="nil"/>
            </w:tcBorders>
            <w:hideMark/>
          </w:tcPr>
          <w:p w14:paraId="20B3F24A" w14:textId="717F644E"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3262BF4D" w14:textId="3F37FED8" w:rsidR="00683247" w:rsidRPr="00683247" w:rsidRDefault="00683247" w:rsidP="00683247">
            <w:r w:rsidRPr="00683247">
              <w:t>504 (36·3)</w:t>
            </w:r>
          </w:p>
        </w:tc>
        <w:tc>
          <w:tcPr>
            <w:tcW w:w="1403" w:type="dxa"/>
            <w:tcBorders>
              <w:top w:val="nil"/>
              <w:left w:val="nil"/>
              <w:bottom w:val="single" w:sz="4" w:space="0" w:color="auto"/>
              <w:right w:val="nil"/>
            </w:tcBorders>
          </w:tcPr>
          <w:p w14:paraId="1151AC37" w14:textId="62387DB5" w:rsidR="00683247" w:rsidRPr="00683247" w:rsidRDefault="00683247" w:rsidP="00683247">
            <w:r w:rsidRPr="00683247">
              <w:t>390 (40·7)</w:t>
            </w:r>
          </w:p>
        </w:tc>
        <w:tc>
          <w:tcPr>
            <w:tcW w:w="750" w:type="dxa"/>
            <w:tcBorders>
              <w:top w:val="nil"/>
              <w:left w:val="nil"/>
              <w:bottom w:val="single" w:sz="4" w:space="0" w:color="auto"/>
              <w:right w:val="nil"/>
            </w:tcBorders>
          </w:tcPr>
          <w:p w14:paraId="05487926" w14:textId="2C3B6F68" w:rsidR="00683247" w:rsidRPr="00683247" w:rsidRDefault="00683247" w:rsidP="00683247">
            <w:r w:rsidRPr="00683247">
              <w:t>894</w:t>
            </w:r>
          </w:p>
        </w:tc>
        <w:tc>
          <w:tcPr>
            <w:tcW w:w="824" w:type="dxa"/>
            <w:tcBorders>
              <w:top w:val="nil"/>
              <w:left w:val="nil"/>
              <w:bottom w:val="single" w:sz="4" w:space="0" w:color="auto"/>
              <w:right w:val="nil"/>
            </w:tcBorders>
          </w:tcPr>
          <w:p w14:paraId="485C5F00" w14:textId="7F2DBCC6" w:rsidR="00683247" w:rsidRPr="00683247" w:rsidRDefault="00683247" w:rsidP="00683247">
            <w:r w:rsidRPr="00683247">
              <w:t xml:space="preserve">4·71 </w:t>
            </w:r>
          </w:p>
        </w:tc>
        <w:tc>
          <w:tcPr>
            <w:tcW w:w="992" w:type="dxa"/>
            <w:tcBorders>
              <w:left w:val="nil"/>
              <w:bottom w:val="single" w:sz="4" w:space="0" w:color="auto"/>
              <w:right w:val="nil"/>
            </w:tcBorders>
          </w:tcPr>
          <w:p w14:paraId="1AB565AF" w14:textId="3AAB9260" w:rsidR="00683247" w:rsidRPr="00683247" w:rsidRDefault="00683247" w:rsidP="00683247">
            <w:pPr>
              <w:spacing w:line="256" w:lineRule="auto"/>
            </w:pPr>
            <w:r w:rsidRPr="00683247">
              <w:t>·03</w:t>
            </w:r>
          </w:p>
        </w:tc>
        <w:tc>
          <w:tcPr>
            <w:tcW w:w="843" w:type="dxa"/>
            <w:tcBorders>
              <w:left w:val="nil"/>
              <w:bottom w:val="single" w:sz="4" w:space="0" w:color="auto"/>
              <w:right w:val="nil"/>
            </w:tcBorders>
            <w:vAlign w:val="center"/>
          </w:tcPr>
          <w:p w14:paraId="3C0AA684" w14:textId="2F9E7B3E" w:rsidR="00683247" w:rsidRPr="00683247" w:rsidRDefault="00683247" w:rsidP="00683247">
            <w:pPr>
              <w:spacing w:line="256" w:lineRule="auto"/>
            </w:pPr>
            <w:r w:rsidRPr="00683247">
              <w:t>-0·05</w:t>
            </w:r>
          </w:p>
        </w:tc>
      </w:tr>
      <w:tr w:rsidR="00903D63" w:rsidRPr="004C4BEC" w14:paraId="0A2D6939" w14:textId="77777777" w:rsidTr="006944B8">
        <w:tc>
          <w:tcPr>
            <w:tcW w:w="2454" w:type="dxa"/>
            <w:tcBorders>
              <w:left w:val="nil"/>
              <w:bottom w:val="single" w:sz="4" w:space="0" w:color="auto"/>
              <w:right w:val="nil"/>
            </w:tcBorders>
          </w:tcPr>
          <w:p w14:paraId="73F5BA2E" w14:textId="6DEAD0E3"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34F47D6F" w14:textId="645C8CB9" w:rsidR="00683247" w:rsidRPr="00683247" w:rsidRDefault="00683247" w:rsidP="00683247">
            <w:r w:rsidRPr="00683247">
              <w:t>886 (63·7)</w:t>
            </w:r>
          </w:p>
        </w:tc>
        <w:tc>
          <w:tcPr>
            <w:tcW w:w="1403" w:type="dxa"/>
            <w:tcBorders>
              <w:top w:val="nil"/>
              <w:left w:val="nil"/>
              <w:bottom w:val="single" w:sz="4" w:space="0" w:color="auto"/>
              <w:right w:val="nil"/>
            </w:tcBorders>
          </w:tcPr>
          <w:p w14:paraId="227CD595" w14:textId="4D8F8393" w:rsidR="00683247" w:rsidRPr="00683247" w:rsidRDefault="00683247" w:rsidP="00683247">
            <w:r w:rsidRPr="00683247">
              <w:t>568 (59·3)</w:t>
            </w:r>
          </w:p>
        </w:tc>
        <w:tc>
          <w:tcPr>
            <w:tcW w:w="750" w:type="dxa"/>
            <w:tcBorders>
              <w:top w:val="nil"/>
              <w:left w:val="nil"/>
              <w:bottom w:val="single" w:sz="4" w:space="0" w:color="auto"/>
              <w:right w:val="nil"/>
            </w:tcBorders>
          </w:tcPr>
          <w:p w14:paraId="2A1A68D5" w14:textId="15B78D99" w:rsidR="00683247" w:rsidRPr="00683247" w:rsidRDefault="00683247" w:rsidP="00683247">
            <w:r w:rsidRPr="00683247">
              <w:t>1454</w:t>
            </w:r>
          </w:p>
        </w:tc>
        <w:tc>
          <w:tcPr>
            <w:tcW w:w="824" w:type="dxa"/>
            <w:tcBorders>
              <w:top w:val="nil"/>
              <w:left w:val="nil"/>
              <w:bottom w:val="single" w:sz="4" w:space="0" w:color="auto"/>
              <w:right w:val="nil"/>
            </w:tcBorders>
          </w:tcPr>
          <w:p w14:paraId="52347397" w14:textId="77777777" w:rsidR="00683247" w:rsidRPr="00683247" w:rsidRDefault="00683247" w:rsidP="00683247"/>
        </w:tc>
        <w:tc>
          <w:tcPr>
            <w:tcW w:w="992" w:type="dxa"/>
            <w:tcBorders>
              <w:left w:val="nil"/>
              <w:bottom w:val="single" w:sz="4" w:space="0" w:color="auto"/>
              <w:right w:val="nil"/>
            </w:tcBorders>
          </w:tcPr>
          <w:p w14:paraId="41435B3F"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50104F3C" w14:textId="77777777" w:rsidR="00683247" w:rsidRPr="00683247" w:rsidRDefault="00683247" w:rsidP="00683247">
            <w:pPr>
              <w:spacing w:line="256" w:lineRule="auto"/>
            </w:pPr>
          </w:p>
        </w:tc>
      </w:tr>
      <w:tr w:rsidR="00903D63" w:rsidRPr="004C4BEC" w14:paraId="11C0D2A0" w14:textId="77777777" w:rsidTr="006944B8">
        <w:tc>
          <w:tcPr>
            <w:tcW w:w="2454" w:type="dxa"/>
            <w:tcBorders>
              <w:left w:val="nil"/>
              <w:right w:val="nil"/>
            </w:tcBorders>
            <w:vAlign w:val="center"/>
            <w:hideMark/>
          </w:tcPr>
          <w:p w14:paraId="2342E0EB" w14:textId="77777777" w:rsidR="00683247" w:rsidRPr="00683247" w:rsidRDefault="00683247" w:rsidP="00683247">
            <w:pPr>
              <w:spacing w:line="256" w:lineRule="auto"/>
              <w:rPr>
                <w:b/>
                <w:bCs/>
              </w:rPr>
            </w:pPr>
            <w:r w:rsidRPr="00683247">
              <w:rPr>
                <w:b/>
                <w:bCs/>
              </w:rPr>
              <w:t>Headache for several hours</w:t>
            </w:r>
          </w:p>
        </w:tc>
        <w:tc>
          <w:tcPr>
            <w:tcW w:w="1515" w:type="dxa"/>
            <w:tcBorders>
              <w:top w:val="nil"/>
              <w:left w:val="nil"/>
              <w:right w:val="nil"/>
            </w:tcBorders>
          </w:tcPr>
          <w:p w14:paraId="57BB62BF" w14:textId="608771ED" w:rsidR="00683247" w:rsidRPr="00683247" w:rsidRDefault="00683247" w:rsidP="00683247"/>
        </w:tc>
        <w:tc>
          <w:tcPr>
            <w:tcW w:w="1403" w:type="dxa"/>
            <w:tcBorders>
              <w:top w:val="nil"/>
              <w:left w:val="nil"/>
              <w:right w:val="nil"/>
            </w:tcBorders>
          </w:tcPr>
          <w:p w14:paraId="4AC82F40" w14:textId="3B2A4AE1" w:rsidR="00683247" w:rsidRPr="00683247" w:rsidRDefault="00683247" w:rsidP="00683247"/>
        </w:tc>
        <w:tc>
          <w:tcPr>
            <w:tcW w:w="750" w:type="dxa"/>
            <w:tcBorders>
              <w:top w:val="nil"/>
              <w:left w:val="nil"/>
              <w:right w:val="nil"/>
            </w:tcBorders>
          </w:tcPr>
          <w:p w14:paraId="7CC9795F" w14:textId="31CDB1C9" w:rsidR="00683247" w:rsidRPr="00683247" w:rsidRDefault="00683247" w:rsidP="00683247"/>
        </w:tc>
        <w:tc>
          <w:tcPr>
            <w:tcW w:w="824" w:type="dxa"/>
            <w:tcBorders>
              <w:top w:val="nil"/>
              <w:left w:val="nil"/>
              <w:right w:val="nil"/>
            </w:tcBorders>
          </w:tcPr>
          <w:p w14:paraId="58422A85" w14:textId="2F8238E7" w:rsidR="00683247" w:rsidRPr="00683247" w:rsidRDefault="00683247" w:rsidP="00683247"/>
        </w:tc>
        <w:tc>
          <w:tcPr>
            <w:tcW w:w="992" w:type="dxa"/>
            <w:tcBorders>
              <w:left w:val="nil"/>
              <w:right w:val="nil"/>
            </w:tcBorders>
          </w:tcPr>
          <w:p w14:paraId="7D6617A4" w14:textId="2BC7EAAA" w:rsidR="00683247" w:rsidRPr="00683247" w:rsidRDefault="00683247" w:rsidP="00683247">
            <w:pPr>
              <w:spacing w:line="256" w:lineRule="auto"/>
            </w:pPr>
          </w:p>
        </w:tc>
        <w:tc>
          <w:tcPr>
            <w:tcW w:w="843" w:type="dxa"/>
            <w:tcBorders>
              <w:left w:val="nil"/>
              <w:right w:val="nil"/>
            </w:tcBorders>
          </w:tcPr>
          <w:p w14:paraId="50A5DAEC" w14:textId="101C6128" w:rsidR="00683247" w:rsidRPr="00683247" w:rsidRDefault="00683247" w:rsidP="00683247">
            <w:pPr>
              <w:spacing w:line="256" w:lineRule="auto"/>
            </w:pPr>
          </w:p>
        </w:tc>
      </w:tr>
      <w:tr w:rsidR="00903D63" w:rsidRPr="004C4BEC" w14:paraId="00AA4366" w14:textId="77777777" w:rsidTr="006944B8">
        <w:tc>
          <w:tcPr>
            <w:tcW w:w="2454" w:type="dxa"/>
            <w:tcBorders>
              <w:left w:val="nil"/>
              <w:bottom w:val="single" w:sz="4" w:space="0" w:color="auto"/>
              <w:right w:val="nil"/>
            </w:tcBorders>
            <w:hideMark/>
          </w:tcPr>
          <w:p w14:paraId="2D5CF38E" w14:textId="4C47390E"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61F86799" w14:textId="6364A2AE" w:rsidR="00683247" w:rsidRPr="00683247" w:rsidRDefault="00683247" w:rsidP="00683247">
            <w:r w:rsidRPr="00683247">
              <w:t>577 (43·1)</w:t>
            </w:r>
          </w:p>
        </w:tc>
        <w:tc>
          <w:tcPr>
            <w:tcW w:w="1403" w:type="dxa"/>
            <w:tcBorders>
              <w:top w:val="nil"/>
              <w:left w:val="nil"/>
              <w:bottom w:val="single" w:sz="4" w:space="0" w:color="auto"/>
              <w:right w:val="nil"/>
            </w:tcBorders>
          </w:tcPr>
          <w:p w14:paraId="11AB50B2" w14:textId="26C1C9D3" w:rsidR="00683247" w:rsidRPr="00683247" w:rsidRDefault="00683247" w:rsidP="00683247">
            <w:r w:rsidRPr="00683247">
              <w:t>437 (46·9)</w:t>
            </w:r>
          </w:p>
        </w:tc>
        <w:tc>
          <w:tcPr>
            <w:tcW w:w="750" w:type="dxa"/>
            <w:tcBorders>
              <w:top w:val="nil"/>
              <w:left w:val="nil"/>
              <w:bottom w:val="single" w:sz="4" w:space="0" w:color="auto"/>
              <w:right w:val="nil"/>
            </w:tcBorders>
          </w:tcPr>
          <w:p w14:paraId="744376A8" w14:textId="73686A9B" w:rsidR="00683247" w:rsidRPr="00683247" w:rsidRDefault="00683247" w:rsidP="00683247">
            <w:r w:rsidRPr="00683247">
              <w:t>1014</w:t>
            </w:r>
          </w:p>
        </w:tc>
        <w:tc>
          <w:tcPr>
            <w:tcW w:w="824" w:type="dxa"/>
            <w:tcBorders>
              <w:top w:val="nil"/>
              <w:left w:val="nil"/>
              <w:bottom w:val="single" w:sz="4" w:space="0" w:color="auto"/>
              <w:right w:val="nil"/>
            </w:tcBorders>
          </w:tcPr>
          <w:p w14:paraId="5B2BFB7F" w14:textId="07CEBD0A" w:rsidR="00683247" w:rsidRPr="00683247" w:rsidRDefault="00683247" w:rsidP="00683247">
            <w:r w:rsidRPr="00683247">
              <w:t xml:space="preserve">3·35 </w:t>
            </w:r>
          </w:p>
        </w:tc>
        <w:tc>
          <w:tcPr>
            <w:tcW w:w="992" w:type="dxa"/>
            <w:tcBorders>
              <w:left w:val="nil"/>
              <w:bottom w:val="single" w:sz="4" w:space="0" w:color="auto"/>
              <w:right w:val="nil"/>
            </w:tcBorders>
          </w:tcPr>
          <w:p w14:paraId="415C29B4" w14:textId="47AFB47A" w:rsidR="00683247" w:rsidRPr="00683247" w:rsidRDefault="00683247" w:rsidP="00683247">
            <w:pPr>
              <w:spacing w:line="256" w:lineRule="auto"/>
            </w:pPr>
            <w:r w:rsidRPr="00683247">
              <w:t>·06</w:t>
            </w:r>
          </w:p>
        </w:tc>
        <w:tc>
          <w:tcPr>
            <w:tcW w:w="843" w:type="dxa"/>
            <w:tcBorders>
              <w:left w:val="nil"/>
              <w:bottom w:val="single" w:sz="4" w:space="0" w:color="auto"/>
              <w:right w:val="nil"/>
            </w:tcBorders>
            <w:vAlign w:val="center"/>
          </w:tcPr>
          <w:p w14:paraId="07B8ADD2" w14:textId="5102EBB4" w:rsidR="00683247" w:rsidRPr="00683247" w:rsidRDefault="00683247" w:rsidP="00683247">
            <w:pPr>
              <w:spacing w:line="256" w:lineRule="auto"/>
            </w:pPr>
            <w:r w:rsidRPr="00683247">
              <w:t>-0·04</w:t>
            </w:r>
          </w:p>
        </w:tc>
      </w:tr>
      <w:tr w:rsidR="00903D63" w:rsidRPr="004C4BEC" w14:paraId="4CE268A4" w14:textId="77777777" w:rsidTr="006944B8">
        <w:tc>
          <w:tcPr>
            <w:tcW w:w="2454" w:type="dxa"/>
            <w:tcBorders>
              <w:left w:val="nil"/>
              <w:bottom w:val="single" w:sz="4" w:space="0" w:color="auto"/>
              <w:right w:val="nil"/>
            </w:tcBorders>
          </w:tcPr>
          <w:p w14:paraId="048B3F26" w14:textId="7819475B"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6D024954" w14:textId="7CD36EA2" w:rsidR="00683247" w:rsidRPr="00683247" w:rsidRDefault="00683247" w:rsidP="00683247">
            <w:r w:rsidRPr="00683247">
              <w:t>763 (56·9)</w:t>
            </w:r>
          </w:p>
        </w:tc>
        <w:tc>
          <w:tcPr>
            <w:tcW w:w="1403" w:type="dxa"/>
            <w:tcBorders>
              <w:top w:val="nil"/>
              <w:left w:val="nil"/>
              <w:bottom w:val="single" w:sz="4" w:space="0" w:color="auto"/>
              <w:right w:val="nil"/>
            </w:tcBorders>
          </w:tcPr>
          <w:p w14:paraId="0BC40205" w14:textId="5648315D" w:rsidR="00683247" w:rsidRPr="00683247" w:rsidRDefault="00683247" w:rsidP="00683247">
            <w:r w:rsidRPr="00683247">
              <w:t>494 (53·1)</w:t>
            </w:r>
          </w:p>
        </w:tc>
        <w:tc>
          <w:tcPr>
            <w:tcW w:w="750" w:type="dxa"/>
            <w:tcBorders>
              <w:top w:val="nil"/>
              <w:left w:val="nil"/>
              <w:bottom w:val="single" w:sz="4" w:space="0" w:color="auto"/>
              <w:right w:val="nil"/>
            </w:tcBorders>
          </w:tcPr>
          <w:p w14:paraId="798E3FDF" w14:textId="2A9AA802" w:rsidR="00683247" w:rsidRPr="00683247" w:rsidRDefault="00683247" w:rsidP="00683247">
            <w:r w:rsidRPr="00683247">
              <w:t>1257</w:t>
            </w:r>
          </w:p>
        </w:tc>
        <w:tc>
          <w:tcPr>
            <w:tcW w:w="824" w:type="dxa"/>
            <w:tcBorders>
              <w:top w:val="nil"/>
              <w:left w:val="nil"/>
              <w:bottom w:val="single" w:sz="4" w:space="0" w:color="auto"/>
              <w:right w:val="nil"/>
            </w:tcBorders>
          </w:tcPr>
          <w:p w14:paraId="613547D8" w14:textId="77777777" w:rsidR="00683247" w:rsidRPr="00683247" w:rsidRDefault="00683247" w:rsidP="00683247"/>
        </w:tc>
        <w:tc>
          <w:tcPr>
            <w:tcW w:w="992" w:type="dxa"/>
            <w:tcBorders>
              <w:left w:val="nil"/>
              <w:bottom w:val="single" w:sz="4" w:space="0" w:color="auto"/>
              <w:right w:val="nil"/>
            </w:tcBorders>
          </w:tcPr>
          <w:p w14:paraId="541210CB"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541B2817" w14:textId="77777777" w:rsidR="00683247" w:rsidRPr="00683247" w:rsidRDefault="00683247" w:rsidP="00683247">
            <w:pPr>
              <w:spacing w:line="256" w:lineRule="auto"/>
            </w:pPr>
          </w:p>
        </w:tc>
      </w:tr>
      <w:tr w:rsidR="00903D63" w:rsidRPr="004C4BEC" w14:paraId="673296F0" w14:textId="77777777" w:rsidTr="006944B8">
        <w:tc>
          <w:tcPr>
            <w:tcW w:w="2454" w:type="dxa"/>
            <w:tcBorders>
              <w:left w:val="nil"/>
              <w:right w:val="nil"/>
            </w:tcBorders>
            <w:vAlign w:val="center"/>
            <w:hideMark/>
          </w:tcPr>
          <w:p w14:paraId="1EE86092" w14:textId="77777777" w:rsidR="00683247" w:rsidRPr="00683247" w:rsidRDefault="00683247" w:rsidP="00683247">
            <w:pPr>
              <w:spacing w:line="256" w:lineRule="auto"/>
              <w:rPr>
                <w:b/>
                <w:bCs/>
              </w:rPr>
            </w:pPr>
            <w:r w:rsidRPr="00683247">
              <w:rPr>
                <w:b/>
                <w:bCs/>
              </w:rPr>
              <w:t>Tearful, not sleeping</w:t>
            </w:r>
          </w:p>
        </w:tc>
        <w:tc>
          <w:tcPr>
            <w:tcW w:w="1515" w:type="dxa"/>
            <w:tcBorders>
              <w:top w:val="nil"/>
              <w:left w:val="nil"/>
              <w:right w:val="nil"/>
            </w:tcBorders>
          </w:tcPr>
          <w:p w14:paraId="53CD8393" w14:textId="095ECFC2" w:rsidR="00683247" w:rsidRPr="00683247" w:rsidRDefault="00683247" w:rsidP="00683247"/>
        </w:tc>
        <w:tc>
          <w:tcPr>
            <w:tcW w:w="1403" w:type="dxa"/>
            <w:tcBorders>
              <w:top w:val="nil"/>
              <w:left w:val="nil"/>
              <w:right w:val="nil"/>
            </w:tcBorders>
          </w:tcPr>
          <w:p w14:paraId="0E3D8F23" w14:textId="27A894BD" w:rsidR="00683247" w:rsidRPr="00683247" w:rsidRDefault="00683247" w:rsidP="00683247"/>
        </w:tc>
        <w:tc>
          <w:tcPr>
            <w:tcW w:w="750" w:type="dxa"/>
            <w:tcBorders>
              <w:top w:val="nil"/>
              <w:left w:val="nil"/>
              <w:right w:val="nil"/>
            </w:tcBorders>
          </w:tcPr>
          <w:p w14:paraId="6AA8DCB9" w14:textId="49CBB9ED" w:rsidR="00683247" w:rsidRPr="00683247" w:rsidRDefault="00683247" w:rsidP="00683247"/>
        </w:tc>
        <w:tc>
          <w:tcPr>
            <w:tcW w:w="824" w:type="dxa"/>
            <w:tcBorders>
              <w:top w:val="nil"/>
              <w:left w:val="nil"/>
              <w:right w:val="nil"/>
            </w:tcBorders>
          </w:tcPr>
          <w:p w14:paraId="6B288916" w14:textId="5E3F9F36" w:rsidR="00683247" w:rsidRPr="00683247" w:rsidRDefault="00683247" w:rsidP="00683247"/>
        </w:tc>
        <w:tc>
          <w:tcPr>
            <w:tcW w:w="992" w:type="dxa"/>
            <w:tcBorders>
              <w:left w:val="nil"/>
              <w:right w:val="nil"/>
            </w:tcBorders>
          </w:tcPr>
          <w:p w14:paraId="0D1FEFB4" w14:textId="694A30D1" w:rsidR="00683247" w:rsidRPr="00683247" w:rsidRDefault="00683247" w:rsidP="00683247">
            <w:pPr>
              <w:spacing w:line="256" w:lineRule="auto"/>
            </w:pPr>
          </w:p>
        </w:tc>
        <w:tc>
          <w:tcPr>
            <w:tcW w:w="843" w:type="dxa"/>
            <w:tcBorders>
              <w:left w:val="nil"/>
              <w:right w:val="nil"/>
            </w:tcBorders>
          </w:tcPr>
          <w:p w14:paraId="1D3B96A6" w14:textId="7BBEFF04" w:rsidR="00683247" w:rsidRPr="00683247" w:rsidRDefault="00683247" w:rsidP="00683247">
            <w:pPr>
              <w:spacing w:line="256" w:lineRule="auto"/>
            </w:pPr>
          </w:p>
        </w:tc>
      </w:tr>
      <w:tr w:rsidR="00903D63" w:rsidRPr="004C4BEC" w14:paraId="0F0C78E4" w14:textId="77777777" w:rsidTr="006944B8">
        <w:tc>
          <w:tcPr>
            <w:tcW w:w="2454" w:type="dxa"/>
            <w:tcBorders>
              <w:left w:val="nil"/>
              <w:bottom w:val="single" w:sz="4" w:space="0" w:color="auto"/>
              <w:right w:val="nil"/>
            </w:tcBorders>
            <w:hideMark/>
          </w:tcPr>
          <w:p w14:paraId="1AD56894" w14:textId="6E965A79" w:rsidR="00683247" w:rsidRPr="00683247" w:rsidRDefault="00683247" w:rsidP="00683247">
            <w:pPr>
              <w:spacing w:line="256" w:lineRule="auto"/>
            </w:pPr>
            <w:r w:rsidRPr="00683247">
              <w:t>Likely</w:t>
            </w:r>
          </w:p>
        </w:tc>
        <w:tc>
          <w:tcPr>
            <w:tcW w:w="1515" w:type="dxa"/>
            <w:tcBorders>
              <w:top w:val="nil"/>
              <w:left w:val="nil"/>
              <w:bottom w:val="single" w:sz="4" w:space="0" w:color="auto"/>
              <w:right w:val="nil"/>
            </w:tcBorders>
          </w:tcPr>
          <w:p w14:paraId="0819C51E" w14:textId="1919C254" w:rsidR="00683247" w:rsidRPr="00683247" w:rsidRDefault="00683247" w:rsidP="00683247">
            <w:r w:rsidRPr="00683247">
              <w:t>343 (24·9)</w:t>
            </w:r>
          </w:p>
        </w:tc>
        <w:tc>
          <w:tcPr>
            <w:tcW w:w="1403" w:type="dxa"/>
            <w:tcBorders>
              <w:top w:val="nil"/>
              <w:left w:val="nil"/>
              <w:bottom w:val="single" w:sz="4" w:space="0" w:color="auto"/>
              <w:right w:val="nil"/>
            </w:tcBorders>
          </w:tcPr>
          <w:p w14:paraId="5FABD116" w14:textId="0C40D96D" w:rsidR="00683247" w:rsidRPr="00683247" w:rsidRDefault="00683247" w:rsidP="00683247">
            <w:r w:rsidRPr="00683247">
              <w:t>277 (28·9)</w:t>
            </w:r>
          </w:p>
        </w:tc>
        <w:tc>
          <w:tcPr>
            <w:tcW w:w="750" w:type="dxa"/>
            <w:tcBorders>
              <w:top w:val="nil"/>
              <w:left w:val="nil"/>
              <w:bottom w:val="single" w:sz="4" w:space="0" w:color="auto"/>
              <w:right w:val="nil"/>
            </w:tcBorders>
          </w:tcPr>
          <w:p w14:paraId="5D8113E1" w14:textId="2EE1D3F6" w:rsidR="00683247" w:rsidRPr="00683247" w:rsidRDefault="00683247" w:rsidP="00683247">
            <w:r w:rsidRPr="00683247">
              <w:t>620</w:t>
            </w:r>
          </w:p>
        </w:tc>
        <w:tc>
          <w:tcPr>
            <w:tcW w:w="824" w:type="dxa"/>
            <w:tcBorders>
              <w:top w:val="nil"/>
              <w:left w:val="nil"/>
              <w:bottom w:val="single" w:sz="4" w:space="0" w:color="auto"/>
              <w:right w:val="nil"/>
            </w:tcBorders>
          </w:tcPr>
          <w:p w14:paraId="3BE4853E" w14:textId="288D4209" w:rsidR="00683247" w:rsidRPr="00683247" w:rsidRDefault="00683247" w:rsidP="00683247">
            <w:r w:rsidRPr="00683247">
              <w:t>4·56</w:t>
            </w:r>
          </w:p>
        </w:tc>
        <w:tc>
          <w:tcPr>
            <w:tcW w:w="992" w:type="dxa"/>
            <w:tcBorders>
              <w:left w:val="nil"/>
              <w:bottom w:val="single" w:sz="4" w:space="0" w:color="auto"/>
              <w:right w:val="nil"/>
            </w:tcBorders>
          </w:tcPr>
          <w:p w14:paraId="48D86195" w14:textId="3F01EB61" w:rsidR="00683247" w:rsidRPr="00683247" w:rsidRDefault="00683247" w:rsidP="00683247">
            <w:pPr>
              <w:spacing w:line="256" w:lineRule="auto"/>
            </w:pPr>
            <w:r w:rsidRPr="00683247">
              <w:t>·03</w:t>
            </w:r>
          </w:p>
        </w:tc>
        <w:tc>
          <w:tcPr>
            <w:tcW w:w="843" w:type="dxa"/>
            <w:tcBorders>
              <w:left w:val="nil"/>
              <w:bottom w:val="single" w:sz="4" w:space="0" w:color="auto"/>
              <w:right w:val="nil"/>
            </w:tcBorders>
            <w:vAlign w:val="center"/>
          </w:tcPr>
          <w:p w14:paraId="3024649A" w14:textId="66801E99" w:rsidR="00683247" w:rsidRPr="00683247" w:rsidRDefault="00683247" w:rsidP="00683247">
            <w:pPr>
              <w:spacing w:line="256" w:lineRule="auto"/>
            </w:pPr>
            <w:r w:rsidRPr="00683247">
              <w:t>-0·04</w:t>
            </w:r>
          </w:p>
        </w:tc>
      </w:tr>
      <w:tr w:rsidR="00903D63" w:rsidRPr="004C4BEC" w14:paraId="68090E4E" w14:textId="77777777" w:rsidTr="006944B8">
        <w:tc>
          <w:tcPr>
            <w:tcW w:w="2454" w:type="dxa"/>
            <w:tcBorders>
              <w:left w:val="nil"/>
              <w:bottom w:val="single" w:sz="4" w:space="0" w:color="auto"/>
              <w:right w:val="nil"/>
            </w:tcBorders>
          </w:tcPr>
          <w:p w14:paraId="4F5562CB" w14:textId="5C22AE65" w:rsidR="00683247" w:rsidRPr="00683247" w:rsidRDefault="00683247" w:rsidP="00683247">
            <w:pPr>
              <w:spacing w:line="256" w:lineRule="auto"/>
            </w:pPr>
            <w:r w:rsidRPr="00683247">
              <w:t>Unlikely</w:t>
            </w:r>
          </w:p>
        </w:tc>
        <w:tc>
          <w:tcPr>
            <w:tcW w:w="1515" w:type="dxa"/>
            <w:tcBorders>
              <w:top w:val="nil"/>
              <w:left w:val="nil"/>
              <w:bottom w:val="single" w:sz="4" w:space="0" w:color="auto"/>
              <w:right w:val="nil"/>
            </w:tcBorders>
          </w:tcPr>
          <w:p w14:paraId="19BBF88A" w14:textId="3989383A" w:rsidR="00683247" w:rsidRPr="00683247" w:rsidRDefault="00683247" w:rsidP="00683247">
            <w:r w:rsidRPr="00683247">
              <w:t>1032 (75·1)</w:t>
            </w:r>
          </w:p>
        </w:tc>
        <w:tc>
          <w:tcPr>
            <w:tcW w:w="1403" w:type="dxa"/>
            <w:tcBorders>
              <w:top w:val="nil"/>
              <w:left w:val="nil"/>
              <w:bottom w:val="single" w:sz="4" w:space="0" w:color="auto"/>
              <w:right w:val="nil"/>
            </w:tcBorders>
          </w:tcPr>
          <w:p w14:paraId="5B3A8419" w14:textId="603ED33F" w:rsidR="00683247" w:rsidRPr="00683247" w:rsidRDefault="00683247" w:rsidP="00683247">
            <w:r w:rsidRPr="00683247">
              <w:t>681 (71·1)</w:t>
            </w:r>
          </w:p>
        </w:tc>
        <w:tc>
          <w:tcPr>
            <w:tcW w:w="750" w:type="dxa"/>
            <w:tcBorders>
              <w:top w:val="nil"/>
              <w:left w:val="nil"/>
              <w:bottom w:val="single" w:sz="4" w:space="0" w:color="auto"/>
              <w:right w:val="nil"/>
            </w:tcBorders>
          </w:tcPr>
          <w:p w14:paraId="6EEA953C" w14:textId="653B1158" w:rsidR="00683247" w:rsidRPr="00683247" w:rsidRDefault="00683247" w:rsidP="00683247">
            <w:r w:rsidRPr="00683247">
              <w:t>1713</w:t>
            </w:r>
          </w:p>
        </w:tc>
        <w:tc>
          <w:tcPr>
            <w:tcW w:w="824" w:type="dxa"/>
            <w:tcBorders>
              <w:top w:val="nil"/>
              <w:left w:val="nil"/>
              <w:bottom w:val="single" w:sz="4" w:space="0" w:color="auto"/>
              <w:right w:val="nil"/>
            </w:tcBorders>
          </w:tcPr>
          <w:p w14:paraId="386C1D0D" w14:textId="77777777" w:rsidR="00683247" w:rsidRPr="00683247" w:rsidRDefault="00683247" w:rsidP="00683247"/>
        </w:tc>
        <w:tc>
          <w:tcPr>
            <w:tcW w:w="992" w:type="dxa"/>
            <w:tcBorders>
              <w:left w:val="nil"/>
              <w:bottom w:val="single" w:sz="4" w:space="0" w:color="auto"/>
              <w:right w:val="nil"/>
            </w:tcBorders>
          </w:tcPr>
          <w:p w14:paraId="26A3581C"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63780296" w14:textId="77777777" w:rsidR="00683247" w:rsidRPr="00683247" w:rsidRDefault="00683247" w:rsidP="00683247">
            <w:pPr>
              <w:spacing w:line="256" w:lineRule="auto"/>
            </w:pPr>
          </w:p>
        </w:tc>
      </w:tr>
      <w:tr w:rsidR="00903D63" w:rsidRPr="004C4BEC" w14:paraId="7B6DB471" w14:textId="77777777" w:rsidTr="006944B8">
        <w:tc>
          <w:tcPr>
            <w:tcW w:w="2454" w:type="dxa"/>
            <w:tcBorders>
              <w:top w:val="single" w:sz="4" w:space="0" w:color="auto"/>
              <w:left w:val="nil"/>
              <w:right w:val="nil"/>
            </w:tcBorders>
            <w:vAlign w:val="center"/>
            <w:hideMark/>
          </w:tcPr>
          <w:p w14:paraId="6C867135" w14:textId="77777777" w:rsidR="00683247" w:rsidRPr="00683247" w:rsidRDefault="00683247" w:rsidP="00683247">
            <w:pPr>
              <w:spacing w:line="256" w:lineRule="auto"/>
              <w:rPr>
                <w:b/>
                <w:bCs/>
              </w:rPr>
            </w:pPr>
            <w:r w:rsidRPr="00683247">
              <w:rPr>
                <w:b/>
                <w:bCs/>
              </w:rPr>
              <w:t>Severe chest pain that subsides</w:t>
            </w:r>
          </w:p>
        </w:tc>
        <w:tc>
          <w:tcPr>
            <w:tcW w:w="1515" w:type="dxa"/>
            <w:tcBorders>
              <w:top w:val="single" w:sz="4" w:space="0" w:color="auto"/>
              <w:left w:val="nil"/>
              <w:right w:val="nil"/>
            </w:tcBorders>
          </w:tcPr>
          <w:p w14:paraId="7CB1E8CC" w14:textId="40507C6D" w:rsidR="00683247" w:rsidRPr="00683247" w:rsidRDefault="00683247" w:rsidP="00683247"/>
        </w:tc>
        <w:tc>
          <w:tcPr>
            <w:tcW w:w="1403" w:type="dxa"/>
            <w:tcBorders>
              <w:top w:val="single" w:sz="4" w:space="0" w:color="auto"/>
              <w:left w:val="nil"/>
              <w:right w:val="nil"/>
            </w:tcBorders>
          </w:tcPr>
          <w:p w14:paraId="503CE5B3" w14:textId="463026E2" w:rsidR="00683247" w:rsidRPr="00683247" w:rsidRDefault="00683247" w:rsidP="00683247"/>
        </w:tc>
        <w:tc>
          <w:tcPr>
            <w:tcW w:w="750" w:type="dxa"/>
            <w:tcBorders>
              <w:top w:val="single" w:sz="4" w:space="0" w:color="auto"/>
              <w:left w:val="nil"/>
              <w:right w:val="nil"/>
            </w:tcBorders>
          </w:tcPr>
          <w:p w14:paraId="4B44ED27" w14:textId="110349BA" w:rsidR="00683247" w:rsidRPr="00683247" w:rsidRDefault="00683247" w:rsidP="00683247"/>
        </w:tc>
        <w:tc>
          <w:tcPr>
            <w:tcW w:w="824" w:type="dxa"/>
            <w:tcBorders>
              <w:top w:val="single" w:sz="4" w:space="0" w:color="auto"/>
              <w:left w:val="nil"/>
              <w:right w:val="nil"/>
            </w:tcBorders>
          </w:tcPr>
          <w:p w14:paraId="2E4AC4F0" w14:textId="6A5D1BE0" w:rsidR="00683247" w:rsidRPr="00683247" w:rsidRDefault="00683247" w:rsidP="00683247"/>
        </w:tc>
        <w:tc>
          <w:tcPr>
            <w:tcW w:w="992" w:type="dxa"/>
            <w:tcBorders>
              <w:top w:val="single" w:sz="4" w:space="0" w:color="auto"/>
              <w:left w:val="nil"/>
              <w:right w:val="nil"/>
            </w:tcBorders>
          </w:tcPr>
          <w:p w14:paraId="057207E1" w14:textId="0D7F5E9B" w:rsidR="00683247" w:rsidRPr="00683247" w:rsidRDefault="00683247" w:rsidP="00683247">
            <w:pPr>
              <w:spacing w:line="256" w:lineRule="auto"/>
            </w:pPr>
          </w:p>
        </w:tc>
        <w:tc>
          <w:tcPr>
            <w:tcW w:w="843" w:type="dxa"/>
            <w:tcBorders>
              <w:top w:val="single" w:sz="4" w:space="0" w:color="auto"/>
              <w:left w:val="nil"/>
              <w:right w:val="nil"/>
            </w:tcBorders>
          </w:tcPr>
          <w:p w14:paraId="02A4EA4E" w14:textId="77FBAF42" w:rsidR="00683247" w:rsidRPr="00683247" w:rsidRDefault="00683247" w:rsidP="00683247">
            <w:pPr>
              <w:spacing w:line="256" w:lineRule="auto"/>
            </w:pPr>
          </w:p>
        </w:tc>
      </w:tr>
      <w:tr w:rsidR="00903D63" w14:paraId="605BC828" w14:textId="77777777" w:rsidTr="006944B8">
        <w:tc>
          <w:tcPr>
            <w:tcW w:w="2454" w:type="dxa"/>
            <w:tcBorders>
              <w:left w:val="nil"/>
              <w:right w:val="nil"/>
            </w:tcBorders>
            <w:hideMark/>
          </w:tcPr>
          <w:p w14:paraId="3AB0496E" w14:textId="7A0A42D8" w:rsidR="00683247" w:rsidRPr="00683247" w:rsidRDefault="00683247" w:rsidP="00683247">
            <w:pPr>
              <w:spacing w:line="256" w:lineRule="auto"/>
            </w:pPr>
            <w:r w:rsidRPr="00683247">
              <w:t>Likely</w:t>
            </w:r>
          </w:p>
        </w:tc>
        <w:tc>
          <w:tcPr>
            <w:tcW w:w="1515" w:type="dxa"/>
            <w:tcBorders>
              <w:left w:val="nil"/>
              <w:right w:val="nil"/>
            </w:tcBorders>
          </w:tcPr>
          <w:p w14:paraId="17FDCB5E" w14:textId="76B33FCB" w:rsidR="00683247" w:rsidRPr="00683247" w:rsidRDefault="00683247" w:rsidP="00683247">
            <w:r w:rsidRPr="00683247">
              <w:t>1008 (69·3)</w:t>
            </w:r>
          </w:p>
        </w:tc>
        <w:tc>
          <w:tcPr>
            <w:tcW w:w="1403" w:type="dxa"/>
            <w:tcBorders>
              <w:left w:val="nil"/>
              <w:right w:val="nil"/>
            </w:tcBorders>
          </w:tcPr>
          <w:p w14:paraId="7E6F96C8" w14:textId="55A33B2B" w:rsidR="00683247" w:rsidRPr="00683247" w:rsidRDefault="00683247" w:rsidP="00683247">
            <w:r w:rsidRPr="00683247">
              <w:t>735 (72·1)</w:t>
            </w:r>
          </w:p>
        </w:tc>
        <w:tc>
          <w:tcPr>
            <w:tcW w:w="750" w:type="dxa"/>
            <w:tcBorders>
              <w:left w:val="nil"/>
              <w:right w:val="nil"/>
            </w:tcBorders>
          </w:tcPr>
          <w:p w14:paraId="19F87B5B" w14:textId="7221B42A" w:rsidR="00683247" w:rsidRPr="00683247" w:rsidRDefault="00683247" w:rsidP="00683247">
            <w:r w:rsidRPr="00683247">
              <w:t>1743</w:t>
            </w:r>
          </w:p>
        </w:tc>
        <w:tc>
          <w:tcPr>
            <w:tcW w:w="824" w:type="dxa"/>
            <w:tcBorders>
              <w:left w:val="nil"/>
              <w:right w:val="nil"/>
            </w:tcBorders>
          </w:tcPr>
          <w:p w14:paraId="6CA11FE8" w14:textId="12099D68" w:rsidR="00683247" w:rsidRPr="00683247" w:rsidRDefault="00683247" w:rsidP="00683247">
            <w:r w:rsidRPr="00683247">
              <w:t>2·15</w:t>
            </w:r>
          </w:p>
        </w:tc>
        <w:tc>
          <w:tcPr>
            <w:tcW w:w="992" w:type="dxa"/>
            <w:tcBorders>
              <w:left w:val="nil"/>
              <w:right w:val="nil"/>
            </w:tcBorders>
          </w:tcPr>
          <w:p w14:paraId="7C51FCEA" w14:textId="2C972F64" w:rsidR="00683247" w:rsidRPr="00683247" w:rsidRDefault="00683247" w:rsidP="00683247">
            <w:pPr>
              <w:spacing w:line="256" w:lineRule="auto"/>
            </w:pPr>
            <w:r w:rsidRPr="00683247">
              <w:t>·14</w:t>
            </w:r>
          </w:p>
        </w:tc>
        <w:tc>
          <w:tcPr>
            <w:tcW w:w="843" w:type="dxa"/>
            <w:tcBorders>
              <w:left w:val="nil"/>
              <w:right w:val="nil"/>
            </w:tcBorders>
            <w:vAlign w:val="center"/>
          </w:tcPr>
          <w:p w14:paraId="7060A41A" w14:textId="0CBF7E9E" w:rsidR="00683247" w:rsidRPr="00683247" w:rsidRDefault="00683247" w:rsidP="00683247">
            <w:pPr>
              <w:spacing w:line="256" w:lineRule="auto"/>
            </w:pPr>
            <w:r w:rsidRPr="00683247">
              <w:t>-0·03</w:t>
            </w:r>
          </w:p>
        </w:tc>
      </w:tr>
      <w:tr w:rsidR="00903D63" w14:paraId="78814B71" w14:textId="77777777" w:rsidTr="006944B8">
        <w:tc>
          <w:tcPr>
            <w:tcW w:w="2454" w:type="dxa"/>
            <w:tcBorders>
              <w:left w:val="nil"/>
              <w:bottom w:val="single" w:sz="4" w:space="0" w:color="auto"/>
              <w:right w:val="nil"/>
            </w:tcBorders>
          </w:tcPr>
          <w:p w14:paraId="1630548E" w14:textId="29692BD2" w:rsidR="00683247" w:rsidRPr="00683247" w:rsidRDefault="00683247" w:rsidP="00683247">
            <w:pPr>
              <w:spacing w:line="256" w:lineRule="auto"/>
            </w:pPr>
            <w:r w:rsidRPr="00683247">
              <w:t>Unlikely</w:t>
            </w:r>
          </w:p>
        </w:tc>
        <w:tc>
          <w:tcPr>
            <w:tcW w:w="1515" w:type="dxa"/>
            <w:tcBorders>
              <w:left w:val="nil"/>
              <w:bottom w:val="single" w:sz="4" w:space="0" w:color="auto"/>
              <w:right w:val="nil"/>
            </w:tcBorders>
          </w:tcPr>
          <w:p w14:paraId="57289790" w14:textId="42C2E883" w:rsidR="00683247" w:rsidRPr="00683247" w:rsidRDefault="00683247" w:rsidP="00683247">
            <w:r w:rsidRPr="00683247">
              <w:t xml:space="preserve">446 (30·7) </w:t>
            </w:r>
          </w:p>
        </w:tc>
        <w:tc>
          <w:tcPr>
            <w:tcW w:w="1403" w:type="dxa"/>
            <w:tcBorders>
              <w:left w:val="nil"/>
              <w:bottom w:val="single" w:sz="4" w:space="0" w:color="auto"/>
              <w:right w:val="nil"/>
            </w:tcBorders>
          </w:tcPr>
          <w:p w14:paraId="4B4B5032" w14:textId="4A5EBF88" w:rsidR="00683247" w:rsidRPr="00683247" w:rsidRDefault="00683247" w:rsidP="00683247">
            <w:r w:rsidRPr="00683247">
              <w:t>285 (27·9)</w:t>
            </w:r>
          </w:p>
        </w:tc>
        <w:tc>
          <w:tcPr>
            <w:tcW w:w="750" w:type="dxa"/>
            <w:tcBorders>
              <w:left w:val="nil"/>
              <w:bottom w:val="single" w:sz="4" w:space="0" w:color="auto"/>
              <w:right w:val="nil"/>
            </w:tcBorders>
          </w:tcPr>
          <w:p w14:paraId="235062AF" w14:textId="2FE6AB5C" w:rsidR="00683247" w:rsidRPr="00683247" w:rsidRDefault="00683247" w:rsidP="00683247">
            <w:r w:rsidRPr="00683247">
              <w:t>731</w:t>
            </w:r>
          </w:p>
        </w:tc>
        <w:tc>
          <w:tcPr>
            <w:tcW w:w="824" w:type="dxa"/>
            <w:tcBorders>
              <w:left w:val="nil"/>
              <w:bottom w:val="single" w:sz="4" w:space="0" w:color="auto"/>
              <w:right w:val="nil"/>
            </w:tcBorders>
          </w:tcPr>
          <w:p w14:paraId="5DE6A937" w14:textId="77777777" w:rsidR="00683247" w:rsidRPr="00683247" w:rsidRDefault="00683247" w:rsidP="00683247"/>
        </w:tc>
        <w:tc>
          <w:tcPr>
            <w:tcW w:w="992" w:type="dxa"/>
            <w:tcBorders>
              <w:left w:val="nil"/>
              <w:bottom w:val="single" w:sz="4" w:space="0" w:color="auto"/>
              <w:right w:val="nil"/>
            </w:tcBorders>
          </w:tcPr>
          <w:p w14:paraId="74F6946B" w14:textId="77777777" w:rsidR="00683247" w:rsidRPr="00683247" w:rsidRDefault="00683247" w:rsidP="00683247">
            <w:pPr>
              <w:spacing w:line="256" w:lineRule="auto"/>
            </w:pPr>
          </w:p>
        </w:tc>
        <w:tc>
          <w:tcPr>
            <w:tcW w:w="843" w:type="dxa"/>
            <w:tcBorders>
              <w:left w:val="nil"/>
              <w:bottom w:val="single" w:sz="4" w:space="0" w:color="auto"/>
              <w:right w:val="nil"/>
            </w:tcBorders>
            <w:vAlign w:val="center"/>
          </w:tcPr>
          <w:p w14:paraId="32A8CD39" w14:textId="77777777" w:rsidR="00683247" w:rsidRPr="00683247" w:rsidRDefault="00683247" w:rsidP="00683247">
            <w:pPr>
              <w:spacing w:line="256" w:lineRule="auto"/>
            </w:pPr>
          </w:p>
        </w:tc>
      </w:tr>
    </w:tbl>
    <w:p w14:paraId="58242A8A" w14:textId="77777777" w:rsidR="00B61561" w:rsidRDefault="00B61561" w:rsidP="00EB6E35"/>
    <w:p w14:paraId="2CFC70B3" w14:textId="77777777" w:rsidR="00B61561" w:rsidRDefault="00B61561" w:rsidP="00EB6E35"/>
    <w:p w14:paraId="5564A319" w14:textId="577FD39F" w:rsidR="00363A94" w:rsidRDefault="00363A94" w:rsidP="00363A94">
      <w:pPr>
        <w:pStyle w:val="Heading3"/>
      </w:pPr>
      <w:r>
        <w:t>Predicting who will use NHS 111 online</w:t>
      </w:r>
    </w:p>
    <w:p w14:paraId="1763D06C" w14:textId="1E25E3AE" w:rsidR="00503102" w:rsidRDefault="00503102" w:rsidP="00503102">
      <w:pPr>
        <w:spacing w:line="276" w:lineRule="auto"/>
        <w:rPr>
          <w:rFonts w:cstheme="minorHAnsi"/>
        </w:rPr>
      </w:pPr>
      <w:bookmarkStart w:id="17" w:name="_Hlk84249274"/>
      <w:r w:rsidRPr="00503102">
        <w:rPr>
          <w:rFonts w:cstheme="minorHAnsi"/>
        </w:rPr>
        <w:t>Logistic regression was used to predict use (vs non-use) of NHS 111 online for categorical variables: age, gender, education and LT</w:t>
      </w:r>
      <w:r w:rsidR="00831673">
        <w:rPr>
          <w:rFonts w:cstheme="minorHAnsi"/>
        </w:rPr>
        <w:t>H</w:t>
      </w:r>
      <w:r w:rsidRPr="00503102">
        <w:rPr>
          <w:rFonts w:cstheme="minorHAnsi"/>
        </w:rPr>
        <w:t xml:space="preserve">C and the mean scores for the seven eHLQ continuous variables (Table </w:t>
      </w:r>
      <w:r>
        <w:rPr>
          <w:rFonts w:cstheme="minorHAnsi"/>
        </w:rPr>
        <w:t>6</w:t>
      </w:r>
      <w:r w:rsidRPr="00503102">
        <w:rPr>
          <w:rFonts w:cstheme="minorHAnsi"/>
        </w:rPr>
        <w:t xml:space="preserve">). </w:t>
      </w:r>
      <w:r w:rsidRPr="00503102">
        <w:rPr>
          <w:rFonts w:cstheme="minorHAnsi"/>
          <w:shd w:val="clear" w:color="auto" w:fill="FFFFFF"/>
        </w:rPr>
        <w:t>In the regression model, the reference group for age is the oldest group (75+ years). For the other variables, female, no LT</w:t>
      </w:r>
      <w:r w:rsidR="00831673">
        <w:rPr>
          <w:rFonts w:cstheme="minorHAnsi"/>
          <w:shd w:val="clear" w:color="auto" w:fill="FFFFFF"/>
        </w:rPr>
        <w:t>H</w:t>
      </w:r>
      <w:r w:rsidRPr="00503102">
        <w:rPr>
          <w:rFonts w:cstheme="minorHAnsi"/>
          <w:shd w:val="clear" w:color="auto" w:fill="FFFFFF"/>
        </w:rPr>
        <w:t xml:space="preserve">C and any qualification were the reference groups. </w:t>
      </w:r>
      <w:bookmarkEnd w:id="17"/>
      <w:r w:rsidRPr="00503102">
        <w:rPr>
          <w:rFonts w:cstheme="minorHAnsi"/>
        </w:rPr>
        <w:t>Multicollinearity was tested in the model examining tolerance, inverse of the tolerance, collinearity diagnostics and the variance of proportions. Multicollinearity of greater than 0·5 occurred between d</w:t>
      </w:r>
      <w:r w:rsidR="005F3829">
        <w:rPr>
          <w:rFonts w:cstheme="minorHAnsi"/>
        </w:rPr>
        <w:t>imension</w:t>
      </w:r>
      <w:r w:rsidRPr="00503102">
        <w:rPr>
          <w:rFonts w:cstheme="minorHAnsi"/>
        </w:rPr>
        <w:t xml:space="preserve"> 1 and 5 (0·63 for d</w:t>
      </w:r>
      <w:r w:rsidR="005F3829">
        <w:rPr>
          <w:rFonts w:cstheme="minorHAnsi"/>
        </w:rPr>
        <w:t>imension</w:t>
      </w:r>
      <w:r w:rsidRPr="00503102">
        <w:rPr>
          <w:rFonts w:cstheme="minorHAnsi"/>
        </w:rPr>
        <w:t xml:space="preserve"> 1 and 0·49 for d</w:t>
      </w:r>
      <w:r w:rsidR="005F3829">
        <w:rPr>
          <w:rFonts w:cstheme="minorHAnsi"/>
        </w:rPr>
        <w:t>imension</w:t>
      </w:r>
      <w:r w:rsidRPr="00503102">
        <w:rPr>
          <w:rFonts w:cstheme="minorHAnsi"/>
        </w:rPr>
        <w:t xml:space="preserve"> 5). Removing </w:t>
      </w:r>
      <w:r w:rsidR="005F3829">
        <w:rPr>
          <w:rFonts w:cstheme="minorHAnsi"/>
        </w:rPr>
        <w:t>dimension</w:t>
      </w:r>
      <w:r w:rsidRPr="00503102">
        <w:rPr>
          <w:rFonts w:cstheme="minorHAnsi"/>
        </w:rPr>
        <w:t xml:space="preserve"> 5 from the model improved the model fit slightly. D</w:t>
      </w:r>
      <w:r w:rsidR="005F3829">
        <w:rPr>
          <w:rFonts w:cstheme="minorHAnsi"/>
        </w:rPr>
        <w:t>imension</w:t>
      </w:r>
      <w:r w:rsidRPr="00503102">
        <w:rPr>
          <w:rFonts w:cstheme="minorHAnsi"/>
        </w:rPr>
        <w:t xml:space="preserve"> 4 did not behave like the other d</w:t>
      </w:r>
      <w:r w:rsidR="005F3829">
        <w:rPr>
          <w:rFonts w:cstheme="minorHAnsi"/>
        </w:rPr>
        <w:t>imension</w:t>
      </w:r>
      <w:r w:rsidRPr="00503102">
        <w:rPr>
          <w:rFonts w:cstheme="minorHAnsi"/>
        </w:rPr>
        <w:t xml:space="preserve"> (there was little difference in this d</w:t>
      </w:r>
      <w:r w:rsidR="005F3829">
        <w:rPr>
          <w:rFonts w:cstheme="minorHAnsi"/>
        </w:rPr>
        <w:t>imension</w:t>
      </w:r>
      <w:r w:rsidRPr="00503102">
        <w:rPr>
          <w:rFonts w:cstheme="minorHAnsi"/>
        </w:rPr>
        <w:t xml:space="preserve"> between age, education, LT</w:t>
      </w:r>
      <w:r w:rsidR="00831673">
        <w:rPr>
          <w:rFonts w:cstheme="minorHAnsi"/>
        </w:rPr>
        <w:t>H</w:t>
      </w:r>
      <w:r w:rsidRPr="00503102">
        <w:rPr>
          <w:rFonts w:cstheme="minorHAnsi"/>
        </w:rPr>
        <w:t>C), and so it was also removed from the model, providing a very small improvement in model fit. A total of 2534 respondents were included in the regression analysis, with 220 (8·0%) missing data either on at least one sociodemographic variable or eHLQ mean score. The model included 1055 respondents that had used NHS 111 online.</w:t>
      </w:r>
    </w:p>
    <w:p w14:paraId="3FAA7362" w14:textId="77777777" w:rsidR="00503102" w:rsidRPr="00503102" w:rsidRDefault="00503102" w:rsidP="00503102">
      <w:pPr>
        <w:spacing w:line="276" w:lineRule="auto"/>
        <w:rPr>
          <w:rFonts w:cstheme="minorHAnsi"/>
        </w:rPr>
      </w:pPr>
    </w:p>
    <w:p w14:paraId="0D885215" w14:textId="026CD983" w:rsidR="00363A94" w:rsidRPr="00503102" w:rsidRDefault="00503102" w:rsidP="00503102">
      <w:pPr>
        <w:spacing w:line="276" w:lineRule="auto"/>
        <w:rPr>
          <w:rFonts w:cstheme="minorHAnsi"/>
          <w:i/>
          <w:lang w:eastAsia="zh-CN"/>
        </w:rPr>
      </w:pPr>
      <w:r w:rsidRPr="00503102">
        <w:rPr>
          <w:rFonts w:cstheme="minorHAnsi"/>
        </w:rPr>
        <w:t>Age was a predictor of using NHS 111 online:</w:t>
      </w:r>
      <w:r w:rsidR="00A67FE9">
        <w:rPr>
          <w:rFonts w:cstheme="minorHAnsi"/>
        </w:rPr>
        <w:t xml:space="preserve"> </w:t>
      </w:r>
      <w:r w:rsidR="005F5166" w:rsidRPr="00A67FE9">
        <w:rPr>
          <w:rFonts w:cstheme="minorHAnsi"/>
        </w:rPr>
        <w:t>p</w:t>
      </w:r>
      <w:r w:rsidR="00585D47" w:rsidRPr="00A67FE9">
        <w:rPr>
          <w:rFonts w:cstheme="minorHAnsi"/>
        </w:rPr>
        <w:t xml:space="preserve">eople under 25 </w:t>
      </w:r>
      <w:r w:rsidR="00960726" w:rsidRPr="00A67FE9">
        <w:rPr>
          <w:rFonts w:cstheme="minorHAnsi"/>
        </w:rPr>
        <w:t xml:space="preserve">years </w:t>
      </w:r>
      <w:r w:rsidR="00585D47" w:rsidRPr="00A67FE9">
        <w:rPr>
          <w:rFonts w:cstheme="minorHAnsi"/>
        </w:rPr>
        <w:t>(OR (95% CI) 3.24 (1.87 to 5.62)</w:t>
      </w:r>
      <w:r w:rsidR="005F5166" w:rsidRPr="00A67FE9">
        <w:rPr>
          <w:rFonts w:cstheme="minorHAnsi"/>
        </w:rPr>
        <w:t xml:space="preserve"> and between </w:t>
      </w:r>
      <w:r w:rsidR="00960726" w:rsidRPr="00A67FE9">
        <w:rPr>
          <w:rFonts w:cstheme="minorHAnsi"/>
        </w:rPr>
        <w:t>25-</w:t>
      </w:r>
      <w:r w:rsidR="000A73E9" w:rsidRPr="00A67FE9">
        <w:rPr>
          <w:rFonts w:cstheme="minorHAnsi"/>
        </w:rPr>
        <w:t>4</w:t>
      </w:r>
      <w:r w:rsidR="00960726" w:rsidRPr="00A67FE9">
        <w:rPr>
          <w:rFonts w:cstheme="minorHAnsi"/>
        </w:rPr>
        <w:t>4 years (OR 95% CI) 2.35 (1.47 to 3.75</w:t>
      </w:r>
      <w:r w:rsidR="000A73E9" w:rsidRPr="00A67FE9">
        <w:rPr>
          <w:rFonts w:cstheme="minorHAnsi"/>
        </w:rPr>
        <w:t xml:space="preserve"> </w:t>
      </w:r>
      <w:r w:rsidR="00585D47" w:rsidRPr="00A67FE9">
        <w:rPr>
          <w:rFonts w:cstheme="minorHAnsi"/>
        </w:rPr>
        <w:t>)</w:t>
      </w:r>
      <w:r w:rsidR="000A73E9" w:rsidRPr="00A67FE9">
        <w:rPr>
          <w:rFonts w:cstheme="minorHAnsi"/>
        </w:rPr>
        <w:t xml:space="preserve"> were most likely to have used NHS 111 online</w:t>
      </w:r>
      <w:r w:rsidR="00A67FE9" w:rsidRPr="00A67FE9">
        <w:rPr>
          <w:rFonts w:cstheme="minorHAnsi"/>
        </w:rPr>
        <w:t xml:space="preserve">. </w:t>
      </w:r>
      <w:r w:rsidRPr="00A67FE9">
        <w:rPr>
          <w:rFonts w:cstheme="minorHAnsi"/>
        </w:rPr>
        <w:t>Although</w:t>
      </w:r>
      <w:r w:rsidRPr="00503102">
        <w:rPr>
          <w:rFonts w:cstheme="minorHAnsi"/>
        </w:rPr>
        <w:t xml:space="preserve"> more women reported use of 111 online, gender was not a significant predictor in the regression model. Education level was not a strong predictor of use, although those with formal qualifications were, </w:t>
      </w:r>
      <w:r w:rsidRPr="00970CEB">
        <w:rPr>
          <w:rFonts w:cstheme="minorHAnsi"/>
        </w:rPr>
        <w:t xml:space="preserve">perhaps unsurprisingly, </w:t>
      </w:r>
      <w:r w:rsidR="00B37E37" w:rsidRPr="00970CEB">
        <w:rPr>
          <w:rFonts w:cstheme="minorHAnsi"/>
        </w:rPr>
        <w:t>more</w:t>
      </w:r>
      <w:r w:rsidRPr="00970CEB">
        <w:rPr>
          <w:rFonts w:cstheme="minorHAnsi"/>
        </w:rPr>
        <w:t xml:space="preserve"> likely to report using 111 online</w:t>
      </w:r>
      <w:r w:rsidR="00A67FE9" w:rsidRPr="00970CEB">
        <w:rPr>
          <w:rFonts w:cstheme="minorHAnsi"/>
        </w:rPr>
        <w:t xml:space="preserve"> (0.55 to 0.99)</w:t>
      </w:r>
      <w:r w:rsidR="00B37E37" w:rsidRPr="00970CEB">
        <w:rPr>
          <w:rFonts w:cstheme="minorHAnsi"/>
        </w:rPr>
        <w:t xml:space="preserve">. </w:t>
      </w:r>
      <w:r w:rsidR="00E50EED" w:rsidRPr="00970CEB">
        <w:rPr>
          <w:rFonts w:cstheme="minorHAnsi"/>
        </w:rPr>
        <w:t xml:space="preserve">Respondents reporting a long-term health condition (LTHC) had lower eHLQ scores and a subset of non-users with a LTHC had the lowest eHLQ scores.  </w:t>
      </w:r>
      <w:r w:rsidRPr="00970CEB">
        <w:rPr>
          <w:rFonts w:cstheme="minorHAnsi"/>
        </w:rPr>
        <w:t>Four eHLQ</w:t>
      </w:r>
      <w:r w:rsidRPr="00503102">
        <w:rPr>
          <w:rFonts w:cstheme="minorHAnsi"/>
        </w:rPr>
        <w:t xml:space="preserve"> d</w:t>
      </w:r>
      <w:r w:rsidR="005F3829">
        <w:rPr>
          <w:rFonts w:cstheme="minorHAnsi"/>
        </w:rPr>
        <w:t xml:space="preserve">imensions </w:t>
      </w:r>
      <w:r w:rsidRPr="00503102">
        <w:rPr>
          <w:rFonts w:cstheme="minorHAnsi"/>
        </w:rPr>
        <w:t>s (eHLQ1, eHLQ2, eHLQ3 and eHLQ6) were significant predictors of 111 online use</w:t>
      </w:r>
      <w:r w:rsidR="00BC2D86">
        <w:rPr>
          <w:rFonts w:cstheme="minorHAnsi"/>
        </w:rPr>
        <w:t>,</w:t>
      </w:r>
      <w:r w:rsidR="009B096E">
        <w:rPr>
          <w:rFonts w:cstheme="minorHAnsi"/>
        </w:rPr>
        <w:t xml:space="preserve"> most highly significant was d</w:t>
      </w:r>
      <w:r w:rsidR="00BC2D86">
        <w:rPr>
          <w:rFonts w:cstheme="minorHAnsi"/>
        </w:rPr>
        <w:t>imension</w:t>
      </w:r>
      <w:r w:rsidR="00BC2D86" w:rsidRPr="00CC58E8">
        <w:rPr>
          <w:rFonts w:cstheme="minorHAnsi"/>
        </w:rPr>
        <w:t xml:space="preserve"> eHLQ1 (Using technology to process health information) and eHLQ3 (Ability to actively e</w:t>
      </w:r>
      <w:r w:rsidR="00BC2D86" w:rsidRPr="00CC58E8">
        <w:rPr>
          <w:rFonts w:cstheme="minorHAnsi"/>
          <w:lang w:eastAsia="en-GB"/>
        </w:rPr>
        <w:t xml:space="preserve">ngage with digital services) with </w:t>
      </w:r>
      <w:r w:rsidR="00BC2D86" w:rsidRPr="009B096E">
        <w:rPr>
          <w:rFonts w:cstheme="minorHAnsi"/>
          <w:lang w:eastAsia="en-GB"/>
        </w:rPr>
        <w:t xml:space="preserve">odds ratios (95% CI) of </w:t>
      </w:r>
      <w:r w:rsidR="00BC2D86" w:rsidRPr="009B096E">
        <w:rPr>
          <w:rFonts w:cstheme="minorHAnsi"/>
        </w:rPr>
        <w:t>1.86 (1.46 to 2.38) and 1.51 (1.22 to 1.88) respectively.</w:t>
      </w:r>
    </w:p>
    <w:p w14:paraId="1CA78676" w14:textId="77777777" w:rsidR="00B61561" w:rsidRDefault="00B61561" w:rsidP="00EB6E35"/>
    <w:p w14:paraId="219E3531" w14:textId="77777777" w:rsidR="00B61561" w:rsidRDefault="00B61561" w:rsidP="00EB6E35"/>
    <w:p w14:paraId="319B899D" w14:textId="7E9C0B58" w:rsidR="00786A57" w:rsidRPr="00786A57" w:rsidRDefault="00786A57" w:rsidP="00786A57">
      <w:pPr>
        <w:pStyle w:val="Heading6"/>
        <w:spacing w:before="0"/>
        <w:rPr>
          <w:rFonts w:asciiTheme="minorHAnsi" w:hAnsiTheme="minorHAnsi"/>
          <w:color w:val="auto"/>
        </w:rPr>
      </w:pPr>
      <w:r w:rsidRPr="00786A57">
        <w:rPr>
          <w:rFonts w:asciiTheme="minorHAnsi" w:hAnsiTheme="minorHAnsi"/>
          <w:color w:val="auto"/>
        </w:rPr>
        <w:t xml:space="preserve">Table 6 Odds ratios for the likelihood of previous NHS 111 online use </w:t>
      </w:r>
    </w:p>
    <w:tbl>
      <w:tblPr>
        <w:tblW w:w="0" w:type="auto"/>
        <w:tblLook w:val="04A0" w:firstRow="1" w:lastRow="0" w:firstColumn="1" w:lastColumn="0" w:noHBand="0" w:noVBand="1"/>
      </w:tblPr>
      <w:tblGrid>
        <w:gridCol w:w="2268"/>
        <w:gridCol w:w="1560"/>
        <w:gridCol w:w="992"/>
        <w:gridCol w:w="2551"/>
        <w:gridCol w:w="1099"/>
      </w:tblGrid>
      <w:tr w:rsidR="00786A57" w:rsidRPr="00190DEC" w14:paraId="31888B8D" w14:textId="77777777" w:rsidTr="006268A9">
        <w:tc>
          <w:tcPr>
            <w:tcW w:w="2268" w:type="dxa"/>
            <w:tcBorders>
              <w:top w:val="single" w:sz="4" w:space="0" w:color="auto"/>
              <w:bottom w:val="single" w:sz="4" w:space="0" w:color="auto"/>
            </w:tcBorders>
          </w:tcPr>
          <w:p w14:paraId="36FB0ECC" w14:textId="77777777" w:rsidR="00786A57" w:rsidRPr="006268A9" w:rsidRDefault="00786A57" w:rsidP="007955D7"/>
        </w:tc>
        <w:tc>
          <w:tcPr>
            <w:tcW w:w="1560" w:type="dxa"/>
            <w:tcBorders>
              <w:top w:val="single" w:sz="4" w:space="0" w:color="auto"/>
              <w:bottom w:val="single" w:sz="4" w:space="0" w:color="auto"/>
            </w:tcBorders>
          </w:tcPr>
          <w:p w14:paraId="58737BE1" w14:textId="5159D8C6" w:rsidR="00786A57" w:rsidRPr="006268A9" w:rsidRDefault="00786A57" w:rsidP="007955D7">
            <w:r w:rsidRPr="006268A9">
              <w:t xml:space="preserve">NHS 111 online user </w:t>
            </w:r>
          </w:p>
        </w:tc>
        <w:tc>
          <w:tcPr>
            <w:tcW w:w="992" w:type="dxa"/>
            <w:tcBorders>
              <w:top w:val="single" w:sz="4" w:space="0" w:color="auto"/>
              <w:bottom w:val="single" w:sz="4" w:space="0" w:color="auto"/>
            </w:tcBorders>
          </w:tcPr>
          <w:p w14:paraId="6164436C" w14:textId="77777777" w:rsidR="00786A57" w:rsidRPr="006268A9" w:rsidRDefault="00786A57" w:rsidP="007955D7">
            <w:r w:rsidRPr="006268A9">
              <w:t xml:space="preserve">Total </w:t>
            </w:r>
          </w:p>
          <w:p w14:paraId="5E7B7A86" w14:textId="57522793" w:rsidR="00786A57" w:rsidRPr="006268A9" w:rsidRDefault="00786A57" w:rsidP="007955D7"/>
        </w:tc>
        <w:tc>
          <w:tcPr>
            <w:tcW w:w="2551" w:type="dxa"/>
            <w:tcBorders>
              <w:top w:val="single" w:sz="4" w:space="0" w:color="auto"/>
              <w:bottom w:val="single" w:sz="4" w:space="0" w:color="auto"/>
            </w:tcBorders>
          </w:tcPr>
          <w:p w14:paraId="42183CEC" w14:textId="21546CBD" w:rsidR="00786A57" w:rsidRPr="006268A9" w:rsidRDefault="00786A57" w:rsidP="007955D7"/>
        </w:tc>
        <w:tc>
          <w:tcPr>
            <w:tcW w:w="1099" w:type="dxa"/>
            <w:tcBorders>
              <w:top w:val="single" w:sz="4" w:space="0" w:color="auto"/>
              <w:bottom w:val="single" w:sz="4" w:space="0" w:color="auto"/>
            </w:tcBorders>
          </w:tcPr>
          <w:p w14:paraId="36E60632" w14:textId="5FD8ABD5" w:rsidR="00786A57" w:rsidRPr="006268A9" w:rsidRDefault="00786A57" w:rsidP="007955D7">
            <w:pPr>
              <w:rPr>
                <w:i/>
                <w:iCs/>
              </w:rPr>
            </w:pPr>
          </w:p>
        </w:tc>
      </w:tr>
      <w:tr w:rsidR="006268A9" w:rsidRPr="00190DEC" w14:paraId="74CA5049" w14:textId="77777777" w:rsidTr="006268A9">
        <w:tc>
          <w:tcPr>
            <w:tcW w:w="2268" w:type="dxa"/>
            <w:tcBorders>
              <w:top w:val="single" w:sz="4" w:space="0" w:color="auto"/>
              <w:bottom w:val="single" w:sz="4" w:space="0" w:color="auto"/>
            </w:tcBorders>
          </w:tcPr>
          <w:p w14:paraId="7EDBB529" w14:textId="77777777" w:rsidR="006268A9" w:rsidRPr="006268A9" w:rsidRDefault="006268A9" w:rsidP="007955D7"/>
        </w:tc>
        <w:tc>
          <w:tcPr>
            <w:tcW w:w="1560" w:type="dxa"/>
            <w:tcBorders>
              <w:top w:val="single" w:sz="4" w:space="0" w:color="auto"/>
              <w:bottom w:val="single" w:sz="4" w:space="0" w:color="auto"/>
            </w:tcBorders>
          </w:tcPr>
          <w:p w14:paraId="4DC1E246" w14:textId="7EDE0123" w:rsidR="006268A9" w:rsidRPr="006268A9" w:rsidRDefault="006268A9" w:rsidP="007955D7">
            <w:r w:rsidRPr="006268A9">
              <w:t>(n=1055)</w:t>
            </w:r>
          </w:p>
        </w:tc>
        <w:tc>
          <w:tcPr>
            <w:tcW w:w="992" w:type="dxa"/>
            <w:tcBorders>
              <w:top w:val="single" w:sz="4" w:space="0" w:color="auto"/>
              <w:bottom w:val="single" w:sz="4" w:space="0" w:color="auto"/>
            </w:tcBorders>
          </w:tcPr>
          <w:p w14:paraId="2212855A" w14:textId="05C51BFB" w:rsidR="006268A9" w:rsidRPr="006268A9" w:rsidRDefault="006268A9" w:rsidP="007955D7">
            <w:r w:rsidRPr="006268A9">
              <w:t>n</w:t>
            </w:r>
          </w:p>
        </w:tc>
        <w:tc>
          <w:tcPr>
            <w:tcW w:w="2551" w:type="dxa"/>
            <w:tcBorders>
              <w:top w:val="single" w:sz="4" w:space="0" w:color="auto"/>
              <w:bottom w:val="single" w:sz="4" w:space="0" w:color="auto"/>
            </w:tcBorders>
          </w:tcPr>
          <w:p w14:paraId="3B929314" w14:textId="3EDC5026" w:rsidR="006268A9" w:rsidRPr="006268A9" w:rsidRDefault="006268A9" w:rsidP="007955D7">
            <w:r w:rsidRPr="006268A9">
              <w:t>Odds ratio (95% CI)</w:t>
            </w:r>
          </w:p>
        </w:tc>
        <w:tc>
          <w:tcPr>
            <w:tcW w:w="1099" w:type="dxa"/>
            <w:tcBorders>
              <w:top w:val="single" w:sz="4" w:space="0" w:color="auto"/>
              <w:bottom w:val="single" w:sz="4" w:space="0" w:color="auto"/>
            </w:tcBorders>
          </w:tcPr>
          <w:p w14:paraId="012147C0" w14:textId="7703C8FD" w:rsidR="006268A9" w:rsidRPr="006268A9" w:rsidRDefault="00A45E15" w:rsidP="007955D7">
            <w:pPr>
              <w:rPr>
                <w:i/>
                <w:iCs/>
              </w:rPr>
            </w:pPr>
            <w:r w:rsidRPr="00EE747A">
              <w:rPr>
                <w:rFonts w:cstheme="minorHAnsi"/>
                <w:i/>
                <w:iCs/>
              </w:rPr>
              <w:t>P</w:t>
            </w:r>
          </w:p>
        </w:tc>
      </w:tr>
      <w:tr w:rsidR="006268A9" w:rsidRPr="00190DEC" w14:paraId="327A231D" w14:textId="77777777" w:rsidTr="006268A9">
        <w:tc>
          <w:tcPr>
            <w:tcW w:w="2268" w:type="dxa"/>
            <w:tcBorders>
              <w:top w:val="single" w:sz="4" w:space="0" w:color="auto"/>
              <w:bottom w:val="single" w:sz="4" w:space="0" w:color="auto"/>
            </w:tcBorders>
          </w:tcPr>
          <w:p w14:paraId="073E1F60" w14:textId="77777777" w:rsidR="006268A9" w:rsidRPr="006268A9" w:rsidRDefault="006268A9" w:rsidP="007955D7"/>
        </w:tc>
        <w:tc>
          <w:tcPr>
            <w:tcW w:w="1560" w:type="dxa"/>
            <w:tcBorders>
              <w:top w:val="single" w:sz="4" w:space="0" w:color="auto"/>
              <w:bottom w:val="single" w:sz="4" w:space="0" w:color="auto"/>
            </w:tcBorders>
          </w:tcPr>
          <w:p w14:paraId="75466D0E" w14:textId="77777777" w:rsidR="006268A9" w:rsidRPr="006268A9" w:rsidRDefault="006268A9" w:rsidP="007955D7"/>
        </w:tc>
        <w:tc>
          <w:tcPr>
            <w:tcW w:w="992" w:type="dxa"/>
            <w:tcBorders>
              <w:top w:val="single" w:sz="4" w:space="0" w:color="auto"/>
              <w:bottom w:val="single" w:sz="4" w:space="0" w:color="auto"/>
            </w:tcBorders>
          </w:tcPr>
          <w:p w14:paraId="29D2A15B" w14:textId="77777777" w:rsidR="006268A9" w:rsidRPr="006268A9" w:rsidRDefault="006268A9" w:rsidP="007955D7"/>
        </w:tc>
        <w:tc>
          <w:tcPr>
            <w:tcW w:w="2551" w:type="dxa"/>
            <w:tcBorders>
              <w:top w:val="single" w:sz="4" w:space="0" w:color="auto"/>
              <w:bottom w:val="single" w:sz="4" w:space="0" w:color="auto"/>
            </w:tcBorders>
          </w:tcPr>
          <w:p w14:paraId="1084EFDC" w14:textId="77777777" w:rsidR="006268A9" w:rsidRPr="006268A9" w:rsidRDefault="006268A9" w:rsidP="007955D7"/>
        </w:tc>
        <w:tc>
          <w:tcPr>
            <w:tcW w:w="1099" w:type="dxa"/>
            <w:tcBorders>
              <w:top w:val="single" w:sz="4" w:space="0" w:color="auto"/>
              <w:bottom w:val="single" w:sz="4" w:space="0" w:color="auto"/>
            </w:tcBorders>
          </w:tcPr>
          <w:p w14:paraId="56F28F8E" w14:textId="77777777" w:rsidR="006268A9" w:rsidRPr="006268A9" w:rsidRDefault="006268A9" w:rsidP="007955D7">
            <w:pPr>
              <w:rPr>
                <w:i/>
                <w:iCs/>
              </w:rPr>
            </w:pPr>
          </w:p>
        </w:tc>
      </w:tr>
      <w:tr w:rsidR="00786A57" w:rsidRPr="00190DEC" w14:paraId="6D8D79C5" w14:textId="77777777" w:rsidTr="006268A9">
        <w:tc>
          <w:tcPr>
            <w:tcW w:w="2268" w:type="dxa"/>
            <w:tcBorders>
              <w:top w:val="single" w:sz="4" w:space="0" w:color="auto"/>
            </w:tcBorders>
          </w:tcPr>
          <w:p w14:paraId="5E5E5C77" w14:textId="77777777" w:rsidR="00786A57" w:rsidRPr="006268A9" w:rsidRDefault="00786A57" w:rsidP="007955D7">
            <w:pPr>
              <w:rPr>
                <w:b/>
                <w:bCs/>
              </w:rPr>
            </w:pPr>
            <w:r w:rsidRPr="006268A9">
              <w:rPr>
                <w:b/>
                <w:bCs/>
              </w:rPr>
              <w:t>Age band (years)</w:t>
            </w:r>
          </w:p>
        </w:tc>
        <w:tc>
          <w:tcPr>
            <w:tcW w:w="1560" w:type="dxa"/>
            <w:tcBorders>
              <w:top w:val="single" w:sz="4" w:space="0" w:color="auto"/>
            </w:tcBorders>
          </w:tcPr>
          <w:p w14:paraId="650E1C91" w14:textId="77777777" w:rsidR="00786A57" w:rsidRPr="006268A9" w:rsidRDefault="00786A57" w:rsidP="007955D7"/>
        </w:tc>
        <w:tc>
          <w:tcPr>
            <w:tcW w:w="992" w:type="dxa"/>
            <w:tcBorders>
              <w:top w:val="single" w:sz="4" w:space="0" w:color="auto"/>
            </w:tcBorders>
          </w:tcPr>
          <w:p w14:paraId="696AD09F" w14:textId="77777777" w:rsidR="00786A57" w:rsidRPr="006268A9" w:rsidRDefault="00786A57" w:rsidP="007955D7"/>
        </w:tc>
        <w:tc>
          <w:tcPr>
            <w:tcW w:w="2551" w:type="dxa"/>
            <w:tcBorders>
              <w:top w:val="single" w:sz="4" w:space="0" w:color="auto"/>
            </w:tcBorders>
          </w:tcPr>
          <w:p w14:paraId="41D25DD2" w14:textId="77777777" w:rsidR="00786A57" w:rsidRPr="006268A9" w:rsidRDefault="00786A57" w:rsidP="007955D7"/>
        </w:tc>
        <w:tc>
          <w:tcPr>
            <w:tcW w:w="1099" w:type="dxa"/>
            <w:tcBorders>
              <w:top w:val="single" w:sz="4" w:space="0" w:color="auto"/>
            </w:tcBorders>
          </w:tcPr>
          <w:p w14:paraId="3E661702" w14:textId="77777777" w:rsidR="00786A57" w:rsidRPr="006268A9" w:rsidRDefault="00786A57" w:rsidP="007955D7"/>
        </w:tc>
      </w:tr>
      <w:tr w:rsidR="00786A57" w:rsidRPr="00190DEC" w14:paraId="41131E15" w14:textId="77777777" w:rsidTr="006268A9">
        <w:tc>
          <w:tcPr>
            <w:tcW w:w="2268" w:type="dxa"/>
          </w:tcPr>
          <w:p w14:paraId="678576CC" w14:textId="3C308835" w:rsidR="00786A57" w:rsidRPr="006268A9" w:rsidRDefault="00786A57" w:rsidP="007955D7">
            <w:r w:rsidRPr="006268A9">
              <w:t>18-24</w:t>
            </w:r>
          </w:p>
        </w:tc>
        <w:tc>
          <w:tcPr>
            <w:tcW w:w="1560" w:type="dxa"/>
          </w:tcPr>
          <w:p w14:paraId="062B503F" w14:textId="77777777" w:rsidR="00786A57" w:rsidRPr="006268A9" w:rsidRDefault="00786A57" w:rsidP="007955D7">
            <w:r w:rsidRPr="006268A9">
              <w:t>84</w:t>
            </w:r>
          </w:p>
        </w:tc>
        <w:tc>
          <w:tcPr>
            <w:tcW w:w="992" w:type="dxa"/>
          </w:tcPr>
          <w:p w14:paraId="46B23616" w14:textId="77777777" w:rsidR="00786A57" w:rsidRPr="006268A9" w:rsidRDefault="00786A57" w:rsidP="007955D7">
            <w:r w:rsidRPr="006268A9">
              <w:t>132</w:t>
            </w:r>
          </w:p>
        </w:tc>
        <w:tc>
          <w:tcPr>
            <w:tcW w:w="2551" w:type="dxa"/>
          </w:tcPr>
          <w:p w14:paraId="3DD1C27C" w14:textId="77777777" w:rsidR="00786A57" w:rsidRPr="006268A9" w:rsidRDefault="00786A57" w:rsidP="007955D7">
            <w:r w:rsidRPr="006268A9">
              <w:t>3·24 (1·87 to 5·62)</w:t>
            </w:r>
          </w:p>
        </w:tc>
        <w:tc>
          <w:tcPr>
            <w:tcW w:w="1099" w:type="dxa"/>
          </w:tcPr>
          <w:p w14:paraId="331ED661" w14:textId="46D170DC" w:rsidR="00786A57" w:rsidRPr="006268A9" w:rsidRDefault="00786A57" w:rsidP="007955D7">
            <w:r w:rsidRPr="006268A9">
              <w:t>&lt;·001</w:t>
            </w:r>
          </w:p>
        </w:tc>
      </w:tr>
      <w:tr w:rsidR="00786A57" w:rsidRPr="00190DEC" w14:paraId="75B77D2B" w14:textId="77777777" w:rsidTr="006268A9">
        <w:tc>
          <w:tcPr>
            <w:tcW w:w="2268" w:type="dxa"/>
          </w:tcPr>
          <w:p w14:paraId="1575D31D" w14:textId="4C805968" w:rsidR="00786A57" w:rsidRPr="006268A9" w:rsidRDefault="00786A57" w:rsidP="007955D7">
            <w:r w:rsidRPr="006268A9">
              <w:t>25-34</w:t>
            </w:r>
          </w:p>
        </w:tc>
        <w:tc>
          <w:tcPr>
            <w:tcW w:w="1560" w:type="dxa"/>
          </w:tcPr>
          <w:p w14:paraId="6430BDF3" w14:textId="77777777" w:rsidR="00786A57" w:rsidRPr="006268A9" w:rsidRDefault="00786A57" w:rsidP="007955D7">
            <w:r w:rsidRPr="006268A9">
              <w:t>174</w:t>
            </w:r>
          </w:p>
        </w:tc>
        <w:tc>
          <w:tcPr>
            <w:tcW w:w="992" w:type="dxa"/>
          </w:tcPr>
          <w:p w14:paraId="3CF3F8E1" w14:textId="77777777" w:rsidR="00786A57" w:rsidRPr="006268A9" w:rsidRDefault="00786A57" w:rsidP="007955D7">
            <w:r w:rsidRPr="006268A9">
              <w:t>304</w:t>
            </w:r>
          </w:p>
        </w:tc>
        <w:tc>
          <w:tcPr>
            <w:tcW w:w="2551" w:type="dxa"/>
          </w:tcPr>
          <w:p w14:paraId="769FB543" w14:textId="77777777" w:rsidR="00786A57" w:rsidRPr="006268A9" w:rsidRDefault="00786A57" w:rsidP="007955D7">
            <w:r w:rsidRPr="006268A9">
              <w:t>2·35 (1·47 to 3·75)</w:t>
            </w:r>
          </w:p>
        </w:tc>
        <w:tc>
          <w:tcPr>
            <w:tcW w:w="1099" w:type="dxa"/>
          </w:tcPr>
          <w:p w14:paraId="67F9D043" w14:textId="6BE37A91" w:rsidR="00786A57" w:rsidRPr="006268A9" w:rsidRDefault="00786A57" w:rsidP="007955D7">
            <w:r w:rsidRPr="006268A9">
              <w:t>&lt;·001</w:t>
            </w:r>
          </w:p>
        </w:tc>
      </w:tr>
      <w:tr w:rsidR="00786A57" w:rsidRPr="00190DEC" w14:paraId="589435BD" w14:textId="77777777" w:rsidTr="006268A9">
        <w:tc>
          <w:tcPr>
            <w:tcW w:w="2268" w:type="dxa"/>
          </w:tcPr>
          <w:p w14:paraId="1B49CADE" w14:textId="331A052D" w:rsidR="00786A57" w:rsidRPr="006268A9" w:rsidRDefault="00786A57" w:rsidP="007955D7">
            <w:r w:rsidRPr="006268A9">
              <w:t>35-44</w:t>
            </w:r>
          </w:p>
        </w:tc>
        <w:tc>
          <w:tcPr>
            <w:tcW w:w="1560" w:type="dxa"/>
          </w:tcPr>
          <w:p w14:paraId="78F85E04" w14:textId="77777777" w:rsidR="00786A57" w:rsidRPr="006268A9" w:rsidRDefault="00786A57" w:rsidP="007955D7">
            <w:r w:rsidRPr="006268A9">
              <w:t>190</w:t>
            </w:r>
          </w:p>
        </w:tc>
        <w:tc>
          <w:tcPr>
            <w:tcW w:w="992" w:type="dxa"/>
          </w:tcPr>
          <w:p w14:paraId="6B3BC892" w14:textId="77777777" w:rsidR="00786A57" w:rsidRPr="006268A9" w:rsidRDefault="00786A57" w:rsidP="007955D7">
            <w:r w:rsidRPr="006268A9">
              <w:t>418</w:t>
            </w:r>
          </w:p>
        </w:tc>
        <w:tc>
          <w:tcPr>
            <w:tcW w:w="2551" w:type="dxa"/>
          </w:tcPr>
          <w:p w14:paraId="6F8A7276" w14:textId="77777777" w:rsidR="00786A57" w:rsidRPr="006268A9" w:rsidRDefault="00786A57" w:rsidP="007955D7">
            <w:r w:rsidRPr="006268A9">
              <w:t>1·60 (1·02 to 2·49)</w:t>
            </w:r>
          </w:p>
        </w:tc>
        <w:tc>
          <w:tcPr>
            <w:tcW w:w="1099" w:type="dxa"/>
          </w:tcPr>
          <w:p w14:paraId="2D560896" w14:textId="0DB67AF1" w:rsidR="00786A57" w:rsidRPr="006268A9" w:rsidRDefault="00786A57" w:rsidP="007955D7">
            <w:r w:rsidRPr="006268A9">
              <w:t>·04</w:t>
            </w:r>
          </w:p>
        </w:tc>
      </w:tr>
      <w:tr w:rsidR="00786A57" w:rsidRPr="00190DEC" w14:paraId="085BCEE7" w14:textId="77777777" w:rsidTr="006268A9">
        <w:tc>
          <w:tcPr>
            <w:tcW w:w="2268" w:type="dxa"/>
          </w:tcPr>
          <w:p w14:paraId="48DE65EE" w14:textId="38EC3C4C" w:rsidR="00786A57" w:rsidRPr="006268A9" w:rsidRDefault="00786A57" w:rsidP="007955D7">
            <w:r w:rsidRPr="006268A9">
              <w:t>45-54</w:t>
            </w:r>
          </w:p>
        </w:tc>
        <w:tc>
          <w:tcPr>
            <w:tcW w:w="1560" w:type="dxa"/>
          </w:tcPr>
          <w:p w14:paraId="16F9463D" w14:textId="77777777" w:rsidR="00786A57" w:rsidRPr="006268A9" w:rsidRDefault="00786A57" w:rsidP="007955D7">
            <w:r w:rsidRPr="006268A9">
              <w:t>229</w:t>
            </w:r>
          </w:p>
        </w:tc>
        <w:tc>
          <w:tcPr>
            <w:tcW w:w="992" w:type="dxa"/>
          </w:tcPr>
          <w:p w14:paraId="74083F6A" w14:textId="77777777" w:rsidR="00786A57" w:rsidRPr="006268A9" w:rsidRDefault="00786A57" w:rsidP="007955D7">
            <w:r w:rsidRPr="006268A9">
              <w:t>533</w:t>
            </w:r>
          </w:p>
        </w:tc>
        <w:tc>
          <w:tcPr>
            <w:tcW w:w="2551" w:type="dxa"/>
          </w:tcPr>
          <w:p w14:paraId="7B75BA9E" w14:textId="77777777" w:rsidR="00786A57" w:rsidRPr="006268A9" w:rsidRDefault="00786A57" w:rsidP="007955D7">
            <w:r w:rsidRPr="006268A9">
              <w:t>1·44 (0·93 to 2·21)</w:t>
            </w:r>
          </w:p>
        </w:tc>
        <w:tc>
          <w:tcPr>
            <w:tcW w:w="1099" w:type="dxa"/>
          </w:tcPr>
          <w:p w14:paraId="6E853C00" w14:textId="53D4A3A7" w:rsidR="00786A57" w:rsidRPr="006268A9" w:rsidRDefault="00786A57" w:rsidP="007955D7">
            <w:r w:rsidRPr="006268A9">
              <w:t>·10</w:t>
            </w:r>
          </w:p>
        </w:tc>
      </w:tr>
      <w:tr w:rsidR="00786A57" w:rsidRPr="00190DEC" w14:paraId="310981CB" w14:textId="77777777" w:rsidTr="006268A9">
        <w:tc>
          <w:tcPr>
            <w:tcW w:w="2268" w:type="dxa"/>
          </w:tcPr>
          <w:p w14:paraId="451D33FB" w14:textId="1B810DC9" w:rsidR="00786A57" w:rsidRPr="006268A9" w:rsidRDefault="00786A57" w:rsidP="007955D7">
            <w:r w:rsidRPr="006268A9">
              <w:t>55-64</w:t>
            </w:r>
          </w:p>
        </w:tc>
        <w:tc>
          <w:tcPr>
            <w:tcW w:w="1560" w:type="dxa"/>
          </w:tcPr>
          <w:p w14:paraId="0C6009A4" w14:textId="77777777" w:rsidR="00786A57" w:rsidRPr="006268A9" w:rsidRDefault="00786A57" w:rsidP="007955D7">
            <w:r w:rsidRPr="006268A9">
              <w:t>208</w:t>
            </w:r>
          </w:p>
        </w:tc>
        <w:tc>
          <w:tcPr>
            <w:tcW w:w="992" w:type="dxa"/>
          </w:tcPr>
          <w:p w14:paraId="5B5E89CE" w14:textId="77777777" w:rsidR="00786A57" w:rsidRPr="006268A9" w:rsidRDefault="00786A57" w:rsidP="007955D7">
            <w:r w:rsidRPr="006268A9">
              <w:t>583</w:t>
            </w:r>
          </w:p>
        </w:tc>
        <w:tc>
          <w:tcPr>
            <w:tcW w:w="2551" w:type="dxa"/>
          </w:tcPr>
          <w:p w14:paraId="54D98AA3" w14:textId="77777777" w:rsidR="00786A57" w:rsidRPr="006268A9" w:rsidRDefault="00786A57" w:rsidP="007955D7">
            <w:r w:rsidRPr="006268A9">
              <w:t>1·09 (0·71 to 1·67)</w:t>
            </w:r>
          </w:p>
        </w:tc>
        <w:tc>
          <w:tcPr>
            <w:tcW w:w="1099" w:type="dxa"/>
          </w:tcPr>
          <w:p w14:paraId="38A87126" w14:textId="5E112C12" w:rsidR="00786A57" w:rsidRPr="006268A9" w:rsidRDefault="00786A57" w:rsidP="007955D7">
            <w:r w:rsidRPr="006268A9">
              <w:t>·69</w:t>
            </w:r>
          </w:p>
        </w:tc>
      </w:tr>
      <w:tr w:rsidR="00786A57" w:rsidRPr="00190DEC" w14:paraId="67C91152" w14:textId="77777777" w:rsidTr="006268A9">
        <w:tc>
          <w:tcPr>
            <w:tcW w:w="2268" w:type="dxa"/>
          </w:tcPr>
          <w:p w14:paraId="54C50B0F" w14:textId="330FFAAB" w:rsidR="00786A57" w:rsidRPr="006268A9" w:rsidRDefault="00786A57" w:rsidP="007955D7">
            <w:r w:rsidRPr="006268A9">
              <w:t>65-74</w:t>
            </w:r>
          </w:p>
        </w:tc>
        <w:tc>
          <w:tcPr>
            <w:tcW w:w="1560" w:type="dxa"/>
          </w:tcPr>
          <w:p w14:paraId="26460EC6" w14:textId="77777777" w:rsidR="00786A57" w:rsidRPr="006268A9" w:rsidRDefault="00786A57" w:rsidP="007955D7">
            <w:r w:rsidRPr="006268A9">
              <w:t>130</w:t>
            </w:r>
          </w:p>
        </w:tc>
        <w:tc>
          <w:tcPr>
            <w:tcW w:w="992" w:type="dxa"/>
          </w:tcPr>
          <w:p w14:paraId="68B190FA" w14:textId="77777777" w:rsidR="00786A57" w:rsidRPr="006268A9" w:rsidRDefault="00786A57" w:rsidP="007955D7">
            <w:r w:rsidRPr="006268A9">
              <w:t>428</w:t>
            </w:r>
          </w:p>
        </w:tc>
        <w:tc>
          <w:tcPr>
            <w:tcW w:w="2551" w:type="dxa"/>
          </w:tcPr>
          <w:p w14:paraId="7F13B8DC" w14:textId="77777777" w:rsidR="00786A57" w:rsidRPr="006268A9" w:rsidRDefault="00786A57" w:rsidP="007955D7">
            <w:r w:rsidRPr="006268A9">
              <w:t>0·90 (0·57 to 1·39)</w:t>
            </w:r>
          </w:p>
        </w:tc>
        <w:tc>
          <w:tcPr>
            <w:tcW w:w="1099" w:type="dxa"/>
          </w:tcPr>
          <w:p w14:paraId="32A7BB4C" w14:textId="122CDC6E" w:rsidR="00786A57" w:rsidRPr="006268A9" w:rsidRDefault="00786A57" w:rsidP="007955D7">
            <w:r w:rsidRPr="006268A9">
              <w:t>·62</w:t>
            </w:r>
          </w:p>
        </w:tc>
      </w:tr>
      <w:tr w:rsidR="00786A57" w:rsidRPr="00190DEC" w14:paraId="72FD178F" w14:textId="77777777" w:rsidTr="006268A9">
        <w:tc>
          <w:tcPr>
            <w:tcW w:w="2268" w:type="dxa"/>
            <w:tcBorders>
              <w:bottom w:val="single" w:sz="4" w:space="0" w:color="auto"/>
            </w:tcBorders>
          </w:tcPr>
          <w:p w14:paraId="27AA7844" w14:textId="337B665C" w:rsidR="00786A57" w:rsidRPr="006268A9" w:rsidRDefault="00786A57" w:rsidP="007955D7">
            <w:r w:rsidRPr="006268A9">
              <w:t>75+</w:t>
            </w:r>
          </w:p>
        </w:tc>
        <w:tc>
          <w:tcPr>
            <w:tcW w:w="1560" w:type="dxa"/>
            <w:tcBorders>
              <w:bottom w:val="single" w:sz="4" w:space="0" w:color="auto"/>
            </w:tcBorders>
          </w:tcPr>
          <w:p w14:paraId="51D49DBF" w14:textId="77777777" w:rsidR="00786A57" w:rsidRPr="006268A9" w:rsidRDefault="00786A57" w:rsidP="007955D7">
            <w:r w:rsidRPr="006268A9">
              <w:t>40</w:t>
            </w:r>
          </w:p>
        </w:tc>
        <w:tc>
          <w:tcPr>
            <w:tcW w:w="992" w:type="dxa"/>
            <w:tcBorders>
              <w:bottom w:val="single" w:sz="4" w:space="0" w:color="auto"/>
            </w:tcBorders>
          </w:tcPr>
          <w:p w14:paraId="64B48871" w14:textId="77777777" w:rsidR="00786A57" w:rsidRPr="006268A9" w:rsidRDefault="00786A57" w:rsidP="007955D7">
            <w:r w:rsidRPr="006268A9">
              <w:t>136</w:t>
            </w:r>
          </w:p>
        </w:tc>
        <w:tc>
          <w:tcPr>
            <w:tcW w:w="2551" w:type="dxa"/>
            <w:tcBorders>
              <w:bottom w:val="single" w:sz="4" w:space="0" w:color="auto"/>
            </w:tcBorders>
          </w:tcPr>
          <w:p w14:paraId="7CE35201" w14:textId="77777777" w:rsidR="00786A57" w:rsidRPr="006268A9" w:rsidRDefault="00786A57" w:rsidP="007955D7">
            <w:r w:rsidRPr="006268A9">
              <w:t>1·0</w:t>
            </w:r>
          </w:p>
        </w:tc>
        <w:tc>
          <w:tcPr>
            <w:tcW w:w="1099" w:type="dxa"/>
            <w:tcBorders>
              <w:bottom w:val="single" w:sz="4" w:space="0" w:color="auto"/>
            </w:tcBorders>
          </w:tcPr>
          <w:p w14:paraId="37CDF357" w14:textId="77777777" w:rsidR="00786A57" w:rsidRPr="006268A9" w:rsidRDefault="00786A57" w:rsidP="007955D7"/>
        </w:tc>
      </w:tr>
      <w:tr w:rsidR="00786A57" w:rsidRPr="00190DEC" w14:paraId="66696523" w14:textId="77777777" w:rsidTr="006268A9">
        <w:tc>
          <w:tcPr>
            <w:tcW w:w="2268" w:type="dxa"/>
            <w:tcBorders>
              <w:top w:val="single" w:sz="4" w:space="0" w:color="auto"/>
            </w:tcBorders>
          </w:tcPr>
          <w:p w14:paraId="727DC9AC" w14:textId="77777777" w:rsidR="00786A57" w:rsidRPr="006268A9" w:rsidRDefault="00786A57" w:rsidP="007955D7">
            <w:pPr>
              <w:rPr>
                <w:b/>
                <w:bCs/>
              </w:rPr>
            </w:pPr>
            <w:r w:rsidRPr="006268A9">
              <w:rPr>
                <w:b/>
                <w:bCs/>
              </w:rPr>
              <w:t>Gender</w:t>
            </w:r>
          </w:p>
        </w:tc>
        <w:tc>
          <w:tcPr>
            <w:tcW w:w="1560" w:type="dxa"/>
            <w:tcBorders>
              <w:top w:val="single" w:sz="4" w:space="0" w:color="auto"/>
            </w:tcBorders>
          </w:tcPr>
          <w:p w14:paraId="5EAECE15" w14:textId="77777777" w:rsidR="00786A57" w:rsidRPr="006268A9" w:rsidRDefault="00786A57" w:rsidP="007955D7"/>
        </w:tc>
        <w:tc>
          <w:tcPr>
            <w:tcW w:w="992" w:type="dxa"/>
            <w:tcBorders>
              <w:top w:val="single" w:sz="4" w:space="0" w:color="auto"/>
            </w:tcBorders>
          </w:tcPr>
          <w:p w14:paraId="7324EC8B" w14:textId="77777777" w:rsidR="00786A57" w:rsidRPr="006268A9" w:rsidRDefault="00786A57" w:rsidP="007955D7"/>
        </w:tc>
        <w:tc>
          <w:tcPr>
            <w:tcW w:w="2551" w:type="dxa"/>
            <w:tcBorders>
              <w:top w:val="single" w:sz="4" w:space="0" w:color="auto"/>
            </w:tcBorders>
          </w:tcPr>
          <w:p w14:paraId="6A93866E" w14:textId="77777777" w:rsidR="00786A57" w:rsidRPr="006268A9" w:rsidRDefault="00786A57" w:rsidP="007955D7"/>
        </w:tc>
        <w:tc>
          <w:tcPr>
            <w:tcW w:w="1099" w:type="dxa"/>
            <w:tcBorders>
              <w:top w:val="single" w:sz="4" w:space="0" w:color="auto"/>
            </w:tcBorders>
          </w:tcPr>
          <w:p w14:paraId="38992691" w14:textId="77777777" w:rsidR="00786A57" w:rsidRPr="006268A9" w:rsidRDefault="00786A57" w:rsidP="007955D7"/>
        </w:tc>
      </w:tr>
      <w:tr w:rsidR="00786A57" w:rsidRPr="00190DEC" w14:paraId="7E933827" w14:textId="77777777" w:rsidTr="006268A9">
        <w:tc>
          <w:tcPr>
            <w:tcW w:w="2268" w:type="dxa"/>
          </w:tcPr>
          <w:p w14:paraId="7459CF18" w14:textId="42919923" w:rsidR="00786A57" w:rsidRPr="006268A9" w:rsidRDefault="00786A57" w:rsidP="007955D7">
            <w:r w:rsidRPr="006268A9">
              <w:t>Male</w:t>
            </w:r>
          </w:p>
        </w:tc>
        <w:tc>
          <w:tcPr>
            <w:tcW w:w="1560" w:type="dxa"/>
          </w:tcPr>
          <w:p w14:paraId="346AD4B0" w14:textId="77777777" w:rsidR="00786A57" w:rsidRPr="006268A9" w:rsidRDefault="00786A57" w:rsidP="007955D7">
            <w:r w:rsidRPr="006268A9">
              <w:t>348</w:t>
            </w:r>
          </w:p>
        </w:tc>
        <w:tc>
          <w:tcPr>
            <w:tcW w:w="992" w:type="dxa"/>
          </w:tcPr>
          <w:p w14:paraId="016E3F47" w14:textId="77777777" w:rsidR="00786A57" w:rsidRPr="006268A9" w:rsidRDefault="00786A57" w:rsidP="007955D7">
            <w:r w:rsidRPr="006268A9">
              <w:t>909</w:t>
            </w:r>
          </w:p>
        </w:tc>
        <w:tc>
          <w:tcPr>
            <w:tcW w:w="2551" w:type="dxa"/>
          </w:tcPr>
          <w:p w14:paraId="7D7E4A60" w14:textId="77777777" w:rsidR="00786A57" w:rsidRPr="006268A9" w:rsidRDefault="00786A57" w:rsidP="007955D7">
            <w:r w:rsidRPr="006268A9">
              <w:t>0·90 (0·76 to 1·07)</w:t>
            </w:r>
          </w:p>
        </w:tc>
        <w:tc>
          <w:tcPr>
            <w:tcW w:w="1099" w:type="dxa"/>
          </w:tcPr>
          <w:p w14:paraId="70F83EEF" w14:textId="02EE7C8D" w:rsidR="00786A57" w:rsidRPr="006268A9" w:rsidRDefault="00786A57" w:rsidP="007955D7">
            <w:r w:rsidRPr="006268A9">
              <w:t>·24</w:t>
            </w:r>
          </w:p>
        </w:tc>
      </w:tr>
      <w:tr w:rsidR="00786A57" w:rsidRPr="00190DEC" w14:paraId="467D62C5" w14:textId="77777777" w:rsidTr="006268A9">
        <w:tc>
          <w:tcPr>
            <w:tcW w:w="2268" w:type="dxa"/>
            <w:tcBorders>
              <w:bottom w:val="single" w:sz="4" w:space="0" w:color="auto"/>
            </w:tcBorders>
          </w:tcPr>
          <w:p w14:paraId="70DE2E92" w14:textId="072FB0AF" w:rsidR="00786A57" w:rsidRPr="006268A9" w:rsidRDefault="00786A57" w:rsidP="007955D7">
            <w:r w:rsidRPr="006268A9">
              <w:t>Female</w:t>
            </w:r>
          </w:p>
        </w:tc>
        <w:tc>
          <w:tcPr>
            <w:tcW w:w="1560" w:type="dxa"/>
            <w:tcBorders>
              <w:bottom w:val="single" w:sz="4" w:space="0" w:color="auto"/>
            </w:tcBorders>
          </w:tcPr>
          <w:p w14:paraId="16AD815D" w14:textId="77777777" w:rsidR="00786A57" w:rsidRPr="006268A9" w:rsidRDefault="00786A57" w:rsidP="007955D7">
            <w:r w:rsidRPr="006268A9">
              <w:t>707</w:t>
            </w:r>
          </w:p>
        </w:tc>
        <w:tc>
          <w:tcPr>
            <w:tcW w:w="992" w:type="dxa"/>
            <w:tcBorders>
              <w:bottom w:val="single" w:sz="4" w:space="0" w:color="auto"/>
            </w:tcBorders>
          </w:tcPr>
          <w:p w14:paraId="19489D09" w14:textId="77777777" w:rsidR="00786A57" w:rsidRPr="006268A9" w:rsidRDefault="00786A57" w:rsidP="007955D7">
            <w:r w:rsidRPr="006268A9">
              <w:t>1625</w:t>
            </w:r>
          </w:p>
        </w:tc>
        <w:tc>
          <w:tcPr>
            <w:tcW w:w="2551" w:type="dxa"/>
            <w:tcBorders>
              <w:bottom w:val="single" w:sz="4" w:space="0" w:color="auto"/>
            </w:tcBorders>
          </w:tcPr>
          <w:p w14:paraId="11BD2A5B" w14:textId="77777777" w:rsidR="00786A57" w:rsidRPr="006268A9" w:rsidRDefault="00786A57" w:rsidP="007955D7">
            <w:r w:rsidRPr="006268A9">
              <w:t>1·0</w:t>
            </w:r>
          </w:p>
        </w:tc>
        <w:tc>
          <w:tcPr>
            <w:tcW w:w="1099" w:type="dxa"/>
            <w:tcBorders>
              <w:bottom w:val="single" w:sz="4" w:space="0" w:color="auto"/>
            </w:tcBorders>
          </w:tcPr>
          <w:p w14:paraId="210E8E7F" w14:textId="77777777" w:rsidR="00786A57" w:rsidRPr="006268A9" w:rsidRDefault="00786A57" w:rsidP="007955D7"/>
        </w:tc>
      </w:tr>
      <w:tr w:rsidR="00786A57" w:rsidRPr="00190DEC" w14:paraId="7C8073F2" w14:textId="77777777" w:rsidTr="006268A9">
        <w:tc>
          <w:tcPr>
            <w:tcW w:w="2268" w:type="dxa"/>
            <w:tcBorders>
              <w:top w:val="single" w:sz="4" w:space="0" w:color="auto"/>
            </w:tcBorders>
          </w:tcPr>
          <w:p w14:paraId="53430817" w14:textId="77777777" w:rsidR="00786A57" w:rsidRPr="006268A9" w:rsidRDefault="00786A57" w:rsidP="007955D7">
            <w:pPr>
              <w:rPr>
                <w:b/>
                <w:bCs/>
              </w:rPr>
            </w:pPr>
            <w:r w:rsidRPr="006268A9">
              <w:rPr>
                <w:b/>
                <w:bCs/>
              </w:rPr>
              <w:t>Education</w:t>
            </w:r>
          </w:p>
        </w:tc>
        <w:tc>
          <w:tcPr>
            <w:tcW w:w="1560" w:type="dxa"/>
            <w:tcBorders>
              <w:top w:val="single" w:sz="4" w:space="0" w:color="auto"/>
            </w:tcBorders>
          </w:tcPr>
          <w:p w14:paraId="4D9A431B" w14:textId="77777777" w:rsidR="00786A57" w:rsidRPr="006268A9" w:rsidRDefault="00786A57" w:rsidP="007955D7"/>
        </w:tc>
        <w:tc>
          <w:tcPr>
            <w:tcW w:w="992" w:type="dxa"/>
            <w:tcBorders>
              <w:top w:val="single" w:sz="4" w:space="0" w:color="auto"/>
            </w:tcBorders>
          </w:tcPr>
          <w:p w14:paraId="320D3A1A" w14:textId="77777777" w:rsidR="00786A57" w:rsidRPr="006268A9" w:rsidRDefault="00786A57" w:rsidP="007955D7"/>
        </w:tc>
        <w:tc>
          <w:tcPr>
            <w:tcW w:w="2551" w:type="dxa"/>
            <w:tcBorders>
              <w:top w:val="single" w:sz="4" w:space="0" w:color="auto"/>
            </w:tcBorders>
          </w:tcPr>
          <w:p w14:paraId="407AC260" w14:textId="77777777" w:rsidR="00786A57" w:rsidRPr="006268A9" w:rsidRDefault="00786A57" w:rsidP="007955D7"/>
        </w:tc>
        <w:tc>
          <w:tcPr>
            <w:tcW w:w="1099" w:type="dxa"/>
            <w:tcBorders>
              <w:top w:val="single" w:sz="4" w:space="0" w:color="auto"/>
            </w:tcBorders>
          </w:tcPr>
          <w:p w14:paraId="407FA8ED" w14:textId="77777777" w:rsidR="00786A57" w:rsidRPr="006268A9" w:rsidRDefault="00786A57" w:rsidP="007955D7"/>
        </w:tc>
      </w:tr>
      <w:tr w:rsidR="00786A57" w:rsidRPr="00190DEC" w14:paraId="4BA930EF" w14:textId="77777777" w:rsidTr="006268A9">
        <w:tc>
          <w:tcPr>
            <w:tcW w:w="2268" w:type="dxa"/>
          </w:tcPr>
          <w:p w14:paraId="66ED01AC" w14:textId="5A65C696" w:rsidR="00786A57" w:rsidRPr="006268A9" w:rsidRDefault="00786A57" w:rsidP="007955D7">
            <w:r w:rsidRPr="006268A9">
              <w:t>No qualifications</w:t>
            </w:r>
          </w:p>
        </w:tc>
        <w:tc>
          <w:tcPr>
            <w:tcW w:w="1560" w:type="dxa"/>
          </w:tcPr>
          <w:p w14:paraId="2D661FF1" w14:textId="77777777" w:rsidR="00786A57" w:rsidRPr="006268A9" w:rsidRDefault="00786A57" w:rsidP="007955D7">
            <w:r w:rsidRPr="006268A9">
              <w:t>77</w:t>
            </w:r>
          </w:p>
        </w:tc>
        <w:tc>
          <w:tcPr>
            <w:tcW w:w="992" w:type="dxa"/>
          </w:tcPr>
          <w:p w14:paraId="41E42F13" w14:textId="77777777" w:rsidR="00786A57" w:rsidRPr="006268A9" w:rsidRDefault="00786A57" w:rsidP="007955D7">
            <w:r w:rsidRPr="006268A9">
              <w:t>291</w:t>
            </w:r>
          </w:p>
        </w:tc>
        <w:tc>
          <w:tcPr>
            <w:tcW w:w="2551" w:type="dxa"/>
          </w:tcPr>
          <w:p w14:paraId="69EED387" w14:textId="77777777" w:rsidR="00786A57" w:rsidRPr="006268A9" w:rsidRDefault="00786A57" w:rsidP="007955D7">
            <w:r w:rsidRPr="006268A9">
              <w:t>0·74 (0·55 to 0·99)</w:t>
            </w:r>
          </w:p>
        </w:tc>
        <w:tc>
          <w:tcPr>
            <w:tcW w:w="1099" w:type="dxa"/>
          </w:tcPr>
          <w:p w14:paraId="0A35C3E7" w14:textId="0900E8C5" w:rsidR="00786A57" w:rsidRPr="006268A9" w:rsidRDefault="00786A57" w:rsidP="007955D7">
            <w:r w:rsidRPr="006268A9">
              <w:t>·04</w:t>
            </w:r>
          </w:p>
        </w:tc>
      </w:tr>
      <w:tr w:rsidR="00786A57" w:rsidRPr="00190DEC" w14:paraId="47E37B96" w14:textId="77777777" w:rsidTr="006268A9">
        <w:tc>
          <w:tcPr>
            <w:tcW w:w="2268" w:type="dxa"/>
          </w:tcPr>
          <w:p w14:paraId="34C72D9F" w14:textId="1716F528" w:rsidR="00786A57" w:rsidRPr="006268A9" w:rsidRDefault="00786A57" w:rsidP="007955D7">
            <w:r w:rsidRPr="006268A9">
              <w:t>Any qualifications</w:t>
            </w:r>
          </w:p>
        </w:tc>
        <w:tc>
          <w:tcPr>
            <w:tcW w:w="1560" w:type="dxa"/>
          </w:tcPr>
          <w:p w14:paraId="582DFCB6" w14:textId="77777777" w:rsidR="00786A57" w:rsidRPr="006268A9" w:rsidRDefault="00786A57" w:rsidP="007955D7">
            <w:r w:rsidRPr="006268A9">
              <w:t>978</w:t>
            </w:r>
          </w:p>
        </w:tc>
        <w:tc>
          <w:tcPr>
            <w:tcW w:w="992" w:type="dxa"/>
          </w:tcPr>
          <w:p w14:paraId="7744A4AF" w14:textId="77777777" w:rsidR="00786A57" w:rsidRPr="006268A9" w:rsidRDefault="00786A57" w:rsidP="007955D7">
            <w:r w:rsidRPr="006268A9">
              <w:t>2243</w:t>
            </w:r>
          </w:p>
        </w:tc>
        <w:tc>
          <w:tcPr>
            <w:tcW w:w="2551" w:type="dxa"/>
          </w:tcPr>
          <w:p w14:paraId="1F6ED439" w14:textId="77777777" w:rsidR="00786A57" w:rsidRPr="006268A9" w:rsidRDefault="00786A57" w:rsidP="007955D7">
            <w:r w:rsidRPr="006268A9">
              <w:t>1·0</w:t>
            </w:r>
          </w:p>
        </w:tc>
        <w:tc>
          <w:tcPr>
            <w:tcW w:w="1099" w:type="dxa"/>
          </w:tcPr>
          <w:p w14:paraId="79D051EA" w14:textId="77777777" w:rsidR="00786A57" w:rsidRPr="006268A9" w:rsidRDefault="00786A57" w:rsidP="007955D7"/>
        </w:tc>
      </w:tr>
      <w:tr w:rsidR="00786A57" w:rsidRPr="00190DEC" w14:paraId="54669685" w14:textId="77777777" w:rsidTr="006268A9">
        <w:tc>
          <w:tcPr>
            <w:tcW w:w="2268" w:type="dxa"/>
            <w:tcBorders>
              <w:top w:val="single" w:sz="4" w:space="0" w:color="auto"/>
            </w:tcBorders>
          </w:tcPr>
          <w:p w14:paraId="7D0913D0" w14:textId="5532DC65" w:rsidR="00786A57" w:rsidRPr="006268A9" w:rsidRDefault="00BA49BD" w:rsidP="007955D7">
            <w:pPr>
              <w:rPr>
                <w:b/>
                <w:bCs/>
              </w:rPr>
            </w:pPr>
            <w:r>
              <w:rPr>
                <w:b/>
                <w:bCs/>
              </w:rPr>
              <w:t>LT</w:t>
            </w:r>
            <w:r w:rsidR="00831673">
              <w:rPr>
                <w:b/>
                <w:bCs/>
              </w:rPr>
              <w:t>H</w:t>
            </w:r>
            <w:r>
              <w:rPr>
                <w:b/>
                <w:bCs/>
              </w:rPr>
              <w:t>C</w:t>
            </w:r>
          </w:p>
        </w:tc>
        <w:tc>
          <w:tcPr>
            <w:tcW w:w="1560" w:type="dxa"/>
            <w:tcBorders>
              <w:top w:val="single" w:sz="4" w:space="0" w:color="auto"/>
            </w:tcBorders>
          </w:tcPr>
          <w:p w14:paraId="604A0919" w14:textId="77777777" w:rsidR="00786A57" w:rsidRPr="006268A9" w:rsidRDefault="00786A57" w:rsidP="007955D7"/>
        </w:tc>
        <w:tc>
          <w:tcPr>
            <w:tcW w:w="992" w:type="dxa"/>
            <w:tcBorders>
              <w:top w:val="single" w:sz="4" w:space="0" w:color="auto"/>
            </w:tcBorders>
          </w:tcPr>
          <w:p w14:paraId="134BEBB6" w14:textId="77777777" w:rsidR="00786A57" w:rsidRPr="006268A9" w:rsidRDefault="00786A57" w:rsidP="007955D7"/>
        </w:tc>
        <w:tc>
          <w:tcPr>
            <w:tcW w:w="2551" w:type="dxa"/>
            <w:tcBorders>
              <w:top w:val="single" w:sz="4" w:space="0" w:color="auto"/>
            </w:tcBorders>
          </w:tcPr>
          <w:p w14:paraId="629E609C" w14:textId="77777777" w:rsidR="00786A57" w:rsidRPr="006268A9" w:rsidRDefault="00786A57" w:rsidP="007955D7"/>
        </w:tc>
        <w:tc>
          <w:tcPr>
            <w:tcW w:w="1099" w:type="dxa"/>
            <w:tcBorders>
              <w:top w:val="single" w:sz="4" w:space="0" w:color="auto"/>
            </w:tcBorders>
          </w:tcPr>
          <w:p w14:paraId="70ED230D" w14:textId="77777777" w:rsidR="00786A57" w:rsidRPr="006268A9" w:rsidRDefault="00786A57" w:rsidP="007955D7"/>
        </w:tc>
      </w:tr>
      <w:tr w:rsidR="00786A57" w:rsidRPr="00190DEC" w14:paraId="78A568CA" w14:textId="77777777" w:rsidTr="006268A9">
        <w:tc>
          <w:tcPr>
            <w:tcW w:w="2268" w:type="dxa"/>
          </w:tcPr>
          <w:p w14:paraId="7EA93C43" w14:textId="42D1C311" w:rsidR="00786A57" w:rsidRPr="006268A9" w:rsidRDefault="00786A57" w:rsidP="007955D7">
            <w:r w:rsidRPr="006268A9">
              <w:t>Yes</w:t>
            </w:r>
          </w:p>
        </w:tc>
        <w:tc>
          <w:tcPr>
            <w:tcW w:w="1560" w:type="dxa"/>
          </w:tcPr>
          <w:p w14:paraId="3D79CF46" w14:textId="77777777" w:rsidR="00786A57" w:rsidRPr="006268A9" w:rsidRDefault="00786A57" w:rsidP="007955D7">
            <w:r w:rsidRPr="006268A9">
              <w:t>495</w:t>
            </w:r>
          </w:p>
        </w:tc>
        <w:tc>
          <w:tcPr>
            <w:tcW w:w="992" w:type="dxa"/>
          </w:tcPr>
          <w:p w14:paraId="051190DE" w14:textId="77777777" w:rsidR="00786A57" w:rsidRPr="006268A9" w:rsidRDefault="00786A57" w:rsidP="007955D7">
            <w:r w:rsidRPr="006268A9">
              <w:t>1124</w:t>
            </w:r>
          </w:p>
        </w:tc>
        <w:tc>
          <w:tcPr>
            <w:tcW w:w="2551" w:type="dxa"/>
          </w:tcPr>
          <w:p w14:paraId="0DEF3F5C" w14:textId="77777777" w:rsidR="00786A57" w:rsidRPr="006268A9" w:rsidRDefault="00786A57" w:rsidP="007955D7">
            <w:r w:rsidRPr="006268A9">
              <w:t>1·61 (1·35 to 1·93)</w:t>
            </w:r>
          </w:p>
        </w:tc>
        <w:tc>
          <w:tcPr>
            <w:tcW w:w="1099" w:type="dxa"/>
          </w:tcPr>
          <w:p w14:paraId="2E5E746E" w14:textId="10E1F3EE" w:rsidR="00786A57" w:rsidRPr="006268A9" w:rsidRDefault="00786A57" w:rsidP="007955D7">
            <w:r w:rsidRPr="006268A9">
              <w:t>&lt;·001</w:t>
            </w:r>
          </w:p>
        </w:tc>
      </w:tr>
      <w:tr w:rsidR="00786A57" w:rsidRPr="00190DEC" w14:paraId="70FA41C6" w14:textId="77777777" w:rsidTr="006268A9">
        <w:tc>
          <w:tcPr>
            <w:tcW w:w="2268" w:type="dxa"/>
            <w:tcBorders>
              <w:bottom w:val="single" w:sz="4" w:space="0" w:color="auto"/>
            </w:tcBorders>
          </w:tcPr>
          <w:p w14:paraId="7CB1FC80" w14:textId="1D43E205" w:rsidR="00786A57" w:rsidRPr="006268A9" w:rsidRDefault="00786A57" w:rsidP="007955D7">
            <w:r w:rsidRPr="006268A9">
              <w:t>No</w:t>
            </w:r>
          </w:p>
        </w:tc>
        <w:tc>
          <w:tcPr>
            <w:tcW w:w="1560" w:type="dxa"/>
            <w:tcBorders>
              <w:bottom w:val="single" w:sz="4" w:space="0" w:color="auto"/>
            </w:tcBorders>
          </w:tcPr>
          <w:p w14:paraId="5330A2B9" w14:textId="77777777" w:rsidR="00786A57" w:rsidRPr="006268A9" w:rsidRDefault="00786A57" w:rsidP="007955D7">
            <w:r w:rsidRPr="006268A9">
              <w:t>560</w:t>
            </w:r>
          </w:p>
        </w:tc>
        <w:tc>
          <w:tcPr>
            <w:tcW w:w="992" w:type="dxa"/>
            <w:tcBorders>
              <w:bottom w:val="single" w:sz="4" w:space="0" w:color="auto"/>
            </w:tcBorders>
          </w:tcPr>
          <w:p w14:paraId="0BDF8686" w14:textId="77777777" w:rsidR="00786A57" w:rsidRPr="006268A9" w:rsidRDefault="00786A57" w:rsidP="007955D7">
            <w:r w:rsidRPr="006268A9">
              <w:t>1410</w:t>
            </w:r>
          </w:p>
        </w:tc>
        <w:tc>
          <w:tcPr>
            <w:tcW w:w="2551" w:type="dxa"/>
            <w:tcBorders>
              <w:bottom w:val="single" w:sz="4" w:space="0" w:color="auto"/>
            </w:tcBorders>
          </w:tcPr>
          <w:p w14:paraId="19388B10" w14:textId="77777777" w:rsidR="00786A57" w:rsidRPr="006268A9" w:rsidRDefault="00786A57" w:rsidP="007955D7">
            <w:r w:rsidRPr="006268A9">
              <w:t>1·00</w:t>
            </w:r>
          </w:p>
        </w:tc>
        <w:tc>
          <w:tcPr>
            <w:tcW w:w="1099" w:type="dxa"/>
            <w:tcBorders>
              <w:bottom w:val="single" w:sz="4" w:space="0" w:color="auto"/>
            </w:tcBorders>
          </w:tcPr>
          <w:p w14:paraId="293BAA1F" w14:textId="77777777" w:rsidR="00786A57" w:rsidRPr="006268A9" w:rsidRDefault="00786A57" w:rsidP="007955D7"/>
        </w:tc>
      </w:tr>
      <w:tr w:rsidR="00786A57" w:rsidRPr="00190DEC" w14:paraId="6E061C8B" w14:textId="77777777" w:rsidTr="006268A9">
        <w:tc>
          <w:tcPr>
            <w:tcW w:w="2268" w:type="dxa"/>
          </w:tcPr>
          <w:p w14:paraId="4BBA32F4" w14:textId="77777777" w:rsidR="00786A57" w:rsidRPr="006268A9" w:rsidRDefault="00786A57" w:rsidP="007955D7">
            <w:pPr>
              <w:rPr>
                <w:b/>
                <w:bCs/>
              </w:rPr>
            </w:pPr>
            <w:r w:rsidRPr="006268A9">
              <w:rPr>
                <w:b/>
                <w:bCs/>
              </w:rPr>
              <w:t xml:space="preserve">eHLQ1 </w:t>
            </w:r>
          </w:p>
        </w:tc>
        <w:tc>
          <w:tcPr>
            <w:tcW w:w="1560" w:type="dxa"/>
          </w:tcPr>
          <w:p w14:paraId="41419561" w14:textId="77777777" w:rsidR="00786A57" w:rsidRPr="006268A9" w:rsidRDefault="00786A57" w:rsidP="007955D7">
            <w:r w:rsidRPr="006268A9">
              <w:t>1055</w:t>
            </w:r>
          </w:p>
        </w:tc>
        <w:tc>
          <w:tcPr>
            <w:tcW w:w="992" w:type="dxa"/>
          </w:tcPr>
          <w:p w14:paraId="0C0C82CF" w14:textId="77777777" w:rsidR="00786A57" w:rsidRPr="006268A9" w:rsidRDefault="00786A57" w:rsidP="007955D7">
            <w:r w:rsidRPr="006268A9">
              <w:t>2534</w:t>
            </w:r>
          </w:p>
        </w:tc>
        <w:tc>
          <w:tcPr>
            <w:tcW w:w="2551" w:type="dxa"/>
          </w:tcPr>
          <w:p w14:paraId="5702E723" w14:textId="77777777" w:rsidR="00786A57" w:rsidRPr="006268A9" w:rsidRDefault="00786A57" w:rsidP="007955D7">
            <w:r w:rsidRPr="006268A9">
              <w:t>1·86 (1·46 to 2·38)</w:t>
            </w:r>
          </w:p>
        </w:tc>
        <w:tc>
          <w:tcPr>
            <w:tcW w:w="1099" w:type="dxa"/>
          </w:tcPr>
          <w:p w14:paraId="2569FC70" w14:textId="4757B0A0" w:rsidR="00786A57" w:rsidRPr="006268A9" w:rsidRDefault="00786A57" w:rsidP="007955D7">
            <w:r w:rsidRPr="006268A9">
              <w:t>&lt;·001</w:t>
            </w:r>
          </w:p>
        </w:tc>
      </w:tr>
      <w:tr w:rsidR="00786A57" w:rsidRPr="00190DEC" w14:paraId="5D781D4C" w14:textId="77777777" w:rsidTr="006268A9">
        <w:tc>
          <w:tcPr>
            <w:tcW w:w="2268" w:type="dxa"/>
          </w:tcPr>
          <w:p w14:paraId="7B81E1C0" w14:textId="77777777" w:rsidR="00786A57" w:rsidRPr="006268A9" w:rsidRDefault="00786A57" w:rsidP="007955D7">
            <w:pPr>
              <w:rPr>
                <w:b/>
                <w:bCs/>
              </w:rPr>
            </w:pPr>
            <w:r w:rsidRPr="006268A9">
              <w:rPr>
                <w:b/>
                <w:bCs/>
              </w:rPr>
              <w:t xml:space="preserve">eHLQ2 </w:t>
            </w:r>
          </w:p>
        </w:tc>
        <w:tc>
          <w:tcPr>
            <w:tcW w:w="1560" w:type="dxa"/>
          </w:tcPr>
          <w:p w14:paraId="40BE7A43" w14:textId="77777777" w:rsidR="00786A57" w:rsidRPr="006268A9" w:rsidRDefault="00786A57" w:rsidP="007955D7">
            <w:r w:rsidRPr="006268A9">
              <w:t>1055</w:t>
            </w:r>
          </w:p>
        </w:tc>
        <w:tc>
          <w:tcPr>
            <w:tcW w:w="992" w:type="dxa"/>
          </w:tcPr>
          <w:p w14:paraId="66652B63" w14:textId="77777777" w:rsidR="00786A57" w:rsidRPr="006268A9" w:rsidRDefault="00786A57" w:rsidP="007955D7">
            <w:r w:rsidRPr="006268A9">
              <w:t>2534</w:t>
            </w:r>
          </w:p>
        </w:tc>
        <w:tc>
          <w:tcPr>
            <w:tcW w:w="2551" w:type="dxa"/>
          </w:tcPr>
          <w:p w14:paraId="523E6701" w14:textId="77777777" w:rsidR="00786A57" w:rsidRPr="006268A9" w:rsidRDefault="00786A57" w:rsidP="007955D7">
            <w:r w:rsidRPr="006268A9">
              <w:t xml:space="preserve">0·77 (0·60 to 0·99) </w:t>
            </w:r>
          </w:p>
        </w:tc>
        <w:tc>
          <w:tcPr>
            <w:tcW w:w="1099" w:type="dxa"/>
          </w:tcPr>
          <w:p w14:paraId="3F027CBC" w14:textId="4CE222F3" w:rsidR="00786A57" w:rsidRPr="006268A9" w:rsidRDefault="00786A57" w:rsidP="007955D7">
            <w:r w:rsidRPr="006268A9">
              <w:t>·04</w:t>
            </w:r>
          </w:p>
        </w:tc>
      </w:tr>
      <w:tr w:rsidR="00786A57" w:rsidRPr="00190DEC" w14:paraId="4E8C14AD" w14:textId="77777777" w:rsidTr="006268A9">
        <w:tc>
          <w:tcPr>
            <w:tcW w:w="2268" w:type="dxa"/>
          </w:tcPr>
          <w:p w14:paraId="6408E71E" w14:textId="77777777" w:rsidR="00786A57" w:rsidRPr="006268A9" w:rsidRDefault="00786A57" w:rsidP="007955D7">
            <w:pPr>
              <w:rPr>
                <w:b/>
                <w:bCs/>
              </w:rPr>
            </w:pPr>
            <w:r w:rsidRPr="006268A9">
              <w:rPr>
                <w:b/>
                <w:bCs/>
              </w:rPr>
              <w:t xml:space="preserve">eHLQ3 </w:t>
            </w:r>
          </w:p>
        </w:tc>
        <w:tc>
          <w:tcPr>
            <w:tcW w:w="1560" w:type="dxa"/>
          </w:tcPr>
          <w:p w14:paraId="44974310" w14:textId="77777777" w:rsidR="00786A57" w:rsidRPr="006268A9" w:rsidRDefault="00786A57" w:rsidP="007955D7">
            <w:r w:rsidRPr="006268A9">
              <w:t>1055</w:t>
            </w:r>
          </w:p>
        </w:tc>
        <w:tc>
          <w:tcPr>
            <w:tcW w:w="992" w:type="dxa"/>
          </w:tcPr>
          <w:p w14:paraId="79F49C7E" w14:textId="77777777" w:rsidR="00786A57" w:rsidRPr="006268A9" w:rsidRDefault="00786A57" w:rsidP="007955D7">
            <w:r w:rsidRPr="006268A9">
              <w:t>2534</w:t>
            </w:r>
          </w:p>
        </w:tc>
        <w:tc>
          <w:tcPr>
            <w:tcW w:w="2551" w:type="dxa"/>
          </w:tcPr>
          <w:p w14:paraId="38248C41" w14:textId="77777777" w:rsidR="00786A57" w:rsidRPr="006268A9" w:rsidRDefault="00786A57" w:rsidP="007955D7">
            <w:r w:rsidRPr="006268A9">
              <w:t>1·51 (1·22 to 1·88)</w:t>
            </w:r>
          </w:p>
        </w:tc>
        <w:tc>
          <w:tcPr>
            <w:tcW w:w="1099" w:type="dxa"/>
          </w:tcPr>
          <w:p w14:paraId="6D256477" w14:textId="0A1FC8B0" w:rsidR="00786A57" w:rsidRPr="006268A9" w:rsidRDefault="00786A57" w:rsidP="007955D7">
            <w:r w:rsidRPr="006268A9">
              <w:t>&lt;·001</w:t>
            </w:r>
          </w:p>
        </w:tc>
      </w:tr>
      <w:tr w:rsidR="00786A57" w:rsidRPr="00190DEC" w14:paraId="1DC97F86" w14:textId="77777777" w:rsidTr="006268A9">
        <w:tc>
          <w:tcPr>
            <w:tcW w:w="2268" w:type="dxa"/>
          </w:tcPr>
          <w:p w14:paraId="6F021CF7" w14:textId="77777777" w:rsidR="00786A57" w:rsidRPr="006268A9" w:rsidRDefault="00786A57" w:rsidP="007955D7">
            <w:pPr>
              <w:rPr>
                <w:b/>
                <w:bCs/>
              </w:rPr>
            </w:pPr>
            <w:r w:rsidRPr="006268A9">
              <w:rPr>
                <w:b/>
                <w:bCs/>
              </w:rPr>
              <w:t xml:space="preserve">eHLQ6 </w:t>
            </w:r>
          </w:p>
        </w:tc>
        <w:tc>
          <w:tcPr>
            <w:tcW w:w="1560" w:type="dxa"/>
          </w:tcPr>
          <w:p w14:paraId="3F1E340E" w14:textId="77777777" w:rsidR="00786A57" w:rsidRPr="006268A9" w:rsidRDefault="00786A57" w:rsidP="007955D7">
            <w:r w:rsidRPr="006268A9">
              <w:t>1055</w:t>
            </w:r>
          </w:p>
        </w:tc>
        <w:tc>
          <w:tcPr>
            <w:tcW w:w="992" w:type="dxa"/>
          </w:tcPr>
          <w:p w14:paraId="04BFCE89" w14:textId="77777777" w:rsidR="00786A57" w:rsidRPr="006268A9" w:rsidRDefault="00786A57" w:rsidP="007955D7">
            <w:r w:rsidRPr="006268A9">
              <w:t>2534</w:t>
            </w:r>
          </w:p>
        </w:tc>
        <w:tc>
          <w:tcPr>
            <w:tcW w:w="2551" w:type="dxa"/>
          </w:tcPr>
          <w:p w14:paraId="4D632241" w14:textId="77777777" w:rsidR="00786A57" w:rsidRPr="006268A9" w:rsidRDefault="00786A57" w:rsidP="007955D7">
            <w:r w:rsidRPr="006268A9">
              <w:t>0·78 (0·61 to 1·00)</w:t>
            </w:r>
          </w:p>
        </w:tc>
        <w:tc>
          <w:tcPr>
            <w:tcW w:w="1099" w:type="dxa"/>
          </w:tcPr>
          <w:p w14:paraId="6F25F233" w14:textId="1A63902F" w:rsidR="00786A57" w:rsidRPr="006268A9" w:rsidRDefault="00786A57" w:rsidP="007955D7">
            <w:r w:rsidRPr="006268A9">
              <w:t>·05</w:t>
            </w:r>
          </w:p>
        </w:tc>
      </w:tr>
      <w:tr w:rsidR="00786A57" w:rsidRPr="00190DEC" w14:paraId="6A2C8926" w14:textId="77777777" w:rsidTr="006268A9">
        <w:tc>
          <w:tcPr>
            <w:tcW w:w="2268" w:type="dxa"/>
            <w:tcBorders>
              <w:bottom w:val="single" w:sz="4" w:space="0" w:color="auto"/>
            </w:tcBorders>
          </w:tcPr>
          <w:p w14:paraId="562DE7DC" w14:textId="77777777" w:rsidR="00786A57" w:rsidRPr="006268A9" w:rsidRDefault="00786A57" w:rsidP="007955D7">
            <w:pPr>
              <w:rPr>
                <w:b/>
                <w:bCs/>
              </w:rPr>
            </w:pPr>
            <w:r w:rsidRPr="006268A9">
              <w:rPr>
                <w:b/>
                <w:bCs/>
              </w:rPr>
              <w:t xml:space="preserve">eHLQ7 </w:t>
            </w:r>
          </w:p>
        </w:tc>
        <w:tc>
          <w:tcPr>
            <w:tcW w:w="1560" w:type="dxa"/>
            <w:tcBorders>
              <w:bottom w:val="single" w:sz="4" w:space="0" w:color="auto"/>
            </w:tcBorders>
          </w:tcPr>
          <w:p w14:paraId="3A24B4E5" w14:textId="77777777" w:rsidR="00786A57" w:rsidRPr="006268A9" w:rsidRDefault="00786A57" w:rsidP="007955D7">
            <w:r w:rsidRPr="006268A9">
              <w:t>1055</w:t>
            </w:r>
          </w:p>
        </w:tc>
        <w:tc>
          <w:tcPr>
            <w:tcW w:w="992" w:type="dxa"/>
            <w:tcBorders>
              <w:bottom w:val="single" w:sz="4" w:space="0" w:color="auto"/>
            </w:tcBorders>
          </w:tcPr>
          <w:p w14:paraId="2D3C8418" w14:textId="77777777" w:rsidR="00786A57" w:rsidRPr="006268A9" w:rsidRDefault="00786A57" w:rsidP="007955D7">
            <w:r w:rsidRPr="006268A9">
              <w:t>2534</w:t>
            </w:r>
          </w:p>
        </w:tc>
        <w:tc>
          <w:tcPr>
            <w:tcW w:w="2551" w:type="dxa"/>
            <w:tcBorders>
              <w:bottom w:val="single" w:sz="4" w:space="0" w:color="auto"/>
            </w:tcBorders>
          </w:tcPr>
          <w:p w14:paraId="05A44A77" w14:textId="77777777" w:rsidR="00786A57" w:rsidRPr="006268A9" w:rsidRDefault="00786A57" w:rsidP="007955D7">
            <w:r w:rsidRPr="006268A9">
              <w:t>0·80 (0·64 to 1·00)</w:t>
            </w:r>
          </w:p>
        </w:tc>
        <w:tc>
          <w:tcPr>
            <w:tcW w:w="1099" w:type="dxa"/>
            <w:tcBorders>
              <w:bottom w:val="single" w:sz="4" w:space="0" w:color="auto"/>
            </w:tcBorders>
          </w:tcPr>
          <w:p w14:paraId="0AC95E1F" w14:textId="789F0E9F" w:rsidR="00786A57" w:rsidRPr="006268A9" w:rsidRDefault="00786A57" w:rsidP="007955D7">
            <w:r w:rsidRPr="006268A9">
              <w:t>·06</w:t>
            </w:r>
          </w:p>
        </w:tc>
      </w:tr>
    </w:tbl>
    <w:p w14:paraId="7A8DEBC9" w14:textId="77777777" w:rsidR="00786A57" w:rsidRDefault="00786A57" w:rsidP="00EB6E35"/>
    <w:p w14:paraId="4C7621C9" w14:textId="77777777" w:rsidR="001450F3" w:rsidRDefault="001450F3" w:rsidP="00EB6E35"/>
    <w:p w14:paraId="7DDE877C" w14:textId="7E1311EB" w:rsidR="00D95E82" w:rsidRDefault="00D95E82" w:rsidP="00D95E82">
      <w:pPr>
        <w:pStyle w:val="Heading2"/>
      </w:pPr>
      <w:bookmarkStart w:id="18" w:name="Figure"/>
      <w:bookmarkStart w:id="19" w:name="Discussion"/>
      <w:bookmarkStart w:id="20" w:name="_Discussion_1"/>
      <w:bookmarkEnd w:id="18"/>
      <w:bookmarkEnd w:id="19"/>
      <w:bookmarkEnd w:id="20"/>
      <w:r>
        <w:t>Discussion</w:t>
      </w:r>
    </w:p>
    <w:p w14:paraId="444FA417" w14:textId="00BBC908" w:rsidR="006C5270" w:rsidRDefault="00D95E82" w:rsidP="006C5270">
      <w:pPr>
        <w:pStyle w:val="Heading3"/>
      </w:pPr>
      <w:r>
        <w:t xml:space="preserve">Principal </w:t>
      </w:r>
      <w:r w:rsidR="007F07CB">
        <w:t>r</w:t>
      </w:r>
      <w:r>
        <w:t>esults</w:t>
      </w:r>
      <w:r w:rsidR="006C5270">
        <w:t xml:space="preserve"> and comparison with </w:t>
      </w:r>
      <w:r w:rsidR="007F07CB">
        <w:t>p</w:t>
      </w:r>
      <w:r w:rsidR="006C5270">
        <w:t xml:space="preserve">rior </w:t>
      </w:r>
      <w:r w:rsidR="007F07CB">
        <w:t>w</w:t>
      </w:r>
      <w:r w:rsidR="006C5270">
        <w:t>ork</w:t>
      </w:r>
    </w:p>
    <w:p w14:paraId="38AD4C0F" w14:textId="1B9462AB" w:rsidR="0068388D" w:rsidRPr="00772D1A" w:rsidRDefault="0068388D" w:rsidP="0068388D">
      <w:pPr>
        <w:spacing w:line="276" w:lineRule="auto"/>
        <w:rPr>
          <w:rFonts w:cstheme="minorHAnsi"/>
        </w:rPr>
      </w:pPr>
      <w:r w:rsidRPr="0068388D">
        <w:rPr>
          <w:rFonts w:cstheme="minorHAnsi"/>
        </w:rPr>
        <w:t xml:space="preserve">Our findings are consistent with previous research which shows that </w:t>
      </w:r>
      <w:r w:rsidRPr="005D32E3">
        <w:rPr>
          <w:rFonts w:cstheme="minorHAnsi"/>
        </w:rPr>
        <w:t>women</w:t>
      </w:r>
      <w:r w:rsidR="009329F6" w:rsidRPr="005D32E3">
        <w:rPr>
          <w:rFonts w:cstheme="minorHAnsi"/>
        </w:rPr>
        <w:t xml:space="preserve"> [</w:t>
      </w:r>
      <w:r w:rsidR="00CF32EA">
        <w:rPr>
          <w:rFonts w:cstheme="minorHAnsi"/>
        </w:rPr>
        <w:t>12</w:t>
      </w:r>
      <w:r w:rsidR="00E324A0">
        <w:rPr>
          <w:rFonts w:cstheme="minorHAnsi"/>
        </w:rPr>
        <w:t>,</w:t>
      </w:r>
      <w:r w:rsidR="009E69DE">
        <w:rPr>
          <w:rFonts w:cstheme="minorHAnsi"/>
        </w:rPr>
        <w:t>14, 3</w:t>
      </w:r>
      <w:r w:rsidR="005D3CA4">
        <w:rPr>
          <w:rFonts w:cstheme="minorHAnsi"/>
        </w:rPr>
        <w:t>4</w:t>
      </w:r>
      <w:r w:rsidR="009329F6" w:rsidRPr="009329F6">
        <w:rPr>
          <w:rFonts w:cstheme="minorHAnsi"/>
        </w:rPr>
        <w:t>]</w:t>
      </w:r>
      <w:r w:rsidRPr="0068388D">
        <w:rPr>
          <w:rFonts w:cstheme="minorHAnsi"/>
        </w:rPr>
        <w:t xml:space="preserve"> and younger people are more likely to use digital health services, and that people with no formal qualifications are less likely to use NHS 111 online</w:t>
      </w:r>
      <w:r w:rsidR="009329F6">
        <w:rPr>
          <w:rFonts w:cstheme="minorHAnsi"/>
        </w:rPr>
        <w:t xml:space="preserve"> [</w:t>
      </w:r>
      <w:r w:rsidR="001579F0">
        <w:rPr>
          <w:rFonts w:cstheme="minorHAnsi"/>
        </w:rPr>
        <w:t>11,12,</w:t>
      </w:r>
      <w:r w:rsidR="00C76258">
        <w:rPr>
          <w:rFonts w:cstheme="minorHAnsi"/>
        </w:rPr>
        <w:t>3</w:t>
      </w:r>
      <w:r w:rsidR="005D3CA4">
        <w:rPr>
          <w:rFonts w:cstheme="minorHAnsi"/>
        </w:rPr>
        <w:t>5</w:t>
      </w:r>
      <w:r w:rsidR="00C76258">
        <w:rPr>
          <w:rFonts w:cstheme="minorHAnsi"/>
        </w:rPr>
        <w:t>,3</w:t>
      </w:r>
      <w:r w:rsidR="005D3CA4">
        <w:rPr>
          <w:rFonts w:cstheme="minorHAnsi"/>
        </w:rPr>
        <w:t>6</w:t>
      </w:r>
      <w:r w:rsidR="009329F6">
        <w:rPr>
          <w:rFonts w:cstheme="minorHAnsi"/>
        </w:rPr>
        <w:t>].</w:t>
      </w:r>
      <w:r w:rsidRPr="0068388D">
        <w:rPr>
          <w:rFonts w:cstheme="minorHAnsi"/>
        </w:rPr>
        <w:t xml:space="preserve"> To our knowledge this is the first time the eHLQ has been used to examine eHealth literacy in relation to use of </w:t>
      </w:r>
      <w:r w:rsidR="0099161D">
        <w:rPr>
          <w:rFonts w:cstheme="minorHAnsi"/>
        </w:rPr>
        <w:t>an urgent online health service (</w:t>
      </w:r>
      <w:r w:rsidRPr="0068388D">
        <w:rPr>
          <w:rFonts w:cstheme="minorHAnsi"/>
        </w:rPr>
        <w:t>NHS 111 online</w:t>
      </w:r>
      <w:r w:rsidR="0099161D">
        <w:rPr>
          <w:rFonts w:cstheme="minorHAnsi"/>
        </w:rPr>
        <w:t>)</w:t>
      </w:r>
      <w:r w:rsidRPr="0068388D">
        <w:rPr>
          <w:rFonts w:cstheme="minorHAnsi"/>
        </w:rPr>
        <w:t>. Despite relying on online data collection methods in some of our settings (</w:t>
      </w:r>
      <w:r w:rsidRPr="00772D1A">
        <w:rPr>
          <w:rFonts w:cstheme="minorHAnsi"/>
        </w:rPr>
        <w:t xml:space="preserve">due to COVID-19), we found clear differences in reported eHealth literacy between users and non-users of NHS 111 online. This finding suggests that the digital divide may be even greater than our data indicate. </w:t>
      </w:r>
      <w:r w:rsidR="004F09F8" w:rsidRPr="00772D1A">
        <w:rPr>
          <w:shd w:val="clear" w:color="auto" w:fill="FFFFFF"/>
        </w:rPr>
        <w:t xml:space="preserve">Similar significant differences have been reported in other studies </w:t>
      </w:r>
      <w:r w:rsidR="00233A27" w:rsidRPr="00772D1A">
        <w:rPr>
          <w:shd w:val="clear" w:color="auto" w:fill="FFFFFF"/>
        </w:rPr>
        <w:t>of users and non-users</w:t>
      </w:r>
      <w:r w:rsidR="0021628C" w:rsidRPr="00772D1A">
        <w:rPr>
          <w:shd w:val="clear" w:color="auto" w:fill="FFFFFF"/>
        </w:rPr>
        <w:t xml:space="preserve"> of technologies, </w:t>
      </w:r>
      <w:r w:rsidR="001579F0" w:rsidRPr="00772D1A">
        <w:rPr>
          <w:shd w:val="clear" w:color="auto" w:fill="FFFFFF"/>
        </w:rPr>
        <w:t>for example</w:t>
      </w:r>
      <w:r w:rsidR="00C02EF4" w:rsidRPr="00772D1A">
        <w:rPr>
          <w:shd w:val="clear" w:color="auto" w:fill="FFFFFF"/>
        </w:rPr>
        <w:t xml:space="preserve"> in </w:t>
      </w:r>
      <w:r w:rsidR="00817B50" w:rsidRPr="00772D1A">
        <w:rPr>
          <w:shd w:val="clear" w:color="auto" w:fill="FFFFFF"/>
        </w:rPr>
        <w:t xml:space="preserve">medical outpatients </w:t>
      </w:r>
      <w:r w:rsidR="0021628C" w:rsidRPr="00772D1A">
        <w:rPr>
          <w:shd w:val="clear" w:color="auto" w:fill="FFFFFF"/>
        </w:rPr>
        <w:t>using the eHL</w:t>
      </w:r>
      <w:r w:rsidR="005D2A11" w:rsidRPr="00772D1A">
        <w:rPr>
          <w:shd w:val="clear" w:color="auto" w:fill="FFFFFF"/>
        </w:rPr>
        <w:t xml:space="preserve">Q </w:t>
      </w:r>
      <w:r w:rsidR="00C02EF4" w:rsidRPr="00772D1A">
        <w:rPr>
          <w:shd w:val="clear" w:color="auto" w:fill="FFFFFF"/>
        </w:rPr>
        <w:t>[25]</w:t>
      </w:r>
      <w:r w:rsidR="00817B50" w:rsidRPr="00772D1A">
        <w:rPr>
          <w:shd w:val="clear" w:color="auto" w:fill="FFFFFF"/>
        </w:rPr>
        <w:t xml:space="preserve">, </w:t>
      </w:r>
      <w:r w:rsidR="00D82D61" w:rsidRPr="00772D1A">
        <w:rPr>
          <w:shd w:val="clear" w:color="auto" w:fill="FFFFFF"/>
        </w:rPr>
        <w:t xml:space="preserve">and the eHEALS </w:t>
      </w:r>
      <w:r w:rsidR="001C57AD" w:rsidRPr="00772D1A">
        <w:rPr>
          <w:shd w:val="clear" w:color="auto" w:fill="FFFFFF"/>
        </w:rPr>
        <w:t>instrument</w:t>
      </w:r>
      <w:r w:rsidR="005D2A11" w:rsidRPr="00772D1A">
        <w:rPr>
          <w:shd w:val="clear" w:color="auto" w:fill="FFFFFF"/>
        </w:rPr>
        <w:t xml:space="preserve"> </w:t>
      </w:r>
      <w:r w:rsidR="00D82D61" w:rsidRPr="00772D1A">
        <w:rPr>
          <w:shd w:val="clear" w:color="auto" w:fill="FFFFFF"/>
        </w:rPr>
        <w:t xml:space="preserve">in </w:t>
      </w:r>
      <w:r w:rsidR="00E9068E" w:rsidRPr="00772D1A">
        <w:rPr>
          <w:shd w:val="clear" w:color="auto" w:fill="FFFFFF"/>
        </w:rPr>
        <w:t xml:space="preserve">a population of baby boomers and older adults </w:t>
      </w:r>
      <w:r w:rsidR="001C57AD" w:rsidRPr="00772D1A">
        <w:rPr>
          <w:shd w:val="clear" w:color="auto" w:fill="FFFFFF"/>
        </w:rPr>
        <w:t>seeking health information on the internet</w:t>
      </w:r>
      <w:r w:rsidR="001C57AD" w:rsidRPr="00772D1A">
        <w:rPr>
          <w:rFonts w:ascii="Roboto" w:hAnsi="Roboto"/>
          <w:sz w:val="21"/>
          <w:szCs w:val="21"/>
          <w:shd w:val="clear" w:color="auto" w:fill="FFFFFF"/>
        </w:rPr>
        <w:t xml:space="preserve"> </w:t>
      </w:r>
      <w:r w:rsidR="00C02EF4" w:rsidRPr="00772D1A">
        <w:rPr>
          <w:rFonts w:ascii="Roboto" w:hAnsi="Roboto"/>
          <w:sz w:val="21"/>
          <w:szCs w:val="21"/>
          <w:shd w:val="clear" w:color="auto" w:fill="FFFFFF"/>
        </w:rPr>
        <w:t>[3</w:t>
      </w:r>
      <w:r w:rsidR="00E02C9B" w:rsidRPr="00772D1A">
        <w:rPr>
          <w:rFonts w:ascii="Roboto" w:hAnsi="Roboto"/>
          <w:sz w:val="21"/>
          <w:szCs w:val="21"/>
          <w:shd w:val="clear" w:color="auto" w:fill="FFFFFF"/>
        </w:rPr>
        <w:t>4</w:t>
      </w:r>
      <w:r w:rsidR="00C02EF4" w:rsidRPr="00772D1A">
        <w:rPr>
          <w:rFonts w:ascii="Roboto" w:hAnsi="Roboto"/>
          <w:sz w:val="21"/>
          <w:szCs w:val="21"/>
          <w:shd w:val="clear" w:color="auto" w:fill="FFFFFF"/>
        </w:rPr>
        <w:t>]</w:t>
      </w:r>
      <w:r w:rsidR="00E9068E" w:rsidRPr="00772D1A">
        <w:rPr>
          <w:rFonts w:ascii="Roboto" w:hAnsi="Roboto"/>
          <w:sz w:val="21"/>
          <w:szCs w:val="21"/>
          <w:shd w:val="clear" w:color="auto" w:fill="FFFFFF"/>
        </w:rPr>
        <w:t xml:space="preserve">. </w:t>
      </w:r>
      <w:r w:rsidRPr="00772D1A">
        <w:rPr>
          <w:rFonts w:cstheme="minorHAnsi"/>
        </w:rPr>
        <w:t xml:space="preserve">These eHealth literacy differences highlight potential for digital exclusion and widening of health inequalities and warrant further investigation. </w:t>
      </w:r>
    </w:p>
    <w:p w14:paraId="23F74902" w14:textId="77777777" w:rsidR="007543D0" w:rsidRPr="00233A27" w:rsidRDefault="007543D0" w:rsidP="0068388D">
      <w:pPr>
        <w:spacing w:line="276" w:lineRule="auto"/>
        <w:rPr>
          <w:rFonts w:cstheme="minorHAnsi"/>
          <w:lang w:val="en-GB"/>
        </w:rPr>
      </w:pPr>
    </w:p>
    <w:p w14:paraId="6B4BACBE" w14:textId="6B18FFC3" w:rsidR="0068388D" w:rsidRDefault="0068388D" w:rsidP="0068388D">
      <w:pPr>
        <w:spacing w:line="276" w:lineRule="auto"/>
        <w:rPr>
          <w:rFonts w:cstheme="minorHAnsi"/>
        </w:rPr>
      </w:pPr>
      <w:r w:rsidRPr="0068388D">
        <w:rPr>
          <w:rFonts w:cstheme="minorHAnsi"/>
        </w:rPr>
        <w:t>The survey showed that respondents who had a LT</w:t>
      </w:r>
      <w:r w:rsidR="00831673">
        <w:rPr>
          <w:rFonts w:cstheme="minorHAnsi"/>
        </w:rPr>
        <w:t>H</w:t>
      </w:r>
      <w:r w:rsidRPr="0068388D">
        <w:rPr>
          <w:rFonts w:cstheme="minorHAnsi"/>
        </w:rPr>
        <w:t>C appeared more likely to use NHS 111 online compared to those without a LT</w:t>
      </w:r>
      <w:r w:rsidR="00831673">
        <w:rPr>
          <w:rFonts w:cstheme="minorHAnsi"/>
        </w:rPr>
        <w:t>H</w:t>
      </w:r>
      <w:r w:rsidRPr="0068388D">
        <w:rPr>
          <w:rFonts w:cstheme="minorHAnsi"/>
        </w:rPr>
        <w:t>C. This is consistent with previous research</w:t>
      </w:r>
      <w:r w:rsidR="009329F6">
        <w:rPr>
          <w:rFonts w:cstheme="minorHAnsi"/>
        </w:rPr>
        <w:t xml:space="preserve"> [</w:t>
      </w:r>
      <w:r w:rsidR="00AD5BFA">
        <w:rPr>
          <w:rFonts w:cstheme="minorHAnsi"/>
        </w:rPr>
        <w:t>3</w:t>
      </w:r>
      <w:r w:rsidR="00E02C9B">
        <w:rPr>
          <w:rFonts w:cstheme="minorHAnsi"/>
        </w:rPr>
        <w:t>6</w:t>
      </w:r>
      <w:r w:rsidR="009329F6" w:rsidRPr="009329F6">
        <w:rPr>
          <w:rFonts w:cstheme="minorHAnsi"/>
        </w:rPr>
        <w:t>]</w:t>
      </w:r>
      <w:r w:rsidRPr="009329F6">
        <w:rPr>
          <w:rFonts w:cstheme="minorHAnsi"/>
        </w:rPr>
        <w:t xml:space="preserve"> </w:t>
      </w:r>
      <w:r w:rsidRPr="0068388D">
        <w:rPr>
          <w:rFonts w:cstheme="minorHAnsi"/>
        </w:rPr>
        <w:t>and might be used to argue that 111 online is meeting a need for this group. However, our findings are more nuanced: respondents who reported having a LT</w:t>
      </w:r>
      <w:r w:rsidR="00831673">
        <w:rPr>
          <w:rFonts w:cstheme="minorHAnsi"/>
        </w:rPr>
        <w:t>H</w:t>
      </w:r>
      <w:r w:rsidRPr="0068388D">
        <w:rPr>
          <w:rFonts w:cstheme="minorHAnsi"/>
        </w:rPr>
        <w:t>C tended to have lower eHLQ scores, and the sub-set of respondents with very low eHLQ scores who reported having a LT</w:t>
      </w:r>
      <w:r w:rsidR="00831673">
        <w:rPr>
          <w:rFonts w:cstheme="minorHAnsi"/>
        </w:rPr>
        <w:t>H</w:t>
      </w:r>
      <w:r w:rsidRPr="0068388D">
        <w:rPr>
          <w:rFonts w:cstheme="minorHAnsi"/>
        </w:rPr>
        <w:t xml:space="preserve">C had not used 111 online. This apparent digital exclusion may be a cause for concern and source of inequitable service provision.  </w:t>
      </w:r>
    </w:p>
    <w:p w14:paraId="7BDAC19F" w14:textId="77777777" w:rsidR="006C5270" w:rsidRPr="0068388D" w:rsidRDefault="006C5270" w:rsidP="0068388D">
      <w:pPr>
        <w:spacing w:line="276" w:lineRule="auto"/>
        <w:rPr>
          <w:rFonts w:cstheme="minorHAnsi"/>
        </w:rPr>
      </w:pPr>
    </w:p>
    <w:p w14:paraId="512EF84C" w14:textId="24E11BFB" w:rsidR="0068388D" w:rsidRDefault="0068388D" w:rsidP="0068388D">
      <w:pPr>
        <w:spacing w:line="276" w:lineRule="auto"/>
        <w:rPr>
          <w:rFonts w:cstheme="minorHAnsi"/>
        </w:rPr>
      </w:pPr>
      <w:r w:rsidRPr="0068388D">
        <w:rPr>
          <w:rFonts w:cstheme="minorHAnsi"/>
        </w:rPr>
        <w:t xml:space="preserve">People who currently use NHS 111 online appear to concurrently use a range of other urgent /emergency services. This </w:t>
      </w:r>
      <w:r w:rsidR="005C41FE">
        <w:rPr>
          <w:rFonts w:cstheme="minorHAnsi"/>
        </w:rPr>
        <w:t xml:space="preserve">may </w:t>
      </w:r>
      <w:r w:rsidRPr="0068388D">
        <w:rPr>
          <w:rFonts w:cstheme="minorHAnsi"/>
        </w:rPr>
        <w:t xml:space="preserve">suggest that the online service </w:t>
      </w:r>
      <w:r w:rsidR="00162ACC">
        <w:rPr>
          <w:rFonts w:cstheme="minorHAnsi"/>
        </w:rPr>
        <w:t xml:space="preserve">is </w:t>
      </w:r>
      <w:r w:rsidRPr="0068388D">
        <w:rPr>
          <w:rFonts w:cstheme="minorHAnsi"/>
        </w:rPr>
        <w:t xml:space="preserve">not a substitute for other services and does not seem to offer an alternative but an addition to the 111 telephone service in help seeking for urgent care. </w:t>
      </w:r>
      <w:r w:rsidR="007A6FFB">
        <w:rPr>
          <w:rFonts w:cstheme="minorHAnsi"/>
        </w:rPr>
        <w:t xml:space="preserve">It is important to note that the </w:t>
      </w:r>
      <w:r w:rsidR="007350A8">
        <w:rPr>
          <w:rFonts w:cstheme="minorHAnsi"/>
        </w:rPr>
        <w:t xml:space="preserve">survey </w:t>
      </w:r>
      <w:r w:rsidR="003375EC">
        <w:rPr>
          <w:rFonts w:cstheme="minorHAnsi"/>
        </w:rPr>
        <w:t xml:space="preserve">question </w:t>
      </w:r>
      <w:r w:rsidR="00162ACC">
        <w:rPr>
          <w:rFonts w:cstheme="minorHAnsi"/>
        </w:rPr>
        <w:t xml:space="preserve">asked </w:t>
      </w:r>
      <w:r w:rsidR="007350A8">
        <w:rPr>
          <w:rFonts w:cstheme="minorHAnsi"/>
        </w:rPr>
        <w:t xml:space="preserve">if respondents had </w:t>
      </w:r>
      <w:r w:rsidR="007350A8" w:rsidRPr="00162ACC">
        <w:rPr>
          <w:rFonts w:cstheme="minorHAnsi"/>
          <w:i/>
          <w:iCs/>
        </w:rPr>
        <w:t>ever</w:t>
      </w:r>
      <w:r w:rsidR="007350A8">
        <w:rPr>
          <w:rFonts w:cstheme="minorHAnsi"/>
        </w:rPr>
        <w:t xml:space="preserve"> used other urgent and </w:t>
      </w:r>
      <w:r w:rsidR="003375EC">
        <w:rPr>
          <w:rFonts w:cstheme="minorHAnsi"/>
        </w:rPr>
        <w:t>emergency</w:t>
      </w:r>
      <w:r w:rsidR="007350A8">
        <w:rPr>
          <w:rFonts w:cstheme="minorHAnsi"/>
        </w:rPr>
        <w:t xml:space="preserve"> services</w:t>
      </w:r>
      <w:r w:rsidR="00162ACC">
        <w:rPr>
          <w:rFonts w:cstheme="minorHAnsi"/>
        </w:rPr>
        <w:t xml:space="preserve">, </w:t>
      </w:r>
      <w:r w:rsidR="001D1E21">
        <w:rPr>
          <w:rFonts w:cstheme="minorHAnsi"/>
        </w:rPr>
        <w:t xml:space="preserve">so we do not know </w:t>
      </w:r>
      <w:r w:rsidR="0014734C">
        <w:rPr>
          <w:rFonts w:cstheme="minorHAnsi"/>
        </w:rPr>
        <w:t xml:space="preserve">whether </w:t>
      </w:r>
      <w:r w:rsidR="001D1E21">
        <w:rPr>
          <w:rFonts w:cstheme="minorHAnsi"/>
        </w:rPr>
        <w:t xml:space="preserve">responses indicate if </w:t>
      </w:r>
      <w:r w:rsidR="0014734C">
        <w:rPr>
          <w:rFonts w:cstheme="minorHAnsi"/>
        </w:rPr>
        <w:t>multiple services are used within a single episode of care</w:t>
      </w:r>
      <w:r w:rsidR="00B27F53">
        <w:rPr>
          <w:rFonts w:cstheme="minorHAnsi"/>
        </w:rPr>
        <w:t xml:space="preserve"> (e.g., using NHS111 online and other services), or whether </w:t>
      </w:r>
      <w:r w:rsidR="003375EC">
        <w:rPr>
          <w:rFonts w:cstheme="minorHAnsi"/>
        </w:rPr>
        <w:t xml:space="preserve">different services </w:t>
      </w:r>
      <w:r w:rsidR="00391A33">
        <w:rPr>
          <w:rFonts w:cstheme="minorHAnsi"/>
        </w:rPr>
        <w:t xml:space="preserve">are used </w:t>
      </w:r>
      <w:r w:rsidR="003375EC">
        <w:rPr>
          <w:rFonts w:cstheme="minorHAnsi"/>
        </w:rPr>
        <w:t>at different time points</w:t>
      </w:r>
      <w:r w:rsidR="005C41FE">
        <w:rPr>
          <w:rFonts w:cstheme="minorHAnsi"/>
        </w:rPr>
        <w:t xml:space="preserve"> </w:t>
      </w:r>
      <w:r w:rsidR="00391A33">
        <w:rPr>
          <w:rFonts w:cstheme="minorHAnsi"/>
        </w:rPr>
        <w:t xml:space="preserve">for </w:t>
      </w:r>
      <w:r w:rsidR="005C41FE">
        <w:rPr>
          <w:rFonts w:cstheme="minorHAnsi"/>
        </w:rPr>
        <w:t xml:space="preserve">different </w:t>
      </w:r>
      <w:r w:rsidR="00391A33">
        <w:rPr>
          <w:rFonts w:cstheme="minorHAnsi"/>
        </w:rPr>
        <w:t>reasons</w:t>
      </w:r>
      <w:r w:rsidR="005C41FE">
        <w:rPr>
          <w:rFonts w:cstheme="minorHAnsi"/>
        </w:rPr>
        <w:t xml:space="preserve">. </w:t>
      </w:r>
      <w:r w:rsidR="002105B8">
        <w:rPr>
          <w:rFonts w:cstheme="minorHAnsi"/>
        </w:rPr>
        <w:t xml:space="preserve"> </w:t>
      </w:r>
      <w:r w:rsidRPr="0068388D">
        <w:rPr>
          <w:rFonts w:cstheme="minorHAnsi"/>
        </w:rPr>
        <w:t xml:space="preserve">The value and health benefits of </w:t>
      </w:r>
      <w:r w:rsidR="002105B8">
        <w:rPr>
          <w:rFonts w:cstheme="minorHAnsi"/>
        </w:rPr>
        <w:t xml:space="preserve">NHS 11 1 online as an additional service </w:t>
      </w:r>
      <w:r w:rsidRPr="0068388D">
        <w:rPr>
          <w:rFonts w:cstheme="minorHAnsi"/>
        </w:rPr>
        <w:t xml:space="preserve">is unclear but, given that one of the key functions of the service is to refer on and signpost to other services, it seems unlikely that 111 online will reduce demand for other urgent and emergency care services. </w:t>
      </w:r>
    </w:p>
    <w:p w14:paraId="2ECEA476" w14:textId="77777777" w:rsidR="00235517" w:rsidRPr="0068388D" w:rsidRDefault="00235517" w:rsidP="0068388D">
      <w:pPr>
        <w:spacing w:line="276" w:lineRule="auto"/>
        <w:rPr>
          <w:rFonts w:cstheme="minorHAnsi"/>
        </w:rPr>
      </w:pPr>
    </w:p>
    <w:p w14:paraId="11F85E71" w14:textId="2581C786" w:rsidR="0068388D" w:rsidRPr="0068388D" w:rsidRDefault="0068388D" w:rsidP="0068388D">
      <w:pPr>
        <w:spacing w:line="276" w:lineRule="auto"/>
        <w:rPr>
          <w:rFonts w:cstheme="minorHAnsi"/>
        </w:rPr>
      </w:pPr>
      <w:r w:rsidRPr="0068388D">
        <w:rPr>
          <w:rFonts w:cstheme="minorHAnsi"/>
        </w:rPr>
        <w:t xml:space="preserve">Our survey showed that that people would consider using NHS 111 online for a range of symptom presentations. It was worrying that significant numbers reported they might use NHS 111 online for potentially more serious chest pain symptoms. We asked two patient and public involvement groups to reflect on this finding and they suggested that the now ubiquitous use of internet searching might underlie this, i.e., people experiencing a symptom for the first time would ‘Google it’. The use of 111 online for help seeking about illness in children may be similarly problematic as this service is not intended for use in relation to children under 5. Usage figures show higher than anticipated use for </w:t>
      </w:r>
      <w:r w:rsidR="009329F6" w:rsidRPr="0068388D">
        <w:rPr>
          <w:rFonts w:cstheme="minorHAnsi"/>
        </w:rPr>
        <w:t>6-year-old</w:t>
      </w:r>
      <w:r w:rsidR="005A0A94">
        <w:rPr>
          <w:rFonts w:cstheme="minorHAnsi"/>
        </w:rPr>
        <w:t xml:space="preserve"> children</w:t>
      </w:r>
      <w:r w:rsidRPr="0068388D">
        <w:rPr>
          <w:rFonts w:cstheme="minorHAnsi"/>
        </w:rPr>
        <w:t xml:space="preserve"> suggesting that online users may be using the algorithm to seek advice for younger children by inputting an older age to reveal dispositions. The use of NHS 111 online for potentially more serious symptom scenarios, or for younger children may introduce unnecessary delay in getting help. More targeted information to clarify the scope of NHS 111 online and to encourage greater awareness of appropriate use appears to be needed. </w:t>
      </w:r>
    </w:p>
    <w:p w14:paraId="7D2E9069" w14:textId="77777777" w:rsidR="002C00FD" w:rsidRPr="002C00FD" w:rsidRDefault="002C00FD" w:rsidP="002C00FD"/>
    <w:p w14:paraId="640B4513" w14:textId="2F5826CC" w:rsidR="00D95E82" w:rsidRDefault="0068388D" w:rsidP="00D95E82">
      <w:pPr>
        <w:pStyle w:val="Heading3"/>
      </w:pPr>
      <w:r>
        <w:t xml:space="preserve">Strengths and </w:t>
      </w:r>
      <w:r w:rsidR="007F07CB">
        <w:t>l</w:t>
      </w:r>
      <w:r w:rsidR="00D95E82">
        <w:t>imitations</w:t>
      </w:r>
    </w:p>
    <w:p w14:paraId="20259840" w14:textId="4D07682D" w:rsidR="006C5270" w:rsidRDefault="006C5270" w:rsidP="006C5270">
      <w:pPr>
        <w:spacing w:line="276" w:lineRule="auto"/>
        <w:rPr>
          <w:rFonts w:cstheme="minorHAnsi"/>
        </w:rPr>
      </w:pPr>
      <w:r w:rsidRPr="006C5270">
        <w:rPr>
          <w:rFonts w:cstheme="minorHAnsi"/>
        </w:rPr>
        <w:t xml:space="preserve">This large cross-sectional survey is the first to report on eHealth literacy of people using and not using </w:t>
      </w:r>
      <w:r w:rsidR="00E82626">
        <w:rPr>
          <w:rFonts w:cstheme="minorHAnsi"/>
        </w:rPr>
        <w:t>an urgent care triage and assess technology (</w:t>
      </w:r>
      <w:r w:rsidRPr="006C5270">
        <w:rPr>
          <w:rFonts w:cstheme="minorHAnsi"/>
        </w:rPr>
        <w:t>NHS 111 online</w:t>
      </w:r>
      <w:r w:rsidR="00E82626">
        <w:rPr>
          <w:rFonts w:cstheme="minorHAnsi"/>
        </w:rPr>
        <w:t>)</w:t>
      </w:r>
      <w:r w:rsidRPr="006C5270">
        <w:rPr>
          <w:rFonts w:cstheme="minorHAnsi"/>
        </w:rPr>
        <w:t xml:space="preserve">. We acknowledge the limitations of </w:t>
      </w:r>
      <w:r w:rsidR="00B611F6">
        <w:rPr>
          <w:rFonts w:cstheme="minorHAnsi"/>
        </w:rPr>
        <w:t>e</w:t>
      </w:r>
      <w:r w:rsidR="00AC263B">
        <w:rPr>
          <w:rFonts w:cstheme="minorHAnsi"/>
        </w:rPr>
        <w:t>H</w:t>
      </w:r>
      <w:r w:rsidR="00B611F6">
        <w:rPr>
          <w:rFonts w:cstheme="minorHAnsi"/>
        </w:rPr>
        <w:t>ealth</w:t>
      </w:r>
      <w:r w:rsidRPr="006C5270">
        <w:rPr>
          <w:rFonts w:cstheme="minorHAnsi"/>
        </w:rPr>
        <w:t xml:space="preserve"> health literacy </w:t>
      </w:r>
      <w:r w:rsidRPr="00F16BA3">
        <w:rPr>
          <w:rFonts w:cstheme="minorHAnsi"/>
        </w:rPr>
        <w:t>measures</w:t>
      </w:r>
      <w:r w:rsidR="00F16BA3">
        <w:rPr>
          <w:rFonts w:cstheme="minorHAnsi"/>
        </w:rPr>
        <w:t xml:space="preserve"> [</w:t>
      </w:r>
      <w:r w:rsidR="00230142">
        <w:rPr>
          <w:rFonts w:cstheme="minorHAnsi"/>
        </w:rPr>
        <w:t>3</w:t>
      </w:r>
      <w:r w:rsidR="00E02C9B">
        <w:rPr>
          <w:rFonts w:cstheme="minorHAnsi"/>
        </w:rPr>
        <w:t>7</w:t>
      </w:r>
      <w:r w:rsidR="00230142">
        <w:rPr>
          <w:rFonts w:cstheme="minorHAnsi"/>
        </w:rPr>
        <w:t>,3</w:t>
      </w:r>
      <w:r w:rsidR="00E02C9B">
        <w:rPr>
          <w:rFonts w:cstheme="minorHAnsi"/>
        </w:rPr>
        <w:t>8</w:t>
      </w:r>
      <w:r w:rsidR="00F16BA3">
        <w:rPr>
          <w:rFonts w:cstheme="minorHAnsi"/>
        </w:rPr>
        <w:t>]</w:t>
      </w:r>
      <w:r w:rsidRPr="006C5270">
        <w:rPr>
          <w:rFonts w:cstheme="minorHAnsi"/>
          <w:vertAlign w:val="superscript"/>
        </w:rPr>
        <w:t xml:space="preserve"> </w:t>
      </w:r>
      <w:r w:rsidRPr="006C5270">
        <w:rPr>
          <w:rFonts w:cstheme="minorHAnsi"/>
        </w:rPr>
        <w:t>and the problem of using self-reports to assess eHealth literacy but the</w:t>
      </w:r>
      <w:r w:rsidRPr="006C5270">
        <w:rPr>
          <w:rFonts w:cstheme="minorHAnsi"/>
          <w:lang w:eastAsia="zh-CN"/>
        </w:rPr>
        <w:t xml:space="preserve"> eHLQ has shown high </w:t>
      </w:r>
      <w:r w:rsidRPr="006C5270">
        <w:rPr>
          <w:rFonts w:cstheme="minorHAnsi"/>
          <w:shd w:val="clear" w:color="auto" w:fill="FFFFFF"/>
        </w:rPr>
        <w:t xml:space="preserve">construct validity, discriminant validity and scale </w:t>
      </w:r>
      <w:r w:rsidRPr="00F13CF9">
        <w:rPr>
          <w:rFonts w:cstheme="minorHAnsi"/>
          <w:shd w:val="clear" w:color="auto" w:fill="FFFFFF"/>
        </w:rPr>
        <w:t>reliability</w:t>
      </w:r>
      <w:r w:rsidR="00F16BA3" w:rsidRPr="00F13CF9">
        <w:rPr>
          <w:rFonts w:cstheme="minorHAnsi"/>
          <w:shd w:val="clear" w:color="auto" w:fill="FFFFFF"/>
        </w:rPr>
        <w:t xml:space="preserve"> [</w:t>
      </w:r>
      <w:r w:rsidR="00372B5D">
        <w:rPr>
          <w:rFonts w:cstheme="minorHAnsi"/>
          <w:shd w:val="clear" w:color="auto" w:fill="FFFFFF"/>
        </w:rPr>
        <w:t xml:space="preserve">24; </w:t>
      </w:r>
      <w:r w:rsidR="00876D1F">
        <w:rPr>
          <w:rFonts w:cstheme="minorHAnsi"/>
          <w:shd w:val="clear" w:color="auto" w:fill="FFFFFF"/>
        </w:rPr>
        <w:t>29,30</w:t>
      </w:r>
      <w:r w:rsidR="00F16BA3" w:rsidRPr="00F13CF9">
        <w:rPr>
          <w:rFonts w:cstheme="minorHAnsi"/>
          <w:shd w:val="clear" w:color="auto" w:fill="FFFFFF"/>
        </w:rPr>
        <w:t>]</w:t>
      </w:r>
      <w:r w:rsidR="00970C92">
        <w:rPr>
          <w:rFonts w:cstheme="minorHAnsi"/>
          <w:shd w:val="clear" w:color="auto" w:fill="FFFFFF"/>
        </w:rPr>
        <w:t>.</w:t>
      </w:r>
      <w:r w:rsidRPr="006C5270">
        <w:rPr>
          <w:rFonts w:cstheme="minorHAnsi"/>
          <w:shd w:val="clear" w:color="auto" w:fill="FFFFFF"/>
        </w:rPr>
        <w:t xml:space="preserve"> </w:t>
      </w:r>
      <w:r w:rsidRPr="006C5270">
        <w:rPr>
          <w:rFonts w:cstheme="minorHAnsi"/>
          <w:lang w:eastAsia="zh-CN"/>
        </w:rPr>
        <w:t>The requirement to report the seven d</w:t>
      </w:r>
      <w:r w:rsidR="005F3829">
        <w:rPr>
          <w:rFonts w:cstheme="minorHAnsi"/>
        </w:rPr>
        <w:t>imensions</w:t>
      </w:r>
      <w:r w:rsidRPr="006C5270">
        <w:rPr>
          <w:rFonts w:cstheme="minorHAnsi"/>
          <w:lang w:eastAsia="zh-CN"/>
        </w:rPr>
        <w:t xml:space="preserve"> separately adds analytical complexity compared to other measures which offer a single digital literacy score (such as the </w:t>
      </w:r>
      <w:r w:rsidR="00C80873">
        <w:rPr>
          <w:rFonts w:cstheme="minorHAnsi"/>
          <w:lang w:eastAsia="zh-CN"/>
        </w:rPr>
        <w:t>e</w:t>
      </w:r>
      <w:r w:rsidRPr="006C5270">
        <w:rPr>
          <w:rFonts w:cstheme="minorHAnsi"/>
          <w:lang w:eastAsia="zh-CN"/>
        </w:rPr>
        <w:t xml:space="preserve">HEALS </w:t>
      </w:r>
      <w:r w:rsidRPr="001619D1">
        <w:rPr>
          <w:rFonts w:cstheme="minorHAnsi"/>
          <w:lang w:eastAsia="zh-CN"/>
        </w:rPr>
        <w:t>instrument)</w:t>
      </w:r>
      <w:r w:rsidR="00F16BA3" w:rsidRPr="001619D1">
        <w:rPr>
          <w:rFonts w:cstheme="minorHAnsi"/>
          <w:lang w:eastAsia="zh-CN"/>
        </w:rPr>
        <w:t xml:space="preserve"> [</w:t>
      </w:r>
      <w:r w:rsidR="00CD0948">
        <w:rPr>
          <w:rFonts w:cstheme="minorHAnsi"/>
          <w:lang w:eastAsia="zh-CN"/>
        </w:rPr>
        <w:t>16</w:t>
      </w:r>
      <w:r w:rsidR="00F16BA3" w:rsidRPr="001619D1">
        <w:rPr>
          <w:rFonts w:cstheme="minorHAnsi"/>
          <w:lang w:eastAsia="zh-CN"/>
        </w:rPr>
        <w:t>].</w:t>
      </w:r>
      <w:r w:rsidRPr="001619D1">
        <w:rPr>
          <w:rFonts w:cstheme="minorHAnsi"/>
          <w:vertAlign w:val="superscript"/>
          <w:lang w:eastAsia="zh-CN"/>
        </w:rPr>
        <w:t xml:space="preserve"> </w:t>
      </w:r>
      <w:r w:rsidR="00D820FC">
        <w:rPr>
          <w:rFonts w:cstheme="minorHAnsi"/>
        </w:rPr>
        <w:t xml:space="preserve">Our pragmatic recruitment strategy (designed to captured users and non-users of NHS 111 online) meant that we were unable to calculate or estimate a response rate. </w:t>
      </w:r>
      <w:r w:rsidRPr="001619D1">
        <w:rPr>
          <w:rFonts w:cstheme="minorHAnsi"/>
        </w:rPr>
        <w:t>Survey</w:t>
      </w:r>
      <w:r w:rsidRPr="006C5270">
        <w:rPr>
          <w:rFonts w:cstheme="minorHAnsi"/>
        </w:rPr>
        <w:t xml:space="preserve"> data collection </w:t>
      </w:r>
      <w:r w:rsidRPr="006C5270">
        <w:rPr>
          <w:rFonts w:cstheme="minorHAnsi"/>
          <w:lang w:eastAsia="zh-CN"/>
        </w:rPr>
        <w:t xml:space="preserve">was conducted primarily online resulting </w:t>
      </w:r>
      <w:r w:rsidRPr="006C5270">
        <w:rPr>
          <w:rFonts w:cstheme="minorHAnsi"/>
        </w:rPr>
        <w:t xml:space="preserve">inevitably in some bias towards digital literacy in our sample. Some population groups (such as older adults, people with very low educational attainment) may be underrepresented. Recruitment via general practices via </w:t>
      </w:r>
      <w:r w:rsidR="00AB65D7">
        <w:rPr>
          <w:rFonts w:cstheme="minorHAnsi"/>
        </w:rPr>
        <w:t xml:space="preserve">text </w:t>
      </w:r>
      <w:r w:rsidRPr="006C5270">
        <w:rPr>
          <w:rFonts w:cstheme="minorHAnsi"/>
        </w:rPr>
        <w:t xml:space="preserve">mail excluded those without access to </w:t>
      </w:r>
      <w:r w:rsidR="00AB65D7">
        <w:rPr>
          <w:rFonts w:cstheme="minorHAnsi"/>
        </w:rPr>
        <w:t>text</w:t>
      </w:r>
      <w:r w:rsidRPr="006C5270">
        <w:rPr>
          <w:rFonts w:cstheme="minorHAnsi"/>
        </w:rPr>
        <w:t xml:space="preserve"> and those who had not consented to receiving text messages; again, this may disproportionally reduce the responses from some groups (e.g., older people). </w:t>
      </w:r>
      <w:r w:rsidRPr="006C5270">
        <w:rPr>
          <w:rFonts w:cstheme="minorHAnsi"/>
          <w:lang w:eastAsia="zh-CN"/>
        </w:rPr>
        <w:t xml:space="preserve">Nonetheless we have demonstrated </w:t>
      </w:r>
      <w:r w:rsidRPr="006C5270">
        <w:rPr>
          <w:rFonts w:cstheme="minorHAnsi"/>
        </w:rPr>
        <w:t xml:space="preserve">differences in reported </w:t>
      </w:r>
      <w:r w:rsidR="00B611F6">
        <w:rPr>
          <w:rFonts w:cstheme="minorHAnsi"/>
        </w:rPr>
        <w:t>e</w:t>
      </w:r>
      <w:r w:rsidR="00AC263B">
        <w:rPr>
          <w:rFonts w:cstheme="minorHAnsi"/>
        </w:rPr>
        <w:t>H</w:t>
      </w:r>
      <w:r w:rsidR="00B611F6">
        <w:rPr>
          <w:rFonts w:cstheme="minorHAnsi"/>
        </w:rPr>
        <w:t>ealth</w:t>
      </w:r>
      <w:r w:rsidRPr="006C5270">
        <w:rPr>
          <w:rFonts w:cstheme="minorHAnsi"/>
        </w:rPr>
        <w:t xml:space="preserve"> literacy and we contend that these are likely to under-report the digital divide, given that people with the lowest literacy and greatest barriers in access to digital technologies were less well represented in the survey.  </w:t>
      </w:r>
    </w:p>
    <w:p w14:paraId="7970E7DC" w14:textId="77777777" w:rsidR="00F16BA3" w:rsidRPr="006C5270" w:rsidRDefault="00F16BA3" w:rsidP="006C5270">
      <w:pPr>
        <w:spacing w:line="276" w:lineRule="auto"/>
        <w:rPr>
          <w:rFonts w:cstheme="minorHAnsi"/>
        </w:rPr>
      </w:pPr>
    </w:p>
    <w:p w14:paraId="5D4E862C" w14:textId="7F9B42F7" w:rsidR="006C5270" w:rsidRPr="006C5270" w:rsidRDefault="006C5270" w:rsidP="006C5270">
      <w:pPr>
        <w:spacing w:line="276" w:lineRule="auto"/>
        <w:rPr>
          <w:rFonts w:cstheme="minorHAnsi"/>
        </w:rPr>
      </w:pPr>
      <w:r w:rsidRPr="006C5270">
        <w:rPr>
          <w:rFonts w:cstheme="minorHAnsi"/>
          <w:lang w:eastAsia="zh-CN"/>
        </w:rPr>
        <w:t xml:space="preserve">Our data were collected from across England, including areas of deprivation and high health need. The </w:t>
      </w:r>
      <w:r w:rsidRPr="006C5270">
        <w:rPr>
          <w:rFonts w:cstheme="minorHAnsi"/>
        </w:rPr>
        <w:t>survey took place during the COVID-19 pandemic 2020-2021 and health services will adjust coming out of the pandemic, however NHS 111 online remains a core component of urgent care provision and demand management.</w:t>
      </w:r>
    </w:p>
    <w:p w14:paraId="4BD723B0" w14:textId="77777777" w:rsidR="0068388D" w:rsidRPr="0068388D" w:rsidRDefault="0068388D" w:rsidP="0068388D"/>
    <w:p w14:paraId="02E5D8EF" w14:textId="55AEAD78" w:rsidR="00D95E82" w:rsidRDefault="00D95E82" w:rsidP="00D95E82">
      <w:pPr>
        <w:pStyle w:val="Heading3"/>
      </w:pPr>
      <w:r>
        <w:t>Conclusions</w:t>
      </w:r>
      <w:r w:rsidR="006C5270">
        <w:t xml:space="preserve"> and future research</w:t>
      </w:r>
    </w:p>
    <w:p w14:paraId="4B854B1E" w14:textId="17906C25" w:rsidR="007D6A50" w:rsidRDefault="007D6A50" w:rsidP="00F16BA3">
      <w:pPr>
        <w:spacing w:line="276" w:lineRule="auto"/>
        <w:rPr>
          <w:rFonts w:cstheme="minorHAnsi"/>
        </w:rPr>
      </w:pPr>
      <w:r w:rsidRPr="007D6A50">
        <w:rPr>
          <w:rFonts w:cstheme="minorHAnsi"/>
        </w:rPr>
        <w:t>Our findings about eHealth literacy and use of NHS 111 online may not be surprising: younger, more educated people are more digitally literate and may be expected to be better able to use this urgent care service. However, we have identified important differences in reported eHealth literacy between users and non-users of NHS 111 online, notably for those with LT</w:t>
      </w:r>
      <w:r w:rsidR="00831673">
        <w:rPr>
          <w:rFonts w:cstheme="minorHAnsi"/>
        </w:rPr>
        <w:t>H</w:t>
      </w:r>
      <w:r w:rsidRPr="007D6A50">
        <w:rPr>
          <w:rFonts w:cstheme="minorHAnsi"/>
        </w:rPr>
        <w:t xml:space="preserve">Cs. Going forward the NHS must ensure that ‘digital first’ policies do not entrench or exacerbate health inequalities. </w:t>
      </w:r>
    </w:p>
    <w:p w14:paraId="59FAD708" w14:textId="77777777" w:rsidR="007D6A50" w:rsidRPr="007D6A50" w:rsidRDefault="007D6A50" w:rsidP="00F16BA3">
      <w:pPr>
        <w:spacing w:line="276" w:lineRule="auto"/>
        <w:rPr>
          <w:rFonts w:cstheme="minorHAnsi"/>
        </w:rPr>
      </w:pPr>
    </w:p>
    <w:p w14:paraId="539F97BD" w14:textId="277E9B5B" w:rsidR="007D6A50" w:rsidRDefault="007D6A50" w:rsidP="00F16BA3">
      <w:pPr>
        <w:spacing w:line="276" w:lineRule="auto"/>
        <w:rPr>
          <w:rFonts w:cstheme="minorHAnsi"/>
        </w:rPr>
      </w:pPr>
      <w:r w:rsidRPr="007D6A50">
        <w:rPr>
          <w:rFonts w:cstheme="minorHAnsi"/>
        </w:rPr>
        <w:t>One of the hopes for NHS 111 online was that it would substitute for other services, such as telephone or face to face urgent and emergency care</w:t>
      </w:r>
      <w:r w:rsidR="00E3799C">
        <w:rPr>
          <w:rFonts w:cstheme="minorHAnsi"/>
        </w:rPr>
        <w:t xml:space="preserve"> [3</w:t>
      </w:r>
      <w:r w:rsidR="000D79F6">
        <w:rPr>
          <w:rFonts w:cstheme="minorHAnsi"/>
        </w:rPr>
        <w:t>]</w:t>
      </w:r>
      <w:r w:rsidRPr="007D6A50">
        <w:rPr>
          <w:rFonts w:cstheme="minorHAnsi"/>
        </w:rPr>
        <w:t>. Our survey shows that NHS 111 online users were more likely to have used other NHS urgent and emergency care services in addition to using NHS 111 online, and they had higher cumulative use across these services compared to non-users. The implications of this, both in terms of health outcomes and service costs warrants further investigation.</w:t>
      </w:r>
    </w:p>
    <w:p w14:paraId="44691FAE" w14:textId="77777777" w:rsidR="007D6A50" w:rsidRPr="007D6A50" w:rsidRDefault="007D6A50" w:rsidP="00F16BA3">
      <w:pPr>
        <w:spacing w:line="276" w:lineRule="auto"/>
        <w:rPr>
          <w:rFonts w:cstheme="minorHAnsi"/>
        </w:rPr>
      </w:pPr>
    </w:p>
    <w:p w14:paraId="1A73473B" w14:textId="5F9CDA66" w:rsidR="003B0DF8" w:rsidRPr="007D6A50" w:rsidRDefault="007D6A50" w:rsidP="00F16BA3">
      <w:pPr>
        <w:spacing w:line="276" w:lineRule="auto"/>
        <w:rPr>
          <w:rFonts w:cstheme="minorHAnsi"/>
        </w:rPr>
      </w:pPr>
      <w:r w:rsidRPr="007D6A50">
        <w:rPr>
          <w:rFonts w:cstheme="minorHAnsi"/>
        </w:rPr>
        <w:t xml:space="preserve">Our survey also suggests that people who have not previously used 111 online appear </w:t>
      </w:r>
      <w:r w:rsidR="00B95C69">
        <w:rPr>
          <w:rFonts w:cstheme="minorHAnsi"/>
        </w:rPr>
        <w:t xml:space="preserve">likely </w:t>
      </w:r>
      <w:r w:rsidRPr="007D6A50">
        <w:rPr>
          <w:rFonts w:cstheme="minorHAnsi"/>
        </w:rPr>
        <w:t xml:space="preserve">to consider using it for a wide range of health scenarios. </w:t>
      </w:r>
      <w:r w:rsidR="00AB65D7">
        <w:rPr>
          <w:rFonts w:cstheme="minorHAnsi"/>
        </w:rPr>
        <w:t xml:space="preserve"> U</w:t>
      </w:r>
      <w:r w:rsidRPr="007D6A50">
        <w:rPr>
          <w:rFonts w:cstheme="minorHAnsi"/>
        </w:rPr>
        <w:t>nderstanding this reservoir of demand and their eHealth literacy will be important as online services continue to develop.</w:t>
      </w:r>
    </w:p>
    <w:p w14:paraId="30C7BE71" w14:textId="77777777" w:rsidR="007D6A50" w:rsidRPr="003B0DF8" w:rsidRDefault="007D6A50" w:rsidP="00F16BA3">
      <w:pPr>
        <w:spacing w:line="276" w:lineRule="auto"/>
      </w:pPr>
    </w:p>
    <w:p w14:paraId="4490ED90" w14:textId="35E69C56" w:rsidR="00F255AE" w:rsidRDefault="00985B41" w:rsidP="00E26F76">
      <w:pPr>
        <w:pStyle w:val="Heading3"/>
      </w:pPr>
      <w:bookmarkStart w:id="21" w:name="Acknowledgements"/>
      <w:bookmarkStart w:id="22" w:name="_Acknowledgements_1"/>
      <w:bookmarkEnd w:id="21"/>
      <w:bookmarkEnd w:id="22"/>
      <w:r>
        <w:t>Acknowledgements</w:t>
      </w:r>
    </w:p>
    <w:p w14:paraId="076F0937" w14:textId="77777777" w:rsidR="00ED0C10" w:rsidRPr="002415FC" w:rsidRDefault="00ED0C10" w:rsidP="00ED0C10">
      <w:pPr>
        <w:spacing w:after="160" w:line="276" w:lineRule="auto"/>
        <w:rPr>
          <w:rFonts w:cstheme="minorHAnsi"/>
        </w:rPr>
      </w:pPr>
      <w:r w:rsidRPr="002415FC">
        <w:rPr>
          <w:rFonts w:cstheme="minorHAnsi"/>
        </w:rPr>
        <w:t xml:space="preserve">We would like to thank the research participants who completed the survey and organisations that supported the survey administration, in particular the NHS 111 online team at NHS Digital for support in administering the online survey. We would also like to thank the wider research team, notably our PPI lead David Browne, and to PPI members from Groundswell, Sheffield Deep End, and the PPI members for the Steering Group for their input. </w:t>
      </w:r>
    </w:p>
    <w:p w14:paraId="27B88783" w14:textId="77777777" w:rsidR="002415FC" w:rsidRPr="002415FC" w:rsidRDefault="002415FC" w:rsidP="002415FC">
      <w:pPr>
        <w:spacing w:after="160" w:line="276" w:lineRule="auto"/>
        <w:rPr>
          <w:rStyle w:val="Emphasis"/>
          <w:rFonts w:cstheme="minorHAnsi"/>
        </w:rPr>
      </w:pPr>
      <w:r w:rsidRPr="002415FC">
        <w:rPr>
          <w:rFonts w:cstheme="minorHAnsi"/>
        </w:rPr>
        <w:t xml:space="preserve">This study was funded by the NIHR HS&amp;DR Programme (project number 127590) and will be published in full in </w:t>
      </w:r>
      <w:r w:rsidRPr="002415FC">
        <w:rPr>
          <w:rFonts w:cstheme="minorHAnsi"/>
          <w:i/>
          <w:iCs/>
        </w:rPr>
        <w:t>Health and Social Care Delivery Research</w:t>
      </w:r>
      <w:r w:rsidRPr="002415FC">
        <w:rPr>
          <w:rFonts w:cstheme="minorHAnsi"/>
        </w:rPr>
        <w:t xml:space="preserve">. Further information is available at </w:t>
      </w:r>
      <w:hyperlink r:id="rId6" w:history="1">
        <w:r w:rsidRPr="002415FC">
          <w:rPr>
            <w:rStyle w:val="Hyperlink"/>
            <w:rFonts w:cstheme="minorHAnsi"/>
          </w:rPr>
          <w:t>https://fundingawards.nihr.ac.uk/award/NIHR127590</w:t>
        </w:r>
      </w:hyperlink>
      <w:r w:rsidRPr="002415FC">
        <w:rPr>
          <w:rFonts w:cstheme="minorHAnsi"/>
        </w:rPr>
        <w:t xml:space="preserve">. </w:t>
      </w:r>
      <w:r w:rsidRPr="002415FC">
        <w:rPr>
          <w:rStyle w:val="Emphasis"/>
          <w:rFonts w:cstheme="minorHAnsi"/>
        </w:rPr>
        <w:t>This report presents independent research commissioned by the National Institute for Health Research (NIHR). The views and opinions expressed by authors in this publication are those of the authors and do not necessarily reflect those of the NHS, the NIHR, MRC, CCF, NETSCC, the HS&amp;DR programme or the Department of Health.</w:t>
      </w:r>
    </w:p>
    <w:p w14:paraId="1BC69A08" w14:textId="77777777" w:rsidR="0035660C" w:rsidRDefault="0035660C"/>
    <w:p w14:paraId="2D0FF30F" w14:textId="1F0F0CE6" w:rsidR="0035660C" w:rsidRDefault="0035660C" w:rsidP="0035660C">
      <w:pPr>
        <w:pStyle w:val="Heading3"/>
      </w:pPr>
      <w:bookmarkStart w:id="23" w:name="Conflicts"/>
      <w:bookmarkEnd w:id="23"/>
      <w:r>
        <w:t>Conflicts of Interest</w:t>
      </w:r>
    </w:p>
    <w:p w14:paraId="0B8DA61E" w14:textId="5B6C327C" w:rsidR="000C3BB5" w:rsidRPr="00F16BA3" w:rsidRDefault="000C3BB5" w:rsidP="000C3BB5">
      <w:pPr>
        <w:spacing w:line="276" w:lineRule="auto"/>
        <w:rPr>
          <w:rFonts w:cstheme="minorHAnsi"/>
          <w:shd w:val="clear" w:color="auto" w:fill="FFFFFF"/>
        </w:rPr>
      </w:pPr>
      <w:r w:rsidRPr="00F16BA3">
        <w:rPr>
          <w:rFonts w:cstheme="minorHAnsi"/>
        </w:rPr>
        <w:t xml:space="preserve">XX is an NIHR Board member </w:t>
      </w:r>
      <w:r w:rsidRPr="00F16BA3">
        <w:rPr>
          <w:rFonts w:cstheme="minorHAnsi"/>
          <w:shd w:val="clear" w:color="auto" w:fill="FFFFFF"/>
        </w:rPr>
        <w:t>but was not on the board which commissioned this project. None declared for all other authors.</w:t>
      </w:r>
    </w:p>
    <w:p w14:paraId="5A596C60" w14:textId="77777777" w:rsidR="002415FC" w:rsidRDefault="002415FC"/>
    <w:p w14:paraId="1F6E8DB4" w14:textId="5AC04A6C" w:rsidR="0035660C" w:rsidRDefault="0035660C" w:rsidP="0060675C">
      <w:pPr>
        <w:pStyle w:val="Heading3"/>
      </w:pPr>
      <w:bookmarkStart w:id="24" w:name="Abbreviations"/>
      <w:bookmarkStart w:id="25" w:name="_Abbreviations_1"/>
      <w:bookmarkEnd w:id="24"/>
      <w:bookmarkEnd w:id="25"/>
      <w:r>
        <w:t>Abbreviations</w:t>
      </w:r>
    </w:p>
    <w:p w14:paraId="0D4F3877" w14:textId="5707C98A" w:rsidR="002D7E2B" w:rsidRDefault="002D7E2B">
      <w:pPr>
        <w:rPr>
          <w:rFonts w:cstheme="minorHAnsi"/>
          <w:lang w:eastAsia="zh-CN"/>
        </w:rPr>
      </w:pPr>
      <w:r>
        <w:rPr>
          <w:rFonts w:cstheme="minorHAnsi"/>
          <w:lang w:eastAsia="zh-CN"/>
        </w:rPr>
        <w:t>CI: Confidence interval</w:t>
      </w:r>
    </w:p>
    <w:p w14:paraId="65225036" w14:textId="035C7709" w:rsidR="003E5D9C" w:rsidRDefault="003E5D9C">
      <w:r w:rsidRPr="006C5270">
        <w:rPr>
          <w:rFonts w:cstheme="minorHAnsi"/>
          <w:lang w:eastAsia="zh-CN"/>
        </w:rPr>
        <w:t>eHLQ</w:t>
      </w:r>
      <w:r w:rsidR="00096921">
        <w:rPr>
          <w:rFonts w:cstheme="minorHAnsi"/>
          <w:lang w:eastAsia="zh-CN"/>
        </w:rPr>
        <w:t>: eHealth Literacy Questionnaire</w:t>
      </w:r>
    </w:p>
    <w:p w14:paraId="1E560036" w14:textId="472B8F95" w:rsidR="00096921" w:rsidRDefault="00096921">
      <w:r>
        <w:t>ED: Emergency department</w:t>
      </w:r>
    </w:p>
    <w:p w14:paraId="605DD870" w14:textId="40467A6A" w:rsidR="00BA49BD" w:rsidRDefault="00BA49BD">
      <w:r>
        <w:t>LT</w:t>
      </w:r>
      <w:r w:rsidR="00831673">
        <w:t>H</w:t>
      </w:r>
      <w:r>
        <w:t xml:space="preserve">C: Long term </w:t>
      </w:r>
      <w:r w:rsidR="00831673">
        <w:t xml:space="preserve">health </w:t>
      </w:r>
      <w:r>
        <w:t>condition</w:t>
      </w:r>
    </w:p>
    <w:p w14:paraId="6F3EE411" w14:textId="2F9ACAAB" w:rsidR="0035660C" w:rsidRDefault="000C3BB5">
      <w:r>
        <w:t>NHS</w:t>
      </w:r>
      <w:r w:rsidR="0035660C">
        <w:t xml:space="preserve">: </w:t>
      </w:r>
      <w:r>
        <w:t>National Health Service</w:t>
      </w:r>
    </w:p>
    <w:p w14:paraId="26104B0E" w14:textId="0D655437" w:rsidR="002D7E2B" w:rsidRDefault="002D7E2B">
      <w:r>
        <w:t>OR: Odds ratio</w:t>
      </w:r>
    </w:p>
    <w:p w14:paraId="5D7B3B99" w14:textId="64ECF52D" w:rsidR="00096921" w:rsidRDefault="00096921">
      <w:r>
        <w:t xml:space="preserve">PPI: </w:t>
      </w:r>
      <w:r w:rsidR="007F07CB">
        <w:t>Patient public involvement</w:t>
      </w:r>
    </w:p>
    <w:p w14:paraId="59C5FC89" w14:textId="45F3B9BC" w:rsidR="00096921" w:rsidRDefault="00096921" w:rsidP="002E0296">
      <w:r>
        <w:t>SD: Standard deviation</w:t>
      </w:r>
    </w:p>
    <w:p w14:paraId="04F1A581" w14:textId="2431740C" w:rsidR="002E0296" w:rsidRDefault="00096921" w:rsidP="002E0296">
      <w:r>
        <w:t>UCC: Urgent care centre</w:t>
      </w:r>
    </w:p>
    <w:p w14:paraId="1DF400F4" w14:textId="77777777" w:rsidR="0035660C" w:rsidRDefault="0035660C"/>
    <w:p w14:paraId="7478D409" w14:textId="77777777" w:rsidR="00183F8F" w:rsidRDefault="00183F8F">
      <w:pPr>
        <w:rPr>
          <w:rFonts w:asciiTheme="majorHAnsi" w:eastAsiaTheme="majorEastAsia" w:hAnsiTheme="majorHAnsi" w:cstheme="majorBidi"/>
          <w:b/>
          <w:bCs/>
          <w:color w:val="4F81BD" w:themeColor="accent1"/>
          <w:sz w:val="26"/>
          <w:szCs w:val="26"/>
        </w:rPr>
      </w:pPr>
      <w:bookmarkStart w:id="26" w:name="Appendix"/>
      <w:bookmarkStart w:id="27" w:name="CONSORT"/>
      <w:bookmarkStart w:id="28" w:name="References"/>
      <w:bookmarkStart w:id="29" w:name="_References_1"/>
      <w:bookmarkEnd w:id="26"/>
      <w:bookmarkEnd w:id="27"/>
      <w:bookmarkEnd w:id="28"/>
      <w:bookmarkEnd w:id="29"/>
      <w:r>
        <w:br w:type="page"/>
      </w:r>
    </w:p>
    <w:p w14:paraId="67CE1943" w14:textId="3E3AE53B" w:rsidR="003B0DF8" w:rsidRDefault="00D95E82" w:rsidP="003B0DF8">
      <w:pPr>
        <w:pStyle w:val="Heading2"/>
      </w:pPr>
      <w:r>
        <w:t>References</w:t>
      </w:r>
    </w:p>
    <w:p w14:paraId="35841089" w14:textId="415A6FF0" w:rsidR="00451BEB" w:rsidRDefault="00451BEB" w:rsidP="00451BEB">
      <w:pPr>
        <w:shd w:val="clear" w:color="auto" w:fill="FFFFFF"/>
        <w:rPr>
          <w:rFonts w:ascii="Arial" w:hAnsi="Arial" w:cs="Arial"/>
          <w:sz w:val="20"/>
          <w:szCs w:val="20"/>
        </w:rPr>
      </w:pPr>
      <w:bookmarkStart w:id="30" w:name="Refformat"/>
      <w:bookmarkEnd w:id="30"/>
    </w:p>
    <w:p w14:paraId="424FEF7E" w14:textId="77777777" w:rsidR="006E1269" w:rsidRPr="006E1269" w:rsidRDefault="00920EDE" w:rsidP="009939A9">
      <w:pPr>
        <w:pStyle w:val="ListParagraph"/>
        <w:numPr>
          <w:ilvl w:val="0"/>
          <w:numId w:val="4"/>
        </w:numPr>
        <w:spacing w:before="120" w:after="120"/>
        <w:ind w:left="357" w:hanging="357"/>
        <w:rPr>
          <w:rFonts w:cs="Times New Roman"/>
        </w:rPr>
      </w:pPr>
      <w:r w:rsidRPr="006E1269">
        <w:rPr>
          <w:rFonts w:cs="Times New Roman"/>
        </w:rPr>
        <w:t xml:space="preserve">World </w:t>
      </w:r>
      <w:r w:rsidRPr="006E1269">
        <w:rPr>
          <w:rFonts w:cs="Arial"/>
        </w:rPr>
        <w:t xml:space="preserve">Health Organistion 2021. Global strategy on digital health 2020-2025. Geneva: World Health Organisation. </w:t>
      </w:r>
      <w:hyperlink r:id="rId7" w:history="1">
        <w:r w:rsidRPr="006E1269">
          <w:rPr>
            <w:rStyle w:val="Hyperlink"/>
            <w:lang w:val="en-GB"/>
          </w:rPr>
          <w:t>https://www.who.int/docs/default-source/documents/gs4dhdaa2a9f352b0445bafbc79ca799dce4d.pdf</w:t>
        </w:r>
      </w:hyperlink>
      <w:r w:rsidR="00492775" w:rsidRPr="006E1269">
        <w:rPr>
          <w:rFonts w:cs="Arial"/>
          <w:lang w:val="en-GB"/>
        </w:rPr>
        <w:t xml:space="preserve"> [Accessed 18/11/2023].</w:t>
      </w:r>
    </w:p>
    <w:p w14:paraId="1D3FB982" w14:textId="6229333B" w:rsidR="006E1269" w:rsidRPr="006E1269" w:rsidRDefault="00920EDE" w:rsidP="009939A9">
      <w:pPr>
        <w:pStyle w:val="ListParagraph"/>
        <w:numPr>
          <w:ilvl w:val="0"/>
          <w:numId w:val="4"/>
        </w:numPr>
        <w:spacing w:before="120" w:after="120"/>
        <w:rPr>
          <w:rFonts w:cstheme="minorHAnsi"/>
          <w:shd w:val="clear" w:color="auto" w:fill="FFFFFF"/>
        </w:rPr>
      </w:pPr>
      <w:r w:rsidRPr="006E1269">
        <w:rPr>
          <w:rFonts w:cstheme="minorHAnsi"/>
        </w:rPr>
        <w:t>Gunasekeran DV, Tham Y, Ting DSW, Tan GSW, Wong TY. Digital health during COVID-19: lessons from operationalising new models of care in ophthalmology. The Lancet Digital Health 2021;3(2):e124-134. doi: 10.1016/S2589-7500(20)30287-9.</w:t>
      </w:r>
    </w:p>
    <w:p w14:paraId="5AB976AA" w14:textId="30DCAF59" w:rsidR="00920EDE" w:rsidRPr="006E1269" w:rsidRDefault="00920EDE" w:rsidP="009939A9">
      <w:pPr>
        <w:pStyle w:val="ListParagraph"/>
        <w:numPr>
          <w:ilvl w:val="0"/>
          <w:numId w:val="4"/>
        </w:numPr>
        <w:spacing w:before="120" w:after="120"/>
        <w:rPr>
          <w:rFonts w:cstheme="minorHAnsi"/>
          <w:shd w:val="clear" w:color="auto" w:fill="FFFFFF"/>
        </w:rPr>
      </w:pPr>
      <w:r w:rsidRPr="006E1269">
        <w:rPr>
          <w:rFonts w:cstheme="minorHAnsi"/>
          <w:shd w:val="clear" w:color="auto" w:fill="FFFFFF"/>
        </w:rPr>
        <w:t xml:space="preserve">NHS Digital </w:t>
      </w:r>
      <w:hyperlink r:id="rId8" w:history="1">
        <w:r w:rsidRPr="006E1269">
          <w:rPr>
            <w:rStyle w:val="Hyperlink"/>
            <w:rFonts w:cstheme="minorHAnsi"/>
            <w:shd w:val="clear" w:color="auto" w:fill="FFFFFF"/>
          </w:rPr>
          <w:t>https://digital.nhs.uk/services/nhs-111-online</w:t>
        </w:r>
      </w:hyperlink>
      <w:r w:rsidRPr="006E1269">
        <w:rPr>
          <w:rStyle w:val="Hyperlink"/>
          <w:rFonts w:cstheme="minorHAnsi"/>
          <w:shd w:val="clear" w:color="auto" w:fill="FFFFFF"/>
        </w:rPr>
        <w:t xml:space="preserve"> </w:t>
      </w:r>
      <w:r w:rsidRPr="006E1269">
        <w:rPr>
          <w:rFonts w:cstheme="minorHAnsi"/>
          <w:shd w:val="clear" w:color="auto" w:fill="FFFFFF"/>
        </w:rPr>
        <w:t xml:space="preserve"> [Accessed 30/05/2023].</w:t>
      </w:r>
    </w:p>
    <w:p w14:paraId="603A04DE" w14:textId="77777777" w:rsidR="006E1269" w:rsidRPr="006E1269" w:rsidRDefault="00920EDE" w:rsidP="009939A9">
      <w:pPr>
        <w:pStyle w:val="ListParagraph"/>
        <w:numPr>
          <w:ilvl w:val="0"/>
          <w:numId w:val="4"/>
        </w:numPr>
        <w:shd w:val="clear" w:color="auto" w:fill="FFFFFF"/>
        <w:spacing w:before="120" w:after="120"/>
        <w:rPr>
          <w:rFonts w:cstheme="minorHAnsi"/>
          <w:shd w:val="clear" w:color="auto" w:fill="FFFFFF"/>
        </w:rPr>
      </w:pPr>
      <w:r w:rsidRPr="004D3B26">
        <w:t>Paddison CAM</w:t>
      </w:r>
      <w:r>
        <w:t xml:space="preserve">, </w:t>
      </w:r>
      <w:r w:rsidRPr="004D3B26">
        <w:t>McGill I (2022)</w:t>
      </w:r>
      <w:r w:rsidR="00606D5D">
        <w:t>.</w:t>
      </w:r>
      <w:r w:rsidRPr="004D3B26">
        <w:t xml:space="preserve"> Digital primary care: Improving access for all? Nuffield Trust</w:t>
      </w:r>
      <w:r w:rsidR="006E1269">
        <w:t>.</w:t>
      </w:r>
    </w:p>
    <w:p w14:paraId="640074A2" w14:textId="77777777" w:rsidR="006E1269" w:rsidRPr="006E1269" w:rsidRDefault="00920EDE" w:rsidP="009939A9">
      <w:pPr>
        <w:pStyle w:val="ListParagraph"/>
        <w:numPr>
          <w:ilvl w:val="0"/>
          <w:numId w:val="4"/>
        </w:numPr>
        <w:shd w:val="clear" w:color="auto" w:fill="FFFFFF"/>
        <w:spacing w:before="120" w:after="120"/>
        <w:rPr>
          <w:rFonts w:cstheme="minorHAnsi"/>
          <w:shd w:val="clear" w:color="auto" w:fill="FFFFFF"/>
        </w:rPr>
      </w:pPr>
      <w:r w:rsidRPr="006E1269">
        <w:rPr>
          <w:color w:val="212121"/>
          <w:shd w:val="clear" w:color="auto" w:fill="FFFFFF"/>
        </w:rPr>
        <w:t>Bryce C, O'Connell MD, Dale J, Underwood M, Atherton H. Online and telephone access to general practice: a cross-sectional patient survey. BJGP Open 2021</w:t>
      </w:r>
      <w:r w:rsidR="00A210BF" w:rsidRPr="006E1269">
        <w:rPr>
          <w:color w:val="212121"/>
          <w:shd w:val="clear" w:color="auto" w:fill="FFFFFF"/>
        </w:rPr>
        <w:t>;</w:t>
      </w:r>
      <w:r w:rsidRPr="006E1269">
        <w:rPr>
          <w:color w:val="212121"/>
          <w:shd w:val="clear" w:color="auto" w:fill="FFFFFF"/>
        </w:rPr>
        <w:t>24;5(4)</w:t>
      </w:r>
      <w:r w:rsidR="00FA59F7" w:rsidRPr="006E1269">
        <w:rPr>
          <w:color w:val="212121"/>
          <w:shd w:val="clear" w:color="auto" w:fill="FFFFFF"/>
        </w:rPr>
        <w:t xml:space="preserve">. </w:t>
      </w:r>
      <w:r w:rsidRPr="006E1269">
        <w:rPr>
          <w:color w:val="212121"/>
          <w:shd w:val="clear" w:color="auto" w:fill="FFFFFF"/>
        </w:rPr>
        <w:t>doi: 10.3399/BJGPO.2020.0179.</w:t>
      </w:r>
    </w:p>
    <w:p w14:paraId="678C3D41" w14:textId="77777777" w:rsidR="006E1269" w:rsidRPr="006E1269" w:rsidRDefault="00920EDE" w:rsidP="009939A9">
      <w:pPr>
        <w:pStyle w:val="ListParagraph"/>
        <w:numPr>
          <w:ilvl w:val="0"/>
          <w:numId w:val="4"/>
        </w:numPr>
        <w:shd w:val="clear" w:color="auto" w:fill="FFFFFF"/>
        <w:spacing w:before="120" w:after="120"/>
        <w:rPr>
          <w:rFonts w:cstheme="minorHAnsi"/>
        </w:rPr>
      </w:pPr>
      <w:r w:rsidRPr="006E1269">
        <w:rPr>
          <w:rFonts w:cstheme="minorHAnsi"/>
          <w:shd w:val="clear" w:color="auto" w:fill="FFFFFF"/>
        </w:rPr>
        <w:t>NHS England 2019. The Long Term Plan</w:t>
      </w:r>
      <w:r w:rsidR="00EA14CB" w:rsidRPr="006E1269">
        <w:rPr>
          <w:rFonts w:cstheme="minorHAnsi"/>
          <w:shd w:val="clear" w:color="auto" w:fill="FFFFFF"/>
        </w:rPr>
        <w:t>.</w:t>
      </w:r>
      <w:r w:rsidRPr="006E1269">
        <w:rPr>
          <w:rFonts w:cstheme="minorHAnsi"/>
          <w:shd w:val="clear" w:color="auto" w:fill="FFFFFF"/>
        </w:rPr>
        <w:t xml:space="preserve"> </w:t>
      </w:r>
      <w:hyperlink r:id="rId9" w:history="1">
        <w:r w:rsidR="00EA14CB" w:rsidRPr="006E1269">
          <w:rPr>
            <w:rStyle w:val="Hyperlink"/>
            <w:rFonts w:cstheme="minorHAnsi"/>
            <w:shd w:val="clear" w:color="auto" w:fill="FFFFFF"/>
          </w:rPr>
          <w:t>https://www.longtermplan.nhs.uk/wp-content/uploads/2019/08/nhs-long-term-plan-version-1.2.pdf</w:t>
        </w:r>
      </w:hyperlink>
      <w:r w:rsidR="00EA14CB" w:rsidRPr="006E1269">
        <w:rPr>
          <w:rFonts w:cstheme="minorHAnsi"/>
          <w:shd w:val="clear" w:color="auto" w:fill="FFFFFF"/>
        </w:rPr>
        <w:t xml:space="preserve"> [Accessed 18/11/2023]</w:t>
      </w:r>
      <w:r w:rsidR="006E1269" w:rsidRPr="006E1269">
        <w:rPr>
          <w:rFonts w:cstheme="minorHAnsi"/>
          <w:shd w:val="clear" w:color="auto" w:fill="FFFFFF"/>
        </w:rPr>
        <w:t>.</w:t>
      </w:r>
    </w:p>
    <w:p w14:paraId="1D8244EF" w14:textId="77777777" w:rsidR="006E1269" w:rsidRPr="006E1269" w:rsidRDefault="00920EDE" w:rsidP="009939A9">
      <w:pPr>
        <w:pStyle w:val="ListParagraph"/>
        <w:numPr>
          <w:ilvl w:val="0"/>
          <w:numId w:val="4"/>
        </w:numPr>
        <w:shd w:val="clear" w:color="auto" w:fill="FFFFFF"/>
        <w:spacing w:before="120" w:after="120"/>
        <w:rPr>
          <w:rFonts w:cstheme="minorHAnsi"/>
          <w:shd w:val="clear" w:color="auto" w:fill="FFFFFF"/>
          <w:lang w:val="en-GB"/>
        </w:rPr>
      </w:pPr>
      <w:r w:rsidRPr="006E1269">
        <w:rPr>
          <w:rFonts w:cstheme="minorHAnsi"/>
        </w:rPr>
        <w:t xml:space="preserve">Chambers D, Cantrell A, Johnson M, Preston L, Baxter SK, Booth A, et al. Digital and online symptom checkers and assessment services for urgent care to inform a new digital platform: a systematic review. </w:t>
      </w:r>
      <w:r w:rsidRPr="006E1269">
        <w:rPr>
          <w:rFonts w:cstheme="minorHAnsi"/>
          <w:iCs/>
        </w:rPr>
        <w:t xml:space="preserve">Health Serv Deliv Res </w:t>
      </w:r>
      <w:r w:rsidRPr="006E1269">
        <w:rPr>
          <w:rFonts w:cstheme="minorHAnsi"/>
        </w:rPr>
        <w:t>2019;7:29. doi: 10.3310/hsdr07290.</w:t>
      </w:r>
    </w:p>
    <w:p w14:paraId="31336AD1" w14:textId="77777777" w:rsidR="006E1269" w:rsidRPr="006E1269" w:rsidRDefault="00920EDE" w:rsidP="009939A9">
      <w:pPr>
        <w:pStyle w:val="ListParagraph"/>
        <w:numPr>
          <w:ilvl w:val="0"/>
          <w:numId w:val="4"/>
        </w:numPr>
        <w:shd w:val="clear" w:color="auto" w:fill="FFFFFF"/>
        <w:spacing w:before="120" w:after="120"/>
        <w:rPr>
          <w:rFonts w:cs="Times New Roman"/>
        </w:rPr>
      </w:pPr>
      <w:r w:rsidRPr="00A92780">
        <w:rPr>
          <w:rFonts w:cstheme="minorHAnsi"/>
          <w:shd w:val="clear" w:color="auto" w:fill="FFFFFF"/>
          <w:lang w:val="en-GB"/>
        </w:rPr>
        <w:t>NHS England 2017</w:t>
      </w:r>
      <w:r w:rsidR="00EA14CB" w:rsidRPr="00A92780">
        <w:rPr>
          <w:rFonts w:cstheme="minorHAnsi"/>
          <w:shd w:val="clear" w:color="auto" w:fill="FFFFFF"/>
          <w:lang w:val="en-GB"/>
        </w:rPr>
        <w:t>.</w:t>
      </w:r>
      <w:r w:rsidR="00C93F7D" w:rsidRPr="00A92780">
        <w:rPr>
          <w:rFonts w:cstheme="minorHAnsi"/>
          <w:shd w:val="clear" w:color="auto" w:fill="FFFFFF"/>
          <w:lang w:val="en-GB"/>
        </w:rPr>
        <w:t xml:space="preserve"> </w:t>
      </w:r>
      <w:r w:rsidR="000C3BBF" w:rsidRPr="006E1269">
        <w:rPr>
          <w:rFonts w:cstheme="minorHAnsi"/>
          <w:shd w:val="clear" w:color="auto" w:fill="FFFFFF"/>
          <w:lang w:val="en-GB"/>
        </w:rPr>
        <w:t xml:space="preserve">Next steps on the NHS </w:t>
      </w:r>
      <w:r w:rsidR="00905971" w:rsidRPr="006E1269">
        <w:rPr>
          <w:rFonts w:cstheme="minorHAnsi"/>
          <w:shd w:val="clear" w:color="auto" w:fill="FFFFFF"/>
          <w:lang w:val="en-GB"/>
        </w:rPr>
        <w:t xml:space="preserve">five year forward review. </w:t>
      </w:r>
      <w:hyperlink r:id="rId10" w:history="1">
        <w:r w:rsidRPr="006E1269">
          <w:rPr>
            <w:rStyle w:val="cf01"/>
            <w:rFonts w:asciiTheme="minorHAnsi" w:hAnsiTheme="minorHAnsi"/>
            <w:color w:val="0000FF"/>
            <w:sz w:val="24"/>
            <w:szCs w:val="24"/>
            <w:u w:val="single"/>
            <w:lang w:val="en-GB"/>
          </w:rPr>
          <w:t>https://www.england.nhs.uk/wp-content/uploads/2017/03/NEXT-STEPS-ON-THE-NHS-FIVE-YEAR-FORWARD-VIEW.pdf</w:t>
        </w:r>
      </w:hyperlink>
      <w:r w:rsidR="00905971" w:rsidRPr="006E1269">
        <w:rPr>
          <w:rFonts w:cs="Arial"/>
        </w:rPr>
        <w:t xml:space="preserve"> [Accessed 18/11/2023]</w:t>
      </w:r>
      <w:r w:rsidR="006E1269" w:rsidRPr="006E1269">
        <w:rPr>
          <w:rFonts w:cs="Arial"/>
        </w:rPr>
        <w:t>.</w:t>
      </w:r>
    </w:p>
    <w:p w14:paraId="68120E82" w14:textId="77777777" w:rsidR="006E1269" w:rsidRPr="006E1269" w:rsidRDefault="00920EDE" w:rsidP="009939A9">
      <w:pPr>
        <w:pStyle w:val="ListParagraph"/>
        <w:numPr>
          <w:ilvl w:val="0"/>
          <w:numId w:val="4"/>
        </w:numPr>
        <w:shd w:val="clear" w:color="auto" w:fill="FFFFFF"/>
        <w:spacing w:before="120" w:after="120"/>
        <w:rPr>
          <w:rFonts w:cstheme="minorHAnsi"/>
          <w:shd w:val="clear" w:color="auto" w:fill="FFFFFF"/>
          <w:lang w:val="en-GB"/>
        </w:rPr>
      </w:pPr>
      <w:r w:rsidRPr="006E1269">
        <w:rPr>
          <w:rFonts w:cstheme="minorHAnsi"/>
          <w:shd w:val="clear" w:color="auto" w:fill="FFFFFF"/>
        </w:rPr>
        <w:t>Baird B, Maguire D.</w:t>
      </w:r>
      <w:r w:rsidR="00B876E0" w:rsidRPr="006E1269">
        <w:rPr>
          <w:rFonts w:cstheme="minorHAnsi"/>
          <w:shd w:val="clear" w:color="auto" w:fill="FFFFFF"/>
        </w:rPr>
        <w:t xml:space="preserve"> 2021.</w:t>
      </w:r>
      <w:r w:rsidRPr="006E1269">
        <w:rPr>
          <w:rFonts w:cstheme="minorHAnsi"/>
          <w:shd w:val="clear" w:color="auto" w:fill="FFFFFF"/>
        </w:rPr>
        <w:t xml:space="preserve"> Understanding factors that enabled digital service change in general practice during the Covid-19 pandemic. London: The King’s Fund</w:t>
      </w:r>
      <w:r w:rsidR="00905971" w:rsidRPr="006E1269">
        <w:rPr>
          <w:rFonts w:cstheme="minorHAnsi"/>
          <w:shd w:val="clear" w:color="auto" w:fill="FFFFFF"/>
        </w:rPr>
        <w:t>.</w:t>
      </w:r>
      <w:r w:rsidRPr="006E1269">
        <w:rPr>
          <w:rFonts w:cstheme="minorHAnsi"/>
          <w:shd w:val="clear" w:color="auto" w:fill="FFFFFF"/>
        </w:rPr>
        <w:t> </w:t>
      </w:r>
      <w:hyperlink r:id="rId11" w:history="1">
        <w:r w:rsidR="00905971" w:rsidRPr="006E1269">
          <w:rPr>
            <w:rStyle w:val="Hyperlink"/>
            <w:rFonts w:cstheme="minorHAnsi"/>
            <w:shd w:val="clear" w:color="auto" w:fill="FFFFFF"/>
          </w:rPr>
          <w:t>https://www.kingsfund.org.uk/publications/digital-service-change-general-practice-during-covid-19</w:t>
        </w:r>
      </w:hyperlink>
      <w:r w:rsidRPr="006E1269">
        <w:rPr>
          <w:rFonts w:cstheme="minorHAnsi"/>
        </w:rPr>
        <w:t xml:space="preserve"> [Accessed 30/05/2023]</w:t>
      </w:r>
      <w:r w:rsidRPr="006E1269">
        <w:rPr>
          <w:rFonts w:cstheme="minorHAnsi"/>
          <w:shd w:val="clear" w:color="auto" w:fill="FFFFFF"/>
        </w:rPr>
        <w:t>.</w:t>
      </w:r>
    </w:p>
    <w:p w14:paraId="61C36F73" w14:textId="77777777" w:rsidR="006E1269" w:rsidRPr="006E1269" w:rsidRDefault="00920EDE" w:rsidP="009939A9">
      <w:pPr>
        <w:pStyle w:val="ListParagraph"/>
        <w:numPr>
          <w:ilvl w:val="0"/>
          <w:numId w:val="4"/>
        </w:numPr>
        <w:shd w:val="clear" w:color="auto" w:fill="FFFFFF"/>
        <w:spacing w:before="120" w:after="120"/>
        <w:rPr>
          <w:rFonts w:cstheme="minorHAnsi"/>
          <w:noProof/>
        </w:rPr>
      </w:pPr>
      <w:r w:rsidRPr="006E1269">
        <w:rPr>
          <w:rFonts w:cs="Segoe UI"/>
          <w:color w:val="212121"/>
          <w:shd w:val="clear" w:color="auto" w:fill="FFFFFF"/>
        </w:rPr>
        <w:t>Pairon A, Philips H, Verhoeven V. A scoping review on the use and usefulness of online symptom checkers and triage systems: How to proceed? Front Med. 202</w:t>
      </w:r>
      <w:r w:rsidR="00607F31" w:rsidRPr="006E1269">
        <w:rPr>
          <w:rFonts w:cs="Segoe UI"/>
          <w:color w:val="212121"/>
          <w:shd w:val="clear" w:color="auto" w:fill="FFFFFF"/>
        </w:rPr>
        <w:t>2</w:t>
      </w:r>
      <w:r w:rsidR="00B876E0" w:rsidRPr="006E1269">
        <w:rPr>
          <w:rFonts w:cs="Segoe UI"/>
          <w:color w:val="212121"/>
          <w:shd w:val="clear" w:color="auto" w:fill="FFFFFF"/>
        </w:rPr>
        <w:t>;</w:t>
      </w:r>
      <w:r w:rsidRPr="006E1269">
        <w:rPr>
          <w:rFonts w:cs="Segoe UI"/>
          <w:color w:val="212121"/>
          <w:shd w:val="clear" w:color="auto" w:fill="FFFFFF"/>
        </w:rPr>
        <w:t>6;9:1040926. doi: 10.3389/fmed.2022.1040926.</w:t>
      </w:r>
    </w:p>
    <w:p w14:paraId="414D3572" w14:textId="77777777" w:rsidR="006E1269" w:rsidRDefault="00920EDE" w:rsidP="009939A9">
      <w:pPr>
        <w:pStyle w:val="ListParagraph"/>
        <w:numPr>
          <w:ilvl w:val="0"/>
          <w:numId w:val="4"/>
        </w:numPr>
        <w:shd w:val="clear" w:color="auto" w:fill="FFFFFF"/>
        <w:spacing w:before="120" w:after="120"/>
        <w:rPr>
          <w:rFonts w:cstheme="minorHAnsi"/>
          <w:noProof/>
        </w:rPr>
      </w:pPr>
      <w:r w:rsidRPr="006E1269">
        <w:rPr>
          <w:rFonts w:cstheme="minorHAnsi"/>
          <w:noProof/>
        </w:rPr>
        <w:t>Estacio EV, Whittle R, Protheroe J. The digital divide: Examining socio-demographic factors associated with health literacy, access and use of internet to seek health information. J Health Psychol 2019;24(12):1668</w:t>
      </w:r>
      <w:r w:rsidRPr="006E1269">
        <w:rPr>
          <w:rFonts w:cstheme="minorHAnsi"/>
          <w:shd w:val="clear" w:color="auto" w:fill="FFFFFF"/>
        </w:rPr>
        <w:t>–</w:t>
      </w:r>
      <w:r w:rsidRPr="006E1269">
        <w:rPr>
          <w:rFonts w:cstheme="minorHAnsi"/>
          <w:noProof/>
        </w:rPr>
        <w:t>1675. doi: 10.1177/1359105317695429.</w:t>
      </w:r>
    </w:p>
    <w:p w14:paraId="75CAC932" w14:textId="77777777" w:rsidR="006E1269" w:rsidRDefault="00920EDE" w:rsidP="009939A9">
      <w:pPr>
        <w:pStyle w:val="ListParagraph"/>
        <w:numPr>
          <w:ilvl w:val="0"/>
          <w:numId w:val="4"/>
        </w:numPr>
        <w:shd w:val="clear" w:color="auto" w:fill="FFFFFF"/>
        <w:spacing w:before="120" w:after="120"/>
        <w:rPr>
          <w:rFonts w:cstheme="minorHAnsi"/>
        </w:rPr>
      </w:pPr>
      <w:r w:rsidRPr="006E1269">
        <w:rPr>
          <w:rFonts w:cs="Segoe UI"/>
          <w:shd w:val="clear" w:color="auto" w:fill="FFFFFF"/>
        </w:rPr>
        <w:t>Alvarez-Galvez J, Salinas-Perez JA, Montagni I, Salvador-Carulla L. </w:t>
      </w:r>
      <w:r w:rsidRPr="006E1269">
        <w:rPr>
          <w:rFonts w:cstheme="minorHAnsi"/>
          <w:noProof/>
        </w:rPr>
        <w:t>The persistence of digital divides in the use of health information: a comparative study in 28 European countries. Int J Public Health 2020;65(3):325</w:t>
      </w:r>
      <w:r w:rsidRPr="006E1269">
        <w:rPr>
          <w:rFonts w:cstheme="minorHAnsi"/>
          <w:shd w:val="clear" w:color="auto" w:fill="FFFFFF"/>
        </w:rPr>
        <w:t>–</w:t>
      </w:r>
      <w:r w:rsidRPr="006E1269">
        <w:rPr>
          <w:rFonts w:cstheme="minorHAnsi"/>
          <w:noProof/>
        </w:rPr>
        <w:t>333. doi: 10.1007/s00038-020-01363-w.</w:t>
      </w:r>
    </w:p>
    <w:p w14:paraId="7A8277EA"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rPr>
        <w:t xml:space="preserve">Guo Z, Zhao SZ, Guo N, Wu Y, </w:t>
      </w:r>
      <w:r w:rsidRPr="003A319F">
        <w:rPr>
          <w:rFonts w:cs="Segoe UI"/>
          <w:shd w:val="clear" w:color="auto" w:fill="FFFFFF"/>
        </w:rPr>
        <w:t>Weng X, Wong JY et al</w:t>
      </w:r>
      <w:r w:rsidRPr="003A319F">
        <w:rPr>
          <w:rFonts w:cstheme="minorHAnsi"/>
        </w:rPr>
        <w:t>. Socioeconomic Disparities in eHealth Literacy and Preventive Behaviors During the COVID-19 Pandemic in Hong Kong: Cross-sectional Study</w:t>
      </w:r>
      <w:r w:rsidRPr="003A319F">
        <w:rPr>
          <w:rFonts w:cstheme="minorHAnsi"/>
          <w:i/>
          <w:iCs/>
        </w:rPr>
        <w:t>. J Med Internet Res 2021</w:t>
      </w:r>
      <w:r w:rsidRPr="003A319F">
        <w:rPr>
          <w:rFonts w:cstheme="minorHAnsi"/>
        </w:rPr>
        <w:t>;23(4):e24577. doi: 10.2196/24577.</w:t>
      </w:r>
    </w:p>
    <w:p w14:paraId="1531011C" w14:textId="77777777" w:rsidR="003A319F" w:rsidRPr="003A319F" w:rsidRDefault="00920EDE" w:rsidP="009939A9">
      <w:pPr>
        <w:pStyle w:val="ListParagraph"/>
        <w:numPr>
          <w:ilvl w:val="0"/>
          <w:numId w:val="4"/>
        </w:numPr>
        <w:shd w:val="clear" w:color="auto" w:fill="FFFFFF"/>
        <w:spacing w:before="120" w:after="120"/>
        <w:rPr>
          <w:rStyle w:val="Hyperlink"/>
          <w:rFonts w:cstheme="minorHAnsi"/>
          <w:color w:val="auto"/>
          <w:u w:val="none"/>
        </w:rPr>
      </w:pPr>
      <w:r w:rsidRPr="003A319F">
        <w:rPr>
          <w:shd w:val="clear" w:color="auto" w:fill="FFFFFF"/>
          <w:lang w:val="en-GB"/>
        </w:rPr>
        <w:t xml:space="preserve">Kopka M, Scatturin L, Napierala H, Fürstenau D, Feufel MA, Balzer F et al. </w:t>
      </w:r>
      <w:r w:rsidRPr="003A319F">
        <w:rPr>
          <w:shd w:val="clear" w:color="auto" w:fill="FFFFFF"/>
        </w:rPr>
        <w:t>Characteristics of Users and Nonusers of Symptom Checkers in Germany: Cross-Sectional Survey Study. J Med Internet Res 2023;25:e46231 doi: </w:t>
      </w:r>
      <w:hyperlink r:id="rId12" w:tgtFrame="_blank" w:history="1">
        <w:r w:rsidRPr="003A319F">
          <w:rPr>
            <w:rStyle w:val="Hyperlink"/>
            <w:color w:val="auto"/>
            <w:shd w:val="clear" w:color="auto" w:fill="FFFFFF"/>
          </w:rPr>
          <w:t>10.2196/46231</w:t>
        </w:r>
      </w:hyperlink>
    </w:p>
    <w:p w14:paraId="11F2F72A"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shd w:val="clear" w:color="auto" w:fill="FFFFFF"/>
        </w:rPr>
        <w:t>Mitchell UA, Chebli PG, Ruggiero L, Muramatsu N. The Digital Divide in Health-Related Technology Use: The Significance of Race/Ethnicity. Gerontologist 2019;</w:t>
      </w:r>
      <w:r w:rsidRPr="003A319F">
        <w:rPr>
          <w:rStyle w:val="ref-vol"/>
          <w:rFonts w:cstheme="minorHAnsi"/>
          <w:shd w:val="clear" w:color="auto" w:fill="FFFFFF"/>
        </w:rPr>
        <w:t>59(1):</w:t>
      </w:r>
      <w:r w:rsidRPr="003A319F">
        <w:rPr>
          <w:rFonts w:cstheme="minorHAnsi"/>
          <w:shd w:val="clear" w:color="auto" w:fill="FFFFFF"/>
        </w:rPr>
        <w:t>6–14. doi: 10.1093/geront/gny138</w:t>
      </w:r>
      <w:r w:rsidRPr="003A319F">
        <w:rPr>
          <w:rFonts w:cstheme="minorHAnsi"/>
        </w:rPr>
        <w:t>.</w:t>
      </w:r>
    </w:p>
    <w:p w14:paraId="24CCD141" w14:textId="77777777" w:rsidR="003A319F" w:rsidRPr="003A319F" w:rsidRDefault="00920EDE" w:rsidP="009939A9">
      <w:pPr>
        <w:pStyle w:val="ListParagraph"/>
        <w:numPr>
          <w:ilvl w:val="0"/>
          <w:numId w:val="4"/>
        </w:numPr>
        <w:shd w:val="clear" w:color="auto" w:fill="FFFFFF"/>
        <w:spacing w:before="120" w:after="120"/>
        <w:rPr>
          <w:rFonts w:cstheme="minorHAnsi"/>
          <w:lang w:val="en-GB"/>
        </w:rPr>
      </w:pPr>
      <w:r w:rsidRPr="003A319F">
        <w:rPr>
          <w:rFonts w:cstheme="minorHAnsi"/>
        </w:rPr>
        <w:t>Norman CD, Skinner HA. eHEALS: The eHealth Literacy Scale, J Med Internet Res 2006;8(4):e27. doi:10.2196/jmir.8.4.e27</w:t>
      </w:r>
      <w:r w:rsidR="003A319F" w:rsidRPr="003A319F">
        <w:rPr>
          <w:rFonts w:cstheme="minorHAnsi"/>
        </w:rPr>
        <w:t>.</w:t>
      </w:r>
    </w:p>
    <w:p w14:paraId="4D2C22B5" w14:textId="27AACC16" w:rsidR="003A319F" w:rsidRPr="003A319F" w:rsidRDefault="00920EDE" w:rsidP="009939A9">
      <w:pPr>
        <w:pStyle w:val="ListParagraph"/>
        <w:numPr>
          <w:ilvl w:val="0"/>
          <w:numId w:val="4"/>
        </w:numPr>
        <w:shd w:val="clear" w:color="auto" w:fill="FFFFFF"/>
        <w:spacing w:before="120" w:after="120"/>
        <w:rPr>
          <w:rFonts w:cstheme="minorHAnsi"/>
          <w:noProof/>
        </w:rPr>
      </w:pPr>
      <w:r w:rsidRPr="003A319F">
        <w:rPr>
          <w:rFonts w:cstheme="minorHAnsi"/>
        </w:rPr>
        <w:t xml:space="preserve">Osborne R, Kayser L. Skills and characteristics of the e-health literature patient. </w:t>
      </w:r>
      <w:r w:rsidRPr="003A319F">
        <w:rPr>
          <w:rFonts w:cstheme="minorHAnsi"/>
          <w:lang w:val="en-GB"/>
        </w:rPr>
        <w:t xml:space="preserve">BMJ 2018;361:k1656. </w:t>
      </w:r>
      <w:r w:rsidRPr="003A319F">
        <w:rPr>
          <w:rFonts w:cstheme="minorHAnsi"/>
          <w:shd w:val="clear" w:color="auto" w:fill="FFFFFF"/>
          <w:lang w:val="en-GB"/>
        </w:rPr>
        <w:t>doi: </w:t>
      </w:r>
      <w:hyperlink r:id="rId13" w:history="1">
        <w:r w:rsidR="003A319F" w:rsidRPr="000B623E">
          <w:rPr>
            <w:rStyle w:val="Hyperlink"/>
            <w:rFonts w:eastAsiaTheme="majorEastAsia" w:cstheme="minorHAnsi"/>
            <w:bdr w:val="none" w:sz="0" w:space="0" w:color="auto" w:frame="1"/>
            <w:shd w:val="clear" w:color="auto" w:fill="FFFFFF"/>
            <w:lang w:val="en-GB"/>
          </w:rPr>
          <w:t>https://doi.org/10.1136/bmj.k1656</w:t>
        </w:r>
      </w:hyperlink>
      <w:r w:rsidR="003A319F" w:rsidRPr="003A319F">
        <w:rPr>
          <w:rFonts w:eastAsiaTheme="majorEastAsia" w:cstheme="minorHAnsi"/>
          <w:bdr w:val="none" w:sz="0" w:space="0" w:color="auto" w:frame="1"/>
          <w:shd w:val="clear" w:color="auto" w:fill="FFFFFF"/>
          <w:lang w:val="en-GB"/>
        </w:rPr>
        <w:t>.</w:t>
      </w:r>
    </w:p>
    <w:p w14:paraId="5E31BE20" w14:textId="77777777" w:rsidR="003A319F" w:rsidRDefault="00920EDE" w:rsidP="009939A9">
      <w:pPr>
        <w:pStyle w:val="ListParagraph"/>
        <w:numPr>
          <w:ilvl w:val="0"/>
          <w:numId w:val="4"/>
        </w:numPr>
        <w:shd w:val="clear" w:color="auto" w:fill="FFFFFF"/>
        <w:spacing w:before="120" w:after="120"/>
        <w:rPr>
          <w:rFonts w:cstheme="minorHAnsi"/>
          <w:noProof/>
        </w:rPr>
      </w:pPr>
      <w:r w:rsidRPr="003A319F">
        <w:rPr>
          <w:rFonts w:cstheme="minorHAnsi"/>
          <w:noProof/>
        </w:rPr>
        <w:t>O’Connor S, Hanlon P, O’Donnell CA, Garcia S, Glanville J, Mair F. Understanding factors affecting patient and public engagement and recruitment to digital health interventions: a systematic review of qualitative studies. BMC Med Inform Decis 2016;16(1):120. doi: 10.1186/s12911-016-0359-3.</w:t>
      </w:r>
    </w:p>
    <w:p w14:paraId="03AAC300"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noProof/>
        </w:rPr>
        <w:t>Gray DM, Joseph JJ, Olayiwola JN. Strategies for Digital Care of Vulnerable Patients in a COVID-19 World—Keeping in Touch. JAMA Health Forum 2020;1(1):e200734. doi: 10.1001/jamahealthforum.2020.0734.</w:t>
      </w:r>
    </w:p>
    <w:p w14:paraId="49F9C632"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shd w:val="clear" w:color="auto" w:fill="FFFFFF"/>
          <w:lang w:val="en-GB"/>
        </w:rPr>
        <w:t xml:space="preserve">Kaihlanen AM, Virtanen L, Buchert U, </w:t>
      </w:r>
      <w:r w:rsidRPr="003A319F">
        <w:rPr>
          <w:rFonts w:cs="Segoe UI"/>
          <w:shd w:val="clear" w:color="auto" w:fill="FFFFFF"/>
          <w:lang w:val="en-GB"/>
        </w:rPr>
        <w:t>Safarov N, Valkonen P, Hietapakka L et al</w:t>
      </w:r>
      <w:r w:rsidRPr="003A319F">
        <w:rPr>
          <w:rFonts w:cstheme="minorHAnsi"/>
          <w:i/>
          <w:iCs/>
          <w:shd w:val="clear" w:color="auto" w:fill="FFFFFF"/>
          <w:lang w:val="en-GB"/>
        </w:rPr>
        <w:t>.</w:t>
      </w:r>
      <w:r w:rsidRPr="003A319F">
        <w:rPr>
          <w:rFonts w:cstheme="minorHAnsi"/>
          <w:shd w:val="clear" w:color="auto" w:fill="FFFFFF"/>
          <w:lang w:val="en-GB"/>
        </w:rPr>
        <w:t> </w:t>
      </w:r>
      <w:r w:rsidRPr="003A319F">
        <w:rPr>
          <w:rFonts w:cstheme="minorHAnsi"/>
          <w:shd w:val="clear" w:color="auto" w:fill="FFFFFF"/>
        </w:rPr>
        <w:t>Towards digital health equity - a qualitative study of the challenges experienced by vulnerable groups in using digital health services in the COVID-19 era. BMC Health Serv Res 2022;22(1):188. doi: 10.1186/s12913-022-07584-4.</w:t>
      </w:r>
      <w:r w:rsidRPr="003A319F">
        <w:rPr>
          <w:rFonts w:cstheme="minorHAnsi"/>
        </w:rPr>
        <w:t xml:space="preserve"> </w:t>
      </w:r>
    </w:p>
    <w:p w14:paraId="5675BDE4"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rPr>
        <w:t>Wong DK-K, Cheung M-K. Online Health Information Seeking and eHealth Literacy Among Patients Attending a Primary Care Clinic in Hong Kong: A Cross-Sectional Survey. J Med Internet Res 2019;21(3):e10831. doi: 10.2196/10831.</w:t>
      </w:r>
    </w:p>
    <w:p w14:paraId="40867179"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rPr>
        <w:t xml:space="preserve">Choi NG, DiNitto DM. The Digital Divide Among Low-Income Homebound Older Adults: Internet Use Patterns, eHealth Literacy, and Attitudes Toward Computer / Internet Use. </w:t>
      </w:r>
      <w:r w:rsidRPr="003A319F">
        <w:rPr>
          <w:rFonts w:cstheme="minorHAnsi"/>
          <w:iCs/>
        </w:rPr>
        <w:t>J Med Internet Res 2013;</w:t>
      </w:r>
      <w:r w:rsidRPr="003A319F">
        <w:rPr>
          <w:rFonts w:cstheme="minorHAnsi"/>
        </w:rPr>
        <w:t>15(5):e93. doi: 10.2196/jmir.2645.</w:t>
      </w:r>
    </w:p>
    <w:p w14:paraId="2CD2B778"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rPr>
        <w:t>Neter E, Brainin E. eHealth Literacy: Extending the Digital Divide to the Realm of Health Information. J Med Internet Res 2012;14(1):e19. doi: 10.2196/jmir.1619.</w:t>
      </w:r>
    </w:p>
    <w:p w14:paraId="12E902AF" w14:textId="77777777" w:rsidR="003A319F" w:rsidRDefault="00920EDE" w:rsidP="009939A9">
      <w:pPr>
        <w:pStyle w:val="ListParagraph"/>
        <w:numPr>
          <w:ilvl w:val="0"/>
          <w:numId w:val="4"/>
        </w:numPr>
        <w:shd w:val="clear" w:color="auto" w:fill="FFFFFF"/>
        <w:spacing w:before="120" w:after="120"/>
        <w:rPr>
          <w:rFonts w:cstheme="minorHAnsi"/>
        </w:rPr>
      </w:pPr>
      <w:r w:rsidRPr="003A319F">
        <w:rPr>
          <w:rFonts w:cstheme="minorHAnsi"/>
        </w:rPr>
        <w:t xml:space="preserve">Kayser L, Karnoe A, Furstrand D, </w:t>
      </w:r>
      <w:r w:rsidRPr="003A319F">
        <w:rPr>
          <w:rFonts w:cs="Segoe UI"/>
          <w:shd w:val="clear" w:color="auto" w:fill="FFFFFF"/>
        </w:rPr>
        <w:t xml:space="preserve">Batterham R, Christensen KB, Elsworth G, et al. </w:t>
      </w:r>
      <w:r w:rsidRPr="003A319F">
        <w:rPr>
          <w:rFonts w:cstheme="minorHAnsi"/>
        </w:rPr>
        <w:t xml:space="preserve">A Multidimensional Tool Based on the eHealth Literacy Framework: Development and Initial Validity Testing of the eHealth Literacy Questionnaire (eHLQ). </w:t>
      </w:r>
      <w:r w:rsidRPr="003A319F">
        <w:rPr>
          <w:rFonts w:cstheme="minorHAnsi"/>
          <w:iCs/>
        </w:rPr>
        <w:t>J Med Internet Res</w:t>
      </w:r>
      <w:r w:rsidRPr="003A319F">
        <w:rPr>
          <w:rFonts w:cstheme="minorHAnsi"/>
        </w:rPr>
        <w:t xml:space="preserve"> 2018;2(2):e36. doi: 10.2196/jmir.8371.</w:t>
      </w:r>
    </w:p>
    <w:p w14:paraId="4656787F" w14:textId="77777777" w:rsidR="003A319F" w:rsidRPr="003A319F" w:rsidRDefault="00920EDE" w:rsidP="009939A9">
      <w:pPr>
        <w:pStyle w:val="ListParagraph"/>
        <w:numPr>
          <w:ilvl w:val="0"/>
          <w:numId w:val="4"/>
        </w:numPr>
        <w:shd w:val="clear" w:color="auto" w:fill="FFFFFF"/>
        <w:spacing w:before="120" w:after="120"/>
        <w:ind w:left="357" w:hanging="357"/>
        <w:rPr>
          <w:rFonts w:eastAsia="Times New Roman" w:cs="Arial"/>
          <w:lang w:val="en-GB" w:eastAsia="en-GB"/>
        </w:rPr>
      </w:pPr>
      <w:r w:rsidRPr="003A319F">
        <w:rPr>
          <w:shd w:val="clear" w:color="auto" w:fill="FFFFFF"/>
        </w:rPr>
        <w:t>Holt KA, Karnoe A, Overgaard D, Nielsen SE, Kayser L, Røder ME</w:t>
      </w:r>
      <w:r w:rsidR="00B545FF" w:rsidRPr="003A319F">
        <w:rPr>
          <w:shd w:val="clear" w:color="auto" w:fill="FFFFFF"/>
        </w:rPr>
        <w:t xml:space="preserve"> et al. </w:t>
      </w:r>
      <w:r w:rsidRPr="003A319F">
        <w:rPr>
          <w:shd w:val="clear" w:color="auto" w:fill="FFFFFF"/>
        </w:rPr>
        <w:t>Differences in the Level of Electronic Health Literacy Between Users and Nonusers of Digital Health Services: An Exploratory Survey of a Group of Medical Outpatients</w:t>
      </w:r>
      <w:r w:rsidR="003E5D38" w:rsidRPr="003A319F">
        <w:rPr>
          <w:shd w:val="clear" w:color="auto" w:fill="FFFFFF"/>
        </w:rPr>
        <w:t xml:space="preserve">. </w:t>
      </w:r>
      <w:r w:rsidRPr="003A319F">
        <w:rPr>
          <w:shd w:val="clear" w:color="auto" w:fill="FFFFFF"/>
        </w:rPr>
        <w:t>Interact J Med Res 2019;8(2):e8423</w:t>
      </w:r>
      <w:r w:rsidR="000A38EF" w:rsidRPr="003A319F">
        <w:rPr>
          <w:shd w:val="clear" w:color="auto" w:fill="FFFFFF"/>
        </w:rPr>
        <w:t xml:space="preserve"> </w:t>
      </w:r>
      <w:r w:rsidRPr="003A319F">
        <w:rPr>
          <w:shd w:val="clear" w:color="auto" w:fill="FFFFFF"/>
        </w:rPr>
        <w:t>doi: </w:t>
      </w:r>
      <w:hyperlink r:id="rId14" w:tgtFrame="_blank" w:history="1">
        <w:r w:rsidRPr="003A319F">
          <w:rPr>
            <w:rStyle w:val="Hyperlink"/>
            <w:color w:val="auto"/>
            <w:shd w:val="clear" w:color="auto" w:fill="FFFFFF"/>
          </w:rPr>
          <w:t>10.2196/ijmr.8423</w:t>
        </w:r>
      </w:hyperlink>
    </w:p>
    <w:p w14:paraId="37469DFC" w14:textId="77777777" w:rsidR="003A319F" w:rsidRPr="003A319F" w:rsidRDefault="00920EDE" w:rsidP="009939A9">
      <w:pPr>
        <w:pStyle w:val="ListParagraph"/>
        <w:numPr>
          <w:ilvl w:val="0"/>
          <w:numId w:val="4"/>
        </w:numPr>
        <w:shd w:val="clear" w:color="auto" w:fill="FFFFFF"/>
        <w:spacing w:before="120" w:after="120"/>
        <w:ind w:left="357" w:hanging="357"/>
        <w:rPr>
          <w:rFonts w:cstheme="minorHAnsi"/>
          <w:lang w:val="en-GB"/>
        </w:rPr>
      </w:pPr>
      <w:r w:rsidRPr="003A319F">
        <w:rPr>
          <w:rFonts w:cstheme="minorHAnsi"/>
        </w:rPr>
        <w:t xml:space="preserve">McLellan </w:t>
      </w:r>
      <w:r w:rsidRPr="003A319F">
        <w:rPr>
          <w:rFonts w:cs="Segoe UI"/>
          <w:shd w:val="clear" w:color="auto" w:fill="FFFFFF"/>
        </w:rPr>
        <w:t>MacLellan J, Turnbull J, Prichard J, Pope C. Emergency department staff views of NHS 111 First: qualitative interview study in England. Emerg Med J</w:t>
      </w:r>
      <w:r w:rsidR="000A38EF" w:rsidRPr="003A319F">
        <w:rPr>
          <w:rFonts w:cs="Segoe UI"/>
          <w:shd w:val="clear" w:color="auto" w:fill="FFFFFF"/>
        </w:rPr>
        <w:t xml:space="preserve"> </w:t>
      </w:r>
      <w:r w:rsidRPr="003A319F">
        <w:rPr>
          <w:rFonts w:cs="Segoe UI"/>
          <w:shd w:val="clear" w:color="auto" w:fill="FFFFFF"/>
        </w:rPr>
        <w:t>2023</w:t>
      </w:r>
      <w:r w:rsidR="000A38EF" w:rsidRPr="003A319F">
        <w:rPr>
          <w:rFonts w:cs="Segoe UI"/>
          <w:shd w:val="clear" w:color="auto" w:fill="FFFFFF"/>
        </w:rPr>
        <w:t>;</w:t>
      </w:r>
      <w:r w:rsidRPr="003A319F">
        <w:rPr>
          <w:rFonts w:cs="Segoe UI"/>
          <w:shd w:val="clear" w:color="auto" w:fill="FFFFFF"/>
        </w:rPr>
        <w:t>40(9):636-640. doi: 10.1136/emermed-2022-212947.</w:t>
      </w:r>
    </w:p>
    <w:p w14:paraId="3B23D8FA" w14:textId="687A4F71" w:rsidR="00920EDE" w:rsidRPr="003A319F" w:rsidRDefault="00920EDE" w:rsidP="009939A9">
      <w:pPr>
        <w:pStyle w:val="ListParagraph"/>
        <w:numPr>
          <w:ilvl w:val="0"/>
          <w:numId w:val="4"/>
        </w:numPr>
        <w:shd w:val="clear" w:color="auto" w:fill="FFFFFF"/>
        <w:spacing w:before="120" w:after="120"/>
        <w:ind w:left="357" w:hanging="357"/>
        <w:rPr>
          <w:rFonts w:cstheme="minorHAnsi"/>
          <w:lang w:val="en-GB"/>
        </w:rPr>
      </w:pPr>
      <w:r w:rsidRPr="00A92780">
        <w:rPr>
          <w:rFonts w:cstheme="minorHAnsi"/>
          <w:lang w:val="en-GB"/>
        </w:rPr>
        <w:t xml:space="preserve">NHS </w:t>
      </w:r>
      <w:r w:rsidR="000A38EF" w:rsidRPr="00A92780">
        <w:rPr>
          <w:rFonts w:cstheme="minorHAnsi"/>
          <w:lang w:val="en-GB"/>
        </w:rPr>
        <w:t xml:space="preserve">England. </w:t>
      </w:r>
      <w:r w:rsidR="009A50E5" w:rsidRPr="003A319F">
        <w:rPr>
          <w:rFonts w:cstheme="minorHAnsi"/>
          <w:lang w:val="en-GB"/>
        </w:rPr>
        <w:t>NHS 111 online statistics</w:t>
      </w:r>
      <w:r w:rsidRPr="003A319F">
        <w:rPr>
          <w:rFonts w:cstheme="minorHAnsi"/>
          <w:lang w:val="en-GB"/>
        </w:rPr>
        <w:t xml:space="preserve"> </w:t>
      </w:r>
      <w:hyperlink r:id="rId15" w:history="1">
        <w:r w:rsidRPr="003A319F">
          <w:rPr>
            <w:rStyle w:val="Hyperlink"/>
            <w:rFonts w:cstheme="minorHAnsi"/>
            <w:color w:val="auto"/>
            <w:lang w:val="en-GB"/>
          </w:rPr>
          <w:t>https://www.england.nhs.uk/statistics/statistical-work-areas/iucadc-new-from-april-2021/111-online-statistics/</w:t>
        </w:r>
      </w:hyperlink>
      <w:r w:rsidR="009A50E5" w:rsidRPr="003A319F">
        <w:rPr>
          <w:rFonts w:cstheme="minorHAnsi"/>
          <w:lang w:val="en-GB"/>
        </w:rPr>
        <w:t xml:space="preserve"> [Accessed 18/11/2023].</w:t>
      </w:r>
    </w:p>
    <w:p w14:paraId="6947D34C" w14:textId="281D5904" w:rsidR="00920EDE" w:rsidRPr="005A358E" w:rsidRDefault="005A358E" w:rsidP="009939A9">
      <w:pPr>
        <w:pStyle w:val="ListParagraph"/>
        <w:numPr>
          <w:ilvl w:val="0"/>
          <w:numId w:val="4"/>
        </w:numPr>
        <w:spacing w:before="120" w:after="120"/>
        <w:ind w:left="357" w:hanging="357"/>
        <w:rPr>
          <w:rFonts w:cstheme="minorHAnsi"/>
          <w:lang w:val="de-DE"/>
        </w:rPr>
      </w:pPr>
      <w:r w:rsidRPr="005A358E">
        <w:rPr>
          <w:rFonts w:cs="Segoe UI"/>
          <w:color w:val="212121"/>
          <w:shd w:val="clear" w:color="auto" w:fill="FFFFFF"/>
        </w:rPr>
        <w:t>Simpson RM, Jacques RM, Nicholl J, Stone T, Turner J. Measuring the impact introducing NHS 111 online had on the NHS 111 telephone service and the wider NHS urgent care system: an observational study. BMJ Open</w:t>
      </w:r>
      <w:r w:rsidR="009939A9">
        <w:rPr>
          <w:rFonts w:cs="Segoe UI"/>
          <w:color w:val="212121"/>
          <w:shd w:val="clear" w:color="auto" w:fill="FFFFFF"/>
        </w:rPr>
        <w:t xml:space="preserve"> </w:t>
      </w:r>
      <w:r w:rsidR="003A319F">
        <w:rPr>
          <w:rFonts w:cs="Segoe UI"/>
          <w:color w:val="212121"/>
          <w:shd w:val="clear" w:color="auto" w:fill="FFFFFF"/>
        </w:rPr>
        <w:t>2</w:t>
      </w:r>
      <w:r w:rsidRPr="005A358E">
        <w:rPr>
          <w:rFonts w:cs="Segoe UI"/>
          <w:color w:val="212121"/>
          <w:shd w:val="clear" w:color="auto" w:fill="FFFFFF"/>
        </w:rPr>
        <w:t>022</w:t>
      </w:r>
      <w:r>
        <w:rPr>
          <w:rFonts w:cs="Segoe UI"/>
          <w:color w:val="212121"/>
          <w:shd w:val="clear" w:color="auto" w:fill="FFFFFF"/>
        </w:rPr>
        <w:t>;</w:t>
      </w:r>
      <w:r w:rsidRPr="005A358E">
        <w:rPr>
          <w:rFonts w:cs="Segoe UI"/>
          <w:color w:val="212121"/>
          <w:shd w:val="clear" w:color="auto" w:fill="FFFFFF"/>
        </w:rPr>
        <w:t>12;12(7):e058964. doi: 10.1136/bmjopen-2021-058964</w:t>
      </w:r>
    </w:p>
    <w:p w14:paraId="0381FAB5" w14:textId="21B84B8E" w:rsidR="00920EDE" w:rsidRPr="003E5D38" w:rsidRDefault="00920EDE" w:rsidP="009939A9">
      <w:pPr>
        <w:pStyle w:val="ListParagraph"/>
        <w:numPr>
          <w:ilvl w:val="0"/>
          <w:numId w:val="4"/>
        </w:numPr>
        <w:spacing w:before="120" w:after="120"/>
        <w:ind w:left="357" w:hanging="357"/>
        <w:rPr>
          <w:rFonts w:eastAsia="Times New Roman" w:cs="Arial"/>
          <w:lang w:val="en-GB" w:eastAsia="en-GB"/>
        </w:rPr>
      </w:pPr>
      <w:r w:rsidRPr="003E5D38">
        <w:rPr>
          <w:rFonts w:eastAsia="Times New Roman" w:cs="Segoe UI"/>
          <w:shd w:val="clear" w:color="auto" w:fill="FFFFFF"/>
          <w:lang w:val="en-GB" w:eastAsia="en-GB"/>
        </w:rPr>
        <w:t>Martins S, Augusto C, Martins MRO, José Silva M, Okan O, Dadaczynski K</w:t>
      </w:r>
      <w:r w:rsidR="005A358E">
        <w:rPr>
          <w:rFonts w:eastAsia="Times New Roman" w:cs="Segoe UI"/>
          <w:shd w:val="clear" w:color="auto" w:fill="FFFFFF"/>
          <w:lang w:val="en-GB" w:eastAsia="en-GB"/>
        </w:rPr>
        <w:t xml:space="preserve"> et al. </w:t>
      </w:r>
      <w:r w:rsidRPr="003E5D38">
        <w:rPr>
          <w:rFonts w:eastAsia="Times New Roman" w:cs="Segoe UI"/>
          <w:shd w:val="clear" w:color="auto" w:fill="FFFFFF"/>
          <w:lang w:val="en-GB" w:eastAsia="en-GB"/>
        </w:rPr>
        <w:t>Adaptation and validation of the Digital Health Literacy Instrument for Portuguese university students. Health Promot J Austr</w:t>
      </w:r>
      <w:r w:rsidR="005A358E">
        <w:rPr>
          <w:rFonts w:eastAsia="Times New Roman" w:cs="Segoe UI"/>
          <w:shd w:val="clear" w:color="auto" w:fill="FFFFFF"/>
          <w:lang w:val="en-GB" w:eastAsia="en-GB"/>
        </w:rPr>
        <w:t xml:space="preserve"> </w:t>
      </w:r>
      <w:r w:rsidRPr="003E5D38">
        <w:rPr>
          <w:rFonts w:eastAsia="Times New Roman" w:cs="Segoe UI"/>
          <w:shd w:val="clear" w:color="auto" w:fill="FFFFFF"/>
          <w:lang w:val="en-GB" w:eastAsia="en-GB"/>
        </w:rPr>
        <w:t>2022</w:t>
      </w:r>
      <w:r w:rsidR="006E1269">
        <w:rPr>
          <w:rFonts w:eastAsia="Times New Roman" w:cs="Segoe UI"/>
          <w:shd w:val="clear" w:color="auto" w:fill="FFFFFF"/>
          <w:lang w:val="en-GB" w:eastAsia="en-GB"/>
        </w:rPr>
        <w:t>;</w:t>
      </w:r>
      <w:r w:rsidRPr="003E5D38">
        <w:rPr>
          <w:rFonts w:eastAsia="Times New Roman" w:cs="Segoe UI"/>
          <w:shd w:val="clear" w:color="auto" w:fill="FFFFFF"/>
          <w:lang w:val="en-GB" w:eastAsia="en-GB"/>
        </w:rPr>
        <w:t>33 Suppl 1:390-398. doi: 10.1002/hpja.580.</w:t>
      </w:r>
      <w:r w:rsidRPr="003E5D38">
        <w:rPr>
          <w:rFonts w:eastAsia="Times New Roman" w:cs="Segoe UI"/>
          <w:lang w:val="en-GB" w:eastAsia="en-GB"/>
        </w:rPr>
        <w:t xml:space="preserve"> </w:t>
      </w:r>
    </w:p>
    <w:p w14:paraId="2C7B9B0A" w14:textId="75F06FBF" w:rsidR="00920EDE" w:rsidRPr="003E5D38" w:rsidRDefault="00920EDE" w:rsidP="009939A9">
      <w:pPr>
        <w:pStyle w:val="ListParagraph"/>
        <w:numPr>
          <w:ilvl w:val="0"/>
          <w:numId w:val="4"/>
        </w:numPr>
        <w:spacing w:before="120" w:after="120"/>
        <w:ind w:left="357" w:hanging="357"/>
        <w:rPr>
          <w:rFonts w:eastAsia="Times New Roman" w:cs="Arial"/>
          <w:lang w:val="en-GB" w:eastAsia="en-GB"/>
        </w:rPr>
      </w:pPr>
      <w:r w:rsidRPr="003E5D38">
        <w:rPr>
          <w:rFonts w:eastAsia="Times New Roman" w:cs="Segoe UI"/>
          <w:shd w:val="clear" w:color="auto" w:fill="FFFFFF"/>
          <w:lang w:val="en-GB" w:eastAsia="en-GB"/>
        </w:rPr>
        <w:t>Cheng C, Elsworth GR, Osborne RH. Validity Evidence of the eHealth Literacy Questionnaire (eHLQ) Part 2: Mixed Methods Approach to Evaluate Test Content, Response Process, and Internal Structure in the Australian Community Health Setting. J Med Internet Res 2022</w:t>
      </w:r>
      <w:r w:rsidR="006E1269">
        <w:rPr>
          <w:rFonts w:eastAsia="Times New Roman" w:cs="Segoe UI"/>
          <w:shd w:val="clear" w:color="auto" w:fill="FFFFFF"/>
          <w:lang w:val="en-GB" w:eastAsia="en-GB"/>
        </w:rPr>
        <w:t>;</w:t>
      </w:r>
      <w:r w:rsidRPr="003E5D38">
        <w:rPr>
          <w:rFonts w:eastAsia="Times New Roman" w:cs="Segoe UI"/>
          <w:shd w:val="clear" w:color="auto" w:fill="FFFFFF"/>
          <w:lang w:val="en-GB" w:eastAsia="en-GB"/>
        </w:rPr>
        <w:t>8;24(3):e32777. doi: 10.2196/32777.</w:t>
      </w:r>
    </w:p>
    <w:p w14:paraId="7532B639" w14:textId="77777777" w:rsidR="00E02C9B" w:rsidRPr="00E02C9B" w:rsidRDefault="00920EDE" w:rsidP="00E02C9B">
      <w:pPr>
        <w:pStyle w:val="ListParagraph"/>
        <w:numPr>
          <w:ilvl w:val="0"/>
          <w:numId w:val="4"/>
        </w:numPr>
        <w:spacing w:before="120" w:after="120"/>
        <w:ind w:left="357" w:hanging="357"/>
        <w:rPr>
          <w:rFonts w:cstheme="minorHAnsi"/>
        </w:rPr>
      </w:pPr>
      <w:r w:rsidRPr="009939A9">
        <w:rPr>
          <w:rFonts w:eastAsia="Times New Roman" w:cs="Segoe UI"/>
          <w:shd w:val="clear" w:color="auto" w:fill="FFFFFF"/>
          <w:lang w:val="en-GB" w:eastAsia="en-GB"/>
        </w:rPr>
        <w:t>Poot CC, Meijer E, Fokkema M, Chavannes NH, Osborne RH, Kayser L. Translation, cultural adaptation and validity assessment of the Dutch version of the eHealth Literacy Questionnaire: a mixed-method approach. BMC Public Health</w:t>
      </w:r>
      <w:r w:rsidR="006E1269" w:rsidRPr="009939A9">
        <w:rPr>
          <w:rFonts w:eastAsia="Times New Roman" w:cs="Segoe UI"/>
          <w:shd w:val="clear" w:color="auto" w:fill="FFFFFF"/>
          <w:lang w:val="en-GB" w:eastAsia="en-GB"/>
        </w:rPr>
        <w:t xml:space="preserve"> </w:t>
      </w:r>
      <w:r w:rsidRPr="009939A9">
        <w:rPr>
          <w:rFonts w:eastAsia="Times New Roman" w:cs="Segoe UI"/>
          <w:shd w:val="clear" w:color="auto" w:fill="FFFFFF"/>
          <w:lang w:val="en-GB" w:eastAsia="en-GB"/>
        </w:rPr>
        <w:t>2023</w:t>
      </w:r>
      <w:r w:rsidR="006E1269" w:rsidRPr="009939A9">
        <w:rPr>
          <w:rFonts w:eastAsia="Times New Roman" w:cs="Segoe UI"/>
          <w:shd w:val="clear" w:color="auto" w:fill="FFFFFF"/>
          <w:lang w:val="en-GB" w:eastAsia="en-GB"/>
        </w:rPr>
        <w:t>;</w:t>
      </w:r>
      <w:r w:rsidRPr="009939A9">
        <w:rPr>
          <w:rFonts w:eastAsia="Times New Roman" w:cs="Segoe UI"/>
          <w:shd w:val="clear" w:color="auto" w:fill="FFFFFF"/>
          <w:lang w:val="en-GB" w:eastAsia="en-GB"/>
        </w:rPr>
        <w:t xml:space="preserve">30;23(1):1006. doi: 10.1186/s12889-023-15869-4. </w:t>
      </w:r>
    </w:p>
    <w:p w14:paraId="1FEEABCE" w14:textId="26349DC3" w:rsidR="00E02C9B" w:rsidRPr="00E02C9B" w:rsidRDefault="00E02C9B" w:rsidP="00E02C9B">
      <w:pPr>
        <w:pStyle w:val="ListParagraph"/>
        <w:numPr>
          <w:ilvl w:val="0"/>
          <w:numId w:val="4"/>
        </w:numPr>
        <w:spacing w:before="120" w:after="120"/>
        <w:ind w:left="357" w:hanging="357"/>
        <w:rPr>
          <w:rFonts w:cstheme="minorHAnsi"/>
        </w:rPr>
      </w:pPr>
      <w:r w:rsidRPr="00E02C9B">
        <w:rPr>
          <w:rStyle w:val="ref-journal"/>
          <w:rFonts w:ascii="Cambria" w:hAnsi="Cambria"/>
          <w:i/>
          <w:iCs/>
          <w:color w:val="212121"/>
          <w:sz w:val="26"/>
          <w:szCs w:val="26"/>
          <w:shd w:val="clear" w:color="auto" w:fill="FFFFFF"/>
        </w:rPr>
        <w:t>European Commission.</w:t>
      </w:r>
      <w:r w:rsidRPr="00E02C9B">
        <w:rPr>
          <w:rStyle w:val="element-citation"/>
          <w:rFonts w:ascii="Cambria" w:hAnsi="Cambria"/>
          <w:color w:val="212121"/>
          <w:sz w:val="26"/>
          <w:szCs w:val="26"/>
          <w:shd w:val="clear" w:color="auto" w:fill="FFFFFF"/>
        </w:rPr>
        <w:t xml:space="preserve"> [2019-03-09]. International Standard Classification of Education (ISCED), </w:t>
      </w:r>
      <w:hyperlink r:id="rId16" w:tgtFrame="_blank" w:history="1">
        <w:r w:rsidRPr="00E02C9B">
          <w:rPr>
            <w:rStyle w:val="Hyperlink"/>
            <w:rFonts w:ascii="Cambria" w:hAnsi="Cambria"/>
            <w:color w:val="376FAA"/>
            <w:sz w:val="26"/>
            <w:szCs w:val="26"/>
          </w:rPr>
          <w:t>https://ec.europa.eu/eurostat/statistics-explained/index.php/International_Standard_Classification_of_Education_(ISCED)</w:t>
        </w:r>
      </w:hyperlink>
      <w:r w:rsidR="005B176A">
        <w:rPr>
          <w:rStyle w:val="element-citation"/>
          <w:rFonts w:ascii="Cambria" w:hAnsi="Cambria"/>
          <w:color w:val="212121"/>
          <w:sz w:val="26"/>
          <w:szCs w:val="26"/>
          <w:shd w:val="clear" w:color="auto" w:fill="FFFFFF"/>
        </w:rPr>
        <w:t xml:space="preserve"> [Accessed 21/11/2023].</w:t>
      </w:r>
    </w:p>
    <w:p w14:paraId="56430DFA" w14:textId="77777777" w:rsidR="009939A9" w:rsidRPr="009939A9" w:rsidRDefault="00920EDE" w:rsidP="009939A9">
      <w:pPr>
        <w:pStyle w:val="ListParagraph"/>
        <w:numPr>
          <w:ilvl w:val="0"/>
          <w:numId w:val="4"/>
        </w:numPr>
        <w:spacing w:before="120" w:after="120"/>
        <w:ind w:left="357" w:hanging="357"/>
        <w:rPr>
          <w:rFonts w:cstheme="minorHAnsi"/>
        </w:rPr>
      </w:pPr>
      <w:r w:rsidRPr="009939A9">
        <w:rPr>
          <w:rFonts w:cstheme="minorHAnsi"/>
          <w:shd w:val="clear" w:color="auto" w:fill="FFFFFF"/>
          <w:lang w:val="en-GB"/>
        </w:rPr>
        <w:t xml:space="preserve">Turnbull J, Pope C, Prichard J, McKenna G, Rogers A. </w:t>
      </w:r>
      <w:r w:rsidRPr="009939A9">
        <w:rPr>
          <w:rFonts w:cstheme="minorHAnsi"/>
          <w:shd w:val="clear" w:color="auto" w:fill="FFFFFF"/>
        </w:rPr>
        <w:t>A conceptual model of urgent care sense-making and help-seeking: a qualitative interview study of urgent care users in England. BMC Health Serv Res 2019;19(1)</w:t>
      </w:r>
      <w:r w:rsidRPr="009939A9">
        <w:rPr>
          <w:rFonts w:cstheme="minorHAnsi"/>
          <w:b/>
          <w:bCs/>
          <w:shd w:val="clear" w:color="auto" w:fill="FFFFFF"/>
        </w:rPr>
        <w:t>:</w:t>
      </w:r>
      <w:r w:rsidRPr="009939A9">
        <w:rPr>
          <w:rFonts w:cstheme="minorHAnsi"/>
          <w:shd w:val="clear" w:color="auto" w:fill="FFFFFF"/>
        </w:rPr>
        <w:t>481. doi: 10.1186/s12913-019-4332-6.</w:t>
      </w:r>
    </w:p>
    <w:p w14:paraId="0F25B5DD" w14:textId="77777777" w:rsidR="009939A9" w:rsidRDefault="00920EDE" w:rsidP="009939A9">
      <w:pPr>
        <w:pStyle w:val="ListParagraph"/>
        <w:numPr>
          <w:ilvl w:val="0"/>
          <w:numId w:val="4"/>
        </w:numPr>
        <w:spacing w:before="120" w:after="120"/>
        <w:ind w:left="357" w:hanging="357"/>
        <w:rPr>
          <w:rFonts w:cstheme="minorHAnsi"/>
        </w:rPr>
      </w:pPr>
      <w:r w:rsidRPr="009939A9">
        <w:rPr>
          <w:rFonts w:cstheme="minorHAnsi"/>
        </w:rPr>
        <w:t xml:space="preserve">Tennant B, Stellefson M, Dodd V, </w:t>
      </w:r>
      <w:r w:rsidRPr="009939A9">
        <w:rPr>
          <w:rFonts w:cs="Segoe UI"/>
          <w:shd w:val="clear" w:color="auto" w:fill="FFFFFF"/>
        </w:rPr>
        <w:t xml:space="preserve">Chaney B, Chaney D, Paige S, </w:t>
      </w:r>
      <w:r w:rsidRPr="009939A9">
        <w:rPr>
          <w:rFonts w:cstheme="minorHAnsi"/>
        </w:rPr>
        <w:t xml:space="preserve">et al. eHealth Literacy and Web 2.0 Health Information Seeking Behaviors Among Baby Boomers and Older Adults. </w:t>
      </w:r>
      <w:r w:rsidRPr="009939A9">
        <w:rPr>
          <w:rFonts w:cstheme="minorHAnsi"/>
          <w:iCs/>
        </w:rPr>
        <w:t>J Med Internet Res 2015</w:t>
      </w:r>
      <w:r w:rsidRPr="009939A9">
        <w:rPr>
          <w:rFonts w:cstheme="minorHAnsi"/>
        </w:rPr>
        <w:t>;17(3):e70. doi: 10.2196/jmir.3992.</w:t>
      </w:r>
    </w:p>
    <w:p w14:paraId="474488C3" w14:textId="77777777" w:rsidR="009939A9" w:rsidRDefault="00920EDE" w:rsidP="009939A9">
      <w:pPr>
        <w:pStyle w:val="ListParagraph"/>
        <w:numPr>
          <w:ilvl w:val="0"/>
          <w:numId w:val="4"/>
        </w:numPr>
        <w:spacing w:before="120" w:after="120"/>
        <w:ind w:left="357" w:hanging="357"/>
        <w:rPr>
          <w:rFonts w:cstheme="minorHAnsi"/>
        </w:rPr>
      </w:pPr>
      <w:r w:rsidRPr="009939A9">
        <w:rPr>
          <w:rFonts w:cstheme="minorHAnsi"/>
          <w:lang w:val="nl-NL"/>
        </w:rPr>
        <w:t xml:space="preserve">Reiners F, Sturm J, Bouw LJW, Wouters EJM. </w:t>
      </w:r>
      <w:r w:rsidRPr="009939A9">
        <w:rPr>
          <w:rFonts w:cstheme="minorHAnsi"/>
        </w:rPr>
        <w:t>Sociodemographic Factors Influencing the Use of eHealth in People with Chronic Diseases. Int J Environ Res Public Health 2019;16(4):645. doi: 10.3390/ijerph16040645.</w:t>
      </w:r>
    </w:p>
    <w:p w14:paraId="4D7EF1EF" w14:textId="77777777" w:rsidR="009939A9" w:rsidRDefault="00920EDE" w:rsidP="009939A9">
      <w:pPr>
        <w:pStyle w:val="ListParagraph"/>
        <w:numPr>
          <w:ilvl w:val="0"/>
          <w:numId w:val="4"/>
        </w:numPr>
        <w:spacing w:before="120" w:after="120"/>
        <w:ind w:left="357" w:hanging="357"/>
        <w:rPr>
          <w:rFonts w:cstheme="minorHAnsi"/>
        </w:rPr>
      </w:pPr>
      <w:r w:rsidRPr="009939A9">
        <w:rPr>
          <w:rFonts w:cstheme="minorHAnsi"/>
          <w:lang w:val="en-GB"/>
        </w:rPr>
        <w:t xml:space="preserve">Kontos E, Blake KD, Chou W-YS, Prestin A. </w:t>
      </w:r>
      <w:r w:rsidRPr="009939A9">
        <w:rPr>
          <w:rFonts w:cstheme="minorHAnsi"/>
        </w:rPr>
        <w:t xml:space="preserve">Predictors of eHealth Usage: Insights on The Digital Divide From the Health Information National Trends Survey 2012. </w:t>
      </w:r>
      <w:r w:rsidRPr="009939A9">
        <w:rPr>
          <w:rFonts w:cstheme="minorHAnsi"/>
          <w:iCs/>
        </w:rPr>
        <w:t>J Med Internet Res</w:t>
      </w:r>
      <w:r w:rsidRPr="009939A9">
        <w:rPr>
          <w:rFonts w:cstheme="minorHAnsi"/>
        </w:rPr>
        <w:t xml:space="preserve"> 2014;16(7):e172. doi: 10.2196/jmir.3117.</w:t>
      </w:r>
    </w:p>
    <w:p w14:paraId="1F6A70B0" w14:textId="77777777" w:rsidR="009939A9" w:rsidRDefault="00920EDE" w:rsidP="009939A9">
      <w:pPr>
        <w:pStyle w:val="ListParagraph"/>
        <w:numPr>
          <w:ilvl w:val="0"/>
          <w:numId w:val="4"/>
        </w:numPr>
        <w:spacing w:before="120" w:after="120"/>
        <w:ind w:left="357" w:hanging="357"/>
        <w:rPr>
          <w:rFonts w:cstheme="minorHAnsi"/>
        </w:rPr>
      </w:pPr>
      <w:r w:rsidRPr="009939A9">
        <w:rPr>
          <w:rFonts w:cstheme="minorHAnsi"/>
        </w:rPr>
        <w:t xml:space="preserve">Lee J, Lee E, Chae D. eHealth Literacy Instruments: Systematic Review of Measurement Properties. J Med Internet Res 2021;23(11):e30644. </w:t>
      </w:r>
      <w:r w:rsidRPr="009939A9">
        <w:rPr>
          <w:rFonts w:cstheme="minorHAnsi"/>
          <w:shd w:val="clear" w:color="auto" w:fill="FFFFFF"/>
        </w:rPr>
        <w:t>doi: 10.2196/30644</w:t>
      </w:r>
      <w:r w:rsidRPr="009939A9">
        <w:rPr>
          <w:rFonts w:cstheme="minorHAnsi"/>
        </w:rPr>
        <w:t xml:space="preserve">.   </w:t>
      </w:r>
    </w:p>
    <w:p w14:paraId="59F8BEC9" w14:textId="2B2A2AC0" w:rsidR="00920EDE" w:rsidRPr="009939A9" w:rsidRDefault="00920EDE" w:rsidP="009939A9">
      <w:pPr>
        <w:pStyle w:val="ListParagraph"/>
        <w:numPr>
          <w:ilvl w:val="0"/>
          <w:numId w:val="4"/>
        </w:numPr>
        <w:spacing w:before="120" w:after="120"/>
        <w:ind w:left="357" w:hanging="357"/>
        <w:rPr>
          <w:rFonts w:cstheme="minorHAnsi"/>
        </w:rPr>
      </w:pPr>
      <w:r w:rsidRPr="009939A9">
        <w:rPr>
          <w:rFonts w:cstheme="minorHAnsi"/>
        </w:rPr>
        <w:t xml:space="preserve">Faux-Nightingale A, Philp F, Chadwick D, Singh B, Pandyan A. Available tools to evaluate digital health literacy and engagement with eHealth resources: A scoping review. </w:t>
      </w:r>
      <w:r w:rsidRPr="009939A9">
        <w:rPr>
          <w:rFonts w:cstheme="minorHAnsi"/>
          <w:i/>
          <w:iCs/>
        </w:rPr>
        <w:t xml:space="preserve">Heliyon </w:t>
      </w:r>
      <w:r w:rsidRPr="009939A9">
        <w:rPr>
          <w:rFonts w:cstheme="minorHAnsi"/>
        </w:rPr>
        <w:t>2022;8(8):e10380.</w:t>
      </w:r>
      <w:r w:rsidR="009939A9">
        <w:rPr>
          <w:rFonts w:cstheme="minorHAnsi"/>
        </w:rPr>
        <w:t xml:space="preserve"> d</w:t>
      </w:r>
      <w:r w:rsidRPr="009939A9">
        <w:rPr>
          <w:rFonts w:cstheme="minorHAnsi"/>
        </w:rPr>
        <w:t>oi.org/10.1016/j.heliyon.2022.e10380.</w:t>
      </w:r>
    </w:p>
    <w:p w14:paraId="3D4DB4BB" w14:textId="72B0CD45" w:rsidR="00B80FEF" w:rsidRPr="009D4A99" w:rsidRDefault="00B80FEF" w:rsidP="009D4A99">
      <w:pPr>
        <w:spacing w:line="276" w:lineRule="auto"/>
        <w:rPr>
          <w:rFonts w:cstheme="minorHAnsi"/>
        </w:rPr>
      </w:pPr>
    </w:p>
    <w:sectPr w:rsidR="00B80FEF" w:rsidRPr="009D4A99" w:rsidSect="00076A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34B2"/>
    <w:multiLevelType w:val="hybridMultilevel"/>
    <w:tmpl w:val="DF7EA8FC"/>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2" w15:restartNumberingAfterBreak="0">
    <w:nsid w:val="4BE25BE6"/>
    <w:multiLevelType w:val="hybridMultilevel"/>
    <w:tmpl w:val="03227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15:restartNumberingAfterBreak="0">
    <w:nsid w:val="66627BF1"/>
    <w:multiLevelType w:val="multilevel"/>
    <w:tmpl w:val="429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5820082">
    <w:abstractNumId w:val="2"/>
  </w:num>
  <w:num w:numId="2" w16cid:durableId="1012412166">
    <w:abstractNumId w:val="0"/>
  </w:num>
  <w:num w:numId="3" w16cid:durableId="1441071552">
    <w:abstractNumId w:val="3"/>
  </w:num>
  <w:num w:numId="4" w16cid:durableId="121342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6A"/>
    <w:rsid w:val="000033C0"/>
    <w:rsid w:val="00003ABD"/>
    <w:rsid w:val="00005182"/>
    <w:rsid w:val="00005E9E"/>
    <w:rsid w:val="00007D03"/>
    <w:rsid w:val="00010467"/>
    <w:rsid w:val="00013A8C"/>
    <w:rsid w:val="0001722E"/>
    <w:rsid w:val="00020248"/>
    <w:rsid w:val="000209D2"/>
    <w:rsid w:val="00024B0F"/>
    <w:rsid w:val="00025A2A"/>
    <w:rsid w:val="000271CC"/>
    <w:rsid w:val="00030551"/>
    <w:rsid w:val="000322AE"/>
    <w:rsid w:val="00032767"/>
    <w:rsid w:val="00032EBA"/>
    <w:rsid w:val="00037A74"/>
    <w:rsid w:val="00037A98"/>
    <w:rsid w:val="00037FF2"/>
    <w:rsid w:val="0004307F"/>
    <w:rsid w:val="00045A6A"/>
    <w:rsid w:val="00047165"/>
    <w:rsid w:val="000520E5"/>
    <w:rsid w:val="00053C64"/>
    <w:rsid w:val="00066748"/>
    <w:rsid w:val="00070D00"/>
    <w:rsid w:val="00071DF8"/>
    <w:rsid w:val="000727E2"/>
    <w:rsid w:val="0007304C"/>
    <w:rsid w:val="00076A71"/>
    <w:rsid w:val="0008698A"/>
    <w:rsid w:val="00090586"/>
    <w:rsid w:val="0009324C"/>
    <w:rsid w:val="00094896"/>
    <w:rsid w:val="00096921"/>
    <w:rsid w:val="00096A15"/>
    <w:rsid w:val="000A38EF"/>
    <w:rsid w:val="000A396D"/>
    <w:rsid w:val="000A4B70"/>
    <w:rsid w:val="000A70D6"/>
    <w:rsid w:val="000A73E9"/>
    <w:rsid w:val="000B4692"/>
    <w:rsid w:val="000B55B0"/>
    <w:rsid w:val="000B7692"/>
    <w:rsid w:val="000C0133"/>
    <w:rsid w:val="000C31D9"/>
    <w:rsid w:val="000C3BB5"/>
    <w:rsid w:val="000C3BBF"/>
    <w:rsid w:val="000C4259"/>
    <w:rsid w:val="000C6B6B"/>
    <w:rsid w:val="000D2AA2"/>
    <w:rsid w:val="000D359C"/>
    <w:rsid w:val="000D79F6"/>
    <w:rsid w:val="000E4788"/>
    <w:rsid w:val="000E4BF5"/>
    <w:rsid w:val="000E6CBB"/>
    <w:rsid w:val="000F1C6C"/>
    <w:rsid w:val="000F2B06"/>
    <w:rsid w:val="00101484"/>
    <w:rsid w:val="00101E4C"/>
    <w:rsid w:val="00103F62"/>
    <w:rsid w:val="001048E2"/>
    <w:rsid w:val="00104C12"/>
    <w:rsid w:val="0010662A"/>
    <w:rsid w:val="00107C2E"/>
    <w:rsid w:val="00110F23"/>
    <w:rsid w:val="00111BB8"/>
    <w:rsid w:val="00111C35"/>
    <w:rsid w:val="00122CB6"/>
    <w:rsid w:val="00123542"/>
    <w:rsid w:val="001258F6"/>
    <w:rsid w:val="00127DA4"/>
    <w:rsid w:val="00127DF3"/>
    <w:rsid w:val="001317A1"/>
    <w:rsid w:val="00135406"/>
    <w:rsid w:val="001365DF"/>
    <w:rsid w:val="00142253"/>
    <w:rsid w:val="0014226F"/>
    <w:rsid w:val="00142C94"/>
    <w:rsid w:val="001450F3"/>
    <w:rsid w:val="0014734C"/>
    <w:rsid w:val="00150606"/>
    <w:rsid w:val="001507D7"/>
    <w:rsid w:val="001520A1"/>
    <w:rsid w:val="001579F0"/>
    <w:rsid w:val="001609B3"/>
    <w:rsid w:val="001619D1"/>
    <w:rsid w:val="00162ACC"/>
    <w:rsid w:val="00164262"/>
    <w:rsid w:val="00164720"/>
    <w:rsid w:val="00166B86"/>
    <w:rsid w:val="00172250"/>
    <w:rsid w:val="00173A22"/>
    <w:rsid w:val="001819C4"/>
    <w:rsid w:val="001834E9"/>
    <w:rsid w:val="00183F8F"/>
    <w:rsid w:val="00191924"/>
    <w:rsid w:val="00191E7D"/>
    <w:rsid w:val="0019208C"/>
    <w:rsid w:val="0019282D"/>
    <w:rsid w:val="00192FF7"/>
    <w:rsid w:val="00196B3B"/>
    <w:rsid w:val="001A03DF"/>
    <w:rsid w:val="001A05B3"/>
    <w:rsid w:val="001A2615"/>
    <w:rsid w:val="001A3834"/>
    <w:rsid w:val="001A45B1"/>
    <w:rsid w:val="001A79D3"/>
    <w:rsid w:val="001B0CA5"/>
    <w:rsid w:val="001B1DFF"/>
    <w:rsid w:val="001B38FA"/>
    <w:rsid w:val="001B425A"/>
    <w:rsid w:val="001B493F"/>
    <w:rsid w:val="001B5F65"/>
    <w:rsid w:val="001B7CF7"/>
    <w:rsid w:val="001C0C6D"/>
    <w:rsid w:val="001C3343"/>
    <w:rsid w:val="001C437C"/>
    <w:rsid w:val="001C47AC"/>
    <w:rsid w:val="001C57AD"/>
    <w:rsid w:val="001C6362"/>
    <w:rsid w:val="001D0C9B"/>
    <w:rsid w:val="001D10AE"/>
    <w:rsid w:val="001D1E21"/>
    <w:rsid w:val="001E432E"/>
    <w:rsid w:val="001E570C"/>
    <w:rsid w:val="001F0600"/>
    <w:rsid w:val="001F5BA6"/>
    <w:rsid w:val="001F5DE1"/>
    <w:rsid w:val="001F789E"/>
    <w:rsid w:val="002047D6"/>
    <w:rsid w:val="00205370"/>
    <w:rsid w:val="00206388"/>
    <w:rsid w:val="00206502"/>
    <w:rsid w:val="002105B8"/>
    <w:rsid w:val="00213673"/>
    <w:rsid w:val="00214B40"/>
    <w:rsid w:val="002160F4"/>
    <w:rsid w:val="0021628C"/>
    <w:rsid w:val="002178E2"/>
    <w:rsid w:val="00224E43"/>
    <w:rsid w:val="00227AE5"/>
    <w:rsid w:val="00227C47"/>
    <w:rsid w:val="00230142"/>
    <w:rsid w:val="0023064A"/>
    <w:rsid w:val="00233A27"/>
    <w:rsid w:val="00233A40"/>
    <w:rsid w:val="00235517"/>
    <w:rsid w:val="00235A36"/>
    <w:rsid w:val="00237268"/>
    <w:rsid w:val="00240B47"/>
    <w:rsid w:val="002411BD"/>
    <w:rsid w:val="002415FC"/>
    <w:rsid w:val="00241F16"/>
    <w:rsid w:val="0025155D"/>
    <w:rsid w:val="002560B9"/>
    <w:rsid w:val="00260A03"/>
    <w:rsid w:val="00260DEB"/>
    <w:rsid w:val="00261684"/>
    <w:rsid w:val="00263CB1"/>
    <w:rsid w:val="00264C1E"/>
    <w:rsid w:val="00280965"/>
    <w:rsid w:val="00280E37"/>
    <w:rsid w:val="0028345F"/>
    <w:rsid w:val="0028505B"/>
    <w:rsid w:val="00293E13"/>
    <w:rsid w:val="0029675A"/>
    <w:rsid w:val="002A21B5"/>
    <w:rsid w:val="002A7042"/>
    <w:rsid w:val="002B1A6F"/>
    <w:rsid w:val="002B1E21"/>
    <w:rsid w:val="002B2F6E"/>
    <w:rsid w:val="002B36B0"/>
    <w:rsid w:val="002B5650"/>
    <w:rsid w:val="002B77D5"/>
    <w:rsid w:val="002C00FD"/>
    <w:rsid w:val="002C5D9F"/>
    <w:rsid w:val="002D03A2"/>
    <w:rsid w:val="002D480A"/>
    <w:rsid w:val="002D48FC"/>
    <w:rsid w:val="002D4E8D"/>
    <w:rsid w:val="002D7E2B"/>
    <w:rsid w:val="002E0296"/>
    <w:rsid w:val="002E067F"/>
    <w:rsid w:val="002E06F7"/>
    <w:rsid w:val="002E1CAE"/>
    <w:rsid w:val="002E1D91"/>
    <w:rsid w:val="002E2018"/>
    <w:rsid w:val="002E340E"/>
    <w:rsid w:val="002E4343"/>
    <w:rsid w:val="002E7AAF"/>
    <w:rsid w:val="002F62B6"/>
    <w:rsid w:val="002F67E9"/>
    <w:rsid w:val="003026DD"/>
    <w:rsid w:val="00304759"/>
    <w:rsid w:val="00306CF0"/>
    <w:rsid w:val="00310A9A"/>
    <w:rsid w:val="003125AC"/>
    <w:rsid w:val="00320236"/>
    <w:rsid w:val="00320CB2"/>
    <w:rsid w:val="00323523"/>
    <w:rsid w:val="00324C70"/>
    <w:rsid w:val="00324CB4"/>
    <w:rsid w:val="00324CDF"/>
    <w:rsid w:val="00325438"/>
    <w:rsid w:val="00325BBC"/>
    <w:rsid w:val="003267C0"/>
    <w:rsid w:val="00330F8D"/>
    <w:rsid w:val="00331260"/>
    <w:rsid w:val="003320AC"/>
    <w:rsid w:val="003375EC"/>
    <w:rsid w:val="00337DCC"/>
    <w:rsid w:val="00340D88"/>
    <w:rsid w:val="00342BF7"/>
    <w:rsid w:val="00343484"/>
    <w:rsid w:val="0034432D"/>
    <w:rsid w:val="00344770"/>
    <w:rsid w:val="003454A6"/>
    <w:rsid w:val="00345B5E"/>
    <w:rsid w:val="0035402E"/>
    <w:rsid w:val="0035660C"/>
    <w:rsid w:val="00357B9B"/>
    <w:rsid w:val="003634FB"/>
    <w:rsid w:val="00363A94"/>
    <w:rsid w:val="003676BB"/>
    <w:rsid w:val="00371970"/>
    <w:rsid w:val="00372B5D"/>
    <w:rsid w:val="003749F4"/>
    <w:rsid w:val="00374FD9"/>
    <w:rsid w:val="00375CF9"/>
    <w:rsid w:val="003829C1"/>
    <w:rsid w:val="00384FE4"/>
    <w:rsid w:val="00386C25"/>
    <w:rsid w:val="00387A32"/>
    <w:rsid w:val="00391A33"/>
    <w:rsid w:val="003923FD"/>
    <w:rsid w:val="003928DE"/>
    <w:rsid w:val="0039324C"/>
    <w:rsid w:val="00393995"/>
    <w:rsid w:val="003947F5"/>
    <w:rsid w:val="00394A07"/>
    <w:rsid w:val="003973AC"/>
    <w:rsid w:val="00397B30"/>
    <w:rsid w:val="00397D2D"/>
    <w:rsid w:val="003A319F"/>
    <w:rsid w:val="003A3ACC"/>
    <w:rsid w:val="003A4678"/>
    <w:rsid w:val="003A717C"/>
    <w:rsid w:val="003A733F"/>
    <w:rsid w:val="003A75A4"/>
    <w:rsid w:val="003B0DF8"/>
    <w:rsid w:val="003B1AC4"/>
    <w:rsid w:val="003B27DD"/>
    <w:rsid w:val="003B6B11"/>
    <w:rsid w:val="003B6C27"/>
    <w:rsid w:val="003C0727"/>
    <w:rsid w:val="003C153A"/>
    <w:rsid w:val="003C3A23"/>
    <w:rsid w:val="003C42B5"/>
    <w:rsid w:val="003C5399"/>
    <w:rsid w:val="003D0728"/>
    <w:rsid w:val="003D194A"/>
    <w:rsid w:val="003D2848"/>
    <w:rsid w:val="003D2903"/>
    <w:rsid w:val="003D5375"/>
    <w:rsid w:val="003E5D38"/>
    <w:rsid w:val="003E5D9C"/>
    <w:rsid w:val="003E6A0F"/>
    <w:rsid w:val="003E7819"/>
    <w:rsid w:val="003F0301"/>
    <w:rsid w:val="003F0661"/>
    <w:rsid w:val="003F16F9"/>
    <w:rsid w:val="003F18D3"/>
    <w:rsid w:val="003F252F"/>
    <w:rsid w:val="003F490A"/>
    <w:rsid w:val="004033AE"/>
    <w:rsid w:val="00406408"/>
    <w:rsid w:val="004066DD"/>
    <w:rsid w:val="00407098"/>
    <w:rsid w:val="004114A9"/>
    <w:rsid w:val="00413D0B"/>
    <w:rsid w:val="00414634"/>
    <w:rsid w:val="00414D6E"/>
    <w:rsid w:val="0041700F"/>
    <w:rsid w:val="00420DCC"/>
    <w:rsid w:val="00424996"/>
    <w:rsid w:val="00424EA6"/>
    <w:rsid w:val="00427571"/>
    <w:rsid w:val="00430596"/>
    <w:rsid w:val="00430E89"/>
    <w:rsid w:val="00431994"/>
    <w:rsid w:val="0043216D"/>
    <w:rsid w:val="0044012C"/>
    <w:rsid w:val="004415E5"/>
    <w:rsid w:val="00442074"/>
    <w:rsid w:val="00443EB0"/>
    <w:rsid w:val="00444506"/>
    <w:rsid w:val="00451985"/>
    <w:rsid w:val="00451BEB"/>
    <w:rsid w:val="00454272"/>
    <w:rsid w:val="004622B0"/>
    <w:rsid w:val="00463AB8"/>
    <w:rsid w:val="0046554E"/>
    <w:rsid w:val="00466913"/>
    <w:rsid w:val="00474517"/>
    <w:rsid w:val="00476254"/>
    <w:rsid w:val="004769B2"/>
    <w:rsid w:val="0048010B"/>
    <w:rsid w:val="004801D6"/>
    <w:rsid w:val="0048059C"/>
    <w:rsid w:val="00481007"/>
    <w:rsid w:val="00485018"/>
    <w:rsid w:val="00486633"/>
    <w:rsid w:val="00487190"/>
    <w:rsid w:val="004878DC"/>
    <w:rsid w:val="00492775"/>
    <w:rsid w:val="004933EB"/>
    <w:rsid w:val="00493C77"/>
    <w:rsid w:val="004A3788"/>
    <w:rsid w:val="004A6767"/>
    <w:rsid w:val="004B2B5E"/>
    <w:rsid w:val="004B4725"/>
    <w:rsid w:val="004C3C87"/>
    <w:rsid w:val="004C405F"/>
    <w:rsid w:val="004C43FE"/>
    <w:rsid w:val="004C52F5"/>
    <w:rsid w:val="004D0352"/>
    <w:rsid w:val="004D0F15"/>
    <w:rsid w:val="004D2162"/>
    <w:rsid w:val="004D3B26"/>
    <w:rsid w:val="004D3D5A"/>
    <w:rsid w:val="004E047F"/>
    <w:rsid w:val="004E3141"/>
    <w:rsid w:val="004E35FD"/>
    <w:rsid w:val="004E4DA7"/>
    <w:rsid w:val="004E68FE"/>
    <w:rsid w:val="004F09F8"/>
    <w:rsid w:val="004F0CD3"/>
    <w:rsid w:val="004F2332"/>
    <w:rsid w:val="004F7A07"/>
    <w:rsid w:val="00500146"/>
    <w:rsid w:val="00500233"/>
    <w:rsid w:val="005005AD"/>
    <w:rsid w:val="00501497"/>
    <w:rsid w:val="00502F46"/>
    <w:rsid w:val="00503102"/>
    <w:rsid w:val="00504ECB"/>
    <w:rsid w:val="00506ED7"/>
    <w:rsid w:val="00506F25"/>
    <w:rsid w:val="00507358"/>
    <w:rsid w:val="005102F5"/>
    <w:rsid w:val="005138AC"/>
    <w:rsid w:val="00513FDA"/>
    <w:rsid w:val="005147E0"/>
    <w:rsid w:val="00515897"/>
    <w:rsid w:val="005163DB"/>
    <w:rsid w:val="00517C9C"/>
    <w:rsid w:val="00521BE5"/>
    <w:rsid w:val="00524D72"/>
    <w:rsid w:val="00525F4F"/>
    <w:rsid w:val="00530038"/>
    <w:rsid w:val="00531122"/>
    <w:rsid w:val="00540483"/>
    <w:rsid w:val="005410F5"/>
    <w:rsid w:val="00541CD8"/>
    <w:rsid w:val="00541F75"/>
    <w:rsid w:val="00542D90"/>
    <w:rsid w:val="00543F2C"/>
    <w:rsid w:val="005443AF"/>
    <w:rsid w:val="00545F81"/>
    <w:rsid w:val="005465F4"/>
    <w:rsid w:val="00547E22"/>
    <w:rsid w:val="00552E7C"/>
    <w:rsid w:val="00553172"/>
    <w:rsid w:val="00561F9B"/>
    <w:rsid w:val="005702D4"/>
    <w:rsid w:val="0057284A"/>
    <w:rsid w:val="00575604"/>
    <w:rsid w:val="0057565E"/>
    <w:rsid w:val="00577BEA"/>
    <w:rsid w:val="005814F0"/>
    <w:rsid w:val="00582433"/>
    <w:rsid w:val="00582A71"/>
    <w:rsid w:val="00585D47"/>
    <w:rsid w:val="0059498A"/>
    <w:rsid w:val="005955A7"/>
    <w:rsid w:val="005A02D2"/>
    <w:rsid w:val="005A0A94"/>
    <w:rsid w:val="005A0F2C"/>
    <w:rsid w:val="005A358E"/>
    <w:rsid w:val="005A5DFE"/>
    <w:rsid w:val="005A7191"/>
    <w:rsid w:val="005B176A"/>
    <w:rsid w:val="005B35BE"/>
    <w:rsid w:val="005B3C34"/>
    <w:rsid w:val="005B3E25"/>
    <w:rsid w:val="005B4164"/>
    <w:rsid w:val="005B4A90"/>
    <w:rsid w:val="005B629A"/>
    <w:rsid w:val="005B7471"/>
    <w:rsid w:val="005C41FE"/>
    <w:rsid w:val="005C568F"/>
    <w:rsid w:val="005D2A11"/>
    <w:rsid w:val="005D2AE0"/>
    <w:rsid w:val="005D32E3"/>
    <w:rsid w:val="005D3CA4"/>
    <w:rsid w:val="005D3F36"/>
    <w:rsid w:val="005D7D16"/>
    <w:rsid w:val="005E0A33"/>
    <w:rsid w:val="005E0F69"/>
    <w:rsid w:val="005E161D"/>
    <w:rsid w:val="005E2013"/>
    <w:rsid w:val="005E4158"/>
    <w:rsid w:val="005E6A6E"/>
    <w:rsid w:val="005E7D55"/>
    <w:rsid w:val="005F1BDE"/>
    <w:rsid w:val="005F2DC5"/>
    <w:rsid w:val="005F3829"/>
    <w:rsid w:val="005F5166"/>
    <w:rsid w:val="00600781"/>
    <w:rsid w:val="00604359"/>
    <w:rsid w:val="00605F53"/>
    <w:rsid w:val="0060675C"/>
    <w:rsid w:val="00606D5D"/>
    <w:rsid w:val="006078E6"/>
    <w:rsid w:val="00607F31"/>
    <w:rsid w:val="00610FC5"/>
    <w:rsid w:val="0061127C"/>
    <w:rsid w:val="00611454"/>
    <w:rsid w:val="00611FF3"/>
    <w:rsid w:val="0061398D"/>
    <w:rsid w:val="00613D4C"/>
    <w:rsid w:val="00614138"/>
    <w:rsid w:val="00616DDD"/>
    <w:rsid w:val="006268A9"/>
    <w:rsid w:val="006313E0"/>
    <w:rsid w:val="006367DB"/>
    <w:rsid w:val="006439F1"/>
    <w:rsid w:val="00655119"/>
    <w:rsid w:val="00657882"/>
    <w:rsid w:val="00660442"/>
    <w:rsid w:val="006627B9"/>
    <w:rsid w:val="0066346C"/>
    <w:rsid w:val="00663D77"/>
    <w:rsid w:val="006641E7"/>
    <w:rsid w:val="00664450"/>
    <w:rsid w:val="0066627E"/>
    <w:rsid w:val="0066647A"/>
    <w:rsid w:val="0066684A"/>
    <w:rsid w:val="006712AA"/>
    <w:rsid w:val="00671505"/>
    <w:rsid w:val="006773E3"/>
    <w:rsid w:val="00680A27"/>
    <w:rsid w:val="00681006"/>
    <w:rsid w:val="006815BB"/>
    <w:rsid w:val="00681AE0"/>
    <w:rsid w:val="00683247"/>
    <w:rsid w:val="0068388D"/>
    <w:rsid w:val="00684635"/>
    <w:rsid w:val="00685233"/>
    <w:rsid w:val="00685E0E"/>
    <w:rsid w:val="00686E48"/>
    <w:rsid w:val="006917A3"/>
    <w:rsid w:val="006944B8"/>
    <w:rsid w:val="0069472F"/>
    <w:rsid w:val="0069599C"/>
    <w:rsid w:val="006963E1"/>
    <w:rsid w:val="006968FF"/>
    <w:rsid w:val="006A2748"/>
    <w:rsid w:val="006A2B9D"/>
    <w:rsid w:val="006A2BF6"/>
    <w:rsid w:val="006A391F"/>
    <w:rsid w:val="006A39F4"/>
    <w:rsid w:val="006A48CE"/>
    <w:rsid w:val="006A790F"/>
    <w:rsid w:val="006A7ADB"/>
    <w:rsid w:val="006A7B6F"/>
    <w:rsid w:val="006B143B"/>
    <w:rsid w:val="006B3494"/>
    <w:rsid w:val="006B4792"/>
    <w:rsid w:val="006B4BF2"/>
    <w:rsid w:val="006B7794"/>
    <w:rsid w:val="006B7E71"/>
    <w:rsid w:val="006C1B08"/>
    <w:rsid w:val="006C3271"/>
    <w:rsid w:val="006C5270"/>
    <w:rsid w:val="006C6B5F"/>
    <w:rsid w:val="006D1A11"/>
    <w:rsid w:val="006D2099"/>
    <w:rsid w:val="006D6908"/>
    <w:rsid w:val="006E1269"/>
    <w:rsid w:val="006E49AF"/>
    <w:rsid w:val="006E4BC5"/>
    <w:rsid w:val="006E7093"/>
    <w:rsid w:val="006F1CBD"/>
    <w:rsid w:val="006F4D29"/>
    <w:rsid w:val="006F693A"/>
    <w:rsid w:val="00700D61"/>
    <w:rsid w:val="00700F1A"/>
    <w:rsid w:val="00701ACF"/>
    <w:rsid w:val="007057F4"/>
    <w:rsid w:val="00706DC1"/>
    <w:rsid w:val="0071165C"/>
    <w:rsid w:val="007151C7"/>
    <w:rsid w:val="00716997"/>
    <w:rsid w:val="00716E2A"/>
    <w:rsid w:val="007174E7"/>
    <w:rsid w:val="0071770B"/>
    <w:rsid w:val="00722248"/>
    <w:rsid w:val="00722C3A"/>
    <w:rsid w:val="00722F92"/>
    <w:rsid w:val="0073014B"/>
    <w:rsid w:val="00731D39"/>
    <w:rsid w:val="0073434B"/>
    <w:rsid w:val="00734FCC"/>
    <w:rsid w:val="007350A8"/>
    <w:rsid w:val="007350ED"/>
    <w:rsid w:val="0073667C"/>
    <w:rsid w:val="00740548"/>
    <w:rsid w:val="00741124"/>
    <w:rsid w:val="007433B8"/>
    <w:rsid w:val="007509E2"/>
    <w:rsid w:val="00752090"/>
    <w:rsid w:val="007528E1"/>
    <w:rsid w:val="00753755"/>
    <w:rsid w:val="007543D0"/>
    <w:rsid w:val="007603DB"/>
    <w:rsid w:val="00762432"/>
    <w:rsid w:val="0076361C"/>
    <w:rsid w:val="00765CDB"/>
    <w:rsid w:val="007669CD"/>
    <w:rsid w:val="007676B5"/>
    <w:rsid w:val="00767F0A"/>
    <w:rsid w:val="00770CD1"/>
    <w:rsid w:val="00772D1A"/>
    <w:rsid w:val="00774196"/>
    <w:rsid w:val="0077473C"/>
    <w:rsid w:val="00775672"/>
    <w:rsid w:val="007765CE"/>
    <w:rsid w:val="007815D1"/>
    <w:rsid w:val="00785DD5"/>
    <w:rsid w:val="00786A57"/>
    <w:rsid w:val="0079139A"/>
    <w:rsid w:val="00791F8E"/>
    <w:rsid w:val="007950BB"/>
    <w:rsid w:val="007955E4"/>
    <w:rsid w:val="00796233"/>
    <w:rsid w:val="007A14E6"/>
    <w:rsid w:val="007A2581"/>
    <w:rsid w:val="007A3E3B"/>
    <w:rsid w:val="007A3E50"/>
    <w:rsid w:val="007A6FFB"/>
    <w:rsid w:val="007B188E"/>
    <w:rsid w:val="007B2B0C"/>
    <w:rsid w:val="007B3BE6"/>
    <w:rsid w:val="007B6C76"/>
    <w:rsid w:val="007B710B"/>
    <w:rsid w:val="007C392E"/>
    <w:rsid w:val="007C3C0D"/>
    <w:rsid w:val="007C6E33"/>
    <w:rsid w:val="007C715D"/>
    <w:rsid w:val="007D274F"/>
    <w:rsid w:val="007D39E4"/>
    <w:rsid w:val="007D4608"/>
    <w:rsid w:val="007D6A50"/>
    <w:rsid w:val="007D7C8A"/>
    <w:rsid w:val="007E180B"/>
    <w:rsid w:val="007F07CB"/>
    <w:rsid w:val="007F1F94"/>
    <w:rsid w:val="007F2BF5"/>
    <w:rsid w:val="007F38C2"/>
    <w:rsid w:val="007F6683"/>
    <w:rsid w:val="008008BF"/>
    <w:rsid w:val="00806E83"/>
    <w:rsid w:val="008108CB"/>
    <w:rsid w:val="00813802"/>
    <w:rsid w:val="00813F65"/>
    <w:rsid w:val="00814D60"/>
    <w:rsid w:val="00815676"/>
    <w:rsid w:val="00816109"/>
    <w:rsid w:val="00816EE4"/>
    <w:rsid w:val="00817B50"/>
    <w:rsid w:val="00817F2E"/>
    <w:rsid w:val="00820842"/>
    <w:rsid w:val="008212BD"/>
    <w:rsid w:val="0082240D"/>
    <w:rsid w:val="008228BD"/>
    <w:rsid w:val="00831673"/>
    <w:rsid w:val="008351FD"/>
    <w:rsid w:val="0083563A"/>
    <w:rsid w:val="008437D1"/>
    <w:rsid w:val="00843B31"/>
    <w:rsid w:val="00844DEE"/>
    <w:rsid w:val="008471AE"/>
    <w:rsid w:val="008521AC"/>
    <w:rsid w:val="0085565E"/>
    <w:rsid w:val="008618D0"/>
    <w:rsid w:val="00863E04"/>
    <w:rsid w:val="008640EC"/>
    <w:rsid w:val="00864852"/>
    <w:rsid w:val="008670BB"/>
    <w:rsid w:val="00870464"/>
    <w:rsid w:val="00871A62"/>
    <w:rsid w:val="008755D9"/>
    <w:rsid w:val="00875888"/>
    <w:rsid w:val="00876D1F"/>
    <w:rsid w:val="0087740D"/>
    <w:rsid w:val="00877C83"/>
    <w:rsid w:val="00881EFF"/>
    <w:rsid w:val="00886984"/>
    <w:rsid w:val="008904AE"/>
    <w:rsid w:val="00891425"/>
    <w:rsid w:val="00893115"/>
    <w:rsid w:val="00893B42"/>
    <w:rsid w:val="008952CD"/>
    <w:rsid w:val="00895F98"/>
    <w:rsid w:val="008A0F4C"/>
    <w:rsid w:val="008A2C23"/>
    <w:rsid w:val="008A4065"/>
    <w:rsid w:val="008A43DD"/>
    <w:rsid w:val="008B48A7"/>
    <w:rsid w:val="008B6171"/>
    <w:rsid w:val="008C2DED"/>
    <w:rsid w:val="008C402F"/>
    <w:rsid w:val="008C466F"/>
    <w:rsid w:val="008C622F"/>
    <w:rsid w:val="008D3EBC"/>
    <w:rsid w:val="008D464F"/>
    <w:rsid w:val="008E37B2"/>
    <w:rsid w:val="008E5EB8"/>
    <w:rsid w:val="008F03FB"/>
    <w:rsid w:val="008F0ECA"/>
    <w:rsid w:val="008F140B"/>
    <w:rsid w:val="008F3204"/>
    <w:rsid w:val="008F63BB"/>
    <w:rsid w:val="008F68BA"/>
    <w:rsid w:val="008F73B2"/>
    <w:rsid w:val="008F77BE"/>
    <w:rsid w:val="00900035"/>
    <w:rsid w:val="00900129"/>
    <w:rsid w:val="0090273E"/>
    <w:rsid w:val="009036E6"/>
    <w:rsid w:val="00903D63"/>
    <w:rsid w:val="00905971"/>
    <w:rsid w:val="009078C8"/>
    <w:rsid w:val="00907F09"/>
    <w:rsid w:val="00915E06"/>
    <w:rsid w:val="00920EDE"/>
    <w:rsid w:val="009236ED"/>
    <w:rsid w:val="009257A5"/>
    <w:rsid w:val="00932118"/>
    <w:rsid w:val="009325A2"/>
    <w:rsid w:val="009329F6"/>
    <w:rsid w:val="00932DB9"/>
    <w:rsid w:val="00932E1F"/>
    <w:rsid w:val="00933513"/>
    <w:rsid w:val="00933953"/>
    <w:rsid w:val="00933EA5"/>
    <w:rsid w:val="00934A57"/>
    <w:rsid w:val="00936FCE"/>
    <w:rsid w:val="00937947"/>
    <w:rsid w:val="009413C9"/>
    <w:rsid w:val="00943A98"/>
    <w:rsid w:val="009448B7"/>
    <w:rsid w:val="00944E43"/>
    <w:rsid w:val="00945CE5"/>
    <w:rsid w:val="00950971"/>
    <w:rsid w:val="00950F2D"/>
    <w:rsid w:val="00953E86"/>
    <w:rsid w:val="00957BC2"/>
    <w:rsid w:val="00960726"/>
    <w:rsid w:val="00960C3A"/>
    <w:rsid w:val="00964F37"/>
    <w:rsid w:val="00970849"/>
    <w:rsid w:val="00970C92"/>
    <w:rsid w:val="00970CBC"/>
    <w:rsid w:val="00970CEB"/>
    <w:rsid w:val="00976749"/>
    <w:rsid w:val="00984C4C"/>
    <w:rsid w:val="00985259"/>
    <w:rsid w:val="00985B41"/>
    <w:rsid w:val="00985E00"/>
    <w:rsid w:val="0099161D"/>
    <w:rsid w:val="00992BB4"/>
    <w:rsid w:val="009939A9"/>
    <w:rsid w:val="00994909"/>
    <w:rsid w:val="009A4AA5"/>
    <w:rsid w:val="009A50E5"/>
    <w:rsid w:val="009B0549"/>
    <w:rsid w:val="009B096E"/>
    <w:rsid w:val="009B0C8D"/>
    <w:rsid w:val="009B2639"/>
    <w:rsid w:val="009B3A55"/>
    <w:rsid w:val="009B63D0"/>
    <w:rsid w:val="009B6879"/>
    <w:rsid w:val="009C2738"/>
    <w:rsid w:val="009C53A1"/>
    <w:rsid w:val="009C7D47"/>
    <w:rsid w:val="009C7EDA"/>
    <w:rsid w:val="009D0D40"/>
    <w:rsid w:val="009D12C5"/>
    <w:rsid w:val="009D4A99"/>
    <w:rsid w:val="009D50DE"/>
    <w:rsid w:val="009D6090"/>
    <w:rsid w:val="009D6156"/>
    <w:rsid w:val="009D718A"/>
    <w:rsid w:val="009E69DE"/>
    <w:rsid w:val="009E6EB1"/>
    <w:rsid w:val="009F08E5"/>
    <w:rsid w:val="009F3041"/>
    <w:rsid w:val="009F4816"/>
    <w:rsid w:val="009F67D4"/>
    <w:rsid w:val="009F6EAA"/>
    <w:rsid w:val="00A0155E"/>
    <w:rsid w:val="00A0257D"/>
    <w:rsid w:val="00A05145"/>
    <w:rsid w:val="00A06B84"/>
    <w:rsid w:val="00A06C73"/>
    <w:rsid w:val="00A074BC"/>
    <w:rsid w:val="00A07845"/>
    <w:rsid w:val="00A11260"/>
    <w:rsid w:val="00A147F0"/>
    <w:rsid w:val="00A17516"/>
    <w:rsid w:val="00A17A68"/>
    <w:rsid w:val="00A20940"/>
    <w:rsid w:val="00A210BF"/>
    <w:rsid w:val="00A2295E"/>
    <w:rsid w:val="00A23F35"/>
    <w:rsid w:val="00A25E5F"/>
    <w:rsid w:val="00A27215"/>
    <w:rsid w:val="00A31D49"/>
    <w:rsid w:val="00A3258C"/>
    <w:rsid w:val="00A3321E"/>
    <w:rsid w:val="00A33C0D"/>
    <w:rsid w:val="00A35F5B"/>
    <w:rsid w:val="00A3786A"/>
    <w:rsid w:val="00A402DC"/>
    <w:rsid w:val="00A40765"/>
    <w:rsid w:val="00A4097A"/>
    <w:rsid w:val="00A40AA3"/>
    <w:rsid w:val="00A4317C"/>
    <w:rsid w:val="00A43F45"/>
    <w:rsid w:val="00A44936"/>
    <w:rsid w:val="00A45589"/>
    <w:rsid w:val="00A45C7C"/>
    <w:rsid w:val="00A45E15"/>
    <w:rsid w:val="00A46F40"/>
    <w:rsid w:val="00A523F4"/>
    <w:rsid w:val="00A52673"/>
    <w:rsid w:val="00A5344E"/>
    <w:rsid w:val="00A55848"/>
    <w:rsid w:val="00A56E92"/>
    <w:rsid w:val="00A573B0"/>
    <w:rsid w:val="00A6168A"/>
    <w:rsid w:val="00A630DC"/>
    <w:rsid w:val="00A6620A"/>
    <w:rsid w:val="00A67C96"/>
    <w:rsid w:val="00A67FE9"/>
    <w:rsid w:val="00A71201"/>
    <w:rsid w:val="00A73149"/>
    <w:rsid w:val="00A734BA"/>
    <w:rsid w:val="00A735DF"/>
    <w:rsid w:val="00A757D9"/>
    <w:rsid w:val="00A75BC0"/>
    <w:rsid w:val="00A767CA"/>
    <w:rsid w:val="00A77995"/>
    <w:rsid w:val="00A80141"/>
    <w:rsid w:val="00A80D0D"/>
    <w:rsid w:val="00A86F9D"/>
    <w:rsid w:val="00A90577"/>
    <w:rsid w:val="00A9120B"/>
    <w:rsid w:val="00A92780"/>
    <w:rsid w:val="00A9302F"/>
    <w:rsid w:val="00A93300"/>
    <w:rsid w:val="00A933D8"/>
    <w:rsid w:val="00A9579B"/>
    <w:rsid w:val="00AA09CF"/>
    <w:rsid w:val="00AA0B58"/>
    <w:rsid w:val="00AA1B46"/>
    <w:rsid w:val="00AA7A28"/>
    <w:rsid w:val="00AA7BDB"/>
    <w:rsid w:val="00AA7D1D"/>
    <w:rsid w:val="00AB5615"/>
    <w:rsid w:val="00AB5A08"/>
    <w:rsid w:val="00AB60A6"/>
    <w:rsid w:val="00AB65D7"/>
    <w:rsid w:val="00AB6A81"/>
    <w:rsid w:val="00AB72C9"/>
    <w:rsid w:val="00AC028A"/>
    <w:rsid w:val="00AC1F51"/>
    <w:rsid w:val="00AC263B"/>
    <w:rsid w:val="00AC2D90"/>
    <w:rsid w:val="00AC3D29"/>
    <w:rsid w:val="00AC5779"/>
    <w:rsid w:val="00AD0B1D"/>
    <w:rsid w:val="00AD4074"/>
    <w:rsid w:val="00AD40D5"/>
    <w:rsid w:val="00AD5BFA"/>
    <w:rsid w:val="00AD604E"/>
    <w:rsid w:val="00AD6F41"/>
    <w:rsid w:val="00AE2E04"/>
    <w:rsid w:val="00AE4CC3"/>
    <w:rsid w:val="00AE4CF7"/>
    <w:rsid w:val="00AE6B62"/>
    <w:rsid w:val="00AF09C1"/>
    <w:rsid w:val="00AF1A1F"/>
    <w:rsid w:val="00AF775B"/>
    <w:rsid w:val="00B03CA7"/>
    <w:rsid w:val="00B044C3"/>
    <w:rsid w:val="00B13BB1"/>
    <w:rsid w:val="00B146BB"/>
    <w:rsid w:val="00B20207"/>
    <w:rsid w:val="00B2191C"/>
    <w:rsid w:val="00B219E8"/>
    <w:rsid w:val="00B22AA5"/>
    <w:rsid w:val="00B22BA6"/>
    <w:rsid w:val="00B237DD"/>
    <w:rsid w:val="00B27F53"/>
    <w:rsid w:val="00B30BF0"/>
    <w:rsid w:val="00B32F96"/>
    <w:rsid w:val="00B345A2"/>
    <w:rsid w:val="00B345DA"/>
    <w:rsid w:val="00B35A86"/>
    <w:rsid w:val="00B37E37"/>
    <w:rsid w:val="00B43296"/>
    <w:rsid w:val="00B4482F"/>
    <w:rsid w:val="00B45095"/>
    <w:rsid w:val="00B51DC3"/>
    <w:rsid w:val="00B545FF"/>
    <w:rsid w:val="00B603F8"/>
    <w:rsid w:val="00B611F6"/>
    <w:rsid w:val="00B61561"/>
    <w:rsid w:val="00B627D4"/>
    <w:rsid w:val="00B62AA2"/>
    <w:rsid w:val="00B6406A"/>
    <w:rsid w:val="00B652BA"/>
    <w:rsid w:val="00B67E8A"/>
    <w:rsid w:val="00B70F1B"/>
    <w:rsid w:val="00B7651A"/>
    <w:rsid w:val="00B80FEF"/>
    <w:rsid w:val="00B81F46"/>
    <w:rsid w:val="00B83378"/>
    <w:rsid w:val="00B83E88"/>
    <w:rsid w:val="00B86952"/>
    <w:rsid w:val="00B86E64"/>
    <w:rsid w:val="00B876E0"/>
    <w:rsid w:val="00B87FE7"/>
    <w:rsid w:val="00B92F7C"/>
    <w:rsid w:val="00B95C69"/>
    <w:rsid w:val="00B96A7A"/>
    <w:rsid w:val="00BA366A"/>
    <w:rsid w:val="00BA3C0B"/>
    <w:rsid w:val="00BA49BD"/>
    <w:rsid w:val="00BA4C4B"/>
    <w:rsid w:val="00BA679B"/>
    <w:rsid w:val="00BB1896"/>
    <w:rsid w:val="00BB6DC8"/>
    <w:rsid w:val="00BB767B"/>
    <w:rsid w:val="00BC125F"/>
    <w:rsid w:val="00BC13CB"/>
    <w:rsid w:val="00BC2D86"/>
    <w:rsid w:val="00BC5FA2"/>
    <w:rsid w:val="00BC70EB"/>
    <w:rsid w:val="00BC7A83"/>
    <w:rsid w:val="00BD01D0"/>
    <w:rsid w:val="00BD1829"/>
    <w:rsid w:val="00BD2F83"/>
    <w:rsid w:val="00BD390B"/>
    <w:rsid w:val="00BD481C"/>
    <w:rsid w:val="00BD68E7"/>
    <w:rsid w:val="00BE35EA"/>
    <w:rsid w:val="00BE4A0E"/>
    <w:rsid w:val="00BE6F60"/>
    <w:rsid w:val="00BF1209"/>
    <w:rsid w:val="00BF5672"/>
    <w:rsid w:val="00BF690D"/>
    <w:rsid w:val="00C001BF"/>
    <w:rsid w:val="00C00ADA"/>
    <w:rsid w:val="00C02EF4"/>
    <w:rsid w:val="00C07EE7"/>
    <w:rsid w:val="00C10BB0"/>
    <w:rsid w:val="00C11E22"/>
    <w:rsid w:val="00C13556"/>
    <w:rsid w:val="00C17322"/>
    <w:rsid w:val="00C21270"/>
    <w:rsid w:val="00C258F0"/>
    <w:rsid w:val="00C2629E"/>
    <w:rsid w:val="00C27917"/>
    <w:rsid w:val="00C306F5"/>
    <w:rsid w:val="00C31485"/>
    <w:rsid w:val="00C351DC"/>
    <w:rsid w:val="00C43C1D"/>
    <w:rsid w:val="00C456E6"/>
    <w:rsid w:val="00C45A80"/>
    <w:rsid w:val="00C46DFE"/>
    <w:rsid w:val="00C472FF"/>
    <w:rsid w:val="00C5168D"/>
    <w:rsid w:val="00C544BD"/>
    <w:rsid w:val="00C549FC"/>
    <w:rsid w:val="00C56211"/>
    <w:rsid w:val="00C65FE7"/>
    <w:rsid w:val="00C663CE"/>
    <w:rsid w:val="00C7008F"/>
    <w:rsid w:val="00C70B43"/>
    <w:rsid w:val="00C7195B"/>
    <w:rsid w:val="00C729E1"/>
    <w:rsid w:val="00C75234"/>
    <w:rsid w:val="00C752AA"/>
    <w:rsid w:val="00C76258"/>
    <w:rsid w:val="00C768E4"/>
    <w:rsid w:val="00C80873"/>
    <w:rsid w:val="00C8122E"/>
    <w:rsid w:val="00C825F9"/>
    <w:rsid w:val="00C840AA"/>
    <w:rsid w:val="00C8753D"/>
    <w:rsid w:val="00C92D15"/>
    <w:rsid w:val="00C93F7D"/>
    <w:rsid w:val="00C96590"/>
    <w:rsid w:val="00CA66CD"/>
    <w:rsid w:val="00CB0338"/>
    <w:rsid w:val="00CB0648"/>
    <w:rsid w:val="00CB25B6"/>
    <w:rsid w:val="00CB28F5"/>
    <w:rsid w:val="00CB2F4A"/>
    <w:rsid w:val="00CB46B2"/>
    <w:rsid w:val="00CB6324"/>
    <w:rsid w:val="00CC315D"/>
    <w:rsid w:val="00CC37FC"/>
    <w:rsid w:val="00CC453A"/>
    <w:rsid w:val="00CC58E8"/>
    <w:rsid w:val="00CC5FD4"/>
    <w:rsid w:val="00CD0948"/>
    <w:rsid w:val="00CD15E3"/>
    <w:rsid w:val="00CD2E1C"/>
    <w:rsid w:val="00CD72EB"/>
    <w:rsid w:val="00CE139F"/>
    <w:rsid w:val="00CE1A0A"/>
    <w:rsid w:val="00CE2A22"/>
    <w:rsid w:val="00CE3C0F"/>
    <w:rsid w:val="00CE5BD2"/>
    <w:rsid w:val="00CF0B11"/>
    <w:rsid w:val="00CF2460"/>
    <w:rsid w:val="00CF32EA"/>
    <w:rsid w:val="00CF57B3"/>
    <w:rsid w:val="00CF6CCD"/>
    <w:rsid w:val="00D01E16"/>
    <w:rsid w:val="00D02829"/>
    <w:rsid w:val="00D1250F"/>
    <w:rsid w:val="00D130EA"/>
    <w:rsid w:val="00D14F65"/>
    <w:rsid w:val="00D151AD"/>
    <w:rsid w:val="00D15477"/>
    <w:rsid w:val="00D2218A"/>
    <w:rsid w:val="00D2261C"/>
    <w:rsid w:val="00D22A8E"/>
    <w:rsid w:val="00D268F4"/>
    <w:rsid w:val="00D26D40"/>
    <w:rsid w:val="00D27C7C"/>
    <w:rsid w:val="00D32AC1"/>
    <w:rsid w:val="00D40269"/>
    <w:rsid w:val="00D40762"/>
    <w:rsid w:val="00D41553"/>
    <w:rsid w:val="00D45EDF"/>
    <w:rsid w:val="00D4733A"/>
    <w:rsid w:val="00D47890"/>
    <w:rsid w:val="00D501E7"/>
    <w:rsid w:val="00D520CC"/>
    <w:rsid w:val="00D61585"/>
    <w:rsid w:val="00D6370B"/>
    <w:rsid w:val="00D6388B"/>
    <w:rsid w:val="00D64872"/>
    <w:rsid w:val="00D66B77"/>
    <w:rsid w:val="00D71297"/>
    <w:rsid w:val="00D71C20"/>
    <w:rsid w:val="00D726B6"/>
    <w:rsid w:val="00D726C6"/>
    <w:rsid w:val="00D7516D"/>
    <w:rsid w:val="00D77680"/>
    <w:rsid w:val="00D820FC"/>
    <w:rsid w:val="00D82D61"/>
    <w:rsid w:val="00D82F36"/>
    <w:rsid w:val="00D83F3F"/>
    <w:rsid w:val="00D841FB"/>
    <w:rsid w:val="00D8594C"/>
    <w:rsid w:val="00D86683"/>
    <w:rsid w:val="00D91CC5"/>
    <w:rsid w:val="00D938CB"/>
    <w:rsid w:val="00D95E82"/>
    <w:rsid w:val="00DA1CB1"/>
    <w:rsid w:val="00DA2851"/>
    <w:rsid w:val="00DA3228"/>
    <w:rsid w:val="00DA43AF"/>
    <w:rsid w:val="00DA5457"/>
    <w:rsid w:val="00DA5C00"/>
    <w:rsid w:val="00DB31D9"/>
    <w:rsid w:val="00DB4C1B"/>
    <w:rsid w:val="00DB4C85"/>
    <w:rsid w:val="00DB7ECA"/>
    <w:rsid w:val="00DC0225"/>
    <w:rsid w:val="00DC3980"/>
    <w:rsid w:val="00DC4635"/>
    <w:rsid w:val="00DC6DAF"/>
    <w:rsid w:val="00DD42CA"/>
    <w:rsid w:val="00DD5B2C"/>
    <w:rsid w:val="00DD6D4D"/>
    <w:rsid w:val="00DE4952"/>
    <w:rsid w:val="00DE5B29"/>
    <w:rsid w:val="00DE678E"/>
    <w:rsid w:val="00DE693F"/>
    <w:rsid w:val="00DE6ABA"/>
    <w:rsid w:val="00DE74FD"/>
    <w:rsid w:val="00DF1B08"/>
    <w:rsid w:val="00DF2774"/>
    <w:rsid w:val="00DF27B9"/>
    <w:rsid w:val="00DF4E9F"/>
    <w:rsid w:val="00E012A0"/>
    <w:rsid w:val="00E01DBC"/>
    <w:rsid w:val="00E021F9"/>
    <w:rsid w:val="00E02C9B"/>
    <w:rsid w:val="00E06F7F"/>
    <w:rsid w:val="00E115CF"/>
    <w:rsid w:val="00E126B5"/>
    <w:rsid w:val="00E16E22"/>
    <w:rsid w:val="00E20B29"/>
    <w:rsid w:val="00E215ED"/>
    <w:rsid w:val="00E228A4"/>
    <w:rsid w:val="00E22C6A"/>
    <w:rsid w:val="00E22E79"/>
    <w:rsid w:val="00E22EAC"/>
    <w:rsid w:val="00E23565"/>
    <w:rsid w:val="00E26F76"/>
    <w:rsid w:val="00E30F5A"/>
    <w:rsid w:val="00E324A0"/>
    <w:rsid w:val="00E3402F"/>
    <w:rsid w:val="00E351C4"/>
    <w:rsid w:val="00E35234"/>
    <w:rsid w:val="00E36D96"/>
    <w:rsid w:val="00E3799C"/>
    <w:rsid w:val="00E432AD"/>
    <w:rsid w:val="00E435C7"/>
    <w:rsid w:val="00E444B1"/>
    <w:rsid w:val="00E4474F"/>
    <w:rsid w:val="00E45F55"/>
    <w:rsid w:val="00E509A4"/>
    <w:rsid w:val="00E50EED"/>
    <w:rsid w:val="00E5101F"/>
    <w:rsid w:val="00E53B95"/>
    <w:rsid w:val="00E550EE"/>
    <w:rsid w:val="00E55586"/>
    <w:rsid w:val="00E56320"/>
    <w:rsid w:val="00E57CA2"/>
    <w:rsid w:val="00E605AA"/>
    <w:rsid w:val="00E60C0C"/>
    <w:rsid w:val="00E707D9"/>
    <w:rsid w:val="00E70D5C"/>
    <w:rsid w:val="00E71F44"/>
    <w:rsid w:val="00E726AD"/>
    <w:rsid w:val="00E76244"/>
    <w:rsid w:val="00E82626"/>
    <w:rsid w:val="00E8593F"/>
    <w:rsid w:val="00E85A59"/>
    <w:rsid w:val="00E85E1D"/>
    <w:rsid w:val="00E85F9E"/>
    <w:rsid w:val="00E867C0"/>
    <w:rsid w:val="00E9068E"/>
    <w:rsid w:val="00E91BEC"/>
    <w:rsid w:val="00E96BCB"/>
    <w:rsid w:val="00E96F9C"/>
    <w:rsid w:val="00EA14CB"/>
    <w:rsid w:val="00EA18F4"/>
    <w:rsid w:val="00EA2475"/>
    <w:rsid w:val="00EA2559"/>
    <w:rsid w:val="00EA48E9"/>
    <w:rsid w:val="00EA4FB4"/>
    <w:rsid w:val="00EA528B"/>
    <w:rsid w:val="00EA7695"/>
    <w:rsid w:val="00EB169B"/>
    <w:rsid w:val="00EB3889"/>
    <w:rsid w:val="00EB4B07"/>
    <w:rsid w:val="00EB55D8"/>
    <w:rsid w:val="00EB6E35"/>
    <w:rsid w:val="00EC009D"/>
    <w:rsid w:val="00EC2C7F"/>
    <w:rsid w:val="00EC50F1"/>
    <w:rsid w:val="00ED0BE8"/>
    <w:rsid w:val="00ED0C10"/>
    <w:rsid w:val="00ED19CB"/>
    <w:rsid w:val="00ED2168"/>
    <w:rsid w:val="00ED62FE"/>
    <w:rsid w:val="00ED75AE"/>
    <w:rsid w:val="00EE068D"/>
    <w:rsid w:val="00EE747A"/>
    <w:rsid w:val="00EF3764"/>
    <w:rsid w:val="00EF57C1"/>
    <w:rsid w:val="00EF59CB"/>
    <w:rsid w:val="00EF5BB5"/>
    <w:rsid w:val="00F02E1E"/>
    <w:rsid w:val="00F05D4A"/>
    <w:rsid w:val="00F05D9B"/>
    <w:rsid w:val="00F06D3A"/>
    <w:rsid w:val="00F06EC8"/>
    <w:rsid w:val="00F0710C"/>
    <w:rsid w:val="00F13CF9"/>
    <w:rsid w:val="00F14955"/>
    <w:rsid w:val="00F16BA3"/>
    <w:rsid w:val="00F2115A"/>
    <w:rsid w:val="00F2121B"/>
    <w:rsid w:val="00F21E5E"/>
    <w:rsid w:val="00F239A2"/>
    <w:rsid w:val="00F255AE"/>
    <w:rsid w:val="00F2790A"/>
    <w:rsid w:val="00F27FDF"/>
    <w:rsid w:val="00F31CCF"/>
    <w:rsid w:val="00F32299"/>
    <w:rsid w:val="00F3272E"/>
    <w:rsid w:val="00F35F12"/>
    <w:rsid w:val="00F361D8"/>
    <w:rsid w:val="00F41BCD"/>
    <w:rsid w:val="00F42117"/>
    <w:rsid w:val="00F43D5D"/>
    <w:rsid w:val="00F44404"/>
    <w:rsid w:val="00F46B8E"/>
    <w:rsid w:val="00F4798A"/>
    <w:rsid w:val="00F537A6"/>
    <w:rsid w:val="00F55EE2"/>
    <w:rsid w:val="00F56D3A"/>
    <w:rsid w:val="00F60E8E"/>
    <w:rsid w:val="00F62FBD"/>
    <w:rsid w:val="00F63A18"/>
    <w:rsid w:val="00F6600B"/>
    <w:rsid w:val="00F67835"/>
    <w:rsid w:val="00F72663"/>
    <w:rsid w:val="00F7298F"/>
    <w:rsid w:val="00F75D5D"/>
    <w:rsid w:val="00F764BE"/>
    <w:rsid w:val="00F779BE"/>
    <w:rsid w:val="00F80129"/>
    <w:rsid w:val="00F80CA1"/>
    <w:rsid w:val="00F81E81"/>
    <w:rsid w:val="00F821FD"/>
    <w:rsid w:val="00F83AF3"/>
    <w:rsid w:val="00F83CED"/>
    <w:rsid w:val="00F84453"/>
    <w:rsid w:val="00F8693B"/>
    <w:rsid w:val="00F87F43"/>
    <w:rsid w:val="00F90C97"/>
    <w:rsid w:val="00F91903"/>
    <w:rsid w:val="00FA01E1"/>
    <w:rsid w:val="00FA59F7"/>
    <w:rsid w:val="00FA737E"/>
    <w:rsid w:val="00FB2313"/>
    <w:rsid w:val="00FB4986"/>
    <w:rsid w:val="00FB5C65"/>
    <w:rsid w:val="00FB6557"/>
    <w:rsid w:val="00FB6A11"/>
    <w:rsid w:val="00FC17B6"/>
    <w:rsid w:val="00FC4F97"/>
    <w:rsid w:val="00FC5BA3"/>
    <w:rsid w:val="00FC7D65"/>
    <w:rsid w:val="00FD2FD5"/>
    <w:rsid w:val="00FD3797"/>
    <w:rsid w:val="00FD5790"/>
    <w:rsid w:val="00FD7495"/>
    <w:rsid w:val="00FE1DBB"/>
    <w:rsid w:val="00FE48E8"/>
    <w:rsid w:val="00FE4CB6"/>
    <w:rsid w:val="00FE7D33"/>
    <w:rsid w:val="00FF2298"/>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4A07"/>
  <w14:defaultImageDpi w14:val="300"/>
  <w15:docId w15:val="{D8EDFD64-24A1-9B42-B351-C7E2B592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E678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97A"/>
    <w:rPr>
      <w:sz w:val="18"/>
      <w:szCs w:val="18"/>
    </w:rPr>
  </w:style>
  <w:style w:type="paragraph" w:styleId="CommentText">
    <w:name w:val="annotation text"/>
    <w:basedOn w:val="Normal"/>
    <w:link w:val="CommentTextChar"/>
    <w:uiPriority w:val="99"/>
    <w:unhideWhenUsed/>
    <w:rsid w:val="00A4097A"/>
  </w:style>
  <w:style w:type="character" w:customStyle="1" w:styleId="CommentTextChar">
    <w:name w:val="Comment Text Char"/>
    <w:basedOn w:val="DefaultParagraphFont"/>
    <w:link w:val="CommentText"/>
    <w:uiPriority w:val="99"/>
    <w:rsid w:val="00A4097A"/>
  </w:style>
  <w:style w:type="paragraph" w:styleId="CommentSubject">
    <w:name w:val="annotation subject"/>
    <w:basedOn w:val="CommentText"/>
    <w:next w:val="CommentText"/>
    <w:link w:val="CommentSubjectChar"/>
    <w:uiPriority w:val="99"/>
    <w:semiHidden/>
    <w:unhideWhenUsed/>
    <w:rsid w:val="00A4097A"/>
    <w:rPr>
      <w:b/>
      <w:bCs/>
      <w:sz w:val="20"/>
      <w:szCs w:val="20"/>
    </w:rPr>
  </w:style>
  <w:style w:type="character" w:customStyle="1" w:styleId="CommentSubjectChar">
    <w:name w:val="Comment Subject Char"/>
    <w:basedOn w:val="CommentTextChar"/>
    <w:link w:val="CommentSubject"/>
    <w:uiPriority w:val="99"/>
    <w:semiHidden/>
    <w:rsid w:val="00A4097A"/>
    <w:rPr>
      <w:b/>
      <w:bCs/>
      <w:sz w:val="20"/>
      <w:szCs w:val="20"/>
    </w:rPr>
  </w:style>
  <w:style w:type="paragraph" w:styleId="BalloonText">
    <w:name w:val="Balloon Text"/>
    <w:basedOn w:val="Normal"/>
    <w:link w:val="BalloonTextChar"/>
    <w:uiPriority w:val="99"/>
    <w:semiHidden/>
    <w:unhideWhenUsed/>
    <w:rsid w:val="00A4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iPriority w:val="99"/>
    <w:unhideWhenUsed/>
    <w:rsid w:val="00944E43"/>
    <w:rPr>
      <w:color w:val="0000FF" w:themeColor="hyperlink"/>
      <w:u w:val="single"/>
    </w:rPr>
  </w:style>
  <w:style w:type="character" w:styleId="FollowedHyperlink">
    <w:name w:val="FollowedHyperlink"/>
    <w:basedOn w:val="DefaultParagraphFont"/>
    <w:uiPriority w:val="99"/>
    <w:semiHidden/>
    <w:unhideWhenUsed/>
    <w:rsid w:val="00944E43"/>
    <w:rPr>
      <w:color w:val="800080" w:themeColor="followedHyperlink"/>
      <w:u w:val="single"/>
    </w:rPr>
  </w:style>
  <w:style w:type="table" w:styleId="TableGrid">
    <w:name w:val="Table Grid"/>
    <w:basedOn w:val="TableNormal"/>
    <w:uiPriority w:val="5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 w:type="character" w:styleId="Strong">
    <w:name w:val="Strong"/>
    <w:basedOn w:val="DefaultParagraphFont"/>
    <w:uiPriority w:val="22"/>
    <w:qFormat/>
    <w:rsid w:val="00C31485"/>
    <w:rPr>
      <w:b/>
      <w:bCs/>
    </w:rPr>
  </w:style>
  <w:style w:type="character" w:customStyle="1" w:styleId="Heading6Char">
    <w:name w:val="Heading 6 Char"/>
    <w:basedOn w:val="DefaultParagraphFont"/>
    <w:link w:val="Heading6"/>
    <w:uiPriority w:val="9"/>
    <w:semiHidden/>
    <w:rsid w:val="00DE678E"/>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415FC"/>
    <w:rPr>
      <w:i/>
      <w:iCs/>
    </w:rPr>
  </w:style>
  <w:style w:type="paragraph" w:styleId="NormalWeb">
    <w:name w:val="Normal (Web)"/>
    <w:basedOn w:val="Normal"/>
    <w:uiPriority w:val="99"/>
    <w:unhideWhenUsed/>
    <w:rsid w:val="009B0C8D"/>
    <w:pPr>
      <w:spacing w:before="100" w:beforeAutospacing="1" w:after="100" w:afterAutospacing="1"/>
      <w:jc w:val="both"/>
    </w:pPr>
    <w:rPr>
      <w:rFonts w:ascii="Times New Roman" w:eastAsia="Times New Roman" w:hAnsi="Times New Roman" w:cs="Times New Roman"/>
      <w:lang w:val="en-GB" w:eastAsia="en-GB"/>
    </w:rPr>
  </w:style>
  <w:style w:type="character" w:customStyle="1" w:styleId="EndNoteBibliographyChar">
    <w:name w:val="EndNote Bibliography Char"/>
    <w:basedOn w:val="DefaultParagraphFont"/>
    <w:link w:val="EndNoteBibliography"/>
    <w:locked/>
    <w:rsid w:val="009B0C8D"/>
    <w:rPr>
      <w:rFonts w:ascii="Calibri" w:hAnsi="Calibri" w:cs="Calibri"/>
      <w:noProof/>
    </w:rPr>
  </w:style>
  <w:style w:type="paragraph" w:customStyle="1" w:styleId="EndNoteBibliography">
    <w:name w:val="EndNote Bibliography"/>
    <w:basedOn w:val="Normal"/>
    <w:link w:val="EndNoteBibliographyChar"/>
    <w:rsid w:val="009B0C8D"/>
    <w:pPr>
      <w:spacing w:before="120"/>
      <w:jc w:val="both"/>
    </w:pPr>
    <w:rPr>
      <w:rFonts w:ascii="Calibri" w:hAnsi="Calibri" w:cs="Calibri"/>
      <w:noProof/>
    </w:rPr>
  </w:style>
  <w:style w:type="character" w:customStyle="1" w:styleId="ref-vol">
    <w:name w:val="ref-vol"/>
    <w:basedOn w:val="DefaultParagraphFont"/>
    <w:rsid w:val="009B0C8D"/>
  </w:style>
  <w:style w:type="paragraph" w:styleId="Revision">
    <w:name w:val="Revision"/>
    <w:hidden/>
    <w:uiPriority w:val="99"/>
    <w:semiHidden/>
    <w:rsid w:val="0019208C"/>
  </w:style>
  <w:style w:type="character" w:customStyle="1" w:styleId="cf01">
    <w:name w:val="cf01"/>
    <w:basedOn w:val="DefaultParagraphFont"/>
    <w:rsid w:val="00681006"/>
    <w:rPr>
      <w:rFonts w:ascii="Segoe UI" w:hAnsi="Segoe UI" w:cs="Segoe UI" w:hint="default"/>
      <w:sz w:val="18"/>
      <w:szCs w:val="18"/>
    </w:rPr>
  </w:style>
  <w:style w:type="character" w:styleId="UnresolvedMention">
    <w:name w:val="Unresolved Mention"/>
    <w:basedOn w:val="DefaultParagraphFont"/>
    <w:uiPriority w:val="99"/>
    <w:semiHidden/>
    <w:unhideWhenUsed/>
    <w:rsid w:val="00320CB2"/>
    <w:rPr>
      <w:color w:val="605E5C"/>
      <w:shd w:val="clear" w:color="auto" w:fill="E1DFDD"/>
    </w:rPr>
  </w:style>
  <w:style w:type="paragraph" w:customStyle="1" w:styleId="pf0">
    <w:name w:val="pf0"/>
    <w:basedOn w:val="Normal"/>
    <w:rsid w:val="00235A36"/>
    <w:pPr>
      <w:spacing w:before="100" w:beforeAutospacing="1" w:after="100" w:afterAutospacing="1"/>
    </w:pPr>
    <w:rPr>
      <w:rFonts w:ascii="Times New Roman" w:eastAsia="Times New Roman" w:hAnsi="Times New Roman" w:cs="Times New Roman"/>
      <w:lang w:val="en-GB" w:eastAsia="en-GB"/>
    </w:rPr>
  </w:style>
  <w:style w:type="paragraph" w:customStyle="1" w:styleId="nhsd-t-body">
    <w:name w:val="nhsd-t-body"/>
    <w:basedOn w:val="Normal"/>
    <w:rsid w:val="00E5101F"/>
    <w:pPr>
      <w:spacing w:before="100" w:beforeAutospacing="1" w:after="100" w:afterAutospacing="1"/>
    </w:pPr>
    <w:rPr>
      <w:rFonts w:ascii="Times New Roman" w:eastAsia="Times New Roman" w:hAnsi="Times New Roman" w:cs="Times New Roman"/>
      <w:lang w:val="en-GB" w:eastAsia="en-GB"/>
    </w:rPr>
  </w:style>
  <w:style w:type="character" w:customStyle="1" w:styleId="highwire-citation-authors">
    <w:name w:val="highwire-citation-authors"/>
    <w:basedOn w:val="DefaultParagraphFont"/>
    <w:rsid w:val="00B80FEF"/>
  </w:style>
  <w:style w:type="character" w:customStyle="1" w:styleId="highwire-citation-author">
    <w:name w:val="highwire-citation-author"/>
    <w:basedOn w:val="DefaultParagraphFont"/>
    <w:rsid w:val="00B80FEF"/>
  </w:style>
  <w:style w:type="character" w:customStyle="1" w:styleId="nlm-surname">
    <w:name w:val="nlm-surname"/>
    <w:basedOn w:val="DefaultParagraphFont"/>
    <w:rsid w:val="00B80FEF"/>
  </w:style>
  <w:style w:type="character" w:customStyle="1" w:styleId="citation-et">
    <w:name w:val="citation-et"/>
    <w:basedOn w:val="DefaultParagraphFont"/>
    <w:rsid w:val="00B80FEF"/>
  </w:style>
  <w:style w:type="character" w:customStyle="1" w:styleId="highwire-cite-metadata-journal">
    <w:name w:val="highwire-cite-metadata-journal"/>
    <w:basedOn w:val="DefaultParagraphFont"/>
    <w:rsid w:val="00B80FEF"/>
  </w:style>
  <w:style w:type="character" w:customStyle="1" w:styleId="highwire-cite-metadata-year">
    <w:name w:val="highwire-cite-metadata-year"/>
    <w:basedOn w:val="DefaultParagraphFont"/>
    <w:rsid w:val="00B80FEF"/>
  </w:style>
  <w:style w:type="character" w:customStyle="1" w:styleId="highwire-cite-metadata-volume">
    <w:name w:val="highwire-cite-metadata-volume"/>
    <w:basedOn w:val="DefaultParagraphFont"/>
    <w:rsid w:val="00B80FEF"/>
  </w:style>
  <w:style w:type="character" w:customStyle="1" w:styleId="highwire-cite-metadata-elocation-id">
    <w:name w:val="highwire-cite-metadata-elocation-id"/>
    <w:basedOn w:val="DefaultParagraphFont"/>
    <w:rsid w:val="00B80FEF"/>
  </w:style>
  <w:style w:type="character" w:customStyle="1" w:styleId="highwire-cite-metadata-doi">
    <w:name w:val="highwire-cite-metadata-doi"/>
    <w:basedOn w:val="DefaultParagraphFont"/>
    <w:rsid w:val="00B80FEF"/>
  </w:style>
  <w:style w:type="character" w:customStyle="1" w:styleId="label">
    <w:name w:val="label"/>
    <w:basedOn w:val="DefaultParagraphFont"/>
    <w:rsid w:val="00B80FEF"/>
  </w:style>
  <w:style w:type="character" w:customStyle="1" w:styleId="ui-dialog-title">
    <w:name w:val="ui-dialog-title"/>
    <w:basedOn w:val="DefaultParagraphFont"/>
    <w:rsid w:val="007A3E50"/>
  </w:style>
  <w:style w:type="character" w:customStyle="1" w:styleId="highwire-cite-metadata-date">
    <w:name w:val="highwire-cite-metadata-date"/>
    <w:basedOn w:val="DefaultParagraphFont"/>
    <w:rsid w:val="007A3E50"/>
  </w:style>
  <w:style w:type="character" w:customStyle="1" w:styleId="highwire-cite-metadata-issue">
    <w:name w:val="highwire-cite-metadata-issue"/>
    <w:basedOn w:val="DefaultParagraphFont"/>
    <w:rsid w:val="007A3E50"/>
  </w:style>
  <w:style w:type="character" w:customStyle="1" w:styleId="highwire-cite-metadata-pages">
    <w:name w:val="highwire-cite-metadata-pages"/>
    <w:basedOn w:val="DefaultParagraphFont"/>
    <w:rsid w:val="007A3E50"/>
  </w:style>
  <w:style w:type="character" w:customStyle="1" w:styleId="cf11">
    <w:name w:val="cf11"/>
    <w:basedOn w:val="DefaultParagraphFont"/>
    <w:rsid w:val="00895F98"/>
    <w:rPr>
      <w:rFonts w:ascii="Segoe UI" w:hAnsi="Segoe UI" w:cs="Segoe UI" w:hint="default"/>
      <w:sz w:val="18"/>
      <w:szCs w:val="18"/>
    </w:rPr>
  </w:style>
  <w:style w:type="character" w:customStyle="1" w:styleId="tooltip">
    <w:name w:val="tooltip"/>
    <w:basedOn w:val="DefaultParagraphFont"/>
    <w:rsid w:val="00970CEB"/>
  </w:style>
  <w:style w:type="character" w:customStyle="1" w:styleId="element-citation">
    <w:name w:val="element-citation"/>
    <w:basedOn w:val="DefaultParagraphFont"/>
    <w:rsid w:val="00E02C9B"/>
  </w:style>
  <w:style w:type="character" w:customStyle="1" w:styleId="ref-journal">
    <w:name w:val="ref-journal"/>
    <w:basedOn w:val="DefaultParagraphFont"/>
    <w:rsid w:val="00E0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9146">
      <w:bodyDiv w:val="1"/>
      <w:marLeft w:val="0"/>
      <w:marRight w:val="0"/>
      <w:marTop w:val="0"/>
      <w:marBottom w:val="0"/>
      <w:divBdr>
        <w:top w:val="none" w:sz="0" w:space="0" w:color="auto"/>
        <w:left w:val="none" w:sz="0" w:space="0" w:color="auto"/>
        <w:bottom w:val="none" w:sz="0" w:space="0" w:color="auto"/>
        <w:right w:val="none" w:sz="0" w:space="0" w:color="auto"/>
      </w:divBdr>
    </w:div>
    <w:div w:id="262347124">
      <w:bodyDiv w:val="1"/>
      <w:marLeft w:val="0"/>
      <w:marRight w:val="0"/>
      <w:marTop w:val="0"/>
      <w:marBottom w:val="0"/>
      <w:divBdr>
        <w:top w:val="none" w:sz="0" w:space="0" w:color="auto"/>
        <w:left w:val="none" w:sz="0" w:space="0" w:color="auto"/>
        <w:bottom w:val="none" w:sz="0" w:space="0" w:color="auto"/>
        <w:right w:val="none" w:sz="0" w:space="0" w:color="auto"/>
      </w:divBdr>
    </w:div>
    <w:div w:id="613026175">
      <w:bodyDiv w:val="1"/>
      <w:marLeft w:val="0"/>
      <w:marRight w:val="0"/>
      <w:marTop w:val="0"/>
      <w:marBottom w:val="0"/>
      <w:divBdr>
        <w:top w:val="none" w:sz="0" w:space="0" w:color="auto"/>
        <w:left w:val="none" w:sz="0" w:space="0" w:color="auto"/>
        <w:bottom w:val="none" w:sz="0" w:space="0" w:color="auto"/>
        <w:right w:val="none" w:sz="0" w:space="0" w:color="auto"/>
      </w:divBdr>
    </w:div>
    <w:div w:id="774715887">
      <w:bodyDiv w:val="1"/>
      <w:marLeft w:val="0"/>
      <w:marRight w:val="0"/>
      <w:marTop w:val="0"/>
      <w:marBottom w:val="0"/>
      <w:divBdr>
        <w:top w:val="none" w:sz="0" w:space="0" w:color="auto"/>
        <w:left w:val="none" w:sz="0" w:space="0" w:color="auto"/>
        <w:bottom w:val="none" w:sz="0" w:space="0" w:color="auto"/>
        <w:right w:val="none" w:sz="0" w:space="0" w:color="auto"/>
      </w:divBdr>
    </w:div>
    <w:div w:id="916745169">
      <w:bodyDiv w:val="1"/>
      <w:marLeft w:val="0"/>
      <w:marRight w:val="0"/>
      <w:marTop w:val="0"/>
      <w:marBottom w:val="0"/>
      <w:divBdr>
        <w:top w:val="none" w:sz="0" w:space="0" w:color="auto"/>
        <w:left w:val="none" w:sz="0" w:space="0" w:color="auto"/>
        <w:bottom w:val="none" w:sz="0" w:space="0" w:color="auto"/>
        <w:right w:val="none" w:sz="0" w:space="0" w:color="auto"/>
      </w:divBdr>
    </w:div>
    <w:div w:id="1134252634">
      <w:bodyDiv w:val="1"/>
      <w:marLeft w:val="0"/>
      <w:marRight w:val="0"/>
      <w:marTop w:val="0"/>
      <w:marBottom w:val="0"/>
      <w:divBdr>
        <w:top w:val="none" w:sz="0" w:space="0" w:color="auto"/>
        <w:left w:val="none" w:sz="0" w:space="0" w:color="auto"/>
        <w:bottom w:val="none" w:sz="0" w:space="0" w:color="auto"/>
        <w:right w:val="none" w:sz="0" w:space="0" w:color="auto"/>
      </w:divBdr>
      <w:divsChild>
        <w:div w:id="1591817588">
          <w:marLeft w:val="0"/>
          <w:marRight w:val="0"/>
          <w:marTop w:val="0"/>
          <w:marBottom w:val="0"/>
          <w:divBdr>
            <w:top w:val="none" w:sz="0" w:space="0" w:color="auto"/>
            <w:left w:val="none" w:sz="0" w:space="0" w:color="auto"/>
            <w:bottom w:val="none" w:sz="0" w:space="0" w:color="auto"/>
            <w:right w:val="none" w:sz="0" w:space="0" w:color="auto"/>
          </w:divBdr>
        </w:div>
        <w:div w:id="1203710685">
          <w:marLeft w:val="0"/>
          <w:marRight w:val="0"/>
          <w:marTop w:val="0"/>
          <w:marBottom w:val="0"/>
          <w:divBdr>
            <w:top w:val="none" w:sz="0" w:space="0" w:color="auto"/>
            <w:left w:val="none" w:sz="0" w:space="0" w:color="auto"/>
            <w:bottom w:val="none" w:sz="0" w:space="0" w:color="auto"/>
            <w:right w:val="none" w:sz="0" w:space="0" w:color="auto"/>
          </w:divBdr>
        </w:div>
        <w:div w:id="95177461">
          <w:marLeft w:val="0"/>
          <w:marRight w:val="0"/>
          <w:marTop w:val="0"/>
          <w:marBottom w:val="0"/>
          <w:divBdr>
            <w:top w:val="none" w:sz="0" w:space="0" w:color="auto"/>
            <w:left w:val="none" w:sz="0" w:space="0" w:color="auto"/>
            <w:bottom w:val="none" w:sz="0" w:space="0" w:color="auto"/>
            <w:right w:val="none" w:sz="0" w:space="0" w:color="auto"/>
          </w:divBdr>
        </w:div>
      </w:divsChild>
    </w:div>
    <w:div w:id="1232470206">
      <w:bodyDiv w:val="1"/>
      <w:marLeft w:val="0"/>
      <w:marRight w:val="0"/>
      <w:marTop w:val="0"/>
      <w:marBottom w:val="0"/>
      <w:divBdr>
        <w:top w:val="none" w:sz="0" w:space="0" w:color="auto"/>
        <w:left w:val="none" w:sz="0" w:space="0" w:color="auto"/>
        <w:bottom w:val="none" w:sz="0" w:space="0" w:color="auto"/>
        <w:right w:val="none" w:sz="0" w:space="0" w:color="auto"/>
      </w:divBdr>
      <w:divsChild>
        <w:div w:id="2004894911">
          <w:marLeft w:val="0"/>
          <w:marRight w:val="0"/>
          <w:marTop w:val="0"/>
          <w:marBottom w:val="0"/>
          <w:divBdr>
            <w:top w:val="none" w:sz="0" w:space="0" w:color="auto"/>
            <w:left w:val="none" w:sz="0" w:space="0" w:color="auto"/>
            <w:bottom w:val="none" w:sz="0" w:space="0" w:color="auto"/>
            <w:right w:val="none" w:sz="0" w:space="0" w:color="auto"/>
          </w:divBdr>
        </w:div>
        <w:div w:id="831720841">
          <w:marLeft w:val="0"/>
          <w:marRight w:val="0"/>
          <w:marTop w:val="0"/>
          <w:marBottom w:val="300"/>
          <w:divBdr>
            <w:top w:val="none" w:sz="0" w:space="0" w:color="auto"/>
            <w:left w:val="none" w:sz="0" w:space="0" w:color="auto"/>
            <w:bottom w:val="none" w:sz="0" w:space="0" w:color="auto"/>
            <w:right w:val="none" w:sz="0" w:space="0" w:color="auto"/>
          </w:divBdr>
          <w:divsChild>
            <w:div w:id="1651132339">
              <w:marLeft w:val="0"/>
              <w:marRight w:val="0"/>
              <w:marTop w:val="0"/>
              <w:marBottom w:val="0"/>
              <w:divBdr>
                <w:top w:val="none" w:sz="0" w:space="0" w:color="auto"/>
                <w:left w:val="none" w:sz="0" w:space="0" w:color="auto"/>
                <w:bottom w:val="none" w:sz="0" w:space="0" w:color="auto"/>
                <w:right w:val="none" w:sz="0" w:space="0" w:color="auto"/>
              </w:divBdr>
              <w:divsChild>
                <w:div w:id="178855814">
                  <w:marLeft w:val="0"/>
                  <w:marRight w:val="0"/>
                  <w:marTop w:val="0"/>
                  <w:marBottom w:val="0"/>
                  <w:divBdr>
                    <w:top w:val="none" w:sz="0" w:space="0" w:color="auto"/>
                    <w:left w:val="none" w:sz="0" w:space="0" w:color="auto"/>
                    <w:bottom w:val="none" w:sz="0" w:space="0" w:color="auto"/>
                    <w:right w:val="none" w:sz="0" w:space="0" w:color="auto"/>
                  </w:divBdr>
                  <w:divsChild>
                    <w:div w:id="1760905158">
                      <w:marLeft w:val="0"/>
                      <w:marRight w:val="0"/>
                      <w:marTop w:val="0"/>
                      <w:marBottom w:val="0"/>
                      <w:divBdr>
                        <w:top w:val="none" w:sz="0" w:space="0" w:color="auto"/>
                        <w:left w:val="none" w:sz="0" w:space="0" w:color="auto"/>
                        <w:bottom w:val="none" w:sz="0" w:space="0" w:color="auto"/>
                        <w:right w:val="none" w:sz="0" w:space="0" w:color="auto"/>
                      </w:divBdr>
                      <w:divsChild>
                        <w:div w:id="552547041">
                          <w:marLeft w:val="0"/>
                          <w:marRight w:val="0"/>
                          <w:marTop w:val="0"/>
                          <w:marBottom w:val="0"/>
                          <w:divBdr>
                            <w:top w:val="none" w:sz="0" w:space="0" w:color="auto"/>
                            <w:left w:val="none" w:sz="0" w:space="0" w:color="auto"/>
                            <w:bottom w:val="none" w:sz="0" w:space="0" w:color="auto"/>
                            <w:right w:val="none" w:sz="0" w:space="0" w:color="auto"/>
                          </w:divBdr>
                          <w:divsChild>
                            <w:div w:id="1404182391">
                              <w:marLeft w:val="0"/>
                              <w:marRight w:val="0"/>
                              <w:marTop w:val="0"/>
                              <w:marBottom w:val="300"/>
                              <w:divBdr>
                                <w:top w:val="none" w:sz="0" w:space="0" w:color="auto"/>
                                <w:left w:val="none" w:sz="0" w:space="0" w:color="auto"/>
                                <w:bottom w:val="none" w:sz="0" w:space="0" w:color="auto"/>
                                <w:right w:val="none" w:sz="0" w:space="0" w:color="auto"/>
                              </w:divBdr>
                              <w:divsChild>
                                <w:div w:id="1639797838">
                                  <w:marLeft w:val="0"/>
                                  <w:marRight w:val="0"/>
                                  <w:marTop w:val="0"/>
                                  <w:marBottom w:val="0"/>
                                  <w:divBdr>
                                    <w:top w:val="none" w:sz="0" w:space="0" w:color="auto"/>
                                    <w:left w:val="none" w:sz="0" w:space="0" w:color="auto"/>
                                    <w:bottom w:val="none" w:sz="0" w:space="0" w:color="auto"/>
                                    <w:right w:val="none" w:sz="0" w:space="0" w:color="auto"/>
                                  </w:divBdr>
                                  <w:divsChild>
                                    <w:div w:id="944773491">
                                      <w:marLeft w:val="0"/>
                                      <w:marRight w:val="0"/>
                                      <w:marTop w:val="0"/>
                                      <w:marBottom w:val="0"/>
                                      <w:divBdr>
                                        <w:top w:val="none" w:sz="0" w:space="0" w:color="auto"/>
                                        <w:left w:val="none" w:sz="0" w:space="0" w:color="auto"/>
                                        <w:bottom w:val="none" w:sz="0" w:space="0" w:color="auto"/>
                                        <w:right w:val="none" w:sz="0" w:space="0" w:color="auto"/>
                                      </w:divBdr>
                                      <w:divsChild>
                                        <w:div w:id="989555584">
                                          <w:marLeft w:val="0"/>
                                          <w:marRight w:val="0"/>
                                          <w:marTop w:val="0"/>
                                          <w:marBottom w:val="0"/>
                                          <w:divBdr>
                                            <w:top w:val="none" w:sz="0" w:space="0" w:color="auto"/>
                                            <w:left w:val="none" w:sz="0" w:space="0" w:color="auto"/>
                                            <w:bottom w:val="none" w:sz="0" w:space="0" w:color="auto"/>
                                            <w:right w:val="none" w:sz="0" w:space="0" w:color="auto"/>
                                          </w:divBdr>
                                          <w:divsChild>
                                            <w:div w:id="2043704310">
                                              <w:marLeft w:val="0"/>
                                              <w:marRight w:val="0"/>
                                              <w:marTop w:val="0"/>
                                              <w:marBottom w:val="0"/>
                                              <w:divBdr>
                                                <w:top w:val="none" w:sz="0" w:space="0" w:color="auto"/>
                                                <w:left w:val="none" w:sz="0" w:space="0" w:color="auto"/>
                                                <w:bottom w:val="none" w:sz="0" w:space="0" w:color="auto"/>
                                                <w:right w:val="none" w:sz="0" w:space="0" w:color="auto"/>
                                              </w:divBdr>
                                            </w:div>
                                            <w:div w:id="1372419925">
                                              <w:marLeft w:val="0"/>
                                              <w:marRight w:val="0"/>
                                              <w:marTop w:val="75"/>
                                              <w:marBottom w:val="0"/>
                                              <w:divBdr>
                                                <w:top w:val="none" w:sz="0" w:space="0" w:color="auto"/>
                                                <w:left w:val="none" w:sz="0" w:space="0" w:color="auto"/>
                                                <w:bottom w:val="none" w:sz="0" w:space="0" w:color="auto"/>
                                                <w:right w:val="none" w:sz="0" w:space="0" w:color="auto"/>
                                              </w:divBdr>
                                            </w:div>
                                            <w:div w:id="712267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601315">
      <w:bodyDiv w:val="1"/>
      <w:marLeft w:val="0"/>
      <w:marRight w:val="0"/>
      <w:marTop w:val="0"/>
      <w:marBottom w:val="0"/>
      <w:divBdr>
        <w:top w:val="none" w:sz="0" w:space="0" w:color="auto"/>
        <w:left w:val="none" w:sz="0" w:space="0" w:color="auto"/>
        <w:bottom w:val="none" w:sz="0" w:space="0" w:color="auto"/>
        <w:right w:val="none" w:sz="0" w:space="0" w:color="auto"/>
      </w:divBdr>
    </w:div>
    <w:div w:id="1669214138">
      <w:bodyDiv w:val="1"/>
      <w:marLeft w:val="0"/>
      <w:marRight w:val="0"/>
      <w:marTop w:val="0"/>
      <w:marBottom w:val="0"/>
      <w:divBdr>
        <w:top w:val="none" w:sz="0" w:space="0" w:color="auto"/>
        <w:left w:val="none" w:sz="0" w:space="0" w:color="auto"/>
        <w:bottom w:val="none" w:sz="0" w:space="0" w:color="auto"/>
        <w:right w:val="none" w:sz="0" w:space="0" w:color="auto"/>
      </w:divBdr>
    </w:div>
    <w:div w:id="1745637713">
      <w:bodyDiv w:val="1"/>
      <w:marLeft w:val="0"/>
      <w:marRight w:val="0"/>
      <w:marTop w:val="0"/>
      <w:marBottom w:val="0"/>
      <w:divBdr>
        <w:top w:val="none" w:sz="0" w:space="0" w:color="auto"/>
        <w:left w:val="none" w:sz="0" w:space="0" w:color="auto"/>
        <w:bottom w:val="none" w:sz="0" w:space="0" w:color="auto"/>
        <w:right w:val="none" w:sz="0" w:space="0" w:color="auto"/>
      </w:divBdr>
    </w:div>
    <w:div w:id="1860505080">
      <w:bodyDiv w:val="1"/>
      <w:marLeft w:val="0"/>
      <w:marRight w:val="0"/>
      <w:marTop w:val="0"/>
      <w:marBottom w:val="0"/>
      <w:divBdr>
        <w:top w:val="none" w:sz="0" w:space="0" w:color="auto"/>
        <w:left w:val="none" w:sz="0" w:space="0" w:color="auto"/>
        <w:bottom w:val="none" w:sz="0" w:space="0" w:color="auto"/>
        <w:right w:val="none" w:sz="0" w:space="0" w:color="auto"/>
      </w:divBdr>
    </w:div>
    <w:div w:id="209859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hs-111-online" TargetMode="External"/><Relationship Id="rId13" Type="http://schemas.openxmlformats.org/officeDocument/2006/relationships/hyperlink" Target="https://doi.org/10.1136/bmj.k16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ho.int/docs/default-source/documents/gs4dhdaa2a9f352b0445bafbc79ca799dce4d.pdf" TargetMode="External"/><Relationship Id="rId12" Type="http://schemas.openxmlformats.org/officeDocument/2006/relationships/hyperlink" Target="https://doi.org/10.2196/462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eurostat/statistics-explained/index.php/International_Standard_Classification_of_Education_(ISCED)" TargetMode="External"/><Relationship Id="rId1" Type="http://schemas.openxmlformats.org/officeDocument/2006/relationships/customXml" Target="../customXml/item1.xml"/><Relationship Id="rId6" Type="http://schemas.openxmlformats.org/officeDocument/2006/relationships/hyperlink" Target="https://fundingawards.nihr.ac.uk/award/NIHR127590" TargetMode="External"/><Relationship Id="rId11" Type="http://schemas.openxmlformats.org/officeDocument/2006/relationships/hyperlink" Target="https://www.kingsfund.org.uk/publications/digital-service-change-general-practice-during-covid-19" TargetMode="External"/><Relationship Id="rId5" Type="http://schemas.openxmlformats.org/officeDocument/2006/relationships/webSettings" Target="webSettings.xml"/><Relationship Id="rId15" Type="http://schemas.openxmlformats.org/officeDocument/2006/relationships/hyperlink" Target="https://www.england.nhs.uk/statistics/statistical-work-areas/iucadc-new-from-april-2021/111-online-statistics/" TargetMode="External"/><Relationship Id="rId10" Type="http://schemas.openxmlformats.org/officeDocument/2006/relationships/hyperlink" Target="https://www.england.nhs.uk/wp-content/uploads/2017/03/NEXT-STEPS-ON-THE-NHS-FIVE-YEAR-FORWARD-VIEW.pdf" TargetMode="External"/><Relationship Id="rId4" Type="http://schemas.openxmlformats.org/officeDocument/2006/relationships/settings" Target="settings.xml"/><Relationship Id="rId9" Type="http://schemas.openxmlformats.org/officeDocument/2006/relationships/hyperlink" Target="https://www.longtermplan.nhs.uk/wp-content/uploads/2019/08/nhs-long-term-plan-version-1.2.pdf" TargetMode="External"/><Relationship Id="rId14" Type="http://schemas.openxmlformats.org/officeDocument/2006/relationships/hyperlink" Target="https://doi.org/10.2196/ijmr.8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2BB4-0C8C-CA42-B20B-6A75CD2F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6938</Words>
  <Characters>39553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Joanne Turnbull</cp:lastModifiedBy>
  <cp:revision>2</cp:revision>
  <dcterms:created xsi:type="dcterms:W3CDTF">2024-04-29T15:24:00Z</dcterms:created>
  <dcterms:modified xsi:type="dcterms:W3CDTF">2024-04-29T15:24:00Z</dcterms:modified>
</cp:coreProperties>
</file>