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7700972" w:displacedByCustomXml="next"/>
    <w:sdt>
      <w:sdtPr>
        <w:id w:val="2041086921"/>
        <w:docPartObj>
          <w:docPartGallery w:val="Cover Pages"/>
          <w:docPartUnique/>
        </w:docPartObj>
      </w:sdtPr>
      <w:sdtEndPr>
        <w:rPr>
          <w:sz w:val="20"/>
          <w:szCs w:val="20"/>
        </w:rPr>
      </w:sdtEndPr>
      <w:sdtContent>
        <w:p w14:paraId="33BE6EF9" w14:textId="24011D21" w:rsidR="00787B2E" w:rsidRPr="008335F2" w:rsidRDefault="00AE29DE" w:rsidP="00253465">
          <w:pPr>
            <w:rPr>
              <w:rFonts w:cstheme="minorHAnsi"/>
            </w:rPr>
          </w:pPr>
          <w:r w:rsidRPr="008335F2">
            <w:rPr>
              <w:rFonts w:cstheme="minorHAnsi"/>
              <w:b/>
              <w:sz w:val="24"/>
              <w:szCs w:val="24"/>
            </w:rPr>
            <w:t>Title:</w:t>
          </w:r>
        </w:p>
        <w:p w14:paraId="0EAC4C7B" w14:textId="2F8E3B5B" w:rsidR="00787B2E" w:rsidRPr="008335F2" w:rsidRDefault="005C1038" w:rsidP="00253465">
          <w:pPr>
            <w:rPr>
              <w:rFonts w:cstheme="minorHAnsi"/>
              <w:b/>
              <w:bCs/>
              <w:sz w:val="28"/>
              <w:szCs w:val="28"/>
            </w:rPr>
          </w:pPr>
          <w:r w:rsidRPr="008335F2">
            <w:rPr>
              <w:rFonts w:cstheme="minorHAnsi"/>
              <w:b/>
              <w:bCs/>
              <w:sz w:val="28"/>
              <w:szCs w:val="28"/>
            </w:rPr>
            <w:t>E</w:t>
          </w:r>
          <w:r w:rsidR="00787B2E" w:rsidRPr="008335F2">
            <w:rPr>
              <w:rFonts w:cstheme="minorHAnsi"/>
              <w:b/>
              <w:bCs/>
              <w:sz w:val="28"/>
              <w:szCs w:val="28"/>
            </w:rPr>
            <w:t>ffects of neuromuscular electrical stimulation, light intensity walking and a seated exercise trainer on venous return in healthy young adults</w:t>
          </w:r>
        </w:p>
        <w:p w14:paraId="1F361AB4" w14:textId="23022D1E" w:rsidR="00787B2E" w:rsidRPr="008335F2" w:rsidRDefault="00787B2E" w:rsidP="00AE29DE">
          <w:pPr>
            <w:rPr>
              <w:rFonts w:cstheme="minorHAnsi"/>
              <w:sz w:val="24"/>
              <w:szCs w:val="24"/>
            </w:rPr>
          </w:pPr>
          <w:r w:rsidRPr="008335F2">
            <w:rPr>
              <w:rFonts w:cstheme="minorHAnsi"/>
              <w:sz w:val="24"/>
              <w:szCs w:val="24"/>
            </w:rPr>
            <w:t xml:space="preserve">                        </w:t>
          </w:r>
        </w:p>
      </w:sdtContent>
    </w:sdt>
    <w:bookmarkStart w:id="1" w:name="_Hlk82266984" w:displacedByCustomXml="next"/>
    <w:bookmarkStart w:id="2" w:name="_Hlk87727985" w:displacedByCustomXml="next"/>
    <w:bookmarkStart w:id="3" w:name="_Hlk87700999" w:displacedByCustomXml="next"/>
    <w:sdt>
      <w:sdtPr>
        <w:id w:val="-1104338294"/>
        <w:docPartObj>
          <w:docPartGallery w:val="Cover Pages"/>
          <w:docPartUnique/>
        </w:docPartObj>
      </w:sdtPr>
      <w:sdtEndPr>
        <w:rPr>
          <w:sz w:val="20"/>
          <w:szCs w:val="20"/>
        </w:rPr>
      </w:sdtEndPr>
      <w:sdtContent>
        <w:p w14:paraId="727E64EF" w14:textId="4DE9852B" w:rsidR="00DF5510" w:rsidRPr="00FE100C" w:rsidRDefault="00DF5510" w:rsidP="00DF5510">
          <w:pPr>
            <w:rPr>
              <w:rFonts w:cstheme="minorHAnsi"/>
              <w:sz w:val="24"/>
              <w:szCs w:val="24"/>
            </w:rPr>
          </w:pPr>
          <w:r w:rsidRPr="00FE100C">
            <w:rPr>
              <w:rFonts w:cstheme="minorHAnsi"/>
              <w:b/>
              <w:sz w:val="24"/>
              <w:szCs w:val="24"/>
            </w:rPr>
            <w:t>Name of authors and institutional affiliation:</w:t>
          </w:r>
        </w:p>
        <w:p w14:paraId="75F32373" w14:textId="77777777" w:rsidR="00DF5510" w:rsidRPr="00FE100C" w:rsidRDefault="00DF5510" w:rsidP="00DF5510">
          <w:pPr>
            <w:spacing w:line="360" w:lineRule="auto"/>
            <w:rPr>
              <w:rFonts w:cstheme="minorHAnsi"/>
              <w:sz w:val="24"/>
              <w:szCs w:val="24"/>
            </w:rPr>
          </w:pPr>
          <w:r w:rsidRPr="00FE100C">
            <w:rPr>
              <w:rFonts w:cstheme="minorHAnsi"/>
              <w:sz w:val="24"/>
              <w:szCs w:val="24"/>
            </w:rPr>
            <w:t xml:space="preserve">Shannon </w:t>
          </w:r>
          <w:proofErr w:type="spellStart"/>
          <w:r w:rsidRPr="00FE100C">
            <w:rPr>
              <w:rFonts w:cstheme="minorHAnsi"/>
              <w:sz w:val="24"/>
              <w:szCs w:val="24"/>
            </w:rPr>
            <w:t>Bluett</w:t>
          </w:r>
          <w:proofErr w:type="spellEnd"/>
          <w:r w:rsidRPr="00FE100C">
            <w:rPr>
              <w:rFonts w:cstheme="minorHAnsi"/>
              <w:sz w:val="24"/>
              <w:szCs w:val="24"/>
              <w:vertAlign w:val="superscript"/>
            </w:rPr>
            <w:t xml:space="preserve"> a</w:t>
          </w:r>
          <w:r w:rsidRPr="00FE100C">
            <w:rPr>
              <w:rFonts w:cstheme="minorHAnsi"/>
              <w:sz w:val="24"/>
              <w:szCs w:val="24"/>
            </w:rPr>
            <w:t>, Alfie Jones</w:t>
          </w:r>
          <w:r w:rsidRPr="00FE100C">
            <w:rPr>
              <w:rFonts w:cstheme="minorHAnsi"/>
              <w:sz w:val="24"/>
              <w:szCs w:val="24"/>
              <w:vertAlign w:val="superscript"/>
            </w:rPr>
            <w:t xml:space="preserve"> a</w:t>
          </w:r>
          <w:r w:rsidRPr="00FE100C">
            <w:rPr>
              <w:rFonts w:cstheme="minorHAnsi"/>
              <w:sz w:val="24"/>
              <w:szCs w:val="24"/>
            </w:rPr>
            <w:t>, Kallum Pearson</w:t>
          </w:r>
          <w:r w:rsidRPr="00FE100C">
            <w:rPr>
              <w:rFonts w:cstheme="minorHAnsi"/>
              <w:sz w:val="24"/>
              <w:szCs w:val="24"/>
              <w:vertAlign w:val="superscript"/>
            </w:rPr>
            <w:t xml:space="preserve"> a</w:t>
          </w:r>
          <w:r w:rsidRPr="00FE100C">
            <w:rPr>
              <w:rFonts w:cstheme="minorHAnsi"/>
              <w:sz w:val="24"/>
              <w:szCs w:val="24"/>
            </w:rPr>
            <w:t>, Dinesh Samuel</w:t>
          </w:r>
          <w:r w:rsidRPr="00FE100C">
            <w:rPr>
              <w:rFonts w:cstheme="minorHAnsi"/>
              <w:sz w:val="24"/>
              <w:szCs w:val="24"/>
              <w:vertAlign w:val="superscript"/>
            </w:rPr>
            <w:t xml:space="preserve"> a</w:t>
          </w:r>
          <w:r w:rsidRPr="00FE100C">
            <w:rPr>
              <w:rFonts w:cstheme="minorHAnsi"/>
              <w:sz w:val="24"/>
              <w:szCs w:val="24"/>
            </w:rPr>
            <w:t xml:space="preserve">   </w:t>
          </w:r>
        </w:p>
        <w:p w14:paraId="0BA3F216" w14:textId="77777777" w:rsidR="00DF5510" w:rsidRPr="00FE100C" w:rsidRDefault="00DF5510" w:rsidP="00DF5510">
          <w:pPr>
            <w:rPr>
              <w:rFonts w:cstheme="minorHAnsi"/>
              <w:sz w:val="24"/>
              <w:szCs w:val="24"/>
              <w:vertAlign w:val="superscript"/>
            </w:rPr>
          </w:pPr>
        </w:p>
        <w:p w14:paraId="2B8ADA7C" w14:textId="77777777" w:rsidR="00DF5510" w:rsidRPr="00FE100C" w:rsidRDefault="00DF5510" w:rsidP="00DF5510">
          <w:pPr>
            <w:rPr>
              <w:rFonts w:cstheme="minorHAnsi"/>
              <w:sz w:val="24"/>
              <w:szCs w:val="24"/>
            </w:rPr>
          </w:pPr>
          <w:r w:rsidRPr="00FE100C">
            <w:rPr>
              <w:rFonts w:cstheme="minorHAnsi"/>
              <w:sz w:val="24"/>
              <w:szCs w:val="24"/>
              <w:vertAlign w:val="superscript"/>
            </w:rPr>
            <w:t xml:space="preserve">a </w:t>
          </w:r>
          <w:r w:rsidRPr="00FE100C">
            <w:rPr>
              <w:rFonts w:cstheme="minorHAnsi"/>
              <w:sz w:val="24"/>
              <w:szCs w:val="24"/>
            </w:rPr>
            <w:t>Faculty of Environmental and Life Sciences, University of Southampton, UK</w:t>
          </w:r>
        </w:p>
        <w:p w14:paraId="08EC8C22" w14:textId="77777777" w:rsidR="00DF5510" w:rsidRPr="00FE100C" w:rsidRDefault="00DF5510" w:rsidP="00DF5510">
          <w:pPr>
            <w:rPr>
              <w:rFonts w:cstheme="minorHAnsi"/>
              <w:sz w:val="24"/>
              <w:szCs w:val="24"/>
            </w:rPr>
          </w:pPr>
        </w:p>
        <w:p w14:paraId="3092E264" w14:textId="77777777" w:rsidR="00DF5510" w:rsidRPr="00FE100C" w:rsidRDefault="00DF5510" w:rsidP="00DF5510">
          <w:pPr>
            <w:rPr>
              <w:rFonts w:cstheme="minorHAnsi"/>
              <w:sz w:val="24"/>
              <w:szCs w:val="24"/>
            </w:rPr>
          </w:pPr>
        </w:p>
        <w:p w14:paraId="0E03EFDF" w14:textId="77777777" w:rsidR="00DF5510" w:rsidRPr="00FE100C" w:rsidRDefault="00DF5510" w:rsidP="00DF5510">
          <w:pPr>
            <w:rPr>
              <w:rFonts w:cstheme="minorHAnsi"/>
              <w:b/>
              <w:sz w:val="24"/>
              <w:szCs w:val="24"/>
            </w:rPr>
          </w:pPr>
          <w:r w:rsidRPr="00FE100C">
            <w:rPr>
              <w:rFonts w:cstheme="minorHAnsi"/>
              <w:b/>
              <w:sz w:val="24"/>
              <w:szCs w:val="24"/>
            </w:rPr>
            <w:t>Corresponding author:</w:t>
          </w:r>
        </w:p>
        <w:p w14:paraId="4815F3CF" w14:textId="77777777" w:rsidR="00DF5510" w:rsidRPr="00FE100C" w:rsidRDefault="00DF5510" w:rsidP="00DF5510">
          <w:pPr>
            <w:rPr>
              <w:rFonts w:cstheme="minorHAnsi"/>
              <w:sz w:val="24"/>
              <w:szCs w:val="24"/>
            </w:rPr>
          </w:pPr>
          <w:r w:rsidRPr="00FE100C">
            <w:rPr>
              <w:rFonts w:cstheme="minorHAnsi"/>
              <w:sz w:val="24"/>
              <w:szCs w:val="24"/>
            </w:rPr>
            <w:t>Dr Dinesh Samuel</w:t>
          </w:r>
        </w:p>
        <w:p w14:paraId="0D373614" w14:textId="77777777" w:rsidR="00DF5510" w:rsidRPr="00FE100C" w:rsidRDefault="00DF5510" w:rsidP="00DF5510">
          <w:pPr>
            <w:rPr>
              <w:rFonts w:cstheme="minorHAnsi"/>
              <w:sz w:val="24"/>
              <w:szCs w:val="24"/>
            </w:rPr>
          </w:pPr>
          <w:r w:rsidRPr="00FE100C">
            <w:rPr>
              <w:rFonts w:cstheme="minorHAnsi"/>
              <w:sz w:val="24"/>
              <w:szCs w:val="24"/>
            </w:rPr>
            <w:t xml:space="preserve">Faculty of Environmental and Life Sciences </w:t>
          </w:r>
        </w:p>
        <w:p w14:paraId="1A2243A2" w14:textId="77777777" w:rsidR="00DF5510" w:rsidRPr="00FE100C" w:rsidRDefault="00DF5510" w:rsidP="00DF5510">
          <w:pPr>
            <w:rPr>
              <w:rFonts w:cstheme="minorHAnsi"/>
              <w:sz w:val="24"/>
              <w:szCs w:val="24"/>
            </w:rPr>
          </w:pPr>
          <w:r w:rsidRPr="00FE100C">
            <w:rPr>
              <w:rFonts w:cstheme="minorHAnsi"/>
              <w:sz w:val="24"/>
              <w:szCs w:val="24"/>
            </w:rPr>
            <w:t>University of Southampton</w:t>
          </w:r>
        </w:p>
        <w:p w14:paraId="2F895154" w14:textId="77777777" w:rsidR="00DF5510" w:rsidRPr="00FE100C" w:rsidRDefault="00DF5510" w:rsidP="00DF5510">
          <w:pPr>
            <w:rPr>
              <w:rFonts w:cstheme="minorHAnsi"/>
              <w:sz w:val="24"/>
              <w:szCs w:val="24"/>
            </w:rPr>
          </w:pPr>
          <w:r w:rsidRPr="00FE100C">
            <w:rPr>
              <w:rFonts w:cstheme="minorHAnsi"/>
              <w:sz w:val="24"/>
              <w:szCs w:val="24"/>
            </w:rPr>
            <w:t>Highfield Campus</w:t>
          </w:r>
        </w:p>
        <w:p w14:paraId="4201D530" w14:textId="77777777" w:rsidR="00DF5510" w:rsidRPr="00FE100C" w:rsidRDefault="00DF5510" w:rsidP="00DF5510">
          <w:pPr>
            <w:rPr>
              <w:rFonts w:cstheme="minorHAnsi"/>
              <w:sz w:val="24"/>
              <w:szCs w:val="24"/>
            </w:rPr>
          </w:pPr>
          <w:r w:rsidRPr="00FE100C">
            <w:rPr>
              <w:rFonts w:cstheme="minorHAnsi"/>
              <w:sz w:val="24"/>
              <w:szCs w:val="24"/>
            </w:rPr>
            <w:t xml:space="preserve">Southampton </w:t>
          </w:r>
        </w:p>
        <w:p w14:paraId="5B5C6BD3" w14:textId="77777777" w:rsidR="00DF5510" w:rsidRPr="00FE100C" w:rsidRDefault="00DF5510" w:rsidP="00DF5510">
          <w:pPr>
            <w:rPr>
              <w:rFonts w:cstheme="minorHAnsi"/>
              <w:sz w:val="24"/>
              <w:szCs w:val="24"/>
            </w:rPr>
          </w:pPr>
          <w:r w:rsidRPr="00FE100C">
            <w:rPr>
              <w:rFonts w:cstheme="minorHAnsi"/>
              <w:sz w:val="24"/>
              <w:szCs w:val="24"/>
            </w:rPr>
            <w:t>SO17 1BJ</w:t>
          </w:r>
        </w:p>
        <w:p w14:paraId="03A1723F" w14:textId="77777777" w:rsidR="00DF5510" w:rsidRPr="00FE100C" w:rsidRDefault="00DF5510" w:rsidP="00DF5510">
          <w:pPr>
            <w:rPr>
              <w:rFonts w:cstheme="minorHAnsi"/>
              <w:sz w:val="24"/>
              <w:szCs w:val="24"/>
            </w:rPr>
          </w:pPr>
        </w:p>
        <w:p w14:paraId="63A88046" w14:textId="77777777" w:rsidR="00DF5510" w:rsidRPr="00FE100C" w:rsidRDefault="00DF5510" w:rsidP="00DF5510">
          <w:pPr>
            <w:rPr>
              <w:rFonts w:cstheme="minorHAnsi"/>
              <w:sz w:val="24"/>
              <w:szCs w:val="24"/>
            </w:rPr>
          </w:pPr>
          <w:r w:rsidRPr="00FE100C">
            <w:rPr>
              <w:rFonts w:cstheme="minorHAnsi"/>
              <w:sz w:val="24"/>
              <w:szCs w:val="24"/>
            </w:rPr>
            <w:t>Email: D.Samuel@soton.ac.uk</w:t>
          </w:r>
        </w:p>
        <w:p w14:paraId="524DEFC5" w14:textId="77777777" w:rsidR="00DF5510" w:rsidRPr="00FE100C" w:rsidRDefault="00DF5510" w:rsidP="00DF5510">
          <w:pPr>
            <w:rPr>
              <w:rFonts w:cstheme="minorHAnsi"/>
              <w:sz w:val="24"/>
              <w:szCs w:val="24"/>
            </w:rPr>
          </w:pPr>
        </w:p>
        <w:p w14:paraId="12F43974" w14:textId="77777777" w:rsidR="00DF5510" w:rsidRPr="003B65B1" w:rsidRDefault="00DF5510" w:rsidP="00DF5510">
          <w:pPr>
            <w:rPr>
              <w:rFonts w:cstheme="minorHAnsi"/>
              <w:sz w:val="24"/>
              <w:szCs w:val="24"/>
            </w:rPr>
          </w:pPr>
        </w:p>
      </w:sdtContent>
    </w:sdt>
    <w:p w14:paraId="1C8BAE5A" w14:textId="77777777" w:rsidR="00DF5510" w:rsidRDefault="00DF5510" w:rsidP="007D2A94">
      <w:pPr>
        <w:spacing w:line="360" w:lineRule="auto"/>
        <w:rPr>
          <w:rFonts w:cstheme="minorHAnsi"/>
          <w:b/>
          <w:bCs/>
          <w:color w:val="000000" w:themeColor="text1"/>
          <w:sz w:val="24"/>
          <w:szCs w:val="24"/>
        </w:rPr>
      </w:pPr>
    </w:p>
    <w:p w14:paraId="32095575" w14:textId="77777777" w:rsidR="00DF5510" w:rsidRDefault="00DF5510" w:rsidP="007D2A94">
      <w:pPr>
        <w:spacing w:line="360" w:lineRule="auto"/>
        <w:rPr>
          <w:rFonts w:cstheme="minorHAnsi"/>
          <w:b/>
          <w:bCs/>
          <w:color w:val="000000" w:themeColor="text1"/>
          <w:sz w:val="24"/>
          <w:szCs w:val="24"/>
        </w:rPr>
      </w:pPr>
    </w:p>
    <w:p w14:paraId="10B2EDE9" w14:textId="77777777" w:rsidR="00DF5510" w:rsidRDefault="00DF5510" w:rsidP="007D2A94">
      <w:pPr>
        <w:spacing w:line="360" w:lineRule="auto"/>
        <w:rPr>
          <w:rFonts w:cstheme="minorHAnsi"/>
          <w:b/>
          <w:bCs/>
          <w:color w:val="000000" w:themeColor="text1"/>
          <w:sz w:val="24"/>
          <w:szCs w:val="24"/>
        </w:rPr>
      </w:pPr>
    </w:p>
    <w:p w14:paraId="1D2368A9" w14:textId="77777777" w:rsidR="00DF5510" w:rsidRDefault="00DF5510" w:rsidP="007D2A94">
      <w:pPr>
        <w:spacing w:line="360" w:lineRule="auto"/>
        <w:rPr>
          <w:rFonts w:cstheme="minorHAnsi"/>
          <w:b/>
          <w:bCs/>
          <w:color w:val="000000" w:themeColor="text1"/>
          <w:sz w:val="24"/>
          <w:szCs w:val="24"/>
        </w:rPr>
      </w:pPr>
    </w:p>
    <w:p w14:paraId="3DDDDFFD" w14:textId="77777777" w:rsidR="00DF5510" w:rsidRDefault="00DF5510" w:rsidP="007D2A94">
      <w:pPr>
        <w:spacing w:line="360" w:lineRule="auto"/>
        <w:rPr>
          <w:rFonts w:cstheme="minorHAnsi"/>
          <w:b/>
          <w:bCs/>
          <w:color w:val="000000" w:themeColor="text1"/>
          <w:sz w:val="24"/>
          <w:szCs w:val="24"/>
        </w:rPr>
      </w:pPr>
    </w:p>
    <w:p w14:paraId="46B70D2E" w14:textId="77777777" w:rsidR="00DF5510" w:rsidRDefault="00DF5510" w:rsidP="007D2A94">
      <w:pPr>
        <w:spacing w:line="360" w:lineRule="auto"/>
        <w:rPr>
          <w:rFonts w:cstheme="minorHAnsi"/>
          <w:b/>
          <w:bCs/>
          <w:color w:val="000000" w:themeColor="text1"/>
          <w:sz w:val="24"/>
          <w:szCs w:val="24"/>
        </w:rPr>
      </w:pPr>
    </w:p>
    <w:p w14:paraId="3F52512F" w14:textId="77777777" w:rsidR="00DF5510" w:rsidRDefault="00DF5510" w:rsidP="007D2A94">
      <w:pPr>
        <w:spacing w:line="360" w:lineRule="auto"/>
        <w:rPr>
          <w:rFonts w:cstheme="minorHAnsi"/>
          <w:b/>
          <w:bCs/>
          <w:color w:val="000000" w:themeColor="text1"/>
          <w:sz w:val="24"/>
          <w:szCs w:val="24"/>
        </w:rPr>
      </w:pPr>
    </w:p>
    <w:p w14:paraId="716D3866" w14:textId="2B204990" w:rsidR="00C16138" w:rsidRPr="008335F2" w:rsidRDefault="00C16138" w:rsidP="007D2A94">
      <w:pPr>
        <w:spacing w:line="360" w:lineRule="auto"/>
        <w:rPr>
          <w:rFonts w:cstheme="minorHAnsi"/>
          <w:b/>
          <w:bCs/>
          <w:color w:val="000000" w:themeColor="text1"/>
          <w:sz w:val="24"/>
          <w:szCs w:val="24"/>
        </w:rPr>
      </w:pPr>
      <w:r w:rsidRPr="008335F2">
        <w:rPr>
          <w:rFonts w:cstheme="minorHAnsi"/>
          <w:b/>
          <w:bCs/>
          <w:color w:val="000000" w:themeColor="text1"/>
          <w:sz w:val="24"/>
          <w:szCs w:val="24"/>
        </w:rPr>
        <w:lastRenderedPageBreak/>
        <w:t>Abstract</w:t>
      </w:r>
    </w:p>
    <w:p w14:paraId="2E365F53" w14:textId="0CE0094C" w:rsidR="001F18E4" w:rsidRPr="008335F2" w:rsidRDefault="001F18E4" w:rsidP="001F18E4">
      <w:pPr>
        <w:spacing w:line="360" w:lineRule="auto"/>
        <w:rPr>
          <w:rFonts w:cstheme="minorHAnsi"/>
          <w:sz w:val="24"/>
          <w:szCs w:val="24"/>
        </w:rPr>
      </w:pPr>
      <w:r w:rsidRPr="008335F2">
        <w:rPr>
          <w:rFonts w:cstheme="minorHAnsi"/>
          <w:b/>
          <w:bCs/>
          <w:sz w:val="24"/>
          <w:szCs w:val="24"/>
        </w:rPr>
        <w:t xml:space="preserve">Background: </w:t>
      </w:r>
      <w:r w:rsidRPr="008335F2">
        <w:rPr>
          <w:rFonts w:cstheme="minorHAnsi"/>
          <w:sz w:val="24"/>
          <w:szCs w:val="24"/>
        </w:rPr>
        <w:t>The present study investigated the change in venous blood flow, heart rate and blood pressure after 8 minutes of using the Leeper device, Circulation Booster® and light intensity walking.</w:t>
      </w:r>
    </w:p>
    <w:p w14:paraId="76F3B41D" w14:textId="466A01C2" w:rsidR="001F18E4" w:rsidRPr="008335F2" w:rsidRDefault="001F18E4" w:rsidP="001F18E4">
      <w:pPr>
        <w:spacing w:line="360" w:lineRule="auto"/>
        <w:rPr>
          <w:rFonts w:cstheme="minorHAnsi"/>
          <w:sz w:val="24"/>
          <w:szCs w:val="24"/>
        </w:rPr>
      </w:pPr>
      <w:r w:rsidRPr="008335F2">
        <w:rPr>
          <w:rFonts w:cstheme="minorHAnsi"/>
          <w:b/>
          <w:bCs/>
          <w:sz w:val="24"/>
          <w:szCs w:val="24"/>
        </w:rPr>
        <w:t xml:space="preserve">Methods: </w:t>
      </w:r>
      <w:r w:rsidRPr="008335F2">
        <w:rPr>
          <w:rFonts w:cstheme="minorHAnsi"/>
          <w:sz w:val="24"/>
          <w:szCs w:val="24"/>
        </w:rPr>
        <w:t xml:space="preserve">A quasi-experimental cross over study involving 11 participants (8 female, </w:t>
      </w:r>
      <w:r w:rsidR="00922058" w:rsidRPr="008335F2">
        <w:rPr>
          <w:rFonts w:cstheme="minorHAnsi"/>
          <w:sz w:val="24"/>
          <w:szCs w:val="24"/>
        </w:rPr>
        <w:t xml:space="preserve">3 </w:t>
      </w:r>
      <w:r w:rsidR="00922058" w:rsidRPr="008335F2">
        <w:rPr>
          <w:rFonts w:ascii="Calibri" w:hAnsi="Calibri" w:cs="Calibri"/>
          <w:sz w:val="24"/>
          <w:szCs w:val="24"/>
        </w:rPr>
        <w:t xml:space="preserve">male, </w:t>
      </w:r>
      <w:r w:rsidRPr="008335F2">
        <w:rPr>
          <w:rFonts w:cstheme="minorHAnsi"/>
          <w:sz w:val="24"/>
          <w:szCs w:val="24"/>
        </w:rPr>
        <w:t xml:space="preserve">mean (SD) age=23.91 (1.04) years) was conducted using three exercise conditions; Leeper; Circulation Booster® and walking. During each condition participants exercised for 8 </w:t>
      </w:r>
      <w:r w:rsidR="00D0314D" w:rsidRPr="008335F2">
        <w:rPr>
          <w:rFonts w:cstheme="minorHAnsi"/>
          <w:sz w:val="24"/>
          <w:szCs w:val="24"/>
        </w:rPr>
        <w:t>minutes,</w:t>
      </w:r>
      <w:r w:rsidRPr="008335F2">
        <w:rPr>
          <w:rFonts w:cstheme="minorHAnsi"/>
          <w:sz w:val="24"/>
          <w:szCs w:val="24"/>
        </w:rPr>
        <w:t xml:space="preserve"> and blood flow was recorded at 0, 4 and 8 minutes of each condition. Heart rate </w:t>
      </w:r>
      <w:r w:rsidR="004B6ACA" w:rsidRPr="008335F2">
        <w:rPr>
          <w:rFonts w:cstheme="minorHAnsi"/>
          <w:sz w:val="24"/>
          <w:szCs w:val="24"/>
        </w:rPr>
        <w:t xml:space="preserve">(HR) </w:t>
      </w:r>
      <w:r w:rsidRPr="008335F2">
        <w:rPr>
          <w:rFonts w:cstheme="minorHAnsi"/>
          <w:sz w:val="24"/>
          <w:szCs w:val="24"/>
        </w:rPr>
        <w:t xml:space="preserve">and blood pressure </w:t>
      </w:r>
      <w:r w:rsidR="004B6ACA" w:rsidRPr="008335F2">
        <w:rPr>
          <w:rFonts w:cstheme="minorHAnsi"/>
          <w:sz w:val="24"/>
          <w:szCs w:val="24"/>
        </w:rPr>
        <w:t xml:space="preserve">(BP) </w:t>
      </w:r>
      <w:r w:rsidRPr="008335F2">
        <w:rPr>
          <w:rFonts w:cstheme="minorHAnsi"/>
          <w:sz w:val="24"/>
          <w:szCs w:val="24"/>
        </w:rPr>
        <w:t xml:space="preserve">were recorded at 0 and 8 minutes. Blood flow was the primary outcome measure and heart </w:t>
      </w:r>
      <w:r w:rsidR="00D0314D" w:rsidRPr="008335F2">
        <w:rPr>
          <w:rFonts w:cstheme="minorHAnsi"/>
          <w:sz w:val="24"/>
          <w:szCs w:val="24"/>
        </w:rPr>
        <w:t>rate,</w:t>
      </w:r>
      <w:r w:rsidRPr="008335F2">
        <w:rPr>
          <w:rFonts w:cstheme="minorHAnsi"/>
          <w:sz w:val="24"/>
          <w:szCs w:val="24"/>
        </w:rPr>
        <w:t xml:space="preserve"> and blood pressure were secondary outcomes. Participants rested for 10 minutes between conditions. A two-way repeated measures ANOVA was utilised to analyse the effect of condition and time on blood flow, blood pressure and heart rate.</w:t>
      </w:r>
    </w:p>
    <w:p w14:paraId="7E51A8E1" w14:textId="0B8F74CA" w:rsidR="001F18E4" w:rsidRPr="008335F2" w:rsidRDefault="00DB7D43" w:rsidP="001F18E4">
      <w:pPr>
        <w:spacing w:line="360" w:lineRule="auto"/>
        <w:rPr>
          <w:rFonts w:cstheme="minorHAnsi"/>
          <w:sz w:val="24"/>
          <w:szCs w:val="24"/>
        </w:rPr>
      </w:pPr>
      <w:r w:rsidRPr="008335F2">
        <w:rPr>
          <w:rFonts w:cstheme="minorHAnsi"/>
          <w:b/>
          <w:bCs/>
          <w:sz w:val="24"/>
          <w:szCs w:val="24"/>
        </w:rPr>
        <w:t>Result</w:t>
      </w:r>
      <w:r w:rsidR="001F18E4" w:rsidRPr="008335F2">
        <w:rPr>
          <w:rFonts w:cstheme="minorHAnsi"/>
          <w:b/>
          <w:bCs/>
          <w:sz w:val="24"/>
          <w:szCs w:val="24"/>
        </w:rPr>
        <w:t xml:space="preserve">s: </w:t>
      </w:r>
      <w:r w:rsidR="001F18E4" w:rsidRPr="008335F2">
        <w:rPr>
          <w:rFonts w:cstheme="minorHAnsi"/>
          <w:sz w:val="24"/>
          <w:szCs w:val="24"/>
        </w:rPr>
        <w:t>There was no significant interaction between condition and time on blood flow (p=0.180) indicating that blood flow did not change differently over time depending on condition. There was no significant main effect of time on blood flow (p=0.206) indicating that no condition caused a significant increase or decrease in blood flow after 8 minutes of exercise.</w:t>
      </w:r>
    </w:p>
    <w:p w14:paraId="68BFAB01" w14:textId="65ADC971" w:rsidR="006A4D44" w:rsidRPr="008335F2" w:rsidRDefault="001F18E4" w:rsidP="006A4D44">
      <w:pPr>
        <w:spacing w:line="360" w:lineRule="auto"/>
        <w:rPr>
          <w:b/>
          <w:bCs/>
          <w:color w:val="000000" w:themeColor="text1"/>
          <w:sz w:val="24"/>
          <w:szCs w:val="24"/>
        </w:rPr>
      </w:pPr>
      <w:r w:rsidRPr="008335F2">
        <w:rPr>
          <w:rFonts w:cstheme="minorHAnsi"/>
          <w:b/>
          <w:bCs/>
          <w:sz w:val="24"/>
          <w:szCs w:val="24"/>
        </w:rPr>
        <w:t>Conclusion:</w:t>
      </w:r>
      <w:r w:rsidRPr="008335F2">
        <w:rPr>
          <w:rFonts w:cstheme="minorHAnsi"/>
          <w:sz w:val="24"/>
          <w:szCs w:val="24"/>
        </w:rPr>
        <w:t xml:space="preserve"> </w:t>
      </w:r>
      <w:r w:rsidR="00C17E6A" w:rsidRPr="008335F2">
        <w:rPr>
          <w:rFonts w:cstheme="minorHAnsi"/>
          <w:sz w:val="24"/>
          <w:szCs w:val="24"/>
        </w:rPr>
        <w:t>The interventions involving Leeper device, Circulation Booster® device and light intensity walking did not</w:t>
      </w:r>
      <w:r w:rsidR="006A4D44" w:rsidRPr="008335F2">
        <w:rPr>
          <w:rFonts w:cstheme="minorHAnsi"/>
          <w:sz w:val="24"/>
          <w:szCs w:val="24"/>
        </w:rPr>
        <w:t xml:space="preserve"> appear to significantly</w:t>
      </w:r>
      <w:r w:rsidR="00C17E6A" w:rsidRPr="008335F2">
        <w:rPr>
          <w:rFonts w:cstheme="minorHAnsi"/>
          <w:sz w:val="24"/>
          <w:szCs w:val="24"/>
        </w:rPr>
        <w:t xml:space="preserve"> increase b</w:t>
      </w:r>
      <w:r w:rsidRPr="008335F2">
        <w:rPr>
          <w:rFonts w:cstheme="minorHAnsi"/>
          <w:sz w:val="24"/>
          <w:szCs w:val="24"/>
        </w:rPr>
        <w:t xml:space="preserve">lood flow </w:t>
      </w:r>
      <w:r w:rsidR="00A03059" w:rsidRPr="008335F2">
        <w:rPr>
          <w:rFonts w:cstheme="minorHAnsi"/>
          <w:sz w:val="24"/>
          <w:szCs w:val="24"/>
        </w:rPr>
        <w:t xml:space="preserve">in young adults </w:t>
      </w:r>
      <w:r w:rsidRPr="008335F2">
        <w:rPr>
          <w:rFonts w:cstheme="minorHAnsi"/>
          <w:sz w:val="24"/>
          <w:szCs w:val="24"/>
        </w:rPr>
        <w:t xml:space="preserve">after any exercise condition. </w:t>
      </w:r>
      <w:r w:rsidR="006A4D44" w:rsidRPr="008335F2">
        <w:rPr>
          <w:color w:val="000000" w:themeColor="text1"/>
          <w:sz w:val="24"/>
          <w:szCs w:val="24"/>
        </w:rPr>
        <w:t>Further studies in</w:t>
      </w:r>
      <w:r w:rsidR="00721BA5" w:rsidRPr="008335F2">
        <w:rPr>
          <w:color w:val="000000" w:themeColor="text1"/>
          <w:sz w:val="24"/>
          <w:szCs w:val="24"/>
        </w:rPr>
        <w:t>volving</w:t>
      </w:r>
      <w:r w:rsidR="006A4D44" w:rsidRPr="008335F2">
        <w:rPr>
          <w:color w:val="000000" w:themeColor="text1"/>
          <w:sz w:val="24"/>
          <w:szCs w:val="24"/>
        </w:rPr>
        <w:t xml:space="preserve"> participants from older age groups and </w:t>
      </w:r>
      <w:r w:rsidR="00721BA5" w:rsidRPr="008335F2">
        <w:rPr>
          <w:color w:val="000000" w:themeColor="text1"/>
          <w:sz w:val="24"/>
          <w:szCs w:val="24"/>
        </w:rPr>
        <w:t>those</w:t>
      </w:r>
      <w:r w:rsidR="006A4D44" w:rsidRPr="008335F2">
        <w:rPr>
          <w:color w:val="000000" w:themeColor="text1"/>
          <w:sz w:val="24"/>
          <w:szCs w:val="24"/>
        </w:rPr>
        <w:t xml:space="preserve"> with pathological conditions are warranted to examine the </w:t>
      </w:r>
      <w:r w:rsidR="00721BA5" w:rsidRPr="008335F2">
        <w:rPr>
          <w:color w:val="000000" w:themeColor="text1"/>
          <w:sz w:val="24"/>
          <w:szCs w:val="24"/>
        </w:rPr>
        <w:t xml:space="preserve">potential </w:t>
      </w:r>
      <w:r w:rsidR="006A4D44" w:rsidRPr="008335F2">
        <w:rPr>
          <w:color w:val="000000" w:themeColor="text1"/>
          <w:sz w:val="24"/>
          <w:szCs w:val="24"/>
        </w:rPr>
        <w:t xml:space="preserve">effectiveness of the interventions. </w:t>
      </w:r>
    </w:p>
    <w:p w14:paraId="1DC8B2C1" w14:textId="1C102F3D" w:rsidR="001F18E4" w:rsidRPr="008335F2" w:rsidRDefault="001F18E4" w:rsidP="001F18E4">
      <w:pPr>
        <w:spacing w:line="360" w:lineRule="auto"/>
        <w:rPr>
          <w:rFonts w:cstheme="minorHAnsi"/>
          <w:sz w:val="24"/>
          <w:szCs w:val="24"/>
        </w:rPr>
      </w:pPr>
    </w:p>
    <w:p w14:paraId="1C1C030A" w14:textId="77777777" w:rsidR="00C16138" w:rsidRDefault="00C16138" w:rsidP="007D2A94">
      <w:pPr>
        <w:spacing w:line="360" w:lineRule="auto"/>
        <w:rPr>
          <w:rFonts w:cstheme="minorHAnsi"/>
          <w:b/>
          <w:bCs/>
          <w:color w:val="000000" w:themeColor="text1"/>
          <w:sz w:val="24"/>
          <w:szCs w:val="24"/>
        </w:rPr>
      </w:pPr>
    </w:p>
    <w:p w14:paraId="527F465E" w14:textId="77777777" w:rsidR="00DF5510" w:rsidRDefault="00DF5510" w:rsidP="007D2A94">
      <w:pPr>
        <w:spacing w:line="360" w:lineRule="auto"/>
        <w:rPr>
          <w:rFonts w:cstheme="minorHAnsi"/>
          <w:b/>
          <w:bCs/>
          <w:color w:val="000000" w:themeColor="text1"/>
          <w:sz w:val="24"/>
          <w:szCs w:val="24"/>
        </w:rPr>
      </w:pPr>
    </w:p>
    <w:p w14:paraId="6B8733C4" w14:textId="77777777" w:rsidR="00DF5510" w:rsidRDefault="00DF5510" w:rsidP="007D2A94">
      <w:pPr>
        <w:spacing w:line="360" w:lineRule="auto"/>
        <w:rPr>
          <w:rFonts w:cstheme="minorHAnsi"/>
          <w:b/>
          <w:bCs/>
          <w:color w:val="000000" w:themeColor="text1"/>
          <w:sz w:val="24"/>
          <w:szCs w:val="24"/>
        </w:rPr>
      </w:pPr>
    </w:p>
    <w:p w14:paraId="0E8B73FB" w14:textId="77777777" w:rsidR="00DF5510" w:rsidRPr="008335F2" w:rsidRDefault="00DF5510" w:rsidP="007D2A94">
      <w:pPr>
        <w:spacing w:line="360" w:lineRule="auto"/>
        <w:rPr>
          <w:rFonts w:cstheme="minorHAnsi"/>
          <w:b/>
          <w:bCs/>
          <w:color w:val="000000" w:themeColor="text1"/>
          <w:sz w:val="24"/>
          <w:szCs w:val="24"/>
        </w:rPr>
      </w:pPr>
    </w:p>
    <w:p w14:paraId="043EF3FE" w14:textId="3419A9A3" w:rsidR="007D2A94" w:rsidRPr="008335F2" w:rsidRDefault="007D2A94" w:rsidP="00FE100C">
      <w:pPr>
        <w:spacing w:line="360" w:lineRule="auto"/>
        <w:rPr>
          <w:rFonts w:cstheme="minorHAnsi"/>
          <w:b/>
          <w:bCs/>
          <w:color w:val="000000" w:themeColor="text1"/>
          <w:sz w:val="24"/>
          <w:szCs w:val="24"/>
        </w:rPr>
      </w:pPr>
      <w:r w:rsidRPr="008335F2">
        <w:rPr>
          <w:rFonts w:cstheme="minorHAnsi"/>
          <w:b/>
          <w:bCs/>
          <w:color w:val="000000" w:themeColor="text1"/>
          <w:sz w:val="24"/>
          <w:szCs w:val="24"/>
        </w:rPr>
        <w:lastRenderedPageBreak/>
        <w:t>Introduction</w:t>
      </w:r>
    </w:p>
    <w:p w14:paraId="7E230BDF" w14:textId="5FAC7E84" w:rsidR="007D2A94" w:rsidRPr="008335F2" w:rsidRDefault="007D2A94"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The prevalence of sedentary behaviour, defined as ‘activity with low energy expenditure, undertaken primarily sitting or lying down’ (Population Health Team, 2019) is increasing </w:t>
      </w:r>
      <w:r w:rsidR="008D799D" w:rsidRPr="008335F2">
        <w:rPr>
          <w:rFonts w:cstheme="minorHAnsi"/>
          <w:color w:val="000000" w:themeColor="text1"/>
          <w:sz w:val="24"/>
          <w:szCs w:val="24"/>
        </w:rPr>
        <w:t xml:space="preserve">and </w:t>
      </w:r>
      <w:r w:rsidRPr="008335F2">
        <w:rPr>
          <w:rFonts w:cstheme="minorHAnsi"/>
          <w:color w:val="000000" w:themeColor="text1"/>
          <w:sz w:val="24"/>
          <w:szCs w:val="24"/>
        </w:rPr>
        <w:t xml:space="preserve">is associated with poor health outcomes independent of physical activity (World Health Organization (WHO), 2020). Uninterrupted sitting can reduce blood flow and endothelial function and increase glucose and insulin concentration (Bailey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2019; Carter </w:t>
      </w:r>
      <w:r w:rsidRPr="008335F2">
        <w:rPr>
          <w:rFonts w:cstheme="minorHAnsi"/>
          <w:i/>
          <w:iCs/>
          <w:color w:val="000000" w:themeColor="text1"/>
          <w:sz w:val="24"/>
          <w:szCs w:val="24"/>
        </w:rPr>
        <w:t xml:space="preserve">et al., </w:t>
      </w:r>
      <w:r w:rsidRPr="008335F2">
        <w:rPr>
          <w:rFonts w:cstheme="minorHAnsi"/>
          <w:color w:val="000000" w:themeColor="text1"/>
          <w:sz w:val="24"/>
          <w:szCs w:val="24"/>
        </w:rPr>
        <w:t xml:space="preserve">2019). These changes are associated with increased risk of deep vein thrombosis, diabetes, cardiovascular disease, cardiovascular disease mortality and all-cause mortality (Bailey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2019; Healy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2010; Patterson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2018). On average, adults (</w:t>
      </w:r>
      <w:r w:rsidR="00A727ED" w:rsidRPr="008335F2">
        <w:rPr>
          <w:rFonts w:cstheme="minorHAnsi"/>
          <w:color w:val="000000" w:themeColor="text1"/>
          <w:sz w:val="24"/>
          <w:szCs w:val="24"/>
        </w:rPr>
        <w:t xml:space="preserve">aged </w:t>
      </w:r>
      <w:r w:rsidRPr="008335F2">
        <w:rPr>
          <w:rFonts w:cstheme="minorHAnsi"/>
          <w:color w:val="000000" w:themeColor="text1"/>
          <w:sz w:val="24"/>
          <w:szCs w:val="24"/>
        </w:rPr>
        <w:t xml:space="preserve">15-60 years) and older adults (&gt;60 years) engage in sedentary behaviour for 8.2 and 8.5 hours a day (Bauman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2018). </w:t>
      </w:r>
      <w:r w:rsidR="00EF1AA6" w:rsidRPr="008335F2">
        <w:rPr>
          <w:rFonts w:cstheme="minorHAnsi"/>
          <w:color w:val="000000" w:themeColor="text1"/>
          <w:sz w:val="24"/>
          <w:szCs w:val="24"/>
        </w:rPr>
        <w:t>M</w:t>
      </w:r>
      <w:r w:rsidRPr="008335F2">
        <w:rPr>
          <w:rFonts w:cstheme="minorHAnsi"/>
          <w:color w:val="000000" w:themeColor="text1"/>
          <w:sz w:val="24"/>
          <w:szCs w:val="24"/>
        </w:rPr>
        <w:t xml:space="preserve">ortality risk increases above 6-9.5 hours therefore this is of concern (Ekelund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2019; Patterson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2018). </w:t>
      </w:r>
      <w:r w:rsidR="00580B07" w:rsidRPr="008335F2">
        <w:rPr>
          <w:rFonts w:cstheme="minorHAnsi"/>
          <w:color w:val="000000" w:themeColor="text1"/>
          <w:sz w:val="24"/>
          <w:szCs w:val="24"/>
        </w:rPr>
        <w:t>Hence</w:t>
      </w:r>
      <w:r w:rsidRPr="008335F2">
        <w:rPr>
          <w:rFonts w:cstheme="minorHAnsi"/>
          <w:color w:val="000000" w:themeColor="text1"/>
          <w:sz w:val="24"/>
          <w:szCs w:val="24"/>
        </w:rPr>
        <w:t xml:space="preserve">, it is imperative to explore ways in which sedentary behaviour and associated </w:t>
      </w:r>
      <w:r w:rsidR="00580B07" w:rsidRPr="008335F2">
        <w:rPr>
          <w:rFonts w:cstheme="minorHAnsi"/>
          <w:color w:val="000000" w:themeColor="text1"/>
          <w:sz w:val="24"/>
          <w:szCs w:val="24"/>
        </w:rPr>
        <w:t>problems</w:t>
      </w:r>
      <w:r w:rsidRPr="008335F2">
        <w:rPr>
          <w:rFonts w:cstheme="minorHAnsi"/>
          <w:color w:val="000000" w:themeColor="text1"/>
          <w:sz w:val="24"/>
          <w:szCs w:val="24"/>
        </w:rPr>
        <w:t xml:space="preserve"> can be reduced.</w:t>
      </w:r>
    </w:p>
    <w:p w14:paraId="7A2F1C09" w14:textId="77777777" w:rsidR="00D44AE0" w:rsidRPr="008335F2" w:rsidRDefault="00D44AE0" w:rsidP="00FE100C">
      <w:pPr>
        <w:spacing w:line="360" w:lineRule="auto"/>
        <w:rPr>
          <w:rFonts w:cstheme="minorHAnsi"/>
          <w:color w:val="000000" w:themeColor="text1"/>
          <w:sz w:val="24"/>
          <w:szCs w:val="24"/>
        </w:rPr>
      </w:pPr>
    </w:p>
    <w:p w14:paraId="218B577C" w14:textId="2874B13D" w:rsidR="007D2A94" w:rsidRPr="008335F2" w:rsidRDefault="007D2A94" w:rsidP="00FE100C">
      <w:pPr>
        <w:spacing w:line="360" w:lineRule="auto"/>
        <w:rPr>
          <w:rFonts w:cstheme="minorHAnsi"/>
          <w:color w:val="000000" w:themeColor="text1"/>
          <w:sz w:val="24"/>
          <w:szCs w:val="24"/>
        </w:rPr>
      </w:pPr>
      <w:r w:rsidRPr="008335F2">
        <w:rPr>
          <w:rFonts w:cstheme="minorHAnsi"/>
          <w:color w:val="000000" w:themeColor="text1"/>
          <w:sz w:val="24"/>
          <w:szCs w:val="24"/>
        </w:rPr>
        <w:t>The WHO sedentary behaviour guidelines (2020) state that adults should minimise prolonged sedentary behaviour, replacing it with physical activity of any intensity. There is insufficient evidence to recommend frequency and duration</w:t>
      </w:r>
      <w:r w:rsidR="00976B09" w:rsidRPr="008335F2">
        <w:rPr>
          <w:rFonts w:cstheme="minorHAnsi"/>
          <w:color w:val="000000" w:themeColor="text1"/>
          <w:sz w:val="24"/>
          <w:szCs w:val="24"/>
        </w:rPr>
        <w:t xml:space="preserve">, </w:t>
      </w:r>
      <w:r w:rsidRPr="008335F2">
        <w:rPr>
          <w:rFonts w:cstheme="minorHAnsi"/>
          <w:color w:val="000000" w:themeColor="text1"/>
          <w:sz w:val="24"/>
          <w:szCs w:val="24"/>
        </w:rPr>
        <w:t xml:space="preserve">however walking at light intensity for 8 minutes every 2 hours has been shown to prevent the decline in blood flow and endothelial function induced by uninterrupted sitting (Carter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2019). Walking promotes blood flow and venous return by activating the calf muscle pump. Calf muscles contract, expelling blood from the lower extremities back towards the heart (Recek, 2013). Walking also lowers plasma glucose and insulin concentration (Peddie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2013) which are associated with increased risk of diabetes, cardiovascular disease and mortality. </w:t>
      </w:r>
      <w:r w:rsidR="00580B07" w:rsidRPr="008335F2">
        <w:rPr>
          <w:rFonts w:cstheme="minorHAnsi"/>
          <w:color w:val="000000" w:themeColor="text1"/>
          <w:sz w:val="24"/>
          <w:szCs w:val="24"/>
        </w:rPr>
        <w:t>Therefore</w:t>
      </w:r>
      <w:r w:rsidRPr="008335F2">
        <w:rPr>
          <w:rFonts w:cstheme="minorHAnsi"/>
          <w:color w:val="000000" w:themeColor="text1"/>
          <w:sz w:val="24"/>
          <w:szCs w:val="24"/>
        </w:rPr>
        <w:t>, interspersing sedentary behaviour with light intensity activity is beneficial.</w:t>
      </w:r>
    </w:p>
    <w:p w14:paraId="2C763639" w14:textId="77777777" w:rsidR="00D44AE0" w:rsidRPr="008335F2" w:rsidRDefault="00D44AE0" w:rsidP="00FE100C">
      <w:pPr>
        <w:spacing w:line="360" w:lineRule="auto"/>
        <w:rPr>
          <w:rFonts w:cstheme="minorHAnsi"/>
          <w:color w:val="000000" w:themeColor="text1"/>
          <w:sz w:val="24"/>
          <w:szCs w:val="24"/>
        </w:rPr>
      </w:pPr>
    </w:p>
    <w:p w14:paraId="46711105" w14:textId="571B9C67" w:rsidR="00EF1AA6" w:rsidRPr="008335F2" w:rsidRDefault="007D2A94"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Some individuals cannot avoid prolonged periods of sitting, including those who have limited mobility and are unable to stand and walk frequently or independently. In these circumstances, sedentary behaviour can be broken with seated exercise (WHO, 2020). </w:t>
      </w:r>
      <w:r w:rsidR="00454851" w:rsidRPr="008335F2">
        <w:rPr>
          <w:rFonts w:cstheme="minorHAnsi"/>
          <w:color w:val="000000" w:themeColor="text1"/>
          <w:sz w:val="24"/>
          <w:szCs w:val="24"/>
        </w:rPr>
        <w:t>Electrical muscle stimulation (EMS) is a</w:t>
      </w:r>
      <w:r w:rsidRPr="008335F2">
        <w:rPr>
          <w:rFonts w:cstheme="minorHAnsi"/>
          <w:color w:val="000000" w:themeColor="text1"/>
          <w:sz w:val="24"/>
          <w:szCs w:val="24"/>
        </w:rPr>
        <w:t xml:space="preserve">nother option for individuals who cannot avoid uninterrupted sitting. Electrical impulses delivered through a footplate or electrodes and </w:t>
      </w:r>
      <w:r w:rsidRPr="008335F2">
        <w:rPr>
          <w:rFonts w:cstheme="minorHAnsi"/>
          <w:color w:val="000000" w:themeColor="text1"/>
          <w:sz w:val="24"/>
          <w:szCs w:val="24"/>
        </w:rPr>
        <w:lastRenderedPageBreak/>
        <w:t xml:space="preserve">stimulate motor neurones causes involuntary contractions which activate the calf muscle pump. </w:t>
      </w:r>
      <w:r w:rsidR="00454851" w:rsidRPr="008335F2">
        <w:rPr>
          <w:rFonts w:cstheme="minorHAnsi"/>
          <w:color w:val="000000" w:themeColor="text1"/>
          <w:sz w:val="24"/>
          <w:szCs w:val="24"/>
        </w:rPr>
        <w:t xml:space="preserve">Revitive is a device that has been </w:t>
      </w:r>
      <w:r w:rsidR="00E72BC3" w:rsidRPr="008335F2">
        <w:rPr>
          <w:rFonts w:cstheme="minorHAnsi"/>
          <w:color w:val="000000" w:themeColor="text1"/>
          <w:sz w:val="24"/>
          <w:szCs w:val="24"/>
        </w:rPr>
        <w:t>shown</w:t>
      </w:r>
      <w:r w:rsidR="00454851" w:rsidRPr="008335F2">
        <w:rPr>
          <w:rFonts w:cstheme="minorHAnsi"/>
          <w:color w:val="000000" w:themeColor="text1"/>
          <w:sz w:val="24"/>
          <w:szCs w:val="24"/>
        </w:rPr>
        <w:t xml:space="preserve"> to increase blood flow (Actegy Ltd, 2016), however studies are limited and present conflicting evidence. Using the Circulation Booster® for 15-30 minutes has been found to significantly improve blood flow in comparison to no EMS, in healthy </w:t>
      </w:r>
      <w:r w:rsidR="00712722" w:rsidRPr="008335F2">
        <w:rPr>
          <w:rFonts w:cstheme="minorHAnsi"/>
          <w:color w:val="000000" w:themeColor="text1"/>
          <w:sz w:val="24"/>
          <w:szCs w:val="24"/>
        </w:rPr>
        <w:t>individual</w:t>
      </w:r>
      <w:r w:rsidR="00454851" w:rsidRPr="008335F2">
        <w:rPr>
          <w:rFonts w:cstheme="minorHAnsi"/>
          <w:color w:val="000000" w:themeColor="text1"/>
          <w:sz w:val="24"/>
          <w:szCs w:val="24"/>
        </w:rPr>
        <w:t xml:space="preserve">s and those with chronic venous disease (Ravikumar et al., 2021; Varatharajan et al., 2014). However, </w:t>
      </w:r>
      <w:r w:rsidR="00712722" w:rsidRPr="008335F2">
        <w:rPr>
          <w:rFonts w:cstheme="minorHAnsi"/>
          <w:color w:val="000000" w:themeColor="text1"/>
          <w:sz w:val="24"/>
          <w:szCs w:val="24"/>
        </w:rPr>
        <w:t xml:space="preserve">no </w:t>
      </w:r>
      <w:r w:rsidR="00454851" w:rsidRPr="008335F2">
        <w:rPr>
          <w:rFonts w:cstheme="minorHAnsi"/>
          <w:color w:val="000000" w:themeColor="text1"/>
          <w:sz w:val="24"/>
          <w:szCs w:val="24"/>
        </w:rPr>
        <w:t xml:space="preserve">significant improvements have also been reported after healthy participants used the device for 20 minutes (Zaidell et al., 2014). The Leeper is a prototype exercise trainer which enables individuals to complete ankle dorsiflexion and plantarflexion exercises whilst seated. It was designed to </w:t>
      </w:r>
      <w:r w:rsidR="00E72BC3" w:rsidRPr="008335F2">
        <w:rPr>
          <w:rFonts w:cstheme="minorHAnsi"/>
          <w:color w:val="000000" w:themeColor="text1"/>
          <w:sz w:val="24"/>
          <w:szCs w:val="24"/>
        </w:rPr>
        <w:t xml:space="preserve">help </w:t>
      </w:r>
      <w:r w:rsidR="00454851" w:rsidRPr="008335F2">
        <w:rPr>
          <w:rFonts w:cstheme="minorHAnsi"/>
          <w:color w:val="000000" w:themeColor="text1"/>
          <w:sz w:val="24"/>
          <w:szCs w:val="24"/>
        </w:rPr>
        <w:t>improve venous return by activating the calf muscle pump. It is targeted at anyone who is sat for prolonged periods but highlights potential benefits for individuals with reduced mobility.</w:t>
      </w:r>
    </w:p>
    <w:p w14:paraId="127CBF70" w14:textId="77777777" w:rsidR="00D44AE0" w:rsidRPr="008335F2" w:rsidRDefault="00D44AE0" w:rsidP="00FE100C">
      <w:pPr>
        <w:spacing w:before="240" w:line="360" w:lineRule="auto"/>
        <w:rPr>
          <w:color w:val="000000" w:themeColor="text1"/>
          <w:sz w:val="24"/>
          <w:szCs w:val="24"/>
        </w:rPr>
      </w:pPr>
    </w:p>
    <w:p w14:paraId="2F7C248E" w14:textId="4E0AE194" w:rsidR="007D2A94" w:rsidRPr="008335F2" w:rsidRDefault="00C9109B" w:rsidP="00FE100C">
      <w:pPr>
        <w:spacing w:before="240" w:line="360" w:lineRule="auto"/>
        <w:rPr>
          <w:color w:val="000000" w:themeColor="text1"/>
          <w:sz w:val="24"/>
          <w:szCs w:val="24"/>
        </w:rPr>
      </w:pPr>
      <w:r w:rsidRPr="008335F2">
        <w:rPr>
          <w:color w:val="000000" w:themeColor="text1"/>
          <w:sz w:val="24"/>
          <w:szCs w:val="24"/>
        </w:rPr>
        <w:t xml:space="preserve">There is limited evidence on the Leeper and no comparison to other interventions. </w:t>
      </w:r>
      <w:r w:rsidR="00E72BC3" w:rsidRPr="008335F2">
        <w:rPr>
          <w:color w:val="000000" w:themeColor="text1"/>
          <w:sz w:val="24"/>
          <w:szCs w:val="24"/>
        </w:rPr>
        <w:t>Hence, t</w:t>
      </w:r>
      <w:r w:rsidR="00EF1AA6" w:rsidRPr="008335F2">
        <w:rPr>
          <w:color w:val="000000" w:themeColor="text1"/>
          <w:sz w:val="24"/>
          <w:szCs w:val="24"/>
        </w:rPr>
        <w:t>he present study aimed t</w:t>
      </w:r>
      <w:r w:rsidR="007D2A94" w:rsidRPr="008335F2">
        <w:rPr>
          <w:color w:val="000000" w:themeColor="text1"/>
          <w:sz w:val="24"/>
          <w:szCs w:val="24"/>
        </w:rPr>
        <w:t xml:space="preserve">o </w:t>
      </w:r>
      <w:r w:rsidR="00EF1AA6" w:rsidRPr="008335F2">
        <w:rPr>
          <w:color w:val="000000" w:themeColor="text1"/>
          <w:sz w:val="24"/>
          <w:szCs w:val="24"/>
        </w:rPr>
        <w:t>investigate</w:t>
      </w:r>
      <w:r w:rsidR="007D2A94" w:rsidRPr="008335F2">
        <w:rPr>
          <w:color w:val="000000" w:themeColor="text1"/>
          <w:sz w:val="24"/>
          <w:szCs w:val="24"/>
        </w:rPr>
        <w:t xml:space="preserve"> change in venous blood flow, BP and HR before and after using the Leeper, </w:t>
      </w:r>
      <w:r w:rsidR="007D2A94" w:rsidRPr="008335F2">
        <w:rPr>
          <w:rFonts w:cstheme="minorHAnsi"/>
          <w:color w:val="000000" w:themeColor="text1"/>
          <w:sz w:val="24"/>
          <w:szCs w:val="24"/>
        </w:rPr>
        <w:t xml:space="preserve">Circulation Booster® </w:t>
      </w:r>
      <w:r w:rsidR="007D2A94" w:rsidRPr="008335F2">
        <w:rPr>
          <w:color w:val="000000" w:themeColor="text1"/>
          <w:sz w:val="24"/>
          <w:szCs w:val="24"/>
        </w:rPr>
        <w:t>and light intensity walking in young healthy adults and compare any differences between conditions.</w:t>
      </w:r>
    </w:p>
    <w:p w14:paraId="4E13A247" w14:textId="77777777" w:rsidR="00454851" w:rsidRPr="008335F2" w:rsidRDefault="00454851" w:rsidP="00FE100C">
      <w:pPr>
        <w:spacing w:line="360" w:lineRule="auto"/>
        <w:rPr>
          <w:rFonts w:cstheme="minorHAnsi"/>
          <w:b/>
          <w:bCs/>
          <w:color w:val="000000" w:themeColor="text1"/>
          <w:sz w:val="24"/>
          <w:szCs w:val="24"/>
        </w:rPr>
      </w:pPr>
      <w:bookmarkStart w:id="4" w:name="_Hlk87701029"/>
      <w:bookmarkStart w:id="5" w:name="_Hlk87691105"/>
      <w:bookmarkEnd w:id="3"/>
      <w:bookmarkEnd w:id="2"/>
    </w:p>
    <w:p w14:paraId="5E032919" w14:textId="24E70766" w:rsidR="000A781A" w:rsidRPr="008335F2" w:rsidRDefault="000A781A" w:rsidP="00FE100C">
      <w:pPr>
        <w:spacing w:line="360" w:lineRule="auto"/>
        <w:rPr>
          <w:rFonts w:cstheme="minorHAnsi"/>
          <w:b/>
          <w:bCs/>
          <w:color w:val="000000" w:themeColor="text1"/>
          <w:sz w:val="24"/>
          <w:szCs w:val="24"/>
        </w:rPr>
      </w:pPr>
      <w:r w:rsidRPr="008335F2">
        <w:rPr>
          <w:rFonts w:cstheme="minorHAnsi"/>
          <w:b/>
          <w:bCs/>
          <w:color w:val="000000" w:themeColor="text1"/>
          <w:sz w:val="24"/>
          <w:szCs w:val="24"/>
        </w:rPr>
        <w:t>Methods</w:t>
      </w:r>
    </w:p>
    <w:p w14:paraId="282DA2DE" w14:textId="53293D6D" w:rsidR="000A781A" w:rsidRPr="008335F2" w:rsidRDefault="00E72BC3"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A </w:t>
      </w:r>
      <w:r w:rsidR="000A781A" w:rsidRPr="008335F2">
        <w:rPr>
          <w:rFonts w:cstheme="minorHAnsi"/>
          <w:color w:val="000000" w:themeColor="text1"/>
          <w:sz w:val="24"/>
          <w:szCs w:val="24"/>
        </w:rPr>
        <w:t xml:space="preserve">quasi-experimental cross over design </w:t>
      </w:r>
      <w:r w:rsidRPr="008335F2">
        <w:rPr>
          <w:rFonts w:cstheme="minorHAnsi"/>
          <w:color w:val="000000" w:themeColor="text1"/>
          <w:sz w:val="24"/>
          <w:szCs w:val="24"/>
        </w:rPr>
        <w:t xml:space="preserve">was utilised </w:t>
      </w:r>
      <w:r w:rsidR="000A781A" w:rsidRPr="008335F2">
        <w:rPr>
          <w:rFonts w:cstheme="minorHAnsi"/>
          <w:color w:val="000000" w:themeColor="text1"/>
          <w:sz w:val="24"/>
          <w:szCs w:val="24"/>
        </w:rPr>
        <w:t xml:space="preserve">where independent variables were exercise condition (Leeper, Circulation Booster® and </w:t>
      </w:r>
      <w:r w:rsidR="00D84625" w:rsidRPr="008335F2">
        <w:rPr>
          <w:rFonts w:cstheme="minorHAnsi"/>
          <w:color w:val="000000" w:themeColor="text1"/>
          <w:sz w:val="24"/>
          <w:szCs w:val="24"/>
        </w:rPr>
        <w:t>W</w:t>
      </w:r>
      <w:r w:rsidR="000A781A" w:rsidRPr="008335F2">
        <w:rPr>
          <w:rFonts w:cstheme="minorHAnsi"/>
          <w:color w:val="000000" w:themeColor="text1"/>
          <w:sz w:val="24"/>
          <w:szCs w:val="24"/>
        </w:rPr>
        <w:t xml:space="preserve">alking) and time (pre- and post- condition) and dependent variables were blood flow, BP and HR. The primary outcome was blood flow, indicative of venous return, and secondary outcomes were BP and HR. A cross over design </w:t>
      </w:r>
      <w:r w:rsidR="00A727ED" w:rsidRPr="008335F2">
        <w:rPr>
          <w:rFonts w:cstheme="minorHAnsi"/>
          <w:color w:val="000000" w:themeColor="text1"/>
          <w:sz w:val="24"/>
          <w:szCs w:val="24"/>
        </w:rPr>
        <w:t>enabled</w:t>
      </w:r>
      <w:r w:rsidR="000A781A" w:rsidRPr="008335F2">
        <w:rPr>
          <w:rFonts w:cstheme="minorHAnsi"/>
          <w:color w:val="000000" w:themeColor="text1"/>
          <w:sz w:val="24"/>
          <w:szCs w:val="24"/>
        </w:rPr>
        <w:t xml:space="preserve"> participants </w:t>
      </w:r>
      <w:r w:rsidR="00A727ED" w:rsidRPr="008335F2">
        <w:rPr>
          <w:rFonts w:cstheme="minorHAnsi"/>
          <w:color w:val="000000" w:themeColor="text1"/>
          <w:sz w:val="24"/>
          <w:szCs w:val="24"/>
        </w:rPr>
        <w:t>to</w:t>
      </w:r>
      <w:r w:rsidR="000A781A" w:rsidRPr="008335F2">
        <w:rPr>
          <w:rFonts w:cstheme="minorHAnsi"/>
          <w:color w:val="000000" w:themeColor="text1"/>
          <w:sz w:val="24"/>
          <w:szCs w:val="24"/>
        </w:rPr>
        <w:t xml:space="preserve"> complete all conditions, </w:t>
      </w:r>
      <w:r w:rsidR="00A727ED" w:rsidRPr="008335F2">
        <w:rPr>
          <w:rFonts w:cstheme="minorHAnsi"/>
          <w:color w:val="000000" w:themeColor="text1"/>
          <w:sz w:val="24"/>
          <w:szCs w:val="24"/>
        </w:rPr>
        <w:t>allowing</w:t>
      </w:r>
      <w:r w:rsidR="000A781A" w:rsidRPr="008335F2">
        <w:rPr>
          <w:rFonts w:cstheme="minorHAnsi"/>
          <w:color w:val="000000" w:themeColor="text1"/>
          <w:sz w:val="24"/>
          <w:szCs w:val="24"/>
        </w:rPr>
        <w:t xml:space="preserve"> within-subject comparisons.</w:t>
      </w:r>
      <w:r w:rsidR="00B50A54" w:rsidRPr="008335F2">
        <w:rPr>
          <w:rFonts w:cstheme="minorHAnsi"/>
          <w:color w:val="000000" w:themeColor="text1"/>
          <w:sz w:val="24"/>
          <w:szCs w:val="24"/>
        </w:rPr>
        <w:t xml:space="preserve"> It was hypothesised that the NMES and Leeper would both significantly increase blood flow.</w:t>
      </w:r>
    </w:p>
    <w:p w14:paraId="79CDE5E7" w14:textId="63CE9FBA" w:rsidR="000A781A"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Ethic</w:t>
      </w:r>
      <w:r w:rsidR="001464CF" w:rsidRPr="008335F2">
        <w:rPr>
          <w:rFonts w:cstheme="minorHAnsi"/>
          <w:color w:val="000000" w:themeColor="text1"/>
          <w:sz w:val="24"/>
          <w:szCs w:val="24"/>
        </w:rPr>
        <w:t>al</w:t>
      </w:r>
      <w:r w:rsidRPr="008335F2">
        <w:rPr>
          <w:rFonts w:cstheme="minorHAnsi"/>
          <w:color w:val="000000" w:themeColor="text1"/>
          <w:sz w:val="24"/>
          <w:szCs w:val="24"/>
        </w:rPr>
        <w:t xml:space="preserve"> approval was </w:t>
      </w:r>
      <w:r w:rsidR="00A727ED" w:rsidRPr="008335F2">
        <w:rPr>
          <w:rFonts w:cstheme="minorHAnsi"/>
          <w:color w:val="000000" w:themeColor="text1"/>
          <w:sz w:val="24"/>
          <w:szCs w:val="24"/>
        </w:rPr>
        <w:t xml:space="preserve">obtained </w:t>
      </w:r>
      <w:r w:rsidRPr="008335F2">
        <w:rPr>
          <w:rFonts w:cstheme="minorHAnsi"/>
          <w:color w:val="000000" w:themeColor="text1"/>
          <w:sz w:val="24"/>
          <w:szCs w:val="24"/>
        </w:rPr>
        <w:t xml:space="preserve">from the Faculty of Environmental and Life Sciences ethics committee and participants provided written informed consent prior to </w:t>
      </w:r>
      <w:r w:rsidR="00A727ED" w:rsidRPr="008335F2">
        <w:rPr>
          <w:rFonts w:cstheme="minorHAnsi"/>
          <w:color w:val="000000" w:themeColor="text1"/>
          <w:sz w:val="24"/>
          <w:szCs w:val="24"/>
        </w:rPr>
        <w:t>taking part in the study</w:t>
      </w:r>
      <w:r w:rsidRPr="008335F2">
        <w:rPr>
          <w:rFonts w:cstheme="minorHAnsi"/>
          <w:color w:val="000000" w:themeColor="text1"/>
          <w:sz w:val="24"/>
          <w:szCs w:val="24"/>
        </w:rPr>
        <w:t xml:space="preserve">. </w:t>
      </w:r>
    </w:p>
    <w:p w14:paraId="4F2C5948" w14:textId="77777777" w:rsidR="00D84625" w:rsidRPr="008335F2" w:rsidRDefault="00D84625" w:rsidP="00FE100C">
      <w:pPr>
        <w:spacing w:line="360" w:lineRule="auto"/>
        <w:rPr>
          <w:rFonts w:cstheme="minorHAnsi"/>
          <w:color w:val="000000" w:themeColor="text1"/>
          <w:sz w:val="24"/>
          <w:szCs w:val="24"/>
        </w:rPr>
      </w:pPr>
    </w:p>
    <w:p w14:paraId="6AF9C527" w14:textId="77777777" w:rsidR="000A781A" w:rsidRPr="008335F2" w:rsidRDefault="000A781A"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lastRenderedPageBreak/>
        <w:t>Participants</w:t>
      </w:r>
    </w:p>
    <w:p w14:paraId="0B0D5B4A" w14:textId="08817280" w:rsidR="000A781A"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Eleven participants (female=8, </w:t>
      </w:r>
      <w:r w:rsidR="00B50A54" w:rsidRPr="008335F2">
        <w:rPr>
          <w:rFonts w:ascii="Calibri" w:hAnsi="Calibri" w:cs="Calibri"/>
          <w:sz w:val="24"/>
          <w:szCs w:val="24"/>
        </w:rPr>
        <w:t xml:space="preserve">male = 3, </w:t>
      </w:r>
      <w:r w:rsidRPr="008335F2">
        <w:rPr>
          <w:rFonts w:cstheme="minorHAnsi"/>
          <w:color w:val="000000" w:themeColor="text1"/>
          <w:sz w:val="24"/>
          <w:szCs w:val="24"/>
        </w:rPr>
        <w:t>mean (SD) age=23.91 (1.04) years, height=168.05 (9.66) cm, body mass=71</w:t>
      </w:r>
      <w:r w:rsidR="00682E66" w:rsidRPr="008335F2">
        <w:rPr>
          <w:rFonts w:cstheme="minorHAnsi"/>
          <w:color w:val="000000" w:themeColor="text1"/>
          <w:sz w:val="24"/>
          <w:szCs w:val="24"/>
        </w:rPr>
        <w:t>.00</w:t>
      </w:r>
      <w:r w:rsidRPr="008335F2">
        <w:rPr>
          <w:rFonts w:cstheme="minorHAnsi"/>
          <w:color w:val="000000" w:themeColor="text1"/>
          <w:sz w:val="24"/>
          <w:szCs w:val="24"/>
        </w:rPr>
        <w:t xml:space="preserve"> (16.94) kg) were recruited from the University of Southampton. </w:t>
      </w:r>
      <w:r w:rsidR="004B6ACA" w:rsidRPr="008335F2">
        <w:rPr>
          <w:rFonts w:cstheme="minorHAnsi"/>
          <w:color w:val="000000" w:themeColor="text1"/>
          <w:sz w:val="24"/>
          <w:szCs w:val="24"/>
        </w:rPr>
        <w:t>P</w:t>
      </w:r>
      <w:r w:rsidRPr="008335F2">
        <w:rPr>
          <w:rFonts w:cstheme="minorHAnsi"/>
          <w:color w:val="000000" w:themeColor="text1"/>
          <w:sz w:val="24"/>
          <w:szCs w:val="24"/>
        </w:rPr>
        <w:t xml:space="preserve">articipants aged 18-35 years at least moderately physically active, reported using the International Physical Activity Questionnaire, were </w:t>
      </w:r>
      <w:r w:rsidR="008C2DEB" w:rsidRPr="008335F2">
        <w:rPr>
          <w:rFonts w:cstheme="minorHAnsi"/>
          <w:color w:val="000000" w:themeColor="text1"/>
          <w:sz w:val="24"/>
          <w:szCs w:val="24"/>
        </w:rPr>
        <w:t>studi</w:t>
      </w:r>
      <w:r w:rsidRPr="008335F2">
        <w:rPr>
          <w:rFonts w:cstheme="minorHAnsi"/>
          <w:color w:val="000000" w:themeColor="text1"/>
          <w:sz w:val="24"/>
          <w:szCs w:val="24"/>
        </w:rPr>
        <w:t>ed. Exclusion criteria included smoking, high BP, BMI ≥30kg/m</w:t>
      </w:r>
      <w:r w:rsidRPr="008335F2">
        <w:rPr>
          <w:rFonts w:cstheme="minorHAnsi"/>
          <w:color w:val="000000" w:themeColor="text1"/>
          <w:sz w:val="24"/>
          <w:szCs w:val="24"/>
          <w:vertAlign w:val="superscript"/>
        </w:rPr>
        <w:t xml:space="preserve">2 </w:t>
      </w:r>
      <w:r w:rsidRPr="008335F2">
        <w:rPr>
          <w:rFonts w:cstheme="minorHAnsi"/>
          <w:color w:val="000000" w:themeColor="text1"/>
          <w:sz w:val="24"/>
          <w:szCs w:val="24"/>
        </w:rPr>
        <w:t xml:space="preserve">and a haematological, cardiovascular or metabolic condition. Participants were free from any injury or neurological disorder which prevented normal gait or ankle range of motion and were asked to abstain from exercise, alcohol and caffeine </w:t>
      </w:r>
      <w:r w:rsidR="001E05C3" w:rsidRPr="008335F2">
        <w:rPr>
          <w:rFonts w:cstheme="minorHAnsi"/>
          <w:color w:val="000000" w:themeColor="text1"/>
          <w:sz w:val="24"/>
          <w:szCs w:val="24"/>
        </w:rPr>
        <w:t>24</w:t>
      </w:r>
      <w:r w:rsidRPr="008335F2">
        <w:rPr>
          <w:rFonts w:cstheme="minorHAnsi"/>
          <w:color w:val="000000" w:themeColor="text1"/>
          <w:sz w:val="24"/>
          <w:szCs w:val="24"/>
        </w:rPr>
        <w:t xml:space="preserve"> hours before data collection.</w:t>
      </w:r>
      <w:r w:rsidR="0077396A" w:rsidRPr="008335F2">
        <w:rPr>
          <w:rFonts w:cstheme="minorHAnsi"/>
          <w:color w:val="000000" w:themeColor="text1"/>
          <w:sz w:val="24"/>
          <w:szCs w:val="24"/>
        </w:rPr>
        <w:t xml:space="preserve"> Testing was conducted between 10am – 3pm over several weeks.</w:t>
      </w:r>
    </w:p>
    <w:p w14:paraId="0AFBAA1D" w14:textId="77777777" w:rsidR="004B6ACA" w:rsidRPr="008335F2" w:rsidRDefault="004B6ACA" w:rsidP="00FE100C">
      <w:pPr>
        <w:spacing w:line="360" w:lineRule="auto"/>
        <w:rPr>
          <w:rFonts w:cstheme="minorHAnsi"/>
          <w:b/>
          <w:bCs/>
          <w:i/>
          <w:iCs/>
          <w:color w:val="000000" w:themeColor="text1"/>
          <w:sz w:val="24"/>
          <w:szCs w:val="24"/>
        </w:rPr>
      </w:pPr>
    </w:p>
    <w:p w14:paraId="1A73CB93" w14:textId="7369ECEE" w:rsidR="000A781A" w:rsidRPr="008335F2" w:rsidRDefault="000A781A"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Data collection</w:t>
      </w:r>
    </w:p>
    <w:p w14:paraId="675587E3" w14:textId="2885150F" w:rsidR="000A781A" w:rsidRPr="008335F2" w:rsidRDefault="00482C57" w:rsidP="00FE100C">
      <w:pPr>
        <w:spacing w:line="360" w:lineRule="auto"/>
        <w:rPr>
          <w:rFonts w:cstheme="minorHAnsi"/>
          <w:color w:val="000000" w:themeColor="text1"/>
          <w:sz w:val="24"/>
          <w:szCs w:val="24"/>
        </w:rPr>
      </w:pPr>
      <w:r w:rsidRPr="008335F2">
        <w:rPr>
          <w:rFonts w:cstheme="minorHAnsi"/>
          <w:color w:val="000000" w:themeColor="text1"/>
          <w:sz w:val="24"/>
          <w:szCs w:val="24"/>
        </w:rPr>
        <w:t>Participant’s</w:t>
      </w:r>
      <w:r w:rsidR="000A781A" w:rsidRPr="008335F2">
        <w:rPr>
          <w:rFonts w:cstheme="minorHAnsi"/>
          <w:color w:val="000000" w:themeColor="text1"/>
          <w:sz w:val="24"/>
          <w:szCs w:val="24"/>
        </w:rPr>
        <w:t xml:space="preserve"> </w:t>
      </w:r>
      <w:r w:rsidR="008C2DEB" w:rsidRPr="008335F2">
        <w:rPr>
          <w:rFonts w:cstheme="minorHAnsi"/>
          <w:color w:val="000000" w:themeColor="text1"/>
          <w:sz w:val="24"/>
          <w:szCs w:val="24"/>
        </w:rPr>
        <w:t>h</w:t>
      </w:r>
      <w:r w:rsidR="000A781A" w:rsidRPr="008335F2">
        <w:rPr>
          <w:rFonts w:cstheme="minorHAnsi"/>
          <w:color w:val="000000" w:themeColor="text1"/>
          <w:sz w:val="24"/>
          <w:szCs w:val="24"/>
        </w:rPr>
        <w:t>eight and weight (Seca 755 column scale, Hamburg, Germany) were recorded and participants completed a 10-minute seated rest, allowing blood flow parameters to return to resting levels. Baseline measurements for blood flow (DMX Dopplex, Huntleigh Healthcare Ltd, Cardiff, UK), BP (Cazon Electronic Blood Pressure Monitor, BSX516, Willich, Germany) and HR (Fingertip Pulse Oximeter, MD300C13, Beijing Choice Electronic Technology Co., Ltd, Beijing, China), were recorded at 10 minutes.</w:t>
      </w:r>
    </w:p>
    <w:p w14:paraId="749BCF1D" w14:textId="77777777" w:rsidR="00D44AE0" w:rsidRPr="008335F2" w:rsidRDefault="00D44AE0" w:rsidP="00FE100C">
      <w:pPr>
        <w:spacing w:line="360" w:lineRule="auto"/>
        <w:rPr>
          <w:rFonts w:cstheme="minorHAnsi"/>
          <w:color w:val="000000" w:themeColor="text1"/>
          <w:sz w:val="24"/>
          <w:szCs w:val="24"/>
        </w:rPr>
      </w:pPr>
    </w:p>
    <w:p w14:paraId="574B063A" w14:textId="024F6A0D" w:rsidR="000A781A"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Blood flow was measured at the posterior tibial vein of the right ankle. Participants were seated on a chair with the foot flat on the floor. Water-soluble hypoallergenic ultrasound transmission gel (Parker Laboratories, Inc, New Jersey, USA) was applied directly behind the medial malleolus. Participants were informed that adverse reactions to ultrasound gel are rare but were advised to inform researchers if any symptoms developed. The doppler probe (EZ8XS High Sensitivity 8MHz Widebeam Probe, Huntleigh Healthcare Ltd, Cardiff, UK) was placed over the gel in the transverse plane and the measurement recorded when a consistent waveform was visible on the doppler. The location of the posterior tibial vein was marked using a washable marker pen to enhance reliability of repeated measures. </w:t>
      </w:r>
      <w:r w:rsidR="00F94E97" w:rsidRPr="008335F2">
        <w:rPr>
          <w:rFonts w:cstheme="minorHAnsi"/>
          <w:color w:val="000000" w:themeColor="text1"/>
          <w:sz w:val="24"/>
          <w:szCs w:val="24"/>
        </w:rPr>
        <w:t xml:space="preserve">Blood </w:t>
      </w:r>
      <w:r w:rsidR="00F94E97" w:rsidRPr="008335F2">
        <w:rPr>
          <w:rFonts w:cstheme="minorHAnsi"/>
          <w:color w:val="000000" w:themeColor="text1"/>
          <w:sz w:val="24"/>
          <w:szCs w:val="24"/>
        </w:rPr>
        <w:lastRenderedPageBreak/>
        <w:t>flow measurements took approximately 15 seconds and a</w:t>
      </w:r>
      <w:r w:rsidR="00BA7BAC" w:rsidRPr="008335F2">
        <w:rPr>
          <w:rFonts w:cstheme="minorHAnsi"/>
          <w:color w:val="000000" w:themeColor="text1"/>
          <w:sz w:val="24"/>
          <w:szCs w:val="24"/>
        </w:rPr>
        <w:t>ll measurements were taken in a seated position.</w:t>
      </w:r>
    </w:p>
    <w:p w14:paraId="0AD121DC" w14:textId="77777777" w:rsidR="00D44AE0" w:rsidRPr="008335F2" w:rsidRDefault="00D44AE0" w:rsidP="00FE100C">
      <w:pPr>
        <w:spacing w:line="360" w:lineRule="auto"/>
        <w:rPr>
          <w:rFonts w:cstheme="minorHAnsi"/>
          <w:color w:val="000000" w:themeColor="text1"/>
          <w:sz w:val="24"/>
          <w:szCs w:val="24"/>
        </w:rPr>
      </w:pPr>
    </w:p>
    <w:p w14:paraId="743AB516" w14:textId="0E223D17" w:rsidR="000A781A" w:rsidRPr="008335F2" w:rsidRDefault="008C2DEB" w:rsidP="00FE100C">
      <w:pPr>
        <w:spacing w:line="360" w:lineRule="auto"/>
        <w:rPr>
          <w:rFonts w:cstheme="minorHAnsi"/>
          <w:color w:val="000000" w:themeColor="text1"/>
          <w:sz w:val="24"/>
          <w:szCs w:val="24"/>
        </w:rPr>
      </w:pPr>
      <w:r w:rsidRPr="008335F2">
        <w:rPr>
          <w:rFonts w:cstheme="minorHAnsi"/>
          <w:color w:val="000000" w:themeColor="text1"/>
          <w:sz w:val="24"/>
          <w:szCs w:val="24"/>
        </w:rPr>
        <w:t>T</w:t>
      </w:r>
      <w:r w:rsidR="000A781A" w:rsidRPr="008335F2">
        <w:rPr>
          <w:rFonts w:cstheme="minorHAnsi"/>
          <w:color w:val="000000" w:themeColor="text1"/>
          <w:sz w:val="24"/>
          <w:szCs w:val="24"/>
        </w:rPr>
        <w:t xml:space="preserve">hree conditions </w:t>
      </w:r>
      <w:r w:rsidRPr="008335F2">
        <w:rPr>
          <w:rFonts w:cstheme="minorHAnsi"/>
          <w:color w:val="000000" w:themeColor="text1"/>
          <w:sz w:val="24"/>
          <w:szCs w:val="24"/>
        </w:rPr>
        <w:t xml:space="preserve">were completed </w:t>
      </w:r>
      <w:r w:rsidR="000A781A" w:rsidRPr="008335F2">
        <w:rPr>
          <w:rFonts w:cstheme="minorHAnsi"/>
          <w:color w:val="000000" w:themeColor="text1"/>
          <w:sz w:val="24"/>
          <w:szCs w:val="24"/>
        </w:rPr>
        <w:t>in a random order; Leeper; Circulation Booster®; walking.</w:t>
      </w:r>
      <w:r w:rsidRPr="008335F2">
        <w:rPr>
          <w:rFonts w:cstheme="minorHAnsi"/>
          <w:color w:val="000000" w:themeColor="text1"/>
          <w:sz w:val="24"/>
          <w:szCs w:val="24"/>
        </w:rPr>
        <w:t xml:space="preserve"> </w:t>
      </w:r>
      <w:r w:rsidR="000A781A" w:rsidRPr="008335F2">
        <w:rPr>
          <w:rFonts w:cstheme="minorHAnsi"/>
          <w:color w:val="000000" w:themeColor="text1"/>
          <w:sz w:val="24"/>
          <w:szCs w:val="24"/>
        </w:rPr>
        <w:t xml:space="preserve">During each condition participants exercised for 8 minutes. Blood flow was recorded at 0, 4 and 8 minutes of each intervention and BP and HR recorded at 0 and 8 minutes. Each intervention was followed by a 10-minute rest period where blood flow was recorded at 0, 5, and 10 minutes and BP and HR at 0 and 10 minutes. </w:t>
      </w:r>
    </w:p>
    <w:p w14:paraId="719F8D81" w14:textId="77777777" w:rsidR="005C1038" w:rsidRPr="008335F2" w:rsidRDefault="005C1038" w:rsidP="00FE100C">
      <w:pPr>
        <w:spacing w:line="360" w:lineRule="auto"/>
        <w:rPr>
          <w:rFonts w:cstheme="minorHAnsi"/>
          <w:color w:val="000000" w:themeColor="text1"/>
          <w:sz w:val="24"/>
          <w:szCs w:val="24"/>
        </w:rPr>
      </w:pPr>
    </w:p>
    <w:p w14:paraId="27A2C5AF" w14:textId="79AA25AD" w:rsidR="000A781A" w:rsidRPr="008335F2" w:rsidRDefault="000A781A"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Leeper </w:t>
      </w:r>
    </w:p>
    <w:p w14:paraId="2A868625" w14:textId="4B0A69AB" w:rsidR="000A781A"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Participants sat on a chair with feet on the Leeper (C.T: Designs Ltd, Surrey, UK) (Figure </w:t>
      </w:r>
      <w:r w:rsidR="00B34735" w:rsidRPr="008335F2">
        <w:rPr>
          <w:rFonts w:cstheme="minorHAnsi"/>
          <w:color w:val="000000" w:themeColor="text1"/>
          <w:sz w:val="24"/>
          <w:szCs w:val="24"/>
        </w:rPr>
        <w:t>1</w:t>
      </w:r>
      <w:r w:rsidRPr="008335F2">
        <w:rPr>
          <w:rFonts w:cstheme="minorHAnsi"/>
          <w:color w:val="000000" w:themeColor="text1"/>
          <w:sz w:val="24"/>
          <w:szCs w:val="24"/>
        </w:rPr>
        <w:t xml:space="preserve">). Participants were asked to dorsiflex and plantarflex each foot to the maximum range permitted by the device, alternating between right and left feet on the beat of the metronome (30 beats per minute). Participants stopped moving feet when blood flow measurements were taken. All conditions were performed bare foot. </w:t>
      </w:r>
      <w:r w:rsidR="00C86F9B" w:rsidRPr="008335F2">
        <w:rPr>
          <w:rFonts w:cstheme="minorHAnsi"/>
          <w:color w:val="000000" w:themeColor="text1"/>
          <w:sz w:val="24"/>
          <w:szCs w:val="24"/>
        </w:rPr>
        <w:t xml:space="preserve">The protocol </w:t>
      </w:r>
      <w:r w:rsidR="00E4177E" w:rsidRPr="008335F2">
        <w:rPr>
          <w:rFonts w:cstheme="minorHAnsi"/>
          <w:color w:val="000000" w:themeColor="text1"/>
          <w:sz w:val="24"/>
          <w:szCs w:val="24"/>
        </w:rPr>
        <w:t>w</w:t>
      </w:r>
      <w:r w:rsidR="00C86F9B" w:rsidRPr="008335F2">
        <w:rPr>
          <w:rFonts w:cstheme="minorHAnsi"/>
          <w:color w:val="000000" w:themeColor="text1"/>
          <w:sz w:val="24"/>
          <w:szCs w:val="24"/>
        </w:rPr>
        <w:t xml:space="preserve">as developed specifically for this study as there is currently no literature </w:t>
      </w:r>
      <w:r w:rsidR="00A161BD" w:rsidRPr="008335F2">
        <w:rPr>
          <w:rFonts w:cstheme="minorHAnsi"/>
          <w:color w:val="000000" w:themeColor="text1"/>
          <w:sz w:val="24"/>
          <w:szCs w:val="24"/>
        </w:rPr>
        <w:t>pertaining to the Leeper</w:t>
      </w:r>
      <w:r w:rsidR="00C86F9B" w:rsidRPr="008335F2">
        <w:rPr>
          <w:rFonts w:cstheme="minorHAnsi"/>
          <w:color w:val="000000" w:themeColor="text1"/>
          <w:sz w:val="24"/>
          <w:szCs w:val="24"/>
        </w:rPr>
        <w:t>.</w:t>
      </w:r>
    </w:p>
    <w:p w14:paraId="7DCC6DE9" w14:textId="26A174DD" w:rsidR="005C1038" w:rsidRPr="008335F2" w:rsidRDefault="005C1038" w:rsidP="00FE100C">
      <w:pPr>
        <w:spacing w:line="360" w:lineRule="auto"/>
        <w:rPr>
          <w:rFonts w:cstheme="minorHAnsi"/>
          <w:color w:val="000000" w:themeColor="text1"/>
          <w:sz w:val="24"/>
          <w:szCs w:val="24"/>
        </w:rPr>
      </w:pPr>
    </w:p>
    <w:p w14:paraId="5DE36CFD" w14:textId="36736A12" w:rsidR="005C1038" w:rsidRPr="008335F2" w:rsidRDefault="005C1038"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[Insert Figure </w:t>
      </w:r>
      <w:r w:rsidR="00B34735" w:rsidRPr="008335F2">
        <w:rPr>
          <w:rFonts w:cstheme="minorHAnsi"/>
          <w:b/>
          <w:bCs/>
          <w:i/>
          <w:iCs/>
          <w:color w:val="000000" w:themeColor="text1"/>
          <w:sz w:val="24"/>
          <w:szCs w:val="24"/>
        </w:rPr>
        <w:t>1</w:t>
      </w:r>
      <w:r w:rsidRPr="008335F2">
        <w:rPr>
          <w:rFonts w:cstheme="minorHAnsi"/>
          <w:b/>
          <w:bCs/>
          <w:i/>
          <w:iCs/>
          <w:color w:val="000000" w:themeColor="text1"/>
          <w:sz w:val="24"/>
          <w:szCs w:val="24"/>
        </w:rPr>
        <w:t xml:space="preserve"> near here]</w:t>
      </w:r>
    </w:p>
    <w:p w14:paraId="1B0D0772" w14:textId="77777777" w:rsidR="005C1038" w:rsidRPr="008335F2" w:rsidRDefault="005C1038" w:rsidP="00FE100C">
      <w:pPr>
        <w:spacing w:line="360" w:lineRule="auto"/>
        <w:rPr>
          <w:rFonts w:cstheme="minorHAnsi"/>
          <w:color w:val="000000" w:themeColor="text1"/>
          <w:sz w:val="24"/>
          <w:szCs w:val="24"/>
        </w:rPr>
      </w:pPr>
    </w:p>
    <w:p w14:paraId="056A6CF0" w14:textId="0F7462C6" w:rsidR="000A781A" w:rsidRPr="008335F2" w:rsidRDefault="000A781A"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Circulation Booster® </w:t>
      </w:r>
    </w:p>
    <w:p w14:paraId="5EE1F832" w14:textId="1FAAD6DA" w:rsidR="000A781A"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Participants sat on a chair with feet on the Circulation Booster® (CBV3, NEUWEI Co., Ltd, Cheonan City, Republic of Korea) (Figure </w:t>
      </w:r>
      <w:r w:rsidR="00B34735" w:rsidRPr="008335F2">
        <w:rPr>
          <w:rFonts w:cstheme="minorHAnsi"/>
          <w:color w:val="000000" w:themeColor="text1"/>
          <w:sz w:val="24"/>
          <w:szCs w:val="24"/>
        </w:rPr>
        <w:t>2</w:t>
      </w:r>
      <w:r w:rsidRPr="008335F2">
        <w:rPr>
          <w:rFonts w:cstheme="minorHAnsi"/>
          <w:color w:val="000000" w:themeColor="text1"/>
          <w:sz w:val="24"/>
          <w:szCs w:val="24"/>
        </w:rPr>
        <w:t xml:space="preserve">). The auto programme was </w:t>
      </w:r>
      <w:r w:rsidR="004723A0" w:rsidRPr="008335F2">
        <w:rPr>
          <w:rFonts w:cstheme="minorHAnsi"/>
          <w:color w:val="000000" w:themeColor="text1"/>
          <w:sz w:val="24"/>
          <w:szCs w:val="24"/>
        </w:rPr>
        <w:t>selected,</w:t>
      </w:r>
      <w:r w:rsidRPr="008335F2">
        <w:rPr>
          <w:rFonts w:cstheme="minorHAnsi"/>
          <w:color w:val="000000" w:themeColor="text1"/>
          <w:sz w:val="24"/>
          <w:szCs w:val="24"/>
        </w:rPr>
        <w:t xml:space="preserve"> and EMS intensity (1-50Hz frequency, 9mA maximum output current) increased until a tolerable contraction of the calf muscle was elicited, as </w:t>
      </w:r>
      <w:r w:rsidR="00855426" w:rsidRPr="008335F2">
        <w:rPr>
          <w:rFonts w:cstheme="minorHAnsi"/>
          <w:color w:val="000000" w:themeColor="text1"/>
          <w:sz w:val="24"/>
          <w:szCs w:val="24"/>
        </w:rPr>
        <w:t>recommended by the manufacturer</w:t>
      </w:r>
      <w:r w:rsidRPr="008335F2">
        <w:rPr>
          <w:rFonts w:cstheme="minorHAnsi"/>
          <w:color w:val="000000" w:themeColor="text1"/>
          <w:sz w:val="24"/>
          <w:szCs w:val="24"/>
        </w:rPr>
        <w:t xml:space="preserve">. </w:t>
      </w:r>
      <w:r w:rsidR="00E4177E" w:rsidRPr="008335F2">
        <w:rPr>
          <w:rFonts w:cstheme="minorHAnsi"/>
          <w:color w:val="000000" w:themeColor="text1"/>
          <w:sz w:val="24"/>
          <w:szCs w:val="24"/>
        </w:rPr>
        <w:t xml:space="preserve">The average electrical muscle stimulation used by the participants was 19±7.17. </w:t>
      </w:r>
      <w:r w:rsidRPr="008335F2">
        <w:rPr>
          <w:rFonts w:cstheme="minorHAnsi"/>
          <w:color w:val="000000" w:themeColor="text1"/>
          <w:sz w:val="24"/>
          <w:szCs w:val="24"/>
        </w:rPr>
        <w:t>Participants were asked to refrain from voluntarily contracting lower limb muscles. Feet were removed from the device when blood flow measurements were taken.</w:t>
      </w:r>
    </w:p>
    <w:p w14:paraId="56A5DFC7" w14:textId="3486AFA8" w:rsidR="0020061D" w:rsidRPr="008335F2" w:rsidRDefault="0020061D" w:rsidP="00FE100C">
      <w:pPr>
        <w:spacing w:line="360" w:lineRule="auto"/>
        <w:rPr>
          <w:rFonts w:cstheme="minorHAnsi"/>
          <w:color w:val="000000" w:themeColor="text1"/>
          <w:sz w:val="24"/>
          <w:szCs w:val="24"/>
        </w:rPr>
      </w:pPr>
    </w:p>
    <w:p w14:paraId="5B2B0DCD" w14:textId="608A2390" w:rsidR="0020061D" w:rsidRPr="008335F2" w:rsidRDefault="0020061D"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[Insert Figure </w:t>
      </w:r>
      <w:r w:rsidR="00B34735" w:rsidRPr="008335F2">
        <w:rPr>
          <w:rFonts w:cstheme="minorHAnsi"/>
          <w:b/>
          <w:bCs/>
          <w:i/>
          <w:iCs/>
          <w:color w:val="000000" w:themeColor="text1"/>
          <w:sz w:val="24"/>
          <w:szCs w:val="24"/>
        </w:rPr>
        <w:t>2</w:t>
      </w:r>
      <w:r w:rsidRPr="008335F2">
        <w:rPr>
          <w:rFonts w:cstheme="minorHAnsi"/>
          <w:b/>
          <w:bCs/>
          <w:i/>
          <w:iCs/>
          <w:color w:val="000000" w:themeColor="text1"/>
          <w:sz w:val="24"/>
          <w:szCs w:val="24"/>
        </w:rPr>
        <w:t xml:space="preserve"> near here]</w:t>
      </w:r>
    </w:p>
    <w:p w14:paraId="46AADC5E" w14:textId="7EFE0265" w:rsidR="000A781A" w:rsidRPr="008335F2" w:rsidRDefault="000A781A"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Walking </w:t>
      </w:r>
    </w:p>
    <w:p w14:paraId="23D4E1D5" w14:textId="16AA7740" w:rsidR="000A781A"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Participants walked between two points marked on the laboratory floor. To control pace at light intensity exercise, HR monitors were </w:t>
      </w:r>
      <w:r w:rsidR="00C17CB3" w:rsidRPr="008335F2">
        <w:rPr>
          <w:rFonts w:cstheme="minorHAnsi"/>
          <w:color w:val="000000" w:themeColor="text1"/>
          <w:sz w:val="24"/>
          <w:szCs w:val="24"/>
        </w:rPr>
        <w:t>worn,</w:t>
      </w:r>
      <w:r w:rsidRPr="008335F2">
        <w:rPr>
          <w:rFonts w:cstheme="minorHAnsi"/>
          <w:color w:val="000000" w:themeColor="text1"/>
          <w:sz w:val="24"/>
          <w:szCs w:val="24"/>
        </w:rPr>
        <w:t xml:space="preserve"> and participants asked to maintain HR at 40%HR</w:t>
      </w:r>
      <w:r w:rsidRPr="008335F2">
        <w:rPr>
          <w:rFonts w:cstheme="minorHAnsi"/>
          <w:color w:val="000000" w:themeColor="text1"/>
          <w:sz w:val="24"/>
          <w:szCs w:val="24"/>
          <w:vertAlign w:val="subscript"/>
        </w:rPr>
        <w:t>max</w:t>
      </w:r>
      <w:r w:rsidRPr="008335F2">
        <w:rPr>
          <w:rFonts w:cstheme="minorHAnsi"/>
          <w:color w:val="000000" w:themeColor="text1"/>
          <w:sz w:val="24"/>
          <w:szCs w:val="24"/>
        </w:rPr>
        <w:t xml:space="preserve">. </w:t>
      </w:r>
      <w:r w:rsidR="00E4177E" w:rsidRPr="008335F2">
        <w:rPr>
          <w:rFonts w:cstheme="minorHAnsi"/>
          <w:color w:val="000000" w:themeColor="text1"/>
          <w:sz w:val="24"/>
          <w:szCs w:val="24"/>
        </w:rPr>
        <w:t xml:space="preserve">HR Percentages were estimated using the equation 220- Age. </w:t>
      </w:r>
      <w:r w:rsidR="006F235B" w:rsidRPr="008335F2">
        <w:rPr>
          <w:rFonts w:cstheme="minorHAnsi"/>
          <w:color w:val="000000" w:themeColor="text1"/>
          <w:sz w:val="24"/>
          <w:szCs w:val="24"/>
        </w:rPr>
        <w:t>B</w:t>
      </w:r>
      <w:r w:rsidRPr="008335F2">
        <w:rPr>
          <w:rFonts w:cstheme="minorHAnsi"/>
          <w:color w:val="000000" w:themeColor="text1"/>
          <w:sz w:val="24"/>
          <w:szCs w:val="24"/>
        </w:rPr>
        <w:t xml:space="preserve">lood flow measurements were taken </w:t>
      </w:r>
      <w:r w:rsidR="006F235B" w:rsidRPr="008335F2">
        <w:rPr>
          <w:rFonts w:cstheme="minorHAnsi"/>
          <w:color w:val="000000" w:themeColor="text1"/>
          <w:sz w:val="24"/>
          <w:szCs w:val="24"/>
        </w:rPr>
        <w:t xml:space="preserve">with </w:t>
      </w:r>
      <w:r w:rsidRPr="008335F2">
        <w:rPr>
          <w:rFonts w:cstheme="minorHAnsi"/>
          <w:color w:val="000000" w:themeColor="text1"/>
          <w:sz w:val="24"/>
          <w:szCs w:val="24"/>
        </w:rPr>
        <w:t xml:space="preserve">participants sat on a chair. </w:t>
      </w:r>
    </w:p>
    <w:p w14:paraId="3470F2C6" w14:textId="77777777" w:rsidR="00C9109B" w:rsidRPr="008335F2" w:rsidRDefault="00C9109B" w:rsidP="00FE100C">
      <w:pPr>
        <w:spacing w:line="360" w:lineRule="auto"/>
        <w:rPr>
          <w:rFonts w:cstheme="minorHAnsi"/>
          <w:b/>
          <w:bCs/>
          <w:i/>
          <w:iCs/>
          <w:color w:val="000000" w:themeColor="text1"/>
          <w:sz w:val="24"/>
          <w:szCs w:val="24"/>
        </w:rPr>
      </w:pPr>
    </w:p>
    <w:p w14:paraId="38E8807F" w14:textId="2F8C4CF4" w:rsidR="000A781A" w:rsidRPr="008335F2" w:rsidRDefault="000A781A"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Statistical analysis</w:t>
      </w:r>
    </w:p>
    <w:p w14:paraId="4A9652FD" w14:textId="75C95A30" w:rsidR="000A781A" w:rsidRPr="008335F2" w:rsidRDefault="000A781A" w:rsidP="00FE100C">
      <w:pPr>
        <w:spacing w:line="360" w:lineRule="auto"/>
        <w:rPr>
          <w:rFonts w:cstheme="minorHAnsi"/>
          <w:i/>
          <w:iCs/>
          <w:color w:val="000000" w:themeColor="text1"/>
          <w:sz w:val="24"/>
          <w:szCs w:val="24"/>
        </w:rPr>
      </w:pPr>
      <w:r w:rsidRPr="008335F2">
        <w:rPr>
          <w:rFonts w:cstheme="minorHAnsi"/>
          <w:color w:val="000000" w:themeColor="text1"/>
          <w:sz w:val="24"/>
          <w:szCs w:val="24"/>
        </w:rPr>
        <w:t xml:space="preserve">Data from the doppler were transferred to Dopplex DR5 software (Huntleigh Healthcare Ltd, Cardiff, UK) </w:t>
      </w:r>
      <w:r w:rsidR="004723A0" w:rsidRPr="008335F2">
        <w:rPr>
          <w:rFonts w:cstheme="minorHAnsi"/>
          <w:color w:val="000000" w:themeColor="text1"/>
          <w:sz w:val="24"/>
          <w:szCs w:val="24"/>
        </w:rPr>
        <w:t>to</w:t>
      </w:r>
      <w:r w:rsidRPr="008335F2">
        <w:rPr>
          <w:rFonts w:cstheme="minorHAnsi"/>
          <w:color w:val="000000" w:themeColor="text1"/>
          <w:sz w:val="24"/>
          <w:szCs w:val="24"/>
        </w:rPr>
        <w:t xml:space="preserve"> calculate time averaged mean velocity without reverse flow, indicative of blood flow. Evidence suggests that systolic BP increases with exercise and diastolic BP remains unchanged (Fletcher </w:t>
      </w:r>
      <w:r w:rsidRPr="008335F2">
        <w:rPr>
          <w:rFonts w:cstheme="minorHAnsi"/>
          <w:i/>
          <w:iCs/>
          <w:color w:val="000000" w:themeColor="text1"/>
          <w:sz w:val="24"/>
          <w:szCs w:val="24"/>
        </w:rPr>
        <w:t>et al.,</w:t>
      </w:r>
      <w:r w:rsidRPr="008335F2">
        <w:rPr>
          <w:rFonts w:cstheme="minorHAnsi"/>
          <w:color w:val="000000" w:themeColor="text1"/>
          <w:sz w:val="24"/>
          <w:szCs w:val="24"/>
        </w:rPr>
        <w:t xml:space="preserve"> 2001) therefore systolic values were analysed. </w:t>
      </w:r>
    </w:p>
    <w:p w14:paraId="03FA9F5C" w14:textId="71AECCEE" w:rsidR="000A781A"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The Shapiro-Wilk test of normality was used to assess distribution of data. Statistical significance was set at p&lt;</w:t>
      </w:r>
      <w:r w:rsidR="00E13370" w:rsidRPr="008335F2">
        <w:rPr>
          <w:rFonts w:cstheme="minorHAnsi"/>
          <w:color w:val="000000" w:themeColor="text1"/>
          <w:sz w:val="24"/>
          <w:szCs w:val="24"/>
        </w:rPr>
        <w:t>0</w:t>
      </w:r>
      <w:r w:rsidRPr="008335F2">
        <w:rPr>
          <w:rFonts w:cstheme="minorHAnsi"/>
          <w:color w:val="000000" w:themeColor="text1"/>
          <w:sz w:val="24"/>
          <w:szCs w:val="24"/>
        </w:rPr>
        <w:t>.05. Two-way repeated measure analysis of variance (ANOVA) was used to analyse the effect of condition (Leeper, Circulation Booster®</w:t>
      </w:r>
      <w:r w:rsidRPr="008335F2">
        <w:rPr>
          <w:rFonts w:cstheme="minorHAnsi"/>
          <w:b/>
          <w:bCs/>
          <w:color w:val="000000" w:themeColor="text1"/>
          <w:sz w:val="24"/>
          <w:szCs w:val="24"/>
        </w:rPr>
        <w:t xml:space="preserve"> </w:t>
      </w:r>
      <w:r w:rsidRPr="008335F2">
        <w:rPr>
          <w:rFonts w:cstheme="minorHAnsi"/>
          <w:color w:val="000000" w:themeColor="text1"/>
          <w:sz w:val="24"/>
          <w:szCs w:val="24"/>
        </w:rPr>
        <w:t>and walking) and time (pre- and post-) on blood flow, BP and HR (IBM SPSS Statistics 27, IBM Corp, Armonk, New York). Greenhouse-Geisser corrections were applied when the data violated the assumption of sphericity. Where there was a significant interaction effect, simple main effects were analysed to determine significant differences at individual levels of condition and time. Main effects were analysed where the interaction effect was non-significant.</w:t>
      </w:r>
      <w:bookmarkEnd w:id="4"/>
    </w:p>
    <w:p w14:paraId="378D504C" w14:textId="77777777" w:rsidR="004723A0" w:rsidRPr="008335F2" w:rsidRDefault="004723A0" w:rsidP="00FE100C">
      <w:pPr>
        <w:spacing w:line="360" w:lineRule="auto"/>
        <w:rPr>
          <w:rFonts w:cstheme="minorHAnsi"/>
          <w:b/>
          <w:bCs/>
          <w:color w:val="000000" w:themeColor="text1"/>
          <w:sz w:val="24"/>
          <w:szCs w:val="24"/>
        </w:rPr>
      </w:pPr>
    </w:p>
    <w:p w14:paraId="40C05208" w14:textId="4895D807" w:rsidR="000A781A" w:rsidRPr="008335F2" w:rsidRDefault="000A781A" w:rsidP="00FE100C">
      <w:pPr>
        <w:spacing w:line="360" w:lineRule="auto"/>
        <w:rPr>
          <w:rFonts w:cstheme="minorHAnsi"/>
          <w:b/>
          <w:bCs/>
          <w:color w:val="000000" w:themeColor="text1"/>
          <w:sz w:val="24"/>
          <w:szCs w:val="24"/>
        </w:rPr>
      </w:pPr>
      <w:r w:rsidRPr="008335F2">
        <w:rPr>
          <w:rFonts w:cstheme="minorHAnsi"/>
          <w:b/>
          <w:bCs/>
          <w:color w:val="000000" w:themeColor="text1"/>
          <w:sz w:val="24"/>
          <w:szCs w:val="24"/>
        </w:rPr>
        <w:t>Results</w:t>
      </w:r>
    </w:p>
    <w:p w14:paraId="69A0D918" w14:textId="77777777" w:rsidR="002016F2" w:rsidRPr="008335F2" w:rsidRDefault="000A781A" w:rsidP="00FE100C">
      <w:pPr>
        <w:spacing w:line="360" w:lineRule="auto"/>
        <w:rPr>
          <w:rFonts w:cstheme="minorHAnsi"/>
          <w:color w:val="000000" w:themeColor="text1"/>
          <w:sz w:val="24"/>
          <w:szCs w:val="24"/>
        </w:rPr>
      </w:pPr>
      <w:r w:rsidRPr="008335F2">
        <w:rPr>
          <w:rFonts w:cstheme="minorHAnsi"/>
          <w:color w:val="000000" w:themeColor="text1"/>
          <w:sz w:val="24"/>
          <w:szCs w:val="24"/>
        </w:rPr>
        <w:t>Group mean values for time averaged mean velocity, systolic BP and HR are presented in Table 1.</w:t>
      </w:r>
      <w:bookmarkStart w:id="6" w:name="_Hlk87908247"/>
      <w:bookmarkStart w:id="7" w:name="_Hlk87701060"/>
      <w:bookmarkEnd w:id="5"/>
    </w:p>
    <w:p w14:paraId="7CB42F00" w14:textId="77777777" w:rsidR="002016F2" w:rsidRPr="008335F2" w:rsidRDefault="002016F2" w:rsidP="00FE100C">
      <w:pPr>
        <w:spacing w:line="360" w:lineRule="auto"/>
        <w:rPr>
          <w:rFonts w:cstheme="minorHAnsi"/>
          <w:color w:val="000000" w:themeColor="text1"/>
          <w:sz w:val="24"/>
          <w:szCs w:val="24"/>
        </w:rPr>
      </w:pPr>
    </w:p>
    <w:p w14:paraId="36CF72A2" w14:textId="5AB56A19" w:rsidR="005C5C1D" w:rsidRPr="008335F2" w:rsidRDefault="005C5C1D"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[Insert Table 1 near here]</w:t>
      </w:r>
    </w:p>
    <w:p w14:paraId="57C189C7" w14:textId="77777777" w:rsidR="005C5C1D" w:rsidRPr="008335F2" w:rsidRDefault="005C5C1D" w:rsidP="00FE100C">
      <w:pPr>
        <w:spacing w:line="360" w:lineRule="auto"/>
        <w:rPr>
          <w:rFonts w:cstheme="minorHAnsi"/>
          <w:b/>
          <w:bCs/>
          <w:i/>
          <w:iCs/>
          <w:color w:val="000000" w:themeColor="text1"/>
          <w:sz w:val="24"/>
          <w:szCs w:val="24"/>
        </w:rPr>
      </w:pPr>
    </w:p>
    <w:p w14:paraId="2AD9A156" w14:textId="77777777" w:rsidR="004723A0" w:rsidRPr="008335F2" w:rsidRDefault="004723A0" w:rsidP="00FE100C">
      <w:pPr>
        <w:spacing w:line="360" w:lineRule="auto"/>
        <w:rPr>
          <w:rFonts w:cstheme="minorHAnsi"/>
          <w:b/>
          <w:bCs/>
          <w:i/>
          <w:iCs/>
          <w:color w:val="000000" w:themeColor="text1"/>
          <w:sz w:val="24"/>
          <w:szCs w:val="24"/>
        </w:rPr>
      </w:pPr>
    </w:p>
    <w:p w14:paraId="6585D7AE" w14:textId="5467BD65" w:rsidR="00787B2E" w:rsidRPr="008335F2" w:rsidRDefault="00787B2E"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Time averaged mean velocity</w:t>
      </w:r>
    </w:p>
    <w:p w14:paraId="24F0F80E" w14:textId="7D81DDCB" w:rsidR="00787B2E" w:rsidRPr="008335F2" w:rsidRDefault="00A161BD"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The TAMV data was recorded on the Dopplex device and then analysed further using DR5 software programme. </w:t>
      </w:r>
      <w:r w:rsidR="00787B2E" w:rsidRPr="008335F2">
        <w:rPr>
          <w:rFonts w:cstheme="minorHAnsi"/>
          <w:color w:val="000000" w:themeColor="text1"/>
          <w:sz w:val="24"/>
          <w:szCs w:val="24"/>
        </w:rPr>
        <w:t>Time averaged mean velocity was normally distributed (p&gt;0.05) except for pre-Leeper (p=0.002). A two-way repeated measures ANOVA revealed</w:t>
      </w:r>
      <w:r w:rsidR="0014735F" w:rsidRPr="008335F2">
        <w:rPr>
          <w:rFonts w:cstheme="minorHAnsi"/>
          <w:color w:val="000000" w:themeColor="text1"/>
          <w:sz w:val="24"/>
          <w:szCs w:val="24"/>
        </w:rPr>
        <w:t xml:space="preserve"> no significant </w:t>
      </w:r>
      <w:r w:rsidR="00787B2E" w:rsidRPr="008335F2">
        <w:rPr>
          <w:rFonts w:cstheme="minorHAnsi"/>
          <w:color w:val="000000" w:themeColor="text1"/>
          <w:sz w:val="24"/>
          <w:szCs w:val="24"/>
        </w:rPr>
        <w:t xml:space="preserve">two-way interaction between condition and time </w:t>
      </w:r>
      <w:r w:rsidR="007A7518" w:rsidRPr="008335F2">
        <w:rPr>
          <w:rFonts w:cstheme="minorHAnsi"/>
          <w:color w:val="000000" w:themeColor="text1"/>
          <w:sz w:val="24"/>
          <w:szCs w:val="24"/>
        </w:rPr>
        <w:t>(</w:t>
      </w:r>
      <w:r w:rsidR="00787B2E" w:rsidRPr="008335F2">
        <w:rPr>
          <w:rFonts w:cstheme="minorHAnsi"/>
          <w:color w:val="000000" w:themeColor="text1"/>
          <w:sz w:val="24"/>
          <w:szCs w:val="24"/>
        </w:rPr>
        <w:t xml:space="preserve">F(2, 20)=1.871, p=0.180, </w:t>
      </w:r>
      <w:r w:rsidR="00E63631" w:rsidRPr="008335F2">
        <w:rPr>
          <w:rFonts w:cstheme="minorHAnsi"/>
          <w:color w:val="000000" w:themeColor="text1"/>
          <w:sz w:val="24"/>
          <w:szCs w:val="24"/>
          <w:shd w:val="clear" w:color="auto" w:fill="FFFFFF"/>
        </w:rPr>
        <w:t>η</w:t>
      </w:r>
      <w:r w:rsidR="00E63631" w:rsidRPr="008335F2">
        <w:rPr>
          <w:rFonts w:cstheme="minorHAnsi"/>
          <w:color w:val="000000" w:themeColor="text1"/>
          <w:sz w:val="24"/>
          <w:szCs w:val="24"/>
          <w:shd w:val="clear" w:color="auto" w:fill="FFFFFF"/>
          <w:vertAlign w:val="subscript"/>
        </w:rPr>
        <w:t>p</w:t>
      </w:r>
      <w:r w:rsidR="00E63631" w:rsidRPr="008335F2">
        <w:rPr>
          <w:rFonts w:cstheme="minorHAnsi"/>
          <w:color w:val="000000" w:themeColor="text1"/>
          <w:sz w:val="24"/>
          <w:szCs w:val="24"/>
          <w:shd w:val="clear" w:color="auto" w:fill="FFFFFF"/>
          <w:vertAlign w:val="superscript"/>
        </w:rPr>
        <w:t>2</w:t>
      </w:r>
      <w:r w:rsidR="00787B2E" w:rsidRPr="008335F2">
        <w:rPr>
          <w:rFonts w:cstheme="minorHAnsi"/>
          <w:color w:val="000000" w:themeColor="text1"/>
          <w:sz w:val="24"/>
          <w:szCs w:val="24"/>
          <w:shd w:val="clear" w:color="auto" w:fill="FFFFFF"/>
        </w:rPr>
        <w:t>=0.158</w:t>
      </w:r>
      <w:r w:rsidR="007A7518" w:rsidRPr="008335F2">
        <w:rPr>
          <w:rFonts w:cstheme="minorHAnsi"/>
          <w:color w:val="000000" w:themeColor="text1"/>
          <w:sz w:val="24"/>
          <w:szCs w:val="24"/>
          <w:shd w:val="clear" w:color="auto" w:fill="FFFFFF"/>
        </w:rPr>
        <w:t>)</w:t>
      </w:r>
      <w:r w:rsidR="00787B2E" w:rsidRPr="008335F2">
        <w:rPr>
          <w:rFonts w:cstheme="minorHAnsi"/>
          <w:color w:val="000000" w:themeColor="text1"/>
          <w:sz w:val="24"/>
          <w:szCs w:val="24"/>
          <w:shd w:val="clear" w:color="auto" w:fill="FFFFFF"/>
        </w:rPr>
        <w:t xml:space="preserve"> indicating that blood flow did not change differently over time depending on condition. The main effect of time showed no significant difference in time averaged mean velocity between pre- and post- time points </w:t>
      </w:r>
      <w:r w:rsidR="007A7518" w:rsidRPr="008335F2">
        <w:rPr>
          <w:rFonts w:cstheme="minorHAnsi"/>
          <w:color w:val="000000" w:themeColor="text1"/>
          <w:sz w:val="24"/>
          <w:szCs w:val="24"/>
          <w:shd w:val="clear" w:color="auto" w:fill="FFFFFF"/>
        </w:rPr>
        <w:t>(</w:t>
      </w:r>
      <w:r w:rsidR="00787B2E" w:rsidRPr="008335F2">
        <w:rPr>
          <w:rFonts w:cstheme="minorHAnsi"/>
          <w:color w:val="000000" w:themeColor="text1"/>
          <w:sz w:val="24"/>
          <w:szCs w:val="24"/>
          <w:shd w:val="clear" w:color="auto" w:fill="FFFFFF"/>
        </w:rPr>
        <w:t xml:space="preserve">F(1,10)=1.832, p=0.206, </w:t>
      </w:r>
      <w:r w:rsidR="00E63631" w:rsidRPr="008335F2">
        <w:rPr>
          <w:rFonts w:cstheme="minorHAnsi"/>
          <w:color w:val="000000" w:themeColor="text1"/>
          <w:sz w:val="24"/>
          <w:szCs w:val="24"/>
          <w:shd w:val="clear" w:color="auto" w:fill="FFFFFF"/>
        </w:rPr>
        <w:t>η</w:t>
      </w:r>
      <w:r w:rsidR="00E63631" w:rsidRPr="008335F2">
        <w:rPr>
          <w:rFonts w:cstheme="minorHAnsi"/>
          <w:color w:val="000000" w:themeColor="text1"/>
          <w:sz w:val="24"/>
          <w:szCs w:val="24"/>
          <w:shd w:val="clear" w:color="auto" w:fill="FFFFFF"/>
          <w:vertAlign w:val="subscript"/>
        </w:rPr>
        <w:t>p</w:t>
      </w:r>
      <w:r w:rsidR="00E63631" w:rsidRPr="008335F2">
        <w:rPr>
          <w:rFonts w:cstheme="minorHAnsi"/>
          <w:color w:val="000000" w:themeColor="text1"/>
          <w:sz w:val="24"/>
          <w:szCs w:val="24"/>
          <w:shd w:val="clear" w:color="auto" w:fill="FFFFFF"/>
          <w:vertAlign w:val="superscript"/>
        </w:rPr>
        <w:t>2</w:t>
      </w:r>
      <w:r w:rsidR="00787B2E" w:rsidRPr="008335F2">
        <w:rPr>
          <w:rFonts w:cstheme="minorHAnsi"/>
          <w:color w:val="000000" w:themeColor="text1"/>
          <w:sz w:val="24"/>
          <w:szCs w:val="24"/>
          <w:shd w:val="clear" w:color="auto" w:fill="FFFFFF"/>
        </w:rPr>
        <w:t>=0.155</w:t>
      </w:r>
      <w:r w:rsidR="007A7518" w:rsidRPr="008335F2">
        <w:rPr>
          <w:rFonts w:cstheme="minorHAnsi"/>
          <w:color w:val="000000" w:themeColor="text1"/>
          <w:sz w:val="24"/>
          <w:szCs w:val="24"/>
          <w:shd w:val="clear" w:color="auto" w:fill="FFFFFF"/>
        </w:rPr>
        <w:t>)</w:t>
      </w:r>
      <w:r w:rsidR="00787B2E" w:rsidRPr="008335F2">
        <w:rPr>
          <w:rFonts w:cstheme="minorHAnsi"/>
          <w:color w:val="000000" w:themeColor="text1"/>
          <w:sz w:val="24"/>
          <w:szCs w:val="24"/>
          <w:shd w:val="clear" w:color="auto" w:fill="FFFFFF"/>
        </w:rPr>
        <w:t xml:space="preserve"> indicating that no condition significantly altered blood flow. </w:t>
      </w:r>
      <w:r w:rsidR="00787B2E" w:rsidRPr="008335F2">
        <w:rPr>
          <w:rFonts w:cstheme="minorHAnsi"/>
          <w:color w:val="000000" w:themeColor="text1"/>
          <w:sz w:val="24"/>
          <w:szCs w:val="24"/>
        </w:rPr>
        <w:t xml:space="preserve">Group mean values are displayed in Figure </w:t>
      </w:r>
      <w:r w:rsidR="00B34735" w:rsidRPr="008335F2">
        <w:rPr>
          <w:rFonts w:cstheme="minorHAnsi"/>
          <w:color w:val="000000" w:themeColor="text1"/>
          <w:sz w:val="24"/>
          <w:szCs w:val="24"/>
        </w:rPr>
        <w:t>3</w:t>
      </w:r>
      <w:r w:rsidR="00787B2E" w:rsidRPr="008335F2">
        <w:rPr>
          <w:rFonts w:cstheme="minorHAnsi"/>
          <w:color w:val="000000" w:themeColor="text1"/>
          <w:sz w:val="24"/>
          <w:szCs w:val="24"/>
        </w:rPr>
        <w:t xml:space="preserve">. </w:t>
      </w:r>
    </w:p>
    <w:p w14:paraId="347E3930" w14:textId="77777777" w:rsidR="00D33272" w:rsidRPr="008335F2" w:rsidRDefault="00D33272" w:rsidP="00FE100C">
      <w:pPr>
        <w:spacing w:line="360" w:lineRule="auto"/>
        <w:rPr>
          <w:rFonts w:cstheme="minorHAnsi"/>
          <w:color w:val="000000" w:themeColor="text1"/>
          <w:sz w:val="24"/>
          <w:szCs w:val="24"/>
        </w:rPr>
      </w:pPr>
    </w:p>
    <w:p w14:paraId="26E5A699" w14:textId="3B9C4D25" w:rsidR="00D33272" w:rsidRPr="008335F2" w:rsidRDefault="00D33272"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[Insert Figure </w:t>
      </w:r>
      <w:r w:rsidR="00B34735" w:rsidRPr="008335F2">
        <w:rPr>
          <w:rFonts w:cstheme="minorHAnsi"/>
          <w:b/>
          <w:bCs/>
          <w:i/>
          <w:iCs/>
          <w:color w:val="000000" w:themeColor="text1"/>
          <w:sz w:val="24"/>
          <w:szCs w:val="24"/>
        </w:rPr>
        <w:t>3</w:t>
      </w:r>
      <w:r w:rsidRPr="008335F2">
        <w:rPr>
          <w:rFonts w:cstheme="minorHAnsi"/>
          <w:b/>
          <w:bCs/>
          <w:i/>
          <w:iCs/>
          <w:color w:val="000000" w:themeColor="text1"/>
          <w:sz w:val="24"/>
          <w:szCs w:val="24"/>
        </w:rPr>
        <w:t xml:space="preserve"> near here]</w:t>
      </w:r>
    </w:p>
    <w:p w14:paraId="1B1F9D63" w14:textId="77777777" w:rsidR="00D33272" w:rsidRPr="008335F2" w:rsidRDefault="00D33272" w:rsidP="00FE100C">
      <w:pPr>
        <w:spacing w:line="360" w:lineRule="auto"/>
        <w:rPr>
          <w:rFonts w:cstheme="minorHAnsi"/>
          <w:sz w:val="24"/>
          <w:szCs w:val="24"/>
        </w:rPr>
      </w:pPr>
    </w:p>
    <w:p w14:paraId="1684A6E7" w14:textId="77777777" w:rsidR="00787B2E" w:rsidRPr="008335F2" w:rsidRDefault="00787B2E"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Systolic blood pressure</w:t>
      </w:r>
    </w:p>
    <w:p w14:paraId="79192716" w14:textId="4E64A3B6" w:rsidR="00787B2E" w:rsidRPr="008335F2" w:rsidRDefault="00787B2E" w:rsidP="00FE100C">
      <w:pPr>
        <w:spacing w:line="360" w:lineRule="auto"/>
        <w:rPr>
          <w:rFonts w:cstheme="minorHAnsi"/>
          <w:color w:val="000000" w:themeColor="text1"/>
          <w:sz w:val="24"/>
          <w:szCs w:val="24"/>
        </w:rPr>
      </w:pPr>
      <w:r w:rsidRPr="008335F2">
        <w:rPr>
          <w:rFonts w:cstheme="minorHAnsi"/>
          <w:color w:val="000000" w:themeColor="text1"/>
          <w:sz w:val="24"/>
          <w:szCs w:val="24"/>
        </w:rPr>
        <w:t>There was</w:t>
      </w:r>
      <w:r w:rsidR="0014735F" w:rsidRPr="008335F2">
        <w:rPr>
          <w:rFonts w:cstheme="minorHAnsi"/>
          <w:color w:val="000000" w:themeColor="text1"/>
          <w:sz w:val="24"/>
          <w:szCs w:val="24"/>
        </w:rPr>
        <w:t xml:space="preserve"> no significant</w:t>
      </w:r>
      <w:r w:rsidRPr="008335F2">
        <w:rPr>
          <w:rFonts w:cstheme="minorHAnsi"/>
          <w:color w:val="000000" w:themeColor="text1"/>
          <w:sz w:val="24"/>
          <w:szCs w:val="24"/>
        </w:rPr>
        <w:t xml:space="preserve"> two-way interaction between condition and time </w:t>
      </w:r>
      <w:r w:rsidR="007A7518" w:rsidRPr="008335F2">
        <w:rPr>
          <w:rFonts w:cstheme="minorHAnsi"/>
          <w:color w:val="000000" w:themeColor="text1"/>
          <w:sz w:val="24"/>
          <w:szCs w:val="24"/>
        </w:rPr>
        <w:t>(</w:t>
      </w:r>
      <w:r w:rsidRPr="008335F2">
        <w:rPr>
          <w:rFonts w:cstheme="minorHAnsi"/>
          <w:color w:val="000000" w:themeColor="text1"/>
          <w:sz w:val="24"/>
          <w:szCs w:val="24"/>
        </w:rPr>
        <w:t xml:space="preserve">F(2, 20)=0.135, p=0.874, </w:t>
      </w:r>
      <w:r w:rsidR="00E63631" w:rsidRPr="008335F2">
        <w:rPr>
          <w:rFonts w:cstheme="minorHAnsi"/>
          <w:color w:val="000000" w:themeColor="text1"/>
          <w:sz w:val="24"/>
          <w:szCs w:val="24"/>
          <w:shd w:val="clear" w:color="auto" w:fill="FFFFFF"/>
        </w:rPr>
        <w:t>η</w:t>
      </w:r>
      <w:r w:rsidR="00E63631" w:rsidRPr="008335F2">
        <w:rPr>
          <w:rFonts w:cstheme="minorHAnsi"/>
          <w:color w:val="000000" w:themeColor="text1"/>
          <w:sz w:val="24"/>
          <w:szCs w:val="24"/>
          <w:shd w:val="clear" w:color="auto" w:fill="FFFFFF"/>
          <w:vertAlign w:val="subscript"/>
        </w:rPr>
        <w:t>p</w:t>
      </w:r>
      <w:r w:rsidR="00E63631" w:rsidRPr="008335F2">
        <w:rPr>
          <w:rFonts w:cstheme="minorHAnsi"/>
          <w:color w:val="000000" w:themeColor="text1"/>
          <w:sz w:val="24"/>
          <w:szCs w:val="24"/>
          <w:shd w:val="clear" w:color="auto" w:fill="FFFFFF"/>
          <w:vertAlign w:val="superscript"/>
        </w:rPr>
        <w:t>2</w:t>
      </w:r>
      <w:r w:rsidRPr="008335F2">
        <w:rPr>
          <w:rFonts w:cstheme="minorHAnsi"/>
          <w:color w:val="000000" w:themeColor="text1"/>
          <w:sz w:val="24"/>
          <w:szCs w:val="24"/>
          <w:shd w:val="clear" w:color="auto" w:fill="FFFFFF"/>
        </w:rPr>
        <w:t>=0.013</w:t>
      </w:r>
      <w:r w:rsidR="007A7518" w:rsidRPr="008335F2">
        <w:rPr>
          <w:rFonts w:cstheme="minorHAnsi"/>
          <w:color w:val="000000" w:themeColor="text1"/>
          <w:sz w:val="24"/>
          <w:szCs w:val="24"/>
          <w:shd w:val="clear" w:color="auto" w:fill="FFFFFF"/>
        </w:rPr>
        <w:t>)</w:t>
      </w:r>
      <w:r w:rsidRPr="008335F2">
        <w:rPr>
          <w:rFonts w:cstheme="minorHAnsi"/>
          <w:color w:val="000000" w:themeColor="text1"/>
          <w:sz w:val="24"/>
          <w:szCs w:val="24"/>
          <w:shd w:val="clear" w:color="auto" w:fill="FFFFFF"/>
        </w:rPr>
        <w:t xml:space="preserve"> indicating that systolic </w:t>
      </w:r>
      <w:r w:rsidR="009B55B0" w:rsidRPr="008335F2">
        <w:rPr>
          <w:rFonts w:cstheme="minorHAnsi"/>
          <w:color w:val="000000" w:themeColor="text1"/>
          <w:sz w:val="24"/>
          <w:szCs w:val="24"/>
          <w:shd w:val="clear" w:color="auto" w:fill="FFFFFF"/>
        </w:rPr>
        <w:t>BP</w:t>
      </w:r>
      <w:r w:rsidRPr="008335F2">
        <w:rPr>
          <w:rFonts w:cstheme="minorHAnsi"/>
          <w:color w:val="000000" w:themeColor="text1"/>
          <w:sz w:val="24"/>
          <w:szCs w:val="24"/>
          <w:shd w:val="clear" w:color="auto" w:fill="FFFFFF"/>
        </w:rPr>
        <w:t xml:space="preserve"> did not change differently over time depending on condition. The main effect of time showed no significant difference in systolic </w:t>
      </w:r>
      <w:r w:rsidR="009B55B0" w:rsidRPr="008335F2">
        <w:rPr>
          <w:rFonts w:cstheme="minorHAnsi"/>
          <w:color w:val="000000" w:themeColor="text1"/>
          <w:sz w:val="24"/>
          <w:szCs w:val="24"/>
          <w:shd w:val="clear" w:color="auto" w:fill="FFFFFF"/>
        </w:rPr>
        <w:t>BP</w:t>
      </w:r>
      <w:r w:rsidRPr="008335F2">
        <w:rPr>
          <w:rFonts w:cstheme="minorHAnsi"/>
          <w:color w:val="000000" w:themeColor="text1"/>
          <w:sz w:val="24"/>
          <w:szCs w:val="24"/>
          <w:shd w:val="clear" w:color="auto" w:fill="FFFFFF"/>
        </w:rPr>
        <w:t xml:space="preserve"> between pre- and post- time points </w:t>
      </w:r>
      <w:r w:rsidR="007A7518" w:rsidRPr="008335F2">
        <w:rPr>
          <w:rFonts w:cstheme="minorHAnsi"/>
          <w:color w:val="000000" w:themeColor="text1"/>
          <w:sz w:val="24"/>
          <w:szCs w:val="24"/>
          <w:shd w:val="clear" w:color="auto" w:fill="FFFFFF"/>
        </w:rPr>
        <w:t>(</w:t>
      </w:r>
      <w:r w:rsidRPr="008335F2">
        <w:rPr>
          <w:rFonts w:cstheme="minorHAnsi"/>
          <w:color w:val="000000" w:themeColor="text1"/>
          <w:sz w:val="24"/>
          <w:szCs w:val="24"/>
          <w:shd w:val="clear" w:color="auto" w:fill="FFFFFF"/>
        </w:rPr>
        <w:t xml:space="preserve">F(1,10)=0.430, p=0.527, </w:t>
      </w:r>
      <w:r w:rsidR="00E63631" w:rsidRPr="008335F2">
        <w:rPr>
          <w:rFonts w:cstheme="minorHAnsi"/>
          <w:color w:val="000000" w:themeColor="text1"/>
          <w:sz w:val="24"/>
          <w:szCs w:val="24"/>
          <w:shd w:val="clear" w:color="auto" w:fill="FFFFFF"/>
        </w:rPr>
        <w:t>η</w:t>
      </w:r>
      <w:r w:rsidR="00E63631" w:rsidRPr="008335F2">
        <w:rPr>
          <w:rFonts w:cstheme="minorHAnsi"/>
          <w:color w:val="000000" w:themeColor="text1"/>
          <w:sz w:val="24"/>
          <w:szCs w:val="24"/>
          <w:shd w:val="clear" w:color="auto" w:fill="FFFFFF"/>
          <w:vertAlign w:val="subscript"/>
        </w:rPr>
        <w:t>p</w:t>
      </w:r>
      <w:r w:rsidR="00E63631" w:rsidRPr="008335F2">
        <w:rPr>
          <w:rFonts w:cstheme="minorHAnsi"/>
          <w:color w:val="000000" w:themeColor="text1"/>
          <w:sz w:val="24"/>
          <w:szCs w:val="24"/>
          <w:shd w:val="clear" w:color="auto" w:fill="FFFFFF"/>
          <w:vertAlign w:val="superscript"/>
        </w:rPr>
        <w:t>2</w:t>
      </w:r>
      <w:r w:rsidRPr="008335F2">
        <w:rPr>
          <w:rFonts w:cstheme="minorHAnsi"/>
          <w:color w:val="000000" w:themeColor="text1"/>
          <w:sz w:val="24"/>
          <w:szCs w:val="24"/>
          <w:shd w:val="clear" w:color="auto" w:fill="FFFFFF"/>
        </w:rPr>
        <w:t>=0.041</w:t>
      </w:r>
      <w:r w:rsidR="007A7518" w:rsidRPr="008335F2">
        <w:rPr>
          <w:rFonts w:cstheme="minorHAnsi"/>
          <w:color w:val="000000" w:themeColor="text1"/>
          <w:sz w:val="24"/>
          <w:szCs w:val="24"/>
          <w:shd w:val="clear" w:color="auto" w:fill="FFFFFF"/>
        </w:rPr>
        <w:t>)</w:t>
      </w:r>
      <w:r w:rsidRPr="008335F2">
        <w:rPr>
          <w:rFonts w:cstheme="minorHAnsi"/>
          <w:color w:val="000000" w:themeColor="text1"/>
          <w:sz w:val="24"/>
          <w:szCs w:val="24"/>
          <w:shd w:val="clear" w:color="auto" w:fill="FFFFFF"/>
        </w:rPr>
        <w:t xml:space="preserve"> indicating that no condition significantly altered systolic </w:t>
      </w:r>
      <w:r w:rsidR="009B55B0" w:rsidRPr="008335F2">
        <w:rPr>
          <w:rFonts w:cstheme="minorHAnsi"/>
          <w:color w:val="000000" w:themeColor="text1"/>
          <w:sz w:val="24"/>
          <w:szCs w:val="24"/>
          <w:shd w:val="clear" w:color="auto" w:fill="FFFFFF"/>
        </w:rPr>
        <w:t>BP</w:t>
      </w:r>
      <w:r w:rsidRPr="008335F2">
        <w:rPr>
          <w:rFonts w:cstheme="minorHAnsi"/>
          <w:color w:val="000000" w:themeColor="text1"/>
          <w:sz w:val="24"/>
          <w:szCs w:val="24"/>
          <w:shd w:val="clear" w:color="auto" w:fill="FFFFFF"/>
        </w:rPr>
        <w:t>.</w:t>
      </w:r>
      <w:r w:rsidRPr="008335F2">
        <w:rPr>
          <w:rFonts w:cstheme="minorHAnsi"/>
          <w:color w:val="000000" w:themeColor="text1"/>
          <w:sz w:val="24"/>
          <w:szCs w:val="24"/>
        </w:rPr>
        <w:t xml:space="preserve"> Group mean</w:t>
      </w:r>
      <w:r w:rsidR="0014735F" w:rsidRPr="008335F2">
        <w:rPr>
          <w:rFonts w:cstheme="minorHAnsi"/>
          <w:color w:val="000000" w:themeColor="text1"/>
          <w:sz w:val="24"/>
          <w:szCs w:val="24"/>
        </w:rPr>
        <w:t>s</w:t>
      </w:r>
      <w:r w:rsidRPr="008335F2">
        <w:rPr>
          <w:rFonts w:cstheme="minorHAnsi"/>
          <w:color w:val="000000" w:themeColor="text1"/>
          <w:sz w:val="24"/>
          <w:szCs w:val="24"/>
        </w:rPr>
        <w:t xml:space="preserve"> are </w:t>
      </w:r>
      <w:r w:rsidR="00DB26DD" w:rsidRPr="008335F2">
        <w:rPr>
          <w:rFonts w:cstheme="minorHAnsi"/>
          <w:color w:val="000000" w:themeColor="text1"/>
          <w:sz w:val="24"/>
          <w:szCs w:val="24"/>
        </w:rPr>
        <w:t>presented</w:t>
      </w:r>
      <w:r w:rsidRPr="008335F2">
        <w:rPr>
          <w:rFonts w:cstheme="minorHAnsi"/>
          <w:color w:val="000000" w:themeColor="text1"/>
          <w:sz w:val="24"/>
          <w:szCs w:val="24"/>
        </w:rPr>
        <w:t xml:space="preserve"> in Figure </w:t>
      </w:r>
      <w:r w:rsidR="00B34735" w:rsidRPr="008335F2">
        <w:rPr>
          <w:rFonts w:cstheme="minorHAnsi"/>
          <w:color w:val="000000" w:themeColor="text1"/>
          <w:sz w:val="24"/>
          <w:szCs w:val="24"/>
        </w:rPr>
        <w:t>4</w:t>
      </w:r>
      <w:r w:rsidRPr="008335F2">
        <w:rPr>
          <w:rFonts w:cstheme="minorHAnsi"/>
          <w:color w:val="000000" w:themeColor="text1"/>
          <w:sz w:val="24"/>
          <w:szCs w:val="24"/>
        </w:rPr>
        <w:t xml:space="preserve">. </w:t>
      </w:r>
    </w:p>
    <w:p w14:paraId="170347DC" w14:textId="77777777" w:rsidR="00DF2B33" w:rsidRPr="008335F2" w:rsidRDefault="00DF2B33" w:rsidP="00FE100C">
      <w:pPr>
        <w:spacing w:line="360" w:lineRule="auto"/>
        <w:rPr>
          <w:rFonts w:cstheme="minorHAnsi"/>
          <w:color w:val="000000" w:themeColor="text1"/>
          <w:sz w:val="24"/>
          <w:szCs w:val="24"/>
        </w:rPr>
      </w:pPr>
    </w:p>
    <w:p w14:paraId="2572AC10" w14:textId="647D3DE1" w:rsidR="00DF2B33" w:rsidRPr="008335F2" w:rsidRDefault="00DF2B33"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[Insert Figure </w:t>
      </w:r>
      <w:r w:rsidR="00B34735" w:rsidRPr="008335F2">
        <w:rPr>
          <w:rFonts w:cstheme="minorHAnsi"/>
          <w:b/>
          <w:bCs/>
          <w:i/>
          <w:iCs/>
          <w:color w:val="000000" w:themeColor="text1"/>
          <w:sz w:val="24"/>
          <w:szCs w:val="24"/>
        </w:rPr>
        <w:t>4</w:t>
      </w:r>
      <w:r w:rsidRPr="008335F2">
        <w:rPr>
          <w:rFonts w:cstheme="minorHAnsi"/>
          <w:b/>
          <w:bCs/>
          <w:i/>
          <w:iCs/>
          <w:color w:val="000000" w:themeColor="text1"/>
          <w:sz w:val="24"/>
          <w:szCs w:val="24"/>
        </w:rPr>
        <w:t xml:space="preserve"> near here]</w:t>
      </w:r>
    </w:p>
    <w:p w14:paraId="7874E85B" w14:textId="77777777" w:rsidR="00566FD3" w:rsidRPr="008335F2" w:rsidRDefault="00566FD3" w:rsidP="00FE100C">
      <w:pPr>
        <w:spacing w:line="360" w:lineRule="auto"/>
        <w:rPr>
          <w:rFonts w:cstheme="minorHAnsi"/>
          <w:b/>
          <w:bCs/>
          <w:i/>
          <w:iCs/>
          <w:color w:val="000000" w:themeColor="text1"/>
          <w:sz w:val="24"/>
          <w:szCs w:val="24"/>
        </w:rPr>
      </w:pPr>
    </w:p>
    <w:p w14:paraId="18E42128" w14:textId="77777777" w:rsidR="00787B2E" w:rsidRPr="008335F2" w:rsidRDefault="00787B2E"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Heart rate</w:t>
      </w:r>
    </w:p>
    <w:p w14:paraId="2A3427D1" w14:textId="2A891EB7" w:rsidR="002A39F9" w:rsidRPr="008335F2" w:rsidRDefault="002A39F9" w:rsidP="00FE100C">
      <w:pPr>
        <w:spacing w:line="360" w:lineRule="auto"/>
        <w:rPr>
          <w:rFonts w:cstheme="minorHAnsi"/>
          <w:color w:val="000000" w:themeColor="text1"/>
          <w:sz w:val="24"/>
          <w:szCs w:val="24"/>
        </w:rPr>
      </w:pPr>
      <w:r w:rsidRPr="008335F2">
        <w:rPr>
          <w:rFonts w:cstheme="minorHAnsi"/>
          <w:color w:val="000000" w:themeColor="text1"/>
          <w:sz w:val="24"/>
          <w:szCs w:val="24"/>
        </w:rPr>
        <w:t xml:space="preserve">Heart rate was normally distributed (p&gt;0.05) except for pre-Leeper and pre-Walking (p=0.030). There was a significant interaction between condition and time (F(2,20)=13.204, </w:t>
      </w:r>
      <w:r w:rsidRPr="008335F2">
        <w:rPr>
          <w:rFonts w:cstheme="minorHAnsi"/>
          <w:color w:val="000000" w:themeColor="text1"/>
          <w:sz w:val="24"/>
          <w:szCs w:val="24"/>
        </w:rPr>
        <w:lastRenderedPageBreak/>
        <w:t xml:space="preserve">p&lt;0.001, </w:t>
      </w:r>
      <w:r w:rsidRPr="008335F2">
        <w:rPr>
          <w:rFonts w:cstheme="minorHAnsi"/>
          <w:color w:val="000000" w:themeColor="text1"/>
          <w:sz w:val="24"/>
          <w:szCs w:val="24"/>
          <w:shd w:val="clear" w:color="auto" w:fill="FFFFFF"/>
        </w:rPr>
        <w:t>η</w:t>
      </w:r>
      <w:r w:rsidRPr="008335F2">
        <w:rPr>
          <w:rFonts w:cstheme="minorHAnsi"/>
          <w:color w:val="000000" w:themeColor="text1"/>
          <w:sz w:val="24"/>
          <w:szCs w:val="24"/>
          <w:shd w:val="clear" w:color="auto" w:fill="FFFFFF"/>
          <w:vertAlign w:val="subscript"/>
        </w:rPr>
        <w:t>p</w:t>
      </w:r>
      <w:r w:rsidRPr="008335F2">
        <w:rPr>
          <w:rFonts w:cstheme="minorHAnsi"/>
          <w:color w:val="000000" w:themeColor="text1"/>
          <w:sz w:val="24"/>
          <w:szCs w:val="24"/>
          <w:shd w:val="clear" w:color="auto" w:fill="FFFFFF"/>
          <w:vertAlign w:val="superscript"/>
        </w:rPr>
        <w:t>2</w:t>
      </w:r>
      <w:r w:rsidRPr="008335F2">
        <w:rPr>
          <w:rFonts w:cstheme="minorHAnsi"/>
          <w:color w:val="000000" w:themeColor="text1"/>
          <w:sz w:val="24"/>
          <w:szCs w:val="24"/>
          <w:shd w:val="clear" w:color="auto" w:fill="FFFFFF"/>
        </w:rPr>
        <w:t xml:space="preserve">=0.569) indicating that HR changed differently over time depending on the condition. </w:t>
      </w:r>
    </w:p>
    <w:p w14:paraId="3ADAEED2" w14:textId="77777777" w:rsidR="00605329" w:rsidRPr="008335F2" w:rsidRDefault="00605329" w:rsidP="00FE100C">
      <w:pPr>
        <w:spacing w:line="360" w:lineRule="auto"/>
        <w:rPr>
          <w:rFonts w:cstheme="minorHAnsi"/>
          <w:color w:val="000000" w:themeColor="text1"/>
          <w:sz w:val="24"/>
          <w:szCs w:val="24"/>
          <w:shd w:val="clear" w:color="auto" w:fill="FFFFFF"/>
        </w:rPr>
      </w:pPr>
    </w:p>
    <w:p w14:paraId="2DE833ED" w14:textId="47DFA42C" w:rsidR="002A39F9" w:rsidRPr="008335F2" w:rsidRDefault="002A39F9" w:rsidP="00FE100C">
      <w:pPr>
        <w:spacing w:line="360" w:lineRule="auto"/>
        <w:rPr>
          <w:rFonts w:cstheme="minorHAnsi"/>
          <w:color w:val="000000" w:themeColor="text1"/>
          <w:sz w:val="24"/>
          <w:szCs w:val="24"/>
        </w:rPr>
      </w:pPr>
      <w:r w:rsidRPr="008335F2">
        <w:rPr>
          <w:rFonts w:cstheme="minorHAnsi"/>
          <w:color w:val="000000" w:themeColor="text1"/>
          <w:sz w:val="24"/>
          <w:szCs w:val="24"/>
          <w:shd w:val="clear" w:color="auto" w:fill="FFFFFF"/>
        </w:rPr>
        <w:t>There was no significant difference between HR pre-Leeper (76.00 ± 15.03), pre-Circulation Booster</w:t>
      </w:r>
      <w:r w:rsidRPr="008335F2">
        <w:rPr>
          <w:rFonts w:cstheme="minorHAnsi"/>
          <w:color w:val="000000" w:themeColor="text1"/>
          <w:sz w:val="24"/>
          <w:szCs w:val="24"/>
        </w:rPr>
        <w:t>®</w:t>
      </w:r>
      <w:r w:rsidRPr="008335F2">
        <w:rPr>
          <w:rFonts w:cstheme="minorHAnsi"/>
          <w:color w:val="000000" w:themeColor="text1"/>
          <w:sz w:val="24"/>
          <w:szCs w:val="24"/>
          <w:shd w:val="clear" w:color="auto" w:fill="FFFFFF"/>
        </w:rPr>
        <w:t xml:space="preserve"> (76.73 ± 16.86) and pre-Walking (73.00 ± 18.31) (F(2,20)=1.880, p=0.179, η</w:t>
      </w:r>
      <w:r w:rsidRPr="008335F2">
        <w:rPr>
          <w:rFonts w:cstheme="minorHAnsi"/>
          <w:color w:val="000000" w:themeColor="text1"/>
          <w:sz w:val="24"/>
          <w:szCs w:val="24"/>
          <w:shd w:val="clear" w:color="auto" w:fill="FFFFFF"/>
          <w:vertAlign w:val="subscript"/>
        </w:rPr>
        <w:t>p</w:t>
      </w:r>
      <w:r w:rsidRPr="008335F2">
        <w:rPr>
          <w:rFonts w:cstheme="minorHAnsi"/>
          <w:color w:val="000000" w:themeColor="text1"/>
          <w:sz w:val="24"/>
          <w:szCs w:val="24"/>
          <w:shd w:val="clear" w:color="auto" w:fill="FFFFFF"/>
          <w:vertAlign w:val="superscript"/>
        </w:rPr>
        <w:t>2</w:t>
      </w:r>
      <w:r w:rsidRPr="008335F2">
        <w:rPr>
          <w:rFonts w:cstheme="minorHAnsi"/>
          <w:color w:val="000000" w:themeColor="text1"/>
          <w:sz w:val="24"/>
          <w:szCs w:val="24"/>
          <w:shd w:val="clear" w:color="auto" w:fill="FFFFFF"/>
        </w:rPr>
        <w:t>=0.158). However, there was a significant difference between HR post-Leeper (75.45 ± 13.14), post-Circulation Booster</w:t>
      </w:r>
      <w:r w:rsidRPr="008335F2">
        <w:rPr>
          <w:rFonts w:cstheme="minorHAnsi"/>
          <w:color w:val="000000" w:themeColor="text1"/>
          <w:sz w:val="24"/>
          <w:szCs w:val="24"/>
        </w:rPr>
        <w:t>®</w:t>
      </w:r>
      <w:r w:rsidRPr="008335F2">
        <w:rPr>
          <w:rFonts w:cstheme="minorHAnsi"/>
          <w:color w:val="000000" w:themeColor="text1"/>
          <w:sz w:val="24"/>
          <w:szCs w:val="24"/>
          <w:shd w:val="clear" w:color="auto" w:fill="FFFFFF"/>
        </w:rPr>
        <w:t xml:space="preserve"> (72.91 ± 16.86) and post-Walking (88.45 ± 18.43) (F(2,20)=8.347, p=0.</w:t>
      </w:r>
      <w:r w:rsidR="003B22B4" w:rsidRPr="008335F2">
        <w:rPr>
          <w:rFonts w:cstheme="minorHAnsi"/>
          <w:color w:val="000000" w:themeColor="text1"/>
          <w:sz w:val="24"/>
          <w:szCs w:val="24"/>
          <w:shd w:val="clear" w:color="auto" w:fill="FFFFFF"/>
        </w:rPr>
        <w:t>0</w:t>
      </w:r>
      <w:r w:rsidRPr="008335F2">
        <w:rPr>
          <w:rFonts w:cstheme="minorHAnsi"/>
          <w:color w:val="000000" w:themeColor="text1"/>
          <w:sz w:val="24"/>
          <w:szCs w:val="24"/>
          <w:shd w:val="clear" w:color="auto" w:fill="FFFFFF"/>
        </w:rPr>
        <w:t>02, η</w:t>
      </w:r>
      <w:r w:rsidRPr="008335F2">
        <w:rPr>
          <w:rFonts w:cstheme="minorHAnsi"/>
          <w:color w:val="000000" w:themeColor="text1"/>
          <w:sz w:val="24"/>
          <w:szCs w:val="24"/>
          <w:shd w:val="clear" w:color="auto" w:fill="FFFFFF"/>
          <w:vertAlign w:val="subscript"/>
        </w:rPr>
        <w:t>p</w:t>
      </w:r>
      <w:r w:rsidRPr="008335F2">
        <w:rPr>
          <w:rFonts w:cstheme="minorHAnsi"/>
          <w:color w:val="000000" w:themeColor="text1"/>
          <w:sz w:val="24"/>
          <w:szCs w:val="24"/>
          <w:shd w:val="clear" w:color="auto" w:fill="FFFFFF"/>
          <w:vertAlign w:val="superscript"/>
        </w:rPr>
        <w:t>2</w:t>
      </w:r>
      <w:r w:rsidRPr="008335F2">
        <w:rPr>
          <w:rFonts w:cstheme="minorHAnsi"/>
          <w:color w:val="000000" w:themeColor="text1"/>
          <w:sz w:val="24"/>
          <w:szCs w:val="24"/>
          <w:shd w:val="clear" w:color="auto" w:fill="FFFFFF"/>
        </w:rPr>
        <w:t>=0.455). Heart rate post-Walking was significantly higher than post-Circulation Booster</w:t>
      </w:r>
      <w:r w:rsidRPr="008335F2">
        <w:rPr>
          <w:rFonts w:cstheme="minorHAnsi"/>
          <w:color w:val="000000" w:themeColor="text1"/>
          <w:sz w:val="24"/>
          <w:szCs w:val="24"/>
        </w:rPr>
        <w:t xml:space="preserve">® (p=0.023), </w:t>
      </w:r>
      <w:r w:rsidRPr="008335F2">
        <w:rPr>
          <w:rFonts w:cstheme="minorHAnsi"/>
          <w:color w:val="000000" w:themeColor="text1"/>
          <w:sz w:val="24"/>
          <w:szCs w:val="24"/>
          <w:shd w:val="clear" w:color="auto" w:fill="FFFFFF"/>
        </w:rPr>
        <w:t>a mean difference of 15.55 bpm (95% CI 2.18-28.91).</w:t>
      </w:r>
      <w:r w:rsidRPr="008335F2">
        <w:rPr>
          <w:rFonts w:cstheme="minorHAnsi"/>
          <w:color w:val="000000" w:themeColor="text1"/>
          <w:sz w:val="24"/>
          <w:szCs w:val="24"/>
        </w:rPr>
        <w:t xml:space="preserve"> Group mean</w:t>
      </w:r>
      <w:r w:rsidR="00044356" w:rsidRPr="008335F2">
        <w:rPr>
          <w:rFonts w:cstheme="minorHAnsi"/>
          <w:color w:val="000000" w:themeColor="text1"/>
          <w:sz w:val="24"/>
          <w:szCs w:val="24"/>
        </w:rPr>
        <w:t>s</w:t>
      </w:r>
      <w:r w:rsidRPr="008335F2">
        <w:rPr>
          <w:rFonts w:cstheme="minorHAnsi"/>
          <w:color w:val="000000" w:themeColor="text1"/>
          <w:sz w:val="24"/>
          <w:szCs w:val="24"/>
        </w:rPr>
        <w:t xml:space="preserve"> are </w:t>
      </w:r>
      <w:r w:rsidR="009B6863" w:rsidRPr="008335F2">
        <w:rPr>
          <w:rFonts w:cstheme="minorHAnsi"/>
          <w:color w:val="000000" w:themeColor="text1"/>
          <w:sz w:val="24"/>
          <w:szCs w:val="24"/>
        </w:rPr>
        <w:t>presented</w:t>
      </w:r>
      <w:r w:rsidRPr="008335F2">
        <w:rPr>
          <w:rFonts w:cstheme="minorHAnsi"/>
          <w:color w:val="000000" w:themeColor="text1"/>
          <w:sz w:val="24"/>
          <w:szCs w:val="24"/>
        </w:rPr>
        <w:t xml:space="preserve"> in Figure </w:t>
      </w:r>
      <w:r w:rsidR="00B34735" w:rsidRPr="008335F2">
        <w:rPr>
          <w:rFonts w:cstheme="minorHAnsi"/>
          <w:color w:val="000000" w:themeColor="text1"/>
          <w:sz w:val="24"/>
          <w:szCs w:val="24"/>
        </w:rPr>
        <w:t>5</w:t>
      </w:r>
      <w:r w:rsidRPr="008335F2">
        <w:rPr>
          <w:rFonts w:cstheme="minorHAnsi"/>
          <w:color w:val="000000" w:themeColor="text1"/>
          <w:sz w:val="24"/>
          <w:szCs w:val="24"/>
        </w:rPr>
        <w:t xml:space="preserve">. </w:t>
      </w:r>
    </w:p>
    <w:p w14:paraId="3CFFF937" w14:textId="04463247" w:rsidR="00253465" w:rsidRPr="008335F2" w:rsidRDefault="00253465" w:rsidP="00FE100C">
      <w:pPr>
        <w:spacing w:line="360" w:lineRule="auto"/>
        <w:rPr>
          <w:rFonts w:cstheme="minorHAnsi"/>
          <w:color w:val="000000" w:themeColor="text1"/>
          <w:sz w:val="24"/>
          <w:szCs w:val="24"/>
        </w:rPr>
      </w:pPr>
    </w:p>
    <w:p w14:paraId="5C557C87" w14:textId="3CED2776" w:rsidR="00253465" w:rsidRPr="008335F2" w:rsidRDefault="00253465" w:rsidP="00FE100C">
      <w:pPr>
        <w:spacing w:line="360" w:lineRule="auto"/>
        <w:rPr>
          <w:rFonts w:cstheme="minorHAnsi"/>
          <w:b/>
          <w:bCs/>
          <w:i/>
          <w:iCs/>
          <w:color w:val="000000" w:themeColor="text1"/>
          <w:sz w:val="24"/>
          <w:szCs w:val="24"/>
        </w:rPr>
      </w:pPr>
      <w:r w:rsidRPr="008335F2">
        <w:rPr>
          <w:rFonts w:cstheme="minorHAnsi"/>
          <w:b/>
          <w:bCs/>
          <w:i/>
          <w:iCs/>
          <w:color w:val="000000" w:themeColor="text1"/>
          <w:sz w:val="24"/>
          <w:szCs w:val="24"/>
        </w:rPr>
        <w:t xml:space="preserve">[Insert Figure </w:t>
      </w:r>
      <w:r w:rsidR="00B34735" w:rsidRPr="008335F2">
        <w:rPr>
          <w:rFonts w:cstheme="minorHAnsi"/>
          <w:b/>
          <w:bCs/>
          <w:i/>
          <w:iCs/>
          <w:color w:val="000000" w:themeColor="text1"/>
          <w:sz w:val="24"/>
          <w:szCs w:val="24"/>
        </w:rPr>
        <w:t>5</w:t>
      </w:r>
      <w:r w:rsidRPr="008335F2">
        <w:rPr>
          <w:rFonts w:cstheme="minorHAnsi"/>
          <w:b/>
          <w:bCs/>
          <w:i/>
          <w:iCs/>
          <w:color w:val="000000" w:themeColor="text1"/>
          <w:sz w:val="24"/>
          <w:szCs w:val="24"/>
        </w:rPr>
        <w:t xml:space="preserve"> near here]</w:t>
      </w:r>
    </w:p>
    <w:p w14:paraId="1403707D" w14:textId="77777777" w:rsidR="00253465" w:rsidRPr="008335F2" w:rsidRDefault="00253465" w:rsidP="00FE100C">
      <w:pPr>
        <w:spacing w:line="360" w:lineRule="auto"/>
        <w:rPr>
          <w:rFonts w:cstheme="minorHAnsi"/>
          <w:color w:val="000000" w:themeColor="text1"/>
          <w:sz w:val="24"/>
          <w:szCs w:val="24"/>
        </w:rPr>
      </w:pPr>
    </w:p>
    <w:p w14:paraId="73E782EA" w14:textId="77777777" w:rsidR="007D2A94" w:rsidRPr="008335F2" w:rsidRDefault="007D2A94" w:rsidP="00FE100C">
      <w:pPr>
        <w:spacing w:line="360" w:lineRule="auto"/>
        <w:rPr>
          <w:b/>
          <w:bCs/>
          <w:color w:val="000000" w:themeColor="text1"/>
          <w:sz w:val="24"/>
          <w:szCs w:val="24"/>
        </w:rPr>
      </w:pPr>
      <w:bookmarkStart w:id="8" w:name="_Hlk87701082"/>
      <w:bookmarkStart w:id="9" w:name="_Hlk87104252"/>
      <w:bookmarkEnd w:id="1"/>
      <w:bookmarkEnd w:id="6"/>
      <w:bookmarkEnd w:id="7"/>
      <w:r w:rsidRPr="008335F2">
        <w:rPr>
          <w:b/>
          <w:bCs/>
          <w:color w:val="000000" w:themeColor="text1"/>
          <w:sz w:val="24"/>
          <w:szCs w:val="24"/>
        </w:rPr>
        <w:t>Discussion</w:t>
      </w:r>
    </w:p>
    <w:p w14:paraId="061B3C06" w14:textId="690D4834" w:rsidR="007D2A94" w:rsidRPr="008335F2" w:rsidRDefault="00D30E73" w:rsidP="00FE100C">
      <w:pPr>
        <w:spacing w:line="360" w:lineRule="auto"/>
        <w:rPr>
          <w:color w:val="000000" w:themeColor="text1"/>
          <w:sz w:val="24"/>
          <w:szCs w:val="24"/>
        </w:rPr>
      </w:pPr>
      <w:r w:rsidRPr="008335F2">
        <w:rPr>
          <w:color w:val="000000" w:themeColor="text1"/>
          <w:sz w:val="24"/>
          <w:szCs w:val="24"/>
        </w:rPr>
        <w:t>There was</w:t>
      </w:r>
      <w:r w:rsidR="007D2A94" w:rsidRPr="008335F2">
        <w:rPr>
          <w:color w:val="000000" w:themeColor="text1"/>
          <w:sz w:val="24"/>
          <w:szCs w:val="24"/>
        </w:rPr>
        <w:t xml:space="preserve"> no significant main effect of time or interaction effect between condition and time on blood flow velocity</w:t>
      </w:r>
      <w:r w:rsidR="00566FD3" w:rsidRPr="008335F2">
        <w:rPr>
          <w:color w:val="000000" w:themeColor="text1"/>
          <w:sz w:val="24"/>
          <w:szCs w:val="24"/>
        </w:rPr>
        <w:t xml:space="preserve"> in young healthy individuals</w:t>
      </w:r>
      <w:r w:rsidR="007D2A94" w:rsidRPr="008335F2">
        <w:rPr>
          <w:color w:val="000000" w:themeColor="text1"/>
          <w:sz w:val="24"/>
          <w:szCs w:val="24"/>
        </w:rPr>
        <w:t>. T</w:t>
      </w:r>
      <w:r w:rsidR="001A266B" w:rsidRPr="008335F2">
        <w:rPr>
          <w:color w:val="000000" w:themeColor="text1"/>
          <w:sz w:val="24"/>
          <w:szCs w:val="24"/>
        </w:rPr>
        <w:t xml:space="preserve">his suggests that </w:t>
      </w:r>
      <w:r w:rsidR="007D2A94" w:rsidRPr="008335F2">
        <w:rPr>
          <w:color w:val="000000" w:themeColor="text1"/>
          <w:sz w:val="24"/>
          <w:szCs w:val="24"/>
        </w:rPr>
        <w:t>no intervention increased</w:t>
      </w:r>
      <w:r w:rsidR="00605329" w:rsidRPr="008335F2">
        <w:rPr>
          <w:color w:val="000000" w:themeColor="text1"/>
          <w:sz w:val="24"/>
          <w:szCs w:val="24"/>
        </w:rPr>
        <w:t xml:space="preserve"> venous</w:t>
      </w:r>
      <w:r w:rsidR="007D2A94" w:rsidRPr="008335F2">
        <w:rPr>
          <w:color w:val="000000" w:themeColor="text1"/>
          <w:sz w:val="24"/>
          <w:szCs w:val="24"/>
        </w:rPr>
        <w:t xml:space="preserve"> blood flow </w:t>
      </w:r>
      <w:r w:rsidR="00566FD3" w:rsidRPr="008335F2">
        <w:rPr>
          <w:color w:val="000000" w:themeColor="text1"/>
          <w:sz w:val="24"/>
          <w:szCs w:val="24"/>
        </w:rPr>
        <w:t>in the study population and t</w:t>
      </w:r>
      <w:r w:rsidR="007D2A94" w:rsidRPr="008335F2">
        <w:rPr>
          <w:color w:val="000000" w:themeColor="text1"/>
          <w:sz w:val="24"/>
          <w:szCs w:val="24"/>
        </w:rPr>
        <w:t xml:space="preserve">here was no change in systolic BP </w:t>
      </w:r>
      <w:r w:rsidR="00566FD3" w:rsidRPr="008335F2">
        <w:rPr>
          <w:color w:val="000000" w:themeColor="text1"/>
          <w:sz w:val="24"/>
          <w:szCs w:val="24"/>
        </w:rPr>
        <w:t>however,</w:t>
      </w:r>
      <w:r w:rsidR="007D2A94" w:rsidRPr="008335F2">
        <w:rPr>
          <w:color w:val="000000" w:themeColor="text1"/>
          <w:sz w:val="24"/>
          <w:szCs w:val="24"/>
        </w:rPr>
        <w:t xml:space="preserve"> HR significantly increased after walking.</w:t>
      </w:r>
    </w:p>
    <w:p w14:paraId="6C8D3E08" w14:textId="77777777" w:rsidR="00CA5667" w:rsidRPr="008335F2" w:rsidRDefault="00CA5667" w:rsidP="00FE100C">
      <w:pPr>
        <w:spacing w:line="360" w:lineRule="auto"/>
        <w:rPr>
          <w:b/>
          <w:bCs/>
          <w:i/>
          <w:iCs/>
          <w:color w:val="000000" w:themeColor="text1"/>
          <w:sz w:val="24"/>
          <w:szCs w:val="24"/>
        </w:rPr>
      </w:pPr>
    </w:p>
    <w:p w14:paraId="2157AEBA" w14:textId="6469E99A" w:rsidR="007D2A94" w:rsidRPr="008335F2" w:rsidRDefault="007D2A94" w:rsidP="00FE100C">
      <w:pPr>
        <w:spacing w:line="360" w:lineRule="auto"/>
        <w:rPr>
          <w:color w:val="000000" w:themeColor="text1"/>
          <w:sz w:val="24"/>
          <w:szCs w:val="24"/>
        </w:rPr>
      </w:pPr>
      <w:r w:rsidRPr="008335F2">
        <w:rPr>
          <w:color w:val="000000" w:themeColor="text1"/>
          <w:sz w:val="24"/>
          <w:szCs w:val="24"/>
        </w:rPr>
        <w:t xml:space="preserve">The results contrast evidence that voluntary ankle exercises increase blood flow, including preliminary research on the Leeper that found blood flow velocity increased. </w:t>
      </w:r>
      <w:r w:rsidR="00373632" w:rsidRPr="008335F2">
        <w:rPr>
          <w:color w:val="000000" w:themeColor="text1"/>
          <w:sz w:val="24"/>
          <w:szCs w:val="24"/>
        </w:rPr>
        <w:t>A</w:t>
      </w:r>
      <w:r w:rsidRPr="008335F2">
        <w:rPr>
          <w:color w:val="000000" w:themeColor="text1"/>
          <w:sz w:val="24"/>
          <w:szCs w:val="24"/>
        </w:rPr>
        <w:t xml:space="preserve">rterial blood flow velocity </w:t>
      </w:r>
      <w:r w:rsidR="00373632" w:rsidRPr="008335F2">
        <w:rPr>
          <w:color w:val="000000" w:themeColor="text1"/>
          <w:sz w:val="24"/>
          <w:szCs w:val="24"/>
        </w:rPr>
        <w:t xml:space="preserve">was measured whilst </w:t>
      </w:r>
      <w:r w:rsidRPr="008335F2">
        <w:rPr>
          <w:color w:val="000000" w:themeColor="text1"/>
          <w:sz w:val="24"/>
          <w:szCs w:val="24"/>
        </w:rPr>
        <w:t>the present study measured venous velocity which is significantly slower than arterial (Klarh</w:t>
      </w:r>
      <w:r w:rsidRPr="008335F2">
        <w:rPr>
          <w:rFonts w:cstheme="minorHAnsi"/>
          <w:color w:val="000000" w:themeColor="text1"/>
          <w:sz w:val="24"/>
          <w:szCs w:val="24"/>
        </w:rPr>
        <w:t>ö</w:t>
      </w:r>
      <w:r w:rsidRPr="008335F2">
        <w:rPr>
          <w:color w:val="000000" w:themeColor="text1"/>
          <w:sz w:val="24"/>
          <w:szCs w:val="24"/>
        </w:rPr>
        <w:t xml:space="preserve">fer </w:t>
      </w:r>
      <w:r w:rsidRPr="008335F2">
        <w:rPr>
          <w:i/>
          <w:iCs/>
          <w:color w:val="000000" w:themeColor="text1"/>
          <w:sz w:val="24"/>
          <w:szCs w:val="24"/>
        </w:rPr>
        <w:t xml:space="preserve">et al., </w:t>
      </w:r>
      <w:r w:rsidRPr="008335F2">
        <w:rPr>
          <w:color w:val="000000" w:themeColor="text1"/>
          <w:sz w:val="24"/>
          <w:szCs w:val="24"/>
        </w:rPr>
        <w:t xml:space="preserve">2001). The </w:t>
      </w:r>
      <w:r w:rsidR="008A0C13" w:rsidRPr="008335F2">
        <w:rPr>
          <w:color w:val="000000" w:themeColor="text1"/>
          <w:sz w:val="24"/>
          <w:szCs w:val="24"/>
        </w:rPr>
        <w:t>present results</w:t>
      </w:r>
      <w:r w:rsidRPr="008335F2">
        <w:rPr>
          <w:color w:val="000000" w:themeColor="text1"/>
          <w:sz w:val="24"/>
          <w:szCs w:val="24"/>
        </w:rPr>
        <w:t xml:space="preserve"> also contrast published research on similar exercise devices, reporting increased velocity (Sochart and Hardinge, 1999; Tanaka </w:t>
      </w:r>
      <w:r w:rsidRPr="008335F2">
        <w:rPr>
          <w:i/>
          <w:iCs/>
          <w:color w:val="000000" w:themeColor="text1"/>
          <w:sz w:val="24"/>
          <w:szCs w:val="24"/>
        </w:rPr>
        <w:t>et al.,</w:t>
      </w:r>
      <w:r w:rsidRPr="008335F2">
        <w:rPr>
          <w:color w:val="000000" w:themeColor="text1"/>
          <w:sz w:val="24"/>
          <w:szCs w:val="24"/>
        </w:rPr>
        <w:t xml:space="preserve"> 2016). These studies measured blood flow at the femoral vein whereas the present study used the posterior tibial vein. Blood flow velocity is affected by vessel diameter and proximal blood vessels have larger diameters (Jin </w:t>
      </w:r>
      <w:r w:rsidRPr="008335F2">
        <w:rPr>
          <w:i/>
          <w:iCs/>
          <w:color w:val="000000" w:themeColor="text1"/>
          <w:sz w:val="24"/>
          <w:szCs w:val="24"/>
        </w:rPr>
        <w:t>et al.,</w:t>
      </w:r>
      <w:r w:rsidRPr="008335F2">
        <w:rPr>
          <w:color w:val="000000" w:themeColor="text1"/>
          <w:sz w:val="24"/>
          <w:szCs w:val="24"/>
        </w:rPr>
        <w:t xml:space="preserve"> 2017; Lee </w:t>
      </w:r>
      <w:r w:rsidRPr="008335F2">
        <w:rPr>
          <w:i/>
          <w:iCs/>
          <w:color w:val="000000" w:themeColor="text1"/>
          <w:sz w:val="24"/>
          <w:szCs w:val="24"/>
        </w:rPr>
        <w:t>et al.,</w:t>
      </w:r>
      <w:r w:rsidRPr="008335F2">
        <w:rPr>
          <w:color w:val="000000" w:themeColor="text1"/>
          <w:sz w:val="24"/>
          <w:szCs w:val="24"/>
        </w:rPr>
        <w:t xml:space="preserve"> 2017). Therefore, difference in diameters between the posterior tibial and femoral vein </w:t>
      </w:r>
      <w:r w:rsidRPr="008335F2">
        <w:rPr>
          <w:color w:val="000000" w:themeColor="text1"/>
          <w:sz w:val="24"/>
          <w:szCs w:val="24"/>
        </w:rPr>
        <w:lastRenderedPageBreak/>
        <w:t xml:space="preserve">could explain the contrasting results. Different measurement sites limit how results can be compared to existing literature. </w:t>
      </w:r>
    </w:p>
    <w:p w14:paraId="734D2BC4" w14:textId="77777777" w:rsidR="00373632" w:rsidRPr="008335F2" w:rsidRDefault="00373632" w:rsidP="00FE100C">
      <w:pPr>
        <w:spacing w:line="360" w:lineRule="auto"/>
        <w:rPr>
          <w:color w:val="000000" w:themeColor="text1"/>
          <w:sz w:val="24"/>
          <w:szCs w:val="24"/>
        </w:rPr>
      </w:pPr>
    </w:p>
    <w:p w14:paraId="3BD6DFE6" w14:textId="4CF52A8A" w:rsidR="007D2A94" w:rsidRPr="008335F2" w:rsidRDefault="007D2A94" w:rsidP="002F6724">
      <w:pPr>
        <w:spacing w:line="360" w:lineRule="auto"/>
        <w:rPr>
          <w:color w:val="000000" w:themeColor="text1"/>
          <w:sz w:val="24"/>
          <w:szCs w:val="24"/>
        </w:rPr>
      </w:pPr>
      <w:r w:rsidRPr="008335F2">
        <w:rPr>
          <w:color w:val="000000" w:themeColor="text1"/>
          <w:sz w:val="24"/>
          <w:szCs w:val="24"/>
        </w:rPr>
        <w:t>Type of movement could have affected blood flow. The devices used in previous studies allowed dorsiflexion, plantarflexion, inversion and eversion whereas the Leeper only permitte</w:t>
      </w:r>
      <w:r w:rsidR="00236A78" w:rsidRPr="008335F2">
        <w:rPr>
          <w:color w:val="000000" w:themeColor="text1"/>
          <w:sz w:val="24"/>
          <w:szCs w:val="24"/>
        </w:rPr>
        <w:t xml:space="preserve">d dorsiflexion and </w:t>
      </w:r>
      <w:r w:rsidRPr="008335F2">
        <w:rPr>
          <w:color w:val="000000" w:themeColor="text1"/>
          <w:sz w:val="24"/>
          <w:szCs w:val="24"/>
        </w:rPr>
        <w:t xml:space="preserve">plantarflexion (Sochart and Hardinge, 1999; Tanaka </w:t>
      </w:r>
      <w:r w:rsidRPr="008335F2">
        <w:rPr>
          <w:i/>
          <w:iCs/>
          <w:color w:val="000000" w:themeColor="text1"/>
          <w:sz w:val="24"/>
          <w:szCs w:val="24"/>
        </w:rPr>
        <w:t>et al.,</w:t>
      </w:r>
      <w:r w:rsidRPr="008335F2">
        <w:rPr>
          <w:color w:val="000000" w:themeColor="text1"/>
          <w:sz w:val="24"/>
          <w:szCs w:val="24"/>
        </w:rPr>
        <w:t xml:space="preserve"> 2016). Sochart and Hardinge (1999) found that blood flow velocity increased to a greater extent when exercise combined all four movements. This could explain why velocity did not increase for the Leeper condition. However, normal gait involves</w:t>
      </w:r>
      <w:r w:rsidR="00236A78" w:rsidRPr="008335F2">
        <w:rPr>
          <w:color w:val="000000" w:themeColor="text1"/>
          <w:sz w:val="24"/>
          <w:szCs w:val="24"/>
        </w:rPr>
        <w:t xml:space="preserve"> dorsiflexion,</w:t>
      </w:r>
      <w:r w:rsidRPr="008335F2">
        <w:rPr>
          <w:color w:val="000000" w:themeColor="text1"/>
          <w:sz w:val="24"/>
          <w:szCs w:val="24"/>
        </w:rPr>
        <w:t xml:space="preserve"> plantarflexion, inversion and eversion (Brockett and Chapman, 2016)</w:t>
      </w:r>
      <w:r w:rsidR="00976B09" w:rsidRPr="008335F2">
        <w:rPr>
          <w:color w:val="000000" w:themeColor="text1"/>
          <w:sz w:val="24"/>
          <w:szCs w:val="24"/>
        </w:rPr>
        <w:t>,</w:t>
      </w:r>
      <w:r w:rsidRPr="008335F2">
        <w:rPr>
          <w:color w:val="000000" w:themeColor="text1"/>
          <w:sz w:val="24"/>
          <w:szCs w:val="24"/>
        </w:rPr>
        <w:t xml:space="preserve"> therefore it does not explain why velocity did not increase during walking. The duration of the rest period also differed between studies. This study utilised a 10-minute rest, whereas those reporting increased blood flow ranged from 20 minutes to 2 hours (Carter </w:t>
      </w:r>
      <w:r w:rsidRPr="008335F2">
        <w:rPr>
          <w:i/>
          <w:iCs/>
          <w:color w:val="000000" w:themeColor="text1"/>
          <w:sz w:val="24"/>
          <w:szCs w:val="24"/>
        </w:rPr>
        <w:t>et al.,</w:t>
      </w:r>
      <w:r w:rsidRPr="008335F2">
        <w:rPr>
          <w:color w:val="000000" w:themeColor="text1"/>
          <w:sz w:val="24"/>
          <w:szCs w:val="24"/>
        </w:rPr>
        <w:t xml:space="preserve"> 2019; Tanaka </w:t>
      </w:r>
      <w:r w:rsidRPr="008335F2">
        <w:rPr>
          <w:i/>
          <w:iCs/>
          <w:color w:val="000000" w:themeColor="text1"/>
          <w:sz w:val="24"/>
          <w:szCs w:val="24"/>
        </w:rPr>
        <w:t>et al.,</w:t>
      </w:r>
      <w:r w:rsidRPr="008335F2">
        <w:rPr>
          <w:color w:val="000000" w:themeColor="text1"/>
          <w:sz w:val="24"/>
          <w:szCs w:val="24"/>
        </w:rPr>
        <w:t xml:space="preserve"> 2016). Sitting causes blood flow to decline and pool in the lower extremities (Thosar </w:t>
      </w:r>
      <w:r w:rsidRPr="008335F2">
        <w:rPr>
          <w:i/>
          <w:iCs/>
          <w:color w:val="000000" w:themeColor="text1"/>
          <w:sz w:val="24"/>
          <w:szCs w:val="24"/>
        </w:rPr>
        <w:t>et al.,</w:t>
      </w:r>
      <w:r w:rsidRPr="008335F2">
        <w:rPr>
          <w:color w:val="000000" w:themeColor="text1"/>
          <w:sz w:val="24"/>
          <w:szCs w:val="24"/>
        </w:rPr>
        <w:t xml:space="preserve"> 2015). Blood flow velocity during exercise is affected by the amount of pooling beforehand (Sochart and Hardinge, 1999)</w:t>
      </w:r>
      <w:r w:rsidR="00976B09" w:rsidRPr="008335F2">
        <w:rPr>
          <w:color w:val="000000" w:themeColor="text1"/>
          <w:sz w:val="24"/>
          <w:szCs w:val="24"/>
        </w:rPr>
        <w:t>, ther</w:t>
      </w:r>
      <w:r w:rsidRPr="008335F2">
        <w:rPr>
          <w:color w:val="000000" w:themeColor="text1"/>
          <w:sz w:val="24"/>
          <w:szCs w:val="24"/>
        </w:rPr>
        <w:t xml:space="preserve">efore studies utilising longer rest periods could have found </w:t>
      </w:r>
      <w:r w:rsidR="004D6066" w:rsidRPr="008335F2">
        <w:rPr>
          <w:color w:val="000000" w:themeColor="text1"/>
          <w:sz w:val="24"/>
          <w:szCs w:val="24"/>
        </w:rPr>
        <w:t>larger</w:t>
      </w:r>
      <w:r w:rsidRPr="008335F2">
        <w:rPr>
          <w:color w:val="000000" w:themeColor="text1"/>
          <w:sz w:val="24"/>
          <w:szCs w:val="24"/>
        </w:rPr>
        <w:t xml:space="preserve"> changes in velocity due to increased blood pooling. </w:t>
      </w:r>
      <w:r w:rsidR="002F6724" w:rsidRPr="008335F2">
        <w:rPr>
          <w:color w:val="000000" w:themeColor="text1"/>
          <w:sz w:val="24"/>
          <w:szCs w:val="24"/>
        </w:rPr>
        <w:t>The duration of sedentary behaviour of the participants prior to their participation was not recorded and may have impacted the distribution of blood throughout their lower limbs. However, each participant completed a seated rest period of 10 minutes in which blood flow measurements have been shown to return to pre-exercise levels, prior to beginning the first intervention (Carter et al., 2019).</w:t>
      </w:r>
    </w:p>
    <w:p w14:paraId="1EF60937" w14:textId="77777777" w:rsidR="004D6066" w:rsidRPr="008335F2" w:rsidRDefault="004D6066" w:rsidP="00FE100C">
      <w:pPr>
        <w:spacing w:line="360" w:lineRule="auto"/>
        <w:rPr>
          <w:color w:val="000000" w:themeColor="text1"/>
          <w:sz w:val="24"/>
          <w:szCs w:val="24"/>
        </w:rPr>
      </w:pPr>
    </w:p>
    <w:p w14:paraId="1C3A082E" w14:textId="1B8FC059" w:rsidR="004701D5" w:rsidRPr="008335F2" w:rsidRDefault="007D2A94" w:rsidP="00FE100C">
      <w:pPr>
        <w:spacing w:line="360" w:lineRule="auto"/>
        <w:rPr>
          <w:color w:val="000000" w:themeColor="text1"/>
          <w:sz w:val="24"/>
          <w:szCs w:val="24"/>
        </w:rPr>
      </w:pPr>
      <w:r w:rsidRPr="008335F2">
        <w:rPr>
          <w:color w:val="000000" w:themeColor="text1"/>
          <w:sz w:val="24"/>
          <w:szCs w:val="24"/>
        </w:rPr>
        <w:t xml:space="preserve">Previous literature on the </w:t>
      </w:r>
      <w:r w:rsidR="00F12E49" w:rsidRPr="008335F2">
        <w:rPr>
          <w:color w:val="000000" w:themeColor="text1"/>
          <w:sz w:val="24"/>
          <w:szCs w:val="24"/>
        </w:rPr>
        <w:t>EMS</w:t>
      </w:r>
      <w:r w:rsidRPr="008335F2">
        <w:rPr>
          <w:color w:val="000000" w:themeColor="text1"/>
          <w:sz w:val="24"/>
          <w:szCs w:val="24"/>
        </w:rPr>
        <w:t xml:space="preserve"> is conflicting. </w:t>
      </w:r>
      <w:r w:rsidR="008A0C13" w:rsidRPr="008335F2">
        <w:rPr>
          <w:color w:val="000000" w:themeColor="text1"/>
          <w:sz w:val="24"/>
          <w:szCs w:val="24"/>
        </w:rPr>
        <w:t>Our</w:t>
      </w:r>
      <w:r w:rsidRPr="008335F2">
        <w:rPr>
          <w:color w:val="000000" w:themeColor="text1"/>
          <w:sz w:val="24"/>
          <w:szCs w:val="24"/>
        </w:rPr>
        <w:t xml:space="preserve"> </w:t>
      </w:r>
      <w:r w:rsidR="008A0C13" w:rsidRPr="008335F2">
        <w:rPr>
          <w:color w:val="000000" w:themeColor="text1"/>
          <w:sz w:val="24"/>
          <w:szCs w:val="24"/>
        </w:rPr>
        <w:t>findings</w:t>
      </w:r>
      <w:r w:rsidRPr="008335F2">
        <w:rPr>
          <w:color w:val="000000" w:themeColor="text1"/>
          <w:sz w:val="24"/>
          <w:szCs w:val="24"/>
        </w:rPr>
        <w:t xml:space="preserve"> are similar to Varatharajan </w:t>
      </w:r>
      <w:r w:rsidRPr="008335F2">
        <w:rPr>
          <w:i/>
          <w:iCs/>
          <w:color w:val="000000" w:themeColor="text1"/>
          <w:sz w:val="24"/>
          <w:szCs w:val="24"/>
        </w:rPr>
        <w:t>et al.,</w:t>
      </w:r>
      <w:r w:rsidRPr="008335F2">
        <w:rPr>
          <w:color w:val="000000" w:themeColor="text1"/>
          <w:sz w:val="24"/>
          <w:szCs w:val="24"/>
        </w:rPr>
        <w:t xml:space="preserve"> (2014) who reported no increase in </w:t>
      </w:r>
      <w:r w:rsidR="008D1DEE" w:rsidRPr="008335F2">
        <w:rPr>
          <w:color w:val="000000" w:themeColor="text1"/>
          <w:sz w:val="24"/>
          <w:szCs w:val="24"/>
        </w:rPr>
        <w:t xml:space="preserve">venous </w:t>
      </w:r>
      <w:r w:rsidRPr="008335F2">
        <w:rPr>
          <w:color w:val="000000" w:themeColor="text1"/>
          <w:sz w:val="24"/>
          <w:szCs w:val="24"/>
        </w:rPr>
        <w:t xml:space="preserve">blood flow velocity but contrast Ravikumar </w:t>
      </w:r>
      <w:r w:rsidRPr="008335F2">
        <w:rPr>
          <w:i/>
          <w:iCs/>
          <w:color w:val="000000" w:themeColor="text1"/>
          <w:sz w:val="24"/>
          <w:szCs w:val="24"/>
        </w:rPr>
        <w:t>et al.,</w:t>
      </w:r>
      <w:r w:rsidRPr="008335F2">
        <w:rPr>
          <w:color w:val="000000" w:themeColor="text1"/>
          <w:sz w:val="24"/>
          <w:szCs w:val="24"/>
        </w:rPr>
        <w:t xml:space="preserve"> (2021) who report increased velocity. EMS intensity and duration could be contributing factors, in this study the device was used for 8 minutes and intensity increased until a tolerable calf muscle contraction was elicited. Ravikumar </w:t>
      </w:r>
      <w:r w:rsidRPr="008335F2">
        <w:rPr>
          <w:i/>
          <w:iCs/>
          <w:color w:val="000000" w:themeColor="text1"/>
          <w:sz w:val="24"/>
          <w:szCs w:val="24"/>
        </w:rPr>
        <w:t>et al.,</w:t>
      </w:r>
      <w:r w:rsidRPr="008335F2">
        <w:rPr>
          <w:color w:val="000000" w:themeColor="text1"/>
          <w:sz w:val="24"/>
          <w:szCs w:val="24"/>
        </w:rPr>
        <w:t xml:space="preserve"> (2021) used the device for 30 minutes and intensity was set at double the intensity required to elicit a visible calf muscle contraction, therefore duration and intensity were higher and could explain </w:t>
      </w:r>
      <w:r w:rsidRPr="008335F2">
        <w:rPr>
          <w:color w:val="000000" w:themeColor="text1"/>
          <w:sz w:val="24"/>
          <w:szCs w:val="24"/>
        </w:rPr>
        <w:lastRenderedPageBreak/>
        <w:t xml:space="preserve">increased blood flow velocity. However, Varatharajan </w:t>
      </w:r>
      <w:r w:rsidRPr="008335F2">
        <w:rPr>
          <w:i/>
          <w:iCs/>
          <w:color w:val="000000" w:themeColor="text1"/>
          <w:sz w:val="24"/>
          <w:szCs w:val="24"/>
        </w:rPr>
        <w:t>et al.,</w:t>
      </w:r>
      <w:r w:rsidRPr="008335F2">
        <w:rPr>
          <w:color w:val="000000" w:themeColor="text1"/>
          <w:sz w:val="24"/>
          <w:szCs w:val="24"/>
        </w:rPr>
        <w:t xml:space="preserve"> (2014) used the same intensity and duration as Ravikumar </w:t>
      </w:r>
      <w:r w:rsidRPr="008335F2">
        <w:rPr>
          <w:i/>
          <w:iCs/>
          <w:color w:val="000000" w:themeColor="text1"/>
          <w:sz w:val="24"/>
          <w:szCs w:val="24"/>
        </w:rPr>
        <w:t>et al.,</w:t>
      </w:r>
      <w:r w:rsidRPr="008335F2">
        <w:rPr>
          <w:color w:val="000000" w:themeColor="text1"/>
          <w:sz w:val="24"/>
          <w:szCs w:val="24"/>
        </w:rPr>
        <w:t xml:space="preserve"> (2021).</w:t>
      </w:r>
      <w:r w:rsidR="00367147" w:rsidRPr="008335F2">
        <w:rPr>
          <w:color w:val="000000" w:themeColor="text1"/>
          <w:sz w:val="24"/>
          <w:szCs w:val="24"/>
        </w:rPr>
        <w:t xml:space="preserve"> </w:t>
      </w:r>
      <w:r w:rsidR="004701D5" w:rsidRPr="008335F2">
        <w:rPr>
          <w:color w:val="000000" w:themeColor="text1"/>
          <w:sz w:val="24"/>
          <w:szCs w:val="24"/>
        </w:rPr>
        <w:t xml:space="preserve">Therefore, there are likely other contributing factors, such as dry skin preventing EMS transmission and </w:t>
      </w:r>
      <w:r w:rsidR="00CD1C35" w:rsidRPr="008335F2">
        <w:rPr>
          <w:color w:val="000000" w:themeColor="text1"/>
          <w:sz w:val="24"/>
          <w:szCs w:val="24"/>
        </w:rPr>
        <w:t>equipment</w:t>
      </w:r>
      <w:r w:rsidR="004701D5" w:rsidRPr="008335F2">
        <w:rPr>
          <w:color w:val="000000" w:themeColor="text1"/>
          <w:sz w:val="24"/>
          <w:szCs w:val="24"/>
        </w:rPr>
        <w:t xml:space="preserve"> reliability (Ravikumar </w:t>
      </w:r>
      <w:r w:rsidR="004701D5" w:rsidRPr="008335F2">
        <w:rPr>
          <w:i/>
          <w:iCs/>
          <w:color w:val="000000" w:themeColor="text1"/>
          <w:sz w:val="24"/>
          <w:szCs w:val="24"/>
        </w:rPr>
        <w:t>et al.,</w:t>
      </w:r>
      <w:r w:rsidR="004701D5" w:rsidRPr="008335F2">
        <w:rPr>
          <w:color w:val="000000" w:themeColor="text1"/>
          <w:sz w:val="24"/>
          <w:szCs w:val="24"/>
        </w:rPr>
        <w:t xml:space="preserve"> 2021).</w:t>
      </w:r>
    </w:p>
    <w:p w14:paraId="55332044" w14:textId="77777777" w:rsidR="00F12E49" w:rsidRPr="008335F2" w:rsidRDefault="00F12E49" w:rsidP="00FE100C">
      <w:pPr>
        <w:spacing w:line="360" w:lineRule="auto"/>
        <w:rPr>
          <w:color w:val="000000" w:themeColor="text1"/>
          <w:sz w:val="24"/>
          <w:szCs w:val="24"/>
        </w:rPr>
      </w:pPr>
    </w:p>
    <w:p w14:paraId="01BE6BF4" w14:textId="74D2C742" w:rsidR="007D2A94" w:rsidRPr="008335F2" w:rsidRDefault="007D2A94" w:rsidP="00FE100C">
      <w:pPr>
        <w:spacing w:line="360" w:lineRule="auto"/>
        <w:rPr>
          <w:color w:val="000000" w:themeColor="text1"/>
          <w:sz w:val="24"/>
          <w:szCs w:val="24"/>
        </w:rPr>
      </w:pPr>
      <w:r w:rsidRPr="008335F2">
        <w:rPr>
          <w:color w:val="000000" w:themeColor="text1"/>
          <w:sz w:val="24"/>
          <w:szCs w:val="24"/>
        </w:rPr>
        <w:t xml:space="preserve">The results contrast previous evidence that voluntary and involuntary muscle contractions increase blood flow, therefore the reliability of the equipment used in this study could have influenced the results. The posterior tibial vein was marked during the first blood flow recording, a consistent waveform was recorded at this site during the first measurement however this varied for subsequent measures. Blood flow could often be heard through the doppler’s audio </w:t>
      </w:r>
      <w:r w:rsidR="006A4D44" w:rsidRPr="008335F2">
        <w:rPr>
          <w:color w:val="000000" w:themeColor="text1"/>
          <w:sz w:val="24"/>
          <w:szCs w:val="24"/>
        </w:rPr>
        <w:t>function,</w:t>
      </w:r>
      <w:r w:rsidRPr="008335F2">
        <w:rPr>
          <w:color w:val="000000" w:themeColor="text1"/>
          <w:sz w:val="24"/>
          <w:szCs w:val="24"/>
        </w:rPr>
        <w:t xml:space="preserve"> but no waveform was visible. The probe was moved until a waveform was observable however this took </w:t>
      </w:r>
      <w:r w:rsidR="002F6724" w:rsidRPr="008335F2">
        <w:rPr>
          <w:color w:val="000000" w:themeColor="text1"/>
          <w:sz w:val="24"/>
          <w:szCs w:val="24"/>
        </w:rPr>
        <w:t>approximately 15 seconds per recording and this may have had an impact on the rate of blood flow</w:t>
      </w:r>
      <w:r w:rsidRPr="008335F2">
        <w:rPr>
          <w:color w:val="000000" w:themeColor="text1"/>
          <w:sz w:val="24"/>
          <w:szCs w:val="24"/>
        </w:rPr>
        <w:t xml:space="preserve">. Blood flow velocity can return to baseline values within 5 minutes of exercise cessation, therefore velocity might have increased during exercise but decreased before the waveform was recorded (Thosar </w:t>
      </w:r>
      <w:r w:rsidRPr="008335F2">
        <w:rPr>
          <w:i/>
          <w:iCs/>
          <w:color w:val="000000" w:themeColor="text1"/>
          <w:sz w:val="24"/>
          <w:szCs w:val="24"/>
        </w:rPr>
        <w:t>et al.,</w:t>
      </w:r>
      <w:r w:rsidRPr="008335F2">
        <w:rPr>
          <w:color w:val="000000" w:themeColor="text1"/>
          <w:sz w:val="24"/>
          <w:szCs w:val="24"/>
        </w:rPr>
        <w:t xml:space="preserve"> 2015).</w:t>
      </w:r>
      <w:r w:rsidR="002F6724" w:rsidRPr="008335F2">
        <w:rPr>
          <w:color w:val="000000" w:themeColor="text1"/>
          <w:sz w:val="24"/>
          <w:szCs w:val="24"/>
        </w:rPr>
        <w:t xml:space="preserve"> </w:t>
      </w:r>
    </w:p>
    <w:p w14:paraId="19786B9D" w14:textId="77777777" w:rsidR="00BF5D51" w:rsidRPr="008335F2" w:rsidRDefault="00BF5D51" w:rsidP="00FE100C">
      <w:pPr>
        <w:spacing w:line="360" w:lineRule="auto"/>
        <w:rPr>
          <w:b/>
          <w:bCs/>
          <w:i/>
          <w:iCs/>
          <w:color w:val="000000" w:themeColor="text1"/>
          <w:sz w:val="24"/>
          <w:szCs w:val="24"/>
        </w:rPr>
      </w:pPr>
    </w:p>
    <w:p w14:paraId="12B2DD0B" w14:textId="48012FC1" w:rsidR="007D2A94" w:rsidRPr="008335F2" w:rsidRDefault="007D2A94" w:rsidP="00FE100C">
      <w:pPr>
        <w:spacing w:line="360" w:lineRule="auto"/>
        <w:rPr>
          <w:color w:val="000000" w:themeColor="text1"/>
          <w:sz w:val="24"/>
          <w:szCs w:val="24"/>
        </w:rPr>
      </w:pPr>
      <w:r w:rsidRPr="008335F2">
        <w:rPr>
          <w:color w:val="000000" w:themeColor="text1"/>
          <w:sz w:val="24"/>
          <w:szCs w:val="24"/>
        </w:rPr>
        <w:t xml:space="preserve">Systolic BP did not significantly increase after any condition. The Frank-Starling mechanism states that increased venous return causes increased cardiac output and arterial BP (Tansey </w:t>
      </w:r>
      <w:r w:rsidRPr="008335F2">
        <w:rPr>
          <w:i/>
          <w:iCs/>
          <w:color w:val="000000" w:themeColor="text1"/>
          <w:sz w:val="24"/>
          <w:szCs w:val="24"/>
        </w:rPr>
        <w:t>et al.,</w:t>
      </w:r>
      <w:r w:rsidRPr="008335F2">
        <w:rPr>
          <w:color w:val="000000" w:themeColor="text1"/>
          <w:sz w:val="24"/>
          <w:szCs w:val="24"/>
        </w:rPr>
        <w:t xml:space="preserve"> 2019). The results indicate that venous return did not increase, therefore increased BP would not be expected. Alternatively, BP could have decreased before it was recorded. Blood pressure was measured after blood flow to ensure that movement or compression did not influence blood flow. However, the time it took to record blood flow was variable and systolic BP can return to resting values within 3-4 minutes (Di</w:t>
      </w:r>
      <w:r w:rsidR="009C3704" w:rsidRPr="008335F2">
        <w:rPr>
          <w:color w:val="000000" w:themeColor="text1"/>
          <w:sz w:val="24"/>
          <w:szCs w:val="24"/>
        </w:rPr>
        <w:t>mp</w:t>
      </w:r>
      <w:r w:rsidRPr="008335F2">
        <w:rPr>
          <w:color w:val="000000" w:themeColor="text1"/>
          <w:sz w:val="24"/>
          <w:szCs w:val="24"/>
        </w:rPr>
        <w:t xml:space="preserve">ka and Ugwu, 2009). Therefore, BP could have returned to baseline before recordings were taken. </w:t>
      </w:r>
    </w:p>
    <w:p w14:paraId="741A7D8C" w14:textId="77777777" w:rsidR="006A4D44" w:rsidRPr="008335F2" w:rsidRDefault="006A4D44" w:rsidP="00FE100C">
      <w:pPr>
        <w:spacing w:line="360" w:lineRule="auto"/>
        <w:rPr>
          <w:color w:val="000000" w:themeColor="text1"/>
          <w:sz w:val="24"/>
          <w:szCs w:val="24"/>
        </w:rPr>
      </w:pPr>
    </w:p>
    <w:p w14:paraId="17B7B6FE" w14:textId="248742CD" w:rsidR="00BF5D51" w:rsidRPr="008335F2" w:rsidRDefault="007D2A94" w:rsidP="00FE100C">
      <w:pPr>
        <w:spacing w:line="360" w:lineRule="auto"/>
        <w:rPr>
          <w:b/>
          <w:bCs/>
          <w:i/>
          <w:iCs/>
          <w:color w:val="000000" w:themeColor="text1"/>
          <w:sz w:val="24"/>
          <w:szCs w:val="24"/>
        </w:rPr>
      </w:pPr>
      <w:r w:rsidRPr="008335F2">
        <w:rPr>
          <w:color w:val="000000" w:themeColor="text1"/>
          <w:sz w:val="24"/>
          <w:szCs w:val="24"/>
        </w:rPr>
        <w:t>Heart rate was significantly higher after walking but not after other conditions. Walking intensity was controlled by maintaining HR at 40%HR</w:t>
      </w:r>
      <w:r w:rsidRPr="008335F2">
        <w:rPr>
          <w:color w:val="000000" w:themeColor="text1"/>
          <w:sz w:val="24"/>
          <w:szCs w:val="24"/>
          <w:vertAlign w:val="subscript"/>
        </w:rPr>
        <w:t>max</w:t>
      </w:r>
      <w:r w:rsidR="00976B09" w:rsidRPr="008335F2">
        <w:rPr>
          <w:color w:val="000000" w:themeColor="text1"/>
          <w:sz w:val="24"/>
          <w:szCs w:val="24"/>
        </w:rPr>
        <w:t xml:space="preserve">, </w:t>
      </w:r>
      <w:r w:rsidRPr="008335F2">
        <w:rPr>
          <w:color w:val="000000" w:themeColor="text1"/>
          <w:sz w:val="24"/>
          <w:szCs w:val="24"/>
        </w:rPr>
        <w:t>therefore increased HR between pre- and post-</w:t>
      </w:r>
      <w:r w:rsidR="001A266B" w:rsidRPr="008335F2">
        <w:rPr>
          <w:color w:val="000000" w:themeColor="text1"/>
          <w:sz w:val="24"/>
          <w:szCs w:val="24"/>
        </w:rPr>
        <w:t xml:space="preserve"> </w:t>
      </w:r>
      <w:r w:rsidRPr="008335F2">
        <w:rPr>
          <w:color w:val="000000" w:themeColor="text1"/>
          <w:sz w:val="24"/>
          <w:szCs w:val="24"/>
        </w:rPr>
        <w:t xml:space="preserve">time points was expected. It is possible that intensity of the walking condition </w:t>
      </w:r>
      <w:r w:rsidRPr="008335F2">
        <w:rPr>
          <w:color w:val="000000" w:themeColor="text1"/>
          <w:sz w:val="24"/>
          <w:szCs w:val="24"/>
        </w:rPr>
        <w:lastRenderedPageBreak/>
        <w:t xml:space="preserve">was greater than other conditions, causing increased skeletal muscle contraction. Similarly, walking could have activated additional muscle groups compared to the seated conditions, increasing muscle contraction. Increased muscle contraction results in greater oxygen requirement which in turn increases HR (Burton </w:t>
      </w:r>
      <w:r w:rsidRPr="008335F2">
        <w:rPr>
          <w:i/>
          <w:iCs/>
          <w:color w:val="000000" w:themeColor="text1"/>
          <w:sz w:val="24"/>
          <w:szCs w:val="24"/>
        </w:rPr>
        <w:t>et al.,</w:t>
      </w:r>
      <w:r w:rsidRPr="008335F2">
        <w:rPr>
          <w:color w:val="000000" w:themeColor="text1"/>
          <w:sz w:val="24"/>
          <w:szCs w:val="24"/>
        </w:rPr>
        <w:t xml:space="preserve"> 2004). Therefore, increased contractions from higher intensity or number of muscle groups could explain why HR increased for walking but not other conditions. However, the exact cause cannot be determined because exercise intensity was not standardised and HR was controlled during one but not all conditions.</w:t>
      </w:r>
    </w:p>
    <w:p w14:paraId="7BC44B4C" w14:textId="77777777" w:rsidR="006A4D44" w:rsidRPr="008335F2" w:rsidRDefault="006A4D44" w:rsidP="00FE100C">
      <w:pPr>
        <w:spacing w:line="360" w:lineRule="auto"/>
        <w:rPr>
          <w:color w:val="000000" w:themeColor="text1"/>
          <w:sz w:val="24"/>
          <w:szCs w:val="24"/>
        </w:rPr>
      </w:pPr>
    </w:p>
    <w:p w14:paraId="6F30490B" w14:textId="476551EB" w:rsidR="00403A85" w:rsidRPr="008335F2" w:rsidRDefault="00A609D2" w:rsidP="00FE100C">
      <w:pPr>
        <w:spacing w:line="360" w:lineRule="auto"/>
        <w:rPr>
          <w:color w:val="000000" w:themeColor="text1"/>
          <w:sz w:val="24"/>
          <w:szCs w:val="24"/>
        </w:rPr>
      </w:pPr>
      <w:bookmarkStart w:id="10" w:name="_Hlk87730176"/>
      <w:r w:rsidRPr="008335F2">
        <w:rPr>
          <w:color w:val="000000" w:themeColor="text1"/>
          <w:sz w:val="24"/>
          <w:szCs w:val="24"/>
        </w:rPr>
        <w:t>Further research is warranted to identify whether the Leeper could increase venous return after a longer period of sedentary behaviour and reduce poor health outcomes. However, the minimal clinical important difference in blood flow required to reduce the risks associated with sedentary behaviour should be defined before conclusions are made on the Leeper’s ability to do this.</w:t>
      </w:r>
      <w:r w:rsidR="00F12E49" w:rsidRPr="008335F2">
        <w:t xml:space="preserve"> </w:t>
      </w:r>
      <w:r w:rsidR="00F12E49" w:rsidRPr="008335F2">
        <w:rPr>
          <w:color w:val="000000" w:themeColor="text1"/>
          <w:sz w:val="24"/>
          <w:szCs w:val="24"/>
        </w:rPr>
        <w:t xml:space="preserve">While frequent interruptions to sitting may be physiologically beneficial, practically this may be difficult to implement in everyday scenarios such as the workplace, creating scope for the use of non-invasive interventions that can be used in the work environment. The findings </w:t>
      </w:r>
      <w:r w:rsidR="00AF21FF" w:rsidRPr="008335F2">
        <w:rPr>
          <w:color w:val="000000" w:themeColor="text1"/>
          <w:sz w:val="24"/>
          <w:szCs w:val="24"/>
        </w:rPr>
        <w:t xml:space="preserve">include data on the prototype device and </w:t>
      </w:r>
      <w:r w:rsidR="00F12E49" w:rsidRPr="008335F2">
        <w:rPr>
          <w:color w:val="000000" w:themeColor="text1"/>
          <w:sz w:val="24"/>
          <w:szCs w:val="24"/>
        </w:rPr>
        <w:t xml:space="preserve">may help </w:t>
      </w:r>
      <w:r w:rsidR="00AF21FF" w:rsidRPr="008335F2">
        <w:rPr>
          <w:color w:val="000000" w:themeColor="text1"/>
          <w:sz w:val="24"/>
          <w:szCs w:val="24"/>
        </w:rPr>
        <w:t xml:space="preserve">provide </w:t>
      </w:r>
      <w:r w:rsidR="00F12E49" w:rsidRPr="008335F2">
        <w:rPr>
          <w:color w:val="000000" w:themeColor="text1"/>
          <w:sz w:val="24"/>
          <w:szCs w:val="24"/>
        </w:rPr>
        <w:t>evidence for an alternative method of portable and affordable seated exercise</w:t>
      </w:r>
      <w:r w:rsidR="00AA016D" w:rsidRPr="008335F2">
        <w:rPr>
          <w:color w:val="000000" w:themeColor="text1"/>
          <w:sz w:val="24"/>
          <w:szCs w:val="24"/>
        </w:rPr>
        <w:t xml:space="preserve"> that health professionals can potentially implement with people in the wider community to combat the effects of prolonged sedentary behaviour. </w:t>
      </w:r>
    </w:p>
    <w:bookmarkEnd w:id="10"/>
    <w:p w14:paraId="2D97F11A" w14:textId="77777777" w:rsidR="0070260D" w:rsidRPr="008335F2" w:rsidRDefault="0070260D" w:rsidP="00FE100C">
      <w:pPr>
        <w:spacing w:line="360" w:lineRule="auto"/>
        <w:rPr>
          <w:b/>
          <w:bCs/>
          <w:color w:val="000000" w:themeColor="text1"/>
          <w:sz w:val="24"/>
          <w:szCs w:val="24"/>
        </w:rPr>
      </w:pPr>
    </w:p>
    <w:p w14:paraId="05E29E85" w14:textId="74C4665D" w:rsidR="007D2A94" w:rsidRPr="008335F2" w:rsidRDefault="007D2A94" w:rsidP="00FE100C">
      <w:pPr>
        <w:spacing w:line="360" w:lineRule="auto"/>
        <w:rPr>
          <w:b/>
          <w:bCs/>
          <w:color w:val="000000" w:themeColor="text1"/>
          <w:sz w:val="24"/>
          <w:szCs w:val="24"/>
        </w:rPr>
      </w:pPr>
      <w:r w:rsidRPr="008335F2">
        <w:rPr>
          <w:b/>
          <w:bCs/>
          <w:color w:val="000000" w:themeColor="text1"/>
          <w:sz w:val="24"/>
          <w:szCs w:val="24"/>
        </w:rPr>
        <w:t>Conclusion</w:t>
      </w:r>
    </w:p>
    <w:p w14:paraId="7BC29BFF" w14:textId="4F5F29F8" w:rsidR="007D2A94" w:rsidRPr="008335F2" w:rsidRDefault="00623590" w:rsidP="00FE100C">
      <w:pPr>
        <w:spacing w:line="360" w:lineRule="auto"/>
        <w:rPr>
          <w:b/>
          <w:bCs/>
          <w:color w:val="000000" w:themeColor="text1"/>
          <w:sz w:val="24"/>
          <w:szCs w:val="24"/>
        </w:rPr>
      </w:pPr>
      <w:r w:rsidRPr="008335F2">
        <w:rPr>
          <w:color w:val="000000" w:themeColor="text1"/>
          <w:sz w:val="24"/>
          <w:szCs w:val="24"/>
        </w:rPr>
        <w:t>B</w:t>
      </w:r>
      <w:r w:rsidR="007D2A94" w:rsidRPr="008335F2">
        <w:rPr>
          <w:color w:val="000000" w:themeColor="text1"/>
          <w:sz w:val="24"/>
          <w:szCs w:val="24"/>
        </w:rPr>
        <w:t xml:space="preserve">lood flow did not </w:t>
      </w:r>
      <w:r w:rsidRPr="008335F2">
        <w:rPr>
          <w:color w:val="000000" w:themeColor="text1"/>
          <w:sz w:val="24"/>
          <w:szCs w:val="24"/>
        </w:rPr>
        <w:t xml:space="preserve">appear to </w:t>
      </w:r>
      <w:r w:rsidR="007D2A94" w:rsidRPr="008335F2">
        <w:rPr>
          <w:color w:val="000000" w:themeColor="text1"/>
          <w:sz w:val="24"/>
          <w:szCs w:val="24"/>
        </w:rPr>
        <w:t>significantly increase after using the Leeper, Circulation Booster</w:t>
      </w:r>
      <w:r w:rsidR="007D2A94" w:rsidRPr="008335F2">
        <w:rPr>
          <w:rFonts w:cstheme="minorHAnsi"/>
          <w:color w:val="000000" w:themeColor="text1"/>
          <w:sz w:val="24"/>
          <w:szCs w:val="24"/>
        </w:rPr>
        <w:t>®</w:t>
      </w:r>
      <w:r w:rsidR="007D2A94" w:rsidRPr="008335F2">
        <w:rPr>
          <w:color w:val="000000" w:themeColor="text1"/>
          <w:sz w:val="24"/>
          <w:szCs w:val="24"/>
        </w:rPr>
        <w:t xml:space="preserve"> or walking</w:t>
      </w:r>
      <w:r w:rsidRPr="008335F2">
        <w:rPr>
          <w:color w:val="000000" w:themeColor="text1"/>
          <w:sz w:val="24"/>
          <w:szCs w:val="24"/>
        </w:rPr>
        <w:t xml:space="preserve"> in young healthy adults</w:t>
      </w:r>
      <w:r w:rsidR="007D2A94" w:rsidRPr="008335F2">
        <w:rPr>
          <w:color w:val="000000" w:themeColor="text1"/>
          <w:sz w:val="24"/>
          <w:szCs w:val="24"/>
        </w:rPr>
        <w:t xml:space="preserve">. </w:t>
      </w:r>
      <w:r w:rsidR="007D2A94" w:rsidRPr="008335F2">
        <w:rPr>
          <w:rFonts w:cstheme="minorHAnsi"/>
          <w:color w:val="000000" w:themeColor="text1"/>
          <w:sz w:val="24"/>
          <w:szCs w:val="24"/>
        </w:rPr>
        <w:t xml:space="preserve">Due to limitations, the results should be interpreted with caution. </w:t>
      </w:r>
      <w:r w:rsidR="007D2A94" w:rsidRPr="008335F2">
        <w:rPr>
          <w:color w:val="000000" w:themeColor="text1"/>
          <w:sz w:val="24"/>
          <w:szCs w:val="24"/>
        </w:rPr>
        <w:t>Further studies are warranted to determine the Leeper’s suitability to increase venous return and reduce communicable diseases associated with sedentary behaviour</w:t>
      </w:r>
      <w:r w:rsidR="005073F3" w:rsidRPr="008335F2">
        <w:rPr>
          <w:color w:val="000000" w:themeColor="text1"/>
          <w:sz w:val="24"/>
          <w:szCs w:val="24"/>
        </w:rPr>
        <w:t xml:space="preserve"> including participants from older age groups</w:t>
      </w:r>
      <w:r w:rsidR="003152AC" w:rsidRPr="008335F2">
        <w:rPr>
          <w:color w:val="000000" w:themeColor="text1"/>
          <w:sz w:val="24"/>
          <w:szCs w:val="24"/>
        </w:rPr>
        <w:t xml:space="preserve"> and people with pathological conditions</w:t>
      </w:r>
      <w:r w:rsidR="007D2A94" w:rsidRPr="008335F2">
        <w:rPr>
          <w:color w:val="000000" w:themeColor="text1"/>
          <w:sz w:val="24"/>
          <w:szCs w:val="24"/>
        </w:rPr>
        <w:t>.</w:t>
      </w:r>
    </w:p>
    <w:bookmarkEnd w:id="8"/>
    <w:p w14:paraId="47C4FBDF" w14:textId="77777777" w:rsidR="00A11E41" w:rsidRPr="008335F2" w:rsidRDefault="00A11E41" w:rsidP="00FE100C">
      <w:pPr>
        <w:spacing w:line="360" w:lineRule="auto"/>
        <w:rPr>
          <w:b/>
          <w:bCs/>
          <w:color w:val="000000" w:themeColor="text1"/>
          <w:sz w:val="24"/>
          <w:szCs w:val="24"/>
        </w:rPr>
      </w:pPr>
    </w:p>
    <w:p w14:paraId="68F18650" w14:textId="77777777" w:rsidR="00BE55EC" w:rsidRPr="008335F2" w:rsidRDefault="00BE55EC" w:rsidP="00BE55EC">
      <w:pPr>
        <w:rPr>
          <w:rFonts w:cstheme="minorHAnsi"/>
          <w:b/>
          <w:bCs/>
          <w:sz w:val="24"/>
          <w:szCs w:val="24"/>
        </w:rPr>
      </w:pPr>
      <w:r w:rsidRPr="008335F2">
        <w:rPr>
          <w:rFonts w:cstheme="minorHAnsi"/>
          <w:b/>
          <w:bCs/>
          <w:sz w:val="24"/>
          <w:szCs w:val="24"/>
        </w:rPr>
        <w:lastRenderedPageBreak/>
        <w:t>Acknowledgements</w:t>
      </w:r>
    </w:p>
    <w:p w14:paraId="14BA9397" w14:textId="77777777" w:rsidR="00BE55EC" w:rsidRPr="008335F2" w:rsidRDefault="00BE55EC" w:rsidP="00BE55EC">
      <w:pPr>
        <w:rPr>
          <w:rFonts w:cstheme="minorHAnsi"/>
          <w:sz w:val="24"/>
          <w:szCs w:val="24"/>
        </w:rPr>
      </w:pPr>
      <w:r w:rsidRPr="008335F2">
        <w:rPr>
          <w:rFonts w:cstheme="minorHAnsi"/>
          <w:sz w:val="24"/>
          <w:szCs w:val="24"/>
        </w:rPr>
        <w:t xml:space="preserve">The authors thank the participants who took part in this study. </w:t>
      </w:r>
    </w:p>
    <w:p w14:paraId="54BCCA3E" w14:textId="77777777" w:rsidR="00BE55EC" w:rsidRPr="008335F2" w:rsidRDefault="00BE55EC" w:rsidP="00BE55EC">
      <w:pPr>
        <w:rPr>
          <w:rFonts w:cstheme="minorHAnsi"/>
          <w:sz w:val="24"/>
          <w:szCs w:val="24"/>
        </w:rPr>
      </w:pPr>
    </w:p>
    <w:p w14:paraId="69A783D0" w14:textId="77777777" w:rsidR="00BE55EC" w:rsidRPr="008335F2" w:rsidRDefault="00BE55EC" w:rsidP="00BE55EC">
      <w:pPr>
        <w:rPr>
          <w:rFonts w:cstheme="minorHAnsi"/>
          <w:b/>
          <w:bCs/>
          <w:sz w:val="24"/>
          <w:szCs w:val="24"/>
        </w:rPr>
      </w:pPr>
      <w:r w:rsidRPr="008335F2">
        <w:rPr>
          <w:rFonts w:cstheme="minorHAnsi"/>
          <w:b/>
          <w:bCs/>
          <w:sz w:val="24"/>
          <w:szCs w:val="24"/>
        </w:rPr>
        <w:t>Source of funding</w:t>
      </w:r>
    </w:p>
    <w:p w14:paraId="5A78B3DA" w14:textId="77777777" w:rsidR="00BE55EC" w:rsidRPr="008335F2" w:rsidRDefault="00BE55EC" w:rsidP="00BE55EC">
      <w:pPr>
        <w:rPr>
          <w:rFonts w:cstheme="minorHAnsi"/>
          <w:sz w:val="24"/>
          <w:szCs w:val="24"/>
        </w:rPr>
      </w:pPr>
      <w:r w:rsidRPr="008335F2">
        <w:rPr>
          <w:rFonts w:cstheme="minorHAnsi"/>
          <w:sz w:val="24"/>
          <w:szCs w:val="24"/>
        </w:rPr>
        <w:t>The present study was not funded.</w:t>
      </w:r>
    </w:p>
    <w:p w14:paraId="6398A49C" w14:textId="77777777" w:rsidR="00BE55EC" w:rsidRPr="008335F2" w:rsidRDefault="00BE55EC" w:rsidP="00BE55EC">
      <w:pPr>
        <w:rPr>
          <w:rFonts w:cstheme="minorHAnsi"/>
          <w:sz w:val="24"/>
          <w:szCs w:val="24"/>
        </w:rPr>
      </w:pPr>
    </w:p>
    <w:p w14:paraId="71EFDC85" w14:textId="77777777" w:rsidR="00BE55EC" w:rsidRPr="008335F2" w:rsidRDefault="00BE55EC" w:rsidP="00BE55EC">
      <w:pPr>
        <w:rPr>
          <w:rFonts w:cstheme="minorHAnsi"/>
          <w:b/>
          <w:bCs/>
          <w:sz w:val="24"/>
          <w:szCs w:val="24"/>
        </w:rPr>
      </w:pPr>
      <w:r w:rsidRPr="008335F2">
        <w:rPr>
          <w:rFonts w:cstheme="minorHAnsi"/>
          <w:b/>
          <w:bCs/>
          <w:sz w:val="24"/>
          <w:szCs w:val="24"/>
        </w:rPr>
        <w:t>Conflict of Interest</w:t>
      </w:r>
    </w:p>
    <w:p w14:paraId="19EBD115" w14:textId="77777777" w:rsidR="00BE55EC" w:rsidRPr="008335F2" w:rsidRDefault="00BE55EC" w:rsidP="00BE55EC">
      <w:pPr>
        <w:rPr>
          <w:rFonts w:cstheme="minorHAnsi"/>
          <w:sz w:val="24"/>
          <w:szCs w:val="24"/>
        </w:rPr>
      </w:pPr>
      <w:r w:rsidRPr="008335F2">
        <w:rPr>
          <w:rFonts w:cstheme="minorHAnsi"/>
          <w:sz w:val="24"/>
          <w:szCs w:val="24"/>
        </w:rPr>
        <w:t xml:space="preserve">There are no conflicts of interest.                               </w:t>
      </w:r>
    </w:p>
    <w:p w14:paraId="77A99B77" w14:textId="40BE1A9E" w:rsidR="00C17CB3" w:rsidRPr="008335F2" w:rsidRDefault="00C17CB3" w:rsidP="00FE100C">
      <w:pPr>
        <w:spacing w:line="360" w:lineRule="auto"/>
        <w:rPr>
          <w:rFonts w:cstheme="minorHAnsi"/>
          <w:b/>
          <w:bCs/>
          <w:color w:val="000000" w:themeColor="text1"/>
          <w:sz w:val="24"/>
          <w:szCs w:val="24"/>
        </w:rPr>
      </w:pPr>
      <w:bookmarkStart w:id="11" w:name="_Hlk87356113"/>
      <w:bookmarkEnd w:id="9"/>
    </w:p>
    <w:p w14:paraId="035EF0E1" w14:textId="77777777" w:rsidR="00F64FB4" w:rsidRPr="008335F2" w:rsidRDefault="00F64FB4" w:rsidP="007F4523">
      <w:pPr>
        <w:spacing w:line="360" w:lineRule="auto"/>
        <w:rPr>
          <w:rFonts w:cstheme="minorHAnsi"/>
          <w:b/>
          <w:bCs/>
          <w:color w:val="000000" w:themeColor="text1"/>
        </w:rPr>
      </w:pPr>
    </w:p>
    <w:p w14:paraId="2B212391" w14:textId="77777777" w:rsidR="00F64FB4" w:rsidRPr="008335F2" w:rsidRDefault="00F64FB4" w:rsidP="007F4523">
      <w:pPr>
        <w:spacing w:line="360" w:lineRule="auto"/>
        <w:rPr>
          <w:rFonts w:cstheme="minorHAnsi"/>
          <w:b/>
          <w:bCs/>
          <w:color w:val="000000" w:themeColor="text1"/>
        </w:rPr>
      </w:pPr>
    </w:p>
    <w:p w14:paraId="09EB53F9" w14:textId="77777777" w:rsidR="00F64FB4" w:rsidRPr="008335F2" w:rsidRDefault="00F64FB4" w:rsidP="007F4523">
      <w:pPr>
        <w:spacing w:line="360" w:lineRule="auto"/>
        <w:rPr>
          <w:rFonts w:cstheme="minorHAnsi"/>
          <w:b/>
          <w:bCs/>
          <w:color w:val="000000" w:themeColor="text1"/>
        </w:rPr>
      </w:pPr>
    </w:p>
    <w:p w14:paraId="5C8B1C7A" w14:textId="77777777" w:rsidR="00F64FB4" w:rsidRPr="008335F2" w:rsidRDefault="00F64FB4" w:rsidP="007F4523">
      <w:pPr>
        <w:spacing w:line="360" w:lineRule="auto"/>
        <w:rPr>
          <w:rFonts w:cstheme="minorHAnsi"/>
          <w:b/>
          <w:bCs/>
          <w:color w:val="000000" w:themeColor="text1"/>
        </w:rPr>
      </w:pPr>
    </w:p>
    <w:p w14:paraId="573636D7" w14:textId="77777777" w:rsidR="00F64FB4" w:rsidRPr="008335F2" w:rsidRDefault="00F64FB4" w:rsidP="007F4523">
      <w:pPr>
        <w:spacing w:line="360" w:lineRule="auto"/>
        <w:rPr>
          <w:rFonts w:cstheme="minorHAnsi"/>
          <w:b/>
          <w:bCs/>
          <w:color w:val="000000" w:themeColor="text1"/>
        </w:rPr>
      </w:pPr>
    </w:p>
    <w:p w14:paraId="742E6C76" w14:textId="77777777" w:rsidR="00F64FB4" w:rsidRPr="008335F2" w:rsidRDefault="00F64FB4" w:rsidP="007F4523">
      <w:pPr>
        <w:spacing w:line="360" w:lineRule="auto"/>
        <w:rPr>
          <w:rFonts w:cstheme="minorHAnsi"/>
          <w:b/>
          <w:bCs/>
          <w:color w:val="000000" w:themeColor="text1"/>
        </w:rPr>
      </w:pPr>
    </w:p>
    <w:p w14:paraId="16945552" w14:textId="77777777" w:rsidR="00F64FB4" w:rsidRPr="008335F2" w:rsidRDefault="00F64FB4" w:rsidP="007F4523">
      <w:pPr>
        <w:spacing w:line="360" w:lineRule="auto"/>
        <w:rPr>
          <w:rFonts w:cstheme="minorHAnsi"/>
          <w:b/>
          <w:bCs/>
          <w:color w:val="000000" w:themeColor="text1"/>
        </w:rPr>
      </w:pPr>
    </w:p>
    <w:p w14:paraId="543522BD" w14:textId="77777777" w:rsidR="00F64FB4" w:rsidRPr="008335F2" w:rsidRDefault="00F64FB4" w:rsidP="007F4523">
      <w:pPr>
        <w:spacing w:line="360" w:lineRule="auto"/>
        <w:rPr>
          <w:rFonts w:cstheme="minorHAnsi"/>
          <w:b/>
          <w:bCs/>
          <w:color w:val="000000" w:themeColor="text1"/>
        </w:rPr>
      </w:pPr>
    </w:p>
    <w:p w14:paraId="4F9EDDEF" w14:textId="77777777" w:rsidR="00F64FB4" w:rsidRPr="008335F2" w:rsidRDefault="00F64FB4" w:rsidP="007F4523">
      <w:pPr>
        <w:spacing w:line="360" w:lineRule="auto"/>
        <w:rPr>
          <w:rFonts w:cstheme="minorHAnsi"/>
          <w:b/>
          <w:bCs/>
          <w:color w:val="000000" w:themeColor="text1"/>
        </w:rPr>
      </w:pPr>
    </w:p>
    <w:p w14:paraId="647EB7BB" w14:textId="77777777" w:rsidR="00F64FB4" w:rsidRPr="008335F2" w:rsidRDefault="00F64FB4" w:rsidP="007F4523">
      <w:pPr>
        <w:spacing w:line="360" w:lineRule="auto"/>
        <w:rPr>
          <w:rFonts w:cstheme="minorHAnsi"/>
          <w:b/>
          <w:bCs/>
          <w:color w:val="000000" w:themeColor="text1"/>
        </w:rPr>
      </w:pPr>
    </w:p>
    <w:p w14:paraId="09F7F59C" w14:textId="77777777" w:rsidR="00F64FB4" w:rsidRPr="008335F2" w:rsidRDefault="00F64FB4" w:rsidP="007F4523">
      <w:pPr>
        <w:spacing w:line="360" w:lineRule="auto"/>
        <w:rPr>
          <w:rFonts w:cstheme="minorHAnsi"/>
          <w:b/>
          <w:bCs/>
          <w:color w:val="000000" w:themeColor="text1"/>
        </w:rPr>
      </w:pPr>
    </w:p>
    <w:p w14:paraId="03008A19" w14:textId="77777777" w:rsidR="00F64FB4" w:rsidRPr="008335F2" w:rsidRDefault="00F64FB4" w:rsidP="007F4523">
      <w:pPr>
        <w:spacing w:line="360" w:lineRule="auto"/>
        <w:rPr>
          <w:rFonts w:cstheme="minorHAnsi"/>
          <w:b/>
          <w:bCs/>
          <w:color w:val="000000" w:themeColor="text1"/>
        </w:rPr>
      </w:pPr>
    </w:p>
    <w:p w14:paraId="18C33EB6" w14:textId="77777777" w:rsidR="00F64FB4" w:rsidRPr="008335F2" w:rsidRDefault="00F64FB4" w:rsidP="007F4523">
      <w:pPr>
        <w:spacing w:line="360" w:lineRule="auto"/>
        <w:rPr>
          <w:rFonts w:cstheme="minorHAnsi"/>
          <w:b/>
          <w:bCs/>
          <w:color w:val="000000" w:themeColor="text1"/>
        </w:rPr>
      </w:pPr>
    </w:p>
    <w:p w14:paraId="42993A65" w14:textId="77777777" w:rsidR="00F64FB4" w:rsidRPr="008335F2" w:rsidRDefault="00F64FB4" w:rsidP="007F4523">
      <w:pPr>
        <w:spacing w:line="360" w:lineRule="auto"/>
        <w:rPr>
          <w:rFonts w:cstheme="minorHAnsi"/>
          <w:b/>
          <w:bCs/>
          <w:color w:val="000000" w:themeColor="text1"/>
        </w:rPr>
      </w:pPr>
    </w:p>
    <w:p w14:paraId="4CC89E16" w14:textId="77777777" w:rsidR="00F64FB4" w:rsidRPr="008335F2" w:rsidRDefault="00F64FB4" w:rsidP="007F4523">
      <w:pPr>
        <w:spacing w:line="360" w:lineRule="auto"/>
        <w:rPr>
          <w:rFonts w:cstheme="minorHAnsi"/>
          <w:b/>
          <w:bCs/>
          <w:color w:val="000000" w:themeColor="text1"/>
        </w:rPr>
      </w:pPr>
    </w:p>
    <w:p w14:paraId="1CE0657E" w14:textId="77777777" w:rsidR="00F64FB4" w:rsidRPr="008335F2" w:rsidRDefault="00F64FB4" w:rsidP="007F4523">
      <w:pPr>
        <w:spacing w:line="360" w:lineRule="auto"/>
        <w:rPr>
          <w:rFonts w:cstheme="minorHAnsi"/>
          <w:b/>
          <w:bCs/>
          <w:color w:val="000000" w:themeColor="text1"/>
        </w:rPr>
      </w:pPr>
    </w:p>
    <w:p w14:paraId="5C337FF5" w14:textId="77777777" w:rsidR="00F64FB4" w:rsidRPr="008335F2" w:rsidRDefault="00F64FB4" w:rsidP="007F4523">
      <w:pPr>
        <w:spacing w:line="360" w:lineRule="auto"/>
        <w:rPr>
          <w:rFonts w:cstheme="minorHAnsi"/>
          <w:b/>
          <w:bCs/>
          <w:color w:val="000000" w:themeColor="text1"/>
        </w:rPr>
      </w:pPr>
    </w:p>
    <w:p w14:paraId="3A57A39C" w14:textId="6F18F4C5" w:rsidR="00787B2E" w:rsidRPr="008335F2" w:rsidRDefault="00787B2E" w:rsidP="007F4523">
      <w:pPr>
        <w:spacing w:line="360" w:lineRule="auto"/>
        <w:rPr>
          <w:rFonts w:cstheme="minorHAnsi"/>
          <w:b/>
          <w:bCs/>
          <w:color w:val="000000" w:themeColor="text1"/>
        </w:rPr>
      </w:pPr>
      <w:r w:rsidRPr="008335F2">
        <w:rPr>
          <w:rFonts w:cstheme="minorHAnsi"/>
          <w:b/>
          <w:bCs/>
          <w:color w:val="000000" w:themeColor="text1"/>
        </w:rPr>
        <w:lastRenderedPageBreak/>
        <w:t>References</w:t>
      </w:r>
    </w:p>
    <w:p w14:paraId="779B39CB" w14:textId="6FAEB7B3" w:rsidR="00787B2E" w:rsidRPr="008335F2" w:rsidRDefault="00787B2E" w:rsidP="00787B2E">
      <w:pPr>
        <w:spacing w:line="360" w:lineRule="auto"/>
        <w:rPr>
          <w:rFonts w:cstheme="minorHAnsi"/>
          <w:color w:val="000000" w:themeColor="text1"/>
        </w:rPr>
      </w:pPr>
      <w:bookmarkStart w:id="12" w:name="_Hlk87357458"/>
      <w:r w:rsidRPr="008335F2">
        <w:rPr>
          <w:rFonts w:cstheme="minorHAnsi"/>
          <w:color w:val="000000" w:themeColor="text1"/>
        </w:rPr>
        <w:t xml:space="preserve">Bailey, D. P., Hewson, D. J., Champion, R. B. and Sayegh, S. M. (2019) ‘Sitting time and risk of cardiovascular disease and diabetes: a systematic review and meta-analysis’, </w:t>
      </w:r>
      <w:r w:rsidRPr="008335F2">
        <w:rPr>
          <w:rFonts w:cstheme="minorHAnsi"/>
          <w:i/>
          <w:iCs/>
          <w:color w:val="000000" w:themeColor="text1"/>
        </w:rPr>
        <w:t>American Journal o</w:t>
      </w:r>
      <w:r w:rsidR="00BF26F4" w:rsidRPr="008335F2">
        <w:rPr>
          <w:rFonts w:cstheme="minorHAnsi"/>
          <w:i/>
          <w:iCs/>
          <w:color w:val="000000" w:themeColor="text1"/>
        </w:rPr>
        <w:t>f</w:t>
      </w:r>
      <w:r w:rsidRPr="008335F2">
        <w:rPr>
          <w:rFonts w:cstheme="minorHAnsi"/>
          <w:i/>
          <w:iCs/>
          <w:color w:val="000000" w:themeColor="text1"/>
        </w:rPr>
        <w:t xml:space="preserve"> Preventive Medicine, </w:t>
      </w:r>
      <w:r w:rsidRPr="008335F2">
        <w:rPr>
          <w:rFonts w:cstheme="minorHAnsi"/>
          <w:color w:val="000000" w:themeColor="text1"/>
        </w:rPr>
        <w:t>57(3), pp. 408-416. doi:10.1016/j.amepre.2019.04.015.</w:t>
      </w:r>
    </w:p>
    <w:p w14:paraId="29010005" w14:textId="56234C51" w:rsidR="00E510A5" w:rsidRPr="008335F2" w:rsidRDefault="00E510A5" w:rsidP="00787B2E">
      <w:pPr>
        <w:spacing w:line="360" w:lineRule="auto"/>
        <w:rPr>
          <w:rFonts w:cstheme="minorHAnsi"/>
          <w:color w:val="000000" w:themeColor="text1"/>
        </w:rPr>
      </w:pPr>
      <w:bookmarkStart w:id="13" w:name="_Hlk87430072"/>
      <w:r w:rsidRPr="008335F2">
        <w:rPr>
          <w:rFonts w:cstheme="minorHAnsi"/>
          <w:color w:val="000000" w:themeColor="text1"/>
        </w:rPr>
        <w:t xml:space="preserve">Bauman, A. E., Petersen, C. B., Blond, K., Rangul, V. and Hardy, L. L. (2018) ‘The descriptive epidemiology of sedentary behaviour’ in Leitzmann, M., Jochem, C. and Schmid, D. (ed.) </w:t>
      </w:r>
      <w:r w:rsidRPr="008335F2">
        <w:rPr>
          <w:rFonts w:cstheme="minorHAnsi"/>
          <w:i/>
          <w:iCs/>
          <w:color w:val="000000" w:themeColor="text1"/>
        </w:rPr>
        <w:t xml:space="preserve">Sedentary Behaviour Epidemiology. </w:t>
      </w:r>
      <w:r w:rsidRPr="008335F2">
        <w:rPr>
          <w:rFonts w:cstheme="minorHAnsi"/>
          <w:color w:val="000000" w:themeColor="text1"/>
        </w:rPr>
        <w:t>Cham: Springer, pp. 73-106.</w:t>
      </w:r>
    </w:p>
    <w:p w14:paraId="2333B2F8" w14:textId="1E92412A" w:rsidR="00C0256B" w:rsidRPr="008335F2" w:rsidRDefault="00C0256B" w:rsidP="00787B2E">
      <w:pPr>
        <w:spacing w:line="360" w:lineRule="auto"/>
        <w:rPr>
          <w:rFonts w:cstheme="minorHAnsi"/>
          <w:color w:val="000000" w:themeColor="text1"/>
        </w:rPr>
      </w:pPr>
      <w:bookmarkStart w:id="14" w:name="_Hlk87705666"/>
      <w:r w:rsidRPr="008335F2">
        <w:rPr>
          <w:color w:val="000000" w:themeColor="text1"/>
        </w:rPr>
        <w:t>Brockett</w:t>
      </w:r>
      <w:r w:rsidR="007D444B" w:rsidRPr="008335F2">
        <w:rPr>
          <w:color w:val="000000" w:themeColor="text1"/>
        </w:rPr>
        <w:t>, C. L.</w:t>
      </w:r>
      <w:r w:rsidRPr="008335F2">
        <w:rPr>
          <w:color w:val="000000" w:themeColor="text1"/>
        </w:rPr>
        <w:t xml:space="preserve"> and Chapman,</w:t>
      </w:r>
      <w:r w:rsidR="007D444B" w:rsidRPr="008335F2">
        <w:rPr>
          <w:color w:val="000000" w:themeColor="text1"/>
        </w:rPr>
        <w:t xml:space="preserve"> G. J.</w:t>
      </w:r>
      <w:r w:rsidRPr="008335F2">
        <w:rPr>
          <w:color w:val="000000" w:themeColor="text1"/>
        </w:rPr>
        <w:t xml:space="preserve"> </w:t>
      </w:r>
      <w:r w:rsidR="007D444B" w:rsidRPr="008335F2">
        <w:rPr>
          <w:color w:val="000000" w:themeColor="text1"/>
        </w:rPr>
        <w:t>(</w:t>
      </w:r>
      <w:r w:rsidRPr="008335F2">
        <w:rPr>
          <w:color w:val="000000" w:themeColor="text1"/>
        </w:rPr>
        <w:t>2016)</w:t>
      </w:r>
      <w:r w:rsidR="007D444B" w:rsidRPr="008335F2">
        <w:rPr>
          <w:color w:val="000000" w:themeColor="text1"/>
        </w:rPr>
        <w:t xml:space="preserve"> ‘Biomechanics of the ankle’, </w:t>
      </w:r>
      <w:r w:rsidR="007D444B" w:rsidRPr="008335F2">
        <w:rPr>
          <w:i/>
          <w:iCs/>
          <w:color w:val="000000" w:themeColor="text1"/>
        </w:rPr>
        <w:t xml:space="preserve">Orthopaedics and Trauma, </w:t>
      </w:r>
      <w:r w:rsidR="007D444B" w:rsidRPr="008335F2">
        <w:rPr>
          <w:color w:val="000000" w:themeColor="text1"/>
        </w:rPr>
        <w:t>30(3), pp. 232-238. doi:10.1016/j.mporth.2016</w:t>
      </w:r>
      <w:r w:rsidR="000E6CF5" w:rsidRPr="008335F2">
        <w:rPr>
          <w:color w:val="000000" w:themeColor="text1"/>
        </w:rPr>
        <w:t>.04.015.</w:t>
      </w:r>
      <w:r w:rsidR="007D444B" w:rsidRPr="008335F2">
        <w:rPr>
          <w:color w:val="000000" w:themeColor="text1"/>
        </w:rPr>
        <w:t xml:space="preserve"> </w:t>
      </w:r>
    </w:p>
    <w:p w14:paraId="19051244" w14:textId="442D2B8A" w:rsidR="00787B2E" w:rsidRPr="008335F2" w:rsidRDefault="00787B2E" w:rsidP="00787B2E">
      <w:pPr>
        <w:spacing w:line="360" w:lineRule="auto"/>
        <w:rPr>
          <w:color w:val="000000" w:themeColor="text1"/>
        </w:rPr>
      </w:pPr>
      <w:bookmarkStart w:id="15" w:name="_Hlk87861170"/>
      <w:bookmarkEnd w:id="13"/>
      <w:bookmarkEnd w:id="14"/>
      <w:r w:rsidRPr="008335F2">
        <w:rPr>
          <w:color w:val="000000" w:themeColor="text1"/>
        </w:rPr>
        <w:t xml:space="preserve">Burton, D. A., Stokes, K. and Hall, G. M. (2004) ‘Physiological effects of exercise’, </w:t>
      </w:r>
      <w:r w:rsidRPr="008335F2">
        <w:rPr>
          <w:i/>
          <w:iCs/>
          <w:color w:val="000000" w:themeColor="text1"/>
        </w:rPr>
        <w:t xml:space="preserve">Continuing Education in Anaesthesia Critical Care and Pain, </w:t>
      </w:r>
      <w:r w:rsidRPr="008335F2">
        <w:rPr>
          <w:color w:val="000000" w:themeColor="text1"/>
        </w:rPr>
        <w:t>4(6), pp.</w:t>
      </w:r>
      <w:r w:rsidR="00850401" w:rsidRPr="008335F2">
        <w:rPr>
          <w:color w:val="000000" w:themeColor="text1"/>
        </w:rPr>
        <w:t xml:space="preserve"> 185-188</w:t>
      </w:r>
      <w:r w:rsidRPr="008335F2">
        <w:rPr>
          <w:color w:val="000000" w:themeColor="text1"/>
        </w:rPr>
        <w:t>. doi:10.1093/bjaceaccp/mkh05</w:t>
      </w:r>
      <w:r w:rsidR="00850401" w:rsidRPr="008335F2">
        <w:rPr>
          <w:color w:val="000000" w:themeColor="text1"/>
        </w:rPr>
        <w:t>0</w:t>
      </w:r>
      <w:r w:rsidRPr="008335F2">
        <w:rPr>
          <w:color w:val="000000" w:themeColor="text1"/>
        </w:rPr>
        <w:t>.</w:t>
      </w:r>
    </w:p>
    <w:bookmarkEnd w:id="15"/>
    <w:p w14:paraId="729A755F" w14:textId="77777777" w:rsidR="00787B2E" w:rsidRPr="008335F2" w:rsidRDefault="00787B2E" w:rsidP="00787B2E">
      <w:pPr>
        <w:spacing w:before="240" w:line="360" w:lineRule="auto"/>
        <w:rPr>
          <w:rFonts w:cstheme="minorHAnsi"/>
          <w:color w:val="000000" w:themeColor="text1"/>
        </w:rPr>
      </w:pPr>
      <w:r w:rsidRPr="008335F2">
        <w:rPr>
          <w:rFonts w:cstheme="minorHAnsi"/>
          <w:color w:val="000000" w:themeColor="text1"/>
        </w:rPr>
        <w:t xml:space="preserve">Carter, S. E., Draijer, R., Holder, S. M., Brown, L., Thijssen, D. H. J. and Hopkins, N. D. (2019) ‘Effect of different walking break strategies on superficial femoral artery endothelial function’, </w:t>
      </w:r>
      <w:r w:rsidRPr="008335F2">
        <w:rPr>
          <w:rFonts w:cstheme="minorHAnsi"/>
          <w:i/>
          <w:iCs/>
          <w:color w:val="000000" w:themeColor="text1"/>
        </w:rPr>
        <w:t xml:space="preserve">Physiological Reports, </w:t>
      </w:r>
      <w:r w:rsidRPr="008335F2">
        <w:rPr>
          <w:rFonts w:cstheme="minorHAnsi"/>
          <w:color w:val="000000" w:themeColor="text1"/>
        </w:rPr>
        <w:t>7(16), pp. 1-16. doi:10.14814/phy2.14190.</w:t>
      </w:r>
    </w:p>
    <w:p w14:paraId="2EC585DB" w14:textId="113422D3" w:rsidR="006965FB" w:rsidRPr="008335F2" w:rsidRDefault="006965FB" w:rsidP="006965FB">
      <w:pPr>
        <w:spacing w:before="240" w:line="360" w:lineRule="auto"/>
        <w:rPr>
          <w:rFonts w:cstheme="minorHAnsi"/>
          <w:color w:val="000000" w:themeColor="text1"/>
        </w:rPr>
      </w:pPr>
      <w:r w:rsidRPr="008335F2">
        <w:rPr>
          <w:rFonts w:cstheme="minorHAnsi"/>
          <w:color w:val="000000" w:themeColor="text1"/>
        </w:rPr>
        <w:t xml:space="preserve">Circulation Booster  </w:t>
      </w:r>
      <w:hyperlink r:id="rId8" w:history="1">
        <w:r w:rsidRPr="008335F2">
          <w:rPr>
            <w:rStyle w:val="Hyperlink"/>
          </w:rPr>
          <w:t>www.hthealth.com</w:t>
        </w:r>
      </w:hyperlink>
      <w:r w:rsidR="00690949" w:rsidRPr="008335F2">
        <w:rPr>
          <w:rStyle w:val="Hyperlink"/>
        </w:rPr>
        <w:t xml:space="preserve"> </w:t>
      </w:r>
      <w:r w:rsidR="00690949" w:rsidRPr="008335F2">
        <w:rPr>
          <w:color w:val="000000" w:themeColor="text1"/>
        </w:rPr>
        <w:t>(Accessed: 27 February 2023)</w:t>
      </w:r>
    </w:p>
    <w:p w14:paraId="4926BAA5" w14:textId="6E32554D" w:rsidR="00787B2E" w:rsidRPr="008335F2" w:rsidRDefault="00787B2E" w:rsidP="00787B2E">
      <w:pPr>
        <w:spacing w:line="360" w:lineRule="auto"/>
        <w:rPr>
          <w:color w:val="000000" w:themeColor="text1"/>
        </w:rPr>
      </w:pPr>
      <w:r w:rsidRPr="008335F2">
        <w:rPr>
          <w:color w:val="000000" w:themeColor="text1"/>
        </w:rPr>
        <w:t>Dimp</w:t>
      </w:r>
      <w:r w:rsidR="00850401" w:rsidRPr="008335F2">
        <w:rPr>
          <w:color w:val="000000" w:themeColor="text1"/>
        </w:rPr>
        <w:t>k</w:t>
      </w:r>
      <w:r w:rsidRPr="008335F2">
        <w:rPr>
          <w:color w:val="000000" w:themeColor="text1"/>
        </w:rPr>
        <w:t xml:space="preserve">a, U. and Ugwu, A. (2009) ‘Determination of systolic blood pressure recovery time after exercise in apparently healthy, normotensive non-athletic adults and the effects of age, gender and exercise intensity’, </w:t>
      </w:r>
      <w:r w:rsidRPr="008335F2">
        <w:rPr>
          <w:i/>
          <w:iCs/>
          <w:color w:val="000000" w:themeColor="text1"/>
        </w:rPr>
        <w:t xml:space="preserve">International Journal of Exercise Science, </w:t>
      </w:r>
      <w:r w:rsidRPr="008335F2">
        <w:rPr>
          <w:color w:val="000000" w:themeColor="text1"/>
        </w:rPr>
        <w:t>2(2), pp. 115-130. Available at: https://digitalcommons.wku.edu/cgi/viewcontent.cgi?article=1169&amp;context=ijes (Accessed: 30 October 2021).</w:t>
      </w:r>
    </w:p>
    <w:p w14:paraId="6DD325B4" w14:textId="12B2E4A3" w:rsidR="00787B2E" w:rsidRPr="008335F2" w:rsidRDefault="00787B2E" w:rsidP="00787B2E">
      <w:pPr>
        <w:spacing w:line="360" w:lineRule="auto"/>
        <w:rPr>
          <w:color w:val="000000" w:themeColor="text1"/>
        </w:rPr>
      </w:pPr>
      <w:bookmarkStart w:id="16" w:name="_Hlk87861525"/>
      <w:r w:rsidRPr="008335F2">
        <w:rPr>
          <w:color w:val="000000" w:themeColor="text1"/>
        </w:rPr>
        <w:t xml:space="preserve">Ekelund, U., Tarp, J., Steene-Johannessen, J., Hansen, B. H., Jefferis, B., Fagerland, M. W., Whincup, P., Diaz, K. M., Hooker, S. P., Chernofsky, A., Larson, M. G., Spartano, N., Vasan, R. </w:t>
      </w:r>
      <w:r w:rsidR="00850401" w:rsidRPr="008335F2">
        <w:rPr>
          <w:color w:val="000000" w:themeColor="text1"/>
        </w:rPr>
        <w:t>S</w:t>
      </w:r>
      <w:r w:rsidRPr="008335F2">
        <w:rPr>
          <w:color w:val="000000" w:themeColor="text1"/>
        </w:rPr>
        <w:t>., Dohrn, I., Hagstr</w:t>
      </w:r>
      <w:r w:rsidRPr="008335F2">
        <w:rPr>
          <w:rFonts w:cstheme="minorHAnsi"/>
          <w:color w:val="000000" w:themeColor="text1"/>
        </w:rPr>
        <w:t>ö</w:t>
      </w:r>
      <w:r w:rsidRPr="008335F2">
        <w:rPr>
          <w:color w:val="000000" w:themeColor="text1"/>
        </w:rPr>
        <w:t>mer, M., Edwardson, C., Yates, T., Shiroma, E., Anderssen, S. A. and Lee, I. (2019) ‘Dos</w:t>
      </w:r>
      <w:r w:rsidR="00BF26F4" w:rsidRPr="008335F2">
        <w:rPr>
          <w:color w:val="000000" w:themeColor="text1"/>
        </w:rPr>
        <w:t>e</w:t>
      </w:r>
      <w:r w:rsidRPr="008335F2">
        <w:rPr>
          <w:color w:val="000000" w:themeColor="text1"/>
        </w:rPr>
        <w:t xml:space="preserve">-response associations between accelerometry measured physical activity and sedentary time and all cause mortality: systematic review and harmonised meta-analysis’, </w:t>
      </w:r>
      <w:r w:rsidRPr="008335F2">
        <w:rPr>
          <w:i/>
          <w:iCs/>
          <w:color w:val="000000" w:themeColor="text1"/>
        </w:rPr>
        <w:t xml:space="preserve">BMJ, </w:t>
      </w:r>
      <w:r w:rsidRPr="008335F2">
        <w:rPr>
          <w:color w:val="000000" w:themeColor="text1"/>
        </w:rPr>
        <w:t>21(366:I4570). doi:10.1136/bmj.I4570.</w:t>
      </w:r>
    </w:p>
    <w:p w14:paraId="585A5B75" w14:textId="2EF09717" w:rsidR="00787B2E" w:rsidRPr="008335F2" w:rsidRDefault="00787B2E" w:rsidP="00787B2E">
      <w:pPr>
        <w:spacing w:line="360" w:lineRule="auto"/>
        <w:rPr>
          <w:rFonts w:ascii="Helvetica" w:hAnsi="Helvetica"/>
          <w:color w:val="000000" w:themeColor="text1"/>
        </w:rPr>
      </w:pPr>
      <w:bookmarkStart w:id="17" w:name="_Hlk87727822"/>
      <w:bookmarkEnd w:id="16"/>
      <w:r w:rsidRPr="008335F2">
        <w:rPr>
          <w:rFonts w:cstheme="minorHAnsi"/>
          <w:color w:val="000000" w:themeColor="text1"/>
        </w:rPr>
        <w:t>Fletcher, G. F., Balady, G. J., Amsterdam, E. A., Chaitman, B., Eckel, R., Fleg, J., Froelicher, V. F., Leon, A. S., Piña, I. L., Rodney, R., Simons-Morton, D. A., Williams, M. A. and Bazzarre, T. (2001) ‘Exercise standards for testing and training. A statement for healthcare profession</w:t>
      </w:r>
      <w:r w:rsidR="00D0267C" w:rsidRPr="008335F2">
        <w:rPr>
          <w:rFonts w:cstheme="minorHAnsi"/>
          <w:color w:val="000000" w:themeColor="text1"/>
        </w:rPr>
        <w:t>al</w:t>
      </w:r>
      <w:r w:rsidRPr="008335F2">
        <w:rPr>
          <w:rFonts w:cstheme="minorHAnsi"/>
          <w:color w:val="000000" w:themeColor="text1"/>
        </w:rPr>
        <w:t xml:space="preserve">s from the American Heart Association’, </w:t>
      </w:r>
      <w:r w:rsidRPr="008335F2">
        <w:rPr>
          <w:rFonts w:cstheme="minorHAnsi"/>
          <w:i/>
          <w:iCs/>
          <w:color w:val="000000" w:themeColor="text1"/>
        </w:rPr>
        <w:t xml:space="preserve">Circulation, </w:t>
      </w:r>
      <w:r w:rsidRPr="008335F2">
        <w:rPr>
          <w:rFonts w:cstheme="minorHAnsi"/>
          <w:color w:val="000000" w:themeColor="text1"/>
        </w:rPr>
        <w:t>104</w:t>
      </w:r>
      <w:r w:rsidR="003C508F" w:rsidRPr="008335F2">
        <w:rPr>
          <w:rFonts w:cstheme="minorHAnsi"/>
          <w:color w:val="000000" w:themeColor="text1"/>
        </w:rPr>
        <w:t>(14)</w:t>
      </w:r>
      <w:r w:rsidRPr="008335F2">
        <w:rPr>
          <w:rFonts w:cstheme="minorHAnsi"/>
          <w:color w:val="000000" w:themeColor="text1"/>
        </w:rPr>
        <w:t>, pp.</w:t>
      </w:r>
      <w:r w:rsidR="00BF26F4" w:rsidRPr="008335F2">
        <w:rPr>
          <w:rFonts w:cstheme="minorHAnsi"/>
          <w:color w:val="000000" w:themeColor="text1"/>
        </w:rPr>
        <w:t xml:space="preserve"> </w:t>
      </w:r>
      <w:r w:rsidRPr="008335F2">
        <w:rPr>
          <w:rFonts w:cstheme="minorHAnsi"/>
          <w:color w:val="000000" w:themeColor="text1"/>
        </w:rPr>
        <w:t>1694-1740. doi:10.1161/hc3901.095960.</w:t>
      </w:r>
    </w:p>
    <w:bookmarkEnd w:id="17"/>
    <w:p w14:paraId="1D737517" w14:textId="77777777" w:rsidR="00787B2E" w:rsidRPr="008335F2" w:rsidRDefault="00787B2E" w:rsidP="00787B2E">
      <w:pPr>
        <w:spacing w:line="360" w:lineRule="auto"/>
        <w:rPr>
          <w:rFonts w:ascii="Helvetica" w:hAnsi="Helvetica"/>
          <w:color w:val="000000" w:themeColor="text1"/>
        </w:rPr>
      </w:pPr>
      <w:r w:rsidRPr="008335F2">
        <w:rPr>
          <w:rFonts w:cstheme="minorHAnsi"/>
          <w:color w:val="000000" w:themeColor="text1"/>
        </w:rPr>
        <w:lastRenderedPageBreak/>
        <w:t xml:space="preserve">Healy, B., Levin, E., Perrin, K., Weatherall, M. and Beasley, R. (2010) ‘Prolonged work- and computer-related seated immobility and risk of venous thromboembolism’, </w:t>
      </w:r>
      <w:r w:rsidRPr="008335F2">
        <w:rPr>
          <w:rFonts w:cstheme="minorHAnsi"/>
          <w:i/>
          <w:iCs/>
          <w:color w:val="000000" w:themeColor="text1"/>
        </w:rPr>
        <w:t xml:space="preserve">Journal of the Royal Society of Medicine, </w:t>
      </w:r>
      <w:r w:rsidRPr="008335F2">
        <w:rPr>
          <w:rFonts w:cstheme="minorHAnsi"/>
          <w:color w:val="000000" w:themeColor="text1"/>
        </w:rPr>
        <w:t>103(11), pp. 447-454. doi:10.1258/jrsm.2010.100155.</w:t>
      </w:r>
    </w:p>
    <w:p w14:paraId="433BAB2D" w14:textId="675773AF" w:rsidR="00103A6D" w:rsidRPr="008335F2" w:rsidRDefault="00103A6D" w:rsidP="00787B2E">
      <w:pPr>
        <w:spacing w:before="240" w:line="360" w:lineRule="auto"/>
        <w:rPr>
          <w:rFonts w:cstheme="minorHAnsi"/>
          <w:color w:val="000000" w:themeColor="text1"/>
        </w:rPr>
      </w:pPr>
      <w:r w:rsidRPr="008335F2">
        <w:rPr>
          <w:rFonts w:cstheme="minorHAnsi"/>
          <w:color w:val="000000" w:themeColor="text1"/>
        </w:rPr>
        <w:t>Jin</w:t>
      </w:r>
      <w:r w:rsidR="00BD78C2" w:rsidRPr="008335F2">
        <w:rPr>
          <w:rFonts w:cstheme="minorHAnsi"/>
          <w:color w:val="000000" w:themeColor="text1"/>
        </w:rPr>
        <w:t xml:space="preserve">, H., Hwang, T. and Cho, S. (2017) ‘Effect of electrical stimulation on blood flow velocity and vessel size’, </w:t>
      </w:r>
      <w:r w:rsidR="00BD78C2" w:rsidRPr="008335F2">
        <w:rPr>
          <w:rFonts w:cstheme="minorHAnsi"/>
          <w:i/>
          <w:iCs/>
          <w:color w:val="000000" w:themeColor="text1"/>
        </w:rPr>
        <w:t xml:space="preserve">Open Medicine, </w:t>
      </w:r>
      <w:r w:rsidR="00BD78C2" w:rsidRPr="008335F2">
        <w:rPr>
          <w:rFonts w:cstheme="minorHAnsi"/>
          <w:color w:val="000000" w:themeColor="text1"/>
        </w:rPr>
        <w:t>12, pp. 5 -11. doi:10.1515/med-2017-0002.</w:t>
      </w:r>
    </w:p>
    <w:p w14:paraId="028F3181" w14:textId="7AB7751F" w:rsidR="00787B2E" w:rsidRPr="008335F2" w:rsidRDefault="00787B2E" w:rsidP="00787B2E">
      <w:pPr>
        <w:spacing w:before="240" w:line="360" w:lineRule="auto"/>
        <w:rPr>
          <w:rStyle w:val="Hyperlink"/>
          <w:color w:val="000000" w:themeColor="text1"/>
          <w:u w:val="none"/>
        </w:rPr>
      </w:pPr>
      <w:r w:rsidRPr="008335F2">
        <w:rPr>
          <w:rStyle w:val="Hyperlink"/>
          <w:color w:val="000000" w:themeColor="text1"/>
          <w:u w:val="none"/>
        </w:rPr>
        <w:t xml:space="preserve">Jones, S. R., Carley, S. and Harrison, M. (2003) ‘An introduction to power and sample size estimation’, </w:t>
      </w:r>
      <w:r w:rsidRPr="008335F2">
        <w:rPr>
          <w:rStyle w:val="Hyperlink"/>
          <w:i/>
          <w:iCs/>
          <w:color w:val="000000" w:themeColor="text1"/>
          <w:u w:val="none"/>
        </w:rPr>
        <w:t xml:space="preserve">Emergency Medicine Journal, </w:t>
      </w:r>
      <w:r w:rsidRPr="008335F2">
        <w:rPr>
          <w:rStyle w:val="Hyperlink"/>
          <w:color w:val="000000" w:themeColor="text1"/>
          <w:u w:val="none"/>
        </w:rPr>
        <w:t>20(5), pp. 453-458. doi:10.1136/emj.20.5.453.</w:t>
      </w:r>
    </w:p>
    <w:p w14:paraId="6B1518C0" w14:textId="5976A14C" w:rsidR="00C0256B" w:rsidRPr="008335F2" w:rsidRDefault="00C0256B" w:rsidP="00787B2E">
      <w:pPr>
        <w:spacing w:before="240" w:line="360" w:lineRule="auto"/>
        <w:rPr>
          <w:rStyle w:val="Hyperlink"/>
          <w:color w:val="000000" w:themeColor="text1"/>
          <w:u w:val="none"/>
        </w:rPr>
      </w:pPr>
      <w:bookmarkStart w:id="18" w:name="_Hlk87705499"/>
      <w:r w:rsidRPr="008335F2">
        <w:rPr>
          <w:color w:val="000000" w:themeColor="text1"/>
        </w:rPr>
        <w:t>Klarh</w:t>
      </w:r>
      <w:r w:rsidRPr="008335F2">
        <w:rPr>
          <w:rFonts w:cstheme="minorHAnsi"/>
          <w:color w:val="000000" w:themeColor="text1"/>
        </w:rPr>
        <w:t>ö</w:t>
      </w:r>
      <w:r w:rsidRPr="008335F2">
        <w:rPr>
          <w:color w:val="000000" w:themeColor="text1"/>
        </w:rPr>
        <w:t>fer</w:t>
      </w:r>
      <w:r w:rsidR="007D444B" w:rsidRPr="008335F2">
        <w:rPr>
          <w:color w:val="000000" w:themeColor="text1"/>
        </w:rPr>
        <w:t xml:space="preserve">, M., Csapo, B., Balassy, C., Szeles, J. C. and Moser, E. (2001) ‘High-resolution blood flow velocity measurements in the human finger’, </w:t>
      </w:r>
      <w:r w:rsidR="007D444B" w:rsidRPr="008335F2">
        <w:rPr>
          <w:i/>
          <w:iCs/>
          <w:color w:val="000000" w:themeColor="text1"/>
        </w:rPr>
        <w:t xml:space="preserve">Magnetic Resonance in Medicine, </w:t>
      </w:r>
      <w:r w:rsidR="007D444B" w:rsidRPr="008335F2">
        <w:rPr>
          <w:color w:val="000000" w:themeColor="text1"/>
        </w:rPr>
        <w:t>45(4), pp. 716-719. doi:10.1002/mrm.1096.</w:t>
      </w:r>
    </w:p>
    <w:bookmarkEnd w:id="18"/>
    <w:p w14:paraId="038D9349" w14:textId="1AA7390F" w:rsidR="00103A6D" w:rsidRPr="008335F2" w:rsidRDefault="00103A6D" w:rsidP="00787B2E">
      <w:pPr>
        <w:spacing w:before="240" w:line="360" w:lineRule="auto"/>
        <w:rPr>
          <w:rStyle w:val="Hyperlink"/>
          <w:color w:val="000000" w:themeColor="text1"/>
          <w:u w:val="none"/>
        </w:rPr>
      </w:pPr>
      <w:r w:rsidRPr="008335F2">
        <w:rPr>
          <w:rStyle w:val="Hyperlink"/>
          <w:color w:val="000000" w:themeColor="text1"/>
          <w:u w:val="none"/>
        </w:rPr>
        <w:t>Lee</w:t>
      </w:r>
      <w:r w:rsidR="00356797" w:rsidRPr="008335F2">
        <w:rPr>
          <w:rStyle w:val="Hyperlink"/>
          <w:color w:val="000000" w:themeColor="text1"/>
          <w:u w:val="none"/>
        </w:rPr>
        <w:t xml:space="preserve">, D., Ahn, K., Kang, C. H. and Cho, S. B. (2017) ‘Ultrasonography of the lower extremity veins: anatomy and basic approach’, </w:t>
      </w:r>
      <w:r w:rsidR="00356797" w:rsidRPr="008335F2">
        <w:rPr>
          <w:rStyle w:val="Hyperlink"/>
          <w:i/>
          <w:iCs/>
          <w:color w:val="000000" w:themeColor="text1"/>
          <w:u w:val="none"/>
        </w:rPr>
        <w:t xml:space="preserve">Ultrasonography, </w:t>
      </w:r>
      <w:r w:rsidR="00356797" w:rsidRPr="008335F2">
        <w:rPr>
          <w:rStyle w:val="Hyperlink"/>
          <w:color w:val="000000" w:themeColor="text1"/>
          <w:u w:val="none"/>
        </w:rPr>
        <w:t>36(2), pp. 120-130. doi:10.14366/usg.17001.</w:t>
      </w:r>
    </w:p>
    <w:p w14:paraId="5C8815B0" w14:textId="77777777" w:rsidR="00787B2E" w:rsidRPr="008335F2" w:rsidRDefault="00787B2E" w:rsidP="00787B2E">
      <w:pPr>
        <w:spacing w:before="240" w:line="360" w:lineRule="auto"/>
        <w:rPr>
          <w:rFonts w:cstheme="minorHAnsi"/>
          <w:color w:val="000000" w:themeColor="text1"/>
        </w:rPr>
      </w:pPr>
      <w:r w:rsidRPr="008335F2">
        <w:rPr>
          <w:rFonts w:cstheme="minorHAnsi"/>
          <w:color w:val="000000" w:themeColor="text1"/>
        </w:rPr>
        <w:t xml:space="preserve">Patterson, R., McNamara, E., Tainio, M., Hérick de Sá, T., Smith, A. D., Sharp, S. J., Edwards, P., Woodcock, J., Braje, S. and Wijndaele, K. (2018) ‘Sedentary behaviour and risk of all-cause, cardiovascular and cancer mortality, and incident type 2 diabetes: a systematic review and dose response meta-analysis’, </w:t>
      </w:r>
      <w:r w:rsidRPr="008335F2">
        <w:rPr>
          <w:rFonts w:cstheme="minorHAnsi"/>
          <w:i/>
          <w:iCs/>
          <w:color w:val="000000" w:themeColor="text1"/>
        </w:rPr>
        <w:t xml:space="preserve">European Journal of Epidemiology, </w:t>
      </w:r>
      <w:r w:rsidRPr="008335F2">
        <w:rPr>
          <w:rFonts w:cstheme="minorHAnsi"/>
          <w:color w:val="000000" w:themeColor="text1"/>
        </w:rPr>
        <w:t>33(9), pp. 811-829. doi:10.1007/s10654-018-0380-1.</w:t>
      </w:r>
    </w:p>
    <w:p w14:paraId="6BB4EA10" w14:textId="7B76D653" w:rsidR="00787B2E" w:rsidRPr="008335F2" w:rsidRDefault="00787B2E" w:rsidP="00787B2E">
      <w:pPr>
        <w:spacing w:line="360" w:lineRule="auto"/>
        <w:rPr>
          <w:color w:val="000000" w:themeColor="text1"/>
        </w:rPr>
      </w:pPr>
      <w:r w:rsidRPr="008335F2">
        <w:rPr>
          <w:rFonts w:cstheme="minorHAnsi"/>
          <w:color w:val="000000" w:themeColor="text1"/>
        </w:rPr>
        <w:t xml:space="preserve">Peddie, M. C., Bone, J. L., Rehrer, N. J., Skeaff, C. M., Gray, A. R. and Perry, T. L. (2013) ‘Breaking prolonged sitting reduces postprandial glycemia in healthy, normal-weight adults: a randomized crossover trial’, </w:t>
      </w:r>
      <w:r w:rsidRPr="008335F2">
        <w:rPr>
          <w:rFonts w:cstheme="minorHAnsi"/>
          <w:i/>
          <w:iCs/>
          <w:color w:val="000000" w:themeColor="text1"/>
        </w:rPr>
        <w:t xml:space="preserve">American Journal of Clinical Nutrition, </w:t>
      </w:r>
      <w:r w:rsidRPr="008335F2">
        <w:rPr>
          <w:rFonts w:cstheme="minorHAnsi"/>
          <w:color w:val="000000" w:themeColor="text1"/>
        </w:rPr>
        <w:t>98(2), pp. 358-366.</w:t>
      </w:r>
      <w:r w:rsidR="00BF26F4" w:rsidRPr="008335F2">
        <w:rPr>
          <w:rFonts w:cstheme="minorHAnsi"/>
          <w:color w:val="000000" w:themeColor="text1"/>
        </w:rPr>
        <w:t xml:space="preserve"> </w:t>
      </w:r>
      <w:r w:rsidRPr="008335F2">
        <w:rPr>
          <w:rFonts w:cstheme="minorHAnsi"/>
          <w:color w:val="000000" w:themeColor="text1"/>
        </w:rPr>
        <w:t>doi:10.3945/ajcn.112.051763.</w:t>
      </w:r>
    </w:p>
    <w:p w14:paraId="1684470D" w14:textId="1909304E" w:rsidR="00787B2E" w:rsidRPr="008335F2" w:rsidRDefault="00787B2E" w:rsidP="00787B2E">
      <w:pPr>
        <w:spacing w:before="240" w:line="360" w:lineRule="auto"/>
      </w:pPr>
      <w:r w:rsidRPr="008335F2">
        <w:t xml:space="preserve">Population Health Team (2019) </w:t>
      </w:r>
      <w:r w:rsidRPr="008335F2">
        <w:rPr>
          <w:i/>
          <w:iCs/>
        </w:rPr>
        <w:t xml:space="preserve">Health survey for England 2018 adult’s health-related behaviours. </w:t>
      </w:r>
      <w:r w:rsidRPr="008335F2">
        <w:t>NHS Digital: Population Health Team. Available at: https://files.digital.nhs.uk/B5/771AC5/HSE18-Adult-Health-Related-Behaviours-rep-v3.pdf (Accessed: 8 July 2020).</w:t>
      </w:r>
    </w:p>
    <w:p w14:paraId="6BA66C1A" w14:textId="52D69CBC" w:rsidR="00787B2E" w:rsidRPr="008335F2" w:rsidRDefault="00787B2E" w:rsidP="00787B2E">
      <w:pPr>
        <w:spacing w:line="360" w:lineRule="auto"/>
        <w:rPr>
          <w:color w:val="000000" w:themeColor="text1"/>
        </w:rPr>
      </w:pPr>
      <w:bookmarkStart w:id="19" w:name="_Hlk87862094"/>
      <w:r w:rsidRPr="008335F2">
        <w:rPr>
          <w:color w:val="000000" w:themeColor="text1"/>
        </w:rPr>
        <w:t xml:space="preserve">Ravikumar, R., Lane, T. R., Babber, A., Onida, S. and Davies, A. H. (2021) ‘A randomised controlled trial of neuromuscular stimulation in non-operative venous disease improves clinical and symptomatic status’, </w:t>
      </w:r>
      <w:r w:rsidRPr="008335F2">
        <w:rPr>
          <w:i/>
          <w:iCs/>
          <w:color w:val="000000" w:themeColor="text1"/>
        </w:rPr>
        <w:t xml:space="preserve">Phlebology, </w:t>
      </w:r>
      <w:r w:rsidRPr="008335F2">
        <w:rPr>
          <w:color w:val="000000" w:themeColor="text1"/>
        </w:rPr>
        <w:t>36(4), pp.</w:t>
      </w:r>
      <w:r w:rsidR="00BF26F4" w:rsidRPr="008335F2">
        <w:rPr>
          <w:color w:val="000000" w:themeColor="text1"/>
        </w:rPr>
        <w:t xml:space="preserve"> </w:t>
      </w:r>
      <w:r w:rsidRPr="008335F2">
        <w:rPr>
          <w:color w:val="000000" w:themeColor="text1"/>
        </w:rPr>
        <w:t>290-302. doi:10.1177/0268355520968640.</w:t>
      </w:r>
    </w:p>
    <w:bookmarkEnd w:id="19"/>
    <w:p w14:paraId="6A8E0BFE" w14:textId="77777777" w:rsidR="00787B2E" w:rsidRPr="008335F2" w:rsidRDefault="00787B2E" w:rsidP="00787B2E">
      <w:pPr>
        <w:spacing w:after="0" w:line="360" w:lineRule="auto"/>
        <w:rPr>
          <w:rFonts w:cstheme="minorHAnsi"/>
          <w:color w:val="000000" w:themeColor="text1"/>
          <w:lang w:eastAsia="en-GB"/>
        </w:rPr>
      </w:pPr>
      <w:r w:rsidRPr="008335F2">
        <w:rPr>
          <w:rFonts w:cstheme="minorHAnsi"/>
          <w:color w:val="000000" w:themeColor="text1"/>
        </w:rPr>
        <w:t xml:space="preserve">Recek, C. (2013) ‘Calf pump activity influencing venous hemodynamics in the lower extremity’, </w:t>
      </w:r>
      <w:r w:rsidRPr="008335F2">
        <w:rPr>
          <w:rFonts w:cstheme="minorHAnsi"/>
          <w:i/>
          <w:iCs/>
          <w:color w:val="000000" w:themeColor="text1"/>
        </w:rPr>
        <w:t xml:space="preserve">International Journal of Angiology, </w:t>
      </w:r>
      <w:r w:rsidRPr="008335F2">
        <w:rPr>
          <w:rFonts w:cstheme="minorHAnsi"/>
          <w:color w:val="000000" w:themeColor="text1"/>
        </w:rPr>
        <w:t>22(1), pp. 23-30. doi:10.1055/s-0033-1334092.</w:t>
      </w:r>
    </w:p>
    <w:p w14:paraId="49A6BB8D" w14:textId="563D2D36" w:rsidR="00787B2E" w:rsidRPr="008335F2" w:rsidRDefault="00787B2E" w:rsidP="00787B2E">
      <w:pPr>
        <w:spacing w:before="240" w:line="360" w:lineRule="auto"/>
        <w:rPr>
          <w:rFonts w:cstheme="minorHAnsi"/>
          <w:color w:val="000000" w:themeColor="text1"/>
        </w:rPr>
      </w:pPr>
      <w:r w:rsidRPr="008335F2">
        <w:rPr>
          <w:rFonts w:cstheme="minorHAnsi"/>
          <w:color w:val="000000" w:themeColor="text1"/>
        </w:rPr>
        <w:lastRenderedPageBreak/>
        <w:t xml:space="preserve">Sochart, D. H. and Hardinge, K. (1999) ‘The relationship of foot and ankle movements to venous return in the lower limb’, </w:t>
      </w:r>
      <w:r w:rsidRPr="008335F2">
        <w:rPr>
          <w:rFonts w:cstheme="minorHAnsi"/>
          <w:i/>
          <w:iCs/>
          <w:color w:val="000000" w:themeColor="text1"/>
        </w:rPr>
        <w:t xml:space="preserve">Journal of Bone and Joint Surgery, </w:t>
      </w:r>
      <w:r w:rsidRPr="008335F2">
        <w:rPr>
          <w:rFonts w:cstheme="minorHAnsi"/>
          <w:color w:val="000000" w:themeColor="text1"/>
        </w:rPr>
        <w:t>81(4), pp.</w:t>
      </w:r>
      <w:r w:rsidR="00594235" w:rsidRPr="008335F2">
        <w:rPr>
          <w:rFonts w:cstheme="minorHAnsi"/>
          <w:color w:val="000000" w:themeColor="text1"/>
        </w:rPr>
        <w:t xml:space="preserve"> </w:t>
      </w:r>
      <w:r w:rsidRPr="008335F2">
        <w:rPr>
          <w:rFonts w:cstheme="minorHAnsi"/>
          <w:color w:val="000000" w:themeColor="text1"/>
        </w:rPr>
        <w:t>700-704. doi:10.1302/0301-620x.81b4.8909.</w:t>
      </w:r>
    </w:p>
    <w:p w14:paraId="1C75DD07" w14:textId="77777777" w:rsidR="00787B2E" w:rsidRPr="008335F2" w:rsidRDefault="00787B2E" w:rsidP="00787B2E">
      <w:pPr>
        <w:spacing w:before="240" w:line="360" w:lineRule="auto"/>
        <w:rPr>
          <w:rFonts w:cstheme="minorHAnsi"/>
          <w:color w:val="000000" w:themeColor="text1"/>
        </w:rPr>
      </w:pPr>
      <w:r w:rsidRPr="008335F2">
        <w:rPr>
          <w:rFonts w:cstheme="minorHAnsi"/>
          <w:color w:val="000000" w:themeColor="text1"/>
        </w:rPr>
        <w:t xml:space="preserve">Tanaka, K., Kamada, H., Shimizu, Y., Aikawa, S., Nishino, T., Ochiai, N., Sakane, M. and Yamazaki, M. (2016) ‘The use of a novel in-bed active leg exercise apparatus (LEX) for increasing venous blood flow’, </w:t>
      </w:r>
      <w:r w:rsidRPr="008335F2">
        <w:rPr>
          <w:rFonts w:cstheme="minorHAnsi"/>
          <w:i/>
          <w:iCs/>
          <w:color w:val="000000" w:themeColor="text1"/>
        </w:rPr>
        <w:t>Journal of Rural Medicine,</w:t>
      </w:r>
      <w:r w:rsidRPr="008335F2">
        <w:rPr>
          <w:rFonts w:cstheme="minorHAnsi"/>
          <w:color w:val="000000" w:themeColor="text1"/>
        </w:rPr>
        <w:t xml:space="preserve"> 11(1), pp. 11-16. doi:10.2185/jrm.2906.</w:t>
      </w:r>
    </w:p>
    <w:p w14:paraId="70AD0FFC" w14:textId="77777777" w:rsidR="00787B2E" w:rsidRPr="008335F2" w:rsidRDefault="00787B2E" w:rsidP="00787B2E">
      <w:pPr>
        <w:spacing w:line="360" w:lineRule="auto"/>
        <w:rPr>
          <w:color w:val="000000" w:themeColor="text1"/>
        </w:rPr>
      </w:pPr>
      <w:r w:rsidRPr="008335F2">
        <w:rPr>
          <w:color w:val="000000" w:themeColor="text1"/>
        </w:rPr>
        <w:t xml:space="preserve">Tansey, E. A., Montgomery, L. E. A., Quinn, J. G., Roe, S. M. and Johnson, C. D. (2019) ‘Understanding basic vein physiology and venous blood pressure through simple physical assessments’, </w:t>
      </w:r>
      <w:r w:rsidRPr="008335F2">
        <w:rPr>
          <w:i/>
          <w:iCs/>
          <w:color w:val="000000" w:themeColor="text1"/>
        </w:rPr>
        <w:t xml:space="preserve">Advances in Physiology Education, </w:t>
      </w:r>
      <w:r w:rsidRPr="008335F2">
        <w:rPr>
          <w:color w:val="000000" w:themeColor="text1"/>
        </w:rPr>
        <w:t>43(3), pp. 423-429. doi:10.1152/advan.00182.2018.</w:t>
      </w:r>
    </w:p>
    <w:p w14:paraId="70A8CAB4" w14:textId="764BF5FB" w:rsidR="00787B2E" w:rsidRPr="008335F2" w:rsidRDefault="00103A6D" w:rsidP="00A7463C">
      <w:pPr>
        <w:spacing w:line="360" w:lineRule="auto"/>
        <w:rPr>
          <w:rFonts w:cstheme="minorHAnsi"/>
          <w:color w:val="000000" w:themeColor="text1"/>
        </w:rPr>
      </w:pPr>
      <w:r w:rsidRPr="008335F2">
        <w:rPr>
          <w:rFonts w:cstheme="minorHAnsi"/>
          <w:color w:val="000000" w:themeColor="text1"/>
        </w:rPr>
        <w:t>Thosar</w:t>
      </w:r>
      <w:r w:rsidR="00356797" w:rsidRPr="008335F2">
        <w:rPr>
          <w:rFonts w:cstheme="minorHAnsi"/>
          <w:color w:val="000000" w:themeColor="text1"/>
        </w:rPr>
        <w:t xml:space="preserve">, S. S., Bielko, S. L., Mather, K. J., Johnston, J. D. and Wallace, J. P. (2015) ‘Effect of prolonged sitting and breaks in sitting time on endothelial function’, </w:t>
      </w:r>
      <w:r w:rsidR="00356797" w:rsidRPr="008335F2">
        <w:rPr>
          <w:rFonts w:cstheme="minorHAnsi"/>
          <w:i/>
          <w:iCs/>
          <w:color w:val="000000" w:themeColor="text1"/>
        </w:rPr>
        <w:t xml:space="preserve">Medicine and Science in Sports and Exercise, </w:t>
      </w:r>
      <w:r w:rsidR="00356797" w:rsidRPr="008335F2">
        <w:rPr>
          <w:rFonts w:cstheme="minorHAnsi"/>
          <w:color w:val="000000" w:themeColor="text1"/>
        </w:rPr>
        <w:t>47(4), pp. 843-849. doi:10.1249/MSS.0000000000000479.</w:t>
      </w:r>
    </w:p>
    <w:p w14:paraId="1675536E" w14:textId="7D2FEC92" w:rsidR="00787B2E" w:rsidRPr="008335F2" w:rsidRDefault="00787B2E" w:rsidP="00787B2E">
      <w:pPr>
        <w:spacing w:before="240" w:line="360" w:lineRule="auto"/>
        <w:rPr>
          <w:color w:val="000000" w:themeColor="text1"/>
        </w:rPr>
      </w:pPr>
      <w:bookmarkStart w:id="20" w:name="_Hlk87727888"/>
      <w:r w:rsidRPr="008335F2">
        <w:rPr>
          <w:color w:val="000000" w:themeColor="text1"/>
        </w:rPr>
        <w:t xml:space="preserve">Varatharajan, L., Williams, K., Moore, H. and Davies, A. H. (2014) ‘The effect of footplate neuromuscular electrical stimulation on venous and arterial haemodynamics’, </w:t>
      </w:r>
      <w:r w:rsidRPr="008335F2">
        <w:rPr>
          <w:i/>
          <w:iCs/>
          <w:color w:val="000000" w:themeColor="text1"/>
        </w:rPr>
        <w:t>Phlebology</w:t>
      </w:r>
      <w:r w:rsidRPr="008335F2">
        <w:rPr>
          <w:color w:val="000000" w:themeColor="text1"/>
        </w:rPr>
        <w:t>,</w:t>
      </w:r>
      <w:r w:rsidR="003C508F" w:rsidRPr="008335F2">
        <w:rPr>
          <w:color w:val="000000" w:themeColor="text1"/>
        </w:rPr>
        <w:t xml:space="preserve"> 30(9),</w:t>
      </w:r>
      <w:r w:rsidRPr="008335F2">
        <w:rPr>
          <w:color w:val="000000" w:themeColor="text1"/>
        </w:rPr>
        <w:t xml:space="preserve"> pp.</w:t>
      </w:r>
      <w:r w:rsidR="003C508F" w:rsidRPr="008335F2">
        <w:rPr>
          <w:color w:val="000000" w:themeColor="text1"/>
        </w:rPr>
        <w:t xml:space="preserve"> 648-650</w:t>
      </w:r>
      <w:r w:rsidRPr="008335F2">
        <w:rPr>
          <w:color w:val="000000" w:themeColor="text1"/>
        </w:rPr>
        <w:t>. doi:10.1177/02683555</w:t>
      </w:r>
      <w:r w:rsidR="009C3704" w:rsidRPr="008335F2">
        <w:rPr>
          <w:color w:val="000000" w:themeColor="text1"/>
        </w:rPr>
        <w:t>14542682</w:t>
      </w:r>
      <w:r w:rsidRPr="008335F2">
        <w:rPr>
          <w:color w:val="000000" w:themeColor="text1"/>
        </w:rPr>
        <w:t>.</w:t>
      </w:r>
    </w:p>
    <w:bookmarkEnd w:id="20"/>
    <w:p w14:paraId="2E0E5623" w14:textId="77777777" w:rsidR="00787B2E" w:rsidRPr="008335F2" w:rsidRDefault="00787B2E" w:rsidP="00787B2E">
      <w:pPr>
        <w:spacing w:line="360" w:lineRule="auto"/>
        <w:rPr>
          <w:rFonts w:cstheme="minorHAnsi"/>
          <w:color w:val="000000" w:themeColor="text1"/>
        </w:rPr>
      </w:pPr>
      <w:r w:rsidRPr="008335F2">
        <w:rPr>
          <w:rFonts w:cstheme="minorHAnsi"/>
          <w:color w:val="000000" w:themeColor="text1"/>
        </w:rPr>
        <w:t xml:space="preserve">World Health Organization (2020) </w:t>
      </w:r>
      <w:r w:rsidRPr="008335F2">
        <w:rPr>
          <w:rFonts w:cstheme="minorHAnsi"/>
          <w:i/>
          <w:iCs/>
          <w:color w:val="000000" w:themeColor="text1"/>
        </w:rPr>
        <w:t xml:space="preserve">WHO guidelines on physical activity and sedentary behaviour. </w:t>
      </w:r>
      <w:r w:rsidRPr="008335F2">
        <w:rPr>
          <w:rFonts w:cstheme="minorHAnsi"/>
          <w:color w:val="000000" w:themeColor="text1"/>
        </w:rPr>
        <w:t>Geneva: World Health Organization. Available at: https://www.who.int/publications/i/item/9789240015128 (Accessed: 20 October 2021).</w:t>
      </w:r>
    </w:p>
    <w:p w14:paraId="47D1E1F4" w14:textId="11048BBF" w:rsidR="007D444B" w:rsidRPr="008335F2" w:rsidRDefault="00787B2E" w:rsidP="007378ED">
      <w:pPr>
        <w:spacing w:before="240" w:line="360" w:lineRule="auto"/>
        <w:rPr>
          <w:color w:val="000000" w:themeColor="text1"/>
        </w:rPr>
      </w:pPr>
      <w:r w:rsidRPr="008335F2">
        <w:rPr>
          <w:color w:val="000000" w:themeColor="text1"/>
        </w:rPr>
        <w:t xml:space="preserve">Zaidell, L. N., Hunter, S. P., Sumners, D. P. and Mileva, K. N. (2014) ‘Plantar surface electrical stimulation increases blood flow and tissue oxygenation in the human lower limb’, </w:t>
      </w:r>
      <w:r w:rsidRPr="008335F2">
        <w:rPr>
          <w:i/>
          <w:iCs/>
          <w:color w:val="000000" w:themeColor="text1"/>
        </w:rPr>
        <w:t>Conference:</w:t>
      </w:r>
      <w:r w:rsidRPr="008335F2">
        <w:rPr>
          <w:color w:val="000000" w:themeColor="text1"/>
        </w:rPr>
        <w:t xml:space="preserve"> </w:t>
      </w:r>
      <w:r w:rsidRPr="008335F2">
        <w:rPr>
          <w:i/>
          <w:iCs/>
          <w:color w:val="000000" w:themeColor="text1"/>
        </w:rPr>
        <w:t xml:space="preserve">Physiological Society 31, </w:t>
      </w:r>
      <w:r w:rsidRPr="008335F2">
        <w:rPr>
          <w:color w:val="000000" w:themeColor="text1"/>
        </w:rPr>
        <w:t>London.</w:t>
      </w:r>
      <w:bookmarkEnd w:id="11"/>
      <w:bookmarkEnd w:id="12"/>
      <w:bookmarkEnd w:id="0"/>
    </w:p>
    <w:p w14:paraId="7671D7DB" w14:textId="029D139A" w:rsidR="005C1038" w:rsidRPr="008335F2" w:rsidRDefault="005C1038" w:rsidP="007378ED">
      <w:pPr>
        <w:spacing w:before="240" w:line="360" w:lineRule="auto"/>
        <w:rPr>
          <w:color w:val="000000" w:themeColor="text1"/>
        </w:rPr>
      </w:pPr>
    </w:p>
    <w:p w14:paraId="5F05B1DE" w14:textId="788570F5" w:rsidR="005C1038" w:rsidRPr="008335F2" w:rsidRDefault="005C1038" w:rsidP="007378ED">
      <w:pPr>
        <w:spacing w:before="240" w:line="360" w:lineRule="auto"/>
        <w:rPr>
          <w:color w:val="000000" w:themeColor="text1"/>
        </w:rPr>
      </w:pPr>
    </w:p>
    <w:p w14:paraId="324B59A5" w14:textId="0FBAE57D" w:rsidR="005C1038" w:rsidRPr="008335F2" w:rsidRDefault="005C1038" w:rsidP="007378ED">
      <w:pPr>
        <w:spacing w:before="240" w:line="360" w:lineRule="auto"/>
        <w:rPr>
          <w:color w:val="000000" w:themeColor="text1"/>
        </w:rPr>
      </w:pPr>
    </w:p>
    <w:p w14:paraId="10029806" w14:textId="4FC42370" w:rsidR="005C1038" w:rsidRPr="008335F2" w:rsidRDefault="005C1038" w:rsidP="007378ED">
      <w:pPr>
        <w:spacing w:before="240" w:line="360" w:lineRule="auto"/>
        <w:rPr>
          <w:color w:val="000000" w:themeColor="text1"/>
        </w:rPr>
      </w:pPr>
    </w:p>
    <w:p w14:paraId="3290710E" w14:textId="6A4DF91B" w:rsidR="001A04C9" w:rsidRPr="008335F2" w:rsidRDefault="001A04C9" w:rsidP="007378ED">
      <w:pPr>
        <w:spacing w:before="240" w:line="360" w:lineRule="auto"/>
        <w:rPr>
          <w:color w:val="000000" w:themeColor="text1"/>
        </w:rPr>
      </w:pPr>
    </w:p>
    <w:p w14:paraId="4C5A648A" w14:textId="42CFD2E8" w:rsidR="001A04C9" w:rsidRPr="008335F2" w:rsidRDefault="001A04C9" w:rsidP="007378ED">
      <w:pPr>
        <w:spacing w:before="240" w:line="360" w:lineRule="auto"/>
        <w:rPr>
          <w:color w:val="000000" w:themeColor="text1"/>
        </w:rPr>
      </w:pPr>
    </w:p>
    <w:p w14:paraId="2DD1AAEC" w14:textId="5F96DDB3" w:rsidR="000D064C" w:rsidRPr="008335F2" w:rsidRDefault="000D064C" w:rsidP="0020061D">
      <w:pPr>
        <w:spacing w:line="360" w:lineRule="auto"/>
        <w:rPr>
          <w:rFonts w:cstheme="minorHAnsi"/>
          <w:i/>
          <w:iCs/>
          <w:color w:val="000000" w:themeColor="text1"/>
        </w:rPr>
      </w:pPr>
    </w:p>
    <w:p w14:paraId="013E06A5" w14:textId="77777777" w:rsidR="000D064C" w:rsidRPr="008335F2" w:rsidRDefault="000D064C" w:rsidP="000D064C">
      <w:pPr>
        <w:spacing w:line="360" w:lineRule="auto"/>
        <w:rPr>
          <w:rFonts w:cstheme="minorHAnsi"/>
          <w:i/>
          <w:iCs/>
          <w:color w:val="000000" w:themeColor="text1"/>
        </w:rPr>
      </w:pPr>
      <w:r w:rsidRPr="008335F2">
        <w:rPr>
          <w:rFonts w:cstheme="minorHAnsi"/>
          <w:i/>
          <w:iCs/>
          <w:color w:val="000000" w:themeColor="text1"/>
        </w:rPr>
        <w:lastRenderedPageBreak/>
        <w:t>Table 1. Time averaged mean velocity, systolic blood pressure and heart rate pre- and post-Leeper, Circulation Booster® and Walking conditions (Mean (SD)).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1004"/>
        <w:gridCol w:w="1004"/>
        <w:gridCol w:w="1004"/>
        <w:gridCol w:w="1062"/>
        <w:gridCol w:w="1062"/>
        <w:gridCol w:w="1104"/>
        <w:gridCol w:w="1311"/>
      </w:tblGrid>
      <w:tr w:rsidR="000D064C" w:rsidRPr="008335F2" w14:paraId="4B2E9CC2" w14:textId="77777777" w:rsidTr="00F51E5F">
        <w:trPr>
          <w:trHeight w:val="200"/>
        </w:trPr>
        <w:tc>
          <w:tcPr>
            <w:tcW w:w="2972" w:type="dxa"/>
            <w:vMerge w:val="restart"/>
            <w:tcBorders>
              <w:top w:val="single" w:sz="4" w:space="0" w:color="auto"/>
            </w:tcBorders>
          </w:tcPr>
          <w:p w14:paraId="4391A216" w14:textId="77777777" w:rsidR="000D064C" w:rsidRPr="008335F2" w:rsidRDefault="000D064C" w:rsidP="00F51E5F">
            <w:pPr>
              <w:spacing w:line="360" w:lineRule="auto"/>
              <w:rPr>
                <w:rFonts w:cstheme="minorHAnsi"/>
                <w:b/>
                <w:bCs/>
                <w:color w:val="000000" w:themeColor="text1"/>
              </w:rPr>
            </w:pPr>
          </w:p>
        </w:tc>
        <w:tc>
          <w:tcPr>
            <w:tcW w:w="3119" w:type="dxa"/>
            <w:gridSpan w:val="2"/>
            <w:tcBorders>
              <w:top w:val="single" w:sz="4" w:space="0" w:color="auto"/>
            </w:tcBorders>
          </w:tcPr>
          <w:p w14:paraId="4503FE09" w14:textId="77777777" w:rsidR="000D064C" w:rsidRPr="008335F2" w:rsidRDefault="000D064C" w:rsidP="00F51E5F">
            <w:pPr>
              <w:spacing w:line="360" w:lineRule="auto"/>
              <w:jc w:val="center"/>
              <w:rPr>
                <w:rFonts w:cstheme="minorHAnsi"/>
                <w:b/>
                <w:bCs/>
                <w:color w:val="000000" w:themeColor="text1"/>
              </w:rPr>
            </w:pPr>
            <w:r w:rsidRPr="008335F2">
              <w:rPr>
                <w:rFonts w:cstheme="minorHAnsi"/>
                <w:b/>
                <w:bCs/>
                <w:color w:val="000000" w:themeColor="text1"/>
              </w:rPr>
              <w:t>Leeper</w:t>
            </w:r>
          </w:p>
        </w:tc>
        <w:tc>
          <w:tcPr>
            <w:tcW w:w="3118" w:type="dxa"/>
            <w:gridSpan w:val="2"/>
            <w:tcBorders>
              <w:top w:val="single" w:sz="4" w:space="0" w:color="auto"/>
            </w:tcBorders>
          </w:tcPr>
          <w:p w14:paraId="45356E9E" w14:textId="77777777" w:rsidR="000D064C" w:rsidRPr="008335F2" w:rsidRDefault="000D064C" w:rsidP="00F51E5F">
            <w:pPr>
              <w:spacing w:line="360" w:lineRule="auto"/>
              <w:jc w:val="center"/>
              <w:rPr>
                <w:rFonts w:cstheme="minorHAnsi"/>
                <w:b/>
                <w:bCs/>
                <w:color w:val="000000" w:themeColor="text1"/>
              </w:rPr>
            </w:pPr>
            <w:r w:rsidRPr="008335F2">
              <w:rPr>
                <w:rFonts w:cstheme="minorHAnsi"/>
                <w:b/>
                <w:bCs/>
                <w:color w:val="000000" w:themeColor="text1"/>
              </w:rPr>
              <w:t>Circulation Booster®</w:t>
            </w:r>
          </w:p>
        </w:tc>
        <w:tc>
          <w:tcPr>
            <w:tcW w:w="3119" w:type="dxa"/>
            <w:gridSpan w:val="2"/>
            <w:tcBorders>
              <w:top w:val="single" w:sz="4" w:space="0" w:color="auto"/>
            </w:tcBorders>
          </w:tcPr>
          <w:p w14:paraId="2DE18AF3" w14:textId="77777777" w:rsidR="000D064C" w:rsidRPr="008335F2" w:rsidRDefault="000D064C" w:rsidP="00F51E5F">
            <w:pPr>
              <w:spacing w:line="360" w:lineRule="auto"/>
              <w:jc w:val="center"/>
              <w:rPr>
                <w:rFonts w:cstheme="minorHAnsi"/>
                <w:b/>
                <w:bCs/>
                <w:color w:val="000000" w:themeColor="text1"/>
              </w:rPr>
            </w:pPr>
            <w:r w:rsidRPr="008335F2">
              <w:rPr>
                <w:rFonts w:cstheme="minorHAnsi"/>
                <w:b/>
                <w:bCs/>
                <w:color w:val="000000" w:themeColor="text1"/>
              </w:rPr>
              <w:t>Walking</w:t>
            </w:r>
          </w:p>
        </w:tc>
        <w:tc>
          <w:tcPr>
            <w:tcW w:w="1620" w:type="dxa"/>
            <w:vMerge w:val="restart"/>
            <w:tcBorders>
              <w:top w:val="single" w:sz="4" w:space="0" w:color="auto"/>
            </w:tcBorders>
          </w:tcPr>
          <w:p w14:paraId="409C672A" w14:textId="77777777" w:rsidR="000D064C" w:rsidRPr="008335F2" w:rsidRDefault="000D064C" w:rsidP="00F51E5F">
            <w:pPr>
              <w:spacing w:line="360" w:lineRule="auto"/>
              <w:jc w:val="center"/>
              <w:rPr>
                <w:rFonts w:cstheme="minorHAnsi"/>
                <w:b/>
                <w:bCs/>
                <w:color w:val="000000" w:themeColor="text1"/>
              </w:rPr>
            </w:pPr>
            <w:r w:rsidRPr="008335F2">
              <w:rPr>
                <w:rFonts w:cstheme="minorHAnsi"/>
                <w:b/>
                <w:bCs/>
                <w:color w:val="000000" w:themeColor="text1"/>
              </w:rPr>
              <w:t>Interaction effect (p)</w:t>
            </w:r>
          </w:p>
        </w:tc>
      </w:tr>
      <w:tr w:rsidR="000D064C" w:rsidRPr="008335F2" w14:paraId="0A56853B" w14:textId="77777777" w:rsidTr="00F51E5F">
        <w:trPr>
          <w:trHeight w:val="200"/>
        </w:trPr>
        <w:tc>
          <w:tcPr>
            <w:tcW w:w="2972" w:type="dxa"/>
            <w:vMerge/>
            <w:tcBorders>
              <w:bottom w:val="single" w:sz="4" w:space="0" w:color="auto"/>
            </w:tcBorders>
          </w:tcPr>
          <w:p w14:paraId="5640AAE6" w14:textId="77777777" w:rsidR="000D064C" w:rsidRPr="008335F2" w:rsidRDefault="000D064C" w:rsidP="00F51E5F">
            <w:pPr>
              <w:spacing w:line="360" w:lineRule="auto"/>
              <w:rPr>
                <w:rFonts w:cstheme="minorHAnsi"/>
                <w:b/>
                <w:bCs/>
                <w:color w:val="000000" w:themeColor="text1"/>
              </w:rPr>
            </w:pPr>
          </w:p>
        </w:tc>
        <w:tc>
          <w:tcPr>
            <w:tcW w:w="1559" w:type="dxa"/>
            <w:tcBorders>
              <w:bottom w:val="single" w:sz="4" w:space="0" w:color="auto"/>
            </w:tcBorders>
          </w:tcPr>
          <w:p w14:paraId="09E90D07"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Pre-</w:t>
            </w:r>
          </w:p>
        </w:tc>
        <w:tc>
          <w:tcPr>
            <w:tcW w:w="1560" w:type="dxa"/>
            <w:tcBorders>
              <w:bottom w:val="single" w:sz="4" w:space="0" w:color="auto"/>
            </w:tcBorders>
          </w:tcPr>
          <w:p w14:paraId="4CA5865B"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Post-</w:t>
            </w:r>
          </w:p>
        </w:tc>
        <w:tc>
          <w:tcPr>
            <w:tcW w:w="1559" w:type="dxa"/>
            <w:tcBorders>
              <w:bottom w:val="single" w:sz="4" w:space="0" w:color="auto"/>
            </w:tcBorders>
          </w:tcPr>
          <w:p w14:paraId="05202F79"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Pre-</w:t>
            </w:r>
          </w:p>
        </w:tc>
        <w:tc>
          <w:tcPr>
            <w:tcW w:w="1559" w:type="dxa"/>
            <w:tcBorders>
              <w:bottom w:val="single" w:sz="4" w:space="0" w:color="auto"/>
            </w:tcBorders>
          </w:tcPr>
          <w:p w14:paraId="3EC9E357"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Post-</w:t>
            </w:r>
          </w:p>
        </w:tc>
        <w:tc>
          <w:tcPr>
            <w:tcW w:w="1559" w:type="dxa"/>
            <w:tcBorders>
              <w:bottom w:val="single" w:sz="4" w:space="0" w:color="auto"/>
            </w:tcBorders>
          </w:tcPr>
          <w:p w14:paraId="622344CA"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Pre-</w:t>
            </w:r>
          </w:p>
        </w:tc>
        <w:tc>
          <w:tcPr>
            <w:tcW w:w="1560" w:type="dxa"/>
            <w:tcBorders>
              <w:bottom w:val="single" w:sz="4" w:space="0" w:color="auto"/>
            </w:tcBorders>
          </w:tcPr>
          <w:p w14:paraId="7E12DE75"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Post-</w:t>
            </w:r>
          </w:p>
        </w:tc>
        <w:tc>
          <w:tcPr>
            <w:tcW w:w="1620" w:type="dxa"/>
            <w:vMerge/>
            <w:tcBorders>
              <w:bottom w:val="single" w:sz="4" w:space="0" w:color="auto"/>
            </w:tcBorders>
          </w:tcPr>
          <w:p w14:paraId="34ED2FFB" w14:textId="77777777" w:rsidR="000D064C" w:rsidRPr="008335F2" w:rsidRDefault="000D064C" w:rsidP="00F51E5F">
            <w:pPr>
              <w:spacing w:line="360" w:lineRule="auto"/>
              <w:rPr>
                <w:rFonts w:cstheme="minorHAnsi"/>
                <w:b/>
                <w:bCs/>
                <w:color w:val="000000" w:themeColor="text1"/>
              </w:rPr>
            </w:pPr>
          </w:p>
        </w:tc>
      </w:tr>
      <w:tr w:rsidR="000D064C" w:rsidRPr="008335F2" w14:paraId="6E222B2D" w14:textId="77777777" w:rsidTr="00F51E5F">
        <w:tc>
          <w:tcPr>
            <w:tcW w:w="2972" w:type="dxa"/>
            <w:tcBorders>
              <w:top w:val="single" w:sz="4" w:space="0" w:color="auto"/>
            </w:tcBorders>
          </w:tcPr>
          <w:p w14:paraId="3441E221"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Time averaged mean velocity (cm/s)</w:t>
            </w:r>
          </w:p>
        </w:tc>
        <w:tc>
          <w:tcPr>
            <w:tcW w:w="1559" w:type="dxa"/>
            <w:tcBorders>
              <w:top w:val="single" w:sz="4" w:space="0" w:color="auto"/>
            </w:tcBorders>
          </w:tcPr>
          <w:p w14:paraId="5E8CE095"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2.34 (2.18)</w:t>
            </w:r>
          </w:p>
        </w:tc>
        <w:tc>
          <w:tcPr>
            <w:tcW w:w="1560" w:type="dxa"/>
            <w:tcBorders>
              <w:top w:val="single" w:sz="4" w:space="0" w:color="auto"/>
            </w:tcBorders>
          </w:tcPr>
          <w:p w14:paraId="5D9090BD"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2.14 (0.98)</w:t>
            </w:r>
          </w:p>
        </w:tc>
        <w:tc>
          <w:tcPr>
            <w:tcW w:w="1559" w:type="dxa"/>
            <w:tcBorders>
              <w:top w:val="single" w:sz="4" w:space="0" w:color="auto"/>
            </w:tcBorders>
          </w:tcPr>
          <w:p w14:paraId="0E0D8FFC"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1.81 (0.69)</w:t>
            </w:r>
          </w:p>
        </w:tc>
        <w:tc>
          <w:tcPr>
            <w:tcW w:w="1559" w:type="dxa"/>
            <w:tcBorders>
              <w:top w:val="single" w:sz="4" w:space="0" w:color="auto"/>
            </w:tcBorders>
          </w:tcPr>
          <w:p w14:paraId="39596A8C"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2.02 (1.10)</w:t>
            </w:r>
          </w:p>
        </w:tc>
        <w:tc>
          <w:tcPr>
            <w:tcW w:w="1559" w:type="dxa"/>
            <w:tcBorders>
              <w:top w:val="single" w:sz="4" w:space="0" w:color="auto"/>
            </w:tcBorders>
          </w:tcPr>
          <w:p w14:paraId="365958F2"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1.43 (0.68)</w:t>
            </w:r>
          </w:p>
        </w:tc>
        <w:tc>
          <w:tcPr>
            <w:tcW w:w="1560" w:type="dxa"/>
            <w:tcBorders>
              <w:top w:val="single" w:sz="4" w:space="0" w:color="auto"/>
            </w:tcBorders>
          </w:tcPr>
          <w:p w14:paraId="1CB61ED2"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2.23 (1.28)</w:t>
            </w:r>
          </w:p>
        </w:tc>
        <w:tc>
          <w:tcPr>
            <w:tcW w:w="1620" w:type="dxa"/>
            <w:tcBorders>
              <w:top w:val="single" w:sz="4" w:space="0" w:color="auto"/>
            </w:tcBorders>
          </w:tcPr>
          <w:p w14:paraId="11C92F24"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0.180</w:t>
            </w:r>
          </w:p>
        </w:tc>
      </w:tr>
      <w:tr w:rsidR="000D064C" w:rsidRPr="008335F2" w14:paraId="7E08978E" w14:textId="77777777" w:rsidTr="00F51E5F">
        <w:tc>
          <w:tcPr>
            <w:tcW w:w="2972" w:type="dxa"/>
          </w:tcPr>
          <w:p w14:paraId="2FDF58E8"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Systolic blood pressure (mmHg)</w:t>
            </w:r>
          </w:p>
        </w:tc>
        <w:tc>
          <w:tcPr>
            <w:tcW w:w="1559" w:type="dxa"/>
          </w:tcPr>
          <w:p w14:paraId="266283FD"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124.91 (13.24)</w:t>
            </w:r>
          </w:p>
        </w:tc>
        <w:tc>
          <w:tcPr>
            <w:tcW w:w="1560" w:type="dxa"/>
          </w:tcPr>
          <w:p w14:paraId="2C6E543B"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125.09 (13.10)</w:t>
            </w:r>
          </w:p>
        </w:tc>
        <w:tc>
          <w:tcPr>
            <w:tcW w:w="1559" w:type="dxa"/>
          </w:tcPr>
          <w:p w14:paraId="1FA234AD"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123.45 (11.12)</w:t>
            </w:r>
          </w:p>
        </w:tc>
        <w:tc>
          <w:tcPr>
            <w:tcW w:w="1559" w:type="dxa"/>
          </w:tcPr>
          <w:p w14:paraId="2CCB9123"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124.91 (14.38)</w:t>
            </w:r>
          </w:p>
        </w:tc>
        <w:tc>
          <w:tcPr>
            <w:tcW w:w="1559" w:type="dxa"/>
          </w:tcPr>
          <w:p w14:paraId="188BBFB6"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126.36 (14.35)</w:t>
            </w:r>
          </w:p>
        </w:tc>
        <w:tc>
          <w:tcPr>
            <w:tcW w:w="1560" w:type="dxa"/>
          </w:tcPr>
          <w:p w14:paraId="44467458"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127.64 (12.23)</w:t>
            </w:r>
          </w:p>
        </w:tc>
        <w:tc>
          <w:tcPr>
            <w:tcW w:w="1620" w:type="dxa"/>
          </w:tcPr>
          <w:p w14:paraId="5DEA3BE5"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0.874</w:t>
            </w:r>
          </w:p>
        </w:tc>
      </w:tr>
      <w:tr w:rsidR="000D064C" w:rsidRPr="008335F2" w14:paraId="6F3B0202" w14:textId="77777777" w:rsidTr="00F51E5F">
        <w:tc>
          <w:tcPr>
            <w:tcW w:w="2972" w:type="dxa"/>
            <w:tcBorders>
              <w:bottom w:val="single" w:sz="4" w:space="0" w:color="auto"/>
            </w:tcBorders>
          </w:tcPr>
          <w:p w14:paraId="2AAB1AD9" w14:textId="77777777" w:rsidR="000D064C" w:rsidRPr="008335F2" w:rsidRDefault="000D064C" w:rsidP="00F51E5F">
            <w:pPr>
              <w:spacing w:line="360" w:lineRule="auto"/>
              <w:rPr>
                <w:rFonts w:cstheme="minorHAnsi"/>
                <w:b/>
                <w:bCs/>
                <w:color w:val="000000" w:themeColor="text1"/>
              </w:rPr>
            </w:pPr>
            <w:r w:rsidRPr="008335F2">
              <w:rPr>
                <w:rFonts w:cstheme="minorHAnsi"/>
                <w:b/>
                <w:bCs/>
                <w:color w:val="000000" w:themeColor="text1"/>
              </w:rPr>
              <w:t>Heart rate (bpm)</w:t>
            </w:r>
          </w:p>
        </w:tc>
        <w:tc>
          <w:tcPr>
            <w:tcW w:w="1559" w:type="dxa"/>
            <w:tcBorders>
              <w:bottom w:val="single" w:sz="4" w:space="0" w:color="auto"/>
            </w:tcBorders>
          </w:tcPr>
          <w:p w14:paraId="0131BED8"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76.00 (15.03)</w:t>
            </w:r>
          </w:p>
        </w:tc>
        <w:tc>
          <w:tcPr>
            <w:tcW w:w="1560" w:type="dxa"/>
            <w:tcBorders>
              <w:bottom w:val="single" w:sz="4" w:space="0" w:color="auto"/>
            </w:tcBorders>
          </w:tcPr>
          <w:p w14:paraId="6C7306EF"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75.45 (13.14)</w:t>
            </w:r>
          </w:p>
        </w:tc>
        <w:tc>
          <w:tcPr>
            <w:tcW w:w="1559" w:type="dxa"/>
            <w:tcBorders>
              <w:bottom w:val="single" w:sz="4" w:space="0" w:color="auto"/>
            </w:tcBorders>
          </w:tcPr>
          <w:p w14:paraId="13DDEDF2"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76.73 (16.86)</w:t>
            </w:r>
          </w:p>
        </w:tc>
        <w:tc>
          <w:tcPr>
            <w:tcW w:w="1559" w:type="dxa"/>
            <w:tcBorders>
              <w:bottom w:val="single" w:sz="4" w:space="0" w:color="auto"/>
            </w:tcBorders>
          </w:tcPr>
          <w:p w14:paraId="43FE2A51"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72.91 (16.86)</w:t>
            </w:r>
            <w:r w:rsidRPr="008335F2">
              <w:rPr>
                <w:rFonts w:cstheme="minorHAnsi"/>
                <w:color w:val="000000" w:themeColor="text1"/>
                <w:vertAlign w:val="superscript"/>
              </w:rPr>
              <w:t>b</w:t>
            </w:r>
          </w:p>
        </w:tc>
        <w:tc>
          <w:tcPr>
            <w:tcW w:w="1559" w:type="dxa"/>
            <w:tcBorders>
              <w:bottom w:val="single" w:sz="4" w:space="0" w:color="auto"/>
            </w:tcBorders>
          </w:tcPr>
          <w:p w14:paraId="08AA3142"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73.00 (18.31)</w:t>
            </w:r>
            <w:r w:rsidRPr="008335F2">
              <w:rPr>
                <w:rFonts w:cstheme="minorHAnsi"/>
                <w:color w:val="000000" w:themeColor="text1"/>
                <w:vertAlign w:val="superscript"/>
              </w:rPr>
              <w:t>b</w:t>
            </w:r>
          </w:p>
        </w:tc>
        <w:tc>
          <w:tcPr>
            <w:tcW w:w="1560" w:type="dxa"/>
            <w:tcBorders>
              <w:bottom w:val="single" w:sz="4" w:space="0" w:color="auto"/>
            </w:tcBorders>
          </w:tcPr>
          <w:p w14:paraId="04305D90"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88.45 (18.43)</w:t>
            </w:r>
            <w:r w:rsidRPr="008335F2">
              <w:rPr>
                <w:rFonts w:cstheme="minorHAnsi"/>
                <w:color w:val="000000" w:themeColor="text1"/>
                <w:vertAlign w:val="superscript"/>
              </w:rPr>
              <w:t>ac</w:t>
            </w:r>
          </w:p>
        </w:tc>
        <w:tc>
          <w:tcPr>
            <w:tcW w:w="1620" w:type="dxa"/>
            <w:tcBorders>
              <w:bottom w:val="single" w:sz="4" w:space="0" w:color="auto"/>
            </w:tcBorders>
          </w:tcPr>
          <w:p w14:paraId="4E8213B6" w14:textId="77777777" w:rsidR="000D064C" w:rsidRPr="008335F2" w:rsidRDefault="000D064C" w:rsidP="00F51E5F">
            <w:pPr>
              <w:spacing w:line="360" w:lineRule="auto"/>
              <w:rPr>
                <w:rFonts w:cstheme="minorHAnsi"/>
                <w:b/>
                <w:bCs/>
                <w:color w:val="000000" w:themeColor="text1"/>
              </w:rPr>
            </w:pPr>
            <w:r w:rsidRPr="008335F2">
              <w:rPr>
                <w:rFonts w:cstheme="minorHAnsi"/>
                <w:color w:val="000000" w:themeColor="text1"/>
              </w:rPr>
              <w:t>p&lt;0.001*</w:t>
            </w:r>
          </w:p>
        </w:tc>
      </w:tr>
    </w:tbl>
    <w:p w14:paraId="45C8FF36" w14:textId="77777777" w:rsidR="000D064C" w:rsidRPr="00F62D78" w:rsidRDefault="000D064C" w:rsidP="000D064C">
      <w:pPr>
        <w:spacing w:before="240" w:line="360" w:lineRule="auto"/>
        <w:rPr>
          <w:rFonts w:cstheme="minorHAnsi"/>
          <w:i/>
          <w:iCs/>
        </w:rPr>
      </w:pPr>
      <w:r w:rsidRPr="008335F2">
        <w:rPr>
          <w:rFonts w:cstheme="minorHAnsi"/>
          <w:i/>
          <w:iCs/>
          <w:color w:val="000000" w:themeColor="text1"/>
        </w:rPr>
        <w:t xml:space="preserve">Superscript </w:t>
      </w:r>
      <w:r w:rsidRPr="008335F2">
        <w:rPr>
          <w:rFonts w:cstheme="minorHAnsi"/>
          <w:i/>
          <w:iCs/>
          <w:color w:val="000000" w:themeColor="text1"/>
          <w:vertAlign w:val="superscript"/>
        </w:rPr>
        <w:t xml:space="preserve">* </w:t>
      </w:r>
      <w:r w:rsidRPr="008335F2">
        <w:rPr>
          <w:rFonts w:cstheme="minorHAnsi"/>
          <w:i/>
          <w:iCs/>
          <w:color w:val="000000" w:themeColor="text1"/>
        </w:rPr>
        <w:t>indicates significant interaction effect between time and condition. Superscripts</w:t>
      </w:r>
      <w:r w:rsidRPr="008335F2">
        <w:rPr>
          <w:rFonts w:cstheme="minorHAnsi"/>
          <w:i/>
          <w:iCs/>
          <w:color w:val="000000" w:themeColor="text1"/>
          <w:vertAlign w:val="superscript"/>
        </w:rPr>
        <w:t>abc</w:t>
      </w:r>
      <w:r w:rsidRPr="008335F2">
        <w:rPr>
          <w:rFonts w:cstheme="minorHAnsi"/>
          <w:i/>
          <w:iCs/>
          <w:color w:val="000000" w:themeColor="text1"/>
        </w:rPr>
        <w:t xml:space="preserve"> indicate significant simple main effects when compared to pre-Walking(</w:t>
      </w:r>
      <w:r w:rsidRPr="008335F2">
        <w:rPr>
          <w:rFonts w:cstheme="minorHAnsi"/>
          <w:i/>
          <w:iCs/>
          <w:color w:val="000000" w:themeColor="text1"/>
          <w:vertAlign w:val="superscript"/>
        </w:rPr>
        <w:t>a</w:t>
      </w:r>
      <w:r w:rsidRPr="008335F2">
        <w:rPr>
          <w:rFonts w:cstheme="minorHAnsi"/>
          <w:i/>
          <w:iCs/>
          <w:color w:val="000000" w:themeColor="text1"/>
        </w:rPr>
        <w:t>), post-Walking(</w:t>
      </w:r>
      <w:r w:rsidRPr="008335F2">
        <w:rPr>
          <w:rFonts w:cstheme="minorHAnsi"/>
          <w:i/>
          <w:iCs/>
          <w:color w:val="000000" w:themeColor="text1"/>
          <w:vertAlign w:val="superscript"/>
        </w:rPr>
        <w:t>b</w:t>
      </w:r>
      <w:r w:rsidRPr="008335F2">
        <w:rPr>
          <w:rFonts w:cstheme="minorHAnsi"/>
          <w:i/>
          <w:iCs/>
          <w:color w:val="000000" w:themeColor="text1"/>
        </w:rPr>
        <w:t>) and post-Circulation Booster®(</w:t>
      </w:r>
      <w:r w:rsidRPr="008335F2">
        <w:rPr>
          <w:rFonts w:cstheme="minorHAnsi"/>
          <w:i/>
          <w:iCs/>
          <w:color w:val="000000" w:themeColor="text1"/>
          <w:vertAlign w:val="superscript"/>
        </w:rPr>
        <w:t>c</w:t>
      </w:r>
      <w:r w:rsidRPr="008335F2">
        <w:rPr>
          <w:rFonts w:cstheme="minorHAnsi"/>
          <w:i/>
          <w:iCs/>
          <w:color w:val="000000" w:themeColor="text1"/>
        </w:rPr>
        <w:t>).</w:t>
      </w:r>
    </w:p>
    <w:p w14:paraId="4AF39774" w14:textId="77777777" w:rsidR="000D064C" w:rsidRDefault="000D064C" w:rsidP="000D064C">
      <w:pPr>
        <w:spacing w:line="360" w:lineRule="auto"/>
        <w:rPr>
          <w:rFonts w:cstheme="minorHAnsi"/>
        </w:rPr>
      </w:pPr>
    </w:p>
    <w:p w14:paraId="7E061900" w14:textId="77777777" w:rsidR="000D064C" w:rsidRDefault="000D064C" w:rsidP="000D064C">
      <w:pPr>
        <w:spacing w:line="360" w:lineRule="auto"/>
        <w:rPr>
          <w:rFonts w:cstheme="minorHAnsi"/>
        </w:rPr>
      </w:pPr>
    </w:p>
    <w:p w14:paraId="2DA455CC" w14:textId="77777777" w:rsidR="005C1038" w:rsidRPr="007378ED" w:rsidRDefault="005C1038" w:rsidP="007378ED">
      <w:pPr>
        <w:spacing w:before="240" w:line="360" w:lineRule="auto"/>
      </w:pPr>
    </w:p>
    <w:sectPr w:rsidR="005C1038" w:rsidRPr="007378ED" w:rsidSect="00F0762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4031" w14:textId="77777777" w:rsidR="00D72704" w:rsidRDefault="00D72704">
      <w:pPr>
        <w:spacing w:after="0" w:line="240" w:lineRule="auto"/>
      </w:pPr>
      <w:r>
        <w:separator/>
      </w:r>
    </w:p>
  </w:endnote>
  <w:endnote w:type="continuationSeparator" w:id="0">
    <w:p w14:paraId="7ABF8E20" w14:textId="77777777" w:rsidR="00D72704" w:rsidRDefault="00D7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26CF" w14:textId="3C26FF73" w:rsidR="001E05C3" w:rsidRDefault="001E05C3" w:rsidP="003B3115">
    <w:pPr>
      <w:pStyle w:val="Header"/>
    </w:pPr>
    <w:r>
      <w:t xml:space="preserve">                                                                                                                                                             </w:t>
    </w:r>
    <w:sdt>
      <w:sdtPr>
        <w:id w:val="-14281894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6829" w14:textId="77777777" w:rsidR="00D72704" w:rsidRDefault="00D72704">
      <w:pPr>
        <w:spacing w:after="0" w:line="240" w:lineRule="auto"/>
      </w:pPr>
      <w:r>
        <w:separator/>
      </w:r>
    </w:p>
  </w:footnote>
  <w:footnote w:type="continuationSeparator" w:id="0">
    <w:p w14:paraId="0FF93B09" w14:textId="77777777" w:rsidR="00D72704" w:rsidRDefault="00D72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554D6"/>
    <w:multiLevelType w:val="hybridMultilevel"/>
    <w:tmpl w:val="AB380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181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2E"/>
    <w:rsid w:val="0001784E"/>
    <w:rsid w:val="00022458"/>
    <w:rsid w:val="00022E01"/>
    <w:rsid w:val="00024468"/>
    <w:rsid w:val="00026350"/>
    <w:rsid w:val="00044356"/>
    <w:rsid w:val="00050709"/>
    <w:rsid w:val="000841B7"/>
    <w:rsid w:val="0008618C"/>
    <w:rsid w:val="000A781A"/>
    <w:rsid w:val="000D064C"/>
    <w:rsid w:val="000D6A7F"/>
    <w:rsid w:val="000E6CF5"/>
    <w:rsid w:val="000F237A"/>
    <w:rsid w:val="000F5FE5"/>
    <w:rsid w:val="00101F06"/>
    <w:rsid w:val="00103A6D"/>
    <w:rsid w:val="0010665C"/>
    <w:rsid w:val="00115608"/>
    <w:rsid w:val="00136C66"/>
    <w:rsid w:val="001464CF"/>
    <w:rsid w:val="0014735F"/>
    <w:rsid w:val="0018124E"/>
    <w:rsid w:val="001848A9"/>
    <w:rsid w:val="001A04C9"/>
    <w:rsid w:val="001A266B"/>
    <w:rsid w:val="001A683E"/>
    <w:rsid w:val="001A7D93"/>
    <w:rsid w:val="001B301E"/>
    <w:rsid w:val="001C7647"/>
    <w:rsid w:val="001D09ED"/>
    <w:rsid w:val="001D54C0"/>
    <w:rsid w:val="001E05C3"/>
    <w:rsid w:val="001F18E4"/>
    <w:rsid w:val="0020061D"/>
    <w:rsid w:val="002016F2"/>
    <w:rsid w:val="00204D86"/>
    <w:rsid w:val="00236A78"/>
    <w:rsid w:val="00253465"/>
    <w:rsid w:val="00262272"/>
    <w:rsid w:val="00263796"/>
    <w:rsid w:val="00290DBA"/>
    <w:rsid w:val="00293888"/>
    <w:rsid w:val="00295156"/>
    <w:rsid w:val="002A39F9"/>
    <w:rsid w:val="002C2366"/>
    <w:rsid w:val="002F51CB"/>
    <w:rsid w:val="002F6724"/>
    <w:rsid w:val="003029C5"/>
    <w:rsid w:val="003152AC"/>
    <w:rsid w:val="00317EB8"/>
    <w:rsid w:val="00321194"/>
    <w:rsid w:val="00340C68"/>
    <w:rsid w:val="00356797"/>
    <w:rsid w:val="00362916"/>
    <w:rsid w:val="00367147"/>
    <w:rsid w:val="00373632"/>
    <w:rsid w:val="00394F55"/>
    <w:rsid w:val="003B22B4"/>
    <w:rsid w:val="003B3115"/>
    <w:rsid w:val="003B65B1"/>
    <w:rsid w:val="003C508F"/>
    <w:rsid w:val="003D7958"/>
    <w:rsid w:val="003F76A9"/>
    <w:rsid w:val="00403A85"/>
    <w:rsid w:val="00411FF0"/>
    <w:rsid w:val="00447C1D"/>
    <w:rsid w:val="00450EDA"/>
    <w:rsid w:val="00454851"/>
    <w:rsid w:val="004701D5"/>
    <w:rsid w:val="004723A0"/>
    <w:rsid w:val="00475B9D"/>
    <w:rsid w:val="00482C57"/>
    <w:rsid w:val="004B6ACA"/>
    <w:rsid w:val="004D6066"/>
    <w:rsid w:val="004F225D"/>
    <w:rsid w:val="005073F3"/>
    <w:rsid w:val="00513B93"/>
    <w:rsid w:val="00541C0F"/>
    <w:rsid w:val="00554792"/>
    <w:rsid w:val="00554D4D"/>
    <w:rsid w:val="00566FD3"/>
    <w:rsid w:val="00573227"/>
    <w:rsid w:val="00580B07"/>
    <w:rsid w:val="0058180D"/>
    <w:rsid w:val="005828E1"/>
    <w:rsid w:val="00591585"/>
    <w:rsid w:val="0059171E"/>
    <w:rsid w:val="00594235"/>
    <w:rsid w:val="005B717B"/>
    <w:rsid w:val="005C1038"/>
    <w:rsid w:val="005C5C1D"/>
    <w:rsid w:val="005D2A7A"/>
    <w:rsid w:val="005D46E7"/>
    <w:rsid w:val="005F3C0A"/>
    <w:rsid w:val="00605329"/>
    <w:rsid w:val="00611E6B"/>
    <w:rsid w:val="00615B4B"/>
    <w:rsid w:val="00622AA5"/>
    <w:rsid w:val="00623590"/>
    <w:rsid w:val="006263D6"/>
    <w:rsid w:val="006614D4"/>
    <w:rsid w:val="006617B5"/>
    <w:rsid w:val="00682257"/>
    <w:rsid w:val="00682E66"/>
    <w:rsid w:val="00690571"/>
    <w:rsid w:val="00690949"/>
    <w:rsid w:val="006965FB"/>
    <w:rsid w:val="006A4D44"/>
    <w:rsid w:val="006C174F"/>
    <w:rsid w:val="006D4F82"/>
    <w:rsid w:val="006E17A3"/>
    <w:rsid w:val="006F0C7C"/>
    <w:rsid w:val="006F235B"/>
    <w:rsid w:val="007005D2"/>
    <w:rsid w:val="0070260D"/>
    <w:rsid w:val="00712722"/>
    <w:rsid w:val="00721BA5"/>
    <w:rsid w:val="00724582"/>
    <w:rsid w:val="00732A5F"/>
    <w:rsid w:val="007378ED"/>
    <w:rsid w:val="0077396A"/>
    <w:rsid w:val="00787B2E"/>
    <w:rsid w:val="007A7518"/>
    <w:rsid w:val="007D2A94"/>
    <w:rsid w:val="007D444B"/>
    <w:rsid w:val="007D53FD"/>
    <w:rsid w:val="007F1EF2"/>
    <w:rsid w:val="007F4523"/>
    <w:rsid w:val="0080027D"/>
    <w:rsid w:val="00813117"/>
    <w:rsid w:val="00814D24"/>
    <w:rsid w:val="0081619F"/>
    <w:rsid w:val="00822010"/>
    <w:rsid w:val="008335F2"/>
    <w:rsid w:val="00841B75"/>
    <w:rsid w:val="00850401"/>
    <w:rsid w:val="00855426"/>
    <w:rsid w:val="00863A07"/>
    <w:rsid w:val="00873CB9"/>
    <w:rsid w:val="008A0C13"/>
    <w:rsid w:val="008B38E8"/>
    <w:rsid w:val="008C2DEB"/>
    <w:rsid w:val="008D1DEE"/>
    <w:rsid w:val="008D3E3C"/>
    <w:rsid w:val="008D799D"/>
    <w:rsid w:val="008E71C3"/>
    <w:rsid w:val="008F3B7C"/>
    <w:rsid w:val="0091646A"/>
    <w:rsid w:val="00922058"/>
    <w:rsid w:val="00926C85"/>
    <w:rsid w:val="0096141C"/>
    <w:rsid w:val="00976B09"/>
    <w:rsid w:val="009B55B0"/>
    <w:rsid w:val="009B6863"/>
    <w:rsid w:val="009C3704"/>
    <w:rsid w:val="009C558B"/>
    <w:rsid w:val="009D2FE5"/>
    <w:rsid w:val="00A03059"/>
    <w:rsid w:val="00A1124A"/>
    <w:rsid w:val="00A11E41"/>
    <w:rsid w:val="00A161BD"/>
    <w:rsid w:val="00A33E22"/>
    <w:rsid w:val="00A340C2"/>
    <w:rsid w:val="00A609D2"/>
    <w:rsid w:val="00A727ED"/>
    <w:rsid w:val="00A7463C"/>
    <w:rsid w:val="00A81085"/>
    <w:rsid w:val="00A818F9"/>
    <w:rsid w:val="00A8289D"/>
    <w:rsid w:val="00A866A8"/>
    <w:rsid w:val="00AA016D"/>
    <w:rsid w:val="00AA6941"/>
    <w:rsid w:val="00AB3F12"/>
    <w:rsid w:val="00AC0E32"/>
    <w:rsid w:val="00AD511C"/>
    <w:rsid w:val="00AD6EE0"/>
    <w:rsid w:val="00AE29DE"/>
    <w:rsid w:val="00AF21FF"/>
    <w:rsid w:val="00B0563A"/>
    <w:rsid w:val="00B10A57"/>
    <w:rsid w:val="00B34735"/>
    <w:rsid w:val="00B414DD"/>
    <w:rsid w:val="00B50A54"/>
    <w:rsid w:val="00B52D82"/>
    <w:rsid w:val="00B709BA"/>
    <w:rsid w:val="00BA7BAC"/>
    <w:rsid w:val="00BB274E"/>
    <w:rsid w:val="00BC2D09"/>
    <w:rsid w:val="00BC5707"/>
    <w:rsid w:val="00BD1E59"/>
    <w:rsid w:val="00BD78C2"/>
    <w:rsid w:val="00BE55EC"/>
    <w:rsid w:val="00BF26F4"/>
    <w:rsid w:val="00BF5D51"/>
    <w:rsid w:val="00BF6EDC"/>
    <w:rsid w:val="00C0164D"/>
    <w:rsid w:val="00C0256B"/>
    <w:rsid w:val="00C116E1"/>
    <w:rsid w:val="00C14E5F"/>
    <w:rsid w:val="00C16138"/>
    <w:rsid w:val="00C17CB3"/>
    <w:rsid w:val="00C17E6A"/>
    <w:rsid w:val="00C36D17"/>
    <w:rsid w:val="00C42CAC"/>
    <w:rsid w:val="00C43BE3"/>
    <w:rsid w:val="00C641BB"/>
    <w:rsid w:val="00C64B3F"/>
    <w:rsid w:val="00C70E23"/>
    <w:rsid w:val="00C759E4"/>
    <w:rsid w:val="00C75AC7"/>
    <w:rsid w:val="00C80D30"/>
    <w:rsid w:val="00C82449"/>
    <w:rsid w:val="00C86F9B"/>
    <w:rsid w:val="00C9109B"/>
    <w:rsid w:val="00C93C17"/>
    <w:rsid w:val="00C94CCB"/>
    <w:rsid w:val="00CA276D"/>
    <w:rsid w:val="00CA5667"/>
    <w:rsid w:val="00CB1551"/>
    <w:rsid w:val="00CC1FFC"/>
    <w:rsid w:val="00CD1C35"/>
    <w:rsid w:val="00CD30D4"/>
    <w:rsid w:val="00CF5630"/>
    <w:rsid w:val="00D0267C"/>
    <w:rsid w:val="00D0314D"/>
    <w:rsid w:val="00D30E73"/>
    <w:rsid w:val="00D33272"/>
    <w:rsid w:val="00D44AE0"/>
    <w:rsid w:val="00D45A74"/>
    <w:rsid w:val="00D46D9C"/>
    <w:rsid w:val="00D52AB4"/>
    <w:rsid w:val="00D64CA2"/>
    <w:rsid w:val="00D72704"/>
    <w:rsid w:val="00D84625"/>
    <w:rsid w:val="00D85887"/>
    <w:rsid w:val="00DA6A87"/>
    <w:rsid w:val="00DB26DD"/>
    <w:rsid w:val="00DB679C"/>
    <w:rsid w:val="00DB7D43"/>
    <w:rsid w:val="00DC5390"/>
    <w:rsid w:val="00DD039F"/>
    <w:rsid w:val="00DF2B33"/>
    <w:rsid w:val="00DF5510"/>
    <w:rsid w:val="00E13370"/>
    <w:rsid w:val="00E4177E"/>
    <w:rsid w:val="00E46385"/>
    <w:rsid w:val="00E510A5"/>
    <w:rsid w:val="00E5337F"/>
    <w:rsid w:val="00E60FF6"/>
    <w:rsid w:val="00E63631"/>
    <w:rsid w:val="00E6744D"/>
    <w:rsid w:val="00E72BC3"/>
    <w:rsid w:val="00E96BCB"/>
    <w:rsid w:val="00EA2BD4"/>
    <w:rsid w:val="00EF1AA6"/>
    <w:rsid w:val="00F07625"/>
    <w:rsid w:val="00F12E49"/>
    <w:rsid w:val="00F362D3"/>
    <w:rsid w:val="00F42350"/>
    <w:rsid w:val="00F64FB4"/>
    <w:rsid w:val="00F670B2"/>
    <w:rsid w:val="00F76CE0"/>
    <w:rsid w:val="00F94E37"/>
    <w:rsid w:val="00F94E97"/>
    <w:rsid w:val="00F96EB8"/>
    <w:rsid w:val="00FA2A43"/>
    <w:rsid w:val="00FD0879"/>
    <w:rsid w:val="00FD3D6B"/>
    <w:rsid w:val="00FE1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68C87"/>
  <w15:chartTrackingRefBased/>
  <w15:docId w15:val="{404A95D8-690A-4E34-8636-D9F7BC9A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B2E"/>
  </w:style>
  <w:style w:type="paragraph" w:styleId="ListParagraph">
    <w:name w:val="List Paragraph"/>
    <w:basedOn w:val="Normal"/>
    <w:uiPriority w:val="34"/>
    <w:qFormat/>
    <w:rsid w:val="00787B2E"/>
    <w:pPr>
      <w:ind w:left="720"/>
      <w:contextualSpacing/>
    </w:pPr>
  </w:style>
  <w:style w:type="table" w:styleId="TableGrid">
    <w:name w:val="Table Grid"/>
    <w:basedOn w:val="TableNormal"/>
    <w:uiPriority w:val="39"/>
    <w:rsid w:val="0078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B2E"/>
    <w:rPr>
      <w:color w:val="0000FF"/>
      <w:u w:val="single"/>
    </w:rPr>
  </w:style>
  <w:style w:type="character" w:styleId="UnresolvedMention">
    <w:name w:val="Unresolved Mention"/>
    <w:basedOn w:val="DefaultParagraphFont"/>
    <w:uiPriority w:val="99"/>
    <w:semiHidden/>
    <w:unhideWhenUsed/>
    <w:rsid w:val="00356797"/>
    <w:rPr>
      <w:color w:val="605E5C"/>
      <w:shd w:val="clear" w:color="auto" w:fill="E1DFDD"/>
    </w:rPr>
  </w:style>
  <w:style w:type="paragraph" w:styleId="Footer">
    <w:name w:val="footer"/>
    <w:basedOn w:val="Normal"/>
    <w:link w:val="FooterChar"/>
    <w:uiPriority w:val="99"/>
    <w:unhideWhenUsed/>
    <w:rsid w:val="007D2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94"/>
  </w:style>
  <w:style w:type="character" w:styleId="FollowedHyperlink">
    <w:name w:val="FollowedHyperlink"/>
    <w:basedOn w:val="DefaultParagraphFont"/>
    <w:uiPriority w:val="99"/>
    <w:semiHidden/>
    <w:unhideWhenUsed/>
    <w:rsid w:val="00696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healt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9D814-DE30-4681-8145-A23EA747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4231</Words>
  <Characters>25368</Characters>
  <Application>Microsoft Office Word</Application>
  <DocSecurity>0</DocSecurity>
  <Lines>528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Bluett</dc:creator>
  <cp:keywords/>
  <dc:description/>
  <cp:lastModifiedBy>Dinesh Samuel</cp:lastModifiedBy>
  <cp:revision>2</cp:revision>
  <dcterms:created xsi:type="dcterms:W3CDTF">2024-04-18T15:51:00Z</dcterms:created>
  <dcterms:modified xsi:type="dcterms:W3CDTF">2024-04-18T15:51:00Z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9508df94d1bc602ecf19ee888627290ddd204511a0127e61db52db77fae321d0</vt:lpwstr>
  </property>
</Properties>
</file>