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77450" w14:textId="535D55F9" w:rsidR="00DE3383" w:rsidRDefault="00DE3383" w:rsidP="00E91D40">
      <w:pPr>
        <w:rPr>
          <w:szCs w:val="24"/>
        </w:rPr>
        <w:sectPr w:rsidR="00DE3383" w:rsidSect="001C3C60">
          <w:headerReference w:type="default" r:id="rId8"/>
          <w:footerReference w:type="default" r:id="rId9"/>
          <w:pgSz w:w="11906" w:h="16838"/>
          <w:pgMar w:top="1440" w:right="1440" w:bottom="1440" w:left="1440" w:header="720" w:footer="720" w:gutter="0"/>
          <w:cols w:space="720"/>
          <w:docGrid w:linePitch="360"/>
        </w:sectPr>
      </w:pPr>
    </w:p>
    <w:p w14:paraId="4FA1283B" w14:textId="2543A3DD" w:rsidR="00323599" w:rsidRDefault="00D53090" w:rsidP="0072676E">
      <w:pPr>
        <w:rPr>
          <w:b/>
          <w:bCs/>
          <w:szCs w:val="24"/>
        </w:rPr>
      </w:pPr>
      <w:bookmarkStart w:id="0" w:name="OLE_LINK104"/>
      <w:r w:rsidRPr="004666D3">
        <w:rPr>
          <w:b/>
          <w:bCs/>
          <w:szCs w:val="24"/>
        </w:rPr>
        <w:t xml:space="preserve">Identifying counter-urbanisation using Facebook’s </w:t>
      </w:r>
      <w:bookmarkStart w:id="1" w:name="OLE_LINK2"/>
      <w:r w:rsidR="008C369C" w:rsidRPr="004666D3">
        <w:rPr>
          <w:b/>
          <w:bCs/>
          <w:szCs w:val="24"/>
        </w:rPr>
        <w:t xml:space="preserve">user </w:t>
      </w:r>
      <w:r w:rsidR="00020D73" w:rsidRPr="004666D3">
        <w:rPr>
          <w:b/>
          <w:bCs/>
          <w:szCs w:val="24"/>
        </w:rPr>
        <w:t>count</w:t>
      </w:r>
      <w:r w:rsidR="008C369C" w:rsidRPr="004666D3">
        <w:rPr>
          <w:b/>
          <w:bCs/>
          <w:szCs w:val="24"/>
        </w:rPr>
        <w:t xml:space="preserve"> </w:t>
      </w:r>
      <w:bookmarkEnd w:id="1"/>
      <w:r w:rsidRPr="004666D3">
        <w:rPr>
          <w:b/>
          <w:bCs/>
          <w:szCs w:val="24"/>
        </w:rPr>
        <w:t>data</w:t>
      </w:r>
    </w:p>
    <w:p w14:paraId="63CCA1EC" w14:textId="77777777" w:rsidR="002D311F" w:rsidRPr="002D311F" w:rsidRDefault="002D311F" w:rsidP="00BE122B">
      <w:pPr>
        <w:spacing w:before="120" w:line="240" w:lineRule="auto"/>
        <w:rPr>
          <w:szCs w:val="24"/>
        </w:rPr>
      </w:pPr>
      <w:r w:rsidRPr="002D311F">
        <w:rPr>
          <w:b/>
          <w:bCs/>
          <w:szCs w:val="24"/>
        </w:rPr>
        <w:t xml:space="preserve">Authors: </w:t>
      </w:r>
      <w:r w:rsidRPr="002D311F">
        <w:rPr>
          <w:szCs w:val="24"/>
        </w:rPr>
        <w:t xml:space="preserve">Qianwen Duan </w:t>
      </w:r>
      <w:r w:rsidRPr="002D311F">
        <w:rPr>
          <w:szCs w:val="24"/>
          <w:vertAlign w:val="superscript"/>
        </w:rPr>
        <w:t>a*</w:t>
      </w:r>
      <w:r w:rsidRPr="002D311F">
        <w:rPr>
          <w:szCs w:val="24"/>
        </w:rPr>
        <w:t>, Jessica Steele</w:t>
      </w:r>
      <w:r w:rsidRPr="002D311F">
        <w:rPr>
          <w:sz w:val="22"/>
          <w:vertAlign w:val="superscript"/>
        </w:rPr>
        <w:t xml:space="preserve"> </w:t>
      </w:r>
      <w:r w:rsidRPr="002D311F">
        <w:rPr>
          <w:szCs w:val="24"/>
          <w:vertAlign w:val="superscript"/>
        </w:rPr>
        <w:t>b</w:t>
      </w:r>
      <w:r w:rsidRPr="002D311F">
        <w:rPr>
          <w:szCs w:val="24"/>
        </w:rPr>
        <w:t>, Zhifeng Cheng</w:t>
      </w:r>
      <w:r w:rsidRPr="002D311F">
        <w:rPr>
          <w:sz w:val="22"/>
          <w:vertAlign w:val="superscript"/>
        </w:rPr>
        <w:t xml:space="preserve"> </w:t>
      </w:r>
      <w:r w:rsidRPr="002D311F">
        <w:rPr>
          <w:szCs w:val="24"/>
          <w:vertAlign w:val="superscript"/>
        </w:rPr>
        <w:t>b</w:t>
      </w:r>
      <w:r w:rsidRPr="002D311F">
        <w:rPr>
          <w:szCs w:val="24"/>
        </w:rPr>
        <w:t>, Eimear Cleary</w:t>
      </w:r>
      <w:r w:rsidRPr="002D311F">
        <w:rPr>
          <w:sz w:val="22"/>
          <w:vertAlign w:val="superscript"/>
        </w:rPr>
        <w:t xml:space="preserve"> </w:t>
      </w:r>
      <w:r w:rsidRPr="002D311F">
        <w:rPr>
          <w:szCs w:val="24"/>
          <w:vertAlign w:val="superscript"/>
        </w:rPr>
        <w:t>b</w:t>
      </w:r>
      <w:r w:rsidRPr="002D311F">
        <w:rPr>
          <w:szCs w:val="24"/>
        </w:rPr>
        <w:t>, Nick Ruktanonchai</w:t>
      </w:r>
      <w:r w:rsidRPr="002D311F">
        <w:rPr>
          <w:sz w:val="22"/>
          <w:vertAlign w:val="superscript"/>
        </w:rPr>
        <w:t xml:space="preserve"> </w:t>
      </w:r>
      <w:r w:rsidRPr="002D311F">
        <w:rPr>
          <w:szCs w:val="24"/>
          <w:vertAlign w:val="superscript"/>
        </w:rPr>
        <w:t>c</w:t>
      </w:r>
      <w:r w:rsidRPr="002D311F">
        <w:rPr>
          <w:szCs w:val="24"/>
        </w:rPr>
        <w:t>, Hal Voepel</w:t>
      </w:r>
      <w:r w:rsidRPr="002D311F">
        <w:rPr>
          <w:sz w:val="22"/>
          <w:vertAlign w:val="superscript"/>
        </w:rPr>
        <w:t xml:space="preserve"> </w:t>
      </w:r>
      <w:r w:rsidRPr="002D311F">
        <w:rPr>
          <w:szCs w:val="24"/>
          <w:vertAlign w:val="superscript"/>
        </w:rPr>
        <w:t>b</w:t>
      </w:r>
      <w:r w:rsidRPr="002D311F">
        <w:rPr>
          <w:szCs w:val="24"/>
        </w:rPr>
        <w:t>, Tim O'Riordan</w:t>
      </w:r>
      <w:r w:rsidRPr="002D311F">
        <w:rPr>
          <w:sz w:val="22"/>
          <w:vertAlign w:val="superscript"/>
        </w:rPr>
        <w:t xml:space="preserve"> </w:t>
      </w:r>
      <w:r w:rsidRPr="002D311F">
        <w:rPr>
          <w:szCs w:val="24"/>
          <w:vertAlign w:val="superscript"/>
        </w:rPr>
        <w:t>b</w:t>
      </w:r>
      <w:r w:rsidRPr="002D311F">
        <w:rPr>
          <w:szCs w:val="24"/>
        </w:rPr>
        <w:t>, Andrew J. Tatem</w:t>
      </w:r>
      <w:r w:rsidRPr="002D311F">
        <w:rPr>
          <w:sz w:val="22"/>
          <w:vertAlign w:val="superscript"/>
        </w:rPr>
        <w:t xml:space="preserve"> </w:t>
      </w:r>
      <w:r w:rsidRPr="002D311F">
        <w:rPr>
          <w:szCs w:val="24"/>
          <w:vertAlign w:val="superscript"/>
        </w:rPr>
        <w:t>b</w:t>
      </w:r>
      <w:r w:rsidRPr="002D311F">
        <w:rPr>
          <w:szCs w:val="24"/>
        </w:rPr>
        <w:t>, Alessandro Sorichetta</w:t>
      </w:r>
      <w:r w:rsidRPr="002D311F">
        <w:rPr>
          <w:sz w:val="22"/>
          <w:vertAlign w:val="superscript"/>
        </w:rPr>
        <w:t xml:space="preserve"> </w:t>
      </w:r>
      <w:r w:rsidRPr="002D311F">
        <w:rPr>
          <w:szCs w:val="24"/>
          <w:vertAlign w:val="superscript"/>
        </w:rPr>
        <w:t>d</w:t>
      </w:r>
      <w:r w:rsidRPr="002D311F">
        <w:rPr>
          <w:szCs w:val="24"/>
        </w:rPr>
        <w:t>, Shengjie Lai</w:t>
      </w:r>
      <w:r w:rsidRPr="002D311F">
        <w:rPr>
          <w:sz w:val="22"/>
          <w:vertAlign w:val="superscript"/>
        </w:rPr>
        <w:t xml:space="preserve"> </w:t>
      </w:r>
      <w:r w:rsidRPr="002D311F">
        <w:rPr>
          <w:szCs w:val="24"/>
          <w:vertAlign w:val="superscript"/>
        </w:rPr>
        <w:t>b*§</w:t>
      </w:r>
      <w:r w:rsidRPr="002D311F">
        <w:rPr>
          <w:szCs w:val="24"/>
        </w:rPr>
        <w:t>, Felix Eigenbrod</w:t>
      </w:r>
      <w:r w:rsidRPr="002D311F">
        <w:rPr>
          <w:szCs w:val="24"/>
          <w:vertAlign w:val="superscript"/>
        </w:rPr>
        <w:t xml:space="preserve"> a§</w:t>
      </w:r>
    </w:p>
    <w:p w14:paraId="3C6CC402" w14:textId="77777777" w:rsidR="002D311F" w:rsidRPr="002D311F" w:rsidRDefault="002D311F" w:rsidP="00BE122B">
      <w:pPr>
        <w:spacing w:before="120" w:line="240" w:lineRule="auto"/>
        <w:rPr>
          <w:szCs w:val="24"/>
        </w:rPr>
      </w:pPr>
      <w:r w:rsidRPr="002D311F">
        <w:rPr>
          <w:szCs w:val="24"/>
          <w:vertAlign w:val="superscript"/>
        </w:rPr>
        <w:t>a</w:t>
      </w:r>
      <w:r w:rsidRPr="002D311F">
        <w:rPr>
          <w:szCs w:val="24"/>
        </w:rPr>
        <w:t xml:space="preserve"> School of Geography and Environmental Science, University of Southampton, Southampton SO17 1BJ, United Kingdom</w:t>
      </w:r>
    </w:p>
    <w:p w14:paraId="33A8626F" w14:textId="77777777" w:rsidR="002D311F" w:rsidRPr="002D311F" w:rsidRDefault="002D311F" w:rsidP="00BE122B">
      <w:pPr>
        <w:spacing w:before="120" w:line="240" w:lineRule="auto"/>
        <w:rPr>
          <w:szCs w:val="24"/>
        </w:rPr>
      </w:pPr>
      <w:r w:rsidRPr="002D311F">
        <w:rPr>
          <w:szCs w:val="24"/>
          <w:vertAlign w:val="superscript"/>
        </w:rPr>
        <w:t>b</w:t>
      </w:r>
      <w:r w:rsidRPr="002D311F">
        <w:rPr>
          <w:szCs w:val="24"/>
        </w:rPr>
        <w:t xml:space="preserve"> WorldPop, School of Geography and Environmental Science, University of Southampton, Southampton SO17 1BJ, UK</w:t>
      </w:r>
    </w:p>
    <w:p w14:paraId="5DD510C4" w14:textId="77777777" w:rsidR="002D311F" w:rsidRPr="002D311F" w:rsidRDefault="002D311F" w:rsidP="00BE122B">
      <w:pPr>
        <w:spacing w:before="120" w:line="240" w:lineRule="auto"/>
        <w:rPr>
          <w:szCs w:val="24"/>
        </w:rPr>
      </w:pPr>
      <w:r w:rsidRPr="002D311F">
        <w:rPr>
          <w:szCs w:val="24"/>
          <w:vertAlign w:val="superscript"/>
        </w:rPr>
        <w:t>c</w:t>
      </w:r>
      <w:r w:rsidRPr="002D311F">
        <w:rPr>
          <w:szCs w:val="24"/>
        </w:rPr>
        <w:t xml:space="preserve"> Department of Population Health Sciences, Virginia Polytechnic Institute, State University, Blacksburg, VA 24061, USA</w:t>
      </w:r>
    </w:p>
    <w:p w14:paraId="51F1243E" w14:textId="77777777" w:rsidR="002D311F" w:rsidRPr="002D311F" w:rsidRDefault="002D311F" w:rsidP="00BE122B">
      <w:pPr>
        <w:spacing w:before="120" w:line="240" w:lineRule="auto"/>
        <w:rPr>
          <w:szCs w:val="24"/>
        </w:rPr>
      </w:pPr>
      <w:r w:rsidRPr="002D311F">
        <w:rPr>
          <w:szCs w:val="24"/>
          <w:vertAlign w:val="superscript"/>
        </w:rPr>
        <w:t>d</w:t>
      </w:r>
      <w:r w:rsidRPr="002D311F">
        <w:rPr>
          <w:szCs w:val="24"/>
        </w:rPr>
        <w:t xml:space="preserve"> </w:t>
      </w:r>
      <w:proofErr w:type="spellStart"/>
      <w:r w:rsidRPr="002D311F">
        <w:rPr>
          <w:szCs w:val="24"/>
        </w:rPr>
        <w:t>Dipartimento</w:t>
      </w:r>
      <w:proofErr w:type="spellEnd"/>
      <w:r w:rsidRPr="002D311F">
        <w:rPr>
          <w:szCs w:val="24"/>
        </w:rPr>
        <w:t xml:space="preserve"> di </w:t>
      </w:r>
      <w:proofErr w:type="spellStart"/>
      <w:r w:rsidRPr="002D311F">
        <w:rPr>
          <w:szCs w:val="24"/>
        </w:rPr>
        <w:t>Scienze</w:t>
      </w:r>
      <w:proofErr w:type="spellEnd"/>
      <w:r w:rsidRPr="002D311F">
        <w:rPr>
          <w:szCs w:val="24"/>
        </w:rPr>
        <w:t xml:space="preserve"> </w:t>
      </w:r>
      <w:proofErr w:type="spellStart"/>
      <w:r w:rsidRPr="002D311F">
        <w:rPr>
          <w:szCs w:val="24"/>
        </w:rPr>
        <w:t>della</w:t>
      </w:r>
      <w:proofErr w:type="spellEnd"/>
      <w:r w:rsidRPr="002D311F">
        <w:rPr>
          <w:szCs w:val="24"/>
        </w:rPr>
        <w:t xml:space="preserve"> Terra “</w:t>
      </w:r>
      <w:proofErr w:type="spellStart"/>
      <w:r w:rsidRPr="002D311F">
        <w:rPr>
          <w:szCs w:val="24"/>
        </w:rPr>
        <w:t>Ardito</w:t>
      </w:r>
      <w:proofErr w:type="spellEnd"/>
      <w:r w:rsidRPr="002D311F">
        <w:rPr>
          <w:szCs w:val="24"/>
        </w:rPr>
        <w:t xml:space="preserve"> </w:t>
      </w:r>
      <w:proofErr w:type="spellStart"/>
      <w:r w:rsidRPr="002D311F">
        <w:rPr>
          <w:szCs w:val="24"/>
        </w:rPr>
        <w:t>Desio</w:t>
      </w:r>
      <w:proofErr w:type="spellEnd"/>
      <w:r w:rsidRPr="002D311F">
        <w:rPr>
          <w:szCs w:val="24"/>
        </w:rPr>
        <w:t xml:space="preserve">”, University of Milan, Via </w:t>
      </w:r>
      <w:proofErr w:type="spellStart"/>
      <w:r w:rsidRPr="002D311F">
        <w:rPr>
          <w:szCs w:val="24"/>
        </w:rPr>
        <w:t>Mangiagalli</w:t>
      </w:r>
      <w:proofErr w:type="spellEnd"/>
      <w:r w:rsidRPr="002D311F">
        <w:rPr>
          <w:szCs w:val="24"/>
        </w:rPr>
        <w:t>, 34, 20133 Milan, Italy</w:t>
      </w:r>
    </w:p>
    <w:p w14:paraId="2B082DB9" w14:textId="77777777" w:rsidR="002D311F" w:rsidRPr="002D311F" w:rsidRDefault="002D311F" w:rsidP="00BE122B">
      <w:pPr>
        <w:spacing w:before="120" w:line="240" w:lineRule="auto"/>
        <w:rPr>
          <w:szCs w:val="24"/>
        </w:rPr>
      </w:pPr>
      <w:r w:rsidRPr="002D311F">
        <w:rPr>
          <w:rFonts w:ascii="Tahoma" w:hAnsi="Tahoma" w:cs="Tahoma"/>
          <w:szCs w:val="24"/>
          <w:vertAlign w:val="superscript"/>
        </w:rPr>
        <w:t>⁎</w:t>
      </w:r>
      <w:r w:rsidRPr="002D311F">
        <w:rPr>
          <w:szCs w:val="24"/>
        </w:rPr>
        <w:t>Corresponding authors.</w:t>
      </w:r>
    </w:p>
    <w:p w14:paraId="73CEEBD2" w14:textId="77777777" w:rsidR="002D311F" w:rsidRPr="002D311F" w:rsidRDefault="002D311F" w:rsidP="00BE122B">
      <w:pPr>
        <w:spacing w:before="120" w:line="240" w:lineRule="auto"/>
        <w:rPr>
          <w:szCs w:val="24"/>
        </w:rPr>
      </w:pPr>
      <w:r w:rsidRPr="002D311F">
        <w:rPr>
          <w:szCs w:val="24"/>
          <w:vertAlign w:val="superscript"/>
        </w:rPr>
        <w:t>§</w:t>
      </w:r>
      <w:r w:rsidRPr="002D311F">
        <w:rPr>
          <w:szCs w:val="24"/>
        </w:rPr>
        <w:t>Felix Eigenbrod and Shengjie Lai should be considered the joint senior author</w:t>
      </w:r>
    </w:p>
    <w:p w14:paraId="73B88AC2" w14:textId="77777777" w:rsidR="00BE122B" w:rsidRDefault="00BE122B" w:rsidP="00BE122B">
      <w:pPr>
        <w:spacing w:line="240" w:lineRule="auto"/>
        <w:rPr>
          <w:szCs w:val="24"/>
        </w:rPr>
      </w:pPr>
    </w:p>
    <w:bookmarkEnd w:id="0"/>
    <w:p w14:paraId="2AB3E3A9" w14:textId="47474051" w:rsidR="003511FA" w:rsidRPr="00BE122B" w:rsidRDefault="00FD29BC" w:rsidP="00BE122B">
      <w:pPr>
        <w:spacing w:line="259" w:lineRule="auto"/>
        <w:rPr>
          <w:b/>
          <w:bCs/>
          <w:szCs w:val="24"/>
        </w:rPr>
      </w:pPr>
      <w:r w:rsidRPr="00BE122B">
        <w:rPr>
          <w:b/>
          <w:bCs/>
        </w:rPr>
        <w:t>Abstrac</w:t>
      </w:r>
      <w:r w:rsidR="001C3D7D" w:rsidRPr="00BE122B">
        <w:rPr>
          <w:b/>
          <w:bCs/>
        </w:rPr>
        <w:t>t</w:t>
      </w:r>
      <w:r w:rsidRPr="00BE122B">
        <w:rPr>
          <w:b/>
          <w:bCs/>
        </w:rPr>
        <w:t>:</w:t>
      </w:r>
    </w:p>
    <w:p w14:paraId="7ACBDF22" w14:textId="36A6B8E3" w:rsidR="009A2D3B" w:rsidRPr="004666D3" w:rsidRDefault="12039DD9" w:rsidP="39C1DCB5">
      <w:bookmarkStart w:id="2" w:name="OLE_LINK41"/>
      <w:bookmarkStart w:id="3" w:name="OLE_LINK162"/>
      <w:bookmarkStart w:id="4" w:name="_Hlk138023043"/>
      <w:r w:rsidRPr="004666D3">
        <w:t xml:space="preserve">Identifying </w:t>
      </w:r>
      <w:r w:rsidR="0AF37CD9" w:rsidRPr="004666D3">
        <w:t xml:space="preserve">the </w:t>
      </w:r>
      <w:r w:rsidR="4713615C" w:rsidRPr="004666D3">
        <w:t xml:space="preserve">growing widespread </w:t>
      </w:r>
      <w:r w:rsidR="0AF37CD9" w:rsidRPr="004666D3">
        <w:t xml:space="preserve">phenomenon of </w:t>
      </w:r>
      <w:r w:rsidR="6C2C5BA4" w:rsidRPr="004666D3">
        <w:t xml:space="preserve">counter-urbanisation, where </w:t>
      </w:r>
      <w:r w:rsidRPr="004666D3">
        <w:t xml:space="preserve">people </w:t>
      </w:r>
      <w:r w:rsidR="6C2C5BA4" w:rsidRPr="004666D3">
        <w:t>relocat</w:t>
      </w:r>
      <w:r w:rsidR="31CE8A78" w:rsidRPr="004666D3">
        <w:t>e</w:t>
      </w:r>
      <w:r w:rsidR="6C2C5BA4" w:rsidRPr="004666D3">
        <w:t xml:space="preserve"> from urban </w:t>
      </w:r>
      <w:r w:rsidR="0AF37CD9" w:rsidRPr="004666D3">
        <w:t>centres</w:t>
      </w:r>
      <w:r w:rsidR="6C2C5BA4" w:rsidRPr="004666D3">
        <w:t xml:space="preserve"> to rural </w:t>
      </w:r>
      <w:r w:rsidR="0AF37CD9" w:rsidRPr="004666D3">
        <w:t>areas</w:t>
      </w:r>
      <w:r w:rsidR="6C2C5BA4" w:rsidRPr="004666D3">
        <w:t>,</w:t>
      </w:r>
      <w:r w:rsidRPr="004666D3">
        <w:t xml:space="preserve"> is essential for</w:t>
      </w:r>
      <w:r w:rsidR="6C2C5BA4" w:rsidRPr="004666D3">
        <w:t xml:space="preserve"> </w:t>
      </w:r>
      <w:r w:rsidR="3F09F715" w:rsidRPr="004666D3">
        <w:t xml:space="preserve">understanding the social and ecological consequences of </w:t>
      </w:r>
      <w:r w:rsidR="1E721E4E" w:rsidRPr="004666D3">
        <w:t>the associated</w:t>
      </w:r>
      <w:r w:rsidR="3F09F715" w:rsidRPr="004666D3">
        <w:t xml:space="preserve"> changes.</w:t>
      </w:r>
      <w:bookmarkStart w:id="5" w:name="OLE_LINK43"/>
      <w:r w:rsidR="0087550F" w:rsidRPr="004666D3">
        <w:t xml:space="preserve"> </w:t>
      </w:r>
      <w:r w:rsidR="00350E7E" w:rsidRPr="004666D3">
        <w:t>However, its nuanced dynamics and complex characteristics pose challenges for quantitative analysis</w:t>
      </w:r>
      <w:r w:rsidR="4CDF7D21" w:rsidRPr="004666D3">
        <w:t>.</w:t>
      </w:r>
      <w:bookmarkStart w:id="6" w:name="OLE_LINK8"/>
      <w:bookmarkEnd w:id="5"/>
      <w:r w:rsidR="0087550F" w:rsidRPr="004666D3">
        <w:t xml:space="preserve"> </w:t>
      </w:r>
      <w:r w:rsidR="00DA207A" w:rsidRPr="004666D3">
        <w:t>Here</w:t>
      </w:r>
      <w:r w:rsidR="007A6C51" w:rsidRPr="004666D3">
        <w:t>,</w:t>
      </w:r>
      <w:r w:rsidR="00341E82" w:rsidRPr="004666D3">
        <w:t xml:space="preserve"> </w:t>
      </w:r>
      <w:bookmarkStart w:id="7" w:name="OLE_LINK114"/>
      <w:r w:rsidR="00341E82" w:rsidRPr="004666D3">
        <w:t xml:space="preserve">we used </w:t>
      </w:r>
      <w:r w:rsidR="00037E0D" w:rsidRPr="004666D3">
        <w:t xml:space="preserve">near real-time </w:t>
      </w:r>
      <w:r w:rsidR="00341E82" w:rsidRPr="004666D3">
        <w:t xml:space="preserve">Facebook </w:t>
      </w:r>
      <w:r w:rsidR="00D41E3F" w:rsidRPr="004666D3">
        <w:t xml:space="preserve">user </w:t>
      </w:r>
      <w:r w:rsidR="001A4520" w:rsidRPr="004666D3">
        <w:t>count</w:t>
      </w:r>
      <w:r w:rsidR="00D41E3F" w:rsidRPr="004666D3">
        <w:t xml:space="preserve"> </w:t>
      </w:r>
      <w:r w:rsidR="4CDF7D21" w:rsidRPr="004666D3">
        <w:t>data</w:t>
      </w:r>
      <w:r w:rsidR="00341E82" w:rsidRPr="004666D3">
        <w:t xml:space="preserve"> for Belgium and Thailand</w:t>
      </w:r>
      <w:bookmarkEnd w:id="7"/>
      <w:r w:rsidR="4CDF7D21" w:rsidRPr="004666D3">
        <w:t>,</w:t>
      </w:r>
      <w:r w:rsidR="008C6387" w:rsidRPr="004666D3">
        <w:t xml:space="preserve"> </w:t>
      </w:r>
      <w:r w:rsidR="00B104BB" w:rsidRPr="004666D3">
        <w:t>with</w:t>
      </w:r>
      <w:r w:rsidR="002C6FC3" w:rsidRPr="004666D3">
        <w:t xml:space="preserve"> missing data imputed</w:t>
      </w:r>
      <w:r w:rsidR="003B17F4" w:rsidRPr="004666D3">
        <w:t xml:space="preserve">, </w:t>
      </w:r>
      <w:r w:rsidR="000C344F" w:rsidRPr="004666D3">
        <w:t xml:space="preserve">and </w:t>
      </w:r>
      <w:r w:rsidR="00B07478" w:rsidRPr="004666D3">
        <w:t xml:space="preserve">applied </w:t>
      </w:r>
      <w:r w:rsidR="00371992" w:rsidRPr="004666D3">
        <w:t xml:space="preserve">the </w:t>
      </w:r>
      <w:r w:rsidR="0088603E" w:rsidRPr="004666D3">
        <w:t>Seasonal-Trend decomposition using Loess (STL)</w:t>
      </w:r>
      <w:r w:rsidR="00881FF7" w:rsidRPr="004666D3">
        <w:t xml:space="preserve"> </w:t>
      </w:r>
      <w:r w:rsidR="00371992" w:rsidRPr="004666D3">
        <w:t xml:space="preserve">model to capture subtle urban and rural population dynamics and </w:t>
      </w:r>
      <w:r w:rsidR="004A72B6" w:rsidRPr="004666D3">
        <w:t>assess</w:t>
      </w:r>
      <w:r w:rsidR="00371992" w:rsidRPr="004666D3">
        <w:t xml:space="preserve"> counter-urbanisation</w:t>
      </w:r>
      <w:r w:rsidR="4CDF7D21" w:rsidRPr="004666D3">
        <w:t xml:space="preserve">. </w:t>
      </w:r>
      <w:bookmarkStart w:id="8" w:name="OLE_LINK150"/>
      <w:bookmarkStart w:id="9" w:name="OLE_LINK151"/>
      <w:bookmarkEnd w:id="2"/>
      <w:bookmarkEnd w:id="6"/>
      <w:r w:rsidR="00AA0104" w:rsidRPr="004666D3">
        <w:t xml:space="preserve">We </w:t>
      </w:r>
      <w:r w:rsidR="008F592C" w:rsidRPr="004666D3">
        <w:t>identified</w:t>
      </w:r>
      <w:r w:rsidR="008173A7" w:rsidRPr="004666D3">
        <w:t xml:space="preserve"> </w:t>
      </w:r>
      <w:r w:rsidR="008F592C" w:rsidRPr="004666D3">
        <w:t xml:space="preserve">counter-urbanisation in </w:t>
      </w:r>
      <w:r w:rsidR="00AA0104" w:rsidRPr="004666D3">
        <w:t>b</w:t>
      </w:r>
      <w:r w:rsidR="000172DD" w:rsidRPr="004666D3">
        <w:t>oth</w:t>
      </w:r>
      <w:r w:rsidR="00F23C73" w:rsidRPr="004666D3">
        <w:t xml:space="preserve"> Belgium and Thailand, </w:t>
      </w:r>
      <w:r w:rsidR="00DE690B" w:rsidRPr="004666D3">
        <w:t>evidenced by</w:t>
      </w:r>
      <w:r w:rsidR="006D3877" w:rsidRPr="004666D3">
        <w:t xml:space="preserve"> </w:t>
      </w:r>
      <w:r w:rsidR="002B5537" w:rsidRPr="004666D3">
        <w:t xml:space="preserve">increases of </w:t>
      </w:r>
      <w:r w:rsidR="006D3877" w:rsidRPr="004666D3">
        <w:t>1.80% and 2.14%</w:t>
      </w:r>
      <w:r w:rsidR="00F23C73" w:rsidRPr="004666D3">
        <w:t xml:space="preserve"> in</w:t>
      </w:r>
      <w:r w:rsidR="003C4512" w:rsidRPr="004666D3">
        <w:t xml:space="preserve"> rural </w:t>
      </w:r>
      <w:r w:rsidR="00577DC1" w:rsidRPr="004666D3">
        <w:t>residents</w:t>
      </w:r>
      <w:r w:rsidR="475B7902" w:rsidRPr="004666D3">
        <w:t xml:space="preserve"> (</w:t>
      </w:r>
      <w:r w:rsidR="003C4512" w:rsidRPr="004666D3">
        <w:t>night-time user count</w:t>
      </w:r>
      <w:r w:rsidR="2CC3D85C" w:rsidRPr="004666D3">
        <w:t>s</w:t>
      </w:r>
      <w:r w:rsidR="76E49C1B" w:rsidRPr="004666D3">
        <w:t>)</w:t>
      </w:r>
      <w:r w:rsidR="003C4512" w:rsidRPr="004666D3">
        <w:t xml:space="preserve"> </w:t>
      </w:r>
      <w:r w:rsidR="00F23C73" w:rsidRPr="004666D3">
        <w:t xml:space="preserve">and </w:t>
      </w:r>
      <w:r w:rsidR="008C3D27" w:rsidRPr="004666D3">
        <w:t>decreases of</w:t>
      </w:r>
      <w:r w:rsidR="00A7619B" w:rsidRPr="004666D3">
        <w:t xml:space="preserve"> 3.08% and 5.04% </w:t>
      </w:r>
      <w:r w:rsidR="00337B7D" w:rsidRPr="004666D3">
        <w:t xml:space="preserve">in </w:t>
      </w:r>
      <w:r w:rsidR="00F23C73" w:rsidRPr="004666D3">
        <w:t>urban centre</w:t>
      </w:r>
      <w:r w:rsidR="48DC1FCF" w:rsidRPr="004666D3">
        <w:t xml:space="preserve"> </w:t>
      </w:r>
      <w:r w:rsidR="6CB5DBDB" w:rsidRPr="004666D3">
        <w:t xml:space="preserve">night-time </w:t>
      </w:r>
      <w:r w:rsidR="48DC1FCF" w:rsidRPr="004666D3">
        <w:t>user counts</w:t>
      </w:r>
      <w:r w:rsidR="00EE565C" w:rsidRPr="004666D3">
        <w:t xml:space="preserve"> from March 2020 to May 2022</w:t>
      </w:r>
      <w:r w:rsidR="00F23C73" w:rsidRPr="004666D3">
        <w:t>, respectively</w:t>
      </w:r>
      <w:r w:rsidR="00A375E8" w:rsidRPr="004666D3">
        <w:t>.</w:t>
      </w:r>
      <w:r w:rsidR="00A932FB" w:rsidRPr="004666D3">
        <w:t xml:space="preserve"> </w:t>
      </w:r>
      <w:bookmarkStart w:id="10" w:name="OLE_LINK9"/>
      <w:bookmarkEnd w:id="8"/>
      <w:r w:rsidR="1D380826" w:rsidRPr="004666D3">
        <w:t xml:space="preserve">However, the </w:t>
      </w:r>
      <w:r w:rsidR="2C4A5D16" w:rsidRPr="004666D3">
        <w:t>counter-urbani</w:t>
      </w:r>
      <w:r w:rsidR="00941590" w:rsidRPr="004666D3">
        <w:t>s</w:t>
      </w:r>
      <w:r w:rsidR="2C4A5D16" w:rsidRPr="004666D3">
        <w:t xml:space="preserve">ation in Thailand appears to be transitory, with rural </w:t>
      </w:r>
      <w:r w:rsidR="003C09CB" w:rsidRPr="004666D3">
        <w:t>users</w:t>
      </w:r>
      <w:r w:rsidR="2C4A5D16" w:rsidRPr="004666D3">
        <w:t xml:space="preserve"> </w:t>
      </w:r>
      <w:r w:rsidR="00416B03" w:rsidRPr="004666D3">
        <w:t xml:space="preserve">beginning to decline </w:t>
      </w:r>
      <w:r w:rsidR="2C2E35C4" w:rsidRPr="004666D3">
        <w:lastRenderedPageBreak/>
        <w:t xml:space="preserve">during </w:t>
      </w:r>
      <w:r w:rsidR="00C65556" w:rsidRPr="004666D3">
        <w:t xml:space="preserve">both </w:t>
      </w:r>
      <w:r w:rsidR="2C2E35C4" w:rsidRPr="004666D3">
        <w:t>day and night</w:t>
      </w:r>
      <w:r w:rsidR="2C4A5D16" w:rsidRPr="004666D3">
        <w:t xml:space="preserve"> as </w:t>
      </w:r>
      <w:r w:rsidR="002E57AB" w:rsidRPr="004666D3">
        <w:t>COVID</w:t>
      </w:r>
      <w:r w:rsidR="2C4A5D16" w:rsidRPr="004666D3">
        <w:t>-19 restrictions were lifted.</w:t>
      </w:r>
      <w:r w:rsidR="00A932FB" w:rsidRPr="004666D3">
        <w:t xml:space="preserve"> </w:t>
      </w:r>
      <w:bookmarkStart w:id="11" w:name="OLE_LINK19"/>
      <w:bookmarkEnd w:id="10"/>
      <w:r w:rsidR="2C4A5D16" w:rsidRPr="004666D3">
        <w:t>By contrast, in Belgium</w:t>
      </w:r>
      <w:r w:rsidR="0F0D8D8F" w:rsidRPr="004666D3">
        <w:t>, at the country level,</w:t>
      </w:r>
      <w:r w:rsidR="2C4A5D16" w:rsidRPr="004666D3">
        <w:t xml:space="preserve"> there is </w:t>
      </w:r>
      <w:proofErr w:type="gramStart"/>
      <w:r w:rsidR="00B94648" w:rsidRPr="004666D3">
        <w:t>as yet</w:t>
      </w:r>
      <w:proofErr w:type="gramEnd"/>
      <w:r w:rsidR="00B94648" w:rsidRPr="004666D3">
        <w:t xml:space="preserve"> </w:t>
      </w:r>
      <w:r w:rsidR="2C4A5D16" w:rsidRPr="004666D3">
        <w:t xml:space="preserve">no </w:t>
      </w:r>
      <w:r w:rsidR="773774F1" w:rsidRPr="004666D3">
        <w:t>evidence of a</w:t>
      </w:r>
      <w:r w:rsidR="00A932FB" w:rsidRPr="004666D3">
        <w:t xml:space="preserve"> </w:t>
      </w:r>
      <w:r w:rsidR="773774F1" w:rsidRPr="004666D3">
        <w:t>return to urban residences</w:t>
      </w:r>
      <w:r w:rsidR="00296497" w:rsidRPr="004666D3">
        <w:t>, though</w:t>
      </w:r>
      <w:r w:rsidR="773774F1" w:rsidRPr="004666D3">
        <w:t xml:space="preserve"> daytime numbers in rural areas are de</w:t>
      </w:r>
      <w:r w:rsidR="4709D13A" w:rsidRPr="004666D3">
        <w:t xml:space="preserve">creasing and </w:t>
      </w:r>
      <w:r w:rsidR="008A5E34" w:rsidRPr="004666D3">
        <w:t xml:space="preserve">in </w:t>
      </w:r>
      <w:r w:rsidR="4709D13A" w:rsidRPr="004666D3">
        <w:t xml:space="preserve">urban </w:t>
      </w:r>
      <w:r w:rsidR="00667D03" w:rsidRPr="004666D3">
        <w:t>centre</w:t>
      </w:r>
      <w:r w:rsidR="0006433E" w:rsidRPr="004666D3">
        <w:t>s</w:t>
      </w:r>
      <w:r w:rsidR="00667D03" w:rsidRPr="004666D3">
        <w:t xml:space="preserve"> </w:t>
      </w:r>
      <w:r w:rsidR="008A5E34" w:rsidRPr="004666D3">
        <w:t xml:space="preserve">are </w:t>
      </w:r>
      <w:r w:rsidR="4709D13A" w:rsidRPr="004666D3">
        <w:t>increasing, suggesting an increase</w:t>
      </w:r>
      <w:r w:rsidR="773774F1" w:rsidRPr="004666D3">
        <w:t xml:space="preserve"> </w:t>
      </w:r>
      <w:r w:rsidR="4709D13A" w:rsidRPr="004666D3">
        <w:t>in commuting post-pandemic.</w:t>
      </w:r>
      <w:bookmarkEnd w:id="9"/>
      <w:r w:rsidR="008A5E34" w:rsidRPr="004666D3">
        <w:rPr>
          <w:rStyle w:val="CommentReference"/>
        </w:rPr>
        <w:t xml:space="preserve"> </w:t>
      </w:r>
      <w:bookmarkStart w:id="12" w:name="OLE_LINK105"/>
      <w:bookmarkStart w:id="13" w:name="OLE_LINK109"/>
      <w:bookmarkEnd w:id="11"/>
      <w:r w:rsidR="00A27BA0" w:rsidRPr="004666D3">
        <w:t>The</w:t>
      </w:r>
      <w:r w:rsidR="003715A3" w:rsidRPr="004666D3">
        <w:t>se</w:t>
      </w:r>
      <w:r w:rsidR="00A27BA0" w:rsidRPr="004666D3">
        <w:t xml:space="preserve"> </w:t>
      </w:r>
      <w:r w:rsidR="00D63506" w:rsidRPr="004666D3">
        <w:t>variation</w:t>
      </w:r>
      <w:r w:rsidR="00A27BA0" w:rsidRPr="004666D3">
        <w:t xml:space="preserve"> characteristics</w:t>
      </w:r>
      <w:r w:rsidR="00B02512" w:rsidRPr="004666D3">
        <w:t xml:space="preserve"> observed</w:t>
      </w:r>
      <w:r w:rsidR="00CA0FBA" w:rsidRPr="004666D3">
        <w:t xml:space="preserve"> </w:t>
      </w:r>
      <w:r w:rsidR="001364D0" w:rsidRPr="004666D3">
        <w:t xml:space="preserve">both </w:t>
      </w:r>
      <w:r w:rsidR="00350377" w:rsidRPr="004666D3">
        <w:t>between Belgium and Thailand</w:t>
      </w:r>
      <w:r w:rsidR="005268DF" w:rsidRPr="004666D3">
        <w:t xml:space="preserve"> and</w:t>
      </w:r>
      <w:r w:rsidR="00FF74B7" w:rsidRPr="004666D3">
        <w:t xml:space="preserve"> between day and </w:t>
      </w:r>
      <w:r w:rsidR="00186C0B" w:rsidRPr="004666D3">
        <w:t xml:space="preserve">night, </w:t>
      </w:r>
      <w:r w:rsidR="00F23C51" w:rsidRPr="004666D3">
        <w:t>extend</w:t>
      </w:r>
      <w:r w:rsidR="00B751B2" w:rsidRPr="004666D3">
        <w:t xml:space="preserve"> the </w:t>
      </w:r>
      <w:r w:rsidR="00A307ED" w:rsidRPr="004666D3">
        <w:t>current</w:t>
      </w:r>
      <w:r w:rsidR="00B751B2" w:rsidRPr="004666D3">
        <w:t xml:space="preserve"> understanding of counter-urbanisation</w:t>
      </w:r>
      <w:r w:rsidR="00BA7E14" w:rsidRPr="004666D3">
        <w:t xml:space="preserve">. </w:t>
      </w:r>
      <w:r w:rsidR="007526DB" w:rsidRPr="004666D3">
        <w:t>The use of novel social media data</w:t>
      </w:r>
      <w:r w:rsidR="00A12D45" w:rsidRPr="004666D3">
        <w:t xml:space="preserve"> </w:t>
      </w:r>
      <w:r w:rsidR="00DA7F70" w:rsidRPr="004666D3">
        <w:t>provid</w:t>
      </w:r>
      <w:r w:rsidR="000A2A7C" w:rsidRPr="004666D3">
        <w:t>e</w:t>
      </w:r>
      <w:r w:rsidR="001B19D8" w:rsidRPr="004666D3">
        <w:t>s</w:t>
      </w:r>
      <w:r w:rsidR="00DA7F70" w:rsidRPr="004666D3">
        <w:t xml:space="preserve"> </w:t>
      </w:r>
      <w:r w:rsidR="00587DAF" w:rsidRPr="004666D3">
        <w:t>a</w:t>
      </w:r>
      <w:r w:rsidR="000A467B" w:rsidRPr="004666D3">
        <w:t>n</w:t>
      </w:r>
      <w:r w:rsidR="00587DAF" w:rsidRPr="004666D3">
        <w:t xml:space="preserve"> effective </w:t>
      </w:r>
      <w:r w:rsidR="00FB6BDF" w:rsidRPr="004666D3">
        <w:t xml:space="preserve">quantitative </w:t>
      </w:r>
      <w:r w:rsidR="003D5A85" w:rsidRPr="004666D3">
        <w:t>perspective</w:t>
      </w:r>
      <w:r w:rsidR="000A467B" w:rsidRPr="004666D3">
        <w:t xml:space="preserve"> </w:t>
      </w:r>
      <w:r w:rsidR="008173A7" w:rsidRPr="004666D3">
        <w:t>to comprehend</w:t>
      </w:r>
      <w:r w:rsidR="000A467B" w:rsidRPr="004666D3">
        <w:t xml:space="preserve"> </w:t>
      </w:r>
      <w:r w:rsidR="00154E41" w:rsidRPr="004666D3">
        <w:t>counter-urbanisation</w:t>
      </w:r>
      <w:r w:rsidR="00154E41" w:rsidRPr="004666D3" w:rsidDel="00154E41">
        <w:t xml:space="preserve"> </w:t>
      </w:r>
      <w:r w:rsidR="000A467B" w:rsidRPr="004666D3">
        <w:t>in different settings.</w:t>
      </w:r>
      <w:bookmarkEnd w:id="3"/>
      <w:bookmarkEnd w:id="12"/>
    </w:p>
    <w:bookmarkEnd w:id="4"/>
    <w:bookmarkEnd w:id="13"/>
    <w:p w14:paraId="312917EC" w14:textId="74A5DAD2" w:rsidR="002C10CC" w:rsidRPr="004666D3" w:rsidRDefault="005A53B0" w:rsidP="005646E2">
      <w:pPr>
        <w:rPr>
          <w:b/>
          <w:bCs/>
          <w:szCs w:val="24"/>
          <w:lang w:val="en-US"/>
        </w:rPr>
      </w:pPr>
      <w:r w:rsidRPr="004666D3">
        <w:rPr>
          <w:b/>
          <w:bCs/>
          <w:szCs w:val="24"/>
        </w:rPr>
        <w:t>Keywords</w:t>
      </w:r>
      <w:r w:rsidR="00C86BC1" w:rsidRPr="004666D3">
        <w:rPr>
          <w:b/>
          <w:bCs/>
          <w:szCs w:val="24"/>
        </w:rPr>
        <w:t xml:space="preserve">: </w:t>
      </w:r>
    </w:p>
    <w:p w14:paraId="3A2F4E2F" w14:textId="637C0095" w:rsidR="00081DF9" w:rsidRPr="004666D3" w:rsidRDefault="00771538" w:rsidP="00081DF9">
      <w:pPr>
        <w:rPr>
          <w:szCs w:val="24"/>
        </w:rPr>
      </w:pPr>
      <w:r w:rsidRPr="004666D3">
        <w:rPr>
          <w:szCs w:val="24"/>
        </w:rPr>
        <w:t xml:space="preserve">Diurnal population dynamics, </w:t>
      </w:r>
      <w:r w:rsidR="00864BBD" w:rsidRPr="004666D3">
        <w:rPr>
          <w:szCs w:val="24"/>
        </w:rPr>
        <w:t xml:space="preserve">redistribution, </w:t>
      </w:r>
      <w:r w:rsidR="002D1740" w:rsidRPr="004666D3">
        <w:rPr>
          <w:szCs w:val="24"/>
        </w:rPr>
        <w:t>counter</w:t>
      </w:r>
      <w:r w:rsidR="00E43D3D" w:rsidRPr="004666D3">
        <w:rPr>
          <w:szCs w:val="24"/>
        </w:rPr>
        <w:t>-</w:t>
      </w:r>
      <w:r w:rsidR="002D1740" w:rsidRPr="004666D3">
        <w:rPr>
          <w:szCs w:val="24"/>
        </w:rPr>
        <w:t>urbanisation</w:t>
      </w:r>
      <w:r w:rsidR="0038479C" w:rsidRPr="004666D3">
        <w:rPr>
          <w:szCs w:val="24"/>
        </w:rPr>
        <w:t>,</w:t>
      </w:r>
      <w:r w:rsidR="0048336A" w:rsidRPr="004666D3">
        <w:rPr>
          <w:szCs w:val="24"/>
        </w:rPr>
        <w:t xml:space="preserve"> </w:t>
      </w:r>
      <w:r w:rsidRPr="004666D3">
        <w:rPr>
          <w:szCs w:val="24"/>
        </w:rPr>
        <w:t>Facebook</w:t>
      </w:r>
      <w:r w:rsidR="00EB6618" w:rsidRPr="004666D3">
        <w:rPr>
          <w:szCs w:val="24"/>
        </w:rPr>
        <w:t xml:space="preserve"> data</w:t>
      </w:r>
      <w:r w:rsidRPr="004666D3">
        <w:rPr>
          <w:szCs w:val="24"/>
        </w:rPr>
        <w:t xml:space="preserve">, </w:t>
      </w:r>
      <w:r w:rsidR="00F30EAC" w:rsidRPr="004666D3">
        <w:rPr>
          <w:szCs w:val="24"/>
        </w:rPr>
        <w:t xml:space="preserve">data imputation, </w:t>
      </w:r>
      <w:r w:rsidR="0000422D" w:rsidRPr="004666D3">
        <w:rPr>
          <w:szCs w:val="24"/>
        </w:rPr>
        <w:t>d</w:t>
      </w:r>
      <w:r w:rsidR="00AD0090" w:rsidRPr="004666D3">
        <w:rPr>
          <w:szCs w:val="24"/>
        </w:rPr>
        <w:t>ecomposition analysis</w:t>
      </w:r>
    </w:p>
    <w:p w14:paraId="4BA9F4C6" w14:textId="77777777" w:rsidR="00081DF9" w:rsidRPr="004666D3" w:rsidRDefault="00081DF9" w:rsidP="00081DF9">
      <w:pPr>
        <w:rPr>
          <w:szCs w:val="24"/>
        </w:rPr>
      </w:pPr>
    </w:p>
    <w:p w14:paraId="528BEE95" w14:textId="6E251194" w:rsidR="001808E8" w:rsidRPr="004666D3" w:rsidRDefault="003511FA" w:rsidP="00081DF9">
      <w:pPr>
        <w:pStyle w:val="mysubtitle"/>
      </w:pPr>
      <w:r w:rsidRPr="004666D3">
        <w:t xml:space="preserve">1. </w:t>
      </w:r>
      <w:r w:rsidR="00587915" w:rsidRPr="004666D3">
        <w:t>I</w:t>
      </w:r>
      <w:r w:rsidRPr="004666D3">
        <w:t>ntroduction</w:t>
      </w:r>
    </w:p>
    <w:p w14:paraId="757E8AEA" w14:textId="2A8A2863" w:rsidR="00BD02AD" w:rsidRPr="004666D3" w:rsidRDefault="00EE28D5" w:rsidP="00BD02AD">
      <w:pPr>
        <w:rPr>
          <w:szCs w:val="24"/>
        </w:rPr>
      </w:pPr>
      <w:bookmarkStart w:id="14" w:name="OLE_LINK10"/>
      <w:r w:rsidRPr="004666D3">
        <w:rPr>
          <w:szCs w:val="24"/>
        </w:rPr>
        <w:t xml:space="preserve">The rapid urbanisation in the past few centuries, characterised by influx of population and the associated transformation of natural landscapes </w:t>
      </w:r>
      <w:r w:rsidRPr="004666D3">
        <w:rPr>
          <w:szCs w:val="24"/>
        </w:rPr>
        <w:fldChar w:fldCharType="begin"/>
      </w:r>
      <w:r w:rsidR="00B55F2A" w:rsidRPr="004666D3">
        <w:rPr>
          <w:szCs w:val="24"/>
        </w:rPr>
        <w:instrText xml:space="preserve"> ADDIN ZOTERO_ITEM CSL_CITATION {"citationID":"GaUMKhCH","properties":{"formattedCitation":"(Leyk et al., 2020)","plainCitation":"(Leyk et al., 2020)","noteIndex":0},"citationItems":[{"id":4427,"uris":["http://zotero.org/users/9756803/items/RLSHCUCF"],"itemData":{"id":4427,"type":"article-journal","abstract":"Over the past 200 years, the population of the United States grew more than 40-fold. The resulting development of the built environment has had a profound impact on the regional economic, demographic, and environmental structure of North America. Unfortunately, constraints on data availability limit opportunities to study long-term development patterns and how population growth relates to land-use change. Using hundreds of millions of property records, we undertake the finest-resolution analysis to date, in space and time, of urbanization patterns from 1810 to 2015. Temporally consistent metrics reveal distinct long-term urban development patterns characterizing processes such as settlement expansion and densification at fine granularity. Furthermore, we demonstrate that these settlement measures are robust proxies for population throughout the record and thus potential surrogates for estimating population changes at fine scales. These new insights and data vastly expand opportunities to study land use, population change, and urbanization over the past two centuries.","container-title":"Science Advances","DOI":"10.1126/sciadv.aba2937","issue":"23","note":"publisher: American Association for the Advancement of Science","page":"eaba2937","source":"science.org (Atypon)","title":"Two centuries of settlement and urban development in the United States","volume":"6","author":[{"family":"Leyk","given":"Stefan"},{"family":"Uhl","given":"Johannes H."},{"family":"Connor","given":"Dylan S."},{"family":"Braswell","given":"Anna E."},{"family":"Mietkiewicz","given":"Nathan"},{"family":"Balch","given":"Jennifer K."},{"family":"Gutmann","given":"Myron"}],"issued":{"date-parts":[["2020",6,3]]}}}],"schema":"https://github.com/citation-style-language/schema/raw/master/csl-citation.json"} </w:instrText>
      </w:r>
      <w:r w:rsidRPr="004666D3">
        <w:rPr>
          <w:szCs w:val="24"/>
        </w:rPr>
        <w:fldChar w:fldCharType="separate"/>
      </w:r>
      <w:r w:rsidR="00AE74BE" w:rsidRPr="004666D3">
        <w:rPr>
          <w:rFonts w:ascii="Calibri" w:hAnsi="Calibri" w:cs="Calibri"/>
        </w:rPr>
        <w:t>(Leyk et al., 2020)</w:t>
      </w:r>
      <w:r w:rsidRPr="004666D3">
        <w:rPr>
          <w:szCs w:val="24"/>
        </w:rPr>
        <w:fldChar w:fldCharType="end"/>
      </w:r>
      <w:r w:rsidR="009D7100" w:rsidRPr="004666D3">
        <w:rPr>
          <w:szCs w:val="24"/>
        </w:rPr>
        <w:t>,</w:t>
      </w:r>
      <w:r w:rsidRPr="004666D3">
        <w:rPr>
          <w:szCs w:val="24"/>
        </w:rPr>
        <w:t xml:space="preserve"> has </w:t>
      </w:r>
      <w:r w:rsidR="00D17700" w:rsidRPr="004666D3">
        <w:rPr>
          <w:szCs w:val="24"/>
        </w:rPr>
        <w:t>exacerbate</w:t>
      </w:r>
      <w:r w:rsidR="003E13FE" w:rsidRPr="004666D3">
        <w:rPr>
          <w:szCs w:val="24"/>
        </w:rPr>
        <w:t>d</w:t>
      </w:r>
      <w:r w:rsidRPr="004666D3">
        <w:rPr>
          <w:szCs w:val="24"/>
        </w:rPr>
        <w:t xml:space="preserve"> various urban </w:t>
      </w:r>
      <w:r w:rsidR="00234D50" w:rsidRPr="004666D3">
        <w:rPr>
          <w:szCs w:val="24"/>
        </w:rPr>
        <w:t>problems</w:t>
      </w:r>
      <w:r w:rsidRPr="004666D3">
        <w:rPr>
          <w:szCs w:val="24"/>
        </w:rPr>
        <w:t xml:space="preserve">, including severe air pollution </w:t>
      </w:r>
      <w:r w:rsidRPr="004666D3">
        <w:rPr>
          <w:szCs w:val="24"/>
        </w:rPr>
        <w:fldChar w:fldCharType="begin"/>
      </w:r>
      <w:r w:rsidR="00B55F2A" w:rsidRPr="004666D3">
        <w:rPr>
          <w:szCs w:val="24"/>
        </w:rPr>
        <w:instrText xml:space="preserve"> ADDIN ZOTERO_ITEM CSL_CITATION {"citationID":"q6C1Z0Jx","properties":{"formattedCitation":"(Mage et al., 1996; Zhang et al., 2022)","plainCitation":"(Mage et al., 1996; Zhang et al., 2022)","noteIndex":0},"citationItems":[{"id":4429,"uris":["http://zotero.org/users/9756803/items/TVLIXII6"],"itemData":{"id":4429,"type":"article-journal","abstract":"Urban air pollution is a major environmental problem in the developing countries of the world. WHO and UNEP created an air pollution monitoring network as part of the Global Environment Monitoring System. This network now covers over 50 cities in 35 developing and developed countries throughout the world. The analyses of the data reported by the network over the past 15–20 yr indicate that the lessons of the prior experiences in the developed countries (U.S.A., U.K.) have not been learned. A study of air pollution in 20 of the 24 megacities of the world (over 10 million people by year 2000) shows that ambient air pollution concentrations are at levels where serious health effects are reported. The expected rise of population in the next century, mainly in the developing countries with a lack of capital for air pollution control, means that there is a great potential that conditions will worsen in many more cities that will reach megacity status. This paper maps the potential for air pollution that cities will experience in the future unless control strategies are developed and implemented during the next several decades.","collection-title":"Supercities: Environment Quality and Sustainable Development","container-title":"Atmospheric Environment","DOI":"10.1016/1352-2310(95)00219-7","ISSN":"1352-2310","issue":"5","journalAbbreviation":"Atmospheric Environment","language":"en","page":"681-686","source":"ScienceDirect","title":"Urban air pollution in megacities of the world","volume":"30","author":[{"family":"Mage","given":"David"},{"family":"Ozolins","given":"Guntis"},{"family":"Peterson","given":"Peter"},{"family":"Webster","given":"Anthony"},{"family":"Orthofer","given":"Rudi"},{"family":"Vandeweerd","given":"Veerle"},{"family":"Gwynne","given":"Michael"}],"issued":{"date-parts":[["1996",3,1]]}}},{"id":4438,"uris":["http://zotero.org/users/9756803/items/YWLXEZ2P"],"itemData":{"id":4438,"type":"article-journal","abstract":"Urbanization is one of the major transformations, along with industrialization and economic development, profoundly impacting human society and its living environment. Among the environmental elements, air quality is one of the most intuitively perceived. Most low- and mid-income countries currently suffer from air pollution, especially in urban areas. This review therefore examined the history of air pollution under different stages of urbanization in typical high-, mid-, and low-income countries and summarized the general understanding of the relationship between urbanization and air pollution to suggest the future development of the trade-off between urbanization and air pollution. Based on the review, we highlighted that the development of precautionary measures against environmental pollution during the process of urbanization. In particular, adequate attention and efficient local practices to control air pollution before the onset of heavy pollution, and local practices for multi-stakeholder satisfaction would allow sustainable urbanization with favourable air quality. We hope this review will provide powerful examples of countries that have considered and acted to balance urbanization and air quality in recent centuries, and thus serve as a reference for countries to design more appropriate actions to fulfil the 11th Sustainable Development Goal of the United Nations (UNSDG).","container-title":"Journal of Cleaner Production","DOI":"10.1016/j.jclepro.2022.130988","ISSN":"0959-6526","journalAbbreviation":"Journal of Cleaner Production","language":"en","page":"130988","source":"ScienceDirect","title":"Linking urbanization and air quality together: A review and a perspective on the future sustainable urban development","title-short":"Linking urbanization and air quality together","volume":"346","author":[{"family":"Zhang","given":"Xiaoyan"},{"family":"Han","given":"Lijian"},{"family":"Wei","given":"Haiyan"},{"family":"Tan","given":"Xiaorui"},{"family":"Zhou","given":"Weiqi"},{"family":"Li","given":"Weifen"},{"family":"Qian","given":"Yuguo"}],"issued":{"date-parts":[["2022",4,20]]}}}],"schema":"https://github.com/citation-style-language/schema/raw/master/csl-citation.json"} </w:instrText>
      </w:r>
      <w:r w:rsidRPr="004666D3">
        <w:rPr>
          <w:szCs w:val="24"/>
        </w:rPr>
        <w:fldChar w:fldCharType="separate"/>
      </w:r>
      <w:r w:rsidR="00AE74BE" w:rsidRPr="004666D3">
        <w:rPr>
          <w:rFonts w:ascii="Calibri" w:hAnsi="Calibri" w:cs="Calibri"/>
        </w:rPr>
        <w:t>(Mage et al., 1996; Zhang et al., 2022)</w:t>
      </w:r>
      <w:r w:rsidRPr="004666D3">
        <w:rPr>
          <w:szCs w:val="24"/>
        </w:rPr>
        <w:fldChar w:fldCharType="end"/>
      </w:r>
      <w:r w:rsidRPr="004666D3">
        <w:rPr>
          <w:szCs w:val="24"/>
        </w:rPr>
        <w:t xml:space="preserve">, </w:t>
      </w:r>
      <w:r w:rsidR="00E1188F" w:rsidRPr="004666D3">
        <w:rPr>
          <w:szCs w:val="24"/>
        </w:rPr>
        <w:t>spread</w:t>
      </w:r>
      <w:r w:rsidR="003705B0" w:rsidRPr="004666D3">
        <w:rPr>
          <w:szCs w:val="24"/>
        </w:rPr>
        <w:t>s</w:t>
      </w:r>
      <w:r w:rsidR="00E1188F" w:rsidRPr="004666D3">
        <w:rPr>
          <w:szCs w:val="24"/>
        </w:rPr>
        <w:t xml:space="preserve"> of infectious diseases</w:t>
      </w:r>
      <w:r w:rsidR="004B4D4F" w:rsidRPr="004666D3">
        <w:rPr>
          <w:szCs w:val="24"/>
        </w:rPr>
        <w:t xml:space="preserve"> </w:t>
      </w:r>
      <w:r w:rsidR="004B4D4F" w:rsidRPr="004666D3">
        <w:rPr>
          <w:szCs w:val="24"/>
        </w:rPr>
        <w:fldChar w:fldCharType="begin"/>
      </w:r>
      <w:r w:rsidR="009177FC" w:rsidRPr="004666D3">
        <w:rPr>
          <w:szCs w:val="24"/>
        </w:rPr>
        <w:instrText xml:space="preserve"> ADDIN ZOTERO_ITEM CSL_CITATION {"citationID":"zdUPrZua","properties":{"formattedCitation":"(Kolimenakis et al., 2021; Lowe et al., 2021)","plainCitation":"(Kolimenakis et al., 2021; Lowe et al., 2021)","noteIndex":0},"citationItems":[{"id":5945,"uris":["http://zotero.org/users/9756803/items/KUUFVTB6"],"itemData":{"id":5945,"type":"article-journal","abstract":"Background This systematic review aims to assess how different urbanisation patterns related to rapid urban growth, unplanned expansion, and human population density affect the establishment and distribution of Aedes aegypti and Aedes albopictus and create favourable conditions for the spread of dengue, chikungunya, and Zika viruses. Methods and findings Following the Preferred Reporting Items for Systematic Reviews and Meta-Analyses (PRISMA) guidelines, a systematic review was conducted using the PubMed, Virtual Health Library, Cochrane, WHO Library Database (WHOLIS), Google Scholar, and and the Institutional Repository for Information Sharing (IRIS) databases. From a total of 523 identified studies, 86 were selected for further analysis, and 29 were finally analysed after applying all inclusion and exclusion criteria. The main explanatory variables used to associate urbanisation with epidemiological/entomological outcomes were the following: human population density, urban growth, artificial geographical space, urban construction, and urban density. Associated with the lack of a global definition of urbanisation, several studies provided their own definitions, which represents one of the study’s limitations. Results were based on 8 ecological studies/models, 8 entomological surveillance studies, 7 epidemiological surveillance studies, and 6 studies consisting of spatial and predictive models. According to their focus, studies were categorised into 2 main subgroups, namely “Aedes ecology” and “transmission dynamics.” There was a consistent association between urbanisation and the distribution and density of Aedes mosquitoes in 14 of the studies and a strong relationship between vector abundance and disease transmission in 18 studies. Human population density of more than 1,000 inhabitants per square kilometer was associated with increased levels of arboviral diseases in 15 of the studies. Conclusions The use of different methods in the included studies highlights the interplay of multiple factors linking urbanisation with ecological, entomological, and epidemiological parameters and the need to consider a variety of these factors for designing effective public health approaches.","container-title":"PLOS Neglected Tropical Diseases","DOI":"10.1371/journal.pntd.0009631","ISSN":"1935-2735","issue":"9","journalAbbreviation":"PLOS Neglected Tropical Diseases","language":"en","note":"publisher: Public Library of Science","page":"e0009631","source":"PLoS Journals","title":"The role of urbanisation in the spread of Aedes mosquitoes and the diseases they transmit—A systematic review","volume":"15","author":[{"family":"Kolimenakis","given":"Antonios"},{"family":"Heinz","given":"Sabine"},{"family":"Wilson","given":"Michael Lowery"},{"family":"Winkler","given":"Volker"},{"family":"Yakob","given":"Laith"},{"family":"Michaelakis","given":"Antonios"},{"family":"Papachristos","given":"Dimitrios"},{"family":"Richardson","given":"Clive"},{"family":"Horstick","given":"Olaf"}],"issued":{"date-parts":[["2021",9,9]]}}},{"id":5319,"uris":["http://zotero.org/users/9756803/items/FYRYSTVR"],"itemData":{"id":5319,"type":"article-journal","abstract":"Background\nTemperature and rainfall patterns are known to influence seasonal patterns of dengue transmission. However, the effect of severe drought and extremely wet conditions on the timing and intensity of dengue epidemics is poorly understood. In this study, we aimed to quantify the non-linear and delayed effects of extreme hydrometeorological hazards on dengue risk by level of urbanisation in Brazil using a spatiotemporal model.\nMethods\nWe combined distributed lag non-linear models with a spatiotemporal Bayesian hierarchical model framework to determine the exposure-lag-response association between the relative risk (RR) of dengue and a drought severity index. We fit the model to monthly dengue case data for the 558 microregions of Brazil between January, 2001, and January, 2019, accounting for unobserved confounding factors, spatial autocorrelation, seasonality, and interannual variability. We assessed the variation in RR by level of urbanisation through an interaction between the drought severity index and urbanisation. We also assessed the effect of hydrometeorological hazards on dengue risk in areas with a high frequency of water supply shortages.\nFindings\nThe dataset included 12 895 293 dengue cases reported between 2001 and 2019 in Brazil. Overall, the risk of dengue increased between 0–3 months after extremely wet conditions (maximum RR at 1 month lag 1·56 [95% CI 1·41–1·73]) and 3–5 months after drought conditions (maximum RR at 4 months lag 1·43 [1·22–1·67]). Including a linear interaction between the drought severity index and level of urbanisation improved the model fit and showed the risk of dengue was higher in more rural areas than highly urbanised areas during extremely wet conditions (maximum RR 1·77 [1·32–2·37] at 0 months lag vs maximum RR 1·58 [1·39–1·81] at 2 months lag), but higher in highly urbanised areas than rural areas after extreme drought (maximum RR 1·60 [1·33–1·92] vs 1·15 [1·08–1·22], both at 4 months lag). We also found the dengue risk following extreme drought was higher in areas that had a higher frequency of water supply shortages.\nInterpretation\nWet conditions and extreme drought can increase the risk of dengue with different delays. The risk associated with extremely wet conditions was higher in more rural areas and the risk associated with extreme drought was exacerbated in highly urbanised areas, which have water shortages and intermittent water supply during droughts. These findings have implications for targeting mosquito control activities in poorly serviced urban areas, not only during the wet and warm season, but also during drought periods.\nFunding\nRoyal Society, Medical Research Council, Wellcome Trust, National Institutes of Health, Fundação Carlos Chagas Filho de Amparo à Pesquisa do Estado do Rio de Janeiro, and Conselho Nacional de Desenvolvimento Científico e Tecnológico.\nTranslation\nFor the Portuguese translation of the abstract see Supplementary Materials section.","container-title":"The Lancet Planetary Health","DOI":"10.1016/S2542-5196(20)30292-8","ISSN":"2542-5196","issue":"4","journalAbbreviation":"The Lancet Planetary Health","language":"en","page":"e209-e219","source":"ScienceDirect","title":"Combined effects of hydrometeorological hazards and urbanisation on dengue risk in Brazil: a spatiotemporal modelling study","title-short":"Combined effects of hydrometeorological hazards and urbanisation on dengue risk in Brazil","volume":"5","author":[{"family":"Lowe","given":"Rachel"},{"family":"Lee","given":"Sophie A"},{"family":"O'Reilly","given":"Kathleen M"},{"family":"Brady","given":"Oliver J"},{"family":"Bastos","given":"Leonardo"},{"family":"Carrasco-Escobar","given":"Gabriel"},{"family":"Castro Catão","given":"Rafael","non-dropping-particle":"de"},{"family":"Colón-González","given":"Felipe J"},{"family":"Barcellos","given":"Christovam"},{"family":"Carvalho","given":"Marilia Sá"},{"family":"Blangiardo","given":"Marta"},{"family":"Rue","given":"Håvard"},{"family":"Gasparrini","given":"Antonio"}],"issued":{"date-parts":[["2021",4,1]]}}}],"schema":"https://github.com/citation-style-language/schema/raw/master/csl-citation.json"} </w:instrText>
      </w:r>
      <w:r w:rsidR="004B4D4F" w:rsidRPr="004666D3">
        <w:rPr>
          <w:szCs w:val="24"/>
        </w:rPr>
        <w:fldChar w:fldCharType="separate"/>
      </w:r>
      <w:r w:rsidR="00AE74BE" w:rsidRPr="004666D3">
        <w:rPr>
          <w:rFonts w:ascii="Calibri" w:hAnsi="Calibri" w:cs="Calibri"/>
        </w:rPr>
        <w:t>(Kolimenakis et al., 2021; Lowe et al., 2021)</w:t>
      </w:r>
      <w:r w:rsidR="004B4D4F" w:rsidRPr="004666D3">
        <w:rPr>
          <w:szCs w:val="24"/>
        </w:rPr>
        <w:fldChar w:fldCharType="end"/>
      </w:r>
      <w:r w:rsidR="00E1188F" w:rsidRPr="004666D3">
        <w:rPr>
          <w:szCs w:val="24"/>
        </w:rPr>
        <w:t xml:space="preserve">, </w:t>
      </w:r>
      <w:r w:rsidRPr="004666D3">
        <w:rPr>
          <w:szCs w:val="24"/>
        </w:rPr>
        <w:t xml:space="preserve">congestion </w:t>
      </w:r>
      <w:r w:rsidRPr="004666D3">
        <w:rPr>
          <w:szCs w:val="24"/>
        </w:rPr>
        <w:fldChar w:fldCharType="begin"/>
      </w:r>
      <w:r w:rsidR="00B55F2A" w:rsidRPr="004666D3">
        <w:rPr>
          <w:szCs w:val="24"/>
        </w:rPr>
        <w:instrText xml:space="preserve"> ADDIN ZOTERO_ITEM CSL_CITATION {"citationID":"idE2QtKh","properties":{"formattedCitation":"(\\uc0\\u199{}olak et al., 2016)","plainCitation":"(Çolak et al., 2016)","noteIndex":0},"citationItems":[{"id":4441,"uris":["http://zotero.org/users/9756803/items/5XUFEL3R"],"itemData":{"id":4441,"type":"article-journal","abstract":"Rapid urbanization and increasing demand for transportation burdens urban road infrastructures. The interplay of number of vehicles and available road capacity on their routes determines the level of congestion. Although approaches to modify demand and capacity exist, the possible limits of congestion alleviation by only modifying route choices have not been systematically studied. Here we couple the road networks of five diverse cities with the travel demand profiles in the morning peak hour obtained from billions of mobile phone traces to comprehensively analyse urban traffic. We present that a dimensionless ratio of the road supply to the travel demand explains the percentage of time lost in congestion. Finally, we examine congestion relief under a centralized routing scheme with varying levels of awareness of social good and quantify the benefits to show that moderate levels are enough to achieve significant collective travel time savings.","container-title":"Nature Communications","DOI":"10.1038/ncomms10793","ISSN":"2041-1723","issue":"1","journalAbbreviation":"Nat Commun","language":"en","license":"2016 The Author(s)","note":"number: 1\npublisher: Nature Publishing Group","page":"10793","source":"www.nature.com","title":"Understanding congested travel in urban areas","volume":"7","author":[{"family":"Çolak","given":"Serdar"},{"family":"Lima","given":"Antonio"},{"family":"González","given":"Marta C."}],"issued":{"date-parts":[["2016",3,15]]}}}],"schema":"https://github.com/citation-style-language/schema/raw/master/csl-citation.json"} </w:instrText>
      </w:r>
      <w:r w:rsidRPr="004666D3">
        <w:rPr>
          <w:szCs w:val="24"/>
        </w:rPr>
        <w:fldChar w:fldCharType="separate"/>
      </w:r>
      <w:r w:rsidR="00AE74BE" w:rsidRPr="004666D3">
        <w:rPr>
          <w:rFonts w:ascii="Calibri" w:hAnsi="Calibri" w:cs="Calibri"/>
          <w:szCs w:val="24"/>
        </w:rPr>
        <w:t>(Çolak et al., 2016)</w:t>
      </w:r>
      <w:r w:rsidRPr="004666D3">
        <w:rPr>
          <w:szCs w:val="24"/>
        </w:rPr>
        <w:fldChar w:fldCharType="end"/>
      </w:r>
      <w:r w:rsidRPr="004666D3">
        <w:rPr>
          <w:szCs w:val="24"/>
        </w:rPr>
        <w:t xml:space="preserve">, and rising inequality </w:t>
      </w:r>
      <w:r w:rsidRPr="004666D3">
        <w:rPr>
          <w:szCs w:val="24"/>
        </w:rPr>
        <w:fldChar w:fldCharType="begin"/>
      </w:r>
      <w:r w:rsidR="00D91A96" w:rsidRPr="004666D3">
        <w:rPr>
          <w:szCs w:val="24"/>
        </w:rPr>
        <w:instrText xml:space="preserve"> ADDIN ZOTERO_ITEM CSL_CITATION {"citationID":"Zp7M4qrN","properties":{"formattedCitation":"(Sulemana et al., 2019)","plainCitation":"(Sulemana et al., 2019)","noteIndex":0},"citationItems":[{"id":4449,"uris":["http://zotero.org/users/9756803/items/JI87WUR8"],"itemData":{"id":4449,"type":"article-journal","abstract":"According to the World Bank, a burgeoning proportion of Africans now live in urban areas. The United Nations notes that the fastest urbanizing regions in the world are Africa and Asia and projects that by the year 2050 these regions would become about 56% and 64% urban, respectively. At the same time, over the last several decades, many countries and regions have recorded rising income inequality. While some scholars have argued that urbanization worsens income inequality, others contend that the relationship is non-linear and dependent on the stage of development. In this regard, Sub-Saharan Africa remains largely understudied. This paper employed an unbalanced panel dataset for 48 Sub-Saharan African countries over the period 1996–2016 to examine whether urbanization is correlated with income inequality. We find evidence of a positive association between urbanization and income inequality in the region.","container-title":"Sustainable Cities and Society","DOI":"10.1016/j.scs.2019.101544","ISSN":"2210-6707","journalAbbreviation":"Sustainable Cities and Society","language":"en","page":"101544","source":"ScienceDirect","title":"Urbanization and income inequality in Sub-Saharan Africa","volume":"48","author":[{"family":"Sulemana","given":"Iddisah"},{"family":"Nketiah-Amponsah","given":"Edward"},{"family":"Codjoe","given":"Emmanuel A."},{"family":"Andoh","given":"Jennifer Akua Nyarko"}],"issued":{"date-parts":[["2019",7,1]]}}}],"schema":"https://github.com/citation-style-language/schema/raw/master/csl-citation.json"} </w:instrText>
      </w:r>
      <w:r w:rsidRPr="004666D3">
        <w:rPr>
          <w:szCs w:val="24"/>
        </w:rPr>
        <w:fldChar w:fldCharType="separate"/>
      </w:r>
      <w:r w:rsidR="00AE74BE" w:rsidRPr="004666D3">
        <w:rPr>
          <w:rFonts w:ascii="Calibri" w:hAnsi="Calibri" w:cs="Calibri"/>
        </w:rPr>
        <w:t>(Sulemana et al., 2019)</w:t>
      </w:r>
      <w:r w:rsidRPr="004666D3">
        <w:rPr>
          <w:szCs w:val="24"/>
        </w:rPr>
        <w:fldChar w:fldCharType="end"/>
      </w:r>
      <w:r w:rsidRPr="004666D3">
        <w:rPr>
          <w:szCs w:val="24"/>
        </w:rPr>
        <w:t>. A</w:t>
      </w:r>
      <w:bookmarkStart w:id="15" w:name="OLE_LINK116"/>
      <w:r w:rsidRPr="004666D3">
        <w:rPr>
          <w:szCs w:val="24"/>
        </w:rPr>
        <w:t>s a result, some city dwellers choose to move out of urban environments and settle in rural areas</w:t>
      </w:r>
      <w:r w:rsidR="00F2356C" w:rsidRPr="004666D3">
        <w:rPr>
          <w:szCs w:val="24"/>
        </w:rPr>
        <w:t xml:space="preserve">, </w:t>
      </w:r>
      <w:r w:rsidR="002758A9" w:rsidRPr="004666D3">
        <w:rPr>
          <w:szCs w:val="24"/>
        </w:rPr>
        <w:t>leading to an</w:t>
      </w:r>
      <w:r w:rsidR="00F2356C" w:rsidRPr="004666D3">
        <w:rPr>
          <w:szCs w:val="24"/>
        </w:rPr>
        <w:t xml:space="preserve"> </w:t>
      </w:r>
      <w:r w:rsidR="002758A9" w:rsidRPr="004666D3">
        <w:rPr>
          <w:szCs w:val="24"/>
        </w:rPr>
        <w:t xml:space="preserve">increased </w:t>
      </w:r>
      <w:r w:rsidR="005B0EA1" w:rsidRPr="004666D3">
        <w:rPr>
          <w:szCs w:val="24"/>
        </w:rPr>
        <w:t xml:space="preserve">proportion of the population living in </w:t>
      </w:r>
      <w:r w:rsidR="00871A8C" w:rsidRPr="004666D3">
        <w:rPr>
          <w:szCs w:val="24"/>
        </w:rPr>
        <w:t>rural</w:t>
      </w:r>
      <w:r w:rsidR="005B0EA1" w:rsidRPr="004666D3">
        <w:rPr>
          <w:szCs w:val="24"/>
        </w:rPr>
        <w:t xml:space="preserve"> areas</w:t>
      </w:r>
      <w:r w:rsidR="00B62368" w:rsidRPr="004666D3">
        <w:rPr>
          <w:szCs w:val="24"/>
        </w:rPr>
        <w:t xml:space="preserve"> </w:t>
      </w:r>
      <w:bookmarkEnd w:id="15"/>
      <w:r w:rsidR="00D77BE0" w:rsidRPr="004666D3">
        <w:rPr>
          <w:szCs w:val="24"/>
        </w:rPr>
        <w:fldChar w:fldCharType="begin"/>
      </w:r>
      <w:r w:rsidR="00A11EBA" w:rsidRPr="004666D3">
        <w:rPr>
          <w:szCs w:val="24"/>
        </w:rPr>
        <w:instrText xml:space="preserve"> ADDIN ZOTERO_ITEM CSL_CITATION {"citationID":"ML4WDfsr","properties":{"formattedCitation":"(Crankshaw and Borel-Saladin, 2019; Gurrutxaga, 2021; McManus, 2022)","plainCitation":"(Crankshaw and Borel-Saladin, 2019; Gurrutxaga, 2021; McManus, 2022)","noteIndex":0},"citationItems":[{"id":5744,"uris":["http://zotero.org/users/9756803/items/B4Z3F3GQ"],"itemData":{"id":5744,"type":"article-journal","abstract":"This article addresses the debate over the causes of urbanisation and counter-urbanisation in Zambia: Are urbanisation and counter-urbanisation caused mostly by net migration or are they caused mostly by the natural growth or decline of the urban population? Using population censuses, we apply the intercensal forward survival ratio method to measure net migration and the natural population growth of urban and rural areas in 1990, 2000 and 2010. The results show that the most important cause of urbanisation and counter-urbanisation was net migration rather than natural urban population growth or decline. Although natural urban population growth was roughly twice that of net migration, this had very little influence on urbanisation because it was matched by the natural growth of the rural population. We also address the causes of migration by examining employment trends. These results indicate that economic decline during the 1990s resulted in decreased urban employment and a dramatic rise in urban unemployment, which in turn caused migration from urban to rural areas. Conversely, during the 2000s, absolute employment grew and unemployment decreased, which corresponded with increased rural–urban migration (resulting in net urbanisation). Our findings also show that even during the period of net out-migration from urban areas and high urban unemployment levels, the resident urban-born workforce continued to grow strongly through natural increase. Thus, these results also show that urban population growth can increase substantially in the absence of urban economic growth, thereby increasing urban unemployment and urban–rural migration.","container-title":"Urban Studies","DOI":"10.1177/0042098018787964","ISSN":"0042-0980","issue":"10","language":"en","note":"publisher: SAGE Publications Ltd","page":"2005-2020","source":"SAGE Journals","title":"Causes of urbanisation and counter-urbanisation in Zambia: Natural population increase or migration?","title-short":"Causes of urbanisation and counter-urbanisation in Zambia","volume":"56","author":[{"family":"Crankshaw","given":"Owen"},{"family":"Borel-Saladin","given":"Jacqueline"}],"issued":{"date-parts":[["2019",8,1]]}}},{"id":6038,"uris":["http://zotero.org/users/9756803/items/FPXCP3N9"],"itemData":{"id":6038,"type":"article-journal","abstract":"Since the first months of 2020, the Covid-19 pandemic has driven social distancing measures in many countries, which have made it potentially more attractive to reside in less populated areas. This paper visualizes whether the registered populations in municipalities with fewer than 2000 inhabitants in Spanish regions have changed during 2020 in a different way than previous years. The per cent variation of the rural population is measured, as well as the proportion of the rural population over the total population, in two periods: January 2000–January 2020 and during 2020. The results show an increase in the rural population in 13 of the 17 Spanish regions, and an increase in the proportion in 14 regions during 2020, in contrast to the declining trends prevailing in previous years.","container-title":"Regional Studies, Regional Science","DOI":"10.1080/21681376.2021.1958050","ISSN":"null","issue":"1","note":"publisher: Routledge\n_eprint: https://doi.org/10.1080/21681376.2021.1958050","page":"305-307","source":"Taylor and Francis+NEJM","title":"Visualizing the rural population growth in Spain during 2020 triggered by the Covid-19 pandemic","volume":"8","author":[{"family":"Gurrutxaga","given":"Mikel"}],"issued":{"date-parts":[["2021",1,1]]}}},{"id":2896,"uris":["http://zotero.org/users/9756803/items/8454GBFX"],"itemData":{"id":2896,"type":"article-journal","abstract":"The term ‘counterurbanisation’ is receiving renewed academic attention due to the Covid-19 pandemic. While not in vogue in popular discourse, the concepts invoked by the term counterurbanisation often appear uncritically in popular media as a Covid-19-induced rural renaissance. This article presents four arguments about using ‘counterurbanisation’ as a term and its applicability in the Australian context. I argue that ‘counterurbanisation’ emerged when categories of urban and rural were less theoretically problematic, and that being unidirectional it does not capture the diversity of migration dynamics. Third, in the Australian context, counterurbanisation is inaccurately often associated in the popular imagination with migration to rural productive landscapes. Fourth, the contemporary measurement and representation of counterurbanisation is flawed. While accepting that various forms of counterurbanisation are occurring, which is important in coastal and near-urban locations, the concept has little relevance for many Australian towns whose future will emerge outside the discourse of counterurbanisation.","container-title":"Australian Geographer","DOI":"10.1080/00049182.2022.2042037","ISSN":"0004-9182","issue":"4","note":"publisher: Routledge\n_eprint: https://doi.org/10.1080/00049182.2022.2042037","page":"363-378","source":"Taylor and Francis+NEJM","title":"Counterurbanisation, demographic change and discourses of rural revival in Australia during COVID-19","volume":"53","author":[{"family":"McManus","given":"Phil"}],"issued":{"date-parts":[["2022",10,2]]}}}],"schema":"https://github.com/citation-style-language/schema/raw/master/csl-citation.json"} </w:instrText>
      </w:r>
      <w:r w:rsidR="00D77BE0" w:rsidRPr="004666D3">
        <w:rPr>
          <w:szCs w:val="24"/>
        </w:rPr>
        <w:fldChar w:fldCharType="separate"/>
      </w:r>
      <w:r w:rsidR="00A11EBA" w:rsidRPr="004666D3">
        <w:rPr>
          <w:rFonts w:ascii="Calibri" w:hAnsi="Calibri" w:cs="Calibri"/>
        </w:rPr>
        <w:t>(Crankshaw and Borel-Saladin, 2019; Gurrutxaga, 2021; McManus, 2022)</w:t>
      </w:r>
      <w:r w:rsidR="00D77BE0" w:rsidRPr="004666D3">
        <w:rPr>
          <w:szCs w:val="24"/>
        </w:rPr>
        <w:fldChar w:fldCharType="end"/>
      </w:r>
      <w:r w:rsidRPr="004666D3">
        <w:rPr>
          <w:szCs w:val="24"/>
        </w:rPr>
        <w:t xml:space="preserve">. This phenomenon was first noticed in the United States in the 1970s </w:t>
      </w:r>
      <w:r w:rsidRPr="004666D3">
        <w:rPr>
          <w:szCs w:val="24"/>
        </w:rPr>
        <w:fldChar w:fldCharType="begin"/>
      </w:r>
      <w:r w:rsidRPr="004666D3">
        <w:rPr>
          <w:szCs w:val="24"/>
        </w:rPr>
        <w:instrText xml:space="preserve"> ADDIN ZOTERO_ITEM CSL_CITATION {"citationID":"dfyAiExD","properties":{"formattedCitation":"(Beale, 1976; Berry, 1980)","plainCitation":"(Beale, 1976; Berry, 1980)","noteIndex":0},"citationItems":[{"id":4458,"uris":["http://zotero.org/users/9756803/items/8253X3NT"],"itemData":{"id":4458,"type":"article-journal","container-title":"American Journal of Agricultural Economics","DOI":"10.2307/1239998","ISSN":"0002-9092","issue":"5","note":"publisher: [Agricultural &amp; Applied Economics Association, Oxford University Press]","page":"953-958","source":"JSTOR","title":"A Further Look at Nonmetropolitan Population Growth since 1970","volume":"58","author":[{"family":"Beale","given":"Calvin L."}],"issued":{"date-parts":[["1976"]]}}},{"id":4454,"uris":["http://zotero.org/users/9756803/items/SMA9TSK9"],"itemData":{"id":4454,"type":"article-journal","abstract":"Urbanization, the process of population concentration, has been succeeded in the United States by counterurbanization, a process of population deconcentration characterized by smaller sizes, decreasing densities, and increasing local homogeneity, set within widening radii of national interdependence. This article reviews this shift, the means by which a national society is producing a national settlement system.","container-title":"The Annals of the American Academy of Political and Social Science","ISSN":"0002-7162","note":"publisher: [Sage Publications, Inc., American Academy of Political and Social Science]","page":"13-20","source":"JSTOR","title":"Urbanization and Counterurbanization in the United States","volume":"451","author":[{"family":"Berry","given":"Brian J. L."}],"issued":{"date-parts":[["1980"]]}}}],"schema":"https://github.com/citation-style-language/schema/raw/master/csl-citation.json"} </w:instrText>
      </w:r>
      <w:r w:rsidRPr="004666D3">
        <w:rPr>
          <w:szCs w:val="24"/>
        </w:rPr>
        <w:fldChar w:fldCharType="separate"/>
      </w:r>
      <w:r w:rsidR="00AE74BE" w:rsidRPr="004666D3">
        <w:rPr>
          <w:rFonts w:ascii="Calibri" w:hAnsi="Calibri" w:cs="Calibri"/>
        </w:rPr>
        <w:t>(Beale, 1976; Berry, 1980)</w:t>
      </w:r>
      <w:r w:rsidRPr="004666D3">
        <w:rPr>
          <w:szCs w:val="24"/>
        </w:rPr>
        <w:fldChar w:fldCharType="end"/>
      </w:r>
      <w:r w:rsidRPr="004666D3">
        <w:rPr>
          <w:szCs w:val="24"/>
        </w:rPr>
        <w:t xml:space="preserve">, and then also observed in </w:t>
      </w:r>
      <w:r w:rsidRPr="004666D3">
        <w:rPr>
          <w:szCs w:val="24"/>
        </w:rPr>
        <w:lastRenderedPageBreak/>
        <w:t xml:space="preserve">Europe </w:t>
      </w:r>
      <w:r w:rsidRPr="004666D3">
        <w:rPr>
          <w:szCs w:val="24"/>
        </w:rPr>
        <w:fldChar w:fldCharType="begin"/>
      </w:r>
      <w:r w:rsidR="00063EC3" w:rsidRPr="004666D3">
        <w:rPr>
          <w:szCs w:val="24"/>
        </w:rPr>
        <w:instrText xml:space="preserve"> ADDIN ZOTERO_ITEM CSL_CITATION {"citationID":"YHg6Rm7l","properties":{"formattedCitation":"(Champion, 1989; Kontuly et al., 1986; Rowe et al., 2019)","plainCitation":"(Champion, 1989; Kontuly et al., 1986; Rowe et al., 2019)","noteIndex":0},"citationItems":[{"id":4460,"uris":["http://zotero.org/users/9756803/items/EF64IQFX"],"itemData":{"id":4460,"type":"article-journal","container-title":"The Geographical Journal","DOI":"10.2307/635380","ISSN":"0016-7398","issue":"1","note":"publisher: [Wiley, Royal Geographical Society (with the Institute of British Geographers)]","page":"52-59","source":"JSTOR","title":"Counterurbanization in Britain","volume":"155","author":[{"family":"Champion","given":"A. G."}],"issued":{"date-parts":[["1989"]]}}},{"id":4469,"uris":["http://zotero.org/users/9756803/items/G8DWD5JH"],"itemData":{"id":4469,"type":"article-journal","abstract":"Since Berry argued in 1976 that counterurbanization had replaced urbanization in the U.S., a debate has ensued as to whether the phenomenon also exists in Western Europe. Proponents of a developmental theory of counterurbanization contend that the phenomenon should be evident in countries which have achieved a very high level of socioeconomic development, including the Federal Republic of Germany (FRG). Most of the German and English language literature on the topic suggests the contrary for the FRG. Here urbanization and counterurbanization are restricted to specific geographic meanings, i.e., spatial agglomeration and deglomeration. Results from four interrelated tests show a trend toward counterurbanization evident as early as the 1960s in the post-war regional demographic data of the FRG.","container-title":"The Professional Geographer","DOI":"10.1111/j.0033-0124.1986.00170.x","ISSN":"1467-9272","issue":"2","language":"en","note":"_eprint: https://onlinelibrary.wiley.com/doi/pdf/10.1111/j.0033-0124.1986.00170.x","page":"170-181","source":"Wiley Online Library","title":"Counterurbanization in the Federal Republic of Germany*","volume":"38","author":[{"family":"Kontuly","given":"Thomas"},{"family":"Wiard","given":"Susan"},{"family":"Vogelsang","given":"Roland"}],"issued":{"date-parts":[["1986"]]}}},{"id":11,"uris":["http://zotero.org/users/9756803/items/4DJFK25E"],"itemData":{"id":11,"type":"article-journal","abstract":"The classical foundations of migration research date from the 1880s with Ravenstein's Laws of migration, which represent the first comparative analyses of internal migration. While his observations remain largely valid, the ensuing century has seen considerable progress in data collection practices and methods of analysis, which in turn has permitted theoretical advances in understanding the role of migration in population redistribution. Coupling the extensive range of migration data now available with these recent theoretical and methodological advances, we endeavour to advance beyond Ravenstein's understanding by examining the direction of population redistribution and comparing the impact of internal migration on patterns of human settlement in 27 European countries. Results show that the overall redistributive impact of internal migration is low in most European countries but the mechanisms differ across the continent. In Southern and Eastern Europe migration effectiveness is above average but is offset by low migration intensities, whereas in Northern and Western Europe high intensities are absorbed in reciprocal flows resulting in low migration effectiveness. About half the European countries are experiencing a process of concentration toward urbanised regions, particularly in Northern, Central and Eastern Europe, whereas countries in the West and South are undergoing a process of population deconcentration. These results suggest that population deconcentration is now more common than it was in the 1990s when counterurbanisation was limited to Western Europe. The results show that 130 years on, Ravenstein's law of migration streams and counter-streams remains a central facet of migration dynamics, while underlining the importance of simple yet robust indices for the spatial analysis of migration.","container-title":"Comparative Population Studies","DOI":"10.12765/CPoS-2019-18en","ISSN":"1869-8999, 1869-8980","journalAbbreviation":"CPoS","note":"arXiv:1911.03795 [stat]","source":"arXiv.org","title":"Impact of internal migration on population redistribution in Europe: Urbanisation, counterurbanisation or spatial equilibrium?","title-short":"Impact of internal migration on population redistribution in Europe","URL":"http://arxiv.org/abs/1911.03795","volume":"44","author":[{"family":"Rowe","given":"Francisco"},{"family":"Bell","given":"Martin"},{"family":"Bernard","given":"Aude"},{"family":"Charles-Edwards","given":"Elin"},{"family":"Ueffing","given":"Philipp"}],"accessed":{"date-parts":[["2022",10,21]]},"issued":{"date-parts":[["2019",11,6]]}}}],"schema":"https://github.com/citation-style-language/schema/raw/master/csl-citation.json"} </w:instrText>
      </w:r>
      <w:r w:rsidRPr="004666D3">
        <w:rPr>
          <w:szCs w:val="24"/>
        </w:rPr>
        <w:fldChar w:fldCharType="separate"/>
      </w:r>
      <w:r w:rsidR="00063EC3" w:rsidRPr="004666D3">
        <w:rPr>
          <w:rFonts w:ascii="Calibri" w:hAnsi="Calibri" w:cs="Calibri"/>
        </w:rPr>
        <w:t>(Champion, 1989; Kontuly et al., 1986; Rowe et al., 2019)</w:t>
      </w:r>
      <w:r w:rsidRPr="004666D3">
        <w:rPr>
          <w:szCs w:val="24"/>
        </w:rPr>
        <w:fldChar w:fldCharType="end"/>
      </w:r>
      <w:r w:rsidRPr="004666D3">
        <w:rPr>
          <w:szCs w:val="24"/>
        </w:rPr>
        <w:t xml:space="preserve"> and Australia </w:t>
      </w:r>
      <w:r w:rsidRPr="004666D3">
        <w:rPr>
          <w:szCs w:val="24"/>
        </w:rPr>
        <w:fldChar w:fldCharType="begin"/>
      </w:r>
      <w:r w:rsidRPr="004666D3">
        <w:rPr>
          <w:szCs w:val="24"/>
        </w:rPr>
        <w:instrText xml:space="preserve"> ADDIN ZOTERO_ITEM CSL_CITATION {"citationID":"8somtS3n","properties":{"formattedCitation":"(Hugo, 1994)","plainCitation":"(Hugo, 1994)","noteIndex":0},"citationItems":[{"id":4466,"uris":["http://zotero.org/users/9756803/items/P33RTSJP"],"itemData":{"id":4466,"type":"article-journal","abstract":"It is important to undertake separate analysis of the non-metropolitan population. The aim of this paper is to utilise recently released census results to examine patterns of population change in non-metropolitan Australia during the 198691 period, focusing particularly upon the net migration component of that change. The paper presents an overview of recent trends in population change in non-metropolitan areas and then moves to an analysis of net migration patterns in non-metropolitan local government areas during the late 1980s using a Life Table Survival Ratio technique to estimate net migration. It appears that the trends observed in the early 1980s have continued into the late 1980s and early 1990s, and that overall the 'turnaround' is slowing down and becoming more diversified, more complex, and much less predictable in the 1990s.","container-title":"Australian Geographer","DOI":"10.1080/00049189408703094","ISSN":"0004-9182, 1465-3311","issue":"1","journalAbbreviation":"Australian Geographer","language":"en","page":"1-17","source":"DOI.org (Crossref)","title":"The turnaround in Australia: some first observations from the 1991 census","title-short":"The turnaround in Australia","volume":"25","author":[{"family":"Hugo","given":"Graeme"}],"issued":{"date-parts":[["1994",5]]}}}],"schema":"https://github.com/citation-style-language/schema/raw/master/csl-citation.json"} </w:instrText>
      </w:r>
      <w:r w:rsidRPr="004666D3">
        <w:rPr>
          <w:szCs w:val="24"/>
        </w:rPr>
        <w:fldChar w:fldCharType="separate"/>
      </w:r>
      <w:r w:rsidR="00AE74BE" w:rsidRPr="004666D3">
        <w:rPr>
          <w:rFonts w:ascii="Calibri" w:hAnsi="Calibri" w:cs="Calibri"/>
        </w:rPr>
        <w:t>(Hugo, 1994)</w:t>
      </w:r>
      <w:r w:rsidRPr="004666D3">
        <w:rPr>
          <w:szCs w:val="24"/>
        </w:rPr>
        <w:fldChar w:fldCharType="end"/>
      </w:r>
      <w:r w:rsidRPr="004666D3">
        <w:rPr>
          <w:szCs w:val="24"/>
        </w:rPr>
        <w:t xml:space="preserve">. </w:t>
      </w:r>
      <w:r w:rsidR="00217BA5" w:rsidRPr="004666D3">
        <w:rPr>
          <w:szCs w:val="24"/>
        </w:rPr>
        <w:t xml:space="preserve">Various </w:t>
      </w:r>
      <w:r w:rsidRPr="004666D3">
        <w:rPr>
          <w:szCs w:val="24"/>
        </w:rPr>
        <w:t xml:space="preserve">terms </w:t>
      </w:r>
      <w:r w:rsidR="00217BA5" w:rsidRPr="004666D3">
        <w:rPr>
          <w:szCs w:val="24"/>
        </w:rPr>
        <w:t xml:space="preserve">such as </w:t>
      </w:r>
      <w:r w:rsidRPr="004666D3">
        <w:rPr>
          <w:szCs w:val="24"/>
        </w:rPr>
        <w:t xml:space="preserve">counter-urbanisation, metropolis decentralisation, population </w:t>
      </w:r>
      <w:proofErr w:type="spellStart"/>
      <w:r w:rsidRPr="004666D3">
        <w:rPr>
          <w:szCs w:val="24"/>
        </w:rPr>
        <w:t>deconcentration</w:t>
      </w:r>
      <w:proofErr w:type="spellEnd"/>
      <w:r w:rsidRPr="004666D3">
        <w:rPr>
          <w:szCs w:val="24"/>
        </w:rPr>
        <w:t xml:space="preserve"> </w:t>
      </w:r>
      <w:r w:rsidRPr="004666D3">
        <w:rPr>
          <w:szCs w:val="24"/>
        </w:rPr>
        <w:fldChar w:fldCharType="begin"/>
      </w:r>
      <w:r w:rsidRPr="004666D3">
        <w:rPr>
          <w:szCs w:val="24"/>
        </w:rPr>
        <w:instrText xml:space="preserve"> ADDIN ZOTERO_ITEM CSL_CITATION {"citationID":"1j6hair3","properties":{"formattedCitation":"(Mitchell, 2004)","plainCitation":"(Mitchell, 2004)","noteIndex":0},"citationItems":[{"id":4474,"uris":["http://zotero.org/users/9756803/items/VHYIFQQT"],"itemData":{"id":4474,"type":"article-journal","abstract":"Non-metropolitan population growth has received extensive consideration since it was first observed in the United States nearly 30 years ago. The emergence, weakening and selective reappearance of this phenomenon across much of the developed world has spawned a large body of applied and academic literature. Many terms and phrases have been coined to describe this redistribution of population within the settlement system. The word “counterurbanization” is one that has received on-going attention in the literature. Although its verification, explanation and interpretation have occupied many research agendas, lack of consistency in definition hinders comparability. In this paper, I argue that the word counterurbanization is too broad to cover its depth of meaning. In its place, I propose adoption of three concepts to describe the changing spatial redistribution of population: counterurban, counterurbanizing, and counterurbanization. A framework integrating these concepts is offered, and templates for future study described. This exercise is timely given the recent release of census data.","container-title":"Journal of Rural Studies","DOI":"10.1016/S0743-0167(03)00031-7","ISSN":"0743-0167","issue":"1","journalAbbreviation":"Journal of Rural Studies","language":"en","page":"15-34","source":"ScienceDirect","title":"Making sense of counterurbanization","volume":"20","author":[{"family":"Mitchell","given":"Clare J. A"}],"issued":{"date-parts":[["2004",1,1]]}}}],"schema":"https://github.com/citation-style-language/schema/raw/master/csl-citation.json"} </w:instrText>
      </w:r>
      <w:r w:rsidRPr="004666D3">
        <w:rPr>
          <w:szCs w:val="24"/>
        </w:rPr>
        <w:fldChar w:fldCharType="separate"/>
      </w:r>
      <w:r w:rsidR="00AE74BE" w:rsidRPr="004666D3">
        <w:rPr>
          <w:rFonts w:ascii="Calibri" w:hAnsi="Calibri" w:cs="Calibri"/>
        </w:rPr>
        <w:t>(Mitchell, 2004)</w:t>
      </w:r>
      <w:r w:rsidRPr="004666D3">
        <w:rPr>
          <w:szCs w:val="24"/>
        </w:rPr>
        <w:fldChar w:fldCharType="end"/>
      </w:r>
      <w:r w:rsidRPr="004666D3">
        <w:rPr>
          <w:szCs w:val="24"/>
        </w:rPr>
        <w:t xml:space="preserve">, as well as urban decline </w:t>
      </w:r>
      <w:r w:rsidRPr="004666D3">
        <w:rPr>
          <w:szCs w:val="24"/>
        </w:rPr>
        <w:fldChar w:fldCharType="begin"/>
      </w:r>
      <w:r w:rsidRPr="004666D3">
        <w:rPr>
          <w:szCs w:val="24"/>
        </w:rPr>
        <w:instrText xml:space="preserve"> ADDIN ZOTERO_ITEM CSL_CITATION {"citationID":"uH00hYbK","properties":{"formattedCitation":"(Bourne, 1980)","plainCitation":"(Bourne, 1980)","noteIndex":0},"citationItems":[{"id":4477,"uris":["http://zotero.org/users/9756803/items/E6W4D27Z"],"itemData":{"id":4477,"type":"article-journal","container-title":"Urban Geography","DOI":"10.2747/0272-3638.1.1.39","ISSN":"0272-3638","issue":"1","note":"publisher: Routledge\n_eprint: https://doi.org/10.2747/0272-3638.1.1.39","page":"39-52","source":"Taylor and Francis+NEJM","title":"Alternative Perspectives on Urban Decline and Population Deconcentration","volume":"1","author":[{"family":"Bourne","given":"Larry S."}],"issued":{"date-parts":[["1980",1,1]]}}}],"schema":"https://github.com/citation-style-language/schema/raw/master/csl-citation.json"} </w:instrText>
      </w:r>
      <w:r w:rsidRPr="004666D3">
        <w:rPr>
          <w:szCs w:val="24"/>
        </w:rPr>
        <w:fldChar w:fldCharType="separate"/>
      </w:r>
      <w:r w:rsidR="00AE74BE" w:rsidRPr="004666D3">
        <w:rPr>
          <w:rFonts w:ascii="Calibri" w:hAnsi="Calibri" w:cs="Calibri"/>
        </w:rPr>
        <w:t>(Bourne, 1980)</w:t>
      </w:r>
      <w:r w:rsidRPr="004666D3">
        <w:rPr>
          <w:szCs w:val="24"/>
        </w:rPr>
        <w:fldChar w:fldCharType="end"/>
      </w:r>
      <w:r w:rsidRPr="004666D3">
        <w:rPr>
          <w:szCs w:val="24"/>
        </w:rPr>
        <w:t xml:space="preserve"> and city shrinkage </w:t>
      </w:r>
      <w:r w:rsidRPr="004666D3">
        <w:rPr>
          <w:szCs w:val="24"/>
        </w:rPr>
        <w:fldChar w:fldCharType="begin"/>
      </w:r>
      <w:r w:rsidR="00B55F2A" w:rsidRPr="004666D3">
        <w:rPr>
          <w:szCs w:val="24"/>
        </w:rPr>
        <w:instrText xml:space="preserve"> ADDIN ZOTERO_ITEM CSL_CITATION {"citationID":"kRKcZyob","properties":{"formattedCitation":"(Haase et al., 2016)","plainCitation":"(Haase et al., 2016)","noteIndex":0},"citationItems":[{"id":4478,"uris":["http://zotero.org/users/9756803/items/GB9CHUAP"],"itemData":{"id":4478,"type":"article-journal","abstract":"The issue of urban shrinkage has become the new ?normal? across Europe: a large number of urban areas find themselves amongst the cities losing population. According to recent studies, almost 42 per cent of all large European cities are currently shrinking. In eastern Europe, shrinking cities have formed the overwhelming majority ? here, three out of four cities report a decrease in population. Shrinkage has proved to be a very diverse and complex phenomenon. In our understanding, a considerable and constant loss of population by an urban area classifies it as a shrinking city. So, while the indicator of shrinkage used here is rather simple, the nature of the process and its causes and consequences for the affected urban areas are multifaceted and need to be explained and understood in further detail. Set against this background, the article presents, first, urban shrinkage as both spatially and temporally uneven. Second, this article shows that the causes of urban shrinkage are as varied as they are numerous. We explore the ?pluralist world of urban shrinkage? in the European Union and beyond. The article provides an original process model of urban shrinkage, bringing together its causes, impacts and dynamics, and setting them in the context of locally based urban trajectories. The main argument of this arrticle is that there is no ?grand explanatory heuristics? of shrinkage; a ?one-size-fits-all? explanatory approach to shrinkage cannot deliver. To progress and remain relevant, one ought to move away from outcome-orientated towards process-orientated research on urban shrinkage.","container-title":"European Urban and Regional Studies","DOI":"10.1177/0969776413481985","ISSN":"0969-7764","issue":"1","note":"publisher: SAGE Publications Ltd","page":"86-102","source":"SAGE Journals","title":"Varieties of shrinkage in European cities","volume":"23","author":[{"family":"Haase","given":"Annegret"},{"family":"Bernt","given":"Matthias"},{"family":"Großmann","given":"Katrin"},{"family":"Mykhnenko","given":"Vlad"},{"family":"Rink","given":"Dieter"}],"issued":{"date-parts":[["2016",1,1]]}}}],"schema":"https://github.com/citation-style-language/schema/raw/master/csl-citation.json"} </w:instrText>
      </w:r>
      <w:r w:rsidRPr="004666D3">
        <w:rPr>
          <w:szCs w:val="24"/>
        </w:rPr>
        <w:fldChar w:fldCharType="separate"/>
      </w:r>
      <w:r w:rsidR="00AE74BE" w:rsidRPr="004666D3">
        <w:rPr>
          <w:rFonts w:ascii="Calibri" w:hAnsi="Calibri" w:cs="Calibri"/>
        </w:rPr>
        <w:t>(Haase et al., 2016)</w:t>
      </w:r>
      <w:r w:rsidRPr="004666D3">
        <w:rPr>
          <w:szCs w:val="24"/>
        </w:rPr>
        <w:fldChar w:fldCharType="end"/>
      </w:r>
      <w:r w:rsidRPr="004666D3">
        <w:rPr>
          <w:szCs w:val="24"/>
        </w:rPr>
        <w:t xml:space="preserve"> </w:t>
      </w:r>
      <w:r w:rsidR="00A440E1" w:rsidRPr="004666D3">
        <w:rPr>
          <w:szCs w:val="24"/>
        </w:rPr>
        <w:t>have been</w:t>
      </w:r>
      <w:r w:rsidRPr="004666D3">
        <w:rPr>
          <w:szCs w:val="24"/>
        </w:rPr>
        <w:t xml:space="preserve"> used to </w:t>
      </w:r>
      <w:r w:rsidR="006D1B77" w:rsidRPr="004666D3">
        <w:rPr>
          <w:szCs w:val="24"/>
        </w:rPr>
        <w:t xml:space="preserve">describe </w:t>
      </w:r>
      <w:r w:rsidRPr="004666D3">
        <w:rPr>
          <w:szCs w:val="24"/>
        </w:rPr>
        <w:t>this phenomenon – we refer to it as ‘counter-urbanisation’ from hereon in.</w:t>
      </w:r>
      <w:bookmarkStart w:id="16" w:name="OLE_LINK16"/>
      <w:bookmarkStart w:id="17" w:name="OLE_LINK15"/>
    </w:p>
    <w:p w14:paraId="74068F8F" w14:textId="77777777" w:rsidR="00BD02AD" w:rsidRPr="004666D3" w:rsidRDefault="00BD02AD" w:rsidP="00BD02AD">
      <w:pPr>
        <w:spacing w:line="240" w:lineRule="auto"/>
        <w:rPr>
          <w:szCs w:val="24"/>
        </w:rPr>
      </w:pPr>
    </w:p>
    <w:p w14:paraId="01AB78A2" w14:textId="065E4E8B" w:rsidR="008224CF" w:rsidRPr="004666D3" w:rsidRDefault="001B432C" w:rsidP="39C1DCB5">
      <w:r w:rsidRPr="004666D3">
        <w:t xml:space="preserve">Originally, the attractions of rural idylls and the pursuit of a better quality of life in the countryside were considered the primary factors leading to counter-urbanisation </w:t>
      </w:r>
      <w:r w:rsidRPr="004666D3">
        <w:fldChar w:fldCharType="begin"/>
      </w:r>
      <w:r w:rsidRPr="004666D3">
        <w:instrText xml:space="preserve"> ADDIN ZOTERO_ITEM CSL_CITATION {"citationID":"hgfKTivR","properties":{"formattedCitation":"(Halfacree, 2009)","plainCitation":"(Halfacree, 2009)","noteIndex":0},"citationItems":[{"id":5926,"uris":["http://zotero.org/users/9756803/items/R58XA7V4"],"itemData":{"id":5926,"type":"article-journal","abstract":"Although ‘counterurbanisation’ is very widely acknowledged and studied, certain elements of this migration-led phenomenon lack detailed scrutiny. These gaps need filling in order to appreciate the full flowering of the phenomenon in specific social-cultural, geographical and historical contexts; to enable comparison between these diverse expressions; and to examine their relationships with contemporaneous rural socio-cultural restructuring. One neglected element is counterurbanisation fairly directly informed by the late 1960s/1970s counterculture, a migration strand quickly stereotyped as the ‘hippie’ ‘getting her/his head together in the countryside’. This paper uses the example of British singer-songwriter Vashti Bunyan, notably through the gestation and content of her Just Another Diamond Day album of 1970, to illustrate and examine countercultural counterurbanisation. With an additional nod to affective aspects of rurality, it also suggests something of what the lengthy rural journey Bunyan made from London to the Scottish islands, a key inspiration for the 1970 album, provided for her at a difficult, challenging, yet ultimately rewarding period in her life. Indeed, her experiences of (trying to engage with) the countryside on this journey are described as heterotopic, an association which leads the paper to suggest a more general heterotopic status for rurality within counterurbanisation.","container-title":"Social &amp; Cultural Geography","DOI":"10.1080/14649360903205157","ISSN":"1464-9365","issue":"7","note":"publisher: Routledge\n_eprint: https://doi.org/10.1080/14649360903205157","page":"771-789","source":"Taylor and Francis+NEJM","title":"‘Glow worms show the path we have to tread’: the counterurbanisation of Vashti Bunyan","title-short":"‘Glow worms show the path we have to tread’","volume":"10","author":[{"family":"Halfacree","given":"Keith"}],"issued":{"date-parts":[["2009",11,1]]}}}],"schema":"https://github.com/citation-style-language/schema/raw/master/csl-citation.json"} </w:instrText>
      </w:r>
      <w:r w:rsidRPr="004666D3">
        <w:fldChar w:fldCharType="separate"/>
      </w:r>
      <w:r w:rsidR="00AE74BE" w:rsidRPr="004666D3">
        <w:rPr>
          <w:rFonts w:ascii="Calibri" w:hAnsi="Calibri" w:cs="Calibri"/>
        </w:rPr>
        <w:t>(</w:t>
      </w:r>
      <w:bookmarkStart w:id="18" w:name="OLE_LINK113"/>
      <w:r w:rsidR="00AE74BE" w:rsidRPr="004666D3">
        <w:rPr>
          <w:rFonts w:ascii="Calibri" w:hAnsi="Calibri" w:cs="Calibri"/>
        </w:rPr>
        <w:t>Halfacree</w:t>
      </w:r>
      <w:bookmarkEnd w:id="18"/>
      <w:r w:rsidR="00AE74BE" w:rsidRPr="004666D3">
        <w:rPr>
          <w:rFonts w:ascii="Calibri" w:hAnsi="Calibri" w:cs="Calibri"/>
        </w:rPr>
        <w:t>, 2009)</w:t>
      </w:r>
      <w:r w:rsidRPr="004666D3">
        <w:fldChar w:fldCharType="end"/>
      </w:r>
      <w:r w:rsidRPr="004666D3">
        <w:t xml:space="preserve">. </w:t>
      </w:r>
      <w:r w:rsidR="008F40EC" w:rsidRPr="004666D3">
        <w:t>However, more recent studies across a range of</w:t>
      </w:r>
      <w:r w:rsidRPr="004666D3">
        <w:t xml:space="preserve"> contexts have </w:t>
      </w:r>
      <w:r w:rsidR="008F40EC" w:rsidRPr="004666D3">
        <w:t>shown that</w:t>
      </w:r>
      <w:r w:rsidRPr="004666D3">
        <w:t xml:space="preserve"> complicated motivations </w:t>
      </w:r>
      <w:r w:rsidR="0026197B" w:rsidRPr="004666D3">
        <w:t>exist</w:t>
      </w:r>
      <w:r w:rsidRPr="004666D3">
        <w:t xml:space="preserve"> behind the relocation from urban centres to rural areas, </w:t>
      </w:r>
      <w:r w:rsidR="00BC208D" w:rsidRPr="004666D3">
        <w:t>such as</w:t>
      </w:r>
      <w:r w:rsidRPr="004666D3">
        <w:t xml:space="preserve"> economic factors </w:t>
      </w:r>
      <w:r w:rsidRPr="004666D3">
        <w:fldChar w:fldCharType="begin"/>
      </w:r>
      <w:r w:rsidRPr="004666D3">
        <w:instrText xml:space="preserve"> ADDIN ZOTERO_ITEM CSL_CITATION {"citationID":"4Q1y6qSp","properties":{"formattedCitation":"(Gkartzios, 2013; Gkartzios and Halfacree, 2023; Gkartzios and Scott, 2015; Halfacree, 2012, 2008; Wang, 2023)","plainCitation":"(Gkartzios, 2013; Gkartzios and Halfacree, 2023; Gkartzios and Scott, 2015; Halfacree, 2012, 2008; Wang, 2023)","noteIndex":0},"citationItems":[{"id":5913,"uris":["http://zotero.org/users/9756803/items/Q9A9AN8V"],"itemData":{"id":5913,"type":"article-journal","abstract":"This paper seeks to (re)invigorate those engaged with or thinking of engaging with counterurbanisation research in the light of a feeling that the topic has become somewhat academically stagnant, and consequently too easily recuperated by strong popular culture stereotypes, not least that of the sophisticated middle-class urbanite moving themselves and their family to start a ‘new life’ in what is perceived to be an idyllic rural setting. The paper argues, firstly, that even if we accept temporarily some understanding of counterurbanisation that is close to such portrayals, there is still much to find out and appreciate concerning the significance of the moves, both for those involved and for society and culture more generally. Secondly, though, and especially when acknowledging more fully an international migration dimension to counterurbanisation, the paper exposes this understanding as being far too narrow and easily stereotyped. In response to this perceived partiality, the paper proposes a general model, with counterurbanisation as a flexible three-dimensional category, capable of embracing a broader range of people and experiences than is typically the case. Copyright © 2008 John Wiley &amp; Sons, Ltd.","container-title":"Population, Space and Place","DOI":"10.1002/psp.501","ISSN":"1544-8452","issue":"6","language":"en","note":"_eprint: https://onlinelibrary.wiley.com/doi/pdf/10.1002/psp.501","page":"479-495","source":"Wiley Online Library","title":"To revitalise counterurbanisation research? Recognising an international and fuller picture","title-short":"To revitalise counterurbanisation research?","volume":"14","author":[{"family":"Halfacree","given":"Keith"}],"issued":{"date-parts":[["2008"]]}}},{"id":5891,"uris":["http://zotero.org/users/9756803/items/5AVW55IR"],"itemData":{"id":5891,"type":"article-journal","abstract":"This paper forms part of a critical engagement with the aspects of the core population geography concept of ‘counterurbanisation’. It argues that contextualising counterurbanisation within the ‘era of mobilities’ has profound consequences for the concept. After introducing the era of mobilities and its implications for social science, migration's central and multiple places within this discourse are outlined. The paper then examines one set of ideas, ‘dynamic heterolocalism’, that facilitates the understanding of the existential significance today of the circulatory expressions of migration. Returning to counterurbanisation, the paper draws into its orbit the consumers of rural second homes, understanding of which has also increasingly adopted a quasi-heterolocal tone. An inclusive model of what is then recast terminologically as ‘counter-urbanisation’ posits it as an extremely heterodox concept, potentially embracing not only second-home owners but also diverse other consumers of rural space or rural sojourners. The paper concludes by reiterating the sustained centrality of ‘rurality’ to counterurbanisation, second-home consumption, and other expressions of identity within the era of mobilities. Copyright © 2011 John Wiley &amp; Sons, Ltd.","container-title":"Population, Space and Place","DOI":"10.1002/psp.665","ISSN":"1544-8452","issue":"2","language":"en","license":"Copyright © 2011 John Wiley &amp; Sons, Ltd.","note":"_eprint: https://onlinelibrary.wiley.com/doi/pdf/10.1002/psp.665","page":"209-224","source":"Wiley Online Library","title":"Heterolocal Identities? Counter-Urbanisation, Second Homes, and Rural Consumption in the Era of Mobilities","title-short":"Heterolocal Identities?","volume":"18","author":[{"family":"Halfacree","given":"Keith"}],"issued":{"date-parts":[["2012"]]}}},{"id":5928,"uris":["http://zotero.org/users/9756803/items/G488NCKF"],"itemData":{"id":5928,"type":"article-journal","abstract":"The purpose of this paper is to explore counterurbanisation in times of crisis. While much of the Anglophone literature highlights the consumption of the rural through counterurbanisation as part of a complex mosaic consisting of pro-rural lifestyle choices, class aspirations and ageing processes, the current economic recession that western countries are experiencing might reveal new ways of conceptualising counterurbanisation. The paper draws on in-depth interviews with counter-urban migrants in Greece. The interviews highlight a ‘crisis counterurbanisation’ triggered largely by unemployment at origin, rather than pro-rural motivations and idyllic constructions of rurality. More importantly, the migrants' stories highlight the importance of the extended family in counter-urban movements, in terms of the location of destination and the multiple support offered. This supportive family structure is pronounced in Greece, especially in times of crisis, but can be expected to be comparable to other southern European contexts where the role of family replaces responsibilities of the welfare state.","container-title":"Journal of Rural Studies","DOI":"10.1016/j.jrurstud.2013.06.003","ISSN":"0743-0167","journalAbbreviation":"Journal of Rural Studies","page":"158-167","source":"ScienceDirect","title":"‘Leaving Athens’: Narratives of counterurbanisation in times of crisis","title-short":"‘Leaving Athens’","volume":"32","author":[{"family":"Gkartzios","given":"Menelaos"}],"issued":{"date-parts":[["2013",10,1]]}}},{"id":5888,"uris":["http://zotero.org/users/9756803/items/ALZZ8VYF"],"itemData":{"id":5888,"type":"article-journal","abstract":"In this paper, we explore the link between counterurban mobilities and a potential emergent cultural economy in rural locations, associated with the economic crisis in Greece. Drawing on a quantitative survey of Athenian residents and qualitative interviews with counterurban migrants, we observe that in the context of the economic crisis in Greece, many urban-based households have relocated or seek to relocate to the Greek province, creating perhaps a new paradigm for conceptualising rural mobilities and their associated transformations. In that regard, we observe that counterurban mobilities are linked with changing cultural mobilities and phenomena including a new wave of ideas and creative activities (characterised by voluntarism and collectivism) and a shift in the patterns of cultural consumption. Therefore, we stress the need for a reconceptualising of counterurban mobilities in this context and highlight the need for more research that explores the role of creative expression and activity in times of crisis, particularly in the context of supporting the opportunities that an organically triggered rural cultural economy may offer. Copyright © 2015 John Wiley &amp; Sons, Ltd.","container-title":"Population, Space and Place","DOI":"10.1002/psp.1933","ISSN":"1544-8452","issue":"8","language":"en","license":"Copyright © 2015 John Wiley &amp; Sons, Ltd.","note":"_eprint: https://onlinelibrary.wiley.com/doi/pdf/10.1002/psp.1933","page":"843-855","source":"Wiley Online Library","title":"A Cultural Panic in the Province? Counterurban Mobilities, Creativity, and Crisis in Greece","title-short":"A Cultural Panic in the Province?","volume":"21","author":[{"family":"Gkartzios","given":"Menelaos"},{"family":"Scott","given":"Karen"}],"issued":{"date-parts":[["2015"]]}}},{"id":5893,"uris":["http://zotero.org/users/9756803/items/P5WGGACM"],"itemData":{"id":5893,"type":"article-journal","container-title":"Habitat International","DOI":"10.1016/j.habitatint.2023.102906","ISSN":"0197-3975","journalAbbreviation":"Habitat International","page":"102906","source":"ScienceDirect","title":"Editorial. Counterurbanisation, again: Rural mobilities, representations, power and policies","title-short":"Editorial. Counterurbanisation, again","volume":"140","author":[{"family":"Gkartzios","given":"Menelaos"},{"family":"Halfacree","given":"Keith"}],"issued":{"date-parts":[["2023",10,1]]}}},{"id":5897,"uris":["http://zotero.org/users/9756803/items/88UB5WVF"],"itemData":{"id":5897,"type":"article-journal","abstract":"For many years, researchers have focused on counterurbanisation, with a particular emphasis on the ‘representations of rural places’. They have frequently contended that this is a phenomenon mainly expressed by older adults or those from more privileged social backgrounds. However, attention has recently moved away from simply seeing pro-rural migrants as a calculating subject to considering them more as a contextual subject. Concerns have also shifted from ‘rural idyll’ migration to why migrants stay, despite a significant mismatch between representation and reality. While scholarly investigations on rural migration have drawn attention to how inertia is cumulative, insufficient attention has been paid to what newcomers encounter in their everyday lives and how nonhuman entities shape migrants' calculations and recalibrations. This paper draws on recent scholarship on a more-than-representational approach, developing the idea of rural as the site of eventful encounters, or rural eventful atmospheres, to bridge these conceptual and empirical gaps. Through semi-structured in-depth interviews with young pro-rural migrants, this paper suggests that rural places provide opportunities for young people to experience an eventful life where both humans and nonhumans play important roles. These affective experiences can be unexpected and even painful, challenging the romanticised portrayal of more-than-representational rurality. By focusing on the nonrepresentational dimensions of rural life, the paper emphasises the need to pay closer attention to young migrants' sensory and embodied encounters with the diverse rural environment rather than solely relying on their expressions of rurality from a distance.","container-title":"Habitat International","DOI":"10.1016/j.habitatint.2023.102929","ISSN":"0197-3975","journalAbbreviation":"Habitat International","page":"102929","source":"ScienceDirect","title":"Escape to the countryside: Affects and rural eventful atmospheres","title-short":"Escape to the countryside","volume":"140","author":[{"family":"Wang","given":"Chi-Mao"}],"issued":{"date-parts":[["2023",10,1]]}}}],"schema":"https://github.com/citation-style-language/schema/raw/master/csl-citation.json"} </w:instrText>
      </w:r>
      <w:r w:rsidRPr="004666D3">
        <w:fldChar w:fldCharType="separate"/>
      </w:r>
      <w:r w:rsidR="00AE74BE" w:rsidRPr="004666D3">
        <w:rPr>
          <w:rFonts w:ascii="Calibri" w:hAnsi="Calibri" w:cs="Calibri"/>
        </w:rPr>
        <w:t>(Gkartzios, 2013; Gkartzios and Halfacree, 2023; Gkartzios and Scott, 2015; Halfacree, 2012, 2008; Wang, 2023)</w:t>
      </w:r>
      <w:r w:rsidRPr="004666D3">
        <w:fldChar w:fldCharType="end"/>
      </w:r>
      <w:r w:rsidRPr="004666D3">
        <w:t xml:space="preserve">. </w:t>
      </w:r>
      <w:bookmarkStart w:id="19" w:name="OLE_LINK18"/>
      <w:bookmarkEnd w:id="16"/>
      <w:r w:rsidRPr="004666D3">
        <w:t xml:space="preserve">Recently, the COVID-19 pandemic has brought attention to more widespread counter-urbanisation trends </w:t>
      </w:r>
      <w:r w:rsidRPr="004666D3">
        <w:fldChar w:fldCharType="begin"/>
      </w:r>
      <w:r w:rsidR="00D629A1" w:rsidRPr="004666D3">
        <w:instrText xml:space="preserve"> ADDIN ZOTERO_ITEM CSL_CITATION {"citationID":"PVe4GWrt","properties":{"formattedCitation":"(Gkartzios and Halfacree, 2023; McManus, 2022; Rowe et al., 2023c)","plainCitation":"(Gkartzios and Halfacree, 2023; McManus, 2022; Rowe et al., 2023c)","noteIndex":0},"citationItems":[{"id":5893,"uris":["http://zotero.org/users/9756803/items/P5WGGACM"],"itemData":{"id":5893,"type":"article-journal","container-title":"Habitat International","DOI":"10.1016/j.habitatint.2023.102906","ISSN":"0197-3975","journalAbbreviation":"Habitat International","page":"102906","source":"ScienceDirect","title":"Editorial. Counterurbanisation, again: Rural mobilities, representations, power and policies","title-short":"Editorial. Counterurbanisation, again","volume":"140","author":[{"family":"Gkartzios","given":"Menelaos"},{"family":"Halfacree","given":"Keith"}],"issued":{"date-parts":[["2023",10,1]]}},"label":"page"},{"id":2896,"uris":["http://zotero.org/users/9756803/items/8454GBFX"],"itemData":{"id":2896,"type":"article-journal","abstract":"The term ‘counterurbanisation’ is receiving renewed academic attention due to the Covid-19 pandemic. While not in vogue in popular discourse, the concepts invoked by the term counterurbanisation often appear uncritically in popular media as a Covid-19-induced rural renaissance. This article presents four arguments about using ‘counterurbanisation’ as a term and its applicability in the Australian context. I argue that ‘counterurbanisation’ emerged when categories of urban and rural were less theoretically problematic, and that being unidirectional it does not capture the diversity of migration dynamics. Third, in the Australian context, counterurbanisation is inaccurately often associated in the popular imagination with migration to rural productive landscapes. Fourth, the contemporary measurement and representation of counterurbanisation is flawed. While accepting that various forms of counterurbanisation are occurring, which is important in coastal and near-urban locations, the concept has little relevance for many Australian towns whose future will emerge outside the discourse of counterurbanisation.","container-title":"Australian Geographer","DOI":"10.1080/00049182.2022.2042037","ISSN":"0004-9182","issue":"4","note":"publisher: Routledge\n_eprint: https://doi.org/10.1080/00049182.2022.2042037","page":"363-378","source":"Taylor and Francis+NEJM","title":"Counterurbanisation, demographic change and discourses of rural revival in Australia during COVID-19","volume":"53","author":[{"family":"McManus","given":"Phil"}],"issued":{"date-parts":[["2022",10,2]]}}},{"id":6159,"uris":["http://zotero.org/users/9756803/items/L3ZYFQHW"],"itemData":{"id":6159,"type":"article-journal","abstract":"The COVID-19 pandemic has potentially altered the system of population movement around the world. As COVID-19 hit cities the hardest in the wake of the pandemic, apocalyptic headlines anticipated the ‘death of cities’. Yet, little was known about the impact of the COVID-19 pandemic on cities and the ways it has shaped the patterns of internal population movement in and out of cities. This virtual special issue aims to consolidate our knowledge of the impacts of the COVID-19 pandemic on internal migration, discuss key lessons we have learnt so far, and identify areas for future enquiry. It brings together evidence from six different countries: Australia, Germany, Japan, Spain, Sweden and the United Kingdom, covering the pandemic in varying temporal lengths. Systematic patterns emerge. A first commonality is an overall reduction of internal migration rates during the early days of the pandemic but to a lesser degree than expected. Second, the impacts of COVID-19 leading to out-migration from cities seem to have been temporary, though evidence from Spain and Britain points to scarring effects with persistent losses in highly dense areas. Third, changes in internal migration generated small impacts on the population structure of cities but large-scale changes in small, rural and low-density areas.","container-title":"Population, Space and Place","DOI":"10.1002/psp.2652","ISSN":"1544-8452","issue":"7","language":"en","license":"© 2023 John Wiley &amp; Sons Ltd.","note":"_eprint: https://onlinelibrary.wiley.com/doi/pdf/10.1002/psp.2652","page":"e2652","source":"Wiley Online Library","title":"Virtual special issue: Internal migration in times of COVID-19","title-short":"Virtual special issue","volume":"29","author":[{"family":"Rowe","given":"Francisco"},{"family":"González-Leonardo","given":"Miguel"},{"family":"Champion","given":"Tony"}],"issued":{"date-parts":[["2023"]]}}}],"schema":"https://github.com/citation-style-language/schema/raw/master/csl-citation.json"} </w:instrText>
      </w:r>
      <w:r w:rsidRPr="004666D3">
        <w:fldChar w:fldCharType="separate"/>
      </w:r>
      <w:r w:rsidR="00D629A1" w:rsidRPr="004666D3">
        <w:rPr>
          <w:rFonts w:ascii="Calibri" w:hAnsi="Calibri" w:cs="Calibri"/>
        </w:rPr>
        <w:t>(Gkartzios and Halfacree, 2023; McManus, 2022; Rowe et al., 2023c)</w:t>
      </w:r>
      <w:r w:rsidRPr="004666D3">
        <w:fldChar w:fldCharType="end"/>
      </w:r>
      <w:r w:rsidR="00BF68EA" w:rsidRPr="004666D3">
        <w:t>.</w:t>
      </w:r>
      <w:r w:rsidRPr="004666D3">
        <w:t xml:space="preserve"> </w:t>
      </w:r>
      <w:bookmarkStart w:id="20" w:name="OLE_LINK45"/>
      <w:r w:rsidR="00BF68EA" w:rsidRPr="004666D3">
        <w:t>P</w:t>
      </w:r>
      <w:r w:rsidRPr="004666D3">
        <w:t xml:space="preserve">eople </w:t>
      </w:r>
      <w:r w:rsidR="00D44C60" w:rsidRPr="004666D3">
        <w:t>have</w:t>
      </w:r>
      <w:r w:rsidRPr="004666D3">
        <w:t xml:space="preserve"> move</w:t>
      </w:r>
      <w:r w:rsidR="004E2A07" w:rsidRPr="004666D3">
        <w:t>d</w:t>
      </w:r>
      <w:r w:rsidRPr="004666D3">
        <w:t xml:space="preserve"> </w:t>
      </w:r>
      <w:r w:rsidR="004378E1" w:rsidRPr="004666D3">
        <w:t>away from</w:t>
      </w:r>
      <w:r w:rsidRPr="004666D3">
        <w:t xml:space="preserve"> crowded urban environments to mitigate infection risks</w:t>
      </w:r>
      <w:r w:rsidR="006A5656" w:rsidRPr="004666D3">
        <w:t>,</w:t>
      </w:r>
      <w:r w:rsidR="003A7FAE" w:rsidRPr="004666D3">
        <w:t xml:space="preserve"> </w:t>
      </w:r>
      <w:r w:rsidR="004378E1" w:rsidRPr="004666D3">
        <w:t xml:space="preserve">while </w:t>
      </w:r>
      <w:r w:rsidR="006A5656" w:rsidRPr="004666D3">
        <w:t>c</w:t>
      </w:r>
      <w:r w:rsidRPr="004666D3">
        <w:t xml:space="preserve">oncurrent lifestyle changes associated with remote work and online learning have </w:t>
      </w:r>
      <w:r w:rsidR="00F71765" w:rsidRPr="004666D3">
        <w:t>reduced</w:t>
      </w:r>
      <w:r w:rsidRPr="004666D3">
        <w:t xml:space="preserve"> the necessity for certain groups to live in cities</w:t>
      </w:r>
      <w:bookmarkEnd w:id="19"/>
      <w:r w:rsidRPr="004666D3">
        <w:t xml:space="preserve"> </w:t>
      </w:r>
      <w:bookmarkEnd w:id="20"/>
      <w:r w:rsidRPr="004666D3">
        <w:fldChar w:fldCharType="begin"/>
      </w:r>
      <w:r w:rsidRPr="004666D3">
        <w:instrText xml:space="preserve"> ADDIN ZOTERO_ITEM CSL_CITATION {"citationID":"jhMvC2Zd","properties":{"formattedCitation":"(Tammaru et al., 2023)","plainCitation":"(Tammaru et al., 2023)","noteIndex":0},"citationItems":[{"id":5879,"uris":["http://zotero.org/users/9756803/items/S7X8BUZC"],"itemData":{"id":5879,"type":"article-journal","abstract":"This paper aims to shed new light on changes in counter-urbanisation over the past three decades. A specific focus will be placed on new features of domestic migration to non-metropolitan rural areas which have become apparent during the global coronavirus pandemic. We focus on the intensity, origins, and destinations of counter-urban moves, and on the individual characteristics of counter-urban movers. Based on a case study of Estonia, our main findings show, firstly, that urbanisation has been the predominant migration trend across the past thirty years, with the main destination of domestic migrants being the capital city and its urban region. Secondly, we find that counter-urban moves have gained importance over time and especially during the periods of economic bust. The most important new features of counter-urbanisation during the pandemic relate to the increased migration of families with children and people who have high-income occupations to non-metropolitan rural areas. These new features of domestic migration could serve to slow down or even reverse the long-term problem of population aging in the countryside and the loss of educated people there.","container-title":"Journal of Rural Studies","DOI":"10.1016/j.jrurstud.2022.12.012","ISSN":"0743-0167","journalAbbreviation":"Journal of Rural Studies","page":"345-355","source":"ScienceDirect","title":"Did the pandemic bring new features to counter-urbanisation? Evidence from Estonia","title-short":"Did the pandemic bring new features to counter-urbanisation?","volume":"97","author":[{"family":"Tammaru","given":"Tiit"},{"family":"Kliimask","given":"Jaak"},{"family":"Kalm","given":"Kadi"},{"family":"Zālīte","given":"Jānis"}],"issued":{"date-parts":[["2023",1,1]]}}}],"schema":"https://github.com/citation-style-language/schema/raw/master/csl-citation.json"} </w:instrText>
      </w:r>
      <w:r w:rsidRPr="004666D3">
        <w:fldChar w:fldCharType="separate"/>
      </w:r>
      <w:r w:rsidR="00AE74BE" w:rsidRPr="004666D3">
        <w:rPr>
          <w:rFonts w:ascii="Calibri" w:hAnsi="Calibri" w:cs="Calibri"/>
        </w:rPr>
        <w:t>(Tammaru et al., 2023)</w:t>
      </w:r>
      <w:r w:rsidRPr="004666D3">
        <w:fldChar w:fldCharType="end"/>
      </w:r>
      <w:r w:rsidRPr="004666D3">
        <w:t xml:space="preserve">. </w:t>
      </w:r>
      <w:r w:rsidR="00E95314" w:rsidRPr="004666D3">
        <w:t xml:space="preserve">There is evidence of </w:t>
      </w:r>
      <w:r w:rsidR="5D32235F" w:rsidRPr="004666D3">
        <w:t xml:space="preserve">an increase in </w:t>
      </w:r>
      <w:r w:rsidRPr="004666D3">
        <w:t xml:space="preserve">counter-urbanisation during the initial phase of the COVID-19 pandemic in some high-income countries such as Spain </w:t>
      </w:r>
      <w:r w:rsidRPr="004666D3">
        <w:fldChar w:fldCharType="begin"/>
      </w:r>
      <w:r w:rsidRPr="004666D3">
        <w:instrText xml:space="preserve"> ADDIN ZOTERO_ITEM CSL_CITATION {"citationID":"ZoUKDMUP","properties":{"formattedCitation":"(Gonz\\uc0\\u225{}lez-Leonardo et al., 2022)","plainCitation":"(González-Leonardo et al., 2022)","noteIndex":0},"citationItems":[{"id":2816,"uris":["http://zotero.org/users/9756803/items/NZ47DBVR"],"itemData":{"id":2816,"type":"article-journal","abstract":"During the outbreak of the COVID-19 pandemic, anecdotal evidence of a “rural revival” emerged mirroring the “urban exodus” hypothesis. Currently, we know that internal migration to rural areas increased in some countries during 2020, although not with the intensity speculated by the media. However, little is known about the attributes of rural areas attracting migrants, demographic composition of migration inflows, and if counterurbanisation movements persisted over 2021. Drawing on administrative population register data, we analysed the main types of rural areas pulling internal migrants in Spain and their demographic characteristics, namely age, sex and place of birth during 2020 and 2021, using the period 2016–2019 as a benchmark. Our results show that in-migration increased in rural areas close to cities and with high prevalence of second homes during 2020, while out-migration declined. Exceptionally high inflows persisted over 2021, but outflows converged to figures observed prior to the pandemic. Inflows to rural areas comprised internal migrants across a wide age spectrum, from young adults and families to retired individuals. These flows also comprised the foreign-born, particularly populations of a wide age range from Latin American countries.","container-title":"Journal of Rural Studies","DOI":"10.1016/j.jrurstud.2022.11.006","ISSN":"0743-0167","journalAbbreviation":"Journal of Rural Studies","language":"en","page":"332-342","source":"ScienceDirect","title":"Rural revival? The rise in internal migration to rural areas during the COVID-19 pandemic. Who moved and Where?","title-short":"Rural revival?","volume":"96","author":[{"family":"González-Leonardo","given":"Miguel"},{"family":"Rowe","given":"Francisco"},{"family":"Fresolone-Caparrós","given":"Alberto"}],"issued":{"date-parts":[["2022",12,1]]}}}],"schema":"https://github.com/citation-style-language/schema/raw/master/csl-citation.json"} </w:instrText>
      </w:r>
      <w:r w:rsidRPr="004666D3">
        <w:fldChar w:fldCharType="separate"/>
      </w:r>
      <w:r w:rsidR="00AE74BE" w:rsidRPr="004666D3">
        <w:rPr>
          <w:rFonts w:ascii="Calibri" w:hAnsi="Calibri" w:cs="Calibri"/>
        </w:rPr>
        <w:t>(González-Leonardo et al., 2022)</w:t>
      </w:r>
      <w:r w:rsidRPr="004666D3">
        <w:fldChar w:fldCharType="end"/>
      </w:r>
      <w:r w:rsidRPr="004666D3">
        <w:rPr>
          <w:lang w:val="it-IT"/>
        </w:rPr>
        <w:t xml:space="preserve">, Australia </w:t>
      </w:r>
      <w:r w:rsidRPr="004666D3">
        <w:fldChar w:fldCharType="begin"/>
      </w:r>
      <w:r w:rsidRPr="004666D3">
        <w:rPr>
          <w:lang w:val="it-IT"/>
        </w:rPr>
        <w:instrText xml:space="preserve"> ADDIN ZOTERO_ITEM CSL_CITATION {"citationID":"IJohQ8UV","properties":{"formattedCitation":"(Borsellino et al., 2022)","plainCitation":"(Borsellino et al., 2022)","noteIndex":0},"citationItems":[{"id":2771,"uris":["http://zotero.org/users/9756803/items/HXXSVM95"],"itemData":{"id":2771,"type":"article-journal","abstract":"Since the beginning of the COVID-19 pandemic there has been interest in the migration of city-dwellers to regional areas to escape lockdowns and movement restrictions, yet evidence of a ‘regional renaissance’ in Australia remains anecdotal. This paper aims to quantify the current and future dynamics of the COVID-19 pandemic on the levels, patterns and drivers of migration to and from Australian cities and regions. Results show a 7% drop in the rate of migration between Greater Capital City Statistical Areas in 2020 compared to the previous year, with record net gains in regional areas facilitated by a 9% decrease in departures rather than an increase in arrivals from cities. Our forecasts suggest that net gains to regions will slow down after 2022, but remain higher than pre-pandemic levels in New South Wales, Queensland, South Australia, and Tasmania because of a sustained increase in arrivals. Regional Western Australia and the Northern Territory will continue to record net losses, while net gains to regional Victoria are predicted to be lower than pre-COVID-19 because of an increase in departures. These patterns have important implications for population projections and policies regarding the attraction and retention of internal migrants to Australia's regions.","container-title":"Australian Geographer","DOI":"10.1080/00049182.2022.2074622","ISSN":"0004-9182","issue":"4","note":"publisher: Routledge\n_eprint: https://doi.org/10.1080/00049182.2022.2074622","page":"405-423","source":"Taylor and Francis+NEJM","title":"A regional renaissance? The shifting geography of internal migration under COVID-19","title-short":"A regional renaissance?","volume":"53","author":[{"family":"Borsellino","given":"Rosabella"},{"family":"Bernard","given":"Aude"},{"family":"Charles-Edwards","given":"Elin"},{"family":"Corcoran","given":"Jonathan"}],"issued":{"date-parts":[["2022",10,2]]}}}],"schema":"https://github.com/citation-style-language/schema/raw/master/csl-citation.json"} </w:instrText>
      </w:r>
      <w:r w:rsidRPr="004666D3">
        <w:fldChar w:fldCharType="separate"/>
      </w:r>
      <w:r w:rsidR="00AE74BE" w:rsidRPr="004666D3">
        <w:rPr>
          <w:rFonts w:ascii="Calibri" w:hAnsi="Calibri" w:cs="Calibri"/>
        </w:rPr>
        <w:t>(Borsellino et al., 2022)</w:t>
      </w:r>
      <w:r w:rsidRPr="004666D3">
        <w:fldChar w:fldCharType="end"/>
      </w:r>
      <w:r w:rsidRPr="004666D3">
        <w:rPr>
          <w:lang w:val="it-IT"/>
        </w:rPr>
        <w:t xml:space="preserve">, Germany </w:t>
      </w:r>
      <w:r w:rsidRPr="004666D3">
        <w:fldChar w:fldCharType="begin"/>
      </w:r>
      <w:r w:rsidRPr="004666D3">
        <w:rPr>
          <w:lang w:val="it-IT"/>
        </w:rPr>
        <w:instrText xml:space="preserve"> ADDIN ZOTERO_ITEM CSL_CITATION {"citationID":"KWPjNMvF","properties":{"formattedCitation":"(Stawarz et al., 2022)","plainCitation":"(Stawarz et al., 2022)","noteIndex":0},"citationItems":[{"id":4498,"uris":["http://zotero.org/users/9756803/items/4SHRH62D"],"itemData":{"id":4498,"type":"article-journal","abstract":"The COVID-19 pandemic has affected economies, labor markets, health care, education and tourism around the globe in unprecedented ways. However, little research has yet been devoted to the impact that the pandemic might have had on internal migration. This study aims to address this gap by determining how the intensity and spatial patterns of internal migration changed between 2019 and 2020 in Germany. We draw on data from the population register on annual flows between 401 counties. We find that the COVID-19 pandemic was associated with a 5% drop in the intensity of inter-county migration in 2020 compared to the previous year, with significant variation across age. The pandemic was also associated with an upsurge in net migration losses for the largest cities, driven by fewer inflows of young adults and continuing outflows of families.","container-title":"Population, Space and Place","DOI":"10.1002/psp.2566","ISSN":"1544-8452","issue":"6","language":"en","note":"_eprint: https://onlinelibrary.wiley.com/doi/pdf/10.1002/psp.2566","page":"e2566","source":"Wiley Online Library","title":"The impact of the COVID-19 pandemic on internal migration in Germany: A descriptive analysis","title-short":"The impact of the COVID-19 pandemic on internal migration in Germany","volume":"28","author":[{"family":"Stawarz","given":"Nico"},{"family":"Rosenbaum-Feldbrügge","given":"Matthias"},{"family":"Sander","given":"Nikola"},{"family":"Sulak","given":"Harun"},{"family":"Knobloch","given":"Vanessa"}],"issued":{"date-parts":[["2022"]]}}}],"schema":"https://github.com/citation-style-language/schema/raw/master/csl-citation.json"} </w:instrText>
      </w:r>
      <w:r w:rsidRPr="004666D3">
        <w:fldChar w:fldCharType="separate"/>
      </w:r>
      <w:r w:rsidR="00AE74BE" w:rsidRPr="004666D3">
        <w:rPr>
          <w:rFonts w:ascii="Calibri" w:hAnsi="Calibri" w:cs="Calibri"/>
        </w:rPr>
        <w:t>(Stawarz et al., 2022)</w:t>
      </w:r>
      <w:r w:rsidRPr="004666D3">
        <w:fldChar w:fldCharType="end"/>
      </w:r>
      <w:r w:rsidRPr="004666D3">
        <w:rPr>
          <w:lang w:val="it-IT"/>
        </w:rPr>
        <w:t xml:space="preserve"> and </w:t>
      </w:r>
      <w:r w:rsidR="00BB5FF0" w:rsidRPr="004666D3">
        <w:rPr>
          <w:lang w:val="it-IT"/>
        </w:rPr>
        <w:t>Britain</w:t>
      </w:r>
      <w:r w:rsidRPr="004666D3">
        <w:rPr>
          <w:lang w:val="it-IT"/>
        </w:rPr>
        <w:t xml:space="preserve"> </w:t>
      </w:r>
      <w:r w:rsidRPr="004666D3">
        <w:fldChar w:fldCharType="begin"/>
      </w:r>
      <w:r w:rsidRPr="004666D3">
        <w:rPr>
          <w:lang w:val="it-IT"/>
        </w:rPr>
        <w:instrText xml:space="preserve"> ADDIN ZOTERO_ITEM CSL_CITATION {"citationID":"jVJ1c9xu","properties":{"formattedCitation":"(Rowe et al., 2023b)","plainCitation":"(Rowe et al., 2023b)","noteIndex":0},"citationItems":[{"id":4492,"uris":["http://zotero.org/users/9756803/items/VU5ATCRQ"],"itemData":{"id":4492,"type":"article-journal","abstract":"Existing empirical work has focused on assessing the effectiveness of nonpharmaceutical interventions on human mobility to contain the spread of COVID-19. Less is known about the ways in which the COVID-19 pandemic has reshaped the spatial patterns of population movement within countries. Anecdotal evidence of an urban exodus from large cities to rural areas emerged during early phases of the pandemic across western societies. Yet, these claims have not been empirically assessed. Traditional data sources, such as censuses offer coarse temporal frequency to analyse population movement over infrequent time intervals. Drawing on a data set of 21 million observations from Meta-Facebook users, we aim to analyse the extent and evolution of changes in the spatial patterns of population movement across the rural–urban continuum in Britain over an 18-month period from March 2020 to August 2021. Our findings show an overall and sustained decline in population movement during periods of high stringency measures, with the most densely populated areas reporting the largest reductions. During these periods, we also find evidence of higher-than-average mobility from high-density population areas to low-density areas, lending some support to claims of large-scale population movements from large cities. Yet, we show that these trends were temporary. Overall mobility levels trended back to precoronavirus levels after the easing of nonpharmaceutical interventions. Following these interventions, we found a reduction in movement to low-density areas and a rise in mobility to high-density agglomerations. Overall, these findings reveal that while COVID-19 generated shock waves leading to temporary changes in the patterns of population movement in Britain, the resulting vibrations have not significantly reshaped the prevalent structures in the national pattern of population movement. As of 2021, internal population movements sit at an intermediate level between those observed pre- and early phases of the pandemic.","container-title":"Population, Space and Place","DOI":"10.1002/psp.2637","ISSN":"1544-8452","issue":"1","language":"en","note":"_eprint: https://onlinelibrary.wiley.com/doi/pdf/10.1002/psp.2637","page":"e2637","source":"Wiley Online Library","title":"Urban exodus? Understanding human mobility in Britain during the COVID-19 pandemic using Meta-Facebook data","title-short":"Urban exodus?","volume":"29","author":[{"family":"Rowe","given":"Francisco"},{"family":"Calafiore","given":"Alessia"},{"family":"Arribas-Bel","given":"Daniel"},{"family":"Samardzhiev","given":"Krasen"},{"family":"Fleischmann","given":"Martin"}],"issued":{"date-parts":[["2023"]]}}}],"schema":"https://github.com/citation-style-language/schema/raw/master/csl-citation.json"} </w:instrText>
      </w:r>
      <w:r w:rsidRPr="004666D3">
        <w:fldChar w:fldCharType="separate"/>
      </w:r>
      <w:r w:rsidR="0065364B" w:rsidRPr="004666D3">
        <w:rPr>
          <w:rFonts w:ascii="Calibri" w:hAnsi="Calibri" w:cs="Calibri"/>
        </w:rPr>
        <w:t>(Rowe et al., 2023b)</w:t>
      </w:r>
      <w:r w:rsidRPr="004666D3">
        <w:fldChar w:fldCharType="end"/>
      </w:r>
      <w:r w:rsidRPr="004666D3">
        <w:t xml:space="preserve">. </w:t>
      </w:r>
      <w:bookmarkStart w:id="21" w:name="OLE_LINK27"/>
      <w:bookmarkStart w:id="22" w:name="OLE_LINK118"/>
      <w:bookmarkStart w:id="23" w:name="OLE_LINK110"/>
      <w:bookmarkStart w:id="24" w:name="OLE_LINK117"/>
      <w:r w:rsidR="004F619B" w:rsidRPr="004666D3">
        <w:t>However, the understanding of counter-urbanisation in low- and middle-income countries remains relatively limited</w:t>
      </w:r>
      <w:r w:rsidR="00A55A57" w:rsidRPr="004666D3">
        <w:t xml:space="preserve"> compared to the extensive evidence from high-income countries</w:t>
      </w:r>
      <w:r w:rsidR="009750A8" w:rsidRPr="004666D3">
        <w:t xml:space="preserve">, despite recent </w:t>
      </w:r>
      <w:r w:rsidR="00067D4A" w:rsidRPr="004666D3">
        <w:t>work</w:t>
      </w:r>
      <w:r w:rsidR="77295F54" w:rsidRPr="004666D3">
        <w:t xml:space="preserve"> </w:t>
      </w:r>
      <w:r w:rsidR="19457669" w:rsidRPr="004666D3">
        <w:t xml:space="preserve">in </w:t>
      </w:r>
      <w:r w:rsidR="0017757B" w:rsidRPr="004666D3">
        <w:t xml:space="preserve">Latin American </w:t>
      </w:r>
      <w:r w:rsidR="00344D7B" w:rsidRPr="004666D3">
        <w:t>and South African countries</w:t>
      </w:r>
      <w:r w:rsidR="00042DC9" w:rsidRPr="004666D3">
        <w:t xml:space="preserve"> </w:t>
      </w:r>
      <w:bookmarkEnd w:id="21"/>
      <w:r w:rsidRPr="004666D3">
        <w:fldChar w:fldCharType="begin"/>
      </w:r>
      <w:r w:rsidRPr="004666D3">
        <w:instrText xml:space="preserve"> ADDIN ZOTERO_ITEM CSL_CITATION {"citationID":"82I7wm42","properties":{"formattedCitation":"(Posel and Casale, 2021; Rowe et al., 2023a)","plainCitation":"(Posel and Casale, 2021; Rowe et al., 2023a)","noteIndex":0},"citationItems":[{"id":6057,"uris":["http://zotero.org/users/9756803/items/S4UJKDYQ"],"itemData":{"id":6057,"type":"article-journal","abstract":"We explore flexibility in living arrangements during times of crisis by investigating adult mobility at various stages of the COVID-19 related initial lockdown in South Africa. Living arrangements are not static, and they may change considerably in response to economic and health shocks. The South African context is particularly interesting to investigate because studies suggest that many households remain “stretched” between rural and urban nodes, and kin networks have been identified as an important source of support during times of hardship. We use descriptive methods to analyze mobility in anticipation of the “hard” (level 5) lockdown, when almost all economic and on-site teaching activity was suspended, and the subsequent easing to lockdown level 4. The data come from the largest South African non-medical rapid mobile survey conducted during COVID-19, which employed telephone interviews to survey a representative sample of 7074 adults drawn using a stratified sampling design. We find that during the first few months of the COVID-19 lockdown in 2020, approximately 16 percent of adults in South Africa had moved into a different household. Most adults (82%) only moved once; those who moved twice were the most likely to have employment to return to, suggesting that these movers include circular labour migrants. The study highlights the “double-rootedness” of adults, who remain attached to another “family” home, and it points to the importance of living arrangements as a livelihood strategy when employment is lost.","container-title":"Scientific African","DOI":"10.1016/j.sciaf.2021.e00926","ISSN":"2468-2276","journalAbbreviation":"Scientific African","page":"e00926","source":"ScienceDirect","title":"Moving during times of crisis: Migration, living arrangements and COVID-19 in South Africa","title-short":"Moving during times of crisis","volume":"13","author":[{"family":"Posel","given":"Dorrit"},{"family":"Casale","given":"Daniela"}],"issued":{"date-parts":[["2021",9,1]]}}},{"id":6041,"uris":["http://zotero.org/users/9756803/items/3GYZTDRR"],"itemData":{"id":6041,"type":"article","abstract":"The COVID-19 pandemic has impacted the national systems of population movement around the world. Existing work has focused on countries of the Global North and restricted to the immediate effects of COVID-19 data during 2020. Data have represented a major limitation to monitor change in mobility patterns in countries in the Global South. Drawing on aggregate anonymised mobile phone location data from Meta-Facebook users, we aim to analyse the extent and persistence of changes in the levels (or intensity) and spatial patterns of internal population movement across the rural-urban continuum in Argentina, Chile and Mexico over a 26-month period from March 2020 to May 2022. We reveal an overall systematic decline in the level of short- and long-distance movement during the enactment of nonpharmaceutical interventions in 2020, with the largest reductions occurred in the most dense areas. We also show that these levels bounced back closer to pre-pandemic levels in 2022 following the relaxation of COVID-19 stringency measures. However, the intensity of these movements has remained below pre-pandemic levels in many areas in 2022. Additionally our findings lend some support to the idea of an urban exodus. They reveal a continuing negative net balances of short-distance movements in the most dense areas of capital cities in Argentina and Mexico, reflecting a pattern of suburbanisation. Chile displays limited changes in the net balance of short-distance movements but reports a net loss of long-distance movements. These losses were, however, temporary, moving to neutral and positive balances in 2021 and 2022.","DOI":"https://doi.org/10.48550/arXiv.2311.01464","language":"en","note":"arXiv:2311.01464 [physics, stat]","number":"arXiv:2311.01464","publisher":"arXiv","source":"arXiv.org","title":"Reduced mobility? Urban exodus? Medium-term impacts of the COVID-19 pandemic on internal population movements in Latin American countries (preprint)","title-short":"Reduced mobility?","URL":"http://arxiv.org/abs/2311.01464","author":[{"family":"Rowe","given":"Francisco"},{"family":"Cabrera-Arnau","given":"Carmen"},{"family":"González-Leonardo","given":"Miguel"},{"family":"Nasuto","given":"Andrea"},{"family":"Neville","given":"Ruth"}],"accessed":{"date-parts":[["2024",1,3]]},"issued":{"date-parts":[["2023",10,18]]}}}],"schema":"https://github.com/citation-style-language/schema/raw/master/csl-citation.json"} </w:instrText>
      </w:r>
      <w:r w:rsidRPr="004666D3">
        <w:fldChar w:fldCharType="separate"/>
      </w:r>
      <w:r w:rsidR="00042DC9" w:rsidRPr="004666D3">
        <w:rPr>
          <w:rFonts w:ascii="Calibri" w:hAnsi="Calibri" w:cs="Calibri"/>
        </w:rPr>
        <w:t>(Posel and Casale, 2021; Rowe et al., 2023a)</w:t>
      </w:r>
      <w:r w:rsidRPr="004666D3">
        <w:fldChar w:fldCharType="end"/>
      </w:r>
      <w:r w:rsidR="00344D7B" w:rsidRPr="004666D3">
        <w:t>.</w:t>
      </w:r>
      <w:r w:rsidR="00BA45D1" w:rsidRPr="004666D3">
        <w:t xml:space="preserve"> </w:t>
      </w:r>
      <w:bookmarkStart w:id="25" w:name="OLE_LINK34"/>
      <w:bookmarkStart w:id="26" w:name="OLE_LINK30"/>
      <w:r w:rsidR="00840F72" w:rsidRPr="004666D3">
        <w:t>Moreover</w:t>
      </w:r>
      <w:r w:rsidR="00A9281D" w:rsidRPr="004666D3">
        <w:t xml:space="preserve">, </w:t>
      </w:r>
      <w:r w:rsidR="59458072" w:rsidRPr="004666D3">
        <w:t xml:space="preserve">comparisons between these countries and high-income countries remain </w:t>
      </w:r>
      <w:r w:rsidR="004B268E" w:rsidRPr="004666D3">
        <w:t>lacking</w:t>
      </w:r>
      <w:bookmarkEnd w:id="25"/>
      <w:r w:rsidR="59458072" w:rsidRPr="004666D3">
        <w:t xml:space="preserve">. </w:t>
      </w:r>
      <w:bookmarkEnd w:id="17"/>
      <w:bookmarkEnd w:id="22"/>
      <w:bookmarkEnd w:id="23"/>
      <w:bookmarkEnd w:id="24"/>
      <w:bookmarkEnd w:id="26"/>
    </w:p>
    <w:p w14:paraId="54ACA87F" w14:textId="77777777" w:rsidR="00BD02AD" w:rsidRPr="004666D3" w:rsidRDefault="00BD02AD" w:rsidP="00BD02AD">
      <w:pPr>
        <w:spacing w:line="240" w:lineRule="auto"/>
        <w:rPr>
          <w:szCs w:val="24"/>
        </w:rPr>
      </w:pPr>
    </w:p>
    <w:p w14:paraId="3AD44D0A" w14:textId="3AD07F06" w:rsidR="00104825" w:rsidRPr="004666D3" w:rsidRDefault="00CE1572" w:rsidP="00CE1572">
      <w:pPr>
        <w:rPr>
          <w:szCs w:val="24"/>
        </w:rPr>
      </w:pPr>
      <w:r w:rsidRPr="004666D3">
        <w:rPr>
          <w:szCs w:val="24"/>
        </w:rPr>
        <w:t xml:space="preserve">Previously, counter-urbanisation has been quantitatively assessed mainly using census and register data, which record changes in demography and domestic migration during long time periods </w:t>
      </w:r>
      <w:r w:rsidRPr="004666D3">
        <w:rPr>
          <w:szCs w:val="24"/>
        </w:rPr>
        <w:fldChar w:fldCharType="begin"/>
      </w:r>
      <w:r w:rsidR="00AE74BE" w:rsidRPr="004666D3">
        <w:rPr>
          <w:szCs w:val="24"/>
        </w:rPr>
        <w:instrText xml:space="preserve"> ADDIN ZOTERO_ITEM CSL_CITATION {"citationID":"HIqV9Xra","properties":{"formattedCitation":"(Crankshaw and Borel-Saladin, 2019; Tammaru et al., 2023)","plainCitation":"(Crankshaw and Borel-Saladin, 2019; Tammaru et al., 2023)","noteIndex":0},"citationItems":[{"id":5744,"uris":["http://zotero.org/users/9756803/items/B4Z3F3GQ"],"itemData":{"id":5744,"type":"article-journal","abstract":"This article addresses the debate over the causes of urbanisation and counter-urbanisation in Zambia: Are urbanisation and counter-urbanisation caused mostly by net migration or are they caused mostly by the natural growth or decline of the urban population? Using population censuses, we apply the intercensal forward survival ratio method to measure net migration and the natural population growth of urban and rural areas in 1990, 2000 and 2010. The results show that the most important cause of urbanisation and counter-urbanisation was net migration rather than natural urban population growth or decline. Although natural urban population growth was roughly twice that of net migration, this had very little influence on urbanisation because it was matched by the natural growth of the rural population. We also address the causes of migration by examining employment trends. These results indicate that economic decline during the 1990s resulted in decreased urban employment and a dramatic rise in urban unemployment, which in turn caused migration from urban to rural areas. Conversely, during the 2000s, absolute employment grew and unemployment decreased, which corresponded with increased rural–urban migration (resulting in net urbanisation). Our findings also show that even during the period of net out-migration from urban areas and high urban unemployment levels, the resident urban-born workforce continued to grow strongly through natural increase. Thus, these results also show that urban population growth can increase substantially in the absence of urban economic growth, thereby increasing urban unemployment and urban–rural migration.","container-title":"Urban Studies","DOI":"10.1177/0042098018787964","ISSN":"0042-0980","issue":"10","language":"en","note":"publisher: SAGE Publications Ltd","page":"2005-2020","source":"SAGE Journals","title":"Causes of urbanisation and counter-urbanisation in Zambia: Natural population increase or migration?","title-short":"Causes of urbanisation and counter-urbanisation in Zambia","volume":"56","author":[{"family":"Crankshaw","given":"Owen"},{"family":"Borel-Saladin","given":"Jacqueline"}],"issued":{"date-parts":[["2019",8,1]]}}},{"id":5879,"uris":["http://zotero.org/users/9756803/items/S7X8BUZC"],"itemData":{"id":5879,"type":"article-journal","abstract":"This paper aims to shed new light on changes in counter-urbanisation over the past three decades. A specific focus will be placed on new features of domestic migration to non-metropolitan rural areas which have become apparent during the global coronavirus pandemic. We focus on the intensity, origins, and destinations of counter-urban moves, and on the individual characteristics of counter-urban movers. Based on a case study of Estonia, our main findings show, firstly, that urbanisation has been the predominant migration trend across the past thirty years, with the main destination of domestic migrants being the capital city and its urban region. Secondly, we find that counter-urban moves have gained importance over time and especially during the periods of economic bust. The most important new features of counter-urbanisation during the pandemic relate to the increased migration of families with children and people who have high-income occupations to non-metropolitan rural areas. These new features of domestic migration could serve to slow down or even reverse the long-term problem of population aging in the countryside and the loss of educated people there.","container-title":"Journal of Rural Studies","DOI":"10.1016/j.jrurstud.2022.12.012","ISSN":"0743-0167","journalAbbreviation":"Journal of Rural Studies","page":"345-355","source":"ScienceDirect","title":"Did the pandemic bring new features to counter-urbanisation? Evidence from Estonia","title-short":"Did the pandemic bring new features to counter-urbanisation?","volume":"97","author":[{"family":"Tammaru","given":"Tiit"},{"family":"Kliimask","given":"Jaak"},{"family":"Kalm","given":"Kadi"},{"family":"Zālīte","given":"Jānis"}],"issued":{"date-parts":[["2023",1,1]]}}}],"schema":"https://github.com/citation-style-language/schema/raw/master/csl-citation.json"} </w:instrText>
      </w:r>
      <w:r w:rsidRPr="004666D3">
        <w:rPr>
          <w:szCs w:val="24"/>
        </w:rPr>
        <w:fldChar w:fldCharType="separate"/>
      </w:r>
      <w:r w:rsidR="00AE74BE" w:rsidRPr="004666D3">
        <w:rPr>
          <w:rFonts w:ascii="Calibri" w:hAnsi="Calibri" w:cs="Calibri"/>
        </w:rPr>
        <w:t>(Crankshaw and Borel-Saladin, 2019; Tammaru et al., 2023)</w:t>
      </w:r>
      <w:r w:rsidRPr="004666D3">
        <w:rPr>
          <w:szCs w:val="24"/>
        </w:rPr>
        <w:fldChar w:fldCharType="end"/>
      </w:r>
      <w:r w:rsidRPr="004666D3">
        <w:rPr>
          <w:szCs w:val="24"/>
        </w:rPr>
        <w:t xml:space="preserve">. </w:t>
      </w:r>
      <w:bookmarkStart w:id="27" w:name="OLE_LINK38"/>
      <w:r w:rsidRPr="004666D3">
        <w:rPr>
          <w:szCs w:val="24"/>
        </w:rPr>
        <w:t xml:space="preserve">However, </w:t>
      </w:r>
      <w:r w:rsidR="008A2BEA" w:rsidRPr="004666D3">
        <w:rPr>
          <w:szCs w:val="24"/>
        </w:rPr>
        <w:t xml:space="preserve">most </w:t>
      </w:r>
      <w:r w:rsidRPr="004666D3">
        <w:rPr>
          <w:szCs w:val="24"/>
        </w:rPr>
        <w:t>resident registration</w:t>
      </w:r>
      <w:r w:rsidRPr="004666D3">
        <w:t xml:space="preserve"> </w:t>
      </w:r>
      <w:r w:rsidRPr="004666D3">
        <w:rPr>
          <w:szCs w:val="24"/>
        </w:rPr>
        <w:t xml:space="preserve">and census data refer to single points in time and </w:t>
      </w:r>
      <w:r w:rsidR="00A854FE" w:rsidRPr="004666D3">
        <w:rPr>
          <w:szCs w:val="24"/>
        </w:rPr>
        <w:t xml:space="preserve">often </w:t>
      </w:r>
      <w:r w:rsidRPr="004666D3">
        <w:rPr>
          <w:szCs w:val="24"/>
        </w:rPr>
        <w:t>have time lags</w:t>
      </w:r>
      <w:r w:rsidR="00396FE7" w:rsidRPr="004666D3">
        <w:rPr>
          <w:szCs w:val="24"/>
        </w:rPr>
        <w:t xml:space="preserve">, </w:t>
      </w:r>
      <w:r w:rsidR="00332948" w:rsidRPr="004666D3">
        <w:rPr>
          <w:szCs w:val="24"/>
        </w:rPr>
        <w:t>particularly in</w:t>
      </w:r>
      <w:r w:rsidR="00396FE7" w:rsidRPr="004666D3">
        <w:rPr>
          <w:szCs w:val="24"/>
        </w:rPr>
        <w:t xml:space="preserve"> low and middle-income countries</w:t>
      </w:r>
      <w:r w:rsidRPr="004666D3">
        <w:rPr>
          <w:szCs w:val="24"/>
        </w:rPr>
        <w:t xml:space="preserve"> </w:t>
      </w:r>
      <w:bookmarkEnd w:id="27"/>
      <w:r w:rsidRPr="004666D3">
        <w:rPr>
          <w:szCs w:val="24"/>
        </w:rPr>
        <w:fldChar w:fldCharType="begin"/>
      </w:r>
      <w:r w:rsidR="00B55F2A" w:rsidRPr="004666D3">
        <w:rPr>
          <w:szCs w:val="24"/>
        </w:rPr>
        <w:instrText xml:space="preserve"> ADDIN ZOTERO_ITEM CSL_CITATION {"citationID":"kZnh4i7w","properties":{"formattedCitation":"(Stawarz et al., 2022; United Nations Population Fund, 2019)","plainCitation":"(Stawarz et al., 2022; United Nations Population Fund, 2019)","noteIndex":0},"citationItems":[{"id":4498,"uris":["http://zotero.org/users/9756803/items/4SHRH62D"],"itemData":{"id":4498,"type":"article-journal","abstract":"The COVID-19 pandemic has affected economies, labor markets, health care, education and tourism around the globe in unprecedented ways. However, little research has yet been devoted to the impact that the pandemic might have had on internal migration. This study aims to address this gap by determining how the intensity and spatial patterns of internal migration changed between 2019 and 2020 in Germany. We draw on data from the population register on annual flows between 401 counties. We find that the COVID-19 pandemic was associated with a 5% drop in the intensity of inter-county migration in 2020 compared to the previous year, with significant variation across age. The pandemic was also associated with an upsurge in net migration losses for the largest cities, driven by fewer inflows of young adults and continuing outflows of families.","container-title":"Population, Space and Place","DOI":"10.1002/psp.2566","ISSN":"1544-8452","issue":"6","language":"en","note":"_eprint: https://onlinelibrary.wiley.com/doi/pdf/10.1002/psp.2566","page":"e2566","source":"Wiley Online Library","title":"The impact of the COVID-19 pandemic on internal migration in Germany: A descriptive analysis","title-short":"The impact of the COVID-19 pandemic on internal migration in Germany","volume":"28","author":[{"family":"Stawarz","given":"Nico"},{"family":"Rosenbaum-Feldbrügge","given":"Matthias"},{"family":"Sander","given":"Nikola"},{"family":"Sulak","given":"Harun"},{"family":"Knobloch","given":"Vanessa"}],"issued":{"date-parts":[["2022"]]}}},{"id":5747,"uris":["http://zotero.org/users/9756803/items/GC4GYMZA"],"itemData":{"id":5747,"type":"report","title":"Technical Guidance: Post Enumeration Surveys in Population and Housing Censuses","URL":"www.unfpa.org","author":[{"family":"United Nations Population Fund","given":""}],"issued":{"date-parts":[["2019"]]}}}],"schema":"https://github.com/citation-style-language/schema/raw/master/csl-citation.json"} </w:instrText>
      </w:r>
      <w:r w:rsidRPr="004666D3">
        <w:rPr>
          <w:szCs w:val="24"/>
        </w:rPr>
        <w:fldChar w:fldCharType="separate"/>
      </w:r>
      <w:r w:rsidR="00AE74BE" w:rsidRPr="004666D3">
        <w:rPr>
          <w:rFonts w:ascii="Calibri" w:hAnsi="Calibri" w:cs="Calibri"/>
        </w:rPr>
        <w:t>(Stawarz et al., 2022; United Nations Population Fund, 2019)</w:t>
      </w:r>
      <w:r w:rsidRPr="004666D3">
        <w:rPr>
          <w:szCs w:val="24"/>
        </w:rPr>
        <w:fldChar w:fldCharType="end"/>
      </w:r>
      <w:r w:rsidRPr="004666D3">
        <w:rPr>
          <w:szCs w:val="24"/>
        </w:rPr>
        <w:t xml:space="preserve">. More importantly, they are usually reported based on administrative units, within which urban and rural areas can coexist </w:t>
      </w:r>
      <w:r w:rsidRPr="004666D3">
        <w:rPr>
          <w:szCs w:val="24"/>
        </w:rPr>
        <w:fldChar w:fldCharType="begin"/>
      </w:r>
      <w:r w:rsidR="00B55F2A" w:rsidRPr="004666D3">
        <w:rPr>
          <w:szCs w:val="24"/>
        </w:rPr>
        <w:instrText xml:space="preserve"> ADDIN ZOTERO_ITEM CSL_CITATION {"citationID":"30kp24PR","properties":{"formattedCitation":"(Hall et al., 2006)","plainCitation":"(Hall et al., 2006)","noteIndex":0},"citationItems":[{"id":5035,"uris":["http://zotero.org/users/9756803/items/I5M4PY5P"],"itemData":{"id":5035,"type":"article-journal","abstract":"Among epidemiologists, there has been increasing interest in the characteristics of communities that influence health. In the United States, the rural health disparity has been a recent focus of attention and made a priority for improvement. While many standardized definitions of urban and rural exist and are used by social scientists and demographers, they are found in sources unfamiliar to health researchers and have largely not been used in public health studies. This paper briefly reviews some available definitions of urban and rural for American geographic subunits and their respective strengths and weaknesses. For example, some definitions are better suited than others for capturing access to health care services. The authors applied different definitions to breast cancer incidence rates to show how urban/rural rate ratio comparisons would vary by choice of definition and found that dichotomous definitions may fail to capture variability in very rural areas. Further study of the utility of these measures in health studies is warranted.","container-title":"Journal of Urban Health","DOI":"10.1007/s11524-005-9016-3","ISSN":"1468-2896","issue":"2","journalAbbreviation":"JURH","language":"en","page":"162-175","source":"Springer Link","title":"Defining Urban and Rural Areas in U.S. Epidemiologic Studies","volume":"83","author":[{"family":"Hall","given":"Susan A."},{"family":"Kaufman","given":"Jay S."},{"family":"Ricketts","given":"Thomas C."}],"issued":{"date-parts":[["2006",3,1]]}}}],"schema":"https://github.com/citation-style-language/schema/raw/master/csl-citation.json"} </w:instrText>
      </w:r>
      <w:r w:rsidRPr="004666D3">
        <w:rPr>
          <w:szCs w:val="24"/>
        </w:rPr>
        <w:fldChar w:fldCharType="separate"/>
      </w:r>
      <w:r w:rsidR="00AE74BE" w:rsidRPr="004666D3">
        <w:rPr>
          <w:rFonts w:ascii="Calibri" w:hAnsi="Calibri" w:cs="Calibri"/>
        </w:rPr>
        <w:t>(Hall et al., 2006)</w:t>
      </w:r>
      <w:r w:rsidRPr="004666D3">
        <w:rPr>
          <w:szCs w:val="24"/>
        </w:rPr>
        <w:fldChar w:fldCharType="end"/>
      </w:r>
      <w:r w:rsidRPr="004666D3">
        <w:rPr>
          <w:szCs w:val="24"/>
        </w:rPr>
        <w:t>.</w:t>
      </w:r>
      <w:r w:rsidR="00BD02AD" w:rsidRPr="004666D3">
        <w:rPr>
          <w:szCs w:val="24"/>
        </w:rPr>
        <w:t xml:space="preserve"> </w:t>
      </w:r>
      <w:r w:rsidRPr="004666D3">
        <w:rPr>
          <w:szCs w:val="24"/>
        </w:rPr>
        <w:t xml:space="preserve">Recently, novel datasets of human locations obtained through mobile phones could also infer human mobility and map population distribution changes, including mobile phone call detail records (CDRs) </w:t>
      </w:r>
      <w:r w:rsidRPr="004666D3">
        <w:rPr>
          <w:szCs w:val="24"/>
        </w:rPr>
        <w:fldChar w:fldCharType="begin"/>
      </w:r>
      <w:r w:rsidR="00B55F2A" w:rsidRPr="004666D3">
        <w:rPr>
          <w:szCs w:val="24"/>
        </w:rPr>
        <w:instrText xml:space="preserve"> ADDIN ZOTERO_ITEM CSL_CITATION {"citationID":"w9PQKGuv","properties":{"formattedCitation":"(Deville et al., 2014; Lai et al., 2019; Meredith et al., 2021; Steele et al., 2021; Woods et al., 2022)","plainCitation":"(Deville et al., 2014; Lai et al., 2019; Meredith et al., 2021; Steele et al., 2021; Woods et al., 2022)","noteIndex":0},"citationItems":[{"id":1411,"uris":["http://zotero.org/users/9756803/items/YRL4BMS4"],"itemData":{"id":1411,"type":"article-journal","abstract":"During the past few decades, technologies such as remote sensing, geographical information systems, and global positioning systems have transformed the way the distribution of human population is studied and modeled in space and time. However, the mapping of populations remains constrained by the logistics of censuses and surveys. Consequently, spatially detailed changes across scales of days, weeks, or months, or even year to year, are difficult to assess and limit the application of human population maps in situations in which timely information is required, such as disasters, conflicts, or epidemics. Mobile phones (MPs) now have an extremely high penetration rate across the globe, and analyzing the spatiotemporal distribution of MP calls geolocated to the tower level may overcome many limitations of census-based approaches, provided that the use of MP data is properly assessed and calibrated. Using datasets of more than 1 billion MP call records from Portugal and France, we show how spatially and temporarily explicit estimations of population densities can be produced at national scales, and how these estimates compare with outputs produced using alternative human population mapping methods. We also demonstrate how maps of human population changes can be produced over multiple timescales while preserving the anonymity of MP users. With similar data being collected every day by MP network providers across the world, the prospect of being able to map contemporary and changing human population distributions over relatively short intervals exists, paving the way for new applications and a near real-time understanding of patterns and processes in human geography.","container-title":"Proceedings of the National Academy of Sciences","DOI":"10.1073/pnas.1408439111","issue":"45","note":"publisher: Proceedings of the National Academy of Sciences","page":"15888-15893","source":"pnas.org (Atypon)","title":"Dynamic population mapping using mobile phone data","volume":"111","author":[{"family":"Deville","given":"Pierre"},{"family":"Linard","given":"Catherine"},{"family":"Martin","given":"Samuel"},{"family":"Gilbert","given":"Marius"},{"family":"Stevens","given":"Forrest R."},{"family":"Gaughan","given":"Andrea E."},{"family":"Blondel","given":"Vincent D."},{"family":"Tatem","given":"Andrew J."}],"issued":{"date-parts":[["2014",11,11]]}}},{"id":1392,"uris":["http://zotero.org/users/9756803/items/CRM9EKNU"],"itemData":{"id":1392,"type":"article-journal","abstract":"Statistics on internal migration are important for keeping estimates of subnational population numbers up-to-date, as well as urban planning, infrastructure development, and impact assessment, among other applications. However, migration flow statistics typically remain constrained by the logistics of infrequent censuses or surveys. The penetration rate of mobile phones is now high across the globe with rapid recent increases in ownership in low-income countries. Analyzing the changing spatiotemporal distribution of mobile phone users through anonymized call detail records (CDRs) offers the possibility to measure migration at multiple temporal and spatial scales. Based on a dataset of 72 billion anonymized CDRs in Namibia from October 2010 to April 2014, we explore how internal migration estimates can be derived and modeled from CDRs at subnational and annual scales, and how precision and accuracy of these estimates compare to census-derived migration statistics. We also demonstrate the use of CDRs to assess how migration patterns change over time, with a finer temporal resolution compared with censuses. Moreover, we show how gravity-type spatial interaction models built using CDRs can accurately capture migration flows. The results highlight that estimates of migration flows made using mobile phone data is a promising avenue for complementing more traditional national migration statistics and obtaining more timely and local data.","container-title":"Palgrave Communications","DOI":"10.1057/s41599-019-0242-9","ISSN":"2055-1045","issue":"1","journalAbbreviation":"Palgrave Commun","language":"en","license":"2019 The Author(s)","note":"number: 1\npublisher: Palgrave","page":"1-10","source":"www.nature.com","title":"Exploring the use of mobile phone data for national migration statistics","volume":"5","author":[{"family":"Lai","given":"Shengjie"},{"family":"Erbach-Schoenberg","given":"Elisabeth","dropping-particle":"zu"},{"family":"Pezzulo","given":"Carla"},{"family":"Ruktanonchai","given":"Nick W."},{"family":"Sorichetta","given":"Alessandro"},{"family":"Steele","given":"Jessica"},{"family":"Li","given":"Tracey"},{"family":"Dooley","given":"Claire A."},{"family":"Tatem","given":"Andrew J."}],"issued":{"date-parts":[["2019",3,26]]}}},{"id":2908,"uris":["http://zotero.org/users/9756803/items/8UNBNCZD"],"itemData":{"id":2908,"type":"article-journal","abstract":"Human mobility is a core component of human behavior and its quantification is critical for understanding its impact on infectious disease transmission, traffic forecasting, access to resources and care, intervention strategies, and migratory flows. When mobility data are limited, spatial interaction models have been widely used to estimate human travel, but have not been extensively validated in low- and middle-income settings. Geographic, sociodemographic, and infrastructure differences may impact the ability for models to capture these patterns, particularly in rural settings. Here, we analyzed mobility patterns inferred from mobile phone data in four Sub-Saharan African countries to investigate the ability for variants on gravity and radiation models to estimate travel. Adjusting the gravity model such that parameters were fit to different trip types, including travel between more or less populated areas and/or different regions, improved model fit in all four countries. This suggests that alternative models may be more useful in these settings and better able to capture the range of mobility patterns observed.","container-title":"eLife","DOI":"10.7554/eLife.68441","ISSN":"2050-084X","note":"publisher: eLife Sciences Publications, Ltd","page":"e68441","source":"eLife","title":"Characterizing human mobility patterns in rural settings of sub-Saharan Africa","volume":"10","author":[{"family":"Meredith","given":"Hannah R"},{"family":"Giles","given":"John R"},{"family":"Perez-Saez","given":"Javier"},{"family":"Mande","given":"Théophile"},{"family":"Rinaldo","given":"Andrea"},{"family":"Mutembo","given":"Simon"},{"family":"Kabalo","given":"Elliot N"},{"family":"Makungo","given":"Kabondo"},{"family":"Buckee","given":"Caroline O"},{"family":"Tatem","given":"Andrew J"},{"family":"Metcalf","given":"C Jessica E"},{"family":"Wesolowski","given":"Amy"}],"editor":[{"family":"Flegg","given":"Jennifer"},{"family":"Walczak","given":"Aleksandra M"},{"family":"Flegg","given":"Jennifer"},{"family":"Rerolle","given":"Francois"}],"issued":{"date-parts":[["2021",9,17]]}}},{"id":1424,"uris":["http://zotero.org/users/9756803/items/9TKUL8Z5"],"itemData":{"id":1424,"type":"article-journal","abstract":"Call detail records (CDRs) from mobile phone metadata are a promising data source for mapping poverty indicators in low- and middle-income countries. These data provide information on social networks, call behavior, and mobility patterns in a population, which are correlated with measures of socioeconomic status. CDRs are passively collected and provide information with high spatial and temporal resolution. Identifying features from these data that are generalizable and able to predict poverty and wealth beyond a single context could promote broader usage of mobile data, contribute to a reduction in the cost of socioeconomic data collection and processing, as well as complement existing census and survey-based methods of poverty estimation with improved temporal resolution. This is especially important within the context of the sustainable development goals (SDGs), where poverty and related health indicators are to be reduced significantly across subnational geographies by 2030. Here we utilize measures of cell phone user behavior derived from three CDR datasets within a Bayesian modeling framework to map poverty and wealth patterns across Namibia, Nepal, and Bangladesh. We demonstrate five metrics of user mobility and call behavior that are able to explain between 50% and 65% of the variance in socioeconomic status nationally for these three countries. These key metrics prove useful in very different contexts and can be readily provided as part of an existing CDR platform or software package. This paper provides a key contribution in this regard by identifying such metrics relevant to estimating poverty. We highlight the inclusion of ancillary data and local context as an important factor in understanding model outputs when targeting poverty alleviation strategies.","container-title":"Humanities and Social Sciences Communications","DOI":"10.1057/s41599-021-00953-0","ISSN":"2662-9992","issue":"1","journalAbbreviation":"Humanit Soc Sci Commun","language":"en","license":"2021 The Author(s)","note":"number: 1\npublisher: Palgrave","page":"1-12","source":"www.nature.com","title":"Mobility and phone call behavior explain patterns in poverty at high-resolution across multiple settings","volume":"8","author":[{"family":"Steele","given":"Jessica E."},{"family":"Pezzulo","given":"Carla"},{"family":"Albert","given":"Maximilian"},{"family":"Brooks","given":"Christopher J."},{"family":"Erbach-Schoenberg","given":"Elisabeth","non-dropping-particle":"zu"},{"family":"O’Connor","given":"Siobhán B."},{"family":"Sundsøy","given":"Pål R."},{"family":"Engø-Monsen","given":"Kenth"},{"family":"Nilsen","given":"Kristine"},{"family":"Graupe","given":"Bonita"},{"family":"Nyachhyon","given":"Rajesh Lal"},{"family":"Silpakar","given":"Pradeep"},{"family":"Tatem","given":"Andrew J."}],"issued":{"date-parts":[["2021",11,22]]}}},{"id":1417,"uris":["http://zotero.org/users/9756803/items/KT2U77ID"],"itemData":{"id":1417,"type":"article-journal","abstract":"Data accurately representing the population distribution at the subnational level within countries is critical to policy and decision makers for many applications. Call data records (CDRs) have shown great promise for this, providing much higher temporal and spatial resolutions compared to traditional data sources. For CDRs to be integrated with other data and in order to effectively inform and support policy and decision making, mobile phone user must be distributed from the cell tower level into administrative units. This can be done in different ways and it is often not considered which method produces the best representation of the underlying population distribution. Using anonymised CDRs in Namibia between 2011 and 2013, four distribution methods were assessed at multiple administrative unit levels. Estimates of user density per administrative unit were ranked for each method and compared against the corresponding census-derived population densities, using Kendall’s tau-b rank tests. Seasonal and trend decomposition using Loess (STL) and multivariate clustering was subsequently used to identify patterns of seasonal user variation and investigate how different distribution methods can impact these. Results show that the accuracy of the results of each distribution method is influenced by the considered administrative unit level. While marginal differences between methods are displayed at “coarser” level 1, the use of mobile phone tower ranges provided the most accurate results for Namibia at finer levels 2 and 3. The use of STL is helpful to recognise the impact of the underlying distribution methods on further analysis, with the degree of consensus between methods decreasing as spatial scale increases. Multivariate clustering delivers valuable insights into which units share a similar seasonal user behaviour. The higher the number of prescribed clusters, the more the results obtained using different distribution methods differ. However, two major seasonal patterns were identified across all distribution methods, levels and most cluster numbers: (a) units with a 15% user decrease in August and (b) units with a 20–30% user increase in December. Both patterns are likely to be partially linked to school holidays and people going on vacation and/or visiting relatives and friends. This study highlights the need and importance of investigating CDRs in detail before conducting subsequent analysis like seasonal and trend decomposition. In particular, CDRs need to be investigated both in terms of their area and population coverage, as well as in relation to the appropriate distribution method to use based on the spatial scale of the specific application. The use of inappropriate methods can change observed seasonal patterns and impact the derived conclusions.","container-title":"Humanities and Social Sciences Communications","DOI":"10.1057/s41599-022-01256-8","ISSN":"2662-9992","issue":"1","journalAbbreviation":"Humanit Soc Sci Commun","language":"en","license":"2022 The Author(s)","note":"number: 1\npublisher: Palgrave","page":"1-17","source":"www.nature.com","title":"Exploring methods for mapping seasonal population changes using mobile phone data","volume":"9","author":[{"family":"Woods","given":"D."},{"family":"Cunningham","given":"A."},{"family":"Utazi","given":"C. E."},{"family":"Bondarenko","given":"M."},{"family":"Shengjie","given":"L."},{"family":"Rogers","given":"G. E."},{"family":"Koper","given":"P."},{"family":"Ruktanonchai","given":"C. W."},{"family":"Erbach-Schoenberg","given":"E.","non-dropping-particle":"zu"},{"family":"Tatem","given":"A. J."},{"family":"Steele","given":"J."},{"family":"Sorichetta","given":"A."}],"issued":{"date-parts":[["2022",7,28]]}}}],"schema":"https://github.com/citation-style-language/schema/raw/master/csl-citation.json"} </w:instrText>
      </w:r>
      <w:r w:rsidRPr="004666D3">
        <w:rPr>
          <w:szCs w:val="24"/>
        </w:rPr>
        <w:fldChar w:fldCharType="separate"/>
      </w:r>
      <w:r w:rsidR="00AE74BE" w:rsidRPr="004666D3">
        <w:rPr>
          <w:rFonts w:ascii="Calibri" w:hAnsi="Calibri" w:cs="Calibri"/>
        </w:rPr>
        <w:t>(Deville et al., 2014; Lai et al., 2019; Meredith et al., 2021; Steele et al., 2021; Woods et al., 2022)</w:t>
      </w:r>
      <w:r w:rsidRPr="004666D3">
        <w:rPr>
          <w:szCs w:val="24"/>
        </w:rPr>
        <w:fldChar w:fldCharType="end"/>
      </w:r>
      <w:r w:rsidRPr="004666D3">
        <w:rPr>
          <w:szCs w:val="24"/>
        </w:rPr>
        <w:t xml:space="preserve">, </w:t>
      </w:r>
      <w:bookmarkStart w:id="28" w:name="OLE_LINK112"/>
      <w:r w:rsidRPr="004666D3">
        <w:rPr>
          <w:szCs w:val="24"/>
        </w:rPr>
        <w:t xml:space="preserve">Google data </w:t>
      </w:r>
      <w:bookmarkEnd w:id="28"/>
      <w:r w:rsidRPr="004666D3">
        <w:rPr>
          <w:szCs w:val="24"/>
        </w:rPr>
        <w:fldChar w:fldCharType="begin"/>
      </w:r>
      <w:r w:rsidR="00B55F2A" w:rsidRPr="004666D3">
        <w:rPr>
          <w:szCs w:val="24"/>
        </w:rPr>
        <w:instrText xml:space="preserve"> ADDIN ZOTERO_ITEM CSL_CITATION {"citationID":"FhW62AeU","properties":{"formattedCitation":"(Lai et al., 2021; Rogers et al., 2023; Ruktanonchai et al., 2018)","plainCitation":"(Lai et al., 2021; Rogers et al., 2023; Ruktanonchai et al., 2018)","noteIndex":0},"citationItems":[{"id":5840,"uris":["http://zotero.org/users/9756803/items/3FYWWJHL"],"itemData":{"id":5840,"type":"article-journal","abstract":"Travel restrictions and physical distancing have been implemented across the world to mitigate the coronavirus disease 2019 (COVID-19) pandemic, but studies are needed to understand their effectiveness across regions and time. Based on the population mobility metrics derived from mobile phone geolocation data across 135 countries or territories during the first wave of the pandemic in 2020, we built a metapopulation epidemiological model to measure the effect of travel and contact restrictions on containing COVID-19 outbreaks across regions. We found that if these interventions had not been deployed, the cumulative number of cases could have shown a 97-fold (interquartile range 79–116) increase, as of May 31, 2020. However, their effectiveness depended upon the timing, duration, and intensity of the interventions, with variations in case severity seen across populations, regions, and seasons. Additionally, before effective vaccines are widely available and herd immunity is achieved, our results emphasize that a certain degree of physical distancing at the relaxation of the intervention stage will likely be needed to avoid rapid resurgences and subsequent lockdowns.","container-title":"Engineering (Beijing, China)","DOI":"10.1016/j.eng.2021.03.017","ISSN":"2095-8099","issue":"7","journalAbbreviation":"Engineering (Beijing)","note":"PMID: 33972889\nPMCID: PMC8099556","page":"914-923","source":"PubMed Central","title":"Assessing the Effect of Global Travel and Contact Restrictions on Mitigating the COVID-19 Pandemic","volume":"7","author":[{"family":"Lai","given":"Shengjie"},{"family":"Ruktanonchai","given":"Nick W."},{"family":"Carioli","given":"Alessandra"},{"family":"Ruktanonchai","given":"Corrine W."},{"family":"Floyd","given":"Jessica R."},{"family":"Prosper","given":"Olivia"},{"family":"Zhang","given":"Chi"},{"family":"Du","given":"Xiangjun"},{"family":"Yang","given":"Weizhong"},{"family":"Tatem","given":"Andrew J."}],"issued":{"date-parts":[["2021",7]]}}},{"id":5843,"uris":["http://zotero.org/users/9756803/items/3UH9ZGWB"],"itemData":{"id":5843,"type":"article-journal","abstract":"Mobile phone data have been increasingly used over the past decade or more as a pretty reliable indicator of human mobility to measure population movements and the associated changes in terms of population presence and density at multiple spatial and temporal scales. However, given the fact mobile phone data are not available everywhere and are generally difficult to access and share, mostly because of commercial restrictions and privacy concerns, more readily available data with global coverage, such as night-time light (NTL) imagery, have been alternatively used as a proxy for population density changes due to population movements. This study further explores the potential to use NTL brightness as a short-term mobility metric by analysing the relationship between NTL and smartphone-based Google Aggregated Mobility Research Dataset (GAMRD) data across twelve African countries over two periods: 2018–2019 and 2020. The data were stratified by a measure of the degree of urbanisation, whereby the administrative units of each country were assigned to one of eight classes ranging from low-density rural to high-density urban. Results from the correlation analysis, between the NTL Sum of Lights (SoL) radiance values and three different GAMRD-based flow metrics calculated at the administrative unit level, showed significant differences in NTL-GAMRD correlation values across the eight rural/urban classes. The highest correlations were typically found in predominantly rural areas, suggesting that the use of NTL data as a mobility metric may be less reliable in predominantly urban settings. This is likely due to the brightness saturation and higher brightness stability within the latter, showing less of an effect than in rural or peri-urban areas of changes in brightness due to people leaving or arriving. Human mobility in 2020 (during COVID-19-related restrictions) was observed to be significantly different than in 2018–2019, resulting in a reduced NTL-GAMRD correlation strength, especially in urban settings, most probably because of the monthly NTL SoL radiance values remaining relatively similar in 2018–2019 and 2020 and the human mobility, especially in urban settings, significantly decreasing in 2020 with respect to the previous considered period. The use of NTL data on its own to assess monthly mobility and the associated fluctuations in population density was therefore shown to be promising in rural and peri-urban areas but problematic in urban settings.","container-title":"Remote Sensing","DOI":"10.3390/rs15174252","ISSN":"2072-4292","issue":"17","language":"en","license":"http://creativecommons.org/licenses/by/3.0/","note":"number: 17\npublisher: Multidisciplinary Digital Publishing Institute","page":"4252","source":"www.mdpi.com","title":"Exploring the Relationship between Temporal Fluctuations in Satellite Nightlight Imagery and Human Mobility across Africa","volume":"15","author":[{"family":"Rogers","given":"Grant"},{"family":"Koper","given":"Patrycja"},{"family":"Ruktanonchai","given":"Cori"},{"family":"Ruktanonchai","given":"Nick"},{"family":"Utazi","given":"Edson"},{"family":"Woods","given":"Dorothea"},{"family":"Cunningham","given":"Alexander"},{"family":"Tatem","given":"Andrew J."},{"family":"Steele","given":"Jessica"},{"family":"Lai","given":"Shengjie"},{"family":"Sorichetta","given":"Alessandro"}],"issued":{"date-parts":[["2023",1]]}}},{"id":1415,"uris":["http://zotero.org/users/9756803/items/5JKXFLQ5"],"itemData":{"id":1415,"type":"article-journal","abstract":"Human mobility is fundamental to understanding global issues in the health and social sciences such as disease spread and displacements from disasters and conflicts. Detailed mobility data across spatial and temporal scales are difficult to collect, however, with movements varying from short, repeated movements to work or school, to rare migratory movements across national borders. While typical sources of mobility data such as travel history surveys and GPS tracker data can inform different typologies of movement, almost no source of readily obtainable data can address all types of movement at once.","container-title":"International Journal of Health Geographics","DOI":"10.1186/s12942-018-0150-z","ISSN":"1476-072X","issue":"1","journalAbbreviation":"Int J Health Geogr","language":"en","page":"28","source":"Springer Link","title":"Using Google Location History data to quantify fine-scale human mobility","volume":"17","author":[{"family":"Ruktanonchai","given":"Nick Warren"},{"family":"Ruktanonchai","given":"Corrine Warren"},{"family":"Floyd","given":"Jessica Rhona"},{"family":"Tatem","given":"Andrew J."}],"issued":{"date-parts":[["2018",7,27]]}}}],"schema":"https://github.com/citation-style-language/schema/raw/master/csl-citation.json"} </w:instrText>
      </w:r>
      <w:r w:rsidRPr="004666D3">
        <w:rPr>
          <w:szCs w:val="24"/>
        </w:rPr>
        <w:fldChar w:fldCharType="separate"/>
      </w:r>
      <w:r w:rsidR="00AE74BE" w:rsidRPr="004666D3">
        <w:rPr>
          <w:rFonts w:ascii="Calibri" w:hAnsi="Calibri" w:cs="Calibri"/>
        </w:rPr>
        <w:t>(Lai et al., 2021; Rogers et al., 2023; Ruktanonchai et al., 2018)</w:t>
      </w:r>
      <w:r w:rsidRPr="004666D3">
        <w:rPr>
          <w:szCs w:val="24"/>
        </w:rPr>
        <w:fldChar w:fldCharType="end"/>
      </w:r>
      <w:r w:rsidRPr="004666D3">
        <w:rPr>
          <w:szCs w:val="24"/>
        </w:rPr>
        <w:t xml:space="preserve"> and data collected from social media platforms </w:t>
      </w:r>
      <w:r w:rsidRPr="004666D3">
        <w:rPr>
          <w:szCs w:val="24"/>
        </w:rPr>
        <w:fldChar w:fldCharType="begin"/>
      </w:r>
      <w:r w:rsidR="006E3F77" w:rsidRPr="004666D3">
        <w:rPr>
          <w:szCs w:val="24"/>
        </w:rPr>
        <w:instrText xml:space="preserve"> ADDIN ZOTERO_ITEM CSL_CITATION {"citationID":"7JacuVYz","properties":{"formattedCitation":"(Fiorio et al., 2017; Hawelka et al., 2014; Huang et al., 2020; Luo et al., 2016; Shepherd et al., 2021)","plainCitation":"(Fiorio et al., 2017; Hawelka et al., 2014; Huang et al., 2020; Luo et al., 2016; Shepherd et al., 2021)","noteIndex":0},"citationItems":[{"id":5959,"uris":["http://zotero.org/users/9756803/items/4PICF7R7"],"itemData":{"id":5959,"type":"paper-conference","abstract":"Migration estimates are sensitive to definitions of time interval and duration. For example, when does a tourist become a migrant? As a result, harmonizing across different kinds of estimates or data sources can be difficult. Moreover in countries like the United States, that do not have a national registry system, estimates of internal migration typically rely on survey data that can require over a year from data collection to publication. In addition, each survey can ask only a limited set questions about migration (e.g., where did you live a year ago? where did you live five years ago?). We leverage a sample of geo-referenced Twitter tweets for about 62,000 users, spanning the period between 2010 and 2016, to estimate a series of US internal migration flows under varying time intervals and durations. Our findings, expressed in terms of 'migration curves', document, for the first time, the relationships between short-term mobility and long-term migration. The results open new avenues for demographic research. More specifically, future directions include the use of migration curves to produce probabilistic estimates of long-term migration from short-term (and vice versa) and to nowcast mobility rates at different levels of spatial and temporal granularity using a combination of previously published American Community Survey data and up-to-date data from a panel of Twitter users.","collection-title":"WebSci '17","container-title":"Proceedings of the 2017 ACM on Web Science Conference","DOI":"10.1145/3091478.3091496","event-place":"New York, NY, USA","ISBN":"978-1-4503-4896-6","page":"103–110","publisher":"Association for Computing Machinery","publisher-place":"New York, NY, USA","source":"ACM Digital Library","title":"Using Twitter Data to Estimate the Relationship between Short-term Mobility and Long-term Migration","URL":"https://dl.acm.org/doi/10.1145/3091478.3091496","author":[{"family":"Fiorio","given":"Lee"},{"family":"Abel","given":"Guy"},{"family":"Cai","given":"Jixuan"},{"family":"Zagheni","given":"Emilio"},{"family":"Weber","given":"Ingmar"},{"family":"Vinué","given":"Guillermo"}],"accessed":{"date-parts":[["2023",10,25]]},"issued":{"date-parts":[["2017",6,25]]}}},{"id":5723,"uris":["http://zotero.org/users/9756803/items/WEWYM3KQ"],"itemData":{"id":5723,"type":"article-journal","abstract":"Pervasive presence of location-sharing services made it possible for researchers to gain an unprecedented access to the direct records of human activity in space and time. This article analyses geo-located Twitter messages in order to uncover global patterns of human mobility. Based on a dataset of almost a billion tweets recorded in 2012, we estimate the volume of international travelers by country of residence. Mobility profiles of different nations were examined based on such characteristics as mobility rate, radius of gyration, diversity of destinations, and inflow–outflow balance. Temporal patterns disclose the universally valid seasons of increased international mobility and the particular character of international travels of different nations. Our analysis of the community structure of the Twitter mobility network reveals spatially cohesive regions that follow the regional division of the world. We validate our result using global tourism statistics and mobility models provided by other authors and argue that Twitter is exceptionally useful for understanding and quantifying global mobility patterns.","container-title":"Cartography and Geographic Information Science","DOI":"10.1080/15230406.2014.890072","ISSN":"1523-0406","issue":"3","note":"publisher: Taylor &amp; Francis\n_eprint: https://doi.org/10.1080/15230406.2014.890072\nPMID: 27019645","page":"260-271","source":"Taylor and Francis+NEJM","title":"Geo-located Twitter as proxy for global mobility patterns","volume":"41","author":[{"family":"Hawelka","given":"Bartosz"},{"family":"Sitko","given":"Izabela"},{"family":"Beinat","given":"Euro"},{"family":"Sobolevsky","given":"Stanislav"},{"family":"Kazakopoulos","given":"Pavlos"},{"family":"Ratti","given":"Carlo"}],"issued":{"date-parts":[["2014",5,27]]}}},{"id":3815,"uris":["http://zotero.org/users/9756803/items/6QB4MF9F"],"itemData":{"id":3815,"type":"article-journal","abstract":"The current COVID-19 pandemic raises concerns worldwide, leading to serious health, economic, and social challenges. The rapid spread of the virus at a global scale highlights the need for a more harmonized, less privacy-concerning, easily accessible approach to monitoring the human mobility that has proven to be associated with viral transmission. In this study, we analyzed over 580 million tweets worldwide to see how global collaborative efforts in reducing human mobility are reflected from the user-generated information at the global, country, and U.S. state scale. Considering the multifaceted nature of mobility, we propose two types of distance: the single-day distance and the cross-day distance. To quantify the responsiveness in certain geographic regions, we further propose a mobility-based responsive index (MRI) that captures the overall degree of mobility changes within a time window. The results suggest that mobility patterns obtained from Twitter data are amenable to quantitatively reflect the mobility dynamics. Globally, the proposed two distances had greatly deviated from their baselines after March 11, 2020, when WHO declared COVID-19 as a pandemic. The considerably less periodicity after the declaration suggests that the protection measures have obviously affected people’s travel routines. The country scale comparisons reveal the discrepancies in responsiveness, evidenced by the contrasting mobility patterns in different epidemic phases. We find that the triggers of mobility changes correspond well with the national announcements of mitigation measures, proving that Twitter-based mobility implies the effectiveness of those measures. In the U.S., the influence of the COVID-19 pandemic on mobility is distinct. However, the impacts vary substantially among states.","container-title":"PLOS ONE","DOI":"10.1371/journal.pone.0241957","ISSN":"1932-6203","issue":"11","journalAbbreviation":"PLOS ONE","language":"en","note":"publisher: Public Library of Science","page":"e0241957","source":"PLoS Journals","title":"Twitter reveals human mobility dynamics during the COVID-19 pandemic","volume":"15","author":[{"family":"Huang","given":"Xiao"},{"family":"Li","given":"Zhenlong"},{"family":"Jiang","given":"Yuqin"},{"family":"Li","given":"Xiaoming"},{"family":"Porter","given":"Dwayne"}],"issued":{"date-parts":[["2020",11,10]]}}},{"id":5718,"uris":["http://zotero.org/users/9756803/items/CYXVKP9D"],"itemData":{"id":5718,"type":"article-journal","abstract":"Characterizing human mobility patterns is essential for understanding human behaviors and the interactions with socioeconomic and natural environment, and plays a critical role in public health, urban planning, transportation engineering and related fields. With the widespread of location-aware mobile devices and continuing advancement of Web 2.0 technologies, location-based social media (LBSM) have been gaining widespread popularity in the past few years. With an access to locations of hundreds of million users, profiles and the contents of the social media posts, the LBSM data provided a novel modality of data source for human mobility study. By exploiting the explicit location footprints and mining the latent demographic information implied in the LBSM data, the purpose of this paper is to investigate the spatiotemporal characteristics of human mobility with a particular focus on the impact of demography. To serve this purpose, we first collect geo-tagged Twitter feeds posted in the conterminous United States area, and organize the collection of feeds using the concept of space-time trajectory corresponding to each Twitter user. Commonly human mobility measures, including detected home and activity centers, are derived for each user trajectory. We then select a subset of Twitter users that have detected home locations in the city of Chicago as a case study, and apply name analysis to the names provided in user profiles to learn the implicit demographic information of Twitter users, including race/ethnicity, gender and age. Finally we explore the spatiotemporal distribution and mobility characteristics of Chicago Twitter users, and investigate the demographic impact by comparing the differences across three demographic dimensions (race/ethnicity, gender and age). We found that, although the human mobility measures of different demographic groups generally follow the generic laws (e.g., power law distribution), the demographic information, particular the race/ethnicity group, significantly affects the urban human mobility patterns.","container-title":"Applied Geography","DOI":"10.1016/j.apgeog.2016.03.001","ISSN":"0143-6228","journalAbbreviation":"Applied Geography","language":"en","page":"11-25","source":"ScienceDirect","title":"Explore spatiotemporal and demographic characteristics of human mobility via Twitter: A case study of Chicago","title-short":"Explore spatiotemporal and demographic characteristics of human mobility via Twitter","volume":"70","author":[{"family":"Luo","given":"Feixiong"},{"family":"Cao","given":"Guofeng"},{"family":"Mulligan","given":"Kevin"},{"family":"Li","given":"Xiang"}],"issued":{"date-parts":[["2016",5,1]]}}},{"id":1403,"uris":["http://zotero.org/users/9756803/items/9Y9F66EZ"],"itemData":{"id":1403,"type":"article-journal","abstract":"Since early March 2020, the COVID-19 epidemic across the United Kingdom has led to a range of social distancing policies, which resulted in changes to mobility across different regions. An understanding of how these policies impacted travel patterns over time and at different spatial scales is important for designing effective strategies, future pandemic planning and in providing broader insights on the population geography of the country. Crowd level data on mobile phone usage can be used as a proxy for population mobility patterns and provide a way of quantifying in near-real time the impact of social distancing measures on changes in mobility.","container-title":"International Journal of Health Geographics","DOI":"10.1186/s12942-021-00299-5","ISSN":"1476-072X","issue":"1","journalAbbreviation":"International Journal of Health Geographics","page":"46","source":"BioMed Central","title":"Domestic and international mobility trends in the United Kingdom during the COVID-19 pandemic: an analysis of facebook data","title-short":"Domestic and international mobility trends in the United Kingdom during the COVID-19 pandemic","volume":"20","author":[{"family":"Shepherd","given":"Harry E. R."},{"family":"Atherden","given":"Florence S."},{"family":"Chan","given":"Ho Man Theophilus"},{"family":"Loveridge","given":"Alexandra"},{"family":"Tatem","given":"Andrew J."}],"issued":{"date-parts":[["2021",12,4]]}}}],"schema":"https://github.com/citation-style-language/schema/raw/master/csl-citation.json"} </w:instrText>
      </w:r>
      <w:r w:rsidRPr="004666D3">
        <w:rPr>
          <w:szCs w:val="24"/>
        </w:rPr>
        <w:fldChar w:fldCharType="separate"/>
      </w:r>
      <w:r w:rsidR="006E3F77" w:rsidRPr="004666D3">
        <w:rPr>
          <w:rFonts w:ascii="Calibri" w:hAnsi="Calibri" w:cs="Calibri"/>
        </w:rPr>
        <w:t>(Fiorio et al., 2017; Hawelka et al., 2014; Huang et al., 2020; Luo et al., 2016; Shepherd et al., 2021)</w:t>
      </w:r>
      <w:r w:rsidRPr="004666D3">
        <w:rPr>
          <w:szCs w:val="24"/>
        </w:rPr>
        <w:fldChar w:fldCharType="end"/>
      </w:r>
      <w:r w:rsidRPr="004666D3">
        <w:rPr>
          <w:szCs w:val="24"/>
        </w:rPr>
        <w:t xml:space="preserve">. However, their applications in identifying counter-urbanisation have limitations. CDRs collected by towers in peripheral regions can encompass both urban and nearby suburban or rural residents </w:t>
      </w:r>
      <w:r w:rsidRPr="004666D3">
        <w:rPr>
          <w:szCs w:val="24"/>
        </w:rPr>
        <w:fldChar w:fldCharType="begin"/>
      </w:r>
      <w:r w:rsidR="00B55F2A" w:rsidRPr="004666D3">
        <w:rPr>
          <w:szCs w:val="24"/>
        </w:rPr>
        <w:instrText xml:space="preserve"> ADDIN ZOTERO_ITEM CSL_CITATION {"citationID":"9tJ30Gws","properties":{"formattedCitation":"(Barbosa et al., 2018)","plainCitation":"(Barbosa et al., 2018)","noteIndex":0},"citationItems":[{"id":5296,"uris":["http://zotero.org/users/9756803/items/D4LFUIDY"],"itemData":{"id":5296,"type":"article-journal","abstract":"Recent years have witnessed an explosion of extensive geolocated datasets related to human movement, enabling scientists to quantitatively study individual and collective mobility patterns, and to generate models that can capture and reproduce the spatiotemporal structures and regularities in human trajectories. The study of human mobility is especially important for applications such as estimating migratory flows, traffic forecasting, urban planning, and epidemic modeling. In this survey, we review the approaches developed to reproduce various mobility patterns, with the main focus on recent developments. This review can be used both as an introduction to the fundamental modeling principles of human mobility, and as a collection of technical methods applicable to specific mobility-related problems. The review organizes the subject by differentiating between individual and population mobility and also between short-range and long-range mobility. Throughout the text the description of the theory is intertwined with real-world applications.","collection-title":"Human mobility: Models and applications","container-title":"Physics Reports","DOI":"10.1016/j.physrep.2018.01.001","ISSN":"0370-1573","journalAbbreviation":"Physics Reports","language":"en","page":"1-74","source":"ScienceDirect","title":"Human mobility: Models and applications","title-short":"Human mobility","volume":"734","author":[{"family":"Barbosa","given":"Hugo"},{"family":"Barthelemy","given":"Marc"},{"family":"Ghoshal","given":"Gourab"},{"family":"James","given":"Charlotte R."},{"family":"Lenormand","given":"Maxime"},{"family":"Louail","given":"Thomas"},{"family":"Menezes","given":"Ronaldo"},{"family":"Ramasco","given":"José J."},{"family":"Simini","given":"Filippo"},{"family":"Tomasini","given":"Marcello"}],"issued":{"date-parts":[["2018",3,6]]}}}],"schema":"https://github.com/citation-style-language/schema/raw/master/csl-citation.json"} </w:instrText>
      </w:r>
      <w:r w:rsidRPr="004666D3">
        <w:rPr>
          <w:szCs w:val="24"/>
        </w:rPr>
        <w:fldChar w:fldCharType="separate"/>
      </w:r>
      <w:r w:rsidR="00AE74BE" w:rsidRPr="004666D3">
        <w:rPr>
          <w:rFonts w:ascii="Calibri" w:hAnsi="Calibri" w:cs="Calibri"/>
        </w:rPr>
        <w:t>(Barbosa et al., 2018)</w:t>
      </w:r>
      <w:r w:rsidRPr="004666D3">
        <w:rPr>
          <w:szCs w:val="24"/>
        </w:rPr>
        <w:fldChar w:fldCharType="end"/>
      </w:r>
      <w:r w:rsidRPr="004666D3">
        <w:rPr>
          <w:szCs w:val="24"/>
        </w:rPr>
        <w:t>, as the recorded locations are those of cell towers rather than those of the phone owners. Obtain</w:t>
      </w:r>
      <w:r w:rsidRPr="004666D3">
        <w:rPr>
          <w:rFonts w:hint="eastAsia"/>
          <w:szCs w:val="24"/>
        </w:rPr>
        <w:t>ing</w:t>
      </w:r>
      <w:r w:rsidRPr="004666D3">
        <w:rPr>
          <w:szCs w:val="24"/>
        </w:rPr>
        <w:t xml:space="preserve"> </w:t>
      </w:r>
      <w:r w:rsidR="009B6F60" w:rsidRPr="004666D3">
        <w:rPr>
          <w:szCs w:val="24"/>
        </w:rPr>
        <w:t>Google</w:t>
      </w:r>
      <w:r w:rsidRPr="004666D3">
        <w:rPr>
          <w:szCs w:val="24"/>
        </w:rPr>
        <w:t xml:space="preserve"> data is challenging due to strict protocols </w:t>
      </w:r>
      <w:r w:rsidRPr="004666D3">
        <w:rPr>
          <w:szCs w:val="24"/>
        </w:rPr>
        <w:fldChar w:fldCharType="begin"/>
      </w:r>
      <w:r w:rsidR="00D91A96" w:rsidRPr="004666D3">
        <w:rPr>
          <w:szCs w:val="24"/>
        </w:rPr>
        <w:instrText xml:space="preserve"> ADDIN ZOTERO_ITEM CSL_CITATION {"citationID":"40CKdmvB","properties":{"formattedCitation":"(Lai et al., 2021; Rogers et al., 2023; Ruktanonchai et al., 2018)","plainCitation":"(Lai et al., 2021; Rogers et al., 2023; Ruktanonchai et al., 2018)","noteIndex":0},"citationItems":[{"id":1415,"uris":["http://zotero.org/users/9756803/items/5JKXFLQ5"],"itemData":{"id":1415,"type":"article-journal","abstract":"Human mobility is fundamental to understanding global issues in the health and social sciences such as disease spread and displacements from disasters and conflicts. Detailed mobility data across spatial and temporal scales are difficult to collect, however, with movements varying from short, repeated movements to work or school, to rare migratory movements across national borders. While typical sources of mobility data such as travel history surveys and GPS tracker data can inform different typologies of movement, almost no source of readily obtainable data can address all types of movement at once.","container-title":"International Journal of Health Geographics","DOI":"10.1186/s12942-018-0150-z","ISSN":"1476-072X","issue":"1","journalAbbreviation":"Int J Health Geogr","language":"en","page":"28","source":"Springer Link","title":"Using Google Location History data to quantify fine-scale human mobility","volume":"17","author":[{"family":"Ruktanonchai","given":"Nick Warren"},{"family":"Ruktanonchai","given":"Corrine Warren"},{"family":"Floyd","given":"Jessica Rhona"},{"family":"Tatem","given":"Andrew J."}],"issued":{"date-parts":[["2018",7,27]]}}},{"id":5840,"uris":["http://zotero.org/users/9756803/items/3FYWWJHL"],"itemData":{"id":5840,"type":"article-journal","abstract":"Travel restrictions and physical distancing have been implemented across the world to mitigate the coronavirus disease 2019 (COVID-19) pandemic, but studies are needed to understand their effectiveness across regions and time. Based on the population mobility metrics derived from mobile phone geolocation data across 135 countries or territories during the first wave of the pandemic in 2020, we built a metapopulation epidemiological model to measure the effect of travel and contact restrictions on containing COVID-19 outbreaks across regions. We found that if these interventions had not been deployed, the cumulative number of cases could have shown a 97-fold (interquartile range 79–116) increase, as of May 31, 2020. However, their effectiveness depended upon the timing, duration, and intensity of the interventions, with variations in case severity seen across populations, regions, and seasons. Additionally, before effective vaccines are widely available and herd immunity is achieved, our results emphasize that a certain degree of physical distancing at the relaxation of the intervention stage will likely be needed to avoid rapid resurgences and subsequent lockdowns.","container-title":"Engineering (Beijing, China)","DOI":"10.1016/j.eng.2021.03.017","ISSN":"2095-8099","issue":"7","journalAbbreviation":"Engineering (Beijing)","note":"PMID: 33972889\nPMCID: PMC8099556","page":"914-923","source":"PubMed Central","title":"Assessing the Effect of Global Travel and Contact Restrictions on Mitigating the COVID-19 Pandemic","volume":"7","author":[{"family":"Lai","given":"Shengjie"},{"family":"Ruktanonchai","given":"Nick W."},{"family":"Carioli","given":"Alessandra"},{"family":"Ruktanonchai","given":"Corrine W."},{"family":"Floyd","given":"Jessica R."},{"family":"Prosper","given":"Olivia"},{"family":"Zhang","given":"Chi"},{"family":"Du","given":"Xiangjun"},{"family":"Yang","given":"Weizhong"},{"family":"Tatem","given":"Andrew J."}],"issued":{"date-parts":[["2021",7]]}}},{"id":5843,"uris":["http://zotero.org/users/9756803/items/3UH9ZGWB"],"itemData":{"id":5843,"type":"article-journal","abstract":"Mobile phone data have been increasingly used over the past decade or more as a pretty reliable indicator of human mobility to measure population movements and the associated changes in terms of population presence and density at multiple spatial and temporal scales. However, given the fact mobile phone data are not available everywhere and are generally difficult to access and share, mostly because of commercial restrictions and privacy concerns, more readily available data with global coverage, such as night-time light (NTL) imagery, have been alternatively used as a proxy for population density changes due to population movements. This study further explores the potential to use NTL brightness as a short-term mobility metric by analysing the relationship between NTL and smartphone-based Google Aggregated Mobility Research Dataset (GAMRD) data across twelve African countries over two periods: 2018–2019 and 2020. The data were stratified by a measure of the degree of urbanisation, whereby the administrative units of each country were assigned to one of eight classes ranging from low-density rural to high-density urban. Results from the correlation analysis, between the NTL Sum of Lights (SoL) radiance values and three different GAMRD-based flow metrics calculated at the administrative unit level, showed significant differences in NTL-GAMRD correlation values across the eight rural/urban classes. The highest correlations were typically found in predominantly rural areas, suggesting that the use of NTL data as a mobility metric may be less reliable in predominantly urban settings. This is likely due to the brightness saturation and higher brightness stability within the latter, showing less of an effect than in rural or peri-urban areas of changes in brightness due to people leaving or arriving. Human mobility in 2020 (during COVID-19-related restrictions) was observed to be significantly different than in 2018–2019, resulting in a reduced NTL-GAMRD correlation strength, especially in urban settings, most probably because of the monthly NTL SoL radiance values remaining relatively similar in 2018–2019 and 2020 and the human mobility, especially in urban settings, significantly decreasing in 2020 with respect to the previous considered period. The use of NTL data on its own to assess monthly mobility and the associated fluctuations in population density was therefore shown to be promising in rural and peri-urban areas but problematic in urban settings.","container-title":"Remote Sensing","DOI":"10.3390/rs15174252","ISSN":"2072-4292","issue":"17","language":"en","license":"http://creativecommons.org/licenses/by/3.0/","note":"number: 17\npublisher: Multidisciplinary Digital Publishing Institute","page":"4252","source":"www.mdpi.com","title":"Exploring the Relationship between Temporal Fluctuations in Satellite Nightlight Imagery and Human Mobility across Africa","volume":"15","author":[{"family":"Rogers","given":"Grant"},{"family":"Koper","given":"Patrycja"},{"family":"Ruktanonchai","given":"Cori"},{"family":"Ruktanonchai","given":"Nick"},{"family":"Utazi","given":"Edson"},{"family":"Woods","given":"Dorothea"},{"family":"Cunningham","given":"Alexander"},{"family":"Tatem","given":"Andrew J."},{"family":"Steele","given":"Jessica"},{"family":"Lai","given":"Shengjie"},{"family":"Sorichetta","given":"Alessandro"}],"issued":{"date-parts":[["2023",1]]}}}],"schema":"https://github.com/citation-style-language/schema/raw/master/csl-citation.json"} </w:instrText>
      </w:r>
      <w:r w:rsidRPr="004666D3">
        <w:rPr>
          <w:szCs w:val="24"/>
        </w:rPr>
        <w:fldChar w:fldCharType="separate"/>
      </w:r>
      <w:r w:rsidR="00AE74BE" w:rsidRPr="004666D3">
        <w:rPr>
          <w:rFonts w:ascii="Calibri" w:hAnsi="Calibri" w:cs="Calibri"/>
        </w:rPr>
        <w:t>(Lai et al., 2021; Rogers et al., 2023; Ruktanonchai et al., 2018)</w:t>
      </w:r>
      <w:r w:rsidRPr="004666D3">
        <w:rPr>
          <w:szCs w:val="24"/>
        </w:rPr>
        <w:fldChar w:fldCharType="end"/>
      </w:r>
      <w:r w:rsidRPr="004666D3">
        <w:rPr>
          <w:szCs w:val="24"/>
        </w:rPr>
        <w:t xml:space="preserve">. Commonly used social media data, such as geo-located tweets, are spatiotemporally sparse </w:t>
      </w:r>
      <w:r w:rsidRPr="004666D3">
        <w:rPr>
          <w:szCs w:val="24"/>
        </w:rPr>
        <w:fldChar w:fldCharType="begin"/>
      </w:r>
      <w:r w:rsidR="00AE74BE" w:rsidRPr="004666D3">
        <w:rPr>
          <w:szCs w:val="24"/>
        </w:rPr>
        <w:instrText xml:space="preserve"> ADDIN ZOTERO_ITEM CSL_CITATION {"citationID":"IChw2skK","properties":{"formattedCitation":"(Huang and Wong, 2016; Huang et al., 2020)","plainCitation":"(Huang and Wong, 2016; Huang et al., 2020)","noteIndex":0},"citationItems":[{"id":5725,"uris":["http://zotero.org/users/9756803/items/GYSJ6QAU"],"itemData":{"id":5725,"type":"article-journal","abstract":"Individual activity patterns are influenced by a wide variety of factors. The more important ones include socioeconomic status (SES) and urban spatial structure. While most previous studies relied heavily on the expensive travel-diary type data, the feasibility of using social media data to support activity pattern analysis has not been evaluated. Despite the various appealing aspects of social media data, including low acquisition cost and relatively wide geographical and international coverage, these data also have many limitations, including the lack of background information of users, such as home locations and SES. A major objective of this study is to explore the extent that Twitter data can be used to support activity pattern analysis. We introduce an approach to determine users’ home and work locations in order to examine the activity patterns of individuals. To infer the SES of individuals, we incorporate the American Community Survey (ACS) data. Using Twitter data for Washington, DC, we analyzed the activity patterns of Twitter users with different SESs. The study clearly demonstrates that while SES is highly important, the urban spatial structure, particularly where jobs are mainly found and the geographical layout of the region, plays a critical role in affecting the variation in activity patterns between users from different communities.","container-title":"International Journal of Geographical Information Science","DOI":"10.1080/13658816.2016.1145225","ISSN":"1365-8816","issue":"9","note":"publisher: Taylor &amp; Francis\n_eprint: https://doi.org/10.1080/13658816.2016.1145225","page":"1873-1898","source":"Taylor and Francis+NEJM","title":"Activity patterns, socioeconomic status and urban spatial structure: what can social media data tell us?","title-short":"Activity patterns, socioeconomic status and urban spatial structure","volume":"30","author":[{"family":"Huang","given":"Qunying"},{"family":"Wong","given":"David W. S."}],"issued":{"date-parts":[["2016",9,1]]}}},{"id":3815,"uris":["http://zotero.org/users/9756803/items/6QB4MF9F"],"itemData":{"id":3815,"type":"article-journal","abstract":"The current COVID-19 pandemic raises concerns worldwide, leading to serious health, economic, and social challenges. The rapid spread of the virus at a global scale highlights the need for a more harmonized, less privacy-concerning, easily accessible approach to monitoring the human mobility that has proven to be associated with viral transmission. In this study, we analyzed over 580 million tweets worldwide to see how global collaborative efforts in reducing human mobility are reflected from the user-generated information at the global, country, and U.S. state scale. Considering the multifaceted nature of mobility, we propose two types of distance: the single-day distance and the cross-day distance. To quantify the responsiveness in certain geographic regions, we further propose a mobility-based responsive index (MRI) that captures the overall degree of mobility changes within a time window. The results suggest that mobility patterns obtained from Twitter data are amenable to quantitatively reflect the mobility dynamics. Globally, the proposed two distances had greatly deviated from their baselines after March 11, 2020, when WHO declared COVID-19 as a pandemic. The considerably less periodicity after the declaration suggests that the protection measures have obviously affected people’s travel routines. The country scale comparisons reveal the discrepancies in responsiveness, evidenced by the contrasting mobility patterns in different epidemic phases. We find that the triggers of mobility changes correspond well with the national announcements of mitigation measures, proving that Twitter-based mobility implies the effectiveness of those measures. In the U.S., the influence of the COVID-19 pandemic on mobility is distinct. However, the impacts vary substantially among states.","container-title":"PLOS ONE","DOI":"10.1371/journal.pone.0241957","ISSN":"1932-6203","issue":"11","journalAbbreviation":"PLOS ONE","language":"en","note":"publisher: Public Library of Science","page":"e0241957","source":"PLoS Journals","title":"Twitter reveals human mobility dynamics during the COVID-19 pandemic","volume":"15","author":[{"family":"Huang","given":"Xiao"},{"family":"Li","given":"Zhenlong"},{"family":"Jiang","given":"Yuqin"},{"family":"Li","given":"Xiaoming"},{"family":"Porter","given":"Dwayne"}],"issued":{"date-parts":[["2020",11,10]]}}}],"schema":"https://github.com/citation-style-language/schema/raw/master/csl-citation.json"} </w:instrText>
      </w:r>
      <w:r w:rsidRPr="004666D3">
        <w:rPr>
          <w:szCs w:val="24"/>
        </w:rPr>
        <w:fldChar w:fldCharType="separate"/>
      </w:r>
      <w:r w:rsidR="00AE74BE" w:rsidRPr="004666D3">
        <w:rPr>
          <w:rFonts w:ascii="Calibri" w:hAnsi="Calibri" w:cs="Calibri"/>
        </w:rPr>
        <w:t>(Huang and Wong, 2016; Huang et al., 2020)</w:t>
      </w:r>
      <w:r w:rsidRPr="004666D3">
        <w:rPr>
          <w:szCs w:val="24"/>
        </w:rPr>
        <w:fldChar w:fldCharType="end"/>
      </w:r>
      <w:r w:rsidRPr="004666D3">
        <w:rPr>
          <w:szCs w:val="24"/>
        </w:rPr>
        <w:t xml:space="preserve">. Therefore, </w:t>
      </w:r>
      <w:bookmarkStart w:id="29" w:name="OLE_LINK107"/>
      <w:r w:rsidRPr="004666D3">
        <w:rPr>
          <w:szCs w:val="24"/>
        </w:rPr>
        <w:t>quantitatively measuring population redistribution remains challenging because of the high requirements for temporal and spatial dimensions of the population data</w:t>
      </w:r>
      <w:bookmarkEnd w:id="29"/>
      <w:r w:rsidRPr="004666D3">
        <w:rPr>
          <w:szCs w:val="24"/>
        </w:rPr>
        <w:t xml:space="preserve">. </w:t>
      </w:r>
    </w:p>
    <w:p w14:paraId="38D044DF" w14:textId="77777777" w:rsidR="005A6FF8" w:rsidRPr="004666D3" w:rsidRDefault="005A6FF8" w:rsidP="00081DF9">
      <w:pPr>
        <w:spacing w:line="240" w:lineRule="auto"/>
        <w:rPr>
          <w:szCs w:val="24"/>
        </w:rPr>
      </w:pPr>
    </w:p>
    <w:p w14:paraId="14A39D89" w14:textId="7D6001BD" w:rsidR="0082243A" w:rsidRPr="004666D3" w:rsidRDefault="00CE1572">
      <w:bookmarkStart w:id="30" w:name="OLE_LINK119"/>
      <w:r w:rsidRPr="004666D3">
        <w:lastRenderedPageBreak/>
        <w:t>This is particularly true for counter-urbanisation, as, by its nature and in contrast to urbanisation, it involves small changes in populations spread out</w:t>
      </w:r>
      <w:r w:rsidR="007C2B43" w:rsidRPr="004666D3">
        <w:t xml:space="preserve"> across relatively large areas, particularly during the early stages of the process. </w:t>
      </w:r>
      <w:r w:rsidR="1DC91869" w:rsidRPr="004666D3">
        <w:t>These difficulties, together with the</w:t>
      </w:r>
      <w:bookmarkStart w:id="31" w:name="OLE_LINK28"/>
      <w:r w:rsidR="007C2B43" w:rsidRPr="004666D3">
        <w:t xml:space="preserve"> diversity and complex patterns of counter-urbanisation,</w:t>
      </w:r>
      <w:r w:rsidR="56076736" w:rsidRPr="004666D3">
        <w:t xml:space="preserve"> means most</w:t>
      </w:r>
      <w:r w:rsidR="007C2B43" w:rsidRPr="004666D3">
        <w:t xml:space="preserve"> previous research</w:t>
      </w:r>
      <w:r w:rsidR="6323D9DE" w:rsidRPr="004666D3">
        <w:t xml:space="preserve"> on the subject</w:t>
      </w:r>
      <w:r w:rsidR="007C2B43" w:rsidRPr="004666D3">
        <w:t xml:space="preserve"> used in-depth interviews with counter-urban movers to explore their new lifestyles and counter-urbanisation narratives </w:t>
      </w:r>
      <w:r w:rsidRPr="004666D3">
        <w:fldChar w:fldCharType="begin"/>
      </w:r>
      <w:r w:rsidRPr="004666D3">
        <w:instrText xml:space="preserve"> ADDIN ZOTERO_ITEM CSL_CITATION {"citationID":"EKjDZVex","properties":{"formattedCitation":"(Gkartzios, 2013; Gkartzios and Scott, 2015; Halfacree and Rivera, 2012; Hansen and Aner, 2017; Remoundou et al., 2016)","plainCitation":"(Gkartzios, 2013; Gkartzios and Scott, 2015; Halfacree and Rivera, 2012; Hansen and Aner, 2017; Remoundou et al., 2016)","noteIndex":0},"citationItems":[{"id":5937,"uris":["http://zotero.org/users/9756803/items/V34J3HI2"],"itemData":{"id":5937,"type":"article-journal","abstract":"Migration towards rural areas – pro-rural migration – is a lively, diverse, well illustrated research area. However, interest tends to stop with spatial relocation, with migrants' subsequent lives in rural places much less examined. Such imbalance reflects a more general bias in favour of studying distinctive actions, such as migration, at the expense of non-actions, such as staying put. This article challenges this situation. It argues for regarding migration in a more contextual, biographical and distributed manner, even potentially attaining some characteristics of what is known in non-representational theory as an ‘event’. While pro-rural migration is usually initially a contemplated ‘representational’ action, the significance to the migrant of the resulting relocation does not end here, requiring attention to be paid to everyday entanglements with (rural) place. Becoming event-like, some experiences may be unanticipated and unexpected rather than foreshadowed. This sensitivity is applied in the article through introduction of an interpretative map for exploring why and how pro-rural migrants subsequently stay in their destinations. Proceeding through the map, concerns with representations of the location are increasingly left behind in favour of becoming more attentive to life course issues and more-than-representational rural experiences shaping the migrant's ‘line of growth’.","container-title":"Sociologia Ruralis","DOI":"10.1111/j.1467-9523.2011.00556.x","ISSN":"1467-9523","issue":"1","language":"en","license":"© 2011 The Authors. Sociologia Ruralis © 2011 European Society for Rural Sociology","note":"_eprint: https://onlinelibrary.wiley.com/doi/pdf/10.1111/j.1467-9523.2011.00556.x","page":"92-114","source":"Wiley Online Library","title":"Moving to the Countryside ... and Staying: Lives beyond Representations","title-short":"Moving to the Countryside ... and Staying","volume":"52","author":[{"family":"Halfacree","given":"Keith H."},{"family":"Rivera","given":"María Jesús"}],"issued":{"date-parts":[["2012"]]}}},{"id":5928,"uris":["http://zotero.org/users/9756803/items/G488NCKF"],"itemData":{"id":5928,"type":"article-journal","abstract":"The purpose of this paper is to explore counterurbanisation in times of crisis. While much of the Anglophone literature highlights the consumption of the rural through counterurbanisation as part of a complex mosaic consisting of pro-rural lifestyle choices, class aspirations and ageing processes, the current economic recession that western countries are experiencing might reveal new ways of conceptualising counterurbanisation. The paper draws on in-depth interviews with counter-urban migrants in Greece. The interviews highlight a ‘crisis counterurbanisation’ triggered largely by unemployment at origin, rather than pro-rural motivations and idyllic constructions of rurality. More importantly, the migrants' stories highlight the importance of the extended family in counter-urban movements, in terms of the location of destination and the multiple support offered. This supportive family structure is pronounced in Greece, especially in times of crisis, but can be expected to be comparable to other southern European contexts where the role of family replaces responsibilities of the welfare state.","container-title":"Journal of Rural Studies","DOI":"10.1016/j.jrurstud.2013.06.003","ISSN":"0743-0167","journalAbbreviation":"Journal of Rural Studies","page":"158-167","source":"ScienceDirect","title":"‘Leaving Athens’: Narratives of counterurbanisation in times of crisis","title-short":"‘Leaving Athens’","volume":"32","author":[{"family":"Gkartzios","given":"Menelaos"}],"issued":{"date-parts":[["2013",10,1]]}}},{"id":5888,"uris":["http://zotero.org/users/9756803/items/ALZZ8VYF"],"itemData":{"id":5888,"type":"article-journal","abstract":"In this paper, we explore the link between counterurban mobilities and a potential emergent cultural economy in rural locations, associated with the economic crisis in Greece. Drawing on a quantitative survey of Athenian residents and qualitative interviews with counterurban migrants, we observe that in the context of the economic crisis in Greece, many urban-based households have relocated or seek to relocate to the Greek province, creating perhaps a new paradigm for conceptualising rural mobilities and their associated transformations. In that regard, we observe that counterurban mobilities are linked with changing cultural mobilities and phenomena including a new wave of ideas and creative activities (characterised by voluntarism and collectivism) and a shift in the patterns of cultural consumption. Therefore, we stress the need for a reconceptualising of counterurban mobilities in this context and highlight the need for more research that explores the role of creative expression and activity in times of crisis, particularly in the context of supporting the opportunities that an organically triggered rural cultural economy may offer. Copyright © 2015 John Wiley &amp; Sons, Ltd.","container-title":"Population, Space and Place","DOI":"10.1002/psp.1933","ISSN":"1544-8452","issue":"8","language":"en","license":"Copyright © 2015 John Wiley &amp; Sons, Ltd.","note":"_eprint: https://onlinelibrary.wiley.com/doi/pdf/10.1002/psp.1933","page":"843-855","source":"Wiley Online Library","title":"A Cultural Panic in the Province? Counterurban Mobilities, Creativity, and Crisis in Greece","title-short":"A Cultural Panic in the Province?","volume":"21","author":[{"family":"Gkartzios","given":"Menelaos"},{"family":"Scott","given":"Karen"}],"issued":{"date-parts":[["2015"]]}}},{"id":5882,"uris":["http://zotero.org/users/9756803/items/6BPDZWWI"],"itemData":{"id":5882,"type":"article-journal","abstract":"Remoundou K., Gkartzios M. and Garrod G. Conceptualizing mobility in times of crisis: towards crisis-led counterurbanization, Regional Studies. This study makes a novel theoretical and empirical contribution to the counterurbanization literature. Firstly, the research offers a new conceptualization by drawing on the potential for a crisis-led counterurbanization in Athens, Greece. Secondly, the paper employs a quantitative methodology – a choice experiment – to study such mobilities and examine the factors that may influence the choice of relocation. The results confirm the potential for a crisis-led counterurbanization, particularly among younger and unemployed individuals. The findings are important for conceptualizing mobility in times of crisis and for identifying areas that require policy attention due to the likely restructuring they will experience.","container-title":"Regional Studies","DOI":"10.1080/00343404.2015.1057561","ISSN":"0034-3404","issue":"10","note":"publisher: Routledge\n_eprint: https://doi.org/10.1080/00343404.2015.1057561","page":"1663-1674","source":"Taylor and Francis+NEJM","title":"Conceptualizing Mobility in Times of Crisis: Towards Crisis-Led Counterurbanization?","title-short":"Conceptualizing Mobility in Times of Crisis","volume":"50","author":[{"family":"Remoundou","given":"Kyriaki"},{"family":"Gkartzios","given":"Menelaos"},{"family":"Garrod","given":"Guy"}],"issued":{"date-parts":[["2016",10,2]]}}},{"id":5884,"uris":["http://zotero.org/users/9756803/items/HZZXSXBL"],"itemData":{"id":5884,"type":"article-journal","abstract":"Since the late 1990s, the concentration of economic growth has increased in the urban areas of Denmark while peripheral regions of the country struggle with stagnating or decreasing population and increasing unemployment rates. This paper analyses the migration patterns and motives of highly educated people who relocate from urban areas to settle in Denmark's peripheral regions. The study makes a novel empirical contribution to the counter urbanisation literature by using socioeconomic microdata along with interviews to identify trends and motives of counter-urban migration among highly educated people. The article demonstrates that counter-urban migration decreases in times of financial crisis, and that the motives for highly educated people to relocate to peripheral areas relate to their preferences for housing conditions, local natural, and social amenities, together with job opportunities. Additionally, age and household composition play important roles in the motives for relocating. While families with children perceive the new location as permanent, the young and newly graduated perceive it as a stepping stone for a future career.","container-title":"Population, Space and Place","DOI":"10.1002/psp.2076","ISSN":"1544-8452","issue":"8","language":"en","license":"Copyright © 2017 John Wiley &amp; Sons, Ltd.","note":"_eprint: https://onlinelibrary.wiley.com/doi/pdf/10.1002/psp.2076","page":"e2076","source":"Wiley Online Library","title":"On the location dynamics of highly educated people migrating to peripheral regions of Denmark","volume":"23","author":[{"family":"Hansen","given":"Høgni Kalsø"},{"family":"Aner","given":"Louise G."}],"issued":{"date-parts":[["2017"]]}}}],"schema":"https://github.com/citation-style-language/schema/raw/master/csl-citation.json"} </w:instrText>
      </w:r>
      <w:r w:rsidRPr="004666D3">
        <w:fldChar w:fldCharType="separate"/>
      </w:r>
      <w:r w:rsidR="00AE74BE" w:rsidRPr="004666D3">
        <w:rPr>
          <w:rFonts w:ascii="Calibri" w:hAnsi="Calibri" w:cs="Calibri"/>
        </w:rPr>
        <w:t>(Gkartzios, 2013; Gkartzios and Scott, 2015; Halfacree and Rivera, 2012; Hansen and Aner, 2017; Remoundou et al., 2016)</w:t>
      </w:r>
      <w:r w:rsidRPr="004666D3">
        <w:fldChar w:fldCharType="end"/>
      </w:r>
      <w:r w:rsidR="007C2B43" w:rsidRPr="004666D3">
        <w:t xml:space="preserve">. </w:t>
      </w:r>
      <w:bookmarkStart w:id="32" w:name="OLE_LINK56"/>
      <w:r w:rsidR="007C2B43" w:rsidRPr="004666D3">
        <w:t xml:space="preserve">However, </w:t>
      </w:r>
      <w:bookmarkStart w:id="33" w:name="OLE_LINK51"/>
      <w:r w:rsidR="007C2B43" w:rsidRPr="004666D3">
        <w:t xml:space="preserve">this approach </w:t>
      </w:r>
      <w:r w:rsidR="00B45BA7" w:rsidRPr="004666D3">
        <w:t>makes it</w:t>
      </w:r>
      <w:r w:rsidR="007C2B43" w:rsidRPr="004666D3">
        <w:t xml:space="preserve"> difficult to collect massive fine spatial data for measuring counter-urbani</w:t>
      </w:r>
      <w:r w:rsidR="00E32A4D" w:rsidRPr="004666D3">
        <w:t>s</w:t>
      </w:r>
      <w:r w:rsidR="007C2B43" w:rsidRPr="004666D3">
        <w:t>ation patterns for a large population across the country and over time</w:t>
      </w:r>
      <w:bookmarkStart w:id="34" w:name="OLE_LINK22"/>
      <w:bookmarkEnd w:id="31"/>
      <w:bookmarkEnd w:id="33"/>
      <w:r w:rsidR="007C2B43" w:rsidRPr="004666D3">
        <w:t>.</w:t>
      </w:r>
      <w:r w:rsidR="001B5828" w:rsidRPr="004666D3">
        <w:t xml:space="preserve"> </w:t>
      </w:r>
      <w:r w:rsidR="00856F37" w:rsidRPr="004666D3">
        <w:t xml:space="preserve">Consequently, a </w:t>
      </w:r>
      <w:r w:rsidR="007C2B43" w:rsidRPr="004666D3">
        <w:t xml:space="preserve">quantitative assessment becomes important for comparisons and predictions within broader contexts </w:t>
      </w:r>
      <w:bookmarkEnd w:id="32"/>
      <w:r w:rsidRPr="004666D3">
        <w:fldChar w:fldCharType="begin"/>
      </w:r>
      <w:r w:rsidRPr="004666D3">
        <w:instrText xml:space="preserve"> ADDIN ZOTERO_ITEM CSL_CITATION {"citationID":"gvzwFKXL","properties":{"formattedCitation":"(Smith, 2007)","plainCitation":"(Smith, 2007)","noteIndex":0},"citationItems":[{"id":5933,"uris":["http://zotero.org/users/9756803/items/PK7CPM7Y"],"itemData":{"id":5933,"type":"article-journal","collection-title":"The Changing Faces of Rural Populations","container-title":"Journal of Rural Studies","DOI":"10.1016/j.jrurstud.2007.03.001","ISSN":"0743-0167","issue":"3","journalAbbreviation":"Journal of Rural Studies","page":"275-282","source":"ScienceDirect","title":"The changing faces of rural populations: ‘“(re) Fixing” the gaze’ or ‘eyes wide shut’?","title-short":"The changing faces of rural populations","volume":"23","author":[{"family":"Smith","given":"Darren"}],"issued":{"date-parts":[["2007",7,1]]}}}],"schema":"https://github.com/citation-style-language/schema/raw/master/csl-citation.json"} </w:instrText>
      </w:r>
      <w:r w:rsidRPr="004666D3">
        <w:fldChar w:fldCharType="separate"/>
      </w:r>
      <w:r w:rsidR="00AE74BE" w:rsidRPr="004666D3">
        <w:rPr>
          <w:rFonts w:ascii="Calibri" w:hAnsi="Calibri" w:cs="Calibri"/>
        </w:rPr>
        <w:t>(Smith, 2007)</w:t>
      </w:r>
      <w:r w:rsidRPr="004666D3">
        <w:fldChar w:fldCharType="end"/>
      </w:r>
      <w:r w:rsidR="007C2B43" w:rsidRPr="004666D3">
        <w:t>.</w:t>
      </w:r>
      <w:bookmarkEnd w:id="34"/>
    </w:p>
    <w:bookmarkEnd w:id="30"/>
    <w:p w14:paraId="2CDDE3C3" w14:textId="77777777" w:rsidR="00081DF9" w:rsidRPr="004666D3" w:rsidRDefault="00081DF9" w:rsidP="00081DF9">
      <w:pPr>
        <w:spacing w:line="240" w:lineRule="auto"/>
        <w:rPr>
          <w:szCs w:val="24"/>
        </w:rPr>
      </w:pPr>
    </w:p>
    <w:p w14:paraId="1CFFA062" w14:textId="6544E21A" w:rsidR="00081DF9" w:rsidRPr="004666D3" w:rsidRDefault="00535D24" w:rsidP="15A3494B">
      <w:bookmarkStart w:id="35" w:name="OLE_LINK23"/>
      <w:bookmarkEnd w:id="14"/>
      <w:r w:rsidRPr="004666D3">
        <w:t xml:space="preserve">In this study, </w:t>
      </w:r>
      <w:r w:rsidR="00484E4F" w:rsidRPr="004666D3">
        <w:t xml:space="preserve">we quantitatively assessed counter-urbanisation by capitalising on gridded </w:t>
      </w:r>
      <w:r w:rsidR="00CB1ED3" w:rsidRPr="004666D3">
        <w:t>user count</w:t>
      </w:r>
      <w:r w:rsidR="00484E4F" w:rsidRPr="004666D3">
        <w:t xml:space="preserve"> data </w:t>
      </w:r>
      <w:r w:rsidR="002A5FC0" w:rsidRPr="004666D3">
        <w:t>from</w:t>
      </w:r>
      <w:r w:rsidR="008C5597" w:rsidRPr="004666D3">
        <w:t xml:space="preserve"> </w:t>
      </w:r>
      <w:r w:rsidR="00484E4F" w:rsidRPr="004666D3">
        <w:t xml:space="preserve">Facebook users, generated by the Data for Good programme at Meta </w:t>
      </w:r>
      <w:r w:rsidRPr="004666D3">
        <w:fldChar w:fldCharType="begin"/>
      </w:r>
      <w:r w:rsidRPr="004666D3">
        <w:instrText xml:space="preserve"> ADDIN ZOTERO_ITEM CSL_CITATION {"citationID":"pQNgLDmJ","properties":{"formattedCitation":"(Maas,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Pr="004666D3">
        <w:fldChar w:fldCharType="separate"/>
      </w:r>
      <w:r w:rsidRPr="004666D3">
        <w:rPr>
          <w:rFonts w:ascii="Calibri" w:hAnsi="Calibri" w:cs="Calibri"/>
        </w:rPr>
        <w:t>(Maas, 2019)</w:t>
      </w:r>
      <w:r w:rsidRPr="004666D3">
        <w:fldChar w:fldCharType="end"/>
      </w:r>
      <w:r w:rsidRPr="004666D3">
        <w:t xml:space="preserve">, to address these research gaps. </w:t>
      </w:r>
      <w:r w:rsidR="00132644" w:rsidRPr="004666D3">
        <w:t xml:space="preserve">We </w:t>
      </w:r>
      <w:r w:rsidR="00CE7E2A" w:rsidRPr="004666D3">
        <w:t>explored</w:t>
      </w:r>
      <w:r w:rsidR="00132644" w:rsidRPr="004666D3">
        <w:t xml:space="preserve"> the counter-urbanisation phenomenon </w:t>
      </w:r>
      <w:r w:rsidR="00CA79B9" w:rsidRPr="004666D3">
        <w:t>by measuring the relative changes in night-time Facebook user counts in urban centres, suburban and rural areas</w:t>
      </w:r>
      <w:r w:rsidR="00115F6E" w:rsidRPr="004666D3">
        <w:t>, as these reveal shifts in users’ residential locations</w:t>
      </w:r>
      <w:r w:rsidR="00132644" w:rsidRPr="004666D3">
        <w:t xml:space="preserve">. Additionally, </w:t>
      </w:r>
      <w:r w:rsidR="00716107" w:rsidRPr="004666D3">
        <w:t xml:space="preserve">we </w:t>
      </w:r>
      <w:bookmarkStart w:id="36" w:name="OLE_LINK115"/>
      <w:r w:rsidR="00716107" w:rsidRPr="004666D3">
        <w:t>compared the</w:t>
      </w:r>
      <w:r w:rsidR="008D48A6" w:rsidRPr="004666D3">
        <w:t xml:space="preserve"> </w:t>
      </w:r>
      <w:r w:rsidR="00543F26" w:rsidRPr="004666D3">
        <w:t>trends</w:t>
      </w:r>
      <w:r w:rsidR="00132644" w:rsidRPr="004666D3">
        <w:t xml:space="preserve"> during night-time and daytime </w:t>
      </w:r>
      <w:r w:rsidR="00807203" w:rsidRPr="004666D3">
        <w:t xml:space="preserve">to </w:t>
      </w:r>
      <w:r w:rsidR="55C2AF1B" w:rsidRPr="004666D3">
        <w:t xml:space="preserve">understand </w:t>
      </w:r>
      <w:r w:rsidR="1F77413C" w:rsidRPr="004666D3">
        <w:t>if</w:t>
      </w:r>
      <w:r w:rsidR="55C2AF1B" w:rsidRPr="004666D3">
        <w:t xml:space="preserve"> </w:t>
      </w:r>
      <w:r w:rsidR="00132644" w:rsidRPr="004666D3">
        <w:t xml:space="preserve">new rural residents </w:t>
      </w:r>
      <w:r w:rsidR="4154770B" w:rsidRPr="004666D3">
        <w:t>continue to commute</w:t>
      </w:r>
      <w:bookmarkEnd w:id="36"/>
      <w:r w:rsidR="4154770B" w:rsidRPr="004666D3">
        <w:t xml:space="preserve"> to</w:t>
      </w:r>
      <w:r w:rsidR="00000FEC" w:rsidRPr="004666D3">
        <w:t xml:space="preserve"> </w:t>
      </w:r>
      <w:r w:rsidR="00132644" w:rsidRPr="004666D3">
        <w:t xml:space="preserve">urban locations. </w:t>
      </w:r>
      <w:bookmarkStart w:id="37" w:name="OLE_LINK37"/>
      <w:r w:rsidR="404BBCB0" w:rsidRPr="004666D3">
        <w:t xml:space="preserve">As </w:t>
      </w:r>
      <w:r w:rsidR="00CB1ED3" w:rsidRPr="004666D3">
        <w:t>Facebook data</w:t>
      </w:r>
      <w:r w:rsidR="404BBCB0" w:rsidRPr="004666D3">
        <w:t xml:space="preserve"> extends past the end of the </w:t>
      </w:r>
      <w:r w:rsidR="03C37BF0" w:rsidRPr="004666D3">
        <w:t>most intensive</w:t>
      </w:r>
      <w:r w:rsidR="404BBCB0" w:rsidRPr="004666D3">
        <w:t xml:space="preserve"> </w:t>
      </w:r>
      <w:r w:rsidR="00924DDE" w:rsidRPr="004666D3">
        <w:t>COVID</w:t>
      </w:r>
      <w:r w:rsidR="404BBCB0" w:rsidRPr="004666D3">
        <w:t xml:space="preserve">-19 </w:t>
      </w:r>
      <w:r w:rsidR="72A52F90" w:rsidRPr="004666D3">
        <w:t>restrictions</w:t>
      </w:r>
      <w:r w:rsidR="404BBCB0" w:rsidRPr="004666D3">
        <w:t>, o</w:t>
      </w:r>
      <w:r w:rsidR="009E7FAF" w:rsidRPr="004666D3">
        <w:t xml:space="preserve">ur study </w:t>
      </w:r>
      <w:r w:rsidR="70518375" w:rsidRPr="004666D3">
        <w:t xml:space="preserve">is also able to identify </w:t>
      </w:r>
      <w:r w:rsidR="00B1281D" w:rsidRPr="004666D3">
        <w:t>areas</w:t>
      </w:r>
      <w:r w:rsidR="6A4F6620" w:rsidRPr="004666D3">
        <w:t xml:space="preserve"> where counter-urbani</w:t>
      </w:r>
      <w:r w:rsidR="00F13C66" w:rsidRPr="004666D3">
        <w:t>s</w:t>
      </w:r>
      <w:r w:rsidR="6A4F6620" w:rsidRPr="004666D3">
        <w:t xml:space="preserve">ation trends </w:t>
      </w:r>
      <w:r w:rsidR="4964AB82" w:rsidRPr="004666D3">
        <w:t xml:space="preserve">may </w:t>
      </w:r>
      <w:r w:rsidR="6A4F6620" w:rsidRPr="004666D3">
        <w:t>continu</w:t>
      </w:r>
      <w:r w:rsidR="3250B043" w:rsidRPr="004666D3">
        <w:t>e</w:t>
      </w:r>
      <w:r w:rsidR="6A4F6620" w:rsidRPr="004666D3">
        <w:t xml:space="preserve"> after the pandemic, as well as </w:t>
      </w:r>
      <w:r w:rsidR="00587E91" w:rsidRPr="004666D3">
        <w:t>those</w:t>
      </w:r>
      <w:r w:rsidR="6A4F6620" w:rsidRPr="004666D3">
        <w:t xml:space="preserve"> </w:t>
      </w:r>
      <w:r w:rsidR="00406C7F" w:rsidRPr="004666D3">
        <w:t xml:space="preserve">that </w:t>
      </w:r>
      <w:r w:rsidR="6A4F6620" w:rsidRPr="004666D3">
        <w:t xml:space="preserve">only experienced a temporary </w:t>
      </w:r>
      <w:r w:rsidR="00F13C66" w:rsidRPr="004666D3">
        <w:t>increase</w:t>
      </w:r>
      <w:r w:rsidR="6A4F6620" w:rsidRPr="004666D3">
        <w:t xml:space="preserve"> </w:t>
      </w:r>
      <w:r w:rsidR="00B55366" w:rsidRPr="004666D3">
        <w:t xml:space="preserve">in rural residents </w:t>
      </w:r>
      <w:r w:rsidR="6C54D8C5" w:rsidRPr="004666D3">
        <w:t>in</w:t>
      </w:r>
      <w:r w:rsidR="6A4F6620" w:rsidRPr="004666D3">
        <w:t xml:space="preserve"> response to the pandemic</w:t>
      </w:r>
      <w:r w:rsidR="0BA9FB63" w:rsidRPr="004666D3">
        <w:t>.</w:t>
      </w:r>
      <w:r w:rsidR="6A4F6620" w:rsidRPr="004666D3">
        <w:t xml:space="preserve"> </w:t>
      </w:r>
      <w:r w:rsidR="0BA9FB63" w:rsidRPr="004666D3">
        <w:t>It thereby</w:t>
      </w:r>
      <w:r w:rsidR="6A4F6620" w:rsidRPr="004666D3">
        <w:t xml:space="preserve"> </w:t>
      </w:r>
      <w:r w:rsidR="00F13C66" w:rsidRPr="004666D3">
        <w:t>contributes</w:t>
      </w:r>
      <w:r w:rsidR="009E7FAF" w:rsidRPr="004666D3">
        <w:t xml:space="preserve"> to extending existing understanding of counter-urbanisation during the pandemic</w:t>
      </w:r>
      <w:r w:rsidR="4698F205" w:rsidRPr="004666D3">
        <w:t>.</w:t>
      </w:r>
      <w:bookmarkEnd w:id="37"/>
      <w:r w:rsidR="4698F205" w:rsidRPr="004666D3">
        <w:t xml:space="preserve"> </w:t>
      </w:r>
      <w:r w:rsidR="009E7FAF" w:rsidRPr="004666D3">
        <w:t xml:space="preserve">Additionally, this study provides a unique insight into the different dynamic </w:t>
      </w:r>
      <w:r w:rsidR="009E7FAF" w:rsidRPr="004666D3">
        <w:lastRenderedPageBreak/>
        <w:t xml:space="preserve">characteristics between Belgium and Thailand, which are representative of a high-income country and a middle-income country, respectively. </w:t>
      </w:r>
      <w:r w:rsidR="3D5D786B" w:rsidRPr="004666D3">
        <w:t>Finally, our study</w:t>
      </w:r>
      <w:r w:rsidR="009E7FAF" w:rsidRPr="004666D3">
        <w:t xml:space="preserve"> demonstrate</w:t>
      </w:r>
      <w:r w:rsidR="000138C0" w:rsidRPr="004666D3">
        <w:t>s</w:t>
      </w:r>
      <w:r w:rsidR="009E7FAF" w:rsidRPr="004666D3">
        <w:t xml:space="preserve"> the potential of using novel data sources and our methodology to detect plausible population dynamics</w:t>
      </w:r>
      <w:r w:rsidR="11D0C24C" w:rsidRPr="004666D3">
        <w:t xml:space="preserve"> across a wide range of countries for which the Facebook </w:t>
      </w:r>
      <w:r w:rsidR="005B71BB" w:rsidRPr="004666D3">
        <w:t>data</w:t>
      </w:r>
      <w:r w:rsidR="11D0C24C" w:rsidRPr="004666D3">
        <w:t xml:space="preserve"> exists,</w:t>
      </w:r>
      <w:r w:rsidR="009E7FAF" w:rsidRPr="004666D3">
        <w:t xml:space="preserve"> and </w:t>
      </w:r>
      <w:bookmarkStart w:id="38" w:name="OLE_LINK120"/>
      <w:r w:rsidR="009E7FAF" w:rsidRPr="004666D3">
        <w:t>its utility for achieving a more nuanced and comprehensive understanding of quantitative counter-urbanisation than has been possible to date</w:t>
      </w:r>
      <w:bookmarkEnd w:id="38"/>
      <w:r w:rsidR="003438C5" w:rsidRPr="004666D3">
        <w:t xml:space="preserve">. </w:t>
      </w:r>
      <w:bookmarkEnd w:id="35"/>
    </w:p>
    <w:p w14:paraId="696F7C71" w14:textId="77777777" w:rsidR="00081DF9" w:rsidRPr="004666D3" w:rsidRDefault="00081DF9" w:rsidP="00081DF9">
      <w:pPr>
        <w:spacing w:line="240" w:lineRule="auto"/>
        <w:rPr>
          <w:szCs w:val="24"/>
        </w:rPr>
      </w:pPr>
    </w:p>
    <w:p w14:paraId="1781FD6F" w14:textId="1F5F5E15" w:rsidR="00692EA5" w:rsidRPr="004666D3" w:rsidRDefault="009B7717" w:rsidP="005646E2">
      <w:pPr>
        <w:pStyle w:val="mysubtitle"/>
      </w:pPr>
      <w:r w:rsidRPr="004666D3">
        <w:t xml:space="preserve">2. </w:t>
      </w:r>
      <w:r w:rsidR="00587915" w:rsidRPr="004666D3">
        <w:t>D</w:t>
      </w:r>
      <w:r w:rsidRPr="004666D3">
        <w:t>ata</w:t>
      </w:r>
      <w:r w:rsidR="00A22B5D" w:rsidRPr="004666D3">
        <w:t xml:space="preserve"> and </w:t>
      </w:r>
      <w:r w:rsidR="00587915" w:rsidRPr="004666D3">
        <w:t>M</w:t>
      </w:r>
      <w:r w:rsidR="00A22B5D" w:rsidRPr="004666D3">
        <w:t>ethodology</w:t>
      </w:r>
    </w:p>
    <w:p w14:paraId="7C0A1217" w14:textId="344AF144" w:rsidR="00936574" w:rsidRPr="004666D3" w:rsidRDefault="00936574" w:rsidP="005646E2">
      <w:pPr>
        <w:pStyle w:val="mysubtitle"/>
      </w:pPr>
      <w:r w:rsidRPr="004666D3">
        <w:t>2.1 Study area</w:t>
      </w:r>
    </w:p>
    <w:p w14:paraId="02F8C390" w14:textId="7AAA658E" w:rsidR="000D3FA6" w:rsidRPr="004666D3" w:rsidRDefault="006F214F" w:rsidP="1A3A3DF8">
      <w:bookmarkStart w:id="39" w:name="OLE_LINK122"/>
      <w:bookmarkStart w:id="40" w:name="OLE_LINK42"/>
      <w:bookmarkStart w:id="41" w:name="OLE_LINK1"/>
      <w:r w:rsidRPr="004666D3">
        <w:t>We selected Belgium, a high-income country, and Thailand, a middle-income country, as examples for this study</w:t>
      </w:r>
      <w:r w:rsidR="3A9912B4" w:rsidRPr="004666D3">
        <w:t xml:space="preserve">. </w:t>
      </w:r>
      <w:r w:rsidR="00022112" w:rsidRPr="004666D3">
        <w:t>T</w:t>
      </w:r>
      <w:r w:rsidR="488BA5C3" w:rsidRPr="004666D3">
        <w:t xml:space="preserve">hese particular countries </w:t>
      </w:r>
      <w:r w:rsidR="00022112" w:rsidRPr="004666D3">
        <w:t xml:space="preserve">were chosen </w:t>
      </w:r>
      <w:r w:rsidR="006055EA" w:rsidRPr="004666D3">
        <w:t>because</w:t>
      </w:r>
      <w:r w:rsidR="00F46305" w:rsidRPr="004666D3">
        <w:t xml:space="preserve"> </w:t>
      </w:r>
      <w:r w:rsidR="00F254C0" w:rsidRPr="004666D3">
        <w:t>our team</w:t>
      </w:r>
      <w:r w:rsidR="00F46305" w:rsidRPr="004666D3">
        <w:t xml:space="preserve"> ha</w:t>
      </w:r>
      <w:r w:rsidR="0083265F" w:rsidRPr="004666D3">
        <w:t>s</w:t>
      </w:r>
      <w:r w:rsidR="00F46305" w:rsidRPr="004666D3">
        <w:t xml:space="preserve"> a good in-depth understanding </w:t>
      </w:r>
      <w:r w:rsidR="00387003" w:rsidRPr="004666D3">
        <w:t>of</w:t>
      </w:r>
      <w:r w:rsidR="0083265F" w:rsidRPr="004666D3">
        <w:t xml:space="preserve"> the </w:t>
      </w:r>
      <w:r w:rsidR="00F46305" w:rsidRPr="004666D3">
        <w:t>population dynamics</w:t>
      </w:r>
      <w:r w:rsidR="6F8950A9" w:rsidRPr="004666D3">
        <w:t xml:space="preserve"> </w:t>
      </w:r>
      <w:r w:rsidR="00A94F25" w:rsidRPr="004666D3">
        <w:t>in</w:t>
      </w:r>
      <w:r w:rsidR="6F8950A9" w:rsidRPr="004666D3">
        <w:t xml:space="preserve"> both</w:t>
      </w:r>
      <w:r w:rsidR="670FD7D8" w:rsidRPr="004666D3">
        <w:t xml:space="preserve">, and both </w:t>
      </w:r>
      <w:bookmarkEnd w:id="39"/>
      <w:r w:rsidRPr="004666D3">
        <w:t xml:space="preserve">countries have </w:t>
      </w:r>
      <w:r w:rsidR="00C125BC" w:rsidRPr="004666D3">
        <w:t xml:space="preserve">a </w:t>
      </w:r>
      <w:r w:rsidRPr="004666D3">
        <w:t xml:space="preserve">high percentage of Facebook app usage, with </w:t>
      </w:r>
      <w:r w:rsidR="00B670B9" w:rsidRPr="004666D3">
        <w:t xml:space="preserve">nearly </w:t>
      </w:r>
      <w:r w:rsidR="00064712" w:rsidRPr="004666D3">
        <w:t>54</w:t>
      </w:r>
      <w:r w:rsidRPr="004666D3">
        <w:t xml:space="preserve">% and </w:t>
      </w:r>
      <w:r w:rsidR="0057551A" w:rsidRPr="004666D3">
        <w:t>67</w:t>
      </w:r>
      <w:r w:rsidRPr="004666D3">
        <w:t xml:space="preserve">% of their respective total population </w:t>
      </w:r>
      <w:bookmarkEnd w:id="40"/>
      <w:r w:rsidRPr="004666D3">
        <w:fldChar w:fldCharType="begin"/>
      </w:r>
      <w:r w:rsidRPr="004666D3">
        <w:instrText xml:space="preserve"> ADDIN ZOTERO_ITEM CSL_CITATION {"citationID":"grOCuwLk","properties":{"formattedCitation":"(World Population Review, 2023)","plainCitation":"(World Population Review, 2023)","noteIndex":0},"citationItems":[{"id":4372,"uris":["http://zotero.org/users/9756803/items/E6G8UIRE"],"itemData":{"id":4372,"type":"webpage","title":"Facebook Users by Country 2023","URL":"https://worldpopulationreview.com/country-rankings/facebook-users-by-country","author":[{"literal":"World Population Review"}],"accessed":{"date-parts":[["2023",3,17]]},"issued":{"date-parts":[["2023"]]}}}],"schema":"https://github.com/citation-style-language/schema/raw/master/csl-citation.json"} </w:instrText>
      </w:r>
      <w:r w:rsidRPr="004666D3">
        <w:fldChar w:fldCharType="separate"/>
      </w:r>
      <w:r w:rsidR="00AE74BE" w:rsidRPr="004666D3">
        <w:rPr>
          <w:rFonts w:ascii="Calibri" w:hAnsi="Calibri" w:cs="Calibri"/>
        </w:rPr>
        <w:t>(World Population Review, 2023)</w:t>
      </w:r>
      <w:r w:rsidRPr="004666D3">
        <w:fldChar w:fldCharType="end"/>
      </w:r>
      <w:r w:rsidRPr="004666D3">
        <w:t xml:space="preserve">. </w:t>
      </w:r>
      <w:bookmarkStart w:id="42" w:name="OLE_LINK88"/>
      <w:bookmarkStart w:id="43" w:name="OLE_LINK76"/>
      <w:r w:rsidR="002B4F43" w:rsidRPr="004666D3">
        <w:t>In addition, a</w:t>
      </w:r>
      <w:r w:rsidRPr="004666D3">
        <w:t xml:space="preserve">mong countries with available Facebook </w:t>
      </w:r>
      <w:r w:rsidR="00E542CE" w:rsidRPr="004666D3">
        <w:t xml:space="preserve">user count </w:t>
      </w:r>
      <w:r w:rsidRPr="004666D3">
        <w:t>data</w:t>
      </w:r>
      <w:r w:rsidR="00A4375F" w:rsidRPr="004666D3">
        <w:t xml:space="preserve"> over </w:t>
      </w:r>
      <w:r w:rsidR="00A654A9" w:rsidRPr="004666D3">
        <w:t>two</w:t>
      </w:r>
      <w:r w:rsidR="00A4375F" w:rsidRPr="004666D3">
        <w:t xml:space="preserve"> years</w:t>
      </w:r>
      <w:r w:rsidRPr="004666D3">
        <w:t xml:space="preserve">, Belgium and Thailand </w:t>
      </w:r>
      <w:r w:rsidR="00ED7BAB" w:rsidRPr="004666D3">
        <w:t>have</w:t>
      </w:r>
      <w:r w:rsidR="00943D3C" w:rsidRPr="004666D3">
        <w:t xml:space="preserve"> </w:t>
      </w:r>
      <w:r w:rsidR="00D62D2A" w:rsidRPr="004666D3">
        <w:t xml:space="preserve">more granular datasets </w:t>
      </w:r>
      <w:r w:rsidR="00313F85" w:rsidRPr="004666D3">
        <w:t>within the</w:t>
      </w:r>
      <w:r w:rsidR="003F776C" w:rsidRPr="004666D3">
        <w:t>ir</w:t>
      </w:r>
      <w:r w:rsidR="000D5BE0" w:rsidRPr="004666D3">
        <w:t xml:space="preserve"> respective</w:t>
      </w:r>
      <w:r w:rsidR="00C568FB" w:rsidRPr="004666D3">
        <w:t xml:space="preserve"> </w:t>
      </w:r>
      <w:r w:rsidR="00313F85" w:rsidRPr="004666D3">
        <w:t>high- and middle-income countr</w:t>
      </w:r>
      <w:r w:rsidR="001D6B33" w:rsidRPr="004666D3">
        <w:t>y</w:t>
      </w:r>
      <w:r w:rsidR="00313F85" w:rsidRPr="004666D3">
        <w:t xml:space="preserve"> </w:t>
      </w:r>
      <w:r w:rsidR="001A7195" w:rsidRPr="004666D3">
        <w:t>categories</w:t>
      </w:r>
      <w:r w:rsidR="009645CB" w:rsidRPr="004666D3">
        <w:t>, providing</w:t>
      </w:r>
      <w:r w:rsidR="00525F55" w:rsidRPr="004666D3">
        <w:t xml:space="preserve"> </w:t>
      </w:r>
      <w:r w:rsidR="00CA0B24" w:rsidRPr="004666D3">
        <w:t xml:space="preserve">their </w:t>
      </w:r>
      <w:r w:rsidR="00A97573" w:rsidRPr="004666D3">
        <w:t xml:space="preserve">user </w:t>
      </w:r>
      <w:r w:rsidR="00525F55" w:rsidRPr="004666D3">
        <w:t>count</w:t>
      </w:r>
      <w:r w:rsidR="0076632E" w:rsidRPr="004666D3">
        <w:t xml:space="preserve"> data</w:t>
      </w:r>
      <w:r w:rsidR="00525F55" w:rsidRPr="004666D3">
        <w:t xml:space="preserve"> </w:t>
      </w:r>
      <w:r w:rsidR="001C2626" w:rsidRPr="004666D3">
        <w:t xml:space="preserve">with </w:t>
      </w:r>
      <w:r w:rsidR="000D5BE0" w:rsidRPr="004666D3">
        <w:t>finer</w:t>
      </w:r>
      <w:r w:rsidR="00D95380" w:rsidRPr="004666D3">
        <w:t xml:space="preserve"> </w:t>
      </w:r>
      <w:r w:rsidR="00A67FCA" w:rsidRPr="004666D3">
        <w:t xml:space="preserve">spatial </w:t>
      </w:r>
      <w:r w:rsidR="00D62D2A" w:rsidRPr="004666D3">
        <w:t>detail</w:t>
      </w:r>
      <w:bookmarkEnd w:id="42"/>
      <w:r w:rsidRPr="004666D3">
        <w:t xml:space="preserve">. </w:t>
      </w:r>
      <w:bookmarkEnd w:id="43"/>
      <w:r w:rsidRPr="004666D3">
        <w:t>Their other contrasting characteristics, from their geographical locations in Europe and Asia to their differing urbanisation levels</w:t>
      </w:r>
      <w:r w:rsidR="007A6C44" w:rsidRPr="004666D3">
        <w:t xml:space="preserve"> – </w:t>
      </w:r>
      <w:r w:rsidRPr="004666D3">
        <w:t xml:space="preserve">98% for Belgium and 52% for Thailand </w:t>
      </w:r>
      <w:r w:rsidRPr="004666D3">
        <w:fldChar w:fldCharType="begin"/>
      </w:r>
      <w:r w:rsidRPr="004666D3">
        <w:instrText xml:space="preserve"> ADDIN ZOTERO_ITEM CSL_CITATION {"citationID":"k4ypQ00v","properties":{"formattedCitation":"(World Bank, 2021)","plainCitation":"(World Bank, 2021)","noteIndex":0},"citationItems":[{"id":4544,"uris":["http://zotero.org/users/9756803/items/ZE3UZGNV"],"itemData":{"id":4544,"type":"webpage","note":"titleTranslation:","title":"Urban population (% of total population)","URL":"https://data.worldbank.org/indicator/SP.URB.TOTL.IN.ZS","author":[{"family":"World Bank","given":""}],"accessed":{"date-parts":[["2023",3,25]]},"issued":{"date-parts":[["2021"]]}}}],"schema":"https://github.com/citation-style-language/schema/raw/master/csl-citation.json"} </w:instrText>
      </w:r>
      <w:r w:rsidRPr="004666D3">
        <w:fldChar w:fldCharType="separate"/>
      </w:r>
      <w:r w:rsidR="00AE74BE" w:rsidRPr="004666D3">
        <w:rPr>
          <w:rFonts w:ascii="Calibri" w:hAnsi="Calibri" w:cs="Calibri"/>
        </w:rPr>
        <w:t>(World Bank, 2021)</w:t>
      </w:r>
      <w:r w:rsidRPr="004666D3">
        <w:fldChar w:fldCharType="end"/>
      </w:r>
      <w:r w:rsidR="007A6C44" w:rsidRPr="004666D3">
        <w:t xml:space="preserve"> – </w:t>
      </w:r>
      <w:r w:rsidRPr="004666D3">
        <w:t xml:space="preserve">make them representative of a much wider group of countries. </w:t>
      </w:r>
      <w:bookmarkStart w:id="44" w:name="OLE_LINK93"/>
      <w:r w:rsidRPr="004666D3">
        <w:t>Belgium is one of the most urbanised countries around the world</w:t>
      </w:r>
      <w:bookmarkEnd w:id="44"/>
      <w:r w:rsidRPr="004666D3">
        <w:t>, while Thailand has witnessed one of the most rapid</w:t>
      </w:r>
      <w:r w:rsidR="24D4E331" w:rsidRPr="004666D3">
        <w:t xml:space="preserve"> increases in</w:t>
      </w:r>
      <w:r w:rsidRPr="004666D3">
        <w:t xml:space="preserve"> urbanisation over the past two decades</w:t>
      </w:r>
      <w:r w:rsidR="00252218" w:rsidRPr="004666D3">
        <w:t xml:space="preserve"> </w:t>
      </w:r>
      <w:r w:rsidRPr="004666D3">
        <w:fldChar w:fldCharType="begin"/>
      </w:r>
      <w:r w:rsidRPr="004666D3">
        <w:instrText xml:space="preserve"> ADDIN ZOTERO_ITEM CSL_CITATION {"citationID":"byiKk3rn","properties":{"formattedCitation":"(World Bank, 2021)","plainCitation":"(World Bank, 2021)","noteIndex":0},"citationItems":[{"id":4544,"uris":["http://zotero.org/users/9756803/items/ZE3UZGNV"],"itemData":{"id":4544,"type":"webpage","note":"titleTranslation:","title":"Urban population (% of total population)","URL":"https://data.worldbank.org/indicator/SP.URB.TOTL.IN.ZS","author":[{"family":"World Bank","given":""}],"accessed":{"date-parts":[["2023",3,25]]},"issued":{"date-parts":[["2021"]]}}}],"schema":"https://github.com/citation-style-language/schema/raw/master/csl-citation.json"} </w:instrText>
      </w:r>
      <w:r w:rsidRPr="004666D3">
        <w:fldChar w:fldCharType="separate"/>
      </w:r>
      <w:r w:rsidR="00252218" w:rsidRPr="004666D3">
        <w:rPr>
          <w:rFonts w:ascii="Calibri" w:hAnsi="Calibri" w:cs="Calibri"/>
        </w:rPr>
        <w:t>(World Bank, 2021)</w:t>
      </w:r>
      <w:r w:rsidRPr="004666D3">
        <w:fldChar w:fldCharType="end"/>
      </w:r>
      <w:r w:rsidRPr="004666D3">
        <w:t xml:space="preserve">. </w:t>
      </w:r>
      <w:r w:rsidR="00702AD1" w:rsidRPr="004666D3">
        <w:t xml:space="preserve">In addition, </w:t>
      </w:r>
      <w:r w:rsidR="7C903F5C" w:rsidRPr="004666D3">
        <w:t>the two countries vary enormously in the proportion of areas with missing data</w:t>
      </w:r>
      <w:r w:rsidR="59EFCF2D" w:rsidRPr="004666D3">
        <w:t xml:space="preserve"> </w:t>
      </w:r>
      <w:r w:rsidR="19362C85" w:rsidRPr="004666D3">
        <w:t xml:space="preserve">(tiles with very low counts, which are removed by </w:t>
      </w:r>
      <w:r w:rsidR="19362C85" w:rsidRPr="004666D3">
        <w:lastRenderedPageBreak/>
        <w:t>Facebook due to privacy concerns)</w:t>
      </w:r>
      <w:r w:rsidR="7C903F5C" w:rsidRPr="004666D3">
        <w:t xml:space="preserve">. Specifically, Belgium and Thailand have varied missing data proportions of approximately 65% and 10%, respectively. This is </w:t>
      </w:r>
      <w:r w:rsidR="6B14409F" w:rsidRPr="004666D3">
        <w:t>useful</w:t>
      </w:r>
      <w:r w:rsidR="7C903F5C" w:rsidRPr="004666D3">
        <w:t xml:space="preserve">, as </w:t>
      </w:r>
      <w:r w:rsidR="5B36529A" w:rsidRPr="004666D3">
        <w:t>one</w:t>
      </w:r>
      <w:r w:rsidR="7C903F5C" w:rsidRPr="004666D3">
        <w:t xml:space="preserve"> goal of our </w:t>
      </w:r>
      <w:r w:rsidR="1ABC9DE6" w:rsidRPr="004666D3">
        <w:t>method was to develop an impu</w:t>
      </w:r>
      <w:r w:rsidR="71F0BE32" w:rsidRPr="004666D3">
        <w:t>tation approach to address the issue of missing data within the Facebook dataset.</w:t>
      </w:r>
      <w:r w:rsidR="00984FE5" w:rsidRPr="004666D3">
        <w:t xml:space="preserve"> </w:t>
      </w:r>
      <w:r w:rsidR="645B01B7" w:rsidRPr="004666D3">
        <w:t xml:space="preserve">Ideally, we would have also included a low-income country in this study; however, this was not possible due to their </w:t>
      </w:r>
      <w:r w:rsidRPr="004666D3">
        <w:t>very limited Facebook usage</w:t>
      </w:r>
      <w:r w:rsidR="00AB287A" w:rsidRPr="004666D3">
        <w:t xml:space="preserve"> and </w:t>
      </w:r>
      <w:r w:rsidR="00E123EA" w:rsidRPr="004666D3">
        <w:t>sparse data</w:t>
      </w:r>
      <w:r w:rsidR="4C252C9A" w:rsidRPr="004666D3">
        <w:t xml:space="preserve"> availability</w:t>
      </w:r>
      <w:r w:rsidRPr="004666D3">
        <w:t xml:space="preserve">. </w:t>
      </w:r>
    </w:p>
    <w:bookmarkEnd w:id="41"/>
    <w:p w14:paraId="29432177" w14:textId="77777777" w:rsidR="00873E5C" w:rsidRPr="004666D3" w:rsidRDefault="00873E5C" w:rsidP="00081DF9">
      <w:pPr>
        <w:spacing w:line="240" w:lineRule="auto"/>
        <w:rPr>
          <w:szCs w:val="24"/>
        </w:rPr>
      </w:pPr>
    </w:p>
    <w:p w14:paraId="3AA6FBD0" w14:textId="15E94F05" w:rsidR="00385037" w:rsidRPr="004666D3" w:rsidRDefault="00587915" w:rsidP="005646E2">
      <w:pPr>
        <w:pStyle w:val="mysubtitle"/>
      </w:pPr>
      <w:r w:rsidRPr="004666D3">
        <w:t>2.</w:t>
      </w:r>
      <w:r w:rsidR="00936574" w:rsidRPr="004666D3">
        <w:t xml:space="preserve">2 </w:t>
      </w:r>
      <w:r w:rsidRPr="004666D3">
        <w:t xml:space="preserve">Facebook </w:t>
      </w:r>
      <w:r w:rsidR="009567B0" w:rsidRPr="004666D3">
        <w:t xml:space="preserve">data </w:t>
      </w:r>
    </w:p>
    <w:p w14:paraId="0355E645" w14:textId="3B77C58C" w:rsidR="0006595B" w:rsidRPr="004666D3" w:rsidRDefault="004E4231" w:rsidP="29710AA3">
      <w:bookmarkStart w:id="45" w:name="OLE_LINK52"/>
      <w:bookmarkStart w:id="46" w:name="OLE_LINK53"/>
      <w:r w:rsidRPr="004666D3">
        <w:t xml:space="preserve">The Data for Good programme at Meta </w:t>
      </w:r>
      <w:r w:rsidR="00732AD0" w:rsidRPr="004666D3">
        <w:t>provides</w:t>
      </w:r>
      <w:r w:rsidR="283DA1CD" w:rsidRPr="004666D3">
        <w:rPr>
          <w:szCs w:val="24"/>
        </w:rPr>
        <w:t xml:space="preserve"> </w:t>
      </w:r>
      <w:r w:rsidR="7D3A7AF1" w:rsidRPr="004666D3">
        <w:t xml:space="preserve">anonymised </w:t>
      </w:r>
      <w:r w:rsidR="283DA1CD" w:rsidRPr="004666D3">
        <w:t xml:space="preserve">and aggregated </w:t>
      </w:r>
      <w:r w:rsidR="002C645D" w:rsidRPr="004666D3">
        <w:t xml:space="preserve">data on the </w:t>
      </w:r>
      <w:r w:rsidR="00F64EB2" w:rsidRPr="004666D3">
        <w:t>number of</w:t>
      </w:r>
      <w:r w:rsidR="283DA1CD" w:rsidRPr="004666D3">
        <w:rPr>
          <w:szCs w:val="24"/>
        </w:rPr>
        <w:t xml:space="preserve"> </w:t>
      </w:r>
      <w:r w:rsidR="60F23FFF" w:rsidRPr="004666D3">
        <w:t xml:space="preserve">Facebook </w:t>
      </w:r>
      <w:r w:rsidR="1E47B7A9" w:rsidRPr="004666D3">
        <w:t>a</w:t>
      </w:r>
      <w:r w:rsidR="60F23FFF" w:rsidRPr="004666D3">
        <w:t xml:space="preserve">pp </w:t>
      </w:r>
      <w:r w:rsidR="488B341B" w:rsidRPr="004666D3">
        <w:t>users wh</w:t>
      </w:r>
      <w:r w:rsidR="083FB32F" w:rsidRPr="004666D3">
        <w:t xml:space="preserve">o have </w:t>
      </w:r>
      <w:r w:rsidR="0B3564B2" w:rsidRPr="004666D3">
        <w:t xml:space="preserve">agreed to </w:t>
      </w:r>
      <w:r w:rsidR="3C0F1C06" w:rsidRPr="004666D3">
        <w:t xml:space="preserve">share </w:t>
      </w:r>
      <w:r w:rsidR="17BAB0AA" w:rsidRPr="004666D3">
        <w:t xml:space="preserve">the </w:t>
      </w:r>
      <w:r w:rsidR="3C0F1C06" w:rsidRPr="004666D3">
        <w:t>location</w:t>
      </w:r>
      <w:r w:rsidR="41158AC0" w:rsidRPr="004666D3">
        <w:rPr>
          <w:szCs w:val="24"/>
        </w:rPr>
        <w:t xml:space="preserve"> </w:t>
      </w:r>
      <w:r w:rsidR="5B7737BB" w:rsidRPr="004666D3">
        <w:t xml:space="preserve">history </w:t>
      </w:r>
      <w:r w:rsidR="41158AC0" w:rsidRPr="004666D3">
        <w:t>of</w:t>
      </w:r>
      <w:r w:rsidR="3C0F1C06" w:rsidRPr="004666D3">
        <w:rPr>
          <w:szCs w:val="24"/>
        </w:rPr>
        <w:t xml:space="preserve"> </w:t>
      </w:r>
      <w:r w:rsidR="41158AC0" w:rsidRPr="004666D3">
        <w:t>their mobile devices</w:t>
      </w:r>
      <w:r w:rsidR="00E577ED" w:rsidRPr="004666D3">
        <w:rPr>
          <w:szCs w:val="24"/>
        </w:rPr>
        <w:t xml:space="preserve"> </w:t>
      </w:r>
      <w:bookmarkEnd w:id="45"/>
      <w:r w:rsidR="00E577ED" w:rsidRPr="004666D3">
        <w:rPr>
          <w:szCs w:val="24"/>
        </w:rPr>
        <w:fldChar w:fldCharType="begin"/>
      </w:r>
      <w:r w:rsidR="00E577ED" w:rsidRPr="004666D3">
        <w:rPr>
          <w:szCs w:val="24"/>
        </w:rPr>
        <w:instrText xml:space="preserve"> ADDIN ZOTERO_ITEM CSL_CITATION {"citationID":"mvHLuhsR","properties":{"formattedCitation":"(Maas,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00E577ED" w:rsidRPr="004666D3">
        <w:rPr>
          <w:szCs w:val="24"/>
        </w:rPr>
        <w:fldChar w:fldCharType="separate"/>
      </w:r>
      <w:r w:rsidR="00AE74BE" w:rsidRPr="004666D3">
        <w:rPr>
          <w:rFonts w:ascii="Calibri" w:hAnsi="Calibri" w:cs="Calibri"/>
        </w:rPr>
        <w:t>(Maas, 2019)</w:t>
      </w:r>
      <w:r w:rsidR="00E577ED" w:rsidRPr="004666D3">
        <w:rPr>
          <w:szCs w:val="24"/>
        </w:rPr>
        <w:fldChar w:fldCharType="end"/>
      </w:r>
      <w:r w:rsidR="005D503C" w:rsidRPr="004666D3">
        <w:rPr>
          <w:szCs w:val="24"/>
        </w:rPr>
        <w:t xml:space="preserve">. </w:t>
      </w:r>
      <w:r w:rsidR="00D93A61" w:rsidRPr="004666D3">
        <w:t>These numbers</w:t>
      </w:r>
      <w:r w:rsidR="00745CCF" w:rsidRPr="004666D3">
        <w:rPr>
          <w:szCs w:val="24"/>
        </w:rPr>
        <w:t>,</w:t>
      </w:r>
      <w:r w:rsidR="41158AC0" w:rsidRPr="004666D3">
        <w:rPr>
          <w:szCs w:val="24"/>
        </w:rPr>
        <w:t xml:space="preserve"> </w:t>
      </w:r>
      <w:r w:rsidR="00D93A61" w:rsidRPr="004666D3">
        <w:t xml:space="preserve">collected </w:t>
      </w:r>
      <w:r w:rsidR="00261EDF" w:rsidRPr="004666D3">
        <w:t xml:space="preserve">in </w:t>
      </w:r>
      <w:r w:rsidR="004E1E3F" w:rsidRPr="004666D3">
        <w:t xml:space="preserve">tiles </w:t>
      </w:r>
      <w:r w:rsidR="004E1E3F" w:rsidRPr="004666D3">
        <w:rPr>
          <w:szCs w:val="24"/>
        </w:rPr>
        <w:fldChar w:fldCharType="begin"/>
      </w:r>
      <w:r w:rsidR="004E1E3F" w:rsidRPr="004666D3">
        <w:rPr>
          <w:szCs w:val="24"/>
        </w:rPr>
        <w:instrText xml:space="preserve"> ADDIN ZOTERO_ITEM CSL_CITATION {"citationID":"Gwfi4bge","properties":{"formattedCitation":"(Microsoft, 2022)","plainCitation":"(Microsoft, 2022)","noteIndex":0},"citationItems":[{"id":4122,"uris":["http://zotero.org/users/9756803/items/XCZLGI3J"],"itemData":{"id":4122,"type":"webpage","abstract":"Describes the Bing Maps Tile System and outlines map projection, tile coordinates, and provides sample code.","language":"en-us","title":"Bing Maps Tile System - Bing Maps","URL":"https://learn.microsoft.com/en-us/bingmaps/articles/bing-maps-tile-system","author":[{"literal":"Microsoft"}],"accessed":{"date-parts":[["2023",2,28]]},"issued":{"date-parts":[["2022",6,8]]}}}],"schema":"https://github.com/citation-style-language/schema/raw/master/csl-citation.json"} </w:instrText>
      </w:r>
      <w:r w:rsidR="004E1E3F" w:rsidRPr="004666D3">
        <w:rPr>
          <w:szCs w:val="24"/>
        </w:rPr>
        <w:fldChar w:fldCharType="separate"/>
      </w:r>
      <w:r w:rsidR="00AE74BE" w:rsidRPr="004666D3">
        <w:rPr>
          <w:rFonts w:ascii="Calibri" w:hAnsi="Calibri" w:cs="Calibri"/>
        </w:rPr>
        <w:t>(Microsoft, 2022)</w:t>
      </w:r>
      <w:r w:rsidR="004E1E3F" w:rsidRPr="004666D3">
        <w:rPr>
          <w:szCs w:val="24"/>
        </w:rPr>
        <w:fldChar w:fldCharType="end"/>
      </w:r>
      <w:r w:rsidR="008D2A97" w:rsidRPr="004666D3">
        <w:t xml:space="preserve"> during </w:t>
      </w:r>
      <w:bookmarkStart w:id="47" w:name="OLE_LINK94"/>
      <w:bookmarkStart w:id="48" w:name="OLE_LINK14"/>
      <w:r w:rsidR="009F1616" w:rsidRPr="004666D3">
        <w:t xml:space="preserve">the </w:t>
      </w:r>
      <w:r w:rsidR="008D2A97" w:rsidRPr="004666D3">
        <w:t>COVID-19 pandemic</w:t>
      </w:r>
      <w:r w:rsidR="006F7C8D" w:rsidRPr="004666D3">
        <w:rPr>
          <w:szCs w:val="24"/>
        </w:rPr>
        <w:t>,</w:t>
      </w:r>
      <w:r w:rsidR="004E1E3F" w:rsidRPr="004666D3">
        <w:rPr>
          <w:szCs w:val="24"/>
        </w:rPr>
        <w:t xml:space="preserve"> </w:t>
      </w:r>
      <w:r w:rsidR="3FFDDBDA" w:rsidRPr="004666D3">
        <w:t xml:space="preserve">present </w:t>
      </w:r>
      <w:r w:rsidR="009F1616" w:rsidRPr="004666D3">
        <w:t xml:space="preserve">the </w:t>
      </w:r>
      <w:r w:rsidR="00D849B9" w:rsidRPr="004666D3">
        <w:t>user</w:t>
      </w:r>
      <w:r w:rsidR="00D849B9" w:rsidRPr="004666D3">
        <w:rPr>
          <w:szCs w:val="24"/>
        </w:rPr>
        <w:t xml:space="preserve"> </w:t>
      </w:r>
      <w:r w:rsidR="008C73ED" w:rsidRPr="004666D3">
        <w:t>count</w:t>
      </w:r>
      <w:r w:rsidR="00477526" w:rsidRPr="004666D3">
        <w:rPr>
          <w:szCs w:val="24"/>
        </w:rPr>
        <w:t xml:space="preserve"> </w:t>
      </w:r>
      <w:r w:rsidR="00620F75" w:rsidRPr="004666D3">
        <w:t>with</w:t>
      </w:r>
      <w:r w:rsidR="18EBB985" w:rsidRPr="004666D3">
        <w:t xml:space="preserve">in three </w:t>
      </w:r>
      <w:r w:rsidR="006B14AD" w:rsidRPr="004666D3">
        <w:t xml:space="preserve">daily </w:t>
      </w:r>
      <w:r w:rsidR="18EBB985" w:rsidRPr="004666D3">
        <w:t>time-window</w:t>
      </w:r>
      <w:r w:rsidR="37B3E4EA" w:rsidRPr="004666D3">
        <w:t>s</w:t>
      </w:r>
      <w:bookmarkEnd w:id="47"/>
      <w:r w:rsidR="006F0C73" w:rsidRPr="004666D3">
        <w:rPr>
          <w:szCs w:val="24"/>
        </w:rPr>
        <w:t>:</w:t>
      </w:r>
      <w:r w:rsidR="18EBB985" w:rsidRPr="004666D3">
        <w:rPr>
          <w:szCs w:val="24"/>
        </w:rPr>
        <w:t xml:space="preserve"> </w:t>
      </w:r>
      <w:r w:rsidR="5967F4A1" w:rsidRPr="004666D3">
        <w:t>00:00 – 07:59, 08:00 – 15:59, 16:00- 23:59</w:t>
      </w:r>
      <w:r w:rsidR="006B14AD" w:rsidRPr="004666D3">
        <w:rPr>
          <w:szCs w:val="24"/>
        </w:rPr>
        <w:t>.</w:t>
      </w:r>
      <w:r w:rsidR="00ED0F4D" w:rsidRPr="004666D3">
        <w:rPr>
          <w:szCs w:val="24"/>
        </w:rPr>
        <w:t xml:space="preserve"> </w:t>
      </w:r>
      <w:r w:rsidR="009C6715" w:rsidRPr="004666D3">
        <w:t>If a user appeared on different tiles during one time-window, the same user was</w:t>
      </w:r>
      <w:r w:rsidR="009C6715" w:rsidRPr="004666D3">
        <w:rPr>
          <w:szCs w:val="24"/>
        </w:rPr>
        <w:t xml:space="preserve"> </w:t>
      </w:r>
      <w:r w:rsidR="009C6715" w:rsidRPr="004666D3">
        <w:t>assigned to the location on which they appeared most frequently.</w:t>
      </w:r>
      <w:r w:rsidR="009C6715" w:rsidRPr="004666D3">
        <w:rPr>
          <w:szCs w:val="24"/>
        </w:rPr>
        <w:t xml:space="preserve"> </w:t>
      </w:r>
      <w:bookmarkStart w:id="49" w:name="OLE_LINK87"/>
      <w:r w:rsidR="00ED0F4D" w:rsidRPr="004666D3">
        <w:t xml:space="preserve">For Belgium, the data </w:t>
      </w:r>
      <w:r w:rsidR="00A66B81" w:rsidRPr="004666D3">
        <w:t>range</w:t>
      </w:r>
      <w:r w:rsidR="009D1E9C" w:rsidRPr="004666D3">
        <w:rPr>
          <w:szCs w:val="24"/>
        </w:rPr>
        <w:t xml:space="preserve"> </w:t>
      </w:r>
      <w:r w:rsidR="001B52E1" w:rsidRPr="004666D3">
        <w:t xml:space="preserve">at tile level </w:t>
      </w:r>
      <w:r w:rsidR="009D1E9C" w:rsidRPr="004666D3">
        <w:t>is</w:t>
      </w:r>
      <w:r w:rsidR="00A66B81" w:rsidRPr="004666D3">
        <w:t xml:space="preserve"> from</w:t>
      </w:r>
      <w:r w:rsidR="00ED0F4D" w:rsidRPr="004666D3">
        <w:rPr>
          <w:szCs w:val="24"/>
        </w:rPr>
        <w:t xml:space="preserve"> </w:t>
      </w:r>
      <w:bookmarkStart w:id="50" w:name="OLE_LINK50"/>
      <w:r w:rsidR="00A66B81" w:rsidRPr="004666D3">
        <w:t>6</w:t>
      </w:r>
      <w:r w:rsidR="00A66B81" w:rsidRPr="004666D3">
        <w:rPr>
          <w:vertAlign w:val="superscript"/>
        </w:rPr>
        <w:t>th</w:t>
      </w:r>
      <w:r w:rsidR="00A66B81" w:rsidRPr="004666D3">
        <w:rPr>
          <w:szCs w:val="24"/>
        </w:rPr>
        <w:t xml:space="preserve"> </w:t>
      </w:r>
      <w:r w:rsidR="00A66B81" w:rsidRPr="004666D3">
        <w:t>March 2020 to 21</w:t>
      </w:r>
      <w:r w:rsidR="00A66B81" w:rsidRPr="004666D3">
        <w:rPr>
          <w:vertAlign w:val="superscript"/>
        </w:rPr>
        <w:t>st</w:t>
      </w:r>
      <w:r w:rsidR="00A66B81" w:rsidRPr="004666D3">
        <w:rPr>
          <w:szCs w:val="24"/>
        </w:rPr>
        <w:t xml:space="preserve"> </w:t>
      </w:r>
      <w:r w:rsidR="00A66B81" w:rsidRPr="004666D3">
        <w:t>May 2022</w:t>
      </w:r>
      <w:bookmarkEnd w:id="50"/>
      <w:r w:rsidR="00A66B81" w:rsidRPr="004666D3">
        <w:rPr>
          <w:szCs w:val="24"/>
        </w:rPr>
        <w:t xml:space="preserve">, </w:t>
      </w:r>
      <w:r w:rsidR="009D1E9C" w:rsidRPr="004666D3">
        <w:t>while</w:t>
      </w:r>
      <w:r w:rsidR="00A66B81" w:rsidRPr="004666D3">
        <w:t xml:space="preserve"> for Thailand</w:t>
      </w:r>
      <w:bookmarkEnd w:id="49"/>
      <w:r w:rsidR="00A66B81" w:rsidRPr="004666D3">
        <w:rPr>
          <w:szCs w:val="24"/>
        </w:rPr>
        <w:t xml:space="preserve">, </w:t>
      </w:r>
      <w:r w:rsidR="00721EA5" w:rsidRPr="004666D3">
        <w:t>it</w:t>
      </w:r>
      <w:r w:rsidR="00721EA5" w:rsidRPr="004666D3">
        <w:rPr>
          <w:szCs w:val="24"/>
        </w:rPr>
        <w:t xml:space="preserve"> </w:t>
      </w:r>
      <w:r w:rsidR="009D1E9C" w:rsidRPr="004666D3">
        <w:t>spans</w:t>
      </w:r>
      <w:r w:rsidR="00721EA5" w:rsidRPr="004666D3">
        <w:t xml:space="preserve"> from 25</w:t>
      </w:r>
      <w:r w:rsidR="00721EA5" w:rsidRPr="004666D3">
        <w:rPr>
          <w:vertAlign w:val="superscript"/>
        </w:rPr>
        <w:t>th</w:t>
      </w:r>
      <w:r w:rsidR="009D1E9C" w:rsidRPr="004666D3">
        <w:rPr>
          <w:szCs w:val="24"/>
        </w:rPr>
        <w:t xml:space="preserve"> </w:t>
      </w:r>
      <w:r w:rsidR="00721EA5" w:rsidRPr="004666D3">
        <w:t>March 2020 to 22</w:t>
      </w:r>
      <w:r w:rsidR="00721EA5" w:rsidRPr="004666D3">
        <w:rPr>
          <w:vertAlign w:val="superscript"/>
        </w:rPr>
        <w:t>nd</w:t>
      </w:r>
      <w:r w:rsidR="009D1E9C" w:rsidRPr="004666D3">
        <w:rPr>
          <w:szCs w:val="24"/>
        </w:rPr>
        <w:t xml:space="preserve"> </w:t>
      </w:r>
      <w:r w:rsidR="00721EA5" w:rsidRPr="004666D3">
        <w:t>May 2022.</w:t>
      </w:r>
      <w:r w:rsidR="008F27DC" w:rsidRPr="004666D3">
        <w:rPr>
          <w:szCs w:val="24"/>
        </w:rPr>
        <w:t xml:space="preserve"> </w:t>
      </w:r>
      <w:bookmarkEnd w:id="46"/>
      <w:r w:rsidR="00D53883" w:rsidRPr="004666D3">
        <w:t xml:space="preserve">The data also includes </w:t>
      </w:r>
      <w:r w:rsidR="188E8DCF" w:rsidRPr="004666D3">
        <w:t>the corresponding baseline</w:t>
      </w:r>
      <w:r w:rsidR="00D53883" w:rsidRPr="004666D3">
        <w:t xml:space="preserve"> values</w:t>
      </w:r>
      <w:r w:rsidR="188E8DCF" w:rsidRPr="004666D3">
        <w:rPr>
          <w:szCs w:val="24"/>
        </w:rPr>
        <w:t xml:space="preserve"> </w:t>
      </w:r>
      <w:r w:rsidR="021147E6" w:rsidRPr="004666D3">
        <w:t xml:space="preserve">of user </w:t>
      </w:r>
      <w:r w:rsidR="5343C0A5" w:rsidRPr="004666D3">
        <w:t>count</w:t>
      </w:r>
      <w:r w:rsidR="0023623A" w:rsidRPr="004666D3">
        <w:t>s</w:t>
      </w:r>
      <w:r w:rsidR="5343C0A5" w:rsidRPr="004666D3">
        <w:rPr>
          <w:szCs w:val="24"/>
        </w:rPr>
        <w:t xml:space="preserve"> </w:t>
      </w:r>
      <w:r w:rsidR="2232E07A" w:rsidRPr="004666D3">
        <w:t xml:space="preserve">collected before </w:t>
      </w:r>
      <w:r w:rsidR="0978F44A" w:rsidRPr="004666D3">
        <w:t>the start date,</w:t>
      </w:r>
      <w:r w:rsidR="7846C8D6" w:rsidRPr="004666D3">
        <w:t xml:space="preserve"> and the percent change </w:t>
      </w:r>
      <w:r w:rsidR="08EA85EF" w:rsidRPr="004666D3">
        <w:t xml:space="preserve">of </w:t>
      </w:r>
      <w:r w:rsidR="7F3C86E2" w:rsidRPr="004666D3">
        <w:t xml:space="preserve">the </w:t>
      </w:r>
      <w:r w:rsidR="00FE639E" w:rsidRPr="004666D3">
        <w:t>user count</w:t>
      </w:r>
      <w:r w:rsidR="08EA85EF" w:rsidRPr="004666D3">
        <w:rPr>
          <w:szCs w:val="24"/>
        </w:rPr>
        <w:t xml:space="preserve"> </w:t>
      </w:r>
      <w:r w:rsidR="0D34E15A" w:rsidRPr="004666D3">
        <w:t>compared to their baseline</w:t>
      </w:r>
      <w:r w:rsidR="005B0893" w:rsidRPr="004666D3">
        <w:t>s</w:t>
      </w:r>
      <w:r w:rsidR="2232E07A" w:rsidRPr="004666D3">
        <w:rPr>
          <w:szCs w:val="24"/>
        </w:rPr>
        <w:t>.</w:t>
      </w:r>
      <w:r w:rsidR="6770A210" w:rsidRPr="004666D3">
        <w:rPr>
          <w:szCs w:val="24"/>
        </w:rPr>
        <w:t xml:space="preserve"> </w:t>
      </w:r>
      <w:r w:rsidR="6770A210" w:rsidRPr="004666D3">
        <w:t>The baseline denote</w:t>
      </w:r>
      <w:r w:rsidR="4E803E63" w:rsidRPr="004666D3">
        <w:t>s</w:t>
      </w:r>
      <w:r w:rsidR="6770A210" w:rsidRPr="004666D3">
        <w:t xml:space="preserve"> the mean number of users who </w:t>
      </w:r>
      <w:r w:rsidR="14C23EB3" w:rsidRPr="004666D3">
        <w:t>have</w:t>
      </w:r>
      <w:r w:rsidR="6770A210" w:rsidRPr="004666D3">
        <w:t xml:space="preserve"> location service</w:t>
      </w:r>
      <w:r w:rsidR="0F5DE3BB" w:rsidRPr="004666D3">
        <w:rPr>
          <w:szCs w:val="24"/>
        </w:rPr>
        <w:t xml:space="preserve"> </w:t>
      </w:r>
      <w:r w:rsidR="14C23EB3" w:rsidRPr="004666D3">
        <w:t>enabled</w:t>
      </w:r>
      <w:r w:rsidR="6770A210" w:rsidRPr="004666D3">
        <w:rPr>
          <w:szCs w:val="24"/>
        </w:rPr>
        <w:t xml:space="preserve"> </w:t>
      </w:r>
      <w:r w:rsidR="6770A210" w:rsidRPr="004666D3">
        <w:t>for</w:t>
      </w:r>
      <w:r w:rsidR="6770A210" w:rsidRPr="004666D3" w:rsidDel="00733BD5">
        <w:rPr>
          <w:szCs w:val="24"/>
        </w:rPr>
        <w:t xml:space="preserve"> </w:t>
      </w:r>
      <w:r w:rsidR="7C638664" w:rsidRPr="004666D3">
        <w:t xml:space="preserve">at least </w:t>
      </w:r>
      <w:r w:rsidR="6770A210" w:rsidRPr="004666D3">
        <w:t xml:space="preserve">90 days before the day when the Facebook </w:t>
      </w:r>
      <w:r w:rsidR="4A2A4674" w:rsidRPr="004666D3">
        <w:t xml:space="preserve">population maps </w:t>
      </w:r>
      <w:r w:rsidR="6770A210" w:rsidRPr="004666D3">
        <w:t>were</w:t>
      </w:r>
      <w:r w:rsidR="6770A210" w:rsidRPr="004666D3" w:rsidDel="009D70FD">
        <w:rPr>
          <w:szCs w:val="24"/>
        </w:rPr>
        <w:t xml:space="preserve"> </w:t>
      </w:r>
      <w:r w:rsidR="4A2A4674" w:rsidRPr="004666D3">
        <w:t>generated</w:t>
      </w:r>
      <w:r w:rsidR="4A2A4674" w:rsidRPr="004666D3">
        <w:rPr>
          <w:szCs w:val="24"/>
        </w:rPr>
        <w:t xml:space="preserve"> </w:t>
      </w:r>
      <w:r w:rsidR="00D67276" w:rsidRPr="004666D3">
        <w:rPr>
          <w:szCs w:val="24"/>
        </w:rPr>
        <w:fldChar w:fldCharType="begin"/>
      </w:r>
      <w:r w:rsidR="00D67276" w:rsidRPr="004666D3">
        <w:rPr>
          <w:szCs w:val="24"/>
        </w:rPr>
        <w:instrText xml:space="preserve"> ADDIN ZOTERO_ITEM CSL_CITATION {"citationID":"W87Fxei9","properties":{"formattedCitation":"(Maas,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00D67276" w:rsidRPr="004666D3">
        <w:rPr>
          <w:szCs w:val="24"/>
        </w:rPr>
        <w:fldChar w:fldCharType="separate"/>
      </w:r>
      <w:r w:rsidR="00AE74BE" w:rsidRPr="004666D3">
        <w:rPr>
          <w:rFonts w:ascii="Calibri" w:hAnsi="Calibri" w:cs="Calibri"/>
        </w:rPr>
        <w:t>(Maas, 2019)</w:t>
      </w:r>
      <w:r w:rsidR="00D67276" w:rsidRPr="004666D3">
        <w:rPr>
          <w:szCs w:val="24"/>
        </w:rPr>
        <w:fldChar w:fldCharType="end"/>
      </w:r>
      <w:r w:rsidR="6770A210" w:rsidRPr="004666D3">
        <w:t xml:space="preserve">. </w:t>
      </w:r>
      <w:r w:rsidR="40A23DC9" w:rsidRPr="004666D3">
        <w:t>The baseline</w:t>
      </w:r>
      <w:r w:rsidR="6770A210" w:rsidRPr="004666D3">
        <w:t xml:space="preserve"> covered December 2019, January 2020 and February 2020 in Belgium and Thailand, which can be regarded as the pre-pandemic period.</w:t>
      </w:r>
      <w:r w:rsidR="59F760A6" w:rsidRPr="004666D3">
        <w:rPr>
          <w:szCs w:val="24"/>
        </w:rPr>
        <w:t xml:space="preserve"> </w:t>
      </w:r>
      <w:r w:rsidR="027427A5" w:rsidRPr="004666D3">
        <w:t>As each time window and each day of the week</w:t>
      </w:r>
      <w:r w:rsidR="1C71D313" w:rsidRPr="004666D3">
        <w:t xml:space="preserve"> has its own precise baseline</w:t>
      </w:r>
      <w:r w:rsidR="027427A5" w:rsidRPr="004666D3">
        <w:t xml:space="preserve">, </w:t>
      </w:r>
      <w:r w:rsidRPr="004666D3" w:rsidDel="6770A210">
        <w:t>e</w:t>
      </w:r>
      <w:r w:rsidR="6770A210" w:rsidRPr="004666D3">
        <w:t>ach grid</w:t>
      </w:r>
      <w:r w:rsidR="0D252395" w:rsidRPr="004666D3">
        <w:t xml:space="preserve"> cell</w:t>
      </w:r>
      <w:r w:rsidR="6770A210" w:rsidRPr="004666D3">
        <w:t xml:space="preserve"> </w:t>
      </w:r>
      <w:proofErr w:type="gramStart"/>
      <w:r w:rsidR="027427A5" w:rsidRPr="004666D3">
        <w:t>actually has</w:t>
      </w:r>
      <w:proofErr w:type="gramEnd"/>
      <w:r w:rsidR="027427A5" w:rsidRPr="004666D3">
        <w:t xml:space="preserve"> </w:t>
      </w:r>
      <w:r w:rsidR="6770A210" w:rsidRPr="004666D3">
        <w:t>a total of 21 unique baseline</w:t>
      </w:r>
      <w:r w:rsidR="005B0893" w:rsidRPr="004666D3">
        <w:t>s</w:t>
      </w:r>
      <w:r w:rsidR="6770A210" w:rsidRPr="004666D3">
        <w:rPr>
          <w:szCs w:val="24"/>
        </w:rPr>
        <w:t xml:space="preserve">. </w:t>
      </w:r>
      <w:r w:rsidR="51418152" w:rsidRPr="004666D3">
        <w:t xml:space="preserve">The </w:t>
      </w:r>
      <w:r w:rsidR="51418152" w:rsidRPr="004666D3">
        <w:lastRenderedPageBreak/>
        <w:t>percent</w:t>
      </w:r>
      <w:r w:rsidR="6681C9D1" w:rsidRPr="004666D3">
        <w:t>age</w:t>
      </w:r>
      <w:r w:rsidR="51418152" w:rsidRPr="004666D3">
        <w:t xml:space="preserve"> change </w:t>
      </w:r>
      <w:r w:rsidR="56039D70" w:rsidRPr="004666D3">
        <w:rPr>
          <w:szCs w:val="24"/>
        </w:rPr>
        <w:t>(</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i,t,d</m:t>
            </m:r>
          </m:sub>
        </m:sSub>
      </m:oMath>
      <w:r w:rsidR="56039D70" w:rsidRPr="004666D3">
        <w:rPr>
          <w:szCs w:val="24"/>
        </w:rPr>
        <w:t xml:space="preserve">) </w:t>
      </w:r>
      <w:r w:rsidR="51418152" w:rsidRPr="004666D3">
        <w:t xml:space="preserve">of </w:t>
      </w:r>
      <w:r w:rsidR="005B0893" w:rsidRPr="004666D3">
        <w:t>user count</w:t>
      </w:r>
      <w:r w:rsidR="4B678731" w:rsidRPr="004666D3">
        <w:t>s</w:t>
      </w:r>
      <w:r w:rsidR="51418152" w:rsidRPr="004666D3" w:rsidDel="000E2A0B">
        <w:t xml:space="preserve"> </w:t>
      </w:r>
      <w:r w:rsidR="51418152" w:rsidRPr="004666D3">
        <w:t xml:space="preserve">at tile </w:t>
      </w:r>
      <w:proofErr w:type="spellStart"/>
      <w:r w:rsidR="51418152" w:rsidRPr="004666D3">
        <w:rPr>
          <w:i/>
        </w:rPr>
        <w:t>i</w:t>
      </w:r>
      <w:proofErr w:type="spellEnd"/>
      <w:r w:rsidR="51418152" w:rsidRPr="004666D3">
        <w:t xml:space="preserve"> during one time-window </w:t>
      </w:r>
      <w:r w:rsidR="51418152" w:rsidRPr="004666D3">
        <w:rPr>
          <w:i/>
        </w:rPr>
        <w:t>t</w:t>
      </w:r>
      <w:r w:rsidR="51418152" w:rsidRPr="004666D3">
        <w:t xml:space="preserve"> on a date </w:t>
      </w:r>
      <w:r w:rsidR="51418152" w:rsidRPr="004666D3">
        <w:rPr>
          <w:i/>
        </w:rPr>
        <w:t>d</w:t>
      </w:r>
      <w:r w:rsidR="51418152" w:rsidRPr="004666D3">
        <w:rPr>
          <w:szCs w:val="24"/>
        </w:rPr>
        <w:t xml:space="preserve"> </w:t>
      </w:r>
      <w:r w:rsidR="51418152" w:rsidRPr="004666D3">
        <w:t xml:space="preserve">was calculated by dividing the differences between the </w:t>
      </w:r>
      <w:r w:rsidR="00306CDC" w:rsidRPr="004666D3">
        <w:t xml:space="preserve">user </w:t>
      </w:r>
      <w:r w:rsidR="51418152" w:rsidRPr="004666D3">
        <w:t xml:space="preserve">number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i,t,d</m:t>
            </m:r>
          </m:sub>
        </m:sSub>
      </m:oMath>
      <w:r w:rsidR="51418152" w:rsidRPr="004666D3">
        <w:rPr>
          <w:szCs w:val="24"/>
        </w:rPr>
        <w:t xml:space="preserve"> </w:t>
      </w:r>
      <w:r w:rsidR="51418152" w:rsidRPr="004666D3">
        <w:t xml:space="preserve">and </w:t>
      </w:r>
      <w:r w:rsidR="0259715F" w:rsidRPr="004666D3">
        <w:t xml:space="preserve">the </w:t>
      </w:r>
      <w:r w:rsidR="51418152" w:rsidRPr="004666D3">
        <w:t xml:space="preserve">baseline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i,t,d</m:t>
            </m:r>
          </m:sub>
        </m:sSub>
      </m:oMath>
      <w:r w:rsidR="51418152" w:rsidRPr="004666D3">
        <w:rPr>
          <w:szCs w:val="24"/>
        </w:rPr>
        <w:t xml:space="preserve"> </w:t>
      </w:r>
      <w:r w:rsidR="51418152" w:rsidRPr="004666D3">
        <w:t xml:space="preserve">by the </w:t>
      </w:r>
      <w:r w:rsidR="5C826B7C" w:rsidRPr="004666D3">
        <w:t xml:space="preserve">corresponding baseline </w:t>
      </w:r>
      <w:r w:rsidR="51418152" w:rsidRPr="004666D3">
        <w:t>value</w:t>
      </w:r>
      <w:r w:rsidR="1B9237B4" w:rsidRPr="004666D3">
        <w:rPr>
          <w:szCs w:val="24"/>
        </w:rPr>
        <w:t xml:space="preserve">. </w:t>
      </w:r>
    </w:p>
    <w:p w14:paraId="116FA67B" w14:textId="6B8D2AB9" w:rsidR="0006595B" w:rsidRPr="004666D3" w:rsidRDefault="00000000" w:rsidP="0006595B">
      <w:pPr>
        <w:rPr>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i,t,d</m:t>
                  </m:r>
                </m:sub>
              </m:sSub>
              <m:r>
                <w:rPr>
                  <w:rFonts w:ascii="Cambria Math" w:hAnsi="Cambria Math"/>
                  <w:szCs w:val="24"/>
                </w:rPr>
                <m:t>=</m:t>
              </m:r>
              <m:f>
                <m:fPr>
                  <m:type m:val="lin"/>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i,t,d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i,t,d</m:t>
                      </m:r>
                    </m:sub>
                  </m:sSub>
                  <m:r>
                    <w:rPr>
                      <w:rFonts w:ascii="Cambria Math" w:hAnsi="Cambria Math"/>
                      <w:szCs w:val="24"/>
                    </w:rPr>
                    <m:t>)</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i,t,d</m:t>
                      </m:r>
                    </m:sub>
                  </m:sSub>
                  <m:r>
                    <w:rPr>
                      <w:rFonts w:ascii="Cambria Math" w:hAnsi="Cambria Math"/>
                      <w:szCs w:val="24"/>
                    </w:rPr>
                    <m:t>+ϵ)</m:t>
                  </m:r>
                </m:den>
              </m:f>
              <m:r>
                <w:rPr>
                  <w:rFonts w:ascii="Cambria Math" w:hAnsi="Cambria Math"/>
                  <w:szCs w:val="24"/>
                </w:rPr>
                <m:t>×100%#</m:t>
              </m:r>
              <m:d>
                <m:dPr>
                  <m:ctrlPr>
                    <w:rPr>
                      <w:rFonts w:ascii="Cambria Math" w:hAnsi="Cambria Math"/>
                      <w:i/>
                      <w:szCs w:val="24"/>
                    </w:rPr>
                  </m:ctrlPr>
                </m:dPr>
                <m:e>
                  <m:r>
                    <w:rPr>
                      <w:rFonts w:ascii="Cambria Math" w:hAnsi="Cambria Math"/>
                      <w:szCs w:val="24"/>
                    </w:rPr>
                    <m:t>1</m:t>
                  </m:r>
                </m:e>
              </m:d>
            </m:e>
          </m:eqArr>
        </m:oMath>
      </m:oMathPara>
    </w:p>
    <w:p w14:paraId="7000EF50" w14:textId="65C2CD5F" w:rsidR="004276D3" w:rsidRPr="004666D3" w:rsidRDefault="0006595B" w:rsidP="00323599">
      <w:pPr>
        <w:rPr>
          <w:szCs w:val="24"/>
        </w:rPr>
      </w:pPr>
      <w:r w:rsidRPr="004666D3">
        <w:rPr>
          <w:szCs w:val="24"/>
        </w:rPr>
        <w:t xml:space="preserve">where </w:t>
      </w:r>
      <w:r w:rsidRPr="004666D3">
        <w:rPr>
          <w:rFonts w:cstheme="minorHAnsi"/>
          <w:i/>
          <w:iCs/>
          <w:szCs w:val="24"/>
        </w:rPr>
        <w:t>є</w:t>
      </w:r>
      <w:r w:rsidRPr="004666D3">
        <w:rPr>
          <w:i/>
          <w:iCs/>
          <w:szCs w:val="24"/>
        </w:rPr>
        <w:t xml:space="preserve"> </w:t>
      </w:r>
      <w:r w:rsidRPr="004666D3">
        <w:rPr>
          <w:szCs w:val="24"/>
        </w:rPr>
        <w:t xml:space="preserve">is a small value, usually 1 </w:t>
      </w:r>
      <w:r w:rsidRPr="004666D3">
        <w:rPr>
          <w:szCs w:val="24"/>
        </w:rPr>
        <w:fldChar w:fldCharType="begin"/>
      </w:r>
      <w:r w:rsidRPr="004666D3">
        <w:rPr>
          <w:szCs w:val="24"/>
        </w:rPr>
        <w:instrText xml:space="preserve"> ADDIN ZOTERO_ITEM CSL_CITATION {"citationID":"XVfrUs8C","properties":{"formattedCitation":"(Maas,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Pr="004666D3">
        <w:rPr>
          <w:szCs w:val="24"/>
        </w:rPr>
        <w:fldChar w:fldCharType="separate"/>
      </w:r>
      <w:r w:rsidR="00AE74BE" w:rsidRPr="004666D3">
        <w:rPr>
          <w:rFonts w:ascii="Calibri" w:hAnsi="Calibri" w:cs="Calibri"/>
        </w:rPr>
        <w:t>(Maas, 2019)</w:t>
      </w:r>
      <w:r w:rsidRPr="004666D3">
        <w:rPr>
          <w:szCs w:val="24"/>
        </w:rPr>
        <w:fldChar w:fldCharType="end"/>
      </w:r>
      <w:r w:rsidRPr="004666D3">
        <w:rPr>
          <w:szCs w:val="24"/>
        </w:rPr>
        <w:t>.</w:t>
      </w:r>
    </w:p>
    <w:p w14:paraId="2C6C0E49" w14:textId="77777777" w:rsidR="00323599" w:rsidRPr="004666D3" w:rsidRDefault="00323599" w:rsidP="00081DF9">
      <w:pPr>
        <w:spacing w:line="240" w:lineRule="auto"/>
        <w:rPr>
          <w:szCs w:val="24"/>
        </w:rPr>
      </w:pPr>
    </w:p>
    <w:p w14:paraId="4DD0A776" w14:textId="0C6CC060" w:rsidR="0033076D" w:rsidRPr="004666D3" w:rsidRDefault="00B60209" w:rsidP="00081DF9">
      <w:bookmarkStart w:id="51" w:name="OLE_LINK26"/>
      <w:bookmarkEnd w:id="48"/>
      <w:r w:rsidRPr="004666D3">
        <w:t>Additionally, t</w:t>
      </w:r>
      <w:r w:rsidR="113B85C6" w:rsidRPr="004666D3">
        <w:t xml:space="preserve">he local time needs to be </w:t>
      </w:r>
      <w:r w:rsidR="6156E021" w:rsidRPr="004666D3">
        <w:t>c</w:t>
      </w:r>
      <w:r w:rsidR="487879B3" w:rsidRPr="004666D3">
        <w:t>onsidered</w:t>
      </w:r>
      <w:r w:rsidR="113B85C6" w:rsidRPr="004666D3">
        <w:t xml:space="preserve"> when analysing </w:t>
      </w:r>
      <w:r w:rsidR="67816B78" w:rsidRPr="004666D3">
        <w:t xml:space="preserve">people’s </w:t>
      </w:r>
      <w:r w:rsidR="113B85C6" w:rsidRPr="004666D3">
        <w:t>activities in different countries</w:t>
      </w:r>
      <w:bookmarkEnd w:id="51"/>
      <w:r w:rsidR="113B85C6" w:rsidRPr="004666D3">
        <w:t xml:space="preserve">, as </w:t>
      </w:r>
      <w:r w:rsidR="271795F6" w:rsidRPr="004666D3">
        <w:t>three time-window</w:t>
      </w:r>
      <w:r w:rsidR="14E48D3A" w:rsidRPr="004666D3">
        <w:t>s</w:t>
      </w:r>
      <w:r w:rsidR="271795F6" w:rsidRPr="004666D3">
        <w:t xml:space="preserve"> </w:t>
      </w:r>
      <w:r w:rsidR="14E48D3A" w:rsidRPr="004666D3">
        <w:t xml:space="preserve">are </w:t>
      </w:r>
      <w:r w:rsidR="1C2369CC" w:rsidRPr="004666D3">
        <w:t xml:space="preserve">provided by Meta </w:t>
      </w:r>
      <w:r w:rsidR="14E48D3A" w:rsidRPr="004666D3">
        <w:t>in Coordinated Universal Time (UTC)</w:t>
      </w:r>
      <w:r w:rsidR="27FD09D4" w:rsidRPr="004666D3">
        <w:t xml:space="preserve">. </w:t>
      </w:r>
      <w:bookmarkStart w:id="52" w:name="OLE_LINK55"/>
      <w:r w:rsidR="0057637C" w:rsidRPr="004666D3">
        <w:t xml:space="preserve">The </w:t>
      </w:r>
      <w:r w:rsidR="00552494" w:rsidRPr="004666D3">
        <w:t>night-time</w:t>
      </w:r>
      <w:r w:rsidR="0057637C" w:rsidRPr="004666D3">
        <w:t xml:space="preserve"> </w:t>
      </w:r>
      <w:r w:rsidR="5E9E9EAF" w:rsidRPr="004666D3">
        <w:t xml:space="preserve">data representing </w:t>
      </w:r>
      <w:r w:rsidR="0057637C" w:rsidRPr="004666D3">
        <w:t xml:space="preserve">where people live is </w:t>
      </w:r>
      <w:r w:rsidR="00885895" w:rsidRPr="004666D3">
        <w:t>collected during</w:t>
      </w:r>
      <w:r w:rsidR="0057637C" w:rsidRPr="004666D3">
        <w:t xml:space="preserve"> 0:00-07:59 UTC in Belgium </w:t>
      </w:r>
      <w:r w:rsidR="009F7C29" w:rsidRPr="004666D3">
        <w:t>and</w:t>
      </w:r>
      <w:r w:rsidR="0057637C" w:rsidRPr="004666D3">
        <w:t xml:space="preserve"> 16:00-23:59 UTC in Thailand. </w:t>
      </w:r>
      <w:r w:rsidR="003E7D20" w:rsidRPr="004666D3">
        <w:t>The d</w:t>
      </w:r>
      <w:r w:rsidR="00B75079" w:rsidRPr="004666D3">
        <w:t xml:space="preserve">aytime </w:t>
      </w:r>
      <w:r w:rsidR="65A9D3F1" w:rsidRPr="004666D3">
        <w:t>data</w:t>
      </w:r>
      <w:r w:rsidR="00885686" w:rsidRPr="004666D3">
        <w:t>,</w:t>
      </w:r>
      <w:r w:rsidR="65A9D3F1" w:rsidRPr="004666D3">
        <w:t xml:space="preserve"> </w:t>
      </w:r>
      <w:r w:rsidR="00885686" w:rsidRPr="004666D3">
        <w:t xml:space="preserve">which </w:t>
      </w:r>
      <w:r w:rsidR="65A9D3F1" w:rsidRPr="004666D3">
        <w:t>represent</w:t>
      </w:r>
      <w:r w:rsidR="003B1DF8" w:rsidRPr="004666D3">
        <w:t>s</w:t>
      </w:r>
      <w:r w:rsidR="00885686" w:rsidRPr="004666D3">
        <w:t xml:space="preserve"> </w:t>
      </w:r>
      <w:r w:rsidR="00B75079" w:rsidRPr="004666D3">
        <w:t xml:space="preserve">people </w:t>
      </w:r>
      <w:r w:rsidR="26F5659C" w:rsidRPr="004666D3">
        <w:t xml:space="preserve">being </w:t>
      </w:r>
      <w:r w:rsidR="00F6109A" w:rsidRPr="004666D3">
        <w:t xml:space="preserve">at </w:t>
      </w:r>
      <w:r w:rsidR="00B75079" w:rsidRPr="004666D3">
        <w:t>work</w:t>
      </w:r>
      <w:r w:rsidR="00F6109A" w:rsidRPr="004666D3">
        <w:t xml:space="preserve"> </w:t>
      </w:r>
      <w:r w:rsidR="00B75079" w:rsidRPr="004666D3">
        <w:t xml:space="preserve">or </w:t>
      </w:r>
      <w:r w:rsidR="00555581" w:rsidRPr="004666D3">
        <w:t>engaging in daily activities</w:t>
      </w:r>
      <w:r w:rsidR="001D62F5" w:rsidRPr="004666D3">
        <w:t>,</w:t>
      </w:r>
      <w:r w:rsidR="00555581" w:rsidRPr="004666D3">
        <w:t xml:space="preserve"> </w:t>
      </w:r>
      <w:r w:rsidR="00B75079" w:rsidRPr="004666D3">
        <w:t xml:space="preserve">is </w:t>
      </w:r>
      <w:r w:rsidR="00885686" w:rsidRPr="004666D3">
        <w:t>cap</w:t>
      </w:r>
      <w:r w:rsidR="006F79B3" w:rsidRPr="004666D3">
        <w:t xml:space="preserve">tured </w:t>
      </w:r>
      <w:r w:rsidR="006D1EC1" w:rsidRPr="004666D3">
        <w:t>during</w:t>
      </w:r>
      <w:r w:rsidR="64286A68" w:rsidRPr="004666D3">
        <w:t xml:space="preserve"> </w:t>
      </w:r>
      <w:r w:rsidR="0057637C" w:rsidRPr="004666D3">
        <w:t xml:space="preserve">08:00-15:59 UTC </w:t>
      </w:r>
      <w:r w:rsidR="00B75079" w:rsidRPr="004666D3">
        <w:t>in Belgium</w:t>
      </w:r>
      <w:r w:rsidR="00C33223" w:rsidRPr="004666D3">
        <w:t xml:space="preserve"> and </w:t>
      </w:r>
      <w:r w:rsidR="0057637C" w:rsidRPr="004666D3">
        <w:t xml:space="preserve">00:00-07:59 UTC </w:t>
      </w:r>
      <w:r w:rsidR="00C33223" w:rsidRPr="004666D3">
        <w:t>in Thailand</w:t>
      </w:r>
      <w:r w:rsidR="0057637C" w:rsidRPr="004666D3">
        <w:t>.</w:t>
      </w:r>
      <w:r w:rsidR="10D32418" w:rsidRPr="004666D3">
        <w:t xml:space="preserve"> </w:t>
      </w:r>
      <w:bookmarkEnd w:id="52"/>
    </w:p>
    <w:p w14:paraId="4A01E10C" w14:textId="77777777" w:rsidR="00081DF9" w:rsidRPr="004666D3" w:rsidRDefault="00081DF9" w:rsidP="00081DF9">
      <w:pPr>
        <w:spacing w:line="240" w:lineRule="auto"/>
        <w:rPr>
          <w:szCs w:val="24"/>
        </w:rPr>
      </w:pPr>
    </w:p>
    <w:p w14:paraId="5F61E1D8" w14:textId="62ECE020" w:rsidR="00B55549" w:rsidRPr="004666D3" w:rsidRDefault="00B55549" w:rsidP="005646E2">
      <w:pPr>
        <w:pStyle w:val="mysubtitle"/>
      </w:pPr>
      <w:r w:rsidRPr="004666D3">
        <w:t>2.</w:t>
      </w:r>
      <w:r w:rsidR="00BF1490" w:rsidRPr="004666D3">
        <w:t xml:space="preserve">3 </w:t>
      </w:r>
      <w:r w:rsidR="00E9542E" w:rsidRPr="004666D3">
        <w:t xml:space="preserve">WorldPop </w:t>
      </w:r>
      <w:r w:rsidR="001C2AE0" w:rsidRPr="004666D3">
        <w:t>p</w:t>
      </w:r>
      <w:r w:rsidR="005C5E6A" w:rsidRPr="004666D3">
        <w:t xml:space="preserve">opulation </w:t>
      </w:r>
      <w:r w:rsidRPr="004666D3">
        <w:t>datasets</w:t>
      </w:r>
    </w:p>
    <w:p w14:paraId="1230F695" w14:textId="0FDEEC60" w:rsidR="00093C57" w:rsidRPr="004666D3" w:rsidRDefault="0088566D" w:rsidP="00081DF9">
      <w:pPr>
        <w:rPr>
          <w:szCs w:val="24"/>
        </w:rPr>
      </w:pPr>
      <w:bookmarkStart w:id="53" w:name="OLE_LINK89"/>
      <w:r w:rsidRPr="004666D3">
        <w:rPr>
          <w:szCs w:val="24"/>
        </w:rPr>
        <w:t xml:space="preserve">We used </w:t>
      </w:r>
      <w:r w:rsidR="008B3787" w:rsidRPr="004666D3">
        <w:rPr>
          <w:szCs w:val="24"/>
        </w:rPr>
        <w:t xml:space="preserve">the WorldPop population counts dataset: </w:t>
      </w:r>
      <w:r w:rsidRPr="004666D3">
        <w:rPr>
          <w:szCs w:val="24"/>
        </w:rPr>
        <w:t>Unconstrained</w:t>
      </w:r>
      <w:r w:rsidR="00F30ABB" w:rsidRPr="004666D3">
        <w:rPr>
          <w:szCs w:val="24"/>
        </w:rPr>
        <w:t xml:space="preserve"> 2000-2020 </w:t>
      </w:r>
      <w:r w:rsidR="008B3787" w:rsidRPr="004666D3">
        <w:rPr>
          <w:szCs w:val="24"/>
        </w:rPr>
        <w:t xml:space="preserve">United Nations (UN) adjusted </w:t>
      </w:r>
      <w:r w:rsidR="00F30ABB" w:rsidRPr="004666D3">
        <w:rPr>
          <w:szCs w:val="24"/>
        </w:rPr>
        <w:t>(100 m resolution)</w:t>
      </w:r>
      <w:r w:rsidR="008B3787" w:rsidRPr="004666D3">
        <w:rPr>
          <w:szCs w:val="24"/>
        </w:rPr>
        <w:t xml:space="preserve"> </w:t>
      </w:r>
      <w:r w:rsidR="00CB702C" w:rsidRPr="004666D3">
        <w:rPr>
          <w:szCs w:val="24"/>
        </w:rPr>
        <w:fldChar w:fldCharType="begin"/>
      </w:r>
      <w:r w:rsidR="00B55F2A" w:rsidRPr="004666D3">
        <w:rPr>
          <w:szCs w:val="24"/>
        </w:rPr>
        <w:instrText xml:space="preserve"> ADDIN ZOTERO_ITEM CSL_CITATION {"citationID":"XfjEosId","properties":{"formattedCitation":"(WorldPop, 2020)","plainCitation":"(WorldPop, 2020)","noteIndex":0},"citationItems":[{"id":4127,"uris":["http://zotero.org/users/9756803/items/Q3UG78ER"],"itemData":{"id":4127,"type":"document","abstract":"RF-based gridded population distribution datasets produced in the framework of the Global Project adjusted to match UNPD totals (from the 2019 Revision of World Population Prospects)","note":"DOI: 10.5258/SOTON/WP00660","publisher":"University of Southampton","source":"DOI.org (Datacite)","title":"Global High Resolution Population Denominators Project - Funded by The Bill and Melinda Gates Foundation (OPP1134076)","URL":"https://dx.doi.org/10.5258/SOTON/WP00660","author":[{"family":"WorldPop","given":""}],"accessed":{"date-parts":[["2023",2,28]]},"issued":{"date-parts":[["2020"]]}}}],"schema":"https://github.com/citation-style-language/schema/raw/master/csl-citation.json"} </w:instrText>
      </w:r>
      <w:r w:rsidR="00CB702C" w:rsidRPr="004666D3">
        <w:rPr>
          <w:szCs w:val="24"/>
        </w:rPr>
        <w:fldChar w:fldCharType="separate"/>
      </w:r>
      <w:r w:rsidR="00AE74BE" w:rsidRPr="004666D3">
        <w:rPr>
          <w:rFonts w:ascii="Calibri" w:hAnsi="Calibri" w:cs="Calibri"/>
        </w:rPr>
        <w:t>(WorldPop, 2020)</w:t>
      </w:r>
      <w:r w:rsidR="00CB702C" w:rsidRPr="004666D3">
        <w:rPr>
          <w:szCs w:val="24"/>
        </w:rPr>
        <w:fldChar w:fldCharType="end"/>
      </w:r>
      <w:r w:rsidR="42584488" w:rsidRPr="004666D3">
        <w:rPr>
          <w:szCs w:val="24"/>
        </w:rPr>
        <w:t xml:space="preserve"> </w:t>
      </w:r>
      <w:r w:rsidR="074F6B1D" w:rsidRPr="004666D3">
        <w:rPr>
          <w:szCs w:val="24"/>
        </w:rPr>
        <w:t xml:space="preserve">to estimate the missing baselines </w:t>
      </w:r>
      <w:r w:rsidR="1DE8480F" w:rsidRPr="004666D3">
        <w:rPr>
          <w:szCs w:val="24"/>
        </w:rPr>
        <w:t xml:space="preserve">in </w:t>
      </w:r>
      <w:r w:rsidR="4471C1D2" w:rsidRPr="004666D3">
        <w:rPr>
          <w:szCs w:val="24"/>
        </w:rPr>
        <w:t xml:space="preserve">our data </w:t>
      </w:r>
      <w:r w:rsidR="2A899670" w:rsidRPr="004666D3">
        <w:rPr>
          <w:szCs w:val="24"/>
        </w:rPr>
        <w:t>imputation</w:t>
      </w:r>
      <w:r w:rsidR="4471C1D2" w:rsidRPr="004666D3">
        <w:rPr>
          <w:szCs w:val="24"/>
        </w:rPr>
        <w:t xml:space="preserve"> method</w:t>
      </w:r>
      <w:r w:rsidR="2E548FC6" w:rsidRPr="004666D3">
        <w:rPr>
          <w:szCs w:val="24"/>
        </w:rPr>
        <w:t>.</w:t>
      </w:r>
      <w:r w:rsidR="71014246" w:rsidRPr="004666D3">
        <w:rPr>
          <w:szCs w:val="24"/>
        </w:rPr>
        <w:t xml:space="preserve"> </w:t>
      </w:r>
      <w:bookmarkEnd w:id="53"/>
      <w:r w:rsidR="27F6938E" w:rsidRPr="004666D3">
        <w:rPr>
          <w:szCs w:val="24"/>
        </w:rPr>
        <w:t>World</w:t>
      </w:r>
      <w:r w:rsidR="18CA9F5F" w:rsidRPr="004666D3">
        <w:rPr>
          <w:szCs w:val="24"/>
        </w:rPr>
        <w:t>P</w:t>
      </w:r>
      <w:r w:rsidR="27F6938E" w:rsidRPr="004666D3">
        <w:rPr>
          <w:szCs w:val="24"/>
        </w:rPr>
        <w:t xml:space="preserve">op </w:t>
      </w:r>
      <w:r w:rsidR="6FCBE229" w:rsidRPr="004666D3">
        <w:rPr>
          <w:szCs w:val="24"/>
        </w:rPr>
        <w:t xml:space="preserve">produced </w:t>
      </w:r>
      <w:r w:rsidR="7AA9C6FD" w:rsidRPr="004666D3">
        <w:rPr>
          <w:szCs w:val="24"/>
        </w:rPr>
        <w:t xml:space="preserve">the </w:t>
      </w:r>
      <w:r w:rsidR="6B286C17" w:rsidRPr="004666D3">
        <w:rPr>
          <w:szCs w:val="24"/>
        </w:rPr>
        <w:t>global grid</w:t>
      </w:r>
      <w:r w:rsidR="506537B7" w:rsidRPr="004666D3">
        <w:rPr>
          <w:szCs w:val="24"/>
        </w:rPr>
        <w:t>d</w:t>
      </w:r>
      <w:r w:rsidR="6B286C17" w:rsidRPr="004666D3">
        <w:rPr>
          <w:szCs w:val="24"/>
        </w:rPr>
        <w:t xml:space="preserve">ed population data </w:t>
      </w:r>
      <w:r w:rsidR="202E862B" w:rsidRPr="004666D3">
        <w:rPr>
          <w:szCs w:val="24"/>
        </w:rPr>
        <w:t xml:space="preserve">at a resolution of </w:t>
      </w:r>
      <w:r w:rsidR="3B98B9BE" w:rsidRPr="004666D3">
        <w:rPr>
          <w:szCs w:val="24"/>
        </w:rPr>
        <w:t>3 arc</w:t>
      </w:r>
      <w:r w:rsidR="6576DB6B" w:rsidRPr="004666D3">
        <w:rPr>
          <w:szCs w:val="24"/>
        </w:rPr>
        <w:t>-</w:t>
      </w:r>
      <w:r w:rsidR="3B98B9BE" w:rsidRPr="004666D3">
        <w:rPr>
          <w:szCs w:val="24"/>
        </w:rPr>
        <w:t xml:space="preserve">seconds, </w:t>
      </w:r>
      <w:r w:rsidR="7CECE2A0" w:rsidRPr="004666D3">
        <w:rPr>
          <w:szCs w:val="24"/>
        </w:rPr>
        <w:t xml:space="preserve">using </w:t>
      </w:r>
      <w:r w:rsidR="39C956B8" w:rsidRPr="004666D3">
        <w:rPr>
          <w:szCs w:val="24"/>
        </w:rPr>
        <w:t xml:space="preserve">statistical </w:t>
      </w:r>
      <w:r w:rsidR="2CEB8FCD" w:rsidRPr="004666D3">
        <w:rPr>
          <w:szCs w:val="24"/>
        </w:rPr>
        <w:t xml:space="preserve">demographic </w:t>
      </w:r>
      <w:r w:rsidR="73D9F72B" w:rsidRPr="004666D3">
        <w:rPr>
          <w:szCs w:val="24"/>
        </w:rPr>
        <w:t xml:space="preserve">or census </w:t>
      </w:r>
      <w:r w:rsidR="39C956B8" w:rsidRPr="004666D3">
        <w:rPr>
          <w:szCs w:val="24"/>
        </w:rPr>
        <w:t xml:space="preserve">data of every country </w:t>
      </w:r>
      <w:r w:rsidR="57834262" w:rsidRPr="004666D3">
        <w:rPr>
          <w:szCs w:val="24"/>
        </w:rPr>
        <w:t xml:space="preserve">and a </w:t>
      </w:r>
      <w:r w:rsidR="009C5795" w:rsidRPr="004666D3">
        <w:rPr>
          <w:szCs w:val="24"/>
        </w:rPr>
        <w:t>random forest</w:t>
      </w:r>
      <w:r w:rsidR="091D25F7" w:rsidRPr="004666D3">
        <w:rPr>
          <w:szCs w:val="24"/>
        </w:rPr>
        <w:t xml:space="preserve">-based </w:t>
      </w:r>
      <w:proofErr w:type="spellStart"/>
      <w:r w:rsidR="1A9ABB39" w:rsidRPr="004666D3">
        <w:rPr>
          <w:szCs w:val="24"/>
        </w:rPr>
        <w:t>dasymetric</w:t>
      </w:r>
      <w:proofErr w:type="spellEnd"/>
      <w:r w:rsidR="1A9ABB39" w:rsidRPr="004666D3">
        <w:rPr>
          <w:szCs w:val="24"/>
        </w:rPr>
        <w:t xml:space="preserve"> redistribution</w:t>
      </w:r>
      <w:r w:rsidR="3D1ED02B" w:rsidRPr="004666D3">
        <w:rPr>
          <w:szCs w:val="24"/>
        </w:rPr>
        <w:t xml:space="preserve"> </w:t>
      </w:r>
      <w:r w:rsidR="00CB702C" w:rsidRPr="004666D3">
        <w:rPr>
          <w:szCs w:val="24"/>
        </w:rPr>
        <w:fldChar w:fldCharType="begin"/>
      </w:r>
      <w:r w:rsidR="00CB702C" w:rsidRPr="004666D3">
        <w:rPr>
          <w:szCs w:val="24"/>
        </w:rPr>
        <w:instrText xml:space="preserve"> ADDIN ZOTERO_ITEM CSL_CITATION {"citationID":"NEtVDbIu","properties":{"formattedCitation":"(Stevens et al., 2015; WorldPop, 2020)","plainCitation":"(Stevens et al., 2015; WorldPop, 2020)","noteIndex":0},"citationItems":[{"id":5730,"uris":["http://zotero.org/users/9756803/items/58V4G4AF"],"itemData":{"id":5730,"type":"article-journal","abstract":"High resolution, contemporary data on human population distributions are vital for measuring impacts of population growth, monitoring human-environment interactions and for planning and policy development. Many methods are used to disaggregate census data and predict population densities for finer scale, gridded population data sets. We present a new semi-automated dasymetric modeling approach that incorporates detailed census and ancillary data in a flexible, “Random Forest” estimation technique. We outline the combination of widely available, remotely-sensed and geospatial data that contribute to the modeled dasymetric weights and then use the Random Forest model to generate a gridded prediction of population density at ~100 m spatial resolution. This prediction layer is then used as the weighting surface to perform dasymetric redistribution of the census counts at a country level. As a case study we compare the new algorithm and its products for three countries (Vietnam, Cambodia, and Kenya) with other common gridded population data production methodologies. We discuss the advantages of the new method and increases over the accuracy and flexibility of those previous approaches. Finally, we outline how this algorithm will be extended to provide freely-available gridded population data sets for Africa, Asia and Latin America.","container-title":"PLOS ONE","DOI":"10.1371/journal.pone.0107042","ISSN":"1932-6203","issue":"2","journalAbbreviation":"PLOS ONE","language":"en","note":"publisher: Public Library of Science","page":"e0107042","source":"PLoS Journals","title":"Disaggregating Census Data for Population Mapping Using Random Forests with Remotely-Sensed and Ancillary Data","volume":"10","author":[{"family":"Stevens","given":"Forrest R."},{"family":"Gaughan","given":"Andrea E."},{"family":"Linard","given":"Catherine"},{"family":"Tatem","given":"Andrew J."}],"issued":{"date-parts":[["2015",2,17]]}}},{"id":4127,"uris":["http://zotero.org/users/9756803/items/Q3UG78ER"],"itemData":{"id":4127,"type":"document","abstract":"RF-based gridded population distribution datasets produced in the framework of the Global Project adjusted to match UNPD totals (from the 2019 Revision of World Population Prospects)","note":"DOI: 10.5258/SOTON/WP00660","publisher":"University of Southampton","source":"DOI.org (Datacite)","title":"Global High Resolution Population Denominators Project - Funded by The Bill and Melinda Gates Foundation (OPP1134076)","URL":"https://dx.doi.org/10.5258/SOTON/WP00660","author":[{"family":"WorldPop","given":""}],"accessed":{"date-parts":[["2023",2,28]]},"issued":{"date-parts":[["2020"]]}}}],"schema":"https://github.com/citation-style-language/schema/raw/master/csl-citation.json"} </w:instrText>
      </w:r>
      <w:r w:rsidR="00CB702C" w:rsidRPr="004666D3">
        <w:rPr>
          <w:szCs w:val="24"/>
        </w:rPr>
        <w:fldChar w:fldCharType="separate"/>
      </w:r>
      <w:r w:rsidR="00AE74BE" w:rsidRPr="004666D3">
        <w:rPr>
          <w:rFonts w:ascii="Calibri" w:hAnsi="Calibri" w:cs="Calibri"/>
        </w:rPr>
        <w:t>(Stevens et al., 2015; WorldPop, 2020)</w:t>
      </w:r>
      <w:r w:rsidR="00CB702C" w:rsidRPr="004666D3">
        <w:rPr>
          <w:szCs w:val="24"/>
        </w:rPr>
        <w:fldChar w:fldCharType="end"/>
      </w:r>
      <w:r w:rsidR="4A228077" w:rsidRPr="004666D3">
        <w:rPr>
          <w:rFonts w:ascii="Calibri" w:hAnsi="Calibri" w:cs="Calibri"/>
          <w:szCs w:val="24"/>
        </w:rPr>
        <w:t>.</w:t>
      </w:r>
      <w:r w:rsidR="00211AB3" w:rsidRPr="004666D3">
        <w:rPr>
          <w:rFonts w:ascii="Calibri" w:hAnsi="Calibri" w:cs="Calibri"/>
          <w:szCs w:val="24"/>
        </w:rPr>
        <w:t xml:space="preserve"> Specifically,</w:t>
      </w:r>
      <w:r w:rsidR="4A228077" w:rsidRPr="004666D3">
        <w:rPr>
          <w:rFonts w:ascii="Calibri" w:hAnsi="Calibri" w:cs="Calibri"/>
          <w:szCs w:val="24"/>
        </w:rPr>
        <w:t xml:space="preserve"> </w:t>
      </w:r>
      <w:r w:rsidR="00D179F8" w:rsidRPr="004666D3">
        <w:rPr>
          <w:szCs w:val="24"/>
        </w:rPr>
        <w:t xml:space="preserve">the </w:t>
      </w:r>
      <w:r w:rsidR="00277357" w:rsidRPr="004666D3">
        <w:rPr>
          <w:szCs w:val="24"/>
        </w:rPr>
        <w:t>data</w:t>
      </w:r>
      <w:r w:rsidR="00211AB3" w:rsidRPr="004666D3">
        <w:rPr>
          <w:szCs w:val="24"/>
        </w:rPr>
        <w:t xml:space="preserve"> for Belgium used Belgium's 2014 Population Register aggregated at admin level 4. For Thailand, the input data source was 2010 Population and Housing Census aggregated at admin level 2 </w:t>
      </w:r>
      <w:r w:rsidR="00211AB3" w:rsidRPr="004666D3">
        <w:rPr>
          <w:szCs w:val="24"/>
        </w:rPr>
        <w:fldChar w:fldCharType="begin"/>
      </w:r>
      <w:r w:rsidR="00211AB3" w:rsidRPr="004666D3">
        <w:rPr>
          <w:szCs w:val="24"/>
        </w:rPr>
        <w:instrText xml:space="preserve"> ADDIN ZOTERO_ITEM CSL_CITATION {"citationID":"Pau3iQi8","properties":{"formattedCitation":"(WorldPop, 2020)","plainCitation":"(WorldPop, 2020)","noteIndex":0},"citationItems":[{"id":4127,"uris":["http://zotero.org/users/9756803/items/Q3UG78ER"],"itemData":{"id":4127,"type":"document","abstract":"RF-based gridded population distribution datasets produced in the framework of the Global Project adjusted to match UNPD totals (from the 2019 Revision of World Population Prospects)","note":"DOI: 10.5258/SOTON/WP00660","publisher":"University of Southampton","source":"DOI.org (Datacite)","title":"Global High Resolution Population Denominators Project - Funded by The Bill and Melinda Gates Foundation (OPP1134076)","URL":"https://dx.doi.org/10.5258/SOTON/WP00660","author":[{"family":"WorldPop","given":""}],"accessed":{"date-parts":[["2023",2,28]]},"issued":{"date-parts":[["2020"]]}}}],"schema":"https://github.com/citation-style-language/schema/raw/master/csl-citation.json"} </w:instrText>
      </w:r>
      <w:r w:rsidR="00211AB3" w:rsidRPr="004666D3">
        <w:rPr>
          <w:szCs w:val="24"/>
        </w:rPr>
        <w:fldChar w:fldCharType="separate"/>
      </w:r>
      <w:r w:rsidR="00AE74BE" w:rsidRPr="004666D3">
        <w:rPr>
          <w:rFonts w:ascii="Calibri" w:hAnsi="Calibri" w:cs="Calibri"/>
        </w:rPr>
        <w:t>(WorldPop, 2020)</w:t>
      </w:r>
      <w:r w:rsidR="00211AB3" w:rsidRPr="004666D3">
        <w:rPr>
          <w:szCs w:val="24"/>
        </w:rPr>
        <w:fldChar w:fldCharType="end"/>
      </w:r>
      <w:r w:rsidR="00211AB3" w:rsidRPr="004666D3">
        <w:rPr>
          <w:szCs w:val="24"/>
        </w:rPr>
        <w:t>.</w:t>
      </w:r>
      <w:r w:rsidR="00E67070" w:rsidRPr="004666D3">
        <w:rPr>
          <w:szCs w:val="24"/>
        </w:rPr>
        <w:t xml:space="preserve"> </w:t>
      </w:r>
      <w:r w:rsidR="4A228077" w:rsidRPr="004666D3">
        <w:rPr>
          <w:rFonts w:ascii="Calibri" w:hAnsi="Calibri" w:cs="Calibri"/>
          <w:szCs w:val="24"/>
        </w:rPr>
        <w:t xml:space="preserve">The </w:t>
      </w:r>
      <w:r w:rsidR="00D179F8" w:rsidRPr="004666D3">
        <w:rPr>
          <w:rFonts w:ascii="Calibri" w:hAnsi="Calibri" w:cs="Calibri"/>
          <w:szCs w:val="24"/>
        </w:rPr>
        <w:t xml:space="preserve">WorldPop population </w:t>
      </w:r>
      <w:r w:rsidR="4A228077" w:rsidRPr="004666D3">
        <w:rPr>
          <w:rFonts w:ascii="Calibri" w:hAnsi="Calibri" w:cs="Calibri"/>
          <w:szCs w:val="24"/>
        </w:rPr>
        <w:lastRenderedPageBreak/>
        <w:t>data</w:t>
      </w:r>
      <w:r w:rsidR="006D1EC1" w:rsidRPr="004666D3">
        <w:rPr>
          <w:rFonts w:ascii="Calibri" w:hAnsi="Calibri" w:cs="Calibri"/>
          <w:szCs w:val="24"/>
        </w:rPr>
        <w:t>sets</w:t>
      </w:r>
      <w:r w:rsidR="000A7F6A" w:rsidRPr="004666D3">
        <w:rPr>
          <w:szCs w:val="24"/>
        </w:rPr>
        <w:t xml:space="preserve"> </w:t>
      </w:r>
      <w:r w:rsidR="006D1EC1" w:rsidRPr="004666D3">
        <w:rPr>
          <w:szCs w:val="24"/>
        </w:rPr>
        <w:t>are</w:t>
      </w:r>
      <w:r w:rsidR="009C5795" w:rsidRPr="004666D3">
        <w:rPr>
          <w:szCs w:val="24"/>
        </w:rPr>
        <w:t xml:space="preserve"> </w:t>
      </w:r>
      <w:r w:rsidR="768E1164" w:rsidRPr="004666D3">
        <w:rPr>
          <w:szCs w:val="24"/>
        </w:rPr>
        <w:t>open</w:t>
      </w:r>
      <w:r w:rsidR="4D560910" w:rsidRPr="004666D3">
        <w:rPr>
          <w:szCs w:val="24"/>
        </w:rPr>
        <w:t>ly available</w:t>
      </w:r>
      <w:r w:rsidR="009C5795" w:rsidRPr="004666D3">
        <w:rPr>
          <w:szCs w:val="24"/>
        </w:rPr>
        <w:t xml:space="preserve"> </w:t>
      </w:r>
      <w:r w:rsidR="10FED895" w:rsidRPr="004666D3">
        <w:rPr>
          <w:szCs w:val="24"/>
        </w:rPr>
        <w:t xml:space="preserve">on WorldPop </w:t>
      </w:r>
      <w:r w:rsidR="4D560910" w:rsidRPr="004666D3">
        <w:rPr>
          <w:szCs w:val="24"/>
        </w:rPr>
        <w:t xml:space="preserve">Data Repository </w:t>
      </w:r>
      <w:r w:rsidR="67C10B70" w:rsidRPr="004666D3">
        <w:rPr>
          <w:szCs w:val="24"/>
        </w:rPr>
        <w:t>Hub (</w:t>
      </w:r>
      <w:hyperlink r:id="rId10">
        <w:r w:rsidR="67C10B70" w:rsidRPr="004666D3">
          <w:rPr>
            <w:rStyle w:val="Hyperlink"/>
            <w:szCs w:val="24"/>
          </w:rPr>
          <w:t>https://hub.worldpop.org/project/categories?id=3</w:t>
        </w:r>
      </w:hyperlink>
      <w:r w:rsidR="67C10B70" w:rsidRPr="004666D3">
        <w:rPr>
          <w:szCs w:val="24"/>
        </w:rPr>
        <w:t>).</w:t>
      </w:r>
      <w:r w:rsidR="6AF0C7B4" w:rsidRPr="004666D3">
        <w:rPr>
          <w:szCs w:val="24"/>
        </w:rPr>
        <w:t xml:space="preserve"> </w:t>
      </w:r>
    </w:p>
    <w:p w14:paraId="5BD30F81" w14:textId="77777777" w:rsidR="00081DF9" w:rsidRPr="004666D3" w:rsidRDefault="00081DF9" w:rsidP="00081DF9">
      <w:pPr>
        <w:spacing w:line="240" w:lineRule="auto"/>
        <w:rPr>
          <w:szCs w:val="24"/>
        </w:rPr>
      </w:pPr>
    </w:p>
    <w:p w14:paraId="55A7ABCF" w14:textId="4D5807AF" w:rsidR="003D11F6" w:rsidRPr="004666D3" w:rsidRDefault="003D11F6" w:rsidP="005646E2">
      <w:pPr>
        <w:pStyle w:val="mysubtitle"/>
      </w:pPr>
      <w:r w:rsidRPr="004666D3">
        <w:t>2.</w:t>
      </w:r>
      <w:r w:rsidR="00144829" w:rsidRPr="004666D3">
        <w:t xml:space="preserve">4 </w:t>
      </w:r>
      <w:r w:rsidR="00453D5C" w:rsidRPr="004666D3">
        <w:t xml:space="preserve">Classification of </w:t>
      </w:r>
      <w:r w:rsidR="003B0685" w:rsidRPr="004666D3">
        <w:t xml:space="preserve">urbanisation </w:t>
      </w:r>
      <w:r w:rsidR="00453D5C" w:rsidRPr="004666D3">
        <w:t>degree</w:t>
      </w:r>
    </w:p>
    <w:p w14:paraId="0545E744" w14:textId="59F10F3F" w:rsidR="00C14658" w:rsidRPr="004666D3" w:rsidRDefault="3D7CF180" w:rsidP="00081DF9">
      <w:pPr>
        <w:rPr>
          <w:szCs w:val="24"/>
        </w:rPr>
      </w:pPr>
      <w:bookmarkStart w:id="54" w:name="OLE_LINK17"/>
      <w:r w:rsidRPr="004666D3">
        <w:rPr>
          <w:szCs w:val="24"/>
        </w:rPr>
        <w:t>A d</w:t>
      </w:r>
      <w:r w:rsidR="46CF3597" w:rsidRPr="004666D3">
        <w:rPr>
          <w:szCs w:val="24"/>
        </w:rPr>
        <w:t xml:space="preserve">egree of </w:t>
      </w:r>
      <w:r w:rsidR="00E6347D" w:rsidRPr="004666D3">
        <w:rPr>
          <w:szCs w:val="24"/>
        </w:rPr>
        <w:t xml:space="preserve">urbanisation </w:t>
      </w:r>
      <w:r w:rsidR="4F552592" w:rsidRPr="004666D3">
        <w:rPr>
          <w:szCs w:val="24"/>
        </w:rPr>
        <w:t xml:space="preserve">classification </w:t>
      </w:r>
      <w:r w:rsidR="00E6347D" w:rsidRPr="004666D3">
        <w:rPr>
          <w:szCs w:val="24"/>
        </w:rPr>
        <w:t xml:space="preserve">map </w:t>
      </w:r>
      <w:r w:rsidR="5AACDC4E" w:rsidRPr="004666D3">
        <w:rPr>
          <w:szCs w:val="24"/>
        </w:rPr>
        <w:t>from the</w:t>
      </w:r>
      <w:bookmarkEnd w:id="54"/>
      <w:r w:rsidR="00715F80" w:rsidRPr="004666D3">
        <w:rPr>
          <w:szCs w:val="24"/>
        </w:rPr>
        <w:t xml:space="preserve"> </w:t>
      </w:r>
      <w:r w:rsidR="00E6347D" w:rsidRPr="004666D3">
        <w:rPr>
          <w:szCs w:val="24"/>
        </w:rPr>
        <w:t xml:space="preserve">2020 Global Human Settlement Layer </w:t>
      </w:r>
      <w:r w:rsidR="00E6347D" w:rsidRPr="004666D3">
        <w:rPr>
          <w:szCs w:val="24"/>
        </w:rPr>
        <w:fldChar w:fldCharType="begin"/>
      </w:r>
      <w:r w:rsidR="00E6347D" w:rsidRPr="004666D3">
        <w:rPr>
          <w:szCs w:val="24"/>
        </w:rPr>
        <w:instrText xml:space="preserve"> ADDIN ZOTERO_ITEM CSL_CITATION {"citationID":"hTg4nFLm","properties":{"formattedCitation":"(Schiavina et al., 2022)","plainCitation":"(Schiavina et al., 2022)","noteIndex":0},"citationItems":[{"id":4124,"uris":["http://zotero.org/users/9756803/items/H4TYG3BN"],"itemData":{"id":4124,"type":"article-journal","container-title":"European Commission, Joint Research Centre (JRC)","DOI":"10.2905/4606D58A-DC08-463C-86A9-D49EF461C47F","language":"en","note":"publisher: European Commission, Joint Research Centre (JRC)","source":"data.jrc.ec.europa.eu","title":"GHS-SMOD R2022A - GHS settlement layers, application of the Degree of Urbanisation methodology (stage I) to GHS-POP R2022A and GHS-BUILT-S R2022A, multitemporal (1975-2030)","URL":"http://data.europa.eu/89h/4606d58a-dc08-463c-86a9-d49ef461c47f","author":[{"family":"Schiavina","given":"Marcello"},{"family":"Melchiorri","given":"Michele"},{"family":"Pesaresi","given":"Martino"}],"accessed":{"date-parts":[["2023",2,28]]},"issued":{"date-parts":[["2022",6,25]]}}}],"schema":"https://github.com/citation-style-language/schema/raw/master/csl-citation.json"} </w:instrText>
      </w:r>
      <w:r w:rsidR="00E6347D" w:rsidRPr="004666D3">
        <w:rPr>
          <w:szCs w:val="24"/>
        </w:rPr>
        <w:fldChar w:fldCharType="separate"/>
      </w:r>
      <w:r w:rsidR="00AE74BE" w:rsidRPr="004666D3">
        <w:rPr>
          <w:rFonts w:ascii="Calibri" w:hAnsi="Calibri" w:cs="Calibri"/>
        </w:rPr>
        <w:t>(Schiavina et al., 2022)</w:t>
      </w:r>
      <w:r w:rsidR="00E6347D" w:rsidRPr="004666D3">
        <w:rPr>
          <w:szCs w:val="24"/>
        </w:rPr>
        <w:fldChar w:fldCharType="end"/>
      </w:r>
      <w:r w:rsidR="00E6347D" w:rsidRPr="004666D3">
        <w:rPr>
          <w:szCs w:val="24"/>
        </w:rPr>
        <w:t xml:space="preserve"> was </w:t>
      </w:r>
      <w:r w:rsidR="203FBD52" w:rsidRPr="004666D3">
        <w:rPr>
          <w:szCs w:val="24"/>
        </w:rPr>
        <w:t xml:space="preserve">matched with Facebook </w:t>
      </w:r>
      <w:r w:rsidR="00612141" w:rsidRPr="004666D3">
        <w:rPr>
          <w:szCs w:val="24"/>
        </w:rPr>
        <w:t xml:space="preserve">user </w:t>
      </w:r>
      <w:r w:rsidR="00CB1168" w:rsidRPr="004666D3">
        <w:rPr>
          <w:szCs w:val="24"/>
        </w:rPr>
        <w:t xml:space="preserve">count </w:t>
      </w:r>
      <w:r w:rsidR="203FBD52" w:rsidRPr="004666D3">
        <w:rPr>
          <w:szCs w:val="24"/>
        </w:rPr>
        <w:t xml:space="preserve">tile data to identify whether tiles were located in urban centres, suburban or rural areas. </w:t>
      </w:r>
      <w:r w:rsidR="47802CAA" w:rsidRPr="004666D3">
        <w:rPr>
          <w:szCs w:val="24"/>
        </w:rPr>
        <w:t>Th</w:t>
      </w:r>
      <w:r w:rsidR="00D16132" w:rsidRPr="004666D3">
        <w:rPr>
          <w:szCs w:val="24"/>
        </w:rPr>
        <w:t>is</w:t>
      </w:r>
      <w:r w:rsidR="21E27E1F" w:rsidRPr="004666D3">
        <w:rPr>
          <w:szCs w:val="24"/>
        </w:rPr>
        <w:t xml:space="preserve"> </w:t>
      </w:r>
      <w:r w:rsidR="34D9DE14" w:rsidRPr="004666D3">
        <w:rPr>
          <w:szCs w:val="24"/>
        </w:rPr>
        <w:t>classificatio</w:t>
      </w:r>
      <w:r w:rsidR="74F23CA5" w:rsidRPr="004666D3">
        <w:rPr>
          <w:szCs w:val="24"/>
        </w:rPr>
        <w:t>n</w:t>
      </w:r>
      <w:r w:rsidR="34D9DE14" w:rsidRPr="004666D3">
        <w:rPr>
          <w:szCs w:val="24"/>
        </w:rPr>
        <w:t xml:space="preserve"> </w:t>
      </w:r>
      <w:r w:rsidR="004911C8" w:rsidRPr="004666D3">
        <w:rPr>
          <w:szCs w:val="24"/>
        </w:rPr>
        <w:t xml:space="preserve">map </w:t>
      </w:r>
      <w:r w:rsidR="00E64D75" w:rsidRPr="004666D3">
        <w:rPr>
          <w:szCs w:val="24"/>
        </w:rPr>
        <w:t xml:space="preserve">was generated by </w:t>
      </w:r>
      <w:r w:rsidR="008C7C5A" w:rsidRPr="004666D3">
        <w:rPr>
          <w:szCs w:val="24"/>
        </w:rPr>
        <w:t>comb</w:t>
      </w:r>
      <w:r w:rsidR="4F84F140" w:rsidRPr="004666D3">
        <w:rPr>
          <w:szCs w:val="24"/>
        </w:rPr>
        <w:t>in</w:t>
      </w:r>
      <w:r w:rsidR="008C7C5A" w:rsidRPr="004666D3">
        <w:rPr>
          <w:szCs w:val="24"/>
        </w:rPr>
        <w:t xml:space="preserve">ing </w:t>
      </w:r>
      <w:r w:rsidR="00B01357" w:rsidRPr="004666D3">
        <w:rPr>
          <w:szCs w:val="24"/>
        </w:rPr>
        <w:t>built-up areas and population density</w:t>
      </w:r>
      <w:r w:rsidR="1A4AF442" w:rsidRPr="004666D3">
        <w:rPr>
          <w:szCs w:val="24"/>
        </w:rPr>
        <w:t xml:space="preserve"> data</w:t>
      </w:r>
      <w:r w:rsidR="005B3C07" w:rsidRPr="004666D3">
        <w:rPr>
          <w:szCs w:val="24"/>
        </w:rPr>
        <w:t xml:space="preserve"> </w:t>
      </w:r>
      <w:r w:rsidR="005B3C07" w:rsidRPr="004666D3">
        <w:rPr>
          <w:szCs w:val="24"/>
        </w:rPr>
        <w:fldChar w:fldCharType="begin"/>
      </w:r>
      <w:r w:rsidR="005B3C07" w:rsidRPr="004666D3">
        <w:rPr>
          <w:szCs w:val="24"/>
        </w:rPr>
        <w:instrText xml:space="preserve"> ADDIN ZOTERO_ITEM CSL_CITATION {"citationID":"fCPz3D16","properties":{"formattedCitation":"(Schiavina et al., 2022)","plainCitation":"(Schiavina et al., 2022)","noteIndex":0},"citationItems":[{"id":4124,"uris":["http://zotero.org/users/9756803/items/H4TYG3BN"],"itemData":{"id":4124,"type":"article-journal","container-title":"European Commission, Joint Research Centre (JRC)","DOI":"10.2905/4606D58A-DC08-463C-86A9-D49EF461C47F","language":"en","note":"publisher: European Commission, Joint Research Centre (JRC)","source":"data.jrc.ec.europa.eu","title":"GHS-SMOD R2022A - GHS settlement layers, application of the Degree of Urbanisation methodology (stage I) to GHS-POP R2022A and GHS-BUILT-S R2022A, multitemporal (1975-2030)","URL":"http://data.europa.eu/89h/4606d58a-dc08-463c-86a9-d49ef461c47f","author":[{"family":"Schiavina","given":"Marcello"},{"family":"Melchiorri","given":"Michele"},{"family":"Pesaresi","given":"Martino"}],"accessed":{"date-parts":[["2023",2,28]]},"issued":{"date-parts":[["2022",6,25]]}}}],"schema":"https://github.com/citation-style-language/schema/raw/master/csl-citation.json"} </w:instrText>
      </w:r>
      <w:r w:rsidR="005B3C07" w:rsidRPr="004666D3">
        <w:rPr>
          <w:szCs w:val="24"/>
        </w:rPr>
        <w:fldChar w:fldCharType="separate"/>
      </w:r>
      <w:r w:rsidR="00AE74BE" w:rsidRPr="004666D3">
        <w:rPr>
          <w:rFonts w:ascii="Calibri" w:hAnsi="Calibri" w:cs="Calibri"/>
        </w:rPr>
        <w:t>(Schiavina et al., 2022)</w:t>
      </w:r>
      <w:r w:rsidR="005B3C07" w:rsidRPr="004666D3">
        <w:rPr>
          <w:szCs w:val="24"/>
        </w:rPr>
        <w:fldChar w:fldCharType="end"/>
      </w:r>
      <w:r w:rsidR="00B01357" w:rsidRPr="004666D3">
        <w:rPr>
          <w:szCs w:val="24"/>
        </w:rPr>
        <w:t xml:space="preserve">, </w:t>
      </w:r>
      <w:r w:rsidR="008C7C5A" w:rsidRPr="004666D3">
        <w:rPr>
          <w:szCs w:val="24"/>
        </w:rPr>
        <w:t xml:space="preserve">using the </w:t>
      </w:r>
      <w:r w:rsidR="00216AEC" w:rsidRPr="004666D3">
        <w:rPr>
          <w:szCs w:val="24"/>
        </w:rPr>
        <w:t xml:space="preserve">uniform </w:t>
      </w:r>
      <w:r w:rsidR="00C54840" w:rsidRPr="004666D3">
        <w:rPr>
          <w:szCs w:val="24"/>
        </w:rPr>
        <w:t xml:space="preserve">definition of </w:t>
      </w:r>
      <w:r w:rsidR="00DA12F7" w:rsidRPr="004666D3">
        <w:rPr>
          <w:szCs w:val="24"/>
        </w:rPr>
        <w:t xml:space="preserve">the </w:t>
      </w:r>
      <w:r w:rsidR="00B9019F" w:rsidRPr="004666D3">
        <w:rPr>
          <w:szCs w:val="24"/>
        </w:rPr>
        <w:t xml:space="preserve">urban </w:t>
      </w:r>
      <w:r w:rsidR="003B0685" w:rsidRPr="004666D3">
        <w:rPr>
          <w:szCs w:val="24"/>
        </w:rPr>
        <w:t>centre</w:t>
      </w:r>
      <w:r w:rsidR="00B9019F" w:rsidRPr="004666D3">
        <w:rPr>
          <w:szCs w:val="24"/>
        </w:rPr>
        <w:t xml:space="preserve">, urban cluster and </w:t>
      </w:r>
      <w:r w:rsidR="00AF1E5B" w:rsidRPr="004666D3">
        <w:rPr>
          <w:szCs w:val="24"/>
        </w:rPr>
        <w:t>rural areas endorsed by the UN Statistical Commission</w:t>
      </w:r>
      <w:r w:rsidR="00EA16A2" w:rsidRPr="004666D3">
        <w:rPr>
          <w:szCs w:val="24"/>
        </w:rPr>
        <w:t xml:space="preserve"> </w:t>
      </w:r>
      <w:r w:rsidR="00E6347D" w:rsidRPr="004666D3">
        <w:rPr>
          <w:szCs w:val="24"/>
        </w:rPr>
        <w:fldChar w:fldCharType="begin"/>
      </w:r>
      <w:r w:rsidR="00E6347D" w:rsidRPr="004666D3">
        <w:rPr>
          <w:szCs w:val="24"/>
        </w:rPr>
        <w:instrText xml:space="preserve"> ADDIN ZOTERO_ITEM CSL_CITATION {"citationID":"e9MGMB9N","properties":{"formattedCitation":"(Dijkstra et al., 2021; European Commission. Statistical Office of the European Union., 2021)","plainCitation":"(Dijkstra et al., 2021; European Commission. Statistical Office of the European Union., 2021)","noteIndex":0},"citationItems":[{"id":4113,"uris":["http://zotero.org/users/9756803/items/BDFE8GXW"],"itemData":{"id":4113,"type":"article-journal","abstract":"The Degree of Urbanisation is a new definition of cities, towns and semi-dense areas, and rural areas endorsed by the UN Statistical Commission. The urban population share according to the Degree of Urbanisation is similar to the one based on national definitions in the Americas, Europe and Oceania, but considerably higher in Africa and Asia. An empirical analysis and a comparison of concepts suggest that towns are likely to be classified as rural areas in Africa and Asia and as urban areas in other parts of the world. The paper shows that cities cover only a small share of land, but this share doubled over the past forty years, as has the number of cities. Although cities have expanded rapidly, their population grew even faster leading to higher densities. The paper tests two classic urban facts: 1) the cities and towns as defined by the Degree of Urbanisation closely follow Zipf's law 2) the population shares in urban areas, cities and especially metropolitan areas are positively and significantly correlated with the level of economic development. Lastly, the sensitivity of the classification of population and land are tested by varying the population size and density thresholds as well using a different global population grid.","collection-title":"Delineation of Urban Areas","container-title":"Journal of Urban Economics","DOI":"10.1016/j.jue.2020.103312","ISSN":"0094-1190","journalAbbreviation":"Journal of Urban Economics","language":"en","page":"103312","source":"ScienceDirect","title":"Applying the Degree of Urbanisation to the globe: A new harmonised definition reveals a different picture of global urbanisation","title-short":"Applying the Degree of Urbanisation to the globe","volume":"125","author":[{"family":"Dijkstra","given":"Lewis"},{"family":"Florczyk","given":"Aneta J."},{"family":"Freire","given":"Sergio"},{"family":"Kemper","given":"Thomas"},{"family":"Melchiorri","given":"Michele"},{"family":"Pesaresi","given":"Martino"},{"family":"Schiavina","given":"Marcello"}],"issued":{"date-parts":[["2021",9,1]]}}},{"id":4117,"uris":["http://zotero.org/users/9756803/items/DTYU7JK9"],"itemData":{"id":4117,"type":"book","event-place":"LU","language":"en","publisher":"Publications Office","publisher-place":"LU","source":"DOI.org (CSL JSON)","title":"Applying the degree of urbanisation: a methodological manual to define cities, towns and rural areas for international comparisons : 2021 edition.","title-short":"Applying the degree of urbanisation","URL":"https://data.europa.eu/doi/10.2785/706535","author":[{"literal":"European Commission. Statistical Office of the European Union."}],"accessed":{"date-parts":[["2023",2,27]]},"issued":{"date-parts":[["2021"]]}}}],"schema":"https://github.com/citation-style-language/schema/raw/master/csl-citation.json"} </w:instrText>
      </w:r>
      <w:r w:rsidR="00E6347D" w:rsidRPr="004666D3">
        <w:rPr>
          <w:szCs w:val="24"/>
        </w:rPr>
        <w:fldChar w:fldCharType="separate"/>
      </w:r>
      <w:r w:rsidR="00AE74BE" w:rsidRPr="004666D3">
        <w:rPr>
          <w:rFonts w:ascii="Calibri" w:hAnsi="Calibri" w:cs="Calibri"/>
        </w:rPr>
        <w:t>(Dijkstra et al., 2021; European Commission. Statistical Office of the European Union., 2021)</w:t>
      </w:r>
      <w:r w:rsidR="00E6347D" w:rsidRPr="004666D3">
        <w:rPr>
          <w:szCs w:val="24"/>
        </w:rPr>
        <w:fldChar w:fldCharType="end"/>
      </w:r>
      <w:r w:rsidR="00AF1E5B" w:rsidRPr="004666D3">
        <w:rPr>
          <w:szCs w:val="24"/>
        </w:rPr>
        <w:t>.</w:t>
      </w:r>
      <w:r w:rsidR="00B13440" w:rsidRPr="004666D3">
        <w:rPr>
          <w:szCs w:val="24"/>
        </w:rPr>
        <w:t xml:space="preserve"> It </w:t>
      </w:r>
      <w:r w:rsidR="00B23ABC" w:rsidRPr="004666D3">
        <w:rPr>
          <w:szCs w:val="24"/>
        </w:rPr>
        <w:t>is available</w:t>
      </w:r>
      <w:r w:rsidR="0015397E" w:rsidRPr="004666D3">
        <w:rPr>
          <w:szCs w:val="24"/>
        </w:rPr>
        <w:t xml:space="preserve"> on </w:t>
      </w:r>
      <w:r w:rsidR="003701EC" w:rsidRPr="004666D3">
        <w:rPr>
          <w:szCs w:val="24"/>
        </w:rPr>
        <w:t xml:space="preserve">the </w:t>
      </w:r>
      <w:r w:rsidR="0015397E" w:rsidRPr="004666D3">
        <w:rPr>
          <w:szCs w:val="24"/>
        </w:rPr>
        <w:t xml:space="preserve">Global Human Settlement Layer </w:t>
      </w:r>
      <w:r w:rsidR="006042E4" w:rsidRPr="004666D3">
        <w:rPr>
          <w:szCs w:val="24"/>
        </w:rPr>
        <w:t xml:space="preserve">webpage </w:t>
      </w:r>
      <w:r w:rsidR="0015397E" w:rsidRPr="004666D3">
        <w:rPr>
          <w:szCs w:val="24"/>
        </w:rPr>
        <w:t>(</w:t>
      </w:r>
      <w:hyperlink r:id="rId11">
        <w:r w:rsidR="0015397E" w:rsidRPr="004666D3">
          <w:rPr>
            <w:rStyle w:val="Hyperlink"/>
            <w:szCs w:val="24"/>
          </w:rPr>
          <w:t>https://ghsl.jrc.ec.europa.eu/degurbaDefinitions.php</w:t>
        </w:r>
      </w:hyperlink>
      <w:r w:rsidR="0015397E" w:rsidRPr="004666D3">
        <w:rPr>
          <w:szCs w:val="24"/>
        </w:rPr>
        <w:t>).</w:t>
      </w:r>
    </w:p>
    <w:p w14:paraId="527FBB91" w14:textId="77777777" w:rsidR="00081DF9" w:rsidRPr="004666D3" w:rsidRDefault="00081DF9" w:rsidP="00081DF9">
      <w:pPr>
        <w:spacing w:line="240" w:lineRule="auto"/>
        <w:rPr>
          <w:szCs w:val="24"/>
        </w:rPr>
      </w:pPr>
    </w:p>
    <w:p w14:paraId="398AE02E" w14:textId="452BADB3" w:rsidR="0033076D" w:rsidRPr="004666D3" w:rsidRDefault="00542F3B" w:rsidP="005646E2">
      <w:pPr>
        <w:pStyle w:val="mysubtitle"/>
      </w:pPr>
      <w:r w:rsidRPr="004666D3">
        <w:t>2.</w:t>
      </w:r>
      <w:r w:rsidR="009C4726" w:rsidRPr="004666D3">
        <w:t xml:space="preserve">5 </w:t>
      </w:r>
      <w:r w:rsidR="008D2E86" w:rsidRPr="004666D3">
        <w:t>Facebook data pre-</w:t>
      </w:r>
      <w:r w:rsidR="0031749F" w:rsidRPr="004666D3">
        <w:t>processing</w:t>
      </w:r>
    </w:p>
    <w:p w14:paraId="62BF6880" w14:textId="37B37FCC" w:rsidR="008B2F1B" w:rsidRPr="004666D3" w:rsidRDefault="008B2F1B" w:rsidP="005646E2">
      <w:pPr>
        <w:pStyle w:val="mysubtitle"/>
      </w:pPr>
      <w:r w:rsidRPr="004666D3">
        <w:t>2.</w:t>
      </w:r>
      <w:r w:rsidR="009C4726" w:rsidRPr="004666D3">
        <w:t>5</w:t>
      </w:r>
      <w:r w:rsidRPr="004666D3">
        <w:t>.</w:t>
      </w:r>
      <w:r w:rsidR="00634358" w:rsidRPr="004666D3">
        <w:t>1</w:t>
      </w:r>
      <w:r w:rsidRPr="004666D3">
        <w:t xml:space="preserve"> Missing data imputation</w:t>
      </w:r>
    </w:p>
    <w:p w14:paraId="589D8898" w14:textId="5B74D83B" w:rsidR="000049C9" w:rsidRPr="004666D3" w:rsidRDefault="00E638C6" w:rsidP="47F77358">
      <w:pPr>
        <w:rPr>
          <w:szCs w:val="24"/>
          <w:lang w:val="en-US"/>
        </w:rPr>
      </w:pPr>
      <w:r w:rsidRPr="004666D3">
        <w:rPr>
          <w:szCs w:val="24"/>
        </w:rPr>
        <w:t xml:space="preserve">A key challenge </w:t>
      </w:r>
      <w:r w:rsidR="5228B5E4" w:rsidRPr="004666D3">
        <w:rPr>
          <w:szCs w:val="24"/>
        </w:rPr>
        <w:t xml:space="preserve">in </w:t>
      </w:r>
      <w:r w:rsidR="1EA81797" w:rsidRPr="004666D3">
        <w:rPr>
          <w:szCs w:val="24"/>
        </w:rPr>
        <w:t>the</w:t>
      </w:r>
      <w:r w:rsidRPr="004666D3">
        <w:rPr>
          <w:szCs w:val="24"/>
        </w:rPr>
        <w:t xml:space="preserve"> use </w:t>
      </w:r>
      <w:r w:rsidR="2288127A" w:rsidRPr="004666D3">
        <w:rPr>
          <w:szCs w:val="24"/>
        </w:rPr>
        <w:t xml:space="preserve">of </w:t>
      </w:r>
      <w:r w:rsidRPr="004666D3">
        <w:rPr>
          <w:szCs w:val="24"/>
        </w:rPr>
        <w:t xml:space="preserve">Facebook </w:t>
      </w:r>
      <w:r w:rsidR="00CA5F25" w:rsidRPr="004666D3">
        <w:rPr>
          <w:szCs w:val="24"/>
        </w:rPr>
        <w:t xml:space="preserve">user count </w:t>
      </w:r>
      <w:r w:rsidRPr="004666D3">
        <w:rPr>
          <w:szCs w:val="24"/>
        </w:rPr>
        <w:t xml:space="preserve">data is </w:t>
      </w:r>
      <w:r w:rsidR="28202474" w:rsidRPr="004666D3">
        <w:rPr>
          <w:szCs w:val="24"/>
        </w:rPr>
        <w:t xml:space="preserve">the </w:t>
      </w:r>
      <w:r w:rsidR="00CB245C" w:rsidRPr="004666D3">
        <w:rPr>
          <w:szCs w:val="24"/>
        </w:rPr>
        <w:t xml:space="preserve">absence of </w:t>
      </w:r>
      <w:r w:rsidR="000C2ADD" w:rsidRPr="004666D3">
        <w:rPr>
          <w:szCs w:val="24"/>
        </w:rPr>
        <w:t xml:space="preserve">small </w:t>
      </w:r>
      <w:r w:rsidR="00CA5F25" w:rsidRPr="004666D3">
        <w:rPr>
          <w:szCs w:val="24"/>
        </w:rPr>
        <w:t>count</w:t>
      </w:r>
      <w:r w:rsidR="000C2ADD" w:rsidRPr="004666D3">
        <w:rPr>
          <w:szCs w:val="24"/>
        </w:rPr>
        <w:t xml:space="preserve"> numbers</w:t>
      </w:r>
      <w:r w:rsidR="007B6E77" w:rsidRPr="004666D3">
        <w:rPr>
          <w:szCs w:val="24"/>
        </w:rPr>
        <w:t xml:space="preserve">, </w:t>
      </w:r>
      <w:r w:rsidR="00A604BE" w:rsidRPr="004666D3">
        <w:rPr>
          <w:szCs w:val="24"/>
        </w:rPr>
        <w:t>a result of</w:t>
      </w:r>
      <w:r w:rsidR="00CB245C" w:rsidRPr="004666D3">
        <w:rPr>
          <w:szCs w:val="24"/>
        </w:rPr>
        <w:t xml:space="preserve"> </w:t>
      </w:r>
      <w:r w:rsidRPr="004666D3">
        <w:rPr>
          <w:szCs w:val="24"/>
        </w:rPr>
        <w:t xml:space="preserve">privacy protection </w:t>
      </w:r>
      <w:r w:rsidR="00282D40" w:rsidRPr="004666D3">
        <w:rPr>
          <w:szCs w:val="24"/>
        </w:rPr>
        <w:t>techniques</w:t>
      </w:r>
      <w:r w:rsidR="007968C9" w:rsidRPr="004666D3">
        <w:rPr>
          <w:szCs w:val="24"/>
        </w:rPr>
        <w:t xml:space="preserve"> applied</w:t>
      </w:r>
      <w:r w:rsidR="005550DD" w:rsidRPr="004666D3">
        <w:rPr>
          <w:szCs w:val="24"/>
        </w:rPr>
        <w:t xml:space="preserve"> </w:t>
      </w:r>
      <w:r w:rsidRPr="004666D3">
        <w:rPr>
          <w:szCs w:val="24"/>
        </w:rPr>
        <w:t>to ensure the locations of individuals or small groups cannot be identified</w:t>
      </w:r>
      <w:r w:rsidR="002A2520" w:rsidRPr="004666D3">
        <w:rPr>
          <w:szCs w:val="24"/>
        </w:rPr>
        <w:t xml:space="preserve">. </w:t>
      </w:r>
      <w:r w:rsidR="00937A00" w:rsidRPr="004666D3">
        <w:rPr>
          <w:szCs w:val="24"/>
        </w:rPr>
        <w:t>In addition to reporting aggregated numbers per tile</w:t>
      </w:r>
      <w:r w:rsidR="002A2520" w:rsidRPr="004666D3">
        <w:rPr>
          <w:szCs w:val="24"/>
        </w:rPr>
        <w:t xml:space="preserve">, </w:t>
      </w:r>
      <w:bookmarkStart w:id="55" w:name="OLE_LINK86"/>
      <w:r w:rsidR="00310CCB" w:rsidRPr="004666D3">
        <w:rPr>
          <w:szCs w:val="24"/>
        </w:rPr>
        <w:t>if</w:t>
      </w:r>
      <w:r w:rsidR="002D1241" w:rsidRPr="004666D3">
        <w:rPr>
          <w:szCs w:val="24"/>
        </w:rPr>
        <w:t xml:space="preserve"> a tile</w:t>
      </w:r>
      <w:r w:rsidR="005806AE" w:rsidRPr="004666D3">
        <w:rPr>
          <w:szCs w:val="24"/>
        </w:rPr>
        <w:t xml:space="preserve"> </w:t>
      </w:r>
      <w:r w:rsidR="00310CCB" w:rsidRPr="004666D3">
        <w:rPr>
          <w:szCs w:val="24"/>
        </w:rPr>
        <w:t>had</w:t>
      </w:r>
      <w:r w:rsidR="002A2520" w:rsidRPr="004666D3">
        <w:rPr>
          <w:szCs w:val="24"/>
        </w:rPr>
        <w:t xml:space="preserve"> </w:t>
      </w:r>
      <w:r w:rsidR="2470A4A5" w:rsidRPr="004666D3">
        <w:rPr>
          <w:szCs w:val="24"/>
        </w:rPr>
        <w:t>a baseline</w:t>
      </w:r>
      <w:r w:rsidR="001E3331" w:rsidRPr="004666D3">
        <w:rPr>
          <w:szCs w:val="24"/>
        </w:rPr>
        <w:t xml:space="preserve"> </w:t>
      </w:r>
      <w:r w:rsidR="00CB17AB" w:rsidRPr="004666D3">
        <w:rPr>
          <w:szCs w:val="24"/>
        </w:rPr>
        <w:t xml:space="preserve">or </w:t>
      </w:r>
      <w:r w:rsidR="00CA5F25" w:rsidRPr="004666D3">
        <w:rPr>
          <w:szCs w:val="24"/>
        </w:rPr>
        <w:t xml:space="preserve">user </w:t>
      </w:r>
      <w:r w:rsidR="00F75409" w:rsidRPr="004666D3">
        <w:rPr>
          <w:szCs w:val="24"/>
        </w:rPr>
        <w:t xml:space="preserve">count </w:t>
      </w:r>
      <w:r w:rsidR="00AE6BD8" w:rsidRPr="004666D3">
        <w:rPr>
          <w:szCs w:val="24"/>
        </w:rPr>
        <w:t xml:space="preserve">number </w:t>
      </w:r>
      <w:r w:rsidR="2470A4A5" w:rsidRPr="004666D3">
        <w:rPr>
          <w:szCs w:val="24"/>
        </w:rPr>
        <w:t>below ten</w:t>
      </w:r>
      <w:r w:rsidR="005B07D2" w:rsidRPr="004666D3">
        <w:rPr>
          <w:szCs w:val="24"/>
        </w:rPr>
        <w:t xml:space="preserve"> </w:t>
      </w:r>
      <w:r w:rsidR="000E0C65" w:rsidRPr="004666D3">
        <w:rPr>
          <w:szCs w:val="24"/>
        </w:rPr>
        <w:t>for a specific time and date</w:t>
      </w:r>
      <w:r w:rsidR="001A11E4" w:rsidRPr="004666D3">
        <w:rPr>
          <w:szCs w:val="24"/>
        </w:rPr>
        <w:t xml:space="preserve">, </w:t>
      </w:r>
      <w:r w:rsidR="000E5054" w:rsidRPr="004666D3">
        <w:rPr>
          <w:szCs w:val="24"/>
        </w:rPr>
        <w:t>both values</w:t>
      </w:r>
      <w:r w:rsidR="00181F1B" w:rsidRPr="004666D3">
        <w:rPr>
          <w:szCs w:val="24"/>
        </w:rPr>
        <w:t xml:space="preserve"> are excluded</w:t>
      </w:r>
      <w:r w:rsidR="000E0C65" w:rsidRPr="004666D3">
        <w:rPr>
          <w:szCs w:val="24"/>
        </w:rPr>
        <w:t>,</w:t>
      </w:r>
      <w:r w:rsidR="000E0C65" w:rsidRPr="004666D3">
        <w:t xml:space="preserve"> </w:t>
      </w:r>
      <w:r w:rsidR="000E0C65" w:rsidRPr="004666D3">
        <w:rPr>
          <w:szCs w:val="24"/>
        </w:rPr>
        <w:t xml:space="preserve">retaining only their percent change in the records </w:t>
      </w:r>
      <w:bookmarkEnd w:id="55"/>
      <w:r w:rsidR="00BD4B1A" w:rsidRPr="004666D3">
        <w:rPr>
          <w:szCs w:val="24"/>
        </w:rPr>
        <w:fldChar w:fldCharType="begin"/>
      </w:r>
      <w:r w:rsidR="00BD4B1A" w:rsidRPr="004666D3">
        <w:rPr>
          <w:szCs w:val="24"/>
        </w:rPr>
        <w:instrText xml:space="preserve"> ADDIN ZOTERO_ITEM CSL_CITATION {"citationID":"7bBUCyA2","properties":{"formattedCitation":"(Maas,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00BD4B1A" w:rsidRPr="004666D3">
        <w:rPr>
          <w:szCs w:val="24"/>
        </w:rPr>
        <w:fldChar w:fldCharType="separate"/>
      </w:r>
      <w:r w:rsidR="00AE74BE" w:rsidRPr="004666D3">
        <w:rPr>
          <w:rFonts w:ascii="Calibri" w:hAnsi="Calibri" w:cs="Calibri"/>
        </w:rPr>
        <w:t>(Maas, 2019)</w:t>
      </w:r>
      <w:r w:rsidR="00BD4B1A" w:rsidRPr="004666D3">
        <w:rPr>
          <w:szCs w:val="24"/>
        </w:rPr>
        <w:fldChar w:fldCharType="end"/>
      </w:r>
      <w:r w:rsidRPr="004666D3">
        <w:rPr>
          <w:szCs w:val="24"/>
        </w:rPr>
        <w:t xml:space="preserve">. </w:t>
      </w:r>
      <w:r w:rsidR="0022276A" w:rsidRPr="004666D3">
        <w:rPr>
          <w:szCs w:val="24"/>
        </w:rPr>
        <w:t xml:space="preserve">As a result, </w:t>
      </w:r>
      <w:r w:rsidR="0022276A" w:rsidRPr="004666D3">
        <w:rPr>
          <w:szCs w:val="24"/>
          <w:lang w:val="en-US"/>
        </w:rPr>
        <w:t>s</w:t>
      </w:r>
      <w:r w:rsidR="00855DE9" w:rsidRPr="004666D3">
        <w:rPr>
          <w:szCs w:val="24"/>
          <w:lang w:val="en-US"/>
        </w:rPr>
        <w:t>ome count</w:t>
      </w:r>
      <w:r w:rsidR="008B2F83" w:rsidRPr="004666D3">
        <w:rPr>
          <w:szCs w:val="24"/>
          <w:lang w:val="en-US"/>
        </w:rPr>
        <w:t>r</w:t>
      </w:r>
      <w:r w:rsidR="00855DE9" w:rsidRPr="004666D3">
        <w:rPr>
          <w:szCs w:val="24"/>
          <w:lang w:val="en-US"/>
        </w:rPr>
        <w:t xml:space="preserve">ies </w:t>
      </w:r>
      <w:r w:rsidR="00FF2A8F" w:rsidRPr="004666D3">
        <w:rPr>
          <w:szCs w:val="24"/>
          <w:lang w:val="en-US"/>
        </w:rPr>
        <w:t>m</w:t>
      </w:r>
      <w:r w:rsidR="0092707F" w:rsidRPr="004666D3">
        <w:rPr>
          <w:szCs w:val="24"/>
          <w:lang w:val="en-US"/>
        </w:rPr>
        <w:t>ay</w:t>
      </w:r>
      <w:r w:rsidR="00FF2A8F" w:rsidRPr="004666D3">
        <w:rPr>
          <w:szCs w:val="24"/>
          <w:lang w:val="en-US"/>
        </w:rPr>
        <w:t xml:space="preserve"> </w:t>
      </w:r>
      <w:r w:rsidR="00855DE9" w:rsidRPr="004666D3">
        <w:rPr>
          <w:szCs w:val="24"/>
          <w:lang w:val="en-US"/>
        </w:rPr>
        <w:t xml:space="preserve">have many tiles with </w:t>
      </w:r>
      <w:r w:rsidR="002B06CA" w:rsidRPr="004666D3">
        <w:rPr>
          <w:szCs w:val="24"/>
          <w:lang w:val="en-US"/>
        </w:rPr>
        <w:t>null</w:t>
      </w:r>
      <w:r w:rsidR="00855DE9" w:rsidRPr="004666D3">
        <w:rPr>
          <w:szCs w:val="24"/>
          <w:lang w:val="en-US"/>
        </w:rPr>
        <w:t xml:space="preserve"> </w:t>
      </w:r>
      <w:r w:rsidR="002A49E2" w:rsidRPr="004666D3">
        <w:rPr>
          <w:szCs w:val="24"/>
          <w:lang w:val="en-US"/>
        </w:rPr>
        <w:t xml:space="preserve">values for </w:t>
      </w:r>
      <w:r w:rsidR="00855DE9" w:rsidRPr="004666D3">
        <w:rPr>
          <w:szCs w:val="24"/>
          <w:lang w:val="en-US"/>
        </w:rPr>
        <w:t>population and baseline</w:t>
      </w:r>
      <w:r w:rsidR="00D90C3C" w:rsidRPr="004666D3">
        <w:rPr>
          <w:szCs w:val="24"/>
          <w:lang w:val="en-US"/>
        </w:rPr>
        <w:t xml:space="preserve"> numbers</w:t>
      </w:r>
      <w:r w:rsidR="00F77A8B" w:rsidRPr="004666D3">
        <w:rPr>
          <w:szCs w:val="24"/>
          <w:lang w:val="en-US"/>
        </w:rPr>
        <w:t xml:space="preserve"> (see </w:t>
      </w:r>
      <w:r w:rsidR="00B42D6B" w:rsidRPr="004666D3">
        <w:rPr>
          <w:szCs w:val="24"/>
          <w:lang w:val="en-US"/>
        </w:rPr>
        <w:t>Supplementary Table A.1</w:t>
      </w:r>
      <w:r w:rsidR="00F77A8B" w:rsidRPr="004666D3">
        <w:rPr>
          <w:szCs w:val="24"/>
          <w:lang w:val="en-US"/>
        </w:rPr>
        <w:t>)</w:t>
      </w:r>
      <w:r w:rsidR="00855DE9" w:rsidRPr="004666D3">
        <w:rPr>
          <w:szCs w:val="24"/>
          <w:lang w:val="en-US"/>
        </w:rPr>
        <w:t xml:space="preserve">. </w:t>
      </w:r>
      <w:bookmarkStart w:id="56" w:name="OLE_LINK66"/>
      <w:bookmarkStart w:id="57" w:name="OLE_LINK65"/>
      <w:r w:rsidR="00C12F3D" w:rsidRPr="004666D3">
        <w:rPr>
          <w:szCs w:val="24"/>
          <w:lang w:val="en-US"/>
        </w:rPr>
        <w:t xml:space="preserve">Taking Belgium as an </w:t>
      </w:r>
      <w:r w:rsidR="00C12F3D" w:rsidRPr="004666D3">
        <w:rPr>
          <w:szCs w:val="24"/>
          <w:lang w:val="en-US"/>
        </w:rPr>
        <w:lastRenderedPageBreak/>
        <w:t>example</w:t>
      </w:r>
      <w:r w:rsidR="00855DE9" w:rsidRPr="004666D3">
        <w:rPr>
          <w:szCs w:val="24"/>
          <w:lang w:val="en-US"/>
        </w:rPr>
        <w:t>, two-thirds of tiles had incomplete records</w:t>
      </w:r>
      <w:r w:rsidR="007B1184" w:rsidRPr="004666D3">
        <w:rPr>
          <w:szCs w:val="24"/>
          <w:lang w:val="en-US"/>
        </w:rPr>
        <w:t xml:space="preserve">, </w:t>
      </w:r>
      <w:bookmarkEnd w:id="56"/>
      <w:r w:rsidR="00F176CF" w:rsidRPr="004666D3">
        <w:rPr>
          <w:szCs w:val="24"/>
          <w:lang w:val="en-US"/>
        </w:rPr>
        <w:t>and 82.87% of the rural tiles lacked specific user count value</w:t>
      </w:r>
      <w:r w:rsidR="00BE6D03" w:rsidRPr="004666D3">
        <w:rPr>
          <w:szCs w:val="24"/>
          <w:lang w:val="en-US"/>
        </w:rPr>
        <w:t>s</w:t>
      </w:r>
      <w:r w:rsidR="00C12F3D" w:rsidRPr="004666D3">
        <w:rPr>
          <w:szCs w:val="24"/>
          <w:lang w:val="en-US"/>
        </w:rPr>
        <w:t>.</w:t>
      </w:r>
      <w:r w:rsidR="000049C9" w:rsidRPr="004666D3">
        <w:rPr>
          <w:szCs w:val="24"/>
        </w:rPr>
        <w:t xml:space="preserve"> </w:t>
      </w:r>
      <w:bookmarkEnd w:id="57"/>
    </w:p>
    <w:p w14:paraId="0B937E4A" w14:textId="77777777" w:rsidR="007636F6" w:rsidRPr="004666D3" w:rsidRDefault="007636F6" w:rsidP="00081DF9">
      <w:pPr>
        <w:spacing w:line="240" w:lineRule="auto"/>
        <w:rPr>
          <w:szCs w:val="24"/>
          <w:lang w:val="en-US"/>
        </w:rPr>
      </w:pPr>
    </w:p>
    <w:p w14:paraId="7DA4701D" w14:textId="423EECDD" w:rsidR="00833D99" w:rsidRPr="004666D3" w:rsidRDefault="001F5D66" w:rsidP="007636F6">
      <w:pPr>
        <w:rPr>
          <w:szCs w:val="24"/>
        </w:rPr>
      </w:pPr>
      <w:bookmarkStart w:id="58" w:name="OLE_LINK85"/>
      <w:r w:rsidRPr="004666D3">
        <w:rPr>
          <w:szCs w:val="24"/>
        </w:rPr>
        <w:t>Given that these missing data are not distributed randomly</w:t>
      </w:r>
      <w:r w:rsidR="009E1EC3" w:rsidRPr="004666D3">
        <w:rPr>
          <w:szCs w:val="24"/>
        </w:rPr>
        <w:t xml:space="preserve"> (</w:t>
      </w:r>
      <w:r w:rsidR="009E1EC3" w:rsidRPr="004666D3">
        <w:rPr>
          <w:szCs w:val="24"/>
          <w:lang w:val="en-US"/>
        </w:rPr>
        <w:t>Supplementary Table A.1</w:t>
      </w:r>
      <w:r w:rsidR="009E1EC3" w:rsidRPr="004666D3">
        <w:rPr>
          <w:szCs w:val="24"/>
        </w:rPr>
        <w:t>)</w:t>
      </w:r>
      <w:r w:rsidRPr="004666D3">
        <w:rPr>
          <w:szCs w:val="24"/>
        </w:rPr>
        <w:t>, simply deleting the incomplete records could lead to biased results</w:t>
      </w:r>
      <w:r w:rsidR="00162F4D" w:rsidRPr="004666D3">
        <w:rPr>
          <w:szCs w:val="24"/>
        </w:rPr>
        <w:t xml:space="preserve"> </w:t>
      </w:r>
      <w:r w:rsidR="00162F4D" w:rsidRPr="004666D3">
        <w:rPr>
          <w:szCs w:val="24"/>
        </w:rPr>
        <w:fldChar w:fldCharType="begin"/>
      </w:r>
      <w:r w:rsidR="00162F4D" w:rsidRPr="004666D3">
        <w:rPr>
          <w:szCs w:val="24"/>
        </w:rPr>
        <w:instrText xml:space="preserve"> ADDIN ZOTERO_ITEM CSL_CITATION {"citationID":"cZSPGwSH","properties":{"formattedCitation":"(Afghari et al., 2019)","plainCitation":"(Afghari et al., 2019)","noteIndex":0},"citationItems":[{"id":4828,"uris":["http://zotero.org/users/9756803/items/KGH76VHE"],"itemData":{"id":4828,"type":"article-journal","abstract":"Missing data can lead to biased and inefficient parameter estimates in statistical models, depending on the missing data mechanism. Count regression models are no exception, with missing data leading to incorrect inferences about the effects of explanatory variables. A convenient approach for dealing with missing data is to remove observations with incomplete records prior to the analysis – often referred to as case-wise deletion. Removing incomplete records, however, reduces the sample size, increases standard errors and, if data are not missing completely at random, produces biased parameter estimates. A more complex approach is multiple imputation, which provides an estimate of the modelling uncertainty created by the data ‘missing-ness’, as distinct from the natural variation in the data. However, multiple imputation produces biased parameter estimates if the probability of missing data is related to the observed data – or is endogenous. Latent variable modelling has recently been introduced as an alternative approach for dealing with missing data, but it comes at a high computational cost and complexity. Despite fairly extensive methodological advancements in statistical literature, case-wise deletion is commonly employed to deal with missing data in statistical models of transport, while the multiple imputation and latent variable approaches remain relatively unexplored. More importantly, the performance of these approaches has not been tested across different types of data missing-ness. To address these gaps, this study aims to contrast case-wise deletion with multiple imputation and latent variable approaches in dealing with missing data in count regression models. We compare the performance of these three approaches using crash count models estimated against empirical data obtained from state controlled roads in Queensland, Australia. A quasi-experimental evaluation of data missing-ness is then conducted by extracting three data subsets from the original dataset, each with a unique missing data mechanism (with terminology adopted from the statistical literature): missing completely at random, missing at random, and missing not at random. The three approaches are then applied to each data subset and the results are compared in terms of bias, precision of parameter estimates, and goodness-of-fit. The findings indicate that multiple imputation is the most effective approach when data are missing either completely at random or at random, whereas the latent variable approach is more effective when data are missing not at random. However, the effectiveness of the latent variable approach is dependent on the availability of suitable variables as instruments in the data.","container-title":"Analytic Methods in Accident Research","DOI":"10.1016/j.amar.2019.100104","ISSN":"2213-6657","journalAbbreviation":"Analytic Methods in Accident Research","language":"en","page":"100104","source":"ScienceDirect","title":"Contrasting case-wise deletion with multiple imputation and latent variable approaches to dealing with missing observations in count regression models","volume":"24","author":[{"family":"Afghari","given":"Amir Pooyan"},{"family":"Washington","given":"Simon"},{"family":"Prato","given":"Carlo"},{"family":"Haque","given":"Md Mazharul"}],"issued":{"date-parts":[["2019",12,1]]}}}],"schema":"https://github.com/citation-style-language/schema/raw/master/csl-citation.json"} </w:instrText>
      </w:r>
      <w:r w:rsidR="00162F4D" w:rsidRPr="004666D3">
        <w:rPr>
          <w:szCs w:val="24"/>
        </w:rPr>
        <w:fldChar w:fldCharType="separate"/>
      </w:r>
      <w:r w:rsidR="00162F4D" w:rsidRPr="004666D3">
        <w:rPr>
          <w:rFonts w:ascii="Calibri" w:hAnsi="Calibri" w:cs="Calibri"/>
        </w:rPr>
        <w:t>(Afghari et al., 2019)</w:t>
      </w:r>
      <w:r w:rsidR="00162F4D" w:rsidRPr="004666D3">
        <w:rPr>
          <w:szCs w:val="24"/>
        </w:rPr>
        <w:fldChar w:fldCharType="end"/>
      </w:r>
      <w:r w:rsidR="00D23F8B" w:rsidRPr="004666D3">
        <w:rPr>
          <w:szCs w:val="24"/>
        </w:rPr>
        <w:t xml:space="preserve">. </w:t>
      </w:r>
      <w:r w:rsidRPr="004666D3">
        <w:rPr>
          <w:szCs w:val="24"/>
        </w:rPr>
        <w:t>Therefore,</w:t>
      </w:r>
      <w:r w:rsidR="00C8450B" w:rsidRPr="004666D3">
        <w:rPr>
          <w:szCs w:val="24"/>
        </w:rPr>
        <w:t xml:space="preserve"> we </w:t>
      </w:r>
      <w:r w:rsidR="00A07C43" w:rsidRPr="004666D3">
        <w:rPr>
          <w:szCs w:val="24"/>
        </w:rPr>
        <w:t>design</w:t>
      </w:r>
      <w:r w:rsidR="00487460" w:rsidRPr="004666D3">
        <w:rPr>
          <w:szCs w:val="24"/>
        </w:rPr>
        <w:t>ed</w:t>
      </w:r>
      <w:r w:rsidR="00C8450B" w:rsidRPr="004666D3">
        <w:rPr>
          <w:szCs w:val="24"/>
        </w:rPr>
        <w:t xml:space="preserve"> a</w:t>
      </w:r>
      <w:r w:rsidR="00A07C43" w:rsidRPr="004666D3">
        <w:rPr>
          <w:szCs w:val="24"/>
        </w:rPr>
        <w:t xml:space="preserve">n </w:t>
      </w:r>
      <w:r w:rsidR="00C8450B" w:rsidRPr="004666D3">
        <w:rPr>
          <w:szCs w:val="24"/>
        </w:rPr>
        <w:t xml:space="preserve">imputation </w:t>
      </w:r>
      <w:r w:rsidR="00A07C43" w:rsidRPr="004666D3">
        <w:rPr>
          <w:szCs w:val="24"/>
        </w:rPr>
        <w:t xml:space="preserve">method </w:t>
      </w:r>
      <w:r w:rsidR="00C8450B" w:rsidRPr="004666D3">
        <w:rPr>
          <w:szCs w:val="24"/>
        </w:rPr>
        <w:t xml:space="preserve">to </w:t>
      </w:r>
      <w:r w:rsidR="0069754F" w:rsidRPr="004666D3">
        <w:rPr>
          <w:szCs w:val="24"/>
        </w:rPr>
        <w:t xml:space="preserve">estimate </w:t>
      </w:r>
      <w:r w:rsidR="008E618D" w:rsidRPr="004666D3">
        <w:rPr>
          <w:szCs w:val="24"/>
        </w:rPr>
        <w:t xml:space="preserve">these </w:t>
      </w:r>
      <w:r w:rsidR="0069754F" w:rsidRPr="004666D3">
        <w:rPr>
          <w:szCs w:val="24"/>
        </w:rPr>
        <w:t>missing values</w:t>
      </w:r>
      <w:r w:rsidR="00C8450B" w:rsidRPr="004666D3">
        <w:rPr>
          <w:szCs w:val="24"/>
        </w:rPr>
        <w:t xml:space="preserve">, thereby enabling </w:t>
      </w:r>
      <w:r w:rsidR="0069429B" w:rsidRPr="004666D3">
        <w:rPr>
          <w:szCs w:val="24"/>
        </w:rPr>
        <w:t>identification</w:t>
      </w:r>
      <w:r w:rsidR="00895165" w:rsidRPr="004666D3">
        <w:rPr>
          <w:szCs w:val="24"/>
        </w:rPr>
        <w:t xml:space="preserve"> of</w:t>
      </w:r>
      <w:r w:rsidR="00C8450B" w:rsidRPr="004666D3">
        <w:rPr>
          <w:szCs w:val="24"/>
        </w:rPr>
        <w:t xml:space="preserve"> urban-rural </w:t>
      </w:r>
      <w:r w:rsidR="00C52E26" w:rsidRPr="004666D3">
        <w:rPr>
          <w:szCs w:val="24"/>
        </w:rPr>
        <w:t xml:space="preserve">dynamic </w:t>
      </w:r>
      <w:r w:rsidR="00974676" w:rsidRPr="004666D3">
        <w:rPr>
          <w:szCs w:val="24"/>
        </w:rPr>
        <w:t>diurnal</w:t>
      </w:r>
      <w:r w:rsidR="00C8450B" w:rsidRPr="004666D3">
        <w:rPr>
          <w:szCs w:val="24"/>
        </w:rPr>
        <w:t xml:space="preserve"> </w:t>
      </w:r>
      <w:r w:rsidR="00C52E26" w:rsidRPr="004666D3">
        <w:rPr>
          <w:szCs w:val="24"/>
        </w:rPr>
        <w:t>distributions</w:t>
      </w:r>
      <w:r w:rsidR="00C8450B" w:rsidRPr="004666D3">
        <w:rPr>
          <w:szCs w:val="24"/>
        </w:rPr>
        <w:t xml:space="preserve"> using Facebook data. </w:t>
      </w:r>
      <w:bookmarkStart w:id="59" w:name="OLE_LINK31"/>
      <w:bookmarkEnd w:id="58"/>
      <w:r w:rsidR="00FC78DD" w:rsidRPr="004666D3">
        <w:rPr>
          <w:szCs w:val="24"/>
          <w:lang w:val="en-US"/>
        </w:rPr>
        <w:t xml:space="preserve">The overview of this missing data imputation for Facebook </w:t>
      </w:r>
      <w:r w:rsidR="00D23F8B" w:rsidRPr="004666D3">
        <w:rPr>
          <w:szCs w:val="24"/>
          <w:lang w:val="en-US"/>
        </w:rPr>
        <w:t xml:space="preserve">user count </w:t>
      </w:r>
      <w:r w:rsidR="00FC78DD" w:rsidRPr="004666D3">
        <w:rPr>
          <w:szCs w:val="24"/>
          <w:lang w:val="en-US"/>
        </w:rPr>
        <w:t>is presented in Fig.</w:t>
      </w:r>
      <w:r w:rsidR="001E79D2" w:rsidRPr="004666D3">
        <w:rPr>
          <w:szCs w:val="24"/>
          <w:lang w:val="en-US"/>
        </w:rPr>
        <w:t xml:space="preserve"> </w:t>
      </w:r>
      <w:r w:rsidR="00FC78DD" w:rsidRPr="004666D3">
        <w:rPr>
          <w:szCs w:val="24"/>
          <w:lang w:val="en-US"/>
        </w:rPr>
        <w:t>1.</w:t>
      </w:r>
    </w:p>
    <w:p w14:paraId="532E15C1" w14:textId="459B0611" w:rsidR="00833D99" w:rsidRPr="004666D3" w:rsidRDefault="00E05323" w:rsidP="00833D99">
      <w:pPr>
        <w:spacing w:line="360" w:lineRule="auto"/>
        <w:rPr>
          <w:szCs w:val="24"/>
          <w:lang w:val="en-US"/>
        </w:rPr>
      </w:pPr>
      <w:r w:rsidRPr="004666D3">
        <w:rPr>
          <w:noProof/>
          <w:szCs w:val="24"/>
          <w:lang w:val="en-US"/>
        </w:rPr>
        <w:drawing>
          <wp:inline distT="0" distB="0" distL="0" distR="0" wp14:anchorId="67449E81" wp14:editId="430C7FD0">
            <wp:extent cx="4401646" cy="4332398"/>
            <wp:effectExtent l="0" t="0" r="0" b="0"/>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5865" cy="4336551"/>
                    </a:xfrm>
                    <a:prstGeom prst="rect">
                      <a:avLst/>
                    </a:prstGeom>
                  </pic:spPr>
                </pic:pic>
              </a:graphicData>
            </a:graphic>
          </wp:inline>
        </w:drawing>
      </w:r>
    </w:p>
    <w:p w14:paraId="2A0581DA" w14:textId="11AC585D" w:rsidR="00833D99" w:rsidRPr="004666D3" w:rsidRDefault="00833D99" w:rsidP="009E1EC3">
      <w:pPr>
        <w:spacing w:line="360" w:lineRule="auto"/>
        <w:rPr>
          <w:szCs w:val="24"/>
        </w:rPr>
      </w:pPr>
      <w:r w:rsidRPr="004666D3">
        <w:rPr>
          <w:szCs w:val="24"/>
        </w:rPr>
        <w:t xml:space="preserve">Figure 1 Schematic overview of missing data imputation for Facebook </w:t>
      </w:r>
      <w:r w:rsidR="009E1EC3" w:rsidRPr="004666D3">
        <w:rPr>
          <w:szCs w:val="24"/>
        </w:rPr>
        <w:t>user</w:t>
      </w:r>
      <w:r w:rsidR="002352B3" w:rsidRPr="004666D3">
        <w:rPr>
          <w:szCs w:val="24"/>
        </w:rPr>
        <w:t xml:space="preserve"> count</w:t>
      </w:r>
      <w:r w:rsidRPr="004666D3">
        <w:rPr>
          <w:szCs w:val="24"/>
        </w:rPr>
        <w:t xml:space="preserve"> data. Two components of step 1 of the imputation method are described in the orange panels (1A) and green panels (1B), respectively. The Step 2 of the method is depicted in the blue panels. The yellow panels represent data preparations. </w:t>
      </w:r>
    </w:p>
    <w:p w14:paraId="3C7526B4" w14:textId="77777777" w:rsidR="00BF1228" w:rsidRPr="004666D3" w:rsidRDefault="00BF1228" w:rsidP="00BF1228">
      <w:pPr>
        <w:spacing w:line="240" w:lineRule="auto"/>
        <w:rPr>
          <w:szCs w:val="24"/>
        </w:rPr>
      </w:pPr>
    </w:p>
    <w:p w14:paraId="5E2D7240" w14:textId="5980806E" w:rsidR="006F48EF" w:rsidRPr="004666D3" w:rsidRDefault="00E5202F" w:rsidP="007636F6">
      <w:r w:rsidRPr="004666D3">
        <w:t>Our</w:t>
      </w:r>
      <w:r w:rsidR="00205427" w:rsidRPr="004666D3">
        <w:t xml:space="preserve"> imputation </w:t>
      </w:r>
      <w:r w:rsidR="00A243DC" w:rsidRPr="004666D3">
        <w:t xml:space="preserve">method </w:t>
      </w:r>
      <w:r w:rsidR="00227B34" w:rsidRPr="004666D3">
        <w:t xml:space="preserve">included </w:t>
      </w:r>
      <w:r w:rsidR="00FB2864" w:rsidRPr="004666D3">
        <w:t>two primary steps</w:t>
      </w:r>
      <w:r w:rsidR="007F3265" w:rsidRPr="004666D3">
        <w:t>:</w:t>
      </w:r>
      <w:r w:rsidR="00FB2864" w:rsidRPr="004666D3">
        <w:t xml:space="preserve"> </w:t>
      </w:r>
      <w:r w:rsidR="006572D9" w:rsidRPr="004666D3">
        <w:t xml:space="preserve">1) </w:t>
      </w:r>
      <w:r w:rsidR="00A34C6E" w:rsidRPr="004666D3">
        <w:t>estimat</w:t>
      </w:r>
      <w:r w:rsidR="007F3265" w:rsidRPr="004666D3">
        <w:t>ing</w:t>
      </w:r>
      <w:r w:rsidR="00A34C6E" w:rsidRPr="004666D3">
        <w:t xml:space="preserve"> the missing baseline</w:t>
      </w:r>
      <w:r w:rsidR="00475C6B" w:rsidRPr="004666D3">
        <w:t xml:space="preserve"> </w:t>
      </w:r>
      <w:r w:rsidR="00CC76AF" w:rsidRPr="004666D3">
        <w:t>values</w:t>
      </w:r>
      <w:r w:rsidR="003164BF" w:rsidRPr="004666D3">
        <w:t xml:space="preserve"> (see the details below)</w:t>
      </w:r>
      <w:r w:rsidR="00697B15" w:rsidRPr="004666D3">
        <w:t xml:space="preserve"> </w:t>
      </w:r>
      <w:r w:rsidR="00A34C6E" w:rsidRPr="004666D3">
        <w:t>and</w:t>
      </w:r>
      <w:r w:rsidR="006572D9" w:rsidRPr="004666D3">
        <w:t xml:space="preserve"> </w:t>
      </w:r>
      <w:r w:rsidR="00697B15" w:rsidRPr="004666D3">
        <w:t xml:space="preserve">subsequently </w:t>
      </w:r>
      <w:r w:rsidR="006572D9" w:rsidRPr="004666D3">
        <w:t xml:space="preserve">2) </w:t>
      </w:r>
      <w:bookmarkStart w:id="60" w:name="OLE_LINK108"/>
      <w:r w:rsidR="00697B15" w:rsidRPr="004666D3">
        <w:t>calculating</w:t>
      </w:r>
      <w:r w:rsidR="00A34C6E" w:rsidRPr="004666D3">
        <w:t xml:space="preserve"> the missing </w:t>
      </w:r>
      <w:r w:rsidR="002352B3" w:rsidRPr="004666D3">
        <w:t xml:space="preserve">user </w:t>
      </w:r>
      <w:r w:rsidR="00F75409" w:rsidRPr="004666D3">
        <w:t xml:space="preserve">count </w:t>
      </w:r>
      <w:r w:rsidR="00A34C6E" w:rsidRPr="004666D3">
        <w:t>numbers of tiles with incomplete data</w:t>
      </w:r>
      <w:r w:rsidR="00EE0343" w:rsidRPr="004666D3">
        <w:t>,</w:t>
      </w:r>
      <w:r w:rsidR="00A34C6E" w:rsidRPr="004666D3">
        <w:t xml:space="preserve"> using </w:t>
      </w:r>
      <w:r w:rsidR="00C0622D" w:rsidRPr="004666D3">
        <w:t xml:space="preserve">all </w:t>
      </w:r>
      <w:r w:rsidR="00C9361F" w:rsidRPr="004666D3">
        <w:t xml:space="preserve">missing </w:t>
      </w:r>
      <w:r w:rsidR="00A34C6E" w:rsidRPr="004666D3">
        <w:t>baselines</w:t>
      </w:r>
      <w:r w:rsidR="00EA01BB" w:rsidRPr="004666D3">
        <w:t xml:space="preserve"> </w:t>
      </w:r>
      <w:r w:rsidR="0089751E" w:rsidRPr="004666D3">
        <w:t xml:space="preserve">estimated </w:t>
      </w:r>
      <w:r w:rsidR="00D918D2" w:rsidRPr="004666D3">
        <w:t xml:space="preserve">in </w:t>
      </w:r>
      <w:r w:rsidR="00EA01BB" w:rsidRPr="004666D3">
        <w:t xml:space="preserve">step </w:t>
      </w:r>
      <w:r w:rsidR="000D241B" w:rsidRPr="004666D3">
        <w:t>1</w:t>
      </w:r>
      <w:r w:rsidR="00DF0F00" w:rsidRPr="004666D3">
        <w:t>,</w:t>
      </w:r>
      <w:r w:rsidR="00A34C6E" w:rsidRPr="004666D3">
        <w:t xml:space="preserve"> </w:t>
      </w:r>
      <w:r w:rsidR="00B33903" w:rsidRPr="004666D3">
        <w:t xml:space="preserve">along with </w:t>
      </w:r>
      <w:r w:rsidR="009E5C11" w:rsidRPr="004666D3">
        <w:t>the</w:t>
      </w:r>
      <w:r w:rsidR="002B6B4F" w:rsidRPr="004666D3">
        <w:t>ir</w:t>
      </w:r>
      <w:r w:rsidR="009E5C11" w:rsidRPr="004666D3">
        <w:t xml:space="preserve"> </w:t>
      </w:r>
      <w:r w:rsidR="008F2428" w:rsidRPr="004666D3">
        <w:t>corresponding</w:t>
      </w:r>
      <w:r w:rsidR="009E5C11" w:rsidRPr="004666D3">
        <w:t xml:space="preserve"> </w:t>
      </w:r>
      <w:r w:rsidR="00A34C6E" w:rsidRPr="004666D3">
        <w:t>percent change</w:t>
      </w:r>
      <w:r w:rsidR="00524990" w:rsidRPr="004666D3">
        <w:t xml:space="preserve"> </w:t>
      </w:r>
      <w:r w:rsidR="00DF0F00" w:rsidRPr="004666D3">
        <w:t>and</w:t>
      </w:r>
      <w:r w:rsidR="00524990" w:rsidRPr="004666D3">
        <w:t xml:space="preserve"> </w:t>
      </w:r>
      <w:r w:rsidR="003F0AC4" w:rsidRPr="004666D3">
        <w:t>E</w:t>
      </w:r>
      <w:r w:rsidR="00524990" w:rsidRPr="004666D3">
        <w:t>quation (1)</w:t>
      </w:r>
      <w:r w:rsidR="00A34C6E" w:rsidRPr="004666D3">
        <w:t xml:space="preserve">. </w:t>
      </w:r>
      <w:bookmarkStart w:id="61" w:name="OLE_LINK33"/>
      <w:bookmarkEnd w:id="59"/>
      <w:bookmarkEnd w:id="60"/>
      <w:r w:rsidR="009A3E79" w:rsidRPr="004666D3">
        <w:t xml:space="preserve">We chose this method </w:t>
      </w:r>
      <w:r w:rsidR="00F16810" w:rsidRPr="004666D3">
        <w:t xml:space="preserve">rather than directly estimating missing </w:t>
      </w:r>
      <w:r w:rsidR="00F75409" w:rsidRPr="004666D3">
        <w:t>user count</w:t>
      </w:r>
      <w:r w:rsidR="00031167" w:rsidRPr="004666D3">
        <w:t>s</w:t>
      </w:r>
      <w:r w:rsidR="00F75409" w:rsidRPr="004666D3">
        <w:t xml:space="preserve"> </w:t>
      </w:r>
      <w:r w:rsidR="004A00DE" w:rsidRPr="004666D3">
        <w:t>because</w:t>
      </w:r>
      <w:r w:rsidR="00B6087B" w:rsidRPr="004666D3">
        <w:t xml:space="preserve"> </w:t>
      </w:r>
      <w:r w:rsidR="00D76021" w:rsidRPr="004666D3">
        <w:t>e</w:t>
      </w:r>
      <w:r w:rsidR="00537AB9" w:rsidRPr="004666D3">
        <w:t>ach</w:t>
      </w:r>
      <w:r w:rsidR="00D76021" w:rsidRPr="004666D3">
        <w:t xml:space="preserve"> tile </w:t>
      </w:r>
      <w:r w:rsidR="00BD7681" w:rsidRPr="004666D3">
        <w:t xml:space="preserve">had </w:t>
      </w:r>
      <w:r w:rsidR="00476D2A" w:rsidRPr="004666D3">
        <w:t xml:space="preserve">only </w:t>
      </w:r>
      <w:r w:rsidR="00FB2A6F" w:rsidRPr="004666D3">
        <w:t xml:space="preserve">seven baseline </w:t>
      </w:r>
      <w:r w:rsidR="006930A3" w:rsidRPr="004666D3">
        <w:rPr>
          <w:rStyle w:val="CommentReference"/>
          <w:sz w:val="24"/>
          <w:szCs w:val="24"/>
        </w:rPr>
        <w:t xml:space="preserve">values </w:t>
      </w:r>
      <w:r w:rsidR="001D551D" w:rsidRPr="004666D3">
        <w:rPr>
          <w:rStyle w:val="CommentReference"/>
          <w:sz w:val="24"/>
          <w:szCs w:val="24"/>
        </w:rPr>
        <w:t xml:space="preserve">for </w:t>
      </w:r>
      <w:r w:rsidR="00645638" w:rsidRPr="004666D3">
        <w:rPr>
          <w:rStyle w:val="CommentReference"/>
          <w:sz w:val="24"/>
          <w:szCs w:val="24"/>
        </w:rPr>
        <w:t xml:space="preserve">a </w:t>
      </w:r>
      <w:r w:rsidR="00117928" w:rsidRPr="004666D3">
        <w:rPr>
          <w:rStyle w:val="CommentReference"/>
          <w:sz w:val="24"/>
          <w:szCs w:val="24"/>
        </w:rPr>
        <w:t>specific</w:t>
      </w:r>
      <w:r w:rsidR="001D551D" w:rsidRPr="004666D3">
        <w:rPr>
          <w:rStyle w:val="CommentReference"/>
          <w:sz w:val="24"/>
          <w:szCs w:val="24"/>
        </w:rPr>
        <w:t xml:space="preserve"> time-window </w:t>
      </w:r>
      <w:r w:rsidR="00FB2A6F" w:rsidRPr="004666D3">
        <w:t>during the study period</w:t>
      </w:r>
      <w:r w:rsidR="00E71D52" w:rsidRPr="004666D3">
        <w:t>. These values</w:t>
      </w:r>
      <w:r w:rsidR="00F42D9F" w:rsidRPr="004666D3">
        <w:t xml:space="preserve"> </w:t>
      </w:r>
      <w:r w:rsidR="00BD7681" w:rsidRPr="004666D3">
        <w:t xml:space="preserve">were </w:t>
      </w:r>
      <w:r w:rsidR="00F42D9F" w:rsidRPr="004666D3">
        <w:t>exclusively related to the day of the week</w:t>
      </w:r>
      <w:r w:rsidR="00E20572" w:rsidRPr="004666D3">
        <w:t xml:space="preserve"> within a given time-window</w:t>
      </w:r>
      <w:r w:rsidR="009B61B3" w:rsidRPr="004666D3">
        <w:t xml:space="preserve">, unlike the </w:t>
      </w:r>
      <w:r w:rsidR="00F75409" w:rsidRPr="004666D3">
        <w:t xml:space="preserve">user </w:t>
      </w:r>
      <w:r w:rsidR="009B61B3" w:rsidRPr="004666D3">
        <w:t>numbers</w:t>
      </w:r>
      <w:r w:rsidR="001915A0" w:rsidRPr="004666D3">
        <w:t>,</w:t>
      </w:r>
      <w:r w:rsidR="009B61B3" w:rsidRPr="004666D3">
        <w:t xml:space="preserve"> </w:t>
      </w:r>
      <w:r w:rsidR="001915A0" w:rsidRPr="004666D3">
        <w:t xml:space="preserve">which </w:t>
      </w:r>
      <w:r w:rsidR="009B61B3" w:rsidRPr="004666D3">
        <w:t>vari</w:t>
      </w:r>
      <w:r w:rsidR="00FC7DFC" w:rsidRPr="004666D3">
        <w:t>ed</w:t>
      </w:r>
      <w:r w:rsidR="009B61B3" w:rsidRPr="004666D3">
        <w:t xml:space="preserve"> </w:t>
      </w:r>
      <w:r w:rsidR="00FC7DFC" w:rsidRPr="004666D3">
        <w:t>daily</w:t>
      </w:r>
      <w:r w:rsidR="00E20572" w:rsidRPr="004666D3">
        <w:t>.</w:t>
      </w:r>
      <w:r w:rsidR="00B6087B" w:rsidRPr="004666D3">
        <w:t xml:space="preserve"> </w:t>
      </w:r>
      <w:bookmarkEnd w:id="61"/>
      <w:r w:rsidR="00B6087B" w:rsidRPr="004666D3">
        <w:t>More importantly, the baseline period refers to the pre-</w:t>
      </w:r>
      <w:r w:rsidR="00AC48C3" w:rsidRPr="004666D3">
        <w:t>COVID</w:t>
      </w:r>
      <w:r w:rsidR="00003710" w:rsidRPr="004666D3">
        <w:t>-</w:t>
      </w:r>
      <w:r w:rsidR="00B6087B" w:rsidRPr="004666D3">
        <w:t xml:space="preserve">19 pandemic period in most countries; it is therefore free of the impacts of lockdown restrictions. </w:t>
      </w:r>
      <w:bookmarkStart w:id="62" w:name="OLE_LINK35"/>
      <w:r w:rsidR="00F642CE" w:rsidRPr="004666D3">
        <w:t>The estimation of missing baseline</w:t>
      </w:r>
      <w:r w:rsidR="00CC76AF" w:rsidRPr="004666D3">
        <w:t xml:space="preserve"> values</w:t>
      </w:r>
      <w:r w:rsidR="00F642CE" w:rsidRPr="004666D3">
        <w:t xml:space="preserve"> </w:t>
      </w:r>
      <w:r w:rsidR="00D964B0" w:rsidRPr="004666D3">
        <w:t xml:space="preserve">(the first step of the imputation method) </w:t>
      </w:r>
      <w:r w:rsidR="00F642CE" w:rsidRPr="004666D3">
        <w:t xml:space="preserve">has two key </w:t>
      </w:r>
      <w:bookmarkStart w:id="63" w:name="OLE_LINK36"/>
      <w:r w:rsidR="00F642CE" w:rsidRPr="004666D3">
        <w:t>c</w:t>
      </w:r>
      <w:bookmarkStart w:id="64" w:name="OLE_LINK46"/>
      <w:r w:rsidR="00F642CE" w:rsidRPr="004666D3">
        <w:t>omponent</w:t>
      </w:r>
      <w:bookmarkEnd w:id="64"/>
      <w:r w:rsidR="00F642CE" w:rsidRPr="004666D3">
        <w:t>s</w:t>
      </w:r>
      <w:bookmarkEnd w:id="63"/>
      <w:r w:rsidR="00F642CE" w:rsidRPr="004666D3">
        <w:t>: 1</w:t>
      </w:r>
      <w:r w:rsidR="00AE7AA6" w:rsidRPr="004666D3">
        <w:t>A</w:t>
      </w:r>
      <w:r w:rsidR="00F642CE" w:rsidRPr="004666D3">
        <w:t>)</w:t>
      </w:r>
      <w:r w:rsidR="00F642CE" w:rsidRPr="004666D3" w:rsidDel="003E46C2">
        <w:t xml:space="preserve"> </w:t>
      </w:r>
      <w:r w:rsidR="00F642CE" w:rsidRPr="004666D3">
        <w:t>replac</w:t>
      </w:r>
      <w:r w:rsidR="003E46C2" w:rsidRPr="004666D3">
        <w:t xml:space="preserve">ing the </w:t>
      </w:r>
      <w:r w:rsidR="00F642CE" w:rsidRPr="004666D3">
        <w:t>missing baseline</w:t>
      </w:r>
      <w:r w:rsidR="004B2BE3" w:rsidRPr="004666D3">
        <w:t xml:space="preserve"> value</w:t>
      </w:r>
      <w:r w:rsidR="00F642CE" w:rsidRPr="004666D3">
        <w:t xml:space="preserve"> with </w:t>
      </w:r>
      <w:r w:rsidR="003E46C2" w:rsidRPr="004666D3">
        <w:t>a</w:t>
      </w:r>
      <w:r w:rsidR="000E5C9A" w:rsidRPr="004666D3">
        <w:t>n</w:t>
      </w:r>
      <w:r w:rsidR="003E46C2" w:rsidRPr="004666D3">
        <w:t xml:space="preserve"> </w:t>
      </w:r>
      <w:r w:rsidR="00F642CE" w:rsidRPr="004666D3">
        <w:t xml:space="preserve">existing baseline </w:t>
      </w:r>
      <w:r w:rsidR="000E5C9A" w:rsidRPr="004666D3">
        <w:t>from</w:t>
      </w:r>
      <w:r w:rsidR="00F642CE" w:rsidRPr="004666D3">
        <w:t xml:space="preserve"> another day; and, if </w:t>
      </w:r>
      <w:r w:rsidR="000E5C9A" w:rsidRPr="004666D3">
        <w:t>one does not exist</w:t>
      </w:r>
      <w:r w:rsidR="00B9011D" w:rsidRPr="004666D3">
        <w:t>,</w:t>
      </w:r>
      <w:r w:rsidR="00F642CE" w:rsidRPr="004666D3">
        <w:t xml:space="preserve"> </w:t>
      </w:r>
      <w:r w:rsidR="00AE7AA6" w:rsidRPr="004666D3">
        <w:t>1B</w:t>
      </w:r>
      <w:r w:rsidR="00F642CE" w:rsidRPr="004666D3">
        <w:t>) us</w:t>
      </w:r>
      <w:r w:rsidR="00835B00" w:rsidRPr="004666D3">
        <w:t>ing</w:t>
      </w:r>
      <w:r w:rsidR="00F642CE" w:rsidRPr="004666D3">
        <w:t xml:space="preserve"> estimates from </w:t>
      </w:r>
      <w:r w:rsidR="002B5127" w:rsidRPr="004666D3">
        <w:t xml:space="preserve">the </w:t>
      </w:r>
      <w:r w:rsidR="00F642CE" w:rsidRPr="004666D3">
        <w:t>regression model</w:t>
      </w:r>
      <w:r w:rsidR="002B5127" w:rsidRPr="004666D3">
        <w:t>s</w:t>
      </w:r>
      <w:r w:rsidR="00F642CE" w:rsidRPr="004666D3">
        <w:t xml:space="preserve"> based on WorldPop population data</w:t>
      </w:r>
      <w:r w:rsidR="00F7759A" w:rsidRPr="004666D3">
        <w:t>,</w:t>
      </w:r>
      <w:r w:rsidR="0030323B" w:rsidRPr="004666D3">
        <w:t xml:space="preserve"> due to the significant linear relationship</w:t>
      </w:r>
      <w:r w:rsidR="002B5127" w:rsidRPr="004666D3">
        <w:t>s</w:t>
      </w:r>
      <w:r w:rsidR="0030323B" w:rsidRPr="004666D3">
        <w:t xml:space="preserve"> </w:t>
      </w:r>
      <w:r w:rsidR="008932C7" w:rsidRPr="004666D3">
        <w:t xml:space="preserve">observed </w:t>
      </w:r>
      <w:r w:rsidR="0030323B" w:rsidRPr="004666D3">
        <w:t>between Facebook baseline</w:t>
      </w:r>
      <w:r w:rsidR="00801F76" w:rsidRPr="004666D3">
        <w:t>s</w:t>
      </w:r>
      <w:r w:rsidR="0030323B" w:rsidRPr="004666D3">
        <w:t xml:space="preserve"> and WorldPop population data</w:t>
      </w:r>
      <w:r w:rsidR="002B5127" w:rsidRPr="004666D3">
        <w:t xml:space="preserve"> (see Supplementary</w:t>
      </w:r>
      <w:r w:rsidR="00640FF8" w:rsidRPr="004666D3">
        <w:t xml:space="preserve"> Fig.</w:t>
      </w:r>
      <w:r w:rsidR="001E79D2" w:rsidRPr="004666D3">
        <w:t xml:space="preserve"> </w:t>
      </w:r>
      <w:r w:rsidR="00640FF8" w:rsidRPr="004666D3">
        <w:t>A3-A6</w:t>
      </w:r>
      <w:r w:rsidR="002B5127" w:rsidRPr="004666D3">
        <w:t>)</w:t>
      </w:r>
      <w:r w:rsidR="00F642CE" w:rsidRPr="004666D3">
        <w:t xml:space="preserve">. </w:t>
      </w:r>
    </w:p>
    <w:bookmarkEnd w:id="62"/>
    <w:p w14:paraId="6185A997" w14:textId="77777777" w:rsidR="00F642CE" w:rsidRPr="004666D3" w:rsidRDefault="00F642CE" w:rsidP="00081DF9">
      <w:pPr>
        <w:spacing w:line="240" w:lineRule="auto"/>
        <w:rPr>
          <w:szCs w:val="24"/>
          <w:lang w:val="en-US"/>
        </w:rPr>
      </w:pPr>
    </w:p>
    <w:p w14:paraId="3CD2DB2A" w14:textId="2C892950" w:rsidR="00A506A2" w:rsidRPr="004666D3" w:rsidRDefault="419FA03F" w:rsidP="005646E2">
      <w:pPr>
        <w:rPr>
          <w:b/>
          <w:bCs/>
          <w:szCs w:val="24"/>
        </w:rPr>
      </w:pPr>
      <w:r w:rsidRPr="004666D3">
        <w:rPr>
          <w:b/>
          <w:bCs/>
          <w:szCs w:val="24"/>
        </w:rPr>
        <w:t>(1</w:t>
      </w:r>
      <w:r w:rsidR="002E72F7" w:rsidRPr="004666D3">
        <w:rPr>
          <w:b/>
          <w:bCs/>
          <w:szCs w:val="24"/>
        </w:rPr>
        <w:t>A</w:t>
      </w:r>
      <w:r w:rsidRPr="004666D3">
        <w:rPr>
          <w:b/>
          <w:bCs/>
          <w:szCs w:val="24"/>
        </w:rPr>
        <w:t xml:space="preserve">) </w:t>
      </w:r>
      <w:bookmarkStart w:id="65" w:name="OLE_LINK58"/>
      <w:r w:rsidR="00A46012" w:rsidRPr="004666D3">
        <w:rPr>
          <w:b/>
          <w:bCs/>
          <w:szCs w:val="24"/>
        </w:rPr>
        <w:t xml:space="preserve">Substituting missing </w:t>
      </w:r>
      <w:r w:rsidR="004769FB" w:rsidRPr="004666D3">
        <w:rPr>
          <w:b/>
          <w:bCs/>
          <w:szCs w:val="24"/>
        </w:rPr>
        <w:t xml:space="preserve">baseline values </w:t>
      </w:r>
      <w:r w:rsidR="007052AC" w:rsidRPr="004666D3">
        <w:rPr>
          <w:b/>
          <w:bCs/>
          <w:szCs w:val="24"/>
        </w:rPr>
        <w:t>with those o</w:t>
      </w:r>
      <w:r w:rsidR="00FE4B99" w:rsidRPr="004666D3">
        <w:rPr>
          <w:b/>
          <w:bCs/>
          <w:szCs w:val="24"/>
        </w:rPr>
        <w:t>n other dates.</w:t>
      </w:r>
      <w:bookmarkEnd w:id="65"/>
    </w:p>
    <w:p w14:paraId="33343A5A" w14:textId="7615A313" w:rsidR="002D2C41" w:rsidRPr="004666D3" w:rsidRDefault="00FC13D7" w:rsidP="003C0BB6">
      <w:pPr>
        <w:rPr>
          <w:szCs w:val="24"/>
        </w:rPr>
      </w:pPr>
      <w:bookmarkStart w:id="66" w:name="OLE_LINK61"/>
      <w:bookmarkStart w:id="67" w:name="OLE_LINK59"/>
      <w:bookmarkStart w:id="68" w:name="OLE_LINK111"/>
      <w:bookmarkStart w:id="69" w:name="OLE_LINK60"/>
      <w:r w:rsidRPr="004666D3">
        <w:rPr>
          <w:szCs w:val="24"/>
        </w:rPr>
        <w:t xml:space="preserve">If </w:t>
      </w:r>
      <w:r w:rsidR="002A178D" w:rsidRPr="004666D3">
        <w:rPr>
          <w:szCs w:val="24"/>
        </w:rPr>
        <w:t>a</w:t>
      </w:r>
      <w:r w:rsidRPr="004666D3">
        <w:rPr>
          <w:szCs w:val="24"/>
        </w:rPr>
        <w:t xml:space="preserve"> tile </w:t>
      </w:r>
      <w:r w:rsidR="00220DBB" w:rsidRPr="004666D3">
        <w:rPr>
          <w:szCs w:val="24"/>
        </w:rPr>
        <w:t>lacked</w:t>
      </w:r>
      <w:r w:rsidRPr="004666D3">
        <w:rPr>
          <w:szCs w:val="24"/>
        </w:rPr>
        <w:t xml:space="preserve"> baseline</w:t>
      </w:r>
      <w:r w:rsidR="00220DBB" w:rsidRPr="004666D3">
        <w:rPr>
          <w:szCs w:val="24"/>
        </w:rPr>
        <w:t xml:space="preserve"> values</w:t>
      </w:r>
      <w:r w:rsidRPr="004666D3">
        <w:rPr>
          <w:szCs w:val="24"/>
        </w:rPr>
        <w:t xml:space="preserve"> for </w:t>
      </w:r>
      <w:r w:rsidR="00AB4758" w:rsidRPr="004666D3">
        <w:rPr>
          <w:szCs w:val="24"/>
        </w:rPr>
        <w:t>specific</w:t>
      </w:r>
      <w:r w:rsidRPr="004666D3">
        <w:rPr>
          <w:szCs w:val="24"/>
        </w:rPr>
        <w:t xml:space="preserve"> days of the week</w:t>
      </w:r>
      <w:r w:rsidR="00DC2EF3" w:rsidRPr="004666D3">
        <w:rPr>
          <w:szCs w:val="24"/>
        </w:rPr>
        <w:t xml:space="preserve"> (e.g., Wednesday)</w:t>
      </w:r>
      <w:r w:rsidRPr="004666D3">
        <w:rPr>
          <w:szCs w:val="24"/>
        </w:rPr>
        <w:t xml:space="preserve">, </w:t>
      </w:r>
      <w:r w:rsidR="005A35E9" w:rsidRPr="004666D3">
        <w:rPr>
          <w:szCs w:val="24"/>
        </w:rPr>
        <w:t xml:space="preserve">we would </w:t>
      </w:r>
      <w:r w:rsidR="00B626FE" w:rsidRPr="004666D3">
        <w:rPr>
          <w:szCs w:val="24"/>
        </w:rPr>
        <w:t>substitute</w:t>
      </w:r>
      <w:r w:rsidR="35164EB7" w:rsidRPr="004666D3">
        <w:rPr>
          <w:szCs w:val="24"/>
        </w:rPr>
        <w:t xml:space="preserve"> the </w:t>
      </w:r>
      <w:r w:rsidR="07355A7B" w:rsidRPr="004666D3">
        <w:rPr>
          <w:szCs w:val="24"/>
        </w:rPr>
        <w:t>missing baseline</w:t>
      </w:r>
      <w:r w:rsidR="00B626FE" w:rsidRPr="004666D3">
        <w:rPr>
          <w:szCs w:val="24"/>
        </w:rPr>
        <w:t xml:space="preserve"> </w:t>
      </w:r>
      <w:bookmarkEnd w:id="66"/>
      <w:bookmarkEnd w:id="67"/>
      <w:r w:rsidR="00E55A43" w:rsidRPr="004666D3">
        <w:rPr>
          <w:szCs w:val="24"/>
        </w:rPr>
        <w:t>using available baseline values of the same tile in other days (e.g., the mean baseline values of this tile on workdays)</w:t>
      </w:r>
      <w:r w:rsidR="006A3595" w:rsidRPr="004666D3">
        <w:rPr>
          <w:szCs w:val="24"/>
        </w:rPr>
        <w:t>.</w:t>
      </w:r>
      <w:r w:rsidR="0023086D" w:rsidRPr="004666D3">
        <w:rPr>
          <w:szCs w:val="24"/>
        </w:rPr>
        <w:t xml:space="preserve"> </w:t>
      </w:r>
      <w:bookmarkEnd w:id="68"/>
      <w:r w:rsidR="006A3595" w:rsidRPr="004666D3">
        <w:rPr>
          <w:szCs w:val="24"/>
        </w:rPr>
        <w:t>W</w:t>
      </w:r>
      <w:r w:rsidR="00520773" w:rsidRPr="004666D3">
        <w:rPr>
          <w:szCs w:val="24"/>
        </w:rPr>
        <w:t xml:space="preserve">e </w:t>
      </w:r>
      <w:r w:rsidR="00AA0FD4" w:rsidRPr="004666D3">
        <w:rPr>
          <w:szCs w:val="24"/>
        </w:rPr>
        <w:t xml:space="preserve">separately </w:t>
      </w:r>
      <w:r w:rsidR="00520773" w:rsidRPr="004666D3">
        <w:rPr>
          <w:szCs w:val="24"/>
        </w:rPr>
        <w:t xml:space="preserve">calculated the </w:t>
      </w:r>
      <w:r w:rsidR="005E28F3" w:rsidRPr="004666D3">
        <w:rPr>
          <w:szCs w:val="24"/>
        </w:rPr>
        <w:t>mean baseline of w</w:t>
      </w:r>
      <w:r w:rsidR="00520773" w:rsidRPr="004666D3">
        <w:rPr>
          <w:szCs w:val="24"/>
        </w:rPr>
        <w:t>or</w:t>
      </w:r>
      <w:r w:rsidR="005E28F3" w:rsidRPr="004666D3">
        <w:rPr>
          <w:szCs w:val="24"/>
        </w:rPr>
        <w:t xml:space="preserve">kdays </w:t>
      </w:r>
      <w:r w:rsidR="00321BED" w:rsidRPr="004666D3">
        <w:rPr>
          <w:szCs w:val="24"/>
        </w:rPr>
        <w:t xml:space="preserve">and </w:t>
      </w:r>
      <w:r w:rsidR="005E28F3" w:rsidRPr="004666D3">
        <w:rPr>
          <w:szCs w:val="24"/>
        </w:rPr>
        <w:t>weekends</w:t>
      </w:r>
      <w:r w:rsidR="0023086D" w:rsidRPr="004666D3">
        <w:rPr>
          <w:szCs w:val="24"/>
        </w:rPr>
        <w:t xml:space="preserve"> </w:t>
      </w:r>
      <w:r w:rsidR="00520773" w:rsidRPr="004666D3">
        <w:rPr>
          <w:szCs w:val="24"/>
        </w:rPr>
        <w:t xml:space="preserve">due to the differences in people's </w:t>
      </w:r>
      <w:r w:rsidR="00AD393C" w:rsidRPr="004666D3">
        <w:rPr>
          <w:szCs w:val="24"/>
        </w:rPr>
        <w:t xml:space="preserve">activities </w:t>
      </w:r>
      <w:r w:rsidR="00520773" w:rsidRPr="004666D3">
        <w:rPr>
          <w:szCs w:val="24"/>
        </w:rPr>
        <w:t>between workdays and weekends</w:t>
      </w:r>
      <w:bookmarkEnd w:id="69"/>
      <w:r w:rsidR="00411CA6" w:rsidRPr="004666D3">
        <w:rPr>
          <w:szCs w:val="24"/>
        </w:rPr>
        <w:t xml:space="preserve"> </w:t>
      </w:r>
      <w:r w:rsidRPr="004666D3">
        <w:rPr>
          <w:szCs w:val="24"/>
        </w:rPr>
        <w:fldChar w:fldCharType="begin"/>
      </w:r>
      <w:r w:rsidRPr="004666D3">
        <w:rPr>
          <w:szCs w:val="24"/>
        </w:rPr>
        <w:instrText xml:space="preserve"> ADDIN ZOTERO_ITEM CSL_CITATION {"citationID":"1O2nJR4v","properties":{"formattedCitation":"(Shepherd et al., 2021)","plainCitation":"(Shepherd et al., 2021)","noteIndex":0},"citationItems":[{"id":1403,"uris":["http://zotero.org/users/9756803/items/9Y9F66EZ"],"itemData":{"id":1403,"type":"article-journal","abstract":"Since early March 2020, the COVID-19 epidemic across the United Kingdom has led to a range of social distancing policies, which resulted in changes to mobility across different regions. An understanding of how these policies impacted travel patterns over time and at different spatial scales is important for designing effective strategies, future pandemic planning and in providing broader insights on the population geography of the country. Crowd level data on mobile phone usage can be used as a proxy for population mobility patterns and provide a way of quantifying in near-real time the impact of social distancing measures on changes in mobility.","container-title":"International Journal of Health Geographics","DOI":"10.1186/s12942-021-00299-5","ISSN":"1476-072X","issue":"1","journalAbbreviation":"International Journal of Health Geographics","page":"46","source":"BioMed Central","title":"Domestic and international mobility trends in the United Kingdom during the COVID-19 pandemic: an analysis of facebook data","title-short":"Domestic and international mobility trends in the United Kingdom during the COVID-19 pandemic","volume":"20","author":[{"family":"Shepherd","given":"Harry E. R."},{"family":"Atherden","given":"Florence S."},{"family":"Chan","given":"Ho Man Theophilus"},{"family":"Loveridge","given":"Alexandra"},{"family":"Tatem","given":"Andrew J."}],"issued":{"date-parts":[["2021",12,4]]}}}],"schema":"https://github.com/citation-style-language/schema/raw/master/csl-citation.json"} </w:instrText>
      </w:r>
      <w:r w:rsidRPr="004666D3">
        <w:rPr>
          <w:szCs w:val="24"/>
        </w:rPr>
        <w:fldChar w:fldCharType="separate"/>
      </w:r>
      <w:r w:rsidR="00AE74BE" w:rsidRPr="004666D3">
        <w:rPr>
          <w:rFonts w:ascii="Calibri" w:hAnsi="Calibri" w:cs="Calibri"/>
        </w:rPr>
        <w:t>(Shepherd et al., 2021)</w:t>
      </w:r>
      <w:r w:rsidRPr="004666D3">
        <w:rPr>
          <w:szCs w:val="24"/>
        </w:rPr>
        <w:fldChar w:fldCharType="end"/>
      </w:r>
      <w:r w:rsidR="00520773" w:rsidRPr="004666D3">
        <w:rPr>
          <w:szCs w:val="24"/>
        </w:rPr>
        <w:t>.</w:t>
      </w:r>
      <w:r w:rsidR="00AD393C" w:rsidRPr="004666D3">
        <w:rPr>
          <w:szCs w:val="24"/>
        </w:rPr>
        <w:t xml:space="preserve"> </w:t>
      </w:r>
      <w:bookmarkStart w:id="70" w:name="OLE_LINK4"/>
      <w:r w:rsidR="00404FF8" w:rsidRPr="004666D3">
        <w:rPr>
          <w:szCs w:val="24"/>
        </w:rPr>
        <w:t xml:space="preserve">When a tile lacked </w:t>
      </w:r>
      <w:r w:rsidR="004D083E" w:rsidRPr="004666D3">
        <w:rPr>
          <w:szCs w:val="24"/>
        </w:rPr>
        <w:t xml:space="preserve">the </w:t>
      </w:r>
      <w:r w:rsidR="00404FF8" w:rsidRPr="004666D3">
        <w:rPr>
          <w:szCs w:val="24"/>
        </w:rPr>
        <w:t>baseline on one of the workdays</w:t>
      </w:r>
      <w:r w:rsidR="00546881" w:rsidRPr="004666D3">
        <w:rPr>
          <w:szCs w:val="24"/>
        </w:rPr>
        <w:t xml:space="preserve"> </w:t>
      </w:r>
      <w:r w:rsidR="008C3FF4" w:rsidRPr="004666D3">
        <w:rPr>
          <w:szCs w:val="24"/>
        </w:rPr>
        <w:t>but had baseline</w:t>
      </w:r>
      <w:r w:rsidR="0003786A" w:rsidRPr="004666D3">
        <w:rPr>
          <w:szCs w:val="24"/>
        </w:rPr>
        <w:t xml:space="preserve"> values</w:t>
      </w:r>
      <w:r w:rsidR="008C3FF4" w:rsidRPr="004666D3">
        <w:rPr>
          <w:szCs w:val="24"/>
        </w:rPr>
        <w:t xml:space="preserve"> on </w:t>
      </w:r>
      <w:r w:rsidR="00654C7A" w:rsidRPr="004666D3">
        <w:rPr>
          <w:szCs w:val="24"/>
        </w:rPr>
        <w:t>other</w:t>
      </w:r>
      <w:r w:rsidR="008C3FF4" w:rsidRPr="004666D3">
        <w:rPr>
          <w:szCs w:val="24"/>
        </w:rPr>
        <w:t xml:space="preserve"> workdays of the week, the mean </w:t>
      </w:r>
      <w:r w:rsidR="00C569F1" w:rsidRPr="004666D3">
        <w:rPr>
          <w:szCs w:val="24"/>
        </w:rPr>
        <w:t xml:space="preserve">baseline </w:t>
      </w:r>
      <w:r w:rsidR="00546881" w:rsidRPr="004666D3">
        <w:rPr>
          <w:szCs w:val="24"/>
        </w:rPr>
        <w:lastRenderedPageBreak/>
        <w:t xml:space="preserve">value </w:t>
      </w:r>
      <w:r w:rsidR="00C569F1" w:rsidRPr="004666D3">
        <w:rPr>
          <w:szCs w:val="24"/>
        </w:rPr>
        <w:t xml:space="preserve">of workdays was used to </w:t>
      </w:r>
      <w:r w:rsidR="00F80072" w:rsidRPr="004666D3">
        <w:rPr>
          <w:szCs w:val="24"/>
        </w:rPr>
        <w:t>replace</w:t>
      </w:r>
      <w:r w:rsidR="00C569F1" w:rsidRPr="004666D3">
        <w:rPr>
          <w:szCs w:val="24"/>
        </w:rPr>
        <w:t xml:space="preserve"> this missing baseline</w:t>
      </w:r>
      <w:r w:rsidR="00C03BC7" w:rsidRPr="004666D3">
        <w:rPr>
          <w:szCs w:val="24"/>
        </w:rPr>
        <w:t xml:space="preserve">; </w:t>
      </w:r>
      <w:bookmarkStart w:id="71" w:name="OLE_LINK62"/>
      <w:bookmarkStart w:id="72" w:name="OLE_LINK3"/>
      <w:r w:rsidR="004C74E6" w:rsidRPr="004666D3">
        <w:rPr>
          <w:szCs w:val="24"/>
        </w:rPr>
        <w:t>however,</w:t>
      </w:r>
      <w:r w:rsidR="00191228" w:rsidRPr="004666D3">
        <w:rPr>
          <w:szCs w:val="24"/>
        </w:rPr>
        <w:t xml:space="preserve"> if all workdays were </w:t>
      </w:r>
      <w:r w:rsidR="00546881" w:rsidRPr="004666D3">
        <w:rPr>
          <w:szCs w:val="24"/>
        </w:rPr>
        <w:t>excluded</w:t>
      </w:r>
      <w:r w:rsidR="00191228" w:rsidRPr="004666D3">
        <w:rPr>
          <w:szCs w:val="24"/>
        </w:rPr>
        <w:t xml:space="preserve">, then the mean baseline of </w:t>
      </w:r>
      <w:r w:rsidR="0074714F" w:rsidRPr="004666D3">
        <w:rPr>
          <w:szCs w:val="24"/>
        </w:rPr>
        <w:t>weekends</w:t>
      </w:r>
      <w:r w:rsidR="006524AA" w:rsidRPr="004666D3">
        <w:rPr>
          <w:szCs w:val="24"/>
        </w:rPr>
        <w:t xml:space="preserve"> </w:t>
      </w:r>
      <w:r w:rsidR="00191228" w:rsidRPr="004666D3">
        <w:rPr>
          <w:szCs w:val="24"/>
        </w:rPr>
        <w:t xml:space="preserve">was used </w:t>
      </w:r>
      <w:r w:rsidR="00DB0B58" w:rsidRPr="004666D3">
        <w:rPr>
          <w:szCs w:val="24"/>
        </w:rPr>
        <w:t>for substitution</w:t>
      </w:r>
      <w:r w:rsidR="004C74E6" w:rsidRPr="004666D3">
        <w:rPr>
          <w:szCs w:val="24"/>
        </w:rPr>
        <w:t>.</w:t>
      </w:r>
      <w:bookmarkEnd w:id="71"/>
      <w:r w:rsidR="004C74E6" w:rsidRPr="004666D3">
        <w:rPr>
          <w:szCs w:val="24"/>
        </w:rPr>
        <w:t xml:space="preserve"> </w:t>
      </w:r>
      <w:bookmarkEnd w:id="72"/>
      <w:r w:rsidR="00DB0B58" w:rsidRPr="004666D3">
        <w:rPr>
          <w:szCs w:val="24"/>
        </w:rPr>
        <w:t>Similarly,</w:t>
      </w:r>
      <w:r w:rsidR="00A3039A" w:rsidRPr="004666D3">
        <w:rPr>
          <w:szCs w:val="24"/>
        </w:rPr>
        <w:t xml:space="preserve"> </w:t>
      </w:r>
      <w:r w:rsidR="00AA64BF" w:rsidRPr="004666D3">
        <w:rPr>
          <w:szCs w:val="24"/>
        </w:rPr>
        <w:t>for missing weekend baselines, we first used the weekend average; if unavailable, the workday average was employed as an alternative</w:t>
      </w:r>
      <w:bookmarkEnd w:id="70"/>
      <w:r w:rsidR="00E26496" w:rsidRPr="004666D3">
        <w:rPr>
          <w:szCs w:val="24"/>
        </w:rPr>
        <w:t>.</w:t>
      </w:r>
      <w:r w:rsidR="00AD393C" w:rsidRPr="004666D3">
        <w:rPr>
          <w:szCs w:val="24"/>
        </w:rPr>
        <w:t xml:space="preserve"> </w:t>
      </w:r>
    </w:p>
    <w:p w14:paraId="6E62026C" w14:textId="77777777" w:rsidR="007636F6" w:rsidRPr="004666D3" w:rsidRDefault="007636F6" w:rsidP="00081DF9">
      <w:pPr>
        <w:spacing w:line="240" w:lineRule="auto"/>
        <w:rPr>
          <w:szCs w:val="24"/>
        </w:rPr>
      </w:pPr>
    </w:p>
    <w:p w14:paraId="3CD154FA" w14:textId="0FE85A3E" w:rsidR="00B37C49" w:rsidRPr="004666D3" w:rsidRDefault="00CF7CE7" w:rsidP="007636F6">
      <w:pPr>
        <w:rPr>
          <w:szCs w:val="24"/>
        </w:rPr>
      </w:pPr>
      <w:r w:rsidRPr="004666D3">
        <w:rPr>
          <w:szCs w:val="24"/>
        </w:rPr>
        <w:t xml:space="preserve">We did this </w:t>
      </w:r>
      <w:r w:rsidR="00554C90" w:rsidRPr="004666D3">
        <w:rPr>
          <w:szCs w:val="24"/>
        </w:rPr>
        <w:t>because</w:t>
      </w:r>
      <w:r w:rsidRPr="004666D3">
        <w:rPr>
          <w:szCs w:val="24"/>
        </w:rPr>
        <w:t xml:space="preserve"> the</w:t>
      </w:r>
      <w:r w:rsidR="00554C90" w:rsidRPr="004666D3">
        <w:rPr>
          <w:szCs w:val="24"/>
        </w:rPr>
        <w:t>re were</w:t>
      </w:r>
      <w:r w:rsidRPr="004666D3">
        <w:rPr>
          <w:szCs w:val="24"/>
        </w:rPr>
        <w:t xml:space="preserve"> </w:t>
      </w:r>
      <w:r w:rsidR="00AE366B" w:rsidRPr="004666D3">
        <w:rPr>
          <w:szCs w:val="24"/>
        </w:rPr>
        <w:t xml:space="preserve">very strong correlations </w:t>
      </w:r>
      <w:r w:rsidR="000B13A9" w:rsidRPr="004666D3">
        <w:rPr>
          <w:szCs w:val="24"/>
        </w:rPr>
        <w:t xml:space="preserve">(Pearson’s </w:t>
      </w:r>
      <w:r w:rsidR="000B13A9" w:rsidRPr="004666D3">
        <w:rPr>
          <w:i/>
          <w:iCs/>
          <w:szCs w:val="24"/>
        </w:rPr>
        <w:t xml:space="preserve">R </w:t>
      </w:r>
      <w:r w:rsidR="000B13A9" w:rsidRPr="004666D3">
        <w:rPr>
          <w:szCs w:val="24"/>
        </w:rPr>
        <w:t xml:space="preserve">mostly </w:t>
      </w:r>
      <w:proofErr w:type="gramStart"/>
      <w:r w:rsidR="000B13A9" w:rsidRPr="004666D3">
        <w:rPr>
          <w:szCs w:val="24"/>
        </w:rPr>
        <w:t>in excess of</w:t>
      </w:r>
      <w:proofErr w:type="gramEnd"/>
      <w:r w:rsidR="000B13A9" w:rsidRPr="004666D3">
        <w:rPr>
          <w:szCs w:val="24"/>
        </w:rPr>
        <w:t xml:space="preserve"> </w:t>
      </w:r>
      <w:r w:rsidR="00AE366B" w:rsidRPr="004666D3">
        <w:rPr>
          <w:szCs w:val="24"/>
        </w:rPr>
        <w:t>0.99</w:t>
      </w:r>
      <w:r w:rsidR="000B13A9" w:rsidRPr="004666D3">
        <w:rPr>
          <w:szCs w:val="24"/>
        </w:rPr>
        <w:t>)</w:t>
      </w:r>
      <w:r w:rsidR="00AE366B" w:rsidRPr="004666D3">
        <w:rPr>
          <w:szCs w:val="24"/>
        </w:rPr>
        <w:t xml:space="preserve"> between the </w:t>
      </w:r>
      <w:r w:rsidR="00102387" w:rsidRPr="004666D3">
        <w:rPr>
          <w:szCs w:val="24"/>
        </w:rPr>
        <w:t xml:space="preserve">complete </w:t>
      </w:r>
      <w:r w:rsidR="00AE366B" w:rsidRPr="004666D3">
        <w:rPr>
          <w:szCs w:val="24"/>
        </w:rPr>
        <w:t>baselines for different days of the week</w:t>
      </w:r>
      <w:r w:rsidR="00CD5FF7" w:rsidRPr="004666D3">
        <w:rPr>
          <w:szCs w:val="24"/>
        </w:rPr>
        <w:t xml:space="preserve"> (see Supplementary A</w:t>
      </w:r>
      <w:r w:rsidR="0061396B" w:rsidRPr="004666D3">
        <w:rPr>
          <w:szCs w:val="24"/>
        </w:rPr>
        <w:t>2.1</w:t>
      </w:r>
      <w:r w:rsidR="00CD5FF7" w:rsidRPr="004666D3">
        <w:rPr>
          <w:szCs w:val="24"/>
        </w:rPr>
        <w:t>)</w:t>
      </w:r>
      <w:r w:rsidR="00AE366B" w:rsidRPr="004666D3">
        <w:rPr>
          <w:szCs w:val="24"/>
        </w:rPr>
        <w:t xml:space="preserve">. The baseline of a day of the workdays was most strongly correlated with the </w:t>
      </w:r>
      <w:r w:rsidR="000F1D66" w:rsidRPr="004666D3">
        <w:rPr>
          <w:szCs w:val="24"/>
        </w:rPr>
        <w:t xml:space="preserve">average value </w:t>
      </w:r>
      <w:r w:rsidR="00AE366B" w:rsidRPr="004666D3">
        <w:rPr>
          <w:szCs w:val="24"/>
        </w:rPr>
        <w:t xml:space="preserve">of the workdays, whereas the baseline of a weekend day had the highest correlation with the mean of the weekends, with </w:t>
      </w:r>
      <w:r w:rsidR="004B2BE3" w:rsidRPr="004666D3">
        <w:rPr>
          <w:szCs w:val="24"/>
        </w:rPr>
        <w:t xml:space="preserve">Pearson’s R </w:t>
      </w:r>
      <w:r w:rsidR="00AE366B" w:rsidRPr="004666D3">
        <w:rPr>
          <w:szCs w:val="24"/>
        </w:rPr>
        <w:t>greater than 0.999 in both Belgium and Thailand.</w:t>
      </w:r>
    </w:p>
    <w:p w14:paraId="2266ECCA" w14:textId="77777777" w:rsidR="007636F6" w:rsidRPr="004666D3" w:rsidRDefault="007636F6" w:rsidP="00081DF9">
      <w:pPr>
        <w:spacing w:line="240" w:lineRule="auto"/>
        <w:rPr>
          <w:szCs w:val="24"/>
        </w:rPr>
      </w:pPr>
    </w:p>
    <w:p w14:paraId="143DBA3F" w14:textId="14C78A99" w:rsidR="006F3EC6" w:rsidRPr="004666D3" w:rsidRDefault="537F9D72" w:rsidP="005646E2">
      <w:pPr>
        <w:rPr>
          <w:b/>
          <w:bCs/>
          <w:szCs w:val="24"/>
        </w:rPr>
      </w:pPr>
      <w:r w:rsidRPr="004666D3">
        <w:rPr>
          <w:b/>
          <w:bCs/>
          <w:szCs w:val="24"/>
        </w:rPr>
        <w:t>(</w:t>
      </w:r>
      <w:r w:rsidR="002E72F7" w:rsidRPr="004666D3">
        <w:rPr>
          <w:b/>
          <w:bCs/>
          <w:szCs w:val="24"/>
        </w:rPr>
        <w:t>1B</w:t>
      </w:r>
      <w:r w:rsidRPr="004666D3">
        <w:rPr>
          <w:b/>
          <w:bCs/>
          <w:szCs w:val="24"/>
        </w:rPr>
        <w:t xml:space="preserve">) </w:t>
      </w:r>
      <w:r w:rsidR="00E00B69" w:rsidRPr="004666D3">
        <w:rPr>
          <w:b/>
          <w:bCs/>
          <w:szCs w:val="24"/>
        </w:rPr>
        <w:t>E</w:t>
      </w:r>
      <w:r w:rsidR="4CB863A5" w:rsidRPr="004666D3">
        <w:rPr>
          <w:b/>
          <w:bCs/>
          <w:szCs w:val="24"/>
        </w:rPr>
        <w:t>stimation</w:t>
      </w:r>
      <w:r w:rsidRPr="004666D3">
        <w:rPr>
          <w:b/>
          <w:bCs/>
          <w:szCs w:val="24"/>
        </w:rPr>
        <w:t xml:space="preserve"> of </w:t>
      </w:r>
      <w:bookmarkStart w:id="73" w:name="OLE_LINK47"/>
      <w:r w:rsidRPr="004666D3">
        <w:rPr>
          <w:b/>
          <w:bCs/>
          <w:szCs w:val="24"/>
        </w:rPr>
        <w:t xml:space="preserve">missing </w:t>
      </w:r>
      <w:r w:rsidR="00E00B69" w:rsidRPr="004666D3">
        <w:rPr>
          <w:b/>
          <w:bCs/>
          <w:szCs w:val="24"/>
        </w:rPr>
        <w:t xml:space="preserve">baseline </w:t>
      </w:r>
      <w:r w:rsidR="003D4BF5" w:rsidRPr="004666D3">
        <w:rPr>
          <w:b/>
          <w:bCs/>
          <w:szCs w:val="24"/>
        </w:rPr>
        <w:t xml:space="preserve">values </w:t>
      </w:r>
      <w:r w:rsidRPr="004666D3">
        <w:rPr>
          <w:b/>
          <w:bCs/>
          <w:szCs w:val="24"/>
        </w:rPr>
        <w:t>for the tile</w:t>
      </w:r>
      <w:r w:rsidR="00ED21A0" w:rsidRPr="004666D3">
        <w:rPr>
          <w:b/>
          <w:bCs/>
          <w:szCs w:val="24"/>
        </w:rPr>
        <w:t>s</w:t>
      </w:r>
      <w:r w:rsidRPr="004666D3">
        <w:rPr>
          <w:b/>
          <w:bCs/>
          <w:szCs w:val="24"/>
        </w:rPr>
        <w:t xml:space="preserve"> </w:t>
      </w:r>
      <w:r w:rsidR="13233DFF" w:rsidRPr="004666D3">
        <w:rPr>
          <w:b/>
          <w:bCs/>
          <w:szCs w:val="24"/>
        </w:rPr>
        <w:t>that lack</w:t>
      </w:r>
      <w:r w:rsidR="7ABE38EB" w:rsidRPr="004666D3">
        <w:rPr>
          <w:b/>
          <w:bCs/>
          <w:szCs w:val="24"/>
        </w:rPr>
        <w:t>s all baseline</w:t>
      </w:r>
      <w:bookmarkEnd w:id="73"/>
      <w:r w:rsidR="003D4BF5" w:rsidRPr="004666D3">
        <w:rPr>
          <w:b/>
          <w:bCs/>
          <w:szCs w:val="24"/>
        </w:rPr>
        <w:t>s</w:t>
      </w:r>
      <w:r w:rsidR="7628425C" w:rsidRPr="004666D3">
        <w:rPr>
          <w:b/>
          <w:bCs/>
          <w:szCs w:val="24"/>
        </w:rPr>
        <w:t>.</w:t>
      </w:r>
    </w:p>
    <w:p w14:paraId="36B2B5E1" w14:textId="348AC358" w:rsidR="000A0049" w:rsidRPr="004666D3" w:rsidRDefault="00D764EF" w:rsidP="000A0049">
      <w:r w:rsidRPr="004666D3">
        <w:t>Most</w:t>
      </w:r>
      <w:r w:rsidR="6DB50AAC" w:rsidRPr="004666D3">
        <w:t xml:space="preserve"> incomplete tiles </w:t>
      </w:r>
      <w:r w:rsidR="2785004E" w:rsidRPr="004666D3">
        <w:t>lacked baseline</w:t>
      </w:r>
      <w:r w:rsidR="6DB50AAC" w:rsidRPr="004666D3">
        <w:t xml:space="preserve"> values </w:t>
      </w:r>
      <w:r w:rsidR="2785004E" w:rsidRPr="004666D3">
        <w:t>on</w:t>
      </w:r>
      <w:r w:rsidR="6DB50AAC" w:rsidRPr="004666D3">
        <w:t xml:space="preserve"> all dates.</w:t>
      </w:r>
      <w:r w:rsidR="1C0BD041" w:rsidRPr="004666D3">
        <w:t xml:space="preserve"> </w:t>
      </w:r>
      <w:bookmarkStart w:id="74" w:name="OLE_LINK63"/>
      <w:r w:rsidR="004D08D5" w:rsidRPr="004666D3">
        <w:t xml:space="preserve">Tiles with incomplete </w:t>
      </w:r>
      <w:r w:rsidR="002675CF" w:rsidRPr="004666D3">
        <w:t>records</w:t>
      </w:r>
      <w:r w:rsidR="004D08D5" w:rsidRPr="004666D3">
        <w:t xml:space="preserve"> </w:t>
      </w:r>
      <w:r w:rsidR="0068599F" w:rsidRPr="004666D3">
        <w:t>for</w:t>
      </w:r>
      <w:r w:rsidR="004D08D5" w:rsidRPr="004666D3">
        <w:t xml:space="preserve"> the </w:t>
      </w:r>
      <w:r w:rsidR="0068599F" w:rsidRPr="004666D3">
        <w:t xml:space="preserve">entire </w:t>
      </w:r>
      <w:r w:rsidR="004D08D5" w:rsidRPr="004666D3">
        <w:t xml:space="preserve">study period were </w:t>
      </w:r>
      <w:r w:rsidR="00EE598A" w:rsidRPr="004666D3">
        <w:t xml:space="preserve">presumed to </w:t>
      </w:r>
      <w:r w:rsidR="004D08D5" w:rsidRPr="004666D3">
        <w:t>have baseline</w:t>
      </w:r>
      <w:r w:rsidR="00986A5E" w:rsidRPr="004666D3">
        <w:t xml:space="preserve"> </w:t>
      </w:r>
      <w:r w:rsidR="007866FB" w:rsidRPr="004666D3">
        <w:t>values</w:t>
      </w:r>
      <w:r w:rsidR="008D05A6" w:rsidRPr="004666D3">
        <w:t xml:space="preserve"> </w:t>
      </w:r>
      <w:r w:rsidR="00986A5E" w:rsidRPr="004666D3">
        <w:t>of</w:t>
      </w:r>
      <w:r w:rsidR="004D08D5" w:rsidRPr="004666D3">
        <w:t xml:space="preserve"> less than 10</w:t>
      </w:r>
      <w:r w:rsidR="003C7712" w:rsidRPr="004666D3">
        <w:t>. This is because</w:t>
      </w:r>
      <w:r w:rsidR="00194316" w:rsidRPr="004666D3">
        <w:t>,</w:t>
      </w:r>
      <w:r w:rsidR="00D800F1" w:rsidRPr="004666D3">
        <w:t xml:space="preserve"> </w:t>
      </w:r>
      <w:r w:rsidR="00194316" w:rsidRPr="004666D3">
        <w:t>regardless of the population num</w:t>
      </w:r>
      <w:r w:rsidR="00725D2F" w:rsidRPr="004666D3">
        <w:t xml:space="preserve">ber collected on any given day over the 27 months, </w:t>
      </w:r>
      <w:r w:rsidR="0004795E" w:rsidRPr="004666D3">
        <w:t xml:space="preserve">the records were removed </w:t>
      </w:r>
      <w:r w:rsidR="0054052F" w:rsidRPr="004666D3">
        <w:t>due to</w:t>
      </w:r>
      <w:r w:rsidR="006A2E34" w:rsidRPr="004666D3">
        <w:t xml:space="preserve"> </w:t>
      </w:r>
      <w:r w:rsidR="005D10E5" w:rsidRPr="004666D3">
        <w:t xml:space="preserve">their </w:t>
      </w:r>
      <w:r w:rsidR="00B9661E" w:rsidRPr="004666D3">
        <w:t xml:space="preserve">baselines </w:t>
      </w:r>
      <w:r w:rsidR="001925DC" w:rsidRPr="004666D3">
        <w:t xml:space="preserve">falling </w:t>
      </w:r>
      <w:r w:rsidR="006A2E34" w:rsidRPr="004666D3">
        <w:t>below 10</w:t>
      </w:r>
      <w:bookmarkEnd w:id="74"/>
      <w:r w:rsidR="004D08D5" w:rsidRPr="004666D3">
        <w:t>. We</w:t>
      </w:r>
      <w:r w:rsidR="00C51BDE" w:rsidRPr="004666D3">
        <w:t xml:space="preserve"> </w:t>
      </w:r>
      <w:r w:rsidR="005342ED" w:rsidRPr="004666D3">
        <w:t>employed</w:t>
      </w:r>
      <w:r w:rsidR="00C51BDE" w:rsidRPr="004666D3">
        <w:t xml:space="preserve"> </w:t>
      </w:r>
      <w:r w:rsidR="00D376BA" w:rsidRPr="004666D3">
        <w:t>linear regression models</w:t>
      </w:r>
      <w:r w:rsidR="30719497" w:rsidRPr="004666D3">
        <w:t xml:space="preserve"> </w:t>
      </w:r>
      <w:r w:rsidR="005E25E8" w:rsidRPr="004666D3">
        <w:t xml:space="preserve">using </w:t>
      </w:r>
      <w:r w:rsidR="00670606" w:rsidRPr="004666D3">
        <w:t xml:space="preserve">existing </w:t>
      </w:r>
      <w:r w:rsidR="00FE1908" w:rsidRPr="004666D3">
        <w:t xml:space="preserve">Facebook baselines </w:t>
      </w:r>
      <w:r w:rsidR="007651D8" w:rsidRPr="004666D3">
        <w:t>from</w:t>
      </w:r>
      <w:r w:rsidR="00CC0785" w:rsidRPr="004666D3">
        <w:t xml:space="preserve"> all complete records </w:t>
      </w:r>
      <w:r w:rsidR="00FE1908" w:rsidRPr="004666D3">
        <w:t xml:space="preserve">and </w:t>
      </w:r>
      <w:r w:rsidR="00BC4AAD" w:rsidRPr="004666D3">
        <w:t>WorldPop</w:t>
      </w:r>
      <w:r w:rsidR="006B05A1" w:rsidRPr="004666D3">
        <w:t xml:space="preserve"> spatial population datasets </w:t>
      </w:r>
      <w:r w:rsidR="00730E9B" w:rsidRPr="004666D3">
        <w:t>of 2019</w:t>
      </w:r>
      <w:r w:rsidR="006B05A1" w:rsidRPr="004666D3">
        <w:t xml:space="preserve"> </w:t>
      </w:r>
      <w:r w:rsidR="30719497" w:rsidRPr="004666D3">
        <w:t xml:space="preserve">to </w:t>
      </w:r>
      <w:r w:rsidR="27C8E528" w:rsidRPr="004666D3">
        <w:t>estimate</w:t>
      </w:r>
      <w:r w:rsidR="30719497" w:rsidRPr="004666D3">
        <w:t xml:space="preserve"> </w:t>
      </w:r>
      <w:r w:rsidR="13307742" w:rsidRPr="004666D3">
        <w:t>the missing baseline on different days of the week</w:t>
      </w:r>
      <w:r w:rsidR="006B7206" w:rsidRPr="004666D3">
        <w:t xml:space="preserve"> (See Supplementary</w:t>
      </w:r>
      <w:r w:rsidR="002842A4" w:rsidRPr="004666D3">
        <w:t xml:space="preserve"> A2.2</w:t>
      </w:r>
      <w:r w:rsidR="006B7206" w:rsidRPr="004666D3">
        <w:t>)</w:t>
      </w:r>
      <w:r w:rsidR="3F7B2D8C" w:rsidRPr="004666D3">
        <w:t xml:space="preserve">. </w:t>
      </w:r>
      <w:r w:rsidR="00FD5B81" w:rsidRPr="004666D3">
        <w:t>W</w:t>
      </w:r>
      <w:r w:rsidR="00EC487F" w:rsidRPr="004666D3">
        <w:t xml:space="preserve">e </w:t>
      </w:r>
      <w:r w:rsidR="00FD5B81" w:rsidRPr="004666D3">
        <w:t xml:space="preserve">further constrained our imputation by </w:t>
      </w:r>
      <w:r w:rsidR="00EC487F" w:rsidRPr="004666D3">
        <w:t>set</w:t>
      </w:r>
      <w:r w:rsidR="00FD5B81" w:rsidRPr="004666D3">
        <w:t>ting</w:t>
      </w:r>
      <w:r w:rsidR="00EC487F" w:rsidRPr="004666D3">
        <w:t xml:space="preserve"> the maximum value of 10</w:t>
      </w:r>
      <w:r w:rsidR="00B76566" w:rsidRPr="004666D3">
        <w:t xml:space="preserve"> (</w:t>
      </w:r>
      <w:r w:rsidR="00EE31DA" w:rsidRPr="004666D3">
        <w:t>as 10 is the cut-off Facebook uses for excluding numbers</w:t>
      </w:r>
      <w:r w:rsidR="00B76566" w:rsidRPr="004666D3">
        <w:t>)</w:t>
      </w:r>
      <w:r w:rsidR="00EC487F" w:rsidRPr="004666D3">
        <w:t xml:space="preserve"> and </w:t>
      </w:r>
      <w:r w:rsidR="00946C59" w:rsidRPr="004666D3">
        <w:t xml:space="preserve">the </w:t>
      </w:r>
      <w:r w:rsidR="00EC487F" w:rsidRPr="004666D3">
        <w:t xml:space="preserve">minimum value of 0 for the estimated missing baselines. For example, if the missing baseline during 00:00-07:59 UTC on Monday was estimated as 30 based on the regression </w:t>
      </w:r>
      <w:r w:rsidR="00EC487F" w:rsidRPr="004666D3">
        <w:lastRenderedPageBreak/>
        <w:t xml:space="preserve">result with other population data, it would be </w:t>
      </w:r>
      <w:r w:rsidR="00B42F38" w:rsidRPr="004666D3">
        <w:t xml:space="preserve">manually </w:t>
      </w:r>
      <w:r w:rsidR="00EC487F" w:rsidRPr="004666D3">
        <w:t xml:space="preserve">adjusted as 10. </w:t>
      </w:r>
      <w:r w:rsidR="000A0049" w:rsidRPr="004666D3">
        <w:t>Finally, the missing user count was calculated based on the imputed baseline value and Equation (1).</w:t>
      </w:r>
    </w:p>
    <w:p w14:paraId="5ED4A9F8" w14:textId="77777777" w:rsidR="00E2532A" w:rsidRPr="004666D3" w:rsidRDefault="00E2532A" w:rsidP="00E05323">
      <w:pPr>
        <w:spacing w:line="240" w:lineRule="auto"/>
        <w:rPr>
          <w:szCs w:val="24"/>
        </w:rPr>
      </w:pPr>
      <w:bookmarkStart w:id="75" w:name="OLE_LINK64"/>
    </w:p>
    <w:p w14:paraId="30C003CB" w14:textId="5D656E13" w:rsidR="00093C41" w:rsidRPr="004666D3" w:rsidRDefault="00791007" w:rsidP="006B6EE7">
      <w:r w:rsidRPr="004666D3">
        <w:t xml:space="preserve">To </w:t>
      </w:r>
      <w:r w:rsidR="00643F8F" w:rsidRPr="004666D3">
        <w:t>assess</w:t>
      </w:r>
      <w:r w:rsidR="00515B77" w:rsidRPr="004666D3">
        <w:t xml:space="preserve"> the accuracy of models </w:t>
      </w:r>
      <w:r w:rsidR="00F7730B" w:rsidRPr="004666D3">
        <w:t xml:space="preserve">generated </w:t>
      </w:r>
      <w:r w:rsidR="00515B77" w:rsidRPr="004666D3">
        <w:t>for tiles</w:t>
      </w:r>
      <w:r w:rsidR="00F7730B" w:rsidRPr="004666D3">
        <w:t xml:space="preserve"> with </w:t>
      </w:r>
      <w:r w:rsidR="00E87365" w:rsidRPr="004666D3">
        <w:t>sparse baselines</w:t>
      </w:r>
      <w:r w:rsidR="00515B77" w:rsidRPr="004666D3">
        <w:t xml:space="preserve">, </w:t>
      </w:r>
      <w:r w:rsidR="00C442D5" w:rsidRPr="004666D3">
        <w:t xml:space="preserve">we </w:t>
      </w:r>
      <w:r w:rsidR="00907787" w:rsidRPr="004666D3">
        <w:t>tested our method</w:t>
      </w:r>
      <w:r w:rsidR="0082665A" w:rsidRPr="004666D3">
        <w:t xml:space="preserve"> </w:t>
      </w:r>
      <w:r w:rsidR="00907787" w:rsidRPr="004666D3">
        <w:t xml:space="preserve">using </w:t>
      </w:r>
      <w:r w:rsidR="0082665A" w:rsidRPr="004666D3">
        <w:t xml:space="preserve">tiles </w:t>
      </w:r>
      <w:r w:rsidR="008A5E54" w:rsidRPr="004666D3">
        <w:t xml:space="preserve">whose baselines </w:t>
      </w:r>
      <w:r w:rsidR="00C41FE1" w:rsidRPr="004666D3">
        <w:t xml:space="preserve">were </w:t>
      </w:r>
      <w:r w:rsidR="008A5E54" w:rsidRPr="004666D3">
        <w:t>between 10 and 20</w:t>
      </w:r>
      <w:r w:rsidR="0082665A" w:rsidRPr="004666D3">
        <w:t xml:space="preserve">, </w:t>
      </w:r>
      <w:r w:rsidR="0059694E" w:rsidRPr="004666D3">
        <w:t xml:space="preserve">as </w:t>
      </w:r>
      <w:r w:rsidR="00CA2E50" w:rsidRPr="004666D3">
        <w:t xml:space="preserve">these were </w:t>
      </w:r>
      <w:r w:rsidR="0059694E" w:rsidRPr="004666D3">
        <w:t xml:space="preserve">the </w:t>
      </w:r>
      <w:r w:rsidR="00D1042F" w:rsidRPr="004666D3">
        <w:t xml:space="preserve">tiles with </w:t>
      </w:r>
      <w:r w:rsidR="00996FE5" w:rsidRPr="004666D3">
        <w:t xml:space="preserve">the </w:t>
      </w:r>
      <w:r w:rsidR="00B96C0F" w:rsidRPr="004666D3">
        <w:t xml:space="preserve">lowest </w:t>
      </w:r>
      <w:r w:rsidR="00270F8B" w:rsidRPr="004666D3">
        <w:t>baselines</w:t>
      </w:r>
      <w:r w:rsidR="00D1042F" w:rsidRPr="004666D3">
        <w:t xml:space="preserve"> </w:t>
      </w:r>
      <w:r w:rsidR="00B96C0F" w:rsidRPr="004666D3">
        <w:t xml:space="preserve">for which we had </w:t>
      </w:r>
      <w:r w:rsidR="00C87A94" w:rsidRPr="004666D3">
        <w:t xml:space="preserve">validation </w:t>
      </w:r>
      <w:r w:rsidR="00B96C0F" w:rsidRPr="004666D3">
        <w:t>data</w:t>
      </w:r>
      <w:r w:rsidR="004350DD" w:rsidRPr="004666D3">
        <w:t>.</w:t>
      </w:r>
      <w:r w:rsidR="00B96C0F" w:rsidRPr="004666D3">
        <w:t xml:space="preserve"> The assumption behind this test</w:t>
      </w:r>
      <w:r w:rsidR="00EE6216" w:rsidRPr="004666D3">
        <w:t xml:space="preserve"> wa</w:t>
      </w:r>
      <w:r w:rsidR="00B96C0F" w:rsidRPr="004666D3">
        <w:t xml:space="preserve">s that if </w:t>
      </w:r>
      <w:r w:rsidR="00C87A94" w:rsidRPr="004666D3">
        <w:t>our</w:t>
      </w:r>
      <w:r w:rsidR="00B96C0F" w:rsidRPr="004666D3">
        <w:t xml:space="preserve"> imputation method was successfully able to </w:t>
      </w:r>
      <w:r w:rsidR="00885ABF" w:rsidRPr="004666D3">
        <w:t xml:space="preserve">predict the </w:t>
      </w:r>
      <w:r w:rsidR="00460423" w:rsidRPr="004666D3">
        <w:t xml:space="preserve">low </w:t>
      </w:r>
      <w:r w:rsidR="00270F8B" w:rsidRPr="004666D3">
        <w:t xml:space="preserve">user </w:t>
      </w:r>
      <w:r w:rsidR="00460423" w:rsidRPr="004666D3">
        <w:t xml:space="preserve">numbers </w:t>
      </w:r>
      <w:r w:rsidR="00885ABF" w:rsidRPr="004666D3">
        <w:t xml:space="preserve">for tiles </w:t>
      </w:r>
      <w:r w:rsidR="00460423" w:rsidRPr="004666D3">
        <w:t xml:space="preserve">with </w:t>
      </w:r>
      <w:r w:rsidR="382BB190" w:rsidRPr="004666D3">
        <w:t>bas</w:t>
      </w:r>
      <w:r w:rsidR="00C105EE" w:rsidRPr="004666D3">
        <w:t>e</w:t>
      </w:r>
      <w:r w:rsidR="382BB190" w:rsidRPr="004666D3">
        <w:t>lines</w:t>
      </w:r>
      <w:r w:rsidR="00460423" w:rsidRPr="004666D3">
        <w:t xml:space="preserve"> </w:t>
      </w:r>
      <w:r w:rsidR="382BB190" w:rsidRPr="004666D3">
        <w:t>between</w:t>
      </w:r>
      <w:r w:rsidR="00885ABF" w:rsidRPr="004666D3">
        <w:t xml:space="preserve"> 10</w:t>
      </w:r>
      <w:r w:rsidR="00D4310D" w:rsidRPr="004666D3">
        <w:t>-</w:t>
      </w:r>
      <w:r w:rsidR="00885ABF" w:rsidRPr="004666D3">
        <w:t xml:space="preserve">20, then it would also work for tiles between 0 and 10 </w:t>
      </w:r>
      <w:r w:rsidR="00270F8B" w:rsidRPr="004666D3">
        <w:t xml:space="preserve">baselines </w:t>
      </w:r>
      <w:r w:rsidR="0064620D" w:rsidRPr="004666D3">
        <w:t xml:space="preserve">(see </w:t>
      </w:r>
      <w:r w:rsidR="00F4559C" w:rsidRPr="004666D3">
        <w:t xml:space="preserve">Supplementary </w:t>
      </w:r>
      <w:r w:rsidR="00081D61" w:rsidRPr="004666D3">
        <w:t>A</w:t>
      </w:r>
      <w:r w:rsidR="004C6C16" w:rsidRPr="004666D3">
        <w:t>2</w:t>
      </w:r>
      <w:r w:rsidR="00664783" w:rsidRPr="004666D3">
        <w:t>.2.3</w:t>
      </w:r>
      <w:r w:rsidR="008C6A28" w:rsidRPr="004666D3">
        <w:t xml:space="preserve"> for full Methods for these validation tests).</w:t>
      </w:r>
      <w:bookmarkEnd w:id="75"/>
      <w:r w:rsidR="00266577" w:rsidRPr="004666D3">
        <w:t xml:space="preserve"> </w:t>
      </w:r>
      <w:r w:rsidR="0034108F" w:rsidRPr="004666D3">
        <w:t>Further</w:t>
      </w:r>
      <w:r w:rsidR="00E65742" w:rsidRPr="004666D3">
        <w:t>more</w:t>
      </w:r>
      <w:r w:rsidR="0034108F" w:rsidRPr="004666D3">
        <w:t xml:space="preserve">, </w:t>
      </w:r>
      <w:r w:rsidR="009C6BDE" w:rsidRPr="004666D3">
        <w:t xml:space="preserve">we conducted </w:t>
      </w:r>
      <w:r w:rsidR="0034108F" w:rsidRPr="004666D3">
        <w:t>s</w:t>
      </w:r>
      <w:r w:rsidR="00F21A1E" w:rsidRPr="004666D3">
        <w:t xml:space="preserve">ensitivity analyses </w:t>
      </w:r>
      <w:r w:rsidR="00CD6EB5" w:rsidRPr="004666D3">
        <w:t xml:space="preserve">by </w:t>
      </w:r>
      <w:r w:rsidR="000943A0" w:rsidRPr="004666D3">
        <w:t>modifying</w:t>
      </w:r>
      <w:r w:rsidR="00CD6EB5" w:rsidRPr="004666D3">
        <w:t xml:space="preserve"> the input spatial population data</w:t>
      </w:r>
      <w:r w:rsidR="00AD2BCC" w:rsidRPr="004666D3">
        <w:t xml:space="preserve"> </w:t>
      </w:r>
      <w:r w:rsidR="00233A4A" w:rsidRPr="004666D3">
        <w:t xml:space="preserve">to </w:t>
      </w:r>
      <w:r w:rsidR="00FB7248" w:rsidRPr="004666D3">
        <w:t>evaluate</w:t>
      </w:r>
      <w:r w:rsidR="00233A4A" w:rsidRPr="004666D3">
        <w:t xml:space="preserve"> the robustness of </w:t>
      </w:r>
      <w:r w:rsidR="0042404B" w:rsidRPr="004666D3">
        <w:t>models.</w:t>
      </w:r>
      <w:r w:rsidR="00A75DEC" w:rsidRPr="004666D3">
        <w:t xml:space="preserve"> It showed that the trends were highly consistent when we altered the input population data as </w:t>
      </w:r>
      <w:proofErr w:type="spellStart"/>
      <w:r w:rsidR="00A75DEC" w:rsidRPr="004666D3">
        <w:t>LandScan</w:t>
      </w:r>
      <w:proofErr w:type="spellEnd"/>
      <w:r w:rsidR="00A75DEC" w:rsidRPr="004666D3">
        <w:t xml:space="preserve"> </w:t>
      </w:r>
      <w:r w:rsidR="00E40660" w:rsidRPr="004666D3">
        <w:fldChar w:fldCharType="begin"/>
      </w:r>
      <w:r w:rsidR="00E40660" w:rsidRPr="004666D3">
        <w:instrText xml:space="preserve"> ADDIN ZOTERO_ITEM CSL_CITATION {"citationID":"2nMg93VC","properties":{"formattedCitation":"(Rose et al., 2020)","plainCitation":"(Rose et al., 2020)","noteIndex":0},"citationItems":[{"id":4135,"uris":["http://zotero.org/users/9756803/items/B3UTPNPN"],"itemData":{"id":4135,"type":"document","abstract":"Using an innovative approach that combines Geographic Information Science, remote sensing technology, and machine learning algorithms, ORNL’s LandScan is the community standard for global population distribution. At 30 arc-second (approximately 1 km) resolution, LandScan is the finest resolution global population distribution data available representing an “ambient population” (average over 24 hours). The LandScan algorithm, an R&amp;D 100 Award Winner, uses spatial data, high-resolution imagery exploitation, and a multi-variable dasymetric modeling approach to disaggregate census counts within an administrative boundary. LandScan population data are spatially explicit - unlike tabular Census data. Since no single population distribution model can account for the differences in spatial data availability, quality, scale, and accuracy as well as the differences in cultural settlement practices, LandScan population distribution models are tailored to match the data conditions and geographical nature of each individual country and region. By modeling an ambient population, LandScan Global captures the full potential activity space of people throughout the course of the day and night rather than just a residential location.","note":"edition: 2019\npublisher-place: Oak Ridge, TN\nsection: July 01, 2020\nDOI: 10.48690/1524214","publisher":"Oak Ridge National Laboratory","title":"LandScan Global 2019","URL":"landscan.ornl.gov","author":[{"family":"Rose","given":"Amy"},{"family":"McKee","given":"Jacob"},{"family":"Sims","given":"Kelly"},{"family":"Bright","given":"Edward"},{"family":"Reith","given":"Andrew"},{"family":"Urban","given":"Marie"}],"issued":{"date-parts":[["2020"]]}}}],"schema":"https://github.com/citation-style-language/schema/raw/master/csl-citation.json"} </w:instrText>
      </w:r>
      <w:r w:rsidR="00E40660" w:rsidRPr="004666D3">
        <w:fldChar w:fldCharType="separate"/>
      </w:r>
      <w:r w:rsidR="00AE74BE" w:rsidRPr="004666D3">
        <w:rPr>
          <w:rFonts w:ascii="Calibri" w:hAnsi="Calibri" w:cs="Calibri"/>
        </w:rPr>
        <w:t>(Rose et al., 2020)</w:t>
      </w:r>
      <w:r w:rsidR="00E40660" w:rsidRPr="004666D3">
        <w:fldChar w:fldCharType="end"/>
      </w:r>
      <w:r w:rsidR="00D06A05" w:rsidRPr="004666D3">
        <w:t xml:space="preserve"> </w:t>
      </w:r>
      <w:r w:rsidR="00A75DEC" w:rsidRPr="004666D3">
        <w:t>for both Belgium and Thailand</w:t>
      </w:r>
      <w:r w:rsidR="000037C0" w:rsidRPr="004666D3">
        <w:t xml:space="preserve"> (see Supplementary </w:t>
      </w:r>
      <w:r w:rsidR="00195F22" w:rsidRPr="004666D3">
        <w:t>C</w:t>
      </w:r>
      <w:r w:rsidR="000037C0" w:rsidRPr="004666D3">
        <w:t>)</w:t>
      </w:r>
      <w:r w:rsidR="00A51933" w:rsidRPr="004666D3">
        <w:t xml:space="preserve">. However, </w:t>
      </w:r>
      <w:r w:rsidR="00621655" w:rsidRPr="004666D3">
        <w:t>using WorldPop</w:t>
      </w:r>
      <w:r w:rsidR="009E2FCE" w:rsidRPr="004666D3">
        <w:t xml:space="preserve"> as input data ha</w:t>
      </w:r>
      <w:r w:rsidR="002504A8" w:rsidRPr="004666D3">
        <w:t>d</w:t>
      </w:r>
      <w:r w:rsidR="009E2FCE" w:rsidRPr="004666D3">
        <w:t xml:space="preserve"> lower </w:t>
      </w:r>
      <w:r w:rsidR="008D1FBF" w:rsidRPr="004666D3">
        <w:t xml:space="preserve">root-mean-square error (RMSE) </w:t>
      </w:r>
      <w:r w:rsidR="00195F22" w:rsidRPr="004666D3">
        <w:t xml:space="preserve">and </w:t>
      </w:r>
      <w:r w:rsidR="00BB05BB" w:rsidRPr="004666D3">
        <w:t xml:space="preserve">mean-absolute-error (MAE) </w:t>
      </w:r>
      <w:r w:rsidR="009E2FCE" w:rsidRPr="004666D3">
        <w:t xml:space="preserve">values compared to </w:t>
      </w:r>
      <w:r w:rsidR="006C6750" w:rsidRPr="004666D3">
        <w:t xml:space="preserve">other </w:t>
      </w:r>
      <w:r w:rsidR="009E2FCE" w:rsidRPr="004666D3">
        <w:t>transformation</w:t>
      </w:r>
      <w:r w:rsidR="005708BE" w:rsidRPr="004666D3">
        <w:t>s</w:t>
      </w:r>
      <w:r w:rsidR="00A632B8" w:rsidRPr="004666D3">
        <w:t xml:space="preserve"> (Supplementary Table </w:t>
      </w:r>
      <w:r w:rsidR="005930CE" w:rsidRPr="004666D3">
        <w:t>A.</w:t>
      </w:r>
      <w:r w:rsidR="00DD5136" w:rsidRPr="004666D3">
        <w:t>3</w:t>
      </w:r>
      <w:r w:rsidR="00A632B8" w:rsidRPr="004666D3">
        <w:t>)</w:t>
      </w:r>
      <w:r w:rsidR="00A75DEC" w:rsidRPr="004666D3">
        <w:t>.</w:t>
      </w:r>
    </w:p>
    <w:p w14:paraId="5D6D6575" w14:textId="77777777" w:rsidR="006136FD" w:rsidRPr="004666D3" w:rsidRDefault="006136FD" w:rsidP="006136FD">
      <w:pPr>
        <w:spacing w:line="240" w:lineRule="auto"/>
        <w:rPr>
          <w:szCs w:val="24"/>
        </w:rPr>
      </w:pPr>
    </w:p>
    <w:p w14:paraId="66609A4B" w14:textId="6797C787" w:rsidR="00953D5F" w:rsidRPr="004666D3" w:rsidRDefault="00EB0DBA" w:rsidP="006136FD">
      <w:r w:rsidRPr="004666D3">
        <w:t xml:space="preserve">After our imputation method, both Belgium and Thailand obtained approximately 99.9% of total data records that could be used for subsequent analysis. </w:t>
      </w:r>
      <w:bookmarkStart w:id="76" w:name="OLE_LINK57"/>
      <w:r w:rsidR="00BB5D0E" w:rsidRPr="004666D3">
        <w:t>Using night-time data as an example,</w:t>
      </w:r>
      <w:r w:rsidR="00B43AAC" w:rsidRPr="004666D3">
        <w:t xml:space="preserve"> </w:t>
      </w:r>
      <w:bookmarkStart w:id="77" w:name="OLE_LINK49"/>
      <w:r w:rsidR="00677F01" w:rsidRPr="004666D3">
        <w:t xml:space="preserve">in Belgium, </w:t>
      </w:r>
      <w:r w:rsidR="00B43AAC" w:rsidRPr="004666D3">
        <w:t>23.</w:t>
      </w:r>
      <w:r w:rsidR="004C5671" w:rsidRPr="004666D3">
        <w:t>35</w:t>
      </w:r>
      <w:r w:rsidR="00B43AAC" w:rsidRPr="004666D3">
        <w:t>% of the baseline user count</w:t>
      </w:r>
      <w:r w:rsidR="008565C1" w:rsidRPr="004666D3">
        <w:t>,</w:t>
      </w:r>
      <w:r w:rsidR="00B43AAC" w:rsidRPr="004666D3">
        <w:t xml:space="preserve"> </w:t>
      </w:r>
      <w:r w:rsidR="008565C1" w:rsidRPr="004666D3">
        <w:t>located</w:t>
      </w:r>
      <w:r w:rsidR="00400AB7" w:rsidRPr="004666D3">
        <w:t xml:space="preserve"> in</w:t>
      </w:r>
      <w:r w:rsidR="00B43AAC" w:rsidRPr="004666D3">
        <w:t xml:space="preserve"> </w:t>
      </w:r>
      <w:r w:rsidR="00064070" w:rsidRPr="004666D3">
        <w:t>missing</w:t>
      </w:r>
      <w:r w:rsidR="00B43AAC" w:rsidRPr="004666D3">
        <w:t xml:space="preserve"> tiles</w:t>
      </w:r>
      <w:r w:rsidR="0083615F" w:rsidRPr="004666D3">
        <w:t xml:space="preserve"> </w:t>
      </w:r>
      <w:r w:rsidR="002F66E0" w:rsidRPr="004666D3">
        <w:t xml:space="preserve">that </w:t>
      </w:r>
      <w:r w:rsidR="008565C1" w:rsidRPr="004666D3">
        <w:t xml:space="preserve">account for </w:t>
      </w:r>
      <w:r w:rsidR="002F2A3A" w:rsidRPr="004666D3">
        <w:t>67.</w:t>
      </w:r>
      <w:r w:rsidR="0047497F" w:rsidRPr="004666D3">
        <w:t>05</w:t>
      </w:r>
      <w:r w:rsidR="002F2A3A" w:rsidRPr="004666D3">
        <w:t>% of the total tiles</w:t>
      </w:r>
      <w:r w:rsidR="008565C1" w:rsidRPr="004666D3">
        <w:t>,</w:t>
      </w:r>
      <w:r w:rsidR="00B43AAC" w:rsidRPr="004666D3">
        <w:t xml:space="preserve"> has been imputed</w:t>
      </w:r>
      <w:bookmarkEnd w:id="76"/>
      <w:bookmarkEnd w:id="77"/>
      <w:r w:rsidR="00B43AAC" w:rsidRPr="004666D3">
        <w:t>.</w:t>
      </w:r>
      <w:r w:rsidR="00CF1566" w:rsidRPr="004666D3">
        <w:t xml:space="preserve"> </w:t>
      </w:r>
      <w:r w:rsidR="00FF19CA" w:rsidRPr="004666D3">
        <w:t>Of th</w:t>
      </w:r>
      <w:r w:rsidR="0092309F" w:rsidRPr="004666D3">
        <w:t>is</w:t>
      </w:r>
      <w:r w:rsidR="00FF19CA" w:rsidRPr="004666D3">
        <w:t xml:space="preserve">, the estimated rural baseline user count </w:t>
      </w:r>
      <w:bookmarkStart w:id="78" w:name="OLE_LINK44"/>
      <w:r w:rsidR="00FF19CA" w:rsidRPr="004666D3">
        <w:t>represent</w:t>
      </w:r>
      <w:bookmarkEnd w:id="78"/>
      <w:r w:rsidR="009E0F9A" w:rsidRPr="004666D3">
        <w:t>s</w:t>
      </w:r>
      <w:r w:rsidR="00FF19CA" w:rsidRPr="004666D3">
        <w:t xml:space="preserve"> 59.4</w:t>
      </w:r>
      <w:r w:rsidR="004C5671" w:rsidRPr="004666D3">
        <w:t>4</w:t>
      </w:r>
      <w:r w:rsidR="00FF19CA" w:rsidRPr="004666D3">
        <w:t xml:space="preserve">% of the total in rural areas. </w:t>
      </w:r>
      <w:r w:rsidR="00390513" w:rsidRPr="004666D3">
        <w:t>Meanwhile, i</w:t>
      </w:r>
      <w:r w:rsidR="001B76C8" w:rsidRPr="004666D3">
        <w:t>n</w:t>
      </w:r>
      <w:r w:rsidR="00CF7C83" w:rsidRPr="004666D3">
        <w:t xml:space="preserve"> Thailand</w:t>
      </w:r>
      <w:r w:rsidR="00ED2125" w:rsidRPr="004666D3">
        <w:t>,</w:t>
      </w:r>
      <w:r w:rsidR="00361082" w:rsidRPr="004666D3">
        <w:t xml:space="preserve"> </w:t>
      </w:r>
      <w:r w:rsidR="00F225EA" w:rsidRPr="004666D3">
        <w:t xml:space="preserve">0.02% </w:t>
      </w:r>
      <w:r w:rsidR="00405629" w:rsidRPr="004666D3">
        <w:t>of the baseline user count</w:t>
      </w:r>
      <w:r w:rsidR="004F3E8D" w:rsidRPr="004666D3">
        <w:t>,</w:t>
      </w:r>
      <w:r w:rsidR="00405629" w:rsidRPr="004666D3">
        <w:t xml:space="preserve"> </w:t>
      </w:r>
      <w:r w:rsidR="00E11C42" w:rsidRPr="004666D3">
        <w:t>residing</w:t>
      </w:r>
      <w:r w:rsidR="00296E60" w:rsidRPr="004666D3">
        <w:t xml:space="preserve"> in</w:t>
      </w:r>
      <w:r w:rsidR="00405629" w:rsidRPr="004666D3">
        <w:t xml:space="preserve"> missing </w:t>
      </w:r>
      <w:r w:rsidR="00220630" w:rsidRPr="004666D3">
        <w:t xml:space="preserve">rural </w:t>
      </w:r>
      <w:r w:rsidR="00405629" w:rsidRPr="004666D3">
        <w:t>tiles</w:t>
      </w:r>
      <w:r w:rsidR="004F3E8D" w:rsidRPr="004666D3">
        <w:t xml:space="preserve"> that</w:t>
      </w:r>
      <w:r w:rsidR="00361082" w:rsidRPr="004666D3">
        <w:t xml:space="preserve"> </w:t>
      </w:r>
      <w:r w:rsidR="005E52E5" w:rsidRPr="004666D3">
        <w:t>comprise</w:t>
      </w:r>
      <w:r w:rsidR="00361082" w:rsidRPr="004666D3">
        <w:t xml:space="preserve"> 12</w:t>
      </w:r>
      <w:r w:rsidR="00425694" w:rsidRPr="004666D3">
        <w:rPr>
          <w:rFonts w:hint="eastAsia"/>
        </w:rPr>
        <w:t>.</w:t>
      </w:r>
      <w:r w:rsidR="00425694" w:rsidRPr="004666D3">
        <w:t>0</w:t>
      </w:r>
      <w:r w:rsidR="0047497F" w:rsidRPr="004666D3">
        <w:t>0</w:t>
      </w:r>
      <w:r w:rsidR="00361082" w:rsidRPr="004666D3">
        <w:t>% of the total tiles,</w:t>
      </w:r>
      <w:r w:rsidR="0032304D" w:rsidRPr="004666D3">
        <w:t xml:space="preserve"> </w:t>
      </w:r>
      <w:r w:rsidR="004F3E8D" w:rsidRPr="004666D3">
        <w:t xml:space="preserve">has been </w:t>
      </w:r>
      <w:r w:rsidR="005E52E5" w:rsidRPr="004666D3">
        <w:t>estimated</w:t>
      </w:r>
      <w:r w:rsidR="0032304D" w:rsidRPr="004666D3">
        <w:t xml:space="preserve">. </w:t>
      </w:r>
      <w:r w:rsidR="00FB512A" w:rsidRPr="004666D3">
        <w:t>Detailed imputation records for all steps can be found in Supplementary A3</w:t>
      </w:r>
      <w:r w:rsidR="00431AF2" w:rsidRPr="004666D3">
        <w:t>.</w:t>
      </w:r>
    </w:p>
    <w:p w14:paraId="7442E2B8" w14:textId="77777777" w:rsidR="006136FD" w:rsidRPr="004666D3" w:rsidRDefault="006136FD" w:rsidP="006136FD">
      <w:pPr>
        <w:spacing w:line="240" w:lineRule="auto"/>
      </w:pPr>
    </w:p>
    <w:p w14:paraId="1DCC1A0B" w14:textId="611A2430" w:rsidR="00D76088" w:rsidRPr="004666D3" w:rsidRDefault="002A2F14" w:rsidP="008F6312">
      <w:pPr>
        <w:pStyle w:val="mysubtitle"/>
      </w:pPr>
      <w:r w:rsidRPr="004666D3">
        <w:t>2.</w:t>
      </w:r>
      <w:r w:rsidR="009C4726" w:rsidRPr="004666D3">
        <w:t>5</w:t>
      </w:r>
      <w:r w:rsidRPr="004666D3">
        <w:t>.</w:t>
      </w:r>
      <w:r w:rsidR="00C61894" w:rsidRPr="004666D3">
        <w:t>2</w:t>
      </w:r>
      <w:r w:rsidRPr="004666D3">
        <w:t xml:space="preserve"> </w:t>
      </w:r>
      <w:r w:rsidR="00CE431F" w:rsidRPr="004666D3">
        <w:t>Correct</w:t>
      </w:r>
      <w:r w:rsidR="00212121" w:rsidRPr="004666D3">
        <w:t>ion factor</w:t>
      </w:r>
      <w:r w:rsidR="00D27AC3" w:rsidRPr="004666D3">
        <w:t xml:space="preserve"> </w:t>
      </w:r>
    </w:p>
    <w:p w14:paraId="249AE4FA" w14:textId="53E31A01" w:rsidR="00D76088" w:rsidRPr="004666D3" w:rsidRDefault="6C91872C" w:rsidP="008F6312">
      <w:r w:rsidRPr="004666D3">
        <w:t xml:space="preserve">The total number of </w:t>
      </w:r>
      <w:r w:rsidR="006172D9" w:rsidRPr="004666D3">
        <w:t>active</w:t>
      </w:r>
      <w:r w:rsidR="006172D9" w:rsidRPr="004666D3">
        <w:rPr>
          <w:szCs w:val="24"/>
        </w:rPr>
        <w:t xml:space="preserve"> </w:t>
      </w:r>
      <w:r w:rsidRPr="004666D3">
        <w:t xml:space="preserve">users at a time-window collected by Facebook </w:t>
      </w:r>
      <w:r w:rsidR="00E85839" w:rsidRPr="004666D3">
        <w:t xml:space="preserve">had </w:t>
      </w:r>
      <w:r w:rsidR="0052350C" w:rsidRPr="004666D3">
        <w:t xml:space="preserve">an overall trend and </w:t>
      </w:r>
      <w:r w:rsidR="00E85839" w:rsidRPr="004666D3">
        <w:t>daily fluctuations</w:t>
      </w:r>
      <w:r w:rsidRPr="004666D3">
        <w:rPr>
          <w:szCs w:val="24"/>
        </w:rPr>
        <w:t xml:space="preserve">, </w:t>
      </w:r>
      <w:r w:rsidR="510A14CE" w:rsidRPr="004666D3">
        <w:t>due to</w:t>
      </w:r>
      <w:r w:rsidRPr="004666D3">
        <w:t xml:space="preserve"> limitations from the internet access and user </w:t>
      </w:r>
      <w:r w:rsidR="3D5825F7" w:rsidRPr="004666D3">
        <w:t xml:space="preserve">data access </w:t>
      </w:r>
      <w:r w:rsidRPr="004666D3">
        <w:t>option</w:t>
      </w:r>
      <w:r w:rsidR="4B7BA823" w:rsidRPr="004666D3">
        <w:t>s</w:t>
      </w:r>
      <w:r w:rsidR="006B5F0B" w:rsidRPr="004666D3">
        <w:rPr>
          <w:szCs w:val="24"/>
        </w:rPr>
        <w:t xml:space="preserve"> </w:t>
      </w:r>
      <w:r w:rsidR="006B5F0B" w:rsidRPr="004666D3">
        <w:rPr>
          <w:szCs w:val="24"/>
        </w:rPr>
        <w:fldChar w:fldCharType="begin"/>
      </w:r>
      <w:r w:rsidR="006B5F0B" w:rsidRPr="004666D3">
        <w:rPr>
          <w:szCs w:val="24"/>
        </w:rPr>
        <w:instrText xml:space="preserve"> ADDIN ZOTERO_ITEM CSL_CITATION {"citationID":"3bFWp044","properties":{"formattedCitation":"(Maas,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006B5F0B" w:rsidRPr="004666D3">
        <w:rPr>
          <w:szCs w:val="24"/>
        </w:rPr>
        <w:fldChar w:fldCharType="separate"/>
      </w:r>
      <w:r w:rsidR="00AE74BE" w:rsidRPr="004666D3">
        <w:rPr>
          <w:rFonts w:ascii="Calibri" w:hAnsi="Calibri" w:cs="Calibri"/>
        </w:rPr>
        <w:t>(Maas, 2019)</w:t>
      </w:r>
      <w:r w:rsidR="006B5F0B" w:rsidRPr="004666D3">
        <w:rPr>
          <w:szCs w:val="24"/>
        </w:rPr>
        <w:fldChar w:fldCharType="end"/>
      </w:r>
      <w:r w:rsidRPr="004666D3">
        <w:rPr>
          <w:szCs w:val="24"/>
        </w:rPr>
        <w:t>.</w:t>
      </w:r>
      <w:r w:rsidR="32C9B98D" w:rsidRPr="004666D3">
        <w:rPr>
          <w:szCs w:val="24"/>
        </w:rPr>
        <w:t xml:space="preserve"> </w:t>
      </w:r>
      <w:r w:rsidR="00793D0D" w:rsidRPr="004666D3">
        <w:t xml:space="preserve">Following </w:t>
      </w:r>
      <w:r w:rsidR="006B5F0B" w:rsidRPr="004666D3">
        <w:rPr>
          <w:szCs w:val="24"/>
        </w:rPr>
        <w:fldChar w:fldCharType="begin"/>
      </w:r>
      <w:r w:rsidR="006B5F0B" w:rsidRPr="004666D3">
        <w:rPr>
          <w:szCs w:val="24"/>
        </w:rPr>
        <w:instrText xml:space="preserve"> ADDIN ZOTERO_ITEM CSL_CITATION {"citationID":"RdmyWPUx","properties":{"custom":"Yabe et al. (2020)","formattedCitation":"Yabe et al. (2020)","plainCitation":"Yabe et al. (2020)","noteIndex":0},"citationItems":[{"id":3813,"uris":["http://zotero.org/users/9756803/items/MUFZGSLI"],"itemData":{"id":3813,"type":"article-journal","abstract":"While large scale mobility data has become a popular tool to monitor the mobility patterns during the COVID-19 pandemic, the impacts of non-compulsory measures in Tokyo, Japan on human mobility patterns has been under-studied. Here, we analyze the temporal changes in human mobility behavior, social contact rates, and their correlations with the transmissibility of COVID-19, using mobility data collected from more than 200K anonymized mobile phone users in Tokyo. The analysis concludes that by April 15th (1 week into state of emergency), human mobility behavior decreased by around 50%, resulting in a 70% reduction of social contacts in Tokyo, showing the strong relationships with non-compulsory measures. Furthermore, the reduction in data-driven human mobility metrics showed correlation with the decrease in estimated effective reproduction number of COVID-19 in Tokyo. Such empirical insights could inform policy makers on deciding sufficient levels of mobility reduction to contain the disease.","container-title":"Scientific Reports","DOI":"10.1038/s41598-020-75033-5","ISSN":"2045-2322","issue":"1","journalAbbreviation":"Sci Rep","language":"en","license":"2020 The Author(s)","note":"number: 1\npublisher: Nature Publishing Group","page":"18053","source":"www.nature.com","title":"Non-compulsory measures sufficiently reduced human mobility in Tokyo during the COVID-19 epidemic","volume":"10","author":[{"family":"Yabe","given":"Takahiro"},{"family":"Tsubouchi","given":"Kota"},{"family":"Fujiwara","given":"Naoya"},{"family":"Wada","given":"Takayuki"},{"family":"Sekimoto","given":"Yoshihide"},{"family":"Ukkusuri","given":"Satish V."}],"issued":{"date-parts":[["2020",10,22]]}}}],"schema":"https://github.com/citation-style-language/schema/raw/master/csl-citation.json"} </w:instrText>
      </w:r>
      <w:r w:rsidR="006B5F0B" w:rsidRPr="004666D3">
        <w:rPr>
          <w:szCs w:val="24"/>
        </w:rPr>
        <w:fldChar w:fldCharType="separate"/>
      </w:r>
      <w:bookmarkStart w:id="79" w:name="OLE_LINK123"/>
      <w:r w:rsidR="00AE74BE" w:rsidRPr="004666D3">
        <w:rPr>
          <w:rFonts w:ascii="Calibri" w:hAnsi="Calibri" w:cs="Calibri"/>
        </w:rPr>
        <w:t>Yabe</w:t>
      </w:r>
      <w:bookmarkEnd w:id="79"/>
      <w:r w:rsidR="00AE74BE" w:rsidRPr="004666D3">
        <w:rPr>
          <w:rFonts w:ascii="Calibri" w:hAnsi="Calibri" w:cs="Calibri"/>
        </w:rPr>
        <w:t xml:space="preserve"> et al. (2020)</w:t>
      </w:r>
      <w:r w:rsidR="006B5F0B" w:rsidRPr="004666D3">
        <w:rPr>
          <w:szCs w:val="24"/>
        </w:rPr>
        <w:fldChar w:fldCharType="end"/>
      </w:r>
      <w:r w:rsidR="006B5F0B" w:rsidRPr="004666D3">
        <w:t>, w</w:t>
      </w:r>
      <w:r w:rsidRPr="004666D3">
        <w:t xml:space="preserve">e used </w:t>
      </w:r>
      <w:r w:rsidR="6FF7EBC2" w:rsidRPr="004666D3">
        <w:t>a</w:t>
      </w:r>
      <w:r w:rsidR="08BB869F" w:rsidRPr="004666D3">
        <w:rPr>
          <w:szCs w:val="24"/>
        </w:rPr>
        <w:t xml:space="preserve"> </w:t>
      </w:r>
      <w:r w:rsidR="00C37201" w:rsidRPr="004666D3">
        <w:rPr>
          <w:rFonts w:hint="eastAsia"/>
        </w:rPr>
        <w:t>correction</w:t>
      </w:r>
      <w:r w:rsidR="32C9B98D" w:rsidRPr="004666D3">
        <w:rPr>
          <w:szCs w:val="24"/>
        </w:rPr>
        <w:t xml:space="preserve"> </w:t>
      </w:r>
      <w:r w:rsidR="004D19BE" w:rsidRPr="004666D3">
        <w:t>factor</w:t>
      </w:r>
      <w:r w:rsidR="004D19BE" w:rsidRPr="004666D3">
        <w:rPr>
          <w:szCs w:val="24"/>
        </w:rPr>
        <w:t xml:space="preserve"> </w:t>
      </w:r>
      <w:r w:rsidR="32C9B98D" w:rsidRPr="004666D3">
        <w:t xml:space="preserve">to </w:t>
      </w:r>
      <w:r w:rsidR="06782CDB" w:rsidRPr="004666D3">
        <w:t xml:space="preserve">eliminate </w:t>
      </w:r>
      <w:r w:rsidR="32C9B98D" w:rsidRPr="004666D3">
        <w:t xml:space="preserve">the fluctuations in the </w:t>
      </w:r>
      <w:r w:rsidR="25F43069" w:rsidRPr="004666D3">
        <w:t xml:space="preserve">daily </w:t>
      </w:r>
      <w:r w:rsidR="32C9B98D" w:rsidRPr="004666D3">
        <w:t>number of observed users</w:t>
      </w:r>
      <w:r w:rsidR="25EBC61B" w:rsidRPr="004666D3">
        <w:rPr>
          <w:szCs w:val="24"/>
        </w:rPr>
        <w:t>,</w:t>
      </w:r>
      <w:r w:rsidR="0B32ECFF" w:rsidRPr="004666D3">
        <w:rPr>
          <w:szCs w:val="24"/>
        </w:rPr>
        <w:t xml:space="preserve"> </w:t>
      </w:r>
      <w:r w:rsidR="57BE6788" w:rsidRPr="004666D3">
        <w:t xml:space="preserve">with the assumption that </w:t>
      </w:r>
      <w:r w:rsidR="00C839C1" w:rsidRPr="004666D3">
        <w:t>the representativeness of Facebook data in urban/suburban/rural areas remains stable during the study period</w:t>
      </w:r>
      <w:r w:rsidR="06782CDB" w:rsidRPr="004666D3">
        <w:rPr>
          <w:szCs w:val="24"/>
        </w:rPr>
        <w:t>.</w:t>
      </w:r>
      <w:r w:rsidR="32C9B98D" w:rsidRPr="004666D3">
        <w:rPr>
          <w:szCs w:val="24"/>
        </w:rPr>
        <w:t xml:space="preserve"> </w:t>
      </w:r>
      <w:bookmarkStart w:id="80" w:name="OLE_LINK40"/>
      <w:r w:rsidR="00644D20" w:rsidRPr="004666D3">
        <w:t xml:space="preserve">We did this </w:t>
      </w:r>
      <w:r w:rsidR="007A117E" w:rsidRPr="004666D3">
        <w:t xml:space="preserve">to prevent </w:t>
      </w:r>
      <w:r w:rsidR="000F710A" w:rsidRPr="004666D3">
        <w:t xml:space="preserve">the potential impact of changes </w:t>
      </w:r>
      <w:r w:rsidR="00201FBE" w:rsidRPr="004666D3">
        <w:t>in the total number of users collected</w:t>
      </w:r>
      <w:r w:rsidR="00DD0DD8" w:rsidRPr="004666D3">
        <w:t xml:space="preserve"> on the results</w:t>
      </w:r>
      <w:r w:rsidR="00507BA4" w:rsidRPr="004666D3">
        <w:t xml:space="preserve">, which </w:t>
      </w:r>
      <w:r w:rsidR="009629DD" w:rsidRPr="004666D3">
        <w:t>might</w:t>
      </w:r>
      <w:r w:rsidR="009629DD" w:rsidRPr="004666D3">
        <w:rPr>
          <w:szCs w:val="24"/>
        </w:rPr>
        <w:t xml:space="preserve"> </w:t>
      </w:r>
      <w:r w:rsidR="0080367A" w:rsidRPr="004666D3">
        <w:t>mask</w:t>
      </w:r>
      <w:r w:rsidR="00507BA4" w:rsidRPr="004666D3">
        <w:rPr>
          <w:szCs w:val="24"/>
        </w:rPr>
        <w:t xml:space="preserve"> </w:t>
      </w:r>
      <w:r w:rsidR="009A3EC6" w:rsidRPr="004666D3">
        <w:t>the</w:t>
      </w:r>
      <w:r w:rsidR="00507BA4" w:rsidRPr="004666D3">
        <w:t xml:space="preserve"> respective </w:t>
      </w:r>
      <w:r w:rsidR="001D74B6" w:rsidRPr="004666D3">
        <w:t>variation</w:t>
      </w:r>
      <w:r w:rsidR="003B0A2E" w:rsidRPr="004666D3">
        <w:rPr>
          <w:szCs w:val="24"/>
        </w:rPr>
        <w:t xml:space="preserve"> </w:t>
      </w:r>
      <w:r w:rsidR="00507BA4" w:rsidRPr="004666D3">
        <w:t>trends</w:t>
      </w:r>
      <w:bookmarkEnd w:id="80"/>
      <w:r w:rsidR="009A3EC6" w:rsidRPr="004666D3">
        <w:rPr>
          <w:szCs w:val="24"/>
        </w:rPr>
        <w:t xml:space="preserve"> </w:t>
      </w:r>
      <w:r w:rsidR="000D4355" w:rsidRPr="004666D3">
        <w:t>with</w:t>
      </w:r>
      <w:r w:rsidR="009A3EC6" w:rsidRPr="004666D3">
        <w:t>in urban centres</w:t>
      </w:r>
      <w:r w:rsidR="000D4355" w:rsidRPr="004666D3">
        <w:rPr>
          <w:szCs w:val="24"/>
        </w:rPr>
        <w:t xml:space="preserve">, </w:t>
      </w:r>
      <w:r w:rsidR="009A3EC6" w:rsidRPr="004666D3">
        <w:t>suburban</w:t>
      </w:r>
      <w:r w:rsidR="000D4355" w:rsidRPr="004666D3">
        <w:rPr>
          <w:szCs w:val="24"/>
        </w:rPr>
        <w:t xml:space="preserve"> </w:t>
      </w:r>
      <w:r w:rsidR="00053A53" w:rsidRPr="004666D3">
        <w:t xml:space="preserve">and </w:t>
      </w:r>
      <w:r w:rsidR="009A3EC6" w:rsidRPr="004666D3">
        <w:t>rural areas</w:t>
      </w:r>
      <w:r w:rsidR="007B41CA" w:rsidRPr="004666D3">
        <w:rPr>
          <w:szCs w:val="24"/>
        </w:rPr>
        <w:t xml:space="preserve">. </w:t>
      </w:r>
      <w:r w:rsidR="32C9B98D" w:rsidRPr="004666D3">
        <w:t xml:space="preserve">The user </w:t>
      </w:r>
      <w:r w:rsidR="000870F7" w:rsidRPr="004666D3">
        <w:t>count</w:t>
      </w:r>
      <w:r w:rsidR="000870F7" w:rsidRPr="004666D3">
        <w:rPr>
          <w:szCs w:val="24"/>
        </w:rPr>
        <w:t xml:space="preserve"> </w:t>
      </w:r>
      <m:oMath>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i,t,d</m:t>
            </m:r>
          </m:sub>
        </m:sSub>
      </m:oMath>
      <w:r w:rsidR="32C9B98D" w:rsidRPr="004666D3">
        <w:t xml:space="preserve"> in tile </w:t>
      </w:r>
      <w:proofErr w:type="spellStart"/>
      <w:r w:rsidR="32C9B98D" w:rsidRPr="004666D3">
        <w:rPr>
          <w:i/>
        </w:rPr>
        <w:t>i</w:t>
      </w:r>
      <w:proofErr w:type="spellEnd"/>
      <w:r w:rsidR="32C9B98D" w:rsidRPr="004666D3">
        <w:t xml:space="preserve"> in time-window </w:t>
      </w:r>
      <w:proofErr w:type="spellStart"/>
      <w:r w:rsidR="32C9B98D" w:rsidRPr="004666D3">
        <w:rPr>
          <w:i/>
        </w:rPr>
        <w:t>t</w:t>
      </w:r>
      <w:r w:rsidR="32C9B98D" w:rsidRPr="004666D3">
        <w:t xml:space="preserve"> on</w:t>
      </w:r>
      <w:proofErr w:type="spellEnd"/>
      <w:r w:rsidR="32C9B98D" w:rsidRPr="004666D3">
        <w:t xml:space="preserve"> date </w:t>
      </w:r>
      <w:r w:rsidR="32C9B98D" w:rsidRPr="004666D3">
        <w:rPr>
          <w:i/>
        </w:rPr>
        <w:t>d</w:t>
      </w:r>
      <w:r w:rsidR="32C9B98D" w:rsidRPr="004666D3">
        <w:t xml:space="preserve"> was multiplied by daily user adjustment factor </w:t>
      </w:r>
      <w:r w:rsidR="32C9B98D" w:rsidRPr="004666D3">
        <w:rPr>
          <w:i/>
        </w:rPr>
        <w:t xml:space="preserve">k </w:t>
      </w:r>
      <w:r w:rsidR="32C9B98D" w:rsidRPr="004666D3">
        <w:t xml:space="preserve">to get the </w:t>
      </w:r>
      <w:r w:rsidR="005D2032" w:rsidRPr="004666D3">
        <w:t>corrected</w:t>
      </w:r>
      <w:r w:rsidR="005D2032" w:rsidRPr="004666D3">
        <w:rPr>
          <w:szCs w:val="24"/>
        </w:rPr>
        <w:t xml:space="preserve"> </w:t>
      </w:r>
      <w:r w:rsidR="32C9B98D" w:rsidRPr="004666D3">
        <w:t xml:space="preserve">number </w:t>
      </w:r>
      <w:r w:rsidR="32C9B98D" w:rsidRPr="004666D3">
        <w:rPr>
          <w:i/>
        </w:rPr>
        <w:t>N’</w:t>
      </w:r>
      <w:r w:rsidR="32C9B98D" w:rsidRPr="004666D3">
        <w:rPr>
          <w:szCs w:val="24"/>
        </w:rPr>
        <w:t>:</w:t>
      </w:r>
    </w:p>
    <w:p w14:paraId="654F0A6F" w14:textId="019349EC" w:rsidR="00D76088" w:rsidRPr="004666D3" w:rsidRDefault="00000000" w:rsidP="008F6312">
      <w:pPr>
        <w:jc w:val="center"/>
        <w:rPr>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i, 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i,t,d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t,d</m:t>
                  </m:r>
                </m:sub>
              </m:sSub>
              <m:r>
                <w:rPr>
                  <w:rFonts w:ascii="Cambria Math" w:hAnsi="Cambria Math"/>
                  <w:szCs w:val="24"/>
                </w:rPr>
                <m:t>#</m:t>
              </m:r>
              <m:d>
                <m:dPr>
                  <m:ctrlPr>
                    <w:rPr>
                      <w:rFonts w:ascii="Cambria Math" w:hAnsi="Cambria Math"/>
                      <w:i/>
                      <w:szCs w:val="24"/>
                    </w:rPr>
                  </m:ctrlPr>
                </m:dPr>
                <m:e>
                  <m:r>
                    <w:rPr>
                      <w:rFonts w:ascii="Cambria Math" w:hAnsi="Cambria Math"/>
                      <w:szCs w:val="24"/>
                    </w:rPr>
                    <m:t>2</m:t>
                  </m:r>
                </m:e>
              </m:d>
            </m:e>
          </m:eqArr>
        </m:oMath>
      </m:oMathPara>
    </w:p>
    <w:p w14:paraId="31DB54D6" w14:textId="16B36780" w:rsidR="00D76088" w:rsidRPr="004666D3" w:rsidRDefault="00000000" w:rsidP="006136FD">
      <w:pPr>
        <w:jc w:val="center"/>
        <w:rPr>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 xml:space="preserve">t,d </m:t>
                  </m:r>
                </m:sub>
              </m:sSub>
              <m:r>
                <w:rPr>
                  <w:rFonts w:ascii="Cambria Math" w:hAnsi="Cambria Math"/>
                  <w:szCs w:val="24"/>
                </w:rPr>
                <m:t xml:space="preserve">= </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 xml:space="preserve"> </m:t>
                  </m:r>
                </m:num>
                <m:den>
                  <m:r>
                    <w:rPr>
                      <w:rFonts w:ascii="Cambria Math" w:hAnsi="Cambria Math"/>
                      <w:szCs w:val="24"/>
                    </w:rPr>
                    <m:t xml:space="preserve"> </m:t>
                  </m:r>
                  <m:nary>
                    <m:naryPr>
                      <m:chr m:val="∑"/>
                      <m:limLoc m:val="subSup"/>
                      <m:supHide m:val="1"/>
                      <m:ctrlPr>
                        <w:rPr>
                          <w:rFonts w:ascii="Cambria Math" w:hAnsi="Cambria Math"/>
                          <w:i/>
                          <w:szCs w:val="24"/>
                        </w:rPr>
                      </m:ctrlPr>
                    </m:naryPr>
                    <m:sub>
                      <m:r>
                        <w:rPr>
                          <w:rFonts w:ascii="Cambria Math" w:hAnsi="Cambria Math"/>
                          <w:szCs w:val="24"/>
                        </w:rPr>
                        <m:t>i</m:t>
                      </m:r>
                    </m:sub>
                    <m:sup/>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i,t,d</m:t>
                          </m:r>
                        </m:sub>
                      </m:sSub>
                    </m:e>
                  </m:nary>
                </m:den>
              </m:f>
              <m:r>
                <w:rPr>
                  <w:rFonts w:ascii="Cambria Math" w:hAnsi="Cambria Math"/>
                  <w:szCs w:val="24"/>
                </w:rPr>
                <m:t>#</m:t>
              </m:r>
              <m:d>
                <m:dPr>
                  <m:ctrlPr>
                    <w:rPr>
                      <w:rFonts w:ascii="Cambria Math" w:hAnsi="Cambria Math"/>
                      <w:i/>
                      <w:szCs w:val="24"/>
                    </w:rPr>
                  </m:ctrlPr>
                </m:dPr>
                <m:e>
                  <m:r>
                    <w:rPr>
                      <w:rFonts w:ascii="Cambria Math" w:hAnsi="Cambria Math"/>
                      <w:szCs w:val="24"/>
                    </w:rPr>
                    <m:t>3</m:t>
                  </m:r>
                </m:e>
              </m:d>
            </m:e>
          </m:eqArr>
        </m:oMath>
      </m:oMathPara>
    </w:p>
    <w:p w14:paraId="57312A54" w14:textId="6A150ACA" w:rsidR="00D76088" w:rsidRPr="004666D3" w:rsidRDefault="00D76088" w:rsidP="005755A9">
      <w:proofErr w:type="spellStart"/>
      <w:proofErr w:type="gramStart"/>
      <w:r w:rsidRPr="004666D3">
        <w:rPr>
          <w:i/>
        </w:rPr>
        <w:t>K</w:t>
      </w:r>
      <w:r w:rsidRPr="004666D3">
        <w:rPr>
          <w:i/>
          <w:vertAlign w:val="subscript"/>
        </w:rPr>
        <w:t>t,d</w:t>
      </w:r>
      <w:proofErr w:type="spellEnd"/>
      <w:proofErr w:type="gramEnd"/>
      <w:r w:rsidRPr="004666D3">
        <w:t xml:space="preserve"> represented the adjustment factor of time-window t in date </w:t>
      </w:r>
      <w:r w:rsidRPr="004666D3">
        <w:rPr>
          <w:i/>
        </w:rPr>
        <w:t>d</w:t>
      </w:r>
      <w:r w:rsidRPr="004666D3">
        <w:t xml:space="preserve">. The total number of users at time </w:t>
      </w:r>
      <w:proofErr w:type="spellStart"/>
      <w:r w:rsidRPr="004666D3">
        <w:rPr>
          <w:i/>
        </w:rPr>
        <w:t>t</w:t>
      </w:r>
      <w:r w:rsidRPr="004666D3">
        <w:t xml:space="preserve"> on</w:t>
      </w:r>
      <w:proofErr w:type="spellEnd"/>
      <w:r w:rsidRPr="004666D3">
        <w:t xml:space="preserve"> </w:t>
      </w:r>
      <w:r w:rsidRPr="004666D3">
        <w:rPr>
          <w:rFonts w:cstheme="minorHAnsi"/>
          <w:szCs w:val="24"/>
        </w:rPr>
        <w:t xml:space="preserve">date </w:t>
      </w:r>
      <w:r w:rsidRPr="004666D3">
        <w:rPr>
          <w:rFonts w:cstheme="minorHAnsi"/>
          <w:i/>
          <w:szCs w:val="24"/>
        </w:rPr>
        <w:t>d</w:t>
      </w:r>
      <w:r w:rsidRPr="004666D3">
        <w:rPr>
          <w:rFonts w:cstheme="minorHAnsi"/>
          <w:szCs w:val="24"/>
        </w:rPr>
        <w:t xml:space="preserve"> is </w:t>
      </w:r>
      <m:oMath>
        <m:nary>
          <m:naryPr>
            <m:chr m:val="∑"/>
            <m:limLoc m:val="undOvr"/>
            <m:supHide m:val="1"/>
            <m:ctrlPr>
              <w:rPr>
                <w:rFonts w:ascii="Cambria Math" w:hAnsi="Cambria Math" w:cstheme="minorHAnsi"/>
                <w:i/>
                <w:szCs w:val="24"/>
              </w:rPr>
            </m:ctrlPr>
          </m:naryPr>
          <m:sub>
            <m:r>
              <w:rPr>
                <w:rFonts w:ascii="Cambria Math" w:hAnsi="Cambria Math" w:cstheme="minorHAnsi"/>
                <w:szCs w:val="24"/>
              </w:rPr>
              <m:t>i</m:t>
            </m:r>
          </m:sub>
          <m:sup/>
          <m:e>
            <m:sSub>
              <m:sSubPr>
                <m:ctrlPr>
                  <w:rPr>
                    <w:rFonts w:ascii="Cambria Math" w:hAnsi="Cambria Math" w:cstheme="minorHAnsi"/>
                    <w:i/>
                    <w:szCs w:val="24"/>
                  </w:rPr>
                </m:ctrlPr>
              </m:sSubPr>
              <m:e>
                <m:r>
                  <w:rPr>
                    <w:rFonts w:ascii="Cambria Math" w:hAnsi="Cambria Math" w:cstheme="minorHAnsi"/>
                    <w:szCs w:val="24"/>
                  </w:rPr>
                  <m:t>N</m:t>
                </m:r>
              </m:e>
              <m:sub>
                <m:r>
                  <w:rPr>
                    <w:rFonts w:ascii="Cambria Math" w:hAnsi="Cambria Math" w:cstheme="minorHAnsi"/>
                    <w:szCs w:val="24"/>
                  </w:rPr>
                  <m:t>i,t,d</m:t>
                </m:r>
              </m:sub>
            </m:sSub>
          </m:e>
        </m:nary>
      </m:oMath>
      <w:r w:rsidRPr="004666D3">
        <w:rPr>
          <w:rFonts w:cstheme="minorHAnsi"/>
          <w:szCs w:val="24"/>
        </w:rPr>
        <w:t xml:space="preserve"> and the </w:t>
      </w:r>
      <m:oMath>
        <m:sSub>
          <m:sSubPr>
            <m:ctrlPr>
              <w:rPr>
                <w:rFonts w:ascii="Cambria Math" w:hAnsi="Cambria Math" w:cstheme="minorHAnsi"/>
                <w:i/>
                <w:szCs w:val="24"/>
              </w:rPr>
            </m:ctrlPr>
          </m:sSubPr>
          <m:e>
            <m:r>
              <w:rPr>
                <w:rFonts w:ascii="Cambria Math" w:hAnsi="Cambria Math" w:cstheme="minorHAnsi"/>
                <w:szCs w:val="24"/>
              </w:rPr>
              <m:t>M</m:t>
            </m:r>
          </m:e>
          <m:sub>
            <m:r>
              <w:rPr>
                <w:rFonts w:ascii="Cambria Math" w:hAnsi="Cambria Math" w:cstheme="minorHAnsi"/>
                <w:szCs w:val="24"/>
              </w:rPr>
              <m:t>t</m:t>
            </m:r>
          </m:sub>
        </m:sSub>
      </m:oMath>
      <w:r w:rsidR="00FA6031" w:rsidRPr="004666D3" w:rsidDel="006250FD">
        <w:rPr>
          <w:rFonts w:cstheme="minorHAnsi"/>
          <w:szCs w:val="24"/>
        </w:rPr>
        <w:t xml:space="preserve"> </w:t>
      </w:r>
      <w:r w:rsidR="00FA6031" w:rsidRPr="004666D3">
        <w:rPr>
          <w:rFonts w:cstheme="minorHAnsi"/>
          <w:szCs w:val="24"/>
        </w:rPr>
        <w:t xml:space="preserve">referred to the </w:t>
      </w:r>
      <w:r w:rsidR="006250FD" w:rsidRPr="004666D3">
        <w:rPr>
          <w:rFonts w:cstheme="minorHAnsi"/>
          <w:szCs w:val="24"/>
        </w:rPr>
        <w:t>m</w:t>
      </w:r>
      <w:r w:rsidR="006250FD" w:rsidRPr="004666D3">
        <w:t xml:space="preserve">edian </w:t>
      </w:r>
      <w:r w:rsidR="00DC4B4C" w:rsidRPr="004666D3">
        <w:t xml:space="preserve">of </w:t>
      </w:r>
      <w:r w:rsidR="00824D84" w:rsidRPr="004666D3">
        <w:t xml:space="preserve">sum </w:t>
      </w:r>
      <w:r w:rsidR="00850AF4" w:rsidRPr="004666D3">
        <w:t xml:space="preserve">user </w:t>
      </w:r>
      <w:r w:rsidR="00824D84" w:rsidRPr="004666D3">
        <w:t>count</w:t>
      </w:r>
      <w:r w:rsidR="00704D88" w:rsidRPr="004666D3">
        <w:t>s</w:t>
      </w:r>
      <w:r w:rsidR="00824D84" w:rsidRPr="004666D3">
        <w:t xml:space="preserve"> </w:t>
      </w:r>
      <w:r w:rsidR="00D90154" w:rsidRPr="004666D3">
        <w:t>for all tiles</w:t>
      </w:r>
      <w:r w:rsidR="00824D84" w:rsidRPr="004666D3">
        <w:t xml:space="preserve"> </w:t>
      </w:r>
      <w:r w:rsidRPr="004666D3">
        <w:t xml:space="preserve">at time </w:t>
      </w:r>
      <w:r w:rsidRPr="004666D3">
        <w:rPr>
          <w:i/>
        </w:rPr>
        <w:t>t</w:t>
      </w:r>
      <w:r w:rsidRPr="004666D3">
        <w:t xml:space="preserve"> </w:t>
      </w:r>
      <w:r w:rsidR="00F2268A" w:rsidRPr="004666D3">
        <w:t xml:space="preserve">for each day </w:t>
      </w:r>
      <w:r w:rsidR="00F2268A" w:rsidRPr="004666D3">
        <w:rPr>
          <w:i/>
        </w:rPr>
        <w:t>d</w:t>
      </w:r>
      <w:r w:rsidR="00F2268A" w:rsidRPr="004666D3">
        <w:t>.</w:t>
      </w:r>
    </w:p>
    <w:p w14:paraId="1A2C3261" w14:textId="77777777" w:rsidR="00617917" w:rsidRPr="004666D3" w:rsidRDefault="00617917" w:rsidP="00617917">
      <w:pPr>
        <w:spacing w:line="240" w:lineRule="auto"/>
        <w:rPr>
          <w:szCs w:val="24"/>
        </w:rPr>
      </w:pPr>
    </w:p>
    <w:p w14:paraId="56203AB6" w14:textId="2ACB494F" w:rsidR="002908A5" w:rsidRPr="004666D3" w:rsidRDefault="0099784F" w:rsidP="008F6312">
      <w:pPr>
        <w:pStyle w:val="mysubtitle"/>
      </w:pPr>
      <w:r w:rsidRPr="004666D3">
        <w:t>2.</w:t>
      </w:r>
      <w:bookmarkStart w:id="81" w:name="OLE_LINK24"/>
      <w:r w:rsidR="009C4726" w:rsidRPr="004666D3">
        <w:t xml:space="preserve">6 </w:t>
      </w:r>
      <w:r w:rsidR="00B941BB" w:rsidRPr="004666D3">
        <w:t xml:space="preserve">Data analysis and trend decomposition </w:t>
      </w:r>
      <w:bookmarkEnd w:id="81"/>
    </w:p>
    <w:p w14:paraId="7C65171C" w14:textId="0FE1EC27" w:rsidR="006136FD" w:rsidRPr="004666D3" w:rsidRDefault="001C1A67" w:rsidP="006E2B66">
      <w:bookmarkStart w:id="82" w:name="OLE_LINK125"/>
      <w:bookmarkStart w:id="83" w:name="OLE_LINK124"/>
      <w:r w:rsidRPr="004666D3">
        <w:t xml:space="preserve">In previous research, counter-urbanisation </w:t>
      </w:r>
      <w:r w:rsidR="008748D6" w:rsidRPr="004666D3">
        <w:t>was</w:t>
      </w:r>
      <w:r w:rsidRPr="004666D3">
        <w:t xml:space="preserve"> measured either by the increasing migration from urban to rural areas using migration data </w:t>
      </w:r>
      <w:r w:rsidRPr="004666D3">
        <w:fldChar w:fldCharType="begin"/>
      </w:r>
      <w:r w:rsidR="00162F4D" w:rsidRPr="004666D3">
        <w:instrText xml:space="preserve"> ADDIN ZOTERO_ITEM CSL_CITATION {"citationID":"9n67ssGb","properties":{"formattedCitation":"(Borsellino et al., 2022; Gonz\\uc0\\u225{}lez-Leonardo et al., n.d.; Rowe et al., 2023b; Stawarz et al., 2022)","plainCitation":"(Borsellino et al., 2022; González-Leonardo et al., n.d.; Rowe et al., 2023b; Stawarz et al., 2022)","noteIndex":0},"citationItems":[{"id":2771,"uris":["http://zotero.org/users/9756803/items/HXXSVM95"],"itemData":{"id":2771,"type":"article-journal","abstract":"Since the beginning of the COVID-19 pandemic there has been interest in the migration of city-dwellers to regional areas to escape lockdowns and movement restrictions, yet evidence of a ‘regional renaissance’ in Australia remains anecdotal. This paper aims to quantify the current and future dynamics of the COVID-19 pandemic on the levels, patterns and drivers of migration to and from Australian cities and regions. Results show a 7% drop in the rate of migration between Greater Capital City Statistical Areas in 2020 compared to the previous year, with record net gains in regional areas facilitated by a 9% decrease in departures rather than an increase in arrivals from cities. Our forecasts suggest that net gains to regions will slow down after 2022, but remain higher than pre-pandemic levels in New South Wales, Queensland, South Australia, and Tasmania because of a sustained increase in arrivals. Regional Western Australia and the Northern Territory will continue to record net losses, while net gains to regional Victoria are predicted to be lower than pre-COVID-19 because of an increase in departures. These patterns have important implications for population projections and policies regarding the attraction and retention of internal migrants to Australia's regions.","container-title":"Australian Geographer","DOI":"10.1080/00049182.2022.2074622","ISSN":"0004-9182","issue":"4","note":"publisher: Routledge\n_eprint: https://doi.org/10.1080/00049182.2022.2074622","page":"405-423","source":"Taylor and Francis+NEJM","title":"A regional renaissance? The shifting geography of internal migration under COVID-19","title-short":"A regional renaissance?","volume":"53","author":[{"family":"Borsellino","given":"Rosabella"},{"family":"Bernard","given":"Aude"},{"family":"Charles-Edwards","given":"Elin"},{"family":"Corcoran","given":"Jonathan"}],"issued":{"date-parts":[["2022",10,2]]}}},{"id":2899,"uris":["http://zotero.org/users/9756803/items/L8NNDR2H"],"itemData":{"id":2899,"type":"article-journal","abstract":"Existing empirical work has analysed the impacts of COVID-19 on mortality, fertility and international migration. Less is known about the ways in which the COVID-19 pandemic has influenced the patterns of internal migration. Anecdotal reports of mass migration from large cities to less populated areas have emerged but lack of data has prevented empirically assessing this hypothesis. Drawing on geographically granular administrative population register data, we aim to analyse the extent of change in the patterns of internal migration across the urban hierarchy in Spain during 2020. Our results show a decline of 2.5% in the number of internal migration moves, particularly during the early stages of the pandemic, returning to pre-pandemic levels in late 2020. Results also reveal unusually large net migration losses in core cities and net migration gains in rural areas. Net migration losses in cities and gains in rural areas particularly accumulated following the easing of some non-pharmaceutical interventions. Yet, these net losses and gains trended to pre-pandemic levels in late 2020, and movements between cities, and between cities and suburbs, continued to dominate the internal migration system. Thus, while the COVID-19 pandemic exerted notable changes in the geographic balance of internal migration flows, these changes appear to have been temporary and did not significantly alter the existing structures of the national migration system.","language":"en","source":"Zotero","title":"Understanding Patterns of Internal Migration During the COVID-19 Pandemic in Spain","author":[{"family":"González-Leonardo","given":"Miguel"},{"family":"López-Gay","given":"Antonio"},{"family":"Newsham","given":"Niall"},{"family":"Recaño","given":"Joaquín"},{"family":"Rowe","given":"Francisco"}]}},{"id":4492,"uris":["http://zotero.org/users/9756803/items/VU5ATCRQ"],"itemData":{"id":4492,"type":"article-journal","abstract":"Existing empirical work has focused on assessing the effectiveness of nonpharmaceutical interventions on human mobility to contain the spread of COVID-19. Less is known about the ways in which the COVID-19 pandemic has reshaped the spatial patterns of population movement within countries. Anecdotal evidence of an urban exodus from large cities to rural areas emerged during early phases of the pandemic across western societies. Yet, these claims have not been empirically assessed. Traditional data sources, such as censuses offer coarse temporal frequency to analyse population movement over infrequent time intervals. Drawing on a data set of 21 million observations from Meta-Facebook users, we aim to analyse the extent and evolution of changes in the spatial patterns of population movement across the rural–urban continuum in Britain over an 18-month period from March 2020 to August 2021. Our findings show an overall and sustained decline in population movement during periods of high stringency measures, with the most densely populated areas reporting the largest reductions. During these periods, we also find evidence of higher-than-average mobility from high-density population areas to low-density areas, lending some support to claims of large-scale population movements from large cities. Yet, we show that these trends were temporary. Overall mobility levels trended back to precoronavirus levels after the easing of nonpharmaceutical interventions. Following these interventions, we found a reduction in movement to low-density areas and a rise in mobility to high-density agglomerations. Overall, these findings reveal that while COVID-19 generated shock waves leading to temporary changes in the patterns of population movement in Britain, the resulting vibrations have not significantly reshaped the prevalent structures in the national pattern of population movement. As of 2021, internal population movements sit at an intermediate level between those observed pre- and early phases of the pandemic.","container-title":"Population, Space and Place","DOI":"10.1002/psp.2637","ISSN":"1544-8452","issue":"1","language":"en","note":"_eprint: https://onlinelibrary.wiley.com/doi/pdf/10.1002/psp.2637","page":"e2637","source":"Wiley Online Library","title":"Urban exodus? Understanding human mobility in Britain during the COVID-19 pandemic using Meta-Facebook data","title-short":"Urban exodus?","volume":"29","author":[{"family":"Rowe","given":"Francisco"},{"family":"Calafiore","given":"Alessia"},{"family":"Arribas-Bel","given":"Daniel"},{"family":"Samardzhiev","given":"Krasen"},{"family":"Fleischmann","given":"Martin"}],"issued":{"date-parts":[["2023"]]}}},{"id":4498,"uris":["http://zotero.org/users/9756803/items/4SHRH62D"],"itemData":{"id":4498,"type":"article-journal","abstract":"The COVID-19 pandemic has affected economies, labor markets, health care, education and tourism around the globe in unprecedented ways. However, little research has yet been devoted to the impact that the pandemic might have had on internal migration. This study aims to address this gap by determining how the intensity and spatial patterns of internal migration changed between 2019 and 2020 in Germany. We draw on data from the population register on annual flows between 401 counties. We find that the COVID-19 pandemic was associated with a 5% drop in the intensity of inter-county migration in 2020 compared to the previous year, with significant variation across age. The pandemic was also associated with an upsurge in net migration losses for the largest cities, driven by fewer inflows of young adults and continuing outflows of families.","container-title":"Population, Space and Place","DOI":"10.1002/psp.2566","ISSN":"1544-8452","issue":"6","language":"en","note":"_eprint: https://onlinelibrary.wiley.com/doi/pdf/10.1002/psp.2566","page":"e2566","source":"Wiley Online Library","title":"The impact of the COVID-19 pandemic on internal migration in Germany: A descriptive analysis","title-short":"The impact of the COVID-19 pandemic on internal migration in Germany","volume":"28","author":[{"family":"Stawarz","given":"Nico"},{"family":"Rosenbaum-Feldbrügge","given":"Matthias"},{"family":"Sander","given":"Nikola"},{"family":"Sulak","given":"Harun"},{"family":"Knobloch","given":"Vanessa"}],"issued":{"date-parts":[["2022"]]}}}],"schema":"https://github.com/citation-style-language/schema/raw/master/csl-citation.json"} </w:instrText>
      </w:r>
      <w:r w:rsidRPr="004666D3">
        <w:fldChar w:fldCharType="separate"/>
      </w:r>
      <w:r w:rsidR="00162F4D" w:rsidRPr="004666D3">
        <w:rPr>
          <w:rFonts w:ascii="Calibri" w:hAnsi="Calibri" w:cs="Calibri"/>
        </w:rPr>
        <w:t>(Borsellino et al., 2022; González-Leonardo et al., n.d.; Rowe et al., 2023b; Stawarz et al., 2022)</w:t>
      </w:r>
      <w:r w:rsidRPr="004666D3">
        <w:fldChar w:fldCharType="end"/>
      </w:r>
      <w:r w:rsidRPr="004666D3">
        <w:t xml:space="preserve">, or by </w:t>
      </w:r>
      <w:r w:rsidR="658E8D56" w:rsidRPr="004666D3">
        <w:t>the</w:t>
      </w:r>
      <w:r w:rsidRPr="004666D3">
        <w:t xml:space="preserve"> declining proportion of the population living in urban areas using population statistics </w:t>
      </w:r>
      <w:r w:rsidRPr="004666D3">
        <w:fldChar w:fldCharType="begin"/>
      </w:r>
      <w:r w:rsidR="00162F4D" w:rsidRPr="004666D3">
        <w:instrText xml:space="preserve"> ADDIN ZOTERO_ITEM CSL_CITATION {"citationID":"d606IHh1","properties":{"formattedCitation":"(Crankshaw and Borel-Saladin, 2019; Gurrutxaga, 2021; McManus, 2022)","plainCitation":"(Crankshaw and Borel-Saladin, 2019; Gurrutxaga, 2021; McManus, 2022)","noteIndex":0},"citationItems":[{"id":5744,"uris":["http://zotero.org/users/9756803/items/B4Z3F3GQ"],"itemData":{"id":5744,"type":"article-journal","abstract":"This article addresses the debate over the causes of urbanisation and counter-urbanisation in Zambia: Are urbanisation and counter-urbanisation caused mostly by net migration or are they caused mostly by the natural growth or decline of the urban population? Using population censuses, we apply the intercensal forward survival ratio method to measure net migration and the natural population growth of urban and rural areas in 1990, 2000 and 2010. The results show that the most important cause of urbanisation and counter-urbanisation was net migration rather than natural urban population growth or decline. Although natural urban population growth was roughly twice that of net migration, this had very little influence on urbanisation because it was matched by the natural growth of the rural population. We also address the causes of migration by examining employment trends. These results indicate that economic decline during the 1990s resulted in decreased urban employment and a dramatic rise in urban unemployment, which in turn caused migration from urban to rural areas. Conversely, during the 2000s, absolute employment grew and unemployment decreased, which corresponded with increased rural–urban migration (resulting in net urbanisation). Our findings also show that even during the period of net out-migration from urban areas and high urban unemployment levels, the resident urban-born workforce continued to grow strongly through natural increase. Thus, these results also show that urban population growth can increase substantially in the absence of urban economic growth, thereby increasing urban unemployment and urban–rural migration.","container-title":"Urban Studies","DOI":"10.1177/0042098018787964","ISSN":"0042-0980","issue":"10","language":"en","note":"publisher: SAGE Publications Ltd","page":"2005-2020","source":"SAGE Journals","title":"Causes of urbanisation and counter-urbanisation in Zambia: Natural population increase or migration?","title-short":"Causes of urbanisation and counter-urbanisation in Zambia","volume":"56","author":[{"family":"Crankshaw","given":"Owen"},{"family":"Borel-Saladin","given":"Jacqueline"}],"issued":{"date-parts":[["2019",8,1]]}}},{"id":6038,"uris":["http://zotero.org/users/9756803/items/FPXCP3N9"],"itemData":{"id":6038,"type":"article-journal","abstract":"Since the first months of 2020, the Covid-19 pandemic has driven social distancing measures in many countries, which have made it potentially more attractive to reside in less populated areas. This paper visualizes whether the registered populations in municipalities with fewer than 2000 inhabitants in Spanish regions have changed during 2020 in a different way than previous years. The per cent variation of the rural population is measured, as well as the proportion of the rural population over the total population, in two periods: January 2000–January 2020 and during 2020. The results show an increase in the rural population in 13 of the 17 Spanish regions, and an increase in the proportion in 14 regions during 2020, in contrast to the declining trends prevailing in previous years.","container-title":"Regional Studies, Regional Science","DOI":"10.1080/21681376.2021.1958050","ISSN":"null","issue":"1","note":"publisher: Routledge\n_eprint: https://doi.org/10.1080/21681376.2021.1958050","page":"305-307","source":"Taylor and Francis+NEJM","title":"Visualizing the rural population growth in Spain during 2020 triggered by the Covid-19 pandemic","volume":"8","author":[{"family":"Gurrutxaga","given":"Mikel"}],"issued":{"date-parts":[["2021",1,1]]}}},{"id":2896,"uris":["http://zotero.org/users/9756803/items/8454GBFX"],"itemData":{"id":2896,"type":"article-journal","abstract":"The term ‘counterurbanisation’ is receiving renewed academic attention due to the Covid-19 pandemic. While not in vogue in popular discourse, the concepts invoked by the term counterurbanisation often appear uncritically in popular media as a Covid-19-induced rural renaissance. This article presents four arguments about using ‘counterurbanisation’ as a term and its applicability in the Australian context. I argue that ‘counterurbanisation’ emerged when categories of urban and rural were less theoretically problematic, and that being unidirectional it does not capture the diversity of migration dynamics. Third, in the Australian context, counterurbanisation is inaccurately often associated in the popular imagination with migration to rural productive landscapes. Fourth, the contemporary measurement and representation of counterurbanisation is flawed. While accepting that various forms of counterurbanisation are occurring, which is important in coastal and near-urban locations, the concept has little relevance for many Australian towns whose future will emerge outside the discourse of counterurbanisation.","container-title":"Australian Geographer","DOI":"10.1080/00049182.2022.2042037","ISSN":"0004-9182","issue":"4","note":"publisher: Routledge\n_eprint: https://doi.org/10.1080/00049182.2022.2042037","page":"363-378","source":"Taylor and Francis+NEJM","title":"Counterurbanisation, demographic change and discourses of rural revival in Australia during COVID-19","volume":"53","author":[{"family":"McManus","given":"Phil"}],"issued":{"date-parts":[["2022",10,2]]}}}],"schema":"https://github.com/citation-style-language/schema/raw/master/csl-citation.json"} </w:instrText>
      </w:r>
      <w:r w:rsidRPr="004666D3">
        <w:fldChar w:fldCharType="separate"/>
      </w:r>
      <w:r w:rsidRPr="004666D3">
        <w:rPr>
          <w:rFonts w:ascii="Calibri" w:hAnsi="Calibri" w:cs="Calibri"/>
        </w:rPr>
        <w:t xml:space="preserve">(Crankshaw and Borel-Saladin, </w:t>
      </w:r>
      <w:r w:rsidRPr="004666D3">
        <w:rPr>
          <w:rFonts w:ascii="Calibri" w:hAnsi="Calibri" w:cs="Calibri"/>
        </w:rPr>
        <w:lastRenderedPageBreak/>
        <w:t>2019; Gurrutxaga, 2021; McManus, 2022)</w:t>
      </w:r>
      <w:r w:rsidRPr="004666D3">
        <w:fldChar w:fldCharType="end"/>
      </w:r>
      <w:r w:rsidRPr="004666D3">
        <w:t>.</w:t>
      </w:r>
      <w:r w:rsidR="00DF6BA8" w:rsidRPr="004666D3">
        <w:t xml:space="preserve"> </w:t>
      </w:r>
      <w:bookmarkStart w:id="84" w:name="OLE_LINK21"/>
      <w:bookmarkStart w:id="85" w:name="OLE_LINK25"/>
      <w:r w:rsidR="00DF6BA8" w:rsidRPr="004666D3">
        <w:t xml:space="preserve">Our </w:t>
      </w:r>
      <w:r w:rsidR="009F791F" w:rsidRPr="004666D3">
        <w:t>study</w:t>
      </w:r>
      <w:r w:rsidR="00DF6BA8" w:rsidRPr="004666D3">
        <w:t xml:space="preserve"> focuse</w:t>
      </w:r>
      <w:r w:rsidR="009F791F" w:rsidRPr="004666D3">
        <w:t>d</w:t>
      </w:r>
      <w:r w:rsidR="00DF6BA8" w:rsidRPr="004666D3">
        <w:t xml:space="preserve"> on the latter </w:t>
      </w:r>
      <w:r w:rsidR="0078461A" w:rsidRPr="004666D3">
        <w:t>method</w:t>
      </w:r>
      <w:r w:rsidR="000E6F58" w:rsidRPr="004666D3">
        <w:t>,</w:t>
      </w:r>
      <w:r w:rsidR="003D3FAF" w:rsidRPr="004666D3">
        <w:t xml:space="preserve"> assess</w:t>
      </w:r>
      <w:r w:rsidR="000E6F58" w:rsidRPr="004666D3">
        <w:t>ing</w:t>
      </w:r>
      <w:r w:rsidR="003D3FAF" w:rsidRPr="004666D3">
        <w:t xml:space="preserve"> the counter-urbanisation phenomenon </w:t>
      </w:r>
      <w:r w:rsidR="00DF6BA8" w:rsidRPr="004666D3">
        <w:t xml:space="preserve">by </w:t>
      </w:r>
      <w:r w:rsidR="00D3530D" w:rsidRPr="004666D3">
        <w:t>comparing</w:t>
      </w:r>
      <w:r w:rsidR="00DF6BA8" w:rsidRPr="004666D3">
        <w:t xml:space="preserve"> </w:t>
      </w:r>
      <w:r w:rsidR="00FF5234" w:rsidRPr="004666D3">
        <w:t xml:space="preserve">long-term </w:t>
      </w:r>
      <w:r w:rsidR="006A40AF" w:rsidRPr="004666D3">
        <w:t>trends</w:t>
      </w:r>
      <w:r w:rsidR="00DF6BA8" w:rsidRPr="004666D3">
        <w:t xml:space="preserve"> in night-time user count data </w:t>
      </w:r>
      <w:r w:rsidR="00740839" w:rsidRPr="004666D3">
        <w:t>across</w:t>
      </w:r>
      <w:r w:rsidR="00DF6BA8" w:rsidRPr="004666D3">
        <w:t xml:space="preserve"> urban</w:t>
      </w:r>
      <w:r w:rsidR="00740839" w:rsidRPr="004666D3">
        <w:t xml:space="preserve"> centres, suburban</w:t>
      </w:r>
      <w:r w:rsidR="00DF6BA8" w:rsidRPr="004666D3">
        <w:t xml:space="preserve"> and rural </w:t>
      </w:r>
      <w:r w:rsidR="00237A3B" w:rsidRPr="004666D3">
        <w:t>areas</w:t>
      </w:r>
      <w:r w:rsidR="00B578D8" w:rsidRPr="004666D3">
        <w:t xml:space="preserve"> </w:t>
      </w:r>
      <w:r w:rsidR="006B6FB4" w:rsidRPr="004666D3">
        <w:t xml:space="preserve">that </w:t>
      </w:r>
      <w:r w:rsidR="00B578D8" w:rsidRPr="004666D3">
        <w:t>aris</w:t>
      </w:r>
      <w:r w:rsidR="00BC10F2" w:rsidRPr="004666D3">
        <w:t>e</w:t>
      </w:r>
      <w:r w:rsidR="00B578D8" w:rsidRPr="004666D3">
        <w:t xml:space="preserve"> from the result of people’s migration</w:t>
      </w:r>
      <w:r w:rsidR="00613314" w:rsidRPr="004666D3">
        <w:t xml:space="preserve">. </w:t>
      </w:r>
      <w:bookmarkEnd w:id="84"/>
      <w:r w:rsidR="00C77FF7" w:rsidRPr="004666D3">
        <w:t>We used t</w:t>
      </w:r>
      <w:r w:rsidR="005539C3" w:rsidRPr="004666D3">
        <w:t xml:space="preserve">he user count during night-time on workdays </w:t>
      </w:r>
      <w:r w:rsidR="00B84A24" w:rsidRPr="004666D3">
        <w:t xml:space="preserve">as it </w:t>
      </w:r>
      <w:r w:rsidR="005539C3" w:rsidRPr="004666D3">
        <w:t>could reveal the redistribution of users’ residences</w:t>
      </w:r>
      <w:r w:rsidR="00E71BF1" w:rsidRPr="004666D3">
        <w:t>,</w:t>
      </w:r>
      <w:r w:rsidR="005539C3" w:rsidRPr="004666D3">
        <w:t xml:space="preserve"> </w:t>
      </w:r>
      <w:r w:rsidR="00E71BF1" w:rsidRPr="004666D3">
        <w:t xml:space="preserve">considering that people are likely to be </w:t>
      </w:r>
      <w:r w:rsidR="39B0DBFB" w:rsidRPr="004666D3">
        <w:t>mostly</w:t>
      </w:r>
      <w:r w:rsidR="00E71BF1" w:rsidRPr="004666D3">
        <w:t xml:space="preserve"> at home</w:t>
      </w:r>
      <w:r w:rsidR="4F4B355B" w:rsidRPr="004666D3">
        <w:t xml:space="preserve"> during</w:t>
      </w:r>
      <w:r w:rsidR="00E71BF1" w:rsidRPr="004666D3">
        <w:t xml:space="preserve"> </w:t>
      </w:r>
      <w:r w:rsidR="005539C3" w:rsidRPr="004666D3">
        <w:t>that time.</w:t>
      </w:r>
      <w:bookmarkEnd w:id="85"/>
      <w:r w:rsidR="00242AFA" w:rsidRPr="004666D3">
        <w:t xml:space="preserve"> </w:t>
      </w:r>
      <w:bookmarkEnd w:id="82"/>
      <w:r w:rsidR="007D7E8B" w:rsidRPr="004666D3">
        <w:t>T</w:t>
      </w:r>
      <w:r w:rsidR="00F56BC9" w:rsidRPr="004666D3">
        <w:t>he weekly average</w:t>
      </w:r>
      <w:r w:rsidR="00E5773D" w:rsidRPr="004666D3">
        <w:t>s</w:t>
      </w:r>
      <w:r w:rsidR="00F56BC9" w:rsidRPr="004666D3">
        <w:t xml:space="preserve"> of daily user count numbers </w:t>
      </w:r>
      <w:r w:rsidR="007731DA" w:rsidRPr="004666D3">
        <w:t xml:space="preserve">on workdays </w:t>
      </w:r>
      <w:r w:rsidR="007D7E8B" w:rsidRPr="004666D3">
        <w:t>w</w:t>
      </w:r>
      <w:r w:rsidR="00412A68" w:rsidRPr="004666D3">
        <w:t xml:space="preserve">ere calculated </w:t>
      </w:r>
      <w:r w:rsidR="007731DA" w:rsidRPr="004666D3">
        <w:t xml:space="preserve">to </w:t>
      </w:r>
      <w:r w:rsidR="0020064C" w:rsidRPr="004666D3">
        <w:t>reduce</w:t>
      </w:r>
      <w:r w:rsidR="007731DA" w:rsidRPr="004666D3">
        <w:t xml:space="preserve"> </w:t>
      </w:r>
      <w:r w:rsidR="4806B78C" w:rsidRPr="004666D3">
        <w:t>variability in the data</w:t>
      </w:r>
      <w:r w:rsidR="007731DA" w:rsidRPr="004666D3">
        <w:t xml:space="preserve">. </w:t>
      </w:r>
      <w:r w:rsidR="009C0031" w:rsidRPr="004666D3">
        <w:t xml:space="preserve">Additionally, </w:t>
      </w:r>
      <w:r w:rsidR="003F705D" w:rsidRPr="004666D3">
        <w:t xml:space="preserve">we </w:t>
      </w:r>
      <w:r w:rsidR="00C17908" w:rsidRPr="004666D3">
        <w:t xml:space="preserve">explored </w:t>
      </w:r>
      <w:r w:rsidR="009C0031" w:rsidRPr="004666D3">
        <w:t>commuting patterns by comparing the</w:t>
      </w:r>
      <w:r w:rsidR="00C17908" w:rsidRPr="004666D3">
        <w:t xml:space="preserve"> changes</w:t>
      </w:r>
      <w:r w:rsidR="009C0031" w:rsidRPr="004666D3">
        <w:t xml:space="preserve"> in user redistribution</w:t>
      </w:r>
      <w:r w:rsidR="000553D4" w:rsidRPr="004666D3">
        <w:t>s</w:t>
      </w:r>
      <w:r w:rsidR="009C0031" w:rsidRPr="004666D3">
        <w:t xml:space="preserve"> between night</w:t>
      </w:r>
      <w:r w:rsidR="0082378A" w:rsidRPr="004666D3">
        <w:t>-</w:t>
      </w:r>
      <w:r w:rsidR="009C0031" w:rsidRPr="004666D3">
        <w:t xml:space="preserve">time and </w:t>
      </w:r>
      <w:r w:rsidR="00DA02A7" w:rsidRPr="004666D3">
        <w:t>daytime</w:t>
      </w:r>
      <w:r w:rsidR="2F2A6FF8" w:rsidRPr="004666D3">
        <w:t>,</w:t>
      </w:r>
      <w:r w:rsidR="00DA02A7" w:rsidRPr="004666D3">
        <w:t xml:space="preserve"> </w:t>
      </w:r>
      <w:r w:rsidR="2F2A6FF8" w:rsidRPr="004666D3">
        <w:t>as well as comparing the w</w:t>
      </w:r>
      <w:r w:rsidR="00EA55A2" w:rsidRPr="004666D3">
        <w:t>ork</w:t>
      </w:r>
      <w:r w:rsidR="2F2A6FF8" w:rsidRPr="004666D3">
        <w:t>day averages with patterns on weekends.</w:t>
      </w:r>
    </w:p>
    <w:p w14:paraId="7664C9C9" w14:textId="77777777" w:rsidR="006E2B66" w:rsidRPr="004666D3" w:rsidRDefault="006E2B66" w:rsidP="006E2B66">
      <w:pPr>
        <w:spacing w:line="240" w:lineRule="auto"/>
        <w:rPr>
          <w:szCs w:val="24"/>
        </w:rPr>
      </w:pPr>
    </w:p>
    <w:bookmarkEnd w:id="83"/>
    <w:p w14:paraId="2DA9E765" w14:textId="10D7AE3C" w:rsidR="001D1F40" w:rsidRPr="004666D3" w:rsidRDefault="00D81C32" w:rsidP="001D1F40">
      <w:pPr>
        <w:rPr>
          <w:szCs w:val="24"/>
          <w:lang w:val="en-US"/>
        </w:rPr>
      </w:pPr>
      <w:r w:rsidRPr="004666D3">
        <w:rPr>
          <w:szCs w:val="24"/>
        </w:rPr>
        <w:t xml:space="preserve">To eliminate the </w:t>
      </w:r>
      <w:r w:rsidR="007C2F39" w:rsidRPr="004666D3">
        <w:rPr>
          <w:szCs w:val="24"/>
        </w:rPr>
        <w:t xml:space="preserve">short-term </w:t>
      </w:r>
      <w:r w:rsidR="00262F9E" w:rsidRPr="004666D3">
        <w:rPr>
          <w:szCs w:val="24"/>
        </w:rPr>
        <w:t xml:space="preserve">seasonal variation of </w:t>
      </w:r>
      <w:r w:rsidRPr="004666D3">
        <w:rPr>
          <w:szCs w:val="24"/>
        </w:rPr>
        <w:t xml:space="preserve">population dynamics </w:t>
      </w:r>
      <w:r w:rsidR="001879ED" w:rsidRPr="004666D3">
        <w:rPr>
          <w:szCs w:val="24"/>
        </w:rPr>
        <w:t xml:space="preserve">due to </w:t>
      </w:r>
      <w:r w:rsidR="006140CD" w:rsidRPr="004666D3">
        <w:rPr>
          <w:szCs w:val="24"/>
        </w:rPr>
        <w:t>holidays</w:t>
      </w:r>
      <w:r w:rsidR="0030345A" w:rsidRPr="004666D3">
        <w:rPr>
          <w:szCs w:val="24"/>
        </w:rPr>
        <w:t xml:space="preserve"> </w:t>
      </w:r>
      <w:r w:rsidR="00523CAB" w:rsidRPr="004666D3">
        <w:rPr>
          <w:szCs w:val="24"/>
        </w:rPr>
        <w:fldChar w:fldCharType="begin"/>
      </w:r>
      <w:r w:rsidR="00523CAB" w:rsidRPr="004666D3">
        <w:rPr>
          <w:szCs w:val="24"/>
        </w:rPr>
        <w:instrText xml:space="preserve"> ADDIN ZOTERO_ITEM CSL_CITATION {"citationID":"aIZWC06m","properties":{"formattedCitation":"(Charles-Edwards and Bell, 2015; Lai et al., 2022)","plainCitation":"(Charles-Edwards and Bell, 2015; Lai et al., 2022)","noteIndex":0},"citationItems":[{"id":6060,"uris":["http://zotero.org/users/9756803/items/H2SHUDKH"],"itemData":{"id":6060,"type":"article-journal","abstract":"Seasonality is integral to many forms of temporary population mobility. To date, however, most research has focused on tourist movements and has been primarily concerned with its impacts on destinations. Less attention has been given to tracing its effects on the localities from which tourists are drawn or to understanding the spatial dynamics that underpin this periodic flux in population. The fact that tourism accounts for a minority of all temporary movements also supports the case for a broader analytical perspective. We aim to redress this neglect by examining seasonal variation in various forms of temporary movement across 77 regions of Australia over the decade 2000–2010, focusing on both origins and destinations. Coupling seasonal factors with cluster analysis and fixed effects models, we show that seasonal mobility across the Australian settlement system is highly structured with spatio-temporal variations reflecting the interplay of climatic variability with institutional constraints and the functional characteristics of regions. Copyright © 2013 John Wiley &amp; Sons, Ltd.","container-title":"Population, Space and Place","DOI":"10.1002/psp.1814","ISSN":"1544-8452","issue":"2","language":"en","license":"Copyright © 2013 John Wiley &amp; Sons, Ltd.","note":"_eprint: https://onlinelibrary.wiley.com/doi/pdf/10.1002/psp.1814","page":"103-123","source":"Wiley Online Library","title":"Seasonal Flux in Australia's Population Geography: Linking Space and Time","title-short":"Seasonal Flux in Australia's Population Geography","volume":"21","author":[{"family":"Charles-Edwards","given":"Elin"},{"family":"Bell","given":"Martin"}],"issued":{"date-parts":[["2015"]]}}},{"id":2902,"uris":["http://zotero.org/users/9756803/items/KIKCLLQX"],"itemData":{"id":2902,"type":"article-journal","abstract":"Public and school holidays have important impacts on population mobility and dynamics across multiple spatial and temporal scales, subsequently affecting the transmission dynamics of infectious diseases and many socioeconomic activities. However, worldwide data on public and school holidays for understanding their changes across regions and years have not been assembled into a single, open-source and multitemporal dataset. To address this gap, an open access archive of data on public and school holidays in 2010–2019 across the globe at daily, weekly, and monthly timescales was constructed. Airline passenger volumes across 90 countries from 2010 to 2018 were also assembled to illustrate the usage of the holiday data for understanding the changing spatiotemporal patterns of population movements.","container-title":"Scientific Data","DOI":"10.1038/s41597-022-01120-z","ISSN":"2052-4463","issue":"1","journalAbbreviation":"Sci Data","language":"en","license":"2022 The Author(s)","note":"number: 1\npublisher: Nature Publishing Group","page":"17","source":"www.nature.com","title":"Global holiday datasets for understanding seasonal human mobility and population dynamics","volume":"9","author":[{"family":"Lai","given":"Shengjie"},{"family":"Sorichetta","given":"Alessandro"},{"family":"Steele","given":"Jessica"},{"family":"Ruktanonchai","given":"Corrine W."},{"family":"Cunningham","given":"Alexander D."},{"family":"Rogers","given":"Grant"},{"family":"Koper","given":"Patrycja"},{"family":"Woods","given":"Dorothea"},{"family":"Bondarenko","given":"Maksym"},{"family":"Ruktanonchai","given":"Nick W."},{"family":"Shi","given":"Weifeng"},{"family":"Tatem","given":"Andrew J."}],"issued":{"date-parts":[["2022",1,20]]}}}],"schema":"https://github.com/citation-style-language/schema/raw/master/csl-citation.json"} </w:instrText>
      </w:r>
      <w:r w:rsidR="00523CAB" w:rsidRPr="004666D3">
        <w:rPr>
          <w:szCs w:val="24"/>
        </w:rPr>
        <w:fldChar w:fldCharType="separate"/>
      </w:r>
      <w:r w:rsidR="00523CAB" w:rsidRPr="004666D3">
        <w:rPr>
          <w:rFonts w:ascii="Calibri" w:hAnsi="Calibri" w:cs="Calibri"/>
        </w:rPr>
        <w:t>(Charles-Edwards and Bell, 2015; Lai et al., 2022)</w:t>
      </w:r>
      <w:r w:rsidR="00523CAB" w:rsidRPr="004666D3">
        <w:rPr>
          <w:szCs w:val="24"/>
        </w:rPr>
        <w:fldChar w:fldCharType="end"/>
      </w:r>
      <w:r w:rsidR="00E25FF7" w:rsidRPr="004666D3">
        <w:rPr>
          <w:szCs w:val="24"/>
        </w:rPr>
        <w:t xml:space="preserve">, </w:t>
      </w:r>
      <w:r w:rsidR="00AF242A" w:rsidRPr="004666D3">
        <w:rPr>
          <w:szCs w:val="24"/>
        </w:rPr>
        <w:t xml:space="preserve">we </w:t>
      </w:r>
      <w:r w:rsidR="00125B24" w:rsidRPr="004666D3">
        <w:rPr>
          <w:szCs w:val="24"/>
        </w:rPr>
        <w:t>applied</w:t>
      </w:r>
      <w:r w:rsidR="00AF242A" w:rsidRPr="004666D3">
        <w:rPr>
          <w:szCs w:val="24"/>
        </w:rPr>
        <w:t xml:space="preserve"> Seasonal-Trend decomposition using Loess (STL)</w:t>
      </w:r>
      <w:r w:rsidR="00236E2B" w:rsidRPr="004666D3">
        <w:rPr>
          <w:szCs w:val="24"/>
        </w:rPr>
        <w:t xml:space="preserve"> to</w:t>
      </w:r>
      <w:r w:rsidR="00BF7847" w:rsidRPr="004666D3">
        <w:rPr>
          <w:szCs w:val="24"/>
        </w:rPr>
        <w:t xml:space="preserve"> </w:t>
      </w:r>
      <w:r w:rsidR="00075594" w:rsidRPr="004666D3">
        <w:rPr>
          <w:szCs w:val="24"/>
        </w:rPr>
        <w:t>differentiate</w:t>
      </w:r>
      <w:r w:rsidR="00097D7E" w:rsidRPr="004666D3">
        <w:rPr>
          <w:szCs w:val="24"/>
        </w:rPr>
        <w:t xml:space="preserve"> long-term trends from seasonal and </w:t>
      </w:r>
      <w:r w:rsidR="00395BB4" w:rsidRPr="004666D3">
        <w:rPr>
          <w:szCs w:val="24"/>
        </w:rPr>
        <w:t>remainder</w:t>
      </w:r>
      <w:r w:rsidR="00097D7E" w:rsidRPr="004666D3">
        <w:rPr>
          <w:szCs w:val="24"/>
        </w:rPr>
        <w:t xml:space="preserve"> components </w:t>
      </w:r>
      <w:r w:rsidR="00075594" w:rsidRPr="004666D3">
        <w:rPr>
          <w:szCs w:val="24"/>
        </w:rPr>
        <w:t>of</w:t>
      </w:r>
      <w:r w:rsidR="00097D7E" w:rsidRPr="004666D3">
        <w:rPr>
          <w:szCs w:val="24"/>
        </w:rPr>
        <w:t xml:space="preserve"> the </w:t>
      </w:r>
      <w:r w:rsidR="00A43CAB" w:rsidRPr="004666D3">
        <w:rPr>
          <w:szCs w:val="24"/>
        </w:rPr>
        <w:t xml:space="preserve">high-frequency population dynamics </w:t>
      </w:r>
      <w:r w:rsidR="00097D7E" w:rsidRPr="004666D3">
        <w:rPr>
          <w:szCs w:val="24"/>
        </w:rPr>
        <w:t>data</w:t>
      </w:r>
      <w:r w:rsidR="00BE332C" w:rsidRPr="004666D3">
        <w:t xml:space="preserve"> </w:t>
      </w:r>
      <w:r w:rsidR="00BE332C" w:rsidRPr="004666D3">
        <w:rPr>
          <w:szCs w:val="24"/>
        </w:rPr>
        <w:t>using the ‘</w:t>
      </w:r>
      <w:proofErr w:type="spellStart"/>
      <w:r w:rsidR="00BE332C" w:rsidRPr="004666D3">
        <w:rPr>
          <w:szCs w:val="24"/>
        </w:rPr>
        <w:t>stl</w:t>
      </w:r>
      <w:proofErr w:type="spellEnd"/>
      <w:r w:rsidR="00BE332C" w:rsidRPr="004666D3">
        <w:rPr>
          <w:szCs w:val="24"/>
        </w:rPr>
        <w:t>’ function in R version 4.2.2</w:t>
      </w:r>
      <w:r w:rsidR="00A43CAB" w:rsidRPr="004666D3">
        <w:rPr>
          <w:szCs w:val="24"/>
        </w:rPr>
        <w:t xml:space="preserve">. </w:t>
      </w:r>
      <w:r w:rsidR="001D1F40" w:rsidRPr="004666D3">
        <w:rPr>
          <w:szCs w:val="24"/>
          <w:lang w:val="en-US"/>
        </w:rPr>
        <w:t xml:space="preserve">The STL method, proposed by </w:t>
      </w:r>
      <w:r w:rsidR="001D1F40" w:rsidRPr="004666D3">
        <w:rPr>
          <w:szCs w:val="24"/>
          <w:lang w:val="en-US"/>
        </w:rPr>
        <w:fldChar w:fldCharType="begin"/>
      </w:r>
      <w:r w:rsidR="001D1F40" w:rsidRPr="004666D3">
        <w:rPr>
          <w:szCs w:val="24"/>
          <w:lang w:val="en-US"/>
        </w:rPr>
        <w:instrText xml:space="preserve"> ADDIN ZOTERO_ITEM CSL_CITATION {"citationID":"SuPg6Utp","properties":{"custom":"Cleveland et al. (1990)","formattedCitation":"Cleveland et al. (1990)","plainCitation":"Cleveland et al. (1990)","noteIndex":0},"citationItems":[{"id":5065,"uris":["http://zotero.org/users/9756803/items/FXAQSRX4"],"itemData":{"id":5065,"type":"article-journal","container-title":"Journal of Official Statistics","issue":"1","page":"3–73","title":"STL: A seasonal-trend decomposition","volume":"6","author":[{"family":"Cleveland","given":"Robert B"},{"family":"Cleveland","given":"William S"},{"family":"McRae","given":"Jean E"},{"family":"Terpenning","given":"Irma"}],"issued":{"date-parts":[["1990"]]}}}],"schema":"https://github.com/citation-style-language/schema/raw/master/csl-citation.json"} </w:instrText>
      </w:r>
      <w:r w:rsidR="001D1F40" w:rsidRPr="004666D3">
        <w:rPr>
          <w:szCs w:val="24"/>
          <w:lang w:val="en-US"/>
        </w:rPr>
        <w:fldChar w:fldCharType="separate"/>
      </w:r>
      <w:r w:rsidR="001D1F40" w:rsidRPr="004666D3">
        <w:rPr>
          <w:rFonts w:ascii="Calibri" w:hAnsi="Calibri" w:cs="Calibri"/>
          <w:szCs w:val="24"/>
        </w:rPr>
        <w:t>Cleveland et al. (1990)</w:t>
      </w:r>
      <w:r w:rsidR="001D1F40" w:rsidRPr="004666D3">
        <w:rPr>
          <w:szCs w:val="24"/>
          <w:lang w:val="en-US"/>
        </w:rPr>
        <w:fldChar w:fldCharType="end"/>
      </w:r>
      <w:r w:rsidR="001D1F40" w:rsidRPr="004666D3">
        <w:rPr>
          <w:szCs w:val="24"/>
          <w:lang w:val="en-US"/>
        </w:rPr>
        <w:t>, is a filtering procedure for decomposing a time series into the following components:</w:t>
      </w:r>
      <w:r w:rsidR="000E6BBE" w:rsidRPr="004666D3">
        <w:rPr>
          <w:szCs w:val="24"/>
          <w:lang w:val="en-US"/>
        </w:rPr>
        <w:t xml:space="preserve"> </w:t>
      </w:r>
    </w:p>
    <w:p w14:paraId="36ED68A4" w14:textId="113D4745" w:rsidR="005B1367" w:rsidRPr="004666D3" w:rsidRDefault="00000000" w:rsidP="001D1F40">
      <w:pPr>
        <w:rPr>
          <w:szCs w:val="24"/>
        </w:rPr>
      </w:pPr>
      <m:oMathPara>
        <m:oMathParaPr>
          <m:jc m:val="center"/>
        </m:oMathParaPr>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raw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trend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seasonal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residual</m:t>
                  </m:r>
                </m:sub>
              </m:sSub>
              <m:r>
                <w:rPr>
                  <w:rFonts w:ascii="Cambria Math" w:hAnsi="Cambria Math"/>
                  <w:szCs w:val="24"/>
                </w:rPr>
                <m:t>#</m:t>
              </m:r>
            </m:e>
          </m:eqArr>
          <m:r>
            <w:rPr>
              <w:rFonts w:ascii="Cambria Math" w:hAnsi="Cambria Math"/>
              <w:szCs w:val="24"/>
            </w:rPr>
            <m:t>(4)</m:t>
          </m:r>
        </m:oMath>
      </m:oMathPara>
    </w:p>
    <w:p w14:paraId="6ECDB8A0" w14:textId="101BBA34" w:rsidR="009D47B1" w:rsidRPr="004666D3" w:rsidRDefault="001D1F40" w:rsidP="00323599">
      <w:pPr>
        <w:rPr>
          <w:lang w:val="en-US"/>
        </w:rPr>
      </w:pPr>
      <w:r w:rsidRPr="004666D3">
        <w:rPr>
          <w:lang w:val="en-US"/>
        </w:rPr>
        <w:t>where the original data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raw</m:t>
            </m:r>
          </m:sub>
        </m:sSub>
      </m:oMath>
      <w:r w:rsidRPr="004666D3">
        <w:rPr>
          <w:lang w:val="en-US"/>
        </w:rPr>
        <w:t>) was decomposed into trend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trend</m:t>
            </m:r>
          </m:sub>
        </m:sSub>
      </m:oMath>
      <w:r w:rsidRPr="004666D3">
        <w:rPr>
          <w:lang w:val="en-US"/>
        </w:rPr>
        <w:t>), seasonal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seasonal</m:t>
            </m:r>
          </m:sub>
        </m:sSub>
      </m:oMath>
      <w:r w:rsidRPr="004666D3">
        <w:rPr>
          <w:lang w:val="en-US"/>
        </w:rPr>
        <w:t>) and remainder (</w:t>
      </w: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residual</m:t>
            </m:r>
          </m:sub>
        </m:sSub>
      </m:oMath>
      <w:r w:rsidRPr="004666D3">
        <w:rPr>
          <w:lang w:val="en-US"/>
        </w:rPr>
        <w:t xml:space="preserve">) components. </w:t>
      </w:r>
      <w:r w:rsidR="00D66620" w:rsidRPr="004666D3">
        <w:rPr>
          <w:lang w:val="en-US"/>
        </w:rPr>
        <w:t xml:space="preserve">The </w:t>
      </w:r>
      <w:bookmarkStart w:id="86" w:name="OLE_LINK20"/>
      <w:r w:rsidR="00114D2C" w:rsidRPr="004666D3">
        <w:rPr>
          <w:lang w:val="en-US"/>
        </w:rPr>
        <w:t xml:space="preserve">seasonal </w:t>
      </w:r>
      <w:r w:rsidR="00A145D2" w:rsidRPr="004666D3">
        <w:rPr>
          <w:lang w:val="en-US"/>
        </w:rPr>
        <w:t>component</w:t>
      </w:r>
      <w:r w:rsidR="2071985E" w:rsidRPr="004666D3">
        <w:rPr>
          <w:lang w:val="en-US"/>
        </w:rPr>
        <w:t>s</w:t>
      </w:r>
      <w:r w:rsidR="1D1CD42B" w:rsidRPr="004666D3">
        <w:rPr>
          <w:lang w:val="en-US"/>
        </w:rPr>
        <w:t xml:space="preserve"> are found</w:t>
      </w:r>
      <w:r w:rsidR="00A145D2" w:rsidRPr="004666D3">
        <w:rPr>
          <w:lang w:val="en-US"/>
        </w:rPr>
        <w:t xml:space="preserve"> by </w:t>
      </w:r>
      <w:r w:rsidR="00775983" w:rsidRPr="004666D3">
        <w:t>locally estimated scatterplot smoothing</w:t>
      </w:r>
      <w:r w:rsidR="00A145D2" w:rsidRPr="004666D3">
        <w:rPr>
          <w:lang w:val="en-US"/>
        </w:rPr>
        <w:t xml:space="preserve"> </w:t>
      </w:r>
      <w:r w:rsidR="1002A880" w:rsidRPr="004666D3">
        <w:rPr>
          <w:lang w:val="en-US"/>
        </w:rPr>
        <w:t xml:space="preserve">of </w:t>
      </w:r>
      <w:r w:rsidR="00A145D2" w:rsidRPr="004666D3">
        <w:rPr>
          <w:lang w:val="en-US"/>
        </w:rPr>
        <w:t xml:space="preserve">the </w:t>
      </w:r>
      <w:r w:rsidR="005854BD" w:rsidRPr="004666D3">
        <w:rPr>
          <w:lang w:val="en-US"/>
        </w:rPr>
        <w:t>seasonal sub-series</w:t>
      </w:r>
      <w:r w:rsidR="00610E96" w:rsidRPr="004666D3">
        <w:rPr>
          <w:lang w:val="en-US"/>
        </w:rPr>
        <w:t xml:space="preserve"> </w:t>
      </w:r>
      <w:bookmarkEnd w:id="86"/>
      <w:r w:rsidR="00D21178" w:rsidRPr="004666D3">
        <w:rPr>
          <w:lang w:val="en-US"/>
        </w:rPr>
        <w:fldChar w:fldCharType="begin"/>
      </w:r>
      <w:r w:rsidR="00D21178" w:rsidRPr="004666D3">
        <w:rPr>
          <w:lang w:val="en-US"/>
        </w:rPr>
        <w:instrText xml:space="preserve"> ADDIN ZOTERO_ITEM CSL_CITATION {"citationID":"Y95wLGjQ","properties":{"formattedCitation":"(Woods et al., 2022)","plainCitation":"(Woods et al., 2022)","noteIndex":0},"citationItems":[{"id":1417,"uris":["http://zotero.org/users/9756803/items/KT2U77ID"],"itemData":{"id":1417,"type":"article-journal","abstract":"Data accurately representing the population distribution at the subnational level within countries is critical to policy and decision makers for many applications. Call data records (CDRs) have shown great promise for this, providing much higher temporal and spatial resolutions compared to traditional data sources. For CDRs to be integrated with other data and in order to effectively inform and support policy and decision making, mobile phone user must be distributed from the cell tower level into administrative units. This can be done in different ways and it is often not considered which method produces the best representation of the underlying population distribution. Using anonymised CDRs in Namibia between 2011 and 2013, four distribution methods were assessed at multiple administrative unit levels. Estimates of user density per administrative unit were ranked for each method and compared against the corresponding census-derived population densities, using Kendall’s tau-b rank tests. Seasonal and trend decomposition using Loess (STL) and multivariate clustering was subsequently used to identify patterns of seasonal user variation and investigate how different distribution methods can impact these. Results show that the accuracy of the results of each distribution method is influenced by the considered administrative unit level. While marginal differences between methods are displayed at “coarser” level 1, the use of mobile phone tower ranges provided the most accurate results for Namibia at finer levels 2 and 3. The use of STL is helpful to recognise the impact of the underlying distribution methods on further analysis, with the degree of consensus between methods decreasing as spatial scale increases. Multivariate clustering delivers valuable insights into which units share a similar seasonal user behaviour. The higher the number of prescribed clusters, the more the results obtained using different distribution methods differ. However, two major seasonal patterns were identified across all distribution methods, levels and most cluster numbers: (a) units with a 15% user decrease in August and (b) units with a 20–30% user increase in December. Both patterns are likely to be partially linked to school holidays and people going on vacation and/or visiting relatives and friends. This study highlights the need and importance of investigating CDRs in detail before conducting subsequent analysis like seasonal and trend decomposition. In particular, CDRs need to be investigated both in terms of their area and population coverage, as well as in relation to the appropriate distribution method to use based on the spatial scale of the specific application. The use of inappropriate methods can change observed seasonal patterns and impact the derived conclusions.","container-title":"Humanities and Social Sciences Communications","DOI":"10.1057/s41599-022-01256-8","ISSN":"2662-9992","issue":"1","journalAbbreviation":"Humanit Soc Sci Commun","language":"en","license":"2022 The Author(s)","note":"number: 1\npublisher: Palgrave","page":"1-17","source":"www.nature.com","title":"Exploring methods for mapping seasonal population changes using mobile phone data","volume":"9","author":[{"family":"Woods","given":"D."},{"family":"Cunningham","given":"A."},{"family":"Utazi","given":"C. E."},{"family":"Bondarenko","given":"M."},{"family":"Shengjie","given":"L."},{"family":"Rogers","given":"G. E."},{"family":"Koper","given":"P."},{"family":"Ruktanonchai","given":"C. W."},{"family":"Erbach-Schoenberg","given":"E.","non-dropping-particle":"zu"},{"family":"Tatem","given":"A. J."},{"family":"Steele","given":"J."},{"family":"Sorichetta","given":"A."}],"issued":{"date-parts":[["2022",7,28]]}}}],"schema":"https://github.com/citation-style-language/schema/raw/master/csl-citation.json"} </w:instrText>
      </w:r>
      <w:r w:rsidR="00D21178" w:rsidRPr="004666D3">
        <w:rPr>
          <w:lang w:val="en-US"/>
        </w:rPr>
        <w:fldChar w:fldCharType="separate"/>
      </w:r>
      <w:r w:rsidR="00AE74BE" w:rsidRPr="004666D3">
        <w:rPr>
          <w:rFonts w:ascii="Calibri" w:hAnsi="Calibri" w:cs="Calibri"/>
        </w:rPr>
        <w:t>(Woods et al., 2022)</w:t>
      </w:r>
      <w:r w:rsidR="00D21178" w:rsidRPr="004666D3">
        <w:rPr>
          <w:lang w:val="en-US"/>
        </w:rPr>
        <w:fldChar w:fldCharType="end"/>
      </w:r>
      <w:r w:rsidR="00C73CDB" w:rsidRPr="004666D3">
        <w:rPr>
          <w:lang w:val="en-US"/>
        </w:rPr>
        <w:t xml:space="preserve">. </w:t>
      </w:r>
      <w:r w:rsidR="5F516FDE" w:rsidRPr="004666D3">
        <w:rPr>
          <w:lang w:val="en-US"/>
        </w:rPr>
        <w:t>T</w:t>
      </w:r>
      <w:r w:rsidR="00EE3560" w:rsidRPr="004666D3">
        <w:rPr>
          <w:lang w:val="en-US"/>
        </w:rPr>
        <w:t>rend</w:t>
      </w:r>
      <w:r w:rsidR="000A7F6A" w:rsidRPr="004666D3">
        <w:rPr>
          <w:lang w:val="en-US"/>
        </w:rPr>
        <w:t>s</w:t>
      </w:r>
      <w:r w:rsidR="00EE3560" w:rsidRPr="004666D3">
        <w:rPr>
          <w:lang w:val="en-US"/>
        </w:rPr>
        <w:t xml:space="preserve"> </w:t>
      </w:r>
      <w:r w:rsidR="00C73CDB" w:rsidRPr="004666D3">
        <w:rPr>
          <w:lang w:val="en-US"/>
        </w:rPr>
        <w:t>w</w:t>
      </w:r>
      <w:r w:rsidR="3431842C" w:rsidRPr="004666D3">
        <w:rPr>
          <w:lang w:val="en-US"/>
        </w:rPr>
        <w:t>ere</w:t>
      </w:r>
      <w:r w:rsidR="632047DE" w:rsidRPr="004666D3">
        <w:rPr>
          <w:lang w:val="en-US"/>
        </w:rPr>
        <w:t xml:space="preserve"> </w:t>
      </w:r>
      <w:r w:rsidR="00C73CDB" w:rsidRPr="004666D3">
        <w:rPr>
          <w:lang w:val="en-US"/>
        </w:rPr>
        <w:t xml:space="preserve">estimated </w:t>
      </w:r>
      <w:r w:rsidR="00EE3560" w:rsidRPr="004666D3">
        <w:rPr>
          <w:lang w:val="en-US"/>
        </w:rPr>
        <w:t xml:space="preserve">by </w:t>
      </w:r>
      <w:r w:rsidR="00885312" w:rsidRPr="004666D3">
        <w:rPr>
          <w:lang w:val="en-US"/>
        </w:rPr>
        <w:t xml:space="preserve">removing </w:t>
      </w:r>
      <w:r w:rsidR="00830FCF" w:rsidRPr="004666D3">
        <w:rPr>
          <w:lang w:val="en-US"/>
        </w:rPr>
        <w:t xml:space="preserve">the </w:t>
      </w:r>
      <w:r w:rsidR="00885312" w:rsidRPr="004666D3">
        <w:rPr>
          <w:lang w:val="en-US"/>
        </w:rPr>
        <w:t>seasonal component</w:t>
      </w:r>
      <w:r w:rsidR="5947A2B9" w:rsidRPr="004666D3">
        <w:rPr>
          <w:lang w:val="en-US"/>
        </w:rPr>
        <w:t>,</w:t>
      </w:r>
      <w:r w:rsidR="00CB0273" w:rsidRPr="004666D3">
        <w:rPr>
          <w:lang w:val="en-US"/>
        </w:rPr>
        <w:t xml:space="preserve"> </w:t>
      </w:r>
      <w:r w:rsidR="00885312" w:rsidRPr="004666D3">
        <w:rPr>
          <w:lang w:val="en-US"/>
        </w:rPr>
        <w:t xml:space="preserve">smoothing the </w:t>
      </w:r>
      <w:r w:rsidR="00405899" w:rsidRPr="004666D3">
        <w:rPr>
          <w:lang w:val="en-US"/>
        </w:rPr>
        <w:t>rem</w:t>
      </w:r>
      <w:r w:rsidR="000A7F6A" w:rsidRPr="004666D3">
        <w:rPr>
          <w:lang w:val="en-US"/>
        </w:rPr>
        <w:t>a</w:t>
      </w:r>
      <w:r w:rsidR="00405899" w:rsidRPr="004666D3">
        <w:rPr>
          <w:lang w:val="en-US"/>
        </w:rPr>
        <w:t>inder and</w:t>
      </w:r>
      <w:r w:rsidR="00C73CDB" w:rsidRPr="004666D3">
        <w:rPr>
          <w:lang w:val="en-US"/>
        </w:rPr>
        <w:t xml:space="preserve"> </w:t>
      </w:r>
      <w:r w:rsidR="7FD7B276" w:rsidRPr="004666D3">
        <w:rPr>
          <w:lang w:val="en-US"/>
        </w:rPr>
        <w:t xml:space="preserve">iteratively </w:t>
      </w:r>
      <w:r w:rsidR="007B7984" w:rsidRPr="004666D3">
        <w:rPr>
          <w:lang w:val="en-US"/>
        </w:rPr>
        <w:t>add</w:t>
      </w:r>
      <w:r w:rsidR="00852A6E" w:rsidRPr="004666D3">
        <w:rPr>
          <w:lang w:val="en-US"/>
        </w:rPr>
        <w:t>ing</w:t>
      </w:r>
      <w:r w:rsidR="007B7984" w:rsidRPr="004666D3">
        <w:rPr>
          <w:lang w:val="en-US"/>
        </w:rPr>
        <w:t xml:space="preserve"> the separate</w:t>
      </w:r>
      <w:r w:rsidR="007A5F09" w:rsidRPr="004666D3">
        <w:rPr>
          <w:lang w:val="en-US"/>
        </w:rPr>
        <w:t xml:space="preserve">d overall level of </w:t>
      </w:r>
      <w:r w:rsidR="5DA06897" w:rsidRPr="004666D3">
        <w:rPr>
          <w:lang w:val="en-US"/>
        </w:rPr>
        <w:t xml:space="preserve">seasonal component </w:t>
      </w:r>
      <w:r w:rsidR="007A5F09" w:rsidRPr="004666D3">
        <w:rPr>
          <w:lang w:val="en-US"/>
        </w:rPr>
        <w:t>time series</w:t>
      </w:r>
      <w:r w:rsidR="2906FCC8" w:rsidRPr="004666D3">
        <w:rPr>
          <w:lang w:val="en-US"/>
        </w:rPr>
        <w:t>.</w:t>
      </w:r>
      <w:r w:rsidR="007A5F09" w:rsidRPr="004666D3">
        <w:rPr>
          <w:lang w:val="en-US"/>
        </w:rPr>
        <w:t xml:space="preserve"> </w:t>
      </w:r>
      <w:r w:rsidR="006B176B" w:rsidRPr="004666D3">
        <w:rPr>
          <w:lang w:val="en-US"/>
        </w:rPr>
        <w:t>The remainder component</w:t>
      </w:r>
      <w:r w:rsidR="50E7D9F2" w:rsidRPr="004666D3">
        <w:rPr>
          <w:lang w:val="en-US"/>
        </w:rPr>
        <w:t xml:space="preserve">, representing the variabilities in the original series that are difficult to explain by </w:t>
      </w:r>
      <w:r w:rsidR="50E7D9F2" w:rsidRPr="004666D3">
        <w:rPr>
          <w:lang w:val="en-US"/>
        </w:rPr>
        <w:lastRenderedPageBreak/>
        <w:t>trend and seasonal components,</w:t>
      </w:r>
      <w:r w:rsidR="006B176B" w:rsidRPr="004666D3">
        <w:rPr>
          <w:lang w:val="en-US"/>
        </w:rPr>
        <w:t xml:space="preserve"> was identified by </w:t>
      </w:r>
      <w:r w:rsidR="00BB5855" w:rsidRPr="004666D3">
        <w:rPr>
          <w:lang w:val="en-US"/>
        </w:rPr>
        <w:t xml:space="preserve">subtracting </w:t>
      </w:r>
      <w:r w:rsidR="0060722B" w:rsidRPr="004666D3">
        <w:rPr>
          <w:lang w:val="en-US"/>
        </w:rPr>
        <w:t xml:space="preserve">the sum of seasonal and trend components </w:t>
      </w:r>
      <w:r w:rsidR="00DE6E6F" w:rsidRPr="004666D3">
        <w:rPr>
          <w:lang w:val="en-US"/>
        </w:rPr>
        <w:t xml:space="preserve">from </w:t>
      </w:r>
      <w:r w:rsidR="00AA6CEA" w:rsidRPr="004666D3">
        <w:rPr>
          <w:lang w:val="en-US"/>
        </w:rPr>
        <w:t xml:space="preserve">the </w:t>
      </w:r>
      <w:r w:rsidR="00DE6E6F" w:rsidRPr="004666D3">
        <w:rPr>
          <w:lang w:val="en-US"/>
        </w:rPr>
        <w:t>original series</w:t>
      </w:r>
      <w:r w:rsidR="00B77EBE" w:rsidRPr="004666D3">
        <w:rPr>
          <w:lang w:val="en-US"/>
        </w:rPr>
        <w:t xml:space="preserve"> </w:t>
      </w:r>
      <w:r w:rsidR="00D21178" w:rsidRPr="004666D3">
        <w:rPr>
          <w:lang w:val="en-US"/>
        </w:rPr>
        <w:fldChar w:fldCharType="begin"/>
      </w:r>
      <w:r w:rsidR="00D21178" w:rsidRPr="004666D3">
        <w:rPr>
          <w:lang w:val="en-US"/>
        </w:rPr>
        <w:instrText xml:space="preserve"> ADDIN ZOTERO_ITEM CSL_CITATION {"citationID":"eObd1k1W","properties":{"formattedCitation":"(Cleveland et al., 1990)","plainCitation":"(Cleveland et al., 1990)","noteIndex":0},"citationItems":[{"id":5065,"uris":["http://zotero.org/users/9756803/items/FXAQSRX4"],"itemData":{"id":5065,"type":"article-journal","container-title":"Journal of Official Statistics","issue":"1","page":"3–73","title":"STL: A seasonal-trend decomposition","volume":"6","author":[{"family":"Cleveland","given":"Robert B"},{"family":"Cleveland","given":"William S"},{"family":"McRae","given":"Jean E"},{"family":"Terpenning","given":"Irma"}],"issued":{"date-parts":[["1990"]]}}}],"schema":"https://github.com/citation-style-language/schema/raw/master/csl-citation.json"} </w:instrText>
      </w:r>
      <w:r w:rsidR="00D21178" w:rsidRPr="004666D3">
        <w:rPr>
          <w:lang w:val="en-US"/>
        </w:rPr>
        <w:fldChar w:fldCharType="separate"/>
      </w:r>
      <w:r w:rsidR="00AE74BE" w:rsidRPr="004666D3">
        <w:rPr>
          <w:rFonts w:ascii="Calibri" w:hAnsi="Calibri" w:cs="Calibri"/>
        </w:rPr>
        <w:t>(Cleveland et al., 1990)</w:t>
      </w:r>
      <w:r w:rsidR="00D21178" w:rsidRPr="004666D3">
        <w:rPr>
          <w:lang w:val="en-US"/>
        </w:rPr>
        <w:fldChar w:fldCharType="end"/>
      </w:r>
      <w:r w:rsidR="00565269" w:rsidRPr="004666D3">
        <w:rPr>
          <w:lang w:val="en-US"/>
        </w:rPr>
        <w:t xml:space="preserve">. </w:t>
      </w:r>
      <w:bookmarkStart w:id="87" w:name="OLE_LINK5"/>
      <w:bookmarkStart w:id="88" w:name="OLE_LINK54"/>
      <w:r w:rsidR="009759E5" w:rsidRPr="004666D3">
        <w:rPr>
          <w:lang w:val="en-US"/>
        </w:rPr>
        <w:t>A m</w:t>
      </w:r>
      <w:r w:rsidR="00B90265" w:rsidRPr="004666D3">
        <w:rPr>
          <w:lang w:val="en-US"/>
        </w:rPr>
        <w:t xml:space="preserve">ore detailed description of the STL decomposition procedure </w:t>
      </w:r>
      <w:r w:rsidR="00AB1446" w:rsidRPr="004666D3">
        <w:rPr>
          <w:lang w:val="en-US"/>
        </w:rPr>
        <w:t>can</w:t>
      </w:r>
      <w:r w:rsidR="00B90265" w:rsidRPr="004666D3">
        <w:rPr>
          <w:lang w:val="en-US"/>
        </w:rPr>
        <w:t xml:space="preserve"> be </w:t>
      </w:r>
      <w:r w:rsidR="00AB1446" w:rsidRPr="004666D3">
        <w:rPr>
          <w:lang w:val="en-US"/>
        </w:rPr>
        <w:t>found in</w:t>
      </w:r>
      <w:r w:rsidR="00690491" w:rsidRPr="004666D3">
        <w:rPr>
          <w:lang w:val="en-US"/>
        </w:rPr>
        <w:t xml:space="preserve"> </w:t>
      </w:r>
      <w:r w:rsidR="00690491" w:rsidRPr="004666D3">
        <w:rPr>
          <w:lang w:val="en-US"/>
        </w:rPr>
        <w:fldChar w:fldCharType="begin"/>
      </w:r>
      <w:r w:rsidR="00AA0C51" w:rsidRPr="004666D3">
        <w:rPr>
          <w:lang w:val="en-US"/>
        </w:rPr>
        <w:instrText xml:space="preserve"> ADDIN ZOTERO_ITEM CSL_CITATION {"citationID":"bt5A4B7T","properties":{"custom":"Cleveland et al. (1990)","formattedCitation":"Cleveland et al. (1990)","plainCitation":"Cleveland et al. (1990)","noteIndex":0},"citationItems":[{"id":5065,"uris":["http://zotero.org/users/9756803/items/FXAQSRX4"],"itemData":{"id":5065,"type":"article-journal","container-title":"Journal of Official Statistics","issue":"1","page":"3–73","title":"STL: A seasonal-trend decomposition","volume":"6","author":[{"family":"Cleveland","given":"Robert B"},{"family":"Cleveland","given":"William S"},{"family":"McRae","given":"Jean E"},{"family":"Terpenning","given":"Irma"}],"issued":{"date-parts":[["1990"]]}}}],"schema":"https://github.com/citation-style-language/schema/raw/master/csl-citation.json"} </w:instrText>
      </w:r>
      <w:r w:rsidR="00690491" w:rsidRPr="004666D3">
        <w:rPr>
          <w:lang w:val="en-US"/>
        </w:rPr>
        <w:fldChar w:fldCharType="separate"/>
      </w:r>
      <w:r w:rsidR="00AA0C51" w:rsidRPr="004666D3">
        <w:rPr>
          <w:rFonts w:ascii="Calibri" w:hAnsi="Calibri" w:cs="Calibri"/>
        </w:rPr>
        <w:t>Cleveland et al. (1990)</w:t>
      </w:r>
      <w:r w:rsidR="00690491" w:rsidRPr="004666D3">
        <w:rPr>
          <w:lang w:val="en-US"/>
        </w:rPr>
        <w:fldChar w:fldCharType="end"/>
      </w:r>
      <w:r w:rsidR="00B90265" w:rsidRPr="004666D3">
        <w:rPr>
          <w:lang w:val="en-US"/>
        </w:rPr>
        <w:t xml:space="preserve">. </w:t>
      </w:r>
      <w:r w:rsidR="008912E6" w:rsidRPr="004666D3">
        <w:rPr>
          <w:lang w:val="en-US"/>
        </w:rPr>
        <w:t xml:space="preserve">The STL </w:t>
      </w:r>
      <w:r w:rsidR="007755F8" w:rsidRPr="004666D3">
        <w:rPr>
          <w:lang w:val="en-US"/>
        </w:rPr>
        <w:t>procedure</w:t>
      </w:r>
      <w:r w:rsidR="008912E6" w:rsidRPr="004666D3">
        <w:rPr>
          <w:lang w:val="en-US"/>
        </w:rPr>
        <w:t xml:space="preserve"> has been </w:t>
      </w:r>
      <w:r w:rsidR="00893C0F" w:rsidRPr="004666D3">
        <w:rPr>
          <w:lang w:val="en-US"/>
        </w:rPr>
        <w:t>extensively</w:t>
      </w:r>
      <w:r w:rsidR="008912E6" w:rsidRPr="004666D3">
        <w:rPr>
          <w:lang w:val="en-US"/>
        </w:rPr>
        <w:t xml:space="preserve"> </w:t>
      </w:r>
      <w:r w:rsidR="009A1AF1" w:rsidRPr="004666D3">
        <w:t>utili</w:t>
      </w:r>
      <w:r w:rsidR="00D57698" w:rsidRPr="004666D3">
        <w:t>s</w:t>
      </w:r>
      <w:r w:rsidR="009A1AF1" w:rsidRPr="004666D3">
        <w:t>ed</w:t>
      </w:r>
      <w:r w:rsidR="008912E6" w:rsidRPr="004666D3">
        <w:rPr>
          <w:lang w:val="en-US"/>
        </w:rPr>
        <w:t xml:space="preserve"> to decompose complete time-series datasets</w:t>
      </w:r>
      <w:r w:rsidR="00042B86" w:rsidRPr="004666D3">
        <w:rPr>
          <w:lang w:val="en-US"/>
        </w:rPr>
        <w:t xml:space="preserve"> and </w:t>
      </w:r>
      <w:r w:rsidR="00336767" w:rsidRPr="004666D3">
        <w:rPr>
          <w:lang w:val="en-US"/>
        </w:rPr>
        <w:t>detecting nonlinear patterns</w:t>
      </w:r>
      <w:r w:rsidR="008560D2" w:rsidRPr="004666D3">
        <w:rPr>
          <w:lang w:val="en-US"/>
        </w:rPr>
        <w:t xml:space="preserve"> </w:t>
      </w:r>
      <w:r w:rsidR="008560D2" w:rsidRPr="004666D3">
        <w:rPr>
          <w:lang w:val="en-US"/>
        </w:rPr>
        <w:fldChar w:fldCharType="begin"/>
      </w:r>
      <w:r w:rsidR="008560D2" w:rsidRPr="004666D3">
        <w:rPr>
          <w:lang w:val="en-US"/>
        </w:rPr>
        <w:instrText xml:space="preserve"> ADDIN ZOTERO_ITEM CSL_CITATION {"citationID":"nkGznp14","properties":{"formattedCitation":"(Anderson et al., 2021; Boulton et al., 2022; Li et al., 2022; Smith et al., 2022; Woods et al., 2022)","plainCitation":"(Anderson et al., 2021; Boulton et al., 2022; Li et al., 2022; Smith et al., 2022; Woods et al., 2022)","noteIndex":0},"citationItems":[{"id":6029,"uris":["http://zotero.org/users/9756803/items/4EURUM3U"],"itemData":{"id":6029,"type":"article-journal","abstract":"Most of Earth’s fresh surface water is consolidated in just a few of its largest lakes, and because of their unique response to environmental conditions, lakes have been identified as climate change sentinels. While the response of lake surface water temperatures to climate change is well documented from satellite and summer in situ measurements, our understanding of how water temperatures in large lakes are responding at depth is limited, as few large lakes have detailed long-term subsurface observations. We present an analysis of three decades of high frequency (3-hourly and hourly) subsurface water temperature data from Lake Michigan. This unique data set reveals that deep water temperatures are rising in the winter and provides precise measurements of the timing of fall overturn, the point of minimum temperature, and the duration of the winter cooling period. Relationships from the data show a shortened winter season results in higher subsurface temperatures and earlier onset of summer stratification. Shifts in the thermal regimes of large lakes will have profound impacts on the ecosystems of the world’s surface freshwater.","container-title":"Nature Communications","DOI":"10.1038/s41467-021-21971-1","ISSN":"2041-1723","issue":"1","journalAbbreviation":"Nat Commun","language":"en","license":"2021 This is a U.S. government work and not under copyright protection in the U.S.; foreign copyright protection may apply","note":"number: 1\npublisher: Nature Publishing Group","page":"1688","source":"www.nature.com","title":"Seasonal overturn and stratification changes drive deep-water warming in one of Earth’s largest lakes","volume":"12","author":[{"family":"Anderson","given":"Eric J."},{"family":"Stow","given":"Craig A."},{"family":"Gronewold","given":"Andrew D."},{"family":"Mason","given":"Lacey A."},{"family":"McCormick","given":"Michael J."},{"family":"Qian","given":"Song S."},{"family":"Ruberg","given":"Steven A."},{"family":"Beadle","given":"Kyle"},{"family":"Constant","given":"Stephen A."},{"family":"Hawley","given":"Nathan"}],"issued":{"date-parts":[["2021",3,16]]}}},{"id":6032,"uris":["http://zotero.org/users/9756803/items/7WDMDCAB"],"itemData":{"id":6032,"type":"article-journal","abstract":"The resilience of the Amazon rainforest to climate and land-use change is crucial for biodiversity, regional climate and the global carbon cycle. Deforestation and climate change, via increasing dry-season length and drought frequency, may already have pushed the Amazon close to a critical threshold of rainforest dieback. Here, we quantify changes of Amazon resilience by applying established indicators (for example, measuring lag-1 autocorrelation) to remotely sensed vegetation data with a focus on vegetation optical depth (1991–2016). We find that more than three-quarters of the Amazon rainforest has been losing resilience since the early 2000s, consistent with the approach to a critical transition. Resilience is being lost faster in regions with less rainfall and in parts of the rainforest that are closer to human activity. We provide direct empirical evidence that the Amazon rainforest is losing resilience, risking dieback with profound implications for biodiversity, carbon storage and climate change at a global scale.","container-title":"Nature Climate Change","DOI":"10.1038/s41558-022-01287-8","ISSN":"1758-6798","issue":"3","journalAbbreviation":"Nat. Clim. Chang.","language":"en","license":"2022 The Author(s)","note":"number: 3\npublisher: Nature Publishing Group","page":"271-278","source":"www.nature.com","title":"Pronounced loss of Amazon rainforest resilience since the early 2000s","volume":"12","author":[{"family":"Boulton","given":"Chris A."},{"family":"Lenton","given":"Timothy M."},{"family":"Boers","given":"Niklas"}],"issued":{"date-parts":[["2022",3]]}}},{"id":6025,"uris":["http://zotero.org/users/9756803/items/9JUFJYAD"],"itemData":{"id":6025,"type":"article-journal","abstract":"Terrestrial water storage (TWS) over the Tibetan Plateau, a major global water tower, is crucial in determining water transport and availability to a large downstream Asian population. Climate change impacts on historical and future TWS changes, however, are not well quantified. Here we used bottom-up and top-down approaches to quantify a significant TWS decrease (10.2 Gt yr–1) over the Tibetan Plateau in recent decades (2002–2017), reflecting competing effects of glacier retreat, lake expansion and subsurface water loss. Despite the weakened trends in projected TWS, it shows large declines under a mid-range carbon emissions scenario by the mid-twenty-first century. Excess water-loss projections for the Amu Darya and Indus basins present a critical water resource threat, indicating declines of 119% and 79% in water-supply capacity, respectively. Our study highlights these two hotspots as being at risk from climate change, informing adaptation strategies for these highly vulnerable regions.","container-title":"Nature Climate Change","DOI":"10.1038/s41558-022-01443-0","ISSN":"1758-6798","issue":"9","journalAbbreviation":"Nat. Clim. Chang.","language":"en","license":"2022 The Author(s), under exclusive licence to Springer Nature Limited","note":"number: 9\npublisher: Nature Publishing Group","page":"801-807","source":"www.nature.com","title":"Climate change threatens terrestrial water storage over the Tibetan Plateau","volume":"12","author":[{"family":"Li","given":"Xueying"},{"family":"Long","given":"Di"},{"family":"Scanlon","given":"Bridget R."},{"family":"Mann","given":"Michael E."},{"family":"Li","given":"Xingdong"},{"family":"Tian","given":"Fuqiang"},{"family":"Sun","given":"Zhangli"},{"family":"Wang","given":"Guangqian"}],"issued":{"date-parts":[["2022",9]]}}},{"id":6026,"uris":["http://zotero.org/users/9756803/items/NPWDGXFN"],"itemData":{"id":6026,"type":"article-journal","abstract":"The character and health of ecosystems worldwide is tightly coupled to changes in Earth’s climate. Theory suggests that ecosystem resilience—the ability of ecosystems to resist and recover from external shocks such as droughts and fires—can be inferred from their natural variability. Here, we quantify vegetation resilience globally with complementary metrics based on two independent long-term satellite records. We first empirically confirm that the recovery rates from large perturbations can be closely approximated from internal vegetation variability across vegetation types and climate zones. On the basis of this empirical relationship, we quantify vegetation resilience continuously and globally from 1992 to 2017. Long-term vegetation resilience trends are spatially heterogeneous, with overall increasing resilience in the tropics and decreasing resilience at higher latitudes. Shorter-term trends, however, reveal a marked shift towards a global decline in vegetation resilience since the early 2000s, particularly in the equatorial rainforest belt.","container-title":"Nature Climate Change","DOI":"10.1038/s41558-022-01352-2","ISSN":"1758-6798","issue":"5","journalAbbreviation":"Nat. Clim. Chang.","language":"en","license":"2022 The Author(s)","note":"number: 5\npublisher: Nature Publishing Group","page":"477-484","source":"www.nature.com","title":"Empirical evidence for recent global shifts in vegetation resilience","volume":"12","author":[{"family":"Smith","given":"Taylor"},{"family":"Traxl","given":"Dominik"},{"family":"Boers","given":"Niklas"}],"issued":{"date-parts":[["2022",5]]}}},{"id":1417,"uris":["http://zotero.org/users/9756803/items/KT2U77ID"],"itemData":{"id":1417,"type":"article-journal","abstract":"Data accurately representing the population distribution at the subnational level within countries is critical to policy and decision makers for many applications. Call data records (CDRs) have shown great promise for this, providing much higher temporal and spatial resolutions compared to traditional data sources. For CDRs to be integrated with other data and in order to effectively inform and support policy and decision making, mobile phone user must be distributed from the cell tower level into administrative units. This can be done in different ways and it is often not considered which method produces the best representation of the underlying population distribution. Using anonymised CDRs in Namibia between 2011 and 2013, four distribution methods were assessed at multiple administrative unit levels. Estimates of user density per administrative unit were ranked for each method and compared against the corresponding census-derived population densities, using Kendall’s tau-b rank tests. Seasonal and trend decomposition using Loess (STL) and multivariate clustering was subsequently used to identify patterns of seasonal user variation and investigate how different distribution methods can impact these. Results show that the accuracy of the results of each distribution method is influenced by the considered administrative unit level. While marginal differences between methods are displayed at “coarser” level 1, the use of mobile phone tower ranges provided the most accurate results for Namibia at finer levels 2 and 3. The use of STL is helpful to recognise the impact of the underlying distribution methods on further analysis, with the degree of consensus between methods decreasing as spatial scale increases. Multivariate clustering delivers valuable insights into which units share a similar seasonal user behaviour. The higher the number of prescribed clusters, the more the results obtained using different distribution methods differ. However, two major seasonal patterns were identified across all distribution methods, levels and most cluster numbers: (a) units with a 15% user decrease in August and (b) units with a 20–30% user increase in December. Both patterns are likely to be partially linked to school holidays and people going on vacation and/or visiting relatives and friends. This study highlights the need and importance of investigating CDRs in detail before conducting subsequent analysis like seasonal and trend decomposition. In particular, CDRs need to be investigated both in terms of their area and population coverage, as well as in relation to the appropriate distribution method to use based on the spatial scale of the specific application. The use of inappropriate methods can change observed seasonal patterns and impact the derived conclusions.","container-title":"Humanities and Social Sciences Communications","DOI":"10.1057/s41599-022-01256-8","ISSN":"2662-9992","issue":"1","journalAbbreviation":"Humanit Soc Sci Commun","language":"en","license":"2022 The Author(s)","note":"number: 1\npublisher: Palgrave","page":"1-17","source":"www.nature.com","title":"Exploring methods for mapping seasonal population changes using mobile phone data","volume":"9","author":[{"family":"Woods","given":"D."},{"family":"Cunningham","given":"A."},{"family":"Utazi","given":"C. E."},{"family":"Bondarenko","given":"M."},{"family":"Shengjie","given":"L."},{"family":"Rogers","given":"G. E."},{"family":"Koper","given":"P."},{"family":"Ruktanonchai","given":"C. W."},{"family":"Erbach-Schoenberg","given":"E.","non-dropping-particle":"zu"},{"family":"Tatem","given":"A. J."},{"family":"Steele","given":"J."},{"family":"Sorichetta","given":"A."}],"issued":{"date-parts":[["2022",7,28]]}}}],"schema":"https://github.com/citation-style-language/schema/raw/master/csl-citation.json"} </w:instrText>
      </w:r>
      <w:r w:rsidR="008560D2" w:rsidRPr="004666D3">
        <w:rPr>
          <w:lang w:val="en-US"/>
        </w:rPr>
        <w:fldChar w:fldCharType="separate"/>
      </w:r>
      <w:r w:rsidR="008560D2" w:rsidRPr="004666D3">
        <w:rPr>
          <w:rFonts w:ascii="Calibri" w:hAnsi="Calibri" w:cs="Calibri"/>
        </w:rPr>
        <w:t>(Anderson et al., 2021; Boulton et al., 2022; Li et al., 2022; Smith et al., 2022; Woods et al., 2022)</w:t>
      </w:r>
      <w:r w:rsidR="008560D2" w:rsidRPr="004666D3">
        <w:rPr>
          <w:lang w:val="en-US"/>
        </w:rPr>
        <w:fldChar w:fldCharType="end"/>
      </w:r>
      <w:r w:rsidR="008912E6" w:rsidRPr="004666D3">
        <w:rPr>
          <w:lang w:val="en-US"/>
        </w:rPr>
        <w:t xml:space="preserve">, </w:t>
      </w:r>
      <w:r w:rsidR="70E9489D" w:rsidRPr="004666D3">
        <w:rPr>
          <w:lang w:val="en-US"/>
        </w:rPr>
        <w:t>due to its</w:t>
      </w:r>
      <w:r w:rsidR="45A14B3F" w:rsidRPr="004666D3">
        <w:rPr>
          <w:lang w:val="en-US"/>
        </w:rPr>
        <w:t xml:space="preserve"> insensitiv</w:t>
      </w:r>
      <w:r w:rsidR="2C169D75" w:rsidRPr="004666D3">
        <w:rPr>
          <w:lang w:val="en-US"/>
        </w:rPr>
        <w:t>ity</w:t>
      </w:r>
      <w:r w:rsidR="45A14B3F" w:rsidRPr="004666D3">
        <w:rPr>
          <w:lang w:val="en-US"/>
        </w:rPr>
        <w:t xml:space="preserve"> </w:t>
      </w:r>
      <w:r w:rsidR="00AC4EFA" w:rsidRPr="004666D3">
        <w:rPr>
          <w:lang w:val="en-US"/>
        </w:rPr>
        <w:t>to outliers</w:t>
      </w:r>
      <w:r w:rsidR="00D24F92" w:rsidRPr="004666D3">
        <w:rPr>
          <w:lang w:val="en-US"/>
        </w:rPr>
        <w:t>,</w:t>
      </w:r>
      <w:r w:rsidR="001D3D7C" w:rsidRPr="004666D3">
        <w:rPr>
          <w:lang w:val="en-US"/>
        </w:rPr>
        <w:t xml:space="preserve"> </w:t>
      </w:r>
      <w:r w:rsidR="3FB76088" w:rsidRPr="004666D3">
        <w:rPr>
          <w:lang w:val="en-US"/>
        </w:rPr>
        <w:t>i</w:t>
      </w:r>
      <w:r w:rsidR="32091E0E" w:rsidRPr="004666D3">
        <w:rPr>
          <w:lang w:val="en-US"/>
        </w:rPr>
        <w:t xml:space="preserve">ts ability to </w:t>
      </w:r>
      <w:r w:rsidR="3FB76088" w:rsidRPr="004666D3">
        <w:rPr>
          <w:lang w:val="en-US"/>
        </w:rPr>
        <w:t>handl</w:t>
      </w:r>
      <w:r w:rsidR="77441AD8" w:rsidRPr="004666D3">
        <w:rPr>
          <w:lang w:val="en-US"/>
        </w:rPr>
        <w:t>e</w:t>
      </w:r>
      <w:r w:rsidR="3FB76088" w:rsidRPr="004666D3">
        <w:rPr>
          <w:lang w:val="en-US"/>
        </w:rPr>
        <w:t xml:space="preserve"> </w:t>
      </w:r>
      <w:r w:rsidR="001D3D7C" w:rsidRPr="004666D3">
        <w:rPr>
          <w:lang w:val="en-US"/>
        </w:rPr>
        <w:t xml:space="preserve">different </w:t>
      </w:r>
      <w:r w:rsidR="001F6E0B" w:rsidRPr="004666D3">
        <w:rPr>
          <w:lang w:val="en-US"/>
        </w:rPr>
        <w:t>seasonal</w:t>
      </w:r>
      <w:r w:rsidR="00430F57" w:rsidRPr="004666D3">
        <w:rPr>
          <w:lang w:val="en-US"/>
        </w:rPr>
        <w:t xml:space="preserve"> types</w:t>
      </w:r>
      <w:r w:rsidR="49CC8EF0" w:rsidRPr="004666D3">
        <w:rPr>
          <w:lang w:val="en-US"/>
        </w:rPr>
        <w:t>, a</w:t>
      </w:r>
      <w:r w:rsidR="7D38BA4B" w:rsidRPr="004666D3">
        <w:rPr>
          <w:lang w:val="en-US"/>
        </w:rPr>
        <w:t xml:space="preserve">nd its </w:t>
      </w:r>
      <w:bookmarkEnd w:id="87"/>
      <w:bookmarkEnd w:id="88"/>
      <w:r w:rsidR="0090626D" w:rsidRPr="004666D3">
        <w:rPr>
          <w:lang w:val="en-US"/>
        </w:rPr>
        <w:t xml:space="preserve">computational efficiency </w:t>
      </w:r>
      <w:r w:rsidR="008560D2" w:rsidRPr="004666D3">
        <w:rPr>
          <w:lang w:val="en-US"/>
        </w:rPr>
        <w:fldChar w:fldCharType="begin"/>
      </w:r>
      <w:r w:rsidR="008560D2" w:rsidRPr="004666D3">
        <w:rPr>
          <w:lang w:val="en-US"/>
        </w:rPr>
        <w:instrText xml:space="preserve"> ADDIN ZOTERO_ITEM CSL_CITATION {"citationID":"q5QA381e","properties":{"formattedCitation":"(Cleveland et al., 1990; Theodosiou, 2011)","plainCitation":"(Cleveland et al., 1990; Theodosiou, 2011)","noteIndex":0},"citationItems":[{"id":5065,"uris":["http://zotero.org/users/9756803/items/FXAQSRX4"],"itemData":{"id":5065,"type":"article-journal","container-title":"Journal of Official Statistics","issue":"1","page":"3–73","title":"STL: A seasonal-trend decomposition","volume":"6","author":[{"family":"Cleveland","given":"Robert B"},{"family":"Cleveland","given":"William S"},{"family":"McRae","given":"Jean E"},{"family":"Terpenning","given":"Irma"}],"issued":{"date-parts":[["1990"]]}}},{"id":6021,"uris":["http://zotero.org/users/9756803/items/8NLIQW6M"],"itemData":{"id":6021,"type":"article-journal","abstract":"This paper is a re-examination of the benefits and limitations of decomposition and combination techniques in the area of forecasting, and also a contribution to the field, offering a new forecasting method. The new method is based on the disaggregation of time series components through the STL decomposition procedure, the extrapolation of linear combinations of the disaggregated sub-series, and the reaggregation of the extrapolations to obtain estimates for the global series. Applying the forecasting method to data from the NN3 and M1 Competition series, the results suggest that it can perform well relative to four other standard statistical techniques from the literature, namely the ARIMA, Theta, Holt-Winters’ and Holt’s Damped Trend methods. The relative advantages of the new method are then investigated further relative to a simple combination of the four statistical methods and a Classical Decomposition forecasting method. The strength of the method lies in its ability to predict long lead times with relatively high levels of accuracy, and to perform consistently well for a wide range of time series, irrespective of the characteristics, underlying structure and level of noise of the data.","container-title":"International Journal of Forecasting","DOI":"10.1016/j.ijforecast.2010.11.002","ISSN":"0169-2070","issue":"4","journalAbbreviation":"International Journal of Forecasting","page":"1178-1195","source":"ScienceDirect","title":"Forecasting monthly and quarterly time series using STL decomposition","volume":"27","author":[{"family":"Theodosiou","given":"Marina"}],"issued":{"date-parts":[["2011",10,1]]}}}],"schema":"https://github.com/citation-style-language/schema/raw/master/csl-citation.json"} </w:instrText>
      </w:r>
      <w:r w:rsidR="008560D2" w:rsidRPr="004666D3">
        <w:rPr>
          <w:lang w:val="en-US"/>
        </w:rPr>
        <w:fldChar w:fldCharType="separate"/>
      </w:r>
      <w:r w:rsidR="008560D2" w:rsidRPr="004666D3">
        <w:rPr>
          <w:rFonts w:ascii="Calibri" w:hAnsi="Calibri" w:cs="Calibri"/>
        </w:rPr>
        <w:t>(Cleveland et al., 1990; Theodosiou, 2011)</w:t>
      </w:r>
      <w:r w:rsidR="008560D2" w:rsidRPr="004666D3">
        <w:rPr>
          <w:lang w:val="en-US"/>
        </w:rPr>
        <w:fldChar w:fldCharType="end"/>
      </w:r>
      <w:r w:rsidR="001011D4" w:rsidRPr="004666D3">
        <w:rPr>
          <w:lang w:val="en-US"/>
        </w:rPr>
        <w:t>.</w:t>
      </w:r>
      <w:r w:rsidR="003353EE" w:rsidRPr="004666D3">
        <w:rPr>
          <w:lang w:val="en-US"/>
        </w:rPr>
        <w:t xml:space="preserve"> </w:t>
      </w:r>
      <w:bookmarkStart w:id="89" w:name="OLE_LINK127"/>
      <w:bookmarkStart w:id="90" w:name="OLE_LINK128"/>
      <w:r w:rsidR="00E519DD" w:rsidRPr="004666D3">
        <w:rPr>
          <w:lang w:val="en-US"/>
        </w:rPr>
        <w:t xml:space="preserve">At the </w:t>
      </w:r>
      <w:r w:rsidR="002E0D74" w:rsidRPr="004666D3">
        <w:rPr>
          <w:lang w:val="en-US"/>
        </w:rPr>
        <w:t xml:space="preserve">tile </w:t>
      </w:r>
      <w:r w:rsidR="00E519DD" w:rsidRPr="004666D3">
        <w:rPr>
          <w:lang w:val="en-US"/>
        </w:rPr>
        <w:t>level</w:t>
      </w:r>
      <w:r w:rsidR="00756C94" w:rsidRPr="004666D3">
        <w:rPr>
          <w:lang w:val="en-US"/>
        </w:rPr>
        <w:t xml:space="preserve">, we </w:t>
      </w:r>
      <w:r w:rsidR="00E27D06" w:rsidRPr="004666D3">
        <w:rPr>
          <w:lang w:val="en-US"/>
        </w:rPr>
        <w:t xml:space="preserve">applied </w:t>
      </w:r>
      <w:r w:rsidR="007E3711" w:rsidRPr="004666D3">
        <w:rPr>
          <w:lang w:val="en-US"/>
        </w:rPr>
        <w:t xml:space="preserve">simple </w:t>
      </w:r>
      <w:r w:rsidR="00E27D06" w:rsidRPr="004666D3">
        <w:rPr>
          <w:lang w:val="en-US"/>
        </w:rPr>
        <w:t xml:space="preserve">linear regression to the trend component of </w:t>
      </w:r>
      <w:r w:rsidR="002C1ECB" w:rsidRPr="004666D3">
        <w:rPr>
          <w:lang w:val="en-US"/>
        </w:rPr>
        <w:t>each</w:t>
      </w:r>
      <w:r w:rsidR="00E27D06" w:rsidRPr="004666D3">
        <w:rPr>
          <w:lang w:val="en-US"/>
        </w:rPr>
        <w:t xml:space="preserve"> grid </w:t>
      </w:r>
      <w:r w:rsidR="005C1ED3" w:rsidRPr="004666D3">
        <w:rPr>
          <w:lang w:val="en-US"/>
        </w:rPr>
        <w:t xml:space="preserve">to determine their overall </w:t>
      </w:r>
      <w:r w:rsidR="00582F62" w:rsidRPr="004666D3">
        <w:rPr>
          <w:lang w:val="en-US"/>
        </w:rPr>
        <w:t>changes</w:t>
      </w:r>
      <w:bookmarkEnd w:id="89"/>
      <w:r w:rsidR="004A3A0F" w:rsidRPr="004666D3">
        <w:rPr>
          <w:lang w:val="en-US"/>
        </w:rPr>
        <w:t>, which is a common combin</w:t>
      </w:r>
      <w:r w:rsidR="00195E75" w:rsidRPr="004666D3">
        <w:rPr>
          <w:lang w:val="en-US"/>
        </w:rPr>
        <w:t>ed</w:t>
      </w:r>
      <w:r w:rsidR="004A3A0F" w:rsidRPr="004666D3">
        <w:rPr>
          <w:lang w:val="en-US"/>
        </w:rPr>
        <w:t xml:space="preserve"> </w:t>
      </w:r>
      <w:r w:rsidR="00D70218" w:rsidRPr="004666D3">
        <w:rPr>
          <w:lang w:val="en-US"/>
        </w:rPr>
        <w:t>measurement</w:t>
      </w:r>
      <w:r w:rsidR="00272201" w:rsidRPr="004666D3">
        <w:rPr>
          <w:lang w:val="en-US"/>
        </w:rPr>
        <w:t xml:space="preserve"> </w:t>
      </w:r>
      <w:bookmarkEnd w:id="90"/>
      <w:r w:rsidR="00AA19BD" w:rsidRPr="004666D3">
        <w:rPr>
          <w:lang w:val="en-US"/>
        </w:rPr>
        <w:fldChar w:fldCharType="begin"/>
      </w:r>
      <w:r w:rsidR="00AA19BD" w:rsidRPr="004666D3">
        <w:rPr>
          <w:lang w:val="en-US"/>
        </w:rPr>
        <w:instrText xml:space="preserve"> ADDIN ZOTERO_ITEM CSL_CITATION {"citationID":"JZ92FVnv","properties":{"formattedCitation":"(Aguilera et al., 2015; Anderson et al., 2021; Li et al., 2022)","plainCitation":"(Aguilera et al., 2015; Anderson et al., 2021; Li et al., 2022)","noteIndex":0},"citationItems":[{"id":6059,"uris":["http://zotero.org/users/9756803/items/IKZFNTJB"],"itemData":{"id":6059,"type":"article-journal","abstract":"The aim of the present study was to analyse long temporal trends in cumulative temperatures and olive (Olea europaea L.) reproductive features, including full flowering dates and daily pollen concentrations, in three Mediterranean areas. The study used a 19-year database (1993–2011) of pollen and temperature records from the sites of Perugia (Italy), Jaen (Spain) and Zarzis (Tunisia). The analysis of long-term trends in both temperatures and olive reproductive cycles was performed using two approaches. The first is a seasonal trend decomposition procedure based on locally weighted regression (Loess) smoothing (STL), which is a filtering procedure for decomposing seasonal time series into three components: trend, seasonal, and remainder. The second approach analyses the trend components using Mann–Kendall tests. Loess smoothing provides a good approach to study long-term meteorological and phenological trends. Removing both the seasonal and the remainder components, the real rising trends over time can be interpreted. In general, a significant and clear increasing trend in the spring cumulative temperature was revealed, with decreasing trends in the full flowering dates of the olive trees located in Perugia and Zarzis. Moreover, olive pollen emissions are decreasing, which is more evident for the highest and lowest latitudinal study sites. These data indicate that increasing temperatures result in both anticipation of olive tree flowering and lower airborne pollen emission. As a consequence, the lower atmospheric pollen levels will reduce human exposure to olive pollen in the Mediterranean area. These patterns are evident for the highest and lowest latitudes, but not clear in the intermediate latitudes of Jaen, where further analysis is needed.","container-title":"Agricultural and Forest Meteorology","DOI":"10.1016/j.agrformet.2014.11.019","ISSN":"0168-1923","journalAbbreviation":"Agricultural and Forest Meteorology","page":"208-216","source":"ScienceDirect","title":"Analysis and interpretation of long temporal trends in cumulative temperatures and olive reproductive features using a seasonal trend decomposition procedure","volume":"203","author":[{"family":"Aguilera","given":"Fátima"},{"family":"Orlandi","given":"Fabio"},{"family":"Ruiz-Valenzuela","given":"Luis"},{"family":"Msallem","given":"Monji"},{"family":"Fornaciari","given":"Marco"}],"issued":{"date-parts":[["2015",4,15]]}}},{"id":6029,"uris":["http://zotero.org/users/9756803/items/4EURUM3U"],"itemData":{"id":6029,"type":"article-journal","abstract":"Most of Earth’s fresh surface water is consolidated in just a few of its largest lakes, and because of their unique response to environmental conditions, lakes have been identified as climate change sentinels. While the response of lake surface water temperatures to climate change is well documented from satellite and summer in situ measurements, our understanding of how water temperatures in large lakes are responding at depth is limited, as few large lakes have detailed long-term subsurface observations. We present an analysis of three decades of high frequency (3-hourly and hourly) subsurface water temperature data from Lake Michigan. This unique data set reveals that deep water temperatures are rising in the winter and provides precise measurements of the timing of fall overturn, the point of minimum temperature, and the duration of the winter cooling period. Relationships from the data show a shortened winter season results in higher subsurface temperatures and earlier onset of summer stratification. Shifts in the thermal regimes of large lakes will have profound impacts on the ecosystems of the world’s surface freshwater.","container-title":"Nature Communications","DOI":"10.1038/s41467-021-21971-1","ISSN":"2041-1723","issue":"1","journalAbbreviation":"Nat Commun","language":"en","license":"2021 This is a U.S. government work and not under copyright protection in the U.S.; foreign copyright protection may apply","note":"number: 1\npublisher: Nature Publishing Group","page":"1688","source":"www.nature.com","title":"Seasonal overturn and stratification changes drive deep-water warming in one of Earth’s largest lakes","volume":"12","author":[{"family":"Anderson","given":"Eric J."},{"family":"Stow","given":"Craig A."},{"family":"Gronewold","given":"Andrew D."},{"family":"Mason","given":"Lacey A."},{"family":"McCormick","given":"Michael J."},{"family":"Qian","given":"Song S."},{"family":"Ruberg","given":"Steven A."},{"family":"Beadle","given":"Kyle"},{"family":"Constant","given":"Stephen A."},{"family":"Hawley","given":"Nathan"}],"issued":{"date-parts":[["2021",3,16]]}}},{"id":6025,"uris":["http://zotero.org/users/9756803/items/9JUFJYAD"],"itemData":{"id":6025,"type":"article-journal","abstract":"Terrestrial water storage (TWS) over the Tibetan Plateau, a major global water tower, is crucial in determining water transport and availability to a large downstream Asian population. Climate change impacts on historical and future TWS changes, however, are not well quantified. Here we used bottom-up and top-down approaches to quantify a significant TWS decrease (10.2 Gt yr–1) over the Tibetan Plateau in recent decades (2002–2017), reflecting competing effects of glacier retreat, lake expansion and subsurface water loss. Despite the weakened trends in projected TWS, it shows large declines under a mid-range carbon emissions scenario by the mid-twenty-first century. Excess water-loss projections for the Amu Darya and Indus basins present a critical water resource threat, indicating declines of 119% and 79% in water-supply capacity, respectively. Our study highlights these two hotspots as being at risk from climate change, informing adaptation strategies for these highly vulnerable regions.","container-title":"Nature Climate Change","DOI":"10.1038/s41558-022-01443-0","ISSN":"1758-6798","issue":"9","journalAbbreviation":"Nat. Clim. Chang.","language":"en","license":"2022 The Author(s), under exclusive licence to Springer Nature Limited","note":"number: 9\npublisher: Nature Publishing Group","page":"801-807","source":"www.nature.com","title":"Climate change threatens terrestrial water storage over the Tibetan Plateau","volume":"12","author":[{"family":"Li","given":"Xueying"},{"family":"Long","given":"Di"},{"family":"Scanlon","given":"Bridget R."},{"family":"Mann","given":"Michael E."},{"family":"Li","given":"Xingdong"},{"family":"Tian","given":"Fuqiang"},{"family":"Sun","given":"Zhangli"},{"family":"Wang","given":"Guangqian"}],"issued":{"date-parts":[["2022",9]]}}}],"schema":"https://github.com/citation-style-language/schema/raw/master/csl-citation.json"} </w:instrText>
      </w:r>
      <w:r w:rsidR="00AA19BD" w:rsidRPr="004666D3">
        <w:rPr>
          <w:lang w:val="en-US"/>
        </w:rPr>
        <w:fldChar w:fldCharType="separate"/>
      </w:r>
      <w:r w:rsidR="00AA19BD" w:rsidRPr="004666D3">
        <w:rPr>
          <w:rFonts w:ascii="Calibri" w:hAnsi="Calibri" w:cs="Calibri"/>
        </w:rPr>
        <w:t>(Aguilera et al., 2015; Anderson et al., 2021; Li et al., 2022)</w:t>
      </w:r>
      <w:r w:rsidR="00AA19BD" w:rsidRPr="004666D3">
        <w:rPr>
          <w:lang w:val="en-US"/>
        </w:rPr>
        <w:fldChar w:fldCharType="end"/>
      </w:r>
      <w:r w:rsidR="00582F62" w:rsidRPr="004666D3">
        <w:rPr>
          <w:lang w:val="en-US"/>
        </w:rPr>
        <w:t>.</w:t>
      </w:r>
      <w:r w:rsidR="00024F47" w:rsidRPr="004666D3">
        <w:rPr>
          <w:lang w:val="en-US"/>
        </w:rPr>
        <w:t xml:space="preserve"> </w:t>
      </w:r>
      <w:bookmarkStart w:id="91" w:name="OLE_LINK68"/>
      <w:r w:rsidR="0002293B" w:rsidRPr="004666D3">
        <w:rPr>
          <w:lang w:val="en-US"/>
        </w:rPr>
        <w:t xml:space="preserve">For each tile </w:t>
      </w:r>
      <w:proofErr w:type="spellStart"/>
      <w:r w:rsidR="0002293B" w:rsidRPr="004666D3">
        <w:rPr>
          <w:i/>
          <w:iCs/>
          <w:lang w:val="en-US"/>
        </w:rPr>
        <w:t>i</w:t>
      </w:r>
      <w:proofErr w:type="spellEnd"/>
      <w:r w:rsidR="0002293B" w:rsidRPr="004666D3">
        <w:rPr>
          <w:lang w:val="en-US"/>
        </w:rPr>
        <w:t>,</w:t>
      </w:r>
    </w:p>
    <w:p w14:paraId="237DA4FF" w14:textId="25043737" w:rsidR="00246C26" w:rsidRPr="004666D3" w:rsidRDefault="00000000" w:rsidP="00323599">
      <w:pPr>
        <w:rPr>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St</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1i</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5</m:t>
                  </m:r>
                </m:e>
              </m:d>
            </m:e>
          </m:eqArr>
        </m:oMath>
      </m:oMathPara>
    </w:p>
    <w:p w14:paraId="2F0A2043" w14:textId="1C623AA8" w:rsidR="00673D81" w:rsidRPr="004666D3" w:rsidRDefault="00BA2AF3" w:rsidP="00323599">
      <w:pPr>
        <w:rPr>
          <w:lang w:val="en-US"/>
        </w:rPr>
      </w:pPr>
      <w:bookmarkStart w:id="92" w:name="OLE_LINK106"/>
      <w:r w:rsidRPr="004666D3">
        <w:rPr>
          <w:lang w:val="en-US"/>
        </w:rPr>
        <w:t>where</w:t>
      </w:r>
      <w:r w:rsidR="00246C26" w:rsidRPr="004666D3">
        <w:rPr>
          <w:lang w:val="en-US"/>
        </w:rPr>
        <w:t xml:space="preserve"> </w:t>
      </w:r>
      <m:oMath>
        <m:sSub>
          <m:sSubPr>
            <m:ctrlPr>
              <w:rPr>
                <w:rFonts w:ascii="Cambria Math" w:hAnsi="Cambria Math"/>
                <w:i/>
                <w:lang w:val="en-US"/>
              </w:rPr>
            </m:ctrlPr>
          </m:sSubPr>
          <m:e>
            <m:r>
              <w:rPr>
                <w:rFonts w:ascii="Cambria Math" w:hAnsi="Cambria Math"/>
                <w:lang w:val="en-US"/>
              </w:rPr>
              <m:t>St</m:t>
            </m:r>
          </m:e>
          <m:sub>
            <m:r>
              <w:rPr>
                <w:rFonts w:ascii="Cambria Math" w:hAnsi="Cambria Math"/>
                <w:lang w:val="en-US"/>
              </w:rPr>
              <m:t>i</m:t>
            </m:r>
          </m:sub>
        </m:sSub>
      </m:oMath>
      <w:r w:rsidR="00246C26" w:rsidRPr="004666D3">
        <w:rPr>
          <w:lang w:val="en-US"/>
        </w:rPr>
        <w:t xml:space="preserve"> </w:t>
      </w:r>
      <w:r w:rsidR="0098502A" w:rsidRPr="004666D3">
        <w:rPr>
          <w:lang w:val="en-US"/>
        </w:rPr>
        <w:t>indicated</w:t>
      </w:r>
      <w:r w:rsidRPr="004666D3">
        <w:rPr>
          <w:lang w:val="en-US"/>
        </w:rPr>
        <w:t xml:space="preserve"> the </w:t>
      </w:r>
      <w:proofErr w:type="spellStart"/>
      <w:r w:rsidRPr="004666D3">
        <w:rPr>
          <w:lang w:val="en-US"/>
        </w:rPr>
        <w:t>deseasoned</w:t>
      </w:r>
      <w:proofErr w:type="spellEnd"/>
      <w:r w:rsidRPr="004666D3">
        <w:rPr>
          <w:lang w:val="en-US"/>
        </w:rPr>
        <w:t xml:space="preserve"> user count</w:t>
      </w:r>
      <w:r w:rsidR="00D04E1B" w:rsidRPr="004666D3">
        <w:rPr>
          <w:lang w:val="en-US"/>
        </w:rPr>
        <w:t xml:space="preserve"> for tile </w:t>
      </w:r>
      <w:proofErr w:type="spellStart"/>
      <w:r w:rsidR="00D04E1B" w:rsidRPr="004666D3">
        <w:rPr>
          <w:i/>
          <w:iCs/>
          <w:lang w:val="en-US"/>
        </w:rPr>
        <w:t>i</w:t>
      </w:r>
      <w:proofErr w:type="spellEnd"/>
      <w:r w:rsidR="0090629B" w:rsidRPr="004666D3">
        <w:rPr>
          <w:lang w:val="en-US"/>
        </w:rPr>
        <w:t>,</w:t>
      </w:r>
      <w:r w:rsidR="00D559D0" w:rsidRPr="004666D3">
        <w:rPr>
          <w:lang w:val="en-US"/>
        </w:rPr>
        <w:t xml:space="preserve"> </w:t>
      </w:r>
      <w:r w:rsidRPr="004666D3">
        <w:rPr>
          <w:i/>
          <w:iCs/>
          <w:lang w:val="en-US"/>
        </w:rPr>
        <w:t>W</w:t>
      </w:r>
      <w:r w:rsidRPr="004666D3">
        <w:rPr>
          <w:lang w:val="en-US"/>
        </w:rPr>
        <w:t xml:space="preserve"> </w:t>
      </w:r>
      <w:r w:rsidR="0005146E" w:rsidRPr="004666D3">
        <w:rPr>
          <w:lang w:val="en-US"/>
        </w:rPr>
        <w:t>was</w:t>
      </w:r>
      <w:r w:rsidRPr="004666D3">
        <w:rPr>
          <w:lang w:val="en-US"/>
        </w:rPr>
        <w:t xml:space="preserve"> </w:t>
      </w:r>
      <w:r w:rsidR="0098502A" w:rsidRPr="004666D3">
        <w:rPr>
          <w:lang w:val="en-US"/>
        </w:rPr>
        <w:t xml:space="preserve">the </w:t>
      </w:r>
      <w:r w:rsidR="009A30F0" w:rsidRPr="004666D3">
        <w:rPr>
          <w:lang w:val="en-US"/>
        </w:rPr>
        <w:t>week number</w:t>
      </w:r>
      <w:r w:rsidR="0090629B" w:rsidRPr="004666D3">
        <w:rPr>
          <w:lang w:val="en-US"/>
        </w:rPr>
        <w:t>,</w:t>
      </w:r>
      <w:r w:rsidR="009A30F0" w:rsidRPr="004666D3">
        <w:rPr>
          <w:lang w:val="en-US"/>
        </w:rPr>
        <w:t xml:space="preserve"> </w:t>
      </w: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0i</m:t>
            </m:r>
          </m:sub>
        </m:sSub>
      </m:oMath>
      <w:r w:rsidR="006E3C54" w:rsidRPr="004666D3">
        <w:rPr>
          <w:lang w:val="en-US"/>
        </w:rPr>
        <w:t xml:space="preserve"> and </w:t>
      </w: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m:t>
            </m:r>
          </m:sub>
        </m:sSub>
      </m:oMath>
      <w:r w:rsidR="006E3C54" w:rsidRPr="004666D3">
        <w:rPr>
          <w:lang w:val="en-US"/>
        </w:rPr>
        <w:t xml:space="preserve"> </w:t>
      </w:r>
      <w:r w:rsidR="0005146E" w:rsidRPr="004666D3">
        <w:rPr>
          <w:lang w:val="en-US"/>
        </w:rPr>
        <w:t>were</w:t>
      </w:r>
      <w:r w:rsidR="0081027D" w:rsidRPr="004666D3">
        <w:rPr>
          <w:lang w:val="en-US"/>
        </w:rPr>
        <w:t xml:space="preserve"> </w:t>
      </w:r>
      <w:r w:rsidR="006E3C54" w:rsidRPr="004666D3">
        <w:rPr>
          <w:lang w:val="en-US"/>
        </w:rPr>
        <w:t xml:space="preserve">the </w:t>
      </w:r>
      <w:r w:rsidR="0057030E" w:rsidRPr="004666D3">
        <w:rPr>
          <w:lang w:val="en-US"/>
        </w:rPr>
        <w:t>intercept and error term</w:t>
      </w:r>
      <w:r w:rsidR="0081027D" w:rsidRPr="004666D3">
        <w:rPr>
          <w:lang w:val="en-US"/>
        </w:rPr>
        <w:t xml:space="preserve">, </w:t>
      </w:r>
      <w:r w:rsidR="00685EEB" w:rsidRPr="004666D3">
        <w:rPr>
          <w:lang w:val="en-US"/>
        </w:rPr>
        <w:t>respectively</w:t>
      </w:r>
      <w:r w:rsidR="001C1730" w:rsidRPr="004666D3">
        <w:rPr>
          <w:lang w:val="en-US"/>
        </w:rPr>
        <w:t>.</w:t>
      </w:r>
      <w:r w:rsidR="005D4461" w:rsidRPr="004666D3">
        <w:rPr>
          <w:lang w:val="en-US"/>
        </w:rPr>
        <w:t xml:space="preserve"> </w:t>
      </w:r>
      <w:r w:rsidR="001C1730" w:rsidRPr="004666D3">
        <w:rPr>
          <w:lang w:val="en-US"/>
        </w:rPr>
        <w:t>T</w:t>
      </w:r>
      <w:r w:rsidRPr="004666D3">
        <w:rPr>
          <w:lang w:val="en-US"/>
        </w:rPr>
        <w:t xml:space="preserve">he slope </w:t>
      </w: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1i</m:t>
            </m:r>
          </m:sub>
        </m:sSub>
      </m:oMath>
      <w:r w:rsidR="006E3C54" w:rsidRPr="004666D3">
        <w:rPr>
          <w:lang w:val="en-US"/>
        </w:rPr>
        <w:t xml:space="preserve"> </w:t>
      </w:r>
      <w:r w:rsidRPr="004666D3">
        <w:rPr>
          <w:lang w:val="en-US"/>
        </w:rPr>
        <w:t>obtained from th</w:t>
      </w:r>
      <w:r w:rsidR="009D683E" w:rsidRPr="004666D3">
        <w:rPr>
          <w:lang w:val="en-US"/>
        </w:rPr>
        <w:t>e</w:t>
      </w:r>
      <w:r w:rsidRPr="004666D3">
        <w:rPr>
          <w:lang w:val="en-US"/>
        </w:rPr>
        <w:t xml:space="preserve"> linear regression</w:t>
      </w:r>
      <w:r w:rsidR="001C1730" w:rsidRPr="004666D3">
        <w:rPr>
          <w:lang w:val="en-US"/>
        </w:rPr>
        <w:t>,</w:t>
      </w:r>
      <w:r w:rsidRPr="004666D3">
        <w:rPr>
          <w:lang w:val="en-US"/>
        </w:rPr>
        <w:t xml:space="preserve"> </w:t>
      </w:r>
      <w:r w:rsidR="00B20B2D" w:rsidRPr="004666D3">
        <w:rPr>
          <w:lang w:val="en-US"/>
        </w:rPr>
        <w:t>represent</w:t>
      </w:r>
      <w:r w:rsidR="00754517" w:rsidRPr="004666D3">
        <w:rPr>
          <w:lang w:val="en-US"/>
        </w:rPr>
        <w:t>ed</w:t>
      </w:r>
      <w:r w:rsidR="00B20B2D" w:rsidRPr="004666D3">
        <w:rPr>
          <w:lang w:val="en-US"/>
        </w:rPr>
        <w:t xml:space="preserve"> </w:t>
      </w:r>
      <w:r w:rsidR="00760921" w:rsidRPr="004666D3">
        <w:rPr>
          <w:lang w:val="en-US"/>
        </w:rPr>
        <w:t xml:space="preserve">the </w:t>
      </w:r>
      <w:r w:rsidR="00D80D86" w:rsidRPr="004666D3">
        <w:rPr>
          <w:lang w:val="en-US"/>
        </w:rPr>
        <w:t xml:space="preserve">user count </w:t>
      </w:r>
      <w:r w:rsidR="009B321B" w:rsidRPr="004666D3">
        <w:rPr>
          <w:lang w:val="en-US"/>
        </w:rPr>
        <w:t>change</w:t>
      </w:r>
      <w:r w:rsidR="005D4461" w:rsidRPr="004666D3">
        <w:rPr>
          <w:lang w:val="en-US"/>
        </w:rPr>
        <w:t>s</w:t>
      </w:r>
      <w:r w:rsidR="008C4F87" w:rsidRPr="004666D3">
        <w:rPr>
          <w:lang w:val="en-US"/>
        </w:rPr>
        <w:t xml:space="preserve"> per week</w:t>
      </w:r>
      <w:r w:rsidR="009B321B" w:rsidRPr="004666D3">
        <w:rPr>
          <w:lang w:val="en-US"/>
        </w:rPr>
        <w:t xml:space="preserve"> </w:t>
      </w:r>
      <w:r w:rsidR="00C66DAA" w:rsidRPr="004666D3">
        <w:rPr>
          <w:lang w:val="en-US"/>
        </w:rPr>
        <w:t>for</w:t>
      </w:r>
      <w:r w:rsidR="009B321B" w:rsidRPr="004666D3">
        <w:rPr>
          <w:lang w:val="en-US"/>
        </w:rPr>
        <w:t xml:space="preserve"> </w:t>
      </w:r>
      <w:r w:rsidR="005D4461" w:rsidRPr="004666D3">
        <w:rPr>
          <w:lang w:val="en-US"/>
        </w:rPr>
        <w:t>tile</w:t>
      </w:r>
      <w:r w:rsidR="001F3789" w:rsidRPr="004666D3">
        <w:rPr>
          <w:lang w:val="en-US"/>
        </w:rPr>
        <w:t xml:space="preserve"> </w:t>
      </w:r>
      <w:proofErr w:type="spellStart"/>
      <w:r w:rsidR="001F3789" w:rsidRPr="004666D3">
        <w:rPr>
          <w:i/>
          <w:iCs/>
          <w:lang w:val="en-US"/>
        </w:rPr>
        <w:t>i</w:t>
      </w:r>
      <w:proofErr w:type="spellEnd"/>
      <w:r w:rsidR="005D4461" w:rsidRPr="004666D3">
        <w:rPr>
          <w:lang w:val="en-US"/>
        </w:rPr>
        <w:t xml:space="preserve"> </w:t>
      </w:r>
      <w:r w:rsidR="00943082" w:rsidRPr="004666D3">
        <w:rPr>
          <w:lang w:val="en-US"/>
        </w:rPr>
        <w:t>after</w:t>
      </w:r>
      <w:r w:rsidR="00570D37" w:rsidRPr="004666D3">
        <w:rPr>
          <w:lang w:val="en-US"/>
        </w:rPr>
        <w:t xml:space="preserve"> </w:t>
      </w:r>
      <w:r w:rsidR="00242323" w:rsidRPr="004666D3">
        <w:rPr>
          <w:lang w:val="en-US"/>
        </w:rPr>
        <w:t>eliminating seasonal variation</w:t>
      </w:r>
      <w:r w:rsidR="00760921" w:rsidRPr="004666D3">
        <w:rPr>
          <w:lang w:val="en-US"/>
        </w:rPr>
        <w:t>.</w:t>
      </w:r>
    </w:p>
    <w:bookmarkEnd w:id="91"/>
    <w:bookmarkEnd w:id="92"/>
    <w:p w14:paraId="6FD9F12B" w14:textId="77777777" w:rsidR="00081DF9" w:rsidRPr="004666D3" w:rsidRDefault="00081DF9" w:rsidP="00081DF9">
      <w:pPr>
        <w:spacing w:line="240" w:lineRule="auto"/>
        <w:rPr>
          <w:szCs w:val="24"/>
        </w:rPr>
      </w:pPr>
    </w:p>
    <w:p w14:paraId="441B8B6F" w14:textId="4F803155" w:rsidR="00700A48" w:rsidRPr="004666D3" w:rsidRDefault="00E82F51" w:rsidP="006136FD">
      <w:pPr>
        <w:pStyle w:val="mysubtitle"/>
      </w:pPr>
      <w:r w:rsidRPr="004666D3">
        <w:t>3. Result</w:t>
      </w:r>
    </w:p>
    <w:p w14:paraId="3CB11AEA" w14:textId="67CAB28B" w:rsidR="000006A6" w:rsidRPr="004666D3" w:rsidRDefault="008942A9" w:rsidP="009E415C">
      <w:pPr>
        <w:pStyle w:val="mysubtitle"/>
      </w:pPr>
      <w:r w:rsidRPr="004666D3">
        <w:t>3.</w:t>
      </w:r>
      <w:r w:rsidR="00AF2D83" w:rsidRPr="004666D3">
        <w:t xml:space="preserve">1 </w:t>
      </w:r>
      <w:r w:rsidR="0006278D" w:rsidRPr="004666D3">
        <w:t xml:space="preserve">The </w:t>
      </w:r>
      <w:r w:rsidR="00DD02EE" w:rsidRPr="004666D3">
        <w:t xml:space="preserve">distribution and diurnal </w:t>
      </w:r>
      <w:r w:rsidRPr="004666D3">
        <w:t xml:space="preserve">dynamics </w:t>
      </w:r>
      <w:r w:rsidR="0006278D" w:rsidRPr="004666D3">
        <w:t xml:space="preserve">of Facebook user count </w:t>
      </w:r>
      <w:r w:rsidR="00293DBA" w:rsidRPr="004666D3">
        <w:t>in Belgium</w:t>
      </w:r>
    </w:p>
    <w:p w14:paraId="1878B7D0" w14:textId="0C2BA272" w:rsidR="00F11A7E" w:rsidRPr="004666D3" w:rsidRDefault="009A6DFA" w:rsidP="009E415C">
      <w:pPr>
        <w:pStyle w:val="mysubtitle"/>
        <w:rPr>
          <w:b w:val="0"/>
          <w:bCs w:val="0"/>
        </w:rPr>
      </w:pPr>
      <w:bookmarkStart w:id="93" w:name="OLE_LINK92"/>
      <w:r w:rsidRPr="004666D3">
        <w:rPr>
          <w:b w:val="0"/>
          <w:bCs w:val="0"/>
        </w:rPr>
        <w:t xml:space="preserve">From </w:t>
      </w:r>
      <w:r w:rsidR="006F68C0" w:rsidRPr="004666D3">
        <w:rPr>
          <w:b w:val="0"/>
          <w:bCs w:val="0"/>
        </w:rPr>
        <w:t>March</w:t>
      </w:r>
      <w:r w:rsidR="000E25C1" w:rsidRPr="004666D3">
        <w:rPr>
          <w:b w:val="0"/>
          <w:bCs w:val="0"/>
        </w:rPr>
        <w:t xml:space="preserve"> 2020 to May 2022, </w:t>
      </w:r>
      <w:r w:rsidR="00241B72" w:rsidRPr="004666D3">
        <w:rPr>
          <w:b w:val="0"/>
          <w:bCs w:val="0"/>
        </w:rPr>
        <w:t>nearly 60% of urban centres experienced a significant decrease in user count</w:t>
      </w:r>
      <w:r w:rsidR="00957915" w:rsidRPr="004666D3">
        <w:rPr>
          <w:b w:val="0"/>
          <w:bCs w:val="0"/>
        </w:rPr>
        <w:t xml:space="preserve">, </w:t>
      </w:r>
      <w:r w:rsidR="004225F4" w:rsidRPr="004666D3">
        <w:rPr>
          <w:b w:val="0"/>
          <w:bCs w:val="0"/>
        </w:rPr>
        <w:t xml:space="preserve">indicating a </w:t>
      </w:r>
      <w:r w:rsidR="00787FF1" w:rsidRPr="004666D3">
        <w:rPr>
          <w:b w:val="0"/>
          <w:bCs w:val="0"/>
        </w:rPr>
        <w:t>dispersal of night-time settled users within these areas</w:t>
      </w:r>
      <w:r w:rsidR="004225F4" w:rsidRPr="004666D3">
        <w:rPr>
          <w:b w:val="0"/>
          <w:bCs w:val="0"/>
        </w:rPr>
        <w:t>.</w:t>
      </w:r>
      <w:r w:rsidR="00174C9B" w:rsidRPr="004666D3">
        <w:rPr>
          <w:b w:val="0"/>
          <w:bCs w:val="0"/>
        </w:rPr>
        <w:t xml:space="preserve"> </w:t>
      </w:r>
      <w:r w:rsidR="00A306ED" w:rsidRPr="004666D3">
        <w:rPr>
          <w:b w:val="0"/>
          <w:bCs w:val="0"/>
        </w:rPr>
        <w:t xml:space="preserve">However, a notable </w:t>
      </w:r>
      <w:r w:rsidR="00517F9D" w:rsidRPr="004666D3">
        <w:rPr>
          <w:b w:val="0"/>
          <w:bCs w:val="0"/>
        </w:rPr>
        <w:t>increas</w:t>
      </w:r>
      <w:r w:rsidR="004C3E48" w:rsidRPr="004666D3">
        <w:rPr>
          <w:b w:val="0"/>
          <w:bCs w:val="0"/>
        </w:rPr>
        <w:t>e</w:t>
      </w:r>
      <w:r w:rsidR="00517F9D" w:rsidRPr="004666D3">
        <w:rPr>
          <w:b w:val="0"/>
          <w:bCs w:val="0"/>
        </w:rPr>
        <w:t xml:space="preserve"> </w:t>
      </w:r>
      <w:r w:rsidR="00412A85" w:rsidRPr="004666D3">
        <w:rPr>
          <w:b w:val="0"/>
          <w:bCs w:val="0"/>
        </w:rPr>
        <w:t>in user</w:t>
      </w:r>
      <w:r w:rsidR="001E0CCB" w:rsidRPr="004666D3">
        <w:rPr>
          <w:b w:val="0"/>
          <w:bCs w:val="0"/>
        </w:rPr>
        <w:t>s</w:t>
      </w:r>
      <w:r w:rsidR="00987F96" w:rsidRPr="004666D3">
        <w:rPr>
          <w:b w:val="0"/>
          <w:bCs w:val="0"/>
        </w:rPr>
        <w:t xml:space="preserve"> </w:t>
      </w:r>
      <w:r w:rsidR="00A306ED" w:rsidRPr="004666D3">
        <w:rPr>
          <w:b w:val="0"/>
          <w:bCs w:val="0"/>
        </w:rPr>
        <w:t xml:space="preserve">was observed in the </w:t>
      </w:r>
      <w:r w:rsidR="007C6FB3" w:rsidRPr="004666D3">
        <w:rPr>
          <w:b w:val="0"/>
          <w:bCs w:val="0"/>
        </w:rPr>
        <w:t xml:space="preserve">northern </w:t>
      </w:r>
      <w:r w:rsidR="00310E5A" w:rsidRPr="004666D3">
        <w:rPr>
          <w:b w:val="0"/>
          <w:bCs w:val="0"/>
        </w:rPr>
        <w:t>r</w:t>
      </w:r>
      <w:r w:rsidR="007C6FB3" w:rsidRPr="004666D3">
        <w:rPr>
          <w:b w:val="0"/>
          <w:bCs w:val="0"/>
        </w:rPr>
        <w:t>egion</w:t>
      </w:r>
      <w:r w:rsidR="00A306ED" w:rsidRPr="004666D3">
        <w:rPr>
          <w:b w:val="0"/>
          <w:bCs w:val="0"/>
        </w:rPr>
        <w:t xml:space="preserve">, particularly </w:t>
      </w:r>
      <w:r w:rsidR="000C6492" w:rsidRPr="004666D3">
        <w:rPr>
          <w:b w:val="0"/>
          <w:bCs w:val="0"/>
        </w:rPr>
        <w:t>around</w:t>
      </w:r>
      <w:r w:rsidR="00A306ED" w:rsidRPr="004666D3">
        <w:rPr>
          <w:b w:val="0"/>
          <w:bCs w:val="0"/>
        </w:rPr>
        <w:t xml:space="preserve"> the Port of Antwerp, </w:t>
      </w:r>
      <w:r w:rsidR="00C85790" w:rsidRPr="004666D3">
        <w:rPr>
          <w:b w:val="0"/>
          <w:bCs w:val="0"/>
        </w:rPr>
        <w:t xml:space="preserve">which could potentially be attributed to increased </w:t>
      </w:r>
      <w:r w:rsidR="000159B2" w:rsidRPr="004666D3">
        <w:rPr>
          <w:b w:val="0"/>
          <w:bCs w:val="0"/>
        </w:rPr>
        <w:t xml:space="preserve">port </w:t>
      </w:r>
      <w:r w:rsidR="00C85790" w:rsidRPr="004666D3">
        <w:rPr>
          <w:b w:val="0"/>
          <w:bCs w:val="0"/>
        </w:rPr>
        <w:t>activities</w:t>
      </w:r>
      <w:bookmarkStart w:id="94" w:name="OLE_LINK91"/>
      <w:r w:rsidR="00DE7238" w:rsidRPr="004666D3">
        <w:rPr>
          <w:b w:val="0"/>
          <w:bCs w:val="0"/>
        </w:rPr>
        <w:t>.</w:t>
      </w:r>
      <w:r w:rsidR="00CF0F15" w:rsidRPr="004666D3">
        <w:rPr>
          <w:b w:val="0"/>
          <w:bCs w:val="0"/>
        </w:rPr>
        <w:t xml:space="preserve"> </w:t>
      </w:r>
      <w:r w:rsidR="005C4119" w:rsidRPr="004666D3">
        <w:rPr>
          <w:b w:val="0"/>
          <w:bCs w:val="0"/>
        </w:rPr>
        <w:t xml:space="preserve">In over 50% of rural areas, there was a significant increase in user count, with a </w:t>
      </w:r>
      <w:r w:rsidR="005C4119" w:rsidRPr="004666D3">
        <w:rPr>
          <w:b w:val="0"/>
          <w:bCs w:val="0"/>
        </w:rPr>
        <w:lastRenderedPageBreak/>
        <w:t>higher concentration in the southern region</w:t>
      </w:r>
      <w:r w:rsidR="006F4E68" w:rsidRPr="004666D3">
        <w:rPr>
          <w:b w:val="0"/>
          <w:bCs w:val="0"/>
        </w:rPr>
        <w:t>.</w:t>
      </w:r>
      <w:bookmarkEnd w:id="93"/>
      <w:bookmarkEnd w:id="94"/>
      <w:r w:rsidR="00873D9D" w:rsidRPr="004666D3">
        <w:rPr>
          <w:b w:val="0"/>
          <w:bCs w:val="0"/>
        </w:rPr>
        <w:t xml:space="preserve"> </w:t>
      </w:r>
      <w:r w:rsidR="00DE68FA" w:rsidRPr="004666D3">
        <w:rPr>
          <w:b w:val="0"/>
          <w:bCs w:val="0"/>
        </w:rPr>
        <w:t xml:space="preserve">The </w:t>
      </w:r>
      <w:r w:rsidR="00DF70CF" w:rsidRPr="004666D3">
        <w:rPr>
          <w:b w:val="0"/>
          <w:bCs w:val="0"/>
        </w:rPr>
        <w:t xml:space="preserve">density </w:t>
      </w:r>
      <w:r w:rsidR="008F3B0A" w:rsidRPr="004666D3">
        <w:rPr>
          <w:b w:val="0"/>
          <w:bCs w:val="0"/>
        </w:rPr>
        <w:t xml:space="preserve">of users </w:t>
      </w:r>
      <w:r w:rsidR="00DF70CF" w:rsidRPr="004666D3">
        <w:rPr>
          <w:b w:val="0"/>
          <w:bCs w:val="0"/>
        </w:rPr>
        <w:t xml:space="preserve">was </w:t>
      </w:r>
      <w:r w:rsidR="00C77C6D" w:rsidRPr="004666D3">
        <w:rPr>
          <w:b w:val="0"/>
          <w:bCs w:val="0"/>
        </w:rPr>
        <w:t>highest</w:t>
      </w:r>
      <w:r w:rsidR="00DE68FA" w:rsidRPr="004666D3">
        <w:rPr>
          <w:b w:val="0"/>
          <w:bCs w:val="0"/>
        </w:rPr>
        <w:t xml:space="preserve"> in the capital city of Brussels and the northern region of Flanders</w:t>
      </w:r>
      <w:r w:rsidR="008F000A" w:rsidRPr="004666D3">
        <w:rPr>
          <w:b w:val="0"/>
          <w:bCs w:val="0"/>
        </w:rPr>
        <w:t xml:space="preserve"> (Fig</w:t>
      </w:r>
      <w:r w:rsidR="006136FD" w:rsidRPr="004666D3">
        <w:rPr>
          <w:b w:val="0"/>
          <w:bCs w:val="0"/>
        </w:rPr>
        <w:t xml:space="preserve">. </w:t>
      </w:r>
      <w:r w:rsidR="00162F91" w:rsidRPr="004666D3">
        <w:rPr>
          <w:b w:val="0"/>
          <w:bCs w:val="0"/>
        </w:rPr>
        <w:t>2</w:t>
      </w:r>
      <w:r w:rsidR="008F000A" w:rsidRPr="004666D3">
        <w:rPr>
          <w:b w:val="0"/>
          <w:bCs w:val="0"/>
        </w:rPr>
        <w:t>)</w:t>
      </w:r>
      <w:r w:rsidR="00DE68FA" w:rsidRPr="004666D3">
        <w:rPr>
          <w:b w:val="0"/>
          <w:bCs w:val="0"/>
        </w:rPr>
        <w:t>.</w:t>
      </w:r>
    </w:p>
    <w:p w14:paraId="1575F1E8" w14:textId="09B3E134" w:rsidR="006C7235" w:rsidRPr="004666D3" w:rsidRDefault="009A0F50" w:rsidP="006C7235">
      <w:pPr>
        <w:pStyle w:val="mysubtitle"/>
      </w:pPr>
      <w:r w:rsidRPr="004666D3">
        <w:rPr>
          <w:noProof/>
        </w:rPr>
        <w:drawing>
          <wp:inline distT="0" distB="0" distL="0" distR="0" wp14:anchorId="54D32F14" wp14:editId="10D6CAE6">
            <wp:extent cx="5731510" cy="2815590"/>
            <wp:effectExtent l="0" t="0" r="2540" b="3810"/>
            <wp:docPr id="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15590"/>
                    </a:xfrm>
                    <a:prstGeom prst="rect">
                      <a:avLst/>
                    </a:prstGeom>
                  </pic:spPr>
                </pic:pic>
              </a:graphicData>
            </a:graphic>
          </wp:inline>
        </w:drawing>
      </w:r>
    </w:p>
    <w:p w14:paraId="5A6207FF" w14:textId="1AD0B176" w:rsidR="005F39AE" w:rsidRPr="004666D3" w:rsidRDefault="006C7235" w:rsidP="005A20EB">
      <w:pPr>
        <w:pStyle w:val="mysubtitle"/>
        <w:spacing w:line="360" w:lineRule="auto"/>
        <w:rPr>
          <w:b w:val="0"/>
          <w:bCs w:val="0"/>
        </w:rPr>
      </w:pPr>
      <w:r w:rsidRPr="004666D3">
        <w:rPr>
          <w:b w:val="0"/>
          <w:bCs w:val="0"/>
        </w:rPr>
        <w:t xml:space="preserve">Figure </w:t>
      </w:r>
      <w:r w:rsidR="00EC148A" w:rsidRPr="004666D3">
        <w:rPr>
          <w:b w:val="0"/>
          <w:bCs w:val="0"/>
        </w:rPr>
        <w:t xml:space="preserve">2 </w:t>
      </w:r>
      <w:r w:rsidR="005703A4" w:rsidRPr="004666D3">
        <w:rPr>
          <w:b w:val="0"/>
          <w:bCs w:val="0"/>
        </w:rPr>
        <w:t xml:space="preserve">Distribution of </w:t>
      </w:r>
      <w:r w:rsidR="00AF5E19" w:rsidRPr="004666D3">
        <w:rPr>
          <w:b w:val="0"/>
          <w:bCs w:val="0"/>
        </w:rPr>
        <w:t>F</w:t>
      </w:r>
      <w:r w:rsidR="00EC148A" w:rsidRPr="004666D3">
        <w:rPr>
          <w:b w:val="0"/>
          <w:bCs w:val="0"/>
        </w:rPr>
        <w:t xml:space="preserve">acebook user count </w:t>
      </w:r>
      <w:r w:rsidR="007455DE" w:rsidRPr="004666D3">
        <w:rPr>
          <w:b w:val="0"/>
          <w:bCs w:val="0"/>
        </w:rPr>
        <w:t xml:space="preserve">and their changes </w:t>
      </w:r>
      <w:r w:rsidR="002C1EB5" w:rsidRPr="004666D3">
        <w:rPr>
          <w:b w:val="0"/>
          <w:bCs w:val="0"/>
        </w:rPr>
        <w:t xml:space="preserve">in </w:t>
      </w:r>
      <w:r w:rsidR="00115B88" w:rsidRPr="004666D3">
        <w:rPr>
          <w:b w:val="0"/>
          <w:bCs w:val="0"/>
        </w:rPr>
        <w:t>Belgium</w:t>
      </w:r>
      <w:r w:rsidRPr="004666D3">
        <w:rPr>
          <w:b w:val="0"/>
          <w:bCs w:val="0"/>
        </w:rPr>
        <w:t xml:space="preserve"> during </w:t>
      </w:r>
      <w:r w:rsidR="008840BB" w:rsidRPr="004666D3">
        <w:rPr>
          <w:b w:val="0"/>
          <w:bCs w:val="0"/>
        </w:rPr>
        <w:t>night-time</w:t>
      </w:r>
      <w:r w:rsidRPr="004666D3">
        <w:rPr>
          <w:b w:val="0"/>
          <w:bCs w:val="0"/>
        </w:rPr>
        <w:t xml:space="preserve"> on workdays. </w:t>
      </w:r>
      <w:r w:rsidR="00E305B1" w:rsidRPr="004666D3">
        <w:rPr>
          <w:b w:val="0"/>
          <w:bCs w:val="0"/>
        </w:rPr>
        <w:t>(a)</w:t>
      </w:r>
      <w:r w:rsidR="00A90DC1" w:rsidRPr="004666D3">
        <w:rPr>
          <w:b w:val="0"/>
          <w:bCs w:val="0"/>
        </w:rPr>
        <w:t xml:space="preserve"> </w:t>
      </w:r>
      <w:bookmarkStart w:id="95" w:name="OLE_LINK90"/>
      <w:r w:rsidR="00013D7C" w:rsidRPr="004666D3">
        <w:rPr>
          <w:b w:val="0"/>
          <w:bCs w:val="0"/>
        </w:rPr>
        <w:t xml:space="preserve">Distribution of </w:t>
      </w:r>
      <w:r w:rsidR="00F162AD" w:rsidRPr="004666D3">
        <w:rPr>
          <w:b w:val="0"/>
          <w:bCs w:val="0"/>
        </w:rPr>
        <w:t xml:space="preserve">weekly </w:t>
      </w:r>
      <w:r w:rsidR="00013D7C" w:rsidRPr="004666D3">
        <w:rPr>
          <w:b w:val="0"/>
          <w:bCs w:val="0"/>
        </w:rPr>
        <w:t>c</w:t>
      </w:r>
      <w:r w:rsidR="00AF5E19" w:rsidRPr="004666D3">
        <w:rPr>
          <w:b w:val="0"/>
          <w:bCs w:val="0"/>
        </w:rPr>
        <w:t xml:space="preserve">hanges </w:t>
      </w:r>
      <w:r w:rsidR="00804C11" w:rsidRPr="004666D3">
        <w:rPr>
          <w:b w:val="0"/>
          <w:bCs w:val="0"/>
        </w:rPr>
        <w:t xml:space="preserve">in </w:t>
      </w:r>
      <w:r w:rsidR="00AF5E19" w:rsidRPr="004666D3">
        <w:rPr>
          <w:b w:val="0"/>
          <w:bCs w:val="0"/>
        </w:rPr>
        <w:t>user count</w:t>
      </w:r>
      <w:r w:rsidR="00060959" w:rsidRPr="004666D3">
        <w:rPr>
          <w:b w:val="0"/>
          <w:bCs w:val="0"/>
        </w:rPr>
        <w:t xml:space="preserve"> </w:t>
      </w:r>
      <w:r w:rsidR="00D85DFB" w:rsidRPr="004666D3">
        <w:rPr>
          <w:b w:val="0"/>
          <w:bCs w:val="0"/>
        </w:rPr>
        <w:t>during the study period (</w:t>
      </w:r>
      <w:r w:rsidR="005C02A8" w:rsidRPr="004666D3">
        <w:rPr>
          <w:b w:val="0"/>
          <w:bCs w:val="0"/>
        </w:rPr>
        <w:t>from the first week in March 2020 to the third week in May 2022</w:t>
      </w:r>
      <w:r w:rsidR="00D85DFB" w:rsidRPr="004666D3">
        <w:rPr>
          <w:b w:val="0"/>
          <w:bCs w:val="0"/>
        </w:rPr>
        <w:t>)</w:t>
      </w:r>
      <w:r w:rsidR="00AF5E19" w:rsidRPr="004666D3">
        <w:rPr>
          <w:b w:val="0"/>
          <w:bCs w:val="0"/>
        </w:rPr>
        <w:t xml:space="preserve">, </w:t>
      </w:r>
      <w:r w:rsidR="00DF37C5" w:rsidRPr="004666D3">
        <w:rPr>
          <w:b w:val="0"/>
          <w:bCs w:val="0"/>
        </w:rPr>
        <w:t xml:space="preserve">segmented into </w:t>
      </w:r>
      <w:r w:rsidR="002E2C4E" w:rsidRPr="004666D3">
        <w:rPr>
          <w:b w:val="0"/>
          <w:bCs w:val="0"/>
        </w:rPr>
        <w:t>urban centre</w:t>
      </w:r>
      <w:r w:rsidR="005C7DF5" w:rsidRPr="004666D3">
        <w:rPr>
          <w:b w:val="0"/>
          <w:bCs w:val="0"/>
        </w:rPr>
        <w:t>s</w:t>
      </w:r>
      <w:r w:rsidR="002E2C4E" w:rsidRPr="004666D3">
        <w:rPr>
          <w:b w:val="0"/>
          <w:bCs w:val="0"/>
        </w:rPr>
        <w:t>, urban cluster/suburban and rural</w:t>
      </w:r>
      <w:bookmarkEnd w:id="95"/>
      <w:r w:rsidR="005C7DF5" w:rsidRPr="004666D3">
        <w:rPr>
          <w:b w:val="0"/>
          <w:bCs w:val="0"/>
        </w:rPr>
        <w:t xml:space="preserve"> areas</w:t>
      </w:r>
      <w:r w:rsidR="004C1C46" w:rsidRPr="004666D3">
        <w:rPr>
          <w:b w:val="0"/>
          <w:bCs w:val="0"/>
        </w:rPr>
        <w:t>.</w:t>
      </w:r>
      <w:r w:rsidR="00182872" w:rsidRPr="004666D3">
        <w:rPr>
          <w:b w:val="0"/>
          <w:bCs w:val="0"/>
        </w:rPr>
        <w:t xml:space="preserve"> The overall trend was </w:t>
      </w:r>
      <w:r w:rsidR="00CB14E4" w:rsidRPr="004666D3">
        <w:rPr>
          <w:b w:val="0"/>
          <w:bCs w:val="0"/>
        </w:rPr>
        <w:t>determined from the slope by applying linear regression to the trend component from Seasonal-Trend decomposition using Loess (STL) method.</w:t>
      </w:r>
      <w:r w:rsidR="0055179E" w:rsidRPr="004666D3">
        <w:rPr>
          <w:b w:val="0"/>
          <w:bCs w:val="0"/>
        </w:rPr>
        <w:t xml:space="preserve"> </w:t>
      </w:r>
      <w:r w:rsidRPr="004666D3">
        <w:rPr>
          <w:b w:val="0"/>
          <w:bCs w:val="0"/>
        </w:rPr>
        <w:t xml:space="preserve">(b) </w:t>
      </w:r>
      <w:r w:rsidR="002F5C6F" w:rsidRPr="004666D3">
        <w:rPr>
          <w:b w:val="0"/>
          <w:bCs w:val="0"/>
        </w:rPr>
        <w:t>P</w:t>
      </w:r>
      <w:r w:rsidRPr="004666D3">
        <w:rPr>
          <w:b w:val="0"/>
          <w:bCs w:val="0"/>
        </w:rPr>
        <w:t xml:space="preserve">roportion of tiles </w:t>
      </w:r>
      <w:r w:rsidR="000B623F" w:rsidRPr="004666D3">
        <w:rPr>
          <w:b w:val="0"/>
          <w:bCs w:val="0"/>
        </w:rPr>
        <w:t xml:space="preserve">showing </w:t>
      </w:r>
      <w:r w:rsidR="00AD6C0F" w:rsidRPr="004666D3">
        <w:rPr>
          <w:b w:val="0"/>
          <w:bCs w:val="0"/>
        </w:rPr>
        <w:t xml:space="preserve">significant </w:t>
      </w:r>
      <w:r w:rsidRPr="004666D3">
        <w:rPr>
          <w:b w:val="0"/>
          <w:bCs w:val="0"/>
        </w:rPr>
        <w:t xml:space="preserve">decrease (in blue) or </w:t>
      </w:r>
      <w:r w:rsidR="00AD6C0F" w:rsidRPr="004666D3">
        <w:rPr>
          <w:b w:val="0"/>
          <w:bCs w:val="0"/>
        </w:rPr>
        <w:t xml:space="preserve">significant </w:t>
      </w:r>
      <w:r w:rsidRPr="004666D3">
        <w:rPr>
          <w:b w:val="0"/>
          <w:bCs w:val="0"/>
        </w:rPr>
        <w:t>increase (in red) in the total number of tiles in urban centres, urban cluster</w:t>
      </w:r>
      <w:r w:rsidR="0089653A" w:rsidRPr="004666D3">
        <w:rPr>
          <w:b w:val="0"/>
          <w:bCs w:val="0"/>
        </w:rPr>
        <w:t>s</w:t>
      </w:r>
      <w:r w:rsidRPr="004666D3">
        <w:rPr>
          <w:b w:val="0"/>
          <w:bCs w:val="0"/>
        </w:rPr>
        <w:t>/suburban and rural areas</w:t>
      </w:r>
      <w:r w:rsidR="004B1673" w:rsidRPr="004666D3">
        <w:t xml:space="preserve"> </w:t>
      </w:r>
      <w:r w:rsidR="004B1673" w:rsidRPr="004666D3">
        <w:rPr>
          <w:b w:val="0"/>
          <w:bCs w:val="0"/>
        </w:rPr>
        <w:t>during the study period</w:t>
      </w:r>
      <w:r w:rsidRPr="004666D3">
        <w:rPr>
          <w:b w:val="0"/>
          <w:bCs w:val="0"/>
        </w:rPr>
        <w:t>.</w:t>
      </w:r>
      <w:r w:rsidR="00A90DC1" w:rsidRPr="004666D3">
        <w:rPr>
          <w:b w:val="0"/>
          <w:bCs w:val="0"/>
        </w:rPr>
        <w:t xml:space="preserve"> (c) </w:t>
      </w:r>
      <w:r w:rsidR="00EE4959" w:rsidRPr="004666D3">
        <w:rPr>
          <w:b w:val="0"/>
          <w:bCs w:val="0"/>
        </w:rPr>
        <w:t>D</w:t>
      </w:r>
      <w:r w:rsidR="00A90DC1" w:rsidRPr="004666D3">
        <w:rPr>
          <w:b w:val="0"/>
          <w:bCs w:val="0"/>
        </w:rPr>
        <w:t xml:space="preserve">istribution of </w:t>
      </w:r>
      <w:r w:rsidR="00AD6C0F" w:rsidRPr="004666D3">
        <w:rPr>
          <w:b w:val="0"/>
          <w:bCs w:val="0"/>
        </w:rPr>
        <w:t xml:space="preserve">average </w:t>
      </w:r>
      <w:r w:rsidR="002E01E2" w:rsidRPr="004666D3">
        <w:rPr>
          <w:b w:val="0"/>
          <w:bCs w:val="0"/>
        </w:rPr>
        <w:t xml:space="preserve">Facebook </w:t>
      </w:r>
      <w:r w:rsidR="00A55F46" w:rsidRPr="004666D3">
        <w:rPr>
          <w:b w:val="0"/>
          <w:bCs w:val="0"/>
        </w:rPr>
        <w:t xml:space="preserve">user </w:t>
      </w:r>
      <w:r w:rsidR="002E01E2" w:rsidRPr="004666D3">
        <w:rPr>
          <w:b w:val="0"/>
          <w:bCs w:val="0"/>
        </w:rPr>
        <w:t>count</w:t>
      </w:r>
      <w:r w:rsidR="00AD6C0F" w:rsidRPr="004666D3">
        <w:rPr>
          <w:b w:val="0"/>
          <w:bCs w:val="0"/>
        </w:rPr>
        <w:t xml:space="preserve"> in May 2022</w:t>
      </w:r>
      <w:r w:rsidR="004C1C46" w:rsidRPr="004666D3">
        <w:rPr>
          <w:b w:val="0"/>
          <w:bCs w:val="0"/>
        </w:rPr>
        <w:t>.</w:t>
      </w:r>
    </w:p>
    <w:p w14:paraId="57FE2FEB" w14:textId="5A2A0ED4" w:rsidR="00F639D9" w:rsidRPr="004666D3" w:rsidRDefault="00E27AB1" w:rsidP="00A45A30">
      <w:pPr>
        <w:spacing w:line="360" w:lineRule="auto"/>
        <w:rPr>
          <w:szCs w:val="24"/>
        </w:rPr>
      </w:pPr>
      <w:r w:rsidRPr="004666D3">
        <w:rPr>
          <w:noProof/>
          <w:szCs w:val="24"/>
        </w:rPr>
        <w:lastRenderedPageBreak/>
        <w:drawing>
          <wp:inline distT="0" distB="0" distL="0" distR="0" wp14:anchorId="1A87C531" wp14:editId="7869CFE4">
            <wp:extent cx="5731510" cy="3609340"/>
            <wp:effectExtent l="0" t="0" r="2540" b="0"/>
            <wp:docPr id="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09340"/>
                    </a:xfrm>
                    <a:prstGeom prst="rect">
                      <a:avLst/>
                    </a:prstGeom>
                  </pic:spPr>
                </pic:pic>
              </a:graphicData>
            </a:graphic>
          </wp:inline>
        </w:drawing>
      </w:r>
    </w:p>
    <w:p w14:paraId="14D6390E" w14:textId="0DF352AF" w:rsidR="00B710F3" w:rsidRPr="004666D3" w:rsidRDefault="00B710F3" w:rsidP="00B710F3">
      <w:pPr>
        <w:spacing w:line="360" w:lineRule="auto"/>
        <w:rPr>
          <w:szCs w:val="24"/>
        </w:rPr>
      </w:pPr>
      <w:bookmarkStart w:id="96" w:name="OLE_LINK7"/>
      <w:r w:rsidRPr="004666D3">
        <w:rPr>
          <w:szCs w:val="24"/>
        </w:rPr>
        <w:t xml:space="preserve">Figure </w:t>
      </w:r>
      <w:r w:rsidR="0093634C" w:rsidRPr="004666D3">
        <w:rPr>
          <w:szCs w:val="24"/>
        </w:rPr>
        <w:t xml:space="preserve">3 </w:t>
      </w:r>
      <w:bookmarkStart w:id="97" w:name="OLE_LINK97"/>
      <w:r w:rsidR="0093634C" w:rsidRPr="004666D3">
        <w:rPr>
          <w:szCs w:val="24"/>
        </w:rPr>
        <w:t xml:space="preserve">The </w:t>
      </w:r>
      <w:r w:rsidR="00D12DF9" w:rsidRPr="004666D3">
        <w:rPr>
          <w:szCs w:val="24"/>
        </w:rPr>
        <w:t xml:space="preserve">weekly </w:t>
      </w:r>
      <w:r w:rsidR="00B84B3F" w:rsidRPr="004666D3">
        <w:rPr>
          <w:szCs w:val="24"/>
        </w:rPr>
        <w:t xml:space="preserve">Facebook </w:t>
      </w:r>
      <w:r w:rsidR="0093634C" w:rsidRPr="004666D3">
        <w:rPr>
          <w:szCs w:val="24"/>
        </w:rPr>
        <w:t xml:space="preserve">user count </w:t>
      </w:r>
      <w:r w:rsidR="00B84B3F" w:rsidRPr="004666D3">
        <w:rPr>
          <w:szCs w:val="24"/>
        </w:rPr>
        <w:t>across</w:t>
      </w:r>
      <w:r w:rsidRPr="004666D3">
        <w:rPr>
          <w:szCs w:val="24"/>
        </w:rPr>
        <w:t xml:space="preserve"> urban centre</w:t>
      </w:r>
      <w:r w:rsidR="002F119D" w:rsidRPr="004666D3">
        <w:rPr>
          <w:szCs w:val="24"/>
        </w:rPr>
        <w:t>s</w:t>
      </w:r>
      <w:r w:rsidRPr="004666D3">
        <w:rPr>
          <w:szCs w:val="24"/>
        </w:rPr>
        <w:t>, urban cluster</w:t>
      </w:r>
      <w:r w:rsidR="002F119D" w:rsidRPr="004666D3">
        <w:rPr>
          <w:szCs w:val="24"/>
        </w:rPr>
        <w:t>s</w:t>
      </w:r>
      <w:r w:rsidRPr="004666D3">
        <w:rPr>
          <w:szCs w:val="24"/>
        </w:rPr>
        <w:t>/suburban, and rural areas</w:t>
      </w:r>
      <w:r w:rsidR="002D62DD" w:rsidRPr="004666D3">
        <w:rPr>
          <w:szCs w:val="24"/>
        </w:rPr>
        <w:t xml:space="preserve"> </w:t>
      </w:r>
      <w:r w:rsidR="001D0442" w:rsidRPr="004666D3">
        <w:rPr>
          <w:szCs w:val="24"/>
        </w:rPr>
        <w:t>in Belgium</w:t>
      </w:r>
      <w:r w:rsidR="00DF1199" w:rsidRPr="004666D3">
        <w:t xml:space="preserve"> </w:t>
      </w:r>
      <w:r w:rsidR="00DF1199" w:rsidRPr="004666D3">
        <w:rPr>
          <w:szCs w:val="24"/>
        </w:rPr>
        <w:t>from March 2020 to May 2022</w:t>
      </w:r>
      <w:r w:rsidR="001D0442" w:rsidRPr="004666D3">
        <w:rPr>
          <w:szCs w:val="24"/>
        </w:rPr>
        <w:t xml:space="preserve">, </w:t>
      </w:r>
      <w:r w:rsidR="005C7237" w:rsidRPr="004666D3">
        <w:rPr>
          <w:szCs w:val="24"/>
        </w:rPr>
        <w:t>along with</w:t>
      </w:r>
      <w:r w:rsidR="00895902" w:rsidRPr="004666D3">
        <w:rPr>
          <w:szCs w:val="24"/>
        </w:rPr>
        <w:t xml:space="preserve"> the</w:t>
      </w:r>
      <w:r w:rsidR="001D0442" w:rsidRPr="004666D3">
        <w:rPr>
          <w:szCs w:val="24"/>
        </w:rPr>
        <w:t>ir</w:t>
      </w:r>
      <w:r w:rsidR="00895902" w:rsidRPr="004666D3">
        <w:rPr>
          <w:szCs w:val="24"/>
        </w:rPr>
        <w:t xml:space="preserve"> </w:t>
      </w:r>
      <w:r w:rsidR="00FE0895" w:rsidRPr="004666D3">
        <w:rPr>
          <w:szCs w:val="24"/>
        </w:rPr>
        <w:t xml:space="preserve">decomposed trend component of the </w:t>
      </w:r>
      <w:bookmarkEnd w:id="97"/>
      <w:r w:rsidR="00D72707" w:rsidRPr="004666D3">
        <w:rPr>
          <w:szCs w:val="24"/>
        </w:rPr>
        <w:t xml:space="preserve">Seasonal-Trend decomposition using Loess (STL) </w:t>
      </w:r>
      <w:r w:rsidR="004D65CC" w:rsidRPr="004666D3">
        <w:rPr>
          <w:szCs w:val="24"/>
        </w:rPr>
        <w:t xml:space="preserve">(See other components in Supplementary </w:t>
      </w:r>
      <w:r w:rsidR="00DD5136" w:rsidRPr="004666D3">
        <w:rPr>
          <w:szCs w:val="24"/>
        </w:rPr>
        <w:t>Fig.</w:t>
      </w:r>
      <w:r w:rsidR="00BB023A" w:rsidRPr="004666D3">
        <w:rPr>
          <w:szCs w:val="24"/>
        </w:rPr>
        <w:t xml:space="preserve"> </w:t>
      </w:r>
      <w:r w:rsidR="00DD5136" w:rsidRPr="004666D3">
        <w:rPr>
          <w:szCs w:val="24"/>
        </w:rPr>
        <w:t>B.1</w:t>
      </w:r>
      <w:r w:rsidR="004D65CC" w:rsidRPr="004666D3">
        <w:rPr>
          <w:szCs w:val="24"/>
        </w:rPr>
        <w:t>)</w:t>
      </w:r>
      <w:r w:rsidR="002D62DD" w:rsidRPr="004666D3">
        <w:rPr>
          <w:szCs w:val="24"/>
        </w:rPr>
        <w:t>,</w:t>
      </w:r>
      <w:r w:rsidR="00DB4D9B" w:rsidRPr="004666D3">
        <w:rPr>
          <w:szCs w:val="24"/>
        </w:rPr>
        <w:t xml:space="preserve"> </w:t>
      </w:r>
      <w:r w:rsidR="002D62DD" w:rsidRPr="004666D3">
        <w:rPr>
          <w:szCs w:val="24"/>
        </w:rPr>
        <w:t xml:space="preserve">reported </w:t>
      </w:r>
      <w:r w:rsidRPr="004666D3">
        <w:rPr>
          <w:szCs w:val="24"/>
        </w:rPr>
        <w:t>on w</w:t>
      </w:r>
      <w:r w:rsidR="00DD19CB" w:rsidRPr="004666D3">
        <w:rPr>
          <w:szCs w:val="24"/>
        </w:rPr>
        <w:t>or</w:t>
      </w:r>
      <w:r w:rsidRPr="004666D3">
        <w:rPr>
          <w:szCs w:val="24"/>
        </w:rPr>
        <w:t xml:space="preserve">kdays and weekends </w:t>
      </w:r>
      <w:r w:rsidR="002D62DD" w:rsidRPr="004666D3">
        <w:rPr>
          <w:szCs w:val="24"/>
        </w:rPr>
        <w:t xml:space="preserve">separately </w:t>
      </w:r>
      <w:r w:rsidRPr="004666D3">
        <w:rPr>
          <w:szCs w:val="24"/>
        </w:rPr>
        <w:t xml:space="preserve">during </w:t>
      </w:r>
      <w:r w:rsidR="008840BB" w:rsidRPr="004666D3">
        <w:rPr>
          <w:szCs w:val="24"/>
        </w:rPr>
        <w:t>night-time</w:t>
      </w:r>
      <w:r w:rsidRPr="004666D3">
        <w:rPr>
          <w:szCs w:val="24"/>
        </w:rPr>
        <w:t xml:space="preserve"> with blue</w:t>
      </w:r>
      <w:r w:rsidR="00697614" w:rsidRPr="004666D3">
        <w:rPr>
          <w:szCs w:val="24"/>
        </w:rPr>
        <w:t xml:space="preserve"> </w:t>
      </w:r>
      <w:r w:rsidR="00A02950" w:rsidRPr="004666D3">
        <w:rPr>
          <w:szCs w:val="24"/>
        </w:rPr>
        <w:t>trend lines</w:t>
      </w:r>
      <w:r w:rsidR="00697614" w:rsidRPr="004666D3">
        <w:rPr>
          <w:szCs w:val="24"/>
        </w:rPr>
        <w:t xml:space="preserve"> and</w:t>
      </w:r>
      <w:r w:rsidRPr="004666D3">
        <w:rPr>
          <w:szCs w:val="24"/>
        </w:rPr>
        <w:t xml:space="preserve"> daytime</w:t>
      </w:r>
      <w:r w:rsidR="00697614" w:rsidRPr="004666D3">
        <w:rPr>
          <w:szCs w:val="24"/>
        </w:rPr>
        <w:t xml:space="preserve"> </w:t>
      </w:r>
      <w:r w:rsidRPr="004666D3">
        <w:rPr>
          <w:szCs w:val="24"/>
        </w:rPr>
        <w:t xml:space="preserve">with red </w:t>
      </w:r>
      <w:r w:rsidR="00A02950" w:rsidRPr="004666D3">
        <w:rPr>
          <w:szCs w:val="24"/>
        </w:rPr>
        <w:t>trend</w:t>
      </w:r>
      <w:r w:rsidRPr="004666D3">
        <w:rPr>
          <w:szCs w:val="24"/>
        </w:rPr>
        <w:t xml:space="preserve"> lines</w:t>
      </w:r>
      <w:r w:rsidR="002D62DD" w:rsidRPr="004666D3">
        <w:rPr>
          <w:szCs w:val="24"/>
        </w:rPr>
        <w:t>.</w:t>
      </w:r>
      <w:r w:rsidR="00A02950" w:rsidRPr="004666D3">
        <w:rPr>
          <w:szCs w:val="24"/>
        </w:rPr>
        <w:t xml:space="preserve"> </w:t>
      </w:r>
      <w:bookmarkStart w:id="98" w:name="_Hlk138075021"/>
      <w:bookmarkStart w:id="99" w:name="OLE_LINK32"/>
      <w:r w:rsidR="00515539" w:rsidRPr="004666D3">
        <w:rPr>
          <w:szCs w:val="24"/>
        </w:rPr>
        <w:t>T</w:t>
      </w:r>
      <w:r w:rsidR="00793D0D" w:rsidRPr="004666D3">
        <w:rPr>
          <w:szCs w:val="24"/>
        </w:rPr>
        <w:t>he lockdown ‘stringency index’</w:t>
      </w:r>
      <w:r w:rsidR="00515539" w:rsidRPr="004666D3">
        <w:rPr>
          <w:szCs w:val="24"/>
        </w:rPr>
        <w:t xml:space="preserve">, </w:t>
      </w:r>
      <w:r w:rsidR="00793D0D" w:rsidRPr="004666D3">
        <w:rPr>
          <w:szCs w:val="24"/>
        </w:rPr>
        <w:t xml:space="preserve">calculated by Oxford COVID-19 Government Response Tracker </w:t>
      </w:r>
      <w:r w:rsidR="00793D0D" w:rsidRPr="004666D3">
        <w:rPr>
          <w:szCs w:val="24"/>
        </w:rPr>
        <w:fldChar w:fldCharType="begin"/>
      </w:r>
      <w:r w:rsidR="00793D0D" w:rsidRPr="004666D3">
        <w:rPr>
          <w:szCs w:val="24"/>
        </w:rPr>
        <w:instrText xml:space="preserve"> ADDIN ZOTERO_ITEM CSL_CITATION {"citationID":"2bZ7NkQM","properties":{"formattedCitation":"(Hale et al., 2021)","plainCitation":"(Hale et al., 2021)","noteIndex":0},"citationItems":[{"id":5282,"uris":["http://zotero.org/users/9756803/items/HRBDC39M"],"itemData":{"id":5282,"type":"article-journal","abstract":"COVID-19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Nature","note":"number: 4\npublisher: Nature Publishing Group","page":"529-538","source":"www.nature.com","title":"A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schema":"https://github.com/citation-style-language/schema/raw/master/csl-citation.json"} </w:instrText>
      </w:r>
      <w:r w:rsidR="00793D0D" w:rsidRPr="004666D3">
        <w:rPr>
          <w:szCs w:val="24"/>
        </w:rPr>
        <w:fldChar w:fldCharType="separate"/>
      </w:r>
      <w:r w:rsidR="00AE74BE" w:rsidRPr="004666D3">
        <w:rPr>
          <w:rFonts w:ascii="Calibri" w:hAnsi="Calibri" w:cs="Calibri"/>
        </w:rPr>
        <w:t>(Hale et al., 2021)</w:t>
      </w:r>
      <w:r w:rsidR="00793D0D" w:rsidRPr="004666D3">
        <w:rPr>
          <w:szCs w:val="24"/>
        </w:rPr>
        <w:fldChar w:fldCharType="end"/>
      </w:r>
      <w:r w:rsidR="00515539" w:rsidRPr="004666D3">
        <w:rPr>
          <w:szCs w:val="24"/>
        </w:rPr>
        <w:t xml:space="preserve">, was </w:t>
      </w:r>
      <w:r w:rsidR="00386E50" w:rsidRPr="004666D3">
        <w:rPr>
          <w:szCs w:val="24"/>
        </w:rPr>
        <w:t>plotted</w:t>
      </w:r>
      <w:r w:rsidR="00793D0D" w:rsidRPr="004666D3">
        <w:rPr>
          <w:szCs w:val="24"/>
        </w:rPr>
        <w:t xml:space="preserve"> </w:t>
      </w:r>
      <w:r w:rsidR="00B659FD" w:rsidRPr="004666D3">
        <w:rPr>
          <w:szCs w:val="24"/>
        </w:rPr>
        <w:t>(</w:t>
      </w:r>
      <w:r w:rsidR="008F000A" w:rsidRPr="004666D3">
        <w:rPr>
          <w:szCs w:val="24"/>
        </w:rPr>
        <w:t>grey</w:t>
      </w:r>
      <w:r w:rsidR="00B659FD" w:rsidRPr="004666D3">
        <w:rPr>
          <w:szCs w:val="24"/>
        </w:rPr>
        <w:t xml:space="preserve"> backgrounds of </w:t>
      </w:r>
      <w:r w:rsidR="00EA719E" w:rsidRPr="004666D3">
        <w:rPr>
          <w:szCs w:val="24"/>
        </w:rPr>
        <w:t>varying intensities</w:t>
      </w:r>
      <w:r w:rsidR="00B659FD" w:rsidRPr="004666D3">
        <w:rPr>
          <w:szCs w:val="24"/>
        </w:rPr>
        <w:t xml:space="preserve">) </w:t>
      </w:r>
      <w:r w:rsidR="00793D0D" w:rsidRPr="004666D3">
        <w:rPr>
          <w:szCs w:val="24"/>
        </w:rPr>
        <w:t xml:space="preserve">to </w:t>
      </w:r>
      <w:r w:rsidR="00B659FD" w:rsidRPr="004666D3">
        <w:rPr>
          <w:szCs w:val="24"/>
        </w:rPr>
        <w:t xml:space="preserve">qualitatively </w:t>
      </w:r>
      <w:r w:rsidR="00793D0D" w:rsidRPr="004666D3">
        <w:rPr>
          <w:szCs w:val="24"/>
        </w:rPr>
        <w:t xml:space="preserve">assess if the STL decomposed Facebook data captures known changes in </w:t>
      </w:r>
      <w:r w:rsidR="00FD54FF" w:rsidRPr="004666D3">
        <w:rPr>
          <w:szCs w:val="24"/>
        </w:rPr>
        <w:t xml:space="preserve">human mobility </w:t>
      </w:r>
      <w:r w:rsidR="00E87C42" w:rsidRPr="004666D3">
        <w:rPr>
          <w:szCs w:val="24"/>
        </w:rPr>
        <w:t xml:space="preserve">affected by </w:t>
      </w:r>
      <w:r w:rsidR="00793D0D" w:rsidRPr="004666D3">
        <w:rPr>
          <w:szCs w:val="24"/>
        </w:rPr>
        <w:t xml:space="preserve">the </w:t>
      </w:r>
      <w:r w:rsidR="00AC48C3" w:rsidRPr="004666D3">
        <w:rPr>
          <w:szCs w:val="24"/>
        </w:rPr>
        <w:t>COVID</w:t>
      </w:r>
      <w:r w:rsidR="00793D0D" w:rsidRPr="004666D3">
        <w:rPr>
          <w:szCs w:val="24"/>
        </w:rPr>
        <w:t>-19 pandemic.</w:t>
      </w:r>
      <w:bookmarkEnd w:id="98"/>
      <w:bookmarkEnd w:id="99"/>
    </w:p>
    <w:p w14:paraId="002AB342" w14:textId="77777777" w:rsidR="00AD3AF3" w:rsidRPr="004666D3" w:rsidRDefault="00AD3AF3" w:rsidP="00B710F3">
      <w:pPr>
        <w:spacing w:line="360" w:lineRule="auto"/>
        <w:rPr>
          <w:szCs w:val="24"/>
        </w:rPr>
      </w:pPr>
    </w:p>
    <w:p w14:paraId="742619BC" w14:textId="0AEEF2B3" w:rsidR="00FB299F" w:rsidRPr="004666D3" w:rsidRDefault="00A7722D" w:rsidP="00557ED0">
      <w:bookmarkStart w:id="100" w:name="OLE_LINK48"/>
      <w:bookmarkEnd w:id="96"/>
      <w:r w:rsidRPr="004666D3">
        <w:t xml:space="preserve">The trend from STL decomposition </w:t>
      </w:r>
      <w:r w:rsidR="007452A1" w:rsidRPr="004666D3">
        <w:t xml:space="preserve">of Belgium </w:t>
      </w:r>
      <w:r w:rsidR="008F63E4" w:rsidRPr="004666D3">
        <w:t xml:space="preserve">showed that </w:t>
      </w:r>
      <w:r w:rsidR="004427CC" w:rsidRPr="004666D3">
        <w:t xml:space="preserve">the </w:t>
      </w:r>
      <w:r w:rsidR="00A20BAF" w:rsidRPr="004666D3">
        <w:t>change</w:t>
      </w:r>
      <w:r w:rsidR="00A20BAF" w:rsidRPr="004666D3">
        <w:rPr>
          <w:rFonts w:hint="eastAsia"/>
        </w:rPr>
        <w:t>s</w:t>
      </w:r>
      <w:r w:rsidR="00A20BAF" w:rsidRPr="004666D3">
        <w:t xml:space="preserve"> in </w:t>
      </w:r>
      <w:r w:rsidR="00973A56" w:rsidRPr="004666D3">
        <w:t xml:space="preserve">Facebook user count </w:t>
      </w:r>
      <w:r w:rsidR="004427CC" w:rsidRPr="004666D3">
        <w:t xml:space="preserve">during </w:t>
      </w:r>
      <w:r w:rsidR="008840BB" w:rsidRPr="004666D3">
        <w:t>night-time</w:t>
      </w:r>
      <w:r w:rsidR="004427CC" w:rsidRPr="004666D3">
        <w:t xml:space="preserve"> </w:t>
      </w:r>
      <w:r w:rsidR="00DA32AB" w:rsidRPr="004666D3">
        <w:t xml:space="preserve">and daytime </w:t>
      </w:r>
      <w:r w:rsidR="004427CC" w:rsidRPr="004666D3">
        <w:t>on weekends</w:t>
      </w:r>
      <w:r w:rsidR="00D461CE" w:rsidRPr="004666D3">
        <w:t xml:space="preserve"> </w:t>
      </w:r>
      <w:r w:rsidR="00E674F0" w:rsidRPr="004666D3">
        <w:t xml:space="preserve">were similar in both </w:t>
      </w:r>
      <w:r w:rsidR="00EF7280" w:rsidRPr="004666D3">
        <w:t>urban centre</w:t>
      </w:r>
      <w:r w:rsidR="002F119D" w:rsidRPr="004666D3">
        <w:t>s</w:t>
      </w:r>
      <w:r w:rsidR="00EF7280" w:rsidRPr="004666D3">
        <w:t xml:space="preserve"> and rural areas</w:t>
      </w:r>
      <w:r w:rsidR="00AE7FF8" w:rsidRPr="004666D3">
        <w:t>.</w:t>
      </w:r>
      <w:r w:rsidR="00296662" w:rsidRPr="004666D3">
        <w:t xml:space="preserve"> </w:t>
      </w:r>
      <w:bookmarkEnd w:id="100"/>
      <w:r w:rsidR="00AE7FF8" w:rsidRPr="004666D3">
        <w:t xml:space="preserve">Specifically, </w:t>
      </w:r>
      <w:r w:rsidR="00262B92" w:rsidRPr="004666D3">
        <w:t>a decreasing trend</w:t>
      </w:r>
      <w:r w:rsidR="004427CC" w:rsidRPr="004666D3">
        <w:t xml:space="preserve"> </w:t>
      </w:r>
      <w:r w:rsidR="00786AAF" w:rsidRPr="004666D3">
        <w:t xml:space="preserve">was noted </w:t>
      </w:r>
      <w:r w:rsidR="004427CC" w:rsidRPr="004666D3">
        <w:t xml:space="preserve">in urban </w:t>
      </w:r>
      <w:r w:rsidR="00132572" w:rsidRPr="004666D3">
        <w:t>centre</w:t>
      </w:r>
      <w:r w:rsidR="00262B92" w:rsidRPr="004666D3">
        <w:t>s</w:t>
      </w:r>
      <w:r w:rsidR="004427CC" w:rsidRPr="004666D3">
        <w:t xml:space="preserve">, </w:t>
      </w:r>
      <w:r w:rsidR="00262B92" w:rsidRPr="004666D3">
        <w:t>while</w:t>
      </w:r>
      <w:r w:rsidR="00864AA9" w:rsidRPr="004666D3">
        <w:t xml:space="preserve"> an</w:t>
      </w:r>
      <w:r w:rsidR="004427CC" w:rsidRPr="004666D3">
        <w:t xml:space="preserve"> increasing </w:t>
      </w:r>
      <w:r w:rsidR="00864AA9" w:rsidRPr="004666D3">
        <w:t xml:space="preserve">trend </w:t>
      </w:r>
      <w:r w:rsidR="00786AAF" w:rsidRPr="004666D3">
        <w:t xml:space="preserve">was observed </w:t>
      </w:r>
      <w:r w:rsidR="004427CC" w:rsidRPr="004666D3">
        <w:t>in rural</w:t>
      </w:r>
      <w:r w:rsidR="00864AA9" w:rsidRPr="004666D3">
        <w:t xml:space="preserve"> areas</w:t>
      </w:r>
      <w:r w:rsidR="008F5641" w:rsidRPr="004666D3">
        <w:t xml:space="preserve"> (Fig.</w:t>
      </w:r>
      <w:r w:rsidR="00BB023A" w:rsidRPr="004666D3">
        <w:t xml:space="preserve"> </w:t>
      </w:r>
      <w:r w:rsidR="00C72AE8" w:rsidRPr="004666D3">
        <w:t>3</w:t>
      </w:r>
      <w:r w:rsidR="008F5641" w:rsidRPr="004666D3">
        <w:t>)</w:t>
      </w:r>
      <w:r w:rsidR="0021284E" w:rsidRPr="004666D3">
        <w:t>.</w:t>
      </w:r>
      <w:r w:rsidR="00E835D0" w:rsidRPr="004666D3">
        <w:t xml:space="preserve"> </w:t>
      </w:r>
      <w:r w:rsidR="007B36E7" w:rsidRPr="004666D3">
        <w:t xml:space="preserve">However, the trends </w:t>
      </w:r>
      <w:r w:rsidR="00CB7757" w:rsidRPr="004666D3">
        <w:t xml:space="preserve">during </w:t>
      </w:r>
      <w:r w:rsidR="008840BB" w:rsidRPr="004666D3">
        <w:t>night-time</w:t>
      </w:r>
      <w:r w:rsidR="00CB7757" w:rsidRPr="004666D3">
        <w:t xml:space="preserve"> and daytime </w:t>
      </w:r>
      <w:r w:rsidR="007B36E7" w:rsidRPr="004666D3">
        <w:t>differed markedly on workdays</w:t>
      </w:r>
      <w:r w:rsidR="00C41FD6" w:rsidRPr="004666D3">
        <w:t xml:space="preserve">, </w:t>
      </w:r>
      <w:r w:rsidR="007F7A5A" w:rsidRPr="004666D3">
        <w:t xml:space="preserve">particularly in urban </w:t>
      </w:r>
      <w:r w:rsidR="002C45BE" w:rsidRPr="004666D3">
        <w:t>centres</w:t>
      </w:r>
      <w:r w:rsidR="007F7A5A" w:rsidRPr="004666D3">
        <w:t xml:space="preserve"> and rural areas</w:t>
      </w:r>
      <w:r w:rsidR="00D76A39" w:rsidRPr="004666D3">
        <w:t xml:space="preserve">. </w:t>
      </w:r>
      <w:r w:rsidR="007A3F05" w:rsidRPr="004666D3">
        <w:t xml:space="preserve">In urban centres, </w:t>
      </w:r>
      <w:r w:rsidR="0044604D" w:rsidRPr="004666D3">
        <w:t xml:space="preserve">we observed </w:t>
      </w:r>
      <w:r w:rsidR="007A3F05" w:rsidRPr="004666D3">
        <w:t>a</w:t>
      </w:r>
      <w:r w:rsidR="00336FE0" w:rsidRPr="004666D3">
        <w:t xml:space="preserve"> decreasing trend </w:t>
      </w:r>
      <w:r w:rsidR="002C2E95" w:rsidRPr="004666D3">
        <w:t xml:space="preserve">during </w:t>
      </w:r>
      <w:r w:rsidR="008840BB" w:rsidRPr="004666D3">
        <w:t>night-time</w:t>
      </w:r>
      <w:r w:rsidR="3E752992" w:rsidRPr="004666D3">
        <w:t xml:space="preserve"> for the entire period</w:t>
      </w:r>
      <w:r w:rsidR="00D33456" w:rsidRPr="004666D3">
        <w:t>;</w:t>
      </w:r>
      <w:r w:rsidR="00A86DB6" w:rsidRPr="004666D3">
        <w:t xml:space="preserve"> </w:t>
      </w:r>
      <w:r w:rsidR="7F982D49" w:rsidRPr="004666D3">
        <w:lastRenderedPageBreak/>
        <w:t xml:space="preserve">during the daytime there was only a </w:t>
      </w:r>
      <w:r w:rsidR="00FB299F" w:rsidRPr="004666D3">
        <w:t>decreasing trend until mid-July of 2021</w:t>
      </w:r>
      <w:r w:rsidR="4413B294" w:rsidRPr="004666D3">
        <w:t>,</w:t>
      </w:r>
      <w:r w:rsidR="00FB299F" w:rsidRPr="004666D3">
        <w:t xml:space="preserve"> </w:t>
      </w:r>
      <w:r w:rsidR="4413B294" w:rsidRPr="004666D3">
        <w:t xml:space="preserve">followed by an increasing trend. </w:t>
      </w:r>
      <w:r w:rsidR="6492CE33" w:rsidRPr="004666D3">
        <w:t xml:space="preserve">The opposite was </w:t>
      </w:r>
      <w:r w:rsidR="23CAF271" w:rsidRPr="004666D3">
        <w:t xml:space="preserve">largely </w:t>
      </w:r>
      <w:r w:rsidR="6492CE33" w:rsidRPr="004666D3">
        <w:t>observed in rural areas – a</w:t>
      </w:r>
      <w:r w:rsidR="0014681E" w:rsidRPr="004666D3">
        <w:t>n</w:t>
      </w:r>
      <w:r w:rsidR="6492CE33" w:rsidRPr="004666D3">
        <w:t xml:space="preserve"> upward trend during the night, </w:t>
      </w:r>
      <w:r w:rsidR="79D7CA78" w:rsidRPr="004666D3">
        <w:t>particularly after Dec</w:t>
      </w:r>
      <w:r w:rsidR="00EB2A36" w:rsidRPr="004666D3">
        <w:t>ember</w:t>
      </w:r>
      <w:r w:rsidR="79D7CA78" w:rsidRPr="004666D3">
        <w:t xml:space="preserve"> 2021</w:t>
      </w:r>
      <w:r w:rsidR="6492CE33" w:rsidRPr="004666D3">
        <w:t xml:space="preserve">, </w:t>
      </w:r>
      <w:r w:rsidR="008B41D9" w:rsidRPr="004666D3">
        <w:t xml:space="preserve">while a declining overall trend was </w:t>
      </w:r>
      <w:r w:rsidR="003B1D41" w:rsidRPr="004666D3">
        <w:t>observed</w:t>
      </w:r>
      <w:r w:rsidR="008B41D9" w:rsidRPr="004666D3">
        <w:t xml:space="preserve"> </w:t>
      </w:r>
      <w:r w:rsidR="7D44A616" w:rsidRPr="004666D3">
        <w:t xml:space="preserve">during the day, </w:t>
      </w:r>
      <w:r w:rsidR="008B41D9" w:rsidRPr="004666D3">
        <w:t>with a drop greater from September 2021</w:t>
      </w:r>
      <w:r w:rsidR="007976BC" w:rsidRPr="004666D3">
        <w:t>.</w:t>
      </w:r>
    </w:p>
    <w:p w14:paraId="31ED53B7" w14:textId="2B1927DA" w:rsidR="00E33668" w:rsidRPr="004666D3" w:rsidRDefault="00E33668" w:rsidP="00081DF9">
      <w:pPr>
        <w:spacing w:line="240" w:lineRule="auto"/>
        <w:rPr>
          <w:szCs w:val="24"/>
        </w:rPr>
      </w:pPr>
    </w:p>
    <w:p w14:paraId="7E01A821" w14:textId="45238CBC" w:rsidR="00FB5253" w:rsidRPr="004666D3" w:rsidRDefault="00CA60BA" w:rsidP="00557ED0">
      <w:bookmarkStart w:id="101" w:name="OLE_LINK72"/>
      <w:bookmarkStart w:id="102" w:name="OLE_LINK71"/>
      <w:r w:rsidRPr="004666D3">
        <w:t xml:space="preserve">In addition to the </w:t>
      </w:r>
      <w:r w:rsidR="000D68E7" w:rsidRPr="004666D3">
        <w:t xml:space="preserve">overall trend, </w:t>
      </w:r>
      <w:r w:rsidR="002B2E35" w:rsidRPr="004666D3">
        <w:t>examining the seasonal components and remainders could enhance our understanding of population dynamics</w:t>
      </w:r>
      <w:r w:rsidR="00862B04" w:rsidRPr="004666D3">
        <w:t xml:space="preserve"> (Supplementary</w:t>
      </w:r>
      <w:r w:rsidR="00711641" w:rsidRPr="004666D3">
        <w:t xml:space="preserve"> Fig.</w:t>
      </w:r>
      <w:r w:rsidR="00BB023A" w:rsidRPr="004666D3">
        <w:t xml:space="preserve"> </w:t>
      </w:r>
      <w:r w:rsidR="00711641" w:rsidRPr="004666D3">
        <w:t>B.1</w:t>
      </w:r>
      <w:r w:rsidR="00862B04" w:rsidRPr="004666D3">
        <w:t>)</w:t>
      </w:r>
      <w:r w:rsidR="00B80184" w:rsidRPr="004666D3">
        <w:t>.</w:t>
      </w:r>
      <w:bookmarkEnd w:id="101"/>
      <w:r w:rsidR="00E145AB" w:rsidRPr="004666D3">
        <w:t xml:space="preserve"> </w:t>
      </w:r>
      <w:r w:rsidR="00E6022D" w:rsidRPr="004666D3">
        <w:t xml:space="preserve">The seasonal components </w:t>
      </w:r>
      <w:r w:rsidR="00E145AB" w:rsidRPr="004666D3">
        <w:t xml:space="preserve">exhibited that population in urban centres decreased sharply every year in July during both </w:t>
      </w:r>
      <w:r w:rsidR="008840BB" w:rsidRPr="004666D3">
        <w:t>night-time</w:t>
      </w:r>
      <w:r w:rsidR="00E145AB" w:rsidRPr="004666D3">
        <w:t xml:space="preserve"> and daytime on workdays, while in rural areas, a great increase occurred in July at that time</w:t>
      </w:r>
      <w:bookmarkEnd w:id="102"/>
      <w:r w:rsidR="00E145AB" w:rsidRPr="004666D3">
        <w:t>.</w:t>
      </w:r>
      <w:r w:rsidR="0046155B" w:rsidRPr="004666D3">
        <w:t xml:space="preserve"> </w:t>
      </w:r>
      <w:r w:rsidR="008A711A" w:rsidRPr="004666D3">
        <w:t>Additionally</w:t>
      </w:r>
      <w:r w:rsidR="20AD7A9F" w:rsidRPr="004666D3">
        <w:t>, t</w:t>
      </w:r>
      <w:r w:rsidR="002B2E35" w:rsidRPr="004666D3">
        <w:t>he</w:t>
      </w:r>
      <w:r w:rsidR="0055660F" w:rsidRPr="004666D3">
        <w:t xml:space="preserve"> remaind</w:t>
      </w:r>
      <w:r w:rsidR="00144502" w:rsidRPr="004666D3">
        <w:t>e</w:t>
      </w:r>
      <w:r w:rsidR="0055660F" w:rsidRPr="004666D3">
        <w:t xml:space="preserve">rs </w:t>
      </w:r>
      <w:r w:rsidR="00144502" w:rsidRPr="004666D3">
        <w:t xml:space="preserve">from STL in this study </w:t>
      </w:r>
      <w:r w:rsidR="00867EDA" w:rsidRPr="004666D3">
        <w:t xml:space="preserve">likely </w:t>
      </w:r>
      <w:r w:rsidR="008F25E4" w:rsidRPr="004666D3">
        <w:t>capture</w:t>
      </w:r>
      <w:r w:rsidR="00DD4D89" w:rsidRPr="004666D3">
        <w:t>d</w:t>
      </w:r>
      <w:r w:rsidR="008F25E4" w:rsidRPr="004666D3">
        <w:t xml:space="preserve"> </w:t>
      </w:r>
      <w:r w:rsidR="5A07CE65" w:rsidRPr="004666D3">
        <w:t xml:space="preserve">holiday population movements. </w:t>
      </w:r>
      <w:r w:rsidR="00840B6F" w:rsidRPr="004666D3">
        <w:t xml:space="preserve">The </w:t>
      </w:r>
      <w:r w:rsidR="00AE07EF" w:rsidRPr="004666D3">
        <w:t xml:space="preserve">positive </w:t>
      </w:r>
      <w:r w:rsidR="002E7E67" w:rsidRPr="004666D3">
        <w:t>values</w:t>
      </w:r>
      <w:r w:rsidR="007931D7" w:rsidRPr="004666D3">
        <w:t xml:space="preserve"> </w:t>
      </w:r>
      <w:r w:rsidR="00EF5481" w:rsidRPr="004666D3">
        <w:t xml:space="preserve">in rural areas </w:t>
      </w:r>
      <w:r w:rsidR="00835F6D" w:rsidRPr="004666D3">
        <w:t xml:space="preserve">occurred </w:t>
      </w:r>
      <w:r w:rsidR="4A0D0D74" w:rsidRPr="004666D3">
        <w:t>during</w:t>
      </w:r>
      <w:r w:rsidR="00835F6D" w:rsidRPr="004666D3">
        <w:t xml:space="preserve"> </w:t>
      </w:r>
      <w:r w:rsidR="00F00014" w:rsidRPr="004666D3">
        <w:t>some week</w:t>
      </w:r>
      <w:r w:rsidR="206437C4" w:rsidRPr="004666D3">
        <w:t>s</w:t>
      </w:r>
      <w:r w:rsidR="00F00014" w:rsidRPr="004666D3">
        <w:t xml:space="preserve"> in </w:t>
      </w:r>
      <w:r w:rsidR="00923372" w:rsidRPr="004666D3">
        <w:t>April</w:t>
      </w:r>
      <w:r w:rsidR="00FF386F" w:rsidRPr="004666D3">
        <w:t xml:space="preserve"> </w:t>
      </w:r>
      <w:r w:rsidR="00727272" w:rsidRPr="004666D3">
        <w:t>and December</w:t>
      </w:r>
      <w:r w:rsidR="002005D4" w:rsidRPr="004666D3">
        <w:t xml:space="preserve"> </w:t>
      </w:r>
      <w:r w:rsidR="002D513A" w:rsidRPr="004666D3">
        <w:t xml:space="preserve">during both </w:t>
      </w:r>
      <w:r w:rsidR="008840BB" w:rsidRPr="004666D3">
        <w:t>night-time</w:t>
      </w:r>
      <w:r w:rsidR="002D513A" w:rsidRPr="004666D3">
        <w:t xml:space="preserve"> and daytime</w:t>
      </w:r>
      <w:r w:rsidR="003C7397" w:rsidRPr="004666D3">
        <w:t>,</w:t>
      </w:r>
      <w:r w:rsidR="008D7B86" w:rsidRPr="004666D3">
        <w:t xml:space="preserve"> </w:t>
      </w:r>
      <w:r w:rsidR="00FD79CA" w:rsidRPr="004666D3">
        <w:t xml:space="preserve">which </w:t>
      </w:r>
      <w:r w:rsidR="0051695D" w:rsidRPr="004666D3">
        <w:t xml:space="preserve">appeared to </w:t>
      </w:r>
      <w:r w:rsidR="008F3B0A" w:rsidRPr="004666D3">
        <w:t>be corresponding</w:t>
      </w:r>
      <w:r w:rsidR="000339DB" w:rsidRPr="004666D3">
        <w:t xml:space="preserve"> </w:t>
      </w:r>
      <w:r w:rsidR="00FD79CA" w:rsidRPr="004666D3">
        <w:t>to</w:t>
      </w:r>
      <w:r w:rsidR="130C0BBB" w:rsidRPr="004666D3">
        <w:t xml:space="preserve"> the</w:t>
      </w:r>
      <w:r w:rsidR="00FD79CA" w:rsidRPr="004666D3">
        <w:t xml:space="preserve"> </w:t>
      </w:r>
      <w:r w:rsidR="00B94769" w:rsidRPr="004666D3">
        <w:t>Easter</w:t>
      </w:r>
      <w:r w:rsidR="00FF386F" w:rsidRPr="004666D3">
        <w:t xml:space="preserve"> </w:t>
      </w:r>
      <w:r w:rsidR="00B94769" w:rsidRPr="004666D3">
        <w:t>and Christmas holiday</w:t>
      </w:r>
      <w:r w:rsidR="00287997" w:rsidRPr="004666D3">
        <w:t>s</w:t>
      </w:r>
      <w:r w:rsidR="0423AA74" w:rsidRPr="004666D3">
        <w:t>, respectively</w:t>
      </w:r>
      <w:r w:rsidR="005B2CC3" w:rsidRPr="004666D3">
        <w:t>.</w:t>
      </w:r>
      <w:r w:rsidR="002D513A" w:rsidRPr="004666D3">
        <w:t xml:space="preserve"> </w:t>
      </w:r>
      <w:r w:rsidR="00287997" w:rsidRPr="004666D3">
        <w:t xml:space="preserve">Conversely, negative </w:t>
      </w:r>
      <w:r w:rsidR="002E7E67" w:rsidRPr="004666D3">
        <w:t>value</w:t>
      </w:r>
      <w:r w:rsidR="00287997" w:rsidRPr="004666D3">
        <w:t xml:space="preserve">s </w:t>
      </w:r>
      <w:r w:rsidR="12B5F54A" w:rsidRPr="004666D3">
        <w:t>occurred</w:t>
      </w:r>
      <w:r w:rsidR="00287997" w:rsidRPr="004666D3">
        <w:t xml:space="preserve"> in urban centres during the same periods.</w:t>
      </w:r>
      <w:r w:rsidR="004E0241" w:rsidRPr="004666D3">
        <w:t xml:space="preserve"> </w:t>
      </w:r>
    </w:p>
    <w:p w14:paraId="15D441B1" w14:textId="65D0A75F" w:rsidR="00C72AE8" w:rsidRPr="004666D3" w:rsidRDefault="00D2466E" w:rsidP="00557ED0">
      <w:pPr>
        <w:rPr>
          <w:szCs w:val="24"/>
        </w:rPr>
      </w:pPr>
      <w:r w:rsidRPr="004666D3">
        <w:rPr>
          <w:noProof/>
          <w:szCs w:val="24"/>
        </w:rPr>
        <w:lastRenderedPageBreak/>
        <w:drawing>
          <wp:inline distT="0" distB="0" distL="0" distR="0" wp14:anchorId="10B1C34D" wp14:editId="5DD55F66">
            <wp:extent cx="5731510" cy="3747135"/>
            <wp:effectExtent l="0" t="0" r="2540" b="5715"/>
            <wp:docPr id="4" name="Picture 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47135"/>
                    </a:xfrm>
                    <a:prstGeom prst="rect">
                      <a:avLst/>
                    </a:prstGeom>
                  </pic:spPr>
                </pic:pic>
              </a:graphicData>
            </a:graphic>
          </wp:inline>
        </w:drawing>
      </w:r>
    </w:p>
    <w:p w14:paraId="6DD86A73" w14:textId="3ACCAF50" w:rsidR="00C72AE8" w:rsidRPr="004666D3" w:rsidRDefault="00C72AE8" w:rsidP="00332EA5">
      <w:pPr>
        <w:spacing w:line="360" w:lineRule="auto"/>
        <w:rPr>
          <w:szCs w:val="24"/>
        </w:rPr>
      </w:pPr>
      <w:r w:rsidRPr="004666D3">
        <w:rPr>
          <w:szCs w:val="24"/>
        </w:rPr>
        <w:t xml:space="preserve">Figure </w:t>
      </w:r>
      <w:r w:rsidR="00F26ED1" w:rsidRPr="004666D3">
        <w:rPr>
          <w:szCs w:val="24"/>
        </w:rPr>
        <w:t xml:space="preserve">4 </w:t>
      </w:r>
      <w:r w:rsidR="007317C7" w:rsidRPr="004666D3">
        <w:rPr>
          <w:szCs w:val="24"/>
        </w:rPr>
        <w:t xml:space="preserve">Changes </w:t>
      </w:r>
      <w:r w:rsidR="00B7543A" w:rsidRPr="004666D3">
        <w:rPr>
          <w:szCs w:val="24"/>
        </w:rPr>
        <w:t>in</w:t>
      </w:r>
      <w:r w:rsidR="007317C7" w:rsidRPr="004666D3">
        <w:rPr>
          <w:szCs w:val="24"/>
        </w:rPr>
        <w:t xml:space="preserve"> </w:t>
      </w:r>
      <w:r w:rsidR="00D0328B" w:rsidRPr="004666D3">
        <w:rPr>
          <w:szCs w:val="24"/>
        </w:rPr>
        <w:t xml:space="preserve">weekly </w:t>
      </w:r>
      <w:r w:rsidR="007317C7" w:rsidRPr="004666D3">
        <w:rPr>
          <w:szCs w:val="24"/>
        </w:rPr>
        <w:t>Facebook user count</w:t>
      </w:r>
      <w:r w:rsidR="00DF6497" w:rsidRPr="004666D3">
        <w:rPr>
          <w:szCs w:val="24"/>
        </w:rPr>
        <w:t xml:space="preserve"> </w:t>
      </w:r>
      <w:r w:rsidR="008473E7" w:rsidRPr="004666D3">
        <w:rPr>
          <w:szCs w:val="24"/>
        </w:rPr>
        <w:t xml:space="preserve">during night-time on workdays </w:t>
      </w:r>
      <w:r w:rsidR="007317C7" w:rsidRPr="004666D3">
        <w:rPr>
          <w:szCs w:val="24"/>
        </w:rPr>
        <w:t xml:space="preserve">at </w:t>
      </w:r>
      <w:r w:rsidR="003612D8" w:rsidRPr="004666D3">
        <w:rPr>
          <w:szCs w:val="24"/>
        </w:rPr>
        <w:t xml:space="preserve">the </w:t>
      </w:r>
      <w:r w:rsidR="007317C7" w:rsidRPr="004666D3">
        <w:rPr>
          <w:szCs w:val="24"/>
        </w:rPr>
        <w:t>regional level in Belgium</w:t>
      </w:r>
      <w:r w:rsidR="006D0AEE" w:rsidRPr="004666D3">
        <w:rPr>
          <w:szCs w:val="24"/>
        </w:rPr>
        <w:t xml:space="preserve"> </w:t>
      </w:r>
      <w:r w:rsidR="00C612A6" w:rsidRPr="004666D3">
        <w:rPr>
          <w:szCs w:val="24"/>
        </w:rPr>
        <w:t>from</w:t>
      </w:r>
      <w:r w:rsidR="00472E48" w:rsidRPr="004666D3">
        <w:rPr>
          <w:szCs w:val="24"/>
        </w:rPr>
        <w:t xml:space="preserve"> </w:t>
      </w:r>
      <w:r w:rsidR="006F68C0" w:rsidRPr="004666D3">
        <w:rPr>
          <w:szCs w:val="24"/>
        </w:rPr>
        <w:t>March</w:t>
      </w:r>
      <w:r w:rsidR="00472E48" w:rsidRPr="004666D3">
        <w:rPr>
          <w:szCs w:val="24"/>
        </w:rPr>
        <w:t xml:space="preserve"> 2020 to May 2022 </w:t>
      </w:r>
      <w:r w:rsidR="004B3F1C" w:rsidRPr="004666D3">
        <w:rPr>
          <w:szCs w:val="24"/>
        </w:rPr>
        <w:t>across (a) urban centre, (b) urban cluster/suburban and (c) rural areas.</w:t>
      </w:r>
      <w:r w:rsidR="00C70016" w:rsidRPr="004666D3">
        <w:rPr>
          <w:szCs w:val="24"/>
        </w:rPr>
        <w:t xml:space="preserve"> </w:t>
      </w:r>
      <w:r w:rsidR="00746625" w:rsidRPr="004666D3">
        <w:rPr>
          <w:szCs w:val="24"/>
        </w:rPr>
        <w:t xml:space="preserve">The </w:t>
      </w:r>
      <w:r w:rsidR="005052C3" w:rsidRPr="004666D3">
        <w:rPr>
          <w:szCs w:val="24"/>
        </w:rPr>
        <w:t>left</w:t>
      </w:r>
      <w:r w:rsidR="00D0328B" w:rsidRPr="004666D3">
        <w:rPr>
          <w:szCs w:val="24"/>
        </w:rPr>
        <w:t xml:space="preserve"> map </w:t>
      </w:r>
      <w:r w:rsidR="00811EF4" w:rsidRPr="004666D3">
        <w:rPr>
          <w:szCs w:val="24"/>
        </w:rPr>
        <w:t>exhibits</w:t>
      </w:r>
      <w:r w:rsidR="00CA74C9" w:rsidRPr="004666D3">
        <w:rPr>
          <w:szCs w:val="24"/>
        </w:rPr>
        <w:t xml:space="preserve"> percentage changes relative to </w:t>
      </w:r>
      <w:r w:rsidR="00D0328B" w:rsidRPr="004666D3">
        <w:rPr>
          <w:szCs w:val="24"/>
        </w:rPr>
        <w:t>the start week</w:t>
      </w:r>
      <w:r w:rsidR="00FE27A4" w:rsidRPr="004666D3">
        <w:rPr>
          <w:szCs w:val="24"/>
        </w:rPr>
        <w:t xml:space="preserve">, </w:t>
      </w:r>
      <w:r w:rsidR="00746625" w:rsidRPr="004666D3">
        <w:rPr>
          <w:szCs w:val="24"/>
        </w:rPr>
        <w:t xml:space="preserve">while the </w:t>
      </w:r>
      <w:r w:rsidR="005052C3" w:rsidRPr="004666D3">
        <w:rPr>
          <w:szCs w:val="24"/>
        </w:rPr>
        <w:t>right</w:t>
      </w:r>
      <w:r w:rsidR="00FE27A4" w:rsidRPr="004666D3">
        <w:rPr>
          <w:szCs w:val="24"/>
        </w:rPr>
        <w:t xml:space="preserve"> </w:t>
      </w:r>
      <w:r w:rsidR="00B52302" w:rsidRPr="004666D3">
        <w:rPr>
          <w:szCs w:val="24"/>
        </w:rPr>
        <w:t>presents</w:t>
      </w:r>
      <w:r w:rsidR="00FE27A4" w:rsidRPr="004666D3">
        <w:rPr>
          <w:szCs w:val="24"/>
        </w:rPr>
        <w:t xml:space="preserve"> </w:t>
      </w:r>
      <w:r w:rsidR="005B2ABE" w:rsidRPr="004666D3">
        <w:rPr>
          <w:szCs w:val="24"/>
        </w:rPr>
        <w:t xml:space="preserve">user count changes </w:t>
      </w:r>
      <w:r w:rsidR="003E03E7" w:rsidRPr="004666D3">
        <w:rPr>
          <w:szCs w:val="24"/>
        </w:rPr>
        <w:t xml:space="preserve">and </w:t>
      </w:r>
      <w:r w:rsidR="005B2ABE" w:rsidRPr="004666D3">
        <w:rPr>
          <w:szCs w:val="24"/>
        </w:rPr>
        <w:t xml:space="preserve">their decomposed trend component of the </w:t>
      </w:r>
      <w:r w:rsidR="00F3214A" w:rsidRPr="004666D3">
        <w:rPr>
          <w:szCs w:val="24"/>
        </w:rPr>
        <w:t>Seasonal-Trend decomposition using Loess (STL) method</w:t>
      </w:r>
      <w:r w:rsidR="005B2ABE" w:rsidRPr="004666D3">
        <w:rPr>
          <w:szCs w:val="24"/>
        </w:rPr>
        <w:t>.</w:t>
      </w:r>
      <w:r w:rsidR="00BD5322" w:rsidRPr="004666D3">
        <w:rPr>
          <w:szCs w:val="24"/>
        </w:rPr>
        <w:t xml:space="preserve"> </w:t>
      </w:r>
      <w:r w:rsidR="00A11CBB" w:rsidRPr="004666D3">
        <w:rPr>
          <w:szCs w:val="24"/>
        </w:rPr>
        <w:t xml:space="preserve">There </w:t>
      </w:r>
      <w:r w:rsidR="00CB6FCC" w:rsidRPr="004666D3">
        <w:rPr>
          <w:szCs w:val="24"/>
        </w:rPr>
        <w:t>are</w:t>
      </w:r>
      <w:r w:rsidR="00A11CBB" w:rsidRPr="004666D3">
        <w:rPr>
          <w:szCs w:val="24"/>
        </w:rPr>
        <w:t xml:space="preserve"> no </w:t>
      </w:r>
      <w:r w:rsidR="00CB6FCC" w:rsidRPr="004666D3">
        <w:rPr>
          <w:szCs w:val="24"/>
        </w:rPr>
        <w:t xml:space="preserve">suburban and rural areas </w:t>
      </w:r>
      <w:r w:rsidR="00EF76BB" w:rsidRPr="004666D3">
        <w:rPr>
          <w:szCs w:val="24"/>
        </w:rPr>
        <w:t>with</w:t>
      </w:r>
      <w:r w:rsidR="00CB6FCC" w:rsidRPr="004666D3">
        <w:rPr>
          <w:szCs w:val="24"/>
        </w:rPr>
        <w:t xml:space="preserve">in Brussels. </w:t>
      </w:r>
      <w:r w:rsidR="00DC3853" w:rsidRPr="004666D3">
        <w:rPr>
          <w:szCs w:val="24"/>
        </w:rPr>
        <w:t>The lockdown ‘stringency index’</w:t>
      </w:r>
      <w:r w:rsidR="00D45B5C" w:rsidRPr="004666D3">
        <w:rPr>
          <w:szCs w:val="24"/>
        </w:rPr>
        <w:t xml:space="preserve"> </w:t>
      </w:r>
      <w:r w:rsidR="00CF0C97" w:rsidRPr="004666D3">
        <w:rPr>
          <w:szCs w:val="24"/>
        </w:rPr>
        <w:t>from the</w:t>
      </w:r>
      <w:r w:rsidR="00DC3853" w:rsidRPr="004666D3">
        <w:rPr>
          <w:szCs w:val="24"/>
        </w:rPr>
        <w:t xml:space="preserve"> Oxford COVID-19 Government Response Tracker </w:t>
      </w:r>
      <w:r w:rsidR="00DC3853" w:rsidRPr="004666D3">
        <w:rPr>
          <w:szCs w:val="24"/>
        </w:rPr>
        <w:fldChar w:fldCharType="begin"/>
      </w:r>
      <w:r w:rsidR="00A54651" w:rsidRPr="004666D3">
        <w:rPr>
          <w:szCs w:val="24"/>
        </w:rPr>
        <w:instrText xml:space="preserve"> ADDIN ZOTERO_ITEM CSL_CITATION {"citationID":"rOva1Jz8","properties":{"formattedCitation":"(Hale et al., 2021)","plainCitation":"(Hale et al., 2021)","noteIndex":0},"citationItems":[{"id":5282,"uris":["http://zotero.org/users/9756803/items/HRBDC39M"],"itemData":{"id":5282,"type":"article-journal","abstract":"COVID-19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Nature","note":"number: 4\npublisher: Nature Publishing Group","page":"529-538","source":"www.nature.com","title":"A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schema":"https://github.com/citation-style-language/schema/raw/master/csl-citation.json"} </w:instrText>
      </w:r>
      <w:r w:rsidR="00DC3853" w:rsidRPr="004666D3">
        <w:rPr>
          <w:szCs w:val="24"/>
        </w:rPr>
        <w:fldChar w:fldCharType="separate"/>
      </w:r>
      <w:r w:rsidR="00DC3853" w:rsidRPr="004666D3">
        <w:rPr>
          <w:rFonts w:ascii="Calibri" w:hAnsi="Calibri" w:cs="Calibri"/>
        </w:rPr>
        <w:t>(Hale et al., 2021)</w:t>
      </w:r>
      <w:r w:rsidR="00DC3853" w:rsidRPr="004666D3">
        <w:rPr>
          <w:szCs w:val="24"/>
        </w:rPr>
        <w:fldChar w:fldCharType="end"/>
      </w:r>
      <w:r w:rsidR="00D45B5C" w:rsidRPr="004666D3">
        <w:rPr>
          <w:szCs w:val="24"/>
        </w:rPr>
        <w:t xml:space="preserve"> </w:t>
      </w:r>
      <w:r w:rsidR="002635CD" w:rsidRPr="004666D3">
        <w:rPr>
          <w:szCs w:val="24"/>
        </w:rPr>
        <w:t>is represented by</w:t>
      </w:r>
      <w:r w:rsidR="00D45B5C" w:rsidRPr="004666D3">
        <w:rPr>
          <w:szCs w:val="24"/>
        </w:rPr>
        <w:t xml:space="preserve"> </w:t>
      </w:r>
      <w:r w:rsidR="002635CD" w:rsidRPr="004666D3">
        <w:rPr>
          <w:szCs w:val="24"/>
        </w:rPr>
        <w:t>varying intensities of grey backgrounds</w:t>
      </w:r>
      <w:r w:rsidR="00D45B5C" w:rsidRPr="004666D3">
        <w:rPr>
          <w:szCs w:val="24"/>
        </w:rPr>
        <w:t>.</w:t>
      </w:r>
    </w:p>
    <w:p w14:paraId="6494FDF8" w14:textId="77777777" w:rsidR="00D42412" w:rsidRPr="004666D3" w:rsidRDefault="00D42412" w:rsidP="009E0E13">
      <w:pPr>
        <w:spacing w:line="240" w:lineRule="auto"/>
        <w:rPr>
          <w:szCs w:val="24"/>
        </w:rPr>
      </w:pPr>
    </w:p>
    <w:p w14:paraId="2172621A" w14:textId="59002226" w:rsidR="0008357A" w:rsidRPr="004666D3" w:rsidRDefault="001A3092" w:rsidP="00557ED0">
      <w:bookmarkStart w:id="103" w:name="OLE_LINK99"/>
      <w:r w:rsidRPr="004666D3">
        <w:t xml:space="preserve">To further understand the </w:t>
      </w:r>
      <w:r w:rsidR="00581D0F" w:rsidRPr="004666D3">
        <w:t xml:space="preserve">redistribution characteristics of </w:t>
      </w:r>
      <w:r w:rsidRPr="004666D3">
        <w:t>Facebook user</w:t>
      </w:r>
      <w:r w:rsidR="00581D0F" w:rsidRPr="004666D3">
        <w:t>s</w:t>
      </w:r>
      <w:r w:rsidRPr="004666D3">
        <w:t xml:space="preserve"> </w:t>
      </w:r>
      <w:r w:rsidR="00F9164B" w:rsidRPr="004666D3">
        <w:t xml:space="preserve">within </w:t>
      </w:r>
      <w:r w:rsidR="00581D0F" w:rsidRPr="004666D3">
        <w:t xml:space="preserve">the </w:t>
      </w:r>
      <w:r w:rsidR="00F9164B" w:rsidRPr="004666D3">
        <w:t>country</w:t>
      </w:r>
      <w:r w:rsidRPr="004666D3">
        <w:t xml:space="preserve">, we </w:t>
      </w:r>
      <w:r w:rsidR="00245409" w:rsidRPr="004666D3">
        <w:t>analysed</w:t>
      </w:r>
      <w:r w:rsidR="00427C38" w:rsidRPr="004666D3">
        <w:t xml:space="preserve"> their changes at</w:t>
      </w:r>
      <w:r w:rsidR="00F744A1" w:rsidRPr="004666D3">
        <w:t xml:space="preserve"> the</w:t>
      </w:r>
      <w:r w:rsidR="00427C38" w:rsidRPr="004666D3">
        <w:t xml:space="preserve"> regional level</w:t>
      </w:r>
      <w:r w:rsidR="008C273D" w:rsidRPr="004666D3">
        <w:t xml:space="preserve"> (Fig.</w:t>
      </w:r>
      <w:r w:rsidR="009E0E13" w:rsidRPr="004666D3">
        <w:t xml:space="preserve"> </w:t>
      </w:r>
      <w:r w:rsidR="008C273D" w:rsidRPr="004666D3">
        <w:t>4)</w:t>
      </w:r>
      <w:r w:rsidR="00491B26" w:rsidRPr="004666D3">
        <w:t xml:space="preserve">. </w:t>
      </w:r>
      <w:r w:rsidR="00990761" w:rsidRPr="004666D3">
        <w:t xml:space="preserve">A decrease </w:t>
      </w:r>
      <w:r w:rsidR="0046106B" w:rsidRPr="004666D3">
        <w:t>in the number of urban centre dwellers</w:t>
      </w:r>
      <w:r w:rsidR="00491B26" w:rsidRPr="004666D3">
        <w:t xml:space="preserve"> </w:t>
      </w:r>
      <w:r w:rsidR="0046106B" w:rsidRPr="004666D3">
        <w:t>was observed</w:t>
      </w:r>
      <w:r w:rsidR="00562ADE" w:rsidRPr="004666D3">
        <w:t xml:space="preserve"> in the capital of Brussels and </w:t>
      </w:r>
      <w:r w:rsidR="009934FE" w:rsidRPr="004666D3">
        <w:t xml:space="preserve">the </w:t>
      </w:r>
      <w:r w:rsidR="00562ADE" w:rsidRPr="004666D3">
        <w:t xml:space="preserve">Flemish region, </w:t>
      </w:r>
      <w:r w:rsidR="009934FE" w:rsidRPr="004666D3">
        <w:t>with decrease of</w:t>
      </w:r>
      <w:r w:rsidR="00485A90" w:rsidRPr="004666D3">
        <w:t xml:space="preserve"> 6.90% </w:t>
      </w:r>
      <w:r w:rsidR="002E4934" w:rsidRPr="004666D3">
        <w:t>and 2.40%</w:t>
      </w:r>
      <w:r w:rsidR="009934FE" w:rsidRPr="004666D3">
        <w:t>,</w:t>
      </w:r>
      <w:r w:rsidR="002E4934" w:rsidRPr="004666D3">
        <w:t xml:space="preserve"> respectively</w:t>
      </w:r>
      <w:r w:rsidR="009934FE" w:rsidRPr="004666D3">
        <w:t>.</w:t>
      </w:r>
      <w:r w:rsidR="002E4934" w:rsidRPr="004666D3">
        <w:t xml:space="preserve"> </w:t>
      </w:r>
      <w:r w:rsidR="009934FE" w:rsidRPr="004666D3">
        <w:t xml:space="preserve">In </w:t>
      </w:r>
      <w:r w:rsidR="00E442CE" w:rsidRPr="004666D3">
        <w:t xml:space="preserve">the </w:t>
      </w:r>
      <w:r w:rsidR="00BF7FD6" w:rsidRPr="004666D3">
        <w:t>urban centre</w:t>
      </w:r>
      <w:r w:rsidR="00CA3FB6" w:rsidRPr="004666D3">
        <w:t>s</w:t>
      </w:r>
      <w:r w:rsidR="00BF7FD6" w:rsidRPr="004666D3">
        <w:t xml:space="preserve"> of </w:t>
      </w:r>
      <w:r w:rsidR="00245409" w:rsidRPr="004666D3">
        <w:t>the Walloon region</w:t>
      </w:r>
      <w:r w:rsidR="00BF7FD6" w:rsidRPr="004666D3">
        <w:t xml:space="preserve">, </w:t>
      </w:r>
      <w:r w:rsidR="00E442CE" w:rsidRPr="004666D3">
        <w:t xml:space="preserve">the </w:t>
      </w:r>
      <w:r w:rsidR="00DF6E51" w:rsidRPr="004666D3">
        <w:t xml:space="preserve">user count </w:t>
      </w:r>
      <w:r w:rsidR="00E442CE" w:rsidRPr="004666D3">
        <w:t>initially increased</w:t>
      </w:r>
      <w:r w:rsidR="00CA3FB6" w:rsidRPr="004666D3">
        <w:t xml:space="preserve">, </w:t>
      </w:r>
      <w:r w:rsidR="00A85BE7" w:rsidRPr="004666D3">
        <w:t>followed by a</w:t>
      </w:r>
      <w:r w:rsidR="00E442CE" w:rsidRPr="004666D3">
        <w:t xml:space="preserve"> decrease, </w:t>
      </w:r>
      <w:r w:rsidR="00342D31" w:rsidRPr="004666D3">
        <w:t>resulting in</w:t>
      </w:r>
      <w:r w:rsidR="00CA3FB6" w:rsidRPr="004666D3">
        <w:t xml:space="preserve"> a</w:t>
      </w:r>
      <w:r w:rsidR="00342D31" w:rsidRPr="004666D3">
        <w:t xml:space="preserve"> minimal net change</w:t>
      </w:r>
      <w:r w:rsidR="00E442CE" w:rsidRPr="004666D3">
        <w:t xml:space="preserve">, </w:t>
      </w:r>
      <w:r w:rsidR="000255D7" w:rsidRPr="004666D3">
        <w:t xml:space="preserve">which </w:t>
      </w:r>
      <w:r w:rsidR="00E442CE" w:rsidRPr="004666D3">
        <w:t>indicat</w:t>
      </w:r>
      <w:r w:rsidR="000255D7" w:rsidRPr="004666D3">
        <w:t>ed</w:t>
      </w:r>
      <w:r w:rsidR="00E442CE" w:rsidRPr="004666D3">
        <w:t xml:space="preserve"> temporary increases during the pandemic</w:t>
      </w:r>
      <w:r w:rsidR="00AA4E0F" w:rsidRPr="004666D3">
        <w:t xml:space="preserve">. </w:t>
      </w:r>
      <w:r w:rsidR="00450B97" w:rsidRPr="004666D3">
        <w:t xml:space="preserve">In the Flemish region, </w:t>
      </w:r>
      <w:r w:rsidR="0075369F" w:rsidRPr="004666D3">
        <w:t xml:space="preserve">there was </w:t>
      </w:r>
      <w:r w:rsidR="0075369F" w:rsidRPr="004666D3">
        <w:lastRenderedPageBreak/>
        <w:t>an initial upward trend in user count in suburban and rural areas, followed by a continuous decline</w:t>
      </w:r>
      <w:r w:rsidR="00437A4F" w:rsidRPr="004666D3">
        <w:t xml:space="preserve">. However, </w:t>
      </w:r>
      <w:r w:rsidR="002F2BC0" w:rsidRPr="004666D3">
        <w:t xml:space="preserve">in the Walloon region, </w:t>
      </w:r>
      <w:r w:rsidR="00DF31F2" w:rsidRPr="004666D3">
        <w:t xml:space="preserve">the number of users in </w:t>
      </w:r>
      <w:r w:rsidR="197EE401" w:rsidRPr="004666D3">
        <w:t>suburban and rural</w:t>
      </w:r>
      <w:r w:rsidR="00DF31F2" w:rsidRPr="004666D3">
        <w:t xml:space="preserve"> areas </w:t>
      </w:r>
      <w:r w:rsidR="007E33DB" w:rsidRPr="004666D3">
        <w:t>increase</w:t>
      </w:r>
      <w:r w:rsidR="000D6255" w:rsidRPr="004666D3">
        <w:t>d by</w:t>
      </w:r>
      <w:r w:rsidR="007E33DB" w:rsidRPr="004666D3">
        <w:t xml:space="preserve"> 2.50% and 3.40%, respectively.</w:t>
      </w:r>
      <w:r w:rsidR="003656B4" w:rsidRPr="004666D3">
        <w:t xml:space="preserve"> </w:t>
      </w:r>
      <w:r w:rsidR="0091295E" w:rsidRPr="004666D3">
        <w:t xml:space="preserve">Daytime </w:t>
      </w:r>
      <w:r w:rsidR="007E33DB" w:rsidRPr="004666D3">
        <w:t>variations</w:t>
      </w:r>
      <w:r w:rsidR="0091295E" w:rsidRPr="004666D3">
        <w:t xml:space="preserve"> revealed </w:t>
      </w:r>
      <w:r w:rsidR="008C332D" w:rsidRPr="004666D3">
        <w:t>distinct patterns</w:t>
      </w:r>
      <w:r w:rsidR="0091295E" w:rsidRPr="004666D3">
        <w:t xml:space="preserve"> in </w:t>
      </w:r>
      <w:r w:rsidR="008C332D" w:rsidRPr="004666D3">
        <w:t xml:space="preserve">daily </w:t>
      </w:r>
      <w:r w:rsidR="0091295E" w:rsidRPr="004666D3">
        <w:t>activity (</w:t>
      </w:r>
      <w:r w:rsidR="0003379E" w:rsidRPr="004666D3">
        <w:t>refer to</w:t>
      </w:r>
      <w:r w:rsidR="0091295E" w:rsidRPr="004666D3">
        <w:t xml:space="preserve"> Supplementary</w:t>
      </w:r>
      <w:r w:rsidR="00A819FD" w:rsidRPr="004666D3">
        <w:t xml:space="preserve"> Fig.</w:t>
      </w:r>
      <w:r w:rsidR="009E0E13" w:rsidRPr="004666D3">
        <w:t xml:space="preserve"> </w:t>
      </w:r>
      <w:r w:rsidR="00A819FD" w:rsidRPr="004666D3">
        <w:t>B.3</w:t>
      </w:r>
      <w:r w:rsidR="0091295E" w:rsidRPr="004666D3">
        <w:t>)</w:t>
      </w:r>
      <w:r w:rsidR="007363D3" w:rsidRPr="004666D3">
        <w:t>, including</w:t>
      </w:r>
      <w:r w:rsidR="0091295E" w:rsidRPr="004666D3">
        <w:t xml:space="preserve"> increase</w:t>
      </w:r>
      <w:r w:rsidR="00AA6226" w:rsidRPr="004666D3">
        <w:t>s</w:t>
      </w:r>
      <w:r w:rsidR="0091295E" w:rsidRPr="004666D3">
        <w:t xml:space="preserve"> of 1.68% and 4.10% in urban centres of the Flemish and Walloon regions, respectively, </w:t>
      </w:r>
      <w:r w:rsidR="00776A3A" w:rsidRPr="004666D3">
        <w:t>contrasted with</w:t>
      </w:r>
      <w:r w:rsidR="0091295E" w:rsidRPr="004666D3">
        <w:t xml:space="preserve"> decrease</w:t>
      </w:r>
      <w:r w:rsidR="00776A3A" w:rsidRPr="004666D3">
        <w:t>s</w:t>
      </w:r>
      <w:r w:rsidR="0091295E" w:rsidRPr="004666D3">
        <w:t xml:space="preserve"> </w:t>
      </w:r>
      <w:r w:rsidR="00C603AB" w:rsidRPr="004666D3">
        <w:t>of</w:t>
      </w:r>
      <w:r w:rsidR="002064BD" w:rsidRPr="004666D3">
        <w:t xml:space="preserve"> 2.80% and 2.10% </w:t>
      </w:r>
      <w:r w:rsidR="0091295E" w:rsidRPr="004666D3">
        <w:t xml:space="preserve">in rural areas in these </w:t>
      </w:r>
      <w:r w:rsidR="00C603AB" w:rsidRPr="004666D3">
        <w:t xml:space="preserve">respective </w:t>
      </w:r>
      <w:r w:rsidR="0091295E" w:rsidRPr="004666D3">
        <w:t>regions.</w:t>
      </w:r>
      <w:r w:rsidR="3780F087" w:rsidRPr="004666D3">
        <w:t xml:space="preserve"> In combination, the results suggest a complex picture of </w:t>
      </w:r>
      <w:r w:rsidR="003821F4" w:rsidRPr="004666D3">
        <w:t>Facebook users’</w:t>
      </w:r>
      <w:r w:rsidR="3780F087" w:rsidRPr="004666D3">
        <w:t xml:space="preserve"> movement</w:t>
      </w:r>
      <w:r w:rsidR="003821F4" w:rsidRPr="004666D3">
        <w:t>s</w:t>
      </w:r>
      <w:r w:rsidR="3780F087" w:rsidRPr="004666D3">
        <w:t xml:space="preserve"> in Belgium during and directly after the pandemic</w:t>
      </w:r>
      <w:r w:rsidR="191FE197" w:rsidRPr="004666D3">
        <w:t xml:space="preserve">. </w:t>
      </w:r>
    </w:p>
    <w:bookmarkEnd w:id="103"/>
    <w:p w14:paraId="6DD0AD54" w14:textId="77777777" w:rsidR="005D1B38" w:rsidRPr="004666D3" w:rsidRDefault="005D1B38" w:rsidP="00A45A30">
      <w:pPr>
        <w:spacing w:line="360" w:lineRule="auto"/>
        <w:rPr>
          <w:szCs w:val="24"/>
        </w:rPr>
      </w:pPr>
    </w:p>
    <w:p w14:paraId="0A867B5A" w14:textId="790C59BF" w:rsidR="00731C87" w:rsidRPr="004666D3" w:rsidRDefault="00293DBA" w:rsidP="00557ED0">
      <w:pPr>
        <w:pStyle w:val="mysubtitle"/>
      </w:pPr>
      <w:r w:rsidRPr="004666D3">
        <w:t>3.</w:t>
      </w:r>
      <w:r w:rsidR="0006278D" w:rsidRPr="004666D3">
        <w:t xml:space="preserve">2 The </w:t>
      </w:r>
      <w:r w:rsidR="00DD02EE" w:rsidRPr="004666D3">
        <w:t>distribution and d</w:t>
      </w:r>
      <w:r w:rsidRPr="004666D3">
        <w:t>iurnal dynamics</w:t>
      </w:r>
      <w:r w:rsidR="0006278D" w:rsidRPr="004666D3">
        <w:t xml:space="preserve"> of Facebook user count</w:t>
      </w:r>
      <w:r w:rsidRPr="004666D3">
        <w:t xml:space="preserve"> in Thailand</w:t>
      </w:r>
    </w:p>
    <w:p w14:paraId="1FD1651B" w14:textId="3A8B8B6A" w:rsidR="00436920" w:rsidRPr="004666D3" w:rsidRDefault="0054215F" w:rsidP="00436920">
      <w:pPr>
        <w:pStyle w:val="mysubtitle"/>
        <w:rPr>
          <w:b w:val="0"/>
          <w:bCs w:val="0"/>
        </w:rPr>
      </w:pPr>
      <w:r w:rsidRPr="004666D3">
        <w:rPr>
          <w:b w:val="0"/>
          <w:bCs w:val="0"/>
        </w:rPr>
        <w:t>In</w:t>
      </w:r>
      <w:r w:rsidR="00436920" w:rsidRPr="004666D3">
        <w:rPr>
          <w:b w:val="0"/>
          <w:bCs w:val="0"/>
        </w:rPr>
        <w:t xml:space="preserve"> Thailand</w:t>
      </w:r>
      <w:r w:rsidRPr="004666D3">
        <w:rPr>
          <w:b w:val="0"/>
          <w:bCs w:val="0"/>
        </w:rPr>
        <w:t>,</w:t>
      </w:r>
      <w:r w:rsidR="00436920" w:rsidRPr="004666D3">
        <w:rPr>
          <w:b w:val="0"/>
          <w:bCs w:val="0"/>
        </w:rPr>
        <w:t xml:space="preserve"> the </w:t>
      </w:r>
      <w:r w:rsidR="006F68C0" w:rsidRPr="004666D3">
        <w:rPr>
          <w:b w:val="0"/>
          <w:bCs w:val="0"/>
        </w:rPr>
        <w:t>Facebook user count</w:t>
      </w:r>
      <w:r w:rsidR="00436920" w:rsidRPr="004666D3">
        <w:rPr>
          <w:b w:val="0"/>
          <w:bCs w:val="0"/>
        </w:rPr>
        <w:t xml:space="preserve"> </w:t>
      </w:r>
      <w:r w:rsidR="006066C3" w:rsidRPr="004666D3">
        <w:rPr>
          <w:b w:val="0"/>
          <w:bCs w:val="0"/>
        </w:rPr>
        <w:t xml:space="preserve">experienced a significant decrease </w:t>
      </w:r>
      <w:r w:rsidR="00E33B74" w:rsidRPr="004666D3">
        <w:rPr>
          <w:b w:val="0"/>
          <w:bCs w:val="0"/>
        </w:rPr>
        <w:t>in</w:t>
      </w:r>
      <w:r w:rsidR="006066C3" w:rsidRPr="004666D3">
        <w:rPr>
          <w:b w:val="0"/>
          <w:bCs w:val="0"/>
        </w:rPr>
        <w:t xml:space="preserve"> </w:t>
      </w:r>
      <w:r w:rsidR="005C6F57" w:rsidRPr="004666D3">
        <w:rPr>
          <w:b w:val="0"/>
          <w:bCs w:val="0"/>
        </w:rPr>
        <w:t>80.8% of</w:t>
      </w:r>
      <w:r w:rsidR="00436920" w:rsidRPr="004666D3">
        <w:rPr>
          <w:b w:val="0"/>
          <w:bCs w:val="0"/>
        </w:rPr>
        <w:t xml:space="preserve"> urban </w:t>
      </w:r>
      <w:r w:rsidR="0015498A" w:rsidRPr="004666D3">
        <w:rPr>
          <w:b w:val="0"/>
          <w:bCs w:val="0"/>
        </w:rPr>
        <w:t>centre</w:t>
      </w:r>
      <w:r w:rsidR="00436920" w:rsidRPr="004666D3">
        <w:rPr>
          <w:b w:val="0"/>
          <w:bCs w:val="0"/>
        </w:rPr>
        <w:t xml:space="preserve"> </w:t>
      </w:r>
      <w:r w:rsidR="00E11DC8" w:rsidRPr="004666D3">
        <w:rPr>
          <w:b w:val="0"/>
          <w:bCs w:val="0"/>
        </w:rPr>
        <w:t>tiles</w:t>
      </w:r>
      <w:r w:rsidR="005C6F57" w:rsidRPr="004666D3">
        <w:rPr>
          <w:b w:val="0"/>
          <w:bCs w:val="0"/>
        </w:rPr>
        <w:t xml:space="preserve"> </w:t>
      </w:r>
      <w:r w:rsidR="00A37506" w:rsidRPr="004666D3">
        <w:rPr>
          <w:b w:val="0"/>
          <w:bCs w:val="0"/>
        </w:rPr>
        <w:t xml:space="preserve">during night-time on workdays </w:t>
      </w:r>
      <w:r w:rsidRPr="004666D3">
        <w:rPr>
          <w:b w:val="0"/>
          <w:bCs w:val="0"/>
        </w:rPr>
        <w:t>from March 2020 to May 2022</w:t>
      </w:r>
      <w:r w:rsidR="00436920" w:rsidRPr="004666D3">
        <w:rPr>
          <w:b w:val="0"/>
          <w:bCs w:val="0"/>
        </w:rPr>
        <w:t xml:space="preserve">, while </w:t>
      </w:r>
      <w:r w:rsidR="00E33B74" w:rsidRPr="004666D3">
        <w:rPr>
          <w:b w:val="0"/>
          <w:bCs w:val="0"/>
        </w:rPr>
        <w:t>58.84</w:t>
      </w:r>
      <w:r w:rsidR="00436920" w:rsidRPr="004666D3">
        <w:rPr>
          <w:b w:val="0"/>
          <w:bCs w:val="0"/>
        </w:rPr>
        <w:t xml:space="preserve">% of the </w:t>
      </w:r>
      <w:r w:rsidR="00832CA8" w:rsidRPr="004666D3">
        <w:rPr>
          <w:b w:val="0"/>
          <w:bCs w:val="0"/>
        </w:rPr>
        <w:t xml:space="preserve">rural </w:t>
      </w:r>
      <w:r w:rsidR="00436920" w:rsidRPr="004666D3">
        <w:rPr>
          <w:b w:val="0"/>
          <w:bCs w:val="0"/>
        </w:rPr>
        <w:t>tiles</w:t>
      </w:r>
      <w:r w:rsidR="00832CA8" w:rsidRPr="004666D3">
        <w:rPr>
          <w:b w:val="0"/>
          <w:bCs w:val="0"/>
        </w:rPr>
        <w:t xml:space="preserve"> </w:t>
      </w:r>
      <w:r w:rsidR="00EC3FDE" w:rsidRPr="004666D3">
        <w:rPr>
          <w:b w:val="0"/>
          <w:bCs w:val="0"/>
        </w:rPr>
        <w:t xml:space="preserve">exhibited </w:t>
      </w:r>
      <w:r w:rsidR="00436920" w:rsidRPr="004666D3">
        <w:rPr>
          <w:b w:val="0"/>
          <w:bCs w:val="0"/>
        </w:rPr>
        <w:t>a</w:t>
      </w:r>
      <w:r w:rsidR="00E52E72" w:rsidRPr="004666D3">
        <w:rPr>
          <w:b w:val="0"/>
          <w:bCs w:val="0"/>
        </w:rPr>
        <w:t xml:space="preserve"> significant</w:t>
      </w:r>
      <w:r w:rsidR="00436920" w:rsidRPr="004666D3">
        <w:rPr>
          <w:b w:val="0"/>
          <w:bCs w:val="0"/>
        </w:rPr>
        <w:t xml:space="preserve"> increase. </w:t>
      </w:r>
      <w:bookmarkStart w:id="104" w:name="OLE_LINK101"/>
      <w:r w:rsidR="00B112AF" w:rsidRPr="004666D3">
        <w:rPr>
          <w:b w:val="0"/>
          <w:bCs w:val="0"/>
        </w:rPr>
        <w:t xml:space="preserve">The </w:t>
      </w:r>
      <w:r w:rsidR="008713A3" w:rsidRPr="004666D3">
        <w:rPr>
          <w:b w:val="0"/>
          <w:bCs w:val="0"/>
        </w:rPr>
        <w:t xml:space="preserve">high </w:t>
      </w:r>
      <w:r w:rsidR="00F35DD9" w:rsidRPr="004666D3">
        <w:rPr>
          <w:b w:val="0"/>
          <w:bCs w:val="0"/>
        </w:rPr>
        <w:t xml:space="preserve">reduction </w:t>
      </w:r>
      <w:r w:rsidR="008713A3" w:rsidRPr="004666D3">
        <w:rPr>
          <w:b w:val="0"/>
          <w:bCs w:val="0"/>
        </w:rPr>
        <w:t xml:space="preserve">slope </w:t>
      </w:r>
      <w:r w:rsidR="00F35DD9" w:rsidRPr="004666D3">
        <w:rPr>
          <w:b w:val="0"/>
          <w:bCs w:val="0"/>
        </w:rPr>
        <w:t xml:space="preserve">of user count in </w:t>
      </w:r>
      <w:r w:rsidR="00C87901" w:rsidRPr="004666D3">
        <w:rPr>
          <w:b w:val="0"/>
          <w:bCs w:val="0"/>
        </w:rPr>
        <w:t>Bangkok</w:t>
      </w:r>
      <w:r w:rsidR="000A51C9" w:rsidRPr="004666D3">
        <w:rPr>
          <w:b w:val="0"/>
          <w:bCs w:val="0"/>
        </w:rPr>
        <w:t xml:space="preserve"> </w:t>
      </w:r>
      <w:r w:rsidR="001D2A9C" w:rsidRPr="004666D3">
        <w:rPr>
          <w:b w:val="0"/>
          <w:bCs w:val="0"/>
        </w:rPr>
        <w:t>indicat</w:t>
      </w:r>
      <w:r w:rsidR="00273DC5" w:rsidRPr="004666D3">
        <w:rPr>
          <w:b w:val="0"/>
          <w:bCs w:val="0"/>
        </w:rPr>
        <w:t>ed</w:t>
      </w:r>
      <w:r w:rsidR="001D2A9C" w:rsidRPr="004666D3">
        <w:rPr>
          <w:b w:val="0"/>
          <w:bCs w:val="0"/>
        </w:rPr>
        <w:t xml:space="preserve"> a trend of relocation away from </w:t>
      </w:r>
      <w:r w:rsidR="00C87901" w:rsidRPr="004666D3">
        <w:rPr>
          <w:b w:val="0"/>
          <w:bCs w:val="0"/>
        </w:rPr>
        <w:t>the capital city</w:t>
      </w:r>
      <w:r w:rsidR="00BB3869" w:rsidRPr="004666D3">
        <w:rPr>
          <w:b w:val="0"/>
          <w:bCs w:val="0"/>
        </w:rPr>
        <w:t xml:space="preserve">. </w:t>
      </w:r>
      <w:r w:rsidR="00CE5825" w:rsidRPr="004666D3">
        <w:rPr>
          <w:b w:val="0"/>
          <w:bCs w:val="0"/>
        </w:rPr>
        <w:t xml:space="preserve">Users in suburban areas showed a notable increase. </w:t>
      </w:r>
      <w:r w:rsidR="002252C1" w:rsidRPr="004666D3">
        <w:rPr>
          <w:b w:val="0"/>
          <w:bCs w:val="0"/>
        </w:rPr>
        <w:t xml:space="preserve">In rural areas, </w:t>
      </w:r>
      <w:r w:rsidR="002633BE" w:rsidRPr="004666D3">
        <w:rPr>
          <w:b w:val="0"/>
          <w:bCs w:val="0"/>
        </w:rPr>
        <w:t>particularly in the southern and central areas known for rubber and oil palm plantations</w:t>
      </w:r>
      <w:r w:rsidR="00826483" w:rsidRPr="004666D3">
        <w:rPr>
          <w:b w:val="0"/>
          <w:bCs w:val="0"/>
        </w:rPr>
        <w:t xml:space="preserve"> </w:t>
      </w:r>
      <w:r w:rsidR="00826483" w:rsidRPr="004666D3">
        <w:rPr>
          <w:b w:val="0"/>
          <w:bCs w:val="0"/>
        </w:rPr>
        <w:fldChar w:fldCharType="begin"/>
      </w:r>
      <w:r w:rsidR="00826483" w:rsidRPr="004666D3">
        <w:rPr>
          <w:b w:val="0"/>
          <w:bCs w:val="0"/>
        </w:rPr>
        <w:instrText xml:space="preserve"> ADDIN ZOTERO_ITEM CSL_CITATION {"citationID":"e0OCinCg","properties":{"formattedCitation":"(Jaroenkietkajorn et al., 2021; Li and Fox, 2012)","plainCitation":"(Jaroenkietkajorn et al., 2021; Li and Fox, 2012)","noteIndex":0},"citationItems":[{"id":6050,"uris":["http://zotero.org/users/9756803/items/5BXZLVPQ"],"itemData":{"id":6050,"type":"article-journal","abstract":"Expansion of oil palm plantation areas in Thailand, the world’s third-largest oil palm producer, for food and fuel may sometimes encroach on forest areas, leading to biodiversity loss. Thailand is in the Indo-Burma biodiversity hotspot, which contains high species richness. This study assesses the impacts of oil palm plantations on bird and insect species richness from land use in the five regions of Thailand by using the countryside Species-Area Relationship model. Data from the Global Biodiversity Information Facility (GBIF) and Thailand’s Land Devel­ opment Department (LDD) were used for species occurrence and land use data, respectively. This study focuses on the deforestation for oil palm because it poses the highest risk for wildlife compared to other habitats. The taxon affinity and regional characterization factors show the risk to wildlife (birds and insects) in the formerly natural habitat areas (i.e., deciduous, evergreen, and mangrove forests). The results show that the possibility of animal survival in former mangrove forests is higher than in other forests upon occupation, as demonstrated by the taxon affinity. Likewise, deforestation in the northern region causes the least species loss per area, as demonstrated by the lowest average regional characterization factor, because species densities are lowest. However, the impacts on species richness depend on the taxon and the combination of the region and the forest type. While the overall goal should be to minimize the expansion of oil palm, this study indicates in which forest type and Thai region land occupation causes less regional bird and insect species loss.","container-title":"Ecological Indicators","DOI":"10.1016/j.ecolind.2021.108444","ISSN":"1470160X","journalAbbreviation":"Ecological Indicators","language":"en","page":"108444","source":"DOI.org (Crossref)","title":"Species loss from land use of oil palm plantations in Thailand","volume":"133","author":[{"family":"Jaroenkietkajorn","given":"Ukrit"},{"family":"Gheewala","given":"Shabbir H."},{"family":"Scherer","given":"Laura"}],"issued":{"date-parts":[["2021",12]]}}},{"id":6051,"uris":["http://zotero.org/users/9756803/items/G48YVQ87"],"itemData":{"id":6051,"type":"article-journal","abstract":"Expanding global and regional markets are driving the conversion of traditional subsistence agricultural and occupied non-agricultural lands to commercial-agricultural purposes. In many parts of mainland Southeast Asia rubber plantations are expanding rapidly into areas where the crop was not historically found. Over the last several decades more than one million hectares of land have been converted to rubber trees in areas of China, Laos, Thailand, Vietnam, Cambodia and Myanmar, where rubber trees were not traditionally grown. This expansion of rubber plantations has replaced ecologically important secondary forests and traditionally managed swidden fields and influenced local energy, water and carbon fluxes. Accurate and up-to-date monitoring and mapping of rubber tree growth is critical to understanding the implications of this changing ecosystem. Discriminating rubber trees from second-growth forests and fallow land has proven challenging. Previous experiments using machine-learning approaches with hard classifications on remotely sensed data, when faced with the realities of a heterogeneous plant-life mixture and high intra-class variance, have tended to overestimate the areas of rubber tree growth. Our current research sought to: 1) to investigate the potential of using a Mahalanobis typicality model to deal with mixed pixels; and 2) to explore the potential for combining MOderate Resolution Imaging Spectroradiometer (MODIS) imagery with sub-national statistical data on rubber tree areas to map the distribution of rubber tree growth across this mainland Southeast Asia landscape. Our study used time-series MODIS Terra 16-day composite 250 m Normalized Difference Vegetation Index (NDVI) products (MOD13Q1) acquired between March 2009 and May 2010. We used the Mahalanobis typicality method to identify pixels where rubber tree growth had the highest probability of occurring and sub-national statistical data on rubber tree growth to quantify the number of pixels of rubber tree growth mapped per administrative unit. We used Relative Operating Characteristic (ROC) and error matrix analysis, respectively, to assess the viability of Mahalanobis typicalities and to validate classification accuracy. High ROC values, over 0.8, were achieved with the Mahalanobis typicality images of both mature and young rubber trees. The proposed method greatly reduced the commission errors for the two types of rubber tree growth to 1.9% and 2.8%, respectively (corresponding to user’s accuracies of 98.1% and 97.2%, respectively). Results indicate that integrating Mahalanobis typicalities with MODIS time-series NDVI data and sub-national statistics can successfully overcome the earlier overestimation problem.","container-title":"Applied Geography","DOI":"10.1016/j.apgeog.2011.06.018","ISSN":"0143-6228","issue":"2","journalAbbreviation":"Applied Geography","page":"420-432","source":"ScienceDirect","title":"Mapping rubber tree growth in mainland Southeast Asia using time-series MODIS 250 m NDVI and statistical data","volume":"32","author":[{"family":"Li","given":"Zhe"},{"family":"Fox","given":"Jefferson M."}],"issued":{"date-parts":[["2012",3,1]]}}}],"schema":"https://github.com/citation-style-language/schema/raw/master/csl-citation.json"} </w:instrText>
      </w:r>
      <w:r w:rsidR="00826483" w:rsidRPr="004666D3">
        <w:rPr>
          <w:b w:val="0"/>
          <w:bCs w:val="0"/>
        </w:rPr>
        <w:fldChar w:fldCharType="separate"/>
      </w:r>
      <w:r w:rsidR="00826483" w:rsidRPr="004666D3">
        <w:rPr>
          <w:rFonts w:ascii="Calibri" w:hAnsi="Calibri" w:cs="Calibri"/>
          <w:b w:val="0"/>
          <w:bCs w:val="0"/>
        </w:rPr>
        <w:t>(Jaroenkietkajorn et al., 2021; Li and Fox, 2012)</w:t>
      </w:r>
      <w:r w:rsidR="00826483" w:rsidRPr="004666D3">
        <w:rPr>
          <w:b w:val="0"/>
          <w:bCs w:val="0"/>
        </w:rPr>
        <w:fldChar w:fldCharType="end"/>
      </w:r>
      <w:r w:rsidR="002633BE" w:rsidRPr="004666D3">
        <w:rPr>
          <w:b w:val="0"/>
          <w:bCs w:val="0"/>
        </w:rPr>
        <w:t>, as well as in zones predominantly cultivating paddy rice</w:t>
      </w:r>
      <w:r w:rsidR="00826483" w:rsidRPr="004666D3">
        <w:rPr>
          <w:b w:val="0"/>
          <w:bCs w:val="0"/>
        </w:rPr>
        <w:t xml:space="preserve"> </w:t>
      </w:r>
      <w:r w:rsidR="00826483" w:rsidRPr="004666D3">
        <w:rPr>
          <w:b w:val="0"/>
          <w:bCs w:val="0"/>
        </w:rPr>
        <w:fldChar w:fldCharType="begin"/>
      </w:r>
      <w:r w:rsidR="00826483" w:rsidRPr="004666D3">
        <w:rPr>
          <w:b w:val="0"/>
          <w:bCs w:val="0"/>
        </w:rPr>
        <w:instrText xml:space="preserve"> ADDIN ZOTERO_ITEM CSL_CITATION {"citationID":"Rdtib8Of","properties":{"formattedCitation":"(Xu et al., 2021)","plainCitation":"(Xu et al., 2021)","noteIndex":0},"citationItems":[{"id":6062,"uris":["http://zotero.org/users/9756803/items/96HE69HV"],"itemData":{"id":6062,"type":"article-journal","abstract":"The elimination of hunger is the top concern for developing countries and is the key to maintain national stability and security. Paddy rice occupies an essential status in food supply, whose accurate monitoring is of great importance for human sustainable development. As one of the most important paddy rice production countries in the world, Thailand has a favorable hot and humid climate for paddy rice growing, but the growth patterns of paddy rice are too complicated to construct promising growth models for paddy rice discrimination. To solve this problem, this study proposes a large-scale paddy rice mapping scheme, which uses time-series Sentinel-1 data to generate a convincing annual paddy rice map of Thailand. The proposed method extracts temporal statistical features of the time-series SAR images to overcome the intra-class variability due to different management practices and modifies the U-Net model with the fully connected Conditional Random Field (CRF) to maintain the edge of the fields. In this study, 758 Sentinel-1 images that covered the whole country from the end of 2018 to 2019 were acquired to generate the annual paddy rice map. The accuracy, precision, and recall of the resultant paddy rice map reached 91%, 87%, and 95%, respectively. Compared to SVM classifier and the U-Net model based on feature selection strategy (FS-U-Net), the proposed scheme achieved the best overall performance, which demonstrated the capability of overcoming the complex cultivation conditions and accurately identifying the fragmented paddy rice fields in Thailand. This study provides a promising tool for large-scale paddy rice monitoring in tropical production regions and has great potential in the global sustainable development of food and environment management.","container-title":"Remote Sensing","DOI":"10.3390/rs13193994","ISSN":"2072-4292","issue":"19","language":"en","license":"http://creativecommons.org/licenses/by/3.0/","note":"number: 19\npublisher: Multidisciplinary Digital Publishing Institute","page":"3994","source":"www.mdpi.com","title":"Paddy Rice Mapping in Thailand Using Time-Series Sentinel-1 Data and Deep Learning Model","volume":"13","author":[{"family":"Xu","given":"Lu"},{"family":"Zhang","given":"Hong"},{"family":"Wang","given":"Chao"},{"family":"Wei","given":"Sisi"},{"family":"Zhang","given":"Bo"},{"family":"Wu","given":"Fan"},{"family":"Tang","given":"Yixian"}],"issued":{"date-parts":[["2021",1]]}}}],"schema":"https://github.com/citation-style-language/schema/raw/master/csl-citation.json"} </w:instrText>
      </w:r>
      <w:r w:rsidR="00826483" w:rsidRPr="004666D3">
        <w:rPr>
          <w:b w:val="0"/>
          <w:bCs w:val="0"/>
        </w:rPr>
        <w:fldChar w:fldCharType="separate"/>
      </w:r>
      <w:r w:rsidR="00826483" w:rsidRPr="004666D3">
        <w:rPr>
          <w:rFonts w:ascii="Calibri" w:hAnsi="Calibri" w:cs="Calibri"/>
          <w:b w:val="0"/>
          <w:bCs w:val="0"/>
        </w:rPr>
        <w:t>(Xu et al., 2021)</w:t>
      </w:r>
      <w:r w:rsidR="00826483" w:rsidRPr="004666D3">
        <w:rPr>
          <w:b w:val="0"/>
          <w:bCs w:val="0"/>
        </w:rPr>
        <w:fldChar w:fldCharType="end"/>
      </w:r>
      <w:r w:rsidR="002633BE" w:rsidRPr="004666D3">
        <w:rPr>
          <w:b w:val="0"/>
          <w:bCs w:val="0"/>
        </w:rPr>
        <w:t xml:space="preserve">, </w:t>
      </w:r>
      <w:r w:rsidR="00826483" w:rsidRPr="004666D3">
        <w:rPr>
          <w:b w:val="0"/>
          <w:bCs w:val="0"/>
        </w:rPr>
        <w:t xml:space="preserve">there was </w:t>
      </w:r>
      <w:r w:rsidR="002252C1" w:rsidRPr="004666D3">
        <w:rPr>
          <w:b w:val="0"/>
          <w:bCs w:val="0"/>
        </w:rPr>
        <w:t>a</w:t>
      </w:r>
      <w:r w:rsidR="00A665B1" w:rsidRPr="004666D3">
        <w:rPr>
          <w:b w:val="0"/>
          <w:bCs w:val="0"/>
        </w:rPr>
        <w:t xml:space="preserve"> noticeable increase in user count</w:t>
      </w:r>
      <w:r w:rsidR="002955C5" w:rsidRPr="004666D3">
        <w:rPr>
          <w:b w:val="0"/>
          <w:bCs w:val="0"/>
        </w:rPr>
        <w:t>.</w:t>
      </w:r>
      <w:r w:rsidR="00BB3869" w:rsidRPr="004666D3">
        <w:rPr>
          <w:b w:val="0"/>
          <w:bCs w:val="0"/>
        </w:rPr>
        <w:t xml:space="preserve"> </w:t>
      </w:r>
      <w:bookmarkEnd w:id="104"/>
      <w:r w:rsidR="004225BE" w:rsidRPr="004666D3">
        <w:rPr>
          <w:b w:val="0"/>
          <w:bCs w:val="0"/>
        </w:rPr>
        <w:t xml:space="preserve">This rise could potentially indicate a </w:t>
      </w:r>
      <w:r w:rsidR="008F111E" w:rsidRPr="004666D3">
        <w:rPr>
          <w:b w:val="0"/>
          <w:bCs w:val="0"/>
        </w:rPr>
        <w:t>migration</w:t>
      </w:r>
      <w:r w:rsidR="004225BE" w:rsidRPr="004666D3">
        <w:rPr>
          <w:b w:val="0"/>
          <w:bCs w:val="0"/>
        </w:rPr>
        <w:t xml:space="preserve"> of people toward</w:t>
      </w:r>
      <w:r w:rsidR="008F111E" w:rsidRPr="004666D3">
        <w:rPr>
          <w:b w:val="0"/>
          <w:bCs w:val="0"/>
        </w:rPr>
        <w:t>s</w:t>
      </w:r>
      <w:r w:rsidR="004225BE" w:rsidRPr="004666D3">
        <w:rPr>
          <w:b w:val="0"/>
          <w:bCs w:val="0"/>
        </w:rPr>
        <w:t xml:space="preserve"> plantation and agricultural areas. </w:t>
      </w:r>
      <w:r w:rsidR="009D27BE" w:rsidRPr="004666D3">
        <w:rPr>
          <w:b w:val="0"/>
          <w:bCs w:val="0"/>
        </w:rPr>
        <w:t xml:space="preserve">The density of users was highest </w:t>
      </w:r>
      <w:r w:rsidR="00436920" w:rsidRPr="004666D3">
        <w:rPr>
          <w:b w:val="0"/>
          <w:bCs w:val="0"/>
        </w:rPr>
        <w:t>in the capital city of Bangkok</w:t>
      </w:r>
      <w:r w:rsidR="00161DBB" w:rsidRPr="004666D3">
        <w:rPr>
          <w:b w:val="0"/>
          <w:bCs w:val="0"/>
        </w:rPr>
        <w:t xml:space="preserve"> (</w:t>
      </w:r>
      <w:r w:rsidR="00641A4A" w:rsidRPr="004666D3">
        <w:rPr>
          <w:b w:val="0"/>
          <w:bCs w:val="0"/>
        </w:rPr>
        <w:t>Fig.</w:t>
      </w:r>
      <w:r w:rsidR="009E0E13" w:rsidRPr="004666D3">
        <w:rPr>
          <w:b w:val="0"/>
          <w:bCs w:val="0"/>
        </w:rPr>
        <w:t xml:space="preserve"> </w:t>
      </w:r>
      <w:r w:rsidR="00161DBB" w:rsidRPr="004666D3">
        <w:rPr>
          <w:b w:val="0"/>
          <w:bCs w:val="0"/>
        </w:rPr>
        <w:t>5)</w:t>
      </w:r>
      <w:r w:rsidR="00436920" w:rsidRPr="004666D3">
        <w:rPr>
          <w:b w:val="0"/>
          <w:bCs w:val="0"/>
        </w:rPr>
        <w:t>.</w:t>
      </w:r>
    </w:p>
    <w:p w14:paraId="42F0C637" w14:textId="195BBA45" w:rsidR="00200F15" w:rsidRPr="004666D3" w:rsidRDefault="00564DA5" w:rsidP="00557ED0">
      <w:pPr>
        <w:pStyle w:val="mysubtitle"/>
      </w:pPr>
      <w:r w:rsidRPr="004666D3">
        <w:rPr>
          <w:noProof/>
        </w:rPr>
        <w:lastRenderedPageBreak/>
        <w:drawing>
          <wp:inline distT="0" distB="0" distL="0" distR="0" wp14:anchorId="6F05AC59" wp14:editId="774714B4">
            <wp:extent cx="5731510" cy="3157855"/>
            <wp:effectExtent l="0" t="0" r="2540" b="4445"/>
            <wp:docPr id="6"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157855"/>
                    </a:xfrm>
                    <a:prstGeom prst="rect">
                      <a:avLst/>
                    </a:prstGeom>
                  </pic:spPr>
                </pic:pic>
              </a:graphicData>
            </a:graphic>
          </wp:inline>
        </w:drawing>
      </w:r>
    </w:p>
    <w:p w14:paraId="3BB3D3EA" w14:textId="1655881F" w:rsidR="007D11AE" w:rsidRPr="004666D3" w:rsidRDefault="002052FA" w:rsidP="005A20EB">
      <w:pPr>
        <w:pStyle w:val="mysubtitle"/>
        <w:spacing w:line="360" w:lineRule="auto"/>
        <w:rPr>
          <w:b w:val="0"/>
          <w:bCs w:val="0"/>
        </w:rPr>
      </w:pPr>
      <w:r w:rsidRPr="004666D3">
        <w:rPr>
          <w:b w:val="0"/>
          <w:bCs w:val="0"/>
        </w:rPr>
        <w:t xml:space="preserve">Figure 5 </w:t>
      </w:r>
      <w:r w:rsidR="00675763" w:rsidRPr="004666D3">
        <w:rPr>
          <w:b w:val="0"/>
          <w:bCs w:val="0"/>
        </w:rPr>
        <w:t>Distribution of</w:t>
      </w:r>
      <w:r w:rsidR="00000627" w:rsidRPr="004666D3">
        <w:rPr>
          <w:b w:val="0"/>
          <w:bCs w:val="0"/>
        </w:rPr>
        <w:t xml:space="preserve"> Facebook user count </w:t>
      </w:r>
      <w:r w:rsidR="000436F1" w:rsidRPr="004666D3">
        <w:rPr>
          <w:b w:val="0"/>
          <w:bCs w:val="0"/>
        </w:rPr>
        <w:t xml:space="preserve">and their changes </w:t>
      </w:r>
      <w:r w:rsidR="00E0711A" w:rsidRPr="004666D3">
        <w:rPr>
          <w:b w:val="0"/>
          <w:bCs w:val="0"/>
        </w:rPr>
        <w:t xml:space="preserve">in </w:t>
      </w:r>
      <w:r w:rsidRPr="004666D3">
        <w:rPr>
          <w:b w:val="0"/>
          <w:bCs w:val="0"/>
        </w:rPr>
        <w:t xml:space="preserve">Thailand during </w:t>
      </w:r>
      <w:r w:rsidR="008840BB" w:rsidRPr="004666D3">
        <w:rPr>
          <w:b w:val="0"/>
          <w:bCs w:val="0"/>
        </w:rPr>
        <w:t>night-time</w:t>
      </w:r>
      <w:r w:rsidRPr="004666D3">
        <w:rPr>
          <w:b w:val="0"/>
          <w:bCs w:val="0"/>
        </w:rPr>
        <w:t xml:space="preserve"> on workdays. (a) </w:t>
      </w:r>
      <w:r w:rsidR="002A23C5" w:rsidRPr="004666D3">
        <w:rPr>
          <w:b w:val="0"/>
          <w:bCs w:val="0"/>
        </w:rPr>
        <w:t xml:space="preserve">Distribution of </w:t>
      </w:r>
      <w:r w:rsidR="00602339" w:rsidRPr="004666D3">
        <w:rPr>
          <w:b w:val="0"/>
          <w:bCs w:val="0"/>
        </w:rPr>
        <w:t xml:space="preserve">weekly </w:t>
      </w:r>
      <w:r w:rsidR="002A23C5" w:rsidRPr="004666D3">
        <w:rPr>
          <w:b w:val="0"/>
          <w:bCs w:val="0"/>
        </w:rPr>
        <w:t xml:space="preserve">changes in user count </w:t>
      </w:r>
      <w:r w:rsidR="00EA0376" w:rsidRPr="004666D3">
        <w:rPr>
          <w:b w:val="0"/>
          <w:bCs w:val="0"/>
        </w:rPr>
        <w:t>during the study period (</w:t>
      </w:r>
      <w:r w:rsidR="004B7463" w:rsidRPr="004666D3">
        <w:rPr>
          <w:b w:val="0"/>
          <w:bCs w:val="0"/>
        </w:rPr>
        <w:t>from the fourth week in March 2020 to the third week in May 2022</w:t>
      </w:r>
      <w:r w:rsidR="00EA0376" w:rsidRPr="004666D3">
        <w:rPr>
          <w:b w:val="0"/>
          <w:bCs w:val="0"/>
        </w:rPr>
        <w:t>)</w:t>
      </w:r>
      <w:r w:rsidR="00000627" w:rsidRPr="004666D3">
        <w:rPr>
          <w:b w:val="0"/>
          <w:bCs w:val="0"/>
        </w:rPr>
        <w:t>, segmented into urban centre, urban cluster/suburban and rural</w:t>
      </w:r>
      <w:r w:rsidR="00612E9A" w:rsidRPr="004666D3">
        <w:rPr>
          <w:b w:val="0"/>
          <w:bCs w:val="0"/>
        </w:rPr>
        <w:t xml:space="preserve"> areas</w:t>
      </w:r>
      <w:r w:rsidRPr="004666D3">
        <w:rPr>
          <w:b w:val="0"/>
          <w:bCs w:val="0"/>
        </w:rPr>
        <w:t>.</w:t>
      </w:r>
      <w:r w:rsidR="00CA70F7" w:rsidRPr="004666D3">
        <w:t xml:space="preserve"> </w:t>
      </w:r>
      <w:r w:rsidR="00453281" w:rsidRPr="004666D3">
        <w:rPr>
          <w:b w:val="0"/>
          <w:bCs w:val="0"/>
        </w:rPr>
        <w:t xml:space="preserve">The overall trend was determined from the slope by applying linear regression to the trend component from Seasonal-Trend decomposition using Loess (STL) method. </w:t>
      </w:r>
      <w:r w:rsidRPr="004666D3">
        <w:rPr>
          <w:b w:val="0"/>
          <w:bCs w:val="0"/>
        </w:rPr>
        <w:t xml:space="preserve">(b) </w:t>
      </w:r>
      <w:r w:rsidR="00453281" w:rsidRPr="004666D3">
        <w:rPr>
          <w:b w:val="0"/>
          <w:bCs w:val="0"/>
        </w:rPr>
        <w:t>P</w:t>
      </w:r>
      <w:r w:rsidRPr="004666D3">
        <w:rPr>
          <w:b w:val="0"/>
          <w:bCs w:val="0"/>
        </w:rPr>
        <w:t xml:space="preserve">roportion of tiles </w:t>
      </w:r>
      <w:r w:rsidR="006C6CDE" w:rsidRPr="004666D3">
        <w:rPr>
          <w:b w:val="0"/>
          <w:bCs w:val="0"/>
        </w:rPr>
        <w:t xml:space="preserve">showing significant </w:t>
      </w:r>
      <w:r w:rsidRPr="004666D3">
        <w:rPr>
          <w:b w:val="0"/>
          <w:bCs w:val="0"/>
        </w:rPr>
        <w:t xml:space="preserve">decrease (in blue) or </w:t>
      </w:r>
      <w:r w:rsidR="006C6CDE" w:rsidRPr="004666D3">
        <w:rPr>
          <w:b w:val="0"/>
          <w:bCs w:val="0"/>
        </w:rPr>
        <w:t xml:space="preserve">significant </w:t>
      </w:r>
      <w:r w:rsidRPr="004666D3">
        <w:rPr>
          <w:b w:val="0"/>
          <w:bCs w:val="0"/>
        </w:rPr>
        <w:t>increase (in red) in the total number of tiles in urban centres, urban cluster</w:t>
      </w:r>
      <w:r w:rsidR="00C9687C" w:rsidRPr="004666D3">
        <w:rPr>
          <w:b w:val="0"/>
          <w:bCs w:val="0"/>
        </w:rPr>
        <w:t>s</w:t>
      </w:r>
      <w:r w:rsidRPr="004666D3">
        <w:rPr>
          <w:b w:val="0"/>
          <w:bCs w:val="0"/>
        </w:rPr>
        <w:t>/suburban and rural areas</w:t>
      </w:r>
      <w:r w:rsidR="00EA0376" w:rsidRPr="004666D3">
        <w:rPr>
          <w:b w:val="0"/>
          <w:bCs w:val="0"/>
        </w:rPr>
        <w:t xml:space="preserve"> during the study period</w:t>
      </w:r>
      <w:r w:rsidRPr="004666D3">
        <w:rPr>
          <w:b w:val="0"/>
          <w:bCs w:val="0"/>
        </w:rPr>
        <w:t xml:space="preserve">. (c) </w:t>
      </w:r>
      <w:r w:rsidR="00B026A2" w:rsidRPr="004666D3">
        <w:rPr>
          <w:b w:val="0"/>
          <w:bCs w:val="0"/>
        </w:rPr>
        <w:t>D</w:t>
      </w:r>
      <w:r w:rsidRPr="004666D3">
        <w:rPr>
          <w:b w:val="0"/>
          <w:bCs w:val="0"/>
        </w:rPr>
        <w:t>istribution of</w:t>
      </w:r>
      <w:r w:rsidR="00000627" w:rsidRPr="004666D3">
        <w:rPr>
          <w:b w:val="0"/>
          <w:bCs w:val="0"/>
        </w:rPr>
        <w:t xml:space="preserve"> </w:t>
      </w:r>
      <w:r w:rsidR="00B026A2" w:rsidRPr="004666D3">
        <w:rPr>
          <w:b w:val="0"/>
          <w:bCs w:val="0"/>
        </w:rPr>
        <w:t xml:space="preserve">average </w:t>
      </w:r>
      <w:r w:rsidR="00000627" w:rsidRPr="004666D3">
        <w:rPr>
          <w:b w:val="0"/>
          <w:bCs w:val="0"/>
        </w:rPr>
        <w:t>Facebook user count</w:t>
      </w:r>
      <w:r w:rsidR="00B026A2" w:rsidRPr="004666D3">
        <w:rPr>
          <w:b w:val="0"/>
          <w:bCs w:val="0"/>
        </w:rPr>
        <w:t xml:space="preserve"> in May 2022</w:t>
      </w:r>
      <w:r w:rsidRPr="004666D3">
        <w:rPr>
          <w:b w:val="0"/>
          <w:bCs w:val="0"/>
        </w:rPr>
        <w:t>.</w:t>
      </w:r>
    </w:p>
    <w:p w14:paraId="1C91B89E" w14:textId="668FBE93" w:rsidR="005436A5" w:rsidRPr="004666D3" w:rsidRDefault="00A8595E" w:rsidP="00A45A30">
      <w:pPr>
        <w:spacing w:line="360" w:lineRule="auto"/>
        <w:rPr>
          <w:szCs w:val="24"/>
        </w:rPr>
      </w:pPr>
      <w:r w:rsidRPr="004666D3">
        <w:rPr>
          <w:noProof/>
          <w:szCs w:val="24"/>
        </w:rPr>
        <w:lastRenderedPageBreak/>
        <w:drawing>
          <wp:inline distT="0" distB="0" distL="0" distR="0" wp14:anchorId="338EEFB6" wp14:editId="78F29D88">
            <wp:extent cx="5731510" cy="3594100"/>
            <wp:effectExtent l="0" t="0" r="2540" b="6350"/>
            <wp:docPr id="11"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94100"/>
                    </a:xfrm>
                    <a:prstGeom prst="rect">
                      <a:avLst/>
                    </a:prstGeom>
                  </pic:spPr>
                </pic:pic>
              </a:graphicData>
            </a:graphic>
          </wp:inline>
        </w:drawing>
      </w:r>
    </w:p>
    <w:p w14:paraId="739A3E59" w14:textId="2962A030" w:rsidR="00BF22D4" w:rsidRPr="004666D3" w:rsidRDefault="00B336FE" w:rsidP="000B4505">
      <w:pPr>
        <w:spacing w:line="360" w:lineRule="auto"/>
        <w:rPr>
          <w:szCs w:val="24"/>
        </w:rPr>
      </w:pPr>
      <w:r w:rsidRPr="004666D3">
        <w:rPr>
          <w:szCs w:val="24"/>
        </w:rPr>
        <w:t xml:space="preserve">Figure </w:t>
      </w:r>
      <w:r w:rsidR="001C5553" w:rsidRPr="004666D3">
        <w:rPr>
          <w:szCs w:val="24"/>
        </w:rPr>
        <w:t xml:space="preserve">6 </w:t>
      </w:r>
      <w:r w:rsidR="00000627" w:rsidRPr="004666D3">
        <w:rPr>
          <w:szCs w:val="24"/>
        </w:rPr>
        <w:t xml:space="preserve">The </w:t>
      </w:r>
      <w:r w:rsidRPr="004666D3">
        <w:rPr>
          <w:szCs w:val="24"/>
        </w:rPr>
        <w:t xml:space="preserve">weekly Facebook </w:t>
      </w:r>
      <w:r w:rsidR="00000627" w:rsidRPr="004666D3">
        <w:rPr>
          <w:szCs w:val="24"/>
        </w:rPr>
        <w:t xml:space="preserve">user count </w:t>
      </w:r>
      <w:r w:rsidRPr="004666D3">
        <w:rPr>
          <w:szCs w:val="24"/>
        </w:rPr>
        <w:t>across urban centre</w:t>
      </w:r>
      <w:r w:rsidR="00393999" w:rsidRPr="004666D3">
        <w:rPr>
          <w:szCs w:val="24"/>
        </w:rPr>
        <w:t>s</w:t>
      </w:r>
      <w:r w:rsidRPr="004666D3">
        <w:rPr>
          <w:szCs w:val="24"/>
        </w:rPr>
        <w:t>, urban cluster</w:t>
      </w:r>
      <w:r w:rsidR="00393999" w:rsidRPr="004666D3">
        <w:rPr>
          <w:szCs w:val="24"/>
        </w:rPr>
        <w:t>s</w:t>
      </w:r>
      <w:r w:rsidRPr="004666D3">
        <w:rPr>
          <w:szCs w:val="24"/>
        </w:rPr>
        <w:t>/suburban, and rural areas in Thailand</w:t>
      </w:r>
      <w:r w:rsidR="00765B73" w:rsidRPr="004666D3">
        <w:t xml:space="preserve"> </w:t>
      </w:r>
      <w:r w:rsidR="00765B73" w:rsidRPr="004666D3">
        <w:rPr>
          <w:szCs w:val="24"/>
        </w:rPr>
        <w:t>from March 2020 to May 2022</w:t>
      </w:r>
      <w:r w:rsidRPr="004666D3">
        <w:rPr>
          <w:szCs w:val="24"/>
        </w:rPr>
        <w:t xml:space="preserve">, </w:t>
      </w:r>
      <w:r w:rsidR="0083772A" w:rsidRPr="004666D3">
        <w:rPr>
          <w:szCs w:val="24"/>
        </w:rPr>
        <w:t>along with</w:t>
      </w:r>
      <w:r w:rsidR="00000627" w:rsidRPr="004666D3">
        <w:rPr>
          <w:szCs w:val="24"/>
        </w:rPr>
        <w:t xml:space="preserve"> their decomposed trend component of the Seasonal-Trend decomposition using Loess (STL) (See other components in Supplementary </w:t>
      </w:r>
      <w:r w:rsidR="00D8437D" w:rsidRPr="004666D3">
        <w:rPr>
          <w:szCs w:val="24"/>
        </w:rPr>
        <w:t>Fig.</w:t>
      </w:r>
      <w:r w:rsidR="009E0E13" w:rsidRPr="004666D3">
        <w:rPr>
          <w:szCs w:val="24"/>
        </w:rPr>
        <w:t xml:space="preserve"> </w:t>
      </w:r>
      <w:r w:rsidR="00000627" w:rsidRPr="004666D3">
        <w:rPr>
          <w:szCs w:val="24"/>
        </w:rPr>
        <w:t>B</w:t>
      </w:r>
      <w:r w:rsidR="00D8437D" w:rsidRPr="004666D3">
        <w:rPr>
          <w:szCs w:val="24"/>
        </w:rPr>
        <w:t>.2</w:t>
      </w:r>
      <w:r w:rsidR="00000627" w:rsidRPr="004666D3">
        <w:rPr>
          <w:szCs w:val="24"/>
        </w:rPr>
        <w:t xml:space="preserve">), </w:t>
      </w:r>
      <w:r w:rsidRPr="004666D3">
        <w:rPr>
          <w:szCs w:val="24"/>
        </w:rPr>
        <w:t>reported on w</w:t>
      </w:r>
      <w:r w:rsidR="00DD19CB" w:rsidRPr="004666D3">
        <w:rPr>
          <w:szCs w:val="24"/>
        </w:rPr>
        <w:t>or</w:t>
      </w:r>
      <w:r w:rsidRPr="004666D3">
        <w:rPr>
          <w:szCs w:val="24"/>
        </w:rPr>
        <w:t xml:space="preserve">kdays and weekends separately during </w:t>
      </w:r>
      <w:r w:rsidR="008840BB" w:rsidRPr="004666D3">
        <w:rPr>
          <w:szCs w:val="24"/>
        </w:rPr>
        <w:t>night-time</w:t>
      </w:r>
      <w:r w:rsidRPr="004666D3">
        <w:rPr>
          <w:szCs w:val="24"/>
        </w:rPr>
        <w:t xml:space="preserve"> with blue trend lines and daytime with red trend lines. </w:t>
      </w:r>
      <w:r w:rsidR="00635D66" w:rsidRPr="004666D3">
        <w:rPr>
          <w:szCs w:val="24"/>
        </w:rPr>
        <w:t xml:space="preserve">The lockdown ‘stringency index’, calculated by Oxford COVID-19 Government Response Tracker </w:t>
      </w:r>
      <w:r w:rsidR="00635D66" w:rsidRPr="004666D3">
        <w:rPr>
          <w:szCs w:val="24"/>
        </w:rPr>
        <w:fldChar w:fldCharType="begin"/>
      </w:r>
      <w:r w:rsidR="006C29E1" w:rsidRPr="004666D3">
        <w:rPr>
          <w:szCs w:val="24"/>
        </w:rPr>
        <w:instrText xml:space="preserve"> ADDIN ZOTERO_ITEM CSL_CITATION {"citationID":"AW8YV6tP","properties":{"formattedCitation":"(Hale et al., 2021)","plainCitation":"(Hale et al., 2021)","noteIndex":0},"citationItems":[{"id":5282,"uris":["http://zotero.org/users/9756803/items/HRBDC39M"],"itemData":{"id":5282,"type":"article-journal","abstract":"COVID-19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Nature","note":"number: 4\npublisher: Nature Publishing Group","page":"529-538","source":"www.nature.com","title":"A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schema":"https://github.com/citation-style-language/schema/raw/master/csl-citation.json"} </w:instrText>
      </w:r>
      <w:r w:rsidR="00635D66" w:rsidRPr="004666D3">
        <w:rPr>
          <w:szCs w:val="24"/>
        </w:rPr>
        <w:fldChar w:fldCharType="separate"/>
      </w:r>
      <w:r w:rsidR="00AE74BE" w:rsidRPr="004666D3">
        <w:rPr>
          <w:rFonts w:ascii="Calibri" w:hAnsi="Calibri" w:cs="Calibri"/>
        </w:rPr>
        <w:t>(Hale et al., 2021)</w:t>
      </w:r>
      <w:r w:rsidR="00635D66" w:rsidRPr="004666D3">
        <w:rPr>
          <w:szCs w:val="24"/>
        </w:rPr>
        <w:fldChar w:fldCharType="end"/>
      </w:r>
      <w:r w:rsidR="00635D66" w:rsidRPr="004666D3">
        <w:rPr>
          <w:szCs w:val="24"/>
        </w:rPr>
        <w:t>, was plotted (</w:t>
      </w:r>
      <w:r w:rsidR="00161DBB" w:rsidRPr="004666D3">
        <w:rPr>
          <w:szCs w:val="24"/>
        </w:rPr>
        <w:t>g</w:t>
      </w:r>
      <w:r w:rsidR="00635D66" w:rsidRPr="004666D3">
        <w:rPr>
          <w:szCs w:val="24"/>
        </w:rPr>
        <w:t>r</w:t>
      </w:r>
      <w:r w:rsidR="00161DBB" w:rsidRPr="004666D3">
        <w:rPr>
          <w:szCs w:val="24"/>
        </w:rPr>
        <w:t>e</w:t>
      </w:r>
      <w:r w:rsidR="00635D66" w:rsidRPr="004666D3">
        <w:rPr>
          <w:szCs w:val="24"/>
        </w:rPr>
        <w:t xml:space="preserve">y backgrounds of varying intensities) to qualitatively assess if the STL decomposed Facebook data captures known changes in human mobility affected by the COVID-19 pandemic. </w:t>
      </w:r>
    </w:p>
    <w:p w14:paraId="3E600305" w14:textId="768554F2" w:rsidR="00D563DE" w:rsidRPr="004666D3" w:rsidRDefault="00D563DE" w:rsidP="009E0E13">
      <w:pPr>
        <w:spacing w:line="240" w:lineRule="auto"/>
        <w:rPr>
          <w:szCs w:val="24"/>
        </w:rPr>
      </w:pPr>
    </w:p>
    <w:p w14:paraId="3566E6A4" w14:textId="1C818C45" w:rsidR="00363D37" w:rsidRPr="004666D3" w:rsidRDefault="004F0247" w:rsidP="003E0F57">
      <w:bookmarkStart w:id="105" w:name="OLE_LINK73"/>
      <w:r w:rsidRPr="004666D3">
        <w:t xml:space="preserve">Unlike Belgium, </w:t>
      </w:r>
      <w:r w:rsidR="00BC32C1" w:rsidRPr="004666D3">
        <w:t xml:space="preserve">the </w:t>
      </w:r>
      <w:r w:rsidR="000B4505" w:rsidRPr="004666D3">
        <w:t xml:space="preserve">trends of </w:t>
      </w:r>
      <w:r w:rsidR="000A16F3" w:rsidRPr="004666D3">
        <w:t xml:space="preserve">Facebook user count </w:t>
      </w:r>
      <w:r w:rsidR="000B4505" w:rsidRPr="004666D3">
        <w:t>change</w:t>
      </w:r>
      <w:r w:rsidR="0019227D" w:rsidRPr="004666D3">
        <w:t xml:space="preserve"> </w:t>
      </w:r>
      <w:r w:rsidR="00654848" w:rsidRPr="004666D3">
        <w:t xml:space="preserve">were </w:t>
      </w:r>
      <w:r w:rsidR="002E5554" w:rsidRPr="004666D3">
        <w:t>consistent</w:t>
      </w:r>
      <w:r w:rsidR="00654848" w:rsidRPr="004666D3">
        <w:t xml:space="preserve"> </w:t>
      </w:r>
      <w:r w:rsidR="000B4505" w:rsidRPr="004666D3">
        <w:t xml:space="preserve">during </w:t>
      </w:r>
      <w:r w:rsidR="008840BB" w:rsidRPr="004666D3">
        <w:t>night-time</w:t>
      </w:r>
      <w:r w:rsidR="000B4505" w:rsidRPr="004666D3">
        <w:t xml:space="preserve"> and daytime</w:t>
      </w:r>
      <w:r w:rsidR="002E5554" w:rsidRPr="004666D3">
        <w:t xml:space="preserve">, as well as </w:t>
      </w:r>
      <w:r w:rsidR="004B55E0" w:rsidRPr="004666D3">
        <w:t xml:space="preserve">on </w:t>
      </w:r>
      <w:r w:rsidR="000B4505" w:rsidRPr="004666D3">
        <w:t>w</w:t>
      </w:r>
      <w:r w:rsidR="009C064B" w:rsidRPr="004666D3">
        <w:t>or</w:t>
      </w:r>
      <w:r w:rsidR="000B4505" w:rsidRPr="004666D3">
        <w:t>kdays and weekends</w:t>
      </w:r>
      <w:r w:rsidR="004B55E0" w:rsidRPr="004666D3">
        <w:t>, when observed</w:t>
      </w:r>
      <w:r w:rsidR="000B4505" w:rsidRPr="004666D3">
        <w:t xml:space="preserve"> </w:t>
      </w:r>
      <w:r w:rsidR="004B55E0" w:rsidRPr="004666D3">
        <w:t xml:space="preserve">separately </w:t>
      </w:r>
      <w:r w:rsidR="00BA14EB" w:rsidRPr="004666D3">
        <w:t xml:space="preserve">for </w:t>
      </w:r>
      <w:r w:rsidR="000B4505" w:rsidRPr="004666D3">
        <w:t xml:space="preserve">urban </w:t>
      </w:r>
      <w:r w:rsidR="00A20306" w:rsidRPr="004666D3">
        <w:t>centres</w:t>
      </w:r>
      <w:r w:rsidR="000B4505" w:rsidRPr="004666D3">
        <w:t>, suburban and rural</w:t>
      </w:r>
      <w:r w:rsidR="0019227D" w:rsidRPr="004666D3">
        <w:t xml:space="preserve"> areas</w:t>
      </w:r>
      <w:bookmarkEnd w:id="105"/>
      <w:r w:rsidR="00654848" w:rsidRPr="004666D3">
        <w:t xml:space="preserve"> </w:t>
      </w:r>
      <w:r w:rsidR="00CB6CD2" w:rsidRPr="004666D3">
        <w:t xml:space="preserve">in Thailand </w:t>
      </w:r>
      <w:r w:rsidR="00F9230F" w:rsidRPr="004666D3">
        <w:t>(Fig.</w:t>
      </w:r>
      <w:r w:rsidR="009E0E13" w:rsidRPr="004666D3">
        <w:t xml:space="preserve"> </w:t>
      </w:r>
      <w:r w:rsidR="00A34BA6" w:rsidRPr="004666D3">
        <w:t>6</w:t>
      </w:r>
      <w:r w:rsidR="00F9230F" w:rsidRPr="004666D3">
        <w:t>).</w:t>
      </w:r>
      <w:r w:rsidR="000B4505" w:rsidRPr="004666D3">
        <w:t xml:space="preserve"> </w:t>
      </w:r>
      <w:r w:rsidR="0055412F" w:rsidRPr="004666D3">
        <w:t xml:space="preserve">In urban centres, </w:t>
      </w:r>
      <w:r w:rsidR="5CE0D172" w:rsidRPr="004666D3">
        <w:t>apart from a</w:t>
      </w:r>
      <w:r w:rsidR="00DA601F" w:rsidRPr="004666D3">
        <w:t xml:space="preserve"> </w:t>
      </w:r>
      <w:r w:rsidR="003D2F70" w:rsidRPr="004666D3">
        <w:t xml:space="preserve">continuous </w:t>
      </w:r>
      <w:r w:rsidR="00DA601F" w:rsidRPr="004666D3">
        <w:t>decreas</w:t>
      </w:r>
      <w:r w:rsidR="0338AC05" w:rsidRPr="004666D3">
        <w:t xml:space="preserve">e in </w:t>
      </w:r>
      <w:r w:rsidR="000A16F3" w:rsidRPr="004666D3">
        <w:t xml:space="preserve">user count </w:t>
      </w:r>
      <w:r w:rsidR="00DA601F" w:rsidRPr="004666D3">
        <w:t xml:space="preserve">during daytime on </w:t>
      </w:r>
      <w:r w:rsidR="5C304C62" w:rsidRPr="004666D3">
        <w:t xml:space="preserve">the </w:t>
      </w:r>
      <w:r w:rsidR="00DA601F" w:rsidRPr="004666D3">
        <w:t xml:space="preserve">weekends, </w:t>
      </w:r>
      <w:r w:rsidR="005235AE" w:rsidRPr="004666D3">
        <w:t xml:space="preserve">the </w:t>
      </w:r>
      <w:r w:rsidR="00B41037" w:rsidRPr="004666D3">
        <w:t xml:space="preserve">trends </w:t>
      </w:r>
      <w:r w:rsidR="00AE3BB8" w:rsidRPr="004666D3">
        <w:t>displayed</w:t>
      </w:r>
      <w:r w:rsidR="00B41037" w:rsidRPr="004666D3">
        <w:t xml:space="preserve"> a decrease first, </w:t>
      </w:r>
      <w:r w:rsidR="00025A6F" w:rsidRPr="004666D3">
        <w:t xml:space="preserve">followed by stabilisation </w:t>
      </w:r>
      <w:r w:rsidR="00081B44" w:rsidRPr="004666D3">
        <w:t xml:space="preserve">from the end of August </w:t>
      </w:r>
      <w:r w:rsidR="00D50C9B" w:rsidRPr="004666D3">
        <w:t xml:space="preserve">2021 </w:t>
      </w:r>
      <w:r w:rsidR="7A2CCAA9" w:rsidRPr="004666D3">
        <w:t xml:space="preserve">with some indication of an increase towards the end of </w:t>
      </w:r>
      <w:r w:rsidR="00920F8D" w:rsidRPr="004666D3">
        <w:t>the</w:t>
      </w:r>
      <w:r w:rsidR="7A2CCAA9" w:rsidRPr="004666D3">
        <w:t xml:space="preserve"> time series.</w:t>
      </w:r>
      <w:r w:rsidR="00047A9E" w:rsidRPr="004666D3">
        <w:t xml:space="preserve"> </w:t>
      </w:r>
      <w:r w:rsidR="008F5D9A" w:rsidRPr="004666D3">
        <w:t xml:space="preserve">Conversely, </w:t>
      </w:r>
      <w:r w:rsidR="009224F6" w:rsidRPr="004666D3">
        <w:t xml:space="preserve">an </w:t>
      </w:r>
      <w:r w:rsidR="008E21A1" w:rsidRPr="004666D3">
        <w:t>upward</w:t>
      </w:r>
      <w:r w:rsidR="009224F6" w:rsidRPr="004666D3">
        <w:t xml:space="preserve"> trend was observed </w:t>
      </w:r>
      <w:r w:rsidR="009224F6" w:rsidRPr="004666D3">
        <w:lastRenderedPageBreak/>
        <w:t xml:space="preserve">in rural areas </w:t>
      </w:r>
      <w:r w:rsidR="00B94784" w:rsidRPr="004666D3">
        <w:t>with a greater</w:t>
      </w:r>
      <w:r w:rsidR="008E21A1" w:rsidRPr="004666D3">
        <w:t xml:space="preserve"> increase rate from </w:t>
      </w:r>
      <w:r w:rsidR="00401A2A" w:rsidRPr="004666D3">
        <w:t>January of 2021, followed by</w:t>
      </w:r>
      <w:r w:rsidR="000F4F02" w:rsidRPr="004666D3">
        <w:t xml:space="preserve"> </w:t>
      </w:r>
      <w:r w:rsidR="000F555E" w:rsidRPr="004666D3">
        <w:t xml:space="preserve">a slight decline </w:t>
      </w:r>
      <w:r w:rsidR="00B65E03" w:rsidRPr="004666D3">
        <w:t xml:space="preserve">since the </w:t>
      </w:r>
      <w:r w:rsidR="004D19C4" w:rsidRPr="004666D3">
        <w:rPr>
          <w:rFonts w:hint="eastAsia"/>
        </w:rPr>
        <w:t>end</w:t>
      </w:r>
      <w:r w:rsidR="004D19C4" w:rsidRPr="004666D3">
        <w:t xml:space="preserve"> of </w:t>
      </w:r>
      <w:r w:rsidR="00B65E03" w:rsidRPr="004666D3">
        <w:t xml:space="preserve">August </w:t>
      </w:r>
      <w:r w:rsidR="007A2750" w:rsidRPr="004666D3">
        <w:t xml:space="preserve">of 2021 </w:t>
      </w:r>
      <w:r w:rsidR="00B65E03" w:rsidRPr="004666D3">
        <w:t xml:space="preserve">during </w:t>
      </w:r>
      <w:r w:rsidR="008840BB" w:rsidRPr="004666D3">
        <w:t>night-time</w:t>
      </w:r>
      <w:r w:rsidR="00D77BF1" w:rsidRPr="004666D3">
        <w:t xml:space="preserve"> and </w:t>
      </w:r>
      <w:r w:rsidR="00387A5C" w:rsidRPr="004666D3">
        <w:t>mid-October of 2021 during workdays’ daytime</w:t>
      </w:r>
      <w:r w:rsidR="00D77BF1" w:rsidRPr="004666D3">
        <w:t xml:space="preserve">. </w:t>
      </w:r>
      <w:r w:rsidR="00880D61" w:rsidRPr="004666D3">
        <w:t xml:space="preserve">In suburban areas, </w:t>
      </w:r>
      <w:r w:rsidR="00FD5B26" w:rsidRPr="004666D3">
        <w:t>an overall increas</w:t>
      </w:r>
      <w:r w:rsidR="0017795F" w:rsidRPr="004666D3">
        <w:t>ing</w:t>
      </w:r>
      <w:r w:rsidR="00FD5B26" w:rsidRPr="004666D3">
        <w:t xml:space="preserve"> trend </w:t>
      </w:r>
      <w:r w:rsidR="0017795F" w:rsidRPr="004666D3">
        <w:t xml:space="preserve">was </w:t>
      </w:r>
      <w:r w:rsidR="00DD4EF7" w:rsidRPr="004666D3">
        <w:t>observed</w:t>
      </w:r>
      <w:r w:rsidR="009665A5" w:rsidRPr="004666D3">
        <w:t>,</w:t>
      </w:r>
      <w:r w:rsidR="00E169F5" w:rsidRPr="004666D3">
        <w:t xml:space="preserve"> </w:t>
      </w:r>
      <w:r w:rsidR="008E7C09" w:rsidRPr="004666D3">
        <w:t xml:space="preserve">with a slight </w:t>
      </w:r>
      <w:r w:rsidR="009665A5" w:rsidRPr="004666D3">
        <w:t>decrease</w:t>
      </w:r>
      <w:r w:rsidR="008E7C09" w:rsidRPr="004666D3">
        <w:t xml:space="preserve"> </w:t>
      </w:r>
      <w:r w:rsidR="002571C5" w:rsidRPr="004666D3">
        <w:t>from January to the end of August of 2021</w:t>
      </w:r>
      <w:r w:rsidR="000E4CB6" w:rsidRPr="004666D3">
        <w:t>.</w:t>
      </w:r>
      <w:r w:rsidR="00FD0173" w:rsidRPr="004666D3">
        <w:t xml:space="preserve"> It is noteworthy that the turning point</w:t>
      </w:r>
      <w:r w:rsidR="00622284" w:rsidRPr="004666D3">
        <w:t xml:space="preserve">s or changes in the slope of the trends occurred near the time </w:t>
      </w:r>
      <w:r w:rsidR="007A7A1A" w:rsidRPr="004666D3">
        <w:t>when the strictness of restrictions suddenly increased</w:t>
      </w:r>
      <w:r w:rsidR="00902815" w:rsidRPr="004666D3">
        <w:t>.</w:t>
      </w:r>
    </w:p>
    <w:p w14:paraId="0D050110" w14:textId="77777777" w:rsidR="003E0F57" w:rsidRPr="004666D3" w:rsidRDefault="003E0F57" w:rsidP="00081DF9">
      <w:pPr>
        <w:spacing w:line="240" w:lineRule="auto"/>
        <w:rPr>
          <w:szCs w:val="24"/>
        </w:rPr>
      </w:pPr>
    </w:p>
    <w:p w14:paraId="782F6515" w14:textId="59558F91" w:rsidR="00B336FE" w:rsidRPr="004666D3" w:rsidRDefault="00F16674" w:rsidP="00F442FF">
      <w:r w:rsidRPr="004666D3">
        <w:t xml:space="preserve">Seasonal components in Thailand </w:t>
      </w:r>
      <w:r w:rsidR="00F76ED9" w:rsidRPr="004666D3">
        <w:t>exhibited a</w:t>
      </w:r>
      <w:r w:rsidR="00182B0E" w:rsidRPr="004666D3">
        <w:t xml:space="preserve"> sharp drop </w:t>
      </w:r>
      <w:r w:rsidR="44150974" w:rsidRPr="004666D3">
        <w:t>in</w:t>
      </w:r>
      <w:r w:rsidR="00B17201" w:rsidRPr="004666D3">
        <w:t xml:space="preserve"> </w:t>
      </w:r>
      <w:r w:rsidR="000402AA" w:rsidRPr="004666D3">
        <w:t xml:space="preserve">user count </w:t>
      </w:r>
      <w:r w:rsidR="007945EE" w:rsidRPr="004666D3">
        <w:t xml:space="preserve">in July and August each year </w:t>
      </w:r>
      <w:r w:rsidR="00B17201" w:rsidRPr="004666D3">
        <w:t>in urban centres and suburban areas, w</w:t>
      </w:r>
      <w:r w:rsidR="54D79C2A" w:rsidRPr="004666D3">
        <w:t>ith</w:t>
      </w:r>
      <w:r w:rsidR="00B17201" w:rsidRPr="004666D3">
        <w:t xml:space="preserve"> a </w:t>
      </w:r>
      <w:r w:rsidR="008066E6" w:rsidRPr="004666D3">
        <w:t xml:space="preserve">peak </w:t>
      </w:r>
      <w:r w:rsidR="002C61D2" w:rsidRPr="004666D3">
        <w:t>occurr</w:t>
      </w:r>
      <w:r w:rsidR="671645B0" w:rsidRPr="004666D3">
        <w:t>ing</w:t>
      </w:r>
      <w:r w:rsidR="002C61D2" w:rsidRPr="004666D3">
        <w:t xml:space="preserve"> </w:t>
      </w:r>
      <w:r w:rsidR="66B8A8CA" w:rsidRPr="004666D3">
        <w:t xml:space="preserve">during </w:t>
      </w:r>
      <w:r w:rsidR="002C61D2" w:rsidRPr="004666D3">
        <w:t>the same period in rural areas</w:t>
      </w:r>
      <w:r w:rsidRPr="004666D3">
        <w:t xml:space="preserve"> (</w:t>
      </w:r>
      <w:r w:rsidR="00471027" w:rsidRPr="004666D3">
        <w:t xml:space="preserve">Supplementary </w:t>
      </w:r>
      <w:r w:rsidRPr="004666D3">
        <w:t>Fig.</w:t>
      </w:r>
      <w:r w:rsidR="009E0E13" w:rsidRPr="004666D3">
        <w:t xml:space="preserve"> </w:t>
      </w:r>
      <w:r w:rsidR="00471027" w:rsidRPr="004666D3">
        <w:t>B.2</w:t>
      </w:r>
      <w:r w:rsidRPr="004666D3">
        <w:t>)</w:t>
      </w:r>
      <w:r w:rsidR="002C61D2" w:rsidRPr="004666D3">
        <w:t>.</w:t>
      </w:r>
      <w:r w:rsidR="006F5B01" w:rsidRPr="004666D3">
        <w:t xml:space="preserve"> </w:t>
      </w:r>
      <w:r w:rsidR="32D920FA" w:rsidRPr="004666D3">
        <w:t>R</w:t>
      </w:r>
      <w:r w:rsidR="005542A1" w:rsidRPr="004666D3">
        <w:t>em</w:t>
      </w:r>
      <w:r w:rsidR="212DD18D" w:rsidRPr="004666D3">
        <w:t>a</w:t>
      </w:r>
      <w:r w:rsidR="005542A1" w:rsidRPr="004666D3">
        <w:t xml:space="preserve">inders from STL detected the </w:t>
      </w:r>
      <w:r w:rsidR="000757D4" w:rsidRPr="004666D3">
        <w:t xml:space="preserve">lowest value </w:t>
      </w:r>
      <w:r w:rsidR="0076479A" w:rsidRPr="004666D3">
        <w:t xml:space="preserve">in urban centres and suburban areas, and </w:t>
      </w:r>
      <w:r w:rsidR="00C56592" w:rsidRPr="004666D3">
        <w:t xml:space="preserve">the </w:t>
      </w:r>
      <w:r w:rsidR="0076479A" w:rsidRPr="004666D3">
        <w:t xml:space="preserve">highest value in rural areas occurred </w:t>
      </w:r>
      <w:r w:rsidR="003A49FF" w:rsidRPr="004666D3">
        <w:t xml:space="preserve">in </w:t>
      </w:r>
      <w:r w:rsidR="00471027" w:rsidRPr="004666D3">
        <w:t>the</w:t>
      </w:r>
      <w:r w:rsidR="003A49FF" w:rsidRPr="004666D3">
        <w:t xml:space="preserve"> week </w:t>
      </w:r>
      <w:r w:rsidR="002A4A3C" w:rsidRPr="004666D3">
        <w:t xml:space="preserve">at the end of December and the mid-April in Thailand, </w:t>
      </w:r>
      <w:r w:rsidR="00DC1F59" w:rsidRPr="004666D3">
        <w:t xml:space="preserve">possibly </w:t>
      </w:r>
      <w:r w:rsidR="004F761C" w:rsidRPr="004666D3">
        <w:t xml:space="preserve">aligning with </w:t>
      </w:r>
      <w:r w:rsidR="5A430CF0" w:rsidRPr="004666D3">
        <w:t xml:space="preserve">the </w:t>
      </w:r>
      <w:r w:rsidR="002A4A3C" w:rsidRPr="004666D3">
        <w:t>New Year and Songkran holidays</w:t>
      </w:r>
      <w:r w:rsidR="00DB2085" w:rsidRPr="004666D3">
        <w:t>.</w:t>
      </w:r>
    </w:p>
    <w:p w14:paraId="6587E3D8" w14:textId="62820061" w:rsidR="008060FA" w:rsidRPr="004666D3" w:rsidRDefault="00D0647C" w:rsidP="00F442FF">
      <w:pPr>
        <w:rPr>
          <w:szCs w:val="24"/>
        </w:rPr>
      </w:pPr>
      <w:r w:rsidRPr="004666D3">
        <w:rPr>
          <w:noProof/>
          <w:szCs w:val="24"/>
        </w:rPr>
        <w:drawing>
          <wp:inline distT="0" distB="0" distL="0" distR="0" wp14:anchorId="30556DB8" wp14:editId="6A9EB46C">
            <wp:extent cx="5731510" cy="2310130"/>
            <wp:effectExtent l="0" t="0" r="2540" b="0"/>
            <wp:docPr id="40" name="Picture 4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310130"/>
                    </a:xfrm>
                    <a:prstGeom prst="rect">
                      <a:avLst/>
                    </a:prstGeom>
                  </pic:spPr>
                </pic:pic>
              </a:graphicData>
            </a:graphic>
          </wp:inline>
        </w:drawing>
      </w:r>
    </w:p>
    <w:p w14:paraId="5D2B9C19" w14:textId="0C46539E" w:rsidR="008F1A3E" w:rsidRPr="004666D3" w:rsidRDefault="001A7D1A" w:rsidP="00332EA5">
      <w:pPr>
        <w:spacing w:line="360" w:lineRule="auto"/>
        <w:rPr>
          <w:szCs w:val="24"/>
        </w:rPr>
      </w:pPr>
      <w:r w:rsidRPr="004666D3">
        <w:rPr>
          <w:szCs w:val="24"/>
        </w:rPr>
        <w:t xml:space="preserve">Figure 7 </w:t>
      </w:r>
      <w:r w:rsidR="00FA38BC" w:rsidRPr="004666D3">
        <w:rPr>
          <w:szCs w:val="24"/>
        </w:rPr>
        <w:t xml:space="preserve">Changes in weekly Facebook user count during night-time on workdays at the regional level in Thailand </w:t>
      </w:r>
      <w:bookmarkStart w:id="106" w:name="OLE_LINK145"/>
      <w:r w:rsidR="00BD6AD1" w:rsidRPr="004666D3">
        <w:rPr>
          <w:szCs w:val="24"/>
        </w:rPr>
        <w:t xml:space="preserve">from March 2020 to May 2022 </w:t>
      </w:r>
      <w:bookmarkEnd w:id="106"/>
      <w:r w:rsidR="00FA38BC" w:rsidRPr="004666D3">
        <w:rPr>
          <w:szCs w:val="24"/>
        </w:rPr>
        <w:t xml:space="preserve">across (a) urban centre, (b) urban cluster/suburban and (c) rural areas. The left map </w:t>
      </w:r>
      <w:r w:rsidR="00B21155" w:rsidRPr="004666D3">
        <w:rPr>
          <w:szCs w:val="24"/>
        </w:rPr>
        <w:t>exhibits</w:t>
      </w:r>
      <w:r w:rsidR="00FA38BC" w:rsidRPr="004666D3">
        <w:rPr>
          <w:szCs w:val="24"/>
        </w:rPr>
        <w:t xml:space="preserve"> percentage changes relative to the start week, while the right presents user count changes and their decomposed trend component of the Seasonal-Trend decomposition using Loess (STL) method. The lockdown </w:t>
      </w:r>
      <w:r w:rsidR="00FA38BC" w:rsidRPr="004666D3">
        <w:rPr>
          <w:szCs w:val="24"/>
        </w:rPr>
        <w:lastRenderedPageBreak/>
        <w:t xml:space="preserve">‘stringency index’ from the Oxford COVID-19 Government Response Tracker </w:t>
      </w:r>
      <w:r w:rsidR="00FA38BC" w:rsidRPr="004666D3">
        <w:rPr>
          <w:szCs w:val="24"/>
        </w:rPr>
        <w:fldChar w:fldCharType="begin"/>
      </w:r>
      <w:r w:rsidR="00A54651" w:rsidRPr="004666D3">
        <w:rPr>
          <w:szCs w:val="24"/>
        </w:rPr>
        <w:instrText xml:space="preserve"> ADDIN ZOTERO_ITEM CSL_CITATION {"citationID":"ZEYwzgwI","properties":{"formattedCitation":"(Hale et al., 2021)","plainCitation":"(Hale et al., 2021)","noteIndex":0},"citationItems":[{"id":5282,"uris":["http://zotero.org/users/9756803/items/HRBDC39M"],"itemData":{"id":5282,"type":"article-journal","abstract":"COVID-19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Nature","note":"number: 4\npublisher: Nature Publishing Group","page":"529-538","source":"www.nature.com","title":"A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schema":"https://github.com/citation-style-language/schema/raw/master/csl-citation.json"} </w:instrText>
      </w:r>
      <w:r w:rsidR="00FA38BC" w:rsidRPr="004666D3">
        <w:rPr>
          <w:szCs w:val="24"/>
        </w:rPr>
        <w:fldChar w:fldCharType="separate"/>
      </w:r>
      <w:r w:rsidR="00FA38BC" w:rsidRPr="004666D3">
        <w:rPr>
          <w:rFonts w:ascii="Calibri" w:hAnsi="Calibri" w:cs="Calibri"/>
        </w:rPr>
        <w:t>(Hale et al., 2021)</w:t>
      </w:r>
      <w:r w:rsidR="00FA38BC" w:rsidRPr="004666D3">
        <w:rPr>
          <w:szCs w:val="24"/>
        </w:rPr>
        <w:fldChar w:fldCharType="end"/>
      </w:r>
      <w:r w:rsidR="00FA38BC" w:rsidRPr="004666D3">
        <w:rPr>
          <w:szCs w:val="24"/>
        </w:rPr>
        <w:t xml:space="preserve"> is represented by varying intensities of grey backgrounds.</w:t>
      </w:r>
    </w:p>
    <w:p w14:paraId="1C58973A" w14:textId="77777777" w:rsidR="00B21155" w:rsidRPr="004666D3" w:rsidRDefault="00B21155" w:rsidP="009E0E13">
      <w:pPr>
        <w:spacing w:line="240" w:lineRule="auto"/>
        <w:rPr>
          <w:szCs w:val="24"/>
        </w:rPr>
      </w:pPr>
    </w:p>
    <w:p w14:paraId="4E436E2F" w14:textId="60A9AE4C" w:rsidR="00BB3869" w:rsidRPr="004666D3" w:rsidRDefault="00E73B8C" w:rsidP="00EB0DBA">
      <w:pPr>
        <w:rPr>
          <w:szCs w:val="24"/>
        </w:rPr>
      </w:pPr>
      <w:bookmarkStart w:id="107" w:name="OLE_LINK102"/>
      <w:bookmarkStart w:id="108" w:name="OLE_LINK137"/>
      <w:r w:rsidRPr="004666D3">
        <w:rPr>
          <w:szCs w:val="24"/>
        </w:rPr>
        <w:t>W</w:t>
      </w:r>
      <w:r w:rsidR="004012F1" w:rsidRPr="004666D3">
        <w:rPr>
          <w:szCs w:val="24"/>
        </w:rPr>
        <w:t>ithin</w:t>
      </w:r>
      <w:r w:rsidR="009D2ADD" w:rsidRPr="004666D3">
        <w:rPr>
          <w:szCs w:val="24"/>
        </w:rPr>
        <w:t xml:space="preserve"> the</w:t>
      </w:r>
      <w:r w:rsidR="004012F1" w:rsidRPr="004666D3">
        <w:rPr>
          <w:szCs w:val="24"/>
        </w:rPr>
        <w:t xml:space="preserve"> country, </w:t>
      </w:r>
      <w:r w:rsidRPr="004666D3">
        <w:rPr>
          <w:szCs w:val="24"/>
        </w:rPr>
        <w:t>t</w:t>
      </w:r>
      <w:r w:rsidR="004012F1" w:rsidRPr="004666D3">
        <w:rPr>
          <w:szCs w:val="24"/>
        </w:rPr>
        <w:t>he dec</w:t>
      </w:r>
      <w:r w:rsidR="001B1AEF" w:rsidRPr="004666D3">
        <w:rPr>
          <w:szCs w:val="24"/>
        </w:rPr>
        <w:t>line in</w:t>
      </w:r>
      <w:r w:rsidR="004012F1" w:rsidRPr="004666D3">
        <w:rPr>
          <w:szCs w:val="24"/>
        </w:rPr>
        <w:t xml:space="preserve"> </w:t>
      </w:r>
      <w:r w:rsidR="00B21155" w:rsidRPr="004666D3">
        <w:rPr>
          <w:szCs w:val="24"/>
        </w:rPr>
        <w:t xml:space="preserve">urban centre dwellers </w:t>
      </w:r>
      <w:r w:rsidR="00AC772D" w:rsidRPr="004666D3">
        <w:rPr>
          <w:szCs w:val="24"/>
        </w:rPr>
        <w:t>predominantly</w:t>
      </w:r>
      <w:r w:rsidR="004012F1" w:rsidRPr="004666D3">
        <w:rPr>
          <w:szCs w:val="24"/>
        </w:rPr>
        <w:t xml:space="preserve"> </w:t>
      </w:r>
      <w:r w:rsidR="001B1AEF" w:rsidRPr="004666D3">
        <w:rPr>
          <w:szCs w:val="24"/>
        </w:rPr>
        <w:t>occurred</w:t>
      </w:r>
      <w:r w:rsidR="004012F1" w:rsidRPr="004666D3">
        <w:rPr>
          <w:szCs w:val="24"/>
        </w:rPr>
        <w:t xml:space="preserve"> in</w:t>
      </w:r>
      <w:r w:rsidR="00510FC2" w:rsidRPr="004666D3">
        <w:rPr>
          <w:szCs w:val="24"/>
        </w:rPr>
        <w:t xml:space="preserve"> </w:t>
      </w:r>
      <w:r w:rsidR="001B1AEF" w:rsidRPr="004666D3">
        <w:rPr>
          <w:szCs w:val="24"/>
        </w:rPr>
        <w:t xml:space="preserve">the </w:t>
      </w:r>
      <w:r w:rsidR="004012F1" w:rsidRPr="004666D3">
        <w:rPr>
          <w:szCs w:val="24"/>
        </w:rPr>
        <w:t xml:space="preserve">southern region, the capital </w:t>
      </w:r>
      <w:r w:rsidR="00791EDF" w:rsidRPr="004666D3">
        <w:rPr>
          <w:szCs w:val="24"/>
        </w:rPr>
        <w:t xml:space="preserve">city </w:t>
      </w:r>
      <w:r w:rsidR="004012F1" w:rsidRPr="004666D3">
        <w:rPr>
          <w:szCs w:val="24"/>
        </w:rPr>
        <w:t xml:space="preserve">of Bangkok and </w:t>
      </w:r>
      <w:r w:rsidR="000F6993" w:rsidRPr="004666D3">
        <w:rPr>
          <w:szCs w:val="24"/>
        </w:rPr>
        <w:t xml:space="preserve">the </w:t>
      </w:r>
      <w:r w:rsidR="00510FC2" w:rsidRPr="004666D3">
        <w:rPr>
          <w:szCs w:val="24"/>
        </w:rPr>
        <w:t>central</w:t>
      </w:r>
      <w:r w:rsidR="004012F1" w:rsidRPr="004666D3">
        <w:rPr>
          <w:szCs w:val="24"/>
        </w:rPr>
        <w:t xml:space="preserve"> region, </w:t>
      </w:r>
      <w:r w:rsidR="00BC1875" w:rsidRPr="004666D3">
        <w:rPr>
          <w:szCs w:val="24"/>
        </w:rPr>
        <w:t xml:space="preserve">with </w:t>
      </w:r>
      <w:r w:rsidR="004012F1" w:rsidRPr="004666D3">
        <w:rPr>
          <w:szCs w:val="24"/>
        </w:rPr>
        <w:t>decrease</w:t>
      </w:r>
      <w:r w:rsidR="00BC1875" w:rsidRPr="004666D3">
        <w:rPr>
          <w:szCs w:val="24"/>
        </w:rPr>
        <w:t xml:space="preserve"> of</w:t>
      </w:r>
      <w:r w:rsidR="004012F1" w:rsidRPr="004666D3">
        <w:rPr>
          <w:szCs w:val="24"/>
        </w:rPr>
        <w:t xml:space="preserve"> 7.20%, 6.85% and 2.81%, respectively. </w:t>
      </w:r>
      <w:r w:rsidR="000B71B1" w:rsidRPr="004666D3">
        <w:rPr>
          <w:szCs w:val="24"/>
        </w:rPr>
        <w:t>Although</w:t>
      </w:r>
      <w:r w:rsidR="00294A01" w:rsidRPr="004666D3">
        <w:rPr>
          <w:szCs w:val="24"/>
        </w:rPr>
        <w:t xml:space="preserve"> all</w:t>
      </w:r>
      <w:r w:rsidR="00E4799E" w:rsidRPr="004666D3">
        <w:rPr>
          <w:szCs w:val="24"/>
        </w:rPr>
        <w:t xml:space="preserve"> regions experienced </w:t>
      </w:r>
      <w:r w:rsidR="00294A01" w:rsidRPr="004666D3">
        <w:rPr>
          <w:szCs w:val="24"/>
        </w:rPr>
        <w:t xml:space="preserve">an increase in </w:t>
      </w:r>
      <w:r w:rsidR="00E4799E" w:rsidRPr="004666D3">
        <w:rPr>
          <w:szCs w:val="24"/>
        </w:rPr>
        <w:t>rural user</w:t>
      </w:r>
      <w:r w:rsidR="00294A01" w:rsidRPr="004666D3">
        <w:rPr>
          <w:szCs w:val="24"/>
        </w:rPr>
        <w:t>s</w:t>
      </w:r>
      <w:r w:rsidR="0036504A" w:rsidRPr="004666D3">
        <w:t xml:space="preserve"> </w:t>
      </w:r>
      <w:r w:rsidR="0036504A" w:rsidRPr="004666D3">
        <w:rPr>
          <w:szCs w:val="24"/>
        </w:rPr>
        <w:t>initially</w:t>
      </w:r>
      <w:r w:rsidR="00E4799E" w:rsidRPr="004666D3">
        <w:rPr>
          <w:szCs w:val="24"/>
        </w:rPr>
        <w:t xml:space="preserve">, </w:t>
      </w:r>
      <w:r w:rsidR="005F274E" w:rsidRPr="004666D3">
        <w:rPr>
          <w:szCs w:val="24"/>
        </w:rPr>
        <w:t xml:space="preserve">this trend reversed </w:t>
      </w:r>
      <w:r w:rsidR="00D247DF" w:rsidRPr="004666D3">
        <w:rPr>
          <w:szCs w:val="24"/>
        </w:rPr>
        <w:t xml:space="preserve">after </w:t>
      </w:r>
      <w:r w:rsidR="004D19C4" w:rsidRPr="004666D3">
        <w:rPr>
          <w:szCs w:val="24"/>
        </w:rPr>
        <w:t xml:space="preserve">the end of </w:t>
      </w:r>
      <w:r w:rsidR="00D247DF" w:rsidRPr="004666D3">
        <w:rPr>
          <w:szCs w:val="24"/>
        </w:rPr>
        <w:t>August 2021</w:t>
      </w:r>
      <w:r w:rsidR="00E4799E" w:rsidRPr="004666D3">
        <w:rPr>
          <w:szCs w:val="24"/>
        </w:rPr>
        <w:t xml:space="preserve">, </w:t>
      </w:r>
      <w:proofErr w:type="gramStart"/>
      <w:r w:rsidR="000B71B1" w:rsidRPr="004666D3">
        <w:rPr>
          <w:szCs w:val="24"/>
        </w:rPr>
        <w:t>with the exception of</w:t>
      </w:r>
      <w:proofErr w:type="gramEnd"/>
      <w:r w:rsidR="000B71B1" w:rsidRPr="004666D3">
        <w:rPr>
          <w:szCs w:val="24"/>
        </w:rPr>
        <w:t xml:space="preserve"> the</w:t>
      </w:r>
      <w:r w:rsidR="00E4799E" w:rsidRPr="004666D3">
        <w:rPr>
          <w:szCs w:val="24"/>
        </w:rPr>
        <w:t xml:space="preserve"> central region </w:t>
      </w:r>
      <w:r w:rsidR="000C4A17" w:rsidRPr="004666D3">
        <w:rPr>
          <w:szCs w:val="24"/>
        </w:rPr>
        <w:t xml:space="preserve">surrounding </w:t>
      </w:r>
      <w:r w:rsidR="00BC3658" w:rsidRPr="004666D3">
        <w:rPr>
          <w:szCs w:val="24"/>
        </w:rPr>
        <w:t>Bangkok</w:t>
      </w:r>
      <w:r w:rsidR="00E4799E" w:rsidRPr="004666D3">
        <w:rPr>
          <w:szCs w:val="24"/>
        </w:rPr>
        <w:t xml:space="preserve">, which </w:t>
      </w:r>
      <w:r w:rsidR="000C4A17" w:rsidRPr="004666D3">
        <w:rPr>
          <w:szCs w:val="24"/>
        </w:rPr>
        <w:t>consistently attracted people</w:t>
      </w:r>
      <w:r w:rsidR="00E4799E" w:rsidRPr="004666D3">
        <w:rPr>
          <w:szCs w:val="24"/>
        </w:rPr>
        <w:t xml:space="preserve">. </w:t>
      </w:r>
      <w:r w:rsidR="005D5274" w:rsidRPr="004666D3">
        <w:rPr>
          <w:szCs w:val="24"/>
        </w:rPr>
        <w:t>Additionally</w:t>
      </w:r>
      <w:r w:rsidR="00EF25C8" w:rsidRPr="004666D3">
        <w:rPr>
          <w:szCs w:val="24"/>
        </w:rPr>
        <w:t xml:space="preserve">, </w:t>
      </w:r>
      <w:bookmarkEnd w:id="107"/>
      <w:r w:rsidR="00C208B4" w:rsidRPr="004666D3">
        <w:rPr>
          <w:szCs w:val="24"/>
        </w:rPr>
        <w:t xml:space="preserve">similar </w:t>
      </w:r>
      <w:r w:rsidR="005C131C" w:rsidRPr="004666D3">
        <w:rPr>
          <w:szCs w:val="24"/>
        </w:rPr>
        <w:t xml:space="preserve">patterns </w:t>
      </w:r>
      <w:r w:rsidR="001D110E" w:rsidRPr="004666D3">
        <w:rPr>
          <w:szCs w:val="24"/>
        </w:rPr>
        <w:t xml:space="preserve">in daytime trends </w:t>
      </w:r>
      <w:r w:rsidR="00112AFA" w:rsidRPr="004666D3">
        <w:rPr>
          <w:szCs w:val="24"/>
        </w:rPr>
        <w:t xml:space="preserve">were observed </w:t>
      </w:r>
      <w:r w:rsidR="005D5274" w:rsidRPr="004666D3">
        <w:rPr>
          <w:szCs w:val="24"/>
        </w:rPr>
        <w:t>as</w:t>
      </w:r>
      <w:r w:rsidR="00C208B4" w:rsidRPr="004666D3">
        <w:rPr>
          <w:szCs w:val="24"/>
        </w:rPr>
        <w:t xml:space="preserve"> </w:t>
      </w:r>
      <w:r w:rsidR="005471DE" w:rsidRPr="004666D3">
        <w:rPr>
          <w:szCs w:val="24"/>
        </w:rPr>
        <w:t>these</w:t>
      </w:r>
      <w:r w:rsidR="005D5274" w:rsidRPr="004666D3">
        <w:rPr>
          <w:szCs w:val="24"/>
        </w:rPr>
        <w:t xml:space="preserve"> </w:t>
      </w:r>
      <w:r w:rsidR="00C208B4" w:rsidRPr="004666D3">
        <w:rPr>
          <w:szCs w:val="24"/>
        </w:rPr>
        <w:t xml:space="preserve">night-time </w:t>
      </w:r>
      <w:r w:rsidR="005471DE" w:rsidRPr="004666D3">
        <w:rPr>
          <w:szCs w:val="24"/>
        </w:rPr>
        <w:t xml:space="preserve">trends </w:t>
      </w:r>
      <w:r w:rsidR="00C208B4" w:rsidRPr="004666D3">
        <w:rPr>
          <w:szCs w:val="24"/>
        </w:rPr>
        <w:t xml:space="preserve">at the regional level </w:t>
      </w:r>
      <w:bookmarkEnd w:id="108"/>
      <w:r w:rsidR="00345DCC" w:rsidRPr="004666D3">
        <w:rPr>
          <w:szCs w:val="24"/>
        </w:rPr>
        <w:t>(</w:t>
      </w:r>
      <w:r w:rsidR="00BC3658" w:rsidRPr="004666D3">
        <w:rPr>
          <w:szCs w:val="24"/>
        </w:rPr>
        <w:t>see Supplementary Fig.</w:t>
      </w:r>
      <w:r w:rsidR="009E0E13" w:rsidRPr="004666D3">
        <w:rPr>
          <w:szCs w:val="24"/>
        </w:rPr>
        <w:t xml:space="preserve"> </w:t>
      </w:r>
      <w:r w:rsidR="00BC3658" w:rsidRPr="004666D3">
        <w:rPr>
          <w:szCs w:val="24"/>
        </w:rPr>
        <w:t>B.4</w:t>
      </w:r>
      <w:r w:rsidR="00345DCC" w:rsidRPr="004666D3">
        <w:rPr>
          <w:szCs w:val="24"/>
        </w:rPr>
        <w:t>).</w:t>
      </w:r>
    </w:p>
    <w:p w14:paraId="45B5D145" w14:textId="77777777" w:rsidR="009E0E13" w:rsidRPr="004666D3" w:rsidRDefault="009E0E13" w:rsidP="009E0E13">
      <w:pPr>
        <w:spacing w:line="240" w:lineRule="auto"/>
        <w:rPr>
          <w:szCs w:val="24"/>
        </w:rPr>
      </w:pPr>
    </w:p>
    <w:p w14:paraId="4931AD0B" w14:textId="79866603" w:rsidR="007364DD" w:rsidRPr="004666D3" w:rsidRDefault="009517EC" w:rsidP="006956A8">
      <w:pPr>
        <w:pStyle w:val="mysubtitle"/>
      </w:pPr>
      <w:r w:rsidRPr="004666D3">
        <w:t xml:space="preserve">3.3 </w:t>
      </w:r>
      <w:bookmarkStart w:id="109" w:name="OLE_LINK129"/>
      <w:r w:rsidRPr="004666D3">
        <w:t xml:space="preserve">Comparison </w:t>
      </w:r>
      <w:r w:rsidR="0006278D" w:rsidRPr="004666D3">
        <w:t>of Facebook user count changes between</w:t>
      </w:r>
      <w:r w:rsidRPr="004666D3">
        <w:t xml:space="preserve"> Belgium and Thailand</w:t>
      </w:r>
      <w:bookmarkEnd w:id="109"/>
    </w:p>
    <w:p w14:paraId="0CDC54FF" w14:textId="7E2715A1" w:rsidR="00754E7B" w:rsidRPr="004666D3" w:rsidRDefault="002159D1" w:rsidP="001D0FA3">
      <w:pPr>
        <w:rPr>
          <w:szCs w:val="24"/>
        </w:rPr>
      </w:pPr>
      <w:r w:rsidRPr="004666D3">
        <w:rPr>
          <w:szCs w:val="24"/>
        </w:rPr>
        <w:t>Belgium and Thailand</w:t>
      </w:r>
      <w:r w:rsidR="002F4261" w:rsidRPr="004666D3">
        <w:rPr>
          <w:szCs w:val="24"/>
        </w:rPr>
        <w:t xml:space="preserve"> </w:t>
      </w:r>
      <w:r w:rsidR="00C720A8" w:rsidRPr="004666D3">
        <w:rPr>
          <w:szCs w:val="24"/>
        </w:rPr>
        <w:t xml:space="preserve">exhibited </w:t>
      </w:r>
      <w:r w:rsidR="00A632AF" w:rsidRPr="004666D3">
        <w:rPr>
          <w:szCs w:val="24"/>
        </w:rPr>
        <w:t>different</w:t>
      </w:r>
      <w:r w:rsidR="00C720A8" w:rsidRPr="004666D3">
        <w:rPr>
          <w:szCs w:val="24"/>
        </w:rPr>
        <w:t xml:space="preserve"> characteristics</w:t>
      </w:r>
      <w:r w:rsidR="00FD28BB" w:rsidRPr="004666D3">
        <w:rPr>
          <w:szCs w:val="24"/>
        </w:rPr>
        <w:t xml:space="preserve"> in the distribution</w:t>
      </w:r>
      <w:r w:rsidR="00C720A8" w:rsidRPr="004666D3">
        <w:rPr>
          <w:szCs w:val="24"/>
        </w:rPr>
        <w:t xml:space="preserve"> of Facebook users</w:t>
      </w:r>
      <w:r w:rsidR="00295BB2" w:rsidRPr="004666D3">
        <w:rPr>
          <w:szCs w:val="24"/>
        </w:rPr>
        <w:t xml:space="preserve">. </w:t>
      </w:r>
      <w:r w:rsidR="00681B4E" w:rsidRPr="004666D3">
        <w:rPr>
          <w:szCs w:val="24"/>
        </w:rPr>
        <w:t>Belgium had multiple densely populated areas</w:t>
      </w:r>
      <w:r w:rsidR="00F01DBE" w:rsidRPr="004666D3">
        <w:rPr>
          <w:szCs w:val="24"/>
        </w:rPr>
        <w:t xml:space="preserve">, </w:t>
      </w:r>
      <w:r w:rsidR="00A86670" w:rsidRPr="004666D3">
        <w:rPr>
          <w:szCs w:val="24"/>
        </w:rPr>
        <w:t>whereas in Thailand, users were primarily concentrated in Bangkok.</w:t>
      </w:r>
      <w:r w:rsidR="004A1163" w:rsidRPr="004666D3">
        <w:rPr>
          <w:szCs w:val="24"/>
        </w:rPr>
        <w:t xml:space="preserve"> </w:t>
      </w:r>
      <w:bookmarkStart w:id="110" w:name="OLE_LINK138"/>
      <w:r w:rsidR="004F356B" w:rsidRPr="004666D3">
        <w:rPr>
          <w:szCs w:val="24"/>
        </w:rPr>
        <w:t xml:space="preserve">The percent changes </w:t>
      </w:r>
      <w:r w:rsidR="00621BD5" w:rsidRPr="004666D3">
        <w:rPr>
          <w:szCs w:val="24"/>
        </w:rPr>
        <w:t xml:space="preserve">in </w:t>
      </w:r>
      <w:r w:rsidR="004F356B" w:rsidRPr="004666D3">
        <w:rPr>
          <w:szCs w:val="24"/>
        </w:rPr>
        <w:t xml:space="preserve">user </w:t>
      </w:r>
      <w:r w:rsidR="008B04E8" w:rsidRPr="004666D3">
        <w:rPr>
          <w:szCs w:val="24"/>
        </w:rPr>
        <w:t xml:space="preserve">count </w:t>
      </w:r>
      <w:r w:rsidR="00D448E4" w:rsidRPr="004666D3">
        <w:rPr>
          <w:szCs w:val="24"/>
        </w:rPr>
        <w:t>were</w:t>
      </w:r>
      <w:r w:rsidR="004F356B" w:rsidRPr="004666D3">
        <w:rPr>
          <w:szCs w:val="24"/>
        </w:rPr>
        <w:t xml:space="preserve"> </w:t>
      </w:r>
      <w:r w:rsidR="00F56EBF" w:rsidRPr="004666D3">
        <w:rPr>
          <w:szCs w:val="24"/>
        </w:rPr>
        <w:t>lower</w:t>
      </w:r>
      <w:r w:rsidR="004F356B" w:rsidRPr="004666D3">
        <w:rPr>
          <w:szCs w:val="24"/>
        </w:rPr>
        <w:t xml:space="preserve"> </w:t>
      </w:r>
      <w:r w:rsidR="00A86670" w:rsidRPr="004666D3">
        <w:rPr>
          <w:szCs w:val="24"/>
        </w:rPr>
        <w:t xml:space="preserve">in Belgium </w:t>
      </w:r>
      <w:r w:rsidR="004F356B" w:rsidRPr="004666D3">
        <w:rPr>
          <w:szCs w:val="24"/>
        </w:rPr>
        <w:t xml:space="preserve">than </w:t>
      </w:r>
      <w:r w:rsidR="00604C42" w:rsidRPr="004666D3">
        <w:rPr>
          <w:szCs w:val="24"/>
        </w:rPr>
        <w:t xml:space="preserve">in </w:t>
      </w:r>
      <w:r w:rsidR="0024244D" w:rsidRPr="004666D3">
        <w:rPr>
          <w:szCs w:val="24"/>
        </w:rPr>
        <w:t>Thailand</w:t>
      </w:r>
      <w:r w:rsidR="00604C42" w:rsidRPr="004666D3">
        <w:rPr>
          <w:szCs w:val="24"/>
        </w:rPr>
        <w:t xml:space="preserve"> across</w:t>
      </w:r>
      <w:r w:rsidR="00BC1466" w:rsidRPr="004666D3">
        <w:rPr>
          <w:szCs w:val="24"/>
        </w:rPr>
        <w:t xml:space="preserve"> all three urban-rural classifications</w:t>
      </w:r>
      <w:r w:rsidR="00086D2B" w:rsidRPr="004666D3">
        <w:rPr>
          <w:szCs w:val="24"/>
        </w:rPr>
        <w:t xml:space="preserve"> (Fig.</w:t>
      </w:r>
      <w:r w:rsidR="009E0E13" w:rsidRPr="004666D3">
        <w:rPr>
          <w:szCs w:val="24"/>
        </w:rPr>
        <w:t xml:space="preserve"> </w:t>
      </w:r>
      <w:r w:rsidR="00086D2B" w:rsidRPr="004666D3">
        <w:rPr>
          <w:szCs w:val="24"/>
        </w:rPr>
        <w:t>8)</w:t>
      </w:r>
      <w:r w:rsidR="00B22DE5" w:rsidRPr="004666D3">
        <w:rPr>
          <w:szCs w:val="24"/>
        </w:rPr>
        <w:t xml:space="preserve">, </w:t>
      </w:r>
      <w:r w:rsidR="00515F2D" w:rsidRPr="004666D3">
        <w:rPr>
          <w:szCs w:val="24"/>
        </w:rPr>
        <w:t>with a smaller proportion of grids experiencing corresponding changes</w:t>
      </w:r>
      <w:r w:rsidR="00604C42" w:rsidRPr="004666D3">
        <w:rPr>
          <w:szCs w:val="24"/>
        </w:rPr>
        <w:t xml:space="preserve">. </w:t>
      </w:r>
      <w:bookmarkStart w:id="111" w:name="OLE_LINK140"/>
      <w:r w:rsidR="003205D5" w:rsidRPr="004666D3">
        <w:rPr>
          <w:szCs w:val="24"/>
        </w:rPr>
        <w:t>During night-time, i</w:t>
      </w:r>
      <w:r w:rsidR="00F42EC4" w:rsidRPr="004666D3">
        <w:rPr>
          <w:szCs w:val="24"/>
        </w:rPr>
        <w:t xml:space="preserve">n urban centres, </w:t>
      </w:r>
      <w:r w:rsidR="00B11628" w:rsidRPr="004666D3">
        <w:rPr>
          <w:szCs w:val="24"/>
        </w:rPr>
        <w:t xml:space="preserve">Belgium had a 3.08% decrease in user count </w:t>
      </w:r>
      <w:r w:rsidR="00123657" w:rsidRPr="004666D3">
        <w:rPr>
          <w:szCs w:val="24"/>
        </w:rPr>
        <w:t xml:space="preserve">with 59.66% of </w:t>
      </w:r>
      <w:r w:rsidR="00B11628" w:rsidRPr="004666D3">
        <w:rPr>
          <w:szCs w:val="24"/>
        </w:rPr>
        <w:t>its</w:t>
      </w:r>
      <w:r w:rsidR="00123657" w:rsidRPr="004666D3">
        <w:rPr>
          <w:szCs w:val="24"/>
        </w:rPr>
        <w:t xml:space="preserve"> grids </w:t>
      </w:r>
      <w:r w:rsidR="00B11628" w:rsidRPr="004666D3">
        <w:rPr>
          <w:szCs w:val="24"/>
        </w:rPr>
        <w:t xml:space="preserve">showing a </w:t>
      </w:r>
      <w:r w:rsidR="00123657" w:rsidRPr="004666D3">
        <w:rPr>
          <w:szCs w:val="24"/>
        </w:rPr>
        <w:t>significant decrease</w:t>
      </w:r>
      <w:r w:rsidR="005B275E" w:rsidRPr="004666D3">
        <w:rPr>
          <w:szCs w:val="24"/>
        </w:rPr>
        <w:t xml:space="preserve"> (Fig.</w:t>
      </w:r>
      <w:r w:rsidR="009E0E13" w:rsidRPr="004666D3">
        <w:rPr>
          <w:szCs w:val="24"/>
        </w:rPr>
        <w:t xml:space="preserve"> </w:t>
      </w:r>
      <w:r w:rsidR="005B275E" w:rsidRPr="004666D3">
        <w:rPr>
          <w:szCs w:val="24"/>
        </w:rPr>
        <w:t>2)</w:t>
      </w:r>
      <w:r w:rsidR="00123657" w:rsidRPr="004666D3">
        <w:rPr>
          <w:szCs w:val="24"/>
        </w:rPr>
        <w:t xml:space="preserve">, while </w:t>
      </w:r>
      <w:r w:rsidR="00657320" w:rsidRPr="004666D3">
        <w:rPr>
          <w:szCs w:val="24"/>
        </w:rPr>
        <w:t xml:space="preserve">Thailand experienced a more widespread decrease, with 80.8% of </w:t>
      </w:r>
      <w:r w:rsidR="00553606" w:rsidRPr="004666D3">
        <w:rPr>
          <w:szCs w:val="24"/>
        </w:rPr>
        <w:t>decreasing</w:t>
      </w:r>
      <w:r w:rsidR="00657320" w:rsidRPr="004666D3">
        <w:rPr>
          <w:szCs w:val="24"/>
        </w:rPr>
        <w:t xml:space="preserve"> grids leading to a 5.04% </w:t>
      </w:r>
      <w:r w:rsidR="008801F6" w:rsidRPr="004666D3">
        <w:rPr>
          <w:szCs w:val="24"/>
        </w:rPr>
        <w:t xml:space="preserve">overall </w:t>
      </w:r>
      <w:r w:rsidR="00657320" w:rsidRPr="004666D3">
        <w:rPr>
          <w:szCs w:val="24"/>
        </w:rPr>
        <w:t>reduction</w:t>
      </w:r>
      <w:r w:rsidR="005B275E" w:rsidRPr="004666D3">
        <w:rPr>
          <w:szCs w:val="24"/>
        </w:rPr>
        <w:t xml:space="preserve"> (Fig.</w:t>
      </w:r>
      <w:r w:rsidR="009E0E13" w:rsidRPr="004666D3">
        <w:rPr>
          <w:szCs w:val="24"/>
        </w:rPr>
        <w:t xml:space="preserve"> </w:t>
      </w:r>
      <w:r w:rsidR="005B275E" w:rsidRPr="004666D3">
        <w:rPr>
          <w:szCs w:val="24"/>
        </w:rPr>
        <w:t>5)</w:t>
      </w:r>
      <w:r w:rsidR="00CB68B5" w:rsidRPr="004666D3">
        <w:rPr>
          <w:szCs w:val="24"/>
        </w:rPr>
        <w:t>.</w:t>
      </w:r>
      <w:r w:rsidR="00AE17D3" w:rsidRPr="004666D3">
        <w:rPr>
          <w:szCs w:val="24"/>
        </w:rPr>
        <w:t xml:space="preserve"> </w:t>
      </w:r>
      <w:bookmarkStart w:id="112" w:name="OLE_LINK139"/>
      <w:bookmarkEnd w:id="111"/>
      <w:r w:rsidR="001B1533" w:rsidRPr="004666D3">
        <w:rPr>
          <w:szCs w:val="24"/>
        </w:rPr>
        <w:t>Their c</w:t>
      </w:r>
      <w:r w:rsidR="00AE17D3" w:rsidRPr="004666D3">
        <w:rPr>
          <w:szCs w:val="24"/>
        </w:rPr>
        <w:t xml:space="preserve">hanges in rural areas </w:t>
      </w:r>
      <w:r w:rsidR="00016CE8" w:rsidRPr="004666D3">
        <w:rPr>
          <w:szCs w:val="24"/>
        </w:rPr>
        <w:t xml:space="preserve">were </w:t>
      </w:r>
      <w:r w:rsidR="001B1533" w:rsidRPr="004666D3">
        <w:rPr>
          <w:szCs w:val="24"/>
        </w:rPr>
        <w:t>modestly different</w:t>
      </w:r>
      <w:r w:rsidR="00016CE8" w:rsidRPr="004666D3">
        <w:rPr>
          <w:szCs w:val="24"/>
        </w:rPr>
        <w:t xml:space="preserve">, </w:t>
      </w:r>
      <w:r w:rsidR="002F661F" w:rsidRPr="004666D3">
        <w:rPr>
          <w:szCs w:val="24"/>
        </w:rPr>
        <w:t>with increases</w:t>
      </w:r>
      <w:r w:rsidR="00857A83" w:rsidRPr="004666D3">
        <w:rPr>
          <w:szCs w:val="24"/>
        </w:rPr>
        <w:t xml:space="preserve"> </w:t>
      </w:r>
      <w:r w:rsidR="002F661F" w:rsidRPr="004666D3">
        <w:rPr>
          <w:szCs w:val="24"/>
        </w:rPr>
        <w:t>of</w:t>
      </w:r>
      <w:r w:rsidR="00857A83" w:rsidRPr="004666D3">
        <w:rPr>
          <w:szCs w:val="24"/>
        </w:rPr>
        <w:t xml:space="preserve"> </w:t>
      </w:r>
      <w:r w:rsidR="00615149" w:rsidRPr="004666D3">
        <w:rPr>
          <w:szCs w:val="24"/>
        </w:rPr>
        <w:t>1.80% and 2.14%, respectively</w:t>
      </w:r>
      <w:r w:rsidR="00AE17D3" w:rsidRPr="004666D3">
        <w:rPr>
          <w:szCs w:val="24"/>
        </w:rPr>
        <w:t>.</w:t>
      </w:r>
      <w:bookmarkEnd w:id="112"/>
      <w:r w:rsidR="00AE17D3" w:rsidRPr="004666D3">
        <w:rPr>
          <w:szCs w:val="24"/>
        </w:rPr>
        <w:t xml:space="preserve"> </w:t>
      </w:r>
      <w:bookmarkStart w:id="113" w:name="OLE_LINK75"/>
      <w:r w:rsidR="00F05812" w:rsidRPr="004666D3">
        <w:rPr>
          <w:szCs w:val="24"/>
        </w:rPr>
        <w:t xml:space="preserve">Users in Thailand </w:t>
      </w:r>
      <w:r w:rsidR="00547BBE" w:rsidRPr="004666D3">
        <w:rPr>
          <w:szCs w:val="24"/>
        </w:rPr>
        <w:t>demonstrated</w:t>
      </w:r>
      <w:r w:rsidR="00F05812" w:rsidRPr="004666D3">
        <w:rPr>
          <w:szCs w:val="24"/>
        </w:rPr>
        <w:t xml:space="preserve"> a higher tendency to move to suburban areas</w:t>
      </w:r>
      <w:r w:rsidR="00330028" w:rsidRPr="004666D3">
        <w:rPr>
          <w:szCs w:val="24"/>
        </w:rPr>
        <w:t>,</w:t>
      </w:r>
      <w:r w:rsidR="00F05812" w:rsidRPr="004666D3">
        <w:rPr>
          <w:szCs w:val="24"/>
        </w:rPr>
        <w:t xml:space="preserve"> </w:t>
      </w:r>
      <w:r w:rsidR="00330028" w:rsidRPr="004666D3">
        <w:rPr>
          <w:szCs w:val="24"/>
        </w:rPr>
        <w:t xml:space="preserve">with an increase of 1.56%, </w:t>
      </w:r>
      <w:r w:rsidR="00F05812" w:rsidRPr="004666D3">
        <w:rPr>
          <w:szCs w:val="24"/>
        </w:rPr>
        <w:t>compared to 0.43%</w:t>
      </w:r>
      <w:r w:rsidR="00330028" w:rsidRPr="004666D3">
        <w:rPr>
          <w:szCs w:val="24"/>
        </w:rPr>
        <w:t xml:space="preserve"> in</w:t>
      </w:r>
      <w:r w:rsidR="004742FD" w:rsidRPr="004666D3">
        <w:rPr>
          <w:szCs w:val="24"/>
        </w:rPr>
        <w:t xml:space="preserve"> </w:t>
      </w:r>
      <w:r w:rsidR="00330028" w:rsidRPr="004666D3">
        <w:rPr>
          <w:szCs w:val="24"/>
        </w:rPr>
        <w:t xml:space="preserve">Belgium. </w:t>
      </w:r>
      <w:bookmarkStart w:id="114" w:name="OLE_LINK70"/>
      <w:bookmarkStart w:id="115" w:name="OLE_LINK83"/>
      <w:bookmarkStart w:id="116" w:name="OLE_LINK74"/>
      <w:bookmarkStart w:id="117" w:name="OLE_LINK103"/>
      <w:bookmarkEnd w:id="110"/>
      <w:r w:rsidR="005305A2" w:rsidRPr="004666D3">
        <w:rPr>
          <w:szCs w:val="24"/>
        </w:rPr>
        <w:t xml:space="preserve">Conversely, </w:t>
      </w:r>
      <w:bookmarkEnd w:id="113"/>
      <w:bookmarkEnd w:id="114"/>
      <w:r w:rsidR="002D22D0" w:rsidRPr="004666D3">
        <w:rPr>
          <w:szCs w:val="24"/>
        </w:rPr>
        <w:t xml:space="preserve">in Belgium during the daytime, </w:t>
      </w:r>
      <w:r w:rsidR="00F7118D" w:rsidRPr="004666D3">
        <w:rPr>
          <w:szCs w:val="24"/>
        </w:rPr>
        <w:t xml:space="preserve">user </w:t>
      </w:r>
      <w:r w:rsidR="00F7118D" w:rsidRPr="004666D3">
        <w:rPr>
          <w:szCs w:val="24"/>
        </w:rPr>
        <w:lastRenderedPageBreak/>
        <w:t xml:space="preserve">count </w:t>
      </w:r>
      <w:r w:rsidR="009E4085" w:rsidRPr="004666D3">
        <w:rPr>
          <w:szCs w:val="24"/>
        </w:rPr>
        <w:t>increased by 1.21% in urban centres and by 1.17% in suburban areas</w:t>
      </w:r>
      <w:r w:rsidR="002D22D0" w:rsidRPr="004666D3">
        <w:rPr>
          <w:szCs w:val="24"/>
        </w:rPr>
        <w:t>,</w:t>
      </w:r>
      <w:r w:rsidR="00E3639D" w:rsidRPr="004666D3">
        <w:rPr>
          <w:szCs w:val="24"/>
        </w:rPr>
        <w:t xml:space="preserve"> indicating </w:t>
      </w:r>
      <w:r w:rsidR="00A60EA5" w:rsidRPr="004666D3">
        <w:rPr>
          <w:szCs w:val="24"/>
        </w:rPr>
        <w:t>that people’s daytime activities are concentrated in non-rural areas.</w:t>
      </w:r>
      <w:bookmarkEnd w:id="115"/>
    </w:p>
    <w:bookmarkEnd w:id="116"/>
    <w:p w14:paraId="0D854756" w14:textId="77777777" w:rsidR="009E0E13" w:rsidRPr="004666D3" w:rsidRDefault="009E0E13" w:rsidP="009E0E13">
      <w:pPr>
        <w:spacing w:line="240" w:lineRule="auto"/>
        <w:rPr>
          <w:szCs w:val="24"/>
        </w:rPr>
      </w:pPr>
    </w:p>
    <w:p w14:paraId="6288887F" w14:textId="59303EBC" w:rsidR="007F2D6A" w:rsidRPr="004666D3" w:rsidRDefault="007F2D6A" w:rsidP="001D0FA3">
      <w:pPr>
        <w:rPr>
          <w:szCs w:val="24"/>
        </w:rPr>
      </w:pPr>
      <w:bookmarkStart w:id="118" w:name="OLE_LINK148"/>
      <w:r w:rsidRPr="004666D3">
        <w:rPr>
          <w:szCs w:val="24"/>
        </w:rPr>
        <w:t xml:space="preserve">The trends in user count changes also </w:t>
      </w:r>
      <w:r w:rsidR="00A7520D" w:rsidRPr="004666D3">
        <w:rPr>
          <w:szCs w:val="24"/>
        </w:rPr>
        <w:t>showed</w:t>
      </w:r>
      <w:r w:rsidRPr="004666D3">
        <w:rPr>
          <w:szCs w:val="24"/>
        </w:rPr>
        <w:t xml:space="preserve"> different </w:t>
      </w:r>
      <w:r w:rsidR="008533AE" w:rsidRPr="004666D3">
        <w:rPr>
          <w:szCs w:val="24"/>
        </w:rPr>
        <w:t>characteristics</w:t>
      </w:r>
      <w:r w:rsidRPr="004666D3">
        <w:rPr>
          <w:szCs w:val="24"/>
        </w:rPr>
        <w:t xml:space="preserve"> between the two countries</w:t>
      </w:r>
      <w:r w:rsidR="00A7520D" w:rsidRPr="004666D3">
        <w:rPr>
          <w:szCs w:val="24"/>
        </w:rPr>
        <w:t xml:space="preserve"> (Fig.</w:t>
      </w:r>
      <w:r w:rsidR="009E0E13" w:rsidRPr="004666D3">
        <w:rPr>
          <w:szCs w:val="24"/>
        </w:rPr>
        <w:t xml:space="preserve"> </w:t>
      </w:r>
      <w:r w:rsidR="00A7520D" w:rsidRPr="004666D3">
        <w:rPr>
          <w:szCs w:val="24"/>
        </w:rPr>
        <w:t>3 &amp;</w:t>
      </w:r>
      <w:r w:rsidR="009E0E13" w:rsidRPr="004666D3">
        <w:rPr>
          <w:szCs w:val="24"/>
        </w:rPr>
        <w:t xml:space="preserve">Fig. </w:t>
      </w:r>
      <w:r w:rsidR="00A7520D" w:rsidRPr="004666D3">
        <w:rPr>
          <w:szCs w:val="24"/>
        </w:rPr>
        <w:t>6)</w:t>
      </w:r>
      <w:r w:rsidRPr="004666D3">
        <w:rPr>
          <w:szCs w:val="24"/>
        </w:rPr>
        <w:t xml:space="preserve">. Belgium displayed different patterns between night-time and daytime on workdays, </w:t>
      </w:r>
      <w:r w:rsidR="0008220C" w:rsidRPr="004666D3">
        <w:rPr>
          <w:szCs w:val="24"/>
        </w:rPr>
        <w:t>reflecting differences in residential locations and daily activity zones,</w:t>
      </w:r>
      <w:r w:rsidRPr="004666D3">
        <w:rPr>
          <w:szCs w:val="24"/>
        </w:rPr>
        <w:t xml:space="preserve"> </w:t>
      </w:r>
      <w:r w:rsidR="00B7534E" w:rsidRPr="004666D3">
        <w:rPr>
          <w:szCs w:val="24"/>
        </w:rPr>
        <w:t>potentially indicative of commuting behaviours</w:t>
      </w:r>
      <w:r w:rsidRPr="004666D3">
        <w:rPr>
          <w:szCs w:val="24"/>
        </w:rPr>
        <w:t xml:space="preserve">. </w:t>
      </w:r>
      <w:r w:rsidR="00B7534E" w:rsidRPr="004666D3">
        <w:rPr>
          <w:szCs w:val="24"/>
        </w:rPr>
        <w:t>Conversely</w:t>
      </w:r>
      <w:r w:rsidR="006472F8" w:rsidRPr="004666D3">
        <w:rPr>
          <w:szCs w:val="24"/>
        </w:rPr>
        <w:t>,</w:t>
      </w:r>
      <w:r w:rsidRPr="004666D3">
        <w:rPr>
          <w:szCs w:val="24"/>
        </w:rPr>
        <w:t xml:space="preserve"> in Thailand, </w:t>
      </w:r>
      <w:r w:rsidR="00831708" w:rsidRPr="004666D3">
        <w:rPr>
          <w:szCs w:val="24"/>
        </w:rPr>
        <w:t>the trend of user</w:t>
      </w:r>
      <w:r w:rsidR="00F277EA" w:rsidRPr="004666D3">
        <w:rPr>
          <w:szCs w:val="24"/>
        </w:rPr>
        <w:t xml:space="preserve"> count</w:t>
      </w:r>
      <w:r w:rsidR="00831708" w:rsidRPr="004666D3">
        <w:rPr>
          <w:szCs w:val="24"/>
        </w:rPr>
        <w:t xml:space="preserve"> during night-time and daytime remained consistent, both at the country and regional levels</w:t>
      </w:r>
      <w:r w:rsidRPr="004666D3">
        <w:rPr>
          <w:szCs w:val="24"/>
        </w:rPr>
        <w:t xml:space="preserve">, </w:t>
      </w:r>
      <w:r w:rsidR="00F277EA" w:rsidRPr="004666D3">
        <w:rPr>
          <w:szCs w:val="24"/>
        </w:rPr>
        <w:t>presenting</w:t>
      </w:r>
      <w:r w:rsidR="00C70A54" w:rsidRPr="004666D3">
        <w:rPr>
          <w:szCs w:val="24"/>
        </w:rPr>
        <w:t xml:space="preserve"> little changes between</w:t>
      </w:r>
      <w:r w:rsidRPr="004666D3">
        <w:rPr>
          <w:szCs w:val="24"/>
        </w:rPr>
        <w:t xml:space="preserve"> their home locations and </w:t>
      </w:r>
      <w:bookmarkStart w:id="119" w:name="OLE_LINK95"/>
      <w:r w:rsidR="00C70A54" w:rsidRPr="004666D3">
        <w:rPr>
          <w:szCs w:val="24"/>
        </w:rPr>
        <w:t xml:space="preserve">daily </w:t>
      </w:r>
      <w:r w:rsidRPr="004666D3">
        <w:rPr>
          <w:szCs w:val="24"/>
        </w:rPr>
        <w:t>activity areas</w:t>
      </w:r>
      <w:bookmarkEnd w:id="119"/>
      <w:r w:rsidR="00C70A54" w:rsidRPr="004666D3">
        <w:rPr>
          <w:szCs w:val="24"/>
        </w:rPr>
        <w:t>.</w:t>
      </w:r>
    </w:p>
    <w:bookmarkEnd w:id="117"/>
    <w:bookmarkEnd w:id="118"/>
    <w:p w14:paraId="1831E21F" w14:textId="0E441F31" w:rsidR="00B05A47" w:rsidRPr="004666D3" w:rsidRDefault="009A7483" w:rsidP="00B05A47">
      <w:pPr>
        <w:spacing w:line="240" w:lineRule="auto"/>
        <w:rPr>
          <w:szCs w:val="24"/>
        </w:rPr>
      </w:pPr>
      <w:r w:rsidRPr="004666D3">
        <w:rPr>
          <w:noProof/>
          <w:szCs w:val="24"/>
        </w:rPr>
        <w:drawing>
          <wp:inline distT="0" distB="0" distL="0" distR="0" wp14:anchorId="666D57B7" wp14:editId="4CF615BD">
            <wp:extent cx="5731510" cy="2992120"/>
            <wp:effectExtent l="0" t="0" r="2540" b="0"/>
            <wp:docPr id="12"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992120"/>
                    </a:xfrm>
                    <a:prstGeom prst="rect">
                      <a:avLst/>
                    </a:prstGeom>
                  </pic:spPr>
                </pic:pic>
              </a:graphicData>
            </a:graphic>
          </wp:inline>
        </w:drawing>
      </w:r>
    </w:p>
    <w:p w14:paraId="4CBC7309" w14:textId="0E8837CA" w:rsidR="00B05A47" w:rsidRPr="004666D3" w:rsidRDefault="00B05A47" w:rsidP="006956A8">
      <w:pPr>
        <w:spacing w:line="360" w:lineRule="auto"/>
        <w:rPr>
          <w:szCs w:val="24"/>
        </w:rPr>
      </w:pPr>
      <w:r w:rsidRPr="004666D3">
        <w:rPr>
          <w:szCs w:val="24"/>
        </w:rPr>
        <w:t xml:space="preserve">Figure 8 Comparison of </w:t>
      </w:r>
      <w:r w:rsidR="004C74FC" w:rsidRPr="004666D3">
        <w:rPr>
          <w:szCs w:val="24"/>
        </w:rPr>
        <w:t xml:space="preserve">Facebook user count </w:t>
      </w:r>
      <w:r w:rsidRPr="004666D3">
        <w:rPr>
          <w:szCs w:val="24"/>
        </w:rPr>
        <w:t xml:space="preserve">changes </w:t>
      </w:r>
      <w:r w:rsidR="004C74FC" w:rsidRPr="004666D3">
        <w:rPr>
          <w:szCs w:val="24"/>
        </w:rPr>
        <w:t>in</w:t>
      </w:r>
      <w:r w:rsidRPr="004666D3">
        <w:rPr>
          <w:szCs w:val="24"/>
        </w:rPr>
        <w:t xml:space="preserve"> Belgium and Thailand</w:t>
      </w:r>
      <w:r w:rsidR="000C7BF5" w:rsidRPr="004666D3">
        <w:rPr>
          <w:szCs w:val="24"/>
        </w:rPr>
        <w:t xml:space="preserve"> during (a) night-time and (b) daytime</w:t>
      </w:r>
      <w:r w:rsidRPr="004666D3">
        <w:rPr>
          <w:szCs w:val="24"/>
        </w:rPr>
        <w:t xml:space="preserve">. </w:t>
      </w:r>
      <w:bookmarkStart w:id="120" w:name="OLE_LINK69"/>
      <w:r w:rsidR="003A14F1" w:rsidRPr="004666D3">
        <w:rPr>
          <w:szCs w:val="24"/>
        </w:rPr>
        <w:t xml:space="preserve">The </w:t>
      </w:r>
      <w:r w:rsidR="00AE07A6" w:rsidRPr="004666D3">
        <w:rPr>
          <w:szCs w:val="24"/>
        </w:rPr>
        <w:t xml:space="preserve">percent change in user count </w:t>
      </w:r>
      <w:r w:rsidR="002658A7" w:rsidRPr="004666D3">
        <w:rPr>
          <w:szCs w:val="24"/>
        </w:rPr>
        <w:t xml:space="preserve">during the study period </w:t>
      </w:r>
      <w:r w:rsidR="0020467A" w:rsidRPr="004666D3">
        <w:rPr>
          <w:szCs w:val="24"/>
        </w:rPr>
        <w:t xml:space="preserve">(from the start week of their data in March 2020 to the ending week in May 2022) </w:t>
      </w:r>
      <w:r w:rsidR="003A14F1" w:rsidRPr="004666D3">
        <w:rPr>
          <w:szCs w:val="24"/>
        </w:rPr>
        <w:t xml:space="preserve">was </w:t>
      </w:r>
      <w:r w:rsidR="00AE07A6" w:rsidRPr="004666D3">
        <w:rPr>
          <w:szCs w:val="24"/>
        </w:rPr>
        <w:t>calculated</w:t>
      </w:r>
      <w:r w:rsidR="003A14F1" w:rsidRPr="004666D3">
        <w:rPr>
          <w:szCs w:val="24"/>
        </w:rPr>
        <w:t xml:space="preserve"> </w:t>
      </w:r>
      <w:r w:rsidR="002E642F" w:rsidRPr="004666D3">
        <w:rPr>
          <w:szCs w:val="24"/>
        </w:rPr>
        <w:t>using</w:t>
      </w:r>
      <w:r w:rsidR="00AE07A6" w:rsidRPr="004666D3">
        <w:rPr>
          <w:szCs w:val="24"/>
        </w:rPr>
        <w:t xml:space="preserve"> the </w:t>
      </w:r>
      <w:r w:rsidR="003A14F1" w:rsidRPr="004666D3">
        <w:rPr>
          <w:szCs w:val="24"/>
        </w:rPr>
        <w:t xml:space="preserve">trend component </w:t>
      </w:r>
      <w:r w:rsidR="00876A9F" w:rsidRPr="004666D3">
        <w:rPr>
          <w:szCs w:val="24"/>
        </w:rPr>
        <w:t xml:space="preserve">of weekly user count </w:t>
      </w:r>
      <w:r w:rsidR="003A14F1" w:rsidRPr="004666D3">
        <w:rPr>
          <w:szCs w:val="24"/>
        </w:rPr>
        <w:t>from Seasonal-Trend decomposition using Loess (STL) method.</w:t>
      </w:r>
      <w:r w:rsidR="003A14F1" w:rsidRPr="004666D3" w:rsidDel="000C7BF5">
        <w:rPr>
          <w:szCs w:val="24"/>
        </w:rPr>
        <w:t xml:space="preserve"> </w:t>
      </w:r>
      <w:bookmarkEnd w:id="120"/>
    </w:p>
    <w:p w14:paraId="067D4D97" w14:textId="77777777" w:rsidR="009517EC" w:rsidRPr="004666D3" w:rsidRDefault="009517EC" w:rsidP="00081DF9">
      <w:pPr>
        <w:spacing w:line="240" w:lineRule="auto"/>
        <w:rPr>
          <w:szCs w:val="24"/>
        </w:rPr>
      </w:pPr>
    </w:p>
    <w:p w14:paraId="2A15E870" w14:textId="67735458" w:rsidR="007630F7" w:rsidRPr="004666D3" w:rsidRDefault="00E82F51" w:rsidP="001E7539">
      <w:pPr>
        <w:pStyle w:val="mysubtitle"/>
      </w:pPr>
      <w:r w:rsidRPr="004666D3">
        <w:t xml:space="preserve">4. </w:t>
      </w:r>
      <w:r w:rsidR="00385037" w:rsidRPr="004666D3">
        <w:t>D</w:t>
      </w:r>
      <w:r w:rsidRPr="004666D3">
        <w:t>iscussion</w:t>
      </w:r>
      <w:r w:rsidR="00E22774" w:rsidRPr="004666D3">
        <w:t xml:space="preserve"> </w:t>
      </w:r>
    </w:p>
    <w:p w14:paraId="1CE38E75" w14:textId="03219269" w:rsidR="00941D83" w:rsidRPr="004666D3" w:rsidRDefault="00830734" w:rsidP="001E7539">
      <w:pPr>
        <w:rPr>
          <w:szCs w:val="24"/>
        </w:rPr>
      </w:pPr>
      <w:r w:rsidRPr="004666D3">
        <w:rPr>
          <w:szCs w:val="24"/>
        </w:rPr>
        <w:lastRenderedPageBreak/>
        <w:t xml:space="preserve">We </w:t>
      </w:r>
      <w:r w:rsidR="00E37E61" w:rsidRPr="004666D3">
        <w:rPr>
          <w:szCs w:val="24"/>
        </w:rPr>
        <w:t xml:space="preserve">explored </w:t>
      </w:r>
      <w:r w:rsidRPr="004666D3">
        <w:rPr>
          <w:szCs w:val="24"/>
        </w:rPr>
        <w:t xml:space="preserve">counter-urbanisation trends for Belgium and Thailand during 2020-2022 by analysing changes in </w:t>
      </w:r>
      <w:r w:rsidR="001B50E9" w:rsidRPr="004666D3">
        <w:rPr>
          <w:szCs w:val="24"/>
        </w:rPr>
        <w:t xml:space="preserve">users’ </w:t>
      </w:r>
      <w:r w:rsidRPr="004666D3">
        <w:rPr>
          <w:szCs w:val="24"/>
        </w:rPr>
        <w:t>distribution across urban</w:t>
      </w:r>
      <w:r w:rsidR="00556377" w:rsidRPr="004666D3">
        <w:rPr>
          <w:szCs w:val="24"/>
        </w:rPr>
        <w:t xml:space="preserve"> centres</w:t>
      </w:r>
      <w:r w:rsidRPr="004666D3">
        <w:rPr>
          <w:szCs w:val="24"/>
        </w:rPr>
        <w:t xml:space="preserve">, suburban, and rural areas using Facebook </w:t>
      </w:r>
      <w:r w:rsidR="001B50E9" w:rsidRPr="004666D3">
        <w:rPr>
          <w:szCs w:val="24"/>
        </w:rPr>
        <w:t xml:space="preserve">user count </w:t>
      </w:r>
      <w:r w:rsidRPr="004666D3">
        <w:rPr>
          <w:szCs w:val="24"/>
        </w:rPr>
        <w:t xml:space="preserve">dataset and STL decomposition method. The rich information on </w:t>
      </w:r>
      <w:r w:rsidR="001A1BF1" w:rsidRPr="004666D3">
        <w:rPr>
          <w:szCs w:val="24"/>
        </w:rPr>
        <w:t xml:space="preserve">distributions of Facebook </w:t>
      </w:r>
      <w:r w:rsidR="008101FF" w:rsidRPr="004666D3">
        <w:rPr>
          <w:szCs w:val="24"/>
        </w:rPr>
        <w:t>user</w:t>
      </w:r>
      <w:r w:rsidR="001A1BF1" w:rsidRPr="004666D3">
        <w:rPr>
          <w:szCs w:val="24"/>
        </w:rPr>
        <w:t>s</w:t>
      </w:r>
      <w:r w:rsidR="00705D05" w:rsidRPr="004666D3">
        <w:rPr>
          <w:szCs w:val="24"/>
        </w:rPr>
        <w:t xml:space="preserve"> </w:t>
      </w:r>
      <w:r w:rsidRPr="004666D3">
        <w:rPr>
          <w:szCs w:val="24"/>
        </w:rPr>
        <w:t xml:space="preserve">during daytime and </w:t>
      </w:r>
      <w:r w:rsidR="008840BB" w:rsidRPr="004666D3">
        <w:rPr>
          <w:szCs w:val="24"/>
        </w:rPr>
        <w:t>night-time</w:t>
      </w:r>
      <w:r w:rsidRPr="004666D3">
        <w:rPr>
          <w:szCs w:val="24"/>
        </w:rPr>
        <w:t xml:space="preserve">, as well as on workdays and weekends, </w:t>
      </w:r>
      <w:r w:rsidR="00EF2701" w:rsidRPr="004666D3">
        <w:rPr>
          <w:szCs w:val="24"/>
        </w:rPr>
        <w:t xml:space="preserve">together with our approach, </w:t>
      </w:r>
      <w:r w:rsidR="00705D05" w:rsidRPr="004666D3">
        <w:rPr>
          <w:szCs w:val="24"/>
        </w:rPr>
        <w:t>improve</w:t>
      </w:r>
      <w:r w:rsidR="005059F6" w:rsidRPr="004666D3">
        <w:rPr>
          <w:szCs w:val="24"/>
        </w:rPr>
        <w:t>s</w:t>
      </w:r>
      <w:r w:rsidR="00705D05" w:rsidRPr="004666D3">
        <w:rPr>
          <w:szCs w:val="24"/>
        </w:rPr>
        <w:t xml:space="preserve"> our</w:t>
      </w:r>
      <w:r w:rsidRPr="004666D3">
        <w:rPr>
          <w:szCs w:val="24"/>
        </w:rPr>
        <w:t xml:space="preserve"> understanding of their counter-urbanisation characteristics, making it a</w:t>
      </w:r>
      <w:r w:rsidR="000C139A" w:rsidRPr="004666D3">
        <w:rPr>
          <w:szCs w:val="24"/>
        </w:rPr>
        <w:t>n</w:t>
      </w:r>
      <w:r w:rsidRPr="004666D3">
        <w:rPr>
          <w:szCs w:val="24"/>
        </w:rPr>
        <w:t xml:space="preserve"> </w:t>
      </w:r>
      <w:r w:rsidR="000C139A" w:rsidRPr="004666D3">
        <w:rPr>
          <w:szCs w:val="24"/>
        </w:rPr>
        <w:t xml:space="preserve">important </w:t>
      </w:r>
      <w:r w:rsidR="0081022D" w:rsidRPr="004666D3">
        <w:rPr>
          <w:szCs w:val="24"/>
        </w:rPr>
        <w:t xml:space="preserve">compliment </w:t>
      </w:r>
      <w:r w:rsidR="000C139A" w:rsidRPr="004666D3">
        <w:rPr>
          <w:szCs w:val="24"/>
        </w:rPr>
        <w:t>to</w:t>
      </w:r>
      <w:r w:rsidR="0081022D" w:rsidRPr="004666D3">
        <w:rPr>
          <w:szCs w:val="24"/>
        </w:rPr>
        <w:t xml:space="preserve"> </w:t>
      </w:r>
      <w:r w:rsidRPr="004666D3">
        <w:rPr>
          <w:szCs w:val="24"/>
        </w:rPr>
        <w:t xml:space="preserve">other </w:t>
      </w:r>
      <w:r w:rsidR="00E40E04" w:rsidRPr="004666D3">
        <w:rPr>
          <w:szCs w:val="24"/>
        </w:rPr>
        <w:t>tradition</w:t>
      </w:r>
      <w:r w:rsidR="000C139A" w:rsidRPr="004666D3">
        <w:rPr>
          <w:szCs w:val="24"/>
        </w:rPr>
        <w:t>al</w:t>
      </w:r>
      <w:r w:rsidR="00E40E04" w:rsidRPr="004666D3">
        <w:rPr>
          <w:szCs w:val="24"/>
        </w:rPr>
        <w:t xml:space="preserve"> </w:t>
      </w:r>
      <w:r w:rsidRPr="004666D3">
        <w:rPr>
          <w:szCs w:val="24"/>
        </w:rPr>
        <w:t>population data in this regard.</w:t>
      </w:r>
      <w:r w:rsidR="00074B83" w:rsidRPr="004666D3">
        <w:rPr>
          <w:szCs w:val="24"/>
        </w:rPr>
        <w:t xml:space="preserve"> </w:t>
      </w:r>
    </w:p>
    <w:p w14:paraId="110DDEE9" w14:textId="77777777" w:rsidR="00C05C9E" w:rsidRPr="004666D3" w:rsidRDefault="00C05C9E" w:rsidP="001E7539">
      <w:pPr>
        <w:spacing w:line="240" w:lineRule="auto"/>
        <w:rPr>
          <w:szCs w:val="24"/>
        </w:rPr>
      </w:pPr>
    </w:p>
    <w:p w14:paraId="5D84BF8D" w14:textId="4EC63135" w:rsidR="004D395A" w:rsidRPr="004666D3" w:rsidRDefault="00C9398D" w:rsidP="001E7539">
      <w:pPr>
        <w:pStyle w:val="mysubtitle"/>
      </w:pPr>
      <w:r w:rsidRPr="004666D3">
        <w:t xml:space="preserve">4.1 </w:t>
      </w:r>
      <w:r w:rsidR="00427DF6" w:rsidRPr="004666D3">
        <w:t>C</w:t>
      </w:r>
      <w:r w:rsidR="002B2720" w:rsidRPr="004666D3">
        <w:t xml:space="preserve">ounter-urbanisation </w:t>
      </w:r>
      <w:r w:rsidR="00427DF6" w:rsidRPr="004666D3">
        <w:t>characteristics</w:t>
      </w:r>
      <w:r w:rsidRPr="004666D3">
        <w:t xml:space="preserve"> in Belgium and Thailand</w:t>
      </w:r>
    </w:p>
    <w:p w14:paraId="149520FC" w14:textId="3094B0F0" w:rsidR="00BB5B5F" w:rsidRPr="004666D3" w:rsidRDefault="0054642B" w:rsidP="00A77559">
      <w:bookmarkStart w:id="121" w:name="OLE_LINK77"/>
      <w:bookmarkStart w:id="122" w:name="OLE_LINK98"/>
      <w:bookmarkStart w:id="123" w:name="OLE_LINK96"/>
      <w:r w:rsidRPr="004666D3">
        <w:t>The results showed that</w:t>
      </w:r>
      <w:r w:rsidR="00504C00" w:rsidRPr="004666D3">
        <w:t xml:space="preserve"> both Belgium and Thailand experienced counter-urbanisation</w:t>
      </w:r>
      <w:r w:rsidRPr="004666D3">
        <w:t xml:space="preserve"> from March 2020 to May 2022</w:t>
      </w:r>
      <w:r w:rsidR="00504C00" w:rsidRPr="004666D3">
        <w:t>, reflecting by the redistribution from urban centres to rural areas. This phenomenon evidenced by: 1) an increased user count in rural areas coupled with a decreased in urban centres (Fig.</w:t>
      </w:r>
      <w:r w:rsidR="009E0E13" w:rsidRPr="004666D3">
        <w:t xml:space="preserve"> </w:t>
      </w:r>
      <w:r w:rsidR="00504C00" w:rsidRPr="004666D3">
        <w:t>8); 2) more than 50% of rural areas showed a significant increase and over 50% of urban centre areas exhibited a significant decrease (Fig.</w:t>
      </w:r>
      <w:r w:rsidR="009E0E13" w:rsidRPr="004666D3">
        <w:t xml:space="preserve"> </w:t>
      </w:r>
      <w:r w:rsidR="00504C00" w:rsidRPr="004666D3">
        <w:t>2</w:t>
      </w:r>
      <w:r w:rsidRPr="004666D3">
        <w:t xml:space="preserve"> </w:t>
      </w:r>
      <w:r w:rsidR="00504C00" w:rsidRPr="004666D3">
        <w:t>&amp;</w:t>
      </w:r>
      <w:r w:rsidRPr="004666D3">
        <w:t xml:space="preserve"> </w:t>
      </w:r>
      <w:r w:rsidR="009E0E13" w:rsidRPr="004666D3">
        <w:t xml:space="preserve">Fig. </w:t>
      </w:r>
      <w:r w:rsidR="00504C00" w:rsidRPr="004666D3">
        <w:t xml:space="preserve">5); and 3) a trend of increasing user count in urban centres and a decreasing trend in rural areas during night-time on workdays throughout the study period, although a reverse trend was observed in Thailand after </w:t>
      </w:r>
      <w:r w:rsidR="00D00456" w:rsidRPr="004666D3">
        <w:t>the end of August 2021</w:t>
      </w:r>
      <w:r w:rsidR="00504C00" w:rsidRPr="004666D3">
        <w:t xml:space="preserve"> (Fig.</w:t>
      </w:r>
      <w:r w:rsidR="009E0E13" w:rsidRPr="004666D3">
        <w:t xml:space="preserve"> </w:t>
      </w:r>
      <w:r w:rsidR="00504C00" w:rsidRPr="004666D3">
        <w:t xml:space="preserve">3 &amp; </w:t>
      </w:r>
      <w:r w:rsidR="009E0E13" w:rsidRPr="004666D3">
        <w:t xml:space="preserve">Fig. </w:t>
      </w:r>
      <w:r w:rsidR="00504C00" w:rsidRPr="004666D3">
        <w:t>6).</w:t>
      </w:r>
      <w:r w:rsidR="000C139A" w:rsidRPr="004666D3">
        <w:t xml:space="preserve"> </w:t>
      </w:r>
    </w:p>
    <w:p w14:paraId="6C45B09E" w14:textId="77777777" w:rsidR="00BB5B5F" w:rsidRPr="004666D3" w:rsidRDefault="00BB5B5F" w:rsidP="00BB5B5F">
      <w:pPr>
        <w:spacing w:line="240" w:lineRule="auto"/>
        <w:rPr>
          <w:szCs w:val="24"/>
        </w:rPr>
      </w:pPr>
    </w:p>
    <w:p w14:paraId="5EA523EB" w14:textId="0C42837F" w:rsidR="00504C00" w:rsidRPr="004666D3" w:rsidRDefault="000C139A" w:rsidP="00A77559">
      <w:r w:rsidRPr="004666D3" w:rsidDel="00074B83">
        <w:t xml:space="preserve">The turning point or slope change of user count dynamic trends </w:t>
      </w:r>
      <w:r w:rsidR="1EFB0EA8" w:rsidRPr="004666D3">
        <w:t xml:space="preserve">aligned well with </w:t>
      </w:r>
      <w:r w:rsidRPr="004666D3">
        <w:t>alteration</w:t>
      </w:r>
      <w:r w:rsidR="04F3B531" w:rsidRPr="004666D3">
        <w:t>s</w:t>
      </w:r>
      <w:r w:rsidRPr="004666D3">
        <w:t xml:space="preserve"> of</w:t>
      </w:r>
      <w:r w:rsidRPr="004666D3" w:rsidDel="00074B83">
        <w:t xml:space="preserve"> the stringency index of ‘lockdown</w:t>
      </w:r>
      <w:r w:rsidRPr="004666D3">
        <w:t>’</w:t>
      </w:r>
      <w:r w:rsidRPr="004666D3" w:rsidDel="00074B83">
        <w:t xml:space="preserve"> restrictions (Figures 3 &amp; 6). It not only indicated the impact of lockdowns and restrictions of the pandemic on people’s movements and activities, but also served as evidence supporting the reliability of our processed data in accurately capturing population distribution and dynamics given the known effects that </w:t>
      </w:r>
      <w:r w:rsidRPr="004666D3" w:rsidDel="00074B83">
        <w:lastRenderedPageBreak/>
        <w:t xml:space="preserve">‘lockdown’ restrictions have had on human mobility data elsewhere </w:t>
      </w:r>
      <w:r w:rsidRPr="004666D3" w:rsidDel="00074B83">
        <w:fldChar w:fldCharType="begin"/>
      </w:r>
      <w:r w:rsidRPr="004666D3" w:rsidDel="00074B83">
        <w:instrText xml:space="preserve"> ADDIN ZOTERO_ITEM CSL_CITATION {"citationID":"oq652JGT","properties":{"formattedCitation":"(Borsellino et al., 2022; Romanillos et al., 2021; Shepherd et al., 2021)","plainCitation":"(Borsellino et al., 2022; Romanillos et al., 2021; Shepherd et al., 2021)","noteIndex":0},"citationItems":[{"id":2771,"uris":["http://zotero.org/users/9756803/items/HXXSVM95"],"itemData":{"id":2771,"type":"article-journal","abstract":"Since the beginning of the COVID-19 pandemic there has been interest in the migration of city-dwellers to regional areas to escape lockdowns and movement restrictions, yet evidence of a ‘regional renaissance’ in Australia remains anecdotal. This paper aims to quantify the current and future dynamics of the COVID-19 pandemic on the levels, patterns and drivers of migration to and from Australian cities and regions. Results show a 7% drop in the rate of migration between Greater Capital City Statistical Areas in 2020 compared to the previous year, with record net gains in regional areas facilitated by a 9% decrease in departures rather than an increase in arrivals from cities. Our forecasts suggest that net gains to regions will slow down after 2022, but remain higher than pre-pandemic levels in New South Wales, Queensland, South Australia, and Tasmania because of a sustained increase in arrivals. Regional Western Australia and the Northern Territory will continue to record net losses, while net gains to regional Victoria are predicted to be lower than pre-COVID-19 because of an increase in departures. These patterns have important implications for population projections and policies regarding the attraction and retention of internal migrants to Australia's regions.","container-title":"Australian Geographer","DOI":"10.1080/00049182.2022.2074622","ISSN":"0004-9182","issue":"4","note":"publisher: Routledge\n_eprint: https://doi.org/10.1080/00049182.2022.2074622","page":"405-423","source":"Taylor and Francis+NEJM","title":"A regional renaissance? The shifting geography of internal migration under COVID-19","title-short":"A regional renaissance?","volume":"53","author":[{"family":"Borsellino","given":"Rosabella"},{"family":"Bernard","given":"Aude"},{"family":"Charles-Edwards","given":"Elin"},{"family":"Corcoran","given":"Jonathan"}],"issued":{"date-parts":[["2022",10,2]]}}},{"id":5621,"uris":["http://zotero.org/users/9756803/items/FYHC2E9C"],"itemData":{"id":5621,"type":"article-journal","abstract":"Due to the rapid expansion of the COVID-19 pandemic, many countries ordained lockdowns, establishing different restrictions on people's mobility. Exploring to what extent these measures have been effective is critical in order to better respond to similar future scenarios. This article uses anonymous mobile phone data to study the impact of the Spanish lockdown on the daily dynamics of the Madrid metropolitan area (Spain). The analysis has been carried out for a reference week prior to the lockdown and during several weeks of the lockdown in which different restrictions were in place. During these weeks, population distribution is compared during the day and at night and presence profiles are obtained throughout the day for each type of land use. In addition, a spatial multiple regression analysis is carried out to determine the impact of the different land uses on the local population. The results in the reference week, pre-COVID-19, show how the population in activity areas increases in each time slot on a specific day and how in residential areas it decreases. However, during the lockdown, activity areas cease to attract population during the day and the residential areas therefore no longer show a decrease. Only basic essential commercial activities, or others that require the presence of workers (industrial or logistics) maintain some activity during lockdown.","container-title":"Applied Geography","DOI":"10.1016/j.apgeog.2021.102524","ISSN":"0143-6228","journalAbbreviation":"Applied Geography","language":"en","page":"102524","source":"ScienceDirect","title":"The city turned off: Urban dynamics during the COVID-19 pandemic based on mobile phone data","title-short":"The city turned off","volume":"134","author":[{"family":"Romanillos","given":"Gustavo"},{"family":"García-Palomares","given":"Juan Carlos"},{"family":"Moya-Gómez","given":"Borja"},{"family":"Gutiérrez","given":"Javier"},{"family":"Torres","given":"Javier"},{"family":"López","given":"Mario"},{"family":"Cantú-Ros","given":"Oliva G."},{"family":"Herranz","given":"Ricardo"}],"issued":{"date-parts":[["2021",9,1]]}}},{"id":1403,"uris":["http://zotero.org/users/9756803/items/9Y9F66EZ"],"itemData":{"id":1403,"type":"article-journal","abstract":"Since early March 2020, the COVID-19 epidemic across the United Kingdom has led to a range of social distancing policies, which resulted in changes to mobility across different regions. An understanding of how these policies impacted travel patterns over time and at different spatial scales is important for designing effective strategies, future pandemic planning and in providing broader insights on the population geography of the country. Crowd level data on mobile phone usage can be used as a proxy for population mobility patterns and provide a way of quantifying in near-real time the impact of social distancing measures on changes in mobility.","container-title":"International Journal of Health Geographics","DOI":"10.1186/s12942-021-00299-5","ISSN":"1476-072X","issue":"1","journalAbbreviation":"International Journal of Health Geographics","page":"46","source":"BioMed Central","title":"Domestic and international mobility trends in the United Kingdom during the COVID-19 pandemic: an analysis of facebook data","title-short":"Domestic and international mobility trends in the United Kingdom during the COVID-19 pandemic","volume":"20","author":[{"family":"Shepherd","given":"Harry E. R."},{"family":"Atherden","given":"Florence S."},{"family":"Chan","given":"Ho Man Theophilus"},{"family":"Loveridge","given":"Alexandra"},{"family":"Tatem","given":"Andrew J."}],"issued":{"date-parts":[["2021",12,4]]}}}],"schema":"https://github.com/citation-style-language/schema/raw/master/csl-citation.json"} </w:instrText>
      </w:r>
      <w:r w:rsidRPr="004666D3" w:rsidDel="00074B83">
        <w:fldChar w:fldCharType="separate"/>
      </w:r>
      <w:r w:rsidRPr="004666D3" w:rsidDel="00074B83">
        <w:t>(Borsellino et al., 2022; Romanillos et al., 2021; Shepherd et al., 2021)</w:t>
      </w:r>
      <w:r w:rsidRPr="004666D3" w:rsidDel="00074B83">
        <w:fldChar w:fldCharType="end"/>
      </w:r>
      <w:r w:rsidRPr="004666D3" w:rsidDel="00074B83">
        <w:t>.</w:t>
      </w:r>
    </w:p>
    <w:p w14:paraId="3BAAE963" w14:textId="77777777" w:rsidR="00754E7B" w:rsidRPr="004666D3" w:rsidRDefault="00754E7B" w:rsidP="006C29CE">
      <w:pPr>
        <w:spacing w:line="240" w:lineRule="auto"/>
        <w:rPr>
          <w:szCs w:val="24"/>
        </w:rPr>
      </w:pPr>
    </w:p>
    <w:p w14:paraId="09FB5CB8" w14:textId="6A92B4F1" w:rsidR="00A77559" w:rsidRPr="004666D3" w:rsidRDefault="009A3F5B" w:rsidP="00A77559">
      <w:r w:rsidRPr="004666D3">
        <w:t>User count</w:t>
      </w:r>
      <w:r w:rsidR="1353B3CA" w:rsidRPr="004666D3">
        <w:t xml:space="preserve"> trends in </w:t>
      </w:r>
      <w:r w:rsidR="00C9398D" w:rsidRPr="004666D3">
        <w:t xml:space="preserve">Belgium </w:t>
      </w:r>
      <w:r w:rsidR="00E663C0" w:rsidRPr="004666D3">
        <w:t xml:space="preserve">varied between daytime and </w:t>
      </w:r>
      <w:r w:rsidR="008840BB" w:rsidRPr="004666D3">
        <w:t>night-time</w:t>
      </w:r>
      <w:r w:rsidR="00E663C0" w:rsidRPr="004666D3">
        <w:t xml:space="preserve"> </w:t>
      </w:r>
      <w:bookmarkEnd w:id="121"/>
      <w:r w:rsidR="00C9398D" w:rsidRPr="004666D3">
        <w:t>(Fig.</w:t>
      </w:r>
      <w:r w:rsidR="009E0E13" w:rsidRPr="004666D3">
        <w:t xml:space="preserve"> </w:t>
      </w:r>
      <w:r w:rsidR="00754E7B" w:rsidRPr="004666D3">
        <w:t>3</w:t>
      </w:r>
      <w:r w:rsidR="00C9398D" w:rsidRPr="004666D3">
        <w:t xml:space="preserve">). The </w:t>
      </w:r>
      <w:r w:rsidR="00754E7B" w:rsidRPr="004666D3">
        <w:t>user</w:t>
      </w:r>
      <w:r w:rsidR="70CB9EDC" w:rsidRPr="004666D3">
        <w:t xml:space="preserve"> count</w:t>
      </w:r>
      <w:r w:rsidR="00C9398D" w:rsidRPr="004666D3">
        <w:t xml:space="preserve"> in urban centres during the daytime on workdays was trending downwards until July 2021, when the government ended compulsory work-from-home measure</w:t>
      </w:r>
      <w:r w:rsidR="00A71955" w:rsidRPr="004666D3">
        <w:t>s</w:t>
      </w:r>
      <w:r w:rsidR="00B01704" w:rsidRPr="004666D3">
        <w:t xml:space="preserve"> </w:t>
      </w:r>
      <w:r w:rsidR="00C9398D" w:rsidRPr="004666D3">
        <w:fldChar w:fldCharType="begin"/>
      </w:r>
      <w:r w:rsidR="00C9398D" w:rsidRPr="004666D3">
        <w:instrText xml:space="preserve"> ADDIN ZOTERO_ITEM CSL_CITATION {"citationID":"XGoPwXS9","properties":{"formattedCitation":"(The Brussels Times, 2021)","plainCitation":"(The Brussels Times, 2021)","noteIndex":0},"citationItems":[{"id":5076,"uris":["http://zotero.org/users/9756803/items/EKFFJ9RG"],"itemData":{"id":5076,"type":"article-newspaper","language":"auto","title":"Cheat Sheet: How Belgium Leaves Lockdown","title-short":"Cheat Sheet","URL":"https://www.brusselstimes.com/169047/tbtb-cheat-sheet-how-belgium-leaves-lockdown-summer-plan-alexander-de-croo-hospitality-sector-terraces-events-festivals-icu-vaccination","author":[{"family":"The Brussels Times","given":""}],"accessed":{"date-parts":[["2023",5,5]]},"issued":{"date-parts":[["2021",5,11]]}}}],"schema":"https://github.com/citation-style-language/schema/raw/master/csl-citation.json"} </w:instrText>
      </w:r>
      <w:r w:rsidR="00C9398D" w:rsidRPr="004666D3">
        <w:fldChar w:fldCharType="separate"/>
      </w:r>
      <w:r w:rsidR="00AE74BE" w:rsidRPr="004666D3">
        <w:rPr>
          <w:rFonts w:ascii="Calibri" w:hAnsi="Calibri" w:cs="Calibri"/>
        </w:rPr>
        <w:t>(The Brussels Times, 2021)</w:t>
      </w:r>
      <w:r w:rsidR="00C9398D" w:rsidRPr="004666D3">
        <w:fldChar w:fldCharType="end"/>
      </w:r>
      <w:r w:rsidR="00C9398D" w:rsidRPr="004666D3">
        <w:t xml:space="preserve">. Subsequently, people gradually gathered in the urban centres for work and daily life. </w:t>
      </w:r>
      <w:r w:rsidR="00F41E77" w:rsidRPr="004666D3">
        <w:t xml:space="preserve">The </w:t>
      </w:r>
      <w:r w:rsidR="00442507" w:rsidRPr="004666D3">
        <w:t xml:space="preserve">user count </w:t>
      </w:r>
      <w:r w:rsidR="00F41E77" w:rsidRPr="004666D3">
        <w:t xml:space="preserve">change in </w:t>
      </w:r>
      <w:r w:rsidR="3C5F4F08" w:rsidRPr="004666D3">
        <w:t xml:space="preserve">the </w:t>
      </w:r>
      <w:r w:rsidR="00F41E77" w:rsidRPr="004666D3">
        <w:t xml:space="preserve">night-time reflected the choice of people to move out of the urban centres and into rural areas during the study period. </w:t>
      </w:r>
      <w:r w:rsidR="00541B65" w:rsidRPr="004666D3">
        <w:t>During</w:t>
      </w:r>
      <w:r w:rsidR="00C9398D" w:rsidRPr="004666D3">
        <w:t xml:space="preserve"> the first year of the pandemic in Belgium, people were more inclined to move to the suburbs, where the population increased both day and night in 2020, while the rural night </w:t>
      </w:r>
      <w:r w:rsidR="0054642B" w:rsidRPr="004666D3">
        <w:t xml:space="preserve">user count </w:t>
      </w:r>
      <w:r w:rsidR="00C9398D" w:rsidRPr="004666D3">
        <w:t xml:space="preserve">only rose slightly. Subsequently, more people moved to the countryside after the announcement of the extension of the compulsory work-from-home measure in January 2021 </w:t>
      </w:r>
      <w:r w:rsidR="00C9398D" w:rsidRPr="004666D3">
        <w:fldChar w:fldCharType="begin"/>
      </w:r>
      <w:r w:rsidR="00C9398D" w:rsidRPr="004666D3">
        <w:instrText xml:space="preserve"> ADDIN ZOTERO_ITEM CSL_CITATION {"citationID":"Y9Itx73H","properties":{"formattedCitation":"(FPS, 2022)","plainCitation":"(FPS, 2022)","noteIndex":0},"citationItems":[{"id":5082,"uris":["http://zotero.org/users/9756803/items/NLIW4NT6"],"itemData":{"id":5082,"type":"webpage","abstract":"Opvolging van de evolutie van de epidemie met het nieuwe Coronavirus uit China voor België","language":"en-GB","note":"titleTranslation:\ntitleTranslation:\ntitleTranslation:\ntitleTranslation:\ntitleTranslation:\ntitleTranslation:","title":"Coronavirus COVID-19","URL":"https://www.info-coronavirus.be/en/news/","author":[{"family":"FPS","given":""}],"accessed":{"date-parts":[["2023",5,5]]},"issued":{"date-parts":[["2022"]]}}}],"schema":"https://github.com/citation-style-language/schema/raw/master/csl-citation.json"} </w:instrText>
      </w:r>
      <w:r w:rsidR="00C9398D" w:rsidRPr="004666D3">
        <w:fldChar w:fldCharType="separate"/>
      </w:r>
      <w:r w:rsidR="00AE74BE" w:rsidRPr="004666D3">
        <w:rPr>
          <w:rFonts w:ascii="Calibri" w:hAnsi="Calibri" w:cs="Calibri"/>
        </w:rPr>
        <w:t>(FPS, 2022)</w:t>
      </w:r>
      <w:r w:rsidR="00C9398D" w:rsidRPr="004666D3">
        <w:fldChar w:fldCharType="end"/>
      </w:r>
      <w:r w:rsidR="00C9398D" w:rsidRPr="004666D3">
        <w:t>.</w:t>
      </w:r>
      <w:r w:rsidR="00F12E77" w:rsidRPr="004666D3">
        <w:t xml:space="preserve"> </w:t>
      </w:r>
      <w:proofErr w:type="gramStart"/>
      <w:r w:rsidR="00944AA6" w:rsidRPr="004666D3">
        <w:t xml:space="preserve">As of </w:t>
      </w:r>
      <w:r w:rsidR="00D063D8" w:rsidRPr="004666D3">
        <w:t>yet</w:t>
      </w:r>
      <w:proofErr w:type="gramEnd"/>
      <w:r w:rsidR="00944AA6" w:rsidRPr="004666D3">
        <w:t xml:space="preserve">, no </w:t>
      </w:r>
      <w:r w:rsidR="00C9398D" w:rsidRPr="004666D3">
        <w:t xml:space="preserve">trend of moving back to urban centres has </w:t>
      </w:r>
      <w:r w:rsidR="00944AA6" w:rsidRPr="004666D3">
        <w:t xml:space="preserve">been </w:t>
      </w:r>
      <w:r w:rsidR="00C9398D" w:rsidRPr="004666D3">
        <w:t>o</w:t>
      </w:r>
      <w:r w:rsidR="0445769D" w:rsidRPr="004666D3">
        <w:t>bserved since</w:t>
      </w:r>
      <w:r w:rsidR="00C9398D" w:rsidRPr="004666D3">
        <w:t xml:space="preserve"> the end of the pandemic</w:t>
      </w:r>
      <w:r w:rsidR="00D063D8" w:rsidRPr="004666D3">
        <w:t xml:space="preserve">, </w:t>
      </w:r>
      <w:r w:rsidR="009674D5" w:rsidRPr="004666D3">
        <w:t>particularly in the Walloon regions</w:t>
      </w:r>
      <w:r w:rsidR="0073121C" w:rsidRPr="004666D3">
        <w:t>.</w:t>
      </w:r>
      <w:r w:rsidRPr="004666D3">
        <w:t xml:space="preserve"> </w:t>
      </w:r>
      <w:r w:rsidR="0073121C" w:rsidRPr="004666D3">
        <w:t xml:space="preserve">It appears that </w:t>
      </w:r>
      <w:r w:rsidRPr="004666D3">
        <w:t>t</w:t>
      </w:r>
      <w:r w:rsidR="00C9398D" w:rsidRPr="004666D3">
        <w:t>he</w:t>
      </w:r>
      <w:r w:rsidR="00A50332" w:rsidRPr="004666D3">
        <w:t>se urban-</w:t>
      </w:r>
      <w:r w:rsidR="00424ACD" w:rsidRPr="004666D3">
        <w:t>to-</w:t>
      </w:r>
      <w:r w:rsidR="00A50332" w:rsidRPr="004666D3">
        <w:t xml:space="preserve">rural migrants </w:t>
      </w:r>
      <w:r w:rsidR="00C9398D" w:rsidRPr="004666D3">
        <w:t xml:space="preserve">in Belgium chose to </w:t>
      </w:r>
      <w:r w:rsidR="007C4E97" w:rsidRPr="004666D3">
        <w:t>relocate</w:t>
      </w:r>
      <w:r w:rsidR="00C9398D" w:rsidRPr="004666D3">
        <w:t xml:space="preserve"> </w:t>
      </w:r>
      <w:r w:rsidR="003C45B2" w:rsidRPr="004666D3">
        <w:t xml:space="preserve">to </w:t>
      </w:r>
      <w:r w:rsidR="00C9398D" w:rsidRPr="004666D3">
        <w:t xml:space="preserve">rural areas </w:t>
      </w:r>
      <w:r w:rsidR="00D82D12" w:rsidRPr="004666D3">
        <w:t xml:space="preserve">and </w:t>
      </w:r>
      <w:r w:rsidR="00CF4402" w:rsidRPr="004666D3">
        <w:t xml:space="preserve">seem to </w:t>
      </w:r>
      <w:r w:rsidR="00D82D12" w:rsidRPr="004666D3">
        <w:t>stay th</w:t>
      </w:r>
      <w:r w:rsidR="00B27EF6" w:rsidRPr="004666D3">
        <w:t>ere</w:t>
      </w:r>
      <w:r w:rsidR="00CF4402" w:rsidRPr="004666D3">
        <w:t xml:space="preserve"> after the pandemic</w:t>
      </w:r>
      <w:r w:rsidR="00B27EF6" w:rsidRPr="004666D3">
        <w:t xml:space="preserve">, </w:t>
      </w:r>
      <w:r w:rsidR="00C9398D" w:rsidRPr="004666D3">
        <w:t xml:space="preserve">but </w:t>
      </w:r>
      <w:r w:rsidR="007C4E97" w:rsidRPr="004666D3">
        <w:t>are</w:t>
      </w:r>
      <w:r w:rsidR="00B01704" w:rsidRPr="004666D3">
        <w:t xml:space="preserve"> </w:t>
      </w:r>
      <w:r w:rsidR="00C9398D" w:rsidRPr="004666D3">
        <w:t>still linked to urban centres</w:t>
      </w:r>
      <w:r w:rsidR="2B25DB7F" w:rsidRPr="004666D3">
        <w:t xml:space="preserve"> as evidenced by the more recent decreases in daytime </w:t>
      </w:r>
      <w:r w:rsidR="001062D1" w:rsidRPr="004666D3">
        <w:t xml:space="preserve">rural </w:t>
      </w:r>
      <w:r w:rsidR="2B25DB7F" w:rsidRPr="004666D3">
        <w:t>user counts (and increase</w:t>
      </w:r>
      <w:r w:rsidR="001062D1" w:rsidRPr="004666D3">
        <w:t>s</w:t>
      </w:r>
      <w:r w:rsidR="2B25DB7F" w:rsidRPr="004666D3">
        <w:t xml:space="preserve"> in urban daytime user counts)</w:t>
      </w:r>
      <w:r w:rsidR="00B01704" w:rsidRPr="004666D3">
        <w:t>, most probably</w:t>
      </w:r>
      <w:r w:rsidR="00C9398D" w:rsidRPr="004666D3">
        <w:t xml:space="preserve"> for work or education</w:t>
      </w:r>
      <w:bookmarkEnd w:id="122"/>
      <w:r w:rsidR="00C9398D" w:rsidRPr="004666D3">
        <w:t xml:space="preserve"> </w:t>
      </w:r>
      <w:r w:rsidR="00D03659" w:rsidRPr="004666D3">
        <w:fldChar w:fldCharType="begin"/>
      </w:r>
      <w:r w:rsidR="00D03659" w:rsidRPr="004666D3">
        <w:instrText xml:space="preserve"> ADDIN ZOTERO_ITEM CSL_CITATION {"citationID":"DlPQJhKg","properties":{"formattedCitation":"(Mitchell, 2004)","plainCitation":"(Mitchell, 2004)","noteIndex":0},"citationItems":[{"id":4474,"uris":["http://zotero.org/users/9756803/items/VHYIFQQT"],"itemData":{"id":4474,"type":"article-journal","abstract":"Non-metropolitan population growth has received extensive consideration since it was first observed in the United States nearly 30 years ago. The emergence, weakening and selective reappearance of this phenomenon across much of the developed world has spawned a large body of applied and academic literature. Many terms and phrases have been coined to describe this redistribution of population within the settlement system. The word “counterurbanization” is one that has received on-going attention in the literature. Although its verification, explanation and interpretation have occupied many research agendas, lack of consistency in definition hinders comparability. In this paper, I argue that the word counterurbanization is too broad to cover its depth of meaning. In its place, I propose adoption of three concepts to describe the changing spatial redistribution of population: counterurban, counterurbanizing, and counterurbanization. A framework integrating these concepts is offered, and templates for future study described. This exercise is timely given the recent release of census data.","container-title":"Journal of Rural Studies","DOI":"10.1016/S0743-0167(03)00031-7","ISSN":"0743-0167","issue":"1","journalAbbreviation":"Journal of Rural Studies","language":"en","page":"15-34","source":"ScienceDirect","title":"Making sense of counterurbanization","volume":"20","author":[{"family":"Mitchell","given":"Clare J. A"}],"issued":{"date-parts":[["2004",1,1]]}}}],"schema":"https://github.com/citation-style-language/schema/raw/master/csl-citation.json"} </w:instrText>
      </w:r>
      <w:r w:rsidR="00D03659" w:rsidRPr="004666D3">
        <w:fldChar w:fldCharType="separate"/>
      </w:r>
      <w:r w:rsidR="00AE74BE" w:rsidRPr="004666D3">
        <w:rPr>
          <w:rFonts w:ascii="Calibri" w:hAnsi="Calibri" w:cs="Calibri"/>
        </w:rPr>
        <w:t>(Mitchell, 2004)</w:t>
      </w:r>
      <w:r w:rsidR="00D03659" w:rsidRPr="004666D3">
        <w:fldChar w:fldCharType="end"/>
      </w:r>
      <w:r w:rsidR="00C9398D" w:rsidRPr="004666D3">
        <w:t>.</w:t>
      </w:r>
    </w:p>
    <w:bookmarkEnd w:id="123"/>
    <w:p w14:paraId="0599C237" w14:textId="77777777" w:rsidR="00CF5D4D" w:rsidRPr="004666D3" w:rsidRDefault="00CF5D4D" w:rsidP="00081DF9">
      <w:pPr>
        <w:spacing w:line="240" w:lineRule="auto"/>
        <w:rPr>
          <w:szCs w:val="24"/>
        </w:rPr>
      </w:pPr>
    </w:p>
    <w:p w14:paraId="1A22AE34" w14:textId="2394406C" w:rsidR="00D17D12" w:rsidRPr="004666D3" w:rsidRDefault="00C9398D" w:rsidP="00D17D12">
      <w:pPr>
        <w:rPr>
          <w:szCs w:val="24"/>
        </w:rPr>
      </w:pPr>
      <w:r w:rsidRPr="004666D3">
        <w:rPr>
          <w:szCs w:val="24"/>
        </w:rPr>
        <w:t xml:space="preserve">However, there was no difference in trends during daytime and </w:t>
      </w:r>
      <w:r w:rsidR="008840BB" w:rsidRPr="004666D3">
        <w:rPr>
          <w:szCs w:val="24"/>
        </w:rPr>
        <w:t>night-time</w:t>
      </w:r>
      <w:r w:rsidRPr="004666D3">
        <w:rPr>
          <w:szCs w:val="24"/>
        </w:rPr>
        <w:t xml:space="preserve"> in Thailand (Fig.</w:t>
      </w:r>
      <w:r w:rsidR="001E79D2" w:rsidRPr="004666D3">
        <w:rPr>
          <w:szCs w:val="24"/>
        </w:rPr>
        <w:t xml:space="preserve"> </w:t>
      </w:r>
      <w:r w:rsidR="006A59E4" w:rsidRPr="004666D3">
        <w:rPr>
          <w:szCs w:val="24"/>
        </w:rPr>
        <w:t>6</w:t>
      </w:r>
      <w:r w:rsidRPr="004666D3">
        <w:rPr>
          <w:szCs w:val="24"/>
        </w:rPr>
        <w:t xml:space="preserve">). </w:t>
      </w:r>
      <w:bookmarkStart w:id="124" w:name="OLE_LINK78"/>
      <w:r w:rsidR="00CD01B5" w:rsidRPr="004666D3">
        <w:rPr>
          <w:szCs w:val="24"/>
        </w:rPr>
        <w:t xml:space="preserve">Firstly, </w:t>
      </w:r>
      <w:r w:rsidR="00953907" w:rsidRPr="004666D3">
        <w:rPr>
          <w:szCs w:val="24"/>
        </w:rPr>
        <w:t>the observation that over 80% of urban centre grids show</w:t>
      </w:r>
      <w:r w:rsidR="00E469E7" w:rsidRPr="004666D3">
        <w:rPr>
          <w:szCs w:val="24"/>
        </w:rPr>
        <w:t>ed</w:t>
      </w:r>
      <w:r w:rsidR="00953907" w:rsidRPr="004666D3">
        <w:rPr>
          <w:szCs w:val="24"/>
        </w:rPr>
        <w:t xml:space="preserve"> a widespread decrease suggest</w:t>
      </w:r>
      <w:r w:rsidR="00F770C0" w:rsidRPr="004666D3">
        <w:rPr>
          <w:szCs w:val="24"/>
        </w:rPr>
        <w:t>s</w:t>
      </w:r>
      <w:r w:rsidR="00953907" w:rsidRPr="004666D3">
        <w:rPr>
          <w:szCs w:val="24"/>
        </w:rPr>
        <w:t xml:space="preserve"> it </w:t>
      </w:r>
      <w:r w:rsidR="00E469E7" w:rsidRPr="004666D3">
        <w:rPr>
          <w:szCs w:val="24"/>
        </w:rPr>
        <w:t>was</w:t>
      </w:r>
      <w:r w:rsidR="00953907" w:rsidRPr="004666D3">
        <w:rPr>
          <w:szCs w:val="24"/>
        </w:rPr>
        <w:t xml:space="preserve"> </w:t>
      </w:r>
      <w:r w:rsidR="006C29CE" w:rsidRPr="004666D3">
        <w:rPr>
          <w:szCs w:val="24"/>
        </w:rPr>
        <w:t xml:space="preserve">possibly </w:t>
      </w:r>
      <w:r w:rsidR="00953907" w:rsidRPr="004666D3">
        <w:rPr>
          <w:szCs w:val="24"/>
        </w:rPr>
        <w:t>driven by a strong push factor</w:t>
      </w:r>
      <w:r w:rsidR="00593A3D" w:rsidRPr="004666D3">
        <w:rPr>
          <w:szCs w:val="24"/>
        </w:rPr>
        <w:t xml:space="preserve"> (Fig.</w:t>
      </w:r>
      <w:r w:rsidR="009E0E13" w:rsidRPr="004666D3">
        <w:rPr>
          <w:szCs w:val="24"/>
        </w:rPr>
        <w:t xml:space="preserve"> </w:t>
      </w:r>
      <w:r w:rsidR="00593A3D" w:rsidRPr="004666D3">
        <w:rPr>
          <w:szCs w:val="24"/>
        </w:rPr>
        <w:t>5)</w:t>
      </w:r>
      <w:r w:rsidR="00E81DD7" w:rsidRPr="004666D3">
        <w:rPr>
          <w:szCs w:val="24"/>
        </w:rPr>
        <w:t xml:space="preserve">. </w:t>
      </w:r>
      <w:r w:rsidRPr="004666D3">
        <w:rPr>
          <w:szCs w:val="24"/>
        </w:rPr>
        <w:t>The trend</w:t>
      </w:r>
      <w:r w:rsidR="00775350" w:rsidRPr="004666D3">
        <w:rPr>
          <w:szCs w:val="24"/>
        </w:rPr>
        <w:t>s</w:t>
      </w:r>
      <w:r w:rsidRPr="004666D3">
        <w:rPr>
          <w:szCs w:val="24"/>
        </w:rPr>
        <w:t xml:space="preserve"> of</w:t>
      </w:r>
      <w:r w:rsidR="359167CB" w:rsidRPr="004666D3">
        <w:rPr>
          <w:szCs w:val="24"/>
        </w:rPr>
        <w:t xml:space="preserve"> </w:t>
      </w:r>
      <w:r w:rsidR="002A4E78" w:rsidRPr="004666D3">
        <w:rPr>
          <w:szCs w:val="24"/>
        </w:rPr>
        <w:t xml:space="preserve">a </w:t>
      </w:r>
      <w:r w:rsidR="359167CB" w:rsidRPr="004666D3">
        <w:rPr>
          <w:szCs w:val="24"/>
        </w:rPr>
        <w:t>declining</w:t>
      </w:r>
      <w:r w:rsidRPr="004666D3">
        <w:rPr>
          <w:szCs w:val="24"/>
        </w:rPr>
        <w:t xml:space="preserve"> </w:t>
      </w:r>
      <w:r w:rsidR="009674D5" w:rsidRPr="004666D3">
        <w:rPr>
          <w:szCs w:val="24"/>
        </w:rPr>
        <w:t xml:space="preserve">user count </w:t>
      </w:r>
      <w:r w:rsidRPr="004666D3">
        <w:rPr>
          <w:szCs w:val="24"/>
        </w:rPr>
        <w:t xml:space="preserve">in urban centres and </w:t>
      </w:r>
      <w:r w:rsidR="002A4E78" w:rsidRPr="004666D3">
        <w:rPr>
          <w:szCs w:val="24"/>
        </w:rPr>
        <w:t xml:space="preserve">an </w:t>
      </w:r>
      <w:r w:rsidR="00C02BCA" w:rsidRPr="004666D3">
        <w:rPr>
          <w:szCs w:val="24"/>
        </w:rPr>
        <w:t xml:space="preserve">increasing </w:t>
      </w:r>
      <w:r w:rsidR="00E73F83" w:rsidRPr="004666D3">
        <w:rPr>
          <w:szCs w:val="24"/>
        </w:rPr>
        <w:t xml:space="preserve">count </w:t>
      </w:r>
      <w:r w:rsidRPr="004666D3">
        <w:rPr>
          <w:szCs w:val="24"/>
        </w:rPr>
        <w:t>in rural</w:t>
      </w:r>
      <w:r w:rsidR="44858D3B" w:rsidRPr="004666D3">
        <w:rPr>
          <w:szCs w:val="24"/>
        </w:rPr>
        <w:t xml:space="preserve"> areas</w:t>
      </w:r>
      <w:r w:rsidRPr="004666D3">
        <w:rPr>
          <w:szCs w:val="24"/>
        </w:rPr>
        <w:t xml:space="preserve"> </w:t>
      </w:r>
      <w:r w:rsidR="002C1A9E" w:rsidRPr="004666D3">
        <w:rPr>
          <w:szCs w:val="24"/>
        </w:rPr>
        <w:t xml:space="preserve">are </w:t>
      </w:r>
      <w:r w:rsidR="00F12E77" w:rsidRPr="004666D3">
        <w:rPr>
          <w:szCs w:val="24"/>
        </w:rPr>
        <w:t>likely</w:t>
      </w:r>
      <w:r w:rsidRPr="004666D3">
        <w:rPr>
          <w:szCs w:val="24"/>
        </w:rPr>
        <w:t xml:space="preserve"> due to </w:t>
      </w:r>
      <w:r w:rsidRPr="004666D3">
        <w:rPr>
          <w:szCs w:val="24"/>
        </w:rPr>
        <w:lastRenderedPageBreak/>
        <w:t xml:space="preserve">the economic recession during the pandemic. </w:t>
      </w:r>
      <w:bookmarkEnd w:id="124"/>
      <w:r w:rsidRPr="004666D3">
        <w:rPr>
          <w:szCs w:val="24"/>
        </w:rPr>
        <w:t xml:space="preserve">The pandemic that broke out in early 2020 dealt a heavy blow to tourism in Thailand, which </w:t>
      </w:r>
      <w:r w:rsidR="45484D7C" w:rsidRPr="004666D3">
        <w:rPr>
          <w:szCs w:val="24"/>
        </w:rPr>
        <w:t xml:space="preserve">had </w:t>
      </w:r>
      <w:r w:rsidRPr="004666D3">
        <w:rPr>
          <w:szCs w:val="24"/>
        </w:rPr>
        <w:t xml:space="preserve">contributed 20.3% of the national total gross domestic product and provided 21.8% of total </w:t>
      </w:r>
      <w:r w:rsidR="14EB60D9" w:rsidRPr="004666D3">
        <w:rPr>
          <w:szCs w:val="24"/>
        </w:rPr>
        <w:t xml:space="preserve">employment </w:t>
      </w:r>
      <w:r w:rsidRPr="004666D3">
        <w:rPr>
          <w:szCs w:val="24"/>
        </w:rPr>
        <w:t xml:space="preserve">in 2019 </w:t>
      </w:r>
      <w:r w:rsidRPr="004666D3">
        <w:rPr>
          <w:szCs w:val="24"/>
        </w:rPr>
        <w:fldChar w:fldCharType="begin"/>
      </w:r>
      <w:r w:rsidRPr="004666D3">
        <w:rPr>
          <w:szCs w:val="24"/>
        </w:rPr>
        <w:instrText xml:space="preserve"> ADDIN ZOTERO_ITEM CSL_CITATION {"citationID":"BsLszVjz","properties":{"formattedCitation":"(World Travel and Tourism Council, 2020)","plainCitation":"(World Travel and Tourism Council, 2020)","noteIndex":0},"citationItems":[{"id":4341,"uris":["http://zotero.org/users/9756803/items/DGIVFSLE"],"itemData":{"id":4341,"type":"report","title":"Thailand 2020 Annual Research: Key Insights","URL":"https://wttc.org/research/economic-impact","author":[{"literal":"World Travel and Tourism Council"}],"accessed":{"date-parts":[["2023",3,16]]},"issued":{"date-parts":[["2020"]]}}}],"schema":"https://github.com/citation-style-language/schema/raw/master/csl-citation.json"} </w:instrText>
      </w:r>
      <w:r w:rsidRPr="004666D3">
        <w:rPr>
          <w:szCs w:val="24"/>
        </w:rPr>
        <w:fldChar w:fldCharType="separate"/>
      </w:r>
      <w:r w:rsidR="00AE74BE" w:rsidRPr="004666D3">
        <w:rPr>
          <w:rFonts w:ascii="Calibri" w:hAnsi="Calibri" w:cs="Calibri"/>
        </w:rPr>
        <w:t>(World Travel and Tourism Council, 2020)</w:t>
      </w:r>
      <w:r w:rsidRPr="004666D3">
        <w:rPr>
          <w:szCs w:val="24"/>
        </w:rPr>
        <w:fldChar w:fldCharType="end"/>
      </w:r>
      <w:r w:rsidRPr="004666D3">
        <w:rPr>
          <w:szCs w:val="24"/>
        </w:rPr>
        <w:t xml:space="preserve">. Since March 2020, Thailand’s tourism and related business sectors have contracted, causing millions of workers to face poverty and unemployment each month </w:t>
      </w:r>
      <w:r w:rsidRPr="004666D3">
        <w:rPr>
          <w:szCs w:val="24"/>
        </w:rPr>
        <w:fldChar w:fldCharType="begin"/>
      </w:r>
      <w:r w:rsidRPr="004666D3">
        <w:rPr>
          <w:szCs w:val="24"/>
        </w:rPr>
        <w:instrText xml:space="preserve"> ADDIN ZOTERO_ITEM CSL_CITATION {"citationID":"Yv2JjNAd","properties":{"formattedCitation":"(Parks et al., 2020)","plainCitation":"(Parks et al., 2020)","noteIndex":0},"citationItems":[{"id":4342,"uris":["http://zotero.org/users/9756803/items/J9BPYQLQ"],"itemData":{"id":4342,"type":"article-journal","abstract":"The COVID-19 pandemic is leading to a dramatic rollback of economic progress across Southeast Asia. While the region has managed to contain the spread of the virus better than most others, the economic impact on the region has been devastating. Southeast Asia is highly integrated into the global economy, both with regard to trade, and international travel. Since international travel stopped almost entirely in March 2020, the tourism and business travel sectors have experienced unprecedented contraction. Many small businesses have closed permanently as they cannot survive the economic contractions brought on by COVID-19 lockdowns and travel restrictions. With each passing month, millions more workers workers become at risk of sliding into poverty, including many in the middle class. As the pandemic drags on, temporary job losses have become permanent, and household incomes have plummeted.\n Governments across Southeast Asia have responded with an array of new programs to help the people and small businesses most affected by the pandemic. Many governments have expanded their social protection schemes, or introduced new programs so that they can provide additional income, and temporarily reduce expenses or delay payments by people who have lost their jobs and income. For small businesses, governments have introduced new subsidized loan programs, tax breaks, debt repayment holidays, and incentives for keeping employees on the payroll. These crucial programs will be essential for economic recovery, and the prevention of large-scale increases in poverty and inequality.\n One critical challenge for governments, however, is the lack of timely information on the economic and social impacts of the pandemic. Across Asia, governments have had to make major decisions about COVID-19 economic relief measures with little reliable and up-to date information. As large amounts of public funds are being mobilized to help address the unprecedented crisis, governments must have ground-level data on how small businesses and workers are being affected, and how they are coping. This information is essential so that governments can target their programs to achieve maximum benefit. However, until social distancing restrictions have been lifted, government data collection processes are unlikely to generate these critically needed data. Therefore, collecting data through telephone calls and online platforms is urgently needed.\n To address this need for accurate data on how COVID-19 is disrupting micro and small enterprises, vulnerable workers, the informal economy, and heavily affected sectors, The Asia Foundation (TAF) is conducting a series of national surveys and case studies in six Southeast Asian countries: Cambodia, the Lao Peoples’ Democratic Republic (Lao P.D.R.), Malaysia, Myanmar, Thailand, and Timor-Leste. These surveys and cases studies, which are being conducted with TAF’s local research partners, are largely carried out via telephone calls and Internet platforms. To determine the key survey questions for all six countries, and make them as locally useful as possible, TAF offices in each country have engaged with national government officials and policy-makers. TAF’s local research partners have then finalized and conducted the surveys and case studies, analyzed the data, and collaborated with TAF in writing up the results.","language":"English","note":"Accepted: 2020-10-15T04:57:27Z\npublisher: The Asia Foundation","source":"think-asia.org","title":"Enduring the Pandemic: Surveys of the Impact of COVID-19 on the Livelihoods of Thai People","title-short":"Enduring the Pandemic","URL":"https://think-asia.org/handle/11540/12528","author":[{"family":"Parks","given":"Thomas"},{"family":"Chatsuwan","given":"Matthew"},{"family":"Pillai","given":"Sunil"}],"accessed":{"date-parts":[["2023",3,16]]},"issued":{"date-parts":[["2020",9,15]]}}}],"schema":"https://github.com/citation-style-language/schema/raw/master/csl-citation.json"} </w:instrText>
      </w:r>
      <w:r w:rsidRPr="004666D3">
        <w:rPr>
          <w:szCs w:val="24"/>
        </w:rPr>
        <w:fldChar w:fldCharType="separate"/>
      </w:r>
      <w:r w:rsidR="00AE74BE" w:rsidRPr="004666D3">
        <w:rPr>
          <w:rFonts w:ascii="Calibri" w:hAnsi="Calibri" w:cs="Calibri"/>
        </w:rPr>
        <w:t>(Parks et al., 2020)</w:t>
      </w:r>
      <w:r w:rsidRPr="004666D3">
        <w:rPr>
          <w:szCs w:val="24"/>
        </w:rPr>
        <w:fldChar w:fldCharType="end"/>
      </w:r>
      <w:r w:rsidRPr="004666D3">
        <w:rPr>
          <w:szCs w:val="24"/>
        </w:rPr>
        <w:t xml:space="preserve">. This may be </w:t>
      </w:r>
      <w:r w:rsidR="0091665F" w:rsidRPr="004666D3">
        <w:rPr>
          <w:szCs w:val="24"/>
        </w:rPr>
        <w:t>the</w:t>
      </w:r>
      <w:r w:rsidR="32D29C4C" w:rsidRPr="004666D3">
        <w:rPr>
          <w:szCs w:val="24"/>
        </w:rPr>
        <w:t xml:space="preserve"> contributing factor to a proportion of the population l</w:t>
      </w:r>
      <w:r w:rsidRPr="004666D3">
        <w:rPr>
          <w:szCs w:val="24"/>
        </w:rPr>
        <w:t>eav</w:t>
      </w:r>
      <w:r w:rsidR="398D2A47" w:rsidRPr="004666D3">
        <w:rPr>
          <w:szCs w:val="24"/>
        </w:rPr>
        <w:t>ing</w:t>
      </w:r>
      <w:r w:rsidRPr="004666D3">
        <w:rPr>
          <w:szCs w:val="24"/>
        </w:rPr>
        <w:t xml:space="preserve"> urban centres and return</w:t>
      </w:r>
      <w:r w:rsidR="4E0507A6" w:rsidRPr="004666D3">
        <w:rPr>
          <w:szCs w:val="24"/>
        </w:rPr>
        <w:t>ing</w:t>
      </w:r>
      <w:r w:rsidRPr="004666D3">
        <w:rPr>
          <w:szCs w:val="24"/>
        </w:rPr>
        <w:t xml:space="preserve"> to rural</w:t>
      </w:r>
      <w:r w:rsidR="00B01704" w:rsidRPr="004666D3">
        <w:rPr>
          <w:szCs w:val="24"/>
        </w:rPr>
        <w:t xml:space="preserve"> areas</w:t>
      </w:r>
      <w:r w:rsidRPr="004666D3">
        <w:rPr>
          <w:szCs w:val="24"/>
        </w:rPr>
        <w:t xml:space="preserve">. When the Thai government eased its </w:t>
      </w:r>
      <w:r w:rsidR="00AC48C3" w:rsidRPr="004666D3">
        <w:rPr>
          <w:szCs w:val="24"/>
        </w:rPr>
        <w:t>COVID</w:t>
      </w:r>
      <w:r w:rsidR="009A39AC" w:rsidRPr="004666D3">
        <w:rPr>
          <w:szCs w:val="24"/>
        </w:rPr>
        <w:t>-19</w:t>
      </w:r>
      <w:r w:rsidRPr="004666D3">
        <w:rPr>
          <w:szCs w:val="24"/>
        </w:rPr>
        <w:t xml:space="preserve"> travel restrictions in November 2021 </w:t>
      </w:r>
      <w:r w:rsidRPr="004666D3">
        <w:rPr>
          <w:szCs w:val="24"/>
        </w:rPr>
        <w:fldChar w:fldCharType="begin"/>
      </w:r>
      <w:r w:rsidRPr="004666D3">
        <w:rPr>
          <w:szCs w:val="24"/>
        </w:rPr>
        <w:instrText xml:space="preserve"> ADDIN ZOTERO_ITEM CSL_CITATION {"citationID":"k4xdYjwS","properties":{"formattedCitation":"(dpa, 2021)","plainCitation":"(dpa, 2021)","noteIndex":0},"citationItems":[{"id":5086,"uris":["http://zotero.org/users/9756803/items/NQA5FDXL"],"itemData":{"id":5086,"type":"webpage","note":"titleTranslation:\ntitleTranslation:\ntitleTranslation:\ntitleTranslation:","title":"COVID-19 pandemic - Thailand","URL":"https://global-monitoring.com/gm/page/events/epidemic-0001924.ISKF8fY1q3xs.html?lang=en","author":[{"family":"dpa","given":""}],"accessed":{"date-parts":[["2023",5,5]]},"issued":{"date-parts":[["2021"]]}}}],"schema":"https://github.com/citation-style-language/schema/raw/master/csl-citation.json"} </w:instrText>
      </w:r>
      <w:r w:rsidRPr="004666D3">
        <w:rPr>
          <w:szCs w:val="24"/>
        </w:rPr>
        <w:fldChar w:fldCharType="separate"/>
      </w:r>
      <w:r w:rsidR="00AE74BE" w:rsidRPr="004666D3">
        <w:rPr>
          <w:rFonts w:ascii="Calibri" w:hAnsi="Calibri" w:cs="Calibri"/>
        </w:rPr>
        <w:t>(dpa, 2021)</w:t>
      </w:r>
      <w:r w:rsidRPr="004666D3">
        <w:rPr>
          <w:szCs w:val="24"/>
        </w:rPr>
        <w:fldChar w:fldCharType="end"/>
      </w:r>
      <w:r w:rsidRPr="004666D3">
        <w:rPr>
          <w:szCs w:val="24"/>
        </w:rPr>
        <w:t xml:space="preserve">, the </w:t>
      </w:r>
      <w:r w:rsidR="008F3C18" w:rsidRPr="004666D3">
        <w:rPr>
          <w:szCs w:val="24"/>
        </w:rPr>
        <w:t xml:space="preserve">user count </w:t>
      </w:r>
      <w:r w:rsidRPr="004666D3">
        <w:rPr>
          <w:szCs w:val="24"/>
        </w:rPr>
        <w:t>in urban centres showed an increase</w:t>
      </w:r>
      <w:r w:rsidR="1D4B8D8A" w:rsidRPr="004666D3">
        <w:rPr>
          <w:szCs w:val="24"/>
        </w:rPr>
        <w:t xml:space="preserve"> while</w:t>
      </w:r>
      <w:r w:rsidR="005E3BA7" w:rsidRPr="004666D3">
        <w:rPr>
          <w:szCs w:val="24"/>
        </w:rPr>
        <w:t xml:space="preserve"> </w:t>
      </w:r>
      <w:r w:rsidRPr="004666D3">
        <w:rPr>
          <w:szCs w:val="24"/>
        </w:rPr>
        <w:t xml:space="preserve">a downward trend </w:t>
      </w:r>
      <w:r w:rsidR="4696C654" w:rsidRPr="004666D3">
        <w:rPr>
          <w:szCs w:val="24"/>
        </w:rPr>
        <w:t xml:space="preserve">was observed </w:t>
      </w:r>
      <w:r w:rsidRPr="004666D3">
        <w:rPr>
          <w:szCs w:val="24"/>
        </w:rPr>
        <w:t>in rural areas</w:t>
      </w:r>
      <w:r w:rsidR="00D91597" w:rsidRPr="004666D3">
        <w:rPr>
          <w:szCs w:val="24"/>
        </w:rPr>
        <w:t xml:space="preserve">. </w:t>
      </w:r>
      <w:bookmarkStart w:id="125" w:name="OLE_LINK79"/>
      <w:r w:rsidR="00D17D12" w:rsidRPr="004666D3">
        <w:rPr>
          <w:szCs w:val="24"/>
        </w:rPr>
        <w:t>T</w:t>
      </w:r>
      <w:r w:rsidR="00D17D12" w:rsidRPr="004666D3">
        <w:rPr>
          <w:rFonts w:hint="eastAsia"/>
          <w:szCs w:val="24"/>
        </w:rPr>
        <w:t>his</w:t>
      </w:r>
      <w:r w:rsidR="00D17D12" w:rsidRPr="004666D3">
        <w:rPr>
          <w:szCs w:val="24"/>
        </w:rPr>
        <w:t xml:space="preserve"> trend aligns with observations from </w:t>
      </w:r>
      <w:r w:rsidR="00B10F2E" w:rsidRPr="004666D3">
        <w:rPr>
          <w:szCs w:val="24"/>
        </w:rPr>
        <w:t>previous</w:t>
      </w:r>
      <w:r w:rsidR="00D17D12" w:rsidRPr="004666D3">
        <w:rPr>
          <w:szCs w:val="24"/>
        </w:rPr>
        <w:t xml:space="preserve"> </w:t>
      </w:r>
      <w:r w:rsidR="00DA7B5B" w:rsidRPr="004666D3">
        <w:rPr>
          <w:szCs w:val="24"/>
        </w:rPr>
        <w:t>narratives</w:t>
      </w:r>
      <w:r w:rsidR="00D17D12" w:rsidRPr="004666D3">
        <w:rPr>
          <w:szCs w:val="24"/>
        </w:rPr>
        <w:t xml:space="preserve"> and interviews, where people relocated to rural areas to reduce living expenses and seek support from family networks during an economic recession </w:t>
      </w:r>
      <w:r w:rsidR="00D17D12" w:rsidRPr="004666D3">
        <w:rPr>
          <w:szCs w:val="24"/>
        </w:rPr>
        <w:fldChar w:fldCharType="begin"/>
      </w:r>
      <w:r w:rsidR="00AE74BE" w:rsidRPr="004666D3">
        <w:rPr>
          <w:szCs w:val="24"/>
        </w:rPr>
        <w:instrText xml:space="preserve"> ADDIN ZOTERO_ITEM CSL_CITATION {"citationID":"kLW0XZfZ","properties":{"formattedCitation":"(Gkartzios, 2013; Gkartzios and Scott, 2015; Wang, 2023)","plainCitation":"(Gkartzios, 2013; Gkartzios and Scott, 2015; Wang, 2023)","noteIndex":0},"citationItems":[{"id":5928,"uris":["http://zotero.org/users/9756803/items/G488NCKF"],"itemData":{"id":5928,"type":"article-journal","abstract":"The purpose of this paper is to explore counterurbanisation in times of crisis. While much of the Anglophone literature highlights the consumption of the rural through counterurbanisation as part of a complex mosaic consisting of pro-rural lifestyle choices, class aspirations and ageing processes, the current economic recession that western countries are experiencing might reveal new ways of conceptualising counterurbanisation. The paper draws on in-depth interviews with counter-urban migrants in Greece. The interviews highlight a ‘crisis counterurbanisation’ triggered largely by unemployment at origin, rather than pro-rural motivations and idyllic constructions of rurality. More importantly, the migrants' stories highlight the importance of the extended family in counter-urban movements, in terms of the location of destination and the multiple support offered. This supportive family structure is pronounced in Greece, especially in times of crisis, but can be expected to be comparable to other southern European contexts where the role of family replaces responsibilities of the welfare state.","container-title":"Journal of Rural Studies","DOI":"10.1016/j.jrurstud.2013.06.003","ISSN":"0743-0167","journalAbbreviation":"Journal of Rural Studies","page":"158-167","source":"ScienceDirect","title":"‘Leaving Athens’: Narratives of counterurbanisation in times of crisis","title-short":"‘Leaving Athens’","volume":"32","author":[{"family":"Gkartzios","given":"Menelaos"}],"issued":{"date-parts":[["2013",10,1]]}}},{"id":5888,"uris":["http://zotero.org/users/9756803/items/ALZZ8VYF"],"itemData":{"id":5888,"type":"article-journal","abstract":"In this paper, we explore the link between counterurban mobilities and a potential emergent cultural economy in rural locations, associated with the economic crisis in Greece. Drawing on a quantitative survey of Athenian residents and qualitative interviews with counterurban migrants, we observe that in the context of the economic crisis in Greece, many urban-based households have relocated or seek to relocate to the Greek province, creating perhaps a new paradigm for conceptualising rural mobilities and their associated transformations. In that regard, we observe that counterurban mobilities are linked with changing cultural mobilities and phenomena including a new wave of ideas and creative activities (characterised by voluntarism and collectivism) and a shift in the patterns of cultural consumption. Therefore, we stress the need for a reconceptualising of counterurban mobilities in this context and highlight the need for more research that explores the role of creative expression and activity in times of crisis, particularly in the context of supporting the opportunities that an organically triggered rural cultural economy may offer. Copyright © 2015 John Wiley &amp; Sons, Ltd.","container-title":"Population, Space and Place","DOI":"10.1002/psp.1933","ISSN":"1544-8452","issue":"8","language":"en","license":"Copyright © 2015 John Wiley &amp; Sons, Ltd.","note":"_eprint: https://onlinelibrary.wiley.com/doi/pdf/10.1002/psp.1933","page":"843-855","source":"Wiley Online Library","title":"A Cultural Panic in the Province? Counterurban Mobilities, Creativity, and Crisis in Greece","title-short":"A Cultural Panic in the Province?","volume":"21","author":[{"family":"Gkartzios","given":"Menelaos"},{"family":"Scott","given":"Karen"}],"issued":{"date-parts":[["2015"]]}}},{"id":5897,"uris":["http://zotero.org/users/9756803/items/88UB5WVF"],"itemData":{"id":5897,"type":"article-journal","abstract":"For many years, researchers have focused on counterurbanisation, with a particular emphasis on the ‘representations of rural places’. They have frequently contended that this is a phenomenon mainly expressed by older adults or those from more privileged social backgrounds. However, attention has recently moved away from simply seeing pro-rural migrants as a calculating subject to considering them more as a contextual subject. Concerns have also shifted from ‘rural idyll’ migration to why migrants stay, despite a significant mismatch between representation and reality. While scholarly investigations on rural migration have drawn attention to how inertia is cumulative, insufficient attention has been paid to what newcomers encounter in their everyday lives and how nonhuman entities shape migrants' calculations and recalibrations. This paper draws on recent scholarship on a more-than-representational approach, developing the idea of rural as the site of eventful encounters, or rural eventful atmospheres, to bridge these conceptual and empirical gaps. Through semi-structured in-depth interviews with young pro-rural migrants, this paper suggests that rural places provide opportunities for young people to experience an eventful life where both humans and nonhumans play important roles. These affective experiences can be unexpected and even painful, challenging the romanticised portrayal of more-than-representational rurality. By focusing on the nonrepresentational dimensions of rural life, the paper emphasises the need to pay closer attention to young migrants' sensory and embodied encounters with the diverse rural environment rather than solely relying on their expressions of rurality from a distance.","container-title":"Habitat International","DOI":"10.1016/j.habitatint.2023.102929","ISSN":"0197-3975","journalAbbreviation":"Habitat International","page":"102929","source":"ScienceDirect","title":"Escape to the countryside: Affects and rural eventful atmospheres","title-short":"Escape to the countryside","volume":"140","author":[{"family":"Wang","given":"Chi-Mao"}],"issued":{"date-parts":[["2023",10,1]]}}}],"schema":"https://github.com/citation-style-language/schema/raw/master/csl-citation.json"} </w:instrText>
      </w:r>
      <w:r w:rsidR="00D17D12" w:rsidRPr="004666D3">
        <w:rPr>
          <w:szCs w:val="24"/>
        </w:rPr>
        <w:fldChar w:fldCharType="separate"/>
      </w:r>
      <w:r w:rsidR="00AE74BE" w:rsidRPr="004666D3">
        <w:rPr>
          <w:rFonts w:ascii="Calibri" w:hAnsi="Calibri" w:cs="Calibri"/>
        </w:rPr>
        <w:t>(Gkartzios, 2013; Gkartzios and Scott, 2015; Wang, 2023)</w:t>
      </w:r>
      <w:r w:rsidR="00D17D12" w:rsidRPr="004666D3">
        <w:rPr>
          <w:szCs w:val="24"/>
        </w:rPr>
        <w:fldChar w:fldCharType="end"/>
      </w:r>
      <w:r w:rsidR="00D17D12" w:rsidRPr="004666D3">
        <w:rPr>
          <w:szCs w:val="24"/>
        </w:rPr>
        <w:t xml:space="preserve">. </w:t>
      </w:r>
    </w:p>
    <w:bookmarkEnd w:id="125"/>
    <w:p w14:paraId="6E20FC42" w14:textId="77777777" w:rsidR="00C9398D" w:rsidRPr="004666D3" w:rsidRDefault="00C9398D" w:rsidP="00081DF9">
      <w:pPr>
        <w:spacing w:line="240" w:lineRule="auto"/>
        <w:rPr>
          <w:szCs w:val="24"/>
        </w:rPr>
      </w:pPr>
    </w:p>
    <w:p w14:paraId="7941D3AE" w14:textId="307ABE73" w:rsidR="001637CC" w:rsidRPr="004666D3" w:rsidRDefault="00D03659" w:rsidP="001E7539">
      <w:bookmarkStart w:id="126" w:name="OLE_LINK80"/>
      <w:r w:rsidRPr="004666D3">
        <w:t>We</w:t>
      </w:r>
      <w:r w:rsidR="00C9398D" w:rsidRPr="004666D3">
        <w:t xml:space="preserve"> believe that the counter-urbanisation observed in Thailand </w:t>
      </w:r>
      <w:r w:rsidR="00D34E83" w:rsidRPr="004666D3">
        <w:t>is</w:t>
      </w:r>
      <w:r w:rsidR="00C9398D" w:rsidRPr="004666D3">
        <w:t xml:space="preserve"> more likely </w:t>
      </w:r>
      <w:r w:rsidR="00D34E83" w:rsidRPr="004666D3">
        <w:t xml:space="preserve">a case of </w:t>
      </w:r>
      <w:r w:rsidR="00C9398D" w:rsidRPr="004666D3">
        <w:t>displaced-urbanisation</w:t>
      </w:r>
      <w:r w:rsidR="00594634" w:rsidRPr="004666D3">
        <w:t xml:space="preserve"> during the pandemic</w:t>
      </w:r>
      <w:r w:rsidR="180179D8" w:rsidRPr="004666D3">
        <w:rPr>
          <w:rFonts w:ascii="Calibri" w:hAnsi="Calibri" w:cs="Calibri"/>
        </w:rPr>
        <w:t>, and that</w:t>
      </w:r>
      <w:r w:rsidR="00C9398D" w:rsidRPr="004666D3">
        <w:t xml:space="preserve"> increases in rural population </w:t>
      </w:r>
      <w:r w:rsidR="001C0A9A" w:rsidRPr="004666D3">
        <w:t xml:space="preserve">are </w:t>
      </w:r>
      <w:r w:rsidR="00C9398D" w:rsidRPr="004666D3">
        <w:t xml:space="preserve">due to </w:t>
      </w:r>
      <w:r w:rsidR="00482742" w:rsidRPr="004666D3">
        <w:t xml:space="preserve">unemployment and </w:t>
      </w:r>
      <w:r w:rsidR="00C9398D" w:rsidRPr="004666D3">
        <w:t>economic pressure forcing them to return to rural areas</w:t>
      </w:r>
      <w:bookmarkEnd w:id="126"/>
      <w:r w:rsidR="00D91A96" w:rsidRPr="004666D3">
        <w:t xml:space="preserve"> </w:t>
      </w:r>
      <w:r w:rsidR="00D91A96" w:rsidRPr="004666D3">
        <w:fldChar w:fldCharType="begin"/>
      </w:r>
      <w:r w:rsidR="00594634" w:rsidRPr="004666D3">
        <w:instrText xml:space="preserve"> ADDIN ZOTERO_ITEM CSL_CITATION {"citationID":"7Zjz8P1W","properties":{"formattedCitation":"(Gkartzios, 2013; Mitchell, 2004)","plainCitation":"(Gkartzios, 2013; Mitchell, 2004)","noteIndex":0},"citationItems":[{"id":5928,"uris":["http://zotero.org/users/9756803/items/G488NCKF"],"itemData":{"id":5928,"type":"article-journal","abstract":"The purpose of this paper is to explore counterurbanisation in times of crisis. While much of the Anglophone literature highlights the consumption of the rural through counterurbanisation as part of a complex mosaic consisting of pro-rural lifestyle choices, class aspirations and ageing processes, the current economic recession that western countries are experiencing might reveal new ways of conceptualising counterurbanisation. The paper draws on in-depth interviews with counter-urban migrants in Greece. The interviews highlight a ‘crisis counterurbanisation’ triggered largely by unemployment at origin, rather than pro-rural motivations and idyllic constructions of rurality. More importantly, the migrants' stories highlight the importance of the extended family in counter-urban movements, in terms of the location of destination and the multiple support offered. This supportive family structure is pronounced in Greece, especially in times of crisis, but can be expected to be comparable to other southern European contexts where the role of family replaces responsibilities of the welfare state.","container-title":"Journal of Rural Studies","DOI":"10.1016/j.jrurstud.2013.06.003","ISSN":"0743-0167","journalAbbreviation":"Journal of Rural Studies","page":"158-167","source":"ScienceDirect","title":"‘Leaving Athens’: Narratives of counterurbanisation in times of crisis","title-short":"‘Leaving Athens’","volume":"32","author":[{"family":"Gkartzios","given":"Menelaos"}],"issued":{"date-parts":[["2013",10,1]]}}},{"id":4474,"uris":["http://zotero.org/users/9756803/items/VHYIFQQT"],"itemData":{"id":4474,"type":"article-journal","abstract":"Non-metropolitan population growth has received extensive consideration since it was first observed in the United States nearly 30 years ago. The emergence, weakening and selective reappearance of this phenomenon across much of the developed world has spawned a large body of applied and academic literature. Many terms and phrases have been coined to describe this redistribution of population within the settlement system. The word “counterurbanization” is one that has received on-going attention in the literature. Although its verification, explanation and interpretation have occupied many research agendas, lack of consistency in definition hinders comparability. In this paper, I argue that the word counterurbanization is too broad to cover its depth of meaning. In its place, I propose adoption of three concepts to describe the changing spatial redistribution of population: counterurban, counterurbanizing, and counterurbanization. A framework integrating these concepts is offered, and templates for future study described. This exercise is timely given the recent release of census data.","container-title":"Journal of Rural Studies","DOI":"10.1016/S0743-0167(03)00031-7","ISSN":"0743-0167","issue":"1","journalAbbreviation":"Journal of Rural Studies","language":"en","page":"15-34","source":"ScienceDirect","title":"Making sense of counterurbanization","volume":"20","author":[{"family":"Mitchell","given":"Clare J. A"}],"issued":{"date-parts":[["2004",1,1]]}}}],"schema":"https://github.com/citation-style-language/schema/raw/master/csl-citation.json"} </w:instrText>
      </w:r>
      <w:r w:rsidR="00D91A96" w:rsidRPr="004666D3">
        <w:fldChar w:fldCharType="separate"/>
      </w:r>
      <w:r w:rsidR="00AE74BE" w:rsidRPr="004666D3">
        <w:rPr>
          <w:rFonts w:ascii="Calibri" w:hAnsi="Calibri" w:cs="Calibri"/>
        </w:rPr>
        <w:t>(Gkartzios, 2013; Mitchell, 2004)</w:t>
      </w:r>
      <w:r w:rsidR="00D91A96" w:rsidRPr="004666D3">
        <w:fldChar w:fldCharType="end"/>
      </w:r>
      <w:r w:rsidR="00C9398D" w:rsidRPr="004666D3">
        <w:t>.</w:t>
      </w:r>
      <w:r w:rsidR="00C42110" w:rsidRPr="004666D3">
        <w:t xml:space="preserve"> </w:t>
      </w:r>
      <w:bookmarkStart w:id="127" w:name="OLE_LINK39"/>
      <w:r w:rsidR="00CA3085" w:rsidRPr="004666D3">
        <w:t xml:space="preserve">Data from a phone survey conducted between April 27 and June 15, 2021, which interviewed approximately 2,000 adults and was funded by the World Bank through Gallup Poll, supports this observation. The survey results showed an 8% decrease in employment in urban areas and the capital city. Conversely, employment in rural areas and the northern region presented an 8%, largely attributed to many of </w:t>
      </w:r>
      <w:r w:rsidR="00724DF8" w:rsidRPr="004666D3">
        <w:t xml:space="preserve">the </w:t>
      </w:r>
      <w:r w:rsidR="00CA3085" w:rsidRPr="004666D3">
        <w:t xml:space="preserve">interviewees returning to agriculture after losing their jobs during the pandemic </w:t>
      </w:r>
      <w:bookmarkEnd w:id="127"/>
      <w:r w:rsidR="00CA3085" w:rsidRPr="004666D3">
        <w:fldChar w:fldCharType="begin"/>
      </w:r>
      <w:r w:rsidR="00CA3085" w:rsidRPr="004666D3">
        <w:instrText xml:space="preserve"> ADDIN ZOTERO_ITEM CSL_CITATION {"citationID":"pxrbSTzx","properties":{"formattedCitation":"(World Bank Group, 2021)","plainCitation":"(World Bank Group, 2021)","noteIndex":0},"citationItems":[{"id":5943,"uris":["http://zotero.org/users/9756803/items/HW8CG4GK"],"itemData":{"id":5943,"type":"report","event-place":"Washington, D.C.","publisher-place":"Washington, D.C.","title":"Impact of COVID-19 on Thailand’s Households : Insights from a Rapid Phone Survey (English)","URL":"http://documents.worldbank.org/curated/en/390821633313679563/Impact-of-COVID-19-on-Thailand-s-Households-Insights-from-a-Rapid-Phone-Survey","author":[{"family":"World Bank Group","given":""}],"issued":{"date-parts":[["2021"]]}}}],"schema":"https://github.com/citation-style-language/schema/raw/master/csl-citation.json"} </w:instrText>
      </w:r>
      <w:r w:rsidR="00CA3085" w:rsidRPr="004666D3">
        <w:fldChar w:fldCharType="separate"/>
      </w:r>
      <w:r w:rsidR="00AE74BE" w:rsidRPr="004666D3">
        <w:rPr>
          <w:rFonts w:ascii="Calibri" w:hAnsi="Calibri" w:cs="Calibri"/>
        </w:rPr>
        <w:t>(World Bank Group, 2021)</w:t>
      </w:r>
      <w:r w:rsidR="00CA3085" w:rsidRPr="004666D3">
        <w:fldChar w:fldCharType="end"/>
      </w:r>
      <w:r w:rsidR="00CA3085" w:rsidRPr="004666D3">
        <w:t xml:space="preserve">. </w:t>
      </w:r>
      <w:bookmarkStart w:id="128" w:name="OLE_LINK147"/>
      <w:r w:rsidR="000A68D5" w:rsidRPr="004666D3">
        <w:t>Our findings of rising user count</w:t>
      </w:r>
      <w:r w:rsidR="57B3BBD3" w:rsidRPr="004666D3">
        <w:t>s</w:t>
      </w:r>
      <w:r w:rsidR="000A68D5" w:rsidRPr="004666D3">
        <w:t xml:space="preserve"> in rural areas, </w:t>
      </w:r>
      <w:r w:rsidR="00927204" w:rsidRPr="004666D3">
        <w:t>particularly</w:t>
      </w:r>
      <w:r w:rsidR="000A68D5" w:rsidRPr="004666D3">
        <w:t xml:space="preserve"> in </w:t>
      </w:r>
      <w:r w:rsidR="00927204" w:rsidRPr="004666D3">
        <w:t>area</w:t>
      </w:r>
      <w:r w:rsidR="000A68D5" w:rsidRPr="004666D3">
        <w:t>s with palm plantations, rubber, and paddy rice cultivation</w:t>
      </w:r>
      <w:r w:rsidR="00C91188" w:rsidRPr="004666D3">
        <w:t xml:space="preserve"> (Fig.</w:t>
      </w:r>
      <w:r w:rsidR="006C29CE" w:rsidRPr="004666D3">
        <w:t xml:space="preserve"> </w:t>
      </w:r>
      <w:r w:rsidR="00C91188" w:rsidRPr="004666D3">
        <w:t>5)</w:t>
      </w:r>
      <w:r w:rsidR="000A68D5" w:rsidRPr="004666D3">
        <w:t xml:space="preserve">, further </w:t>
      </w:r>
      <w:r w:rsidR="00F720A7" w:rsidRPr="004666D3">
        <w:t>corroborate this</w:t>
      </w:r>
      <w:r w:rsidR="00927204" w:rsidRPr="004666D3">
        <w:t xml:space="preserve"> </w:t>
      </w:r>
      <w:r w:rsidR="00927204" w:rsidRPr="004666D3">
        <w:lastRenderedPageBreak/>
        <w:t>phenomenon</w:t>
      </w:r>
      <w:r w:rsidR="00F720A7" w:rsidRPr="004666D3">
        <w:t>.</w:t>
      </w:r>
      <w:r w:rsidR="000B6ABE" w:rsidRPr="004666D3">
        <w:t xml:space="preserve"> </w:t>
      </w:r>
      <w:bookmarkEnd w:id="128"/>
      <w:r w:rsidR="00C9398D" w:rsidRPr="004666D3">
        <w:t>This phenomenon may be a temporary result of the pandemic, and the trend of people moving back to urban centres following the easing of travel restrictions has been noted</w:t>
      </w:r>
      <w:r w:rsidR="00BF175C" w:rsidRPr="004666D3">
        <w:t xml:space="preserve"> in </w:t>
      </w:r>
      <w:r w:rsidR="00F12C9C" w:rsidRPr="004666D3">
        <w:t>Fig.</w:t>
      </w:r>
      <w:r w:rsidR="006C29CE" w:rsidRPr="004666D3">
        <w:t xml:space="preserve"> </w:t>
      </w:r>
      <w:r w:rsidR="00F12C9C" w:rsidRPr="004666D3">
        <w:t>6</w:t>
      </w:r>
      <w:r w:rsidR="00C9398D" w:rsidRPr="004666D3">
        <w:t>.</w:t>
      </w:r>
      <w:r w:rsidR="603A8996" w:rsidRPr="004666D3">
        <w:t xml:space="preserve"> </w:t>
      </w:r>
    </w:p>
    <w:p w14:paraId="749A2E43" w14:textId="77777777" w:rsidR="001637CC" w:rsidRPr="004666D3" w:rsidRDefault="001637CC" w:rsidP="00081DF9">
      <w:pPr>
        <w:spacing w:line="240" w:lineRule="auto"/>
        <w:rPr>
          <w:szCs w:val="24"/>
        </w:rPr>
      </w:pPr>
    </w:p>
    <w:p w14:paraId="0256330B" w14:textId="6C9453E7" w:rsidR="004F45D6" w:rsidRPr="004666D3" w:rsidRDefault="0010336F" w:rsidP="001E7539">
      <w:r w:rsidRPr="004666D3">
        <w:t xml:space="preserve">Our study employed quantitative population data to reveal </w:t>
      </w:r>
      <w:r w:rsidR="00E25827" w:rsidRPr="004666D3">
        <w:t>complex</w:t>
      </w:r>
      <w:r w:rsidR="00F1345E" w:rsidRPr="004666D3">
        <w:t xml:space="preserve"> </w:t>
      </w:r>
      <w:r w:rsidRPr="004666D3">
        <w:t>dimensions of counter-urbanisation</w:t>
      </w:r>
      <w:r w:rsidR="0091573C" w:rsidRPr="004666D3">
        <w:t xml:space="preserve"> </w:t>
      </w:r>
      <w:r w:rsidR="461DBAD1" w:rsidRPr="004666D3">
        <w:t xml:space="preserve">– </w:t>
      </w:r>
      <w:r w:rsidR="001A29DC" w:rsidRPr="004666D3">
        <w:t>whether</w:t>
      </w:r>
      <w:r w:rsidR="461DBAD1" w:rsidRPr="004666D3">
        <w:t xml:space="preserve"> new </w:t>
      </w:r>
      <w:r w:rsidR="0091573C" w:rsidRPr="004666D3">
        <w:t>rural residents</w:t>
      </w:r>
      <w:r w:rsidR="461DBAD1" w:rsidRPr="004666D3">
        <w:t xml:space="preserve"> maintain </w:t>
      </w:r>
      <w:r w:rsidRPr="004666D3">
        <w:t xml:space="preserve">links with urban centres by daily commuting, </w:t>
      </w:r>
      <w:r w:rsidR="09EBE953" w:rsidRPr="004666D3">
        <w:t xml:space="preserve">and </w:t>
      </w:r>
      <w:r w:rsidR="001A29DC" w:rsidRPr="004666D3">
        <w:t>whether</w:t>
      </w:r>
      <w:r w:rsidR="09EBE953" w:rsidRPr="004666D3">
        <w:t xml:space="preserve"> migrations have persisted after </w:t>
      </w:r>
      <w:r w:rsidR="0091573C" w:rsidRPr="004666D3">
        <w:t xml:space="preserve">COVID-19 </w:t>
      </w:r>
      <w:r w:rsidR="09EBE953" w:rsidRPr="004666D3">
        <w:t>restrictions were lifted</w:t>
      </w:r>
      <w:r w:rsidRPr="004666D3">
        <w:t>. The aggregated data we used could not account for differences at the individual or household level</w:t>
      </w:r>
      <w:r w:rsidR="00B82CD6" w:rsidRPr="004666D3">
        <w:t xml:space="preserve"> </w:t>
      </w:r>
      <w:r w:rsidR="00B82CD6" w:rsidRPr="004666D3">
        <w:fldChar w:fldCharType="begin"/>
      </w:r>
      <w:r w:rsidR="00B82CD6" w:rsidRPr="004666D3">
        <w:instrText xml:space="preserve"> ADDIN ZOTERO_ITEM CSL_CITATION {"citationID":"5E8N8eap","properties":{"formattedCitation":"(Maas,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00B82CD6" w:rsidRPr="004666D3">
        <w:fldChar w:fldCharType="separate"/>
      </w:r>
      <w:r w:rsidR="00AE74BE" w:rsidRPr="004666D3">
        <w:rPr>
          <w:rFonts w:ascii="Calibri" w:hAnsi="Calibri" w:cs="Calibri"/>
        </w:rPr>
        <w:t>(Maas, 2019)</w:t>
      </w:r>
      <w:r w:rsidR="00B82CD6" w:rsidRPr="004666D3">
        <w:fldChar w:fldCharType="end"/>
      </w:r>
      <w:r w:rsidRPr="004666D3">
        <w:t>. Dialogues or interviews with these urban-rural migrants are still necessary when exploring their diverse counter-urbanisation stories</w:t>
      </w:r>
      <w:r w:rsidR="62B1E9A1" w:rsidRPr="004666D3">
        <w:t xml:space="preserve"> and</w:t>
      </w:r>
      <w:bookmarkStart w:id="129" w:name="OLE_LINK81"/>
      <w:r w:rsidR="46A7548E" w:rsidRPr="004666D3">
        <w:t xml:space="preserve"> truly understand</w:t>
      </w:r>
      <w:r w:rsidR="00431722" w:rsidRPr="004666D3">
        <w:t>ing</w:t>
      </w:r>
      <w:r w:rsidR="46A7548E" w:rsidRPr="004666D3">
        <w:t xml:space="preserve"> the nuanced reasons as to why individuals move</w:t>
      </w:r>
      <w:r w:rsidRPr="004666D3">
        <w:t xml:space="preserve">. </w:t>
      </w:r>
      <w:r w:rsidR="39109A66" w:rsidRPr="004666D3">
        <w:t xml:space="preserve">However, our method enables us to capture key additional </w:t>
      </w:r>
      <w:r w:rsidR="6F1C2C62" w:rsidRPr="004666D3">
        <w:t xml:space="preserve">information over census based methods, and </w:t>
      </w:r>
      <w:r w:rsidR="7FF58E14" w:rsidRPr="004666D3">
        <w:t xml:space="preserve">offers a promising new approach </w:t>
      </w:r>
      <w:bookmarkStart w:id="130" w:name="OLE_LINK82"/>
      <w:bookmarkEnd w:id="129"/>
      <w:r w:rsidR="00CA3C12" w:rsidRPr="004666D3">
        <w:t xml:space="preserve">for more in-depth </w:t>
      </w:r>
      <w:r w:rsidR="2FFC6447" w:rsidRPr="004666D3">
        <w:t xml:space="preserve">large-scale </w:t>
      </w:r>
      <w:r w:rsidR="00CA3C12" w:rsidRPr="004666D3">
        <w:t>studies in the future</w:t>
      </w:r>
      <w:r w:rsidR="006D7E4D" w:rsidRPr="004666D3">
        <w:t xml:space="preserve"> </w:t>
      </w:r>
      <w:r w:rsidR="00F8463F" w:rsidRPr="004666D3">
        <w:fldChar w:fldCharType="begin"/>
      </w:r>
      <w:r w:rsidR="00F8463F" w:rsidRPr="004666D3">
        <w:instrText xml:space="preserve"> ADDIN ZOTERO_ITEM CSL_CITATION {"citationID":"E2jhGTNl","properties":{"formattedCitation":"(Smith, 2007)","plainCitation":"(Smith, 2007)","noteIndex":0},"citationItems":[{"id":5933,"uris":["http://zotero.org/users/9756803/items/PK7CPM7Y"],"itemData":{"id":5933,"type":"article-journal","collection-title":"The Changing Faces of Rural Populations","container-title":"Journal of Rural Studies","DOI":"10.1016/j.jrurstud.2007.03.001","ISSN":"0743-0167","issue":"3","journalAbbreviation":"Journal of Rural Studies","page":"275-282","source":"ScienceDirect","title":"The changing faces of rural populations: ‘“(re) Fixing” the gaze’ or ‘eyes wide shut’?","title-short":"The changing faces of rural populations","volume":"23","author":[{"family":"Smith","given":"Darren"}],"issued":{"date-parts":[["2007",7,1]]}}}],"schema":"https://github.com/citation-style-language/schema/raw/master/csl-citation.json"} </w:instrText>
      </w:r>
      <w:r w:rsidR="00F8463F" w:rsidRPr="004666D3">
        <w:fldChar w:fldCharType="separate"/>
      </w:r>
      <w:r w:rsidR="00AE74BE" w:rsidRPr="004666D3">
        <w:rPr>
          <w:rFonts w:ascii="Calibri" w:hAnsi="Calibri" w:cs="Calibri"/>
        </w:rPr>
        <w:t>(Smith, 2007)</w:t>
      </w:r>
      <w:r w:rsidR="00F8463F" w:rsidRPr="004666D3">
        <w:fldChar w:fldCharType="end"/>
      </w:r>
      <w:r w:rsidRPr="004666D3">
        <w:t>.</w:t>
      </w:r>
      <w:bookmarkEnd w:id="130"/>
    </w:p>
    <w:p w14:paraId="66CE6618" w14:textId="77777777" w:rsidR="00C9398D" w:rsidRPr="004666D3" w:rsidRDefault="00C9398D" w:rsidP="007B4CAB">
      <w:pPr>
        <w:spacing w:line="240" w:lineRule="auto"/>
        <w:rPr>
          <w:b/>
          <w:bCs/>
          <w:szCs w:val="24"/>
        </w:rPr>
      </w:pPr>
    </w:p>
    <w:p w14:paraId="0249EE37" w14:textId="1FE37CFA" w:rsidR="00304C0D" w:rsidRPr="004666D3" w:rsidRDefault="007C0A8A" w:rsidP="001E7539">
      <w:pPr>
        <w:pStyle w:val="mysubtitle"/>
      </w:pPr>
      <w:r w:rsidRPr="004666D3">
        <w:t>4.</w:t>
      </w:r>
      <w:r w:rsidR="00C9398D" w:rsidRPr="004666D3">
        <w:t xml:space="preserve">2 </w:t>
      </w:r>
      <w:r w:rsidR="007630F7" w:rsidRPr="004666D3">
        <w:t xml:space="preserve">The </w:t>
      </w:r>
      <w:r w:rsidR="00692EA5" w:rsidRPr="004666D3">
        <w:t xml:space="preserve">effect </w:t>
      </w:r>
      <w:r w:rsidR="007630F7" w:rsidRPr="004666D3">
        <w:t xml:space="preserve">of </w:t>
      </w:r>
      <w:r w:rsidR="008F14D2" w:rsidRPr="004666D3">
        <w:t>missing data imputation</w:t>
      </w:r>
      <w:r w:rsidR="00501A10" w:rsidRPr="004666D3">
        <w:t xml:space="preserve"> </w:t>
      </w:r>
    </w:p>
    <w:p w14:paraId="027938F2" w14:textId="65B32DE6" w:rsidR="00916D4E" w:rsidRPr="004666D3" w:rsidRDefault="00A21D8C" w:rsidP="005E02A0">
      <w:pPr>
        <w:rPr>
          <w:szCs w:val="24"/>
        </w:rPr>
      </w:pPr>
      <w:r w:rsidRPr="004666D3">
        <w:rPr>
          <w:szCs w:val="24"/>
        </w:rPr>
        <w:t>T</w:t>
      </w:r>
      <w:r w:rsidRPr="004666D3">
        <w:rPr>
          <w:rFonts w:hint="eastAsia"/>
          <w:szCs w:val="24"/>
        </w:rPr>
        <w:t>his</w:t>
      </w:r>
      <w:r w:rsidRPr="004666D3">
        <w:rPr>
          <w:szCs w:val="24"/>
        </w:rPr>
        <w:t xml:space="preserve"> study </w:t>
      </w:r>
      <w:r w:rsidR="000F6D04" w:rsidRPr="004666D3">
        <w:rPr>
          <w:szCs w:val="24"/>
        </w:rPr>
        <w:t xml:space="preserve">proposed a data imputation method to deal with the missing </w:t>
      </w:r>
      <w:r w:rsidR="0029798C" w:rsidRPr="004666D3">
        <w:rPr>
          <w:szCs w:val="24"/>
        </w:rPr>
        <w:t xml:space="preserve">values </w:t>
      </w:r>
      <w:r w:rsidR="000F6D04" w:rsidRPr="004666D3">
        <w:rPr>
          <w:szCs w:val="24"/>
        </w:rPr>
        <w:t xml:space="preserve">of Facebook </w:t>
      </w:r>
      <w:r w:rsidR="003F33BF" w:rsidRPr="004666D3">
        <w:rPr>
          <w:szCs w:val="24"/>
        </w:rPr>
        <w:t xml:space="preserve">user count </w:t>
      </w:r>
      <w:r w:rsidR="000F6D04" w:rsidRPr="004666D3">
        <w:rPr>
          <w:szCs w:val="24"/>
        </w:rPr>
        <w:t>data.</w:t>
      </w:r>
      <w:r w:rsidR="00EE55F3" w:rsidRPr="004666D3">
        <w:rPr>
          <w:szCs w:val="24"/>
        </w:rPr>
        <w:t xml:space="preserve"> </w:t>
      </w:r>
      <w:bookmarkStart w:id="131" w:name="OLE_LINK29"/>
      <w:bookmarkStart w:id="132" w:name="OLE_LINK6"/>
      <w:r w:rsidR="00B6714E" w:rsidRPr="004666D3">
        <w:rPr>
          <w:szCs w:val="24"/>
        </w:rPr>
        <w:t>T</w:t>
      </w:r>
      <w:r w:rsidR="00DE7126" w:rsidRPr="004666D3">
        <w:rPr>
          <w:szCs w:val="24"/>
        </w:rPr>
        <w:t xml:space="preserve">he incorporation of external data from different sources </w:t>
      </w:r>
      <w:r w:rsidR="00B6714E" w:rsidRPr="004666D3">
        <w:rPr>
          <w:szCs w:val="24"/>
        </w:rPr>
        <w:t xml:space="preserve">in the first step (1B) </w:t>
      </w:r>
      <w:r w:rsidR="00DE7126" w:rsidRPr="004666D3">
        <w:rPr>
          <w:szCs w:val="24"/>
        </w:rPr>
        <w:t>was likely to introduce errors</w:t>
      </w:r>
      <w:r w:rsidR="007E6BDF" w:rsidRPr="004666D3">
        <w:rPr>
          <w:szCs w:val="24"/>
        </w:rPr>
        <w:t>,</w:t>
      </w:r>
      <w:r w:rsidR="00DE7126" w:rsidRPr="004666D3">
        <w:rPr>
          <w:szCs w:val="24"/>
        </w:rPr>
        <w:t xml:space="preserve"> </w:t>
      </w:r>
      <w:r w:rsidR="007E6BDF" w:rsidRPr="004666D3">
        <w:rPr>
          <w:szCs w:val="24"/>
        </w:rPr>
        <w:t xml:space="preserve">even </w:t>
      </w:r>
      <w:r w:rsidR="004846B1" w:rsidRPr="004666D3">
        <w:rPr>
          <w:szCs w:val="24"/>
        </w:rPr>
        <w:t>if</w:t>
      </w:r>
      <w:r w:rsidR="00DE7126" w:rsidRPr="004666D3">
        <w:rPr>
          <w:szCs w:val="24"/>
        </w:rPr>
        <w:t xml:space="preserve"> the errors were not as large as those that arose from directly </w:t>
      </w:r>
      <w:r w:rsidR="001F0344" w:rsidRPr="004666D3">
        <w:rPr>
          <w:szCs w:val="24"/>
        </w:rPr>
        <w:t>replacing</w:t>
      </w:r>
      <w:r w:rsidR="00DE7126" w:rsidRPr="004666D3">
        <w:rPr>
          <w:szCs w:val="24"/>
        </w:rPr>
        <w:t xml:space="preserve"> </w:t>
      </w:r>
      <w:r w:rsidR="00A55749" w:rsidRPr="004666D3">
        <w:rPr>
          <w:szCs w:val="24"/>
        </w:rPr>
        <w:t xml:space="preserve">the near real-time </w:t>
      </w:r>
      <w:r w:rsidR="00DE7126" w:rsidRPr="004666D3">
        <w:rPr>
          <w:szCs w:val="24"/>
        </w:rPr>
        <w:t xml:space="preserve">population </w:t>
      </w:r>
      <w:r w:rsidR="001F0344" w:rsidRPr="004666D3">
        <w:rPr>
          <w:szCs w:val="24"/>
        </w:rPr>
        <w:t>number</w:t>
      </w:r>
      <w:r w:rsidR="00666024" w:rsidRPr="004666D3">
        <w:rPr>
          <w:szCs w:val="24"/>
        </w:rPr>
        <w:t>s</w:t>
      </w:r>
      <w:r w:rsidR="00DE7126" w:rsidRPr="004666D3">
        <w:rPr>
          <w:szCs w:val="24"/>
        </w:rPr>
        <w:t xml:space="preserve"> </w:t>
      </w:r>
      <w:r w:rsidR="00A0563D" w:rsidRPr="004666D3">
        <w:rPr>
          <w:szCs w:val="24"/>
        </w:rPr>
        <w:t>with</w:t>
      </w:r>
      <w:r w:rsidR="003E10E7" w:rsidRPr="004666D3">
        <w:rPr>
          <w:szCs w:val="24"/>
        </w:rPr>
        <w:t xml:space="preserve"> </w:t>
      </w:r>
      <w:r w:rsidR="00D8495D" w:rsidRPr="004666D3">
        <w:rPr>
          <w:szCs w:val="24"/>
        </w:rPr>
        <w:t xml:space="preserve">the </w:t>
      </w:r>
      <w:r w:rsidR="003E10E7" w:rsidRPr="004666D3">
        <w:rPr>
          <w:szCs w:val="24"/>
        </w:rPr>
        <w:t xml:space="preserve">static </w:t>
      </w:r>
      <w:r w:rsidR="00A55749" w:rsidRPr="004666D3">
        <w:rPr>
          <w:szCs w:val="24"/>
        </w:rPr>
        <w:t>population dataset</w:t>
      </w:r>
      <w:r w:rsidR="007E6BDF" w:rsidRPr="004666D3">
        <w:rPr>
          <w:szCs w:val="24"/>
        </w:rPr>
        <w:t>.</w:t>
      </w:r>
      <w:bookmarkStart w:id="133" w:name="OLE_LINK11"/>
      <w:bookmarkEnd w:id="131"/>
      <w:bookmarkEnd w:id="132"/>
      <w:r w:rsidR="00D83CCA" w:rsidRPr="004666D3">
        <w:rPr>
          <w:szCs w:val="24"/>
        </w:rPr>
        <w:t xml:space="preserve"> O</w:t>
      </w:r>
      <w:r w:rsidR="00762B9D" w:rsidRPr="004666D3">
        <w:rPr>
          <w:szCs w:val="24"/>
        </w:rPr>
        <w:t xml:space="preserve">ur imputation models </w:t>
      </w:r>
      <w:r w:rsidR="00D83CCA" w:rsidRPr="004666D3">
        <w:rPr>
          <w:szCs w:val="24"/>
        </w:rPr>
        <w:t>appear</w:t>
      </w:r>
      <w:r w:rsidR="00762B9D" w:rsidRPr="004666D3">
        <w:rPr>
          <w:szCs w:val="24"/>
        </w:rPr>
        <w:t xml:space="preserve"> to underestimate </w:t>
      </w:r>
      <w:r w:rsidR="00596CA4" w:rsidRPr="004666D3">
        <w:rPr>
          <w:szCs w:val="24"/>
        </w:rPr>
        <w:t xml:space="preserve">the </w:t>
      </w:r>
      <w:r w:rsidR="00762B9D" w:rsidRPr="004666D3">
        <w:rPr>
          <w:szCs w:val="24"/>
        </w:rPr>
        <w:t xml:space="preserve">population count for sparse tiles (Supplementary </w:t>
      </w:r>
      <w:r w:rsidR="003F33BF" w:rsidRPr="004666D3">
        <w:rPr>
          <w:szCs w:val="24"/>
        </w:rPr>
        <w:t>Fig.</w:t>
      </w:r>
      <w:r w:rsidR="001E79D2" w:rsidRPr="004666D3">
        <w:rPr>
          <w:szCs w:val="24"/>
        </w:rPr>
        <w:t xml:space="preserve"> </w:t>
      </w:r>
      <w:r w:rsidR="003F33BF" w:rsidRPr="004666D3">
        <w:rPr>
          <w:szCs w:val="24"/>
        </w:rPr>
        <w:t>A</w:t>
      </w:r>
      <w:r w:rsidR="004A4DA9" w:rsidRPr="004666D3">
        <w:rPr>
          <w:szCs w:val="24"/>
        </w:rPr>
        <w:t>.</w:t>
      </w:r>
      <w:r w:rsidR="003F33BF" w:rsidRPr="004666D3">
        <w:rPr>
          <w:szCs w:val="24"/>
        </w:rPr>
        <w:t>7</w:t>
      </w:r>
      <w:r w:rsidR="00762B9D" w:rsidRPr="004666D3">
        <w:rPr>
          <w:szCs w:val="24"/>
        </w:rPr>
        <w:t xml:space="preserve">). </w:t>
      </w:r>
      <w:bookmarkStart w:id="134" w:name="OLE_LINK84"/>
      <w:r w:rsidR="0007354A" w:rsidRPr="004666D3">
        <w:rPr>
          <w:szCs w:val="24"/>
        </w:rPr>
        <w:t>Nonetheless</w:t>
      </w:r>
      <w:r w:rsidR="007E5800" w:rsidRPr="004666D3">
        <w:rPr>
          <w:szCs w:val="24"/>
        </w:rPr>
        <w:t xml:space="preserve">, </w:t>
      </w:r>
      <w:r w:rsidR="002250D6" w:rsidRPr="004666D3">
        <w:rPr>
          <w:szCs w:val="24"/>
        </w:rPr>
        <w:t xml:space="preserve">deleting observations to </w:t>
      </w:r>
      <w:r w:rsidR="00287A43" w:rsidRPr="004666D3">
        <w:rPr>
          <w:szCs w:val="24"/>
        </w:rPr>
        <w:t>address</w:t>
      </w:r>
      <w:r w:rsidR="002250D6" w:rsidRPr="004666D3">
        <w:rPr>
          <w:szCs w:val="24"/>
        </w:rPr>
        <w:t xml:space="preserve"> incomplete </w:t>
      </w:r>
      <w:r w:rsidR="00890F72" w:rsidRPr="004666D3">
        <w:rPr>
          <w:szCs w:val="24"/>
        </w:rPr>
        <w:t>records</w:t>
      </w:r>
      <w:r w:rsidR="00010A51" w:rsidRPr="004666D3">
        <w:rPr>
          <w:szCs w:val="24"/>
        </w:rPr>
        <w:t xml:space="preserve"> (</w:t>
      </w:r>
      <w:proofErr w:type="spellStart"/>
      <w:r w:rsidR="00010A51" w:rsidRPr="004666D3">
        <w:rPr>
          <w:szCs w:val="24"/>
        </w:rPr>
        <w:t>Afghari</w:t>
      </w:r>
      <w:proofErr w:type="spellEnd"/>
      <w:r w:rsidR="00010A51" w:rsidRPr="004666D3">
        <w:rPr>
          <w:szCs w:val="24"/>
        </w:rPr>
        <w:t xml:space="preserve"> et al., 2019)</w:t>
      </w:r>
      <w:r w:rsidR="002250D6" w:rsidRPr="004666D3">
        <w:rPr>
          <w:szCs w:val="24"/>
        </w:rPr>
        <w:t xml:space="preserve">, </w:t>
      </w:r>
      <w:r w:rsidR="00AD4EB5" w:rsidRPr="004666D3">
        <w:rPr>
          <w:szCs w:val="24"/>
        </w:rPr>
        <w:t xml:space="preserve">which </w:t>
      </w:r>
      <w:r w:rsidR="00C07DF2" w:rsidRPr="004666D3">
        <w:rPr>
          <w:szCs w:val="24"/>
        </w:rPr>
        <w:t xml:space="preserve">were </w:t>
      </w:r>
      <w:r w:rsidR="004A4DA9" w:rsidRPr="004666D3">
        <w:rPr>
          <w:szCs w:val="24"/>
        </w:rPr>
        <w:t>highly uneven distribution (Supplementary Table</w:t>
      </w:r>
      <w:r w:rsidR="006C29CE" w:rsidRPr="004666D3">
        <w:rPr>
          <w:szCs w:val="24"/>
        </w:rPr>
        <w:t xml:space="preserve"> </w:t>
      </w:r>
      <w:r w:rsidR="004A4DA9" w:rsidRPr="004666D3">
        <w:rPr>
          <w:szCs w:val="24"/>
        </w:rPr>
        <w:t>A.</w:t>
      </w:r>
      <w:r w:rsidR="000D7B0D" w:rsidRPr="004666D3">
        <w:rPr>
          <w:szCs w:val="24"/>
        </w:rPr>
        <w:t>1</w:t>
      </w:r>
      <w:r w:rsidR="004A4DA9" w:rsidRPr="004666D3">
        <w:rPr>
          <w:szCs w:val="24"/>
        </w:rPr>
        <w:t>)</w:t>
      </w:r>
      <w:r w:rsidR="00890F72" w:rsidRPr="004666D3">
        <w:rPr>
          <w:szCs w:val="24"/>
        </w:rPr>
        <w:t xml:space="preserve">, </w:t>
      </w:r>
      <w:r w:rsidR="0031467B" w:rsidRPr="004666D3">
        <w:rPr>
          <w:szCs w:val="24"/>
        </w:rPr>
        <w:t xml:space="preserve">could </w:t>
      </w:r>
      <w:r w:rsidR="00C07DF2" w:rsidRPr="004666D3">
        <w:rPr>
          <w:szCs w:val="24"/>
        </w:rPr>
        <w:t>lead</w:t>
      </w:r>
      <w:r w:rsidR="000A6B32" w:rsidRPr="004666D3">
        <w:rPr>
          <w:szCs w:val="24"/>
        </w:rPr>
        <w:t xml:space="preserve"> to</w:t>
      </w:r>
      <w:r w:rsidR="00E33791" w:rsidRPr="004666D3">
        <w:rPr>
          <w:szCs w:val="24"/>
        </w:rPr>
        <w:t xml:space="preserve"> biased results</w:t>
      </w:r>
      <w:bookmarkEnd w:id="133"/>
      <w:bookmarkEnd w:id="134"/>
      <w:r w:rsidR="006D1136" w:rsidRPr="004666D3">
        <w:rPr>
          <w:szCs w:val="24"/>
        </w:rPr>
        <w:t xml:space="preserve">. </w:t>
      </w:r>
      <w:r w:rsidR="00455ADB" w:rsidRPr="004666D3">
        <w:rPr>
          <w:szCs w:val="24"/>
        </w:rPr>
        <w:t>After</w:t>
      </w:r>
      <w:r w:rsidR="00216594" w:rsidRPr="004666D3">
        <w:rPr>
          <w:szCs w:val="24"/>
        </w:rPr>
        <w:t xml:space="preserve"> </w:t>
      </w:r>
      <w:r w:rsidR="00745975" w:rsidRPr="004666D3">
        <w:rPr>
          <w:szCs w:val="24"/>
        </w:rPr>
        <w:t xml:space="preserve">testing the imputation method using tiles between </w:t>
      </w:r>
      <w:r w:rsidR="00745975" w:rsidRPr="004666D3">
        <w:rPr>
          <w:szCs w:val="24"/>
        </w:rPr>
        <w:lastRenderedPageBreak/>
        <w:t xml:space="preserve">10 and 20 </w:t>
      </w:r>
      <w:r w:rsidR="00AE17D6" w:rsidRPr="004666D3">
        <w:rPr>
          <w:szCs w:val="24"/>
        </w:rPr>
        <w:t>baselines</w:t>
      </w:r>
      <w:r w:rsidR="006533B1" w:rsidRPr="004666D3">
        <w:rPr>
          <w:szCs w:val="24"/>
        </w:rPr>
        <w:t xml:space="preserve">, we believe that Facebook </w:t>
      </w:r>
      <w:r w:rsidR="00AE17D6" w:rsidRPr="004666D3">
        <w:rPr>
          <w:szCs w:val="24"/>
        </w:rPr>
        <w:t xml:space="preserve">user count </w:t>
      </w:r>
      <w:r w:rsidR="006533B1" w:rsidRPr="004666D3">
        <w:rPr>
          <w:szCs w:val="24"/>
        </w:rPr>
        <w:t xml:space="preserve">data </w:t>
      </w:r>
      <w:r w:rsidR="00395D85" w:rsidRPr="004666D3">
        <w:rPr>
          <w:szCs w:val="24"/>
        </w:rPr>
        <w:t xml:space="preserve">after data imputation </w:t>
      </w:r>
      <w:r w:rsidR="006533B1" w:rsidRPr="004666D3">
        <w:rPr>
          <w:szCs w:val="24"/>
        </w:rPr>
        <w:t>is a reasonable proxy variable for population</w:t>
      </w:r>
      <w:r w:rsidR="006A447A" w:rsidRPr="004666D3">
        <w:rPr>
          <w:szCs w:val="24"/>
        </w:rPr>
        <w:t>.</w:t>
      </w:r>
      <w:r w:rsidR="00BC2C86" w:rsidRPr="004666D3">
        <w:rPr>
          <w:szCs w:val="24"/>
        </w:rPr>
        <w:t xml:space="preserve"> </w:t>
      </w:r>
    </w:p>
    <w:p w14:paraId="3EB1BAE4" w14:textId="77777777" w:rsidR="00536E5F" w:rsidRPr="004666D3" w:rsidRDefault="00536E5F" w:rsidP="00E514D2">
      <w:pPr>
        <w:spacing w:line="240" w:lineRule="auto"/>
        <w:rPr>
          <w:szCs w:val="24"/>
        </w:rPr>
      </w:pPr>
    </w:p>
    <w:p w14:paraId="799F0B29" w14:textId="3E195073" w:rsidR="00E53BD0" w:rsidRPr="004666D3" w:rsidRDefault="00120106" w:rsidP="001E7539">
      <w:pPr>
        <w:pStyle w:val="mysubtitle"/>
      </w:pPr>
      <w:r w:rsidRPr="004666D3">
        <w:t xml:space="preserve">4.3 </w:t>
      </w:r>
      <w:r w:rsidR="006B582B" w:rsidRPr="004666D3">
        <w:t>Limitations</w:t>
      </w:r>
    </w:p>
    <w:p w14:paraId="00610C05" w14:textId="22F7E93F" w:rsidR="00CD21E9" w:rsidRPr="004666D3" w:rsidRDefault="00810C4B">
      <w:pPr>
        <w:rPr>
          <w:szCs w:val="24"/>
        </w:rPr>
      </w:pPr>
      <w:r w:rsidRPr="004666D3">
        <w:rPr>
          <w:szCs w:val="24"/>
        </w:rPr>
        <w:t xml:space="preserve">In addition to </w:t>
      </w:r>
      <w:r w:rsidR="00A51C19" w:rsidRPr="004666D3">
        <w:rPr>
          <w:szCs w:val="24"/>
        </w:rPr>
        <w:t xml:space="preserve">uncertainties introduced in the process of </w:t>
      </w:r>
      <w:r w:rsidR="008B2FBF" w:rsidRPr="004666D3">
        <w:rPr>
          <w:szCs w:val="24"/>
        </w:rPr>
        <w:t>data imputation</w:t>
      </w:r>
      <w:r w:rsidR="00174BA2" w:rsidRPr="004666D3">
        <w:rPr>
          <w:szCs w:val="24"/>
        </w:rPr>
        <w:t xml:space="preserve"> mentioned above</w:t>
      </w:r>
      <w:r w:rsidR="00E97BB3" w:rsidRPr="004666D3">
        <w:rPr>
          <w:szCs w:val="24"/>
        </w:rPr>
        <w:t xml:space="preserve">, </w:t>
      </w:r>
      <w:r w:rsidR="00174BA2" w:rsidRPr="004666D3">
        <w:rPr>
          <w:szCs w:val="24"/>
        </w:rPr>
        <w:t>the</w:t>
      </w:r>
      <w:r w:rsidR="0001240E" w:rsidRPr="004666D3">
        <w:rPr>
          <w:szCs w:val="24"/>
        </w:rPr>
        <w:t xml:space="preserve">re </w:t>
      </w:r>
      <w:r w:rsidR="00F7296C" w:rsidRPr="004666D3">
        <w:rPr>
          <w:szCs w:val="24"/>
        </w:rPr>
        <w:t>were</w:t>
      </w:r>
      <w:r w:rsidR="00174BA2" w:rsidRPr="004666D3">
        <w:rPr>
          <w:szCs w:val="24"/>
        </w:rPr>
        <w:t xml:space="preserve"> other </w:t>
      </w:r>
      <w:r w:rsidR="00343270" w:rsidRPr="004666D3">
        <w:rPr>
          <w:szCs w:val="24"/>
        </w:rPr>
        <w:t>limitation</w:t>
      </w:r>
      <w:r w:rsidR="00F06C4A" w:rsidRPr="004666D3">
        <w:rPr>
          <w:szCs w:val="24"/>
        </w:rPr>
        <w:t>s</w:t>
      </w:r>
      <w:r w:rsidR="00343270" w:rsidRPr="004666D3">
        <w:rPr>
          <w:szCs w:val="24"/>
        </w:rPr>
        <w:t xml:space="preserve"> </w:t>
      </w:r>
      <w:r w:rsidR="00556BC7" w:rsidRPr="004666D3">
        <w:rPr>
          <w:szCs w:val="24"/>
        </w:rPr>
        <w:t>of</w:t>
      </w:r>
      <w:r w:rsidR="00343270" w:rsidRPr="004666D3">
        <w:rPr>
          <w:szCs w:val="24"/>
        </w:rPr>
        <w:t xml:space="preserve"> this study </w:t>
      </w:r>
      <w:r w:rsidR="00212FBC" w:rsidRPr="004666D3">
        <w:rPr>
          <w:szCs w:val="24"/>
        </w:rPr>
        <w:t>result</w:t>
      </w:r>
      <w:r w:rsidR="55FC228C" w:rsidRPr="004666D3">
        <w:rPr>
          <w:szCs w:val="24"/>
        </w:rPr>
        <w:t xml:space="preserve">ing </w:t>
      </w:r>
      <w:r w:rsidR="00212FBC" w:rsidRPr="004666D3">
        <w:rPr>
          <w:szCs w:val="24"/>
        </w:rPr>
        <w:t xml:space="preserve">from the </w:t>
      </w:r>
      <w:r w:rsidR="0028186A" w:rsidRPr="004666D3">
        <w:rPr>
          <w:szCs w:val="24"/>
        </w:rPr>
        <w:t>potential</w:t>
      </w:r>
      <w:r w:rsidR="00212FBC" w:rsidRPr="004666D3">
        <w:rPr>
          <w:szCs w:val="24"/>
        </w:rPr>
        <w:t xml:space="preserve"> bias</w:t>
      </w:r>
      <w:r w:rsidR="00093041" w:rsidRPr="004666D3">
        <w:rPr>
          <w:szCs w:val="24"/>
        </w:rPr>
        <w:t xml:space="preserve"> of Facebook </w:t>
      </w:r>
      <w:r w:rsidR="00D355BD" w:rsidRPr="004666D3">
        <w:rPr>
          <w:szCs w:val="24"/>
        </w:rPr>
        <w:t xml:space="preserve">user count </w:t>
      </w:r>
      <w:r w:rsidR="00093041" w:rsidRPr="004666D3">
        <w:rPr>
          <w:szCs w:val="24"/>
        </w:rPr>
        <w:t xml:space="preserve">data. </w:t>
      </w:r>
      <w:r w:rsidR="00E2741C" w:rsidRPr="004666D3">
        <w:rPr>
          <w:szCs w:val="24"/>
        </w:rPr>
        <w:t xml:space="preserve">It should </w:t>
      </w:r>
      <w:r w:rsidR="00BF242C" w:rsidRPr="004666D3">
        <w:rPr>
          <w:szCs w:val="24"/>
        </w:rPr>
        <w:t xml:space="preserve">be </w:t>
      </w:r>
      <w:r w:rsidR="008B2FBF" w:rsidRPr="004666D3">
        <w:rPr>
          <w:szCs w:val="24"/>
        </w:rPr>
        <w:t xml:space="preserve">emphasised </w:t>
      </w:r>
      <w:r w:rsidR="00BF242C" w:rsidRPr="004666D3">
        <w:rPr>
          <w:szCs w:val="24"/>
        </w:rPr>
        <w:t xml:space="preserve">again </w:t>
      </w:r>
      <w:r w:rsidR="009F3BDB" w:rsidRPr="004666D3">
        <w:rPr>
          <w:szCs w:val="24"/>
        </w:rPr>
        <w:t xml:space="preserve">that the Facebook data in this study </w:t>
      </w:r>
      <w:r w:rsidR="00FE199C" w:rsidRPr="004666D3">
        <w:rPr>
          <w:szCs w:val="24"/>
        </w:rPr>
        <w:t>refer</w:t>
      </w:r>
      <w:r w:rsidR="008F76F6" w:rsidRPr="004666D3">
        <w:rPr>
          <w:szCs w:val="24"/>
        </w:rPr>
        <w:t>s</w:t>
      </w:r>
      <w:r w:rsidR="00FE199C" w:rsidRPr="004666D3">
        <w:rPr>
          <w:szCs w:val="24"/>
        </w:rPr>
        <w:t xml:space="preserve"> to</w:t>
      </w:r>
      <w:r w:rsidR="009F3BDB" w:rsidRPr="004666D3">
        <w:rPr>
          <w:szCs w:val="24"/>
        </w:rPr>
        <w:t xml:space="preserve"> </w:t>
      </w:r>
      <w:r w:rsidR="00624356" w:rsidRPr="004666D3">
        <w:rPr>
          <w:szCs w:val="24"/>
        </w:rPr>
        <w:t xml:space="preserve">Facebook users </w:t>
      </w:r>
      <w:r w:rsidR="000C1E30" w:rsidRPr="004666D3">
        <w:rPr>
          <w:szCs w:val="24"/>
        </w:rPr>
        <w:t xml:space="preserve">who have agreed </w:t>
      </w:r>
      <w:r w:rsidR="00FE199C" w:rsidRPr="004666D3">
        <w:rPr>
          <w:szCs w:val="24"/>
        </w:rPr>
        <w:t>to location services</w:t>
      </w:r>
      <w:r w:rsidR="00C235C6" w:rsidRPr="004666D3">
        <w:rPr>
          <w:szCs w:val="24"/>
        </w:rPr>
        <w:t xml:space="preserve"> </w:t>
      </w:r>
      <w:r w:rsidR="62AB4FFA" w:rsidRPr="004666D3">
        <w:rPr>
          <w:szCs w:val="24"/>
        </w:rPr>
        <w:t xml:space="preserve">being enabled </w:t>
      </w:r>
      <w:r w:rsidR="00FE199C" w:rsidRPr="004666D3">
        <w:rPr>
          <w:szCs w:val="24"/>
        </w:rPr>
        <w:t xml:space="preserve">and </w:t>
      </w:r>
      <w:r w:rsidR="4CBF1DDD" w:rsidRPr="004666D3">
        <w:rPr>
          <w:szCs w:val="24"/>
        </w:rPr>
        <w:t>therefore may not be</w:t>
      </w:r>
      <w:r w:rsidR="00206F29" w:rsidRPr="004666D3">
        <w:rPr>
          <w:szCs w:val="24"/>
        </w:rPr>
        <w:t xml:space="preserve"> </w:t>
      </w:r>
      <w:r w:rsidR="00FE199C" w:rsidRPr="004666D3">
        <w:rPr>
          <w:szCs w:val="24"/>
        </w:rPr>
        <w:t>represent</w:t>
      </w:r>
      <w:r w:rsidR="57EE3264" w:rsidRPr="004666D3">
        <w:rPr>
          <w:szCs w:val="24"/>
        </w:rPr>
        <w:t>ative of the</w:t>
      </w:r>
      <w:r w:rsidR="00FE199C" w:rsidRPr="004666D3">
        <w:rPr>
          <w:szCs w:val="24"/>
        </w:rPr>
        <w:t xml:space="preserve"> </w:t>
      </w:r>
      <w:r w:rsidR="00BE79B0" w:rsidRPr="004666D3">
        <w:rPr>
          <w:szCs w:val="24"/>
        </w:rPr>
        <w:t xml:space="preserve">dynamics </w:t>
      </w:r>
      <w:r w:rsidR="00FE199C" w:rsidRPr="004666D3">
        <w:rPr>
          <w:szCs w:val="24"/>
        </w:rPr>
        <w:t xml:space="preserve">of </w:t>
      </w:r>
      <w:r w:rsidR="00C235C6" w:rsidRPr="004666D3">
        <w:rPr>
          <w:szCs w:val="24"/>
        </w:rPr>
        <w:t xml:space="preserve">the </w:t>
      </w:r>
      <w:r w:rsidR="00FE199C" w:rsidRPr="004666D3">
        <w:rPr>
          <w:szCs w:val="24"/>
        </w:rPr>
        <w:t xml:space="preserve">total population. </w:t>
      </w:r>
      <w:r w:rsidR="00422BEB" w:rsidRPr="004666D3">
        <w:rPr>
          <w:szCs w:val="24"/>
        </w:rPr>
        <w:t>R</w:t>
      </w:r>
      <w:r w:rsidR="00681687" w:rsidRPr="004666D3">
        <w:rPr>
          <w:szCs w:val="24"/>
        </w:rPr>
        <w:t xml:space="preserve">esults </w:t>
      </w:r>
      <w:r w:rsidR="00574E9E" w:rsidRPr="004666D3">
        <w:rPr>
          <w:szCs w:val="24"/>
        </w:rPr>
        <w:t xml:space="preserve">for each country </w:t>
      </w:r>
      <w:r w:rsidR="00681687" w:rsidRPr="004666D3">
        <w:rPr>
          <w:szCs w:val="24"/>
        </w:rPr>
        <w:t xml:space="preserve">may </w:t>
      </w:r>
      <w:r w:rsidR="00F813AC" w:rsidRPr="004666D3">
        <w:rPr>
          <w:szCs w:val="24"/>
        </w:rPr>
        <w:t>be influenced</w:t>
      </w:r>
      <w:r w:rsidR="00681687" w:rsidRPr="004666D3">
        <w:rPr>
          <w:szCs w:val="24"/>
        </w:rPr>
        <w:t xml:space="preserve"> by</w:t>
      </w:r>
      <w:r w:rsidR="007A664C" w:rsidRPr="004666D3">
        <w:rPr>
          <w:szCs w:val="24"/>
        </w:rPr>
        <w:t xml:space="preserve"> smart mobile device </w:t>
      </w:r>
      <w:r w:rsidR="00FF5EE7" w:rsidRPr="004666D3">
        <w:rPr>
          <w:szCs w:val="24"/>
        </w:rPr>
        <w:t>penetration</w:t>
      </w:r>
      <w:r w:rsidR="007A664C" w:rsidRPr="004666D3">
        <w:rPr>
          <w:szCs w:val="24"/>
        </w:rPr>
        <w:t xml:space="preserve">, </w:t>
      </w:r>
      <w:r w:rsidR="0095256D" w:rsidRPr="004666D3">
        <w:rPr>
          <w:szCs w:val="24"/>
        </w:rPr>
        <w:t xml:space="preserve">Facebook app usage, and the </w:t>
      </w:r>
      <w:r w:rsidR="00B3286A" w:rsidRPr="004666D3">
        <w:rPr>
          <w:szCs w:val="24"/>
        </w:rPr>
        <w:t>use</w:t>
      </w:r>
      <w:r w:rsidR="0095256D" w:rsidRPr="004666D3">
        <w:rPr>
          <w:szCs w:val="24"/>
        </w:rPr>
        <w:t xml:space="preserve"> of </w:t>
      </w:r>
      <w:r w:rsidR="00B3286A" w:rsidRPr="004666D3">
        <w:rPr>
          <w:szCs w:val="24"/>
        </w:rPr>
        <w:t>location services</w:t>
      </w:r>
      <w:r w:rsidR="009C1D09" w:rsidRPr="004666D3">
        <w:rPr>
          <w:szCs w:val="24"/>
        </w:rPr>
        <w:t xml:space="preserve"> </w:t>
      </w:r>
      <w:r w:rsidRPr="004666D3">
        <w:rPr>
          <w:szCs w:val="24"/>
        </w:rPr>
        <w:fldChar w:fldCharType="begin"/>
      </w:r>
      <w:r w:rsidRPr="004666D3">
        <w:rPr>
          <w:szCs w:val="24"/>
        </w:rPr>
        <w:instrText xml:space="preserve"> ADDIN ZOTERO_ITEM CSL_CITATION {"citationID":"vmDp7QjC","properties":{"formattedCitation":"(Maas, 2019; Shepherd et al., 2021)","plainCitation":"(Maas, 2019; Shepherd et al., 2021)","noteIndex":0},"citationItems":[{"id":4119,"uris":["http://zotero.org/users/9756803/items/7ZCD2HWZ"],"itemData":{"id":4119,"type":"paper-conference","abstract":"After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id":1403,"uris":["http://zotero.org/users/9756803/items/9Y9F66EZ"],"itemData":{"id":1403,"type":"article-journal","abstract":"Since early March 2020, the COVID-19 epidemic across the United Kingdom has led to a range of social distancing policies, which resulted in changes to mobility across different regions. An understanding of how these policies impacted travel patterns over time and at different spatial scales is important for designing effective strategies, future pandemic planning and in providing broader insights on the population geography of the country. Crowd level data on mobile phone usage can be used as a proxy for population mobility patterns and provide a way of quantifying in near-real time the impact of social distancing measures on changes in mobility.","container-title":"International Journal of Health Geographics","DOI":"10.1186/s12942-021-00299-5","ISSN":"1476-072X","issue":"1","journalAbbreviation":"International Journal of Health Geographics","page":"46","source":"BioMed Central","title":"Domestic and international mobility trends in the United Kingdom during the COVID-19 pandemic: an analysis of facebook data","title-short":"Domestic and international mobility trends in the United Kingdom during the COVID-19 pandemic","volume":"20","author":[{"family":"Shepherd","given":"Harry E. R."},{"family":"Atherden","given":"Florence S."},{"family":"Chan","given":"Ho Man Theophilus"},{"family":"Loveridge","given":"Alexandra"},{"family":"Tatem","given":"Andrew J."}],"issued":{"date-parts":[["2021",12,4]]}}}],"schema":"https://github.com/citation-style-language/schema/raw/master/csl-citation.json"} </w:instrText>
      </w:r>
      <w:r w:rsidRPr="004666D3">
        <w:rPr>
          <w:szCs w:val="24"/>
        </w:rPr>
        <w:fldChar w:fldCharType="separate"/>
      </w:r>
      <w:r w:rsidR="00AE74BE" w:rsidRPr="004666D3">
        <w:rPr>
          <w:rFonts w:ascii="Calibri" w:hAnsi="Calibri" w:cs="Calibri"/>
        </w:rPr>
        <w:t>(Maas, 2019; Shepherd et al., 2021)</w:t>
      </w:r>
      <w:r w:rsidRPr="004666D3">
        <w:rPr>
          <w:szCs w:val="24"/>
        </w:rPr>
        <w:fldChar w:fldCharType="end"/>
      </w:r>
      <w:r w:rsidR="00574E9E" w:rsidRPr="004666D3">
        <w:rPr>
          <w:szCs w:val="24"/>
        </w:rPr>
        <w:t>.</w:t>
      </w:r>
      <w:r w:rsidR="00716511" w:rsidRPr="004666D3">
        <w:rPr>
          <w:szCs w:val="24"/>
        </w:rPr>
        <w:t xml:space="preserve"> </w:t>
      </w:r>
      <w:r w:rsidR="008D0280" w:rsidRPr="004666D3">
        <w:rPr>
          <w:szCs w:val="24"/>
        </w:rPr>
        <w:t xml:space="preserve">For example, </w:t>
      </w:r>
      <w:r w:rsidR="00BF5EF3" w:rsidRPr="004666D3">
        <w:rPr>
          <w:szCs w:val="24"/>
        </w:rPr>
        <w:t xml:space="preserve">the </w:t>
      </w:r>
      <w:r w:rsidR="001314BD" w:rsidRPr="004666D3">
        <w:rPr>
          <w:szCs w:val="24"/>
        </w:rPr>
        <w:t xml:space="preserve">coverage of Facebook users </w:t>
      </w:r>
      <w:r w:rsidR="00B63C95" w:rsidRPr="004666D3">
        <w:rPr>
          <w:szCs w:val="24"/>
        </w:rPr>
        <w:t>in</w:t>
      </w:r>
      <w:r w:rsidR="001314BD" w:rsidRPr="004666D3">
        <w:rPr>
          <w:szCs w:val="24"/>
        </w:rPr>
        <w:t xml:space="preserve"> Belgium was around </w:t>
      </w:r>
      <w:r w:rsidR="00166ED5" w:rsidRPr="004666D3">
        <w:rPr>
          <w:szCs w:val="24"/>
        </w:rPr>
        <w:t>54</w:t>
      </w:r>
      <w:r w:rsidR="00DB609A" w:rsidRPr="004666D3">
        <w:rPr>
          <w:szCs w:val="24"/>
        </w:rPr>
        <w:t xml:space="preserve">% at the end of </w:t>
      </w:r>
      <w:r w:rsidR="00920695" w:rsidRPr="004666D3">
        <w:rPr>
          <w:szCs w:val="24"/>
        </w:rPr>
        <w:t xml:space="preserve">2020, while </w:t>
      </w:r>
      <w:r w:rsidR="72803505" w:rsidRPr="004666D3">
        <w:rPr>
          <w:szCs w:val="24"/>
        </w:rPr>
        <w:t xml:space="preserve">in </w:t>
      </w:r>
      <w:r w:rsidR="005D7424" w:rsidRPr="004666D3">
        <w:rPr>
          <w:szCs w:val="24"/>
        </w:rPr>
        <w:t>Thailand</w:t>
      </w:r>
      <w:r w:rsidR="23FA5089" w:rsidRPr="004666D3">
        <w:rPr>
          <w:szCs w:val="24"/>
        </w:rPr>
        <w:t xml:space="preserve"> it was approximately </w:t>
      </w:r>
      <w:r w:rsidR="00B91F15" w:rsidRPr="004666D3">
        <w:rPr>
          <w:szCs w:val="24"/>
        </w:rPr>
        <w:t>67</w:t>
      </w:r>
      <w:r w:rsidR="23FA5089" w:rsidRPr="004666D3">
        <w:rPr>
          <w:szCs w:val="24"/>
        </w:rPr>
        <w:t>%</w:t>
      </w:r>
      <w:r w:rsidR="00A22A0F" w:rsidRPr="004666D3">
        <w:rPr>
          <w:szCs w:val="24"/>
        </w:rPr>
        <w:t xml:space="preserve"> </w:t>
      </w:r>
      <w:r w:rsidRPr="004666D3">
        <w:rPr>
          <w:szCs w:val="24"/>
        </w:rPr>
        <w:fldChar w:fldCharType="begin"/>
      </w:r>
      <w:r w:rsidRPr="004666D3">
        <w:rPr>
          <w:szCs w:val="24"/>
        </w:rPr>
        <w:instrText xml:space="preserve"> ADDIN ZOTERO_ITEM CSL_CITATION {"citationID":"pu6Qzr2w","properties":{"formattedCitation":"(World Population Review, 2023)","plainCitation":"(World Population Review, 2023)","noteIndex":0},"citationItems":[{"id":4372,"uris":["http://zotero.org/users/9756803/items/E6G8UIRE"],"itemData":{"id":4372,"type":"webpage","title":"Facebook Users by Country 2023","URL":"https://worldpopulationreview.com/country-rankings/facebook-users-by-country","author":[{"literal":"World Population Review"}],"accessed":{"date-parts":[["2023",3,17]]},"issued":{"date-parts":[["2023"]]}}}],"schema":"https://github.com/citation-style-language/schema/raw/master/csl-citation.json"} </w:instrText>
      </w:r>
      <w:r w:rsidRPr="004666D3">
        <w:rPr>
          <w:szCs w:val="24"/>
        </w:rPr>
        <w:fldChar w:fldCharType="separate"/>
      </w:r>
      <w:r w:rsidR="00AE74BE" w:rsidRPr="004666D3">
        <w:rPr>
          <w:rFonts w:ascii="Calibri" w:hAnsi="Calibri" w:cs="Calibri"/>
        </w:rPr>
        <w:t>(World Population Review, 2023)</w:t>
      </w:r>
      <w:r w:rsidRPr="004666D3">
        <w:rPr>
          <w:szCs w:val="24"/>
        </w:rPr>
        <w:fldChar w:fldCharType="end"/>
      </w:r>
      <w:r w:rsidR="493B7343" w:rsidRPr="004666D3">
        <w:rPr>
          <w:rFonts w:ascii="Calibri" w:hAnsi="Calibri" w:cs="Calibri"/>
          <w:szCs w:val="24"/>
        </w:rPr>
        <w:t xml:space="preserve">. </w:t>
      </w:r>
      <w:r w:rsidR="5DB350A2" w:rsidRPr="004666D3">
        <w:rPr>
          <w:szCs w:val="24"/>
        </w:rPr>
        <w:t>This suggests</w:t>
      </w:r>
      <w:r w:rsidR="00A02DB8" w:rsidRPr="004666D3">
        <w:rPr>
          <w:szCs w:val="24"/>
        </w:rPr>
        <w:t xml:space="preserve"> </w:t>
      </w:r>
      <w:r w:rsidR="546A87CA" w:rsidRPr="004666D3">
        <w:rPr>
          <w:szCs w:val="24"/>
        </w:rPr>
        <w:t xml:space="preserve">that </w:t>
      </w:r>
      <w:r w:rsidR="6E7967B6" w:rsidRPr="004666D3">
        <w:rPr>
          <w:szCs w:val="24"/>
        </w:rPr>
        <w:t>any</w:t>
      </w:r>
      <w:r w:rsidR="00A92303" w:rsidRPr="004666D3">
        <w:rPr>
          <w:szCs w:val="24"/>
        </w:rPr>
        <w:t xml:space="preserve"> potential bias </w:t>
      </w:r>
      <w:r w:rsidR="00634290" w:rsidRPr="004666D3">
        <w:rPr>
          <w:szCs w:val="24"/>
        </w:rPr>
        <w:t xml:space="preserve">in the analysis of population dynamics </w:t>
      </w:r>
      <w:r w:rsidR="0052635F" w:rsidRPr="004666D3">
        <w:rPr>
          <w:szCs w:val="24"/>
        </w:rPr>
        <w:t xml:space="preserve">of Thailand </w:t>
      </w:r>
      <w:r w:rsidR="00634290" w:rsidRPr="004666D3">
        <w:rPr>
          <w:szCs w:val="24"/>
        </w:rPr>
        <w:t xml:space="preserve">inferred from Facebook </w:t>
      </w:r>
      <w:r w:rsidR="003E5ED0" w:rsidRPr="004666D3">
        <w:rPr>
          <w:szCs w:val="24"/>
        </w:rPr>
        <w:t xml:space="preserve">users </w:t>
      </w:r>
      <w:r w:rsidR="00E327B2" w:rsidRPr="004666D3">
        <w:rPr>
          <w:szCs w:val="24"/>
        </w:rPr>
        <w:t xml:space="preserve">may </w:t>
      </w:r>
      <w:r w:rsidR="00184EC1" w:rsidRPr="004666D3">
        <w:rPr>
          <w:szCs w:val="24"/>
        </w:rPr>
        <w:t xml:space="preserve">be </w:t>
      </w:r>
      <w:r w:rsidR="00E327B2" w:rsidRPr="004666D3">
        <w:rPr>
          <w:szCs w:val="24"/>
        </w:rPr>
        <w:t xml:space="preserve">lower than that of Belgium. </w:t>
      </w:r>
      <w:r w:rsidR="000579C0" w:rsidRPr="004666D3">
        <w:rPr>
          <w:szCs w:val="24"/>
        </w:rPr>
        <w:t xml:space="preserve">However, </w:t>
      </w:r>
      <w:r w:rsidR="0013243B" w:rsidRPr="004666D3">
        <w:rPr>
          <w:szCs w:val="24"/>
        </w:rPr>
        <w:t xml:space="preserve">these biases </w:t>
      </w:r>
      <w:r w:rsidR="004A14F8" w:rsidRPr="004666D3">
        <w:rPr>
          <w:szCs w:val="24"/>
        </w:rPr>
        <w:t>are not expected to</w:t>
      </w:r>
      <w:r w:rsidR="00FB6AD6" w:rsidRPr="004666D3">
        <w:rPr>
          <w:szCs w:val="24"/>
        </w:rPr>
        <w:t xml:space="preserve"> </w:t>
      </w:r>
      <w:r w:rsidR="009A53FC" w:rsidRPr="004666D3">
        <w:rPr>
          <w:szCs w:val="24"/>
        </w:rPr>
        <w:t>affect</w:t>
      </w:r>
      <w:r w:rsidR="00FB6AD6" w:rsidRPr="004666D3">
        <w:rPr>
          <w:szCs w:val="24"/>
        </w:rPr>
        <w:t xml:space="preserve"> the conclusions, </w:t>
      </w:r>
      <w:r w:rsidR="00B85124" w:rsidRPr="004666D3">
        <w:rPr>
          <w:szCs w:val="24"/>
        </w:rPr>
        <w:t xml:space="preserve">as </w:t>
      </w:r>
      <w:r w:rsidR="00652B06" w:rsidRPr="004666D3">
        <w:rPr>
          <w:szCs w:val="24"/>
        </w:rPr>
        <w:t xml:space="preserve">Facebook users are usually </w:t>
      </w:r>
      <w:r w:rsidR="00EE1686" w:rsidRPr="004666D3">
        <w:rPr>
          <w:szCs w:val="24"/>
        </w:rPr>
        <w:t xml:space="preserve">skewed towards young and middle-aged groups, </w:t>
      </w:r>
      <w:r w:rsidR="00985298" w:rsidRPr="004666D3">
        <w:rPr>
          <w:szCs w:val="24"/>
        </w:rPr>
        <w:t>those with high intensity of mobility</w:t>
      </w:r>
      <w:r w:rsidR="00E96F59" w:rsidRPr="004666D3">
        <w:rPr>
          <w:szCs w:val="24"/>
        </w:rPr>
        <w:t xml:space="preserve"> </w:t>
      </w:r>
      <w:r w:rsidRPr="004666D3">
        <w:rPr>
          <w:szCs w:val="24"/>
        </w:rPr>
        <w:fldChar w:fldCharType="begin"/>
      </w:r>
      <w:r w:rsidR="0065364B" w:rsidRPr="004666D3">
        <w:rPr>
          <w:szCs w:val="24"/>
        </w:rPr>
        <w:instrText xml:space="preserve"> ADDIN ZOTERO_ITEM CSL_CITATION {"citationID":"QG02R0v3","properties":{"formattedCitation":"(Rowe et al., 2023b)","plainCitation":"(Rowe et al., 2023b)","noteIndex":0},"citationItems":[{"id":4492,"uris":["http://zotero.org/users/9756803/items/VU5ATCRQ"],"itemData":{"id":4492,"type":"article-journal","abstract":"Existing empirical work has focused on assessing the effectiveness of nonpharmaceutical interventions on human mobility to contain the spread of COVID-19. Less is known about the ways in which the COVID-19 pandemic has reshaped the spatial patterns of population movement within countries. Anecdotal evidence of an urban exodus from large cities to rural areas emerged during early phases of the pandemic across western societies. Yet, these claims have not been empirically assessed. Traditional data sources, such as censuses offer coarse temporal frequency to analyse population movement over infrequent time intervals. Drawing on a data set of 21 million observations from Meta-Facebook users, we aim to analyse the extent and evolution of changes in the spatial patterns of population movement across the rural–urban continuum in Britain over an 18-month period from March 2020 to August 2021. Our findings show an overall and sustained decline in population movement during periods of high stringency measures, with the most densely populated areas reporting the largest reductions. During these periods, we also find evidence of higher-than-average mobility from high-density population areas to low-density areas, lending some support to claims of large-scale population movements from large cities. Yet, we show that these trends were temporary. Overall mobility levels trended back to precoronavirus levels after the easing of nonpharmaceutical interventions. Following these interventions, we found a reduction in movement to low-density areas and a rise in mobility to high-density agglomerations. Overall, these findings reveal that while COVID-19 generated shock waves leading to temporary changes in the patterns of population movement in Britain, the resulting vibrations have not significantly reshaped the prevalent structures in the national pattern of population movement. As of 2021, internal population movements sit at an intermediate level between those observed pre- and early phases of the pandemic.","container-title":"Population, Space and Place","DOI":"10.1002/psp.2637","ISSN":"1544-8452","issue":"1","language":"en","note":"_eprint: https://onlinelibrary.wiley.com/doi/pdf/10.1002/psp.2637","page":"e2637","source":"Wiley Online Library","title":"Urban exodus? Understanding human mobility in Britain during the COVID-19 pandemic using Meta-Facebook data","title-short":"Urban exodus?","volume":"29","author":[{"family":"Rowe","given":"Francisco"},{"family":"Calafiore","given":"Alessia"},{"family":"Arribas-Bel","given":"Daniel"},{"family":"Samardzhiev","given":"Krasen"},{"family":"Fleischmann","given":"Martin"}],"issued":{"date-parts":[["2023"]]}}}],"schema":"https://github.com/citation-style-language/schema/raw/master/csl-citation.json"} </w:instrText>
      </w:r>
      <w:r w:rsidRPr="004666D3">
        <w:rPr>
          <w:szCs w:val="24"/>
        </w:rPr>
        <w:fldChar w:fldCharType="separate"/>
      </w:r>
      <w:r w:rsidR="0065364B" w:rsidRPr="004666D3">
        <w:rPr>
          <w:rFonts w:ascii="Calibri" w:hAnsi="Calibri" w:cs="Calibri"/>
        </w:rPr>
        <w:t>(Rowe et al., 2023b)</w:t>
      </w:r>
      <w:r w:rsidRPr="004666D3">
        <w:rPr>
          <w:szCs w:val="24"/>
        </w:rPr>
        <w:fldChar w:fldCharType="end"/>
      </w:r>
      <w:r w:rsidR="00985298" w:rsidRPr="004666D3">
        <w:rPr>
          <w:szCs w:val="24"/>
        </w:rPr>
        <w:t xml:space="preserve">. </w:t>
      </w:r>
      <w:r w:rsidR="004D3A38" w:rsidRPr="004666D3">
        <w:rPr>
          <w:szCs w:val="24"/>
        </w:rPr>
        <w:t xml:space="preserve">A recent study </w:t>
      </w:r>
      <w:r w:rsidR="2300889E" w:rsidRPr="004666D3">
        <w:rPr>
          <w:szCs w:val="24"/>
        </w:rPr>
        <w:t xml:space="preserve">from </w:t>
      </w:r>
      <w:r w:rsidR="00B63C95" w:rsidRPr="004666D3">
        <w:rPr>
          <w:szCs w:val="24"/>
        </w:rPr>
        <w:t xml:space="preserve">the </w:t>
      </w:r>
      <w:r w:rsidR="00E636BB" w:rsidRPr="004666D3">
        <w:rPr>
          <w:szCs w:val="24"/>
        </w:rPr>
        <w:t>U</w:t>
      </w:r>
      <w:r w:rsidR="58382E95" w:rsidRPr="004666D3">
        <w:rPr>
          <w:szCs w:val="24"/>
        </w:rPr>
        <w:t xml:space="preserve">nited </w:t>
      </w:r>
      <w:r w:rsidR="00E636BB" w:rsidRPr="004666D3">
        <w:rPr>
          <w:szCs w:val="24"/>
        </w:rPr>
        <w:t>K</w:t>
      </w:r>
      <w:r w:rsidR="5C704722" w:rsidRPr="004666D3">
        <w:rPr>
          <w:szCs w:val="24"/>
        </w:rPr>
        <w:t>ingdom</w:t>
      </w:r>
      <w:r w:rsidR="00E636BB" w:rsidRPr="004666D3">
        <w:rPr>
          <w:szCs w:val="24"/>
        </w:rPr>
        <w:t xml:space="preserve"> showed </w:t>
      </w:r>
      <w:r w:rsidR="00B63C95" w:rsidRPr="004666D3">
        <w:rPr>
          <w:szCs w:val="24"/>
        </w:rPr>
        <w:t xml:space="preserve">that </w:t>
      </w:r>
      <w:r w:rsidR="00E636BB" w:rsidRPr="004666D3">
        <w:rPr>
          <w:szCs w:val="24"/>
        </w:rPr>
        <w:t xml:space="preserve">Facebook </w:t>
      </w:r>
      <w:r w:rsidR="006E1B6E" w:rsidRPr="004666D3">
        <w:rPr>
          <w:szCs w:val="24"/>
        </w:rPr>
        <w:t xml:space="preserve">users </w:t>
      </w:r>
      <w:r w:rsidR="000D4BA7" w:rsidRPr="004666D3">
        <w:rPr>
          <w:szCs w:val="24"/>
        </w:rPr>
        <w:t>w</w:t>
      </w:r>
      <w:r w:rsidR="00124DC1" w:rsidRPr="004666D3">
        <w:rPr>
          <w:szCs w:val="24"/>
        </w:rPr>
        <w:t>ere</w:t>
      </w:r>
      <w:r w:rsidR="000D4BA7" w:rsidRPr="004666D3">
        <w:rPr>
          <w:szCs w:val="24"/>
        </w:rPr>
        <w:t xml:space="preserve"> highly related </w:t>
      </w:r>
      <w:r w:rsidR="00124DC1" w:rsidRPr="004666D3">
        <w:rPr>
          <w:szCs w:val="24"/>
        </w:rPr>
        <w:t>to</w:t>
      </w:r>
      <w:r w:rsidR="000D4BA7" w:rsidRPr="004666D3">
        <w:rPr>
          <w:szCs w:val="24"/>
        </w:rPr>
        <w:t xml:space="preserve"> census data and also </w:t>
      </w:r>
      <w:r w:rsidR="004731B5" w:rsidRPr="004666D3">
        <w:rPr>
          <w:szCs w:val="24"/>
        </w:rPr>
        <w:t xml:space="preserve">exhibited </w:t>
      </w:r>
      <w:r w:rsidR="001C16C8" w:rsidRPr="004666D3">
        <w:rPr>
          <w:szCs w:val="24"/>
        </w:rPr>
        <w:t xml:space="preserve">no strong relationships between the distribution of Facebook users and </w:t>
      </w:r>
      <w:r w:rsidR="00DC0EED" w:rsidRPr="004666D3">
        <w:rPr>
          <w:szCs w:val="24"/>
        </w:rPr>
        <w:t>age, ethnicity and population density</w:t>
      </w:r>
      <w:r w:rsidR="00A7450B" w:rsidRPr="004666D3">
        <w:rPr>
          <w:szCs w:val="24"/>
        </w:rPr>
        <w:t xml:space="preserve"> </w:t>
      </w:r>
      <w:r w:rsidRPr="004666D3">
        <w:rPr>
          <w:szCs w:val="24"/>
        </w:rPr>
        <w:fldChar w:fldCharType="begin"/>
      </w:r>
      <w:r w:rsidRPr="004666D3">
        <w:rPr>
          <w:szCs w:val="24"/>
        </w:rPr>
        <w:instrText xml:space="preserve"> ADDIN ZOTERO_ITEM CSL_CITATION {"citationID":"W8Ny1WGX","properties":{"formattedCitation":"(Gibbs et al., 2021)","plainCitation":"(Gibbs et al., 2021)","noteIndex":0},"citationItems":[{"id":4370,"uris":["http://zotero.org/users/9756803/items/55G7IW6V"],"itemData":{"id":4370,"type":"article-journal","abstract":"On March 23 2020, the UK enacted an intensive, nationwide lockdown to mitigate transmission of COVID-19. As restrictions began to ease, more localized interventions were used to target resurgences in transmission. Understanding the spatial scale of networks of human interaction, and how these networks change over time, is critical to targeting interventions at the most at-risk areas without unnecessarily restricting areas at low risk of resurgence. We use detailed human mobility data aggregated from Facebook users to determine how the spatially-explicit network of movements changed before and during the lockdown period, in response to the easing of restrictions, and to the introduction of locally-targeted interventions. We also apply community detection techniques to the weighted, directed network of movements to identify geographically-explicit movement communities and measure the evolution of these community structures through time. We found that the mobility network became more sparse and the number of mobility communities decreased under the national lockdown, a change that disproportionately affected long distance connections central to the mobility network. We also found that the community structure of areas in which locally-targeted interventions were implemented following epidemic resurgence did not show reorganization of community structure but did show small decreases in indicators of travel outside of local areas. We propose that communities detected using Facebook or other mobility data be used to assess the impact of spatially-targeted restrictions and may inform policymakers about the spatial extent of human movement patterns in the UK. These data are available in near real-time, allowing quantification of changes in the distribution of the population across the UK, as well as changes in travel patterns to inform our understanding of the impact of geographically-targeted interventions.","container-title":"PLOS Computational Biology","DOI":"10.1371/journal.pcbi.1009162","ISSN":"1553-7358","issue":"7","journalAbbreviation":"PLOS Computational Biology","language":"en","note":"publisher: Public Library of Science","page":"e1009162","source":"PLoS Journals","title":"Detecting behavioural changes in human movement to inform the spatial scale of interventions against COVID-19","volume":"17","author":[{"family":"Gibbs","given":"Hamish"},{"family":"Nightingale","given":"Emily"},{"family":"Liu","given":"Yang"},{"family":"Cheshire","given":"James"},{"family":"Danon","given":"Leon"},{"family":"Smeeth","given":"Liam"},{"family":"Pearson","given":"Carl A. B."},{"family":"Grundy","given":"Chris"},{"family":"Group","given":"LSHTM CMMID COVID-19","dropping-particle":"working"},{"family":"Kucharski","given":"Adam J."},{"family":"Eggo","given":"Rosalind M."}],"issued":{"date-parts":[["2021",7,12]]}}}],"schema":"https://github.com/citation-style-language/schema/raw/master/csl-citation.json"} </w:instrText>
      </w:r>
      <w:r w:rsidRPr="004666D3">
        <w:rPr>
          <w:szCs w:val="24"/>
        </w:rPr>
        <w:fldChar w:fldCharType="separate"/>
      </w:r>
      <w:r w:rsidR="00AE74BE" w:rsidRPr="004666D3">
        <w:rPr>
          <w:rFonts w:ascii="Calibri" w:hAnsi="Calibri" w:cs="Calibri"/>
        </w:rPr>
        <w:t>(Gibbs et al., 2021)</w:t>
      </w:r>
      <w:r w:rsidRPr="004666D3">
        <w:rPr>
          <w:szCs w:val="24"/>
        </w:rPr>
        <w:fldChar w:fldCharType="end"/>
      </w:r>
      <w:r w:rsidR="00DC0EED" w:rsidRPr="004666D3">
        <w:rPr>
          <w:szCs w:val="24"/>
        </w:rPr>
        <w:t xml:space="preserve">. </w:t>
      </w:r>
      <w:r w:rsidR="00261837" w:rsidRPr="004666D3">
        <w:rPr>
          <w:szCs w:val="24"/>
        </w:rPr>
        <w:t xml:space="preserve">In </w:t>
      </w:r>
      <w:r w:rsidR="00943E58" w:rsidRPr="004666D3">
        <w:rPr>
          <w:szCs w:val="24"/>
        </w:rPr>
        <w:t>addition</w:t>
      </w:r>
      <w:r w:rsidR="00B61CD1" w:rsidRPr="004666D3">
        <w:rPr>
          <w:szCs w:val="24"/>
        </w:rPr>
        <w:t>,</w:t>
      </w:r>
      <w:r w:rsidR="00F27023" w:rsidRPr="004666D3">
        <w:rPr>
          <w:szCs w:val="24"/>
        </w:rPr>
        <w:t xml:space="preserve"> </w:t>
      </w:r>
      <w:r w:rsidR="00A65F2C" w:rsidRPr="004666D3">
        <w:rPr>
          <w:szCs w:val="24"/>
        </w:rPr>
        <w:t xml:space="preserve">the </w:t>
      </w:r>
      <w:r w:rsidR="00A558A8" w:rsidRPr="004666D3">
        <w:rPr>
          <w:szCs w:val="24"/>
        </w:rPr>
        <w:t xml:space="preserve">consistency between the inflection </w:t>
      </w:r>
      <w:r w:rsidR="006C29CE" w:rsidRPr="004666D3">
        <w:rPr>
          <w:szCs w:val="24"/>
        </w:rPr>
        <w:t>points</w:t>
      </w:r>
      <w:r w:rsidR="00A558A8" w:rsidRPr="004666D3">
        <w:rPr>
          <w:szCs w:val="24"/>
        </w:rPr>
        <w:t xml:space="preserve"> of </w:t>
      </w:r>
      <w:r w:rsidR="00D355BD" w:rsidRPr="004666D3">
        <w:rPr>
          <w:szCs w:val="24"/>
        </w:rPr>
        <w:t>user count</w:t>
      </w:r>
      <w:r w:rsidR="00A558A8" w:rsidRPr="004666D3">
        <w:rPr>
          <w:szCs w:val="24"/>
        </w:rPr>
        <w:t xml:space="preserve"> trends and the strictness of </w:t>
      </w:r>
      <w:r w:rsidR="00AC48C3" w:rsidRPr="004666D3">
        <w:rPr>
          <w:szCs w:val="24"/>
        </w:rPr>
        <w:t>COVID</w:t>
      </w:r>
      <w:r w:rsidR="001738E6" w:rsidRPr="004666D3">
        <w:rPr>
          <w:szCs w:val="24"/>
        </w:rPr>
        <w:t xml:space="preserve">-19 </w:t>
      </w:r>
      <w:r w:rsidR="00CE52AC" w:rsidRPr="004666D3">
        <w:rPr>
          <w:szCs w:val="24"/>
        </w:rPr>
        <w:t xml:space="preserve">restrictions </w:t>
      </w:r>
      <w:r w:rsidR="00667F1D" w:rsidRPr="004666D3">
        <w:rPr>
          <w:szCs w:val="24"/>
        </w:rPr>
        <w:t xml:space="preserve">as </w:t>
      </w:r>
      <w:r w:rsidR="00A558A8" w:rsidRPr="004666D3">
        <w:rPr>
          <w:szCs w:val="24"/>
        </w:rPr>
        <w:t>illustrated in Fig</w:t>
      </w:r>
      <w:r w:rsidR="00C970DF" w:rsidRPr="004666D3">
        <w:rPr>
          <w:szCs w:val="24"/>
        </w:rPr>
        <w:t>.</w:t>
      </w:r>
      <w:r w:rsidR="006C29CE" w:rsidRPr="004666D3">
        <w:rPr>
          <w:szCs w:val="24"/>
        </w:rPr>
        <w:t xml:space="preserve"> </w:t>
      </w:r>
      <w:r w:rsidR="00D355BD" w:rsidRPr="004666D3">
        <w:rPr>
          <w:szCs w:val="24"/>
        </w:rPr>
        <w:t xml:space="preserve">3 </w:t>
      </w:r>
      <w:r w:rsidR="006E7B1A" w:rsidRPr="004666D3">
        <w:rPr>
          <w:szCs w:val="24"/>
        </w:rPr>
        <w:t>&amp;</w:t>
      </w:r>
      <w:r w:rsidR="00A558A8" w:rsidRPr="004666D3">
        <w:rPr>
          <w:szCs w:val="24"/>
        </w:rPr>
        <w:t xml:space="preserve"> </w:t>
      </w:r>
      <w:r w:rsidR="00C970DF" w:rsidRPr="004666D3">
        <w:rPr>
          <w:szCs w:val="24"/>
        </w:rPr>
        <w:t>Fig.</w:t>
      </w:r>
      <w:r w:rsidR="006C29CE" w:rsidRPr="004666D3">
        <w:rPr>
          <w:szCs w:val="24"/>
        </w:rPr>
        <w:t xml:space="preserve"> </w:t>
      </w:r>
      <w:r w:rsidR="008E4274" w:rsidRPr="004666D3">
        <w:rPr>
          <w:szCs w:val="24"/>
        </w:rPr>
        <w:t>6</w:t>
      </w:r>
      <w:r w:rsidR="0011374A" w:rsidRPr="004666D3">
        <w:rPr>
          <w:szCs w:val="24"/>
        </w:rPr>
        <w:t xml:space="preserve">, </w:t>
      </w:r>
      <w:r w:rsidR="006E7B1A" w:rsidRPr="004666D3">
        <w:rPr>
          <w:szCs w:val="24"/>
        </w:rPr>
        <w:t>could also</w:t>
      </w:r>
      <w:r w:rsidR="00A558A8" w:rsidRPr="004666D3">
        <w:rPr>
          <w:szCs w:val="24"/>
        </w:rPr>
        <w:t xml:space="preserve"> </w:t>
      </w:r>
      <w:r w:rsidR="0076528B" w:rsidRPr="004666D3">
        <w:rPr>
          <w:szCs w:val="24"/>
        </w:rPr>
        <w:t>reinforce</w:t>
      </w:r>
      <w:r w:rsidR="00A558A8" w:rsidRPr="004666D3">
        <w:rPr>
          <w:szCs w:val="24"/>
        </w:rPr>
        <w:t xml:space="preserve"> the </w:t>
      </w:r>
      <w:r w:rsidR="001738E6" w:rsidRPr="004666D3">
        <w:rPr>
          <w:szCs w:val="24"/>
        </w:rPr>
        <w:t>reliability</w:t>
      </w:r>
      <w:r w:rsidR="00A558A8" w:rsidRPr="004666D3">
        <w:rPr>
          <w:szCs w:val="24"/>
        </w:rPr>
        <w:t xml:space="preserve"> of </w:t>
      </w:r>
      <w:r w:rsidR="0011374A" w:rsidRPr="004666D3">
        <w:rPr>
          <w:szCs w:val="24"/>
        </w:rPr>
        <w:t xml:space="preserve">our results </w:t>
      </w:r>
      <w:r w:rsidR="00AB1260" w:rsidRPr="004666D3">
        <w:rPr>
          <w:szCs w:val="24"/>
        </w:rPr>
        <w:t xml:space="preserve">based on Facebook </w:t>
      </w:r>
      <w:r w:rsidR="00D355BD" w:rsidRPr="004666D3">
        <w:rPr>
          <w:szCs w:val="24"/>
        </w:rPr>
        <w:t>user count</w:t>
      </w:r>
      <w:r w:rsidR="00A558A8" w:rsidRPr="004666D3">
        <w:rPr>
          <w:szCs w:val="24"/>
        </w:rPr>
        <w:t>.</w:t>
      </w:r>
      <w:r w:rsidR="00A558A8" w:rsidRPr="004666D3">
        <w:t xml:space="preserve"> </w:t>
      </w:r>
      <w:r w:rsidR="00721A1D" w:rsidRPr="004666D3">
        <w:rPr>
          <w:szCs w:val="24"/>
        </w:rPr>
        <w:t>U</w:t>
      </w:r>
      <w:r w:rsidR="00DC14F8" w:rsidRPr="004666D3">
        <w:rPr>
          <w:szCs w:val="24"/>
        </w:rPr>
        <w:t>tili</w:t>
      </w:r>
      <w:r w:rsidR="00447F8E" w:rsidRPr="004666D3">
        <w:rPr>
          <w:szCs w:val="24"/>
        </w:rPr>
        <w:t>s</w:t>
      </w:r>
      <w:r w:rsidR="00721A1D" w:rsidRPr="004666D3">
        <w:rPr>
          <w:szCs w:val="24"/>
        </w:rPr>
        <w:t>ing</w:t>
      </w:r>
      <w:r w:rsidR="00DC14F8" w:rsidRPr="004666D3">
        <w:rPr>
          <w:szCs w:val="24"/>
        </w:rPr>
        <w:t xml:space="preserve"> detailed users’ </w:t>
      </w:r>
      <w:r w:rsidR="00F80C6E" w:rsidRPr="004666D3">
        <w:rPr>
          <w:szCs w:val="24"/>
        </w:rPr>
        <w:t>profile</w:t>
      </w:r>
      <w:r w:rsidR="00B47E47" w:rsidRPr="004666D3">
        <w:rPr>
          <w:szCs w:val="24"/>
        </w:rPr>
        <w:t>s,</w:t>
      </w:r>
      <w:r w:rsidR="00DC14F8" w:rsidRPr="004666D3">
        <w:rPr>
          <w:szCs w:val="24"/>
        </w:rPr>
        <w:t xml:space="preserve"> </w:t>
      </w:r>
      <w:r w:rsidR="00721A1D" w:rsidRPr="004666D3">
        <w:rPr>
          <w:szCs w:val="24"/>
        </w:rPr>
        <w:t>if possible, like distribution of age</w:t>
      </w:r>
      <w:r w:rsidR="00B47E47" w:rsidRPr="004666D3">
        <w:rPr>
          <w:szCs w:val="24"/>
        </w:rPr>
        <w:t xml:space="preserve"> and</w:t>
      </w:r>
      <w:r w:rsidR="00721A1D" w:rsidRPr="004666D3">
        <w:rPr>
          <w:szCs w:val="24"/>
        </w:rPr>
        <w:t xml:space="preserve"> gender in future analysis, </w:t>
      </w:r>
      <w:r w:rsidR="00DB2E24" w:rsidRPr="004666D3">
        <w:rPr>
          <w:szCs w:val="24"/>
        </w:rPr>
        <w:t>may provide further assessment of the representativeness of Facebook users</w:t>
      </w:r>
      <w:r w:rsidR="00585C12" w:rsidRPr="004666D3">
        <w:rPr>
          <w:szCs w:val="24"/>
        </w:rPr>
        <w:t>’</w:t>
      </w:r>
      <w:r w:rsidR="00DB2E24" w:rsidRPr="004666D3">
        <w:rPr>
          <w:szCs w:val="24"/>
        </w:rPr>
        <w:t xml:space="preserve"> data </w:t>
      </w:r>
      <w:r w:rsidR="00A760F3" w:rsidRPr="004666D3">
        <w:rPr>
          <w:szCs w:val="24"/>
        </w:rPr>
        <w:t xml:space="preserve">for different </w:t>
      </w:r>
      <w:r w:rsidR="00A760F3" w:rsidRPr="004666D3">
        <w:rPr>
          <w:szCs w:val="24"/>
        </w:rPr>
        <w:lastRenderedPageBreak/>
        <w:t xml:space="preserve">countries, </w:t>
      </w:r>
      <w:r w:rsidR="009268DF" w:rsidRPr="004666D3">
        <w:rPr>
          <w:szCs w:val="24"/>
        </w:rPr>
        <w:t>as well as</w:t>
      </w:r>
      <w:r w:rsidR="009209A4" w:rsidRPr="004666D3">
        <w:rPr>
          <w:szCs w:val="24"/>
        </w:rPr>
        <w:t xml:space="preserve"> </w:t>
      </w:r>
      <w:r w:rsidR="009268DF" w:rsidRPr="004666D3">
        <w:rPr>
          <w:szCs w:val="24"/>
        </w:rPr>
        <w:t>potential bias in inferred conclusions</w:t>
      </w:r>
      <w:r w:rsidR="006C3C87" w:rsidRPr="004666D3">
        <w:rPr>
          <w:szCs w:val="24"/>
        </w:rPr>
        <w:t xml:space="preserve"> and improve the accuracy of analytical results</w:t>
      </w:r>
      <w:r w:rsidR="009209A4" w:rsidRPr="004666D3">
        <w:rPr>
          <w:szCs w:val="24"/>
        </w:rPr>
        <w:t>.</w:t>
      </w:r>
      <w:r w:rsidR="009268DF" w:rsidRPr="004666D3">
        <w:rPr>
          <w:szCs w:val="24"/>
        </w:rPr>
        <w:t xml:space="preserve"> </w:t>
      </w:r>
    </w:p>
    <w:p w14:paraId="291F4060" w14:textId="77777777" w:rsidR="002F1E9D" w:rsidRPr="004666D3" w:rsidRDefault="002F1E9D" w:rsidP="006D7FE3">
      <w:pPr>
        <w:spacing w:line="240" w:lineRule="auto"/>
        <w:rPr>
          <w:szCs w:val="24"/>
        </w:rPr>
      </w:pPr>
    </w:p>
    <w:p w14:paraId="1A458F96" w14:textId="46D76973" w:rsidR="002F1E9D" w:rsidRPr="004666D3" w:rsidRDefault="001E1325" w:rsidP="001E7539">
      <w:pPr>
        <w:rPr>
          <w:szCs w:val="24"/>
        </w:rPr>
      </w:pPr>
      <w:r w:rsidRPr="004666D3">
        <w:rPr>
          <w:szCs w:val="24"/>
        </w:rPr>
        <w:t xml:space="preserve">Despite the uncertainties and limitations of Facebook </w:t>
      </w:r>
      <w:r w:rsidR="00D355BD" w:rsidRPr="004666D3">
        <w:rPr>
          <w:szCs w:val="24"/>
        </w:rPr>
        <w:t xml:space="preserve">user count </w:t>
      </w:r>
      <w:r w:rsidRPr="004666D3">
        <w:rPr>
          <w:szCs w:val="24"/>
        </w:rPr>
        <w:t xml:space="preserve">data, </w:t>
      </w:r>
      <w:r w:rsidR="00572143" w:rsidRPr="004666D3">
        <w:rPr>
          <w:szCs w:val="24"/>
        </w:rPr>
        <w:t>their</w:t>
      </w:r>
      <w:r w:rsidR="006F01C0" w:rsidRPr="004666D3">
        <w:rPr>
          <w:szCs w:val="24"/>
        </w:rPr>
        <w:t xml:space="preserve"> contribution </w:t>
      </w:r>
      <w:r w:rsidR="00BF1D38" w:rsidRPr="004666D3">
        <w:rPr>
          <w:szCs w:val="24"/>
        </w:rPr>
        <w:t xml:space="preserve">to </w:t>
      </w:r>
      <w:r w:rsidR="004B6D51" w:rsidRPr="004666D3">
        <w:rPr>
          <w:szCs w:val="24"/>
        </w:rPr>
        <w:t xml:space="preserve">the </w:t>
      </w:r>
      <w:r w:rsidR="00384059" w:rsidRPr="004666D3">
        <w:rPr>
          <w:szCs w:val="24"/>
        </w:rPr>
        <w:t xml:space="preserve">study of </w:t>
      </w:r>
      <w:r w:rsidR="003342D6" w:rsidRPr="004666D3">
        <w:rPr>
          <w:szCs w:val="24"/>
        </w:rPr>
        <w:t>counter-urbanisation</w:t>
      </w:r>
      <w:r w:rsidR="00F641C8" w:rsidRPr="004666D3">
        <w:rPr>
          <w:szCs w:val="24"/>
        </w:rPr>
        <w:t xml:space="preserve"> is still evident. </w:t>
      </w:r>
      <w:r w:rsidR="00E05F75" w:rsidRPr="004666D3">
        <w:rPr>
          <w:szCs w:val="24"/>
        </w:rPr>
        <w:t>It</w:t>
      </w:r>
      <w:r w:rsidR="000C4C67" w:rsidRPr="004666D3">
        <w:rPr>
          <w:szCs w:val="24"/>
        </w:rPr>
        <w:t xml:space="preserve"> has a </w:t>
      </w:r>
      <w:r w:rsidR="008E4274" w:rsidRPr="004666D3">
        <w:rPr>
          <w:szCs w:val="24"/>
        </w:rPr>
        <w:t xml:space="preserve">fine </w:t>
      </w:r>
      <w:r w:rsidR="000C4C67" w:rsidRPr="004666D3">
        <w:rPr>
          <w:szCs w:val="24"/>
        </w:rPr>
        <w:t xml:space="preserve">temporal resolution </w:t>
      </w:r>
      <w:r w:rsidR="005C6FA2" w:rsidRPr="004666D3">
        <w:rPr>
          <w:szCs w:val="24"/>
        </w:rPr>
        <w:t>that</w:t>
      </w:r>
      <w:r w:rsidR="000C4C67" w:rsidRPr="004666D3">
        <w:rPr>
          <w:szCs w:val="24"/>
        </w:rPr>
        <w:t xml:space="preserve"> could provide </w:t>
      </w:r>
      <w:r w:rsidR="00954094" w:rsidRPr="004666D3">
        <w:rPr>
          <w:szCs w:val="24"/>
        </w:rPr>
        <w:t>detailed population distribution data in near real</w:t>
      </w:r>
      <w:r w:rsidR="006241C9" w:rsidRPr="004666D3">
        <w:rPr>
          <w:szCs w:val="24"/>
        </w:rPr>
        <w:t>-</w:t>
      </w:r>
      <w:r w:rsidR="00954094" w:rsidRPr="004666D3">
        <w:rPr>
          <w:szCs w:val="24"/>
        </w:rPr>
        <w:t>time</w:t>
      </w:r>
      <w:r w:rsidR="003D1DF9" w:rsidRPr="004666D3">
        <w:rPr>
          <w:szCs w:val="24"/>
        </w:rPr>
        <w:t xml:space="preserve"> </w:t>
      </w:r>
      <w:r w:rsidRPr="004666D3">
        <w:rPr>
          <w:szCs w:val="24"/>
        </w:rPr>
        <w:fldChar w:fldCharType="begin"/>
      </w:r>
      <w:r w:rsidRPr="004666D3">
        <w:rPr>
          <w:szCs w:val="24"/>
        </w:rPr>
        <w:instrText xml:space="preserve"> ADDIN ZOTERO_ITEM CSL_CITATION {"citationID":"QIE18whw","properties":{"formattedCitation":"(Maas, 2019)","plainCitation":"(Maas, 2019)","noteIndex":0},"citationItems":[{"id":4119,"uris":["http://zotero.org/users/9756803/items/7ZCD2HWZ"],"itemData":{"id":4119,"type":"paper-conference","abstract":"After a natural disaster or other crisis, humanitarian organizations need to know where aﬀected people are located and what resources they need. While this information is diﬃcult to capture quickly through conventional methods, aggregate usage patterns of social media apps like Facebook can help ﬁll these information gaps.","container-title":"Proceedings of the 25th ACM SIGKDD International Conference on Knowledge Discovery &amp; Data Mining","DOI":"10.1145/3292500.3340412","event-place":"Anchorage AK USA","event-title":"KDD '19: The 25th ACM SIGKDD Conference on Knowledge Discovery and Data Mining","ISBN":"978-1-4503-6201-6","language":"en","page":"3173-3173","publisher":"ACM","publisher-place":"Anchorage AK USA","source":"DOI.org (Crossref)","title":"Facebook Disaster Maps: Aggregate Insights for Crisis Response &amp; Recovery","title-short":"Facebook Disaster Maps","URL":"https://dl.acm.org/doi/10.1145/3292500.3340412","author":[{"family":"Maas","given":"Paige"}],"accessed":{"date-parts":[["2023",2,28]]},"issued":{"date-parts":[["2019",7,25]]}}}],"schema":"https://github.com/citation-style-language/schema/raw/master/csl-citation.json"} </w:instrText>
      </w:r>
      <w:r w:rsidRPr="004666D3">
        <w:rPr>
          <w:szCs w:val="24"/>
        </w:rPr>
        <w:fldChar w:fldCharType="separate"/>
      </w:r>
      <w:r w:rsidR="00AE74BE" w:rsidRPr="004666D3">
        <w:rPr>
          <w:rFonts w:ascii="Calibri" w:hAnsi="Calibri" w:cs="Calibri"/>
        </w:rPr>
        <w:t>(Maas, 2019)</w:t>
      </w:r>
      <w:r w:rsidRPr="004666D3">
        <w:rPr>
          <w:szCs w:val="24"/>
        </w:rPr>
        <w:fldChar w:fldCharType="end"/>
      </w:r>
      <w:r w:rsidR="00954094" w:rsidRPr="004666D3">
        <w:rPr>
          <w:szCs w:val="24"/>
        </w:rPr>
        <w:t xml:space="preserve">. </w:t>
      </w:r>
      <w:r w:rsidR="007F6894" w:rsidRPr="004666D3">
        <w:rPr>
          <w:szCs w:val="24"/>
        </w:rPr>
        <w:t xml:space="preserve">Daily </w:t>
      </w:r>
      <w:r w:rsidR="00994214" w:rsidRPr="004666D3">
        <w:rPr>
          <w:szCs w:val="24"/>
        </w:rPr>
        <w:t xml:space="preserve">data </w:t>
      </w:r>
      <w:r w:rsidR="00B71796" w:rsidRPr="004666D3">
        <w:rPr>
          <w:szCs w:val="24"/>
        </w:rPr>
        <w:t>across</w:t>
      </w:r>
      <w:r w:rsidR="00994214" w:rsidRPr="004666D3">
        <w:rPr>
          <w:szCs w:val="24"/>
        </w:rPr>
        <w:t xml:space="preserve"> three time</w:t>
      </w:r>
      <w:r w:rsidR="006F6353" w:rsidRPr="004666D3">
        <w:rPr>
          <w:szCs w:val="24"/>
        </w:rPr>
        <w:t>-</w:t>
      </w:r>
      <w:r w:rsidR="00994214" w:rsidRPr="004666D3">
        <w:rPr>
          <w:szCs w:val="24"/>
        </w:rPr>
        <w:t>window</w:t>
      </w:r>
      <w:r w:rsidR="00F93C93" w:rsidRPr="004666D3">
        <w:rPr>
          <w:szCs w:val="24"/>
        </w:rPr>
        <w:t>s</w:t>
      </w:r>
      <w:r w:rsidR="00B71796" w:rsidRPr="004666D3">
        <w:rPr>
          <w:szCs w:val="24"/>
        </w:rPr>
        <w:t xml:space="preserve"> offer</w:t>
      </w:r>
      <w:r w:rsidR="501858C6" w:rsidRPr="004666D3">
        <w:rPr>
          <w:szCs w:val="24"/>
        </w:rPr>
        <w:t>s</w:t>
      </w:r>
      <w:r w:rsidR="00994214" w:rsidRPr="004666D3">
        <w:rPr>
          <w:szCs w:val="24"/>
        </w:rPr>
        <w:t xml:space="preserve"> a </w:t>
      </w:r>
      <w:r w:rsidR="003342D6" w:rsidRPr="004666D3">
        <w:rPr>
          <w:szCs w:val="24"/>
        </w:rPr>
        <w:t xml:space="preserve">detailed </w:t>
      </w:r>
      <w:r w:rsidR="00B71796" w:rsidRPr="004666D3">
        <w:rPr>
          <w:szCs w:val="24"/>
        </w:rPr>
        <w:t>depiction</w:t>
      </w:r>
      <w:r w:rsidR="00994214" w:rsidRPr="004666D3">
        <w:rPr>
          <w:szCs w:val="24"/>
        </w:rPr>
        <w:t xml:space="preserve"> of </w:t>
      </w:r>
      <w:r w:rsidR="003A124A" w:rsidRPr="004666D3">
        <w:rPr>
          <w:szCs w:val="24"/>
        </w:rPr>
        <w:t>users’</w:t>
      </w:r>
      <w:r w:rsidR="00A87A50" w:rsidRPr="004666D3">
        <w:rPr>
          <w:szCs w:val="24"/>
        </w:rPr>
        <w:t xml:space="preserve"> </w:t>
      </w:r>
      <w:r w:rsidR="007F53DF" w:rsidRPr="004666D3">
        <w:rPr>
          <w:szCs w:val="24"/>
        </w:rPr>
        <w:t>activities</w:t>
      </w:r>
      <w:r w:rsidR="00B967A7" w:rsidRPr="004666D3">
        <w:rPr>
          <w:szCs w:val="24"/>
        </w:rPr>
        <w:t xml:space="preserve">, </w:t>
      </w:r>
      <w:r w:rsidR="00155B64" w:rsidRPr="004666D3">
        <w:rPr>
          <w:szCs w:val="24"/>
        </w:rPr>
        <w:t>contributing</w:t>
      </w:r>
      <w:r w:rsidR="00277B08" w:rsidRPr="004666D3">
        <w:rPr>
          <w:szCs w:val="24"/>
        </w:rPr>
        <w:t xml:space="preserve"> to </w:t>
      </w:r>
      <w:r w:rsidR="00734AEA" w:rsidRPr="004666D3">
        <w:rPr>
          <w:szCs w:val="24"/>
        </w:rPr>
        <w:t xml:space="preserve">the </w:t>
      </w:r>
      <w:r w:rsidR="00FE258F" w:rsidRPr="004666D3">
        <w:rPr>
          <w:szCs w:val="24"/>
        </w:rPr>
        <w:t>identif</w:t>
      </w:r>
      <w:r w:rsidR="009B4723" w:rsidRPr="004666D3">
        <w:rPr>
          <w:szCs w:val="24"/>
        </w:rPr>
        <w:t>ication of</w:t>
      </w:r>
      <w:r w:rsidR="00FE258F" w:rsidRPr="004666D3">
        <w:rPr>
          <w:szCs w:val="24"/>
        </w:rPr>
        <w:t xml:space="preserve"> </w:t>
      </w:r>
      <w:r w:rsidR="00850628" w:rsidRPr="004666D3">
        <w:rPr>
          <w:szCs w:val="24"/>
        </w:rPr>
        <w:t>counter-u</w:t>
      </w:r>
      <w:r w:rsidR="00FE258F" w:rsidRPr="004666D3">
        <w:rPr>
          <w:szCs w:val="24"/>
        </w:rPr>
        <w:t>rbanisation characteristics and in</w:t>
      </w:r>
      <w:r w:rsidR="007C2346" w:rsidRPr="004666D3">
        <w:rPr>
          <w:szCs w:val="24"/>
        </w:rPr>
        <w:t>fer</w:t>
      </w:r>
      <w:r w:rsidR="009B4723" w:rsidRPr="004666D3">
        <w:rPr>
          <w:szCs w:val="24"/>
        </w:rPr>
        <w:t>ence of</w:t>
      </w:r>
      <w:r w:rsidR="007C2346" w:rsidRPr="004666D3">
        <w:rPr>
          <w:szCs w:val="24"/>
        </w:rPr>
        <w:t xml:space="preserve"> potential causes</w:t>
      </w:r>
      <w:r w:rsidR="00183DC0" w:rsidRPr="004666D3">
        <w:rPr>
          <w:szCs w:val="24"/>
        </w:rPr>
        <w:t>.</w:t>
      </w:r>
      <w:r w:rsidR="00F630E6" w:rsidRPr="004666D3">
        <w:rPr>
          <w:szCs w:val="24"/>
        </w:rPr>
        <w:t xml:space="preserve"> </w:t>
      </w:r>
      <w:r w:rsidR="00E05F75" w:rsidRPr="004666D3">
        <w:rPr>
          <w:szCs w:val="24"/>
        </w:rPr>
        <w:t>Furthermore</w:t>
      </w:r>
      <w:r w:rsidR="00793EE9" w:rsidRPr="004666D3">
        <w:rPr>
          <w:szCs w:val="24"/>
        </w:rPr>
        <w:t>,</w:t>
      </w:r>
      <w:r w:rsidR="00BB6323" w:rsidRPr="004666D3">
        <w:rPr>
          <w:szCs w:val="24"/>
        </w:rPr>
        <w:t xml:space="preserve"> </w:t>
      </w:r>
      <w:r w:rsidR="004A14F8" w:rsidRPr="004666D3">
        <w:rPr>
          <w:szCs w:val="24"/>
        </w:rPr>
        <w:t>Facebook data</w:t>
      </w:r>
      <w:r w:rsidR="00D953F9" w:rsidRPr="004666D3">
        <w:rPr>
          <w:szCs w:val="24"/>
        </w:rPr>
        <w:t xml:space="preserve"> </w:t>
      </w:r>
      <w:r w:rsidR="00306C8A" w:rsidRPr="004666D3">
        <w:rPr>
          <w:szCs w:val="24"/>
        </w:rPr>
        <w:t>cove</w:t>
      </w:r>
      <w:r w:rsidR="00705A58" w:rsidRPr="004666D3">
        <w:rPr>
          <w:szCs w:val="24"/>
        </w:rPr>
        <w:t xml:space="preserve">rs </w:t>
      </w:r>
      <w:r w:rsidR="00306C8A" w:rsidRPr="004666D3">
        <w:rPr>
          <w:szCs w:val="24"/>
        </w:rPr>
        <w:t>more than 1</w:t>
      </w:r>
      <w:r w:rsidR="00EA2A75" w:rsidRPr="004666D3">
        <w:rPr>
          <w:szCs w:val="24"/>
        </w:rPr>
        <w:t>0</w:t>
      </w:r>
      <w:r w:rsidR="00306C8A" w:rsidRPr="004666D3">
        <w:rPr>
          <w:szCs w:val="24"/>
        </w:rPr>
        <w:t>0 countries</w:t>
      </w:r>
      <w:r w:rsidR="00565DD4" w:rsidRPr="004666D3">
        <w:rPr>
          <w:szCs w:val="24"/>
        </w:rPr>
        <w:t xml:space="preserve">, </w:t>
      </w:r>
      <w:r w:rsidR="00212BEB" w:rsidRPr="004666D3">
        <w:rPr>
          <w:szCs w:val="24"/>
        </w:rPr>
        <w:t>allowing for</w:t>
      </w:r>
      <w:r w:rsidR="000B0F41" w:rsidRPr="004666D3">
        <w:rPr>
          <w:szCs w:val="24"/>
        </w:rPr>
        <w:t xml:space="preserve"> </w:t>
      </w:r>
      <w:r w:rsidR="001368BC" w:rsidRPr="004666D3">
        <w:rPr>
          <w:szCs w:val="24"/>
        </w:rPr>
        <w:t>a broader range of comparisons</w:t>
      </w:r>
      <w:r w:rsidR="00306C8A" w:rsidRPr="004666D3">
        <w:rPr>
          <w:szCs w:val="24"/>
        </w:rPr>
        <w:t xml:space="preserve">, although </w:t>
      </w:r>
      <w:r w:rsidR="005122BD" w:rsidRPr="004666D3">
        <w:rPr>
          <w:szCs w:val="24"/>
        </w:rPr>
        <w:t xml:space="preserve">not global </w:t>
      </w:r>
      <w:r w:rsidR="00C15A45" w:rsidRPr="004666D3">
        <w:rPr>
          <w:szCs w:val="24"/>
        </w:rPr>
        <w:t>due to</w:t>
      </w:r>
      <w:r w:rsidR="005122BD" w:rsidRPr="004666D3">
        <w:rPr>
          <w:szCs w:val="24"/>
        </w:rPr>
        <w:t xml:space="preserve"> the limitation of Facebook app access</w:t>
      </w:r>
      <w:r w:rsidR="00195A0C" w:rsidRPr="004666D3">
        <w:rPr>
          <w:szCs w:val="24"/>
        </w:rPr>
        <w:t>.</w:t>
      </w:r>
      <w:r w:rsidR="00EC36DA" w:rsidRPr="004666D3">
        <w:rPr>
          <w:szCs w:val="24"/>
        </w:rPr>
        <w:t xml:space="preserve"> The </w:t>
      </w:r>
      <w:r w:rsidR="00226F99" w:rsidRPr="004666D3">
        <w:rPr>
          <w:szCs w:val="24"/>
        </w:rPr>
        <w:t>counter-urbanisation</w:t>
      </w:r>
      <w:r w:rsidR="00AF5EDC" w:rsidRPr="004666D3">
        <w:rPr>
          <w:szCs w:val="24"/>
        </w:rPr>
        <w:t xml:space="preserve"> of </w:t>
      </w:r>
      <w:r w:rsidR="00621FFD" w:rsidRPr="004666D3">
        <w:rPr>
          <w:szCs w:val="24"/>
        </w:rPr>
        <w:t>more</w:t>
      </w:r>
      <w:r w:rsidR="00AF5EDC" w:rsidRPr="004666D3">
        <w:rPr>
          <w:szCs w:val="24"/>
        </w:rPr>
        <w:t xml:space="preserve"> countries an</w:t>
      </w:r>
      <w:r w:rsidR="00621FFD" w:rsidRPr="004666D3">
        <w:rPr>
          <w:szCs w:val="24"/>
        </w:rPr>
        <w:t xml:space="preserve">d </w:t>
      </w:r>
      <w:r w:rsidR="00AF5EDC" w:rsidRPr="004666D3">
        <w:rPr>
          <w:szCs w:val="24"/>
        </w:rPr>
        <w:t xml:space="preserve">their </w:t>
      </w:r>
      <w:r w:rsidR="00EB76FF" w:rsidRPr="004666D3">
        <w:rPr>
          <w:szCs w:val="24"/>
        </w:rPr>
        <w:t xml:space="preserve">potential drivers across space and time could be explored in the </w:t>
      </w:r>
      <w:r w:rsidR="00515ADE" w:rsidRPr="004666D3">
        <w:rPr>
          <w:szCs w:val="24"/>
        </w:rPr>
        <w:t>future.</w:t>
      </w:r>
      <w:r w:rsidR="001C75A3" w:rsidRPr="004666D3">
        <w:rPr>
          <w:szCs w:val="24"/>
        </w:rPr>
        <w:t xml:space="preserve"> However, it is suggested to select the country carefully, for example, choosing the country with access to the Facebook app and over 50% of Facebook user coverage to reduce the bias caused by under-representation.</w:t>
      </w:r>
      <w:r w:rsidR="00414568" w:rsidRPr="004666D3">
        <w:rPr>
          <w:szCs w:val="24"/>
        </w:rPr>
        <w:t xml:space="preserve"> </w:t>
      </w:r>
      <w:bookmarkStart w:id="135" w:name="OLE_LINK12"/>
    </w:p>
    <w:p w14:paraId="208B710E" w14:textId="77777777" w:rsidR="006D7FE3" w:rsidRPr="004666D3" w:rsidRDefault="006D7FE3" w:rsidP="006D7FE3">
      <w:pPr>
        <w:spacing w:line="240" w:lineRule="auto"/>
        <w:rPr>
          <w:szCs w:val="24"/>
        </w:rPr>
      </w:pPr>
    </w:p>
    <w:bookmarkEnd w:id="135"/>
    <w:p w14:paraId="3CEF0844" w14:textId="31AA387F" w:rsidR="00804685" w:rsidRPr="004666D3" w:rsidRDefault="001566FD" w:rsidP="001E7539">
      <w:pPr>
        <w:pStyle w:val="mysubtitle"/>
      </w:pPr>
      <w:r w:rsidRPr="004666D3">
        <w:t>5. Conclusion</w:t>
      </w:r>
      <w:r w:rsidR="008C4599" w:rsidRPr="004666D3">
        <w:t>s</w:t>
      </w:r>
    </w:p>
    <w:p w14:paraId="5B979B0C" w14:textId="0ECDEEFA" w:rsidR="00125C56" w:rsidRPr="004666D3" w:rsidRDefault="00E721EF" w:rsidP="001E7539">
      <w:r w:rsidRPr="004666D3">
        <w:t xml:space="preserve">Our study highlights the potential of Facebook </w:t>
      </w:r>
      <w:r w:rsidR="00A87A50" w:rsidRPr="004666D3">
        <w:t xml:space="preserve">user </w:t>
      </w:r>
      <w:r w:rsidR="00E8782A" w:rsidRPr="004666D3">
        <w:t>count</w:t>
      </w:r>
      <w:r w:rsidR="00A87A50" w:rsidRPr="004666D3">
        <w:t xml:space="preserve"> </w:t>
      </w:r>
      <w:r w:rsidRPr="004666D3">
        <w:t>data, with rich diurnal information, to a</w:t>
      </w:r>
      <w:r w:rsidR="00093E8B" w:rsidRPr="004666D3">
        <w:t>ss</w:t>
      </w:r>
      <w:r w:rsidRPr="004666D3">
        <w:t xml:space="preserve">ess counter-urbanisation, its distinct </w:t>
      </w:r>
      <w:r w:rsidR="00093E8B" w:rsidRPr="004666D3">
        <w:t>characteristics,</w:t>
      </w:r>
      <w:r w:rsidRPr="004666D3">
        <w:t xml:space="preserve"> and potential causes. While both Belgium and Thailand displayed a trend of redistribution from urban to rural areas, whether consistent or temporar</w:t>
      </w:r>
      <w:r w:rsidR="002C25C8" w:rsidRPr="004666D3">
        <w:t>y</w:t>
      </w:r>
      <w:r w:rsidRPr="004666D3">
        <w:t xml:space="preserve">, their patterns are different. New rural residents in Belgium seem to retain links with urban centres through daily </w:t>
      </w:r>
      <w:r w:rsidR="00C2539F" w:rsidRPr="004666D3">
        <w:t>commuting</w:t>
      </w:r>
      <w:r w:rsidR="00B21AA6" w:rsidRPr="004666D3">
        <w:t xml:space="preserve"> </w:t>
      </w:r>
      <w:r w:rsidR="00C2539F" w:rsidRPr="004666D3">
        <w:t>and</w:t>
      </w:r>
      <w:r w:rsidR="62F550F5" w:rsidRPr="004666D3">
        <w:t xml:space="preserve"> show no indication of returning to urban areas post-pandemic</w:t>
      </w:r>
      <w:r w:rsidR="003B69C1" w:rsidRPr="004666D3">
        <w:t xml:space="preserve">. In contrast, </w:t>
      </w:r>
      <w:r w:rsidRPr="004666D3">
        <w:t>in Thailand</w:t>
      </w:r>
      <w:r w:rsidR="003B69C1" w:rsidRPr="004666D3">
        <w:t>, they</w:t>
      </w:r>
      <w:r w:rsidRPr="004666D3">
        <w:t xml:space="preserve"> appear to have entirely left the urban environment</w:t>
      </w:r>
      <w:r w:rsidR="154697D6" w:rsidRPr="004666D3">
        <w:t xml:space="preserve">, but have mostly done so temporarily, and are </w:t>
      </w:r>
      <w:r w:rsidR="154697D6" w:rsidRPr="004666D3">
        <w:lastRenderedPageBreak/>
        <w:t>now returning to the cities post-pandemic</w:t>
      </w:r>
      <w:r w:rsidR="76641229" w:rsidRPr="004666D3">
        <w:t>.</w:t>
      </w:r>
      <w:r w:rsidRPr="004666D3">
        <w:t xml:space="preserve"> The data imputation method we have developed is effective in estimating the missing data and improving analysis in rural areas, taking Belgium and Thailand as examples. This method could both protect privacy and reduce bias from that. The imputed Facebook data could provide a new perspective for understanding counter-urbanisation.</w:t>
      </w:r>
    </w:p>
    <w:p w14:paraId="4486ECBE" w14:textId="77777777" w:rsidR="00093E8B" w:rsidRPr="004666D3" w:rsidRDefault="00093E8B" w:rsidP="001E7539">
      <w:pPr>
        <w:rPr>
          <w:szCs w:val="24"/>
        </w:rPr>
      </w:pPr>
    </w:p>
    <w:p w14:paraId="6286CE83" w14:textId="1C64E91E" w:rsidR="002D4462" w:rsidRPr="004666D3" w:rsidRDefault="002D4462" w:rsidP="00FF5EBF">
      <w:pPr>
        <w:spacing w:before="360" w:after="120" w:line="240" w:lineRule="auto"/>
        <w:rPr>
          <w:b/>
          <w:szCs w:val="24"/>
        </w:rPr>
      </w:pPr>
      <w:r w:rsidRPr="004666D3">
        <w:rPr>
          <w:b/>
          <w:szCs w:val="24"/>
        </w:rPr>
        <w:t xml:space="preserve">Data availability </w:t>
      </w:r>
    </w:p>
    <w:p w14:paraId="78C7544D" w14:textId="33F7A189" w:rsidR="00FC5B7E" w:rsidRDefault="00F76233" w:rsidP="00FC5B7E">
      <w:pPr>
        <w:spacing w:line="240" w:lineRule="auto"/>
        <w:rPr>
          <w:szCs w:val="24"/>
        </w:rPr>
      </w:pPr>
      <w:r w:rsidRPr="004666D3">
        <w:rPr>
          <w:szCs w:val="24"/>
        </w:rPr>
        <w:t xml:space="preserve">The </w:t>
      </w:r>
      <w:r w:rsidR="00090646" w:rsidRPr="004666D3">
        <w:rPr>
          <w:szCs w:val="24"/>
        </w:rPr>
        <w:t>Facebook user count</w:t>
      </w:r>
      <w:r w:rsidRPr="004666D3">
        <w:rPr>
          <w:szCs w:val="24"/>
        </w:rPr>
        <w:t xml:space="preserve"> data for this study are not publicly available due to licensing agreements.</w:t>
      </w:r>
      <w:r w:rsidR="00B6622F" w:rsidRPr="004666D3">
        <w:rPr>
          <w:szCs w:val="24"/>
        </w:rPr>
        <w:t xml:space="preserve"> </w:t>
      </w:r>
      <w:r w:rsidR="00AF3CAD" w:rsidRPr="004666D3">
        <w:rPr>
          <w:szCs w:val="24"/>
        </w:rPr>
        <w:t xml:space="preserve">It can be </w:t>
      </w:r>
      <w:r w:rsidR="00E0233F" w:rsidRPr="004666D3">
        <w:rPr>
          <w:szCs w:val="24"/>
        </w:rPr>
        <w:t>requested</w:t>
      </w:r>
      <w:r w:rsidR="00AF3CAD" w:rsidRPr="004666D3">
        <w:rPr>
          <w:szCs w:val="24"/>
        </w:rPr>
        <w:t xml:space="preserve"> through correspondence with the corresponding author. </w:t>
      </w:r>
      <w:r w:rsidR="00377040" w:rsidRPr="004666D3">
        <w:rPr>
          <w:szCs w:val="24"/>
        </w:rPr>
        <w:t xml:space="preserve">The population data from other sources and </w:t>
      </w:r>
      <w:r w:rsidR="00E25037" w:rsidRPr="004666D3">
        <w:rPr>
          <w:szCs w:val="24"/>
        </w:rPr>
        <w:t>urbanisation classification</w:t>
      </w:r>
      <w:r w:rsidR="00377040" w:rsidRPr="004666D3">
        <w:rPr>
          <w:szCs w:val="24"/>
        </w:rPr>
        <w:t xml:space="preserve"> are available from the data sources listed in </w:t>
      </w:r>
      <w:r w:rsidR="00E25037" w:rsidRPr="004666D3">
        <w:rPr>
          <w:szCs w:val="24"/>
        </w:rPr>
        <w:t>Data and Methodology</w:t>
      </w:r>
      <w:r w:rsidR="00377040" w:rsidRPr="004666D3">
        <w:rPr>
          <w:szCs w:val="24"/>
        </w:rPr>
        <w:t>.</w:t>
      </w:r>
    </w:p>
    <w:p w14:paraId="06E2CF1D" w14:textId="77777777" w:rsidR="00FC5B7E" w:rsidRPr="002D311F" w:rsidRDefault="00FC5B7E" w:rsidP="00FF5EBF">
      <w:pPr>
        <w:spacing w:before="360" w:after="120" w:line="240" w:lineRule="auto"/>
        <w:rPr>
          <w:b/>
          <w:szCs w:val="24"/>
        </w:rPr>
      </w:pPr>
      <w:r w:rsidRPr="002D311F">
        <w:rPr>
          <w:b/>
          <w:szCs w:val="24"/>
        </w:rPr>
        <w:t>Acknowledgement (including funding)</w:t>
      </w:r>
    </w:p>
    <w:p w14:paraId="497D44D6" w14:textId="2A68CAE0" w:rsidR="00FC5B7E" w:rsidRDefault="00FC5B7E" w:rsidP="00FC5B7E">
      <w:pPr>
        <w:spacing w:line="240" w:lineRule="auto"/>
        <w:rPr>
          <w:szCs w:val="24"/>
        </w:rPr>
      </w:pPr>
      <w:r w:rsidRPr="002D311F">
        <w:rPr>
          <w:szCs w:val="24"/>
        </w:rPr>
        <w:t xml:space="preserve">The authors would like to acknowledge the Data for Good at Meta for sharing data. This work was supported by the ESRC South Coast Doctoral Training Partnership (grant number ES/P000673/1), as part of the first author’s doctoral research, and the National Institute for Health (MIDAS Mobility R01AI160780) and the Horizon </w:t>
      </w:r>
      <w:r w:rsidRPr="00911F68">
        <w:rPr>
          <w:szCs w:val="24"/>
        </w:rPr>
        <w:t xml:space="preserve">Europe </w:t>
      </w:r>
      <w:r w:rsidRPr="002D311F">
        <w:rPr>
          <w:szCs w:val="24"/>
        </w:rPr>
        <w:t xml:space="preserve">(UKRI grant number 10041831). </w:t>
      </w:r>
      <w:r w:rsidRPr="00BC32E1">
        <w:rPr>
          <w:szCs w:val="24"/>
        </w:rPr>
        <w:t>SL and AJT are supported by funding from the Bill &amp; Melinda Gates Foundation (OPP1134076, INV-024911), the National Institutes of Health (R01AI160780), and the Horizon Europe program (MOOD 874850).</w:t>
      </w:r>
    </w:p>
    <w:p w14:paraId="1F19A0CA" w14:textId="77777777" w:rsidR="00291DA3" w:rsidRPr="00291DA3" w:rsidRDefault="00291DA3" w:rsidP="00FF5EBF">
      <w:pPr>
        <w:pBdr>
          <w:top w:val="nil"/>
          <w:left w:val="nil"/>
          <w:bottom w:val="nil"/>
          <w:right w:val="nil"/>
          <w:between w:val="nil"/>
        </w:pBdr>
        <w:snapToGrid w:val="0"/>
        <w:spacing w:before="360" w:after="120" w:line="240" w:lineRule="auto"/>
        <w:rPr>
          <w:rFonts w:cstheme="minorHAnsi"/>
          <w:b/>
          <w:color w:val="000000"/>
          <w:kern w:val="2"/>
          <w:szCs w:val="24"/>
          <w14:ligatures w14:val="standardContextual"/>
        </w:rPr>
      </w:pPr>
      <w:r w:rsidRPr="00291DA3">
        <w:rPr>
          <w:rFonts w:cstheme="minorHAnsi"/>
          <w:b/>
          <w:color w:val="000000"/>
          <w:kern w:val="2"/>
          <w:szCs w:val="24"/>
          <w14:ligatures w14:val="standardContextual"/>
        </w:rPr>
        <w:t>Author Contributions</w:t>
      </w:r>
    </w:p>
    <w:p w14:paraId="207A4FC1" w14:textId="38590413" w:rsidR="00FC5B7E" w:rsidRDefault="002350A2" w:rsidP="00FC5B7E">
      <w:pPr>
        <w:spacing w:line="240" w:lineRule="auto"/>
        <w:rPr>
          <w:szCs w:val="24"/>
        </w:rPr>
      </w:pPr>
      <w:r w:rsidRPr="002350A2">
        <w:rPr>
          <w:szCs w:val="24"/>
        </w:rPr>
        <w:t>Qianwen Duan, Shengjie Lai and Felix Eigenbrod contributed to conceptuali</w:t>
      </w:r>
      <w:r w:rsidR="00E37325">
        <w:rPr>
          <w:szCs w:val="24"/>
        </w:rPr>
        <w:t>s</w:t>
      </w:r>
      <w:r w:rsidRPr="002350A2">
        <w:rPr>
          <w:szCs w:val="24"/>
        </w:rPr>
        <w:t>ation and designed the research. Qianwen Duan developed the methodology</w:t>
      </w:r>
      <w:r w:rsidR="00E37325">
        <w:rPr>
          <w:szCs w:val="24"/>
        </w:rPr>
        <w:t>,</w:t>
      </w:r>
      <w:r w:rsidRPr="002350A2">
        <w:rPr>
          <w:szCs w:val="24"/>
        </w:rPr>
        <w:t xml:space="preserve"> performed the analysis</w:t>
      </w:r>
      <w:r w:rsidR="00E37325">
        <w:rPr>
          <w:szCs w:val="24"/>
        </w:rPr>
        <w:t xml:space="preserve">, visualisation and </w:t>
      </w:r>
      <w:r w:rsidR="00E37325" w:rsidRPr="002350A2">
        <w:rPr>
          <w:szCs w:val="24"/>
        </w:rPr>
        <w:t>wrote the manuscript</w:t>
      </w:r>
      <w:r w:rsidRPr="002350A2">
        <w:rPr>
          <w:szCs w:val="24"/>
        </w:rPr>
        <w:t xml:space="preserve">. </w:t>
      </w:r>
      <w:r w:rsidR="00FF5EBF" w:rsidRPr="002350A2">
        <w:rPr>
          <w:szCs w:val="24"/>
        </w:rPr>
        <w:t>Felix Eigenbrod</w:t>
      </w:r>
      <w:r w:rsidR="00FF5EBF">
        <w:rPr>
          <w:szCs w:val="24"/>
        </w:rPr>
        <w:t>,</w:t>
      </w:r>
      <w:r w:rsidR="00FF5EBF" w:rsidRPr="002350A2">
        <w:rPr>
          <w:szCs w:val="24"/>
        </w:rPr>
        <w:t xml:space="preserve"> </w:t>
      </w:r>
      <w:r w:rsidRPr="002350A2">
        <w:rPr>
          <w:szCs w:val="24"/>
        </w:rPr>
        <w:t>Shengjie Lai, Jessica Steele</w:t>
      </w:r>
      <w:r w:rsidR="00FF5EBF">
        <w:rPr>
          <w:szCs w:val="24"/>
        </w:rPr>
        <w:t xml:space="preserve"> </w:t>
      </w:r>
      <w:r w:rsidR="00FF5EBF" w:rsidRPr="002350A2">
        <w:rPr>
          <w:szCs w:val="24"/>
        </w:rPr>
        <w:t>and</w:t>
      </w:r>
      <w:r w:rsidR="00FF5EBF" w:rsidRPr="002350A2">
        <w:rPr>
          <w:szCs w:val="24"/>
        </w:rPr>
        <w:t xml:space="preserve"> </w:t>
      </w:r>
      <w:r w:rsidRPr="002350A2">
        <w:rPr>
          <w:szCs w:val="24"/>
        </w:rPr>
        <w:t>Alessandro Sorichetta helped to improve the methodology. Qianwen Duan, Shengjie Lai, Jessica Steele, Zhifeng Cheng, Eimear Cleary, Hal Voepel</w:t>
      </w:r>
      <w:r w:rsidR="003146AA">
        <w:rPr>
          <w:szCs w:val="24"/>
        </w:rPr>
        <w:t>,</w:t>
      </w:r>
      <w:r w:rsidRPr="002350A2">
        <w:rPr>
          <w:szCs w:val="24"/>
        </w:rPr>
        <w:t xml:space="preserve"> Tim O'Riordan </w:t>
      </w:r>
      <w:r w:rsidR="003146AA">
        <w:rPr>
          <w:szCs w:val="24"/>
        </w:rPr>
        <w:t xml:space="preserve">and </w:t>
      </w:r>
      <w:r w:rsidR="003146AA" w:rsidRPr="003146AA">
        <w:rPr>
          <w:szCs w:val="24"/>
        </w:rPr>
        <w:t xml:space="preserve">Andrew Tatem </w:t>
      </w:r>
      <w:r w:rsidRPr="002350A2">
        <w:rPr>
          <w:szCs w:val="24"/>
        </w:rPr>
        <w:t>contributed to data curation</w:t>
      </w:r>
      <w:r w:rsidR="00E37325">
        <w:rPr>
          <w:szCs w:val="24"/>
        </w:rPr>
        <w:t xml:space="preserve">. </w:t>
      </w:r>
      <w:r w:rsidR="00FF5EBF" w:rsidRPr="002350A2">
        <w:rPr>
          <w:szCs w:val="24"/>
        </w:rPr>
        <w:t>Felix Eigenbrod</w:t>
      </w:r>
      <w:r w:rsidR="00FF5EBF">
        <w:rPr>
          <w:szCs w:val="24"/>
        </w:rPr>
        <w:t>,</w:t>
      </w:r>
      <w:r w:rsidR="00FF5EBF" w:rsidRPr="002350A2">
        <w:rPr>
          <w:szCs w:val="24"/>
        </w:rPr>
        <w:t xml:space="preserve"> Shengjie Lai</w:t>
      </w:r>
      <w:r w:rsidR="00FF5EBF">
        <w:rPr>
          <w:szCs w:val="24"/>
        </w:rPr>
        <w:t>,</w:t>
      </w:r>
      <w:r w:rsidR="00FF5EBF" w:rsidRPr="002350A2">
        <w:rPr>
          <w:szCs w:val="24"/>
        </w:rPr>
        <w:t xml:space="preserve"> </w:t>
      </w:r>
      <w:r w:rsidRPr="002350A2">
        <w:rPr>
          <w:szCs w:val="24"/>
        </w:rPr>
        <w:t xml:space="preserve">Jessica Steele, Zhifeng Cheng, Eimear Cleary, Nick Ruktanonchai, Hal Voepel, Andrew Tatem </w:t>
      </w:r>
      <w:r w:rsidR="00FF5EBF" w:rsidRPr="002350A2">
        <w:rPr>
          <w:szCs w:val="24"/>
        </w:rPr>
        <w:t>and</w:t>
      </w:r>
      <w:r w:rsidR="00FF5EBF" w:rsidRPr="002350A2">
        <w:rPr>
          <w:szCs w:val="24"/>
        </w:rPr>
        <w:t xml:space="preserve"> </w:t>
      </w:r>
      <w:r w:rsidRPr="002350A2">
        <w:rPr>
          <w:szCs w:val="24"/>
        </w:rPr>
        <w:t>Alessandro Sorichetta</w:t>
      </w:r>
      <w:r w:rsidR="00E37325" w:rsidRPr="002350A2">
        <w:rPr>
          <w:szCs w:val="24"/>
        </w:rPr>
        <w:t xml:space="preserve"> </w:t>
      </w:r>
      <w:r w:rsidRPr="002350A2">
        <w:rPr>
          <w:szCs w:val="24"/>
        </w:rPr>
        <w:t>commented on the manuscript.</w:t>
      </w:r>
    </w:p>
    <w:p w14:paraId="462D0DE5" w14:textId="77777777" w:rsidR="00FC5B7E" w:rsidRPr="00B86F1A" w:rsidRDefault="00FC5B7E" w:rsidP="005E11A1">
      <w:pPr>
        <w:spacing w:before="360" w:after="120" w:line="240" w:lineRule="auto"/>
        <w:rPr>
          <w:b/>
          <w:szCs w:val="24"/>
        </w:rPr>
      </w:pPr>
      <w:r w:rsidRPr="00B86F1A">
        <w:rPr>
          <w:b/>
          <w:szCs w:val="24"/>
        </w:rPr>
        <w:t>Ethics Approval</w:t>
      </w:r>
    </w:p>
    <w:p w14:paraId="71B014D9" w14:textId="53BE9EF2" w:rsidR="00FC5B7E" w:rsidRPr="00B86F1A" w:rsidRDefault="00FC5B7E" w:rsidP="00FC5B7E">
      <w:pPr>
        <w:spacing w:line="240" w:lineRule="auto"/>
        <w:rPr>
          <w:szCs w:val="24"/>
        </w:rPr>
      </w:pPr>
      <w:r w:rsidRPr="00B86F1A">
        <w:rPr>
          <w:szCs w:val="24"/>
        </w:rPr>
        <w:t>Ethical clearance for collecting and using secondary population data in this study was granted by the institutional review board of the University of Southampton (No. 79237). We only have access to the anonymised aggregated data from Facebook, and all direct identifiers, as well as any characteristics that might lead to identification were omitted from the data before we obtained them.</w:t>
      </w:r>
    </w:p>
    <w:p w14:paraId="0D707737" w14:textId="77777777" w:rsidR="00FC5B7E" w:rsidRPr="00B86F1A" w:rsidRDefault="00FC5B7E" w:rsidP="005E11A1">
      <w:pPr>
        <w:snapToGrid w:val="0"/>
        <w:spacing w:before="360" w:after="120" w:line="240" w:lineRule="auto"/>
        <w:rPr>
          <w:b/>
          <w:bCs/>
          <w:szCs w:val="24"/>
        </w:rPr>
      </w:pPr>
      <w:r w:rsidRPr="00B86F1A">
        <w:rPr>
          <w:b/>
          <w:bCs/>
          <w:szCs w:val="24"/>
        </w:rPr>
        <w:lastRenderedPageBreak/>
        <w:t>Conflict of Interests</w:t>
      </w:r>
    </w:p>
    <w:p w14:paraId="2E9A36F3" w14:textId="77777777" w:rsidR="00FC5B7E" w:rsidRPr="00B86F1A" w:rsidRDefault="00FC5B7E" w:rsidP="00FC5B7E">
      <w:pPr>
        <w:spacing w:line="240" w:lineRule="auto"/>
        <w:rPr>
          <w:szCs w:val="24"/>
        </w:rPr>
      </w:pPr>
      <w:r w:rsidRPr="00B86F1A">
        <w:rPr>
          <w:szCs w:val="24"/>
        </w:rPr>
        <w:t>The authors declare no conflict of interests.</w:t>
      </w:r>
    </w:p>
    <w:p w14:paraId="15236BF0" w14:textId="77777777" w:rsidR="00BC59E3" w:rsidRPr="004666D3" w:rsidRDefault="00BC59E3" w:rsidP="00A45A30">
      <w:pPr>
        <w:spacing w:line="360" w:lineRule="auto"/>
        <w:rPr>
          <w:szCs w:val="24"/>
        </w:rPr>
      </w:pPr>
    </w:p>
    <w:p w14:paraId="5642B0D6" w14:textId="1181884B" w:rsidR="002E7BDA" w:rsidRPr="004666D3" w:rsidRDefault="002E7BDA" w:rsidP="002F0ED8">
      <w:pPr>
        <w:pStyle w:val="mysubtitle"/>
      </w:pPr>
      <w:bookmarkStart w:id="136" w:name="OLE_LINK126"/>
      <w:r w:rsidRPr="004666D3">
        <w:t>References</w:t>
      </w:r>
    </w:p>
    <w:bookmarkEnd w:id="136"/>
    <w:p w14:paraId="7A25EC83" w14:textId="77777777" w:rsidR="00D629A1" w:rsidRPr="004666D3" w:rsidRDefault="00532660" w:rsidP="00D629A1">
      <w:pPr>
        <w:pStyle w:val="Bibliography"/>
      </w:pPr>
      <w:r w:rsidRPr="004666D3">
        <w:rPr>
          <w:sz w:val="22"/>
        </w:rPr>
        <w:fldChar w:fldCharType="begin"/>
      </w:r>
      <w:r w:rsidR="00CD0564" w:rsidRPr="004666D3">
        <w:instrText xml:space="preserve"> ADDIN ZOTERO_BIBL {"uncited":[],"omitted":[],"custom":[]} CSL_BIBLIOGRAPHY </w:instrText>
      </w:r>
      <w:r w:rsidRPr="004666D3">
        <w:rPr>
          <w:sz w:val="22"/>
        </w:rPr>
        <w:fldChar w:fldCharType="separate"/>
      </w:r>
      <w:r w:rsidR="00D629A1" w:rsidRPr="004666D3">
        <w:t>Afghari, A.P., Washington, S., Prato, C., Haque, M.M., 2019. Contrasting case-wise deletion with multiple imputation and latent variable approaches to dealing with missing observations in count regression models. Analytic Methods in Accident Research 24, 100104. https://doi.org/10.1016/j.amar.2019.100104</w:t>
      </w:r>
    </w:p>
    <w:p w14:paraId="1BEF52DB" w14:textId="77777777" w:rsidR="00D629A1" w:rsidRPr="004666D3" w:rsidRDefault="00D629A1" w:rsidP="00D629A1">
      <w:pPr>
        <w:pStyle w:val="Bibliography"/>
      </w:pPr>
      <w:r w:rsidRPr="004666D3">
        <w:t>Aguilera, F., Orlandi, F., Ruiz-Valenzuela, L., Msallem, M., Fornaciari, M., 2015. Analysis and interpretation of long temporal trends in cumulative temperatures and olive reproductive features using a seasonal trend decomposition procedure. Agricultural and Forest Meteorology 203, 208–216. https://doi.org/10.1016/j.agrformet.2014.11.019</w:t>
      </w:r>
    </w:p>
    <w:p w14:paraId="474A5960" w14:textId="77777777" w:rsidR="00D629A1" w:rsidRPr="004666D3" w:rsidRDefault="00D629A1" w:rsidP="00D629A1">
      <w:pPr>
        <w:pStyle w:val="Bibliography"/>
      </w:pPr>
      <w:r w:rsidRPr="004666D3">
        <w:t>Anderson, E.J., Stow, C.A., Gronewold, A.D., Mason, L.A., McCormick, M.J., Qian, S.S., Ruberg, S.A., Beadle, K., Constant, S.A., Hawley, N., 2021. Seasonal overturn and stratification changes drive deep-water warming in one of Earth’s largest lakes. Nat Commun 12, 1688. https://doi.org/10.1038/s41467-021-21971-1</w:t>
      </w:r>
    </w:p>
    <w:p w14:paraId="0A538C19" w14:textId="77777777" w:rsidR="00D629A1" w:rsidRPr="004666D3" w:rsidRDefault="00D629A1" w:rsidP="00D629A1">
      <w:pPr>
        <w:pStyle w:val="Bibliography"/>
      </w:pPr>
      <w:r w:rsidRPr="004666D3">
        <w:t>Barbosa, H., Barthelemy, M., Ghoshal, G., James, C.R., Lenormand, M., Louail, T., Menezes, R., Ramasco, J.J., Simini, F., Tomasini, M., 2018. Human mobility: Models and applications. Physics Reports, Human mobility: Models and applications 734, 1–74. https://doi.org/10.1016/j.physrep.2018.01.001</w:t>
      </w:r>
    </w:p>
    <w:p w14:paraId="423254DA" w14:textId="77777777" w:rsidR="00D629A1" w:rsidRPr="004666D3" w:rsidRDefault="00D629A1" w:rsidP="00D629A1">
      <w:pPr>
        <w:pStyle w:val="Bibliography"/>
      </w:pPr>
      <w:r w:rsidRPr="004666D3">
        <w:t>Beale, C.L., 1976. A Further Look at Nonmetropolitan Population Growth since 1970. American Journal of Agricultural Economics 58, 953–958. https://doi.org/10.2307/1239998</w:t>
      </w:r>
    </w:p>
    <w:p w14:paraId="1FEE0AC3" w14:textId="77777777" w:rsidR="00D629A1" w:rsidRPr="004666D3" w:rsidRDefault="00D629A1" w:rsidP="00D629A1">
      <w:pPr>
        <w:pStyle w:val="Bibliography"/>
      </w:pPr>
      <w:r w:rsidRPr="004666D3">
        <w:t>Berry, B.J.L., 1980. Urbanization and Counterurbanization in the United States. The Annals of the American Academy of Political and Social Science 451, 13–20.</w:t>
      </w:r>
    </w:p>
    <w:p w14:paraId="0A1F8CF8" w14:textId="77777777" w:rsidR="00D629A1" w:rsidRPr="004666D3" w:rsidRDefault="00D629A1" w:rsidP="00D629A1">
      <w:pPr>
        <w:pStyle w:val="Bibliography"/>
      </w:pPr>
      <w:r w:rsidRPr="004666D3">
        <w:t>Borsellino, R., Bernard, A., Charles-Edwards, E., Corcoran, J., 2022. A regional renaissance? The shifting geography of internal migration under COVID-19. Australian Geographer 53, 405–423. https://doi.org/10.1080/00049182.2022.2074622</w:t>
      </w:r>
    </w:p>
    <w:p w14:paraId="776FCD6C" w14:textId="77777777" w:rsidR="00D629A1" w:rsidRPr="004666D3" w:rsidRDefault="00D629A1" w:rsidP="00D629A1">
      <w:pPr>
        <w:pStyle w:val="Bibliography"/>
      </w:pPr>
      <w:r w:rsidRPr="004666D3">
        <w:t>Boulton, C.A., Lenton, T.M., Boers, N., 2022. Pronounced loss of Amazon rainforest resilience since the early 2000s. Nat. Clim. Chang. 12, 271–278. https://doi.org/10.1038/s41558-022-01287-8</w:t>
      </w:r>
    </w:p>
    <w:p w14:paraId="1728A571" w14:textId="77777777" w:rsidR="00D629A1" w:rsidRPr="004666D3" w:rsidRDefault="00D629A1" w:rsidP="00D629A1">
      <w:pPr>
        <w:pStyle w:val="Bibliography"/>
      </w:pPr>
      <w:r w:rsidRPr="004666D3">
        <w:t>Bourne, L.S., 1980. Alternative Perspectives on Urban Decline and Population Deconcentration. Urban Geography 1, 39–52. https://doi.org/10.2747/0272-3638.1.1.39</w:t>
      </w:r>
    </w:p>
    <w:p w14:paraId="0D5FA79C" w14:textId="77777777" w:rsidR="00D629A1" w:rsidRPr="004666D3" w:rsidRDefault="00D629A1" w:rsidP="00D629A1">
      <w:pPr>
        <w:pStyle w:val="Bibliography"/>
      </w:pPr>
      <w:r w:rsidRPr="004666D3">
        <w:t>Champion, A.G., 1989. Counterurbanization in Britain. The Geographical Journal 155, 52–59. https://doi.org/10.2307/635380</w:t>
      </w:r>
    </w:p>
    <w:p w14:paraId="29ADD10F" w14:textId="77777777" w:rsidR="00D629A1" w:rsidRPr="004666D3" w:rsidRDefault="00D629A1" w:rsidP="00D629A1">
      <w:pPr>
        <w:pStyle w:val="Bibliography"/>
      </w:pPr>
      <w:r w:rsidRPr="004666D3">
        <w:t>Charles-Edwards, E., Bell, M., 2015. Seasonal Flux in Australia’s Population Geography: Linking Space and Time. Population, Space and Place 21, 103–123. https://doi.org/10.1002/psp.1814</w:t>
      </w:r>
    </w:p>
    <w:p w14:paraId="0C39E792" w14:textId="77777777" w:rsidR="00D629A1" w:rsidRPr="004666D3" w:rsidRDefault="00D629A1" w:rsidP="00D629A1">
      <w:pPr>
        <w:pStyle w:val="Bibliography"/>
      </w:pPr>
      <w:r w:rsidRPr="004666D3">
        <w:t>Cleveland, R.B., Cleveland, W.S., McRae, J.E., Terpenning, I., 1990. STL: A seasonal-trend decomposition. Journal of Official Statistics 6, 3–73.</w:t>
      </w:r>
    </w:p>
    <w:p w14:paraId="24758B95" w14:textId="77777777" w:rsidR="00D629A1" w:rsidRPr="004666D3" w:rsidRDefault="00D629A1" w:rsidP="00D629A1">
      <w:pPr>
        <w:pStyle w:val="Bibliography"/>
      </w:pPr>
      <w:r w:rsidRPr="004666D3">
        <w:t>Çolak, S., Lima, A., González, M.C., 2016. Understanding congested travel in urban areas. Nat Commun 7, 10793. https://doi.org/10.1038/ncomms10793</w:t>
      </w:r>
    </w:p>
    <w:p w14:paraId="4C7887CE" w14:textId="77777777" w:rsidR="00D629A1" w:rsidRPr="004666D3" w:rsidRDefault="00D629A1" w:rsidP="00D629A1">
      <w:pPr>
        <w:pStyle w:val="Bibliography"/>
      </w:pPr>
      <w:r w:rsidRPr="004666D3">
        <w:lastRenderedPageBreak/>
        <w:t>Crankshaw, O., Borel-Saladin, J., 2019. Causes of urbanisation and counter-urbanisation in Zambia: Natural population increase or migration? Urban Studies 56, 2005–2020. https://doi.org/10.1177/0042098018787964</w:t>
      </w:r>
    </w:p>
    <w:p w14:paraId="46FEB7E9" w14:textId="77777777" w:rsidR="00D629A1" w:rsidRPr="004666D3" w:rsidRDefault="00D629A1" w:rsidP="00D629A1">
      <w:pPr>
        <w:pStyle w:val="Bibliography"/>
      </w:pPr>
      <w:r w:rsidRPr="004666D3">
        <w:t>Deville, P., Linard, C., Martin, S., Gilbert, M., Stevens, F.R., Gaughan, A.E., Blondel, V.D., Tatem, A.J., 2014. Dynamic population mapping using mobile phone data. Proceedings of the National Academy of Sciences 111, 15888–15893. https://doi.org/10.1073/pnas.1408439111</w:t>
      </w:r>
    </w:p>
    <w:p w14:paraId="34E249D3" w14:textId="77777777" w:rsidR="00D629A1" w:rsidRPr="004666D3" w:rsidRDefault="00D629A1" w:rsidP="00D629A1">
      <w:pPr>
        <w:pStyle w:val="Bibliography"/>
      </w:pPr>
      <w:r w:rsidRPr="004666D3">
        <w:t>Dijkstra, L., Florczyk, A.J., Freire, S., Kemper, T., Melchiorri, M., Pesaresi, M., Schiavina, M., 2021. Applying the Degree of Urbanisation to the globe: A new harmonised definition reveals a different picture of global urbanisation. Journal of Urban Economics, Delineation of Urban Areas 125, 103312. https://doi.org/10.1016/j.jue.2020.103312</w:t>
      </w:r>
    </w:p>
    <w:p w14:paraId="6836F7DF" w14:textId="77777777" w:rsidR="00D629A1" w:rsidRPr="004666D3" w:rsidRDefault="00D629A1" w:rsidP="00D629A1">
      <w:pPr>
        <w:pStyle w:val="Bibliography"/>
      </w:pPr>
      <w:r w:rsidRPr="004666D3">
        <w:t>dpa, 2021. COVID-19 pandemic - Thailand [WWW Document]. URL https://global-monitoring.com/gm/page/events/epidemic-0001924.ISKF8fY1q3xs.html?lang=en (accessed 5.5.23).</w:t>
      </w:r>
    </w:p>
    <w:p w14:paraId="1FD00626" w14:textId="77777777" w:rsidR="00D629A1" w:rsidRPr="004666D3" w:rsidRDefault="00D629A1" w:rsidP="00D629A1">
      <w:pPr>
        <w:pStyle w:val="Bibliography"/>
      </w:pPr>
      <w:r w:rsidRPr="004666D3">
        <w:t>European Commission. Statistical Office of the European Union., 2021. Applying the degree of urbanisation: a methodological manual to define cities, towns and rural areas for international comparisons : 2021 edition. Publications Office, LU.</w:t>
      </w:r>
    </w:p>
    <w:p w14:paraId="0A889502" w14:textId="77777777" w:rsidR="00D629A1" w:rsidRPr="004666D3" w:rsidRDefault="00D629A1" w:rsidP="00D629A1">
      <w:pPr>
        <w:pStyle w:val="Bibliography"/>
      </w:pPr>
      <w:r w:rsidRPr="004666D3">
        <w:t>Fiorio, L., Abel, G., Cai, J., Zagheni, E., Weber, I., Vinué, G., 2017. Using Twitter Data to Estimate the Relationship between Short-term Mobility and Long-term Migration, in: Proceedings of the 2017 ACM on Web Science Conference, WebSci ’17. Association for Computing Machinery, New York, NY, USA, pp. 103–110. https://doi.org/10.1145/3091478.3091496</w:t>
      </w:r>
    </w:p>
    <w:p w14:paraId="34C91FDB" w14:textId="77777777" w:rsidR="00D629A1" w:rsidRPr="004666D3" w:rsidRDefault="00D629A1" w:rsidP="00D629A1">
      <w:pPr>
        <w:pStyle w:val="Bibliography"/>
      </w:pPr>
      <w:r w:rsidRPr="004666D3">
        <w:t>FPS, 2022. Coronavirus COVID-19 [WWW Document]. URL https://www.info-coronavirus.be/en/news/ (accessed 5.5.23).</w:t>
      </w:r>
    </w:p>
    <w:p w14:paraId="22D7DBE4" w14:textId="77777777" w:rsidR="00D629A1" w:rsidRPr="004666D3" w:rsidRDefault="00D629A1" w:rsidP="00D629A1">
      <w:pPr>
        <w:pStyle w:val="Bibliography"/>
      </w:pPr>
      <w:r w:rsidRPr="004666D3">
        <w:t>Gibbs, H., Nightingale, E., Liu, Y., Cheshire, J., Danon, L., Smeeth, L., Pearson, C.A.B., Grundy, C., Group, L.C.C.-19 working, Kucharski, A.J., Eggo, R.M., 2021. Detecting behavioural changes in human movement to inform the spatial scale of interventions against COVID-19. PLOS Computational Biology 17, e1009162. https://doi.org/10.1371/journal.pcbi.1009162</w:t>
      </w:r>
    </w:p>
    <w:p w14:paraId="4E1B90AB" w14:textId="77777777" w:rsidR="00D629A1" w:rsidRPr="004666D3" w:rsidRDefault="00D629A1" w:rsidP="00D629A1">
      <w:pPr>
        <w:pStyle w:val="Bibliography"/>
      </w:pPr>
      <w:r w:rsidRPr="004666D3">
        <w:t>Gkartzios, M., 2013. ‘Leaving Athens’: Narratives of counterurbanisation in times of crisis. Journal of Rural Studies 32, 158–167. https://doi.org/10.1016/j.jrurstud.2013.06.003</w:t>
      </w:r>
    </w:p>
    <w:p w14:paraId="1289DDF8" w14:textId="77777777" w:rsidR="00D629A1" w:rsidRPr="004666D3" w:rsidRDefault="00D629A1" w:rsidP="00D629A1">
      <w:pPr>
        <w:pStyle w:val="Bibliography"/>
      </w:pPr>
      <w:r w:rsidRPr="004666D3">
        <w:t>Gkartzios, M., Halfacree, K., 2023. Editorial. Counterurbanisation, again: Rural mobilities, representations, power and policies. Habitat International 140, 102906. https://doi.org/10.1016/j.habitatint.2023.102906</w:t>
      </w:r>
    </w:p>
    <w:p w14:paraId="4E153182" w14:textId="77777777" w:rsidR="00D629A1" w:rsidRPr="004666D3" w:rsidRDefault="00D629A1" w:rsidP="00D629A1">
      <w:pPr>
        <w:pStyle w:val="Bibliography"/>
      </w:pPr>
      <w:r w:rsidRPr="004666D3">
        <w:t>Gkartzios, M., Scott, K., 2015. A Cultural Panic in the Province? Counterurban Mobilities, Creativity, and Crisis in Greece. Population, Space and Place 21, 843–855. https://doi.org/10.1002/psp.1933</w:t>
      </w:r>
    </w:p>
    <w:p w14:paraId="1E192DD5" w14:textId="77777777" w:rsidR="00D629A1" w:rsidRPr="004666D3" w:rsidRDefault="00D629A1" w:rsidP="00D629A1">
      <w:pPr>
        <w:pStyle w:val="Bibliography"/>
      </w:pPr>
      <w:r w:rsidRPr="004666D3">
        <w:t>González-Leonardo, M., López-Gay, A., Newsham, N., Recaño, J., Rowe, F., n.d. Understanding Patterns of Internal Migration During the COVID-19 Pandemic in Spain.</w:t>
      </w:r>
    </w:p>
    <w:p w14:paraId="4700038B" w14:textId="77777777" w:rsidR="00D629A1" w:rsidRPr="004666D3" w:rsidRDefault="00D629A1" w:rsidP="00D629A1">
      <w:pPr>
        <w:pStyle w:val="Bibliography"/>
      </w:pPr>
      <w:r w:rsidRPr="004666D3">
        <w:t>González-Leonardo, M., Rowe, F., Fresolone-Caparrós, A., 2022. Rural revival? The rise in internal migration to rural areas during the COVID-19 pandemic. Who moved and Where? Journal of Rural Studies 96, 332–342. https://doi.org/10.1016/j.jrurstud.2022.11.006</w:t>
      </w:r>
    </w:p>
    <w:p w14:paraId="6694CA0E" w14:textId="77777777" w:rsidR="00D629A1" w:rsidRPr="004666D3" w:rsidRDefault="00D629A1" w:rsidP="00D629A1">
      <w:pPr>
        <w:pStyle w:val="Bibliography"/>
      </w:pPr>
      <w:r w:rsidRPr="004666D3">
        <w:lastRenderedPageBreak/>
        <w:t>Gurrutxaga, M., 2021. Visualizing the rural population growth in Spain during 2020 triggered by the Covid-19 pandemic. Regional Studies, Regional Science 8, 305–307. https://doi.org/10.1080/21681376.2021.1958050</w:t>
      </w:r>
    </w:p>
    <w:p w14:paraId="75185DC3" w14:textId="77777777" w:rsidR="00D629A1" w:rsidRPr="004666D3" w:rsidRDefault="00D629A1" w:rsidP="00D629A1">
      <w:pPr>
        <w:pStyle w:val="Bibliography"/>
      </w:pPr>
      <w:r w:rsidRPr="004666D3">
        <w:t>Haase, A., Bernt, M., Großmann, K., Mykhnenko, V., Rink, D., 2016. Varieties of shrinkage in European cities. European Urban and Regional Studies 23, 86–102. https://doi.org/10.1177/0969776413481985</w:t>
      </w:r>
    </w:p>
    <w:p w14:paraId="42D20A82" w14:textId="77777777" w:rsidR="00D629A1" w:rsidRPr="004666D3" w:rsidRDefault="00D629A1" w:rsidP="00D629A1">
      <w:pPr>
        <w:pStyle w:val="Bibliography"/>
      </w:pPr>
      <w:r w:rsidRPr="004666D3">
        <w:t>Hale, T., Angrist, N., Goldszmidt, R., Kira, B., Petherick, A., Phillips, T., Webster, S., Cameron-Blake, E., Hallas, L., Majumdar, S., Tatlow, H., 2021. A global panel database of pandemic policies (Oxford COVID-19 Government Response Tracker). Nat Hum Behav 5, 529–538. https://doi.org/10.1038/s41562-021-01079-8</w:t>
      </w:r>
    </w:p>
    <w:p w14:paraId="0EEA030F" w14:textId="77777777" w:rsidR="00D629A1" w:rsidRPr="004666D3" w:rsidRDefault="00D629A1" w:rsidP="00D629A1">
      <w:pPr>
        <w:pStyle w:val="Bibliography"/>
      </w:pPr>
      <w:r w:rsidRPr="004666D3">
        <w:t>Halfacree, K., 2012. Heterolocal Identities? Counter-Urbanisation, Second Homes, and Rural Consumption in the Era of Mobilities. Population, Space and Place 18, 209–224. https://doi.org/10.1002/psp.665</w:t>
      </w:r>
    </w:p>
    <w:p w14:paraId="42840428" w14:textId="77777777" w:rsidR="00D629A1" w:rsidRPr="004666D3" w:rsidRDefault="00D629A1" w:rsidP="00D629A1">
      <w:pPr>
        <w:pStyle w:val="Bibliography"/>
      </w:pPr>
      <w:r w:rsidRPr="004666D3">
        <w:t>Halfacree, K., 2009. ‘Glow worms show the path we have to tread’: the counterurbanisation of Vashti Bunyan. Social &amp; Cultural Geography 10, 771–789. https://doi.org/10.1080/14649360903205157</w:t>
      </w:r>
    </w:p>
    <w:p w14:paraId="5DA044BA" w14:textId="77777777" w:rsidR="00D629A1" w:rsidRPr="004666D3" w:rsidRDefault="00D629A1" w:rsidP="00D629A1">
      <w:pPr>
        <w:pStyle w:val="Bibliography"/>
      </w:pPr>
      <w:r w:rsidRPr="004666D3">
        <w:t>Halfacree, K., 2008. To revitalise counterurbanisation research? Recognising an international and fuller picture. Population, Space and Place 14, 479–495. https://doi.org/10.1002/psp.501</w:t>
      </w:r>
    </w:p>
    <w:p w14:paraId="6879775F" w14:textId="77777777" w:rsidR="00D629A1" w:rsidRPr="004666D3" w:rsidRDefault="00D629A1" w:rsidP="00D629A1">
      <w:pPr>
        <w:pStyle w:val="Bibliography"/>
      </w:pPr>
      <w:r w:rsidRPr="004666D3">
        <w:t>Halfacree, K.H., Rivera, M.J., 2012. Moving to the Countryside ... and Staying: Lives beyond Representations. Sociologia Ruralis 52, 92–114. https://doi.org/10.1111/j.1467-9523.2011.00556.x</w:t>
      </w:r>
    </w:p>
    <w:p w14:paraId="16E5759E" w14:textId="77777777" w:rsidR="00D629A1" w:rsidRPr="004666D3" w:rsidRDefault="00D629A1" w:rsidP="00D629A1">
      <w:pPr>
        <w:pStyle w:val="Bibliography"/>
      </w:pPr>
      <w:r w:rsidRPr="004666D3">
        <w:t>Hall, S.A., Kaufman, J.S., Ricketts, T.C., 2006. Defining Urban and Rural Areas in U.S. Epidemiologic Studies. JURH 83, 162–175. https://doi.org/10.1007/s11524-005-9016-3</w:t>
      </w:r>
    </w:p>
    <w:p w14:paraId="7BDDFCC5" w14:textId="77777777" w:rsidR="00D629A1" w:rsidRPr="004666D3" w:rsidRDefault="00D629A1" w:rsidP="00D629A1">
      <w:pPr>
        <w:pStyle w:val="Bibliography"/>
      </w:pPr>
      <w:r w:rsidRPr="004666D3">
        <w:t>Hansen, H.K., Aner, L.G., 2017. On the location dynamics of highly educated people migrating to peripheral regions of Denmark. Population, Space and Place 23, e2076. https://doi.org/10.1002/psp.2076</w:t>
      </w:r>
    </w:p>
    <w:p w14:paraId="0E37119F" w14:textId="77777777" w:rsidR="00D629A1" w:rsidRPr="004666D3" w:rsidRDefault="00D629A1" w:rsidP="00D629A1">
      <w:pPr>
        <w:pStyle w:val="Bibliography"/>
      </w:pPr>
      <w:r w:rsidRPr="004666D3">
        <w:t>Hawelka, B., Sitko, I., Beinat, E., Sobolevsky, S., Kazakopoulos, P., Ratti, C., 2014. Geo-located Twitter as proxy for global mobility patterns. Cartography and Geographic Information Science 41, 260–271. https://doi.org/10.1080/15230406.2014.890072</w:t>
      </w:r>
    </w:p>
    <w:p w14:paraId="71ABC492" w14:textId="77777777" w:rsidR="00D629A1" w:rsidRPr="004666D3" w:rsidRDefault="00D629A1" w:rsidP="00D629A1">
      <w:pPr>
        <w:pStyle w:val="Bibliography"/>
      </w:pPr>
      <w:r w:rsidRPr="004666D3">
        <w:t>Hierink, F., Boo, G., Macharia, P.M., Ouma, P.O., Timoner, P., Levy, M., Tschirhart, K., Leyk, S., Oliphant, N., Tatem, A.J., Ray, N., 2022. Differences between gridded population data impact measures of geographic access to healthcare in sub-Saharan Africa. Commun Med 2, 1–13. https://doi.org/10.1038/s43856-022-00179-4</w:t>
      </w:r>
    </w:p>
    <w:p w14:paraId="65A0FDA3" w14:textId="77777777" w:rsidR="00D629A1" w:rsidRPr="004666D3" w:rsidRDefault="00D629A1" w:rsidP="00D629A1">
      <w:pPr>
        <w:pStyle w:val="Bibliography"/>
      </w:pPr>
      <w:r w:rsidRPr="004666D3">
        <w:t>Huang, Q., Wong, D.W.S., 2016. Activity patterns, socioeconomic status and urban spatial structure: what can social media data tell us? International Journal of Geographical Information Science 30, 1873–1898. https://doi.org/10.1080/13658816.2016.1145225</w:t>
      </w:r>
    </w:p>
    <w:p w14:paraId="6C2F45EE" w14:textId="77777777" w:rsidR="00D629A1" w:rsidRPr="004666D3" w:rsidRDefault="00D629A1" w:rsidP="00D629A1">
      <w:pPr>
        <w:pStyle w:val="Bibliography"/>
      </w:pPr>
      <w:r w:rsidRPr="004666D3">
        <w:t>Huang, X., Li, Z., Jiang, Y., Li, X., Porter, D., 2020. Twitter reveals human mobility dynamics during the COVID-19 pandemic. PLOS ONE 15, e0241957. https://doi.org/10.1371/journal.pone.0241957</w:t>
      </w:r>
    </w:p>
    <w:p w14:paraId="6C9AB4FE" w14:textId="77777777" w:rsidR="00D629A1" w:rsidRPr="004666D3" w:rsidRDefault="00D629A1" w:rsidP="00D629A1">
      <w:pPr>
        <w:pStyle w:val="Bibliography"/>
      </w:pPr>
      <w:r w:rsidRPr="004666D3">
        <w:t>Hugo, G., 1994. The turnaround in Australia: some first observations from the 1991 census. Australian Geographer 25, 1–17. https://doi.org/10.1080/00049189408703094</w:t>
      </w:r>
    </w:p>
    <w:p w14:paraId="061E6618" w14:textId="77777777" w:rsidR="00D629A1" w:rsidRPr="004666D3" w:rsidRDefault="00D629A1" w:rsidP="00D629A1">
      <w:pPr>
        <w:pStyle w:val="Bibliography"/>
      </w:pPr>
      <w:r w:rsidRPr="004666D3">
        <w:t>Jaroenkietkajorn, U., Gheewala, S.H., Scherer, L., 2021. Species loss from land use of oil palm plantations in Thailand. Ecological Indicators 133, 108444. https://doi.org/10.1016/j.ecolind.2021.108444</w:t>
      </w:r>
    </w:p>
    <w:p w14:paraId="573F56E6" w14:textId="77777777" w:rsidR="00D629A1" w:rsidRPr="004666D3" w:rsidRDefault="00D629A1" w:rsidP="00D629A1">
      <w:pPr>
        <w:pStyle w:val="Bibliography"/>
      </w:pPr>
      <w:r w:rsidRPr="004666D3">
        <w:lastRenderedPageBreak/>
        <w:t>Kolimenakis, A., Heinz, S., Wilson, M.L., Winkler, V., Yakob, L., Michaelakis, A., Papachristos, D., Richardson, C., Horstick, O., 2021. The role of urbanisation in the spread of Aedes mosquitoes and the diseases they transmit—A systematic review. PLOS Neglected Tropical Diseases 15, e0009631. https://doi.org/10.1371/journal.pntd.0009631</w:t>
      </w:r>
    </w:p>
    <w:p w14:paraId="33F58787" w14:textId="77777777" w:rsidR="00D629A1" w:rsidRPr="004666D3" w:rsidRDefault="00D629A1" w:rsidP="00D629A1">
      <w:pPr>
        <w:pStyle w:val="Bibliography"/>
      </w:pPr>
      <w:r w:rsidRPr="004666D3">
        <w:t>Kontuly, T., Wiard, S., Vogelsang, R., 1986. Counterurbanization in the Federal Republic of Germany*. The Professional Geographer 38, 170–181. https://doi.org/10.1111/j.0033-0124.1986.00170.x</w:t>
      </w:r>
    </w:p>
    <w:p w14:paraId="6D5D14F1" w14:textId="77777777" w:rsidR="00D629A1" w:rsidRPr="004666D3" w:rsidRDefault="00D629A1" w:rsidP="00D629A1">
      <w:pPr>
        <w:pStyle w:val="Bibliography"/>
      </w:pPr>
      <w:r w:rsidRPr="004666D3">
        <w:t>Lai, S., Erbach-Schoenberg, E. zu, Pezzulo, C., Ruktanonchai, N.W., Sorichetta, A., Steele, J., Li, T., Dooley, C.A., Tatem, A.J., 2019. Exploring the use of mobile phone data for national migration statistics. Palgrave Commun 5, 1–10. https://doi.org/10.1057/s41599-019-0242-9</w:t>
      </w:r>
    </w:p>
    <w:p w14:paraId="26F945A8" w14:textId="77777777" w:rsidR="00D629A1" w:rsidRPr="004666D3" w:rsidRDefault="00D629A1" w:rsidP="00D629A1">
      <w:pPr>
        <w:pStyle w:val="Bibliography"/>
      </w:pPr>
      <w:r w:rsidRPr="004666D3">
        <w:t>Lai, S., Ruktanonchai, N.W., Carioli, A., Ruktanonchai, C.W., Floyd, J.R., Prosper, O., Zhang, C., Du, X., Yang, W., Tatem, A.J., 2021. Assessing the Effect of Global Travel and Contact Restrictions on Mitigating the COVID-19 Pandemic. Engineering (Beijing) 7, 914–923. https://doi.org/10.1016/j.eng.2021.03.017</w:t>
      </w:r>
    </w:p>
    <w:p w14:paraId="43F20B48" w14:textId="77777777" w:rsidR="00D629A1" w:rsidRPr="004666D3" w:rsidRDefault="00D629A1" w:rsidP="00D629A1">
      <w:pPr>
        <w:pStyle w:val="Bibliography"/>
      </w:pPr>
      <w:r w:rsidRPr="004666D3">
        <w:t>Lai, S., Sorichetta, A., Steele, J., Ruktanonchai, C.W., Cunningham, A.D., Rogers, G., Koper, P., Woods, D., Bondarenko, M., Ruktanonchai, N.W., Shi, W., Tatem, A.J., 2022. Global holiday datasets for understanding seasonal human mobility and population dynamics. Sci Data 9, 17. https://doi.org/10.1038/s41597-022-01120-z</w:t>
      </w:r>
    </w:p>
    <w:p w14:paraId="37A7AD69" w14:textId="77777777" w:rsidR="00D629A1" w:rsidRPr="004666D3" w:rsidRDefault="00D629A1" w:rsidP="00D629A1">
      <w:pPr>
        <w:pStyle w:val="Bibliography"/>
      </w:pPr>
      <w:r w:rsidRPr="004666D3">
        <w:t>Leyk, S., Uhl, J.H., Connor, D.S., Braswell, A.E., Mietkiewicz, N., Balch, J.K., Gutmann, M., 2020. Two centuries of settlement and urban development in the United States. Science Advances 6, eaba2937. https://doi.org/10.1126/sciadv.aba2937</w:t>
      </w:r>
    </w:p>
    <w:p w14:paraId="36B47055" w14:textId="77777777" w:rsidR="00D629A1" w:rsidRPr="004666D3" w:rsidRDefault="00D629A1" w:rsidP="00D629A1">
      <w:pPr>
        <w:pStyle w:val="Bibliography"/>
      </w:pPr>
      <w:r w:rsidRPr="004666D3">
        <w:t>Li, Xueying, Long, D., Scanlon, B.R., Mann, M.E., Li, Xingdong, Tian, F., Sun, Z., Wang, G., 2022. Climate change threatens terrestrial water storage over the Tibetan Plateau. Nat. Clim. Chang. 12, 801–807. https://doi.org/10.1038/s41558-022-01443-0</w:t>
      </w:r>
    </w:p>
    <w:p w14:paraId="434648E4" w14:textId="77777777" w:rsidR="00D629A1" w:rsidRPr="004666D3" w:rsidRDefault="00D629A1" w:rsidP="00D629A1">
      <w:pPr>
        <w:pStyle w:val="Bibliography"/>
      </w:pPr>
      <w:r w:rsidRPr="004666D3">
        <w:t>Li, Z., Fox, J.M., 2012. Mapping rubber tree growth in mainland Southeast Asia using time-series MODIS 250 m NDVI and statistical data. Applied Geography 32, 420–432. https://doi.org/10.1016/j.apgeog.2011.06.018</w:t>
      </w:r>
    </w:p>
    <w:p w14:paraId="7A672EC3" w14:textId="77777777" w:rsidR="00D629A1" w:rsidRPr="004666D3" w:rsidRDefault="00D629A1" w:rsidP="00D629A1">
      <w:pPr>
        <w:pStyle w:val="Bibliography"/>
      </w:pPr>
      <w:r w:rsidRPr="004666D3">
        <w:t>Lowe, R., Lee, S.A., O’Reilly, K.M., Brady, O.J., Bastos, L., Carrasco-Escobar, G., de Castro Catão, R., Colón-González, F.J., Barcellos, C., Carvalho, M.S., Blangiardo, M., Rue, H., Gasparrini, A., 2021. Combined effects of hydrometeorological hazards and urbanisation on dengue risk in Brazil: a spatiotemporal modelling study. The Lancet Planetary Health 5, e209–e219. https://doi.org/10.1016/S2542-5196(20)30292-8</w:t>
      </w:r>
    </w:p>
    <w:p w14:paraId="6379EA2C" w14:textId="77777777" w:rsidR="00D629A1" w:rsidRPr="004666D3" w:rsidRDefault="00D629A1" w:rsidP="00D629A1">
      <w:pPr>
        <w:pStyle w:val="Bibliography"/>
      </w:pPr>
      <w:r w:rsidRPr="004666D3">
        <w:t>Luo, F., Cao, G., Mulligan, K., Li, X., 2016. Explore spatiotemporal and demographic characteristics of human mobility via Twitter: A case study of Chicago. Applied Geography 70, 11–25. https://doi.org/10.1016/j.apgeog.2016.03.001</w:t>
      </w:r>
    </w:p>
    <w:p w14:paraId="57197339" w14:textId="77777777" w:rsidR="00D629A1" w:rsidRPr="004666D3" w:rsidRDefault="00D629A1" w:rsidP="00D629A1">
      <w:pPr>
        <w:pStyle w:val="Bibliography"/>
      </w:pPr>
      <w:r w:rsidRPr="004666D3">
        <w:t>Maas, P., 2019. Facebook Disaster Maps: Aggregate Insights for Crisis Response &amp; Recovery, in: Proceedings of the 25th ACM SIGKDD International Conference on Knowledge Discovery &amp; Data Mining. Presented at the KDD ’19: The 25th ACM SIGKDD Conference on Knowledge Discovery and Data Mining, ACM, Anchorage AK USA, pp. 3173–3173. https://doi.org/10.1145/3292500.3340412</w:t>
      </w:r>
    </w:p>
    <w:p w14:paraId="0666385D" w14:textId="77777777" w:rsidR="00D629A1" w:rsidRPr="004666D3" w:rsidRDefault="00D629A1" w:rsidP="00D629A1">
      <w:pPr>
        <w:pStyle w:val="Bibliography"/>
      </w:pPr>
      <w:r w:rsidRPr="004666D3">
        <w:t>Mage, D., Ozolins, G., Peterson, P., Webster, A., Orthofer, R., Vandeweerd, V., Gwynne, M., 1996. Urban air pollution in megacities of the world. Atmospheric Environment, Supercities: Environment Quality and Sustainable Development 30, 681–686. https://doi.org/10.1016/1352-2310(95)00219-7</w:t>
      </w:r>
    </w:p>
    <w:p w14:paraId="1A8CF56B" w14:textId="77777777" w:rsidR="00D629A1" w:rsidRPr="004666D3" w:rsidRDefault="00D629A1" w:rsidP="00D629A1">
      <w:pPr>
        <w:pStyle w:val="Bibliography"/>
      </w:pPr>
      <w:r w:rsidRPr="004666D3">
        <w:lastRenderedPageBreak/>
        <w:t>McManus, P., 2022. Counterurbanisation, demographic change and discourses of rural revival in Australia during COVID-19. Australian Geographer 53, 363–378. https://doi.org/10.1080/00049182.2022.2042037</w:t>
      </w:r>
    </w:p>
    <w:p w14:paraId="2CAFD51A" w14:textId="77777777" w:rsidR="00D629A1" w:rsidRPr="004666D3" w:rsidRDefault="00D629A1" w:rsidP="00D629A1">
      <w:pPr>
        <w:pStyle w:val="Bibliography"/>
      </w:pPr>
      <w:r w:rsidRPr="004666D3">
        <w:t>Meredith, H.R., Giles, J.R., Perez-Saez, J., Mande, T., Rinaldo, A., Mutembo, S., Kabalo, E.N., Makungo, K., Buckee, C.O., Tatem, A.J., Metcalf, C.J.E., Wesolowski, A., 2021. Characterizing human mobility patterns in rural settings of sub-Saharan Africa. eLife 10, e68441. https://doi.org/10.7554/eLife.68441</w:t>
      </w:r>
    </w:p>
    <w:p w14:paraId="708F0801" w14:textId="77777777" w:rsidR="00D629A1" w:rsidRPr="004666D3" w:rsidRDefault="00D629A1" w:rsidP="00D629A1">
      <w:pPr>
        <w:pStyle w:val="Bibliography"/>
      </w:pPr>
      <w:r w:rsidRPr="004666D3">
        <w:t>Microsoft, 2022. Bing Maps Tile System - Bing Maps [WWW Document]. URL https://learn.microsoft.com/en-us/bingmaps/articles/bing-maps-tile-system (accessed 2.28.23).</w:t>
      </w:r>
    </w:p>
    <w:p w14:paraId="3A330C18" w14:textId="77777777" w:rsidR="00D629A1" w:rsidRPr="004666D3" w:rsidRDefault="00D629A1" w:rsidP="00D629A1">
      <w:pPr>
        <w:pStyle w:val="Bibliography"/>
      </w:pPr>
      <w:r w:rsidRPr="004666D3">
        <w:t>Mitchell, C.J.A., 2004. Making sense of counterurbanization. Journal of Rural Studies 20, 15–34. https://doi.org/10.1016/S0743-0167(03)00031-7</w:t>
      </w:r>
    </w:p>
    <w:p w14:paraId="5363C6C4" w14:textId="77777777" w:rsidR="00D629A1" w:rsidRPr="004666D3" w:rsidRDefault="00D629A1" w:rsidP="00D629A1">
      <w:pPr>
        <w:pStyle w:val="Bibliography"/>
      </w:pPr>
      <w:r w:rsidRPr="004666D3">
        <w:t>Parks, T., Chatsuwan, M., Pillai, S., 2020. Enduring the Pandemic: Surveys of the Impact of COVID-19 on the Livelihoods of Thai People.</w:t>
      </w:r>
    </w:p>
    <w:p w14:paraId="35CD2312" w14:textId="77777777" w:rsidR="00D629A1" w:rsidRPr="004666D3" w:rsidRDefault="00D629A1" w:rsidP="00D629A1">
      <w:pPr>
        <w:pStyle w:val="Bibliography"/>
      </w:pPr>
      <w:r w:rsidRPr="004666D3">
        <w:t>Posel, D., Casale, D., 2021. Moving during times of crisis: Migration, living arrangements and COVID-19 in South Africa. Scientific African 13, e00926. https://doi.org/10.1016/j.sciaf.2021.e00926</w:t>
      </w:r>
    </w:p>
    <w:p w14:paraId="19C74986" w14:textId="77777777" w:rsidR="00D629A1" w:rsidRPr="004666D3" w:rsidRDefault="00D629A1" w:rsidP="00D629A1">
      <w:pPr>
        <w:pStyle w:val="Bibliography"/>
      </w:pPr>
      <w:r w:rsidRPr="004666D3">
        <w:t>Remoundou, K., Gkartzios, M., Garrod, G., 2016. Conceptualizing Mobility in Times of Crisis: Towards Crisis-Led Counterurbanization? Regional Studies 50, 1663–1674. https://doi.org/10.1080/00343404.2015.1057561</w:t>
      </w:r>
    </w:p>
    <w:p w14:paraId="0D5C674F" w14:textId="77777777" w:rsidR="00D629A1" w:rsidRPr="004666D3" w:rsidRDefault="00D629A1" w:rsidP="00D629A1">
      <w:pPr>
        <w:pStyle w:val="Bibliography"/>
      </w:pPr>
      <w:r w:rsidRPr="004666D3">
        <w:t>Rogers, G., Koper, P., Ruktanonchai, C., Ruktanonchai, N., Utazi, E., Woods, D., Cunningham, A., Tatem, A.J., Steele, J., Lai, S., Sorichetta, A., 2023. Exploring the Relationship between Temporal Fluctuations in Satellite Nightlight Imagery and Human Mobility across Africa. Remote Sensing 15, 4252. https://doi.org/10.3390/rs15174252</w:t>
      </w:r>
    </w:p>
    <w:p w14:paraId="2CF3FC12" w14:textId="77777777" w:rsidR="00D629A1" w:rsidRPr="004666D3" w:rsidRDefault="00D629A1" w:rsidP="00D629A1">
      <w:pPr>
        <w:pStyle w:val="Bibliography"/>
      </w:pPr>
      <w:r w:rsidRPr="004666D3">
        <w:t>Romanillos, G., García-Palomares, J.C., Moya-Gómez, B., Gutiérrez, J., Torres, J., López, M., Cantú-Ros, O.G., Herranz, R., 2021. The city turned off: Urban dynamics during the COVID-19 pandemic based on mobile phone data. Applied Geography 134, 102524. https://doi.org/10.1016/j.apgeog.2021.102524</w:t>
      </w:r>
    </w:p>
    <w:p w14:paraId="271A0520" w14:textId="77777777" w:rsidR="00D629A1" w:rsidRPr="004666D3" w:rsidRDefault="00D629A1" w:rsidP="00D629A1">
      <w:pPr>
        <w:pStyle w:val="Bibliography"/>
      </w:pPr>
      <w:r w:rsidRPr="004666D3">
        <w:t>Rose, A., McKee, J., Sims, K., Bright, E., Reith, A., Urban, M., 2020. LandScan Global 2019. https://doi.org/10.48690/1524214</w:t>
      </w:r>
    </w:p>
    <w:p w14:paraId="2C435426" w14:textId="77777777" w:rsidR="00D629A1" w:rsidRPr="004666D3" w:rsidRDefault="00D629A1" w:rsidP="00D629A1">
      <w:pPr>
        <w:pStyle w:val="Bibliography"/>
      </w:pPr>
      <w:r w:rsidRPr="004666D3">
        <w:t>Rowe, F., Bell, M., Bernard, A., Charles-Edwards, E., Ueffing, P., 2019. Impact of internal migration on population redistribution in Europe: Urbanisation, counterurbanisation or spatial equilibrium? CPoS 44. https://doi.org/10.12765/CPoS-2019-18en</w:t>
      </w:r>
    </w:p>
    <w:p w14:paraId="2E000023" w14:textId="77777777" w:rsidR="00D629A1" w:rsidRPr="004666D3" w:rsidRDefault="00D629A1" w:rsidP="00D629A1">
      <w:pPr>
        <w:pStyle w:val="Bibliography"/>
      </w:pPr>
      <w:r w:rsidRPr="004666D3">
        <w:t>Rowe, F., Cabrera-Arnau, C., González-Leonardo, M., Nasuto, A., Neville, R., 2023a. Reduced mobility? Urban exodus? Medium-term impacts of the COVID-19 pandemic on internal population movements in Latin American countries (preprint). https://doi.org/10.48550/arXiv.2311.01464</w:t>
      </w:r>
    </w:p>
    <w:p w14:paraId="5111F962" w14:textId="77777777" w:rsidR="00D629A1" w:rsidRPr="004666D3" w:rsidRDefault="00D629A1" w:rsidP="00D629A1">
      <w:pPr>
        <w:pStyle w:val="Bibliography"/>
      </w:pPr>
      <w:r w:rsidRPr="004666D3">
        <w:t>Rowe, F., Calafiore, A., Arribas-Bel, D., Samardzhiev, K., Fleischmann, M., 2023b. Urban exodus? Understanding human mobility in Britain during the COVID-19 pandemic using Meta-Facebook data. Population, Space and Place 29, e2637. https://doi.org/10.1002/psp.2637</w:t>
      </w:r>
    </w:p>
    <w:p w14:paraId="3999070F" w14:textId="77777777" w:rsidR="00D629A1" w:rsidRPr="004666D3" w:rsidRDefault="00D629A1" w:rsidP="00D629A1">
      <w:pPr>
        <w:pStyle w:val="Bibliography"/>
      </w:pPr>
      <w:r w:rsidRPr="004666D3">
        <w:t>Rowe, F., González-Leonardo, M., Champion, T., 2023c. Virtual special issue: Internal migration in times of COVID-19. Population, Space and Place 29, e2652. https://doi.org/10.1002/psp.2652</w:t>
      </w:r>
    </w:p>
    <w:p w14:paraId="3EB097DA" w14:textId="77777777" w:rsidR="00D629A1" w:rsidRPr="004666D3" w:rsidRDefault="00D629A1" w:rsidP="00D629A1">
      <w:pPr>
        <w:pStyle w:val="Bibliography"/>
      </w:pPr>
      <w:r w:rsidRPr="004666D3">
        <w:t>Ruktanonchai, N.W., Ruktanonchai, C.W., Floyd, J.R., Tatem, A.J., 2018. Using Google Location History data to quantify fine-scale human mobility. Int J Health Geogr 17, 28. https://doi.org/10.1186/s12942-018-0150-z</w:t>
      </w:r>
    </w:p>
    <w:p w14:paraId="17BE5207" w14:textId="77777777" w:rsidR="00D629A1" w:rsidRPr="004666D3" w:rsidRDefault="00D629A1" w:rsidP="00D629A1">
      <w:pPr>
        <w:pStyle w:val="Bibliography"/>
      </w:pPr>
      <w:r w:rsidRPr="004666D3">
        <w:lastRenderedPageBreak/>
        <w:t>Schiavina, M., Melchiorri, M., Pesaresi, M., 2022. GHS-SMOD R2022A - GHS settlement layers, application of the Degree of Urbanisation methodology (stage I) to GHS-POP R2022A and GHS-BUILT-S R2022A, multitemporal (1975-2030). European Commission, Joint Research Centre (JRC). https://doi.org/10.2905/4606D58A-DC08-463C-86A9-D49EF461C47F</w:t>
      </w:r>
    </w:p>
    <w:p w14:paraId="7B5D831F" w14:textId="77777777" w:rsidR="00D629A1" w:rsidRPr="004666D3" w:rsidRDefault="00D629A1" w:rsidP="00D629A1">
      <w:pPr>
        <w:pStyle w:val="Bibliography"/>
      </w:pPr>
      <w:r w:rsidRPr="004666D3">
        <w:t>Shepherd, H.E.R., Atherden, F.S., Chan, H.M.T., Loveridge, A., Tatem, A.J., 2021. Domestic and international mobility trends in the United Kingdom during the COVID-19 pandemic: an analysis of facebook data. International Journal of Health Geographics 20, 46. https://doi.org/10.1186/s12942-021-00299-5</w:t>
      </w:r>
    </w:p>
    <w:p w14:paraId="4D7C3F63" w14:textId="77777777" w:rsidR="00D629A1" w:rsidRPr="004666D3" w:rsidRDefault="00D629A1" w:rsidP="00D629A1">
      <w:pPr>
        <w:pStyle w:val="Bibliography"/>
      </w:pPr>
      <w:r w:rsidRPr="004666D3">
        <w:t>Smith, D., 2007. The changing faces of rural populations: ‘“(re) Fixing” the gaze’ or ‘eyes wide shut’? Journal of Rural Studies, The Changing Faces of Rural Populations 23, 275–282. https://doi.org/10.1016/j.jrurstud.2007.03.001</w:t>
      </w:r>
    </w:p>
    <w:p w14:paraId="32988E02" w14:textId="77777777" w:rsidR="00D629A1" w:rsidRPr="004666D3" w:rsidRDefault="00D629A1" w:rsidP="00D629A1">
      <w:pPr>
        <w:pStyle w:val="Bibliography"/>
      </w:pPr>
      <w:r w:rsidRPr="004666D3">
        <w:t>Smith, T., Traxl, D., Boers, N., 2022. Empirical evidence for recent global shifts in vegetation resilience. Nat. Clim. Chang. 12, 477–484. https://doi.org/10.1038/s41558-022-01352-2</w:t>
      </w:r>
    </w:p>
    <w:p w14:paraId="218CC2C9" w14:textId="77777777" w:rsidR="00D629A1" w:rsidRPr="004666D3" w:rsidRDefault="00D629A1" w:rsidP="00D629A1">
      <w:pPr>
        <w:pStyle w:val="Bibliography"/>
      </w:pPr>
      <w:r w:rsidRPr="004666D3">
        <w:t>Stawarz, N., Rosenbaum-Feldbrügge, M., Sander, N., Sulak, H., Knobloch, V., 2022. The impact of the COVID-19 pandemic on internal migration in Germany: A descriptive analysis. Population, Space and Place 28, e2566. https://doi.org/10.1002/psp.2566</w:t>
      </w:r>
    </w:p>
    <w:p w14:paraId="30196D9D" w14:textId="77777777" w:rsidR="00D629A1" w:rsidRPr="004666D3" w:rsidRDefault="00D629A1" w:rsidP="00D629A1">
      <w:pPr>
        <w:pStyle w:val="Bibliography"/>
      </w:pPr>
      <w:r w:rsidRPr="004666D3">
        <w:t>Steele, J.E., Pezzulo, C., Albert, M., Brooks, C.J., zu Erbach-Schoenberg, E., O’Connor, S.B., Sundsøy, P.R., Engø-Monsen, K., Nilsen, K., Graupe, B., Nyachhyon, R.L., Silpakar, P., Tatem, A.J., 2021. Mobility and phone call behavior explain patterns in poverty at high-resolution across multiple settings. Humanit Soc Sci Commun 8, 1–12. https://doi.org/10.1057/s41599-021-00953-0</w:t>
      </w:r>
    </w:p>
    <w:p w14:paraId="5A8EFCA5" w14:textId="77777777" w:rsidR="00D629A1" w:rsidRPr="004666D3" w:rsidRDefault="00D629A1" w:rsidP="00D629A1">
      <w:pPr>
        <w:pStyle w:val="Bibliography"/>
      </w:pPr>
      <w:r w:rsidRPr="004666D3">
        <w:t>Stevens, F.R., Gaughan, A.E., Linard, C., Tatem, A.J., 2015. Disaggregating Census Data for Population Mapping Using Random Forests with Remotely-Sensed and Ancillary Data. PLOS ONE 10, e0107042. https://doi.org/10.1371/journal.pone.0107042</w:t>
      </w:r>
    </w:p>
    <w:p w14:paraId="3A7F3343" w14:textId="77777777" w:rsidR="00D629A1" w:rsidRPr="004666D3" w:rsidRDefault="00D629A1" w:rsidP="00D629A1">
      <w:pPr>
        <w:pStyle w:val="Bibliography"/>
      </w:pPr>
      <w:r w:rsidRPr="004666D3">
        <w:t>Sulemana, I., Nketiah-Amponsah, E., Codjoe, E.A., Andoh, J.A.N., 2019. Urbanization and income inequality in Sub-Saharan Africa. Sustainable Cities and Society 48, 101544. https://doi.org/10.1016/j.scs.2019.101544</w:t>
      </w:r>
    </w:p>
    <w:p w14:paraId="3CDE6BB4" w14:textId="77777777" w:rsidR="00D629A1" w:rsidRPr="004666D3" w:rsidRDefault="00D629A1" w:rsidP="00D629A1">
      <w:pPr>
        <w:pStyle w:val="Bibliography"/>
      </w:pPr>
      <w:r w:rsidRPr="004666D3">
        <w:t>Tammaru, T., Kliimask, J., Kalm, K., Zālīte, J., 2023. Did the pandemic bring new features to counter-urbanisation? Evidence from Estonia. Journal of Rural Studies 97, 345–355. https://doi.org/10.1016/j.jrurstud.2022.12.012</w:t>
      </w:r>
    </w:p>
    <w:p w14:paraId="3BD6B47A" w14:textId="77777777" w:rsidR="00D629A1" w:rsidRPr="004666D3" w:rsidRDefault="00D629A1" w:rsidP="00D629A1">
      <w:pPr>
        <w:pStyle w:val="Bibliography"/>
      </w:pPr>
      <w:r w:rsidRPr="004666D3">
        <w:t>The Brussels Times, 2021. Cheat Sheet: How Belgium Leaves Lockdown.</w:t>
      </w:r>
    </w:p>
    <w:p w14:paraId="36D68F3A" w14:textId="77777777" w:rsidR="00D629A1" w:rsidRPr="004666D3" w:rsidRDefault="00D629A1" w:rsidP="00D629A1">
      <w:pPr>
        <w:pStyle w:val="Bibliography"/>
      </w:pPr>
      <w:r w:rsidRPr="004666D3">
        <w:t>Theodosiou, M., 2011. Forecasting monthly and quarterly time series using STL decomposition. International Journal of Forecasting 27, 1178–1195. https://doi.org/10.1016/j.ijforecast.2010.11.002</w:t>
      </w:r>
    </w:p>
    <w:p w14:paraId="604174EB" w14:textId="77777777" w:rsidR="00D629A1" w:rsidRPr="004666D3" w:rsidRDefault="00D629A1" w:rsidP="00D629A1">
      <w:pPr>
        <w:pStyle w:val="Bibliography"/>
      </w:pPr>
      <w:r w:rsidRPr="004666D3">
        <w:t>United Nations Population Fund, 2019. Technical Guidance: Post Enumeration Surveys in Population and Housing Censuses.</w:t>
      </w:r>
    </w:p>
    <w:p w14:paraId="4A2F34D6" w14:textId="77777777" w:rsidR="00D629A1" w:rsidRPr="004666D3" w:rsidRDefault="00D629A1" w:rsidP="00D629A1">
      <w:pPr>
        <w:pStyle w:val="Bibliography"/>
      </w:pPr>
      <w:r w:rsidRPr="004666D3">
        <w:t>Wang, C.-M., 2023. Escape to the countryside: Affects and rural eventful atmospheres. Habitat International 140, 102929. https://doi.org/10.1016/j.habitatint.2023.102929</w:t>
      </w:r>
    </w:p>
    <w:p w14:paraId="100ACAF0" w14:textId="77777777" w:rsidR="00D629A1" w:rsidRPr="004666D3" w:rsidRDefault="00D629A1" w:rsidP="00D629A1">
      <w:pPr>
        <w:pStyle w:val="Bibliography"/>
      </w:pPr>
      <w:r w:rsidRPr="004666D3">
        <w:t>Woods, D., Cunningham, A., Utazi, C.E., Bondarenko, M., Shengjie, L., Rogers, G.E., Koper, P., Ruktanonchai, C.W., zu Erbach-Schoenberg, E., Tatem, A.J., Steele, J., Sorichetta, A., 2022. Exploring methods for mapping seasonal population changes using mobile phone data. Humanit Soc Sci Commun 9, 1–17. https://doi.org/10.1057/s41599-022-01256-8</w:t>
      </w:r>
    </w:p>
    <w:p w14:paraId="091820D3" w14:textId="77777777" w:rsidR="00D629A1" w:rsidRPr="004666D3" w:rsidRDefault="00D629A1" w:rsidP="00D629A1">
      <w:pPr>
        <w:pStyle w:val="Bibliography"/>
      </w:pPr>
      <w:r w:rsidRPr="004666D3">
        <w:t>World Bank, 2021. Urban population (% of total population) [WWW Document]. URL https://data.worldbank.org/indicator/SP.URB.TOTL.IN.ZS (accessed 3.25.23).</w:t>
      </w:r>
    </w:p>
    <w:p w14:paraId="7DAFE4A3" w14:textId="77777777" w:rsidR="00D629A1" w:rsidRPr="004666D3" w:rsidRDefault="00D629A1" w:rsidP="00D629A1">
      <w:pPr>
        <w:pStyle w:val="Bibliography"/>
      </w:pPr>
      <w:r w:rsidRPr="004666D3">
        <w:lastRenderedPageBreak/>
        <w:t>World Bank Group, 2021. Impact of COVID-19 on Thailand’s Households : Insights from a Rapid Phone Survey (English). Washington, D.C.</w:t>
      </w:r>
    </w:p>
    <w:p w14:paraId="5FE344F0" w14:textId="77777777" w:rsidR="00D629A1" w:rsidRPr="004666D3" w:rsidRDefault="00D629A1" w:rsidP="00D629A1">
      <w:pPr>
        <w:pStyle w:val="Bibliography"/>
      </w:pPr>
      <w:r w:rsidRPr="004666D3">
        <w:t>World Population Review, 2023. Facebook Users by Country 2023 [WWW Document]. URL https://worldpopulationreview.com/country-rankings/facebook-users-by-country (accessed 3.17.23).</w:t>
      </w:r>
    </w:p>
    <w:p w14:paraId="2CD8919E" w14:textId="77777777" w:rsidR="00D629A1" w:rsidRPr="004666D3" w:rsidRDefault="00D629A1" w:rsidP="00D629A1">
      <w:pPr>
        <w:pStyle w:val="Bibliography"/>
      </w:pPr>
      <w:r w:rsidRPr="004666D3">
        <w:t>World Travel and Tourism Council, 2020. Thailand 2020 Annual Research: Key Insights.</w:t>
      </w:r>
    </w:p>
    <w:p w14:paraId="0B57197E" w14:textId="77777777" w:rsidR="00D629A1" w:rsidRPr="004666D3" w:rsidRDefault="00D629A1" w:rsidP="00D629A1">
      <w:pPr>
        <w:pStyle w:val="Bibliography"/>
      </w:pPr>
      <w:r w:rsidRPr="004666D3">
        <w:t>WorldPop, 2020. Global High Resolution Population Denominators Project - Funded by The Bill and Melinda Gates Foundation (OPP1134076). https://doi.org/10.5258/SOTON/WP00660</w:t>
      </w:r>
    </w:p>
    <w:p w14:paraId="2779A801" w14:textId="77777777" w:rsidR="00D629A1" w:rsidRPr="004666D3" w:rsidRDefault="00D629A1" w:rsidP="00D629A1">
      <w:pPr>
        <w:pStyle w:val="Bibliography"/>
      </w:pPr>
      <w:r w:rsidRPr="004666D3">
        <w:t>Xu, L., Zhang, H., Wang, C., Wei, S., Zhang, B., Wu, F., Tang, Y., 2021. Paddy Rice Mapping in Thailand Using Time-Series Sentinel-1 Data and Deep Learning Model. Remote Sensing 13, 3994. https://doi.org/10.3390/rs13193994</w:t>
      </w:r>
    </w:p>
    <w:p w14:paraId="012EEECE" w14:textId="77777777" w:rsidR="00D629A1" w:rsidRPr="004666D3" w:rsidRDefault="00D629A1" w:rsidP="00D629A1">
      <w:pPr>
        <w:pStyle w:val="Bibliography"/>
      </w:pPr>
      <w:r w:rsidRPr="004666D3">
        <w:t>Yabe, T., Tsubouchi, K., Fujiwara, N., Wada, T., Sekimoto, Y., Ukkusuri, S.V., 2020. Non-compulsory measures sufficiently reduced human mobility in Tokyo during the COVID-19 epidemic. Sci Rep 10, 18053. https://doi.org/10.1038/s41598-020-75033-5</w:t>
      </w:r>
    </w:p>
    <w:p w14:paraId="008C1068" w14:textId="77777777" w:rsidR="00D629A1" w:rsidRPr="004666D3" w:rsidRDefault="00D629A1" w:rsidP="00D629A1">
      <w:pPr>
        <w:pStyle w:val="Bibliography"/>
      </w:pPr>
      <w:r w:rsidRPr="004666D3">
        <w:t>Zhang, X., Han, L., Wei, H., Tan, X., Zhou, W., Li, W., Qian, Y., 2022. Linking urbanization and air quality together: A review and a perspective on the future sustainable urban development. Journal of Cleaner Production 346, 130988. https://doi.org/10.1016/j.jclepro.2022.130988</w:t>
      </w:r>
    </w:p>
    <w:p w14:paraId="4C093D36" w14:textId="6F4EDB60" w:rsidR="00EB169D" w:rsidRDefault="00532660" w:rsidP="00AD61A7">
      <w:pPr>
        <w:spacing w:line="360" w:lineRule="auto"/>
        <w:rPr>
          <w:szCs w:val="24"/>
        </w:rPr>
      </w:pPr>
      <w:r w:rsidRPr="004666D3">
        <w:rPr>
          <w:szCs w:val="24"/>
        </w:rPr>
        <w:fldChar w:fldCharType="end"/>
      </w:r>
    </w:p>
    <w:p w14:paraId="577B0351" w14:textId="77777777" w:rsidR="00FC5B7E" w:rsidRPr="004666D3" w:rsidRDefault="00FC5B7E" w:rsidP="00FC5B7E">
      <w:pPr>
        <w:pStyle w:val="mysubtitle"/>
        <w:spacing w:before="480" w:after="100" w:afterAutospacing="1"/>
        <w:rPr>
          <w:sz w:val="28"/>
          <w:szCs w:val="28"/>
        </w:rPr>
      </w:pPr>
      <w:bookmarkStart w:id="137" w:name="OLE_LINK121"/>
      <w:r w:rsidRPr="004666D3">
        <w:rPr>
          <w:sz w:val="28"/>
          <w:szCs w:val="28"/>
        </w:rPr>
        <w:t>Supplementary</w:t>
      </w:r>
    </w:p>
    <w:p w14:paraId="253B2A39" w14:textId="77777777" w:rsidR="00FC5B7E" w:rsidRPr="004666D3" w:rsidRDefault="00FC5B7E" w:rsidP="00FC5B7E">
      <w:pPr>
        <w:pStyle w:val="ListParagraph"/>
        <w:numPr>
          <w:ilvl w:val="0"/>
          <w:numId w:val="6"/>
        </w:numPr>
        <w:rPr>
          <w:b/>
          <w:bCs/>
          <w:szCs w:val="24"/>
        </w:rPr>
      </w:pPr>
      <w:r w:rsidRPr="004666D3">
        <w:rPr>
          <w:b/>
          <w:bCs/>
          <w:szCs w:val="24"/>
        </w:rPr>
        <w:t>Missing data imputation</w:t>
      </w:r>
    </w:p>
    <w:p w14:paraId="69CF807B" w14:textId="77777777" w:rsidR="00FC5B7E" w:rsidRPr="004666D3" w:rsidRDefault="00FC5B7E" w:rsidP="00FC5B7E">
      <w:pPr>
        <w:rPr>
          <w:b/>
          <w:bCs/>
          <w:szCs w:val="24"/>
        </w:rPr>
      </w:pPr>
      <w:r w:rsidRPr="004666D3">
        <w:rPr>
          <w:b/>
          <w:bCs/>
          <w:szCs w:val="24"/>
        </w:rPr>
        <w:t>A1. Distribution of the Facebook data and incomplete records</w:t>
      </w:r>
    </w:p>
    <w:p w14:paraId="5880DC3A" w14:textId="77777777" w:rsidR="00FC5B7E" w:rsidRPr="004666D3" w:rsidRDefault="00FC5B7E" w:rsidP="00FC5B7E">
      <w:pPr>
        <w:rPr>
          <w:szCs w:val="24"/>
        </w:rPr>
      </w:pPr>
      <w:r w:rsidRPr="004666D3">
        <w:rPr>
          <w:szCs w:val="24"/>
        </w:rPr>
        <w:t xml:space="preserve">Figure A.1 showed the distributions of the Facebook baseline and their corresponding percent change, providing an overview of the user count changes. The percent change from baseline was calculated by Facebook based on the number of Facebook users. </w:t>
      </w:r>
      <w:r w:rsidRPr="004666D3">
        <w:t>As the number of users is often relatively small, this can lead to very high percent changes for some sparsely populated tiles</w:t>
      </w:r>
      <w:r w:rsidRPr="004666D3">
        <w:rPr>
          <w:szCs w:val="24"/>
        </w:rPr>
        <w:t xml:space="preserve">. For example, a rural tile in Belgium (Bing tile level 15, about 1.2 x 1.2 km at the Equator) on 15 August 2021 showed a change of 1163.46% in Facebook users, increasing from 11.76 to 160.2. </w:t>
      </w:r>
      <w:r w:rsidRPr="004666D3">
        <w:t>This means that the percentage change data from Facebook cannot easily be used to estimate total changes in the population in combination with gridded static pre-covid population datasets (e.g., WorldPop).</w:t>
      </w:r>
    </w:p>
    <w:p w14:paraId="628D8C56" w14:textId="77777777" w:rsidR="00FC5B7E" w:rsidRPr="004666D3" w:rsidRDefault="00FC5B7E" w:rsidP="00FC5B7E">
      <w:pPr>
        <w:rPr>
          <w:b/>
          <w:bCs/>
          <w:szCs w:val="24"/>
        </w:rPr>
      </w:pPr>
      <w:r w:rsidRPr="004666D3">
        <w:rPr>
          <w:b/>
          <w:bCs/>
          <w:noProof/>
          <w:szCs w:val="24"/>
        </w:rPr>
        <w:lastRenderedPageBreak/>
        <w:drawing>
          <wp:inline distT="0" distB="0" distL="0" distR="0" wp14:anchorId="7E9C1B2C" wp14:editId="45CB604B">
            <wp:extent cx="5731510" cy="2736850"/>
            <wp:effectExtent l="0" t="0" r="2540" b="6350"/>
            <wp:docPr id="43" name="Picture 4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a graph&#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36850"/>
                    </a:xfrm>
                    <a:prstGeom prst="rect">
                      <a:avLst/>
                    </a:prstGeom>
                  </pic:spPr>
                </pic:pic>
              </a:graphicData>
            </a:graphic>
          </wp:inline>
        </w:drawing>
      </w:r>
    </w:p>
    <w:p w14:paraId="6B4DB554" w14:textId="77777777" w:rsidR="00FC5B7E" w:rsidRPr="004666D3" w:rsidRDefault="00FC5B7E" w:rsidP="00FC5B7E">
      <w:pPr>
        <w:spacing w:line="360" w:lineRule="auto"/>
        <w:rPr>
          <w:szCs w:val="24"/>
        </w:rPr>
      </w:pPr>
      <w:r w:rsidRPr="004666D3">
        <w:rPr>
          <w:szCs w:val="24"/>
        </w:rPr>
        <w:t>Figure A.1 Distribution of Facebook baseline and the corresponding percent change from baseline for (a) Belgium and (b)Thailand.</w:t>
      </w:r>
    </w:p>
    <w:p w14:paraId="1F323B8C" w14:textId="77777777" w:rsidR="00FC5B7E" w:rsidRPr="004666D3" w:rsidRDefault="00FC5B7E" w:rsidP="00FC5B7E">
      <w:pPr>
        <w:spacing w:line="240" w:lineRule="auto"/>
        <w:rPr>
          <w:szCs w:val="24"/>
        </w:rPr>
      </w:pPr>
    </w:p>
    <w:p w14:paraId="65233037" w14:textId="77777777" w:rsidR="00FC5B7E" w:rsidRPr="004666D3" w:rsidRDefault="00FC5B7E" w:rsidP="00FC5B7E">
      <w:r w:rsidRPr="004666D3">
        <w:t xml:space="preserve">Compared to Thailand, which only had approximately 10% missing data, about two-thirds of the data from Belgium were incomplete (Table A.1), with over 80% of these missing records located in rural areas. In Thailand, all missing records were exclusively in rural areas. Table A.1 showed a highly uneven distribution of missing records across urban centres, suburban and rural areas in both Belgium and Thailand. Therefore, it is necessary to impute these missing data when exploring changes in rural areas and compare them with urban and suburban areas. </w:t>
      </w:r>
    </w:p>
    <w:p w14:paraId="11FD9D54" w14:textId="77777777" w:rsidR="00FC5B7E" w:rsidRPr="004666D3" w:rsidRDefault="00FC5B7E" w:rsidP="00FC5B7E">
      <w:pPr>
        <w:spacing w:line="360" w:lineRule="auto"/>
        <w:rPr>
          <w:szCs w:val="24"/>
        </w:rPr>
      </w:pPr>
      <w:r w:rsidRPr="004666D3">
        <w:rPr>
          <w:szCs w:val="24"/>
        </w:rPr>
        <w:t>Table A.1 The proportion of incomplete records across urban centre, suburban and rural areas for Belgium and Thailand.</w:t>
      </w:r>
    </w:p>
    <w:tbl>
      <w:tblPr>
        <w:tblW w:w="9072" w:type="dxa"/>
        <w:tblLook w:val="04A0" w:firstRow="1" w:lastRow="0" w:firstColumn="1" w:lastColumn="0" w:noHBand="0" w:noVBand="1"/>
      </w:tblPr>
      <w:tblGrid>
        <w:gridCol w:w="1134"/>
        <w:gridCol w:w="1276"/>
        <w:gridCol w:w="2126"/>
        <w:gridCol w:w="1276"/>
        <w:gridCol w:w="1892"/>
        <w:gridCol w:w="1417"/>
      </w:tblGrid>
      <w:tr w:rsidR="00FC5B7E" w:rsidRPr="004666D3" w14:paraId="4238FC91" w14:textId="77777777" w:rsidTr="00FC5B7E">
        <w:trPr>
          <w:trHeight w:val="300"/>
        </w:trPr>
        <w:tc>
          <w:tcPr>
            <w:tcW w:w="1134" w:type="dxa"/>
            <w:tcBorders>
              <w:top w:val="single" w:sz="8" w:space="0" w:color="auto"/>
              <w:left w:val="nil"/>
              <w:bottom w:val="single" w:sz="4" w:space="0" w:color="auto"/>
              <w:right w:val="nil"/>
            </w:tcBorders>
            <w:shd w:val="clear" w:color="auto" w:fill="auto"/>
            <w:noWrap/>
            <w:vAlign w:val="center"/>
            <w:hideMark/>
          </w:tcPr>
          <w:p w14:paraId="49894FD8"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Country</w:t>
            </w:r>
          </w:p>
        </w:tc>
        <w:tc>
          <w:tcPr>
            <w:tcW w:w="1276" w:type="dxa"/>
            <w:tcBorders>
              <w:top w:val="single" w:sz="8" w:space="0" w:color="auto"/>
              <w:left w:val="nil"/>
              <w:bottom w:val="single" w:sz="4" w:space="0" w:color="auto"/>
              <w:right w:val="nil"/>
            </w:tcBorders>
            <w:shd w:val="clear" w:color="auto" w:fill="auto"/>
            <w:noWrap/>
            <w:vAlign w:val="center"/>
            <w:hideMark/>
          </w:tcPr>
          <w:p w14:paraId="33C8F161"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Time</w:t>
            </w:r>
          </w:p>
        </w:tc>
        <w:tc>
          <w:tcPr>
            <w:tcW w:w="2126" w:type="dxa"/>
            <w:tcBorders>
              <w:top w:val="single" w:sz="8" w:space="0" w:color="auto"/>
              <w:left w:val="nil"/>
              <w:bottom w:val="single" w:sz="4" w:space="0" w:color="auto"/>
              <w:right w:val="nil"/>
            </w:tcBorders>
            <w:shd w:val="clear" w:color="auto" w:fill="auto"/>
            <w:noWrap/>
            <w:vAlign w:val="center"/>
            <w:hideMark/>
          </w:tcPr>
          <w:p w14:paraId="3EE0DCE5"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Count</w:t>
            </w:r>
          </w:p>
        </w:tc>
        <w:tc>
          <w:tcPr>
            <w:tcW w:w="1276" w:type="dxa"/>
            <w:tcBorders>
              <w:top w:val="single" w:sz="8" w:space="0" w:color="auto"/>
              <w:left w:val="nil"/>
              <w:bottom w:val="single" w:sz="4" w:space="0" w:color="auto"/>
              <w:right w:val="nil"/>
            </w:tcBorders>
            <w:shd w:val="clear" w:color="auto" w:fill="auto"/>
            <w:noWrap/>
            <w:vAlign w:val="center"/>
            <w:hideMark/>
          </w:tcPr>
          <w:p w14:paraId="5387220B"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Urban centre</w:t>
            </w:r>
          </w:p>
        </w:tc>
        <w:tc>
          <w:tcPr>
            <w:tcW w:w="1843" w:type="dxa"/>
            <w:tcBorders>
              <w:top w:val="single" w:sz="8" w:space="0" w:color="auto"/>
              <w:left w:val="nil"/>
              <w:bottom w:val="single" w:sz="4" w:space="0" w:color="auto"/>
              <w:right w:val="nil"/>
            </w:tcBorders>
            <w:shd w:val="clear" w:color="auto" w:fill="auto"/>
            <w:noWrap/>
            <w:vAlign w:val="center"/>
            <w:hideMark/>
          </w:tcPr>
          <w:p w14:paraId="0231EC92"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Urban cluster/suburban</w:t>
            </w:r>
          </w:p>
        </w:tc>
        <w:tc>
          <w:tcPr>
            <w:tcW w:w="1417" w:type="dxa"/>
            <w:tcBorders>
              <w:top w:val="single" w:sz="8" w:space="0" w:color="auto"/>
              <w:left w:val="nil"/>
              <w:bottom w:val="single" w:sz="4" w:space="0" w:color="auto"/>
              <w:right w:val="nil"/>
            </w:tcBorders>
            <w:shd w:val="clear" w:color="auto" w:fill="auto"/>
            <w:noWrap/>
            <w:vAlign w:val="center"/>
            <w:hideMark/>
          </w:tcPr>
          <w:p w14:paraId="504D5815"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Rural</w:t>
            </w:r>
          </w:p>
        </w:tc>
      </w:tr>
      <w:tr w:rsidR="00FC5B7E" w:rsidRPr="004666D3" w14:paraId="5B06E070" w14:textId="77777777" w:rsidTr="00FC5B7E">
        <w:trPr>
          <w:trHeight w:val="300"/>
        </w:trPr>
        <w:tc>
          <w:tcPr>
            <w:tcW w:w="1134" w:type="dxa"/>
            <w:vMerge w:val="restart"/>
            <w:tcBorders>
              <w:top w:val="single" w:sz="4" w:space="0" w:color="auto"/>
              <w:left w:val="nil"/>
              <w:bottom w:val="single" w:sz="4" w:space="0" w:color="auto"/>
              <w:right w:val="nil"/>
            </w:tcBorders>
            <w:shd w:val="clear" w:color="auto" w:fill="auto"/>
            <w:noWrap/>
            <w:vAlign w:val="center"/>
            <w:hideMark/>
          </w:tcPr>
          <w:p w14:paraId="1F3E167A"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Belgium</w:t>
            </w:r>
          </w:p>
        </w:tc>
        <w:tc>
          <w:tcPr>
            <w:tcW w:w="1276" w:type="dxa"/>
            <w:vMerge w:val="restart"/>
            <w:tcBorders>
              <w:top w:val="single" w:sz="4" w:space="0" w:color="auto"/>
              <w:left w:val="nil"/>
              <w:bottom w:val="single" w:sz="8" w:space="0" w:color="auto"/>
              <w:right w:val="nil"/>
            </w:tcBorders>
            <w:shd w:val="clear" w:color="auto" w:fill="auto"/>
            <w:noWrap/>
            <w:vAlign w:val="center"/>
            <w:hideMark/>
          </w:tcPr>
          <w:p w14:paraId="2BF10AF5"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Night-time</w:t>
            </w:r>
          </w:p>
        </w:tc>
        <w:tc>
          <w:tcPr>
            <w:tcW w:w="2126" w:type="dxa"/>
            <w:tcBorders>
              <w:top w:val="single" w:sz="4" w:space="0" w:color="auto"/>
              <w:left w:val="nil"/>
              <w:bottom w:val="nil"/>
              <w:right w:val="nil"/>
            </w:tcBorders>
            <w:shd w:val="clear" w:color="auto" w:fill="auto"/>
            <w:noWrap/>
            <w:vAlign w:val="center"/>
            <w:hideMark/>
          </w:tcPr>
          <w:p w14:paraId="593E1B2A"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Total records</w:t>
            </w:r>
          </w:p>
        </w:tc>
        <w:tc>
          <w:tcPr>
            <w:tcW w:w="1276" w:type="dxa"/>
            <w:tcBorders>
              <w:top w:val="single" w:sz="4" w:space="0" w:color="auto"/>
              <w:left w:val="nil"/>
              <w:bottom w:val="nil"/>
              <w:right w:val="nil"/>
            </w:tcBorders>
            <w:shd w:val="clear" w:color="auto" w:fill="auto"/>
            <w:noWrap/>
            <w:vAlign w:val="center"/>
            <w:hideMark/>
          </w:tcPr>
          <w:p w14:paraId="3EA50302"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1555950</w:t>
            </w:r>
          </w:p>
        </w:tc>
        <w:tc>
          <w:tcPr>
            <w:tcW w:w="1843" w:type="dxa"/>
            <w:tcBorders>
              <w:top w:val="single" w:sz="4" w:space="0" w:color="auto"/>
              <w:left w:val="nil"/>
              <w:bottom w:val="nil"/>
              <w:right w:val="nil"/>
            </w:tcBorders>
            <w:shd w:val="clear" w:color="auto" w:fill="auto"/>
            <w:noWrap/>
            <w:vAlign w:val="center"/>
            <w:hideMark/>
          </w:tcPr>
          <w:p w14:paraId="5B713B04"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6837072</w:t>
            </w:r>
          </w:p>
        </w:tc>
        <w:tc>
          <w:tcPr>
            <w:tcW w:w="1417" w:type="dxa"/>
            <w:tcBorders>
              <w:top w:val="single" w:sz="4" w:space="0" w:color="auto"/>
              <w:left w:val="nil"/>
              <w:bottom w:val="nil"/>
              <w:right w:val="nil"/>
            </w:tcBorders>
            <w:shd w:val="clear" w:color="auto" w:fill="auto"/>
            <w:noWrap/>
            <w:vAlign w:val="center"/>
            <w:hideMark/>
          </w:tcPr>
          <w:p w14:paraId="21F1F9BF"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29747811</w:t>
            </w:r>
          </w:p>
        </w:tc>
      </w:tr>
      <w:tr w:rsidR="00FC5B7E" w:rsidRPr="004666D3" w14:paraId="68C1544F" w14:textId="77777777" w:rsidTr="00FC5B7E">
        <w:trPr>
          <w:trHeight w:val="300"/>
        </w:trPr>
        <w:tc>
          <w:tcPr>
            <w:tcW w:w="1134" w:type="dxa"/>
            <w:vMerge/>
            <w:tcBorders>
              <w:top w:val="nil"/>
              <w:left w:val="nil"/>
              <w:bottom w:val="single" w:sz="4" w:space="0" w:color="auto"/>
              <w:right w:val="nil"/>
            </w:tcBorders>
            <w:vAlign w:val="center"/>
            <w:hideMark/>
          </w:tcPr>
          <w:p w14:paraId="31DD108A"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nil"/>
              <w:left w:val="nil"/>
              <w:bottom w:val="single" w:sz="8" w:space="0" w:color="auto"/>
              <w:right w:val="nil"/>
            </w:tcBorders>
            <w:vAlign w:val="center"/>
            <w:hideMark/>
          </w:tcPr>
          <w:p w14:paraId="08D04E89"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nil"/>
              <w:right w:val="nil"/>
            </w:tcBorders>
            <w:shd w:val="clear" w:color="auto" w:fill="auto"/>
            <w:noWrap/>
            <w:vAlign w:val="center"/>
            <w:hideMark/>
          </w:tcPr>
          <w:p w14:paraId="3A618D6D"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Incomplete records</w:t>
            </w:r>
          </w:p>
        </w:tc>
        <w:tc>
          <w:tcPr>
            <w:tcW w:w="1276" w:type="dxa"/>
            <w:tcBorders>
              <w:top w:val="nil"/>
              <w:left w:val="nil"/>
              <w:bottom w:val="nil"/>
              <w:right w:val="nil"/>
            </w:tcBorders>
            <w:shd w:val="clear" w:color="auto" w:fill="auto"/>
            <w:noWrap/>
            <w:vAlign w:val="center"/>
            <w:hideMark/>
          </w:tcPr>
          <w:p w14:paraId="4B7B5627"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69062</w:t>
            </w:r>
          </w:p>
        </w:tc>
        <w:tc>
          <w:tcPr>
            <w:tcW w:w="1843" w:type="dxa"/>
            <w:tcBorders>
              <w:top w:val="nil"/>
              <w:left w:val="nil"/>
              <w:bottom w:val="nil"/>
              <w:right w:val="nil"/>
            </w:tcBorders>
            <w:shd w:val="clear" w:color="auto" w:fill="auto"/>
            <w:noWrap/>
            <w:vAlign w:val="center"/>
            <w:hideMark/>
          </w:tcPr>
          <w:p w14:paraId="55A501EA"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853606</w:t>
            </w:r>
          </w:p>
        </w:tc>
        <w:tc>
          <w:tcPr>
            <w:tcW w:w="1417" w:type="dxa"/>
            <w:tcBorders>
              <w:top w:val="nil"/>
              <w:left w:val="nil"/>
              <w:bottom w:val="nil"/>
              <w:right w:val="nil"/>
            </w:tcBorders>
            <w:shd w:val="clear" w:color="auto" w:fill="auto"/>
            <w:noWrap/>
            <w:vAlign w:val="center"/>
            <w:hideMark/>
          </w:tcPr>
          <w:p w14:paraId="36474F7E"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24651688</w:t>
            </w:r>
          </w:p>
        </w:tc>
      </w:tr>
      <w:tr w:rsidR="00FC5B7E" w:rsidRPr="004666D3" w14:paraId="2F651393" w14:textId="77777777" w:rsidTr="00FC5B7E">
        <w:trPr>
          <w:trHeight w:val="300"/>
        </w:trPr>
        <w:tc>
          <w:tcPr>
            <w:tcW w:w="1134" w:type="dxa"/>
            <w:vMerge/>
            <w:tcBorders>
              <w:top w:val="nil"/>
              <w:left w:val="nil"/>
              <w:bottom w:val="single" w:sz="4" w:space="0" w:color="auto"/>
              <w:right w:val="nil"/>
            </w:tcBorders>
            <w:vAlign w:val="center"/>
            <w:hideMark/>
          </w:tcPr>
          <w:p w14:paraId="5BCC5C19"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nil"/>
              <w:left w:val="nil"/>
              <w:bottom w:val="single" w:sz="4" w:space="0" w:color="auto"/>
              <w:right w:val="nil"/>
            </w:tcBorders>
            <w:vAlign w:val="center"/>
            <w:hideMark/>
          </w:tcPr>
          <w:p w14:paraId="49F61F85"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single" w:sz="4" w:space="0" w:color="auto"/>
              <w:right w:val="nil"/>
            </w:tcBorders>
            <w:shd w:val="clear" w:color="auto" w:fill="auto"/>
            <w:noWrap/>
            <w:vAlign w:val="center"/>
            <w:hideMark/>
          </w:tcPr>
          <w:p w14:paraId="02241580"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Proportion</w:t>
            </w:r>
          </w:p>
        </w:tc>
        <w:tc>
          <w:tcPr>
            <w:tcW w:w="1276" w:type="dxa"/>
            <w:tcBorders>
              <w:top w:val="nil"/>
              <w:left w:val="nil"/>
              <w:bottom w:val="single" w:sz="4" w:space="0" w:color="auto"/>
              <w:right w:val="nil"/>
            </w:tcBorders>
            <w:shd w:val="clear" w:color="auto" w:fill="auto"/>
            <w:noWrap/>
            <w:vAlign w:val="center"/>
            <w:hideMark/>
          </w:tcPr>
          <w:p w14:paraId="3D597D5B"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4.44%</w:t>
            </w:r>
          </w:p>
        </w:tc>
        <w:tc>
          <w:tcPr>
            <w:tcW w:w="1843" w:type="dxa"/>
            <w:tcBorders>
              <w:top w:val="nil"/>
              <w:left w:val="nil"/>
              <w:bottom w:val="single" w:sz="4" w:space="0" w:color="auto"/>
              <w:right w:val="nil"/>
            </w:tcBorders>
            <w:shd w:val="clear" w:color="auto" w:fill="auto"/>
            <w:noWrap/>
            <w:vAlign w:val="center"/>
            <w:hideMark/>
          </w:tcPr>
          <w:p w14:paraId="2D2AEC32"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12.48%</w:t>
            </w:r>
          </w:p>
        </w:tc>
        <w:tc>
          <w:tcPr>
            <w:tcW w:w="1417" w:type="dxa"/>
            <w:tcBorders>
              <w:top w:val="nil"/>
              <w:left w:val="nil"/>
              <w:bottom w:val="single" w:sz="4" w:space="0" w:color="auto"/>
              <w:right w:val="nil"/>
            </w:tcBorders>
            <w:shd w:val="clear" w:color="auto" w:fill="auto"/>
            <w:noWrap/>
            <w:vAlign w:val="center"/>
            <w:hideMark/>
          </w:tcPr>
          <w:p w14:paraId="62B4065D"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82.87%</w:t>
            </w:r>
          </w:p>
        </w:tc>
      </w:tr>
      <w:tr w:rsidR="00FC5B7E" w:rsidRPr="004666D3" w14:paraId="3379D1D9" w14:textId="77777777" w:rsidTr="00FC5B7E">
        <w:trPr>
          <w:trHeight w:val="300"/>
        </w:trPr>
        <w:tc>
          <w:tcPr>
            <w:tcW w:w="1134" w:type="dxa"/>
            <w:vMerge/>
            <w:tcBorders>
              <w:top w:val="single" w:sz="4" w:space="0" w:color="auto"/>
              <w:left w:val="nil"/>
              <w:bottom w:val="single" w:sz="4" w:space="0" w:color="auto"/>
              <w:right w:val="nil"/>
            </w:tcBorders>
            <w:vAlign w:val="center"/>
            <w:hideMark/>
          </w:tcPr>
          <w:p w14:paraId="53ACB68F"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val="restart"/>
            <w:tcBorders>
              <w:top w:val="single" w:sz="4" w:space="0" w:color="auto"/>
              <w:left w:val="nil"/>
              <w:bottom w:val="single" w:sz="8" w:space="0" w:color="auto"/>
              <w:right w:val="nil"/>
            </w:tcBorders>
            <w:shd w:val="clear" w:color="auto" w:fill="auto"/>
            <w:noWrap/>
            <w:vAlign w:val="center"/>
            <w:hideMark/>
          </w:tcPr>
          <w:p w14:paraId="23E462B8"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Daytime</w:t>
            </w:r>
          </w:p>
        </w:tc>
        <w:tc>
          <w:tcPr>
            <w:tcW w:w="2126" w:type="dxa"/>
            <w:tcBorders>
              <w:top w:val="single" w:sz="4" w:space="0" w:color="auto"/>
              <w:left w:val="nil"/>
              <w:bottom w:val="nil"/>
              <w:right w:val="nil"/>
            </w:tcBorders>
            <w:shd w:val="clear" w:color="auto" w:fill="auto"/>
            <w:noWrap/>
            <w:vAlign w:val="center"/>
            <w:hideMark/>
          </w:tcPr>
          <w:p w14:paraId="0BABED5C"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Total records</w:t>
            </w:r>
          </w:p>
        </w:tc>
        <w:tc>
          <w:tcPr>
            <w:tcW w:w="1276" w:type="dxa"/>
            <w:tcBorders>
              <w:top w:val="single" w:sz="4" w:space="0" w:color="auto"/>
              <w:left w:val="nil"/>
              <w:bottom w:val="nil"/>
              <w:right w:val="nil"/>
            </w:tcBorders>
            <w:shd w:val="clear" w:color="auto" w:fill="auto"/>
            <w:noWrap/>
            <w:vAlign w:val="center"/>
            <w:hideMark/>
          </w:tcPr>
          <w:p w14:paraId="5DBDA4F5"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1556068</w:t>
            </w:r>
          </w:p>
        </w:tc>
        <w:tc>
          <w:tcPr>
            <w:tcW w:w="1843" w:type="dxa"/>
            <w:tcBorders>
              <w:top w:val="single" w:sz="4" w:space="0" w:color="auto"/>
              <w:left w:val="nil"/>
              <w:bottom w:val="nil"/>
              <w:right w:val="nil"/>
            </w:tcBorders>
            <w:shd w:val="clear" w:color="auto" w:fill="auto"/>
            <w:noWrap/>
            <w:vAlign w:val="center"/>
            <w:hideMark/>
          </w:tcPr>
          <w:p w14:paraId="4F6E303B"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6834329</w:t>
            </w:r>
          </w:p>
        </w:tc>
        <w:tc>
          <w:tcPr>
            <w:tcW w:w="1417" w:type="dxa"/>
            <w:tcBorders>
              <w:top w:val="single" w:sz="4" w:space="0" w:color="auto"/>
              <w:left w:val="nil"/>
              <w:bottom w:val="nil"/>
              <w:right w:val="nil"/>
            </w:tcBorders>
            <w:shd w:val="clear" w:color="auto" w:fill="auto"/>
            <w:noWrap/>
            <w:vAlign w:val="center"/>
            <w:hideMark/>
          </w:tcPr>
          <w:p w14:paraId="513D307B"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29839974</w:t>
            </w:r>
          </w:p>
        </w:tc>
      </w:tr>
      <w:tr w:rsidR="00FC5B7E" w:rsidRPr="004666D3" w14:paraId="15C708D7" w14:textId="77777777" w:rsidTr="00FC5B7E">
        <w:trPr>
          <w:trHeight w:val="300"/>
        </w:trPr>
        <w:tc>
          <w:tcPr>
            <w:tcW w:w="1134" w:type="dxa"/>
            <w:vMerge/>
            <w:tcBorders>
              <w:top w:val="nil"/>
              <w:left w:val="nil"/>
              <w:bottom w:val="single" w:sz="4" w:space="0" w:color="auto"/>
              <w:right w:val="nil"/>
            </w:tcBorders>
            <w:vAlign w:val="center"/>
            <w:hideMark/>
          </w:tcPr>
          <w:p w14:paraId="637452A3"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nil"/>
              <w:left w:val="nil"/>
              <w:bottom w:val="single" w:sz="4" w:space="0" w:color="auto"/>
              <w:right w:val="nil"/>
            </w:tcBorders>
            <w:vAlign w:val="center"/>
            <w:hideMark/>
          </w:tcPr>
          <w:p w14:paraId="00932B22"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single" w:sz="4" w:space="0" w:color="auto"/>
              <w:right w:val="nil"/>
            </w:tcBorders>
            <w:shd w:val="clear" w:color="auto" w:fill="auto"/>
            <w:noWrap/>
            <w:vAlign w:val="center"/>
            <w:hideMark/>
          </w:tcPr>
          <w:p w14:paraId="28EA6AC1"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Incomplete records</w:t>
            </w:r>
          </w:p>
        </w:tc>
        <w:tc>
          <w:tcPr>
            <w:tcW w:w="1276" w:type="dxa"/>
            <w:tcBorders>
              <w:top w:val="nil"/>
              <w:left w:val="nil"/>
              <w:bottom w:val="single" w:sz="4" w:space="0" w:color="auto"/>
              <w:right w:val="nil"/>
            </w:tcBorders>
            <w:shd w:val="clear" w:color="auto" w:fill="auto"/>
            <w:noWrap/>
            <w:vAlign w:val="center"/>
            <w:hideMark/>
          </w:tcPr>
          <w:p w14:paraId="440E38D1"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51007</w:t>
            </w:r>
          </w:p>
        </w:tc>
        <w:tc>
          <w:tcPr>
            <w:tcW w:w="1843" w:type="dxa"/>
            <w:tcBorders>
              <w:top w:val="nil"/>
              <w:left w:val="nil"/>
              <w:bottom w:val="single" w:sz="4" w:space="0" w:color="auto"/>
              <w:right w:val="nil"/>
            </w:tcBorders>
            <w:shd w:val="clear" w:color="auto" w:fill="auto"/>
            <w:noWrap/>
            <w:vAlign w:val="center"/>
            <w:hideMark/>
          </w:tcPr>
          <w:p w14:paraId="70A692EF"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622938</w:t>
            </w:r>
          </w:p>
        </w:tc>
        <w:tc>
          <w:tcPr>
            <w:tcW w:w="1417" w:type="dxa"/>
            <w:tcBorders>
              <w:top w:val="nil"/>
              <w:left w:val="nil"/>
              <w:bottom w:val="single" w:sz="4" w:space="0" w:color="auto"/>
              <w:right w:val="nil"/>
            </w:tcBorders>
            <w:shd w:val="clear" w:color="auto" w:fill="auto"/>
            <w:noWrap/>
            <w:vAlign w:val="center"/>
            <w:hideMark/>
          </w:tcPr>
          <w:p w14:paraId="415FDDA6"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23957064</w:t>
            </w:r>
          </w:p>
        </w:tc>
      </w:tr>
      <w:tr w:rsidR="00FC5B7E" w:rsidRPr="004666D3" w14:paraId="55633099" w14:textId="77777777" w:rsidTr="00FC5B7E">
        <w:trPr>
          <w:trHeight w:val="300"/>
        </w:trPr>
        <w:tc>
          <w:tcPr>
            <w:tcW w:w="1134" w:type="dxa"/>
            <w:vMerge/>
            <w:tcBorders>
              <w:top w:val="nil"/>
              <w:left w:val="nil"/>
              <w:bottom w:val="single" w:sz="4" w:space="0" w:color="auto"/>
              <w:right w:val="nil"/>
            </w:tcBorders>
            <w:vAlign w:val="center"/>
            <w:hideMark/>
          </w:tcPr>
          <w:p w14:paraId="0FAAEA4A"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single" w:sz="4" w:space="0" w:color="auto"/>
              <w:left w:val="nil"/>
              <w:bottom w:val="single" w:sz="4" w:space="0" w:color="auto"/>
              <w:right w:val="nil"/>
            </w:tcBorders>
            <w:vAlign w:val="center"/>
            <w:hideMark/>
          </w:tcPr>
          <w:p w14:paraId="2AEAC59E"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single" w:sz="4" w:space="0" w:color="auto"/>
              <w:left w:val="nil"/>
              <w:bottom w:val="single" w:sz="4" w:space="0" w:color="auto"/>
              <w:right w:val="nil"/>
            </w:tcBorders>
            <w:shd w:val="clear" w:color="auto" w:fill="auto"/>
            <w:noWrap/>
            <w:vAlign w:val="center"/>
            <w:hideMark/>
          </w:tcPr>
          <w:p w14:paraId="0BAC02BD"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Proportion</w:t>
            </w:r>
          </w:p>
        </w:tc>
        <w:tc>
          <w:tcPr>
            <w:tcW w:w="1276" w:type="dxa"/>
            <w:tcBorders>
              <w:top w:val="single" w:sz="4" w:space="0" w:color="auto"/>
              <w:left w:val="nil"/>
              <w:bottom w:val="single" w:sz="4" w:space="0" w:color="auto"/>
              <w:right w:val="nil"/>
            </w:tcBorders>
            <w:shd w:val="clear" w:color="auto" w:fill="auto"/>
            <w:noWrap/>
            <w:vAlign w:val="center"/>
            <w:hideMark/>
          </w:tcPr>
          <w:p w14:paraId="60F1B2F2"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3.28%</w:t>
            </w:r>
          </w:p>
        </w:tc>
        <w:tc>
          <w:tcPr>
            <w:tcW w:w="1843" w:type="dxa"/>
            <w:tcBorders>
              <w:top w:val="single" w:sz="4" w:space="0" w:color="auto"/>
              <w:left w:val="nil"/>
              <w:bottom w:val="single" w:sz="4" w:space="0" w:color="auto"/>
              <w:right w:val="nil"/>
            </w:tcBorders>
            <w:shd w:val="clear" w:color="auto" w:fill="auto"/>
            <w:noWrap/>
            <w:vAlign w:val="center"/>
            <w:hideMark/>
          </w:tcPr>
          <w:p w14:paraId="336AE726"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9.11%</w:t>
            </w:r>
          </w:p>
        </w:tc>
        <w:tc>
          <w:tcPr>
            <w:tcW w:w="1417" w:type="dxa"/>
            <w:tcBorders>
              <w:top w:val="single" w:sz="4" w:space="0" w:color="auto"/>
              <w:left w:val="nil"/>
              <w:bottom w:val="single" w:sz="4" w:space="0" w:color="auto"/>
              <w:right w:val="nil"/>
            </w:tcBorders>
            <w:shd w:val="clear" w:color="auto" w:fill="auto"/>
            <w:noWrap/>
            <w:vAlign w:val="center"/>
            <w:hideMark/>
          </w:tcPr>
          <w:p w14:paraId="27327299"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80.29%</w:t>
            </w:r>
          </w:p>
        </w:tc>
      </w:tr>
      <w:tr w:rsidR="00FC5B7E" w:rsidRPr="004666D3" w14:paraId="3FAA00FB" w14:textId="77777777" w:rsidTr="00FC5B7E">
        <w:trPr>
          <w:trHeight w:val="300"/>
        </w:trPr>
        <w:tc>
          <w:tcPr>
            <w:tcW w:w="1134" w:type="dxa"/>
            <w:vMerge w:val="restart"/>
            <w:tcBorders>
              <w:top w:val="single" w:sz="4" w:space="0" w:color="auto"/>
              <w:left w:val="nil"/>
              <w:bottom w:val="single" w:sz="8" w:space="0" w:color="auto"/>
              <w:right w:val="nil"/>
            </w:tcBorders>
            <w:shd w:val="clear" w:color="auto" w:fill="auto"/>
            <w:noWrap/>
            <w:vAlign w:val="center"/>
            <w:hideMark/>
          </w:tcPr>
          <w:p w14:paraId="594C2F54"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Thailand</w:t>
            </w:r>
          </w:p>
        </w:tc>
        <w:tc>
          <w:tcPr>
            <w:tcW w:w="1276" w:type="dxa"/>
            <w:vMerge w:val="restart"/>
            <w:tcBorders>
              <w:top w:val="single" w:sz="4" w:space="0" w:color="auto"/>
              <w:left w:val="nil"/>
              <w:bottom w:val="single" w:sz="4" w:space="0" w:color="auto"/>
              <w:right w:val="nil"/>
            </w:tcBorders>
            <w:shd w:val="clear" w:color="auto" w:fill="auto"/>
            <w:noWrap/>
            <w:vAlign w:val="center"/>
            <w:hideMark/>
          </w:tcPr>
          <w:p w14:paraId="5AC089DF"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Night-time</w:t>
            </w:r>
          </w:p>
        </w:tc>
        <w:tc>
          <w:tcPr>
            <w:tcW w:w="2126" w:type="dxa"/>
            <w:tcBorders>
              <w:top w:val="single" w:sz="4" w:space="0" w:color="auto"/>
              <w:left w:val="nil"/>
              <w:bottom w:val="nil"/>
              <w:right w:val="nil"/>
            </w:tcBorders>
            <w:shd w:val="clear" w:color="auto" w:fill="auto"/>
            <w:noWrap/>
            <w:vAlign w:val="center"/>
            <w:hideMark/>
          </w:tcPr>
          <w:p w14:paraId="2776207B"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Total records</w:t>
            </w:r>
          </w:p>
        </w:tc>
        <w:tc>
          <w:tcPr>
            <w:tcW w:w="1276" w:type="dxa"/>
            <w:tcBorders>
              <w:top w:val="single" w:sz="4" w:space="0" w:color="auto"/>
              <w:left w:val="nil"/>
              <w:bottom w:val="nil"/>
              <w:right w:val="nil"/>
            </w:tcBorders>
            <w:shd w:val="clear" w:color="auto" w:fill="auto"/>
            <w:noWrap/>
            <w:vAlign w:val="center"/>
            <w:hideMark/>
          </w:tcPr>
          <w:p w14:paraId="79C8DACF"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81795</w:t>
            </w:r>
          </w:p>
        </w:tc>
        <w:tc>
          <w:tcPr>
            <w:tcW w:w="1843" w:type="dxa"/>
            <w:tcBorders>
              <w:top w:val="single" w:sz="4" w:space="0" w:color="auto"/>
              <w:left w:val="nil"/>
              <w:bottom w:val="nil"/>
              <w:right w:val="nil"/>
            </w:tcBorders>
            <w:shd w:val="clear" w:color="auto" w:fill="auto"/>
            <w:noWrap/>
            <w:vAlign w:val="center"/>
            <w:hideMark/>
          </w:tcPr>
          <w:p w14:paraId="297F2605"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219678</w:t>
            </w:r>
          </w:p>
        </w:tc>
        <w:tc>
          <w:tcPr>
            <w:tcW w:w="1417" w:type="dxa"/>
            <w:tcBorders>
              <w:top w:val="single" w:sz="4" w:space="0" w:color="auto"/>
              <w:left w:val="nil"/>
              <w:bottom w:val="nil"/>
              <w:right w:val="nil"/>
            </w:tcBorders>
            <w:shd w:val="clear" w:color="auto" w:fill="auto"/>
            <w:noWrap/>
            <w:vAlign w:val="center"/>
            <w:hideMark/>
          </w:tcPr>
          <w:p w14:paraId="0DE25A2C"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17371348</w:t>
            </w:r>
          </w:p>
        </w:tc>
      </w:tr>
      <w:tr w:rsidR="00FC5B7E" w:rsidRPr="004666D3" w14:paraId="628CDB90" w14:textId="77777777" w:rsidTr="00FC5B7E">
        <w:trPr>
          <w:trHeight w:val="300"/>
        </w:trPr>
        <w:tc>
          <w:tcPr>
            <w:tcW w:w="1134" w:type="dxa"/>
            <w:vMerge/>
            <w:tcBorders>
              <w:top w:val="nil"/>
              <w:left w:val="nil"/>
              <w:bottom w:val="single" w:sz="8" w:space="0" w:color="auto"/>
              <w:right w:val="nil"/>
            </w:tcBorders>
            <w:vAlign w:val="center"/>
            <w:hideMark/>
          </w:tcPr>
          <w:p w14:paraId="77F48375"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single" w:sz="8" w:space="0" w:color="auto"/>
              <w:left w:val="nil"/>
              <w:bottom w:val="single" w:sz="4" w:space="0" w:color="auto"/>
              <w:right w:val="nil"/>
            </w:tcBorders>
            <w:vAlign w:val="center"/>
            <w:hideMark/>
          </w:tcPr>
          <w:p w14:paraId="7A641D61"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nil"/>
              <w:right w:val="nil"/>
            </w:tcBorders>
            <w:shd w:val="clear" w:color="auto" w:fill="auto"/>
            <w:noWrap/>
            <w:vAlign w:val="center"/>
            <w:hideMark/>
          </w:tcPr>
          <w:p w14:paraId="6DC8186F"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Incomplete records</w:t>
            </w:r>
          </w:p>
        </w:tc>
        <w:tc>
          <w:tcPr>
            <w:tcW w:w="1276" w:type="dxa"/>
            <w:tcBorders>
              <w:top w:val="nil"/>
              <w:left w:val="nil"/>
              <w:bottom w:val="nil"/>
              <w:right w:val="nil"/>
            </w:tcBorders>
            <w:shd w:val="clear" w:color="auto" w:fill="auto"/>
            <w:noWrap/>
            <w:vAlign w:val="center"/>
            <w:hideMark/>
          </w:tcPr>
          <w:p w14:paraId="305E4074"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843" w:type="dxa"/>
            <w:tcBorders>
              <w:top w:val="nil"/>
              <w:left w:val="nil"/>
              <w:bottom w:val="nil"/>
              <w:right w:val="nil"/>
            </w:tcBorders>
            <w:shd w:val="clear" w:color="auto" w:fill="auto"/>
            <w:noWrap/>
            <w:vAlign w:val="center"/>
            <w:hideMark/>
          </w:tcPr>
          <w:p w14:paraId="2ADB6BCC"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417" w:type="dxa"/>
            <w:tcBorders>
              <w:top w:val="nil"/>
              <w:left w:val="nil"/>
              <w:bottom w:val="nil"/>
              <w:right w:val="nil"/>
            </w:tcBorders>
            <w:shd w:val="clear" w:color="auto" w:fill="auto"/>
            <w:noWrap/>
            <w:vAlign w:val="center"/>
            <w:hideMark/>
          </w:tcPr>
          <w:p w14:paraId="3EC339CA"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2083362</w:t>
            </w:r>
          </w:p>
        </w:tc>
      </w:tr>
      <w:tr w:rsidR="00FC5B7E" w:rsidRPr="004666D3" w14:paraId="5E7B5F9E" w14:textId="77777777" w:rsidTr="00FC5B7E">
        <w:trPr>
          <w:trHeight w:val="300"/>
        </w:trPr>
        <w:tc>
          <w:tcPr>
            <w:tcW w:w="1134" w:type="dxa"/>
            <w:vMerge/>
            <w:tcBorders>
              <w:top w:val="nil"/>
              <w:left w:val="nil"/>
              <w:bottom w:val="single" w:sz="8" w:space="0" w:color="auto"/>
              <w:right w:val="nil"/>
            </w:tcBorders>
            <w:vAlign w:val="center"/>
            <w:hideMark/>
          </w:tcPr>
          <w:p w14:paraId="50D013B4"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single" w:sz="8" w:space="0" w:color="auto"/>
              <w:left w:val="nil"/>
              <w:bottom w:val="single" w:sz="4" w:space="0" w:color="auto"/>
              <w:right w:val="nil"/>
            </w:tcBorders>
            <w:vAlign w:val="center"/>
            <w:hideMark/>
          </w:tcPr>
          <w:p w14:paraId="5990CBE9"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single" w:sz="4" w:space="0" w:color="auto"/>
              <w:right w:val="nil"/>
            </w:tcBorders>
            <w:shd w:val="clear" w:color="auto" w:fill="auto"/>
            <w:noWrap/>
            <w:vAlign w:val="center"/>
            <w:hideMark/>
          </w:tcPr>
          <w:p w14:paraId="22EB9C96"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Proportion</w:t>
            </w:r>
          </w:p>
        </w:tc>
        <w:tc>
          <w:tcPr>
            <w:tcW w:w="1276" w:type="dxa"/>
            <w:tcBorders>
              <w:top w:val="nil"/>
              <w:left w:val="nil"/>
              <w:bottom w:val="single" w:sz="4" w:space="0" w:color="auto"/>
              <w:right w:val="nil"/>
            </w:tcBorders>
            <w:shd w:val="clear" w:color="auto" w:fill="auto"/>
            <w:noWrap/>
            <w:vAlign w:val="center"/>
            <w:hideMark/>
          </w:tcPr>
          <w:p w14:paraId="43E2F265"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843" w:type="dxa"/>
            <w:tcBorders>
              <w:top w:val="nil"/>
              <w:left w:val="nil"/>
              <w:bottom w:val="single" w:sz="4" w:space="0" w:color="auto"/>
              <w:right w:val="nil"/>
            </w:tcBorders>
            <w:shd w:val="clear" w:color="auto" w:fill="auto"/>
            <w:noWrap/>
            <w:vAlign w:val="center"/>
            <w:hideMark/>
          </w:tcPr>
          <w:p w14:paraId="7479E69A"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417" w:type="dxa"/>
            <w:tcBorders>
              <w:top w:val="nil"/>
              <w:left w:val="nil"/>
              <w:bottom w:val="single" w:sz="4" w:space="0" w:color="auto"/>
              <w:right w:val="nil"/>
            </w:tcBorders>
            <w:shd w:val="clear" w:color="auto" w:fill="auto"/>
            <w:noWrap/>
            <w:vAlign w:val="center"/>
            <w:hideMark/>
          </w:tcPr>
          <w:p w14:paraId="0390A0F4"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12.00%</w:t>
            </w:r>
          </w:p>
        </w:tc>
      </w:tr>
      <w:tr w:rsidR="00FC5B7E" w:rsidRPr="004666D3" w14:paraId="73481E7A" w14:textId="77777777" w:rsidTr="00FC5B7E">
        <w:trPr>
          <w:trHeight w:val="300"/>
        </w:trPr>
        <w:tc>
          <w:tcPr>
            <w:tcW w:w="1134" w:type="dxa"/>
            <w:vMerge/>
            <w:tcBorders>
              <w:top w:val="nil"/>
              <w:left w:val="nil"/>
              <w:bottom w:val="single" w:sz="8" w:space="0" w:color="auto"/>
              <w:right w:val="nil"/>
            </w:tcBorders>
            <w:vAlign w:val="center"/>
            <w:hideMark/>
          </w:tcPr>
          <w:p w14:paraId="3E102C55"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val="restart"/>
            <w:tcBorders>
              <w:top w:val="single" w:sz="4" w:space="0" w:color="auto"/>
              <w:left w:val="nil"/>
              <w:bottom w:val="single" w:sz="8" w:space="0" w:color="auto"/>
              <w:right w:val="nil"/>
            </w:tcBorders>
            <w:shd w:val="clear" w:color="auto" w:fill="auto"/>
            <w:noWrap/>
            <w:vAlign w:val="center"/>
            <w:hideMark/>
          </w:tcPr>
          <w:p w14:paraId="0D817CFE"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Daytime</w:t>
            </w:r>
          </w:p>
        </w:tc>
        <w:tc>
          <w:tcPr>
            <w:tcW w:w="2126" w:type="dxa"/>
            <w:tcBorders>
              <w:top w:val="single" w:sz="4" w:space="0" w:color="auto"/>
              <w:left w:val="nil"/>
              <w:bottom w:val="nil"/>
              <w:right w:val="nil"/>
            </w:tcBorders>
            <w:shd w:val="clear" w:color="auto" w:fill="auto"/>
            <w:noWrap/>
            <w:vAlign w:val="center"/>
            <w:hideMark/>
          </w:tcPr>
          <w:p w14:paraId="3BA4D405"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Total records</w:t>
            </w:r>
          </w:p>
        </w:tc>
        <w:tc>
          <w:tcPr>
            <w:tcW w:w="1276" w:type="dxa"/>
            <w:tcBorders>
              <w:top w:val="single" w:sz="4" w:space="0" w:color="auto"/>
              <w:left w:val="nil"/>
              <w:bottom w:val="nil"/>
              <w:right w:val="nil"/>
            </w:tcBorders>
            <w:shd w:val="clear" w:color="auto" w:fill="auto"/>
            <w:noWrap/>
            <w:vAlign w:val="center"/>
            <w:hideMark/>
          </w:tcPr>
          <w:p w14:paraId="3D66A30D"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170820</w:t>
            </w:r>
          </w:p>
        </w:tc>
        <w:tc>
          <w:tcPr>
            <w:tcW w:w="1843" w:type="dxa"/>
            <w:tcBorders>
              <w:top w:val="single" w:sz="4" w:space="0" w:color="auto"/>
              <w:left w:val="nil"/>
              <w:bottom w:val="nil"/>
              <w:right w:val="nil"/>
            </w:tcBorders>
            <w:shd w:val="clear" w:color="auto" w:fill="auto"/>
            <w:noWrap/>
            <w:vAlign w:val="center"/>
            <w:hideMark/>
          </w:tcPr>
          <w:p w14:paraId="2589FE65"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721500</w:t>
            </w:r>
          </w:p>
        </w:tc>
        <w:tc>
          <w:tcPr>
            <w:tcW w:w="1417" w:type="dxa"/>
            <w:tcBorders>
              <w:top w:val="single" w:sz="4" w:space="0" w:color="auto"/>
              <w:left w:val="nil"/>
              <w:bottom w:val="nil"/>
              <w:right w:val="nil"/>
            </w:tcBorders>
            <w:shd w:val="clear" w:color="auto" w:fill="auto"/>
            <w:noWrap/>
            <w:vAlign w:val="center"/>
            <w:hideMark/>
          </w:tcPr>
          <w:p w14:paraId="39F125E9"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16973503</w:t>
            </w:r>
          </w:p>
        </w:tc>
      </w:tr>
      <w:tr w:rsidR="00FC5B7E" w:rsidRPr="004666D3" w14:paraId="643E21FB" w14:textId="77777777" w:rsidTr="000B152F">
        <w:trPr>
          <w:trHeight w:val="300"/>
        </w:trPr>
        <w:tc>
          <w:tcPr>
            <w:tcW w:w="1134" w:type="dxa"/>
            <w:vMerge/>
            <w:tcBorders>
              <w:top w:val="nil"/>
              <w:left w:val="nil"/>
              <w:bottom w:val="single" w:sz="8" w:space="0" w:color="auto"/>
              <w:right w:val="nil"/>
            </w:tcBorders>
            <w:vAlign w:val="center"/>
            <w:hideMark/>
          </w:tcPr>
          <w:p w14:paraId="30C62F6C"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vMerge/>
            <w:tcBorders>
              <w:top w:val="nil"/>
              <w:left w:val="nil"/>
              <w:bottom w:val="single" w:sz="8" w:space="0" w:color="auto"/>
              <w:right w:val="nil"/>
            </w:tcBorders>
            <w:vAlign w:val="center"/>
            <w:hideMark/>
          </w:tcPr>
          <w:p w14:paraId="3E161AE0"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nil"/>
              <w:right w:val="nil"/>
            </w:tcBorders>
            <w:shd w:val="clear" w:color="auto" w:fill="auto"/>
            <w:noWrap/>
            <w:vAlign w:val="center"/>
            <w:hideMark/>
          </w:tcPr>
          <w:p w14:paraId="7111D8A4"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Incomplete records</w:t>
            </w:r>
          </w:p>
        </w:tc>
        <w:tc>
          <w:tcPr>
            <w:tcW w:w="1276" w:type="dxa"/>
            <w:tcBorders>
              <w:top w:val="nil"/>
              <w:left w:val="nil"/>
              <w:bottom w:val="nil"/>
              <w:right w:val="nil"/>
            </w:tcBorders>
            <w:shd w:val="clear" w:color="auto" w:fill="auto"/>
            <w:noWrap/>
            <w:vAlign w:val="center"/>
            <w:hideMark/>
          </w:tcPr>
          <w:p w14:paraId="54B1008A"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843" w:type="dxa"/>
            <w:tcBorders>
              <w:top w:val="nil"/>
              <w:left w:val="nil"/>
              <w:bottom w:val="nil"/>
              <w:right w:val="nil"/>
            </w:tcBorders>
            <w:shd w:val="clear" w:color="auto" w:fill="auto"/>
            <w:noWrap/>
            <w:vAlign w:val="center"/>
            <w:hideMark/>
          </w:tcPr>
          <w:p w14:paraId="256E9CCE"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417" w:type="dxa"/>
            <w:tcBorders>
              <w:top w:val="nil"/>
              <w:left w:val="nil"/>
              <w:bottom w:val="nil"/>
              <w:right w:val="nil"/>
            </w:tcBorders>
            <w:shd w:val="clear" w:color="auto" w:fill="auto"/>
            <w:noWrap/>
            <w:vAlign w:val="center"/>
            <w:hideMark/>
          </w:tcPr>
          <w:p w14:paraId="1F82492E"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1902881</w:t>
            </w:r>
          </w:p>
        </w:tc>
      </w:tr>
      <w:tr w:rsidR="00FC5B7E" w:rsidRPr="004666D3" w14:paraId="383C0750" w14:textId="77777777" w:rsidTr="00FC5B7E">
        <w:trPr>
          <w:trHeight w:val="300"/>
        </w:trPr>
        <w:tc>
          <w:tcPr>
            <w:tcW w:w="1134" w:type="dxa"/>
            <w:vMerge/>
            <w:tcBorders>
              <w:top w:val="nil"/>
              <w:left w:val="nil"/>
              <w:bottom w:val="single" w:sz="4" w:space="0" w:color="auto"/>
              <w:right w:val="nil"/>
            </w:tcBorders>
            <w:vAlign w:val="center"/>
            <w:hideMark/>
          </w:tcPr>
          <w:p w14:paraId="3EAA83D5" w14:textId="77777777" w:rsidR="00FC5B7E" w:rsidRPr="004666D3" w:rsidRDefault="00FC5B7E" w:rsidP="000B152F">
            <w:pPr>
              <w:spacing w:after="0" w:line="240" w:lineRule="auto"/>
              <w:rPr>
                <w:rFonts w:ascii="Calibri" w:eastAsia="Times New Roman" w:hAnsi="Calibri" w:cs="Calibri"/>
                <w:color w:val="000000"/>
              </w:rPr>
            </w:pPr>
          </w:p>
        </w:tc>
        <w:tc>
          <w:tcPr>
            <w:tcW w:w="1276" w:type="dxa"/>
            <w:vMerge/>
            <w:tcBorders>
              <w:top w:val="nil"/>
              <w:left w:val="nil"/>
              <w:bottom w:val="single" w:sz="4" w:space="0" w:color="auto"/>
              <w:right w:val="nil"/>
            </w:tcBorders>
            <w:vAlign w:val="center"/>
            <w:hideMark/>
          </w:tcPr>
          <w:p w14:paraId="2E906091" w14:textId="77777777" w:rsidR="00FC5B7E" w:rsidRPr="004666D3" w:rsidRDefault="00FC5B7E" w:rsidP="000B152F">
            <w:pPr>
              <w:spacing w:after="0" w:line="240" w:lineRule="auto"/>
              <w:rPr>
                <w:rFonts w:ascii="Calibri" w:eastAsia="Times New Roman" w:hAnsi="Calibri" w:cs="Calibri"/>
                <w:color w:val="000000"/>
              </w:rPr>
            </w:pPr>
          </w:p>
        </w:tc>
        <w:tc>
          <w:tcPr>
            <w:tcW w:w="2126" w:type="dxa"/>
            <w:tcBorders>
              <w:top w:val="nil"/>
              <w:left w:val="nil"/>
              <w:bottom w:val="single" w:sz="4" w:space="0" w:color="auto"/>
              <w:right w:val="nil"/>
            </w:tcBorders>
            <w:shd w:val="clear" w:color="auto" w:fill="auto"/>
            <w:noWrap/>
            <w:vAlign w:val="bottom"/>
            <w:hideMark/>
          </w:tcPr>
          <w:p w14:paraId="73D55A83"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Proportion</w:t>
            </w:r>
          </w:p>
        </w:tc>
        <w:tc>
          <w:tcPr>
            <w:tcW w:w="1276" w:type="dxa"/>
            <w:tcBorders>
              <w:top w:val="nil"/>
              <w:left w:val="nil"/>
              <w:bottom w:val="single" w:sz="4" w:space="0" w:color="auto"/>
              <w:right w:val="nil"/>
            </w:tcBorders>
            <w:shd w:val="clear" w:color="auto" w:fill="auto"/>
            <w:noWrap/>
            <w:vAlign w:val="center"/>
            <w:hideMark/>
          </w:tcPr>
          <w:p w14:paraId="5AFE4A80"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843" w:type="dxa"/>
            <w:tcBorders>
              <w:top w:val="nil"/>
              <w:left w:val="nil"/>
              <w:bottom w:val="single" w:sz="4" w:space="0" w:color="auto"/>
              <w:right w:val="nil"/>
            </w:tcBorders>
            <w:shd w:val="clear" w:color="auto" w:fill="auto"/>
            <w:noWrap/>
            <w:vAlign w:val="center"/>
            <w:hideMark/>
          </w:tcPr>
          <w:p w14:paraId="687CF487"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0</w:t>
            </w:r>
          </w:p>
        </w:tc>
        <w:tc>
          <w:tcPr>
            <w:tcW w:w="1417" w:type="dxa"/>
            <w:tcBorders>
              <w:top w:val="nil"/>
              <w:left w:val="nil"/>
              <w:bottom w:val="single" w:sz="4" w:space="0" w:color="auto"/>
              <w:right w:val="nil"/>
            </w:tcBorders>
            <w:shd w:val="clear" w:color="auto" w:fill="auto"/>
            <w:noWrap/>
            <w:vAlign w:val="center"/>
            <w:hideMark/>
          </w:tcPr>
          <w:p w14:paraId="1CBDCBB1"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11.21%</w:t>
            </w:r>
          </w:p>
        </w:tc>
      </w:tr>
    </w:tbl>
    <w:p w14:paraId="71F162DF" w14:textId="77777777" w:rsidR="00FC5B7E" w:rsidRPr="004666D3" w:rsidRDefault="00FC5B7E" w:rsidP="00FC5B7E">
      <w:pPr>
        <w:rPr>
          <w:b/>
          <w:bCs/>
          <w:szCs w:val="24"/>
        </w:rPr>
      </w:pPr>
    </w:p>
    <w:p w14:paraId="546B0AE8" w14:textId="77777777" w:rsidR="00FC5B7E" w:rsidRPr="004666D3" w:rsidRDefault="00FC5B7E" w:rsidP="00FC5B7E">
      <w:pPr>
        <w:rPr>
          <w:b/>
          <w:bCs/>
          <w:szCs w:val="24"/>
        </w:rPr>
      </w:pPr>
      <w:r w:rsidRPr="004666D3">
        <w:rPr>
          <w:b/>
          <w:bCs/>
          <w:szCs w:val="24"/>
        </w:rPr>
        <w:t xml:space="preserve">A2. Estimate missing baseline (the first step of missing data imputation method) </w:t>
      </w:r>
    </w:p>
    <w:p w14:paraId="298E56E6" w14:textId="77777777" w:rsidR="00FC5B7E" w:rsidRPr="004666D3" w:rsidRDefault="00FC5B7E" w:rsidP="00FC5B7E">
      <w:pPr>
        <w:rPr>
          <w:b/>
          <w:bCs/>
          <w:szCs w:val="24"/>
        </w:rPr>
      </w:pPr>
      <w:r w:rsidRPr="004666D3">
        <w:rPr>
          <w:b/>
          <w:bCs/>
          <w:szCs w:val="24"/>
        </w:rPr>
        <w:t>A2.1 component 1A: Substituting missing baseline values with those on other dates.</w:t>
      </w:r>
    </w:p>
    <w:p w14:paraId="54A88F9E" w14:textId="77777777" w:rsidR="00FC5B7E" w:rsidRPr="004666D3" w:rsidRDefault="00FC5B7E" w:rsidP="00FC5B7E">
      <w:pPr>
        <w:rPr>
          <w:szCs w:val="24"/>
        </w:rPr>
      </w:pPr>
      <w:r w:rsidRPr="004666D3">
        <w:rPr>
          <w:szCs w:val="24"/>
        </w:rPr>
        <w:t>To evaluate the plausibility of this estimation, we calculated and compared the Pearson correlation coefficients between the baseline on each day of the week and the mean of workdays and weekends for the tiles without any missing data in Belgium and Thailand (Fig. A.2). It showed that the baseline of a day of the workdays was most strongly correlated with the mean of the workdays, whereas the baseline of a weekend day had the highest correlation with the mean of the weekends, with correlations greater than 0.999 in both Belgium and Thailand.</w:t>
      </w:r>
    </w:p>
    <w:p w14:paraId="619A86F9" w14:textId="77777777" w:rsidR="00FC5B7E" w:rsidRPr="004666D3" w:rsidRDefault="00FC5B7E" w:rsidP="00FC5B7E">
      <w:pPr>
        <w:rPr>
          <w:szCs w:val="24"/>
        </w:rPr>
      </w:pPr>
      <w:r w:rsidRPr="004666D3">
        <w:rPr>
          <w:noProof/>
          <w:szCs w:val="24"/>
        </w:rPr>
        <w:lastRenderedPageBreak/>
        <w:drawing>
          <wp:inline distT="0" distB="0" distL="0" distR="0" wp14:anchorId="2639FA16" wp14:editId="193BD37E">
            <wp:extent cx="5731510" cy="4604385"/>
            <wp:effectExtent l="0" t="0" r="2540" b="5715"/>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604385"/>
                    </a:xfrm>
                    <a:prstGeom prst="rect">
                      <a:avLst/>
                    </a:prstGeom>
                  </pic:spPr>
                </pic:pic>
              </a:graphicData>
            </a:graphic>
          </wp:inline>
        </w:drawing>
      </w:r>
    </w:p>
    <w:p w14:paraId="0038F1DA" w14:textId="77777777" w:rsidR="00FC5B7E" w:rsidRPr="004666D3" w:rsidRDefault="00FC5B7E" w:rsidP="00FC5B7E">
      <w:pPr>
        <w:spacing w:line="360" w:lineRule="auto"/>
        <w:rPr>
          <w:szCs w:val="24"/>
        </w:rPr>
      </w:pPr>
      <w:r w:rsidRPr="004666D3">
        <w:rPr>
          <w:szCs w:val="24"/>
        </w:rPr>
        <w:t>Figure A.2 The baselines for different days of the week for Belgium (a-b) and Thailand (c-d). The blue one is during night-time, the red one is during daytime.</w:t>
      </w:r>
    </w:p>
    <w:p w14:paraId="23A2E12F" w14:textId="77777777" w:rsidR="00FC5B7E" w:rsidRPr="004666D3" w:rsidRDefault="00FC5B7E" w:rsidP="00FC5B7E">
      <w:pPr>
        <w:rPr>
          <w:b/>
          <w:bCs/>
          <w:szCs w:val="24"/>
        </w:rPr>
      </w:pPr>
      <w:r w:rsidRPr="004666D3">
        <w:rPr>
          <w:b/>
          <w:bCs/>
          <w:szCs w:val="24"/>
        </w:rPr>
        <w:t>A2.2 component 1B: Estimation of missing baseline values for the tiles that lacks all baselines.</w:t>
      </w:r>
    </w:p>
    <w:p w14:paraId="3AA58944" w14:textId="77777777" w:rsidR="00FC5B7E" w:rsidRPr="004666D3" w:rsidRDefault="00FC5B7E" w:rsidP="00FC5B7E">
      <w:pPr>
        <w:rPr>
          <w:b/>
          <w:bCs/>
          <w:szCs w:val="24"/>
        </w:rPr>
      </w:pPr>
      <w:r w:rsidRPr="004666D3">
        <w:rPr>
          <w:b/>
          <w:bCs/>
          <w:szCs w:val="24"/>
        </w:rPr>
        <w:t>2.2.1 Data processing of WorldPop population dataset</w:t>
      </w:r>
    </w:p>
    <w:p w14:paraId="7B8FB89C" w14:textId="77777777" w:rsidR="00FC5B7E" w:rsidRPr="004666D3" w:rsidRDefault="00FC5B7E" w:rsidP="00FC5B7E">
      <w:pPr>
        <w:rPr>
          <w:szCs w:val="24"/>
        </w:rPr>
      </w:pPr>
      <w:r w:rsidRPr="004666D3">
        <w:rPr>
          <w:szCs w:val="24"/>
        </w:rPr>
        <w:t xml:space="preserve">The WorldPop population data were reprojected to match the projection used in Facebook dataset. We calculated the adjustment factors by comparing the sum of the population at administrative level 2 in both the original and reprojected population raster </w:t>
      </w:r>
      <w:r w:rsidRPr="004666D3">
        <w:rPr>
          <w:szCs w:val="24"/>
        </w:rPr>
        <w:fldChar w:fldCharType="begin"/>
      </w:r>
      <w:r w:rsidRPr="004666D3">
        <w:rPr>
          <w:szCs w:val="24"/>
        </w:rPr>
        <w:instrText xml:space="preserve"> ADDIN ZOTERO_ITEM CSL_CITATION {"citationID":"7OXAYktV","properties":{"formattedCitation":"(Hierink et al., 2022)","plainCitation":"(Hierink et al., 2022)","noteIndex":0},"citationItems":[{"id":6054,"uris":["http://zotero.org/users/9756803/items/QQCKQYDN"],"itemData":{"id":6054,"type":"article-journal","abstract":"Access to healthcare is imperative to health equity and well-being. Geographic access to healthcare can be modeled using spatial datasets on local context, together with the distribution of existing health facilities and populations. Several population datasets are currently available, but their impact on accessibility analyses is unknown. In this study, we model the geographic accessibility of public health facilities at 100-meter resolution in sub-Saharan Africa and evaluate six of the most popular gridded population datasets for their impact on coverage statistics at different administrative levels.","container-title":"Communications Medicine","DOI":"10.1038/s43856-022-00179-4","ISSN":"2730-664X","issue":"1","journalAbbreviation":"Commun Med","language":"en","license":"2022 The Author(s)","note":"number: 1\npublisher: Nature Publishing Group","page":"1-13","source":"www.nature.com","title":"Differences between gridded population data impact measures of geographic access to healthcare in sub-Saharan Africa","volume":"2","author":[{"family":"Hierink","given":"Fleur"},{"family":"Boo","given":"Gianluca"},{"family":"Macharia","given":"Peter M."},{"family":"Ouma","given":"Paul O."},{"family":"Timoner","given":"Pablo"},{"family":"Levy","given":"Marc"},{"family":"Tschirhart","given":"Kevin"},{"family":"Leyk","given":"Stefan"},{"family":"Oliphant","given":"Nicholas"},{"family":"Tatem","given":"Andrew J."},{"family":"Ray","given":"Nicolas"}],"issued":{"date-parts":[["2022",9,16]]}}}],"schema":"https://github.com/citation-style-language/schema/raw/master/csl-citation.json"} </w:instrText>
      </w:r>
      <w:r w:rsidRPr="004666D3">
        <w:rPr>
          <w:szCs w:val="24"/>
        </w:rPr>
        <w:fldChar w:fldCharType="separate"/>
      </w:r>
      <w:r w:rsidRPr="004666D3">
        <w:rPr>
          <w:rFonts w:ascii="Calibri" w:hAnsi="Calibri" w:cs="Calibri"/>
        </w:rPr>
        <w:t>(</w:t>
      </w:r>
      <w:proofErr w:type="spellStart"/>
      <w:r w:rsidRPr="004666D3">
        <w:rPr>
          <w:rFonts w:ascii="Calibri" w:hAnsi="Calibri" w:cs="Calibri"/>
        </w:rPr>
        <w:t>Hierink</w:t>
      </w:r>
      <w:proofErr w:type="spellEnd"/>
      <w:r w:rsidRPr="004666D3">
        <w:rPr>
          <w:rFonts w:ascii="Calibri" w:hAnsi="Calibri" w:cs="Calibri"/>
        </w:rPr>
        <w:t xml:space="preserve"> et al., 2022)</w:t>
      </w:r>
      <w:r w:rsidRPr="004666D3">
        <w:rPr>
          <w:szCs w:val="24"/>
        </w:rPr>
        <w:fldChar w:fldCharType="end"/>
      </w:r>
      <w:r w:rsidRPr="004666D3">
        <w:rPr>
          <w:szCs w:val="24"/>
        </w:rPr>
        <w:t xml:space="preserve">. This process ensured the lost population resulting from the reprojection were equally </w:t>
      </w:r>
      <w:r w:rsidRPr="004666D3">
        <w:rPr>
          <w:szCs w:val="24"/>
        </w:rPr>
        <w:lastRenderedPageBreak/>
        <w:t xml:space="preserve">distributed over the </w:t>
      </w:r>
      <w:proofErr w:type="spellStart"/>
      <w:r w:rsidRPr="004666D3">
        <w:rPr>
          <w:szCs w:val="24"/>
        </w:rPr>
        <w:t>rasters</w:t>
      </w:r>
      <w:proofErr w:type="spellEnd"/>
      <w:r w:rsidRPr="004666D3">
        <w:rPr>
          <w:szCs w:val="24"/>
        </w:rPr>
        <w:t>, thereby maintaining the total population counts the same as in the original layers.</w:t>
      </w:r>
    </w:p>
    <w:p w14:paraId="53AA40BE" w14:textId="77777777" w:rsidR="00FC5B7E" w:rsidRPr="004666D3" w:rsidRDefault="00FC5B7E" w:rsidP="00FC5B7E">
      <w:pPr>
        <w:rPr>
          <w:b/>
          <w:bCs/>
          <w:szCs w:val="24"/>
        </w:rPr>
      </w:pPr>
      <w:r w:rsidRPr="004666D3">
        <w:rPr>
          <w:b/>
          <w:bCs/>
          <w:szCs w:val="24"/>
        </w:rPr>
        <w:t>2.2.2 Associations between WorldPop population and Facebook baseline for each day of the week.</w:t>
      </w:r>
    </w:p>
    <w:p w14:paraId="45828D78" w14:textId="77777777" w:rsidR="00FC5B7E" w:rsidRPr="004666D3" w:rsidRDefault="00FC5B7E" w:rsidP="00FC5B7E">
      <w:pPr>
        <w:rPr>
          <w:szCs w:val="24"/>
        </w:rPr>
      </w:pPr>
      <w:r w:rsidRPr="004666D3">
        <w:rPr>
          <w:szCs w:val="24"/>
        </w:rPr>
        <w:t>We explored the associations between WorldPop population dataset and Facebook baseline (including all complete records and those after imputation 1A) for each day of the week, considering that the same tile could have different baselines on different days of the week. We found the significant linear relationships between them for both Belgium and Thailand, with R</w:t>
      </w:r>
      <w:r w:rsidRPr="004666D3">
        <w:rPr>
          <w:szCs w:val="24"/>
          <w:vertAlign w:val="superscript"/>
        </w:rPr>
        <w:t>2</w:t>
      </w:r>
      <w:r w:rsidRPr="004666D3">
        <w:rPr>
          <w:szCs w:val="24"/>
        </w:rPr>
        <w:t xml:space="preserve"> values ranging from 0.813 to 0.851 in Belgium and from 0.892 to 0.932 in Thailand (Figures. A.3-A.6). These relationships were used to estimate the missing baselines in corresponding days, and finally used to calculate the missing user count. </w:t>
      </w:r>
    </w:p>
    <w:p w14:paraId="3C7A0345" w14:textId="77777777" w:rsidR="00FC5B7E" w:rsidRPr="004666D3" w:rsidRDefault="00FC5B7E" w:rsidP="00FC5B7E">
      <w:pPr>
        <w:rPr>
          <w:b/>
          <w:bCs/>
          <w:szCs w:val="24"/>
        </w:rPr>
      </w:pPr>
      <w:r w:rsidRPr="004666D3">
        <w:rPr>
          <w:b/>
          <w:bCs/>
          <w:noProof/>
          <w:szCs w:val="24"/>
        </w:rPr>
        <w:drawing>
          <wp:inline distT="0" distB="0" distL="0" distR="0" wp14:anchorId="272D56C7" wp14:editId="1166C725">
            <wp:extent cx="5731510" cy="3031490"/>
            <wp:effectExtent l="0" t="0" r="2540" b="0"/>
            <wp:docPr id="45" name="Picture 45" descr="A graph of a meteor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of a meteorit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031490"/>
                    </a:xfrm>
                    <a:prstGeom prst="rect">
                      <a:avLst/>
                    </a:prstGeom>
                  </pic:spPr>
                </pic:pic>
              </a:graphicData>
            </a:graphic>
          </wp:inline>
        </w:drawing>
      </w:r>
    </w:p>
    <w:p w14:paraId="2FDC3D44" w14:textId="77777777" w:rsidR="00FC5B7E" w:rsidRPr="004666D3" w:rsidRDefault="00FC5B7E" w:rsidP="00FC5B7E">
      <w:pPr>
        <w:spacing w:line="360" w:lineRule="auto"/>
        <w:rPr>
          <w:szCs w:val="24"/>
        </w:rPr>
      </w:pPr>
      <w:r w:rsidRPr="004666D3">
        <w:rPr>
          <w:szCs w:val="24"/>
        </w:rPr>
        <w:t>Figure A.3 Linear regression models of WorldPop population and night-time Facebook baselines for each day of the week in Belgium.</w:t>
      </w:r>
    </w:p>
    <w:p w14:paraId="2F273352" w14:textId="77777777" w:rsidR="00FC5B7E" w:rsidRPr="004666D3" w:rsidRDefault="00FC5B7E" w:rsidP="00FC5B7E">
      <w:pPr>
        <w:rPr>
          <w:b/>
          <w:bCs/>
          <w:szCs w:val="24"/>
        </w:rPr>
      </w:pPr>
      <w:r w:rsidRPr="004666D3">
        <w:rPr>
          <w:b/>
          <w:bCs/>
          <w:noProof/>
          <w:szCs w:val="24"/>
        </w:rPr>
        <w:lastRenderedPageBreak/>
        <w:drawing>
          <wp:inline distT="0" distB="0" distL="0" distR="0" wp14:anchorId="2EF2886C" wp14:editId="296850A2">
            <wp:extent cx="5731510" cy="2995295"/>
            <wp:effectExtent l="0" t="0" r="2540" b="0"/>
            <wp:docPr id="44" name="Picture 44" descr="A graph of a meteor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of a meteor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995295"/>
                    </a:xfrm>
                    <a:prstGeom prst="rect">
                      <a:avLst/>
                    </a:prstGeom>
                  </pic:spPr>
                </pic:pic>
              </a:graphicData>
            </a:graphic>
          </wp:inline>
        </w:drawing>
      </w:r>
    </w:p>
    <w:p w14:paraId="0DE88D8F" w14:textId="77777777" w:rsidR="00FC5B7E" w:rsidRPr="004666D3" w:rsidRDefault="00FC5B7E" w:rsidP="00FC5B7E">
      <w:pPr>
        <w:spacing w:line="360" w:lineRule="auto"/>
        <w:rPr>
          <w:szCs w:val="24"/>
        </w:rPr>
      </w:pPr>
      <w:r w:rsidRPr="004666D3">
        <w:rPr>
          <w:szCs w:val="24"/>
        </w:rPr>
        <w:t>Figure A.4 Linear regression models of WorldPop population and daytime Facebook baselines for each day of the week in Belgium.</w:t>
      </w:r>
    </w:p>
    <w:p w14:paraId="2D8B6657" w14:textId="77777777" w:rsidR="00FC5B7E" w:rsidRPr="004666D3" w:rsidRDefault="00FC5B7E" w:rsidP="00FC5B7E">
      <w:pPr>
        <w:rPr>
          <w:b/>
          <w:bCs/>
          <w:szCs w:val="24"/>
        </w:rPr>
      </w:pPr>
      <w:r w:rsidRPr="004666D3">
        <w:rPr>
          <w:b/>
          <w:bCs/>
          <w:noProof/>
          <w:szCs w:val="24"/>
        </w:rPr>
        <w:drawing>
          <wp:inline distT="0" distB="0" distL="0" distR="0" wp14:anchorId="21EA0F93" wp14:editId="2B644123">
            <wp:extent cx="5731510" cy="2894330"/>
            <wp:effectExtent l="0" t="0" r="2540" b="1270"/>
            <wp:docPr id="46" name="Picture 4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of a graph&#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894330"/>
                    </a:xfrm>
                    <a:prstGeom prst="rect">
                      <a:avLst/>
                    </a:prstGeom>
                  </pic:spPr>
                </pic:pic>
              </a:graphicData>
            </a:graphic>
          </wp:inline>
        </w:drawing>
      </w:r>
    </w:p>
    <w:p w14:paraId="57E1E4B5" w14:textId="77777777" w:rsidR="00FC5B7E" w:rsidRPr="004666D3" w:rsidRDefault="00FC5B7E" w:rsidP="00FC5B7E">
      <w:pPr>
        <w:spacing w:line="360" w:lineRule="auto"/>
        <w:rPr>
          <w:szCs w:val="24"/>
        </w:rPr>
      </w:pPr>
      <w:r w:rsidRPr="004666D3">
        <w:rPr>
          <w:szCs w:val="24"/>
        </w:rPr>
        <w:t>Figure A.5 Linear regression models of WorldPop population and night-time Facebook baselines for each day of the week in Thailand.</w:t>
      </w:r>
    </w:p>
    <w:p w14:paraId="100FCA13" w14:textId="77777777" w:rsidR="00FC5B7E" w:rsidRPr="004666D3" w:rsidRDefault="00FC5B7E" w:rsidP="00FC5B7E">
      <w:pPr>
        <w:rPr>
          <w:b/>
          <w:bCs/>
          <w:szCs w:val="24"/>
        </w:rPr>
      </w:pPr>
      <w:r w:rsidRPr="004666D3">
        <w:rPr>
          <w:b/>
          <w:bCs/>
          <w:noProof/>
          <w:szCs w:val="24"/>
        </w:rPr>
        <w:lastRenderedPageBreak/>
        <w:drawing>
          <wp:inline distT="0" distB="0" distL="0" distR="0" wp14:anchorId="4023A12C" wp14:editId="31EAFD70">
            <wp:extent cx="5731510" cy="2871470"/>
            <wp:effectExtent l="0" t="0" r="2540" b="5080"/>
            <wp:docPr id="47" name="Picture 47"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graphs with number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71470"/>
                    </a:xfrm>
                    <a:prstGeom prst="rect">
                      <a:avLst/>
                    </a:prstGeom>
                  </pic:spPr>
                </pic:pic>
              </a:graphicData>
            </a:graphic>
          </wp:inline>
        </w:drawing>
      </w:r>
    </w:p>
    <w:p w14:paraId="48C7F7F8" w14:textId="77777777" w:rsidR="00FC5B7E" w:rsidRPr="004666D3" w:rsidRDefault="00FC5B7E" w:rsidP="00FC5B7E">
      <w:pPr>
        <w:spacing w:line="360" w:lineRule="auto"/>
        <w:rPr>
          <w:szCs w:val="24"/>
        </w:rPr>
      </w:pPr>
      <w:r w:rsidRPr="004666D3">
        <w:rPr>
          <w:szCs w:val="24"/>
        </w:rPr>
        <w:t>Figure A.6 Linear regression models of WorldPop population and daytime Facebook baselines for each day of the week in Thailand.</w:t>
      </w:r>
    </w:p>
    <w:p w14:paraId="3A80C05B" w14:textId="77777777" w:rsidR="00FC5B7E" w:rsidRPr="004666D3" w:rsidRDefault="00FC5B7E" w:rsidP="00FC5B7E">
      <w:pPr>
        <w:rPr>
          <w:b/>
          <w:bCs/>
          <w:szCs w:val="24"/>
        </w:rPr>
      </w:pPr>
      <w:r w:rsidRPr="004666D3">
        <w:rPr>
          <w:b/>
          <w:bCs/>
          <w:szCs w:val="24"/>
        </w:rPr>
        <w:t xml:space="preserve">A2.2.3 Validation for data imputation method (for component 1B) using tiles contain between 10 and 20 </w:t>
      </w:r>
      <w:proofErr w:type="gramStart"/>
      <w:r w:rsidRPr="004666D3">
        <w:rPr>
          <w:b/>
          <w:bCs/>
          <w:szCs w:val="24"/>
        </w:rPr>
        <w:t>users</w:t>
      </w:r>
      <w:proofErr w:type="gramEnd"/>
      <w:r w:rsidRPr="004666D3">
        <w:rPr>
          <w:b/>
          <w:bCs/>
          <w:szCs w:val="24"/>
        </w:rPr>
        <w:t xml:space="preserve"> </w:t>
      </w:r>
    </w:p>
    <w:p w14:paraId="78604609" w14:textId="77777777" w:rsidR="00FC5B7E" w:rsidRPr="004666D3" w:rsidRDefault="00FC5B7E" w:rsidP="00FC5B7E">
      <w:pPr>
        <w:rPr>
          <w:szCs w:val="24"/>
        </w:rPr>
      </w:pPr>
      <w:r w:rsidRPr="004666D3">
        <w:rPr>
          <w:szCs w:val="24"/>
        </w:rPr>
        <w:t>To assess the accuracy of models generated for tiles with sparse baselines, we tested our method using tiles whose baselines are between 10 and 20, as this was the lowest population densities tiles for which we had validation data. The assumption behind this test is that if our imputation method effectively predicted the actual user count for tiles within the 10 to 20 user range, it would likely perform well for tiles whose baseline are between 0 and 10 users as well.</w:t>
      </w:r>
    </w:p>
    <w:p w14:paraId="206BC573" w14:textId="77777777" w:rsidR="00FC5B7E" w:rsidRPr="004666D3" w:rsidRDefault="00FC5B7E" w:rsidP="00FC5B7E">
      <w:pPr>
        <w:spacing w:line="360" w:lineRule="auto"/>
        <w:rPr>
          <w:szCs w:val="24"/>
        </w:rPr>
      </w:pPr>
      <w:r w:rsidRPr="004666D3">
        <w:rPr>
          <w:szCs w:val="24"/>
        </w:rPr>
        <w:t>Table A.2 The number of records for validation</w:t>
      </w:r>
    </w:p>
    <w:tbl>
      <w:tblPr>
        <w:tblW w:w="5000" w:type="pct"/>
        <w:tblLayout w:type="fixed"/>
        <w:tblLook w:val="04A0" w:firstRow="1" w:lastRow="0" w:firstColumn="1" w:lastColumn="0" w:noHBand="0" w:noVBand="1"/>
      </w:tblPr>
      <w:tblGrid>
        <w:gridCol w:w="1844"/>
        <w:gridCol w:w="2267"/>
        <w:gridCol w:w="1986"/>
        <w:gridCol w:w="1700"/>
        <w:gridCol w:w="1229"/>
      </w:tblGrid>
      <w:tr w:rsidR="00FC5B7E" w:rsidRPr="004666D3" w14:paraId="7B7AF49B" w14:textId="77777777" w:rsidTr="000B152F">
        <w:trPr>
          <w:trHeight w:val="290"/>
        </w:trPr>
        <w:tc>
          <w:tcPr>
            <w:tcW w:w="1021" w:type="pct"/>
            <w:tcBorders>
              <w:top w:val="single" w:sz="4" w:space="0" w:color="auto"/>
              <w:left w:val="nil"/>
              <w:bottom w:val="single" w:sz="4" w:space="0" w:color="auto"/>
              <w:right w:val="nil"/>
            </w:tcBorders>
            <w:shd w:val="clear" w:color="auto" w:fill="auto"/>
            <w:noWrap/>
            <w:vAlign w:val="bottom"/>
            <w:hideMark/>
          </w:tcPr>
          <w:p w14:paraId="6182A21E" w14:textId="77777777" w:rsidR="00FC5B7E" w:rsidRPr="004666D3" w:rsidRDefault="00FC5B7E" w:rsidP="000B152F">
            <w:pPr>
              <w:spacing w:after="0" w:line="240" w:lineRule="auto"/>
              <w:rPr>
                <w:rFonts w:ascii="Calibri" w:eastAsia="Times New Roman" w:hAnsi="Calibri" w:cs="Calibri"/>
                <w:color w:val="000000"/>
              </w:rPr>
            </w:pPr>
          </w:p>
        </w:tc>
        <w:tc>
          <w:tcPr>
            <w:tcW w:w="1256" w:type="pct"/>
            <w:tcBorders>
              <w:top w:val="single" w:sz="4" w:space="0" w:color="auto"/>
              <w:left w:val="nil"/>
              <w:bottom w:val="single" w:sz="4" w:space="0" w:color="auto"/>
              <w:right w:val="nil"/>
            </w:tcBorders>
            <w:shd w:val="clear" w:color="auto" w:fill="auto"/>
            <w:noWrap/>
            <w:vAlign w:val="bottom"/>
            <w:hideMark/>
          </w:tcPr>
          <w:p w14:paraId="6B9254D4"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Complete records after the 1A</w:t>
            </w:r>
          </w:p>
          <w:p w14:paraId="67CD337D"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of imputation</w:t>
            </w:r>
          </w:p>
        </w:tc>
        <w:tc>
          <w:tcPr>
            <w:tcW w:w="1100" w:type="pct"/>
            <w:tcBorders>
              <w:top w:val="single" w:sz="4" w:space="0" w:color="auto"/>
              <w:left w:val="nil"/>
              <w:bottom w:val="single" w:sz="4" w:space="0" w:color="auto"/>
              <w:right w:val="nil"/>
            </w:tcBorders>
            <w:shd w:val="clear" w:color="auto" w:fill="auto"/>
            <w:noWrap/>
            <w:vAlign w:val="bottom"/>
            <w:hideMark/>
          </w:tcPr>
          <w:p w14:paraId="463D2098"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Tiles with baselines between 10-20</w:t>
            </w:r>
          </w:p>
        </w:tc>
        <w:tc>
          <w:tcPr>
            <w:tcW w:w="942" w:type="pct"/>
            <w:tcBorders>
              <w:top w:val="single" w:sz="4" w:space="0" w:color="auto"/>
              <w:left w:val="nil"/>
              <w:bottom w:val="single" w:sz="4" w:space="0" w:color="auto"/>
              <w:right w:val="nil"/>
            </w:tcBorders>
            <w:shd w:val="clear" w:color="auto" w:fill="auto"/>
            <w:noWrap/>
            <w:vAlign w:val="bottom"/>
            <w:hideMark/>
          </w:tcPr>
          <w:p w14:paraId="32184D6C"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Validation data</w:t>
            </w:r>
          </w:p>
        </w:tc>
        <w:tc>
          <w:tcPr>
            <w:tcW w:w="681" w:type="pct"/>
            <w:tcBorders>
              <w:top w:val="single" w:sz="4" w:space="0" w:color="auto"/>
              <w:left w:val="nil"/>
              <w:bottom w:val="single" w:sz="4" w:space="0" w:color="auto"/>
              <w:right w:val="nil"/>
            </w:tcBorders>
            <w:shd w:val="clear" w:color="auto" w:fill="auto"/>
            <w:noWrap/>
            <w:vAlign w:val="bottom"/>
            <w:hideMark/>
          </w:tcPr>
          <w:p w14:paraId="695EF8C8"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Input data</w:t>
            </w:r>
          </w:p>
        </w:tc>
      </w:tr>
      <w:tr w:rsidR="00FC5B7E" w:rsidRPr="004666D3" w14:paraId="0FE84ADF" w14:textId="77777777" w:rsidTr="000B152F">
        <w:trPr>
          <w:trHeight w:val="290"/>
        </w:trPr>
        <w:tc>
          <w:tcPr>
            <w:tcW w:w="1021" w:type="pct"/>
            <w:tcBorders>
              <w:top w:val="nil"/>
              <w:left w:val="nil"/>
              <w:bottom w:val="nil"/>
              <w:right w:val="nil"/>
            </w:tcBorders>
            <w:shd w:val="clear" w:color="auto" w:fill="auto"/>
            <w:noWrap/>
            <w:vAlign w:val="bottom"/>
            <w:hideMark/>
          </w:tcPr>
          <w:p w14:paraId="3706EA5A"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Belgium (night)</w:t>
            </w:r>
          </w:p>
        </w:tc>
        <w:tc>
          <w:tcPr>
            <w:tcW w:w="1256" w:type="pct"/>
            <w:tcBorders>
              <w:top w:val="nil"/>
              <w:left w:val="nil"/>
              <w:bottom w:val="nil"/>
              <w:right w:val="nil"/>
            </w:tcBorders>
            <w:shd w:val="clear" w:color="auto" w:fill="auto"/>
            <w:noWrap/>
            <w:vAlign w:val="bottom"/>
            <w:hideMark/>
          </w:tcPr>
          <w:p w14:paraId="1F5944E8"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15946187</w:t>
            </w:r>
          </w:p>
        </w:tc>
        <w:tc>
          <w:tcPr>
            <w:tcW w:w="1100" w:type="pct"/>
            <w:tcBorders>
              <w:top w:val="nil"/>
              <w:left w:val="nil"/>
              <w:bottom w:val="nil"/>
              <w:right w:val="nil"/>
            </w:tcBorders>
            <w:shd w:val="clear" w:color="auto" w:fill="auto"/>
            <w:noWrap/>
            <w:vAlign w:val="bottom"/>
            <w:hideMark/>
          </w:tcPr>
          <w:p w14:paraId="3EB53353"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6510619</w:t>
            </w:r>
          </w:p>
        </w:tc>
        <w:tc>
          <w:tcPr>
            <w:tcW w:w="942" w:type="pct"/>
            <w:tcBorders>
              <w:top w:val="nil"/>
              <w:left w:val="nil"/>
              <w:bottom w:val="nil"/>
              <w:right w:val="nil"/>
            </w:tcBorders>
            <w:shd w:val="clear" w:color="auto" w:fill="auto"/>
            <w:noWrap/>
            <w:vAlign w:val="bottom"/>
            <w:hideMark/>
          </w:tcPr>
          <w:p w14:paraId="487ED616"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1953185</w:t>
            </w:r>
          </w:p>
        </w:tc>
        <w:tc>
          <w:tcPr>
            <w:tcW w:w="681" w:type="pct"/>
            <w:tcBorders>
              <w:top w:val="nil"/>
              <w:left w:val="nil"/>
              <w:bottom w:val="nil"/>
              <w:right w:val="nil"/>
            </w:tcBorders>
            <w:shd w:val="clear" w:color="auto" w:fill="auto"/>
            <w:noWrap/>
            <w:vAlign w:val="bottom"/>
            <w:hideMark/>
          </w:tcPr>
          <w:p w14:paraId="44E7E927"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12117916</w:t>
            </w:r>
          </w:p>
        </w:tc>
      </w:tr>
      <w:tr w:rsidR="00FC5B7E" w:rsidRPr="004666D3" w14:paraId="691D8E6B" w14:textId="77777777" w:rsidTr="000B152F">
        <w:trPr>
          <w:trHeight w:val="290"/>
        </w:trPr>
        <w:tc>
          <w:tcPr>
            <w:tcW w:w="1021" w:type="pct"/>
            <w:tcBorders>
              <w:top w:val="nil"/>
              <w:left w:val="nil"/>
              <w:bottom w:val="nil"/>
              <w:right w:val="nil"/>
            </w:tcBorders>
            <w:shd w:val="clear" w:color="auto" w:fill="auto"/>
            <w:noWrap/>
            <w:vAlign w:val="bottom"/>
            <w:hideMark/>
          </w:tcPr>
          <w:p w14:paraId="5D8D0E59"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Belgium (day)</w:t>
            </w:r>
          </w:p>
        </w:tc>
        <w:tc>
          <w:tcPr>
            <w:tcW w:w="1256" w:type="pct"/>
            <w:tcBorders>
              <w:top w:val="nil"/>
              <w:left w:val="nil"/>
              <w:bottom w:val="nil"/>
              <w:right w:val="nil"/>
            </w:tcBorders>
            <w:shd w:val="clear" w:color="auto" w:fill="auto"/>
            <w:noWrap/>
            <w:vAlign w:val="bottom"/>
            <w:hideMark/>
          </w:tcPr>
          <w:p w14:paraId="076C5529"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14071101</w:t>
            </w:r>
          </w:p>
        </w:tc>
        <w:tc>
          <w:tcPr>
            <w:tcW w:w="1100" w:type="pct"/>
            <w:tcBorders>
              <w:top w:val="nil"/>
              <w:left w:val="nil"/>
              <w:bottom w:val="nil"/>
              <w:right w:val="nil"/>
            </w:tcBorders>
            <w:shd w:val="clear" w:color="auto" w:fill="auto"/>
            <w:noWrap/>
            <w:vAlign w:val="bottom"/>
            <w:hideMark/>
          </w:tcPr>
          <w:p w14:paraId="620BBDCA"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7436805</w:t>
            </w:r>
          </w:p>
        </w:tc>
        <w:tc>
          <w:tcPr>
            <w:tcW w:w="942" w:type="pct"/>
            <w:tcBorders>
              <w:top w:val="nil"/>
              <w:left w:val="nil"/>
              <w:bottom w:val="nil"/>
              <w:right w:val="nil"/>
            </w:tcBorders>
            <w:shd w:val="clear" w:color="auto" w:fill="auto"/>
            <w:noWrap/>
            <w:vAlign w:val="bottom"/>
            <w:hideMark/>
          </w:tcPr>
          <w:p w14:paraId="777CDB8D"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2231014</w:t>
            </w:r>
          </w:p>
        </w:tc>
        <w:tc>
          <w:tcPr>
            <w:tcW w:w="681" w:type="pct"/>
            <w:tcBorders>
              <w:top w:val="nil"/>
              <w:left w:val="nil"/>
              <w:bottom w:val="nil"/>
              <w:right w:val="nil"/>
            </w:tcBorders>
            <w:shd w:val="clear" w:color="auto" w:fill="auto"/>
            <w:noWrap/>
            <w:vAlign w:val="bottom"/>
            <w:hideMark/>
          </w:tcPr>
          <w:p w14:paraId="0BFFA304"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13715146</w:t>
            </w:r>
          </w:p>
        </w:tc>
      </w:tr>
      <w:tr w:rsidR="00FC5B7E" w:rsidRPr="004666D3" w14:paraId="6CE5601C" w14:textId="77777777" w:rsidTr="000B152F">
        <w:trPr>
          <w:trHeight w:val="290"/>
        </w:trPr>
        <w:tc>
          <w:tcPr>
            <w:tcW w:w="1021" w:type="pct"/>
            <w:tcBorders>
              <w:top w:val="nil"/>
              <w:left w:val="nil"/>
              <w:bottom w:val="nil"/>
              <w:right w:val="nil"/>
            </w:tcBorders>
            <w:shd w:val="clear" w:color="auto" w:fill="auto"/>
            <w:noWrap/>
            <w:vAlign w:val="bottom"/>
            <w:hideMark/>
          </w:tcPr>
          <w:p w14:paraId="2DED8107"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Thailand (night)</w:t>
            </w:r>
          </w:p>
        </w:tc>
        <w:tc>
          <w:tcPr>
            <w:tcW w:w="1256" w:type="pct"/>
            <w:tcBorders>
              <w:top w:val="nil"/>
              <w:left w:val="nil"/>
              <w:bottom w:val="nil"/>
              <w:right w:val="nil"/>
            </w:tcBorders>
            <w:shd w:val="clear" w:color="auto" w:fill="auto"/>
            <w:noWrap/>
            <w:vAlign w:val="bottom"/>
            <w:hideMark/>
          </w:tcPr>
          <w:p w14:paraId="0B7BC170"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15992091</w:t>
            </w:r>
          </w:p>
        </w:tc>
        <w:tc>
          <w:tcPr>
            <w:tcW w:w="1100" w:type="pct"/>
            <w:tcBorders>
              <w:top w:val="nil"/>
              <w:left w:val="nil"/>
              <w:bottom w:val="nil"/>
              <w:right w:val="nil"/>
            </w:tcBorders>
            <w:shd w:val="clear" w:color="auto" w:fill="auto"/>
            <w:noWrap/>
            <w:vAlign w:val="bottom"/>
            <w:hideMark/>
          </w:tcPr>
          <w:p w14:paraId="25B89BA3"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1097047</w:t>
            </w:r>
          </w:p>
        </w:tc>
        <w:tc>
          <w:tcPr>
            <w:tcW w:w="942" w:type="pct"/>
            <w:tcBorders>
              <w:top w:val="nil"/>
              <w:left w:val="nil"/>
              <w:bottom w:val="nil"/>
              <w:right w:val="nil"/>
            </w:tcBorders>
            <w:shd w:val="clear" w:color="auto" w:fill="auto"/>
            <w:noWrap/>
            <w:vAlign w:val="bottom"/>
            <w:hideMark/>
          </w:tcPr>
          <w:p w14:paraId="36378DAA"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1097047</w:t>
            </w:r>
          </w:p>
        </w:tc>
        <w:tc>
          <w:tcPr>
            <w:tcW w:w="681" w:type="pct"/>
            <w:tcBorders>
              <w:top w:val="nil"/>
              <w:left w:val="nil"/>
              <w:bottom w:val="nil"/>
              <w:right w:val="nil"/>
            </w:tcBorders>
            <w:shd w:val="clear" w:color="auto" w:fill="auto"/>
            <w:noWrap/>
            <w:vAlign w:val="bottom"/>
            <w:hideMark/>
          </w:tcPr>
          <w:p w14:paraId="0C42773F"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14895044</w:t>
            </w:r>
          </w:p>
        </w:tc>
      </w:tr>
      <w:tr w:rsidR="00FC5B7E" w:rsidRPr="004666D3" w14:paraId="7E623DA6" w14:textId="77777777" w:rsidTr="000B152F">
        <w:trPr>
          <w:trHeight w:val="290"/>
        </w:trPr>
        <w:tc>
          <w:tcPr>
            <w:tcW w:w="1021" w:type="pct"/>
            <w:tcBorders>
              <w:top w:val="nil"/>
              <w:left w:val="nil"/>
              <w:bottom w:val="single" w:sz="4" w:space="0" w:color="auto"/>
              <w:right w:val="nil"/>
            </w:tcBorders>
            <w:shd w:val="clear" w:color="auto" w:fill="auto"/>
            <w:noWrap/>
            <w:vAlign w:val="bottom"/>
            <w:hideMark/>
          </w:tcPr>
          <w:p w14:paraId="36A5032A"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Thailand (day)</w:t>
            </w:r>
          </w:p>
        </w:tc>
        <w:tc>
          <w:tcPr>
            <w:tcW w:w="1256" w:type="pct"/>
            <w:tcBorders>
              <w:top w:val="nil"/>
              <w:left w:val="nil"/>
              <w:bottom w:val="single" w:sz="4" w:space="0" w:color="auto"/>
              <w:right w:val="nil"/>
            </w:tcBorders>
            <w:shd w:val="clear" w:color="auto" w:fill="auto"/>
            <w:noWrap/>
            <w:vAlign w:val="bottom"/>
            <w:hideMark/>
          </w:tcPr>
          <w:p w14:paraId="737738CC"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16287180</w:t>
            </w:r>
          </w:p>
        </w:tc>
        <w:tc>
          <w:tcPr>
            <w:tcW w:w="1100" w:type="pct"/>
            <w:tcBorders>
              <w:top w:val="nil"/>
              <w:left w:val="nil"/>
              <w:bottom w:val="single" w:sz="4" w:space="0" w:color="auto"/>
              <w:right w:val="nil"/>
            </w:tcBorders>
            <w:shd w:val="clear" w:color="auto" w:fill="auto"/>
            <w:noWrap/>
            <w:vAlign w:val="bottom"/>
            <w:hideMark/>
          </w:tcPr>
          <w:p w14:paraId="3FCAE272"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1112025</w:t>
            </w:r>
          </w:p>
        </w:tc>
        <w:tc>
          <w:tcPr>
            <w:tcW w:w="942" w:type="pct"/>
            <w:tcBorders>
              <w:top w:val="nil"/>
              <w:left w:val="nil"/>
              <w:bottom w:val="single" w:sz="4" w:space="0" w:color="auto"/>
              <w:right w:val="nil"/>
            </w:tcBorders>
            <w:shd w:val="clear" w:color="auto" w:fill="auto"/>
            <w:noWrap/>
            <w:vAlign w:val="bottom"/>
            <w:hideMark/>
          </w:tcPr>
          <w:p w14:paraId="655DFE76"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1112025</w:t>
            </w:r>
          </w:p>
        </w:tc>
        <w:tc>
          <w:tcPr>
            <w:tcW w:w="681" w:type="pct"/>
            <w:tcBorders>
              <w:top w:val="nil"/>
              <w:left w:val="nil"/>
              <w:bottom w:val="single" w:sz="4" w:space="0" w:color="auto"/>
              <w:right w:val="nil"/>
            </w:tcBorders>
            <w:shd w:val="clear" w:color="auto" w:fill="auto"/>
            <w:noWrap/>
            <w:vAlign w:val="bottom"/>
            <w:hideMark/>
          </w:tcPr>
          <w:p w14:paraId="61F7E6E8"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15175155</w:t>
            </w:r>
          </w:p>
        </w:tc>
      </w:tr>
    </w:tbl>
    <w:p w14:paraId="19E414AD" w14:textId="77777777" w:rsidR="00FC5B7E" w:rsidRPr="004666D3" w:rsidRDefault="00FC5B7E" w:rsidP="00FC5B7E">
      <w:pPr>
        <w:rPr>
          <w:b/>
          <w:bCs/>
          <w:szCs w:val="24"/>
        </w:rPr>
      </w:pPr>
      <w:r w:rsidRPr="004666D3">
        <w:rPr>
          <w:szCs w:val="24"/>
        </w:rPr>
        <w:lastRenderedPageBreak/>
        <w:t xml:space="preserve">The proportion of tiles with baselines ranging from 10 to 20, relative to all complete records, varies by country. This proportion was 45% in Belgium, whereas it was 10% in Thailand (Table A.2). As such a large number of tiles were between 10 and 20 users for Belgium, imputing them all was not an option as doing so would not have reduced the size of dataset for the imputation method to far below what was used for the 0 to 10 </w:t>
      </w:r>
      <w:proofErr w:type="gramStart"/>
      <w:r w:rsidRPr="004666D3">
        <w:rPr>
          <w:szCs w:val="24"/>
        </w:rPr>
        <w:t>imputation</w:t>
      </w:r>
      <w:proofErr w:type="gramEnd"/>
      <w:r w:rsidRPr="004666D3">
        <w:rPr>
          <w:szCs w:val="24"/>
        </w:rPr>
        <w:t xml:space="preserve">, meaning our validation test would likely be less accurate than the actual imputation. As such, we excluded 30% of the tiles with baselines between 10 and 20 for our validation test. We kept the remaining 70% of tiles with these 10-20 baselines, along with other tiles without missing baselines; these served as the input data for Belgium. For Thailand, we utilised all tiles with baselines between 10-20 for validation (given these only represented 10% of tiles) and the remaining complete records as the input data. We did this to evaluate the accuracy of models generated using various external population datasets for tiles exhibiting sparse baselines. The root-mean-square error (RMSE) and </w:t>
      </w:r>
      <w:bookmarkStart w:id="138" w:name="OLE_LINK100"/>
      <w:r w:rsidRPr="004666D3">
        <w:rPr>
          <w:szCs w:val="24"/>
        </w:rPr>
        <w:t xml:space="preserve">mean-absolute-error (MAE) </w:t>
      </w:r>
      <w:bookmarkEnd w:id="138"/>
      <w:r w:rsidRPr="004666D3">
        <w:rPr>
          <w:szCs w:val="24"/>
        </w:rPr>
        <w:t xml:space="preserve">were used to evaluate the models’ performance by comparing the Facebook user count and estimated population count (Fig. A.7). For example, in Belgium during night-time, for tiles with a baseline ranging from 10 to 20, the actual user count varied from 0.70 to 119.38 during the study period. The RMSE of 4.49 and the MAE of 3.57 were calculated by comparing the actual user count to the imputed count, which were derived from the estimated baseline and the corresponding percent change from the baseline provided by Facebook. The results also showed that for Thailand, the imputed user count calculated from models developed using WorldPop 2019 generally had lower RMSE and MAE values than using </w:t>
      </w:r>
      <w:proofErr w:type="spellStart"/>
      <w:r w:rsidRPr="004666D3">
        <w:rPr>
          <w:szCs w:val="24"/>
        </w:rPr>
        <w:t>LandScan</w:t>
      </w:r>
      <w:proofErr w:type="spellEnd"/>
      <w:r w:rsidRPr="004666D3">
        <w:rPr>
          <w:szCs w:val="24"/>
        </w:rPr>
        <w:t xml:space="preserve"> (refer to Table A.3). Other than in Thailand night-time, slightly lower RMSE and MAE values were obtained when applying natural logarithm transformations for both variables, though these </w:t>
      </w:r>
      <w:r w:rsidRPr="004666D3">
        <w:rPr>
          <w:szCs w:val="24"/>
        </w:rPr>
        <w:lastRenderedPageBreak/>
        <w:t>differences were minimal in comparison to other scenarios. A</w:t>
      </w:r>
      <w:r w:rsidRPr="004666D3">
        <w:rPr>
          <w:rFonts w:hint="eastAsia"/>
          <w:szCs w:val="24"/>
        </w:rPr>
        <w:t>ddition</w:t>
      </w:r>
      <w:r w:rsidRPr="004666D3">
        <w:rPr>
          <w:szCs w:val="24"/>
        </w:rPr>
        <w:t>ally, we also found that our models tend to underestimate the user count for sparse tiles.</w:t>
      </w:r>
    </w:p>
    <w:p w14:paraId="5DF9DEA1" w14:textId="77777777" w:rsidR="00FC5B7E" w:rsidRPr="004666D3" w:rsidRDefault="00FC5B7E" w:rsidP="00FC5B7E">
      <w:pPr>
        <w:spacing w:line="360" w:lineRule="auto"/>
        <w:rPr>
          <w:szCs w:val="24"/>
        </w:rPr>
      </w:pPr>
      <w:r w:rsidRPr="004666D3">
        <w:rPr>
          <w:noProof/>
          <w:szCs w:val="24"/>
        </w:rPr>
        <w:drawing>
          <wp:inline distT="0" distB="0" distL="0" distR="0" wp14:anchorId="1F096D1C" wp14:editId="47AB8039">
            <wp:extent cx="5731510" cy="5838825"/>
            <wp:effectExtent l="0" t="0" r="2540" b="9525"/>
            <wp:docPr id="62" name="Picture 62" descr="A group of graphs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graphs with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5838825"/>
                    </a:xfrm>
                    <a:prstGeom prst="rect">
                      <a:avLst/>
                    </a:prstGeom>
                  </pic:spPr>
                </pic:pic>
              </a:graphicData>
            </a:graphic>
          </wp:inline>
        </w:drawing>
      </w:r>
    </w:p>
    <w:p w14:paraId="55DE9FA7" w14:textId="77777777" w:rsidR="00FC5B7E" w:rsidRPr="004666D3" w:rsidRDefault="00FC5B7E" w:rsidP="00FC5B7E">
      <w:pPr>
        <w:spacing w:line="360" w:lineRule="auto"/>
      </w:pPr>
      <w:r w:rsidRPr="004666D3">
        <w:t>Figure A.7 Comparison of actual Facebook user count and our estimated user count for tiles with baselines between 10 and 20, to assess the accuracy of imputation methods generated for tiles with sparse baselines.</w:t>
      </w:r>
    </w:p>
    <w:p w14:paraId="589FA95A" w14:textId="77777777" w:rsidR="00FC5B7E" w:rsidRPr="004666D3" w:rsidRDefault="00FC5B7E" w:rsidP="00FC5B7E">
      <w:pPr>
        <w:spacing w:line="240" w:lineRule="auto"/>
      </w:pPr>
      <w:r w:rsidRPr="004666D3">
        <w:t xml:space="preserve"> </w:t>
      </w:r>
    </w:p>
    <w:p w14:paraId="0030B9D1" w14:textId="77777777" w:rsidR="00FC5B7E" w:rsidRPr="004666D3" w:rsidRDefault="00FC5B7E" w:rsidP="00FC5B7E">
      <w:pPr>
        <w:spacing w:line="360" w:lineRule="auto"/>
        <w:rPr>
          <w:szCs w:val="24"/>
        </w:rPr>
      </w:pPr>
      <w:r w:rsidRPr="004666D3">
        <w:rPr>
          <w:szCs w:val="24"/>
        </w:rPr>
        <w:t xml:space="preserve">Table A.3 The root-mean-square error (RMSE) and mean-absolute-error (MAE) of the constructed models in data imputation calculated by comparing the Facebook user count </w:t>
      </w:r>
      <w:r w:rsidRPr="004666D3">
        <w:rPr>
          <w:szCs w:val="24"/>
        </w:rPr>
        <w:lastRenderedPageBreak/>
        <w:t xml:space="preserve">and estimated user count when altering the input population data as </w:t>
      </w:r>
      <w:proofErr w:type="spellStart"/>
      <w:r w:rsidRPr="004666D3">
        <w:rPr>
          <w:szCs w:val="24"/>
        </w:rPr>
        <w:t>LandScan</w:t>
      </w:r>
      <w:proofErr w:type="spellEnd"/>
      <w:r w:rsidRPr="004666D3">
        <w:rPr>
          <w:szCs w:val="24"/>
        </w:rPr>
        <w:t xml:space="preserve"> population data.</w:t>
      </w:r>
    </w:p>
    <w:tbl>
      <w:tblPr>
        <w:tblW w:w="5670" w:type="dxa"/>
        <w:tblLook w:val="04A0" w:firstRow="1" w:lastRow="0" w:firstColumn="1" w:lastColumn="0" w:noHBand="0" w:noVBand="1"/>
      </w:tblPr>
      <w:tblGrid>
        <w:gridCol w:w="1276"/>
        <w:gridCol w:w="1134"/>
        <w:gridCol w:w="142"/>
        <w:gridCol w:w="1559"/>
        <w:gridCol w:w="1559"/>
      </w:tblGrid>
      <w:tr w:rsidR="00FC5B7E" w:rsidRPr="004666D3" w14:paraId="47EF96FF" w14:textId="77777777" w:rsidTr="000B152F">
        <w:trPr>
          <w:trHeight w:val="290"/>
        </w:trPr>
        <w:tc>
          <w:tcPr>
            <w:tcW w:w="1276" w:type="dxa"/>
            <w:tcBorders>
              <w:top w:val="single" w:sz="4" w:space="0" w:color="auto"/>
              <w:left w:val="nil"/>
              <w:bottom w:val="single" w:sz="4" w:space="0" w:color="auto"/>
              <w:right w:val="nil"/>
            </w:tcBorders>
            <w:shd w:val="clear" w:color="auto" w:fill="auto"/>
            <w:noWrap/>
            <w:vAlign w:val="center"/>
            <w:hideMark/>
          </w:tcPr>
          <w:p w14:paraId="68552B6A"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Country</w:t>
            </w:r>
          </w:p>
        </w:tc>
        <w:tc>
          <w:tcPr>
            <w:tcW w:w="1134" w:type="dxa"/>
            <w:tcBorders>
              <w:top w:val="single" w:sz="4" w:space="0" w:color="auto"/>
              <w:left w:val="nil"/>
              <w:bottom w:val="single" w:sz="4" w:space="0" w:color="auto"/>
              <w:right w:val="nil"/>
            </w:tcBorders>
            <w:shd w:val="clear" w:color="auto" w:fill="auto"/>
            <w:noWrap/>
            <w:vAlign w:val="center"/>
            <w:hideMark/>
          </w:tcPr>
          <w:p w14:paraId="266F6CF5"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Time</w:t>
            </w:r>
          </w:p>
        </w:tc>
        <w:tc>
          <w:tcPr>
            <w:tcW w:w="1701" w:type="dxa"/>
            <w:gridSpan w:val="2"/>
            <w:tcBorders>
              <w:top w:val="single" w:sz="4" w:space="0" w:color="auto"/>
              <w:left w:val="nil"/>
              <w:bottom w:val="single" w:sz="4" w:space="0" w:color="auto"/>
              <w:right w:val="nil"/>
            </w:tcBorders>
            <w:shd w:val="clear" w:color="auto" w:fill="auto"/>
            <w:noWrap/>
            <w:vAlign w:val="center"/>
            <w:hideMark/>
          </w:tcPr>
          <w:p w14:paraId="1BB3C700"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RESM</w:t>
            </w:r>
          </w:p>
        </w:tc>
        <w:tc>
          <w:tcPr>
            <w:tcW w:w="1559" w:type="dxa"/>
            <w:tcBorders>
              <w:top w:val="single" w:sz="4" w:space="0" w:color="auto"/>
              <w:left w:val="nil"/>
              <w:bottom w:val="single" w:sz="4" w:space="0" w:color="auto"/>
              <w:right w:val="nil"/>
            </w:tcBorders>
            <w:shd w:val="clear" w:color="auto" w:fill="auto"/>
            <w:noWrap/>
            <w:vAlign w:val="center"/>
            <w:hideMark/>
          </w:tcPr>
          <w:p w14:paraId="5AE6163A"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MAE</w:t>
            </w:r>
          </w:p>
        </w:tc>
      </w:tr>
      <w:tr w:rsidR="00FC5B7E" w:rsidRPr="004666D3" w14:paraId="411FF31F" w14:textId="77777777" w:rsidTr="000B152F">
        <w:trPr>
          <w:trHeight w:val="290"/>
        </w:trPr>
        <w:tc>
          <w:tcPr>
            <w:tcW w:w="1276" w:type="dxa"/>
            <w:vMerge w:val="restart"/>
            <w:tcBorders>
              <w:top w:val="nil"/>
              <w:left w:val="nil"/>
              <w:bottom w:val="nil"/>
              <w:right w:val="nil"/>
            </w:tcBorders>
            <w:shd w:val="clear" w:color="auto" w:fill="auto"/>
            <w:noWrap/>
            <w:vAlign w:val="center"/>
            <w:hideMark/>
          </w:tcPr>
          <w:p w14:paraId="4D808C01"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Belgium</w:t>
            </w:r>
          </w:p>
        </w:tc>
        <w:tc>
          <w:tcPr>
            <w:tcW w:w="1276" w:type="dxa"/>
            <w:gridSpan w:val="2"/>
            <w:tcBorders>
              <w:top w:val="nil"/>
              <w:left w:val="nil"/>
              <w:bottom w:val="nil"/>
              <w:right w:val="nil"/>
            </w:tcBorders>
            <w:shd w:val="clear" w:color="auto" w:fill="auto"/>
            <w:noWrap/>
            <w:vAlign w:val="center"/>
            <w:hideMark/>
          </w:tcPr>
          <w:p w14:paraId="5787D442"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night-time</w:t>
            </w:r>
          </w:p>
        </w:tc>
        <w:tc>
          <w:tcPr>
            <w:tcW w:w="1559" w:type="dxa"/>
            <w:tcBorders>
              <w:top w:val="nil"/>
              <w:left w:val="nil"/>
              <w:bottom w:val="nil"/>
              <w:right w:val="nil"/>
            </w:tcBorders>
            <w:shd w:val="clear" w:color="auto" w:fill="auto"/>
            <w:noWrap/>
            <w:vAlign w:val="center"/>
            <w:hideMark/>
          </w:tcPr>
          <w:p w14:paraId="10E6D646"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4.69</w:t>
            </w:r>
          </w:p>
        </w:tc>
        <w:tc>
          <w:tcPr>
            <w:tcW w:w="1559" w:type="dxa"/>
            <w:tcBorders>
              <w:top w:val="nil"/>
              <w:left w:val="nil"/>
              <w:bottom w:val="nil"/>
              <w:right w:val="nil"/>
            </w:tcBorders>
            <w:shd w:val="clear" w:color="auto" w:fill="auto"/>
            <w:noWrap/>
            <w:vAlign w:val="center"/>
            <w:hideMark/>
          </w:tcPr>
          <w:p w14:paraId="02B6FD4C"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3.78</w:t>
            </w:r>
          </w:p>
        </w:tc>
      </w:tr>
      <w:tr w:rsidR="00FC5B7E" w:rsidRPr="004666D3" w14:paraId="57DBA11A" w14:textId="77777777" w:rsidTr="000B152F">
        <w:trPr>
          <w:trHeight w:val="290"/>
        </w:trPr>
        <w:tc>
          <w:tcPr>
            <w:tcW w:w="1276" w:type="dxa"/>
            <w:vMerge/>
            <w:tcBorders>
              <w:top w:val="nil"/>
              <w:left w:val="nil"/>
              <w:bottom w:val="nil"/>
              <w:right w:val="nil"/>
            </w:tcBorders>
            <w:vAlign w:val="center"/>
            <w:hideMark/>
          </w:tcPr>
          <w:p w14:paraId="01BED40B"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gridSpan w:val="2"/>
            <w:tcBorders>
              <w:top w:val="nil"/>
              <w:left w:val="nil"/>
              <w:bottom w:val="nil"/>
              <w:right w:val="nil"/>
            </w:tcBorders>
            <w:shd w:val="clear" w:color="auto" w:fill="auto"/>
            <w:noWrap/>
            <w:vAlign w:val="center"/>
            <w:hideMark/>
          </w:tcPr>
          <w:p w14:paraId="10D96412"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daytime</w:t>
            </w:r>
          </w:p>
        </w:tc>
        <w:tc>
          <w:tcPr>
            <w:tcW w:w="1559" w:type="dxa"/>
            <w:tcBorders>
              <w:top w:val="nil"/>
              <w:left w:val="nil"/>
              <w:bottom w:val="nil"/>
              <w:right w:val="nil"/>
            </w:tcBorders>
            <w:shd w:val="clear" w:color="auto" w:fill="auto"/>
            <w:noWrap/>
            <w:vAlign w:val="center"/>
            <w:hideMark/>
          </w:tcPr>
          <w:p w14:paraId="7EE0B13F"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5.02</w:t>
            </w:r>
          </w:p>
        </w:tc>
        <w:tc>
          <w:tcPr>
            <w:tcW w:w="1559" w:type="dxa"/>
            <w:tcBorders>
              <w:top w:val="nil"/>
              <w:left w:val="nil"/>
              <w:bottom w:val="nil"/>
              <w:right w:val="nil"/>
            </w:tcBorders>
            <w:shd w:val="clear" w:color="auto" w:fill="auto"/>
            <w:noWrap/>
            <w:vAlign w:val="center"/>
            <w:hideMark/>
          </w:tcPr>
          <w:p w14:paraId="0CFCC343"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3.98</w:t>
            </w:r>
          </w:p>
        </w:tc>
      </w:tr>
      <w:tr w:rsidR="00FC5B7E" w:rsidRPr="004666D3" w14:paraId="0D7F1327" w14:textId="77777777" w:rsidTr="000B152F">
        <w:trPr>
          <w:trHeight w:val="290"/>
        </w:trPr>
        <w:tc>
          <w:tcPr>
            <w:tcW w:w="1276" w:type="dxa"/>
            <w:vMerge w:val="restart"/>
            <w:tcBorders>
              <w:top w:val="nil"/>
              <w:left w:val="nil"/>
              <w:bottom w:val="single" w:sz="4" w:space="0" w:color="000000"/>
              <w:right w:val="nil"/>
            </w:tcBorders>
            <w:shd w:val="clear" w:color="auto" w:fill="auto"/>
            <w:noWrap/>
            <w:vAlign w:val="center"/>
            <w:hideMark/>
          </w:tcPr>
          <w:p w14:paraId="1FC05264"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Thailand</w:t>
            </w:r>
          </w:p>
        </w:tc>
        <w:tc>
          <w:tcPr>
            <w:tcW w:w="1276" w:type="dxa"/>
            <w:gridSpan w:val="2"/>
            <w:tcBorders>
              <w:top w:val="nil"/>
              <w:left w:val="nil"/>
              <w:bottom w:val="nil"/>
              <w:right w:val="nil"/>
            </w:tcBorders>
            <w:shd w:val="clear" w:color="auto" w:fill="auto"/>
            <w:noWrap/>
            <w:vAlign w:val="center"/>
            <w:hideMark/>
          </w:tcPr>
          <w:p w14:paraId="3025880B"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night-time</w:t>
            </w:r>
          </w:p>
        </w:tc>
        <w:tc>
          <w:tcPr>
            <w:tcW w:w="1559" w:type="dxa"/>
            <w:tcBorders>
              <w:top w:val="nil"/>
              <w:left w:val="nil"/>
              <w:bottom w:val="nil"/>
              <w:right w:val="nil"/>
            </w:tcBorders>
            <w:shd w:val="clear" w:color="auto" w:fill="auto"/>
            <w:noWrap/>
            <w:vAlign w:val="center"/>
            <w:hideMark/>
          </w:tcPr>
          <w:p w14:paraId="2AE0CCF0"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5.38</w:t>
            </w:r>
          </w:p>
        </w:tc>
        <w:tc>
          <w:tcPr>
            <w:tcW w:w="1559" w:type="dxa"/>
            <w:tcBorders>
              <w:top w:val="nil"/>
              <w:left w:val="nil"/>
              <w:bottom w:val="nil"/>
              <w:right w:val="nil"/>
            </w:tcBorders>
            <w:shd w:val="clear" w:color="auto" w:fill="auto"/>
            <w:noWrap/>
            <w:vAlign w:val="center"/>
            <w:hideMark/>
          </w:tcPr>
          <w:p w14:paraId="0D22DCD8"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4.26</w:t>
            </w:r>
          </w:p>
        </w:tc>
      </w:tr>
      <w:tr w:rsidR="00FC5B7E" w:rsidRPr="004666D3" w14:paraId="33F2BC91" w14:textId="77777777" w:rsidTr="000B152F">
        <w:trPr>
          <w:trHeight w:val="300"/>
        </w:trPr>
        <w:tc>
          <w:tcPr>
            <w:tcW w:w="1276" w:type="dxa"/>
            <w:vMerge/>
            <w:tcBorders>
              <w:top w:val="nil"/>
              <w:left w:val="nil"/>
              <w:bottom w:val="single" w:sz="4" w:space="0" w:color="000000"/>
              <w:right w:val="nil"/>
            </w:tcBorders>
            <w:vAlign w:val="center"/>
            <w:hideMark/>
          </w:tcPr>
          <w:p w14:paraId="5F0E79FC" w14:textId="77777777" w:rsidR="00FC5B7E" w:rsidRPr="004666D3" w:rsidRDefault="00FC5B7E" w:rsidP="000B152F">
            <w:pPr>
              <w:spacing w:after="0" w:line="240" w:lineRule="auto"/>
              <w:jc w:val="center"/>
              <w:rPr>
                <w:rFonts w:ascii="Calibri" w:eastAsia="Times New Roman" w:hAnsi="Calibri" w:cs="Calibri"/>
                <w:color w:val="000000"/>
              </w:rPr>
            </w:pPr>
          </w:p>
        </w:tc>
        <w:tc>
          <w:tcPr>
            <w:tcW w:w="1276" w:type="dxa"/>
            <w:gridSpan w:val="2"/>
            <w:tcBorders>
              <w:top w:val="nil"/>
              <w:left w:val="nil"/>
              <w:bottom w:val="single" w:sz="4" w:space="0" w:color="auto"/>
              <w:right w:val="nil"/>
            </w:tcBorders>
            <w:shd w:val="clear" w:color="auto" w:fill="auto"/>
            <w:noWrap/>
            <w:vAlign w:val="center"/>
            <w:hideMark/>
          </w:tcPr>
          <w:p w14:paraId="496AA8F0"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daytime</w:t>
            </w:r>
          </w:p>
        </w:tc>
        <w:tc>
          <w:tcPr>
            <w:tcW w:w="1559" w:type="dxa"/>
            <w:tcBorders>
              <w:top w:val="nil"/>
              <w:left w:val="nil"/>
              <w:bottom w:val="single" w:sz="4" w:space="0" w:color="auto"/>
              <w:right w:val="nil"/>
            </w:tcBorders>
            <w:shd w:val="clear" w:color="auto" w:fill="auto"/>
            <w:noWrap/>
            <w:vAlign w:val="center"/>
            <w:hideMark/>
          </w:tcPr>
          <w:p w14:paraId="1BDFEAB6"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5.74</w:t>
            </w:r>
          </w:p>
        </w:tc>
        <w:tc>
          <w:tcPr>
            <w:tcW w:w="1559" w:type="dxa"/>
            <w:tcBorders>
              <w:top w:val="nil"/>
              <w:left w:val="nil"/>
              <w:bottom w:val="single" w:sz="4" w:space="0" w:color="auto"/>
              <w:right w:val="nil"/>
            </w:tcBorders>
            <w:shd w:val="clear" w:color="auto" w:fill="auto"/>
            <w:noWrap/>
            <w:vAlign w:val="center"/>
            <w:hideMark/>
          </w:tcPr>
          <w:p w14:paraId="783C14B1"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4.52</w:t>
            </w:r>
          </w:p>
        </w:tc>
      </w:tr>
    </w:tbl>
    <w:p w14:paraId="0238E0AB" w14:textId="77777777" w:rsidR="00FC5B7E" w:rsidRPr="004666D3" w:rsidRDefault="00FC5B7E" w:rsidP="00FC5B7E">
      <w:pPr>
        <w:rPr>
          <w:b/>
          <w:bCs/>
          <w:szCs w:val="24"/>
        </w:rPr>
      </w:pPr>
    </w:p>
    <w:p w14:paraId="5B0FB95D" w14:textId="77777777" w:rsidR="00FC5B7E" w:rsidRPr="004666D3" w:rsidRDefault="00FC5B7E" w:rsidP="00FC5B7E">
      <w:pPr>
        <w:rPr>
          <w:b/>
          <w:bCs/>
          <w:szCs w:val="24"/>
        </w:rPr>
      </w:pPr>
      <w:r w:rsidRPr="004666D3">
        <w:rPr>
          <w:b/>
          <w:bCs/>
          <w:szCs w:val="24"/>
        </w:rPr>
        <w:t>A3. The records of imputation process</w:t>
      </w:r>
    </w:p>
    <w:p w14:paraId="05471C4D" w14:textId="77777777" w:rsidR="00FC5B7E" w:rsidRPr="004666D3" w:rsidRDefault="00FC5B7E" w:rsidP="00FC5B7E">
      <w:pPr>
        <w:rPr>
          <w:szCs w:val="24"/>
        </w:rPr>
      </w:pPr>
      <w:r w:rsidRPr="004666D3">
        <w:rPr>
          <w:szCs w:val="24"/>
        </w:rPr>
        <w:t>The component 1A in the first step of our data imputation method can only estimate around 10% of the missing records. After the component 1B, both Belgium and Thailand obtained approximately 99.9% of total data records that could be used for subsequent analysis.</w:t>
      </w:r>
    </w:p>
    <w:p w14:paraId="14157597" w14:textId="77777777" w:rsidR="00FC5B7E" w:rsidRPr="004666D3" w:rsidRDefault="00FC5B7E" w:rsidP="00FC5B7E">
      <w:pPr>
        <w:spacing w:line="360" w:lineRule="auto"/>
        <w:rPr>
          <w:szCs w:val="24"/>
        </w:rPr>
      </w:pPr>
      <w:r w:rsidRPr="004666D3">
        <w:rPr>
          <w:szCs w:val="24"/>
        </w:rPr>
        <w:t>Table A.4 The records of each imputation process</w:t>
      </w:r>
    </w:p>
    <w:tbl>
      <w:tblPr>
        <w:tblW w:w="9498" w:type="dxa"/>
        <w:tblLook w:val="04A0" w:firstRow="1" w:lastRow="0" w:firstColumn="1" w:lastColumn="0" w:noHBand="0" w:noVBand="1"/>
      </w:tblPr>
      <w:tblGrid>
        <w:gridCol w:w="1134"/>
        <w:gridCol w:w="851"/>
        <w:gridCol w:w="1276"/>
        <w:gridCol w:w="1275"/>
        <w:gridCol w:w="1304"/>
        <w:gridCol w:w="1304"/>
        <w:gridCol w:w="1304"/>
        <w:gridCol w:w="1418"/>
      </w:tblGrid>
      <w:tr w:rsidR="00FC5B7E" w:rsidRPr="004666D3" w14:paraId="1D777ED9" w14:textId="77777777" w:rsidTr="000B152F">
        <w:trPr>
          <w:trHeight w:val="246"/>
        </w:trPr>
        <w:tc>
          <w:tcPr>
            <w:tcW w:w="1134" w:type="dxa"/>
            <w:tcBorders>
              <w:top w:val="single" w:sz="4" w:space="0" w:color="auto"/>
              <w:left w:val="nil"/>
              <w:bottom w:val="single" w:sz="4" w:space="0" w:color="auto"/>
              <w:right w:val="nil"/>
            </w:tcBorders>
            <w:shd w:val="clear" w:color="auto" w:fill="auto"/>
            <w:noWrap/>
            <w:vAlign w:val="center"/>
            <w:hideMark/>
          </w:tcPr>
          <w:p w14:paraId="164CDD80"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Country</w:t>
            </w:r>
          </w:p>
        </w:tc>
        <w:tc>
          <w:tcPr>
            <w:tcW w:w="851" w:type="dxa"/>
            <w:tcBorders>
              <w:top w:val="single" w:sz="4" w:space="0" w:color="auto"/>
              <w:left w:val="nil"/>
              <w:bottom w:val="single" w:sz="4" w:space="0" w:color="auto"/>
              <w:right w:val="nil"/>
            </w:tcBorders>
            <w:shd w:val="clear" w:color="auto" w:fill="auto"/>
            <w:noWrap/>
            <w:vAlign w:val="center"/>
            <w:hideMark/>
          </w:tcPr>
          <w:p w14:paraId="1DDA4175"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Time</w:t>
            </w:r>
          </w:p>
        </w:tc>
        <w:tc>
          <w:tcPr>
            <w:tcW w:w="1276" w:type="dxa"/>
            <w:tcBorders>
              <w:top w:val="single" w:sz="4" w:space="0" w:color="auto"/>
              <w:left w:val="nil"/>
              <w:bottom w:val="single" w:sz="4" w:space="0" w:color="auto"/>
              <w:right w:val="nil"/>
            </w:tcBorders>
            <w:shd w:val="clear" w:color="auto" w:fill="auto"/>
            <w:noWrap/>
            <w:vAlign w:val="center"/>
            <w:hideMark/>
          </w:tcPr>
          <w:p w14:paraId="590DE3B1"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Total records</w:t>
            </w:r>
          </w:p>
        </w:tc>
        <w:tc>
          <w:tcPr>
            <w:tcW w:w="1275" w:type="dxa"/>
            <w:tcBorders>
              <w:top w:val="single" w:sz="4" w:space="0" w:color="auto"/>
              <w:left w:val="nil"/>
              <w:bottom w:val="single" w:sz="4" w:space="0" w:color="auto"/>
              <w:right w:val="nil"/>
            </w:tcBorders>
            <w:shd w:val="clear" w:color="auto" w:fill="auto"/>
            <w:noWrap/>
            <w:vAlign w:val="center"/>
            <w:hideMark/>
          </w:tcPr>
          <w:p w14:paraId="04E4F45E"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Complete records</w:t>
            </w:r>
          </w:p>
        </w:tc>
        <w:tc>
          <w:tcPr>
            <w:tcW w:w="1134" w:type="dxa"/>
            <w:tcBorders>
              <w:top w:val="single" w:sz="4" w:space="0" w:color="auto"/>
              <w:left w:val="nil"/>
              <w:bottom w:val="single" w:sz="4" w:space="0" w:color="auto"/>
              <w:right w:val="nil"/>
            </w:tcBorders>
            <w:shd w:val="clear" w:color="auto" w:fill="auto"/>
            <w:noWrap/>
            <w:vAlign w:val="center"/>
            <w:hideMark/>
          </w:tcPr>
          <w:p w14:paraId="5E7F5F50"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Imputation 1A - 1</w:t>
            </w:r>
          </w:p>
        </w:tc>
        <w:tc>
          <w:tcPr>
            <w:tcW w:w="1134" w:type="dxa"/>
            <w:tcBorders>
              <w:top w:val="single" w:sz="4" w:space="0" w:color="auto"/>
              <w:left w:val="nil"/>
              <w:bottom w:val="single" w:sz="4" w:space="0" w:color="auto"/>
              <w:right w:val="nil"/>
            </w:tcBorders>
            <w:shd w:val="clear" w:color="auto" w:fill="auto"/>
            <w:noWrap/>
            <w:vAlign w:val="center"/>
            <w:hideMark/>
          </w:tcPr>
          <w:p w14:paraId="57785D7F"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Imputation 1A - 2</w:t>
            </w:r>
          </w:p>
        </w:tc>
        <w:tc>
          <w:tcPr>
            <w:tcW w:w="1276" w:type="dxa"/>
            <w:tcBorders>
              <w:top w:val="single" w:sz="4" w:space="0" w:color="auto"/>
              <w:left w:val="nil"/>
              <w:bottom w:val="single" w:sz="4" w:space="0" w:color="auto"/>
              <w:right w:val="nil"/>
            </w:tcBorders>
            <w:shd w:val="clear" w:color="auto" w:fill="auto"/>
            <w:noWrap/>
            <w:vAlign w:val="center"/>
            <w:hideMark/>
          </w:tcPr>
          <w:p w14:paraId="3FA7BE62"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Imputation 1B</w:t>
            </w:r>
          </w:p>
        </w:tc>
        <w:tc>
          <w:tcPr>
            <w:tcW w:w="1418" w:type="dxa"/>
            <w:tcBorders>
              <w:top w:val="single" w:sz="4" w:space="0" w:color="auto"/>
              <w:left w:val="nil"/>
              <w:bottom w:val="single" w:sz="4" w:space="0" w:color="auto"/>
              <w:right w:val="nil"/>
            </w:tcBorders>
            <w:shd w:val="clear" w:color="auto" w:fill="auto"/>
            <w:noWrap/>
            <w:vAlign w:val="center"/>
            <w:hideMark/>
          </w:tcPr>
          <w:p w14:paraId="213F8900"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After imputation</w:t>
            </w:r>
          </w:p>
        </w:tc>
      </w:tr>
      <w:tr w:rsidR="00FC5B7E" w:rsidRPr="004666D3" w14:paraId="1BB57CA9" w14:textId="77777777" w:rsidTr="000B152F">
        <w:trPr>
          <w:trHeight w:val="246"/>
        </w:trPr>
        <w:tc>
          <w:tcPr>
            <w:tcW w:w="1134" w:type="dxa"/>
            <w:vMerge w:val="restart"/>
            <w:tcBorders>
              <w:top w:val="nil"/>
              <w:left w:val="nil"/>
              <w:bottom w:val="single" w:sz="4" w:space="0" w:color="auto"/>
              <w:right w:val="nil"/>
            </w:tcBorders>
            <w:shd w:val="clear" w:color="auto" w:fill="auto"/>
            <w:noWrap/>
            <w:vAlign w:val="center"/>
            <w:hideMark/>
          </w:tcPr>
          <w:p w14:paraId="0C4A0701"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Belgium</w:t>
            </w:r>
          </w:p>
        </w:tc>
        <w:tc>
          <w:tcPr>
            <w:tcW w:w="851" w:type="dxa"/>
            <w:tcBorders>
              <w:top w:val="nil"/>
              <w:left w:val="nil"/>
              <w:bottom w:val="nil"/>
              <w:right w:val="nil"/>
            </w:tcBorders>
            <w:shd w:val="clear" w:color="auto" w:fill="auto"/>
            <w:noWrap/>
            <w:vAlign w:val="center"/>
            <w:hideMark/>
          </w:tcPr>
          <w:p w14:paraId="0EFB5F5F"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night-time</w:t>
            </w:r>
          </w:p>
        </w:tc>
        <w:tc>
          <w:tcPr>
            <w:tcW w:w="1276" w:type="dxa"/>
            <w:tcBorders>
              <w:top w:val="nil"/>
              <w:left w:val="nil"/>
              <w:bottom w:val="nil"/>
              <w:right w:val="nil"/>
            </w:tcBorders>
            <w:shd w:val="clear" w:color="auto" w:fill="auto"/>
            <w:noWrap/>
            <w:vAlign w:val="center"/>
            <w:hideMark/>
          </w:tcPr>
          <w:p w14:paraId="5C868737"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38174311</w:t>
            </w:r>
          </w:p>
        </w:tc>
        <w:tc>
          <w:tcPr>
            <w:tcW w:w="1275" w:type="dxa"/>
            <w:tcBorders>
              <w:top w:val="nil"/>
              <w:left w:val="nil"/>
              <w:bottom w:val="nil"/>
              <w:right w:val="nil"/>
            </w:tcBorders>
            <w:shd w:val="clear" w:color="auto" w:fill="auto"/>
            <w:noWrap/>
            <w:vAlign w:val="center"/>
            <w:hideMark/>
          </w:tcPr>
          <w:p w14:paraId="2FFE42AA"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12567994</w:t>
            </w:r>
          </w:p>
        </w:tc>
        <w:tc>
          <w:tcPr>
            <w:tcW w:w="1134" w:type="dxa"/>
            <w:tcBorders>
              <w:top w:val="nil"/>
              <w:left w:val="nil"/>
              <w:bottom w:val="nil"/>
              <w:right w:val="nil"/>
            </w:tcBorders>
            <w:shd w:val="clear" w:color="auto" w:fill="auto"/>
            <w:noWrap/>
            <w:vAlign w:val="center"/>
            <w:hideMark/>
          </w:tcPr>
          <w:p w14:paraId="48504CFF"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1167875</w:t>
            </w:r>
          </w:p>
        </w:tc>
        <w:tc>
          <w:tcPr>
            <w:tcW w:w="1134" w:type="dxa"/>
            <w:tcBorders>
              <w:top w:val="nil"/>
              <w:left w:val="nil"/>
              <w:bottom w:val="nil"/>
              <w:right w:val="nil"/>
            </w:tcBorders>
            <w:shd w:val="clear" w:color="auto" w:fill="auto"/>
            <w:noWrap/>
            <w:vAlign w:val="center"/>
            <w:hideMark/>
          </w:tcPr>
          <w:p w14:paraId="4BA6B94A"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335232</w:t>
            </w:r>
          </w:p>
        </w:tc>
        <w:tc>
          <w:tcPr>
            <w:tcW w:w="1276" w:type="dxa"/>
            <w:tcBorders>
              <w:top w:val="nil"/>
              <w:left w:val="nil"/>
              <w:bottom w:val="nil"/>
              <w:right w:val="nil"/>
            </w:tcBorders>
            <w:shd w:val="clear" w:color="auto" w:fill="auto"/>
            <w:noWrap/>
            <w:vAlign w:val="center"/>
            <w:hideMark/>
          </w:tcPr>
          <w:p w14:paraId="561F1FE0"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24081117</w:t>
            </w:r>
          </w:p>
        </w:tc>
        <w:tc>
          <w:tcPr>
            <w:tcW w:w="1418" w:type="dxa"/>
            <w:tcBorders>
              <w:top w:val="nil"/>
              <w:left w:val="nil"/>
              <w:bottom w:val="nil"/>
              <w:right w:val="nil"/>
            </w:tcBorders>
            <w:shd w:val="clear" w:color="auto" w:fill="auto"/>
            <w:noWrap/>
            <w:vAlign w:val="center"/>
            <w:hideMark/>
          </w:tcPr>
          <w:p w14:paraId="0316C5F8"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38152218</w:t>
            </w:r>
          </w:p>
        </w:tc>
      </w:tr>
      <w:tr w:rsidR="00FC5B7E" w:rsidRPr="004666D3" w14:paraId="77CF2BCE" w14:textId="77777777" w:rsidTr="000B152F">
        <w:trPr>
          <w:trHeight w:val="246"/>
        </w:trPr>
        <w:tc>
          <w:tcPr>
            <w:tcW w:w="1134" w:type="dxa"/>
            <w:vMerge/>
            <w:tcBorders>
              <w:top w:val="nil"/>
              <w:left w:val="nil"/>
              <w:bottom w:val="single" w:sz="4" w:space="0" w:color="auto"/>
              <w:right w:val="nil"/>
            </w:tcBorders>
            <w:vAlign w:val="center"/>
            <w:hideMark/>
          </w:tcPr>
          <w:p w14:paraId="1C7C1067" w14:textId="77777777" w:rsidR="00FC5B7E" w:rsidRPr="004666D3" w:rsidRDefault="00FC5B7E" w:rsidP="000B152F">
            <w:pPr>
              <w:spacing w:after="0" w:line="240" w:lineRule="auto"/>
              <w:jc w:val="center"/>
              <w:rPr>
                <w:rFonts w:ascii="Calibri" w:eastAsia="Times New Roman" w:hAnsi="Calibri" w:cs="Calibri"/>
                <w:color w:val="000000"/>
              </w:rPr>
            </w:pPr>
          </w:p>
        </w:tc>
        <w:tc>
          <w:tcPr>
            <w:tcW w:w="851" w:type="dxa"/>
            <w:tcBorders>
              <w:top w:val="nil"/>
              <w:left w:val="nil"/>
              <w:bottom w:val="single" w:sz="4" w:space="0" w:color="auto"/>
              <w:right w:val="nil"/>
            </w:tcBorders>
            <w:shd w:val="clear" w:color="auto" w:fill="auto"/>
            <w:noWrap/>
            <w:vAlign w:val="center"/>
            <w:hideMark/>
          </w:tcPr>
          <w:p w14:paraId="5E8E01F4"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day</w:t>
            </w:r>
          </w:p>
          <w:p w14:paraId="08EDD2DF"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time</w:t>
            </w:r>
          </w:p>
        </w:tc>
        <w:tc>
          <w:tcPr>
            <w:tcW w:w="1276" w:type="dxa"/>
            <w:tcBorders>
              <w:top w:val="nil"/>
              <w:left w:val="nil"/>
              <w:bottom w:val="single" w:sz="4" w:space="0" w:color="auto"/>
              <w:right w:val="nil"/>
            </w:tcBorders>
            <w:shd w:val="clear" w:color="auto" w:fill="auto"/>
            <w:noWrap/>
            <w:vAlign w:val="center"/>
            <w:hideMark/>
          </w:tcPr>
          <w:p w14:paraId="26BF77B3"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38263227</w:t>
            </w:r>
          </w:p>
        </w:tc>
        <w:tc>
          <w:tcPr>
            <w:tcW w:w="1275" w:type="dxa"/>
            <w:tcBorders>
              <w:top w:val="nil"/>
              <w:left w:val="nil"/>
              <w:bottom w:val="single" w:sz="4" w:space="0" w:color="auto"/>
              <w:right w:val="nil"/>
            </w:tcBorders>
            <w:shd w:val="clear" w:color="auto" w:fill="auto"/>
            <w:noWrap/>
            <w:vAlign w:val="center"/>
            <w:hideMark/>
          </w:tcPr>
          <w:p w14:paraId="1A5FDAD5"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13601433</w:t>
            </w:r>
          </w:p>
        </w:tc>
        <w:tc>
          <w:tcPr>
            <w:tcW w:w="1134" w:type="dxa"/>
            <w:tcBorders>
              <w:top w:val="nil"/>
              <w:left w:val="nil"/>
              <w:bottom w:val="single" w:sz="4" w:space="0" w:color="auto"/>
              <w:right w:val="nil"/>
            </w:tcBorders>
            <w:shd w:val="clear" w:color="auto" w:fill="auto"/>
            <w:noWrap/>
            <w:vAlign w:val="center"/>
            <w:hideMark/>
          </w:tcPr>
          <w:p w14:paraId="6A5AD7D2"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1040441</w:t>
            </w:r>
          </w:p>
        </w:tc>
        <w:tc>
          <w:tcPr>
            <w:tcW w:w="1134" w:type="dxa"/>
            <w:tcBorders>
              <w:top w:val="nil"/>
              <w:left w:val="nil"/>
              <w:bottom w:val="single" w:sz="4" w:space="0" w:color="auto"/>
              <w:right w:val="nil"/>
            </w:tcBorders>
            <w:shd w:val="clear" w:color="auto" w:fill="auto"/>
            <w:noWrap/>
            <w:vAlign w:val="center"/>
            <w:hideMark/>
          </w:tcPr>
          <w:p w14:paraId="3A168734"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1304313</w:t>
            </w:r>
          </w:p>
        </w:tc>
        <w:tc>
          <w:tcPr>
            <w:tcW w:w="1276" w:type="dxa"/>
            <w:tcBorders>
              <w:top w:val="nil"/>
              <w:left w:val="nil"/>
              <w:bottom w:val="single" w:sz="4" w:space="0" w:color="auto"/>
              <w:right w:val="nil"/>
            </w:tcBorders>
            <w:shd w:val="clear" w:color="auto" w:fill="auto"/>
            <w:noWrap/>
            <w:vAlign w:val="center"/>
            <w:hideMark/>
          </w:tcPr>
          <w:p w14:paraId="0D4DAFA8"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22295565</w:t>
            </w:r>
          </w:p>
        </w:tc>
        <w:tc>
          <w:tcPr>
            <w:tcW w:w="1418" w:type="dxa"/>
            <w:tcBorders>
              <w:top w:val="nil"/>
              <w:left w:val="nil"/>
              <w:bottom w:val="single" w:sz="4" w:space="0" w:color="auto"/>
              <w:right w:val="nil"/>
            </w:tcBorders>
            <w:shd w:val="clear" w:color="auto" w:fill="auto"/>
            <w:noWrap/>
            <w:vAlign w:val="center"/>
            <w:hideMark/>
          </w:tcPr>
          <w:p w14:paraId="78588ABB"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38241752</w:t>
            </w:r>
          </w:p>
        </w:tc>
      </w:tr>
      <w:tr w:rsidR="00FC5B7E" w:rsidRPr="004666D3" w14:paraId="6342F006" w14:textId="77777777" w:rsidTr="000B152F">
        <w:trPr>
          <w:trHeight w:val="246"/>
        </w:trPr>
        <w:tc>
          <w:tcPr>
            <w:tcW w:w="1134" w:type="dxa"/>
            <w:vMerge w:val="restart"/>
            <w:tcBorders>
              <w:top w:val="nil"/>
              <w:left w:val="nil"/>
              <w:bottom w:val="single" w:sz="4" w:space="0" w:color="auto"/>
              <w:right w:val="nil"/>
            </w:tcBorders>
            <w:shd w:val="clear" w:color="auto" w:fill="auto"/>
            <w:noWrap/>
            <w:vAlign w:val="center"/>
            <w:hideMark/>
          </w:tcPr>
          <w:p w14:paraId="61D0720C" w14:textId="77777777" w:rsidR="00FC5B7E" w:rsidRPr="004666D3" w:rsidRDefault="00FC5B7E" w:rsidP="000B152F">
            <w:pPr>
              <w:spacing w:after="0" w:line="240" w:lineRule="auto"/>
              <w:jc w:val="center"/>
              <w:rPr>
                <w:rFonts w:ascii="Calibri" w:eastAsia="Times New Roman" w:hAnsi="Calibri" w:cs="Calibri"/>
                <w:color w:val="000000"/>
              </w:rPr>
            </w:pPr>
            <w:r w:rsidRPr="004666D3">
              <w:rPr>
                <w:rFonts w:ascii="Calibri" w:eastAsia="Times New Roman" w:hAnsi="Calibri" w:cs="Calibri"/>
                <w:color w:val="000000"/>
              </w:rPr>
              <w:t>Thailand</w:t>
            </w:r>
          </w:p>
        </w:tc>
        <w:tc>
          <w:tcPr>
            <w:tcW w:w="851" w:type="dxa"/>
            <w:tcBorders>
              <w:top w:val="nil"/>
              <w:left w:val="nil"/>
              <w:bottom w:val="nil"/>
              <w:right w:val="nil"/>
            </w:tcBorders>
            <w:shd w:val="clear" w:color="auto" w:fill="auto"/>
            <w:noWrap/>
            <w:vAlign w:val="center"/>
            <w:hideMark/>
          </w:tcPr>
          <w:p w14:paraId="14B42C13"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night-time</w:t>
            </w:r>
          </w:p>
        </w:tc>
        <w:tc>
          <w:tcPr>
            <w:tcW w:w="1276" w:type="dxa"/>
            <w:tcBorders>
              <w:top w:val="nil"/>
              <w:left w:val="nil"/>
              <w:bottom w:val="nil"/>
              <w:right w:val="nil"/>
            </w:tcBorders>
            <w:shd w:val="clear" w:color="auto" w:fill="auto"/>
            <w:noWrap/>
            <w:vAlign w:val="center"/>
            <w:hideMark/>
          </w:tcPr>
          <w:p w14:paraId="5F0B9617"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17958625</w:t>
            </w:r>
          </w:p>
        </w:tc>
        <w:tc>
          <w:tcPr>
            <w:tcW w:w="1275" w:type="dxa"/>
            <w:tcBorders>
              <w:top w:val="nil"/>
              <w:left w:val="nil"/>
              <w:bottom w:val="nil"/>
              <w:right w:val="nil"/>
            </w:tcBorders>
            <w:shd w:val="clear" w:color="auto" w:fill="auto"/>
            <w:noWrap/>
            <w:vAlign w:val="center"/>
            <w:hideMark/>
          </w:tcPr>
          <w:p w14:paraId="5A89CB3E"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15811763</w:t>
            </w:r>
          </w:p>
        </w:tc>
        <w:tc>
          <w:tcPr>
            <w:tcW w:w="1134" w:type="dxa"/>
            <w:tcBorders>
              <w:top w:val="nil"/>
              <w:left w:val="nil"/>
              <w:bottom w:val="nil"/>
              <w:right w:val="nil"/>
            </w:tcBorders>
            <w:shd w:val="clear" w:color="auto" w:fill="auto"/>
            <w:noWrap/>
            <w:vAlign w:val="center"/>
            <w:hideMark/>
          </w:tcPr>
          <w:p w14:paraId="7346F006"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118490</w:t>
            </w:r>
          </w:p>
        </w:tc>
        <w:tc>
          <w:tcPr>
            <w:tcW w:w="1134" w:type="dxa"/>
            <w:tcBorders>
              <w:top w:val="nil"/>
              <w:left w:val="nil"/>
              <w:bottom w:val="nil"/>
              <w:right w:val="nil"/>
            </w:tcBorders>
            <w:shd w:val="clear" w:color="auto" w:fill="auto"/>
            <w:noWrap/>
            <w:vAlign w:val="center"/>
            <w:hideMark/>
          </w:tcPr>
          <w:p w14:paraId="0373029B"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61838</w:t>
            </w:r>
          </w:p>
        </w:tc>
        <w:tc>
          <w:tcPr>
            <w:tcW w:w="1276" w:type="dxa"/>
            <w:tcBorders>
              <w:top w:val="nil"/>
              <w:left w:val="nil"/>
              <w:bottom w:val="nil"/>
              <w:right w:val="nil"/>
            </w:tcBorders>
            <w:shd w:val="clear" w:color="auto" w:fill="auto"/>
            <w:noWrap/>
            <w:vAlign w:val="center"/>
            <w:hideMark/>
          </w:tcPr>
          <w:p w14:paraId="6E37A17D"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1965755</w:t>
            </w:r>
          </w:p>
        </w:tc>
        <w:tc>
          <w:tcPr>
            <w:tcW w:w="1418" w:type="dxa"/>
            <w:tcBorders>
              <w:top w:val="nil"/>
              <w:left w:val="nil"/>
              <w:bottom w:val="nil"/>
              <w:right w:val="nil"/>
            </w:tcBorders>
            <w:shd w:val="clear" w:color="auto" w:fill="auto"/>
            <w:noWrap/>
            <w:vAlign w:val="center"/>
            <w:hideMark/>
          </w:tcPr>
          <w:p w14:paraId="673B268D"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17957846</w:t>
            </w:r>
          </w:p>
        </w:tc>
      </w:tr>
      <w:tr w:rsidR="00FC5B7E" w:rsidRPr="004666D3" w14:paraId="69AEBD97" w14:textId="77777777" w:rsidTr="000B152F">
        <w:trPr>
          <w:trHeight w:val="246"/>
        </w:trPr>
        <w:tc>
          <w:tcPr>
            <w:tcW w:w="1134" w:type="dxa"/>
            <w:vMerge/>
            <w:tcBorders>
              <w:top w:val="nil"/>
              <w:left w:val="nil"/>
              <w:bottom w:val="single" w:sz="4" w:space="0" w:color="auto"/>
              <w:right w:val="nil"/>
            </w:tcBorders>
            <w:vAlign w:val="center"/>
            <w:hideMark/>
          </w:tcPr>
          <w:p w14:paraId="19FEF93D" w14:textId="77777777" w:rsidR="00FC5B7E" w:rsidRPr="004666D3" w:rsidRDefault="00FC5B7E" w:rsidP="000B152F">
            <w:pPr>
              <w:spacing w:after="0" w:line="240" w:lineRule="auto"/>
              <w:jc w:val="center"/>
              <w:rPr>
                <w:rFonts w:ascii="Calibri" w:eastAsia="Times New Roman" w:hAnsi="Calibri" w:cs="Calibri"/>
                <w:color w:val="000000"/>
              </w:rPr>
            </w:pPr>
          </w:p>
        </w:tc>
        <w:tc>
          <w:tcPr>
            <w:tcW w:w="851" w:type="dxa"/>
            <w:tcBorders>
              <w:top w:val="nil"/>
              <w:left w:val="nil"/>
              <w:bottom w:val="single" w:sz="4" w:space="0" w:color="auto"/>
              <w:right w:val="nil"/>
            </w:tcBorders>
            <w:shd w:val="clear" w:color="auto" w:fill="auto"/>
            <w:noWrap/>
            <w:vAlign w:val="center"/>
            <w:hideMark/>
          </w:tcPr>
          <w:p w14:paraId="65AC5194"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day</w:t>
            </w:r>
          </w:p>
          <w:p w14:paraId="1EC2925B"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time</w:t>
            </w:r>
          </w:p>
        </w:tc>
        <w:tc>
          <w:tcPr>
            <w:tcW w:w="1276" w:type="dxa"/>
            <w:tcBorders>
              <w:top w:val="nil"/>
              <w:left w:val="nil"/>
              <w:bottom w:val="single" w:sz="4" w:space="0" w:color="auto"/>
              <w:right w:val="nil"/>
            </w:tcBorders>
            <w:shd w:val="clear" w:color="auto" w:fill="auto"/>
            <w:noWrap/>
            <w:vAlign w:val="center"/>
            <w:hideMark/>
          </w:tcPr>
          <w:p w14:paraId="29755CA4"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18012463</w:t>
            </w:r>
          </w:p>
        </w:tc>
        <w:tc>
          <w:tcPr>
            <w:tcW w:w="1275" w:type="dxa"/>
            <w:tcBorders>
              <w:top w:val="nil"/>
              <w:left w:val="nil"/>
              <w:bottom w:val="single" w:sz="4" w:space="0" w:color="auto"/>
              <w:right w:val="nil"/>
            </w:tcBorders>
            <w:shd w:val="clear" w:color="auto" w:fill="auto"/>
            <w:noWrap/>
            <w:vAlign w:val="center"/>
            <w:hideMark/>
          </w:tcPr>
          <w:p w14:paraId="166FC02B"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16089889</w:t>
            </w:r>
          </w:p>
        </w:tc>
        <w:tc>
          <w:tcPr>
            <w:tcW w:w="1134" w:type="dxa"/>
            <w:tcBorders>
              <w:top w:val="nil"/>
              <w:left w:val="nil"/>
              <w:bottom w:val="single" w:sz="4" w:space="0" w:color="auto"/>
              <w:right w:val="nil"/>
            </w:tcBorders>
            <w:shd w:val="clear" w:color="auto" w:fill="auto"/>
            <w:noWrap/>
            <w:vAlign w:val="center"/>
            <w:hideMark/>
          </w:tcPr>
          <w:p w14:paraId="582BFB20"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100727</w:t>
            </w:r>
          </w:p>
        </w:tc>
        <w:tc>
          <w:tcPr>
            <w:tcW w:w="1134" w:type="dxa"/>
            <w:tcBorders>
              <w:top w:val="nil"/>
              <w:left w:val="nil"/>
              <w:bottom w:val="single" w:sz="4" w:space="0" w:color="auto"/>
              <w:right w:val="nil"/>
            </w:tcBorders>
            <w:shd w:val="clear" w:color="auto" w:fill="auto"/>
            <w:noWrap/>
            <w:vAlign w:val="center"/>
            <w:hideMark/>
          </w:tcPr>
          <w:p w14:paraId="2A4DDBBC"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96564</w:t>
            </w:r>
          </w:p>
        </w:tc>
        <w:tc>
          <w:tcPr>
            <w:tcW w:w="1276" w:type="dxa"/>
            <w:tcBorders>
              <w:top w:val="nil"/>
              <w:left w:val="nil"/>
              <w:bottom w:val="single" w:sz="4" w:space="0" w:color="auto"/>
              <w:right w:val="nil"/>
            </w:tcBorders>
            <w:shd w:val="clear" w:color="auto" w:fill="auto"/>
            <w:noWrap/>
            <w:vAlign w:val="center"/>
            <w:hideMark/>
          </w:tcPr>
          <w:p w14:paraId="07F37E5D"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1724503</w:t>
            </w:r>
          </w:p>
        </w:tc>
        <w:tc>
          <w:tcPr>
            <w:tcW w:w="1418" w:type="dxa"/>
            <w:tcBorders>
              <w:top w:val="nil"/>
              <w:left w:val="nil"/>
              <w:bottom w:val="single" w:sz="4" w:space="0" w:color="auto"/>
              <w:right w:val="nil"/>
            </w:tcBorders>
            <w:shd w:val="clear" w:color="auto" w:fill="auto"/>
            <w:noWrap/>
            <w:vAlign w:val="center"/>
            <w:hideMark/>
          </w:tcPr>
          <w:p w14:paraId="234358B4" w14:textId="77777777" w:rsidR="00FC5B7E" w:rsidRPr="004666D3" w:rsidRDefault="00FC5B7E" w:rsidP="000B152F">
            <w:pPr>
              <w:spacing w:after="0" w:line="240" w:lineRule="auto"/>
              <w:jc w:val="right"/>
              <w:rPr>
                <w:rFonts w:ascii="Calibri" w:eastAsia="Times New Roman" w:hAnsi="Calibri" w:cs="Calibri"/>
                <w:color w:val="000000"/>
              </w:rPr>
            </w:pPr>
            <w:r w:rsidRPr="004666D3">
              <w:rPr>
                <w:rFonts w:ascii="Calibri" w:eastAsia="Times New Roman" w:hAnsi="Calibri" w:cs="Calibri"/>
                <w:color w:val="000000"/>
              </w:rPr>
              <w:t>18011683</w:t>
            </w:r>
          </w:p>
        </w:tc>
      </w:tr>
      <w:tr w:rsidR="00FC5B7E" w:rsidRPr="004666D3" w14:paraId="1256B995" w14:textId="77777777" w:rsidTr="000B152F">
        <w:trPr>
          <w:trHeight w:val="246"/>
        </w:trPr>
        <w:tc>
          <w:tcPr>
            <w:tcW w:w="9498" w:type="dxa"/>
            <w:gridSpan w:val="8"/>
            <w:tcBorders>
              <w:top w:val="single" w:sz="4" w:space="0" w:color="auto"/>
              <w:left w:val="nil"/>
              <w:bottom w:val="nil"/>
              <w:right w:val="nil"/>
            </w:tcBorders>
            <w:shd w:val="clear" w:color="auto" w:fill="auto"/>
            <w:noWrap/>
            <w:vAlign w:val="center"/>
            <w:hideMark/>
          </w:tcPr>
          <w:p w14:paraId="6FAC3FA4"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 xml:space="preserve">Note: </w:t>
            </w:r>
          </w:p>
          <w:p w14:paraId="3E126519"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Complete records: before imputation.</w:t>
            </w:r>
          </w:p>
          <w:p w14:paraId="62BD46EC"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Imputation 1A - 1: replacing baseline on workdays (weekends) with the mean of workdays (weekends).</w:t>
            </w:r>
          </w:p>
        </w:tc>
      </w:tr>
      <w:tr w:rsidR="00FC5B7E" w:rsidRPr="004666D3" w14:paraId="2FF9F59C" w14:textId="77777777" w:rsidTr="000B152F">
        <w:trPr>
          <w:trHeight w:val="246"/>
        </w:trPr>
        <w:tc>
          <w:tcPr>
            <w:tcW w:w="9498" w:type="dxa"/>
            <w:gridSpan w:val="8"/>
            <w:tcBorders>
              <w:top w:val="nil"/>
              <w:left w:val="nil"/>
              <w:bottom w:val="nil"/>
              <w:right w:val="nil"/>
            </w:tcBorders>
            <w:shd w:val="clear" w:color="auto" w:fill="auto"/>
            <w:noWrap/>
            <w:vAlign w:val="center"/>
            <w:hideMark/>
          </w:tcPr>
          <w:p w14:paraId="241A478C"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 xml:space="preserve"> Imputation 1A - 2: replacing baseline on workdays (weekends) with the mean of weekends (workdays).</w:t>
            </w:r>
          </w:p>
          <w:p w14:paraId="1F37851A" w14:textId="77777777" w:rsidR="00FC5B7E" w:rsidRPr="004666D3" w:rsidRDefault="00FC5B7E" w:rsidP="000B152F">
            <w:pPr>
              <w:spacing w:after="0" w:line="240" w:lineRule="auto"/>
              <w:rPr>
                <w:rFonts w:ascii="Calibri" w:eastAsia="Times New Roman" w:hAnsi="Calibri" w:cs="Calibri"/>
                <w:color w:val="000000"/>
              </w:rPr>
            </w:pPr>
          </w:p>
        </w:tc>
      </w:tr>
      <w:tr w:rsidR="00FC5B7E" w:rsidRPr="004666D3" w14:paraId="58BCFA1D" w14:textId="77777777" w:rsidTr="000B152F">
        <w:trPr>
          <w:trHeight w:val="246"/>
        </w:trPr>
        <w:tc>
          <w:tcPr>
            <w:tcW w:w="9498" w:type="dxa"/>
            <w:gridSpan w:val="8"/>
            <w:tcBorders>
              <w:top w:val="nil"/>
              <w:left w:val="nil"/>
              <w:right w:val="nil"/>
            </w:tcBorders>
            <w:shd w:val="clear" w:color="auto" w:fill="auto"/>
            <w:noWrap/>
            <w:vAlign w:val="center"/>
          </w:tcPr>
          <w:p w14:paraId="2350403C" w14:textId="77777777" w:rsidR="00FC5B7E" w:rsidRPr="004666D3" w:rsidRDefault="00FC5B7E" w:rsidP="000B152F">
            <w:pPr>
              <w:spacing w:after="0" w:line="240" w:lineRule="auto"/>
              <w:rPr>
                <w:rFonts w:ascii="Calibri" w:eastAsia="Times New Roman" w:hAnsi="Calibri" w:cs="Calibri"/>
                <w:color w:val="000000"/>
              </w:rPr>
            </w:pPr>
            <w:r w:rsidRPr="004666D3">
              <w:rPr>
                <w:rFonts w:ascii="Calibri" w:eastAsia="Times New Roman" w:hAnsi="Calibri" w:cs="Calibri"/>
                <w:color w:val="000000"/>
              </w:rPr>
              <w:t>Imputation 1B: estimating missing baseline values based on linear regression models developed using WorldPop population data.</w:t>
            </w:r>
          </w:p>
        </w:tc>
      </w:tr>
    </w:tbl>
    <w:p w14:paraId="64D40CD7" w14:textId="77777777" w:rsidR="00FC5B7E" w:rsidRPr="004666D3" w:rsidRDefault="00FC5B7E" w:rsidP="00FC5B7E">
      <w:pPr>
        <w:spacing w:line="360" w:lineRule="auto"/>
        <w:rPr>
          <w:b/>
          <w:bCs/>
          <w:szCs w:val="24"/>
        </w:rPr>
      </w:pPr>
    </w:p>
    <w:p w14:paraId="35FD79EF" w14:textId="77777777" w:rsidR="00FC5B7E" w:rsidRPr="004666D3" w:rsidRDefault="00FC5B7E" w:rsidP="00FC5B7E">
      <w:pPr>
        <w:spacing w:line="360" w:lineRule="auto"/>
        <w:rPr>
          <w:szCs w:val="24"/>
        </w:rPr>
      </w:pPr>
      <w:r w:rsidRPr="004666D3">
        <w:rPr>
          <w:szCs w:val="24"/>
        </w:rPr>
        <w:t xml:space="preserve">Table A.5 </w:t>
      </w:r>
      <w:bookmarkStart w:id="139" w:name="OLE_LINK67"/>
      <w:r w:rsidRPr="004666D3">
        <w:rPr>
          <w:szCs w:val="24"/>
        </w:rPr>
        <w:t xml:space="preserve">The proportion of the imputed baseline user count </w:t>
      </w:r>
      <w:bookmarkEnd w:id="139"/>
    </w:p>
    <w:tbl>
      <w:tblPr>
        <w:tblW w:w="9747" w:type="dxa"/>
        <w:tblLook w:val="04A0" w:firstRow="1" w:lastRow="0" w:firstColumn="1" w:lastColumn="0" w:noHBand="0" w:noVBand="1"/>
      </w:tblPr>
      <w:tblGrid>
        <w:gridCol w:w="1052"/>
        <w:gridCol w:w="1034"/>
        <w:gridCol w:w="1883"/>
        <w:gridCol w:w="1560"/>
        <w:gridCol w:w="1892"/>
        <w:gridCol w:w="1365"/>
        <w:gridCol w:w="1250"/>
      </w:tblGrid>
      <w:tr w:rsidR="00FC5B7E" w:rsidRPr="004666D3" w14:paraId="70FEA84B" w14:textId="77777777" w:rsidTr="000B152F">
        <w:trPr>
          <w:trHeight w:val="290"/>
        </w:trPr>
        <w:tc>
          <w:tcPr>
            <w:tcW w:w="1052" w:type="dxa"/>
            <w:tcBorders>
              <w:top w:val="single" w:sz="4" w:space="0" w:color="auto"/>
              <w:left w:val="nil"/>
              <w:bottom w:val="single" w:sz="4" w:space="0" w:color="auto"/>
              <w:right w:val="nil"/>
            </w:tcBorders>
            <w:shd w:val="clear" w:color="auto" w:fill="auto"/>
            <w:noWrap/>
            <w:vAlign w:val="center"/>
            <w:hideMark/>
          </w:tcPr>
          <w:p w14:paraId="583B99E5"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Country</w:t>
            </w:r>
          </w:p>
        </w:tc>
        <w:tc>
          <w:tcPr>
            <w:tcW w:w="1034" w:type="dxa"/>
            <w:tcBorders>
              <w:top w:val="single" w:sz="4" w:space="0" w:color="auto"/>
              <w:left w:val="nil"/>
              <w:bottom w:val="single" w:sz="4" w:space="0" w:color="auto"/>
              <w:right w:val="nil"/>
            </w:tcBorders>
            <w:shd w:val="clear" w:color="auto" w:fill="auto"/>
            <w:noWrap/>
            <w:vAlign w:val="center"/>
            <w:hideMark/>
          </w:tcPr>
          <w:p w14:paraId="018BB864"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Time</w:t>
            </w:r>
          </w:p>
        </w:tc>
        <w:tc>
          <w:tcPr>
            <w:tcW w:w="1883" w:type="dxa"/>
            <w:tcBorders>
              <w:top w:val="single" w:sz="4" w:space="0" w:color="auto"/>
              <w:left w:val="nil"/>
              <w:bottom w:val="single" w:sz="4" w:space="0" w:color="auto"/>
              <w:right w:val="nil"/>
            </w:tcBorders>
            <w:shd w:val="clear" w:color="auto" w:fill="auto"/>
            <w:noWrap/>
            <w:vAlign w:val="center"/>
            <w:hideMark/>
          </w:tcPr>
          <w:p w14:paraId="682D91C4"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User count</w:t>
            </w:r>
          </w:p>
        </w:tc>
        <w:tc>
          <w:tcPr>
            <w:tcW w:w="1560" w:type="dxa"/>
            <w:tcBorders>
              <w:top w:val="single" w:sz="4" w:space="0" w:color="auto"/>
              <w:left w:val="nil"/>
              <w:bottom w:val="single" w:sz="4" w:space="0" w:color="auto"/>
              <w:right w:val="nil"/>
            </w:tcBorders>
            <w:shd w:val="clear" w:color="auto" w:fill="auto"/>
            <w:noWrap/>
            <w:vAlign w:val="center"/>
            <w:hideMark/>
          </w:tcPr>
          <w:p w14:paraId="373E0A4F"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Urban centre</w:t>
            </w:r>
          </w:p>
        </w:tc>
        <w:tc>
          <w:tcPr>
            <w:tcW w:w="1603" w:type="dxa"/>
            <w:tcBorders>
              <w:top w:val="single" w:sz="4" w:space="0" w:color="auto"/>
              <w:left w:val="nil"/>
              <w:bottom w:val="single" w:sz="4" w:space="0" w:color="auto"/>
              <w:right w:val="nil"/>
            </w:tcBorders>
            <w:shd w:val="clear" w:color="auto" w:fill="auto"/>
            <w:noWrap/>
            <w:vAlign w:val="center"/>
            <w:hideMark/>
          </w:tcPr>
          <w:p w14:paraId="621E5289"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Urban cluster/suburban</w:t>
            </w:r>
          </w:p>
        </w:tc>
        <w:tc>
          <w:tcPr>
            <w:tcW w:w="1365" w:type="dxa"/>
            <w:tcBorders>
              <w:top w:val="single" w:sz="4" w:space="0" w:color="auto"/>
              <w:left w:val="nil"/>
              <w:bottom w:val="single" w:sz="4" w:space="0" w:color="auto"/>
              <w:right w:val="nil"/>
            </w:tcBorders>
            <w:shd w:val="clear" w:color="auto" w:fill="auto"/>
            <w:noWrap/>
            <w:vAlign w:val="center"/>
            <w:hideMark/>
          </w:tcPr>
          <w:p w14:paraId="405149CE"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Rural</w:t>
            </w:r>
          </w:p>
        </w:tc>
        <w:tc>
          <w:tcPr>
            <w:tcW w:w="1250" w:type="dxa"/>
            <w:tcBorders>
              <w:top w:val="single" w:sz="4" w:space="0" w:color="auto"/>
              <w:left w:val="nil"/>
              <w:bottom w:val="single" w:sz="4" w:space="0" w:color="auto"/>
              <w:right w:val="nil"/>
            </w:tcBorders>
            <w:shd w:val="clear" w:color="auto" w:fill="auto"/>
            <w:noWrap/>
            <w:vAlign w:val="center"/>
            <w:hideMark/>
          </w:tcPr>
          <w:p w14:paraId="09893D3B"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Sum</w:t>
            </w:r>
          </w:p>
        </w:tc>
      </w:tr>
      <w:tr w:rsidR="00FC5B7E" w:rsidRPr="004666D3" w14:paraId="2C43625C" w14:textId="77777777" w:rsidTr="000B152F">
        <w:trPr>
          <w:trHeight w:val="290"/>
        </w:trPr>
        <w:tc>
          <w:tcPr>
            <w:tcW w:w="1052" w:type="dxa"/>
            <w:vMerge w:val="restart"/>
            <w:tcBorders>
              <w:top w:val="nil"/>
              <w:left w:val="nil"/>
              <w:bottom w:val="single" w:sz="4" w:space="0" w:color="000000"/>
              <w:right w:val="nil"/>
            </w:tcBorders>
            <w:shd w:val="clear" w:color="auto" w:fill="auto"/>
            <w:noWrap/>
            <w:vAlign w:val="center"/>
            <w:hideMark/>
          </w:tcPr>
          <w:p w14:paraId="748B375C" w14:textId="77777777" w:rsidR="00FC5B7E" w:rsidRPr="004666D3" w:rsidRDefault="00FC5B7E" w:rsidP="000B152F">
            <w:pPr>
              <w:spacing w:after="0" w:line="240" w:lineRule="auto"/>
              <w:jc w:val="center"/>
              <w:rPr>
                <w:rFonts w:ascii="Calibri" w:eastAsia="Times New Roman" w:hAnsi="Calibri" w:cs="Calibri"/>
                <w:color w:val="000000"/>
                <w:szCs w:val="24"/>
              </w:rPr>
            </w:pPr>
            <w:r w:rsidRPr="004666D3">
              <w:rPr>
                <w:rFonts w:ascii="Calibri" w:eastAsia="Times New Roman" w:hAnsi="Calibri" w:cs="Calibri"/>
                <w:color w:val="000000"/>
                <w:szCs w:val="24"/>
              </w:rPr>
              <w:lastRenderedPageBreak/>
              <w:t>Belgium</w:t>
            </w:r>
          </w:p>
        </w:tc>
        <w:tc>
          <w:tcPr>
            <w:tcW w:w="1034" w:type="dxa"/>
            <w:vMerge w:val="restart"/>
            <w:tcBorders>
              <w:top w:val="nil"/>
              <w:left w:val="nil"/>
              <w:bottom w:val="nil"/>
              <w:right w:val="nil"/>
            </w:tcBorders>
            <w:shd w:val="clear" w:color="auto" w:fill="auto"/>
            <w:noWrap/>
            <w:vAlign w:val="center"/>
            <w:hideMark/>
          </w:tcPr>
          <w:p w14:paraId="1BD7B6D7"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Night-time</w:t>
            </w:r>
          </w:p>
        </w:tc>
        <w:tc>
          <w:tcPr>
            <w:tcW w:w="1883" w:type="dxa"/>
            <w:tcBorders>
              <w:top w:val="nil"/>
              <w:left w:val="nil"/>
              <w:bottom w:val="nil"/>
              <w:right w:val="nil"/>
            </w:tcBorders>
            <w:shd w:val="clear" w:color="auto" w:fill="auto"/>
            <w:noWrap/>
            <w:vAlign w:val="center"/>
            <w:hideMark/>
          </w:tcPr>
          <w:p w14:paraId="3D8E17AB"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From imputation</w:t>
            </w:r>
          </w:p>
        </w:tc>
        <w:tc>
          <w:tcPr>
            <w:tcW w:w="1560" w:type="dxa"/>
            <w:tcBorders>
              <w:top w:val="nil"/>
              <w:left w:val="nil"/>
              <w:bottom w:val="nil"/>
              <w:right w:val="nil"/>
            </w:tcBorders>
            <w:shd w:val="clear" w:color="auto" w:fill="auto"/>
            <w:noWrap/>
            <w:vAlign w:val="center"/>
            <w:hideMark/>
          </w:tcPr>
          <w:p w14:paraId="0F2ED27E"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409.5</w:t>
            </w:r>
          </w:p>
        </w:tc>
        <w:tc>
          <w:tcPr>
            <w:tcW w:w="1603" w:type="dxa"/>
            <w:tcBorders>
              <w:top w:val="nil"/>
              <w:left w:val="nil"/>
              <w:bottom w:val="nil"/>
              <w:right w:val="nil"/>
            </w:tcBorders>
            <w:shd w:val="clear" w:color="auto" w:fill="auto"/>
            <w:noWrap/>
            <w:vAlign w:val="center"/>
            <w:hideMark/>
          </w:tcPr>
          <w:p w14:paraId="124DD74F"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7216.3</w:t>
            </w:r>
          </w:p>
        </w:tc>
        <w:tc>
          <w:tcPr>
            <w:tcW w:w="1365" w:type="dxa"/>
            <w:tcBorders>
              <w:top w:val="nil"/>
              <w:left w:val="nil"/>
              <w:bottom w:val="nil"/>
              <w:right w:val="nil"/>
            </w:tcBorders>
            <w:shd w:val="clear" w:color="auto" w:fill="auto"/>
            <w:noWrap/>
            <w:vAlign w:val="center"/>
            <w:hideMark/>
          </w:tcPr>
          <w:p w14:paraId="4F49B9A1"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224682.5</w:t>
            </w:r>
          </w:p>
        </w:tc>
        <w:tc>
          <w:tcPr>
            <w:tcW w:w="1250" w:type="dxa"/>
            <w:tcBorders>
              <w:top w:val="nil"/>
              <w:left w:val="nil"/>
              <w:bottom w:val="nil"/>
              <w:right w:val="nil"/>
            </w:tcBorders>
            <w:shd w:val="clear" w:color="auto" w:fill="auto"/>
            <w:noWrap/>
            <w:vAlign w:val="center"/>
            <w:hideMark/>
          </w:tcPr>
          <w:p w14:paraId="5A633DB6"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232308.3</w:t>
            </w:r>
          </w:p>
        </w:tc>
      </w:tr>
      <w:tr w:rsidR="00FC5B7E" w:rsidRPr="004666D3" w14:paraId="49A2BA17" w14:textId="77777777" w:rsidTr="000B152F">
        <w:trPr>
          <w:trHeight w:val="290"/>
        </w:trPr>
        <w:tc>
          <w:tcPr>
            <w:tcW w:w="1052" w:type="dxa"/>
            <w:vMerge/>
            <w:tcBorders>
              <w:top w:val="nil"/>
              <w:left w:val="nil"/>
              <w:bottom w:val="single" w:sz="4" w:space="0" w:color="000000"/>
              <w:right w:val="nil"/>
            </w:tcBorders>
            <w:vAlign w:val="center"/>
            <w:hideMark/>
          </w:tcPr>
          <w:p w14:paraId="302124D6"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nil"/>
              <w:right w:val="nil"/>
            </w:tcBorders>
            <w:vAlign w:val="center"/>
            <w:hideMark/>
          </w:tcPr>
          <w:p w14:paraId="028EEF2D" w14:textId="77777777" w:rsidR="00FC5B7E" w:rsidRPr="00C31E1C" w:rsidRDefault="00FC5B7E" w:rsidP="000B152F">
            <w:pPr>
              <w:spacing w:after="0" w:line="240" w:lineRule="auto"/>
              <w:rPr>
                <w:rFonts w:ascii="Calibri" w:eastAsia="Times New Roman" w:hAnsi="Calibri" w:cs="Calibri"/>
                <w:color w:val="000000"/>
                <w:szCs w:val="24"/>
              </w:rPr>
            </w:pPr>
          </w:p>
        </w:tc>
        <w:tc>
          <w:tcPr>
            <w:tcW w:w="1883" w:type="dxa"/>
            <w:tcBorders>
              <w:top w:val="nil"/>
              <w:left w:val="nil"/>
              <w:bottom w:val="nil"/>
              <w:right w:val="nil"/>
            </w:tcBorders>
            <w:shd w:val="clear" w:color="auto" w:fill="auto"/>
            <w:noWrap/>
            <w:vAlign w:val="center"/>
            <w:hideMark/>
          </w:tcPr>
          <w:p w14:paraId="407A4520"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Total</w:t>
            </w:r>
          </w:p>
        </w:tc>
        <w:tc>
          <w:tcPr>
            <w:tcW w:w="1560" w:type="dxa"/>
            <w:tcBorders>
              <w:top w:val="nil"/>
              <w:left w:val="nil"/>
              <w:bottom w:val="nil"/>
              <w:right w:val="nil"/>
            </w:tcBorders>
            <w:shd w:val="clear" w:color="auto" w:fill="auto"/>
            <w:noWrap/>
            <w:vAlign w:val="center"/>
            <w:hideMark/>
          </w:tcPr>
          <w:p w14:paraId="2DBAA3D0"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289028.7</w:t>
            </w:r>
          </w:p>
        </w:tc>
        <w:tc>
          <w:tcPr>
            <w:tcW w:w="1603" w:type="dxa"/>
            <w:tcBorders>
              <w:top w:val="nil"/>
              <w:left w:val="nil"/>
              <w:bottom w:val="nil"/>
              <w:right w:val="nil"/>
            </w:tcBorders>
            <w:shd w:val="clear" w:color="auto" w:fill="auto"/>
            <w:noWrap/>
            <w:vAlign w:val="center"/>
            <w:hideMark/>
          </w:tcPr>
          <w:p w14:paraId="6C2B1C1B"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327731.5</w:t>
            </w:r>
          </w:p>
        </w:tc>
        <w:tc>
          <w:tcPr>
            <w:tcW w:w="1365" w:type="dxa"/>
            <w:tcBorders>
              <w:top w:val="nil"/>
              <w:left w:val="nil"/>
              <w:bottom w:val="nil"/>
              <w:right w:val="nil"/>
            </w:tcBorders>
            <w:shd w:val="clear" w:color="auto" w:fill="auto"/>
            <w:noWrap/>
            <w:vAlign w:val="center"/>
            <w:hideMark/>
          </w:tcPr>
          <w:p w14:paraId="4CE224D4"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378014.7</w:t>
            </w:r>
          </w:p>
        </w:tc>
        <w:tc>
          <w:tcPr>
            <w:tcW w:w="1250" w:type="dxa"/>
            <w:tcBorders>
              <w:top w:val="nil"/>
              <w:left w:val="nil"/>
              <w:bottom w:val="nil"/>
              <w:right w:val="nil"/>
            </w:tcBorders>
            <w:shd w:val="clear" w:color="auto" w:fill="auto"/>
            <w:noWrap/>
            <w:vAlign w:val="center"/>
            <w:hideMark/>
          </w:tcPr>
          <w:p w14:paraId="1AABBDF2"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994774.9</w:t>
            </w:r>
          </w:p>
        </w:tc>
      </w:tr>
      <w:tr w:rsidR="00FC5B7E" w:rsidRPr="004666D3" w14:paraId="6AC42E40" w14:textId="77777777" w:rsidTr="000B152F">
        <w:trPr>
          <w:trHeight w:val="290"/>
        </w:trPr>
        <w:tc>
          <w:tcPr>
            <w:tcW w:w="1052" w:type="dxa"/>
            <w:vMerge/>
            <w:tcBorders>
              <w:top w:val="nil"/>
              <w:left w:val="nil"/>
              <w:bottom w:val="single" w:sz="4" w:space="0" w:color="000000"/>
              <w:right w:val="nil"/>
            </w:tcBorders>
            <w:vAlign w:val="center"/>
            <w:hideMark/>
          </w:tcPr>
          <w:p w14:paraId="02C9E1A5"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nil"/>
              <w:right w:val="nil"/>
            </w:tcBorders>
            <w:vAlign w:val="center"/>
            <w:hideMark/>
          </w:tcPr>
          <w:p w14:paraId="15E22FE4" w14:textId="77777777" w:rsidR="00FC5B7E" w:rsidRPr="00C31E1C" w:rsidRDefault="00FC5B7E" w:rsidP="000B152F">
            <w:pPr>
              <w:spacing w:after="0" w:line="240" w:lineRule="auto"/>
              <w:rPr>
                <w:rFonts w:ascii="Calibri" w:eastAsia="Times New Roman" w:hAnsi="Calibri" w:cs="Calibri"/>
                <w:color w:val="000000"/>
                <w:szCs w:val="24"/>
              </w:rPr>
            </w:pPr>
          </w:p>
        </w:tc>
        <w:tc>
          <w:tcPr>
            <w:tcW w:w="1883" w:type="dxa"/>
            <w:tcBorders>
              <w:top w:val="nil"/>
              <w:left w:val="nil"/>
              <w:bottom w:val="nil"/>
              <w:right w:val="nil"/>
            </w:tcBorders>
            <w:shd w:val="clear" w:color="auto" w:fill="auto"/>
            <w:noWrap/>
            <w:vAlign w:val="center"/>
            <w:hideMark/>
          </w:tcPr>
          <w:p w14:paraId="2153F31B"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Proportion</w:t>
            </w:r>
          </w:p>
        </w:tc>
        <w:tc>
          <w:tcPr>
            <w:tcW w:w="1560" w:type="dxa"/>
            <w:tcBorders>
              <w:top w:val="nil"/>
              <w:left w:val="nil"/>
              <w:bottom w:val="nil"/>
              <w:right w:val="nil"/>
            </w:tcBorders>
            <w:shd w:val="clear" w:color="auto" w:fill="auto"/>
            <w:noWrap/>
            <w:vAlign w:val="center"/>
            <w:hideMark/>
          </w:tcPr>
          <w:p w14:paraId="2CA222E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0.14%</w:t>
            </w:r>
          </w:p>
        </w:tc>
        <w:tc>
          <w:tcPr>
            <w:tcW w:w="1603" w:type="dxa"/>
            <w:tcBorders>
              <w:top w:val="nil"/>
              <w:left w:val="nil"/>
              <w:bottom w:val="nil"/>
              <w:right w:val="nil"/>
            </w:tcBorders>
            <w:shd w:val="clear" w:color="auto" w:fill="auto"/>
            <w:noWrap/>
            <w:vAlign w:val="center"/>
            <w:hideMark/>
          </w:tcPr>
          <w:p w14:paraId="6321FEC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2.20%</w:t>
            </w:r>
          </w:p>
        </w:tc>
        <w:tc>
          <w:tcPr>
            <w:tcW w:w="1365" w:type="dxa"/>
            <w:tcBorders>
              <w:top w:val="nil"/>
              <w:left w:val="nil"/>
              <w:bottom w:val="nil"/>
              <w:right w:val="nil"/>
            </w:tcBorders>
            <w:shd w:val="clear" w:color="auto" w:fill="auto"/>
            <w:noWrap/>
            <w:vAlign w:val="center"/>
            <w:hideMark/>
          </w:tcPr>
          <w:p w14:paraId="2A38636D"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59.44%</w:t>
            </w:r>
          </w:p>
        </w:tc>
        <w:tc>
          <w:tcPr>
            <w:tcW w:w="1250" w:type="dxa"/>
            <w:tcBorders>
              <w:top w:val="nil"/>
              <w:left w:val="nil"/>
              <w:bottom w:val="nil"/>
              <w:right w:val="nil"/>
            </w:tcBorders>
            <w:shd w:val="clear" w:color="auto" w:fill="auto"/>
            <w:noWrap/>
            <w:vAlign w:val="center"/>
            <w:hideMark/>
          </w:tcPr>
          <w:p w14:paraId="504B107B"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23.35%</w:t>
            </w:r>
          </w:p>
        </w:tc>
      </w:tr>
      <w:tr w:rsidR="00FC5B7E" w:rsidRPr="004666D3" w14:paraId="54C99817" w14:textId="77777777" w:rsidTr="000B152F">
        <w:trPr>
          <w:trHeight w:val="290"/>
        </w:trPr>
        <w:tc>
          <w:tcPr>
            <w:tcW w:w="1052" w:type="dxa"/>
            <w:vMerge/>
            <w:tcBorders>
              <w:top w:val="nil"/>
              <w:left w:val="nil"/>
              <w:bottom w:val="single" w:sz="4" w:space="0" w:color="000000"/>
              <w:right w:val="nil"/>
            </w:tcBorders>
            <w:vAlign w:val="center"/>
            <w:hideMark/>
          </w:tcPr>
          <w:p w14:paraId="032F38DA"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val="restart"/>
            <w:tcBorders>
              <w:top w:val="nil"/>
              <w:left w:val="nil"/>
              <w:bottom w:val="single" w:sz="4" w:space="0" w:color="000000"/>
              <w:right w:val="nil"/>
            </w:tcBorders>
            <w:shd w:val="clear" w:color="auto" w:fill="auto"/>
            <w:noWrap/>
            <w:vAlign w:val="center"/>
            <w:hideMark/>
          </w:tcPr>
          <w:p w14:paraId="45A4B061"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Daytime</w:t>
            </w:r>
          </w:p>
        </w:tc>
        <w:tc>
          <w:tcPr>
            <w:tcW w:w="1883" w:type="dxa"/>
            <w:tcBorders>
              <w:top w:val="nil"/>
              <w:left w:val="nil"/>
              <w:bottom w:val="nil"/>
              <w:right w:val="nil"/>
            </w:tcBorders>
            <w:shd w:val="clear" w:color="auto" w:fill="auto"/>
            <w:noWrap/>
            <w:vAlign w:val="center"/>
            <w:hideMark/>
          </w:tcPr>
          <w:p w14:paraId="5A0F4105"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From imputation</w:t>
            </w:r>
          </w:p>
        </w:tc>
        <w:tc>
          <w:tcPr>
            <w:tcW w:w="1560" w:type="dxa"/>
            <w:tcBorders>
              <w:top w:val="nil"/>
              <w:left w:val="nil"/>
              <w:bottom w:val="nil"/>
              <w:right w:val="nil"/>
            </w:tcBorders>
            <w:shd w:val="clear" w:color="auto" w:fill="auto"/>
            <w:noWrap/>
            <w:vAlign w:val="center"/>
            <w:hideMark/>
          </w:tcPr>
          <w:p w14:paraId="163E4E1C"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140.6</w:t>
            </w:r>
          </w:p>
        </w:tc>
        <w:tc>
          <w:tcPr>
            <w:tcW w:w="1603" w:type="dxa"/>
            <w:tcBorders>
              <w:top w:val="nil"/>
              <w:left w:val="nil"/>
              <w:bottom w:val="nil"/>
              <w:right w:val="nil"/>
            </w:tcBorders>
            <w:shd w:val="clear" w:color="auto" w:fill="auto"/>
            <w:noWrap/>
            <w:vAlign w:val="center"/>
            <w:hideMark/>
          </w:tcPr>
          <w:p w14:paraId="6F47543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5975.7</w:t>
            </w:r>
          </w:p>
        </w:tc>
        <w:tc>
          <w:tcPr>
            <w:tcW w:w="1365" w:type="dxa"/>
            <w:tcBorders>
              <w:top w:val="nil"/>
              <w:left w:val="nil"/>
              <w:bottom w:val="nil"/>
              <w:right w:val="nil"/>
            </w:tcBorders>
            <w:shd w:val="clear" w:color="auto" w:fill="auto"/>
            <w:noWrap/>
            <w:vAlign w:val="center"/>
            <w:hideMark/>
          </w:tcPr>
          <w:p w14:paraId="1E76F68F"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147895.8</w:t>
            </w:r>
          </w:p>
        </w:tc>
        <w:tc>
          <w:tcPr>
            <w:tcW w:w="1250" w:type="dxa"/>
            <w:tcBorders>
              <w:top w:val="nil"/>
              <w:left w:val="nil"/>
              <w:bottom w:val="nil"/>
              <w:right w:val="nil"/>
            </w:tcBorders>
            <w:shd w:val="clear" w:color="auto" w:fill="auto"/>
            <w:noWrap/>
            <w:vAlign w:val="center"/>
            <w:hideMark/>
          </w:tcPr>
          <w:p w14:paraId="54DD9C7F"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154012.1</w:t>
            </w:r>
          </w:p>
        </w:tc>
      </w:tr>
      <w:tr w:rsidR="00FC5B7E" w:rsidRPr="004666D3" w14:paraId="5217CDC3" w14:textId="77777777" w:rsidTr="000B152F">
        <w:trPr>
          <w:trHeight w:val="290"/>
        </w:trPr>
        <w:tc>
          <w:tcPr>
            <w:tcW w:w="1052" w:type="dxa"/>
            <w:vMerge/>
            <w:tcBorders>
              <w:top w:val="nil"/>
              <w:left w:val="nil"/>
              <w:bottom w:val="single" w:sz="4" w:space="0" w:color="000000"/>
              <w:right w:val="nil"/>
            </w:tcBorders>
            <w:vAlign w:val="center"/>
            <w:hideMark/>
          </w:tcPr>
          <w:p w14:paraId="54DC9008"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single" w:sz="4" w:space="0" w:color="000000"/>
              <w:right w:val="nil"/>
            </w:tcBorders>
            <w:vAlign w:val="center"/>
            <w:hideMark/>
          </w:tcPr>
          <w:p w14:paraId="2C8E6F67" w14:textId="77777777" w:rsidR="00FC5B7E" w:rsidRPr="00C31E1C" w:rsidRDefault="00FC5B7E" w:rsidP="000B152F">
            <w:pPr>
              <w:spacing w:after="0" w:line="240" w:lineRule="auto"/>
              <w:rPr>
                <w:rFonts w:ascii="Calibri" w:eastAsia="Times New Roman" w:hAnsi="Calibri" w:cs="Calibri"/>
                <w:color w:val="000000"/>
                <w:szCs w:val="24"/>
              </w:rPr>
            </w:pPr>
          </w:p>
        </w:tc>
        <w:tc>
          <w:tcPr>
            <w:tcW w:w="1883" w:type="dxa"/>
            <w:tcBorders>
              <w:top w:val="nil"/>
              <w:left w:val="nil"/>
              <w:bottom w:val="nil"/>
              <w:right w:val="nil"/>
            </w:tcBorders>
            <w:shd w:val="clear" w:color="auto" w:fill="auto"/>
            <w:noWrap/>
            <w:vAlign w:val="center"/>
            <w:hideMark/>
          </w:tcPr>
          <w:p w14:paraId="6F549CDB"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Total</w:t>
            </w:r>
          </w:p>
        </w:tc>
        <w:tc>
          <w:tcPr>
            <w:tcW w:w="1560" w:type="dxa"/>
            <w:tcBorders>
              <w:top w:val="nil"/>
              <w:left w:val="nil"/>
              <w:bottom w:val="nil"/>
              <w:right w:val="nil"/>
            </w:tcBorders>
            <w:shd w:val="clear" w:color="auto" w:fill="auto"/>
            <w:noWrap/>
            <w:vAlign w:val="center"/>
            <w:hideMark/>
          </w:tcPr>
          <w:p w14:paraId="1C12609E"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359395.3</w:t>
            </w:r>
          </w:p>
        </w:tc>
        <w:tc>
          <w:tcPr>
            <w:tcW w:w="1603" w:type="dxa"/>
            <w:tcBorders>
              <w:top w:val="nil"/>
              <w:left w:val="nil"/>
              <w:bottom w:val="nil"/>
              <w:right w:val="nil"/>
            </w:tcBorders>
            <w:shd w:val="clear" w:color="auto" w:fill="auto"/>
            <w:noWrap/>
            <w:vAlign w:val="center"/>
            <w:hideMark/>
          </w:tcPr>
          <w:p w14:paraId="081145F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380690.7</w:t>
            </w:r>
          </w:p>
        </w:tc>
        <w:tc>
          <w:tcPr>
            <w:tcW w:w="1365" w:type="dxa"/>
            <w:tcBorders>
              <w:top w:val="nil"/>
              <w:left w:val="nil"/>
              <w:bottom w:val="nil"/>
              <w:right w:val="nil"/>
            </w:tcBorders>
            <w:shd w:val="clear" w:color="auto" w:fill="auto"/>
            <w:noWrap/>
            <w:vAlign w:val="center"/>
            <w:hideMark/>
          </w:tcPr>
          <w:p w14:paraId="19B61A41"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317172.9</w:t>
            </w:r>
          </w:p>
        </w:tc>
        <w:tc>
          <w:tcPr>
            <w:tcW w:w="1250" w:type="dxa"/>
            <w:tcBorders>
              <w:top w:val="nil"/>
              <w:left w:val="nil"/>
              <w:bottom w:val="nil"/>
              <w:right w:val="nil"/>
            </w:tcBorders>
            <w:shd w:val="clear" w:color="auto" w:fill="auto"/>
            <w:noWrap/>
            <w:vAlign w:val="center"/>
            <w:hideMark/>
          </w:tcPr>
          <w:p w14:paraId="7A19FD50"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1057258.9</w:t>
            </w:r>
          </w:p>
        </w:tc>
      </w:tr>
      <w:tr w:rsidR="00FC5B7E" w:rsidRPr="004666D3" w14:paraId="7522F31C" w14:textId="77777777" w:rsidTr="000B152F">
        <w:trPr>
          <w:trHeight w:val="290"/>
        </w:trPr>
        <w:tc>
          <w:tcPr>
            <w:tcW w:w="1052" w:type="dxa"/>
            <w:vMerge/>
            <w:tcBorders>
              <w:top w:val="nil"/>
              <w:left w:val="nil"/>
              <w:bottom w:val="single" w:sz="4" w:space="0" w:color="000000"/>
              <w:right w:val="nil"/>
            </w:tcBorders>
            <w:vAlign w:val="center"/>
            <w:hideMark/>
          </w:tcPr>
          <w:p w14:paraId="763D9AA9"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single" w:sz="4" w:space="0" w:color="000000"/>
              <w:right w:val="nil"/>
            </w:tcBorders>
            <w:vAlign w:val="center"/>
            <w:hideMark/>
          </w:tcPr>
          <w:p w14:paraId="34634A05" w14:textId="77777777" w:rsidR="00FC5B7E" w:rsidRPr="00C31E1C" w:rsidRDefault="00FC5B7E" w:rsidP="000B152F">
            <w:pPr>
              <w:spacing w:after="0" w:line="240" w:lineRule="auto"/>
              <w:rPr>
                <w:rFonts w:ascii="Calibri" w:eastAsia="Times New Roman" w:hAnsi="Calibri" w:cs="Calibri"/>
                <w:color w:val="000000"/>
                <w:szCs w:val="24"/>
              </w:rPr>
            </w:pPr>
          </w:p>
        </w:tc>
        <w:tc>
          <w:tcPr>
            <w:tcW w:w="1883" w:type="dxa"/>
            <w:tcBorders>
              <w:top w:val="nil"/>
              <w:left w:val="nil"/>
              <w:bottom w:val="single" w:sz="4" w:space="0" w:color="auto"/>
              <w:right w:val="nil"/>
            </w:tcBorders>
            <w:shd w:val="clear" w:color="auto" w:fill="auto"/>
            <w:noWrap/>
            <w:vAlign w:val="center"/>
            <w:hideMark/>
          </w:tcPr>
          <w:p w14:paraId="601B68C6"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Proportion</w:t>
            </w:r>
          </w:p>
        </w:tc>
        <w:tc>
          <w:tcPr>
            <w:tcW w:w="1560" w:type="dxa"/>
            <w:tcBorders>
              <w:top w:val="nil"/>
              <w:left w:val="nil"/>
              <w:bottom w:val="single" w:sz="4" w:space="0" w:color="auto"/>
              <w:right w:val="nil"/>
            </w:tcBorders>
            <w:shd w:val="clear" w:color="auto" w:fill="auto"/>
            <w:noWrap/>
            <w:vAlign w:val="center"/>
            <w:hideMark/>
          </w:tcPr>
          <w:p w14:paraId="168F4E4C"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0.04%</w:t>
            </w:r>
          </w:p>
        </w:tc>
        <w:tc>
          <w:tcPr>
            <w:tcW w:w="1603" w:type="dxa"/>
            <w:tcBorders>
              <w:top w:val="nil"/>
              <w:left w:val="nil"/>
              <w:bottom w:val="single" w:sz="4" w:space="0" w:color="auto"/>
              <w:right w:val="nil"/>
            </w:tcBorders>
            <w:shd w:val="clear" w:color="auto" w:fill="auto"/>
            <w:noWrap/>
            <w:vAlign w:val="center"/>
            <w:hideMark/>
          </w:tcPr>
          <w:p w14:paraId="12BB6F56"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1.57%</w:t>
            </w:r>
          </w:p>
        </w:tc>
        <w:tc>
          <w:tcPr>
            <w:tcW w:w="1365" w:type="dxa"/>
            <w:tcBorders>
              <w:top w:val="nil"/>
              <w:left w:val="nil"/>
              <w:bottom w:val="single" w:sz="4" w:space="0" w:color="auto"/>
              <w:right w:val="nil"/>
            </w:tcBorders>
            <w:shd w:val="clear" w:color="auto" w:fill="auto"/>
            <w:noWrap/>
            <w:vAlign w:val="center"/>
            <w:hideMark/>
          </w:tcPr>
          <w:p w14:paraId="3BAAF2C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46.63%</w:t>
            </w:r>
          </w:p>
        </w:tc>
        <w:tc>
          <w:tcPr>
            <w:tcW w:w="1250" w:type="dxa"/>
            <w:tcBorders>
              <w:top w:val="nil"/>
              <w:left w:val="nil"/>
              <w:bottom w:val="single" w:sz="4" w:space="0" w:color="auto"/>
              <w:right w:val="nil"/>
            </w:tcBorders>
            <w:shd w:val="clear" w:color="auto" w:fill="auto"/>
            <w:noWrap/>
            <w:vAlign w:val="center"/>
            <w:hideMark/>
          </w:tcPr>
          <w:p w14:paraId="2830D9DE"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14.57%</w:t>
            </w:r>
          </w:p>
        </w:tc>
      </w:tr>
      <w:tr w:rsidR="00FC5B7E" w:rsidRPr="004666D3" w14:paraId="6130A134" w14:textId="77777777" w:rsidTr="000B152F">
        <w:trPr>
          <w:trHeight w:val="290"/>
        </w:trPr>
        <w:tc>
          <w:tcPr>
            <w:tcW w:w="1052" w:type="dxa"/>
            <w:vMerge w:val="restart"/>
            <w:tcBorders>
              <w:top w:val="nil"/>
              <w:left w:val="nil"/>
              <w:bottom w:val="single" w:sz="4" w:space="0" w:color="000000"/>
              <w:right w:val="nil"/>
            </w:tcBorders>
            <w:shd w:val="clear" w:color="auto" w:fill="auto"/>
            <w:noWrap/>
            <w:vAlign w:val="center"/>
            <w:hideMark/>
          </w:tcPr>
          <w:p w14:paraId="58D574BA" w14:textId="77777777" w:rsidR="00FC5B7E" w:rsidRPr="004666D3" w:rsidRDefault="00FC5B7E" w:rsidP="000B152F">
            <w:pPr>
              <w:spacing w:after="0" w:line="240" w:lineRule="auto"/>
              <w:jc w:val="center"/>
              <w:rPr>
                <w:rFonts w:ascii="Calibri" w:eastAsia="Times New Roman" w:hAnsi="Calibri" w:cs="Calibri"/>
                <w:color w:val="000000"/>
                <w:szCs w:val="24"/>
              </w:rPr>
            </w:pPr>
            <w:r w:rsidRPr="004666D3">
              <w:rPr>
                <w:rFonts w:ascii="Calibri" w:eastAsia="Times New Roman" w:hAnsi="Calibri" w:cs="Calibri"/>
                <w:color w:val="000000"/>
                <w:szCs w:val="24"/>
              </w:rPr>
              <w:t>Thailand</w:t>
            </w:r>
          </w:p>
        </w:tc>
        <w:tc>
          <w:tcPr>
            <w:tcW w:w="1034" w:type="dxa"/>
            <w:vMerge w:val="restart"/>
            <w:tcBorders>
              <w:top w:val="nil"/>
              <w:left w:val="nil"/>
              <w:bottom w:val="nil"/>
              <w:right w:val="nil"/>
            </w:tcBorders>
            <w:shd w:val="clear" w:color="auto" w:fill="auto"/>
            <w:noWrap/>
            <w:vAlign w:val="center"/>
            <w:hideMark/>
          </w:tcPr>
          <w:p w14:paraId="0FEBF1A5"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Night-time</w:t>
            </w:r>
          </w:p>
        </w:tc>
        <w:tc>
          <w:tcPr>
            <w:tcW w:w="1883" w:type="dxa"/>
            <w:tcBorders>
              <w:top w:val="nil"/>
              <w:left w:val="nil"/>
              <w:bottom w:val="nil"/>
              <w:right w:val="nil"/>
            </w:tcBorders>
            <w:shd w:val="clear" w:color="auto" w:fill="auto"/>
            <w:noWrap/>
            <w:vAlign w:val="center"/>
            <w:hideMark/>
          </w:tcPr>
          <w:p w14:paraId="69A1F3E5" w14:textId="77777777" w:rsidR="00FC5B7E" w:rsidRPr="004666D3" w:rsidRDefault="00FC5B7E" w:rsidP="000B152F">
            <w:pPr>
              <w:spacing w:after="0" w:line="240" w:lineRule="auto"/>
              <w:rPr>
                <w:rFonts w:ascii="Calibri" w:eastAsia="Times New Roman" w:hAnsi="Calibri" w:cs="Calibri"/>
                <w:color w:val="000000"/>
                <w:szCs w:val="24"/>
              </w:rPr>
            </w:pPr>
            <w:r w:rsidRPr="004666D3">
              <w:rPr>
                <w:rFonts w:ascii="Calibri" w:eastAsia="Times New Roman" w:hAnsi="Calibri" w:cs="Calibri"/>
                <w:color w:val="000000"/>
                <w:szCs w:val="24"/>
              </w:rPr>
              <w:t>From imputation</w:t>
            </w:r>
          </w:p>
        </w:tc>
        <w:tc>
          <w:tcPr>
            <w:tcW w:w="1560" w:type="dxa"/>
            <w:tcBorders>
              <w:top w:val="nil"/>
              <w:left w:val="nil"/>
              <w:bottom w:val="nil"/>
              <w:right w:val="nil"/>
            </w:tcBorders>
            <w:shd w:val="clear" w:color="auto" w:fill="auto"/>
            <w:noWrap/>
            <w:vAlign w:val="center"/>
            <w:hideMark/>
          </w:tcPr>
          <w:p w14:paraId="051697CC"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0</w:t>
            </w:r>
          </w:p>
        </w:tc>
        <w:tc>
          <w:tcPr>
            <w:tcW w:w="1603" w:type="dxa"/>
            <w:tcBorders>
              <w:top w:val="nil"/>
              <w:left w:val="nil"/>
              <w:bottom w:val="nil"/>
              <w:right w:val="nil"/>
            </w:tcBorders>
            <w:shd w:val="clear" w:color="auto" w:fill="auto"/>
            <w:noWrap/>
            <w:vAlign w:val="center"/>
            <w:hideMark/>
          </w:tcPr>
          <w:p w14:paraId="4ECA2D66"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0</w:t>
            </w:r>
          </w:p>
        </w:tc>
        <w:tc>
          <w:tcPr>
            <w:tcW w:w="1365" w:type="dxa"/>
            <w:tcBorders>
              <w:top w:val="nil"/>
              <w:left w:val="nil"/>
              <w:bottom w:val="nil"/>
              <w:right w:val="nil"/>
            </w:tcBorders>
            <w:shd w:val="clear" w:color="auto" w:fill="auto"/>
            <w:noWrap/>
            <w:vAlign w:val="center"/>
            <w:hideMark/>
          </w:tcPr>
          <w:p w14:paraId="3D3C760D"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1835</w:t>
            </w:r>
          </w:p>
        </w:tc>
        <w:tc>
          <w:tcPr>
            <w:tcW w:w="1250" w:type="dxa"/>
            <w:tcBorders>
              <w:top w:val="nil"/>
              <w:left w:val="nil"/>
              <w:bottom w:val="nil"/>
              <w:right w:val="nil"/>
            </w:tcBorders>
            <w:shd w:val="clear" w:color="auto" w:fill="auto"/>
            <w:noWrap/>
            <w:vAlign w:val="center"/>
            <w:hideMark/>
          </w:tcPr>
          <w:p w14:paraId="53899BF3" w14:textId="77777777" w:rsidR="00FC5B7E" w:rsidRPr="004666D3" w:rsidRDefault="00FC5B7E" w:rsidP="000B152F">
            <w:pPr>
              <w:spacing w:after="0" w:line="240" w:lineRule="auto"/>
              <w:jc w:val="right"/>
              <w:rPr>
                <w:rFonts w:ascii="Calibri" w:eastAsia="Times New Roman" w:hAnsi="Calibri" w:cs="Calibri"/>
                <w:color w:val="000000"/>
                <w:szCs w:val="24"/>
              </w:rPr>
            </w:pPr>
            <w:r w:rsidRPr="004666D3">
              <w:rPr>
                <w:rFonts w:ascii="Calibri" w:eastAsia="Times New Roman" w:hAnsi="Calibri" w:cs="Calibri"/>
                <w:color w:val="000000"/>
                <w:szCs w:val="24"/>
              </w:rPr>
              <w:t>1835</w:t>
            </w:r>
          </w:p>
        </w:tc>
      </w:tr>
      <w:tr w:rsidR="00FC5B7E" w:rsidRPr="004666D3" w14:paraId="355F5C49" w14:textId="77777777" w:rsidTr="000B152F">
        <w:trPr>
          <w:trHeight w:val="290"/>
        </w:trPr>
        <w:tc>
          <w:tcPr>
            <w:tcW w:w="1052" w:type="dxa"/>
            <w:vMerge/>
            <w:tcBorders>
              <w:top w:val="nil"/>
              <w:left w:val="nil"/>
              <w:bottom w:val="single" w:sz="4" w:space="0" w:color="000000"/>
              <w:right w:val="nil"/>
            </w:tcBorders>
            <w:vAlign w:val="center"/>
            <w:hideMark/>
          </w:tcPr>
          <w:p w14:paraId="21A51F42"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nil"/>
              <w:right w:val="nil"/>
            </w:tcBorders>
            <w:vAlign w:val="center"/>
            <w:hideMark/>
          </w:tcPr>
          <w:p w14:paraId="56ACF8DF" w14:textId="77777777" w:rsidR="00FC5B7E" w:rsidRPr="00C31E1C" w:rsidRDefault="00FC5B7E" w:rsidP="000B152F">
            <w:pPr>
              <w:spacing w:after="0" w:line="240" w:lineRule="auto"/>
              <w:rPr>
                <w:rFonts w:ascii="Calibri" w:eastAsia="Times New Roman" w:hAnsi="Calibri" w:cs="Calibri"/>
                <w:color w:val="000000"/>
                <w:szCs w:val="24"/>
              </w:rPr>
            </w:pPr>
          </w:p>
        </w:tc>
        <w:tc>
          <w:tcPr>
            <w:tcW w:w="1883" w:type="dxa"/>
            <w:tcBorders>
              <w:top w:val="nil"/>
              <w:left w:val="nil"/>
              <w:bottom w:val="nil"/>
              <w:right w:val="nil"/>
            </w:tcBorders>
            <w:shd w:val="clear" w:color="auto" w:fill="auto"/>
            <w:noWrap/>
            <w:vAlign w:val="center"/>
            <w:hideMark/>
          </w:tcPr>
          <w:p w14:paraId="44D4714E"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Total</w:t>
            </w:r>
          </w:p>
        </w:tc>
        <w:tc>
          <w:tcPr>
            <w:tcW w:w="1560" w:type="dxa"/>
            <w:tcBorders>
              <w:top w:val="nil"/>
              <w:left w:val="nil"/>
              <w:bottom w:val="nil"/>
              <w:right w:val="nil"/>
            </w:tcBorders>
            <w:shd w:val="clear" w:color="auto" w:fill="auto"/>
            <w:noWrap/>
            <w:vAlign w:val="center"/>
            <w:hideMark/>
          </w:tcPr>
          <w:p w14:paraId="250BA590"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2643438</w:t>
            </w:r>
          </w:p>
        </w:tc>
        <w:tc>
          <w:tcPr>
            <w:tcW w:w="1603" w:type="dxa"/>
            <w:tcBorders>
              <w:top w:val="nil"/>
              <w:left w:val="nil"/>
              <w:bottom w:val="nil"/>
              <w:right w:val="nil"/>
            </w:tcBorders>
            <w:shd w:val="clear" w:color="auto" w:fill="auto"/>
            <w:noWrap/>
            <w:vAlign w:val="center"/>
            <w:hideMark/>
          </w:tcPr>
          <w:p w14:paraId="4ADB5230"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1482135</w:t>
            </w:r>
          </w:p>
        </w:tc>
        <w:tc>
          <w:tcPr>
            <w:tcW w:w="1365" w:type="dxa"/>
            <w:tcBorders>
              <w:top w:val="nil"/>
              <w:left w:val="nil"/>
              <w:bottom w:val="nil"/>
              <w:right w:val="nil"/>
            </w:tcBorders>
            <w:shd w:val="clear" w:color="auto" w:fill="auto"/>
            <w:noWrap/>
            <w:vAlign w:val="center"/>
            <w:hideMark/>
          </w:tcPr>
          <w:p w14:paraId="5AECE336"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5672010</w:t>
            </w:r>
          </w:p>
        </w:tc>
        <w:tc>
          <w:tcPr>
            <w:tcW w:w="1250" w:type="dxa"/>
            <w:tcBorders>
              <w:top w:val="nil"/>
              <w:left w:val="nil"/>
              <w:bottom w:val="nil"/>
              <w:right w:val="nil"/>
            </w:tcBorders>
            <w:shd w:val="clear" w:color="auto" w:fill="auto"/>
            <w:noWrap/>
            <w:vAlign w:val="center"/>
            <w:hideMark/>
          </w:tcPr>
          <w:p w14:paraId="4CD57E6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9797583</w:t>
            </w:r>
          </w:p>
        </w:tc>
      </w:tr>
      <w:tr w:rsidR="00FC5B7E" w:rsidRPr="004666D3" w14:paraId="54B2B4F8" w14:textId="77777777" w:rsidTr="000B152F">
        <w:trPr>
          <w:trHeight w:val="290"/>
        </w:trPr>
        <w:tc>
          <w:tcPr>
            <w:tcW w:w="1052" w:type="dxa"/>
            <w:vMerge/>
            <w:tcBorders>
              <w:top w:val="nil"/>
              <w:left w:val="nil"/>
              <w:bottom w:val="single" w:sz="4" w:space="0" w:color="000000"/>
              <w:right w:val="nil"/>
            </w:tcBorders>
            <w:vAlign w:val="center"/>
            <w:hideMark/>
          </w:tcPr>
          <w:p w14:paraId="266423B4"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nil"/>
              <w:right w:val="nil"/>
            </w:tcBorders>
            <w:vAlign w:val="center"/>
            <w:hideMark/>
          </w:tcPr>
          <w:p w14:paraId="6ABA794B" w14:textId="77777777" w:rsidR="00FC5B7E" w:rsidRPr="00C31E1C" w:rsidRDefault="00FC5B7E" w:rsidP="000B152F">
            <w:pPr>
              <w:spacing w:after="0" w:line="240" w:lineRule="auto"/>
              <w:rPr>
                <w:rFonts w:ascii="Calibri" w:eastAsia="Times New Roman" w:hAnsi="Calibri" w:cs="Calibri"/>
                <w:color w:val="000000"/>
                <w:szCs w:val="24"/>
              </w:rPr>
            </w:pPr>
          </w:p>
        </w:tc>
        <w:tc>
          <w:tcPr>
            <w:tcW w:w="1883" w:type="dxa"/>
            <w:tcBorders>
              <w:top w:val="nil"/>
              <w:left w:val="nil"/>
              <w:bottom w:val="nil"/>
              <w:right w:val="nil"/>
            </w:tcBorders>
            <w:shd w:val="clear" w:color="auto" w:fill="auto"/>
            <w:noWrap/>
            <w:vAlign w:val="center"/>
            <w:hideMark/>
          </w:tcPr>
          <w:p w14:paraId="0ECC2856"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Proportion</w:t>
            </w:r>
          </w:p>
        </w:tc>
        <w:tc>
          <w:tcPr>
            <w:tcW w:w="1560" w:type="dxa"/>
            <w:tcBorders>
              <w:top w:val="nil"/>
              <w:left w:val="nil"/>
              <w:bottom w:val="nil"/>
              <w:right w:val="nil"/>
            </w:tcBorders>
            <w:shd w:val="clear" w:color="auto" w:fill="auto"/>
            <w:noWrap/>
            <w:vAlign w:val="center"/>
            <w:hideMark/>
          </w:tcPr>
          <w:p w14:paraId="493428E8"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0.00%</w:t>
            </w:r>
          </w:p>
        </w:tc>
        <w:tc>
          <w:tcPr>
            <w:tcW w:w="1603" w:type="dxa"/>
            <w:tcBorders>
              <w:top w:val="nil"/>
              <w:left w:val="nil"/>
              <w:bottom w:val="nil"/>
              <w:right w:val="nil"/>
            </w:tcBorders>
            <w:shd w:val="clear" w:color="auto" w:fill="auto"/>
            <w:noWrap/>
            <w:vAlign w:val="center"/>
            <w:hideMark/>
          </w:tcPr>
          <w:p w14:paraId="711238ED"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0.00%</w:t>
            </w:r>
          </w:p>
        </w:tc>
        <w:tc>
          <w:tcPr>
            <w:tcW w:w="1365" w:type="dxa"/>
            <w:tcBorders>
              <w:top w:val="nil"/>
              <w:left w:val="nil"/>
              <w:bottom w:val="nil"/>
              <w:right w:val="nil"/>
            </w:tcBorders>
            <w:shd w:val="clear" w:color="auto" w:fill="auto"/>
            <w:noWrap/>
            <w:vAlign w:val="center"/>
            <w:hideMark/>
          </w:tcPr>
          <w:p w14:paraId="631EC47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0.03%</w:t>
            </w:r>
          </w:p>
        </w:tc>
        <w:tc>
          <w:tcPr>
            <w:tcW w:w="1250" w:type="dxa"/>
            <w:tcBorders>
              <w:top w:val="nil"/>
              <w:left w:val="nil"/>
              <w:bottom w:val="nil"/>
              <w:right w:val="nil"/>
            </w:tcBorders>
            <w:shd w:val="clear" w:color="auto" w:fill="auto"/>
            <w:noWrap/>
            <w:vAlign w:val="center"/>
            <w:hideMark/>
          </w:tcPr>
          <w:p w14:paraId="2E6430D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0.02%</w:t>
            </w:r>
          </w:p>
        </w:tc>
      </w:tr>
      <w:tr w:rsidR="00FC5B7E" w:rsidRPr="004666D3" w14:paraId="1A33F9F2" w14:textId="77777777" w:rsidTr="000B152F">
        <w:trPr>
          <w:trHeight w:val="290"/>
        </w:trPr>
        <w:tc>
          <w:tcPr>
            <w:tcW w:w="1052" w:type="dxa"/>
            <w:vMerge/>
            <w:tcBorders>
              <w:top w:val="nil"/>
              <w:left w:val="nil"/>
              <w:bottom w:val="single" w:sz="4" w:space="0" w:color="000000"/>
              <w:right w:val="nil"/>
            </w:tcBorders>
            <w:vAlign w:val="center"/>
            <w:hideMark/>
          </w:tcPr>
          <w:p w14:paraId="66D57A83"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val="restart"/>
            <w:tcBorders>
              <w:top w:val="nil"/>
              <w:left w:val="nil"/>
              <w:bottom w:val="single" w:sz="4" w:space="0" w:color="000000"/>
              <w:right w:val="nil"/>
            </w:tcBorders>
            <w:shd w:val="clear" w:color="auto" w:fill="auto"/>
            <w:noWrap/>
            <w:vAlign w:val="center"/>
            <w:hideMark/>
          </w:tcPr>
          <w:p w14:paraId="26C9ED6D"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Daytime</w:t>
            </w:r>
          </w:p>
        </w:tc>
        <w:tc>
          <w:tcPr>
            <w:tcW w:w="1883" w:type="dxa"/>
            <w:tcBorders>
              <w:top w:val="nil"/>
              <w:left w:val="nil"/>
              <w:bottom w:val="nil"/>
              <w:right w:val="nil"/>
            </w:tcBorders>
            <w:shd w:val="clear" w:color="auto" w:fill="auto"/>
            <w:noWrap/>
            <w:vAlign w:val="center"/>
            <w:hideMark/>
          </w:tcPr>
          <w:p w14:paraId="2BA62F6A"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From imputation</w:t>
            </w:r>
          </w:p>
        </w:tc>
        <w:tc>
          <w:tcPr>
            <w:tcW w:w="1560" w:type="dxa"/>
            <w:tcBorders>
              <w:top w:val="nil"/>
              <w:left w:val="nil"/>
              <w:bottom w:val="nil"/>
              <w:right w:val="nil"/>
            </w:tcBorders>
            <w:shd w:val="clear" w:color="auto" w:fill="auto"/>
            <w:noWrap/>
            <w:vAlign w:val="center"/>
            <w:hideMark/>
          </w:tcPr>
          <w:p w14:paraId="2175AD8E"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w:t>
            </w:r>
          </w:p>
        </w:tc>
        <w:tc>
          <w:tcPr>
            <w:tcW w:w="1603" w:type="dxa"/>
            <w:tcBorders>
              <w:top w:val="nil"/>
              <w:left w:val="nil"/>
              <w:bottom w:val="nil"/>
              <w:right w:val="nil"/>
            </w:tcBorders>
            <w:shd w:val="clear" w:color="auto" w:fill="auto"/>
            <w:noWrap/>
            <w:vAlign w:val="center"/>
            <w:hideMark/>
          </w:tcPr>
          <w:p w14:paraId="3A8FF555"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w:t>
            </w:r>
          </w:p>
        </w:tc>
        <w:tc>
          <w:tcPr>
            <w:tcW w:w="1365" w:type="dxa"/>
            <w:tcBorders>
              <w:top w:val="nil"/>
              <w:left w:val="nil"/>
              <w:bottom w:val="nil"/>
              <w:right w:val="nil"/>
            </w:tcBorders>
            <w:shd w:val="clear" w:color="auto" w:fill="auto"/>
            <w:noWrap/>
            <w:vAlign w:val="center"/>
            <w:hideMark/>
          </w:tcPr>
          <w:p w14:paraId="3FC38210"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2023</w:t>
            </w:r>
          </w:p>
        </w:tc>
        <w:tc>
          <w:tcPr>
            <w:tcW w:w="1250" w:type="dxa"/>
            <w:tcBorders>
              <w:top w:val="nil"/>
              <w:left w:val="nil"/>
              <w:bottom w:val="nil"/>
              <w:right w:val="nil"/>
            </w:tcBorders>
            <w:shd w:val="clear" w:color="auto" w:fill="auto"/>
            <w:noWrap/>
            <w:vAlign w:val="center"/>
            <w:hideMark/>
          </w:tcPr>
          <w:p w14:paraId="4A6184E4"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2023</w:t>
            </w:r>
          </w:p>
        </w:tc>
      </w:tr>
      <w:tr w:rsidR="00FC5B7E" w:rsidRPr="004666D3" w14:paraId="0FC989E7" w14:textId="77777777" w:rsidTr="000B152F">
        <w:trPr>
          <w:trHeight w:val="290"/>
        </w:trPr>
        <w:tc>
          <w:tcPr>
            <w:tcW w:w="1052" w:type="dxa"/>
            <w:vMerge/>
            <w:tcBorders>
              <w:top w:val="nil"/>
              <w:left w:val="nil"/>
              <w:bottom w:val="single" w:sz="4" w:space="0" w:color="000000"/>
              <w:right w:val="nil"/>
            </w:tcBorders>
            <w:vAlign w:val="center"/>
            <w:hideMark/>
          </w:tcPr>
          <w:p w14:paraId="57086798"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single" w:sz="4" w:space="0" w:color="000000"/>
              <w:right w:val="nil"/>
            </w:tcBorders>
            <w:vAlign w:val="center"/>
            <w:hideMark/>
          </w:tcPr>
          <w:p w14:paraId="787B1246"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883" w:type="dxa"/>
            <w:tcBorders>
              <w:top w:val="nil"/>
              <w:left w:val="nil"/>
              <w:bottom w:val="nil"/>
              <w:right w:val="nil"/>
            </w:tcBorders>
            <w:shd w:val="clear" w:color="auto" w:fill="auto"/>
            <w:noWrap/>
            <w:vAlign w:val="center"/>
            <w:hideMark/>
          </w:tcPr>
          <w:p w14:paraId="24790264"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Total</w:t>
            </w:r>
          </w:p>
        </w:tc>
        <w:tc>
          <w:tcPr>
            <w:tcW w:w="1560" w:type="dxa"/>
            <w:tcBorders>
              <w:top w:val="nil"/>
              <w:left w:val="nil"/>
              <w:bottom w:val="nil"/>
              <w:right w:val="nil"/>
            </w:tcBorders>
            <w:shd w:val="clear" w:color="auto" w:fill="auto"/>
            <w:noWrap/>
            <w:vAlign w:val="center"/>
            <w:hideMark/>
          </w:tcPr>
          <w:p w14:paraId="515D6CA7"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4094116</w:t>
            </w:r>
          </w:p>
        </w:tc>
        <w:tc>
          <w:tcPr>
            <w:tcW w:w="1603" w:type="dxa"/>
            <w:tcBorders>
              <w:top w:val="nil"/>
              <w:left w:val="nil"/>
              <w:bottom w:val="nil"/>
              <w:right w:val="nil"/>
            </w:tcBorders>
            <w:shd w:val="clear" w:color="auto" w:fill="auto"/>
            <w:noWrap/>
            <w:vAlign w:val="center"/>
            <w:hideMark/>
          </w:tcPr>
          <w:p w14:paraId="081E1099"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1766218</w:t>
            </w:r>
          </w:p>
        </w:tc>
        <w:tc>
          <w:tcPr>
            <w:tcW w:w="1365" w:type="dxa"/>
            <w:tcBorders>
              <w:top w:val="nil"/>
              <w:left w:val="nil"/>
              <w:bottom w:val="nil"/>
              <w:right w:val="nil"/>
            </w:tcBorders>
            <w:shd w:val="clear" w:color="auto" w:fill="auto"/>
            <w:noWrap/>
            <w:vAlign w:val="center"/>
            <w:hideMark/>
          </w:tcPr>
          <w:p w14:paraId="046F6D77"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5465924</w:t>
            </w:r>
          </w:p>
        </w:tc>
        <w:tc>
          <w:tcPr>
            <w:tcW w:w="1250" w:type="dxa"/>
            <w:tcBorders>
              <w:top w:val="nil"/>
              <w:left w:val="nil"/>
              <w:bottom w:val="nil"/>
              <w:right w:val="nil"/>
            </w:tcBorders>
            <w:shd w:val="clear" w:color="auto" w:fill="auto"/>
            <w:noWrap/>
            <w:vAlign w:val="center"/>
            <w:hideMark/>
          </w:tcPr>
          <w:p w14:paraId="41C72454"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11326258</w:t>
            </w:r>
          </w:p>
        </w:tc>
      </w:tr>
      <w:tr w:rsidR="00FC5B7E" w:rsidRPr="004666D3" w14:paraId="76F41690" w14:textId="77777777" w:rsidTr="000B152F">
        <w:trPr>
          <w:trHeight w:val="290"/>
        </w:trPr>
        <w:tc>
          <w:tcPr>
            <w:tcW w:w="1052" w:type="dxa"/>
            <w:vMerge/>
            <w:tcBorders>
              <w:top w:val="nil"/>
              <w:left w:val="nil"/>
              <w:bottom w:val="single" w:sz="4" w:space="0" w:color="auto"/>
              <w:right w:val="nil"/>
            </w:tcBorders>
            <w:vAlign w:val="center"/>
            <w:hideMark/>
          </w:tcPr>
          <w:p w14:paraId="41BC1F29"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034" w:type="dxa"/>
            <w:vMerge/>
            <w:tcBorders>
              <w:top w:val="nil"/>
              <w:left w:val="nil"/>
              <w:bottom w:val="single" w:sz="4" w:space="0" w:color="auto"/>
              <w:right w:val="nil"/>
            </w:tcBorders>
            <w:vAlign w:val="center"/>
            <w:hideMark/>
          </w:tcPr>
          <w:p w14:paraId="6904433B" w14:textId="77777777" w:rsidR="00FC5B7E" w:rsidRPr="00C31E1C" w:rsidRDefault="00FC5B7E" w:rsidP="000B152F">
            <w:pPr>
              <w:spacing w:after="0" w:line="240" w:lineRule="auto"/>
              <w:jc w:val="center"/>
              <w:rPr>
                <w:rFonts w:ascii="Calibri" w:eastAsia="Times New Roman" w:hAnsi="Calibri" w:cs="Calibri"/>
                <w:color w:val="000000"/>
                <w:szCs w:val="24"/>
              </w:rPr>
            </w:pPr>
          </w:p>
        </w:tc>
        <w:tc>
          <w:tcPr>
            <w:tcW w:w="1883" w:type="dxa"/>
            <w:tcBorders>
              <w:top w:val="nil"/>
              <w:left w:val="nil"/>
              <w:bottom w:val="single" w:sz="4" w:space="0" w:color="auto"/>
              <w:right w:val="nil"/>
            </w:tcBorders>
            <w:shd w:val="clear" w:color="auto" w:fill="auto"/>
            <w:noWrap/>
            <w:vAlign w:val="center"/>
            <w:hideMark/>
          </w:tcPr>
          <w:p w14:paraId="63941861" w14:textId="77777777" w:rsidR="00FC5B7E" w:rsidRPr="00C31E1C" w:rsidRDefault="00FC5B7E" w:rsidP="000B152F">
            <w:pPr>
              <w:spacing w:after="0" w:line="240" w:lineRule="auto"/>
              <w:rPr>
                <w:rFonts w:ascii="Calibri" w:eastAsia="Times New Roman" w:hAnsi="Calibri" w:cs="Calibri"/>
                <w:color w:val="000000"/>
                <w:szCs w:val="24"/>
              </w:rPr>
            </w:pPr>
            <w:r w:rsidRPr="00C31E1C">
              <w:rPr>
                <w:rFonts w:ascii="Calibri" w:eastAsia="Times New Roman" w:hAnsi="Calibri" w:cs="Calibri"/>
                <w:color w:val="000000"/>
                <w:szCs w:val="24"/>
              </w:rPr>
              <w:t>Proportion</w:t>
            </w:r>
          </w:p>
        </w:tc>
        <w:tc>
          <w:tcPr>
            <w:tcW w:w="1560" w:type="dxa"/>
            <w:tcBorders>
              <w:top w:val="nil"/>
              <w:left w:val="nil"/>
              <w:bottom w:val="single" w:sz="4" w:space="0" w:color="auto"/>
              <w:right w:val="nil"/>
            </w:tcBorders>
            <w:shd w:val="clear" w:color="auto" w:fill="auto"/>
            <w:noWrap/>
            <w:vAlign w:val="center"/>
            <w:hideMark/>
          </w:tcPr>
          <w:p w14:paraId="43783B4C"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0.00%</w:t>
            </w:r>
          </w:p>
        </w:tc>
        <w:tc>
          <w:tcPr>
            <w:tcW w:w="1603" w:type="dxa"/>
            <w:tcBorders>
              <w:top w:val="nil"/>
              <w:left w:val="nil"/>
              <w:bottom w:val="single" w:sz="4" w:space="0" w:color="auto"/>
              <w:right w:val="nil"/>
            </w:tcBorders>
            <w:shd w:val="clear" w:color="auto" w:fill="auto"/>
            <w:noWrap/>
            <w:vAlign w:val="center"/>
            <w:hideMark/>
          </w:tcPr>
          <w:p w14:paraId="7687A853"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0.00%</w:t>
            </w:r>
          </w:p>
        </w:tc>
        <w:tc>
          <w:tcPr>
            <w:tcW w:w="1365" w:type="dxa"/>
            <w:tcBorders>
              <w:top w:val="nil"/>
              <w:left w:val="nil"/>
              <w:bottom w:val="single" w:sz="4" w:space="0" w:color="auto"/>
              <w:right w:val="nil"/>
            </w:tcBorders>
            <w:shd w:val="clear" w:color="auto" w:fill="auto"/>
            <w:noWrap/>
            <w:vAlign w:val="center"/>
            <w:hideMark/>
          </w:tcPr>
          <w:p w14:paraId="4D517090"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0.04%</w:t>
            </w:r>
          </w:p>
        </w:tc>
        <w:tc>
          <w:tcPr>
            <w:tcW w:w="1250" w:type="dxa"/>
            <w:tcBorders>
              <w:top w:val="nil"/>
              <w:left w:val="nil"/>
              <w:bottom w:val="single" w:sz="4" w:space="0" w:color="auto"/>
              <w:right w:val="nil"/>
            </w:tcBorders>
            <w:shd w:val="clear" w:color="auto" w:fill="auto"/>
            <w:noWrap/>
            <w:vAlign w:val="center"/>
            <w:hideMark/>
          </w:tcPr>
          <w:p w14:paraId="48581A41" w14:textId="77777777" w:rsidR="00FC5B7E" w:rsidRPr="00C31E1C" w:rsidRDefault="00FC5B7E" w:rsidP="000B152F">
            <w:pPr>
              <w:spacing w:after="0" w:line="240" w:lineRule="auto"/>
              <w:jc w:val="right"/>
              <w:rPr>
                <w:rFonts w:ascii="Calibri" w:eastAsia="Times New Roman" w:hAnsi="Calibri" w:cs="Calibri"/>
                <w:color w:val="000000"/>
                <w:szCs w:val="24"/>
              </w:rPr>
            </w:pPr>
            <w:r w:rsidRPr="00C31E1C">
              <w:rPr>
                <w:rFonts w:ascii="Calibri" w:eastAsia="Times New Roman" w:hAnsi="Calibri" w:cs="Calibri"/>
                <w:color w:val="000000"/>
                <w:szCs w:val="24"/>
              </w:rPr>
              <w:t>0.02%</w:t>
            </w:r>
          </w:p>
        </w:tc>
      </w:tr>
      <w:tr w:rsidR="00FC5B7E" w:rsidRPr="004666D3" w14:paraId="1645F23A" w14:textId="77777777" w:rsidTr="000B152F">
        <w:trPr>
          <w:trHeight w:val="290"/>
        </w:trPr>
        <w:tc>
          <w:tcPr>
            <w:tcW w:w="9747" w:type="dxa"/>
            <w:gridSpan w:val="7"/>
            <w:tcBorders>
              <w:top w:val="single" w:sz="4" w:space="0" w:color="auto"/>
              <w:left w:val="nil"/>
              <w:right w:val="nil"/>
            </w:tcBorders>
            <w:vAlign w:val="center"/>
          </w:tcPr>
          <w:p w14:paraId="0D12822F" w14:textId="77777777" w:rsidR="00FC5B7E" w:rsidRPr="004666D3" w:rsidRDefault="00FC5B7E" w:rsidP="000B152F">
            <w:pPr>
              <w:spacing w:after="0" w:line="240" w:lineRule="auto"/>
              <w:ind w:right="440"/>
              <w:rPr>
                <w:rFonts w:ascii="Calibri" w:eastAsia="Times New Roman" w:hAnsi="Calibri" w:cs="Calibri"/>
                <w:color w:val="000000"/>
                <w:szCs w:val="24"/>
              </w:rPr>
            </w:pPr>
            <w:r w:rsidRPr="004666D3">
              <w:rPr>
                <w:rFonts w:ascii="Calibri" w:eastAsia="Times New Roman" w:hAnsi="Calibri" w:cs="Calibri"/>
                <w:color w:val="000000"/>
                <w:szCs w:val="24"/>
              </w:rPr>
              <w:t>Note:</w:t>
            </w:r>
          </w:p>
          <w:p w14:paraId="1A18FFE5" w14:textId="77777777" w:rsidR="00FC5B7E" w:rsidRPr="004666D3" w:rsidRDefault="00FC5B7E" w:rsidP="000B152F">
            <w:pPr>
              <w:spacing w:after="0" w:line="240" w:lineRule="auto"/>
              <w:ind w:right="440"/>
              <w:rPr>
                <w:rFonts w:ascii="Calibri" w:eastAsia="Times New Roman" w:hAnsi="Calibri" w:cs="Calibri"/>
                <w:color w:val="000000"/>
                <w:szCs w:val="24"/>
              </w:rPr>
            </w:pPr>
            <w:r w:rsidRPr="004666D3">
              <w:rPr>
                <w:rFonts w:ascii="Calibri" w:eastAsia="Times New Roman" w:hAnsi="Calibri" w:cs="Calibri"/>
                <w:color w:val="000000"/>
                <w:szCs w:val="24"/>
              </w:rPr>
              <w:t>From imputation: The imputed user count.</w:t>
            </w:r>
          </w:p>
          <w:p w14:paraId="4C1DBE38" w14:textId="77777777" w:rsidR="00FC5B7E" w:rsidRPr="004666D3" w:rsidRDefault="00FC5B7E" w:rsidP="000B152F">
            <w:pPr>
              <w:spacing w:after="0" w:line="240" w:lineRule="auto"/>
              <w:ind w:right="440"/>
              <w:rPr>
                <w:rFonts w:ascii="Calibri" w:eastAsia="Times New Roman" w:hAnsi="Calibri" w:cs="Calibri"/>
                <w:color w:val="000000"/>
                <w:szCs w:val="24"/>
              </w:rPr>
            </w:pPr>
            <w:r w:rsidRPr="004666D3">
              <w:rPr>
                <w:rFonts w:ascii="Calibri" w:eastAsia="Times New Roman" w:hAnsi="Calibri" w:cs="Calibri"/>
                <w:color w:val="000000"/>
                <w:szCs w:val="24"/>
              </w:rPr>
              <w:t>Total: The sum of imputed user count and original user count.</w:t>
            </w:r>
          </w:p>
          <w:p w14:paraId="2C1755DE" w14:textId="77777777" w:rsidR="00FC5B7E" w:rsidRPr="004666D3" w:rsidRDefault="00FC5B7E" w:rsidP="000B152F">
            <w:pPr>
              <w:spacing w:after="0" w:line="240" w:lineRule="auto"/>
              <w:ind w:right="440"/>
              <w:rPr>
                <w:rFonts w:ascii="Calibri" w:eastAsia="Times New Roman" w:hAnsi="Calibri" w:cs="Calibri"/>
                <w:color w:val="000000"/>
                <w:sz w:val="22"/>
              </w:rPr>
            </w:pPr>
            <w:r w:rsidRPr="004666D3">
              <w:rPr>
                <w:rFonts w:ascii="Calibri" w:eastAsia="Times New Roman" w:hAnsi="Calibri" w:cs="Calibri"/>
                <w:color w:val="000000"/>
                <w:szCs w:val="24"/>
              </w:rPr>
              <w:t>Sum: The sum user count of urban centre, urban cluster/suburban and rural areas.</w:t>
            </w:r>
          </w:p>
        </w:tc>
      </w:tr>
    </w:tbl>
    <w:p w14:paraId="146A66FA" w14:textId="77777777" w:rsidR="00FC5B7E" w:rsidRPr="004666D3" w:rsidRDefault="00FC5B7E" w:rsidP="00FC5B7E">
      <w:pPr>
        <w:spacing w:line="360" w:lineRule="auto"/>
        <w:rPr>
          <w:b/>
          <w:bCs/>
          <w:szCs w:val="24"/>
        </w:rPr>
      </w:pPr>
    </w:p>
    <w:p w14:paraId="50FD385F" w14:textId="77777777" w:rsidR="00FC5B7E" w:rsidRPr="004666D3" w:rsidRDefault="00FC5B7E" w:rsidP="00FC5B7E">
      <w:pPr>
        <w:pStyle w:val="ListParagraph"/>
        <w:numPr>
          <w:ilvl w:val="0"/>
          <w:numId w:val="6"/>
        </w:numPr>
        <w:spacing w:line="360" w:lineRule="auto"/>
        <w:rPr>
          <w:b/>
          <w:bCs/>
          <w:szCs w:val="24"/>
        </w:rPr>
      </w:pPr>
      <w:r w:rsidRPr="004666D3">
        <w:rPr>
          <w:b/>
          <w:bCs/>
          <w:szCs w:val="24"/>
        </w:rPr>
        <w:t>STL decomposition results</w:t>
      </w:r>
    </w:p>
    <w:p w14:paraId="1D686D28" w14:textId="77777777" w:rsidR="00FC5B7E" w:rsidRPr="004666D3" w:rsidRDefault="00FC5B7E" w:rsidP="00FC5B7E">
      <w:pPr>
        <w:spacing w:line="360" w:lineRule="auto"/>
        <w:jc w:val="both"/>
        <w:rPr>
          <w:b/>
          <w:bCs/>
          <w:szCs w:val="24"/>
        </w:rPr>
      </w:pPr>
      <w:r w:rsidRPr="004666D3">
        <w:rPr>
          <w:b/>
          <w:bCs/>
          <w:szCs w:val="24"/>
        </w:rPr>
        <w:t>B1. Other components of STL decomposition results for Belgium and Thailand</w:t>
      </w:r>
    </w:p>
    <w:p w14:paraId="4A304670" w14:textId="77777777" w:rsidR="00FC5B7E" w:rsidRPr="004666D3" w:rsidRDefault="00FC5B7E" w:rsidP="00FC5B7E">
      <w:pPr>
        <w:spacing w:line="360" w:lineRule="auto"/>
        <w:rPr>
          <w:b/>
          <w:bCs/>
          <w:szCs w:val="24"/>
        </w:rPr>
      </w:pPr>
      <w:r w:rsidRPr="004666D3">
        <w:rPr>
          <w:b/>
          <w:bCs/>
          <w:noProof/>
          <w:szCs w:val="24"/>
        </w:rPr>
        <w:lastRenderedPageBreak/>
        <w:drawing>
          <wp:inline distT="0" distB="0" distL="0" distR="0" wp14:anchorId="1962D543" wp14:editId="7F9C3AE9">
            <wp:extent cx="5731510" cy="4761865"/>
            <wp:effectExtent l="0" t="0" r="2540" b="635"/>
            <wp:docPr id="7"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graph&#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761865"/>
                    </a:xfrm>
                    <a:prstGeom prst="rect">
                      <a:avLst/>
                    </a:prstGeom>
                  </pic:spPr>
                </pic:pic>
              </a:graphicData>
            </a:graphic>
          </wp:inline>
        </w:drawing>
      </w:r>
    </w:p>
    <w:p w14:paraId="390B054A" w14:textId="77777777" w:rsidR="00FC5B7E" w:rsidRPr="004666D3" w:rsidRDefault="00FC5B7E" w:rsidP="00FC5B7E">
      <w:pPr>
        <w:spacing w:line="360" w:lineRule="auto"/>
        <w:rPr>
          <w:szCs w:val="24"/>
        </w:rPr>
      </w:pPr>
      <w:r w:rsidRPr="004666D3">
        <w:rPr>
          <w:szCs w:val="24"/>
        </w:rPr>
        <w:t>Figure B.1</w:t>
      </w:r>
      <w:r w:rsidRPr="004666D3">
        <w:t xml:space="preserve"> </w:t>
      </w:r>
      <w:r w:rsidRPr="004666D3">
        <w:rPr>
          <w:szCs w:val="24"/>
        </w:rPr>
        <w:t>The weekly Facebook population user count across urban centres, urban clusters/suburban, and rural areas in Belgium, along with their seasonal and remainder components of the Seasonal-Trend decomposition using Loess (STL) (as Supplementary for Fig.3), reported on workdays and weekends separately during night-time and daytime.</w:t>
      </w:r>
    </w:p>
    <w:p w14:paraId="76D6B01C" w14:textId="77777777" w:rsidR="00FC5B7E" w:rsidRPr="004666D3" w:rsidRDefault="00FC5B7E" w:rsidP="00FC5B7E">
      <w:pPr>
        <w:spacing w:line="360" w:lineRule="auto"/>
        <w:rPr>
          <w:b/>
          <w:bCs/>
          <w:szCs w:val="24"/>
        </w:rPr>
      </w:pPr>
      <w:r w:rsidRPr="004666D3">
        <w:rPr>
          <w:b/>
          <w:bCs/>
          <w:noProof/>
          <w:szCs w:val="24"/>
        </w:rPr>
        <w:lastRenderedPageBreak/>
        <w:drawing>
          <wp:inline distT="0" distB="0" distL="0" distR="0" wp14:anchorId="278CF91A" wp14:editId="663D290B">
            <wp:extent cx="5731510" cy="4827905"/>
            <wp:effectExtent l="0" t="0" r="2540" b="0"/>
            <wp:docPr id="8" name="Picture 8" descr="A collage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lage of a grap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827905"/>
                    </a:xfrm>
                    <a:prstGeom prst="rect">
                      <a:avLst/>
                    </a:prstGeom>
                  </pic:spPr>
                </pic:pic>
              </a:graphicData>
            </a:graphic>
          </wp:inline>
        </w:drawing>
      </w:r>
    </w:p>
    <w:p w14:paraId="252F2646" w14:textId="77777777" w:rsidR="00FC5B7E" w:rsidRPr="004666D3" w:rsidRDefault="00FC5B7E" w:rsidP="00FC5B7E">
      <w:pPr>
        <w:spacing w:line="360" w:lineRule="auto"/>
        <w:rPr>
          <w:szCs w:val="24"/>
        </w:rPr>
      </w:pPr>
      <w:r w:rsidRPr="004666D3">
        <w:rPr>
          <w:szCs w:val="24"/>
        </w:rPr>
        <w:t>Figure B.2</w:t>
      </w:r>
      <w:r w:rsidRPr="004666D3">
        <w:t xml:space="preserve"> </w:t>
      </w:r>
      <w:r w:rsidRPr="004666D3">
        <w:rPr>
          <w:szCs w:val="24"/>
        </w:rPr>
        <w:t>The weekly Facebook population user count across urban centres, urban clusters/suburban, and rural areas in Thailand, along with their seasonal and remainder components of the Seasonal-Trend decomposition using Loess (STL) (as Supplementary for Fig. 6), reported on workdays and weekends separately during night-time and daytime.</w:t>
      </w:r>
    </w:p>
    <w:p w14:paraId="1CDC07E6" w14:textId="77777777" w:rsidR="00FC5B7E" w:rsidRPr="004666D3" w:rsidRDefault="00FC5B7E" w:rsidP="00FC5B7E">
      <w:pPr>
        <w:spacing w:line="360" w:lineRule="auto"/>
        <w:rPr>
          <w:szCs w:val="24"/>
        </w:rPr>
      </w:pPr>
    </w:p>
    <w:p w14:paraId="4027CC6F" w14:textId="77777777" w:rsidR="00FC5B7E" w:rsidRPr="004666D3" w:rsidRDefault="00FC5B7E" w:rsidP="00FC5B7E">
      <w:pPr>
        <w:spacing w:line="360" w:lineRule="auto"/>
        <w:rPr>
          <w:b/>
          <w:bCs/>
          <w:szCs w:val="24"/>
        </w:rPr>
      </w:pPr>
      <w:r w:rsidRPr="004666D3">
        <w:rPr>
          <w:b/>
          <w:bCs/>
          <w:szCs w:val="24"/>
        </w:rPr>
        <w:t>B2. Changes in Facebook user count during daytime at the regional level</w:t>
      </w:r>
    </w:p>
    <w:p w14:paraId="51DA9BE9" w14:textId="77777777" w:rsidR="00FC5B7E" w:rsidRPr="004666D3" w:rsidRDefault="00FC5B7E" w:rsidP="00FC5B7E">
      <w:pPr>
        <w:spacing w:line="360" w:lineRule="auto"/>
        <w:rPr>
          <w:szCs w:val="24"/>
        </w:rPr>
      </w:pPr>
      <w:r w:rsidRPr="004666D3">
        <w:rPr>
          <w:noProof/>
          <w:szCs w:val="24"/>
        </w:rPr>
        <w:lastRenderedPageBreak/>
        <w:drawing>
          <wp:inline distT="0" distB="0" distL="0" distR="0" wp14:anchorId="535C7997" wp14:editId="1DB17398">
            <wp:extent cx="5731510" cy="3861435"/>
            <wp:effectExtent l="0" t="0" r="2540" b="5715"/>
            <wp:docPr id="9" name="Picture 9" descr="A group of map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aps with different color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61435"/>
                    </a:xfrm>
                    <a:prstGeom prst="rect">
                      <a:avLst/>
                    </a:prstGeom>
                  </pic:spPr>
                </pic:pic>
              </a:graphicData>
            </a:graphic>
          </wp:inline>
        </w:drawing>
      </w:r>
    </w:p>
    <w:p w14:paraId="4A9C0E77" w14:textId="77777777" w:rsidR="00FC5B7E" w:rsidRPr="004666D3" w:rsidRDefault="00FC5B7E" w:rsidP="00FC5B7E">
      <w:pPr>
        <w:spacing w:line="360" w:lineRule="auto"/>
        <w:rPr>
          <w:szCs w:val="24"/>
        </w:rPr>
      </w:pPr>
      <w:r w:rsidRPr="004666D3">
        <w:rPr>
          <w:szCs w:val="24"/>
        </w:rPr>
        <w:t xml:space="preserve">Figure B.3 Changes in weekly Facebook user count during daytime on workdays at the regional level in Belgium from March 2020 to May 2022, across (a) urban centre, (b) urban cluster/suburban and (c) rural areas. The left map exhibits percentage changes relative to the start week, while the right presents user count changes and their decomposed trend component of the Seasonal-Trend decomposition using Loess (STL) method. There are no suburban and rural areas within Brussels. The lockdown ‘stringency index’ from the Oxford COVID-19 Government Response Tracker </w:t>
      </w:r>
      <w:r w:rsidRPr="004666D3">
        <w:rPr>
          <w:szCs w:val="24"/>
        </w:rPr>
        <w:fldChar w:fldCharType="begin"/>
      </w:r>
      <w:r w:rsidRPr="004666D3">
        <w:rPr>
          <w:szCs w:val="24"/>
        </w:rPr>
        <w:instrText xml:space="preserve"> ADDIN ZOTERO_ITEM CSL_CITATION {"citationID":"PXX1AAi1","properties":{"formattedCitation":"(Hale et al., 2021)","plainCitation":"(Hale et al., 2021)","noteIndex":0},"citationItems":[{"id":5282,"uris":["http://zotero.org/users/9756803/items/HRBDC39M"],"itemData":{"id":5282,"type":"article-journal","abstract":"COVID-19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Nature","note":"number: 4\npublisher: Nature Publishing Group","page":"529-538","source":"www.nature.com","title":"A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schema":"https://github.com/citation-style-language/schema/raw/master/csl-citation.json"} </w:instrText>
      </w:r>
      <w:r w:rsidRPr="004666D3">
        <w:rPr>
          <w:szCs w:val="24"/>
        </w:rPr>
        <w:fldChar w:fldCharType="separate"/>
      </w:r>
      <w:r w:rsidRPr="004666D3">
        <w:rPr>
          <w:rFonts w:ascii="Calibri" w:hAnsi="Calibri" w:cs="Calibri"/>
        </w:rPr>
        <w:t>(Hale et al., 2021)</w:t>
      </w:r>
      <w:r w:rsidRPr="004666D3">
        <w:rPr>
          <w:szCs w:val="24"/>
        </w:rPr>
        <w:fldChar w:fldCharType="end"/>
      </w:r>
      <w:r w:rsidRPr="004666D3">
        <w:rPr>
          <w:szCs w:val="24"/>
        </w:rPr>
        <w:t xml:space="preserve"> is represented by varying intensities of grey backgrounds.</w:t>
      </w:r>
    </w:p>
    <w:p w14:paraId="5FE3B662" w14:textId="77777777" w:rsidR="00FC5B7E" w:rsidRPr="004666D3" w:rsidRDefault="00FC5B7E" w:rsidP="00FC5B7E">
      <w:pPr>
        <w:spacing w:line="360" w:lineRule="auto"/>
        <w:rPr>
          <w:szCs w:val="24"/>
        </w:rPr>
      </w:pPr>
      <w:r w:rsidRPr="004666D3">
        <w:rPr>
          <w:noProof/>
          <w:szCs w:val="24"/>
        </w:rPr>
        <w:drawing>
          <wp:inline distT="0" distB="0" distL="0" distR="0" wp14:anchorId="3BAC4A9D" wp14:editId="5BB72BF2">
            <wp:extent cx="5731510" cy="23114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311400"/>
                    </a:xfrm>
                    <a:prstGeom prst="rect">
                      <a:avLst/>
                    </a:prstGeom>
                  </pic:spPr>
                </pic:pic>
              </a:graphicData>
            </a:graphic>
          </wp:inline>
        </w:drawing>
      </w:r>
    </w:p>
    <w:p w14:paraId="3DD8AE8F" w14:textId="77777777" w:rsidR="00FC5B7E" w:rsidRPr="004666D3" w:rsidRDefault="00FC5B7E" w:rsidP="00FC5B7E">
      <w:pPr>
        <w:spacing w:line="360" w:lineRule="auto"/>
        <w:rPr>
          <w:szCs w:val="24"/>
        </w:rPr>
      </w:pPr>
      <w:r w:rsidRPr="004666D3">
        <w:rPr>
          <w:szCs w:val="24"/>
        </w:rPr>
        <w:lastRenderedPageBreak/>
        <w:t xml:space="preserve">Figure B.4 Changes in weekly Facebook user count during daytime on workdays at the regional level in Thailand from March 2020 to May 2022, across (a) urban centre, (b) urban cluster/suburban and (c) rural areas. The left map exhibits percentage changes relative to the start week, while the right presents user count changes and their decomposed trend component of the Seasonal-Trend decomposition using Loess (STL) method. The lockdown ‘stringency index’ from the Oxford COVID-19 Government Response Tracker </w:t>
      </w:r>
      <w:r w:rsidRPr="004666D3">
        <w:rPr>
          <w:szCs w:val="24"/>
        </w:rPr>
        <w:fldChar w:fldCharType="begin"/>
      </w:r>
      <w:r w:rsidRPr="004666D3">
        <w:rPr>
          <w:szCs w:val="24"/>
        </w:rPr>
        <w:instrText xml:space="preserve"> ADDIN ZOTERO_ITEM CSL_CITATION {"citationID":"nduCE0rJ","properties":{"formattedCitation":"(Hale et al., 2021)","plainCitation":"(Hale et al., 2021)","noteIndex":0},"citationItems":[{"id":5282,"uris":["http://zotero.org/users/9756803/items/HRBDC39M"],"itemData":{"id":5282,"type":"article-journal","abstract":"COVID-19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Nature","note":"number: 4\npublisher: Nature Publishing Group","page":"529-538","source":"www.nature.com","title":"A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schema":"https://github.com/citation-style-language/schema/raw/master/csl-citation.json"} </w:instrText>
      </w:r>
      <w:r w:rsidRPr="004666D3">
        <w:rPr>
          <w:szCs w:val="24"/>
        </w:rPr>
        <w:fldChar w:fldCharType="separate"/>
      </w:r>
      <w:r w:rsidRPr="004666D3">
        <w:rPr>
          <w:rFonts w:ascii="Calibri" w:hAnsi="Calibri" w:cs="Calibri"/>
        </w:rPr>
        <w:t>(Hale et al., 2021)</w:t>
      </w:r>
      <w:r w:rsidRPr="004666D3">
        <w:rPr>
          <w:szCs w:val="24"/>
        </w:rPr>
        <w:fldChar w:fldCharType="end"/>
      </w:r>
      <w:r w:rsidRPr="004666D3">
        <w:rPr>
          <w:szCs w:val="24"/>
        </w:rPr>
        <w:t xml:space="preserve"> is represented by varying intensities of grey backgrounds.</w:t>
      </w:r>
    </w:p>
    <w:p w14:paraId="3CAD7F70" w14:textId="77777777" w:rsidR="00FC5B7E" w:rsidRPr="004666D3" w:rsidRDefault="00FC5B7E" w:rsidP="00FC5B7E">
      <w:pPr>
        <w:spacing w:line="360" w:lineRule="auto"/>
        <w:rPr>
          <w:szCs w:val="24"/>
        </w:rPr>
      </w:pPr>
    </w:p>
    <w:p w14:paraId="66FEBD35" w14:textId="77777777" w:rsidR="00FC5B7E" w:rsidRPr="004666D3" w:rsidRDefault="00FC5B7E" w:rsidP="00FC5B7E">
      <w:pPr>
        <w:pStyle w:val="ListParagraph"/>
        <w:numPr>
          <w:ilvl w:val="0"/>
          <w:numId w:val="6"/>
        </w:numPr>
        <w:spacing w:line="360" w:lineRule="auto"/>
        <w:rPr>
          <w:b/>
          <w:bCs/>
          <w:szCs w:val="24"/>
        </w:rPr>
      </w:pPr>
      <w:r w:rsidRPr="004666D3">
        <w:rPr>
          <w:b/>
          <w:bCs/>
          <w:szCs w:val="24"/>
        </w:rPr>
        <w:t>Sensitivity analysis</w:t>
      </w:r>
    </w:p>
    <w:p w14:paraId="55AD8C12" w14:textId="77777777" w:rsidR="00FC5B7E" w:rsidRPr="004666D3" w:rsidRDefault="00FC5B7E" w:rsidP="00FC5B7E">
      <w:pPr>
        <w:spacing w:line="360" w:lineRule="auto"/>
        <w:rPr>
          <w:szCs w:val="24"/>
        </w:rPr>
      </w:pPr>
      <w:bookmarkStart w:id="140" w:name="OLE_LINK13"/>
      <w:r w:rsidRPr="004666D3">
        <w:rPr>
          <w:szCs w:val="24"/>
        </w:rPr>
        <w:t xml:space="preserve">We conducted sensitivity analyses by either modifying the input spatial population data as </w:t>
      </w:r>
      <w:proofErr w:type="spellStart"/>
      <w:r w:rsidRPr="004666D3">
        <w:rPr>
          <w:szCs w:val="24"/>
        </w:rPr>
        <w:t>LandScan</w:t>
      </w:r>
      <w:proofErr w:type="spellEnd"/>
      <w:r w:rsidRPr="004666D3">
        <w:rPr>
          <w:szCs w:val="24"/>
        </w:rPr>
        <w:t xml:space="preserve">, keeping all other data processing steps the same, to evaluate the robustness of models. </w:t>
      </w:r>
      <w:bookmarkEnd w:id="140"/>
    </w:p>
    <w:p w14:paraId="7DE36501" w14:textId="77777777" w:rsidR="00FC5B7E" w:rsidRPr="004666D3" w:rsidRDefault="00FC5B7E" w:rsidP="00FC5B7E">
      <w:pPr>
        <w:spacing w:line="360" w:lineRule="auto"/>
        <w:rPr>
          <w:szCs w:val="24"/>
        </w:rPr>
      </w:pPr>
      <w:r w:rsidRPr="004666D3">
        <w:rPr>
          <w:noProof/>
          <w:szCs w:val="24"/>
        </w:rPr>
        <w:lastRenderedPageBreak/>
        <w:drawing>
          <wp:inline distT="0" distB="0" distL="0" distR="0" wp14:anchorId="1D1DC49F" wp14:editId="1A0CDC35">
            <wp:extent cx="5731510" cy="5227320"/>
            <wp:effectExtent l="0" t="0" r="2540" b="0"/>
            <wp:docPr id="68" name="Picture 68"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collage of graph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227320"/>
                    </a:xfrm>
                    <a:prstGeom prst="rect">
                      <a:avLst/>
                    </a:prstGeom>
                  </pic:spPr>
                </pic:pic>
              </a:graphicData>
            </a:graphic>
          </wp:inline>
        </w:drawing>
      </w:r>
    </w:p>
    <w:p w14:paraId="17A6C8BC" w14:textId="77777777" w:rsidR="00FC5B7E" w:rsidRPr="004666D3" w:rsidRDefault="00FC5B7E" w:rsidP="00FC5B7E">
      <w:pPr>
        <w:spacing w:line="360" w:lineRule="auto"/>
        <w:rPr>
          <w:szCs w:val="24"/>
        </w:rPr>
      </w:pPr>
      <w:r w:rsidRPr="004666D3">
        <w:rPr>
          <w:szCs w:val="24"/>
        </w:rPr>
        <w:t xml:space="preserve">Figure C.1 Result of STL decomposition of the weekly Facebook population across urban centres, urban clusters/suburban, and rural areas in Belgium, with modifying the input spatial population data as </w:t>
      </w:r>
      <w:proofErr w:type="spellStart"/>
      <w:r w:rsidRPr="004666D3">
        <w:rPr>
          <w:szCs w:val="24"/>
        </w:rPr>
        <w:t>LandScan</w:t>
      </w:r>
      <w:proofErr w:type="spellEnd"/>
      <w:r w:rsidRPr="004666D3">
        <w:rPr>
          <w:szCs w:val="24"/>
        </w:rPr>
        <w:t xml:space="preserve"> 2019 and the same other processing steps, reported on workdays and weekends separately during night-time with blue trend lines and daytime with red trend lines.</w:t>
      </w:r>
    </w:p>
    <w:p w14:paraId="746F8107" w14:textId="77777777" w:rsidR="00FC5B7E" w:rsidRPr="004666D3" w:rsidRDefault="00FC5B7E" w:rsidP="00FC5B7E">
      <w:pPr>
        <w:spacing w:line="360" w:lineRule="auto"/>
        <w:rPr>
          <w:szCs w:val="24"/>
        </w:rPr>
      </w:pPr>
      <w:r w:rsidRPr="004666D3">
        <w:rPr>
          <w:noProof/>
          <w:szCs w:val="24"/>
        </w:rPr>
        <w:lastRenderedPageBreak/>
        <w:drawing>
          <wp:inline distT="0" distB="0" distL="0" distR="0" wp14:anchorId="7A68ABED" wp14:editId="1C9898AA">
            <wp:extent cx="5731510" cy="5189220"/>
            <wp:effectExtent l="0" t="0" r="2540" b="0"/>
            <wp:docPr id="69" name="Picture 6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189220"/>
                    </a:xfrm>
                    <a:prstGeom prst="rect">
                      <a:avLst/>
                    </a:prstGeom>
                  </pic:spPr>
                </pic:pic>
              </a:graphicData>
            </a:graphic>
          </wp:inline>
        </w:drawing>
      </w:r>
    </w:p>
    <w:p w14:paraId="74B5D43D" w14:textId="77777777" w:rsidR="00FC5B7E" w:rsidRPr="004666D3" w:rsidRDefault="00FC5B7E" w:rsidP="00FC5B7E">
      <w:pPr>
        <w:spacing w:line="360" w:lineRule="auto"/>
        <w:rPr>
          <w:szCs w:val="24"/>
        </w:rPr>
      </w:pPr>
      <w:r w:rsidRPr="004666D3">
        <w:rPr>
          <w:szCs w:val="24"/>
        </w:rPr>
        <w:t xml:space="preserve">Figure C.2 Result of STL decomposition of the weekly Facebook population across urban centres, urban clusters/suburban, and rural areas in Thailand, with modifying the input spatial population data as </w:t>
      </w:r>
      <w:proofErr w:type="spellStart"/>
      <w:r w:rsidRPr="004666D3">
        <w:rPr>
          <w:szCs w:val="24"/>
        </w:rPr>
        <w:t>LandScan</w:t>
      </w:r>
      <w:proofErr w:type="spellEnd"/>
      <w:r w:rsidRPr="004666D3">
        <w:rPr>
          <w:szCs w:val="24"/>
        </w:rPr>
        <w:t xml:space="preserve"> 2019 and the same other processing steps, reported on workdays and weekends separately during night-time with blue trend lines and daytime with red trend lines.</w:t>
      </w:r>
    </w:p>
    <w:bookmarkEnd w:id="137"/>
    <w:p w14:paraId="04599AB0" w14:textId="77777777" w:rsidR="00FC5B7E" w:rsidRPr="00AD61A7" w:rsidRDefault="00FC5B7E" w:rsidP="00AD61A7">
      <w:pPr>
        <w:spacing w:line="360" w:lineRule="auto"/>
        <w:rPr>
          <w:szCs w:val="24"/>
        </w:rPr>
      </w:pPr>
    </w:p>
    <w:sectPr w:rsidR="00FC5B7E" w:rsidRPr="00AD61A7" w:rsidSect="001C3C60">
      <w:footerReference w:type="default" r:id="rId33"/>
      <w:type w:val="continuous"/>
      <w:pgSz w:w="11906" w:h="16838"/>
      <w:pgMar w:top="1440" w:right="1440" w:bottom="1440" w:left="1440" w:header="720" w:footer="720" w:gutter="0"/>
      <w:lnNumType w:countBy="1" w:restart="newSection"/>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D2E05" w14:textId="77777777" w:rsidR="000B5865" w:rsidRDefault="000B5865" w:rsidP="009A0BA9">
      <w:pPr>
        <w:spacing w:after="0" w:line="240" w:lineRule="auto"/>
      </w:pPr>
      <w:r>
        <w:separator/>
      </w:r>
    </w:p>
  </w:endnote>
  <w:endnote w:type="continuationSeparator" w:id="0">
    <w:p w14:paraId="30D2DC2E" w14:textId="77777777" w:rsidR="000B5865" w:rsidRDefault="000B5865" w:rsidP="009A0BA9">
      <w:pPr>
        <w:spacing w:after="0" w:line="240" w:lineRule="auto"/>
      </w:pPr>
      <w:r>
        <w:continuationSeparator/>
      </w:r>
    </w:p>
  </w:endnote>
  <w:endnote w:type="continuationNotice" w:id="1">
    <w:p w14:paraId="03B3A976" w14:textId="77777777" w:rsidR="000B5865" w:rsidRDefault="000B58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241432"/>
      <w:docPartObj>
        <w:docPartGallery w:val="Page Numbers (Bottom of Page)"/>
        <w:docPartUnique/>
      </w:docPartObj>
    </w:sdtPr>
    <w:sdtContent>
      <w:p w14:paraId="221F9E7B" w14:textId="41B469F9" w:rsidR="00784928" w:rsidRDefault="00784928">
        <w:pPr>
          <w:pStyle w:val="Footer"/>
          <w:jc w:val="center"/>
        </w:pPr>
        <w:r>
          <w:fldChar w:fldCharType="begin"/>
        </w:r>
        <w:r>
          <w:instrText>PAGE   \* MERGEFORMAT</w:instrText>
        </w:r>
        <w:r>
          <w:fldChar w:fldCharType="separate"/>
        </w:r>
        <w:r>
          <w:t>2</w:t>
        </w:r>
        <w:r>
          <w:fldChar w:fldCharType="end"/>
        </w:r>
      </w:p>
    </w:sdtContent>
  </w:sdt>
  <w:p w14:paraId="1E206A0D" w14:textId="77777777" w:rsidR="00784928" w:rsidRDefault="00784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172528"/>
      <w:docPartObj>
        <w:docPartGallery w:val="Page Numbers (Bottom of Page)"/>
        <w:docPartUnique/>
      </w:docPartObj>
    </w:sdtPr>
    <w:sdtContent>
      <w:p w14:paraId="2138E16E" w14:textId="52A1CDB1" w:rsidR="001057D7" w:rsidRDefault="001057D7">
        <w:pPr>
          <w:pStyle w:val="Footer"/>
          <w:jc w:val="center"/>
        </w:pPr>
        <w:r>
          <w:fldChar w:fldCharType="begin"/>
        </w:r>
        <w:r>
          <w:instrText>PAGE   \* MERGEFORMAT</w:instrText>
        </w:r>
        <w:r>
          <w:fldChar w:fldCharType="separate"/>
        </w:r>
        <w:r>
          <w:t>2</w:t>
        </w:r>
        <w:r>
          <w:fldChar w:fldCharType="end"/>
        </w:r>
      </w:p>
    </w:sdtContent>
  </w:sdt>
  <w:p w14:paraId="1E2CFA9A" w14:textId="77777777" w:rsidR="001057D7" w:rsidRDefault="001057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35DF9" w14:textId="77777777" w:rsidR="000B5865" w:rsidRDefault="000B5865" w:rsidP="009A0BA9">
      <w:pPr>
        <w:spacing w:after="0" w:line="240" w:lineRule="auto"/>
      </w:pPr>
      <w:r>
        <w:separator/>
      </w:r>
    </w:p>
  </w:footnote>
  <w:footnote w:type="continuationSeparator" w:id="0">
    <w:p w14:paraId="04D65D31" w14:textId="77777777" w:rsidR="000B5865" w:rsidRDefault="000B5865" w:rsidP="009A0BA9">
      <w:pPr>
        <w:spacing w:after="0" w:line="240" w:lineRule="auto"/>
      </w:pPr>
      <w:r>
        <w:continuationSeparator/>
      </w:r>
    </w:p>
  </w:footnote>
  <w:footnote w:type="continuationNotice" w:id="1">
    <w:p w14:paraId="5B7B2AAA" w14:textId="77777777" w:rsidR="000B5865" w:rsidRDefault="000B58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F77337A" w14:paraId="5F621907" w14:textId="77777777" w:rsidTr="000E690A">
      <w:trPr>
        <w:trHeight w:val="300"/>
      </w:trPr>
      <w:tc>
        <w:tcPr>
          <w:tcW w:w="3005" w:type="dxa"/>
        </w:tcPr>
        <w:p w14:paraId="02FED6C6" w14:textId="57765816" w:rsidR="7F77337A" w:rsidRDefault="7F77337A" w:rsidP="000E690A">
          <w:pPr>
            <w:pStyle w:val="Header"/>
            <w:ind w:left="-115"/>
          </w:pPr>
        </w:p>
      </w:tc>
      <w:tc>
        <w:tcPr>
          <w:tcW w:w="3005" w:type="dxa"/>
        </w:tcPr>
        <w:p w14:paraId="49B69827" w14:textId="182C0CB9" w:rsidR="7F77337A" w:rsidRDefault="7F77337A" w:rsidP="000E690A">
          <w:pPr>
            <w:pStyle w:val="Header"/>
            <w:jc w:val="center"/>
          </w:pPr>
        </w:p>
      </w:tc>
      <w:tc>
        <w:tcPr>
          <w:tcW w:w="3005" w:type="dxa"/>
        </w:tcPr>
        <w:p w14:paraId="27ED49BB" w14:textId="23E6A8CD" w:rsidR="7F77337A" w:rsidRDefault="7F77337A" w:rsidP="000E690A">
          <w:pPr>
            <w:pStyle w:val="Header"/>
            <w:ind w:right="-115"/>
            <w:jc w:val="right"/>
          </w:pPr>
        </w:p>
      </w:tc>
    </w:tr>
  </w:tbl>
  <w:p w14:paraId="71D21AED" w14:textId="7E1ECD57" w:rsidR="7F77337A" w:rsidRDefault="7F77337A" w:rsidP="006F5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CED"/>
    <w:multiLevelType w:val="hybridMultilevel"/>
    <w:tmpl w:val="E2C06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91A69"/>
    <w:multiLevelType w:val="hybridMultilevel"/>
    <w:tmpl w:val="921E1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B31D3"/>
    <w:multiLevelType w:val="hybridMultilevel"/>
    <w:tmpl w:val="E932D4F6"/>
    <w:lvl w:ilvl="0" w:tplc="08090015">
      <w:start w:val="4"/>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2B518C"/>
    <w:multiLevelType w:val="hybridMultilevel"/>
    <w:tmpl w:val="B41C0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E4056F"/>
    <w:multiLevelType w:val="hybridMultilevel"/>
    <w:tmpl w:val="94B2032E"/>
    <w:lvl w:ilvl="0" w:tplc="FF7CBCF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F1174B4"/>
    <w:multiLevelType w:val="hybridMultilevel"/>
    <w:tmpl w:val="C2B405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C913E6"/>
    <w:multiLevelType w:val="hybridMultilevel"/>
    <w:tmpl w:val="C96254A4"/>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5BD955FB"/>
    <w:multiLevelType w:val="hybridMultilevel"/>
    <w:tmpl w:val="A3103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7002708">
    <w:abstractNumId w:val="3"/>
  </w:num>
  <w:num w:numId="2" w16cid:durableId="907882299">
    <w:abstractNumId w:val="1"/>
  </w:num>
  <w:num w:numId="3" w16cid:durableId="973219006">
    <w:abstractNumId w:val="7"/>
  </w:num>
  <w:num w:numId="4" w16cid:durableId="1374843428">
    <w:abstractNumId w:val="0"/>
  </w:num>
  <w:num w:numId="5" w16cid:durableId="1077094293">
    <w:abstractNumId w:val="5"/>
  </w:num>
  <w:num w:numId="6" w16cid:durableId="859780749">
    <w:abstractNumId w:val="4"/>
  </w:num>
  <w:num w:numId="7" w16cid:durableId="394549274">
    <w:abstractNumId w:val="6"/>
  </w:num>
  <w:num w:numId="8" w16cid:durableId="2053727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CC"/>
    <w:rsid w:val="000000ED"/>
    <w:rsid w:val="000004E5"/>
    <w:rsid w:val="0000052B"/>
    <w:rsid w:val="00000627"/>
    <w:rsid w:val="000006A6"/>
    <w:rsid w:val="000009E1"/>
    <w:rsid w:val="00000B81"/>
    <w:rsid w:val="00000BCA"/>
    <w:rsid w:val="00000FEC"/>
    <w:rsid w:val="00001CB7"/>
    <w:rsid w:val="00001F5C"/>
    <w:rsid w:val="0000204A"/>
    <w:rsid w:val="000021B2"/>
    <w:rsid w:val="000026EB"/>
    <w:rsid w:val="000028E3"/>
    <w:rsid w:val="000029E6"/>
    <w:rsid w:val="00002F2F"/>
    <w:rsid w:val="000034B5"/>
    <w:rsid w:val="00003710"/>
    <w:rsid w:val="000037B6"/>
    <w:rsid w:val="000037C0"/>
    <w:rsid w:val="0000391A"/>
    <w:rsid w:val="00003950"/>
    <w:rsid w:val="00004067"/>
    <w:rsid w:val="0000422D"/>
    <w:rsid w:val="00004274"/>
    <w:rsid w:val="000042CC"/>
    <w:rsid w:val="000048BD"/>
    <w:rsid w:val="00004900"/>
    <w:rsid w:val="000049C9"/>
    <w:rsid w:val="00004C15"/>
    <w:rsid w:val="00004FA8"/>
    <w:rsid w:val="00005499"/>
    <w:rsid w:val="00005563"/>
    <w:rsid w:val="000055F2"/>
    <w:rsid w:val="000057DB"/>
    <w:rsid w:val="000060E1"/>
    <w:rsid w:val="000065E7"/>
    <w:rsid w:val="00006944"/>
    <w:rsid w:val="00006E8D"/>
    <w:rsid w:val="00006F0C"/>
    <w:rsid w:val="00006F50"/>
    <w:rsid w:val="00007E4B"/>
    <w:rsid w:val="00010035"/>
    <w:rsid w:val="00010389"/>
    <w:rsid w:val="00010A51"/>
    <w:rsid w:val="00010BFB"/>
    <w:rsid w:val="00010C1B"/>
    <w:rsid w:val="00010D7B"/>
    <w:rsid w:val="000112C8"/>
    <w:rsid w:val="00011907"/>
    <w:rsid w:val="00011EEF"/>
    <w:rsid w:val="00011FC6"/>
    <w:rsid w:val="00012075"/>
    <w:rsid w:val="0001240E"/>
    <w:rsid w:val="0001274A"/>
    <w:rsid w:val="00012C6B"/>
    <w:rsid w:val="00012E7F"/>
    <w:rsid w:val="00013298"/>
    <w:rsid w:val="00013510"/>
    <w:rsid w:val="000138C0"/>
    <w:rsid w:val="000139A5"/>
    <w:rsid w:val="00013D7C"/>
    <w:rsid w:val="0001400C"/>
    <w:rsid w:val="00014814"/>
    <w:rsid w:val="00014C5A"/>
    <w:rsid w:val="00014D2D"/>
    <w:rsid w:val="00014E3A"/>
    <w:rsid w:val="0001537C"/>
    <w:rsid w:val="0001584F"/>
    <w:rsid w:val="000159B2"/>
    <w:rsid w:val="000159BE"/>
    <w:rsid w:val="00015B07"/>
    <w:rsid w:val="00015D60"/>
    <w:rsid w:val="00015F01"/>
    <w:rsid w:val="00015F5D"/>
    <w:rsid w:val="00015FBF"/>
    <w:rsid w:val="000165B8"/>
    <w:rsid w:val="00016752"/>
    <w:rsid w:val="00016CE8"/>
    <w:rsid w:val="000170E9"/>
    <w:rsid w:val="00017200"/>
    <w:rsid w:val="00017232"/>
    <w:rsid w:val="00017295"/>
    <w:rsid w:val="000172DD"/>
    <w:rsid w:val="00017824"/>
    <w:rsid w:val="00017897"/>
    <w:rsid w:val="000178DC"/>
    <w:rsid w:val="000179F5"/>
    <w:rsid w:val="00017B9F"/>
    <w:rsid w:val="00017CD6"/>
    <w:rsid w:val="00017F13"/>
    <w:rsid w:val="000201CF"/>
    <w:rsid w:val="00020305"/>
    <w:rsid w:val="000204E2"/>
    <w:rsid w:val="00020667"/>
    <w:rsid w:val="00020D73"/>
    <w:rsid w:val="00021123"/>
    <w:rsid w:val="00021227"/>
    <w:rsid w:val="0002178A"/>
    <w:rsid w:val="00021BFE"/>
    <w:rsid w:val="00021C1B"/>
    <w:rsid w:val="00022057"/>
    <w:rsid w:val="0002205F"/>
    <w:rsid w:val="00022112"/>
    <w:rsid w:val="00022497"/>
    <w:rsid w:val="00022596"/>
    <w:rsid w:val="00022896"/>
    <w:rsid w:val="0002293B"/>
    <w:rsid w:val="00022F74"/>
    <w:rsid w:val="0002303F"/>
    <w:rsid w:val="000232F4"/>
    <w:rsid w:val="00023446"/>
    <w:rsid w:val="000236B7"/>
    <w:rsid w:val="00023B55"/>
    <w:rsid w:val="00023ECD"/>
    <w:rsid w:val="00024273"/>
    <w:rsid w:val="00024423"/>
    <w:rsid w:val="00024863"/>
    <w:rsid w:val="000249BA"/>
    <w:rsid w:val="00024A3F"/>
    <w:rsid w:val="00024A9E"/>
    <w:rsid w:val="00024AA3"/>
    <w:rsid w:val="00024AC6"/>
    <w:rsid w:val="00024AEA"/>
    <w:rsid w:val="00024AF0"/>
    <w:rsid w:val="00024F47"/>
    <w:rsid w:val="0002518E"/>
    <w:rsid w:val="000252BF"/>
    <w:rsid w:val="000253D9"/>
    <w:rsid w:val="00025584"/>
    <w:rsid w:val="000255D7"/>
    <w:rsid w:val="00025690"/>
    <w:rsid w:val="0002573B"/>
    <w:rsid w:val="0002594A"/>
    <w:rsid w:val="00025A6F"/>
    <w:rsid w:val="00026690"/>
    <w:rsid w:val="00026788"/>
    <w:rsid w:val="000269D0"/>
    <w:rsid w:val="00026D09"/>
    <w:rsid w:val="00026F60"/>
    <w:rsid w:val="0002746D"/>
    <w:rsid w:val="00027669"/>
    <w:rsid w:val="00027E6F"/>
    <w:rsid w:val="00027F63"/>
    <w:rsid w:val="00030021"/>
    <w:rsid w:val="0003011A"/>
    <w:rsid w:val="000303D7"/>
    <w:rsid w:val="0003052E"/>
    <w:rsid w:val="00030779"/>
    <w:rsid w:val="000309B6"/>
    <w:rsid w:val="00030DD5"/>
    <w:rsid w:val="00031052"/>
    <w:rsid w:val="0003107C"/>
    <w:rsid w:val="000310E1"/>
    <w:rsid w:val="00031167"/>
    <w:rsid w:val="00031263"/>
    <w:rsid w:val="0003177C"/>
    <w:rsid w:val="00031D74"/>
    <w:rsid w:val="0003253A"/>
    <w:rsid w:val="00032709"/>
    <w:rsid w:val="00032764"/>
    <w:rsid w:val="00032BE4"/>
    <w:rsid w:val="00032E1C"/>
    <w:rsid w:val="00032E3B"/>
    <w:rsid w:val="00032F57"/>
    <w:rsid w:val="00033111"/>
    <w:rsid w:val="000332B9"/>
    <w:rsid w:val="00033427"/>
    <w:rsid w:val="0003379E"/>
    <w:rsid w:val="000339DB"/>
    <w:rsid w:val="000341B4"/>
    <w:rsid w:val="0003491E"/>
    <w:rsid w:val="000349EA"/>
    <w:rsid w:val="00034B87"/>
    <w:rsid w:val="00034C61"/>
    <w:rsid w:val="00035076"/>
    <w:rsid w:val="000351FB"/>
    <w:rsid w:val="00035250"/>
    <w:rsid w:val="00035633"/>
    <w:rsid w:val="00035877"/>
    <w:rsid w:val="0003597E"/>
    <w:rsid w:val="00036B33"/>
    <w:rsid w:val="00036BBB"/>
    <w:rsid w:val="00036BEA"/>
    <w:rsid w:val="00036F49"/>
    <w:rsid w:val="00037023"/>
    <w:rsid w:val="0003719D"/>
    <w:rsid w:val="000371B0"/>
    <w:rsid w:val="00037555"/>
    <w:rsid w:val="0003786A"/>
    <w:rsid w:val="00037E0D"/>
    <w:rsid w:val="00037ED3"/>
    <w:rsid w:val="00037F91"/>
    <w:rsid w:val="000401E6"/>
    <w:rsid w:val="00040241"/>
    <w:rsid w:val="000402AA"/>
    <w:rsid w:val="00040572"/>
    <w:rsid w:val="00040661"/>
    <w:rsid w:val="00040D32"/>
    <w:rsid w:val="0004101B"/>
    <w:rsid w:val="000410F6"/>
    <w:rsid w:val="000411C5"/>
    <w:rsid w:val="00041669"/>
    <w:rsid w:val="00041784"/>
    <w:rsid w:val="0004191C"/>
    <w:rsid w:val="00041B6C"/>
    <w:rsid w:val="00041D6B"/>
    <w:rsid w:val="00041EB0"/>
    <w:rsid w:val="0004245A"/>
    <w:rsid w:val="00042558"/>
    <w:rsid w:val="00042571"/>
    <w:rsid w:val="0004286C"/>
    <w:rsid w:val="00042A56"/>
    <w:rsid w:val="00042B86"/>
    <w:rsid w:val="00042BC5"/>
    <w:rsid w:val="00042D1A"/>
    <w:rsid w:val="00042D65"/>
    <w:rsid w:val="00042DC9"/>
    <w:rsid w:val="00042E46"/>
    <w:rsid w:val="00043021"/>
    <w:rsid w:val="000436F1"/>
    <w:rsid w:val="00043C47"/>
    <w:rsid w:val="00043F4F"/>
    <w:rsid w:val="0004400A"/>
    <w:rsid w:val="00044079"/>
    <w:rsid w:val="000440CC"/>
    <w:rsid w:val="00044304"/>
    <w:rsid w:val="000443D6"/>
    <w:rsid w:val="000444CA"/>
    <w:rsid w:val="00044548"/>
    <w:rsid w:val="00044774"/>
    <w:rsid w:val="00044EEC"/>
    <w:rsid w:val="00045094"/>
    <w:rsid w:val="0004521D"/>
    <w:rsid w:val="00045251"/>
    <w:rsid w:val="000459D6"/>
    <w:rsid w:val="00045C57"/>
    <w:rsid w:val="00045EC2"/>
    <w:rsid w:val="0004626A"/>
    <w:rsid w:val="000462A4"/>
    <w:rsid w:val="0004652E"/>
    <w:rsid w:val="00046A2B"/>
    <w:rsid w:val="00046AFE"/>
    <w:rsid w:val="00046C06"/>
    <w:rsid w:val="00046CB6"/>
    <w:rsid w:val="0004729D"/>
    <w:rsid w:val="00047648"/>
    <w:rsid w:val="00047695"/>
    <w:rsid w:val="0004795E"/>
    <w:rsid w:val="00047A9E"/>
    <w:rsid w:val="0005078A"/>
    <w:rsid w:val="000508E9"/>
    <w:rsid w:val="0005146E"/>
    <w:rsid w:val="00051595"/>
    <w:rsid w:val="00051D0E"/>
    <w:rsid w:val="00051DD3"/>
    <w:rsid w:val="00051E4F"/>
    <w:rsid w:val="00051EE9"/>
    <w:rsid w:val="00051F3E"/>
    <w:rsid w:val="0005200A"/>
    <w:rsid w:val="00052354"/>
    <w:rsid w:val="000529FB"/>
    <w:rsid w:val="00052E20"/>
    <w:rsid w:val="00053349"/>
    <w:rsid w:val="00053597"/>
    <w:rsid w:val="00053A0D"/>
    <w:rsid w:val="00053A29"/>
    <w:rsid w:val="00053A53"/>
    <w:rsid w:val="00053A83"/>
    <w:rsid w:val="00053C62"/>
    <w:rsid w:val="000542F2"/>
    <w:rsid w:val="00054530"/>
    <w:rsid w:val="000549F4"/>
    <w:rsid w:val="00054A16"/>
    <w:rsid w:val="00054A83"/>
    <w:rsid w:val="00054DA1"/>
    <w:rsid w:val="00055074"/>
    <w:rsid w:val="000553D4"/>
    <w:rsid w:val="00055B5F"/>
    <w:rsid w:val="00055EE2"/>
    <w:rsid w:val="000564CE"/>
    <w:rsid w:val="0005652C"/>
    <w:rsid w:val="00056709"/>
    <w:rsid w:val="00056841"/>
    <w:rsid w:val="00056C72"/>
    <w:rsid w:val="000571DA"/>
    <w:rsid w:val="0005731B"/>
    <w:rsid w:val="000579C0"/>
    <w:rsid w:val="00057F8A"/>
    <w:rsid w:val="00057FBC"/>
    <w:rsid w:val="00057FD4"/>
    <w:rsid w:val="00060345"/>
    <w:rsid w:val="000606D2"/>
    <w:rsid w:val="000606F6"/>
    <w:rsid w:val="00060959"/>
    <w:rsid w:val="00060AB5"/>
    <w:rsid w:val="00060BFB"/>
    <w:rsid w:val="00060DA8"/>
    <w:rsid w:val="0006155D"/>
    <w:rsid w:val="00061A1E"/>
    <w:rsid w:val="00061E13"/>
    <w:rsid w:val="0006204A"/>
    <w:rsid w:val="0006236A"/>
    <w:rsid w:val="000624FE"/>
    <w:rsid w:val="0006278D"/>
    <w:rsid w:val="000628C5"/>
    <w:rsid w:val="00062B51"/>
    <w:rsid w:val="000630C3"/>
    <w:rsid w:val="00063C34"/>
    <w:rsid w:val="00063D35"/>
    <w:rsid w:val="00063DF9"/>
    <w:rsid w:val="00063E0F"/>
    <w:rsid w:val="00063EAE"/>
    <w:rsid w:val="00063EC3"/>
    <w:rsid w:val="00064070"/>
    <w:rsid w:val="000640D9"/>
    <w:rsid w:val="00064210"/>
    <w:rsid w:val="0006433E"/>
    <w:rsid w:val="00064584"/>
    <w:rsid w:val="00064712"/>
    <w:rsid w:val="00064BE0"/>
    <w:rsid w:val="00064C44"/>
    <w:rsid w:val="00064CE4"/>
    <w:rsid w:val="000653C0"/>
    <w:rsid w:val="0006571E"/>
    <w:rsid w:val="000657EC"/>
    <w:rsid w:val="0006595B"/>
    <w:rsid w:val="00065B67"/>
    <w:rsid w:val="00065BF2"/>
    <w:rsid w:val="00066268"/>
    <w:rsid w:val="00066425"/>
    <w:rsid w:val="000668CB"/>
    <w:rsid w:val="000669AE"/>
    <w:rsid w:val="00066C0C"/>
    <w:rsid w:val="00066D93"/>
    <w:rsid w:val="00067232"/>
    <w:rsid w:val="000674E3"/>
    <w:rsid w:val="00067656"/>
    <w:rsid w:val="000677D4"/>
    <w:rsid w:val="00067891"/>
    <w:rsid w:val="000678E2"/>
    <w:rsid w:val="00067D4A"/>
    <w:rsid w:val="00067E2C"/>
    <w:rsid w:val="000701C9"/>
    <w:rsid w:val="0007022F"/>
    <w:rsid w:val="00070251"/>
    <w:rsid w:val="0007029E"/>
    <w:rsid w:val="00070302"/>
    <w:rsid w:val="00070869"/>
    <w:rsid w:val="00070D58"/>
    <w:rsid w:val="00070E6F"/>
    <w:rsid w:val="00070FCD"/>
    <w:rsid w:val="0007105A"/>
    <w:rsid w:val="000710AE"/>
    <w:rsid w:val="00071D0E"/>
    <w:rsid w:val="00071E46"/>
    <w:rsid w:val="0007235E"/>
    <w:rsid w:val="00072481"/>
    <w:rsid w:val="00072A4F"/>
    <w:rsid w:val="00072D92"/>
    <w:rsid w:val="000731F7"/>
    <w:rsid w:val="000732BE"/>
    <w:rsid w:val="00073378"/>
    <w:rsid w:val="0007337E"/>
    <w:rsid w:val="0007354A"/>
    <w:rsid w:val="00073925"/>
    <w:rsid w:val="00073AE7"/>
    <w:rsid w:val="00073BFD"/>
    <w:rsid w:val="00073E8A"/>
    <w:rsid w:val="00073EF0"/>
    <w:rsid w:val="000741CB"/>
    <w:rsid w:val="000742C9"/>
    <w:rsid w:val="0007499A"/>
    <w:rsid w:val="00074B83"/>
    <w:rsid w:val="00075171"/>
    <w:rsid w:val="00075214"/>
    <w:rsid w:val="00075366"/>
    <w:rsid w:val="0007555F"/>
    <w:rsid w:val="00075594"/>
    <w:rsid w:val="00075627"/>
    <w:rsid w:val="000757D4"/>
    <w:rsid w:val="000758B6"/>
    <w:rsid w:val="00075F48"/>
    <w:rsid w:val="000761FA"/>
    <w:rsid w:val="000762FE"/>
    <w:rsid w:val="00076376"/>
    <w:rsid w:val="00076546"/>
    <w:rsid w:val="000767B5"/>
    <w:rsid w:val="00076830"/>
    <w:rsid w:val="00076AFF"/>
    <w:rsid w:val="00076B3A"/>
    <w:rsid w:val="00076C1F"/>
    <w:rsid w:val="00076CAF"/>
    <w:rsid w:val="00076F59"/>
    <w:rsid w:val="00077187"/>
    <w:rsid w:val="000773F0"/>
    <w:rsid w:val="000776ED"/>
    <w:rsid w:val="000777D5"/>
    <w:rsid w:val="000777E8"/>
    <w:rsid w:val="00077931"/>
    <w:rsid w:val="00077B20"/>
    <w:rsid w:val="00077B59"/>
    <w:rsid w:val="00077D38"/>
    <w:rsid w:val="00077E53"/>
    <w:rsid w:val="00077EB6"/>
    <w:rsid w:val="00080D54"/>
    <w:rsid w:val="00080E1D"/>
    <w:rsid w:val="000815E3"/>
    <w:rsid w:val="00081A36"/>
    <w:rsid w:val="00081B44"/>
    <w:rsid w:val="00081D61"/>
    <w:rsid w:val="00081DF9"/>
    <w:rsid w:val="0008220C"/>
    <w:rsid w:val="00082419"/>
    <w:rsid w:val="00082629"/>
    <w:rsid w:val="00082B8A"/>
    <w:rsid w:val="00083444"/>
    <w:rsid w:val="00083457"/>
    <w:rsid w:val="00083494"/>
    <w:rsid w:val="000834C5"/>
    <w:rsid w:val="0008357A"/>
    <w:rsid w:val="0008361A"/>
    <w:rsid w:val="0008388A"/>
    <w:rsid w:val="00083B7E"/>
    <w:rsid w:val="00083B86"/>
    <w:rsid w:val="00083C00"/>
    <w:rsid w:val="000841A9"/>
    <w:rsid w:val="00084333"/>
    <w:rsid w:val="0008434B"/>
    <w:rsid w:val="000844A4"/>
    <w:rsid w:val="00084707"/>
    <w:rsid w:val="00084726"/>
    <w:rsid w:val="00084B28"/>
    <w:rsid w:val="00085282"/>
    <w:rsid w:val="00085818"/>
    <w:rsid w:val="00085A1A"/>
    <w:rsid w:val="000860F6"/>
    <w:rsid w:val="00086193"/>
    <w:rsid w:val="00086403"/>
    <w:rsid w:val="000864C2"/>
    <w:rsid w:val="000864DD"/>
    <w:rsid w:val="000865FE"/>
    <w:rsid w:val="00086775"/>
    <w:rsid w:val="00086BFD"/>
    <w:rsid w:val="00086D2B"/>
    <w:rsid w:val="00086F78"/>
    <w:rsid w:val="000870F7"/>
    <w:rsid w:val="00087348"/>
    <w:rsid w:val="0008791F"/>
    <w:rsid w:val="0009030F"/>
    <w:rsid w:val="00090646"/>
    <w:rsid w:val="000907D5"/>
    <w:rsid w:val="000907FD"/>
    <w:rsid w:val="00090AFF"/>
    <w:rsid w:val="00090E99"/>
    <w:rsid w:val="00090EE0"/>
    <w:rsid w:val="00090FB7"/>
    <w:rsid w:val="00091063"/>
    <w:rsid w:val="000911E4"/>
    <w:rsid w:val="000916BF"/>
    <w:rsid w:val="000917D5"/>
    <w:rsid w:val="00091D32"/>
    <w:rsid w:val="00092208"/>
    <w:rsid w:val="00092911"/>
    <w:rsid w:val="00092AAA"/>
    <w:rsid w:val="00092B0D"/>
    <w:rsid w:val="00093007"/>
    <w:rsid w:val="00093041"/>
    <w:rsid w:val="00093560"/>
    <w:rsid w:val="0009361F"/>
    <w:rsid w:val="0009396B"/>
    <w:rsid w:val="000939CF"/>
    <w:rsid w:val="00093C41"/>
    <w:rsid w:val="00093C57"/>
    <w:rsid w:val="00093E8B"/>
    <w:rsid w:val="000941B6"/>
    <w:rsid w:val="0009422A"/>
    <w:rsid w:val="000943A0"/>
    <w:rsid w:val="000946D8"/>
    <w:rsid w:val="00094E15"/>
    <w:rsid w:val="00095253"/>
    <w:rsid w:val="000958D2"/>
    <w:rsid w:val="000959C9"/>
    <w:rsid w:val="000960DB"/>
    <w:rsid w:val="00096901"/>
    <w:rsid w:val="00096D5C"/>
    <w:rsid w:val="000971FD"/>
    <w:rsid w:val="0009782C"/>
    <w:rsid w:val="00097B46"/>
    <w:rsid w:val="00097D7E"/>
    <w:rsid w:val="000A0049"/>
    <w:rsid w:val="000A05CE"/>
    <w:rsid w:val="000A0AE3"/>
    <w:rsid w:val="000A0E69"/>
    <w:rsid w:val="000A10B5"/>
    <w:rsid w:val="000A11EA"/>
    <w:rsid w:val="000A12FF"/>
    <w:rsid w:val="000A16F3"/>
    <w:rsid w:val="000A1A8A"/>
    <w:rsid w:val="000A1AE2"/>
    <w:rsid w:val="000A20BC"/>
    <w:rsid w:val="000A2173"/>
    <w:rsid w:val="000A297C"/>
    <w:rsid w:val="000A2A7C"/>
    <w:rsid w:val="000A2CD1"/>
    <w:rsid w:val="000A3010"/>
    <w:rsid w:val="000A3168"/>
    <w:rsid w:val="000A32CA"/>
    <w:rsid w:val="000A33C7"/>
    <w:rsid w:val="000A38B1"/>
    <w:rsid w:val="000A38FD"/>
    <w:rsid w:val="000A3980"/>
    <w:rsid w:val="000A39FD"/>
    <w:rsid w:val="000A3B63"/>
    <w:rsid w:val="000A3B77"/>
    <w:rsid w:val="000A3BEC"/>
    <w:rsid w:val="000A3D2B"/>
    <w:rsid w:val="000A40F9"/>
    <w:rsid w:val="000A41B4"/>
    <w:rsid w:val="000A4493"/>
    <w:rsid w:val="000A45F1"/>
    <w:rsid w:val="000A467B"/>
    <w:rsid w:val="000A4A4D"/>
    <w:rsid w:val="000A4C42"/>
    <w:rsid w:val="000A4EFA"/>
    <w:rsid w:val="000A51C9"/>
    <w:rsid w:val="000A541C"/>
    <w:rsid w:val="000A5BAE"/>
    <w:rsid w:val="000A5BB9"/>
    <w:rsid w:val="000A605A"/>
    <w:rsid w:val="000A666A"/>
    <w:rsid w:val="000A6865"/>
    <w:rsid w:val="000A68D5"/>
    <w:rsid w:val="000A6B32"/>
    <w:rsid w:val="000A6DAB"/>
    <w:rsid w:val="000A6EAF"/>
    <w:rsid w:val="000A71EF"/>
    <w:rsid w:val="000A7641"/>
    <w:rsid w:val="000A7A70"/>
    <w:rsid w:val="000A7E5C"/>
    <w:rsid w:val="000A7EA5"/>
    <w:rsid w:val="000A7F6A"/>
    <w:rsid w:val="000B00A5"/>
    <w:rsid w:val="000B03C4"/>
    <w:rsid w:val="000B0416"/>
    <w:rsid w:val="000B0453"/>
    <w:rsid w:val="000B066D"/>
    <w:rsid w:val="000B06EB"/>
    <w:rsid w:val="000B0834"/>
    <w:rsid w:val="000B0A1D"/>
    <w:rsid w:val="000B0CB6"/>
    <w:rsid w:val="000B0F41"/>
    <w:rsid w:val="000B1173"/>
    <w:rsid w:val="000B13A9"/>
    <w:rsid w:val="000B1453"/>
    <w:rsid w:val="000B15E6"/>
    <w:rsid w:val="000B162A"/>
    <w:rsid w:val="000B1966"/>
    <w:rsid w:val="000B1970"/>
    <w:rsid w:val="000B1C53"/>
    <w:rsid w:val="000B1CB3"/>
    <w:rsid w:val="000B1F53"/>
    <w:rsid w:val="000B2193"/>
    <w:rsid w:val="000B21B8"/>
    <w:rsid w:val="000B21E1"/>
    <w:rsid w:val="000B2275"/>
    <w:rsid w:val="000B2361"/>
    <w:rsid w:val="000B2676"/>
    <w:rsid w:val="000B36B9"/>
    <w:rsid w:val="000B37DC"/>
    <w:rsid w:val="000B382F"/>
    <w:rsid w:val="000B3B61"/>
    <w:rsid w:val="000B41DB"/>
    <w:rsid w:val="000B4505"/>
    <w:rsid w:val="000B47BA"/>
    <w:rsid w:val="000B4A3A"/>
    <w:rsid w:val="000B4C48"/>
    <w:rsid w:val="000B5591"/>
    <w:rsid w:val="000B583B"/>
    <w:rsid w:val="000B5865"/>
    <w:rsid w:val="000B59AD"/>
    <w:rsid w:val="000B5F79"/>
    <w:rsid w:val="000B602B"/>
    <w:rsid w:val="000B6032"/>
    <w:rsid w:val="000B623F"/>
    <w:rsid w:val="000B64E9"/>
    <w:rsid w:val="000B66F0"/>
    <w:rsid w:val="000B6ABE"/>
    <w:rsid w:val="000B70F5"/>
    <w:rsid w:val="000B71B1"/>
    <w:rsid w:val="000B73DA"/>
    <w:rsid w:val="000C11C9"/>
    <w:rsid w:val="000C139A"/>
    <w:rsid w:val="000C146D"/>
    <w:rsid w:val="000C170B"/>
    <w:rsid w:val="000C177B"/>
    <w:rsid w:val="000C1A12"/>
    <w:rsid w:val="000C1BD5"/>
    <w:rsid w:val="000C1C2B"/>
    <w:rsid w:val="000C1E30"/>
    <w:rsid w:val="000C20E7"/>
    <w:rsid w:val="000C218F"/>
    <w:rsid w:val="000C220A"/>
    <w:rsid w:val="000C228D"/>
    <w:rsid w:val="000C2407"/>
    <w:rsid w:val="000C24FA"/>
    <w:rsid w:val="000C2ADD"/>
    <w:rsid w:val="000C2C23"/>
    <w:rsid w:val="000C2C94"/>
    <w:rsid w:val="000C2F5C"/>
    <w:rsid w:val="000C3270"/>
    <w:rsid w:val="000C337F"/>
    <w:rsid w:val="000C3446"/>
    <w:rsid w:val="000C344F"/>
    <w:rsid w:val="000C38CC"/>
    <w:rsid w:val="000C39D5"/>
    <w:rsid w:val="000C3D49"/>
    <w:rsid w:val="000C3E29"/>
    <w:rsid w:val="000C4065"/>
    <w:rsid w:val="000C446F"/>
    <w:rsid w:val="000C4A17"/>
    <w:rsid w:val="000C4AE3"/>
    <w:rsid w:val="000C4BD2"/>
    <w:rsid w:val="000C4C67"/>
    <w:rsid w:val="000C51BA"/>
    <w:rsid w:val="000C52E6"/>
    <w:rsid w:val="000C53B4"/>
    <w:rsid w:val="000C5529"/>
    <w:rsid w:val="000C553B"/>
    <w:rsid w:val="000C57C6"/>
    <w:rsid w:val="000C6101"/>
    <w:rsid w:val="000C6492"/>
    <w:rsid w:val="000C6580"/>
    <w:rsid w:val="000C66AB"/>
    <w:rsid w:val="000C67F8"/>
    <w:rsid w:val="000C6CDC"/>
    <w:rsid w:val="000C721D"/>
    <w:rsid w:val="000C7BF5"/>
    <w:rsid w:val="000C7E99"/>
    <w:rsid w:val="000C7F13"/>
    <w:rsid w:val="000D00E4"/>
    <w:rsid w:val="000D029F"/>
    <w:rsid w:val="000D02A7"/>
    <w:rsid w:val="000D0A6E"/>
    <w:rsid w:val="000D0F76"/>
    <w:rsid w:val="000D1001"/>
    <w:rsid w:val="000D10AB"/>
    <w:rsid w:val="000D10E8"/>
    <w:rsid w:val="000D114E"/>
    <w:rsid w:val="000D123B"/>
    <w:rsid w:val="000D135A"/>
    <w:rsid w:val="000D14C8"/>
    <w:rsid w:val="000D14EA"/>
    <w:rsid w:val="000D1CD2"/>
    <w:rsid w:val="000D1D5C"/>
    <w:rsid w:val="000D2072"/>
    <w:rsid w:val="000D2172"/>
    <w:rsid w:val="000D235A"/>
    <w:rsid w:val="000D241B"/>
    <w:rsid w:val="000D27AB"/>
    <w:rsid w:val="000D3027"/>
    <w:rsid w:val="000D33DA"/>
    <w:rsid w:val="000D3ABE"/>
    <w:rsid w:val="000D3B91"/>
    <w:rsid w:val="000D3FA6"/>
    <w:rsid w:val="000D41D5"/>
    <w:rsid w:val="000D4355"/>
    <w:rsid w:val="000D4501"/>
    <w:rsid w:val="000D4BA7"/>
    <w:rsid w:val="000D5560"/>
    <w:rsid w:val="000D5631"/>
    <w:rsid w:val="000D5895"/>
    <w:rsid w:val="000D5BE0"/>
    <w:rsid w:val="000D6255"/>
    <w:rsid w:val="000D62BF"/>
    <w:rsid w:val="000D63F4"/>
    <w:rsid w:val="000D6487"/>
    <w:rsid w:val="000D67E4"/>
    <w:rsid w:val="000D68E7"/>
    <w:rsid w:val="000D693B"/>
    <w:rsid w:val="000D718C"/>
    <w:rsid w:val="000D71E5"/>
    <w:rsid w:val="000D7201"/>
    <w:rsid w:val="000D7236"/>
    <w:rsid w:val="000D72C1"/>
    <w:rsid w:val="000D72CA"/>
    <w:rsid w:val="000D74C0"/>
    <w:rsid w:val="000D7A2A"/>
    <w:rsid w:val="000D7B0D"/>
    <w:rsid w:val="000E022D"/>
    <w:rsid w:val="000E029D"/>
    <w:rsid w:val="000E0678"/>
    <w:rsid w:val="000E06F0"/>
    <w:rsid w:val="000E0A20"/>
    <w:rsid w:val="000E0AD0"/>
    <w:rsid w:val="000E0B1C"/>
    <w:rsid w:val="000E0C1B"/>
    <w:rsid w:val="000E0C65"/>
    <w:rsid w:val="000E0F35"/>
    <w:rsid w:val="000E15AE"/>
    <w:rsid w:val="000E17A9"/>
    <w:rsid w:val="000E1B5C"/>
    <w:rsid w:val="000E1EDF"/>
    <w:rsid w:val="000E25C1"/>
    <w:rsid w:val="000E27B7"/>
    <w:rsid w:val="000E2A0B"/>
    <w:rsid w:val="000E2BD9"/>
    <w:rsid w:val="000E2DDA"/>
    <w:rsid w:val="000E31CD"/>
    <w:rsid w:val="000E336F"/>
    <w:rsid w:val="000E37AA"/>
    <w:rsid w:val="000E384A"/>
    <w:rsid w:val="000E3858"/>
    <w:rsid w:val="000E38D7"/>
    <w:rsid w:val="000E3A33"/>
    <w:rsid w:val="000E3C57"/>
    <w:rsid w:val="000E3D26"/>
    <w:rsid w:val="000E3F6F"/>
    <w:rsid w:val="000E3FD5"/>
    <w:rsid w:val="000E4153"/>
    <w:rsid w:val="000E4267"/>
    <w:rsid w:val="000E4B2B"/>
    <w:rsid w:val="000E4CB6"/>
    <w:rsid w:val="000E5054"/>
    <w:rsid w:val="000E51F8"/>
    <w:rsid w:val="000E520A"/>
    <w:rsid w:val="000E5552"/>
    <w:rsid w:val="000E5BD6"/>
    <w:rsid w:val="000E5C9A"/>
    <w:rsid w:val="000E5F84"/>
    <w:rsid w:val="000E629F"/>
    <w:rsid w:val="000E633F"/>
    <w:rsid w:val="000E642D"/>
    <w:rsid w:val="000E6457"/>
    <w:rsid w:val="000E6657"/>
    <w:rsid w:val="000E674A"/>
    <w:rsid w:val="000E690A"/>
    <w:rsid w:val="000E6BBE"/>
    <w:rsid w:val="000E6E2C"/>
    <w:rsid w:val="000E6EAE"/>
    <w:rsid w:val="000E6F13"/>
    <w:rsid w:val="000E6F58"/>
    <w:rsid w:val="000E705A"/>
    <w:rsid w:val="000E762C"/>
    <w:rsid w:val="000E77BC"/>
    <w:rsid w:val="000E78DD"/>
    <w:rsid w:val="000E792A"/>
    <w:rsid w:val="000E7B0B"/>
    <w:rsid w:val="000E7C49"/>
    <w:rsid w:val="000F022F"/>
    <w:rsid w:val="000F0237"/>
    <w:rsid w:val="000F0375"/>
    <w:rsid w:val="000F05C6"/>
    <w:rsid w:val="000F0CD9"/>
    <w:rsid w:val="000F0F27"/>
    <w:rsid w:val="000F12FC"/>
    <w:rsid w:val="000F14D4"/>
    <w:rsid w:val="000F156F"/>
    <w:rsid w:val="000F1BF7"/>
    <w:rsid w:val="000F1D66"/>
    <w:rsid w:val="000F2A44"/>
    <w:rsid w:val="000F2C64"/>
    <w:rsid w:val="000F2C8D"/>
    <w:rsid w:val="000F2E99"/>
    <w:rsid w:val="000F300A"/>
    <w:rsid w:val="000F3063"/>
    <w:rsid w:val="000F31F0"/>
    <w:rsid w:val="000F34D6"/>
    <w:rsid w:val="000F3623"/>
    <w:rsid w:val="000F3981"/>
    <w:rsid w:val="000F3E6D"/>
    <w:rsid w:val="000F3E9C"/>
    <w:rsid w:val="000F4102"/>
    <w:rsid w:val="000F478F"/>
    <w:rsid w:val="000F49FC"/>
    <w:rsid w:val="000F4BFD"/>
    <w:rsid w:val="000F4D8D"/>
    <w:rsid w:val="000F4E51"/>
    <w:rsid w:val="000F4F02"/>
    <w:rsid w:val="000F555E"/>
    <w:rsid w:val="000F56DF"/>
    <w:rsid w:val="000F57EC"/>
    <w:rsid w:val="000F5E00"/>
    <w:rsid w:val="000F6993"/>
    <w:rsid w:val="000F6A4A"/>
    <w:rsid w:val="000F6C1F"/>
    <w:rsid w:val="000F6D04"/>
    <w:rsid w:val="000F6D56"/>
    <w:rsid w:val="000F6DEE"/>
    <w:rsid w:val="000F6E5D"/>
    <w:rsid w:val="000F710A"/>
    <w:rsid w:val="000F7EB4"/>
    <w:rsid w:val="00100094"/>
    <w:rsid w:val="00100143"/>
    <w:rsid w:val="00100365"/>
    <w:rsid w:val="00100499"/>
    <w:rsid w:val="00100773"/>
    <w:rsid w:val="00100CB7"/>
    <w:rsid w:val="00100CD8"/>
    <w:rsid w:val="00100DD9"/>
    <w:rsid w:val="00100EE0"/>
    <w:rsid w:val="00100FA0"/>
    <w:rsid w:val="001010DD"/>
    <w:rsid w:val="001011D4"/>
    <w:rsid w:val="0010169C"/>
    <w:rsid w:val="00101786"/>
    <w:rsid w:val="00101795"/>
    <w:rsid w:val="001017A2"/>
    <w:rsid w:val="00101A0D"/>
    <w:rsid w:val="00101AD0"/>
    <w:rsid w:val="001021D8"/>
    <w:rsid w:val="00102240"/>
    <w:rsid w:val="00102387"/>
    <w:rsid w:val="00102527"/>
    <w:rsid w:val="00102D4C"/>
    <w:rsid w:val="001030A1"/>
    <w:rsid w:val="0010336F"/>
    <w:rsid w:val="00103583"/>
    <w:rsid w:val="0010374D"/>
    <w:rsid w:val="001038D0"/>
    <w:rsid w:val="001038D3"/>
    <w:rsid w:val="00103C1E"/>
    <w:rsid w:val="00103DEC"/>
    <w:rsid w:val="00104101"/>
    <w:rsid w:val="00104738"/>
    <w:rsid w:val="0010476B"/>
    <w:rsid w:val="00104825"/>
    <w:rsid w:val="001049C6"/>
    <w:rsid w:val="00104BC4"/>
    <w:rsid w:val="00104BC7"/>
    <w:rsid w:val="00104DE8"/>
    <w:rsid w:val="00104F7D"/>
    <w:rsid w:val="00104FCF"/>
    <w:rsid w:val="001051F3"/>
    <w:rsid w:val="00105414"/>
    <w:rsid w:val="001057D7"/>
    <w:rsid w:val="00105BA1"/>
    <w:rsid w:val="00105CFD"/>
    <w:rsid w:val="00105D70"/>
    <w:rsid w:val="001062D1"/>
    <w:rsid w:val="0010646F"/>
    <w:rsid w:val="001066C3"/>
    <w:rsid w:val="001067C3"/>
    <w:rsid w:val="0010698A"/>
    <w:rsid w:val="00106E74"/>
    <w:rsid w:val="00106FB4"/>
    <w:rsid w:val="00107087"/>
    <w:rsid w:val="001072A5"/>
    <w:rsid w:val="001073E7"/>
    <w:rsid w:val="00107466"/>
    <w:rsid w:val="00107759"/>
    <w:rsid w:val="00107BA6"/>
    <w:rsid w:val="00107F3A"/>
    <w:rsid w:val="00110064"/>
    <w:rsid w:val="001103DA"/>
    <w:rsid w:val="00110711"/>
    <w:rsid w:val="00110941"/>
    <w:rsid w:val="001109C0"/>
    <w:rsid w:val="00110A65"/>
    <w:rsid w:val="00110F80"/>
    <w:rsid w:val="00110F89"/>
    <w:rsid w:val="001116B0"/>
    <w:rsid w:val="00111799"/>
    <w:rsid w:val="00111944"/>
    <w:rsid w:val="00111BF2"/>
    <w:rsid w:val="00111DCD"/>
    <w:rsid w:val="0011207C"/>
    <w:rsid w:val="00112496"/>
    <w:rsid w:val="001126BD"/>
    <w:rsid w:val="001126D4"/>
    <w:rsid w:val="00112AFA"/>
    <w:rsid w:val="00112E47"/>
    <w:rsid w:val="00113507"/>
    <w:rsid w:val="0011361A"/>
    <w:rsid w:val="0011374A"/>
    <w:rsid w:val="00113A80"/>
    <w:rsid w:val="00113B4C"/>
    <w:rsid w:val="00113C4D"/>
    <w:rsid w:val="00113D51"/>
    <w:rsid w:val="00114599"/>
    <w:rsid w:val="001146AD"/>
    <w:rsid w:val="00114A95"/>
    <w:rsid w:val="00114AA7"/>
    <w:rsid w:val="00114D2C"/>
    <w:rsid w:val="001153FF"/>
    <w:rsid w:val="0011564F"/>
    <w:rsid w:val="00115A50"/>
    <w:rsid w:val="00115B88"/>
    <w:rsid w:val="00115F6E"/>
    <w:rsid w:val="001161DD"/>
    <w:rsid w:val="001161ED"/>
    <w:rsid w:val="00116372"/>
    <w:rsid w:val="00116812"/>
    <w:rsid w:val="0011698D"/>
    <w:rsid w:val="00116AD2"/>
    <w:rsid w:val="00116C0E"/>
    <w:rsid w:val="00116D84"/>
    <w:rsid w:val="00116F39"/>
    <w:rsid w:val="00117129"/>
    <w:rsid w:val="0011727C"/>
    <w:rsid w:val="00117317"/>
    <w:rsid w:val="00117515"/>
    <w:rsid w:val="00117680"/>
    <w:rsid w:val="00117805"/>
    <w:rsid w:val="00117928"/>
    <w:rsid w:val="00117A43"/>
    <w:rsid w:val="00117BDB"/>
    <w:rsid w:val="00117CC4"/>
    <w:rsid w:val="00117FE5"/>
    <w:rsid w:val="00120106"/>
    <w:rsid w:val="00120965"/>
    <w:rsid w:val="00120983"/>
    <w:rsid w:val="00120AA0"/>
    <w:rsid w:val="00120BAE"/>
    <w:rsid w:val="00120F96"/>
    <w:rsid w:val="001211CE"/>
    <w:rsid w:val="00121503"/>
    <w:rsid w:val="0012153B"/>
    <w:rsid w:val="00121993"/>
    <w:rsid w:val="00121A95"/>
    <w:rsid w:val="00121B9A"/>
    <w:rsid w:val="00121C2E"/>
    <w:rsid w:val="001220B5"/>
    <w:rsid w:val="0012216B"/>
    <w:rsid w:val="00122436"/>
    <w:rsid w:val="00122761"/>
    <w:rsid w:val="00123080"/>
    <w:rsid w:val="0012349C"/>
    <w:rsid w:val="001234EB"/>
    <w:rsid w:val="00123657"/>
    <w:rsid w:val="00123BF4"/>
    <w:rsid w:val="00123DAD"/>
    <w:rsid w:val="00123EBC"/>
    <w:rsid w:val="001241FF"/>
    <w:rsid w:val="00124687"/>
    <w:rsid w:val="00124826"/>
    <w:rsid w:val="00124979"/>
    <w:rsid w:val="00124DC1"/>
    <w:rsid w:val="00125043"/>
    <w:rsid w:val="0012513F"/>
    <w:rsid w:val="0012533E"/>
    <w:rsid w:val="00125415"/>
    <w:rsid w:val="00125B24"/>
    <w:rsid w:val="00125C56"/>
    <w:rsid w:val="00125D31"/>
    <w:rsid w:val="00125DE6"/>
    <w:rsid w:val="00125EE8"/>
    <w:rsid w:val="00125F75"/>
    <w:rsid w:val="00126145"/>
    <w:rsid w:val="00126150"/>
    <w:rsid w:val="00126190"/>
    <w:rsid w:val="001261C3"/>
    <w:rsid w:val="00126322"/>
    <w:rsid w:val="001265C7"/>
    <w:rsid w:val="00126E4E"/>
    <w:rsid w:val="00126E53"/>
    <w:rsid w:val="001272D4"/>
    <w:rsid w:val="00127BFD"/>
    <w:rsid w:val="00127E83"/>
    <w:rsid w:val="00127E91"/>
    <w:rsid w:val="00127EB9"/>
    <w:rsid w:val="001300D1"/>
    <w:rsid w:val="00130304"/>
    <w:rsid w:val="00130588"/>
    <w:rsid w:val="0013058D"/>
    <w:rsid w:val="001305C5"/>
    <w:rsid w:val="001305D7"/>
    <w:rsid w:val="001314BD"/>
    <w:rsid w:val="001315C4"/>
    <w:rsid w:val="001318F5"/>
    <w:rsid w:val="00131AD8"/>
    <w:rsid w:val="00131C2E"/>
    <w:rsid w:val="00131E3A"/>
    <w:rsid w:val="00131EB0"/>
    <w:rsid w:val="00132181"/>
    <w:rsid w:val="00132425"/>
    <w:rsid w:val="0013243B"/>
    <w:rsid w:val="00132572"/>
    <w:rsid w:val="001325F3"/>
    <w:rsid w:val="00132644"/>
    <w:rsid w:val="00132918"/>
    <w:rsid w:val="001330C5"/>
    <w:rsid w:val="0013330A"/>
    <w:rsid w:val="00133547"/>
    <w:rsid w:val="00133701"/>
    <w:rsid w:val="0013378C"/>
    <w:rsid w:val="00134164"/>
    <w:rsid w:val="00134492"/>
    <w:rsid w:val="001344FA"/>
    <w:rsid w:val="001347F5"/>
    <w:rsid w:val="00134888"/>
    <w:rsid w:val="00134F70"/>
    <w:rsid w:val="00135032"/>
    <w:rsid w:val="001352EA"/>
    <w:rsid w:val="0013570C"/>
    <w:rsid w:val="00135854"/>
    <w:rsid w:val="001359C2"/>
    <w:rsid w:val="00135BE4"/>
    <w:rsid w:val="00135C71"/>
    <w:rsid w:val="00135CE8"/>
    <w:rsid w:val="001362F9"/>
    <w:rsid w:val="001364D0"/>
    <w:rsid w:val="001367CE"/>
    <w:rsid w:val="001368BC"/>
    <w:rsid w:val="00136C45"/>
    <w:rsid w:val="00136D65"/>
    <w:rsid w:val="0013766B"/>
    <w:rsid w:val="00137B8E"/>
    <w:rsid w:val="00137D6B"/>
    <w:rsid w:val="00137E38"/>
    <w:rsid w:val="00140298"/>
    <w:rsid w:val="0014052A"/>
    <w:rsid w:val="00140B7B"/>
    <w:rsid w:val="00140DAA"/>
    <w:rsid w:val="0014128D"/>
    <w:rsid w:val="00141420"/>
    <w:rsid w:val="00141765"/>
    <w:rsid w:val="00141776"/>
    <w:rsid w:val="00141B14"/>
    <w:rsid w:val="00141CB3"/>
    <w:rsid w:val="00141DE0"/>
    <w:rsid w:val="00141E72"/>
    <w:rsid w:val="00141FDA"/>
    <w:rsid w:val="001421F2"/>
    <w:rsid w:val="001423BC"/>
    <w:rsid w:val="0014253B"/>
    <w:rsid w:val="0014266B"/>
    <w:rsid w:val="00142918"/>
    <w:rsid w:val="00142990"/>
    <w:rsid w:val="00143013"/>
    <w:rsid w:val="00143185"/>
    <w:rsid w:val="001435F6"/>
    <w:rsid w:val="001436C1"/>
    <w:rsid w:val="001439C3"/>
    <w:rsid w:val="00143A1B"/>
    <w:rsid w:val="00143A3D"/>
    <w:rsid w:val="00143CE8"/>
    <w:rsid w:val="001442E8"/>
    <w:rsid w:val="00144365"/>
    <w:rsid w:val="001443F5"/>
    <w:rsid w:val="00144502"/>
    <w:rsid w:val="00144829"/>
    <w:rsid w:val="00144839"/>
    <w:rsid w:val="00144BC6"/>
    <w:rsid w:val="0014517E"/>
    <w:rsid w:val="00145A3C"/>
    <w:rsid w:val="00145A64"/>
    <w:rsid w:val="00145AED"/>
    <w:rsid w:val="00145B7E"/>
    <w:rsid w:val="00145DD5"/>
    <w:rsid w:val="001465A4"/>
    <w:rsid w:val="0014681E"/>
    <w:rsid w:val="00146CB4"/>
    <w:rsid w:val="00147005"/>
    <w:rsid w:val="001471E8"/>
    <w:rsid w:val="00147D3D"/>
    <w:rsid w:val="00147FD0"/>
    <w:rsid w:val="0015049F"/>
    <w:rsid w:val="00151121"/>
    <w:rsid w:val="00151351"/>
    <w:rsid w:val="001519AF"/>
    <w:rsid w:val="00151BB6"/>
    <w:rsid w:val="00151C03"/>
    <w:rsid w:val="001520B4"/>
    <w:rsid w:val="001526E0"/>
    <w:rsid w:val="00152A8B"/>
    <w:rsid w:val="00152B9A"/>
    <w:rsid w:val="00152D39"/>
    <w:rsid w:val="00152D40"/>
    <w:rsid w:val="00152DE9"/>
    <w:rsid w:val="00152E43"/>
    <w:rsid w:val="00153740"/>
    <w:rsid w:val="0015397E"/>
    <w:rsid w:val="00153E62"/>
    <w:rsid w:val="0015421D"/>
    <w:rsid w:val="001543BE"/>
    <w:rsid w:val="001546BC"/>
    <w:rsid w:val="0015471A"/>
    <w:rsid w:val="001547C9"/>
    <w:rsid w:val="0015496F"/>
    <w:rsid w:val="0015498A"/>
    <w:rsid w:val="00154AEE"/>
    <w:rsid w:val="00154C1B"/>
    <w:rsid w:val="00154CCB"/>
    <w:rsid w:val="00154E41"/>
    <w:rsid w:val="00154F90"/>
    <w:rsid w:val="001550BC"/>
    <w:rsid w:val="0015515D"/>
    <w:rsid w:val="0015523D"/>
    <w:rsid w:val="00155575"/>
    <w:rsid w:val="0015583E"/>
    <w:rsid w:val="00155B64"/>
    <w:rsid w:val="00156042"/>
    <w:rsid w:val="0015609D"/>
    <w:rsid w:val="001561F3"/>
    <w:rsid w:val="001562F0"/>
    <w:rsid w:val="00156553"/>
    <w:rsid w:val="001566FD"/>
    <w:rsid w:val="00156A9F"/>
    <w:rsid w:val="00156AD1"/>
    <w:rsid w:val="00156BC8"/>
    <w:rsid w:val="00156D44"/>
    <w:rsid w:val="00156F0A"/>
    <w:rsid w:val="001575B0"/>
    <w:rsid w:val="00157798"/>
    <w:rsid w:val="001579FF"/>
    <w:rsid w:val="00157D9E"/>
    <w:rsid w:val="00157EC1"/>
    <w:rsid w:val="00160474"/>
    <w:rsid w:val="001608A0"/>
    <w:rsid w:val="001609A9"/>
    <w:rsid w:val="00160B0C"/>
    <w:rsid w:val="00160D92"/>
    <w:rsid w:val="00160DA2"/>
    <w:rsid w:val="00160EE8"/>
    <w:rsid w:val="00160F98"/>
    <w:rsid w:val="00161237"/>
    <w:rsid w:val="00161507"/>
    <w:rsid w:val="00161D24"/>
    <w:rsid w:val="00161DBB"/>
    <w:rsid w:val="0016220E"/>
    <w:rsid w:val="00162559"/>
    <w:rsid w:val="0016285E"/>
    <w:rsid w:val="00162AB1"/>
    <w:rsid w:val="00162B75"/>
    <w:rsid w:val="00162E68"/>
    <w:rsid w:val="00162F4D"/>
    <w:rsid w:val="00162F91"/>
    <w:rsid w:val="00163139"/>
    <w:rsid w:val="0016344E"/>
    <w:rsid w:val="001634A7"/>
    <w:rsid w:val="00163661"/>
    <w:rsid w:val="00163759"/>
    <w:rsid w:val="001637CC"/>
    <w:rsid w:val="001637E9"/>
    <w:rsid w:val="00163D09"/>
    <w:rsid w:val="001640AF"/>
    <w:rsid w:val="0016472E"/>
    <w:rsid w:val="001647B5"/>
    <w:rsid w:val="00164B66"/>
    <w:rsid w:val="00164D71"/>
    <w:rsid w:val="00164EED"/>
    <w:rsid w:val="001652C9"/>
    <w:rsid w:val="0016530A"/>
    <w:rsid w:val="0016532A"/>
    <w:rsid w:val="00165689"/>
    <w:rsid w:val="00165935"/>
    <w:rsid w:val="00165A17"/>
    <w:rsid w:val="00166241"/>
    <w:rsid w:val="001662C5"/>
    <w:rsid w:val="0016686A"/>
    <w:rsid w:val="00166A29"/>
    <w:rsid w:val="00166A82"/>
    <w:rsid w:val="00166C3B"/>
    <w:rsid w:val="00166ED5"/>
    <w:rsid w:val="00167194"/>
    <w:rsid w:val="0016722A"/>
    <w:rsid w:val="00167230"/>
    <w:rsid w:val="001678AE"/>
    <w:rsid w:val="00167B13"/>
    <w:rsid w:val="00167C64"/>
    <w:rsid w:val="00167D7E"/>
    <w:rsid w:val="00167E98"/>
    <w:rsid w:val="00167F13"/>
    <w:rsid w:val="00170026"/>
    <w:rsid w:val="0017091F"/>
    <w:rsid w:val="00170AE7"/>
    <w:rsid w:val="00170B8F"/>
    <w:rsid w:val="00170EF8"/>
    <w:rsid w:val="00170F74"/>
    <w:rsid w:val="00170FE0"/>
    <w:rsid w:val="0017114C"/>
    <w:rsid w:val="00171433"/>
    <w:rsid w:val="00171688"/>
    <w:rsid w:val="001716ED"/>
    <w:rsid w:val="001717CA"/>
    <w:rsid w:val="00171C81"/>
    <w:rsid w:val="00172393"/>
    <w:rsid w:val="0017289D"/>
    <w:rsid w:val="00172D80"/>
    <w:rsid w:val="00172F58"/>
    <w:rsid w:val="00172FBB"/>
    <w:rsid w:val="00173480"/>
    <w:rsid w:val="001738E6"/>
    <w:rsid w:val="00173AEF"/>
    <w:rsid w:val="00173DE2"/>
    <w:rsid w:val="001741D5"/>
    <w:rsid w:val="00174870"/>
    <w:rsid w:val="00174AA3"/>
    <w:rsid w:val="00174BA2"/>
    <w:rsid w:val="00174C9B"/>
    <w:rsid w:val="00174D7C"/>
    <w:rsid w:val="00174E89"/>
    <w:rsid w:val="00175556"/>
    <w:rsid w:val="00175DCF"/>
    <w:rsid w:val="00175EE6"/>
    <w:rsid w:val="001761C0"/>
    <w:rsid w:val="00176458"/>
    <w:rsid w:val="00176523"/>
    <w:rsid w:val="001770D0"/>
    <w:rsid w:val="0017757B"/>
    <w:rsid w:val="00177688"/>
    <w:rsid w:val="00177905"/>
    <w:rsid w:val="0017795F"/>
    <w:rsid w:val="00177A22"/>
    <w:rsid w:val="00177D71"/>
    <w:rsid w:val="00177F1E"/>
    <w:rsid w:val="0018008C"/>
    <w:rsid w:val="001803D0"/>
    <w:rsid w:val="001804A7"/>
    <w:rsid w:val="0018086E"/>
    <w:rsid w:val="001808E8"/>
    <w:rsid w:val="00180B49"/>
    <w:rsid w:val="00180FAA"/>
    <w:rsid w:val="001814D2"/>
    <w:rsid w:val="0018166B"/>
    <w:rsid w:val="001818B5"/>
    <w:rsid w:val="00181962"/>
    <w:rsid w:val="00181D4C"/>
    <w:rsid w:val="00181F1B"/>
    <w:rsid w:val="00182872"/>
    <w:rsid w:val="00182901"/>
    <w:rsid w:val="0018292A"/>
    <w:rsid w:val="00182B0E"/>
    <w:rsid w:val="00182D38"/>
    <w:rsid w:val="00182D7F"/>
    <w:rsid w:val="00182E53"/>
    <w:rsid w:val="00182E65"/>
    <w:rsid w:val="00182EFB"/>
    <w:rsid w:val="001830AE"/>
    <w:rsid w:val="00183215"/>
    <w:rsid w:val="001837CD"/>
    <w:rsid w:val="001838C0"/>
    <w:rsid w:val="00183DC0"/>
    <w:rsid w:val="00183DF1"/>
    <w:rsid w:val="00184CEA"/>
    <w:rsid w:val="00184E3F"/>
    <w:rsid w:val="00184E48"/>
    <w:rsid w:val="00184EC1"/>
    <w:rsid w:val="001850DC"/>
    <w:rsid w:val="00185365"/>
    <w:rsid w:val="00185396"/>
    <w:rsid w:val="00185B26"/>
    <w:rsid w:val="00185B55"/>
    <w:rsid w:val="001860F7"/>
    <w:rsid w:val="0018691D"/>
    <w:rsid w:val="00186BFA"/>
    <w:rsid w:val="00186C08"/>
    <w:rsid w:val="00186C0B"/>
    <w:rsid w:val="00186D1C"/>
    <w:rsid w:val="00186D8A"/>
    <w:rsid w:val="00186F43"/>
    <w:rsid w:val="0018719E"/>
    <w:rsid w:val="001871DA"/>
    <w:rsid w:val="001874E9"/>
    <w:rsid w:val="001878BC"/>
    <w:rsid w:val="001879ED"/>
    <w:rsid w:val="0019018D"/>
    <w:rsid w:val="00190358"/>
    <w:rsid w:val="00190729"/>
    <w:rsid w:val="0019089C"/>
    <w:rsid w:val="00190C8A"/>
    <w:rsid w:val="00190D22"/>
    <w:rsid w:val="00190E43"/>
    <w:rsid w:val="00191228"/>
    <w:rsid w:val="0019134E"/>
    <w:rsid w:val="0019152E"/>
    <w:rsid w:val="001915A0"/>
    <w:rsid w:val="0019173E"/>
    <w:rsid w:val="001917F7"/>
    <w:rsid w:val="001919C3"/>
    <w:rsid w:val="0019227D"/>
    <w:rsid w:val="001925DC"/>
    <w:rsid w:val="00192E38"/>
    <w:rsid w:val="001931D3"/>
    <w:rsid w:val="001934A9"/>
    <w:rsid w:val="00193DD8"/>
    <w:rsid w:val="00193E82"/>
    <w:rsid w:val="0019400F"/>
    <w:rsid w:val="00194033"/>
    <w:rsid w:val="001942D4"/>
    <w:rsid w:val="00194316"/>
    <w:rsid w:val="00194643"/>
    <w:rsid w:val="00194718"/>
    <w:rsid w:val="001948C6"/>
    <w:rsid w:val="00195284"/>
    <w:rsid w:val="00195A0C"/>
    <w:rsid w:val="00195D79"/>
    <w:rsid w:val="00195E44"/>
    <w:rsid w:val="00195E75"/>
    <w:rsid w:val="00195EDB"/>
    <w:rsid w:val="00195F22"/>
    <w:rsid w:val="0019615A"/>
    <w:rsid w:val="001963FE"/>
    <w:rsid w:val="001964AF"/>
    <w:rsid w:val="00196535"/>
    <w:rsid w:val="0019662F"/>
    <w:rsid w:val="00196884"/>
    <w:rsid w:val="0019755A"/>
    <w:rsid w:val="00197610"/>
    <w:rsid w:val="00197DB5"/>
    <w:rsid w:val="001A0010"/>
    <w:rsid w:val="001A05D3"/>
    <w:rsid w:val="001A0920"/>
    <w:rsid w:val="001A0D4F"/>
    <w:rsid w:val="001A101C"/>
    <w:rsid w:val="001A11E4"/>
    <w:rsid w:val="001A16EF"/>
    <w:rsid w:val="001A1939"/>
    <w:rsid w:val="001A1A1A"/>
    <w:rsid w:val="001A1A27"/>
    <w:rsid w:val="001A1BF1"/>
    <w:rsid w:val="001A1CD7"/>
    <w:rsid w:val="001A20E8"/>
    <w:rsid w:val="001A21E5"/>
    <w:rsid w:val="001A2269"/>
    <w:rsid w:val="001A2309"/>
    <w:rsid w:val="001A28FC"/>
    <w:rsid w:val="001A29DC"/>
    <w:rsid w:val="001A2C7B"/>
    <w:rsid w:val="001A3009"/>
    <w:rsid w:val="001A3092"/>
    <w:rsid w:val="001A327A"/>
    <w:rsid w:val="001A3339"/>
    <w:rsid w:val="001A33A4"/>
    <w:rsid w:val="001A359D"/>
    <w:rsid w:val="001A361C"/>
    <w:rsid w:val="001A387B"/>
    <w:rsid w:val="001A3C1B"/>
    <w:rsid w:val="001A3E8F"/>
    <w:rsid w:val="001A3EC4"/>
    <w:rsid w:val="001A4109"/>
    <w:rsid w:val="001A4520"/>
    <w:rsid w:val="001A4559"/>
    <w:rsid w:val="001A4859"/>
    <w:rsid w:val="001A4A7B"/>
    <w:rsid w:val="001A4E52"/>
    <w:rsid w:val="001A547F"/>
    <w:rsid w:val="001A552A"/>
    <w:rsid w:val="001A5A6E"/>
    <w:rsid w:val="001A5A7A"/>
    <w:rsid w:val="001A5BC8"/>
    <w:rsid w:val="001A5D7F"/>
    <w:rsid w:val="001A631C"/>
    <w:rsid w:val="001A66C7"/>
    <w:rsid w:val="001A6AB2"/>
    <w:rsid w:val="001A6CC1"/>
    <w:rsid w:val="001A6FE9"/>
    <w:rsid w:val="001A70E2"/>
    <w:rsid w:val="001A7195"/>
    <w:rsid w:val="001A7808"/>
    <w:rsid w:val="001A7904"/>
    <w:rsid w:val="001A7A1A"/>
    <w:rsid w:val="001A7D1A"/>
    <w:rsid w:val="001B0014"/>
    <w:rsid w:val="001B0632"/>
    <w:rsid w:val="001B0B1E"/>
    <w:rsid w:val="001B0BDF"/>
    <w:rsid w:val="001B125D"/>
    <w:rsid w:val="001B1406"/>
    <w:rsid w:val="001B1532"/>
    <w:rsid w:val="001B1533"/>
    <w:rsid w:val="001B19D8"/>
    <w:rsid w:val="001B1AEF"/>
    <w:rsid w:val="001B1D11"/>
    <w:rsid w:val="001B2285"/>
    <w:rsid w:val="001B23BA"/>
    <w:rsid w:val="001B2622"/>
    <w:rsid w:val="001B27D2"/>
    <w:rsid w:val="001B289A"/>
    <w:rsid w:val="001B29BA"/>
    <w:rsid w:val="001B2B63"/>
    <w:rsid w:val="001B2D79"/>
    <w:rsid w:val="001B3334"/>
    <w:rsid w:val="001B339E"/>
    <w:rsid w:val="001B381B"/>
    <w:rsid w:val="001B3852"/>
    <w:rsid w:val="001B3A2C"/>
    <w:rsid w:val="001B3AA4"/>
    <w:rsid w:val="001B40D3"/>
    <w:rsid w:val="001B41EA"/>
    <w:rsid w:val="001B432C"/>
    <w:rsid w:val="001B443B"/>
    <w:rsid w:val="001B4604"/>
    <w:rsid w:val="001B4EA7"/>
    <w:rsid w:val="001B50E9"/>
    <w:rsid w:val="001B52E1"/>
    <w:rsid w:val="001B5300"/>
    <w:rsid w:val="001B5578"/>
    <w:rsid w:val="001B56FD"/>
    <w:rsid w:val="001B5828"/>
    <w:rsid w:val="001B58B0"/>
    <w:rsid w:val="001B597B"/>
    <w:rsid w:val="001B5A44"/>
    <w:rsid w:val="001B5B60"/>
    <w:rsid w:val="001B5B74"/>
    <w:rsid w:val="001B5EA6"/>
    <w:rsid w:val="001B6071"/>
    <w:rsid w:val="001B6235"/>
    <w:rsid w:val="001B64EC"/>
    <w:rsid w:val="001B658F"/>
    <w:rsid w:val="001B666B"/>
    <w:rsid w:val="001B6941"/>
    <w:rsid w:val="001B6DDC"/>
    <w:rsid w:val="001B6DF5"/>
    <w:rsid w:val="001B6E8D"/>
    <w:rsid w:val="001B7298"/>
    <w:rsid w:val="001B76A1"/>
    <w:rsid w:val="001B76C8"/>
    <w:rsid w:val="001B7E25"/>
    <w:rsid w:val="001B7E2C"/>
    <w:rsid w:val="001C0200"/>
    <w:rsid w:val="001C020E"/>
    <w:rsid w:val="001C0825"/>
    <w:rsid w:val="001C0A96"/>
    <w:rsid w:val="001C0A9A"/>
    <w:rsid w:val="001C0B62"/>
    <w:rsid w:val="001C0CDC"/>
    <w:rsid w:val="001C16C8"/>
    <w:rsid w:val="001C1730"/>
    <w:rsid w:val="001C1A67"/>
    <w:rsid w:val="001C1BB5"/>
    <w:rsid w:val="001C1D6A"/>
    <w:rsid w:val="001C1DA8"/>
    <w:rsid w:val="001C2626"/>
    <w:rsid w:val="001C27AE"/>
    <w:rsid w:val="001C2AE0"/>
    <w:rsid w:val="001C2DA0"/>
    <w:rsid w:val="001C33C4"/>
    <w:rsid w:val="001C33D0"/>
    <w:rsid w:val="001C34EB"/>
    <w:rsid w:val="001C350E"/>
    <w:rsid w:val="001C3563"/>
    <w:rsid w:val="001C36C6"/>
    <w:rsid w:val="001C374B"/>
    <w:rsid w:val="001C3ABD"/>
    <w:rsid w:val="001C3B29"/>
    <w:rsid w:val="001C3C60"/>
    <w:rsid w:val="001C3D7D"/>
    <w:rsid w:val="001C3EE5"/>
    <w:rsid w:val="001C3F48"/>
    <w:rsid w:val="001C467B"/>
    <w:rsid w:val="001C48D3"/>
    <w:rsid w:val="001C48DE"/>
    <w:rsid w:val="001C4A51"/>
    <w:rsid w:val="001C4EAD"/>
    <w:rsid w:val="001C4F2B"/>
    <w:rsid w:val="001C5124"/>
    <w:rsid w:val="001C542C"/>
    <w:rsid w:val="001C5539"/>
    <w:rsid w:val="001C5553"/>
    <w:rsid w:val="001C587D"/>
    <w:rsid w:val="001C5C80"/>
    <w:rsid w:val="001C5DA1"/>
    <w:rsid w:val="001C5E1D"/>
    <w:rsid w:val="001C630F"/>
    <w:rsid w:val="001C678B"/>
    <w:rsid w:val="001C69A7"/>
    <w:rsid w:val="001C6DEB"/>
    <w:rsid w:val="001C70F3"/>
    <w:rsid w:val="001C7241"/>
    <w:rsid w:val="001C744D"/>
    <w:rsid w:val="001C75A3"/>
    <w:rsid w:val="001C7A53"/>
    <w:rsid w:val="001C7C0E"/>
    <w:rsid w:val="001D0442"/>
    <w:rsid w:val="001D0741"/>
    <w:rsid w:val="001D07F7"/>
    <w:rsid w:val="001D0F99"/>
    <w:rsid w:val="001D0FA3"/>
    <w:rsid w:val="001D104E"/>
    <w:rsid w:val="001D110E"/>
    <w:rsid w:val="001D11FA"/>
    <w:rsid w:val="001D1431"/>
    <w:rsid w:val="001D1528"/>
    <w:rsid w:val="001D1F40"/>
    <w:rsid w:val="001D205D"/>
    <w:rsid w:val="001D25C1"/>
    <w:rsid w:val="001D2A9C"/>
    <w:rsid w:val="001D38BC"/>
    <w:rsid w:val="001D3AF0"/>
    <w:rsid w:val="001D3D7C"/>
    <w:rsid w:val="001D4078"/>
    <w:rsid w:val="001D413B"/>
    <w:rsid w:val="001D4BE7"/>
    <w:rsid w:val="001D4F06"/>
    <w:rsid w:val="001D551D"/>
    <w:rsid w:val="001D58D4"/>
    <w:rsid w:val="001D5B9E"/>
    <w:rsid w:val="001D604A"/>
    <w:rsid w:val="001D6214"/>
    <w:rsid w:val="001D62F5"/>
    <w:rsid w:val="001D6310"/>
    <w:rsid w:val="001D6635"/>
    <w:rsid w:val="001D6B33"/>
    <w:rsid w:val="001D6EE3"/>
    <w:rsid w:val="001D7087"/>
    <w:rsid w:val="001D719E"/>
    <w:rsid w:val="001D721D"/>
    <w:rsid w:val="001D74B6"/>
    <w:rsid w:val="001D7AAA"/>
    <w:rsid w:val="001D7E2A"/>
    <w:rsid w:val="001E000D"/>
    <w:rsid w:val="001E005F"/>
    <w:rsid w:val="001E02D9"/>
    <w:rsid w:val="001E0420"/>
    <w:rsid w:val="001E04A5"/>
    <w:rsid w:val="001E0599"/>
    <w:rsid w:val="001E0770"/>
    <w:rsid w:val="001E08D0"/>
    <w:rsid w:val="001E0CCB"/>
    <w:rsid w:val="001E0D9A"/>
    <w:rsid w:val="001E1266"/>
    <w:rsid w:val="001E1325"/>
    <w:rsid w:val="001E14D3"/>
    <w:rsid w:val="001E1BD3"/>
    <w:rsid w:val="001E1CCD"/>
    <w:rsid w:val="001E219D"/>
    <w:rsid w:val="001E27BF"/>
    <w:rsid w:val="001E2ABE"/>
    <w:rsid w:val="001E2D6C"/>
    <w:rsid w:val="001E32CC"/>
    <w:rsid w:val="001E3331"/>
    <w:rsid w:val="001E3D4C"/>
    <w:rsid w:val="001E439C"/>
    <w:rsid w:val="001E48F1"/>
    <w:rsid w:val="001E4D20"/>
    <w:rsid w:val="001E4FD8"/>
    <w:rsid w:val="001E5079"/>
    <w:rsid w:val="001E563A"/>
    <w:rsid w:val="001E570B"/>
    <w:rsid w:val="001E5878"/>
    <w:rsid w:val="001E5920"/>
    <w:rsid w:val="001E60A2"/>
    <w:rsid w:val="001E6537"/>
    <w:rsid w:val="001E685F"/>
    <w:rsid w:val="001E6DE5"/>
    <w:rsid w:val="001E7539"/>
    <w:rsid w:val="001E7570"/>
    <w:rsid w:val="001E7892"/>
    <w:rsid w:val="001E7918"/>
    <w:rsid w:val="001E79D2"/>
    <w:rsid w:val="001E7CAE"/>
    <w:rsid w:val="001E7F47"/>
    <w:rsid w:val="001E7FED"/>
    <w:rsid w:val="001F0078"/>
    <w:rsid w:val="001F02B0"/>
    <w:rsid w:val="001F0344"/>
    <w:rsid w:val="001F06FC"/>
    <w:rsid w:val="001F0B51"/>
    <w:rsid w:val="001F0CDD"/>
    <w:rsid w:val="001F1179"/>
    <w:rsid w:val="001F119C"/>
    <w:rsid w:val="001F1830"/>
    <w:rsid w:val="001F1937"/>
    <w:rsid w:val="001F1C9C"/>
    <w:rsid w:val="001F1FB6"/>
    <w:rsid w:val="001F2024"/>
    <w:rsid w:val="001F20E2"/>
    <w:rsid w:val="001F2159"/>
    <w:rsid w:val="001F236B"/>
    <w:rsid w:val="001F26D5"/>
    <w:rsid w:val="001F2715"/>
    <w:rsid w:val="001F2B18"/>
    <w:rsid w:val="001F2D2C"/>
    <w:rsid w:val="001F2DF4"/>
    <w:rsid w:val="001F2E09"/>
    <w:rsid w:val="001F3004"/>
    <w:rsid w:val="001F30E3"/>
    <w:rsid w:val="001F351A"/>
    <w:rsid w:val="001F3652"/>
    <w:rsid w:val="001F3789"/>
    <w:rsid w:val="001F3E20"/>
    <w:rsid w:val="001F3F8C"/>
    <w:rsid w:val="001F48FA"/>
    <w:rsid w:val="001F4D3F"/>
    <w:rsid w:val="001F4D48"/>
    <w:rsid w:val="001F50BA"/>
    <w:rsid w:val="001F58B9"/>
    <w:rsid w:val="001F5D66"/>
    <w:rsid w:val="001F5FC2"/>
    <w:rsid w:val="001F6047"/>
    <w:rsid w:val="001F619F"/>
    <w:rsid w:val="001F63F0"/>
    <w:rsid w:val="001F660B"/>
    <w:rsid w:val="001F6611"/>
    <w:rsid w:val="001F6685"/>
    <w:rsid w:val="001F67AA"/>
    <w:rsid w:val="001F6E0B"/>
    <w:rsid w:val="001F6F4E"/>
    <w:rsid w:val="001F7348"/>
    <w:rsid w:val="001F74E3"/>
    <w:rsid w:val="001F787B"/>
    <w:rsid w:val="00200363"/>
    <w:rsid w:val="002005BC"/>
    <w:rsid w:val="002005D4"/>
    <w:rsid w:val="0020064C"/>
    <w:rsid w:val="00200A29"/>
    <w:rsid w:val="00200F0F"/>
    <w:rsid w:val="00200F15"/>
    <w:rsid w:val="00200FAF"/>
    <w:rsid w:val="00201511"/>
    <w:rsid w:val="00201B79"/>
    <w:rsid w:val="00201CE3"/>
    <w:rsid w:val="00201FBE"/>
    <w:rsid w:val="002025E2"/>
    <w:rsid w:val="00202678"/>
    <w:rsid w:val="00202836"/>
    <w:rsid w:val="00202959"/>
    <w:rsid w:val="00202B2A"/>
    <w:rsid w:val="00202C4B"/>
    <w:rsid w:val="00202F1A"/>
    <w:rsid w:val="00202F1F"/>
    <w:rsid w:val="00203500"/>
    <w:rsid w:val="0020379D"/>
    <w:rsid w:val="0020381B"/>
    <w:rsid w:val="00203D8E"/>
    <w:rsid w:val="0020467A"/>
    <w:rsid w:val="00204955"/>
    <w:rsid w:val="00204A25"/>
    <w:rsid w:val="00204D37"/>
    <w:rsid w:val="00205223"/>
    <w:rsid w:val="002052FA"/>
    <w:rsid w:val="0020536B"/>
    <w:rsid w:val="00205427"/>
    <w:rsid w:val="002054CA"/>
    <w:rsid w:val="0020566E"/>
    <w:rsid w:val="00205AF5"/>
    <w:rsid w:val="00206350"/>
    <w:rsid w:val="002063CC"/>
    <w:rsid w:val="002064BD"/>
    <w:rsid w:val="0020659D"/>
    <w:rsid w:val="00206B59"/>
    <w:rsid w:val="00206F29"/>
    <w:rsid w:val="00207420"/>
    <w:rsid w:val="002074E9"/>
    <w:rsid w:val="00207D28"/>
    <w:rsid w:val="00210232"/>
    <w:rsid w:val="00210335"/>
    <w:rsid w:val="00210550"/>
    <w:rsid w:val="00210953"/>
    <w:rsid w:val="00210A17"/>
    <w:rsid w:val="00210ED8"/>
    <w:rsid w:val="002112DA"/>
    <w:rsid w:val="00211701"/>
    <w:rsid w:val="002117D2"/>
    <w:rsid w:val="00211AB3"/>
    <w:rsid w:val="00211B29"/>
    <w:rsid w:val="00211CC2"/>
    <w:rsid w:val="002120DD"/>
    <w:rsid w:val="00212121"/>
    <w:rsid w:val="002121EF"/>
    <w:rsid w:val="002121F2"/>
    <w:rsid w:val="0021236D"/>
    <w:rsid w:val="0021284E"/>
    <w:rsid w:val="00212A5F"/>
    <w:rsid w:val="00212B09"/>
    <w:rsid w:val="00212BEB"/>
    <w:rsid w:val="00212CD3"/>
    <w:rsid w:val="00212FBC"/>
    <w:rsid w:val="00212FDF"/>
    <w:rsid w:val="0021389A"/>
    <w:rsid w:val="002139D0"/>
    <w:rsid w:val="00213C92"/>
    <w:rsid w:val="00213F34"/>
    <w:rsid w:val="00214214"/>
    <w:rsid w:val="00214754"/>
    <w:rsid w:val="00214760"/>
    <w:rsid w:val="00214A4C"/>
    <w:rsid w:val="002150CF"/>
    <w:rsid w:val="0021590C"/>
    <w:rsid w:val="002159D1"/>
    <w:rsid w:val="00215B05"/>
    <w:rsid w:val="00215E02"/>
    <w:rsid w:val="00215F7B"/>
    <w:rsid w:val="00215FF1"/>
    <w:rsid w:val="00216415"/>
    <w:rsid w:val="00216594"/>
    <w:rsid w:val="00216A62"/>
    <w:rsid w:val="00216ABB"/>
    <w:rsid w:val="00216AEC"/>
    <w:rsid w:val="00216C2A"/>
    <w:rsid w:val="00216DCE"/>
    <w:rsid w:val="00217453"/>
    <w:rsid w:val="00217BA5"/>
    <w:rsid w:val="00217E0D"/>
    <w:rsid w:val="00217E0F"/>
    <w:rsid w:val="002201D1"/>
    <w:rsid w:val="0022031F"/>
    <w:rsid w:val="0022056F"/>
    <w:rsid w:val="00220630"/>
    <w:rsid w:val="002207E4"/>
    <w:rsid w:val="00220B49"/>
    <w:rsid w:val="00220B91"/>
    <w:rsid w:val="00220BA0"/>
    <w:rsid w:val="00220DBB"/>
    <w:rsid w:val="00220EC5"/>
    <w:rsid w:val="00220FCB"/>
    <w:rsid w:val="002214CB"/>
    <w:rsid w:val="002214EA"/>
    <w:rsid w:val="00221565"/>
    <w:rsid w:val="00221937"/>
    <w:rsid w:val="00221A3A"/>
    <w:rsid w:val="00221D6C"/>
    <w:rsid w:val="00221E0E"/>
    <w:rsid w:val="00221E2B"/>
    <w:rsid w:val="00221FF2"/>
    <w:rsid w:val="002220F5"/>
    <w:rsid w:val="002221DF"/>
    <w:rsid w:val="00222341"/>
    <w:rsid w:val="0022276A"/>
    <w:rsid w:val="002229CB"/>
    <w:rsid w:val="00222B5C"/>
    <w:rsid w:val="00222EB7"/>
    <w:rsid w:val="0022365A"/>
    <w:rsid w:val="00223696"/>
    <w:rsid w:val="00223D4F"/>
    <w:rsid w:val="00223E0A"/>
    <w:rsid w:val="002240F3"/>
    <w:rsid w:val="00224147"/>
    <w:rsid w:val="00224FE1"/>
    <w:rsid w:val="002250D6"/>
    <w:rsid w:val="002252C1"/>
    <w:rsid w:val="0022539C"/>
    <w:rsid w:val="002253CA"/>
    <w:rsid w:val="002261D4"/>
    <w:rsid w:val="00226546"/>
    <w:rsid w:val="0022685E"/>
    <w:rsid w:val="00226F99"/>
    <w:rsid w:val="00226FC8"/>
    <w:rsid w:val="00227094"/>
    <w:rsid w:val="00227267"/>
    <w:rsid w:val="002272B8"/>
    <w:rsid w:val="0022767D"/>
    <w:rsid w:val="00227B34"/>
    <w:rsid w:val="00227BDC"/>
    <w:rsid w:val="00227DCA"/>
    <w:rsid w:val="002301BB"/>
    <w:rsid w:val="00230227"/>
    <w:rsid w:val="0023081A"/>
    <w:rsid w:val="0023086D"/>
    <w:rsid w:val="00230A6D"/>
    <w:rsid w:val="00230AE5"/>
    <w:rsid w:val="00230B5F"/>
    <w:rsid w:val="00230C96"/>
    <w:rsid w:val="00230EB8"/>
    <w:rsid w:val="002318EB"/>
    <w:rsid w:val="00231984"/>
    <w:rsid w:val="002319CB"/>
    <w:rsid w:val="00231DA1"/>
    <w:rsid w:val="00231F78"/>
    <w:rsid w:val="00231FB3"/>
    <w:rsid w:val="002329DD"/>
    <w:rsid w:val="00232A33"/>
    <w:rsid w:val="00232C58"/>
    <w:rsid w:val="00233190"/>
    <w:rsid w:val="0023357B"/>
    <w:rsid w:val="00233652"/>
    <w:rsid w:val="0023374F"/>
    <w:rsid w:val="0023395A"/>
    <w:rsid w:val="00233A4A"/>
    <w:rsid w:val="00234172"/>
    <w:rsid w:val="002344F5"/>
    <w:rsid w:val="0023485F"/>
    <w:rsid w:val="00234935"/>
    <w:rsid w:val="00234D50"/>
    <w:rsid w:val="00234F83"/>
    <w:rsid w:val="002350A2"/>
    <w:rsid w:val="002352B3"/>
    <w:rsid w:val="0023530B"/>
    <w:rsid w:val="00235F70"/>
    <w:rsid w:val="002360AA"/>
    <w:rsid w:val="0023623A"/>
    <w:rsid w:val="002365D9"/>
    <w:rsid w:val="002366A2"/>
    <w:rsid w:val="00236744"/>
    <w:rsid w:val="00236888"/>
    <w:rsid w:val="00236A82"/>
    <w:rsid w:val="00236B25"/>
    <w:rsid w:val="00236B91"/>
    <w:rsid w:val="00236E2B"/>
    <w:rsid w:val="00236F19"/>
    <w:rsid w:val="00237A2E"/>
    <w:rsid w:val="00237A3B"/>
    <w:rsid w:val="00237B73"/>
    <w:rsid w:val="0024046C"/>
    <w:rsid w:val="00240532"/>
    <w:rsid w:val="00240A31"/>
    <w:rsid w:val="0024124E"/>
    <w:rsid w:val="0024132D"/>
    <w:rsid w:val="00241B72"/>
    <w:rsid w:val="00241D2F"/>
    <w:rsid w:val="00241E56"/>
    <w:rsid w:val="002420EF"/>
    <w:rsid w:val="00242323"/>
    <w:rsid w:val="0024244D"/>
    <w:rsid w:val="002424FF"/>
    <w:rsid w:val="0024284D"/>
    <w:rsid w:val="002428C0"/>
    <w:rsid w:val="00242A4D"/>
    <w:rsid w:val="00242A6E"/>
    <w:rsid w:val="00242AFA"/>
    <w:rsid w:val="00242CD6"/>
    <w:rsid w:val="00243195"/>
    <w:rsid w:val="00243353"/>
    <w:rsid w:val="002436D3"/>
    <w:rsid w:val="00243B3A"/>
    <w:rsid w:val="00243CF7"/>
    <w:rsid w:val="00243D33"/>
    <w:rsid w:val="00244448"/>
    <w:rsid w:val="00244A43"/>
    <w:rsid w:val="00245134"/>
    <w:rsid w:val="00245409"/>
    <w:rsid w:val="00245669"/>
    <w:rsid w:val="0024567A"/>
    <w:rsid w:val="0024580A"/>
    <w:rsid w:val="002458E0"/>
    <w:rsid w:val="00245B4D"/>
    <w:rsid w:val="00245CA9"/>
    <w:rsid w:val="00245CC8"/>
    <w:rsid w:val="00245FA6"/>
    <w:rsid w:val="0024615A"/>
    <w:rsid w:val="0024665C"/>
    <w:rsid w:val="0024680F"/>
    <w:rsid w:val="00246C26"/>
    <w:rsid w:val="00246CB3"/>
    <w:rsid w:val="00246D10"/>
    <w:rsid w:val="00246DF2"/>
    <w:rsid w:val="00246EC6"/>
    <w:rsid w:val="00246FD7"/>
    <w:rsid w:val="002478A4"/>
    <w:rsid w:val="00247F4C"/>
    <w:rsid w:val="002504A8"/>
    <w:rsid w:val="00250CBA"/>
    <w:rsid w:val="002519AF"/>
    <w:rsid w:val="00251C15"/>
    <w:rsid w:val="00251D25"/>
    <w:rsid w:val="00251DD4"/>
    <w:rsid w:val="00252132"/>
    <w:rsid w:val="00252155"/>
    <w:rsid w:val="00252218"/>
    <w:rsid w:val="0025229B"/>
    <w:rsid w:val="002526FA"/>
    <w:rsid w:val="00252F88"/>
    <w:rsid w:val="002539C9"/>
    <w:rsid w:val="00253C22"/>
    <w:rsid w:val="0025434D"/>
    <w:rsid w:val="0025454B"/>
    <w:rsid w:val="00254606"/>
    <w:rsid w:val="00254869"/>
    <w:rsid w:val="002548D5"/>
    <w:rsid w:val="00254928"/>
    <w:rsid w:val="00254AAD"/>
    <w:rsid w:val="002553E8"/>
    <w:rsid w:val="002557F9"/>
    <w:rsid w:val="002559E8"/>
    <w:rsid w:val="002559F8"/>
    <w:rsid w:val="00255B05"/>
    <w:rsid w:val="00255C0B"/>
    <w:rsid w:val="00255C21"/>
    <w:rsid w:val="00255CD6"/>
    <w:rsid w:val="00255CF4"/>
    <w:rsid w:val="00255D0E"/>
    <w:rsid w:val="00256291"/>
    <w:rsid w:val="0025650E"/>
    <w:rsid w:val="002565B7"/>
    <w:rsid w:val="00256BFB"/>
    <w:rsid w:val="00256C6B"/>
    <w:rsid w:val="00256D26"/>
    <w:rsid w:val="00256E50"/>
    <w:rsid w:val="002571C5"/>
    <w:rsid w:val="002572B0"/>
    <w:rsid w:val="002577BF"/>
    <w:rsid w:val="0025785F"/>
    <w:rsid w:val="00257B76"/>
    <w:rsid w:val="00257E5E"/>
    <w:rsid w:val="0026027E"/>
    <w:rsid w:val="00260303"/>
    <w:rsid w:val="00260349"/>
    <w:rsid w:val="0026052E"/>
    <w:rsid w:val="0026107E"/>
    <w:rsid w:val="002610BA"/>
    <w:rsid w:val="0026142F"/>
    <w:rsid w:val="0026147C"/>
    <w:rsid w:val="002614CC"/>
    <w:rsid w:val="00261837"/>
    <w:rsid w:val="0026197B"/>
    <w:rsid w:val="00261C32"/>
    <w:rsid w:val="00261D71"/>
    <w:rsid w:val="00261E16"/>
    <w:rsid w:val="00261EDF"/>
    <w:rsid w:val="00261F1B"/>
    <w:rsid w:val="00262085"/>
    <w:rsid w:val="00262165"/>
    <w:rsid w:val="002621D8"/>
    <w:rsid w:val="002623F0"/>
    <w:rsid w:val="00262575"/>
    <w:rsid w:val="0026257D"/>
    <w:rsid w:val="00262646"/>
    <w:rsid w:val="00262B63"/>
    <w:rsid w:val="00262B92"/>
    <w:rsid w:val="00262EA4"/>
    <w:rsid w:val="00262EB3"/>
    <w:rsid w:val="00262F9E"/>
    <w:rsid w:val="0026300E"/>
    <w:rsid w:val="00263102"/>
    <w:rsid w:val="00263349"/>
    <w:rsid w:val="002633BE"/>
    <w:rsid w:val="00263411"/>
    <w:rsid w:val="00263512"/>
    <w:rsid w:val="002635CD"/>
    <w:rsid w:val="00263692"/>
    <w:rsid w:val="002636AA"/>
    <w:rsid w:val="002636DF"/>
    <w:rsid w:val="002639A4"/>
    <w:rsid w:val="00263B11"/>
    <w:rsid w:val="00263DA5"/>
    <w:rsid w:val="00263DE2"/>
    <w:rsid w:val="002642C0"/>
    <w:rsid w:val="00264A10"/>
    <w:rsid w:val="00264EEC"/>
    <w:rsid w:val="00264F8C"/>
    <w:rsid w:val="00265336"/>
    <w:rsid w:val="0026570F"/>
    <w:rsid w:val="002658A7"/>
    <w:rsid w:val="00265D73"/>
    <w:rsid w:val="00266078"/>
    <w:rsid w:val="002660C5"/>
    <w:rsid w:val="002663E0"/>
    <w:rsid w:val="00266536"/>
    <w:rsid w:val="00266577"/>
    <w:rsid w:val="0026691E"/>
    <w:rsid w:val="00266AE7"/>
    <w:rsid w:val="00266E5B"/>
    <w:rsid w:val="00266ECE"/>
    <w:rsid w:val="002672ED"/>
    <w:rsid w:val="002675CF"/>
    <w:rsid w:val="00267CAD"/>
    <w:rsid w:val="00267E5D"/>
    <w:rsid w:val="00267E82"/>
    <w:rsid w:val="002704BC"/>
    <w:rsid w:val="00270A17"/>
    <w:rsid w:val="00270CC1"/>
    <w:rsid w:val="00270D08"/>
    <w:rsid w:val="00270EDC"/>
    <w:rsid w:val="00270F2F"/>
    <w:rsid w:val="00270F8B"/>
    <w:rsid w:val="00270F91"/>
    <w:rsid w:val="00270F99"/>
    <w:rsid w:val="00271113"/>
    <w:rsid w:val="0027121C"/>
    <w:rsid w:val="0027137F"/>
    <w:rsid w:val="002714FE"/>
    <w:rsid w:val="00271C28"/>
    <w:rsid w:val="00271C5E"/>
    <w:rsid w:val="0027215E"/>
    <w:rsid w:val="00272201"/>
    <w:rsid w:val="002726B0"/>
    <w:rsid w:val="00272907"/>
    <w:rsid w:val="00272DA9"/>
    <w:rsid w:val="002731CF"/>
    <w:rsid w:val="00273C74"/>
    <w:rsid w:val="00273DC5"/>
    <w:rsid w:val="00273DDF"/>
    <w:rsid w:val="00273EC8"/>
    <w:rsid w:val="0027420A"/>
    <w:rsid w:val="0027422B"/>
    <w:rsid w:val="00274314"/>
    <w:rsid w:val="00274541"/>
    <w:rsid w:val="002745F1"/>
    <w:rsid w:val="00274881"/>
    <w:rsid w:val="00274EA2"/>
    <w:rsid w:val="00275877"/>
    <w:rsid w:val="002758A9"/>
    <w:rsid w:val="00275FE3"/>
    <w:rsid w:val="002761ED"/>
    <w:rsid w:val="002764BE"/>
    <w:rsid w:val="00276711"/>
    <w:rsid w:val="002768EF"/>
    <w:rsid w:val="002769B3"/>
    <w:rsid w:val="00276C9F"/>
    <w:rsid w:val="00276D2D"/>
    <w:rsid w:val="0027705A"/>
    <w:rsid w:val="00277357"/>
    <w:rsid w:val="002775DB"/>
    <w:rsid w:val="002778B6"/>
    <w:rsid w:val="002778ED"/>
    <w:rsid w:val="00277964"/>
    <w:rsid w:val="00277B08"/>
    <w:rsid w:val="00277C03"/>
    <w:rsid w:val="00277E5A"/>
    <w:rsid w:val="00277ECC"/>
    <w:rsid w:val="0027E926"/>
    <w:rsid w:val="002801FC"/>
    <w:rsid w:val="00280517"/>
    <w:rsid w:val="0028086E"/>
    <w:rsid w:val="002808BD"/>
    <w:rsid w:val="00280AA1"/>
    <w:rsid w:val="00280E4D"/>
    <w:rsid w:val="00280E71"/>
    <w:rsid w:val="00281225"/>
    <w:rsid w:val="002814E7"/>
    <w:rsid w:val="002817CA"/>
    <w:rsid w:val="0028186A"/>
    <w:rsid w:val="002818A4"/>
    <w:rsid w:val="00281C31"/>
    <w:rsid w:val="00281D5F"/>
    <w:rsid w:val="00281E3F"/>
    <w:rsid w:val="0028201E"/>
    <w:rsid w:val="00282550"/>
    <w:rsid w:val="002827EA"/>
    <w:rsid w:val="0028289C"/>
    <w:rsid w:val="00282A2B"/>
    <w:rsid w:val="00282D40"/>
    <w:rsid w:val="00282EDD"/>
    <w:rsid w:val="00283010"/>
    <w:rsid w:val="0028311A"/>
    <w:rsid w:val="00283410"/>
    <w:rsid w:val="00283B67"/>
    <w:rsid w:val="00283D50"/>
    <w:rsid w:val="00283E5E"/>
    <w:rsid w:val="002842A4"/>
    <w:rsid w:val="002842EA"/>
    <w:rsid w:val="002849FF"/>
    <w:rsid w:val="00284BBF"/>
    <w:rsid w:val="0028525C"/>
    <w:rsid w:val="002853B2"/>
    <w:rsid w:val="00285A1C"/>
    <w:rsid w:val="00285A80"/>
    <w:rsid w:val="00285B5C"/>
    <w:rsid w:val="002862D4"/>
    <w:rsid w:val="00286392"/>
    <w:rsid w:val="00286624"/>
    <w:rsid w:val="00287446"/>
    <w:rsid w:val="0028793D"/>
    <w:rsid w:val="00287977"/>
    <w:rsid w:val="00287997"/>
    <w:rsid w:val="00287A43"/>
    <w:rsid w:val="00287FD8"/>
    <w:rsid w:val="00287FE0"/>
    <w:rsid w:val="00290016"/>
    <w:rsid w:val="002903A7"/>
    <w:rsid w:val="00290424"/>
    <w:rsid w:val="00290511"/>
    <w:rsid w:val="00290609"/>
    <w:rsid w:val="002908A5"/>
    <w:rsid w:val="0029096F"/>
    <w:rsid w:val="00290E71"/>
    <w:rsid w:val="0029127A"/>
    <w:rsid w:val="002912CC"/>
    <w:rsid w:val="002914D9"/>
    <w:rsid w:val="00291771"/>
    <w:rsid w:val="0029180C"/>
    <w:rsid w:val="00291854"/>
    <w:rsid w:val="00291DA3"/>
    <w:rsid w:val="002922B2"/>
    <w:rsid w:val="00292395"/>
    <w:rsid w:val="00292508"/>
    <w:rsid w:val="00292859"/>
    <w:rsid w:val="002931EC"/>
    <w:rsid w:val="00293364"/>
    <w:rsid w:val="002933C6"/>
    <w:rsid w:val="00293429"/>
    <w:rsid w:val="0029386A"/>
    <w:rsid w:val="002938E8"/>
    <w:rsid w:val="002938F3"/>
    <w:rsid w:val="00293B6A"/>
    <w:rsid w:val="00293BAF"/>
    <w:rsid w:val="00293DBA"/>
    <w:rsid w:val="00293FA7"/>
    <w:rsid w:val="00294173"/>
    <w:rsid w:val="002943F5"/>
    <w:rsid w:val="00294677"/>
    <w:rsid w:val="00294A01"/>
    <w:rsid w:val="00294B0D"/>
    <w:rsid w:val="00294DE1"/>
    <w:rsid w:val="0029554C"/>
    <w:rsid w:val="002955C5"/>
    <w:rsid w:val="0029567C"/>
    <w:rsid w:val="00295967"/>
    <w:rsid w:val="00295BB2"/>
    <w:rsid w:val="00295D5D"/>
    <w:rsid w:val="00295D84"/>
    <w:rsid w:val="00295ED2"/>
    <w:rsid w:val="00295F21"/>
    <w:rsid w:val="00295FA9"/>
    <w:rsid w:val="00296155"/>
    <w:rsid w:val="002961D2"/>
    <w:rsid w:val="002963E7"/>
    <w:rsid w:val="00296497"/>
    <w:rsid w:val="00296541"/>
    <w:rsid w:val="00296662"/>
    <w:rsid w:val="002966B6"/>
    <w:rsid w:val="00296E60"/>
    <w:rsid w:val="002970D6"/>
    <w:rsid w:val="0029736C"/>
    <w:rsid w:val="002975F2"/>
    <w:rsid w:val="002977F4"/>
    <w:rsid w:val="0029798C"/>
    <w:rsid w:val="00297E08"/>
    <w:rsid w:val="002A0188"/>
    <w:rsid w:val="002A0405"/>
    <w:rsid w:val="002A06A2"/>
    <w:rsid w:val="002A06B2"/>
    <w:rsid w:val="002A07C4"/>
    <w:rsid w:val="002A083D"/>
    <w:rsid w:val="002A0873"/>
    <w:rsid w:val="002A0A0F"/>
    <w:rsid w:val="002A0BA3"/>
    <w:rsid w:val="002A0F72"/>
    <w:rsid w:val="002A10AC"/>
    <w:rsid w:val="002A15A3"/>
    <w:rsid w:val="002A1735"/>
    <w:rsid w:val="002A1770"/>
    <w:rsid w:val="002A178D"/>
    <w:rsid w:val="002A1DF9"/>
    <w:rsid w:val="002A1F62"/>
    <w:rsid w:val="002A1FAD"/>
    <w:rsid w:val="002A23C5"/>
    <w:rsid w:val="002A2520"/>
    <w:rsid w:val="002A2A0F"/>
    <w:rsid w:val="002A2AD3"/>
    <w:rsid w:val="002A2AD8"/>
    <w:rsid w:val="002A2D7F"/>
    <w:rsid w:val="002A2F14"/>
    <w:rsid w:val="002A382A"/>
    <w:rsid w:val="002A383A"/>
    <w:rsid w:val="002A3C13"/>
    <w:rsid w:val="002A3CEA"/>
    <w:rsid w:val="002A3D25"/>
    <w:rsid w:val="002A3DFA"/>
    <w:rsid w:val="002A40F4"/>
    <w:rsid w:val="002A421B"/>
    <w:rsid w:val="002A421F"/>
    <w:rsid w:val="002A4411"/>
    <w:rsid w:val="002A451D"/>
    <w:rsid w:val="002A4642"/>
    <w:rsid w:val="002A49E2"/>
    <w:rsid w:val="002A4A3C"/>
    <w:rsid w:val="002A4E01"/>
    <w:rsid w:val="002A4E78"/>
    <w:rsid w:val="002A587D"/>
    <w:rsid w:val="002A5A0F"/>
    <w:rsid w:val="002A5ADE"/>
    <w:rsid w:val="002A5AFA"/>
    <w:rsid w:val="002A5BBA"/>
    <w:rsid w:val="002A5FC0"/>
    <w:rsid w:val="002A617B"/>
    <w:rsid w:val="002A644B"/>
    <w:rsid w:val="002A64CE"/>
    <w:rsid w:val="002A6888"/>
    <w:rsid w:val="002A6B58"/>
    <w:rsid w:val="002A6BED"/>
    <w:rsid w:val="002A6DC7"/>
    <w:rsid w:val="002A6E41"/>
    <w:rsid w:val="002A704B"/>
    <w:rsid w:val="002A70FB"/>
    <w:rsid w:val="002A716B"/>
    <w:rsid w:val="002A7918"/>
    <w:rsid w:val="002A7A75"/>
    <w:rsid w:val="002A7EDF"/>
    <w:rsid w:val="002B06CA"/>
    <w:rsid w:val="002B087D"/>
    <w:rsid w:val="002B0A23"/>
    <w:rsid w:val="002B0B0F"/>
    <w:rsid w:val="002B0D70"/>
    <w:rsid w:val="002B122A"/>
    <w:rsid w:val="002B1753"/>
    <w:rsid w:val="002B192C"/>
    <w:rsid w:val="002B1EB3"/>
    <w:rsid w:val="002B1F09"/>
    <w:rsid w:val="002B1FB8"/>
    <w:rsid w:val="002B25F6"/>
    <w:rsid w:val="002B2644"/>
    <w:rsid w:val="002B2720"/>
    <w:rsid w:val="002B28A8"/>
    <w:rsid w:val="002B2A22"/>
    <w:rsid w:val="002B2E35"/>
    <w:rsid w:val="002B2E7F"/>
    <w:rsid w:val="002B31D2"/>
    <w:rsid w:val="002B3286"/>
    <w:rsid w:val="002B3399"/>
    <w:rsid w:val="002B35BF"/>
    <w:rsid w:val="002B3858"/>
    <w:rsid w:val="002B393A"/>
    <w:rsid w:val="002B3A7C"/>
    <w:rsid w:val="002B3C24"/>
    <w:rsid w:val="002B3D90"/>
    <w:rsid w:val="002B3E69"/>
    <w:rsid w:val="002B48B6"/>
    <w:rsid w:val="002B48E4"/>
    <w:rsid w:val="002B4F43"/>
    <w:rsid w:val="002B4FA2"/>
    <w:rsid w:val="002B5127"/>
    <w:rsid w:val="002B53B4"/>
    <w:rsid w:val="002B5537"/>
    <w:rsid w:val="002B555D"/>
    <w:rsid w:val="002B55AF"/>
    <w:rsid w:val="002B58A0"/>
    <w:rsid w:val="002B5B23"/>
    <w:rsid w:val="002B5BCC"/>
    <w:rsid w:val="002B62DD"/>
    <w:rsid w:val="002B638E"/>
    <w:rsid w:val="002B64DA"/>
    <w:rsid w:val="002B6723"/>
    <w:rsid w:val="002B692D"/>
    <w:rsid w:val="002B6A5E"/>
    <w:rsid w:val="002B6B4F"/>
    <w:rsid w:val="002B7370"/>
    <w:rsid w:val="002B74A4"/>
    <w:rsid w:val="002B7722"/>
    <w:rsid w:val="002B7957"/>
    <w:rsid w:val="002B797F"/>
    <w:rsid w:val="002B7A7E"/>
    <w:rsid w:val="002B7BCC"/>
    <w:rsid w:val="002B7C1B"/>
    <w:rsid w:val="002B7FDC"/>
    <w:rsid w:val="002C021F"/>
    <w:rsid w:val="002C02D9"/>
    <w:rsid w:val="002C0329"/>
    <w:rsid w:val="002C073B"/>
    <w:rsid w:val="002C076D"/>
    <w:rsid w:val="002C09AD"/>
    <w:rsid w:val="002C0CD0"/>
    <w:rsid w:val="002C0ED3"/>
    <w:rsid w:val="002C0F18"/>
    <w:rsid w:val="002C10CC"/>
    <w:rsid w:val="002C1204"/>
    <w:rsid w:val="002C1343"/>
    <w:rsid w:val="002C13AD"/>
    <w:rsid w:val="002C153E"/>
    <w:rsid w:val="002C1543"/>
    <w:rsid w:val="002C1628"/>
    <w:rsid w:val="002C180E"/>
    <w:rsid w:val="002C1820"/>
    <w:rsid w:val="002C19ED"/>
    <w:rsid w:val="002C1A8B"/>
    <w:rsid w:val="002C1A9E"/>
    <w:rsid w:val="002C1EB5"/>
    <w:rsid w:val="002C1ECB"/>
    <w:rsid w:val="002C1F60"/>
    <w:rsid w:val="002C1FAA"/>
    <w:rsid w:val="002C25C8"/>
    <w:rsid w:val="002C2E95"/>
    <w:rsid w:val="002C2EB7"/>
    <w:rsid w:val="002C2F25"/>
    <w:rsid w:val="002C301B"/>
    <w:rsid w:val="002C30B7"/>
    <w:rsid w:val="002C315C"/>
    <w:rsid w:val="002C360C"/>
    <w:rsid w:val="002C3A74"/>
    <w:rsid w:val="002C3ABF"/>
    <w:rsid w:val="002C3C7D"/>
    <w:rsid w:val="002C3D60"/>
    <w:rsid w:val="002C40F3"/>
    <w:rsid w:val="002C45BE"/>
    <w:rsid w:val="002C470C"/>
    <w:rsid w:val="002C4960"/>
    <w:rsid w:val="002C4ACA"/>
    <w:rsid w:val="002C50A6"/>
    <w:rsid w:val="002C5145"/>
    <w:rsid w:val="002C5B57"/>
    <w:rsid w:val="002C61D2"/>
    <w:rsid w:val="002C61DF"/>
    <w:rsid w:val="002C645D"/>
    <w:rsid w:val="002C6610"/>
    <w:rsid w:val="002C6774"/>
    <w:rsid w:val="002C69E0"/>
    <w:rsid w:val="002C6BDA"/>
    <w:rsid w:val="002C6F5E"/>
    <w:rsid w:val="002C6FC3"/>
    <w:rsid w:val="002C715A"/>
    <w:rsid w:val="002C7FA6"/>
    <w:rsid w:val="002D058C"/>
    <w:rsid w:val="002D059B"/>
    <w:rsid w:val="002D0621"/>
    <w:rsid w:val="002D0788"/>
    <w:rsid w:val="002D08BB"/>
    <w:rsid w:val="002D0E7E"/>
    <w:rsid w:val="002D11F2"/>
    <w:rsid w:val="002D1241"/>
    <w:rsid w:val="002D12A1"/>
    <w:rsid w:val="002D1740"/>
    <w:rsid w:val="002D17F7"/>
    <w:rsid w:val="002D1ACA"/>
    <w:rsid w:val="002D1AE8"/>
    <w:rsid w:val="002D22D0"/>
    <w:rsid w:val="002D2603"/>
    <w:rsid w:val="002D2C41"/>
    <w:rsid w:val="002D311F"/>
    <w:rsid w:val="002D3535"/>
    <w:rsid w:val="002D3859"/>
    <w:rsid w:val="002D38D3"/>
    <w:rsid w:val="002D3CB2"/>
    <w:rsid w:val="002D4006"/>
    <w:rsid w:val="002D4462"/>
    <w:rsid w:val="002D44BC"/>
    <w:rsid w:val="002D49EB"/>
    <w:rsid w:val="002D4B67"/>
    <w:rsid w:val="002D4F4F"/>
    <w:rsid w:val="002D50F1"/>
    <w:rsid w:val="002D513A"/>
    <w:rsid w:val="002D5217"/>
    <w:rsid w:val="002D598A"/>
    <w:rsid w:val="002D59F3"/>
    <w:rsid w:val="002D5AC3"/>
    <w:rsid w:val="002D5CCC"/>
    <w:rsid w:val="002D5CF9"/>
    <w:rsid w:val="002D5D00"/>
    <w:rsid w:val="002D605B"/>
    <w:rsid w:val="002D6133"/>
    <w:rsid w:val="002D62DD"/>
    <w:rsid w:val="002D6361"/>
    <w:rsid w:val="002D63F8"/>
    <w:rsid w:val="002D65A1"/>
    <w:rsid w:val="002D674E"/>
    <w:rsid w:val="002D6B04"/>
    <w:rsid w:val="002D6E12"/>
    <w:rsid w:val="002D73E3"/>
    <w:rsid w:val="002D73F2"/>
    <w:rsid w:val="002D7494"/>
    <w:rsid w:val="002D762D"/>
    <w:rsid w:val="002E01E2"/>
    <w:rsid w:val="002E0257"/>
    <w:rsid w:val="002E03F0"/>
    <w:rsid w:val="002E05AD"/>
    <w:rsid w:val="002E09BE"/>
    <w:rsid w:val="002E0D74"/>
    <w:rsid w:val="002E1049"/>
    <w:rsid w:val="002E13B2"/>
    <w:rsid w:val="002E1A0E"/>
    <w:rsid w:val="002E1B0D"/>
    <w:rsid w:val="002E201E"/>
    <w:rsid w:val="002E232D"/>
    <w:rsid w:val="002E2B4F"/>
    <w:rsid w:val="002E2C4E"/>
    <w:rsid w:val="002E2D90"/>
    <w:rsid w:val="002E37A4"/>
    <w:rsid w:val="002E382D"/>
    <w:rsid w:val="002E3904"/>
    <w:rsid w:val="002E3925"/>
    <w:rsid w:val="002E392E"/>
    <w:rsid w:val="002E3A1C"/>
    <w:rsid w:val="002E3F09"/>
    <w:rsid w:val="002E465F"/>
    <w:rsid w:val="002E4694"/>
    <w:rsid w:val="002E4934"/>
    <w:rsid w:val="002E4A02"/>
    <w:rsid w:val="002E4A7D"/>
    <w:rsid w:val="002E4AA2"/>
    <w:rsid w:val="002E54D2"/>
    <w:rsid w:val="002E5554"/>
    <w:rsid w:val="002E57AB"/>
    <w:rsid w:val="002E59FB"/>
    <w:rsid w:val="002E5BA9"/>
    <w:rsid w:val="002E5D0B"/>
    <w:rsid w:val="002E60DF"/>
    <w:rsid w:val="002E6244"/>
    <w:rsid w:val="002E642F"/>
    <w:rsid w:val="002E6730"/>
    <w:rsid w:val="002E6A53"/>
    <w:rsid w:val="002E6AFF"/>
    <w:rsid w:val="002E6E17"/>
    <w:rsid w:val="002E6E91"/>
    <w:rsid w:val="002E6FD4"/>
    <w:rsid w:val="002E72D4"/>
    <w:rsid w:val="002E72F7"/>
    <w:rsid w:val="002E7315"/>
    <w:rsid w:val="002E77F5"/>
    <w:rsid w:val="002E7892"/>
    <w:rsid w:val="002E7A86"/>
    <w:rsid w:val="002E7BDA"/>
    <w:rsid w:val="002E7E67"/>
    <w:rsid w:val="002F00EE"/>
    <w:rsid w:val="002F011C"/>
    <w:rsid w:val="002F0356"/>
    <w:rsid w:val="002F04D2"/>
    <w:rsid w:val="002F06D6"/>
    <w:rsid w:val="002F0839"/>
    <w:rsid w:val="002F08E9"/>
    <w:rsid w:val="002F093C"/>
    <w:rsid w:val="002F0EA9"/>
    <w:rsid w:val="002F0ED8"/>
    <w:rsid w:val="002F119D"/>
    <w:rsid w:val="002F1444"/>
    <w:rsid w:val="002F161C"/>
    <w:rsid w:val="002F1869"/>
    <w:rsid w:val="002F18CC"/>
    <w:rsid w:val="002F1AA7"/>
    <w:rsid w:val="002F1ABF"/>
    <w:rsid w:val="002F1E9D"/>
    <w:rsid w:val="002F20FD"/>
    <w:rsid w:val="002F2233"/>
    <w:rsid w:val="002F2603"/>
    <w:rsid w:val="002F28B6"/>
    <w:rsid w:val="002F2A3A"/>
    <w:rsid w:val="002F2BC0"/>
    <w:rsid w:val="002F2C90"/>
    <w:rsid w:val="002F2F50"/>
    <w:rsid w:val="002F2F57"/>
    <w:rsid w:val="002F359B"/>
    <w:rsid w:val="002F3891"/>
    <w:rsid w:val="002F3BE8"/>
    <w:rsid w:val="002F3F56"/>
    <w:rsid w:val="002F4118"/>
    <w:rsid w:val="002F41BB"/>
    <w:rsid w:val="002F4261"/>
    <w:rsid w:val="002F45B0"/>
    <w:rsid w:val="002F4F4E"/>
    <w:rsid w:val="002F505E"/>
    <w:rsid w:val="002F513E"/>
    <w:rsid w:val="002F53B8"/>
    <w:rsid w:val="002F5521"/>
    <w:rsid w:val="002F5A57"/>
    <w:rsid w:val="002F5C6F"/>
    <w:rsid w:val="002F6442"/>
    <w:rsid w:val="002F661F"/>
    <w:rsid w:val="002F6667"/>
    <w:rsid w:val="002F66E0"/>
    <w:rsid w:val="002F69FD"/>
    <w:rsid w:val="002F6DF3"/>
    <w:rsid w:val="002F6E2C"/>
    <w:rsid w:val="002F715E"/>
    <w:rsid w:val="002F72D5"/>
    <w:rsid w:val="002F734E"/>
    <w:rsid w:val="002F73A6"/>
    <w:rsid w:val="002F7405"/>
    <w:rsid w:val="002F75CC"/>
    <w:rsid w:val="002F78EA"/>
    <w:rsid w:val="002F7AB2"/>
    <w:rsid w:val="002F7B32"/>
    <w:rsid w:val="002F7E32"/>
    <w:rsid w:val="002F7E40"/>
    <w:rsid w:val="002F7F16"/>
    <w:rsid w:val="003005AD"/>
    <w:rsid w:val="00300BA5"/>
    <w:rsid w:val="003010D6"/>
    <w:rsid w:val="0030121F"/>
    <w:rsid w:val="003015B1"/>
    <w:rsid w:val="00301862"/>
    <w:rsid w:val="00301A2E"/>
    <w:rsid w:val="00301F65"/>
    <w:rsid w:val="0030213C"/>
    <w:rsid w:val="00302623"/>
    <w:rsid w:val="0030277C"/>
    <w:rsid w:val="00302833"/>
    <w:rsid w:val="0030299D"/>
    <w:rsid w:val="00302F43"/>
    <w:rsid w:val="0030318C"/>
    <w:rsid w:val="0030323B"/>
    <w:rsid w:val="00303301"/>
    <w:rsid w:val="0030341C"/>
    <w:rsid w:val="0030343E"/>
    <w:rsid w:val="0030345A"/>
    <w:rsid w:val="003034F4"/>
    <w:rsid w:val="003038C4"/>
    <w:rsid w:val="00303E89"/>
    <w:rsid w:val="00303FF1"/>
    <w:rsid w:val="0030419C"/>
    <w:rsid w:val="00304C0D"/>
    <w:rsid w:val="00304DE1"/>
    <w:rsid w:val="00304F7F"/>
    <w:rsid w:val="003058A8"/>
    <w:rsid w:val="00305B3E"/>
    <w:rsid w:val="00305F0D"/>
    <w:rsid w:val="003063DC"/>
    <w:rsid w:val="00306834"/>
    <w:rsid w:val="0030693E"/>
    <w:rsid w:val="00306B89"/>
    <w:rsid w:val="00306C3F"/>
    <w:rsid w:val="00306C8A"/>
    <w:rsid w:val="00306CDC"/>
    <w:rsid w:val="00306ED5"/>
    <w:rsid w:val="00307340"/>
    <w:rsid w:val="003073B1"/>
    <w:rsid w:val="0030743F"/>
    <w:rsid w:val="003076F2"/>
    <w:rsid w:val="00307DF8"/>
    <w:rsid w:val="003102D9"/>
    <w:rsid w:val="00310698"/>
    <w:rsid w:val="0031094C"/>
    <w:rsid w:val="003109E8"/>
    <w:rsid w:val="00310A42"/>
    <w:rsid w:val="00310A85"/>
    <w:rsid w:val="00310CCB"/>
    <w:rsid w:val="00310E5A"/>
    <w:rsid w:val="003112EB"/>
    <w:rsid w:val="00311568"/>
    <w:rsid w:val="003115D1"/>
    <w:rsid w:val="0031178E"/>
    <w:rsid w:val="00311C77"/>
    <w:rsid w:val="00311E0A"/>
    <w:rsid w:val="00311EBF"/>
    <w:rsid w:val="00312108"/>
    <w:rsid w:val="003124BA"/>
    <w:rsid w:val="003128BC"/>
    <w:rsid w:val="00312C47"/>
    <w:rsid w:val="0031310B"/>
    <w:rsid w:val="003131B3"/>
    <w:rsid w:val="0031320F"/>
    <w:rsid w:val="00313A8D"/>
    <w:rsid w:val="00313EEC"/>
    <w:rsid w:val="00313F85"/>
    <w:rsid w:val="00314048"/>
    <w:rsid w:val="0031411F"/>
    <w:rsid w:val="003145FC"/>
    <w:rsid w:val="0031467B"/>
    <w:rsid w:val="003146AA"/>
    <w:rsid w:val="0031480F"/>
    <w:rsid w:val="0031509E"/>
    <w:rsid w:val="0031558D"/>
    <w:rsid w:val="003156EC"/>
    <w:rsid w:val="003159D2"/>
    <w:rsid w:val="003161C5"/>
    <w:rsid w:val="0031629C"/>
    <w:rsid w:val="003163AB"/>
    <w:rsid w:val="003164BF"/>
    <w:rsid w:val="003167F9"/>
    <w:rsid w:val="003168E4"/>
    <w:rsid w:val="00316A17"/>
    <w:rsid w:val="00316BB4"/>
    <w:rsid w:val="0031749F"/>
    <w:rsid w:val="003174C0"/>
    <w:rsid w:val="00317771"/>
    <w:rsid w:val="00317913"/>
    <w:rsid w:val="00317CA9"/>
    <w:rsid w:val="00317D38"/>
    <w:rsid w:val="00317D8C"/>
    <w:rsid w:val="0032014D"/>
    <w:rsid w:val="003205D5"/>
    <w:rsid w:val="0032062E"/>
    <w:rsid w:val="00320739"/>
    <w:rsid w:val="00320AB6"/>
    <w:rsid w:val="00320E25"/>
    <w:rsid w:val="0032111D"/>
    <w:rsid w:val="0032130A"/>
    <w:rsid w:val="0032141D"/>
    <w:rsid w:val="00321B12"/>
    <w:rsid w:val="00321B1D"/>
    <w:rsid w:val="00321BED"/>
    <w:rsid w:val="00321D22"/>
    <w:rsid w:val="00321E45"/>
    <w:rsid w:val="00322083"/>
    <w:rsid w:val="003229EA"/>
    <w:rsid w:val="00322A89"/>
    <w:rsid w:val="00322B2E"/>
    <w:rsid w:val="00322EAB"/>
    <w:rsid w:val="00322EF2"/>
    <w:rsid w:val="0032304D"/>
    <w:rsid w:val="00323313"/>
    <w:rsid w:val="00323599"/>
    <w:rsid w:val="003235B9"/>
    <w:rsid w:val="003235FB"/>
    <w:rsid w:val="00323788"/>
    <w:rsid w:val="00323942"/>
    <w:rsid w:val="00323DC9"/>
    <w:rsid w:val="00323FD4"/>
    <w:rsid w:val="00324084"/>
    <w:rsid w:val="0032437D"/>
    <w:rsid w:val="00324429"/>
    <w:rsid w:val="00324939"/>
    <w:rsid w:val="003249FE"/>
    <w:rsid w:val="00324C7B"/>
    <w:rsid w:val="00324EF7"/>
    <w:rsid w:val="00325168"/>
    <w:rsid w:val="0032542F"/>
    <w:rsid w:val="00325A18"/>
    <w:rsid w:val="00325FA8"/>
    <w:rsid w:val="00325FFD"/>
    <w:rsid w:val="003264AF"/>
    <w:rsid w:val="003264F3"/>
    <w:rsid w:val="00326957"/>
    <w:rsid w:val="00326BD8"/>
    <w:rsid w:val="00326D53"/>
    <w:rsid w:val="00327011"/>
    <w:rsid w:val="00327015"/>
    <w:rsid w:val="003275EA"/>
    <w:rsid w:val="003278DC"/>
    <w:rsid w:val="00327AA6"/>
    <w:rsid w:val="0032A61C"/>
    <w:rsid w:val="00330028"/>
    <w:rsid w:val="0033061B"/>
    <w:rsid w:val="00330693"/>
    <w:rsid w:val="00330699"/>
    <w:rsid w:val="0033076D"/>
    <w:rsid w:val="00330DB3"/>
    <w:rsid w:val="00331144"/>
    <w:rsid w:val="0033133E"/>
    <w:rsid w:val="00331A92"/>
    <w:rsid w:val="00331B81"/>
    <w:rsid w:val="00331D93"/>
    <w:rsid w:val="00331ED1"/>
    <w:rsid w:val="003320CB"/>
    <w:rsid w:val="003321B6"/>
    <w:rsid w:val="003323D3"/>
    <w:rsid w:val="00332912"/>
    <w:rsid w:val="00332948"/>
    <w:rsid w:val="00332BBB"/>
    <w:rsid w:val="00332EA5"/>
    <w:rsid w:val="00332F72"/>
    <w:rsid w:val="00332FA9"/>
    <w:rsid w:val="00333863"/>
    <w:rsid w:val="00333967"/>
    <w:rsid w:val="0033398A"/>
    <w:rsid w:val="00333D01"/>
    <w:rsid w:val="00333F1D"/>
    <w:rsid w:val="003342D6"/>
    <w:rsid w:val="003344C7"/>
    <w:rsid w:val="0033486B"/>
    <w:rsid w:val="00334AAB"/>
    <w:rsid w:val="00334CBB"/>
    <w:rsid w:val="003353A6"/>
    <w:rsid w:val="003353EE"/>
    <w:rsid w:val="00335A7D"/>
    <w:rsid w:val="00335E62"/>
    <w:rsid w:val="00336204"/>
    <w:rsid w:val="00336767"/>
    <w:rsid w:val="00336859"/>
    <w:rsid w:val="00336DE8"/>
    <w:rsid w:val="00336FCC"/>
    <w:rsid w:val="00336FE0"/>
    <w:rsid w:val="00337B7D"/>
    <w:rsid w:val="003406F0"/>
    <w:rsid w:val="0034085F"/>
    <w:rsid w:val="003409D7"/>
    <w:rsid w:val="00340E12"/>
    <w:rsid w:val="0034108F"/>
    <w:rsid w:val="003410D0"/>
    <w:rsid w:val="00341274"/>
    <w:rsid w:val="00341481"/>
    <w:rsid w:val="0034190F"/>
    <w:rsid w:val="0034195A"/>
    <w:rsid w:val="00341B93"/>
    <w:rsid w:val="00341DCB"/>
    <w:rsid w:val="00341E82"/>
    <w:rsid w:val="003420E0"/>
    <w:rsid w:val="00342472"/>
    <w:rsid w:val="00342B01"/>
    <w:rsid w:val="00342D31"/>
    <w:rsid w:val="00342E1F"/>
    <w:rsid w:val="00342E3A"/>
    <w:rsid w:val="00342FF2"/>
    <w:rsid w:val="00343270"/>
    <w:rsid w:val="0034335A"/>
    <w:rsid w:val="003438C5"/>
    <w:rsid w:val="00343C66"/>
    <w:rsid w:val="00343D4C"/>
    <w:rsid w:val="00343E79"/>
    <w:rsid w:val="003443D6"/>
    <w:rsid w:val="00344C74"/>
    <w:rsid w:val="00344D7B"/>
    <w:rsid w:val="00345136"/>
    <w:rsid w:val="003457C5"/>
    <w:rsid w:val="00345822"/>
    <w:rsid w:val="003458A5"/>
    <w:rsid w:val="00345D11"/>
    <w:rsid w:val="00345DCC"/>
    <w:rsid w:val="00345F3F"/>
    <w:rsid w:val="003460A7"/>
    <w:rsid w:val="00346125"/>
    <w:rsid w:val="003461A4"/>
    <w:rsid w:val="00347420"/>
    <w:rsid w:val="00347504"/>
    <w:rsid w:val="00347BC6"/>
    <w:rsid w:val="00350288"/>
    <w:rsid w:val="00350337"/>
    <w:rsid w:val="00350377"/>
    <w:rsid w:val="00350694"/>
    <w:rsid w:val="00350B9E"/>
    <w:rsid w:val="00350DFE"/>
    <w:rsid w:val="00350E7E"/>
    <w:rsid w:val="00350FF6"/>
    <w:rsid w:val="003511FA"/>
    <w:rsid w:val="00351515"/>
    <w:rsid w:val="00351C38"/>
    <w:rsid w:val="00351DE6"/>
    <w:rsid w:val="00351E7C"/>
    <w:rsid w:val="0035247D"/>
    <w:rsid w:val="003524DC"/>
    <w:rsid w:val="00352B54"/>
    <w:rsid w:val="00353774"/>
    <w:rsid w:val="00353995"/>
    <w:rsid w:val="00353A21"/>
    <w:rsid w:val="00353E3B"/>
    <w:rsid w:val="00353E5D"/>
    <w:rsid w:val="00354155"/>
    <w:rsid w:val="00354215"/>
    <w:rsid w:val="00354551"/>
    <w:rsid w:val="0035461B"/>
    <w:rsid w:val="00354662"/>
    <w:rsid w:val="0035467D"/>
    <w:rsid w:val="0035477E"/>
    <w:rsid w:val="00354A1C"/>
    <w:rsid w:val="00354C7C"/>
    <w:rsid w:val="00354DE9"/>
    <w:rsid w:val="003551D4"/>
    <w:rsid w:val="003555F7"/>
    <w:rsid w:val="00355798"/>
    <w:rsid w:val="00355CA4"/>
    <w:rsid w:val="00355D04"/>
    <w:rsid w:val="003563A2"/>
    <w:rsid w:val="00356444"/>
    <w:rsid w:val="00356AE6"/>
    <w:rsid w:val="00356BFE"/>
    <w:rsid w:val="00356EBD"/>
    <w:rsid w:val="00357061"/>
    <w:rsid w:val="00357126"/>
    <w:rsid w:val="003577DC"/>
    <w:rsid w:val="00360A82"/>
    <w:rsid w:val="00360C68"/>
    <w:rsid w:val="00360CE4"/>
    <w:rsid w:val="00361082"/>
    <w:rsid w:val="00361130"/>
    <w:rsid w:val="0036126B"/>
    <w:rsid w:val="003612D8"/>
    <w:rsid w:val="003615DD"/>
    <w:rsid w:val="00361609"/>
    <w:rsid w:val="0036176F"/>
    <w:rsid w:val="003617BD"/>
    <w:rsid w:val="00361891"/>
    <w:rsid w:val="00361B5E"/>
    <w:rsid w:val="00361D1B"/>
    <w:rsid w:val="00362911"/>
    <w:rsid w:val="00362DB2"/>
    <w:rsid w:val="00363190"/>
    <w:rsid w:val="00363D37"/>
    <w:rsid w:val="00363DDE"/>
    <w:rsid w:val="0036462F"/>
    <w:rsid w:val="003646F9"/>
    <w:rsid w:val="003648B4"/>
    <w:rsid w:val="0036495F"/>
    <w:rsid w:val="0036497C"/>
    <w:rsid w:val="003649A3"/>
    <w:rsid w:val="00364EB2"/>
    <w:rsid w:val="0036504A"/>
    <w:rsid w:val="00365078"/>
    <w:rsid w:val="003656B4"/>
    <w:rsid w:val="00365E01"/>
    <w:rsid w:val="00365F4E"/>
    <w:rsid w:val="00366084"/>
    <w:rsid w:val="0036629A"/>
    <w:rsid w:val="003662FF"/>
    <w:rsid w:val="00366353"/>
    <w:rsid w:val="00366382"/>
    <w:rsid w:val="003665DB"/>
    <w:rsid w:val="0036671F"/>
    <w:rsid w:val="003669B4"/>
    <w:rsid w:val="00366D32"/>
    <w:rsid w:val="00366D78"/>
    <w:rsid w:val="00366FD6"/>
    <w:rsid w:val="003672AA"/>
    <w:rsid w:val="00367383"/>
    <w:rsid w:val="003673F3"/>
    <w:rsid w:val="003674E7"/>
    <w:rsid w:val="0036767B"/>
    <w:rsid w:val="00367F33"/>
    <w:rsid w:val="00367F54"/>
    <w:rsid w:val="00370038"/>
    <w:rsid w:val="003701EC"/>
    <w:rsid w:val="00370247"/>
    <w:rsid w:val="0037029F"/>
    <w:rsid w:val="003705B0"/>
    <w:rsid w:val="00370B29"/>
    <w:rsid w:val="00370B8D"/>
    <w:rsid w:val="00370D2C"/>
    <w:rsid w:val="00370E44"/>
    <w:rsid w:val="00371006"/>
    <w:rsid w:val="0037129C"/>
    <w:rsid w:val="003713C2"/>
    <w:rsid w:val="003715A3"/>
    <w:rsid w:val="003715AB"/>
    <w:rsid w:val="003716DB"/>
    <w:rsid w:val="00371992"/>
    <w:rsid w:val="00371A18"/>
    <w:rsid w:val="00371C57"/>
    <w:rsid w:val="00371F5C"/>
    <w:rsid w:val="0037211E"/>
    <w:rsid w:val="003724D3"/>
    <w:rsid w:val="003728FF"/>
    <w:rsid w:val="00372EC8"/>
    <w:rsid w:val="00372F45"/>
    <w:rsid w:val="0037308F"/>
    <w:rsid w:val="0037332E"/>
    <w:rsid w:val="00373DD5"/>
    <w:rsid w:val="00373E00"/>
    <w:rsid w:val="003742AF"/>
    <w:rsid w:val="0037464D"/>
    <w:rsid w:val="00374806"/>
    <w:rsid w:val="00374AEB"/>
    <w:rsid w:val="00374E00"/>
    <w:rsid w:val="00374E43"/>
    <w:rsid w:val="00375E70"/>
    <w:rsid w:val="003762FA"/>
    <w:rsid w:val="003766AD"/>
    <w:rsid w:val="00376FA0"/>
    <w:rsid w:val="00377036"/>
    <w:rsid w:val="00377040"/>
    <w:rsid w:val="00377472"/>
    <w:rsid w:val="00377E82"/>
    <w:rsid w:val="00377F91"/>
    <w:rsid w:val="00380358"/>
    <w:rsid w:val="0038036B"/>
    <w:rsid w:val="00380AC0"/>
    <w:rsid w:val="00381107"/>
    <w:rsid w:val="003815EA"/>
    <w:rsid w:val="0038166B"/>
    <w:rsid w:val="003816BF"/>
    <w:rsid w:val="00381E7E"/>
    <w:rsid w:val="003821F4"/>
    <w:rsid w:val="00382223"/>
    <w:rsid w:val="003822D2"/>
    <w:rsid w:val="0038238E"/>
    <w:rsid w:val="00382488"/>
    <w:rsid w:val="003824B2"/>
    <w:rsid w:val="003825B3"/>
    <w:rsid w:val="0038288E"/>
    <w:rsid w:val="0038299B"/>
    <w:rsid w:val="00382DB5"/>
    <w:rsid w:val="00382EBC"/>
    <w:rsid w:val="003835F1"/>
    <w:rsid w:val="00383600"/>
    <w:rsid w:val="003837BA"/>
    <w:rsid w:val="00383921"/>
    <w:rsid w:val="00383E10"/>
    <w:rsid w:val="00383F64"/>
    <w:rsid w:val="00384059"/>
    <w:rsid w:val="00384321"/>
    <w:rsid w:val="00384376"/>
    <w:rsid w:val="003845AD"/>
    <w:rsid w:val="0038479C"/>
    <w:rsid w:val="0038479D"/>
    <w:rsid w:val="0038489F"/>
    <w:rsid w:val="003848DC"/>
    <w:rsid w:val="003848DE"/>
    <w:rsid w:val="00384D5B"/>
    <w:rsid w:val="00384FEB"/>
    <w:rsid w:val="00385037"/>
    <w:rsid w:val="003850CE"/>
    <w:rsid w:val="00385A6B"/>
    <w:rsid w:val="00385B1F"/>
    <w:rsid w:val="003869B3"/>
    <w:rsid w:val="003869BB"/>
    <w:rsid w:val="00386CDD"/>
    <w:rsid w:val="00386E50"/>
    <w:rsid w:val="00386F47"/>
    <w:rsid w:val="00386FE5"/>
    <w:rsid w:val="00387003"/>
    <w:rsid w:val="0038723F"/>
    <w:rsid w:val="003879B8"/>
    <w:rsid w:val="00387A5C"/>
    <w:rsid w:val="00387B07"/>
    <w:rsid w:val="00387E9A"/>
    <w:rsid w:val="00390009"/>
    <w:rsid w:val="00390513"/>
    <w:rsid w:val="0039065C"/>
    <w:rsid w:val="003907C0"/>
    <w:rsid w:val="00390960"/>
    <w:rsid w:val="00390B2D"/>
    <w:rsid w:val="0039119F"/>
    <w:rsid w:val="0039151A"/>
    <w:rsid w:val="003916EA"/>
    <w:rsid w:val="003917F7"/>
    <w:rsid w:val="00391AA3"/>
    <w:rsid w:val="00391AEA"/>
    <w:rsid w:val="00391B9F"/>
    <w:rsid w:val="00391F76"/>
    <w:rsid w:val="0039224D"/>
    <w:rsid w:val="00392B17"/>
    <w:rsid w:val="00392D8B"/>
    <w:rsid w:val="00392DA0"/>
    <w:rsid w:val="00393547"/>
    <w:rsid w:val="00393821"/>
    <w:rsid w:val="00393942"/>
    <w:rsid w:val="0039398B"/>
    <w:rsid w:val="00393999"/>
    <w:rsid w:val="00393B23"/>
    <w:rsid w:val="00393DF9"/>
    <w:rsid w:val="00393E2B"/>
    <w:rsid w:val="003942A5"/>
    <w:rsid w:val="003943E5"/>
    <w:rsid w:val="00394868"/>
    <w:rsid w:val="003949A7"/>
    <w:rsid w:val="00394B25"/>
    <w:rsid w:val="00395425"/>
    <w:rsid w:val="003955AE"/>
    <w:rsid w:val="003959ED"/>
    <w:rsid w:val="00395BB4"/>
    <w:rsid w:val="00395BE6"/>
    <w:rsid w:val="00395D1F"/>
    <w:rsid w:val="00395D85"/>
    <w:rsid w:val="00395F03"/>
    <w:rsid w:val="00396330"/>
    <w:rsid w:val="00396572"/>
    <w:rsid w:val="00396A6C"/>
    <w:rsid w:val="00396B5D"/>
    <w:rsid w:val="00396F39"/>
    <w:rsid w:val="00396FE7"/>
    <w:rsid w:val="003976A2"/>
    <w:rsid w:val="00397877"/>
    <w:rsid w:val="00397CA7"/>
    <w:rsid w:val="00397F2C"/>
    <w:rsid w:val="003A01BD"/>
    <w:rsid w:val="003A022B"/>
    <w:rsid w:val="003A0795"/>
    <w:rsid w:val="003A07FC"/>
    <w:rsid w:val="003A0C79"/>
    <w:rsid w:val="003A10BE"/>
    <w:rsid w:val="003A124A"/>
    <w:rsid w:val="003A129F"/>
    <w:rsid w:val="003A13AC"/>
    <w:rsid w:val="003A14F1"/>
    <w:rsid w:val="003A1737"/>
    <w:rsid w:val="003A185B"/>
    <w:rsid w:val="003A18E9"/>
    <w:rsid w:val="003A1B53"/>
    <w:rsid w:val="003A2434"/>
    <w:rsid w:val="003A27DA"/>
    <w:rsid w:val="003A2AF5"/>
    <w:rsid w:val="003A2C2C"/>
    <w:rsid w:val="003A2D6A"/>
    <w:rsid w:val="003A2FFA"/>
    <w:rsid w:val="003A310F"/>
    <w:rsid w:val="003A3224"/>
    <w:rsid w:val="003A3549"/>
    <w:rsid w:val="003A3D44"/>
    <w:rsid w:val="003A4071"/>
    <w:rsid w:val="003A4441"/>
    <w:rsid w:val="003A4523"/>
    <w:rsid w:val="003A49FF"/>
    <w:rsid w:val="003A4BC5"/>
    <w:rsid w:val="003A4EDB"/>
    <w:rsid w:val="003A5584"/>
    <w:rsid w:val="003A598C"/>
    <w:rsid w:val="003A5A68"/>
    <w:rsid w:val="003A5DC2"/>
    <w:rsid w:val="003A5ED9"/>
    <w:rsid w:val="003A61FD"/>
    <w:rsid w:val="003A641F"/>
    <w:rsid w:val="003A6820"/>
    <w:rsid w:val="003A6B9F"/>
    <w:rsid w:val="003A6CDB"/>
    <w:rsid w:val="003A6E21"/>
    <w:rsid w:val="003A6E6B"/>
    <w:rsid w:val="003A6E9A"/>
    <w:rsid w:val="003A744C"/>
    <w:rsid w:val="003A74EB"/>
    <w:rsid w:val="003A784A"/>
    <w:rsid w:val="003A7BC4"/>
    <w:rsid w:val="003A7C14"/>
    <w:rsid w:val="003A7DE2"/>
    <w:rsid w:val="003A7DEF"/>
    <w:rsid w:val="003A7EC6"/>
    <w:rsid w:val="003A7FAE"/>
    <w:rsid w:val="003B0246"/>
    <w:rsid w:val="003B0369"/>
    <w:rsid w:val="003B0685"/>
    <w:rsid w:val="003B0A2E"/>
    <w:rsid w:val="003B0A70"/>
    <w:rsid w:val="003B0B76"/>
    <w:rsid w:val="003B0D87"/>
    <w:rsid w:val="003B0EBB"/>
    <w:rsid w:val="003B103A"/>
    <w:rsid w:val="003B17F4"/>
    <w:rsid w:val="003B1CD3"/>
    <w:rsid w:val="003B1D41"/>
    <w:rsid w:val="003B1DF8"/>
    <w:rsid w:val="003B23EF"/>
    <w:rsid w:val="003B245A"/>
    <w:rsid w:val="003B28A1"/>
    <w:rsid w:val="003B2B94"/>
    <w:rsid w:val="003B2CB5"/>
    <w:rsid w:val="003B2E3A"/>
    <w:rsid w:val="003B32D5"/>
    <w:rsid w:val="003B32E5"/>
    <w:rsid w:val="003B34C4"/>
    <w:rsid w:val="003B3756"/>
    <w:rsid w:val="003B38A7"/>
    <w:rsid w:val="003B38DD"/>
    <w:rsid w:val="003B3B93"/>
    <w:rsid w:val="003B3CAF"/>
    <w:rsid w:val="003B42D9"/>
    <w:rsid w:val="003B44A8"/>
    <w:rsid w:val="003B45DA"/>
    <w:rsid w:val="003B46DD"/>
    <w:rsid w:val="003B472A"/>
    <w:rsid w:val="003B48AA"/>
    <w:rsid w:val="003B4AA2"/>
    <w:rsid w:val="003B4B48"/>
    <w:rsid w:val="003B4B53"/>
    <w:rsid w:val="003B4F92"/>
    <w:rsid w:val="003B504E"/>
    <w:rsid w:val="003B5249"/>
    <w:rsid w:val="003B52E4"/>
    <w:rsid w:val="003B58AD"/>
    <w:rsid w:val="003B59B9"/>
    <w:rsid w:val="003B59D2"/>
    <w:rsid w:val="003B5A97"/>
    <w:rsid w:val="003B5AC2"/>
    <w:rsid w:val="003B5D09"/>
    <w:rsid w:val="003B608D"/>
    <w:rsid w:val="003B6164"/>
    <w:rsid w:val="003B6462"/>
    <w:rsid w:val="003B647D"/>
    <w:rsid w:val="003B6561"/>
    <w:rsid w:val="003B661E"/>
    <w:rsid w:val="003B69C1"/>
    <w:rsid w:val="003B6AB0"/>
    <w:rsid w:val="003B6CCF"/>
    <w:rsid w:val="003B6FF0"/>
    <w:rsid w:val="003B705C"/>
    <w:rsid w:val="003B71F7"/>
    <w:rsid w:val="003B7209"/>
    <w:rsid w:val="003B7272"/>
    <w:rsid w:val="003B7276"/>
    <w:rsid w:val="003B75E3"/>
    <w:rsid w:val="003B7B3B"/>
    <w:rsid w:val="003B7D23"/>
    <w:rsid w:val="003B7E1A"/>
    <w:rsid w:val="003C067C"/>
    <w:rsid w:val="003C0779"/>
    <w:rsid w:val="003C09CB"/>
    <w:rsid w:val="003C0A4C"/>
    <w:rsid w:val="003C0A89"/>
    <w:rsid w:val="003C0AC9"/>
    <w:rsid w:val="003C0BB6"/>
    <w:rsid w:val="003C0C53"/>
    <w:rsid w:val="003C0DF6"/>
    <w:rsid w:val="003C0E00"/>
    <w:rsid w:val="003C0EF2"/>
    <w:rsid w:val="003C120A"/>
    <w:rsid w:val="003C1228"/>
    <w:rsid w:val="003C15C5"/>
    <w:rsid w:val="003C173F"/>
    <w:rsid w:val="003C1B15"/>
    <w:rsid w:val="003C1C76"/>
    <w:rsid w:val="003C1C8F"/>
    <w:rsid w:val="003C1E1E"/>
    <w:rsid w:val="003C2158"/>
    <w:rsid w:val="003C2210"/>
    <w:rsid w:val="003C25BA"/>
    <w:rsid w:val="003C2798"/>
    <w:rsid w:val="003C2959"/>
    <w:rsid w:val="003C30CB"/>
    <w:rsid w:val="003C3A3B"/>
    <w:rsid w:val="003C3A89"/>
    <w:rsid w:val="003C3AA1"/>
    <w:rsid w:val="003C445E"/>
    <w:rsid w:val="003C4512"/>
    <w:rsid w:val="003C4521"/>
    <w:rsid w:val="003C45B2"/>
    <w:rsid w:val="003C49C9"/>
    <w:rsid w:val="003C4ABE"/>
    <w:rsid w:val="003C4D3F"/>
    <w:rsid w:val="003C5129"/>
    <w:rsid w:val="003C523E"/>
    <w:rsid w:val="003C527E"/>
    <w:rsid w:val="003C567F"/>
    <w:rsid w:val="003C5697"/>
    <w:rsid w:val="003C5B2E"/>
    <w:rsid w:val="003C5BEA"/>
    <w:rsid w:val="003C6F81"/>
    <w:rsid w:val="003C722C"/>
    <w:rsid w:val="003C7300"/>
    <w:rsid w:val="003C7397"/>
    <w:rsid w:val="003C76E7"/>
    <w:rsid w:val="003C76EF"/>
    <w:rsid w:val="003C7712"/>
    <w:rsid w:val="003C77E1"/>
    <w:rsid w:val="003C7BEB"/>
    <w:rsid w:val="003C7CC0"/>
    <w:rsid w:val="003C7F84"/>
    <w:rsid w:val="003D0941"/>
    <w:rsid w:val="003D0A6A"/>
    <w:rsid w:val="003D0DA6"/>
    <w:rsid w:val="003D0ED3"/>
    <w:rsid w:val="003D11F6"/>
    <w:rsid w:val="003D13B1"/>
    <w:rsid w:val="003D180B"/>
    <w:rsid w:val="003D1CAD"/>
    <w:rsid w:val="003D1DF9"/>
    <w:rsid w:val="003D2225"/>
    <w:rsid w:val="003D2286"/>
    <w:rsid w:val="003D2427"/>
    <w:rsid w:val="003D24F5"/>
    <w:rsid w:val="003D28B2"/>
    <w:rsid w:val="003D2B01"/>
    <w:rsid w:val="003D2F70"/>
    <w:rsid w:val="003D305E"/>
    <w:rsid w:val="003D3439"/>
    <w:rsid w:val="003D365E"/>
    <w:rsid w:val="003D3724"/>
    <w:rsid w:val="003D3845"/>
    <w:rsid w:val="003D3A4E"/>
    <w:rsid w:val="003D3B63"/>
    <w:rsid w:val="003D3BA8"/>
    <w:rsid w:val="003D3E90"/>
    <w:rsid w:val="003D3FAF"/>
    <w:rsid w:val="003D496F"/>
    <w:rsid w:val="003D4A07"/>
    <w:rsid w:val="003D4BF5"/>
    <w:rsid w:val="003D5164"/>
    <w:rsid w:val="003D52F8"/>
    <w:rsid w:val="003D54CD"/>
    <w:rsid w:val="003D553D"/>
    <w:rsid w:val="003D569C"/>
    <w:rsid w:val="003D59D0"/>
    <w:rsid w:val="003D5A85"/>
    <w:rsid w:val="003D5DE2"/>
    <w:rsid w:val="003D64B8"/>
    <w:rsid w:val="003D661D"/>
    <w:rsid w:val="003D682D"/>
    <w:rsid w:val="003D6A56"/>
    <w:rsid w:val="003D7041"/>
    <w:rsid w:val="003D76AA"/>
    <w:rsid w:val="003D775F"/>
    <w:rsid w:val="003D776C"/>
    <w:rsid w:val="003D77EB"/>
    <w:rsid w:val="003D7E2A"/>
    <w:rsid w:val="003D7ED2"/>
    <w:rsid w:val="003D7FA5"/>
    <w:rsid w:val="003E026A"/>
    <w:rsid w:val="003E03BF"/>
    <w:rsid w:val="003E03E7"/>
    <w:rsid w:val="003E0468"/>
    <w:rsid w:val="003E0890"/>
    <w:rsid w:val="003E0AED"/>
    <w:rsid w:val="003E0F57"/>
    <w:rsid w:val="003E10E7"/>
    <w:rsid w:val="003E11BC"/>
    <w:rsid w:val="003E13FE"/>
    <w:rsid w:val="003E14F9"/>
    <w:rsid w:val="003E1B10"/>
    <w:rsid w:val="003E1B28"/>
    <w:rsid w:val="003E2063"/>
    <w:rsid w:val="003E20D6"/>
    <w:rsid w:val="003E2413"/>
    <w:rsid w:val="003E2864"/>
    <w:rsid w:val="003E28DC"/>
    <w:rsid w:val="003E2F95"/>
    <w:rsid w:val="003E3522"/>
    <w:rsid w:val="003E391B"/>
    <w:rsid w:val="003E397E"/>
    <w:rsid w:val="003E3A03"/>
    <w:rsid w:val="003E405E"/>
    <w:rsid w:val="003E4546"/>
    <w:rsid w:val="003E46C2"/>
    <w:rsid w:val="003E4793"/>
    <w:rsid w:val="003E4F9C"/>
    <w:rsid w:val="003E59A3"/>
    <w:rsid w:val="003E59D9"/>
    <w:rsid w:val="003E59EE"/>
    <w:rsid w:val="003E5B8B"/>
    <w:rsid w:val="003E5CD6"/>
    <w:rsid w:val="003E5ED0"/>
    <w:rsid w:val="003E6066"/>
    <w:rsid w:val="003E635D"/>
    <w:rsid w:val="003E68A8"/>
    <w:rsid w:val="003E6AFD"/>
    <w:rsid w:val="003E6D50"/>
    <w:rsid w:val="003E6DC1"/>
    <w:rsid w:val="003E6EBE"/>
    <w:rsid w:val="003E714B"/>
    <w:rsid w:val="003E7308"/>
    <w:rsid w:val="003E730A"/>
    <w:rsid w:val="003E75AD"/>
    <w:rsid w:val="003E7924"/>
    <w:rsid w:val="003E7D20"/>
    <w:rsid w:val="003E7EBB"/>
    <w:rsid w:val="003F0252"/>
    <w:rsid w:val="003F02D6"/>
    <w:rsid w:val="003F0336"/>
    <w:rsid w:val="003F04B3"/>
    <w:rsid w:val="003F05D6"/>
    <w:rsid w:val="003F08A8"/>
    <w:rsid w:val="003F0AC4"/>
    <w:rsid w:val="003F1312"/>
    <w:rsid w:val="003F153B"/>
    <w:rsid w:val="003F1943"/>
    <w:rsid w:val="003F199C"/>
    <w:rsid w:val="003F1F07"/>
    <w:rsid w:val="003F2ADB"/>
    <w:rsid w:val="003F2E49"/>
    <w:rsid w:val="003F2E80"/>
    <w:rsid w:val="003F31EE"/>
    <w:rsid w:val="003F33BF"/>
    <w:rsid w:val="003F379B"/>
    <w:rsid w:val="003F399A"/>
    <w:rsid w:val="003F3D75"/>
    <w:rsid w:val="003F3F24"/>
    <w:rsid w:val="003F4373"/>
    <w:rsid w:val="003F444A"/>
    <w:rsid w:val="003F460F"/>
    <w:rsid w:val="003F467E"/>
    <w:rsid w:val="003F4878"/>
    <w:rsid w:val="003F48CF"/>
    <w:rsid w:val="003F4DDB"/>
    <w:rsid w:val="003F4EAA"/>
    <w:rsid w:val="003F5348"/>
    <w:rsid w:val="003F557D"/>
    <w:rsid w:val="003F5694"/>
    <w:rsid w:val="003F5A4C"/>
    <w:rsid w:val="003F5D41"/>
    <w:rsid w:val="003F5EB8"/>
    <w:rsid w:val="003F5F4F"/>
    <w:rsid w:val="003F5FC9"/>
    <w:rsid w:val="003F6097"/>
    <w:rsid w:val="003F60AE"/>
    <w:rsid w:val="003F69D7"/>
    <w:rsid w:val="003F6AF5"/>
    <w:rsid w:val="003F6F99"/>
    <w:rsid w:val="003F7027"/>
    <w:rsid w:val="003F705D"/>
    <w:rsid w:val="003F72FE"/>
    <w:rsid w:val="003F76C7"/>
    <w:rsid w:val="003F776C"/>
    <w:rsid w:val="003F7C55"/>
    <w:rsid w:val="003F7C5C"/>
    <w:rsid w:val="003F7CEC"/>
    <w:rsid w:val="003F7D7B"/>
    <w:rsid w:val="00400328"/>
    <w:rsid w:val="00400532"/>
    <w:rsid w:val="00400AB7"/>
    <w:rsid w:val="004011DB"/>
    <w:rsid w:val="00401231"/>
    <w:rsid w:val="004012A7"/>
    <w:rsid w:val="004012F1"/>
    <w:rsid w:val="00401595"/>
    <w:rsid w:val="00401749"/>
    <w:rsid w:val="00401919"/>
    <w:rsid w:val="00401A2A"/>
    <w:rsid w:val="00401D71"/>
    <w:rsid w:val="00401F21"/>
    <w:rsid w:val="00401F28"/>
    <w:rsid w:val="00401F55"/>
    <w:rsid w:val="00402054"/>
    <w:rsid w:val="0040208C"/>
    <w:rsid w:val="00402D46"/>
    <w:rsid w:val="00403035"/>
    <w:rsid w:val="004030D0"/>
    <w:rsid w:val="00403402"/>
    <w:rsid w:val="00403B4C"/>
    <w:rsid w:val="00403FDE"/>
    <w:rsid w:val="0040435C"/>
    <w:rsid w:val="004045B8"/>
    <w:rsid w:val="00404728"/>
    <w:rsid w:val="00404901"/>
    <w:rsid w:val="00404D54"/>
    <w:rsid w:val="00404ED3"/>
    <w:rsid w:val="00404EDC"/>
    <w:rsid w:val="00404FF8"/>
    <w:rsid w:val="004051D1"/>
    <w:rsid w:val="00405285"/>
    <w:rsid w:val="00405452"/>
    <w:rsid w:val="00405629"/>
    <w:rsid w:val="0040568F"/>
    <w:rsid w:val="00405821"/>
    <w:rsid w:val="00405899"/>
    <w:rsid w:val="00405D67"/>
    <w:rsid w:val="0040607A"/>
    <w:rsid w:val="004064C7"/>
    <w:rsid w:val="004067D9"/>
    <w:rsid w:val="004067DB"/>
    <w:rsid w:val="0040698A"/>
    <w:rsid w:val="00406B17"/>
    <w:rsid w:val="00406C7F"/>
    <w:rsid w:val="00406E7D"/>
    <w:rsid w:val="00407817"/>
    <w:rsid w:val="00407C65"/>
    <w:rsid w:val="00407F5B"/>
    <w:rsid w:val="0041024F"/>
    <w:rsid w:val="00410254"/>
    <w:rsid w:val="004103A0"/>
    <w:rsid w:val="00410684"/>
    <w:rsid w:val="004106EA"/>
    <w:rsid w:val="0041075E"/>
    <w:rsid w:val="004109E7"/>
    <w:rsid w:val="00410A5B"/>
    <w:rsid w:val="00410B34"/>
    <w:rsid w:val="00411004"/>
    <w:rsid w:val="00411716"/>
    <w:rsid w:val="0041190C"/>
    <w:rsid w:val="0041197C"/>
    <w:rsid w:val="00411BCA"/>
    <w:rsid w:val="00411CA6"/>
    <w:rsid w:val="004121A5"/>
    <w:rsid w:val="004123A1"/>
    <w:rsid w:val="004129EF"/>
    <w:rsid w:val="00412A68"/>
    <w:rsid w:val="00412A85"/>
    <w:rsid w:val="00412B39"/>
    <w:rsid w:val="00412BE0"/>
    <w:rsid w:val="00412C43"/>
    <w:rsid w:val="00412CDA"/>
    <w:rsid w:val="00412DA4"/>
    <w:rsid w:val="00412EC4"/>
    <w:rsid w:val="004131B3"/>
    <w:rsid w:val="004132DC"/>
    <w:rsid w:val="00413629"/>
    <w:rsid w:val="004136B9"/>
    <w:rsid w:val="004137EE"/>
    <w:rsid w:val="00413C39"/>
    <w:rsid w:val="00414564"/>
    <w:rsid w:val="00414568"/>
    <w:rsid w:val="00414966"/>
    <w:rsid w:val="004149B2"/>
    <w:rsid w:val="004150B4"/>
    <w:rsid w:val="004152C6"/>
    <w:rsid w:val="00415431"/>
    <w:rsid w:val="00415966"/>
    <w:rsid w:val="00415A2D"/>
    <w:rsid w:val="00415C1C"/>
    <w:rsid w:val="00415D6E"/>
    <w:rsid w:val="00416088"/>
    <w:rsid w:val="00416182"/>
    <w:rsid w:val="004166F7"/>
    <w:rsid w:val="00416ADC"/>
    <w:rsid w:val="00416B03"/>
    <w:rsid w:val="00416D33"/>
    <w:rsid w:val="00416EE9"/>
    <w:rsid w:val="00417012"/>
    <w:rsid w:val="0041712E"/>
    <w:rsid w:val="0041727A"/>
    <w:rsid w:val="0041727B"/>
    <w:rsid w:val="00420246"/>
    <w:rsid w:val="004206BE"/>
    <w:rsid w:val="004208C2"/>
    <w:rsid w:val="004209AD"/>
    <w:rsid w:val="00420BD3"/>
    <w:rsid w:val="00420F84"/>
    <w:rsid w:val="00421007"/>
    <w:rsid w:val="00421009"/>
    <w:rsid w:val="0042113F"/>
    <w:rsid w:val="0042157B"/>
    <w:rsid w:val="004217F8"/>
    <w:rsid w:val="00421894"/>
    <w:rsid w:val="00421989"/>
    <w:rsid w:val="00421EBD"/>
    <w:rsid w:val="00421F6E"/>
    <w:rsid w:val="00421FC8"/>
    <w:rsid w:val="00422064"/>
    <w:rsid w:val="00422224"/>
    <w:rsid w:val="00422379"/>
    <w:rsid w:val="00422513"/>
    <w:rsid w:val="0042252E"/>
    <w:rsid w:val="004225BE"/>
    <w:rsid w:val="004225F4"/>
    <w:rsid w:val="0042278A"/>
    <w:rsid w:val="00422884"/>
    <w:rsid w:val="00422BEB"/>
    <w:rsid w:val="00422D0C"/>
    <w:rsid w:val="00422EE5"/>
    <w:rsid w:val="00422EE7"/>
    <w:rsid w:val="004230E4"/>
    <w:rsid w:val="00423699"/>
    <w:rsid w:val="0042378D"/>
    <w:rsid w:val="00423B81"/>
    <w:rsid w:val="00423E31"/>
    <w:rsid w:val="00423EB0"/>
    <w:rsid w:val="00423F75"/>
    <w:rsid w:val="0042404B"/>
    <w:rsid w:val="00424122"/>
    <w:rsid w:val="004241F7"/>
    <w:rsid w:val="00424337"/>
    <w:rsid w:val="00424406"/>
    <w:rsid w:val="0042443D"/>
    <w:rsid w:val="00424823"/>
    <w:rsid w:val="00424ACD"/>
    <w:rsid w:val="00424C1E"/>
    <w:rsid w:val="00424CAD"/>
    <w:rsid w:val="004251B8"/>
    <w:rsid w:val="00425249"/>
    <w:rsid w:val="004252AC"/>
    <w:rsid w:val="0042567A"/>
    <w:rsid w:val="00425694"/>
    <w:rsid w:val="0042581B"/>
    <w:rsid w:val="00425850"/>
    <w:rsid w:val="00425C69"/>
    <w:rsid w:val="00425D56"/>
    <w:rsid w:val="00425F74"/>
    <w:rsid w:val="004262A2"/>
    <w:rsid w:val="00426789"/>
    <w:rsid w:val="0042694A"/>
    <w:rsid w:val="00426EC8"/>
    <w:rsid w:val="0042757E"/>
    <w:rsid w:val="004275FE"/>
    <w:rsid w:val="004276D3"/>
    <w:rsid w:val="00427C38"/>
    <w:rsid w:val="00427DF6"/>
    <w:rsid w:val="00430117"/>
    <w:rsid w:val="00430647"/>
    <w:rsid w:val="004307A0"/>
    <w:rsid w:val="00430B6F"/>
    <w:rsid w:val="00430D71"/>
    <w:rsid w:val="00430E94"/>
    <w:rsid w:val="00430F57"/>
    <w:rsid w:val="004312A6"/>
    <w:rsid w:val="00431722"/>
    <w:rsid w:val="00431AF2"/>
    <w:rsid w:val="00431C21"/>
    <w:rsid w:val="00431E60"/>
    <w:rsid w:val="00431F50"/>
    <w:rsid w:val="00431FCE"/>
    <w:rsid w:val="00432099"/>
    <w:rsid w:val="0043217F"/>
    <w:rsid w:val="00432CB7"/>
    <w:rsid w:val="00432E9B"/>
    <w:rsid w:val="00432F1A"/>
    <w:rsid w:val="00433295"/>
    <w:rsid w:val="00433320"/>
    <w:rsid w:val="004337FE"/>
    <w:rsid w:val="0043399F"/>
    <w:rsid w:val="00433AFF"/>
    <w:rsid w:val="00433E90"/>
    <w:rsid w:val="00433FBD"/>
    <w:rsid w:val="0043416B"/>
    <w:rsid w:val="00434255"/>
    <w:rsid w:val="004343B5"/>
    <w:rsid w:val="0043449D"/>
    <w:rsid w:val="00434A75"/>
    <w:rsid w:val="00434BEC"/>
    <w:rsid w:val="00434E2F"/>
    <w:rsid w:val="004350DD"/>
    <w:rsid w:val="00435262"/>
    <w:rsid w:val="00435855"/>
    <w:rsid w:val="00435BC6"/>
    <w:rsid w:val="00435C2E"/>
    <w:rsid w:val="00435C55"/>
    <w:rsid w:val="00435E2F"/>
    <w:rsid w:val="0043612B"/>
    <w:rsid w:val="004361E8"/>
    <w:rsid w:val="00436920"/>
    <w:rsid w:val="00436CE0"/>
    <w:rsid w:val="00436D81"/>
    <w:rsid w:val="00436EA7"/>
    <w:rsid w:val="004372FA"/>
    <w:rsid w:val="0043739E"/>
    <w:rsid w:val="004373FD"/>
    <w:rsid w:val="0043779B"/>
    <w:rsid w:val="004378E1"/>
    <w:rsid w:val="00437A4F"/>
    <w:rsid w:val="004404A5"/>
    <w:rsid w:val="004406ED"/>
    <w:rsid w:val="004408DB"/>
    <w:rsid w:val="004408EC"/>
    <w:rsid w:val="00440A1E"/>
    <w:rsid w:val="00440D11"/>
    <w:rsid w:val="00440ED2"/>
    <w:rsid w:val="004410E6"/>
    <w:rsid w:val="00441495"/>
    <w:rsid w:val="004414DB"/>
    <w:rsid w:val="004415EC"/>
    <w:rsid w:val="004415F1"/>
    <w:rsid w:val="00441906"/>
    <w:rsid w:val="00441E64"/>
    <w:rsid w:val="00441E8B"/>
    <w:rsid w:val="004421A0"/>
    <w:rsid w:val="00442261"/>
    <w:rsid w:val="00442507"/>
    <w:rsid w:val="004425F7"/>
    <w:rsid w:val="004427CC"/>
    <w:rsid w:val="004429C6"/>
    <w:rsid w:val="00442AF0"/>
    <w:rsid w:val="00442B36"/>
    <w:rsid w:val="00442CB9"/>
    <w:rsid w:val="00442F35"/>
    <w:rsid w:val="0044309E"/>
    <w:rsid w:val="004431CD"/>
    <w:rsid w:val="004432A3"/>
    <w:rsid w:val="00443352"/>
    <w:rsid w:val="00443370"/>
    <w:rsid w:val="0044340A"/>
    <w:rsid w:val="004436A2"/>
    <w:rsid w:val="00443F1B"/>
    <w:rsid w:val="00444174"/>
    <w:rsid w:val="00444332"/>
    <w:rsid w:val="004447A4"/>
    <w:rsid w:val="0044542D"/>
    <w:rsid w:val="0044549A"/>
    <w:rsid w:val="0044555D"/>
    <w:rsid w:val="00445636"/>
    <w:rsid w:val="00445A2B"/>
    <w:rsid w:val="00445A31"/>
    <w:rsid w:val="00445B3D"/>
    <w:rsid w:val="0044604D"/>
    <w:rsid w:val="00446223"/>
    <w:rsid w:val="00446281"/>
    <w:rsid w:val="0044638C"/>
    <w:rsid w:val="004463CA"/>
    <w:rsid w:val="004464DE"/>
    <w:rsid w:val="00446A0F"/>
    <w:rsid w:val="00446B3A"/>
    <w:rsid w:val="00446F88"/>
    <w:rsid w:val="004472FC"/>
    <w:rsid w:val="00447B90"/>
    <w:rsid w:val="00447D77"/>
    <w:rsid w:val="00447F8E"/>
    <w:rsid w:val="004501ED"/>
    <w:rsid w:val="0045028D"/>
    <w:rsid w:val="004503CC"/>
    <w:rsid w:val="00450510"/>
    <w:rsid w:val="0045073B"/>
    <w:rsid w:val="004509F9"/>
    <w:rsid w:val="00450B97"/>
    <w:rsid w:val="00450E8A"/>
    <w:rsid w:val="00451762"/>
    <w:rsid w:val="0045186C"/>
    <w:rsid w:val="0045193E"/>
    <w:rsid w:val="00451A73"/>
    <w:rsid w:val="00451CB2"/>
    <w:rsid w:val="00451FFD"/>
    <w:rsid w:val="00452220"/>
    <w:rsid w:val="00452880"/>
    <w:rsid w:val="004528E2"/>
    <w:rsid w:val="004529B2"/>
    <w:rsid w:val="00452C8C"/>
    <w:rsid w:val="00452E80"/>
    <w:rsid w:val="00453281"/>
    <w:rsid w:val="0045328D"/>
    <w:rsid w:val="00453404"/>
    <w:rsid w:val="004538D5"/>
    <w:rsid w:val="00453C16"/>
    <w:rsid w:val="00453C34"/>
    <w:rsid w:val="00453D5C"/>
    <w:rsid w:val="00454370"/>
    <w:rsid w:val="00454525"/>
    <w:rsid w:val="004545C0"/>
    <w:rsid w:val="0045469C"/>
    <w:rsid w:val="004548BD"/>
    <w:rsid w:val="0045543F"/>
    <w:rsid w:val="0045563C"/>
    <w:rsid w:val="004556AB"/>
    <w:rsid w:val="00455ADB"/>
    <w:rsid w:val="00455DA5"/>
    <w:rsid w:val="00455FB1"/>
    <w:rsid w:val="00456485"/>
    <w:rsid w:val="0045662F"/>
    <w:rsid w:val="00456ACD"/>
    <w:rsid w:val="00456F06"/>
    <w:rsid w:val="0045741D"/>
    <w:rsid w:val="004577CD"/>
    <w:rsid w:val="00457A06"/>
    <w:rsid w:val="00457AA8"/>
    <w:rsid w:val="00457CDE"/>
    <w:rsid w:val="00457D30"/>
    <w:rsid w:val="00457E5B"/>
    <w:rsid w:val="00457F0B"/>
    <w:rsid w:val="00457F8B"/>
    <w:rsid w:val="00460148"/>
    <w:rsid w:val="00460423"/>
    <w:rsid w:val="00460446"/>
    <w:rsid w:val="00460625"/>
    <w:rsid w:val="00460ABC"/>
    <w:rsid w:val="00460E36"/>
    <w:rsid w:val="0046106B"/>
    <w:rsid w:val="0046155B"/>
    <w:rsid w:val="0046166F"/>
    <w:rsid w:val="00461682"/>
    <w:rsid w:val="004616B2"/>
    <w:rsid w:val="004619C9"/>
    <w:rsid w:val="00461CDD"/>
    <w:rsid w:val="00461DC8"/>
    <w:rsid w:val="00462597"/>
    <w:rsid w:val="00462820"/>
    <w:rsid w:val="004636C9"/>
    <w:rsid w:val="00463FB5"/>
    <w:rsid w:val="00464308"/>
    <w:rsid w:val="00464577"/>
    <w:rsid w:val="0046457E"/>
    <w:rsid w:val="00464630"/>
    <w:rsid w:val="00464650"/>
    <w:rsid w:val="00464BE2"/>
    <w:rsid w:val="004651D6"/>
    <w:rsid w:val="0046554E"/>
    <w:rsid w:val="00465703"/>
    <w:rsid w:val="004657DC"/>
    <w:rsid w:val="00465829"/>
    <w:rsid w:val="00465F28"/>
    <w:rsid w:val="0046618C"/>
    <w:rsid w:val="0046667A"/>
    <w:rsid w:val="004666D3"/>
    <w:rsid w:val="00466885"/>
    <w:rsid w:val="00466A13"/>
    <w:rsid w:val="00466D64"/>
    <w:rsid w:val="00467195"/>
    <w:rsid w:val="004677F7"/>
    <w:rsid w:val="004679D8"/>
    <w:rsid w:val="004701B4"/>
    <w:rsid w:val="00470380"/>
    <w:rsid w:val="0047041B"/>
    <w:rsid w:val="00470432"/>
    <w:rsid w:val="00470D24"/>
    <w:rsid w:val="00471027"/>
    <w:rsid w:val="0047144D"/>
    <w:rsid w:val="0047148E"/>
    <w:rsid w:val="004714C0"/>
    <w:rsid w:val="00471868"/>
    <w:rsid w:val="0047196F"/>
    <w:rsid w:val="00471C25"/>
    <w:rsid w:val="00472227"/>
    <w:rsid w:val="004723A3"/>
    <w:rsid w:val="00472E10"/>
    <w:rsid w:val="00472E48"/>
    <w:rsid w:val="004731B5"/>
    <w:rsid w:val="00473267"/>
    <w:rsid w:val="00473A6A"/>
    <w:rsid w:val="00473C6A"/>
    <w:rsid w:val="00473E1C"/>
    <w:rsid w:val="004740A4"/>
    <w:rsid w:val="004740BA"/>
    <w:rsid w:val="004742FD"/>
    <w:rsid w:val="004746D2"/>
    <w:rsid w:val="00474788"/>
    <w:rsid w:val="0047497F"/>
    <w:rsid w:val="00474ED4"/>
    <w:rsid w:val="004754AA"/>
    <w:rsid w:val="004756EA"/>
    <w:rsid w:val="004758C8"/>
    <w:rsid w:val="00475BB4"/>
    <w:rsid w:val="00475C6B"/>
    <w:rsid w:val="0047619E"/>
    <w:rsid w:val="0047637C"/>
    <w:rsid w:val="004769E8"/>
    <w:rsid w:val="004769FB"/>
    <w:rsid w:val="00476C4C"/>
    <w:rsid w:val="00476D2A"/>
    <w:rsid w:val="00476D32"/>
    <w:rsid w:val="004772EB"/>
    <w:rsid w:val="00477526"/>
    <w:rsid w:val="00477A6E"/>
    <w:rsid w:val="00477D57"/>
    <w:rsid w:val="00477EF1"/>
    <w:rsid w:val="0048003C"/>
    <w:rsid w:val="0048011B"/>
    <w:rsid w:val="0048044F"/>
    <w:rsid w:val="00480A2E"/>
    <w:rsid w:val="00481245"/>
    <w:rsid w:val="00481350"/>
    <w:rsid w:val="00481396"/>
    <w:rsid w:val="004817A7"/>
    <w:rsid w:val="00481916"/>
    <w:rsid w:val="00481A6F"/>
    <w:rsid w:val="004825BB"/>
    <w:rsid w:val="00482742"/>
    <w:rsid w:val="004827C8"/>
    <w:rsid w:val="00482C80"/>
    <w:rsid w:val="00482E82"/>
    <w:rsid w:val="0048336A"/>
    <w:rsid w:val="00483504"/>
    <w:rsid w:val="00483699"/>
    <w:rsid w:val="004837D6"/>
    <w:rsid w:val="004837F7"/>
    <w:rsid w:val="00483D93"/>
    <w:rsid w:val="00484314"/>
    <w:rsid w:val="0048445E"/>
    <w:rsid w:val="004844F9"/>
    <w:rsid w:val="004846B1"/>
    <w:rsid w:val="00484DE0"/>
    <w:rsid w:val="00484E4F"/>
    <w:rsid w:val="0048519C"/>
    <w:rsid w:val="00485249"/>
    <w:rsid w:val="004852B7"/>
    <w:rsid w:val="0048547E"/>
    <w:rsid w:val="004854A6"/>
    <w:rsid w:val="0048550E"/>
    <w:rsid w:val="00485A90"/>
    <w:rsid w:val="00485D7A"/>
    <w:rsid w:val="004860F8"/>
    <w:rsid w:val="0048634C"/>
    <w:rsid w:val="0048637F"/>
    <w:rsid w:val="00486514"/>
    <w:rsid w:val="0048662A"/>
    <w:rsid w:val="004867D7"/>
    <w:rsid w:val="00486DE8"/>
    <w:rsid w:val="00486DF1"/>
    <w:rsid w:val="0048702F"/>
    <w:rsid w:val="00487088"/>
    <w:rsid w:val="00487460"/>
    <w:rsid w:val="004877EE"/>
    <w:rsid w:val="004879E2"/>
    <w:rsid w:val="00487F9B"/>
    <w:rsid w:val="00487FCB"/>
    <w:rsid w:val="00490091"/>
    <w:rsid w:val="0049030F"/>
    <w:rsid w:val="00490E9F"/>
    <w:rsid w:val="004911C8"/>
    <w:rsid w:val="0049132B"/>
    <w:rsid w:val="0049133B"/>
    <w:rsid w:val="0049191C"/>
    <w:rsid w:val="00491AE6"/>
    <w:rsid w:val="00491B26"/>
    <w:rsid w:val="00491D04"/>
    <w:rsid w:val="00491EE9"/>
    <w:rsid w:val="0049204F"/>
    <w:rsid w:val="00492870"/>
    <w:rsid w:val="00492CCB"/>
    <w:rsid w:val="00492D00"/>
    <w:rsid w:val="00492F3E"/>
    <w:rsid w:val="0049331E"/>
    <w:rsid w:val="00493348"/>
    <w:rsid w:val="004934C3"/>
    <w:rsid w:val="00493968"/>
    <w:rsid w:val="00493B13"/>
    <w:rsid w:val="00493F0E"/>
    <w:rsid w:val="00494131"/>
    <w:rsid w:val="004941C5"/>
    <w:rsid w:val="00494265"/>
    <w:rsid w:val="004945D0"/>
    <w:rsid w:val="0049483B"/>
    <w:rsid w:val="00494949"/>
    <w:rsid w:val="00494AF5"/>
    <w:rsid w:val="00495082"/>
    <w:rsid w:val="00495349"/>
    <w:rsid w:val="00495363"/>
    <w:rsid w:val="0049567F"/>
    <w:rsid w:val="00495A99"/>
    <w:rsid w:val="00495B08"/>
    <w:rsid w:val="00495B34"/>
    <w:rsid w:val="00495D55"/>
    <w:rsid w:val="00495E1E"/>
    <w:rsid w:val="00496179"/>
    <w:rsid w:val="00497205"/>
    <w:rsid w:val="0049733B"/>
    <w:rsid w:val="00497361"/>
    <w:rsid w:val="00497884"/>
    <w:rsid w:val="00497A3F"/>
    <w:rsid w:val="004A00DE"/>
    <w:rsid w:val="004A012E"/>
    <w:rsid w:val="004A0414"/>
    <w:rsid w:val="004A0BD9"/>
    <w:rsid w:val="004A0C67"/>
    <w:rsid w:val="004A1163"/>
    <w:rsid w:val="004A14F5"/>
    <w:rsid w:val="004A14F8"/>
    <w:rsid w:val="004A150F"/>
    <w:rsid w:val="004A1692"/>
    <w:rsid w:val="004A17E7"/>
    <w:rsid w:val="004A1CCE"/>
    <w:rsid w:val="004A21D5"/>
    <w:rsid w:val="004A2A11"/>
    <w:rsid w:val="004A2AD5"/>
    <w:rsid w:val="004A3918"/>
    <w:rsid w:val="004A3A0F"/>
    <w:rsid w:val="004A415E"/>
    <w:rsid w:val="004A4DA9"/>
    <w:rsid w:val="004A4E99"/>
    <w:rsid w:val="004A4F38"/>
    <w:rsid w:val="004A50D2"/>
    <w:rsid w:val="004A51D5"/>
    <w:rsid w:val="004A5394"/>
    <w:rsid w:val="004A5E52"/>
    <w:rsid w:val="004A606B"/>
    <w:rsid w:val="004A649F"/>
    <w:rsid w:val="004A682E"/>
    <w:rsid w:val="004A7244"/>
    <w:rsid w:val="004A72B6"/>
    <w:rsid w:val="004A7465"/>
    <w:rsid w:val="004A7498"/>
    <w:rsid w:val="004A7677"/>
    <w:rsid w:val="004A77B7"/>
    <w:rsid w:val="004A79B2"/>
    <w:rsid w:val="004B01B7"/>
    <w:rsid w:val="004B04F5"/>
    <w:rsid w:val="004B0797"/>
    <w:rsid w:val="004B0E42"/>
    <w:rsid w:val="004B0E81"/>
    <w:rsid w:val="004B0EAE"/>
    <w:rsid w:val="004B1673"/>
    <w:rsid w:val="004B1B36"/>
    <w:rsid w:val="004B1B71"/>
    <w:rsid w:val="004B1E8A"/>
    <w:rsid w:val="004B1FF7"/>
    <w:rsid w:val="004B2171"/>
    <w:rsid w:val="004B2401"/>
    <w:rsid w:val="004B264E"/>
    <w:rsid w:val="004B268E"/>
    <w:rsid w:val="004B26D4"/>
    <w:rsid w:val="004B2BE3"/>
    <w:rsid w:val="004B2CAB"/>
    <w:rsid w:val="004B2D38"/>
    <w:rsid w:val="004B2DAE"/>
    <w:rsid w:val="004B2E89"/>
    <w:rsid w:val="004B3351"/>
    <w:rsid w:val="004B356C"/>
    <w:rsid w:val="004B3580"/>
    <w:rsid w:val="004B3A30"/>
    <w:rsid w:val="004B3A38"/>
    <w:rsid w:val="004B3F1C"/>
    <w:rsid w:val="004B442F"/>
    <w:rsid w:val="004B4675"/>
    <w:rsid w:val="004B46EF"/>
    <w:rsid w:val="004B491C"/>
    <w:rsid w:val="004B4D4F"/>
    <w:rsid w:val="004B52CD"/>
    <w:rsid w:val="004B53B3"/>
    <w:rsid w:val="004B5406"/>
    <w:rsid w:val="004B55E0"/>
    <w:rsid w:val="004B5D93"/>
    <w:rsid w:val="004B5DB5"/>
    <w:rsid w:val="004B60DD"/>
    <w:rsid w:val="004B6142"/>
    <w:rsid w:val="004B664C"/>
    <w:rsid w:val="004B67FC"/>
    <w:rsid w:val="004B6872"/>
    <w:rsid w:val="004B6892"/>
    <w:rsid w:val="004B6AAF"/>
    <w:rsid w:val="004B6C22"/>
    <w:rsid w:val="004B6C44"/>
    <w:rsid w:val="004B6CB6"/>
    <w:rsid w:val="004B6CEF"/>
    <w:rsid w:val="004B6D51"/>
    <w:rsid w:val="004B6E48"/>
    <w:rsid w:val="004B7463"/>
    <w:rsid w:val="004B7502"/>
    <w:rsid w:val="004B79CB"/>
    <w:rsid w:val="004B79DB"/>
    <w:rsid w:val="004B7B96"/>
    <w:rsid w:val="004B7CF1"/>
    <w:rsid w:val="004B7D16"/>
    <w:rsid w:val="004C01D4"/>
    <w:rsid w:val="004C026D"/>
    <w:rsid w:val="004C0494"/>
    <w:rsid w:val="004C083C"/>
    <w:rsid w:val="004C0AAA"/>
    <w:rsid w:val="004C0BE6"/>
    <w:rsid w:val="004C0DBE"/>
    <w:rsid w:val="004C1494"/>
    <w:rsid w:val="004C14CC"/>
    <w:rsid w:val="004C1C46"/>
    <w:rsid w:val="004C1D84"/>
    <w:rsid w:val="004C2469"/>
    <w:rsid w:val="004C24FD"/>
    <w:rsid w:val="004C2517"/>
    <w:rsid w:val="004C27DD"/>
    <w:rsid w:val="004C28A3"/>
    <w:rsid w:val="004C33EF"/>
    <w:rsid w:val="004C36FF"/>
    <w:rsid w:val="004C3943"/>
    <w:rsid w:val="004C3A42"/>
    <w:rsid w:val="004C3DD1"/>
    <w:rsid w:val="004C3E48"/>
    <w:rsid w:val="004C3F4D"/>
    <w:rsid w:val="004C4053"/>
    <w:rsid w:val="004C449B"/>
    <w:rsid w:val="004C46A8"/>
    <w:rsid w:val="004C4CC4"/>
    <w:rsid w:val="004C4F6D"/>
    <w:rsid w:val="004C5086"/>
    <w:rsid w:val="004C518F"/>
    <w:rsid w:val="004C53D7"/>
    <w:rsid w:val="004C5421"/>
    <w:rsid w:val="004C55E8"/>
    <w:rsid w:val="004C5656"/>
    <w:rsid w:val="004C5671"/>
    <w:rsid w:val="004C5912"/>
    <w:rsid w:val="004C5DDF"/>
    <w:rsid w:val="004C5DE2"/>
    <w:rsid w:val="004C6069"/>
    <w:rsid w:val="004C6102"/>
    <w:rsid w:val="004C6178"/>
    <w:rsid w:val="004C629A"/>
    <w:rsid w:val="004C63B6"/>
    <w:rsid w:val="004C671A"/>
    <w:rsid w:val="004C68F7"/>
    <w:rsid w:val="004C6C16"/>
    <w:rsid w:val="004C70AB"/>
    <w:rsid w:val="004C72AF"/>
    <w:rsid w:val="004C74E6"/>
    <w:rsid w:val="004C74FC"/>
    <w:rsid w:val="004C755F"/>
    <w:rsid w:val="004C762C"/>
    <w:rsid w:val="004C770B"/>
    <w:rsid w:val="004C77AC"/>
    <w:rsid w:val="004C79C2"/>
    <w:rsid w:val="004C7A0B"/>
    <w:rsid w:val="004C7CE2"/>
    <w:rsid w:val="004C7F92"/>
    <w:rsid w:val="004D011D"/>
    <w:rsid w:val="004D02F2"/>
    <w:rsid w:val="004D04D6"/>
    <w:rsid w:val="004D083E"/>
    <w:rsid w:val="004D08D5"/>
    <w:rsid w:val="004D097A"/>
    <w:rsid w:val="004D0C8A"/>
    <w:rsid w:val="004D0CF4"/>
    <w:rsid w:val="004D0F1E"/>
    <w:rsid w:val="004D1396"/>
    <w:rsid w:val="004D14FA"/>
    <w:rsid w:val="004D18D6"/>
    <w:rsid w:val="004D19BE"/>
    <w:rsid w:val="004D19C4"/>
    <w:rsid w:val="004D1B89"/>
    <w:rsid w:val="004D1CBC"/>
    <w:rsid w:val="004D252F"/>
    <w:rsid w:val="004D260A"/>
    <w:rsid w:val="004D27FA"/>
    <w:rsid w:val="004D37C3"/>
    <w:rsid w:val="004D395A"/>
    <w:rsid w:val="004D3A38"/>
    <w:rsid w:val="004D3EC3"/>
    <w:rsid w:val="004D3F09"/>
    <w:rsid w:val="004D402C"/>
    <w:rsid w:val="004D411A"/>
    <w:rsid w:val="004D4222"/>
    <w:rsid w:val="004D44AF"/>
    <w:rsid w:val="004D48F8"/>
    <w:rsid w:val="004D52D8"/>
    <w:rsid w:val="004D5971"/>
    <w:rsid w:val="004D6146"/>
    <w:rsid w:val="004D64A5"/>
    <w:rsid w:val="004D65CC"/>
    <w:rsid w:val="004D6B04"/>
    <w:rsid w:val="004D702F"/>
    <w:rsid w:val="004D70EE"/>
    <w:rsid w:val="004D789E"/>
    <w:rsid w:val="004D78C3"/>
    <w:rsid w:val="004D7A15"/>
    <w:rsid w:val="004D7C6E"/>
    <w:rsid w:val="004E0241"/>
    <w:rsid w:val="004E032A"/>
    <w:rsid w:val="004E072E"/>
    <w:rsid w:val="004E097E"/>
    <w:rsid w:val="004E0B6C"/>
    <w:rsid w:val="004E0F20"/>
    <w:rsid w:val="004E102F"/>
    <w:rsid w:val="004E137E"/>
    <w:rsid w:val="004E18C7"/>
    <w:rsid w:val="004E1E3F"/>
    <w:rsid w:val="004E229E"/>
    <w:rsid w:val="004E247E"/>
    <w:rsid w:val="004E24EA"/>
    <w:rsid w:val="004E27B5"/>
    <w:rsid w:val="004E2A07"/>
    <w:rsid w:val="004E2DE7"/>
    <w:rsid w:val="004E31AF"/>
    <w:rsid w:val="004E3474"/>
    <w:rsid w:val="004E356F"/>
    <w:rsid w:val="004E3621"/>
    <w:rsid w:val="004E3FC8"/>
    <w:rsid w:val="004E4231"/>
    <w:rsid w:val="004E4BB3"/>
    <w:rsid w:val="004E5125"/>
    <w:rsid w:val="004E5333"/>
    <w:rsid w:val="004E57F0"/>
    <w:rsid w:val="004E5B4E"/>
    <w:rsid w:val="004E5B66"/>
    <w:rsid w:val="004E6228"/>
    <w:rsid w:val="004E6277"/>
    <w:rsid w:val="004E6487"/>
    <w:rsid w:val="004E6720"/>
    <w:rsid w:val="004E7247"/>
    <w:rsid w:val="004E7283"/>
    <w:rsid w:val="004E748A"/>
    <w:rsid w:val="004E7A3B"/>
    <w:rsid w:val="004E7B24"/>
    <w:rsid w:val="004E7FD5"/>
    <w:rsid w:val="004F00F8"/>
    <w:rsid w:val="004F0247"/>
    <w:rsid w:val="004F0770"/>
    <w:rsid w:val="004F0974"/>
    <w:rsid w:val="004F0A8B"/>
    <w:rsid w:val="004F10D0"/>
    <w:rsid w:val="004F13F8"/>
    <w:rsid w:val="004F17DC"/>
    <w:rsid w:val="004F186E"/>
    <w:rsid w:val="004F1C92"/>
    <w:rsid w:val="004F1DC7"/>
    <w:rsid w:val="004F29FE"/>
    <w:rsid w:val="004F2A2C"/>
    <w:rsid w:val="004F2AE3"/>
    <w:rsid w:val="004F2C24"/>
    <w:rsid w:val="004F2F8B"/>
    <w:rsid w:val="004F356B"/>
    <w:rsid w:val="004F35DA"/>
    <w:rsid w:val="004F3642"/>
    <w:rsid w:val="004F36CC"/>
    <w:rsid w:val="004F3799"/>
    <w:rsid w:val="004F39C4"/>
    <w:rsid w:val="004F3C0E"/>
    <w:rsid w:val="004F3CE2"/>
    <w:rsid w:val="004F3D2A"/>
    <w:rsid w:val="004F3E8D"/>
    <w:rsid w:val="004F40A0"/>
    <w:rsid w:val="004F411A"/>
    <w:rsid w:val="004F43B4"/>
    <w:rsid w:val="004F4437"/>
    <w:rsid w:val="004F45D6"/>
    <w:rsid w:val="004F4851"/>
    <w:rsid w:val="004F4D88"/>
    <w:rsid w:val="004F4DB8"/>
    <w:rsid w:val="004F4E54"/>
    <w:rsid w:val="004F4EBB"/>
    <w:rsid w:val="004F4FCF"/>
    <w:rsid w:val="004F5023"/>
    <w:rsid w:val="004F5432"/>
    <w:rsid w:val="004F56D6"/>
    <w:rsid w:val="004F57C9"/>
    <w:rsid w:val="004F585D"/>
    <w:rsid w:val="004F5ABB"/>
    <w:rsid w:val="004F619B"/>
    <w:rsid w:val="004F61A5"/>
    <w:rsid w:val="004F62E5"/>
    <w:rsid w:val="004F6489"/>
    <w:rsid w:val="004F689B"/>
    <w:rsid w:val="004F6E40"/>
    <w:rsid w:val="004F6E94"/>
    <w:rsid w:val="004F748E"/>
    <w:rsid w:val="004F761C"/>
    <w:rsid w:val="004F76F2"/>
    <w:rsid w:val="004F7A98"/>
    <w:rsid w:val="004F7FD3"/>
    <w:rsid w:val="005004B3"/>
    <w:rsid w:val="00500587"/>
    <w:rsid w:val="005006A2"/>
    <w:rsid w:val="00500C3C"/>
    <w:rsid w:val="00500D8C"/>
    <w:rsid w:val="005013A3"/>
    <w:rsid w:val="005013FD"/>
    <w:rsid w:val="0050199A"/>
    <w:rsid w:val="00501A10"/>
    <w:rsid w:val="00501A31"/>
    <w:rsid w:val="00501B25"/>
    <w:rsid w:val="00501EC6"/>
    <w:rsid w:val="005020A7"/>
    <w:rsid w:val="005025C3"/>
    <w:rsid w:val="005026FE"/>
    <w:rsid w:val="00502A70"/>
    <w:rsid w:val="0050305F"/>
    <w:rsid w:val="00503152"/>
    <w:rsid w:val="00503405"/>
    <w:rsid w:val="0050389B"/>
    <w:rsid w:val="005038A7"/>
    <w:rsid w:val="00503E3E"/>
    <w:rsid w:val="00504172"/>
    <w:rsid w:val="00504C00"/>
    <w:rsid w:val="00504DE5"/>
    <w:rsid w:val="00504F13"/>
    <w:rsid w:val="00504FD8"/>
    <w:rsid w:val="005052C3"/>
    <w:rsid w:val="005053FE"/>
    <w:rsid w:val="005056F4"/>
    <w:rsid w:val="00505980"/>
    <w:rsid w:val="005059F6"/>
    <w:rsid w:val="00505A31"/>
    <w:rsid w:val="00505C2D"/>
    <w:rsid w:val="00506179"/>
    <w:rsid w:val="005061BC"/>
    <w:rsid w:val="005063CA"/>
    <w:rsid w:val="00506480"/>
    <w:rsid w:val="00506682"/>
    <w:rsid w:val="005066A1"/>
    <w:rsid w:val="00506D46"/>
    <w:rsid w:val="00506E8A"/>
    <w:rsid w:val="00507193"/>
    <w:rsid w:val="0050740C"/>
    <w:rsid w:val="005075BA"/>
    <w:rsid w:val="005077D8"/>
    <w:rsid w:val="0050785B"/>
    <w:rsid w:val="0050786D"/>
    <w:rsid w:val="005078A4"/>
    <w:rsid w:val="00507BA4"/>
    <w:rsid w:val="00507CE1"/>
    <w:rsid w:val="00507E24"/>
    <w:rsid w:val="005102A9"/>
    <w:rsid w:val="005103C5"/>
    <w:rsid w:val="00510CE1"/>
    <w:rsid w:val="00510DB7"/>
    <w:rsid w:val="00510F3C"/>
    <w:rsid w:val="00510FC2"/>
    <w:rsid w:val="00511040"/>
    <w:rsid w:val="00511AF3"/>
    <w:rsid w:val="00511EAF"/>
    <w:rsid w:val="00511F01"/>
    <w:rsid w:val="005122BD"/>
    <w:rsid w:val="005125CA"/>
    <w:rsid w:val="0051278C"/>
    <w:rsid w:val="00512A22"/>
    <w:rsid w:val="00512BE1"/>
    <w:rsid w:val="00513087"/>
    <w:rsid w:val="00513477"/>
    <w:rsid w:val="00513872"/>
    <w:rsid w:val="00513BB4"/>
    <w:rsid w:val="00513D01"/>
    <w:rsid w:val="005140B7"/>
    <w:rsid w:val="0051413E"/>
    <w:rsid w:val="005141CC"/>
    <w:rsid w:val="00514CC5"/>
    <w:rsid w:val="00514E55"/>
    <w:rsid w:val="0051521C"/>
    <w:rsid w:val="005153E6"/>
    <w:rsid w:val="0051549A"/>
    <w:rsid w:val="00515539"/>
    <w:rsid w:val="00515A72"/>
    <w:rsid w:val="00515ACB"/>
    <w:rsid w:val="00515ADE"/>
    <w:rsid w:val="00515B77"/>
    <w:rsid w:val="00515F2D"/>
    <w:rsid w:val="00516143"/>
    <w:rsid w:val="00516182"/>
    <w:rsid w:val="00516483"/>
    <w:rsid w:val="0051672A"/>
    <w:rsid w:val="0051695D"/>
    <w:rsid w:val="005173AD"/>
    <w:rsid w:val="005174AF"/>
    <w:rsid w:val="00517987"/>
    <w:rsid w:val="00517E11"/>
    <w:rsid w:val="00517F2D"/>
    <w:rsid w:val="00517F9D"/>
    <w:rsid w:val="005200FE"/>
    <w:rsid w:val="005205DC"/>
    <w:rsid w:val="00520773"/>
    <w:rsid w:val="0052089B"/>
    <w:rsid w:val="00520DC4"/>
    <w:rsid w:val="00520F1D"/>
    <w:rsid w:val="005212E5"/>
    <w:rsid w:val="00521508"/>
    <w:rsid w:val="00521597"/>
    <w:rsid w:val="005215D1"/>
    <w:rsid w:val="00521C04"/>
    <w:rsid w:val="00521CC4"/>
    <w:rsid w:val="00521F9B"/>
    <w:rsid w:val="0052253A"/>
    <w:rsid w:val="005225D9"/>
    <w:rsid w:val="0052296C"/>
    <w:rsid w:val="00522AF5"/>
    <w:rsid w:val="00522D0E"/>
    <w:rsid w:val="00522D78"/>
    <w:rsid w:val="00522E9B"/>
    <w:rsid w:val="00523200"/>
    <w:rsid w:val="0052323E"/>
    <w:rsid w:val="0052350C"/>
    <w:rsid w:val="005235AE"/>
    <w:rsid w:val="00523BD5"/>
    <w:rsid w:val="00523CAB"/>
    <w:rsid w:val="00523D84"/>
    <w:rsid w:val="00523E83"/>
    <w:rsid w:val="00524760"/>
    <w:rsid w:val="00524990"/>
    <w:rsid w:val="00525476"/>
    <w:rsid w:val="00525E50"/>
    <w:rsid w:val="00525E92"/>
    <w:rsid w:val="00525F55"/>
    <w:rsid w:val="00525F65"/>
    <w:rsid w:val="0052635F"/>
    <w:rsid w:val="0052647B"/>
    <w:rsid w:val="005266A8"/>
    <w:rsid w:val="005267B3"/>
    <w:rsid w:val="005268DF"/>
    <w:rsid w:val="00526A66"/>
    <w:rsid w:val="00526C59"/>
    <w:rsid w:val="005277BF"/>
    <w:rsid w:val="00527866"/>
    <w:rsid w:val="005278B9"/>
    <w:rsid w:val="00527A1F"/>
    <w:rsid w:val="00527DAB"/>
    <w:rsid w:val="00530297"/>
    <w:rsid w:val="005305A2"/>
    <w:rsid w:val="0053068F"/>
    <w:rsid w:val="00530766"/>
    <w:rsid w:val="00530A22"/>
    <w:rsid w:val="00530F7E"/>
    <w:rsid w:val="00531068"/>
    <w:rsid w:val="0053136C"/>
    <w:rsid w:val="005313E8"/>
    <w:rsid w:val="00531479"/>
    <w:rsid w:val="005317E0"/>
    <w:rsid w:val="00531A9F"/>
    <w:rsid w:val="00531C9B"/>
    <w:rsid w:val="00531EDD"/>
    <w:rsid w:val="005323B9"/>
    <w:rsid w:val="0053254C"/>
    <w:rsid w:val="00532660"/>
    <w:rsid w:val="00532A1E"/>
    <w:rsid w:val="00532A3C"/>
    <w:rsid w:val="00532D9D"/>
    <w:rsid w:val="005334B9"/>
    <w:rsid w:val="00533A0D"/>
    <w:rsid w:val="00533B1D"/>
    <w:rsid w:val="0053403D"/>
    <w:rsid w:val="005340DE"/>
    <w:rsid w:val="005342ED"/>
    <w:rsid w:val="00534707"/>
    <w:rsid w:val="00534BC8"/>
    <w:rsid w:val="00535267"/>
    <w:rsid w:val="005354F7"/>
    <w:rsid w:val="00535564"/>
    <w:rsid w:val="005355D1"/>
    <w:rsid w:val="00535958"/>
    <w:rsid w:val="00535B7B"/>
    <w:rsid w:val="00535B9D"/>
    <w:rsid w:val="00535CAF"/>
    <w:rsid w:val="00535D24"/>
    <w:rsid w:val="00535F47"/>
    <w:rsid w:val="0053609E"/>
    <w:rsid w:val="00536228"/>
    <w:rsid w:val="005362A1"/>
    <w:rsid w:val="005365F8"/>
    <w:rsid w:val="005366BE"/>
    <w:rsid w:val="0053671A"/>
    <w:rsid w:val="00536A34"/>
    <w:rsid w:val="00536C9C"/>
    <w:rsid w:val="00536E5F"/>
    <w:rsid w:val="00537251"/>
    <w:rsid w:val="005372D6"/>
    <w:rsid w:val="00537545"/>
    <w:rsid w:val="005376A5"/>
    <w:rsid w:val="005376D4"/>
    <w:rsid w:val="005377F1"/>
    <w:rsid w:val="00537AB9"/>
    <w:rsid w:val="00537CA9"/>
    <w:rsid w:val="00540214"/>
    <w:rsid w:val="00540338"/>
    <w:rsid w:val="0054052F"/>
    <w:rsid w:val="0054056B"/>
    <w:rsid w:val="005406C3"/>
    <w:rsid w:val="00540776"/>
    <w:rsid w:val="005409D5"/>
    <w:rsid w:val="00540D70"/>
    <w:rsid w:val="00540DDE"/>
    <w:rsid w:val="00540F5D"/>
    <w:rsid w:val="005410B5"/>
    <w:rsid w:val="005414F5"/>
    <w:rsid w:val="00541511"/>
    <w:rsid w:val="00541596"/>
    <w:rsid w:val="00541A59"/>
    <w:rsid w:val="00541B65"/>
    <w:rsid w:val="00541CB8"/>
    <w:rsid w:val="00542154"/>
    <w:rsid w:val="0054215F"/>
    <w:rsid w:val="005424BC"/>
    <w:rsid w:val="005428FD"/>
    <w:rsid w:val="00542D6A"/>
    <w:rsid w:val="00542ED8"/>
    <w:rsid w:val="00542EF4"/>
    <w:rsid w:val="00542F3B"/>
    <w:rsid w:val="0054308D"/>
    <w:rsid w:val="005436A5"/>
    <w:rsid w:val="0054382C"/>
    <w:rsid w:val="005438C6"/>
    <w:rsid w:val="005439C5"/>
    <w:rsid w:val="00543ECA"/>
    <w:rsid w:val="00543F26"/>
    <w:rsid w:val="00544050"/>
    <w:rsid w:val="0054408E"/>
    <w:rsid w:val="0054433E"/>
    <w:rsid w:val="00544611"/>
    <w:rsid w:val="005447B7"/>
    <w:rsid w:val="0054482E"/>
    <w:rsid w:val="00544DF9"/>
    <w:rsid w:val="00544EF8"/>
    <w:rsid w:val="00544F19"/>
    <w:rsid w:val="00544F72"/>
    <w:rsid w:val="0054511F"/>
    <w:rsid w:val="005454BB"/>
    <w:rsid w:val="005455AC"/>
    <w:rsid w:val="005455D2"/>
    <w:rsid w:val="005459AD"/>
    <w:rsid w:val="00545A51"/>
    <w:rsid w:val="00545C66"/>
    <w:rsid w:val="0054642B"/>
    <w:rsid w:val="0054656B"/>
    <w:rsid w:val="005465B5"/>
    <w:rsid w:val="005466F6"/>
    <w:rsid w:val="00546881"/>
    <w:rsid w:val="005469FC"/>
    <w:rsid w:val="00546D48"/>
    <w:rsid w:val="00546D76"/>
    <w:rsid w:val="005471DE"/>
    <w:rsid w:val="00547824"/>
    <w:rsid w:val="0054796C"/>
    <w:rsid w:val="00547AA4"/>
    <w:rsid w:val="00547BBE"/>
    <w:rsid w:val="00547C63"/>
    <w:rsid w:val="00547D36"/>
    <w:rsid w:val="00547EBC"/>
    <w:rsid w:val="0055003B"/>
    <w:rsid w:val="00550109"/>
    <w:rsid w:val="005504B2"/>
    <w:rsid w:val="005505E3"/>
    <w:rsid w:val="005508A6"/>
    <w:rsid w:val="00550AB1"/>
    <w:rsid w:val="00550AED"/>
    <w:rsid w:val="00550B89"/>
    <w:rsid w:val="00550E69"/>
    <w:rsid w:val="00550F7C"/>
    <w:rsid w:val="00551194"/>
    <w:rsid w:val="00551475"/>
    <w:rsid w:val="00551536"/>
    <w:rsid w:val="0055179E"/>
    <w:rsid w:val="00551AA8"/>
    <w:rsid w:val="00551C1E"/>
    <w:rsid w:val="00551E89"/>
    <w:rsid w:val="00552279"/>
    <w:rsid w:val="00552494"/>
    <w:rsid w:val="00552EA3"/>
    <w:rsid w:val="00553254"/>
    <w:rsid w:val="0055336D"/>
    <w:rsid w:val="00553606"/>
    <w:rsid w:val="005536A5"/>
    <w:rsid w:val="005536C4"/>
    <w:rsid w:val="00553703"/>
    <w:rsid w:val="0055395C"/>
    <w:rsid w:val="005539C3"/>
    <w:rsid w:val="00553A00"/>
    <w:rsid w:val="00553BD1"/>
    <w:rsid w:val="00553E60"/>
    <w:rsid w:val="0055412F"/>
    <w:rsid w:val="005542A1"/>
    <w:rsid w:val="0055436F"/>
    <w:rsid w:val="00554569"/>
    <w:rsid w:val="005546DE"/>
    <w:rsid w:val="00554737"/>
    <w:rsid w:val="005547E8"/>
    <w:rsid w:val="00554C90"/>
    <w:rsid w:val="005550DD"/>
    <w:rsid w:val="0055539B"/>
    <w:rsid w:val="00555581"/>
    <w:rsid w:val="005555D3"/>
    <w:rsid w:val="005555E4"/>
    <w:rsid w:val="0055585E"/>
    <w:rsid w:val="00555D34"/>
    <w:rsid w:val="00555F14"/>
    <w:rsid w:val="005560F3"/>
    <w:rsid w:val="00556377"/>
    <w:rsid w:val="00556532"/>
    <w:rsid w:val="005565A7"/>
    <w:rsid w:val="0055660F"/>
    <w:rsid w:val="005568D7"/>
    <w:rsid w:val="005569D7"/>
    <w:rsid w:val="00556BC7"/>
    <w:rsid w:val="00556C7B"/>
    <w:rsid w:val="00556D23"/>
    <w:rsid w:val="00556D37"/>
    <w:rsid w:val="00556E62"/>
    <w:rsid w:val="00556F92"/>
    <w:rsid w:val="00557278"/>
    <w:rsid w:val="0055735E"/>
    <w:rsid w:val="00557B49"/>
    <w:rsid w:val="00557BE3"/>
    <w:rsid w:val="00557ED0"/>
    <w:rsid w:val="00557F93"/>
    <w:rsid w:val="00560271"/>
    <w:rsid w:val="0056034D"/>
    <w:rsid w:val="00560786"/>
    <w:rsid w:val="0056087D"/>
    <w:rsid w:val="00560962"/>
    <w:rsid w:val="00560FE2"/>
    <w:rsid w:val="00560FEA"/>
    <w:rsid w:val="00561015"/>
    <w:rsid w:val="00561FCB"/>
    <w:rsid w:val="0056201C"/>
    <w:rsid w:val="00562276"/>
    <w:rsid w:val="00562476"/>
    <w:rsid w:val="00562695"/>
    <w:rsid w:val="00562718"/>
    <w:rsid w:val="005628EF"/>
    <w:rsid w:val="00562980"/>
    <w:rsid w:val="00562A70"/>
    <w:rsid w:val="00562ADE"/>
    <w:rsid w:val="00562B75"/>
    <w:rsid w:val="00562BD3"/>
    <w:rsid w:val="00562BEE"/>
    <w:rsid w:val="00562D5F"/>
    <w:rsid w:val="00562E1C"/>
    <w:rsid w:val="00562E27"/>
    <w:rsid w:val="00563073"/>
    <w:rsid w:val="005633BA"/>
    <w:rsid w:val="0056350A"/>
    <w:rsid w:val="0056377B"/>
    <w:rsid w:val="00563BA2"/>
    <w:rsid w:val="00563E23"/>
    <w:rsid w:val="005646E2"/>
    <w:rsid w:val="005648A4"/>
    <w:rsid w:val="00564AC4"/>
    <w:rsid w:val="00564D14"/>
    <w:rsid w:val="00564DA5"/>
    <w:rsid w:val="00565269"/>
    <w:rsid w:val="0056559F"/>
    <w:rsid w:val="0056564D"/>
    <w:rsid w:val="0056569B"/>
    <w:rsid w:val="00565CDE"/>
    <w:rsid w:val="00565DD4"/>
    <w:rsid w:val="00565F74"/>
    <w:rsid w:val="005663C7"/>
    <w:rsid w:val="0056659A"/>
    <w:rsid w:val="00566870"/>
    <w:rsid w:val="00566938"/>
    <w:rsid w:val="00566968"/>
    <w:rsid w:val="00566F10"/>
    <w:rsid w:val="005670D9"/>
    <w:rsid w:val="00567137"/>
    <w:rsid w:val="005672FB"/>
    <w:rsid w:val="005677E8"/>
    <w:rsid w:val="005678B0"/>
    <w:rsid w:val="00567A7B"/>
    <w:rsid w:val="00567AAE"/>
    <w:rsid w:val="00570045"/>
    <w:rsid w:val="0057030E"/>
    <w:rsid w:val="005703A4"/>
    <w:rsid w:val="005706AE"/>
    <w:rsid w:val="005708BE"/>
    <w:rsid w:val="005709F3"/>
    <w:rsid w:val="00570AC4"/>
    <w:rsid w:val="00570D37"/>
    <w:rsid w:val="0057147C"/>
    <w:rsid w:val="005716B3"/>
    <w:rsid w:val="005718A9"/>
    <w:rsid w:val="005719BD"/>
    <w:rsid w:val="00571BE5"/>
    <w:rsid w:val="00571D19"/>
    <w:rsid w:val="00571E40"/>
    <w:rsid w:val="00572143"/>
    <w:rsid w:val="005723A7"/>
    <w:rsid w:val="00573219"/>
    <w:rsid w:val="005733A8"/>
    <w:rsid w:val="00573781"/>
    <w:rsid w:val="005744EE"/>
    <w:rsid w:val="00574616"/>
    <w:rsid w:val="00574E9E"/>
    <w:rsid w:val="0057551A"/>
    <w:rsid w:val="0057554D"/>
    <w:rsid w:val="005755A9"/>
    <w:rsid w:val="0057596D"/>
    <w:rsid w:val="005759AF"/>
    <w:rsid w:val="005761C7"/>
    <w:rsid w:val="00576331"/>
    <w:rsid w:val="0057637C"/>
    <w:rsid w:val="005768E0"/>
    <w:rsid w:val="00576933"/>
    <w:rsid w:val="00576938"/>
    <w:rsid w:val="00576D69"/>
    <w:rsid w:val="005771C6"/>
    <w:rsid w:val="005772C4"/>
    <w:rsid w:val="00577443"/>
    <w:rsid w:val="00577768"/>
    <w:rsid w:val="00577AA5"/>
    <w:rsid w:val="00577B5A"/>
    <w:rsid w:val="00577BB2"/>
    <w:rsid w:val="00577C7D"/>
    <w:rsid w:val="00577CB1"/>
    <w:rsid w:val="00577DC1"/>
    <w:rsid w:val="005800C2"/>
    <w:rsid w:val="005803D5"/>
    <w:rsid w:val="005803F6"/>
    <w:rsid w:val="00580510"/>
    <w:rsid w:val="00580573"/>
    <w:rsid w:val="00580609"/>
    <w:rsid w:val="00580682"/>
    <w:rsid w:val="005806AE"/>
    <w:rsid w:val="005806CF"/>
    <w:rsid w:val="00580A0A"/>
    <w:rsid w:val="00580CDB"/>
    <w:rsid w:val="00581204"/>
    <w:rsid w:val="005814D7"/>
    <w:rsid w:val="0058155D"/>
    <w:rsid w:val="0058167B"/>
    <w:rsid w:val="0058179D"/>
    <w:rsid w:val="00581B5D"/>
    <w:rsid w:val="00581D0F"/>
    <w:rsid w:val="00581DC9"/>
    <w:rsid w:val="005821A9"/>
    <w:rsid w:val="00582594"/>
    <w:rsid w:val="00582613"/>
    <w:rsid w:val="00582AAB"/>
    <w:rsid w:val="00582F62"/>
    <w:rsid w:val="00583007"/>
    <w:rsid w:val="00583227"/>
    <w:rsid w:val="0058322C"/>
    <w:rsid w:val="00583DA2"/>
    <w:rsid w:val="00584BE3"/>
    <w:rsid w:val="00584D47"/>
    <w:rsid w:val="00584E09"/>
    <w:rsid w:val="00584F6F"/>
    <w:rsid w:val="00585008"/>
    <w:rsid w:val="005850A8"/>
    <w:rsid w:val="005851D4"/>
    <w:rsid w:val="005852D0"/>
    <w:rsid w:val="005854BD"/>
    <w:rsid w:val="005856E7"/>
    <w:rsid w:val="0058586B"/>
    <w:rsid w:val="005858D4"/>
    <w:rsid w:val="00585903"/>
    <w:rsid w:val="00585C12"/>
    <w:rsid w:val="00585E9A"/>
    <w:rsid w:val="0058635F"/>
    <w:rsid w:val="005863B6"/>
    <w:rsid w:val="005865F2"/>
    <w:rsid w:val="00586618"/>
    <w:rsid w:val="00586932"/>
    <w:rsid w:val="00586A5B"/>
    <w:rsid w:val="00587915"/>
    <w:rsid w:val="00587B36"/>
    <w:rsid w:val="00587C2D"/>
    <w:rsid w:val="00587C4C"/>
    <w:rsid w:val="00587C84"/>
    <w:rsid w:val="00587DAF"/>
    <w:rsid w:val="00587E91"/>
    <w:rsid w:val="005900BB"/>
    <w:rsid w:val="0059040E"/>
    <w:rsid w:val="005905DE"/>
    <w:rsid w:val="005906B0"/>
    <w:rsid w:val="00590991"/>
    <w:rsid w:val="00590BDD"/>
    <w:rsid w:val="00590D76"/>
    <w:rsid w:val="00590E11"/>
    <w:rsid w:val="00590E3B"/>
    <w:rsid w:val="00590F9D"/>
    <w:rsid w:val="00591270"/>
    <w:rsid w:val="00591428"/>
    <w:rsid w:val="0059158A"/>
    <w:rsid w:val="00591955"/>
    <w:rsid w:val="005919FF"/>
    <w:rsid w:val="00591AE6"/>
    <w:rsid w:val="00591C99"/>
    <w:rsid w:val="00591D00"/>
    <w:rsid w:val="00591E2A"/>
    <w:rsid w:val="00591EFC"/>
    <w:rsid w:val="00592072"/>
    <w:rsid w:val="005920D8"/>
    <w:rsid w:val="0059241A"/>
    <w:rsid w:val="0059251A"/>
    <w:rsid w:val="00592772"/>
    <w:rsid w:val="00592A9C"/>
    <w:rsid w:val="00592CCC"/>
    <w:rsid w:val="00592E63"/>
    <w:rsid w:val="005930CE"/>
    <w:rsid w:val="00593436"/>
    <w:rsid w:val="00593445"/>
    <w:rsid w:val="0059397E"/>
    <w:rsid w:val="00593A3D"/>
    <w:rsid w:val="00593BDA"/>
    <w:rsid w:val="00593C84"/>
    <w:rsid w:val="00594097"/>
    <w:rsid w:val="005941D4"/>
    <w:rsid w:val="0059442E"/>
    <w:rsid w:val="00594454"/>
    <w:rsid w:val="00594634"/>
    <w:rsid w:val="005946ED"/>
    <w:rsid w:val="00594803"/>
    <w:rsid w:val="00594A1D"/>
    <w:rsid w:val="00594D62"/>
    <w:rsid w:val="00594DE1"/>
    <w:rsid w:val="00594DF0"/>
    <w:rsid w:val="00594FC7"/>
    <w:rsid w:val="00594FD2"/>
    <w:rsid w:val="00595428"/>
    <w:rsid w:val="005954CA"/>
    <w:rsid w:val="0059555B"/>
    <w:rsid w:val="00595619"/>
    <w:rsid w:val="0059576A"/>
    <w:rsid w:val="0059581E"/>
    <w:rsid w:val="005961EF"/>
    <w:rsid w:val="0059677A"/>
    <w:rsid w:val="00596787"/>
    <w:rsid w:val="005967C4"/>
    <w:rsid w:val="00596925"/>
    <w:rsid w:val="0059694E"/>
    <w:rsid w:val="00596CA4"/>
    <w:rsid w:val="00596DA0"/>
    <w:rsid w:val="00596F90"/>
    <w:rsid w:val="00597090"/>
    <w:rsid w:val="005970BD"/>
    <w:rsid w:val="0059733F"/>
    <w:rsid w:val="005975BE"/>
    <w:rsid w:val="00597740"/>
    <w:rsid w:val="005977B7"/>
    <w:rsid w:val="005978E9"/>
    <w:rsid w:val="00597BF5"/>
    <w:rsid w:val="005A0263"/>
    <w:rsid w:val="005A05DF"/>
    <w:rsid w:val="005A06AB"/>
    <w:rsid w:val="005A0800"/>
    <w:rsid w:val="005A1327"/>
    <w:rsid w:val="005A134D"/>
    <w:rsid w:val="005A13A9"/>
    <w:rsid w:val="005A156F"/>
    <w:rsid w:val="005A1B44"/>
    <w:rsid w:val="005A1F4C"/>
    <w:rsid w:val="005A20EB"/>
    <w:rsid w:val="005A2180"/>
    <w:rsid w:val="005A26C4"/>
    <w:rsid w:val="005A27F4"/>
    <w:rsid w:val="005A2BDD"/>
    <w:rsid w:val="005A3291"/>
    <w:rsid w:val="005A3324"/>
    <w:rsid w:val="005A352A"/>
    <w:rsid w:val="005A35E9"/>
    <w:rsid w:val="005A38CA"/>
    <w:rsid w:val="005A397C"/>
    <w:rsid w:val="005A3C27"/>
    <w:rsid w:val="005A3F79"/>
    <w:rsid w:val="005A3FC8"/>
    <w:rsid w:val="005A4146"/>
    <w:rsid w:val="005A4210"/>
    <w:rsid w:val="005A49A7"/>
    <w:rsid w:val="005A4B85"/>
    <w:rsid w:val="005A4CA7"/>
    <w:rsid w:val="005A4D0D"/>
    <w:rsid w:val="005A5044"/>
    <w:rsid w:val="005A527D"/>
    <w:rsid w:val="005A53A3"/>
    <w:rsid w:val="005A53B0"/>
    <w:rsid w:val="005A56A7"/>
    <w:rsid w:val="005A58EB"/>
    <w:rsid w:val="005A5C8F"/>
    <w:rsid w:val="005A5D91"/>
    <w:rsid w:val="005A5E16"/>
    <w:rsid w:val="005A6076"/>
    <w:rsid w:val="005A6164"/>
    <w:rsid w:val="005A6262"/>
    <w:rsid w:val="005A64F8"/>
    <w:rsid w:val="005A66C5"/>
    <w:rsid w:val="005A6A7B"/>
    <w:rsid w:val="005A6BCF"/>
    <w:rsid w:val="005A6F14"/>
    <w:rsid w:val="005A6F3D"/>
    <w:rsid w:val="005A6FF8"/>
    <w:rsid w:val="005A7090"/>
    <w:rsid w:val="005A75F1"/>
    <w:rsid w:val="005A7802"/>
    <w:rsid w:val="005A7982"/>
    <w:rsid w:val="005B03BC"/>
    <w:rsid w:val="005B0529"/>
    <w:rsid w:val="005B0651"/>
    <w:rsid w:val="005B07D2"/>
    <w:rsid w:val="005B0893"/>
    <w:rsid w:val="005B0BE7"/>
    <w:rsid w:val="005B0EA1"/>
    <w:rsid w:val="005B1008"/>
    <w:rsid w:val="005B108B"/>
    <w:rsid w:val="005B113A"/>
    <w:rsid w:val="005B1367"/>
    <w:rsid w:val="005B1927"/>
    <w:rsid w:val="005B1CCE"/>
    <w:rsid w:val="005B2268"/>
    <w:rsid w:val="005B2732"/>
    <w:rsid w:val="005B275E"/>
    <w:rsid w:val="005B2ABE"/>
    <w:rsid w:val="005B2CC3"/>
    <w:rsid w:val="005B3A74"/>
    <w:rsid w:val="005B3B42"/>
    <w:rsid w:val="005B3C07"/>
    <w:rsid w:val="005B3C14"/>
    <w:rsid w:val="005B3C20"/>
    <w:rsid w:val="005B402F"/>
    <w:rsid w:val="005B4233"/>
    <w:rsid w:val="005B4AB1"/>
    <w:rsid w:val="005B4BA3"/>
    <w:rsid w:val="005B4BFE"/>
    <w:rsid w:val="005B4DA4"/>
    <w:rsid w:val="005B522F"/>
    <w:rsid w:val="005B5251"/>
    <w:rsid w:val="005B5362"/>
    <w:rsid w:val="005B57B3"/>
    <w:rsid w:val="005B5981"/>
    <w:rsid w:val="005B59AE"/>
    <w:rsid w:val="005B5D45"/>
    <w:rsid w:val="005B6025"/>
    <w:rsid w:val="005B6360"/>
    <w:rsid w:val="005B638B"/>
    <w:rsid w:val="005B6394"/>
    <w:rsid w:val="005B63F0"/>
    <w:rsid w:val="005B6543"/>
    <w:rsid w:val="005B69D0"/>
    <w:rsid w:val="005B6B53"/>
    <w:rsid w:val="005B6BCB"/>
    <w:rsid w:val="005B702C"/>
    <w:rsid w:val="005B71BB"/>
    <w:rsid w:val="005B73F6"/>
    <w:rsid w:val="005B791F"/>
    <w:rsid w:val="005B7A57"/>
    <w:rsid w:val="005B7FAB"/>
    <w:rsid w:val="005C00FC"/>
    <w:rsid w:val="005C0240"/>
    <w:rsid w:val="005C02A8"/>
    <w:rsid w:val="005C08E9"/>
    <w:rsid w:val="005C131C"/>
    <w:rsid w:val="005C1481"/>
    <w:rsid w:val="005C156D"/>
    <w:rsid w:val="005C15B3"/>
    <w:rsid w:val="005C165F"/>
    <w:rsid w:val="005C1691"/>
    <w:rsid w:val="005C17BF"/>
    <w:rsid w:val="005C183D"/>
    <w:rsid w:val="005C188D"/>
    <w:rsid w:val="005C192F"/>
    <w:rsid w:val="005C1AFE"/>
    <w:rsid w:val="005C1ED3"/>
    <w:rsid w:val="005C2288"/>
    <w:rsid w:val="005C24B1"/>
    <w:rsid w:val="005C26B3"/>
    <w:rsid w:val="005C28C9"/>
    <w:rsid w:val="005C2CB1"/>
    <w:rsid w:val="005C3308"/>
    <w:rsid w:val="005C3373"/>
    <w:rsid w:val="005C3501"/>
    <w:rsid w:val="005C364C"/>
    <w:rsid w:val="005C3866"/>
    <w:rsid w:val="005C3D94"/>
    <w:rsid w:val="005C3DBA"/>
    <w:rsid w:val="005C4119"/>
    <w:rsid w:val="005C46CC"/>
    <w:rsid w:val="005C47C5"/>
    <w:rsid w:val="005C4CD8"/>
    <w:rsid w:val="005C4CEA"/>
    <w:rsid w:val="005C4D6B"/>
    <w:rsid w:val="005C4E3B"/>
    <w:rsid w:val="005C52CA"/>
    <w:rsid w:val="005C53CA"/>
    <w:rsid w:val="005C5494"/>
    <w:rsid w:val="005C56F3"/>
    <w:rsid w:val="005C5A61"/>
    <w:rsid w:val="005C5E6A"/>
    <w:rsid w:val="005C6226"/>
    <w:rsid w:val="005C64CE"/>
    <w:rsid w:val="005C6F57"/>
    <w:rsid w:val="005C6FA2"/>
    <w:rsid w:val="005C7237"/>
    <w:rsid w:val="005C7747"/>
    <w:rsid w:val="005C7986"/>
    <w:rsid w:val="005C7DF5"/>
    <w:rsid w:val="005D00B4"/>
    <w:rsid w:val="005D0907"/>
    <w:rsid w:val="005D0908"/>
    <w:rsid w:val="005D0935"/>
    <w:rsid w:val="005D0A26"/>
    <w:rsid w:val="005D0EBC"/>
    <w:rsid w:val="005D10E5"/>
    <w:rsid w:val="005D131B"/>
    <w:rsid w:val="005D13C7"/>
    <w:rsid w:val="005D178E"/>
    <w:rsid w:val="005D1B38"/>
    <w:rsid w:val="005D1BBB"/>
    <w:rsid w:val="005D1E27"/>
    <w:rsid w:val="005D2032"/>
    <w:rsid w:val="005D2084"/>
    <w:rsid w:val="005D2322"/>
    <w:rsid w:val="005D2562"/>
    <w:rsid w:val="005D269D"/>
    <w:rsid w:val="005D2B0A"/>
    <w:rsid w:val="005D2E26"/>
    <w:rsid w:val="005D2E86"/>
    <w:rsid w:val="005D2EC2"/>
    <w:rsid w:val="005D3078"/>
    <w:rsid w:val="005D324E"/>
    <w:rsid w:val="005D34F2"/>
    <w:rsid w:val="005D358E"/>
    <w:rsid w:val="005D38A2"/>
    <w:rsid w:val="005D3A57"/>
    <w:rsid w:val="005D3B96"/>
    <w:rsid w:val="005D3DF2"/>
    <w:rsid w:val="005D3E99"/>
    <w:rsid w:val="005D4138"/>
    <w:rsid w:val="005D41FA"/>
    <w:rsid w:val="005D42D7"/>
    <w:rsid w:val="005D4461"/>
    <w:rsid w:val="005D4464"/>
    <w:rsid w:val="005D4587"/>
    <w:rsid w:val="005D4618"/>
    <w:rsid w:val="005D48AA"/>
    <w:rsid w:val="005D4A06"/>
    <w:rsid w:val="005D4AE3"/>
    <w:rsid w:val="005D4D10"/>
    <w:rsid w:val="005D4E20"/>
    <w:rsid w:val="005D503C"/>
    <w:rsid w:val="005D51D3"/>
    <w:rsid w:val="005D51DB"/>
    <w:rsid w:val="005D5274"/>
    <w:rsid w:val="005D60C2"/>
    <w:rsid w:val="005D6181"/>
    <w:rsid w:val="005D621A"/>
    <w:rsid w:val="005D62C9"/>
    <w:rsid w:val="005D674A"/>
    <w:rsid w:val="005D6F90"/>
    <w:rsid w:val="005D7230"/>
    <w:rsid w:val="005D728A"/>
    <w:rsid w:val="005D73F3"/>
    <w:rsid w:val="005D7424"/>
    <w:rsid w:val="005D745C"/>
    <w:rsid w:val="005D7660"/>
    <w:rsid w:val="005D76E7"/>
    <w:rsid w:val="005D7701"/>
    <w:rsid w:val="005D7833"/>
    <w:rsid w:val="005D78D4"/>
    <w:rsid w:val="005D7B74"/>
    <w:rsid w:val="005D7C77"/>
    <w:rsid w:val="005E00F1"/>
    <w:rsid w:val="005E02A0"/>
    <w:rsid w:val="005E02AF"/>
    <w:rsid w:val="005E06EF"/>
    <w:rsid w:val="005E0DEE"/>
    <w:rsid w:val="005E11A1"/>
    <w:rsid w:val="005E1291"/>
    <w:rsid w:val="005E13FC"/>
    <w:rsid w:val="005E16A5"/>
    <w:rsid w:val="005E1C91"/>
    <w:rsid w:val="005E2053"/>
    <w:rsid w:val="005E25E8"/>
    <w:rsid w:val="005E2778"/>
    <w:rsid w:val="005E28F3"/>
    <w:rsid w:val="005E2A56"/>
    <w:rsid w:val="005E2C81"/>
    <w:rsid w:val="005E2D7D"/>
    <w:rsid w:val="005E3245"/>
    <w:rsid w:val="005E3433"/>
    <w:rsid w:val="005E3BA7"/>
    <w:rsid w:val="005E3E63"/>
    <w:rsid w:val="005E3E9B"/>
    <w:rsid w:val="005E3EEE"/>
    <w:rsid w:val="005E4620"/>
    <w:rsid w:val="005E46E8"/>
    <w:rsid w:val="005E482D"/>
    <w:rsid w:val="005E4890"/>
    <w:rsid w:val="005E4947"/>
    <w:rsid w:val="005E4CB0"/>
    <w:rsid w:val="005E50F0"/>
    <w:rsid w:val="005E52E5"/>
    <w:rsid w:val="005E5560"/>
    <w:rsid w:val="005E5725"/>
    <w:rsid w:val="005E5C0A"/>
    <w:rsid w:val="005E5E19"/>
    <w:rsid w:val="005E60D0"/>
    <w:rsid w:val="005E65A6"/>
    <w:rsid w:val="005E668B"/>
    <w:rsid w:val="005E6B13"/>
    <w:rsid w:val="005E6CA3"/>
    <w:rsid w:val="005E6CA9"/>
    <w:rsid w:val="005E7495"/>
    <w:rsid w:val="005E7A6F"/>
    <w:rsid w:val="005E7C98"/>
    <w:rsid w:val="005E7DEC"/>
    <w:rsid w:val="005F05BD"/>
    <w:rsid w:val="005F0C3B"/>
    <w:rsid w:val="005F0F4F"/>
    <w:rsid w:val="005F12C7"/>
    <w:rsid w:val="005F12E7"/>
    <w:rsid w:val="005F17C9"/>
    <w:rsid w:val="005F1890"/>
    <w:rsid w:val="005F19A7"/>
    <w:rsid w:val="005F1E46"/>
    <w:rsid w:val="005F20FA"/>
    <w:rsid w:val="005F221D"/>
    <w:rsid w:val="005F26BD"/>
    <w:rsid w:val="005F26D8"/>
    <w:rsid w:val="005F274E"/>
    <w:rsid w:val="005F277B"/>
    <w:rsid w:val="005F28BA"/>
    <w:rsid w:val="005F2C9B"/>
    <w:rsid w:val="005F3140"/>
    <w:rsid w:val="005F3678"/>
    <w:rsid w:val="005F388C"/>
    <w:rsid w:val="005F39AE"/>
    <w:rsid w:val="005F3F34"/>
    <w:rsid w:val="005F42C3"/>
    <w:rsid w:val="005F4E6E"/>
    <w:rsid w:val="005F4F55"/>
    <w:rsid w:val="005F5010"/>
    <w:rsid w:val="005F51A0"/>
    <w:rsid w:val="005F51E5"/>
    <w:rsid w:val="005F525F"/>
    <w:rsid w:val="005F5546"/>
    <w:rsid w:val="005F594D"/>
    <w:rsid w:val="005F5AF6"/>
    <w:rsid w:val="005F5BB0"/>
    <w:rsid w:val="005F5D5C"/>
    <w:rsid w:val="005F5E38"/>
    <w:rsid w:val="005F5EB1"/>
    <w:rsid w:val="005F6A58"/>
    <w:rsid w:val="005F6BA7"/>
    <w:rsid w:val="005F6DD4"/>
    <w:rsid w:val="005F7116"/>
    <w:rsid w:val="005F7772"/>
    <w:rsid w:val="005F7AC1"/>
    <w:rsid w:val="005F7DBC"/>
    <w:rsid w:val="005F7DC4"/>
    <w:rsid w:val="005F7E36"/>
    <w:rsid w:val="006003B6"/>
    <w:rsid w:val="006005BE"/>
    <w:rsid w:val="006005C7"/>
    <w:rsid w:val="00600B19"/>
    <w:rsid w:val="00600C56"/>
    <w:rsid w:val="00600F05"/>
    <w:rsid w:val="00601488"/>
    <w:rsid w:val="006015C7"/>
    <w:rsid w:val="006018DC"/>
    <w:rsid w:val="00601E06"/>
    <w:rsid w:val="00601F22"/>
    <w:rsid w:val="00602188"/>
    <w:rsid w:val="006021AB"/>
    <w:rsid w:val="0060221A"/>
    <w:rsid w:val="00602274"/>
    <w:rsid w:val="006022A7"/>
    <w:rsid w:val="00602339"/>
    <w:rsid w:val="00602377"/>
    <w:rsid w:val="006023CC"/>
    <w:rsid w:val="00602444"/>
    <w:rsid w:val="0060247D"/>
    <w:rsid w:val="006024AB"/>
    <w:rsid w:val="00602BC6"/>
    <w:rsid w:val="00602EE3"/>
    <w:rsid w:val="00602F78"/>
    <w:rsid w:val="006030D3"/>
    <w:rsid w:val="006034C7"/>
    <w:rsid w:val="00603854"/>
    <w:rsid w:val="006039DF"/>
    <w:rsid w:val="00603B69"/>
    <w:rsid w:val="00603D56"/>
    <w:rsid w:val="00603F61"/>
    <w:rsid w:val="006042E4"/>
    <w:rsid w:val="006046E4"/>
    <w:rsid w:val="00604C42"/>
    <w:rsid w:val="006054CE"/>
    <w:rsid w:val="006055EA"/>
    <w:rsid w:val="006056F8"/>
    <w:rsid w:val="00605CB0"/>
    <w:rsid w:val="006062B4"/>
    <w:rsid w:val="0060665C"/>
    <w:rsid w:val="006066C3"/>
    <w:rsid w:val="00606A3D"/>
    <w:rsid w:val="00606B5A"/>
    <w:rsid w:val="006070F9"/>
    <w:rsid w:val="0060722B"/>
    <w:rsid w:val="0060727F"/>
    <w:rsid w:val="00607494"/>
    <w:rsid w:val="006076B9"/>
    <w:rsid w:val="006076F4"/>
    <w:rsid w:val="00607CF3"/>
    <w:rsid w:val="00607CF9"/>
    <w:rsid w:val="00607E81"/>
    <w:rsid w:val="00607EF6"/>
    <w:rsid w:val="006103C7"/>
    <w:rsid w:val="00610488"/>
    <w:rsid w:val="006106F3"/>
    <w:rsid w:val="00610B49"/>
    <w:rsid w:val="00610CF7"/>
    <w:rsid w:val="00610E96"/>
    <w:rsid w:val="00610EC9"/>
    <w:rsid w:val="00610EF4"/>
    <w:rsid w:val="0061152C"/>
    <w:rsid w:val="006118E2"/>
    <w:rsid w:val="00611906"/>
    <w:rsid w:val="00611A14"/>
    <w:rsid w:val="00611EF1"/>
    <w:rsid w:val="00611FCF"/>
    <w:rsid w:val="00612141"/>
    <w:rsid w:val="00612316"/>
    <w:rsid w:val="006124CE"/>
    <w:rsid w:val="006129D9"/>
    <w:rsid w:val="00612A97"/>
    <w:rsid w:val="00612BE6"/>
    <w:rsid w:val="00612E9A"/>
    <w:rsid w:val="00613109"/>
    <w:rsid w:val="00613314"/>
    <w:rsid w:val="0061343C"/>
    <w:rsid w:val="006135D3"/>
    <w:rsid w:val="006136FD"/>
    <w:rsid w:val="0061396B"/>
    <w:rsid w:val="00613B90"/>
    <w:rsid w:val="00613CED"/>
    <w:rsid w:val="00613ECD"/>
    <w:rsid w:val="00613F68"/>
    <w:rsid w:val="00614007"/>
    <w:rsid w:val="006140CD"/>
    <w:rsid w:val="0061451F"/>
    <w:rsid w:val="00614700"/>
    <w:rsid w:val="00614912"/>
    <w:rsid w:val="00614ACE"/>
    <w:rsid w:val="00614C7F"/>
    <w:rsid w:val="00614CED"/>
    <w:rsid w:val="00614E4B"/>
    <w:rsid w:val="00615149"/>
    <w:rsid w:val="00615198"/>
    <w:rsid w:val="00615381"/>
    <w:rsid w:val="006153DE"/>
    <w:rsid w:val="00615510"/>
    <w:rsid w:val="006156E0"/>
    <w:rsid w:val="006156EC"/>
    <w:rsid w:val="006157F3"/>
    <w:rsid w:val="00615D6A"/>
    <w:rsid w:val="00616006"/>
    <w:rsid w:val="00616081"/>
    <w:rsid w:val="00616260"/>
    <w:rsid w:val="00616666"/>
    <w:rsid w:val="00616734"/>
    <w:rsid w:val="00616756"/>
    <w:rsid w:val="006167E7"/>
    <w:rsid w:val="00616F76"/>
    <w:rsid w:val="00617147"/>
    <w:rsid w:val="0061716B"/>
    <w:rsid w:val="006172D9"/>
    <w:rsid w:val="00617823"/>
    <w:rsid w:val="00617917"/>
    <w:rsid w:val="00617B44"/>
    <w:rsid w:val="00617C4E"/>
    <w:rsid w:val="00617F49"/>
    <w:rsid w:val="00617FE0"/>
    <w:rsid w:val="00620112"/>
    <w:rsid w:val="00620C46"/>
    <w:rsid w:val="00620C72"/>
    <w:rsid w:val="00620DC2"/>
    <w:rsid w:val="00620ECB"/>
    <w:rsid w:val="00620F75"/>
    <w:rsid w:val="0062112A"/>
    <w:rsid w:val="00621209"/>
    <w:rsid w:val="006213A1"/>
    <w:rsid w:val="0062157E"/>
    <w:rsid w:val="00621655"/>
    <w:rsid w:val="006216FB"/>
    <w:rsid w:val="00621713"/>
    <w:rsid w:val="00621BD5"/>
    <w:rsid w:val="00621FFD"/>
    <w:rsid w:val="0062200D"/>
    <w:rsid w:val="00622284"/>
    <w:rsid w:val="0062288C"/>
    <w:rsid w:val="0062292E"/>
    <w:rsid w:val="00622FA4"/>
    <w:rsid w:val="006231D0"/>
    <w:rsid w:val="006235E4"/>
    <w:rsid w:val="006236A1"/>
    <w:rsid w:val="00623AEF"/>
    <w:rsid w:val="00623E35"/>
    <w:rsid w:val="00623ED0"/>
    <w:rsid w:val="00623FDF"/>
    <w:rsid w:val="00624050"/>
    <w:rsid w:val="006241C9"/>
    <w:rsid w:val="00624356"/>
    <w:rsid w:val="00624806"/>
    <w:rsid w:val="0062482F"/>
    <w:rsid w:val="00624AB8"/>
    <w:rsid w:val="00624B89"/>
    <w:rsid w:val="00624CCA"/>
    <w:rsid w:val="006250FD"/>
    <w:rsid w:val="0062512F"/>
    <w:rsid w:val="00625250"/>
    <w:rsid w:val="0062528B"/>
    <w:rsid w:val="00625372"/>
    <w:rsid w:val="00625385"/>
    <w:rsid w:val="006255FD"/>
    <w:rsid w:val="00625691"/>
    <w:rsid w:val="00625CFE"/>
    <w:rsid w:val="00625D67"/>
    <w:rsid w:val="00626173"/>
    <w:rsid w:val="00626208"/>
    <w:rsid w:val="00626B9F"/>
    <w:rsid w:val="00626DED"/>
    <w:rsid w:val="00626E05"/>
    <w:rsid w:val="006277B8"/>
    <w:rsid w:val="0062788D"/>
    <w:rsid w:val="00627B93"/>
    <w:rsid w:val="00627E13"/>
    <w:rsid w:val="00630534"/>
    <w:rsid w:val="00630696"/>
    <w:rsid w:val="00630852"/>
    <w:rsid w:val="00630ABC"/>
    <w:rsid w:val="00630AEC"/>
    <w:rsid w:val="00630DD4"/>
    <w:rsid w:val="0063242B"/>
    <w:rsid w:val="0063259C"/>
    <w:rsid w:val="006325F6"/>
    <w:rsid w:val="00632625"/>
    <w:rsid w:val="0063274F"/>
    <w:rsid w:val="00632D2F"/>
    <w:rsid w:val="006330E4"/>
    <w:rsid w:val="00633200"/>
    <w:rsid w:val="0063324D"/>
    <w:rsid w:val="00633D1D"/>
    <w:rsid w:val="00633EA0"/>
    <w:rsid w:val="00634290"/>
    <w:rsid w:val="00634358"/>
    <w:rsid w:val="00634AF6"/>
    <w:rsid w:val="00634C95"/>
    <w:rsid w:val="00635124"/>
    <w:rsid w:val="00635915"/>
    <w:rsid w:val="00635ACC"/>
    <w:rsid w:val="00635B4D"/>
    <w:rsid w:val="00635C01"/>
    <w:rsid w:val="00635D66"/>
    <w:rsid w:val="00635E4D"/>
    <w:rsid w:val="00636232"/>
    <w:rsid w:val="0063657D"/>
    <w:rsid w:val="00636698"/>
    <w:rsid w:val="00636E55"/>
    <w:rsid w:val="00636F44"/>
    <w:rsid w:val="00636FCA"/>
    <w:rsid w:val="006372AC"/>
    <w:rsid w:val="00637F5B"/>
    <w:rsid w:val="00640326"/>
    <w:rsid w:val="0064068C"/>
    <w:rsid w:val="006406E8"/>
    <w:rsid w:val="0064087C"/>
    <w:rsid w:val="00640C0C"/>
    <w:rsid w:val="00640FF8"/>
    <w:rsid w:val="0064145E"/>
    <w:rsid w:val="00641923"/>
    <w:rsid w:val="00641A4A"/>
    <w:rsid w:val="00641A62"/>
    <w:rsid w:val="00642109"/>
    <w:rsid w:val="006421F5"/>
    <w:rsid w:val="00642226"/>
    <w:rsid w:val="006425C2"/>
    <w:rsid w:val="006428D3"/>
    <w:rsid w:val="00642FAE"/>
    <w:rsid w:val="00643277"/>
    <w:rsid w:val="006432CD"/>
    <w:rsid w:val="00643316"/>
    <w:rsid w:val="00643D46"/>
    <w:rsid w:val="00643F8F"/>
    <w:rsid w:val="00643FFB"/>
    <w:rsid w:val="006441B0"/>
    <w:rsid w:val="0064437B"/>
    <w:rsid w:val="0064478A"/>
    <w:rsid w:val="0064491E"/>
    <w:rsid w:val="00644CDE"/>
    <w:rsid w:val="00644D20"/>
    <w:rsid w:val="00644F88"/>
    <w:rsid w:val="0064515A"/>
    <w:rsid w:val="006453FB"/>
    <w:rsid w:val="00645638"/>
    <w:rsid w:val="006456B1"/>
    <w:rsid w:val="006457F0"/>
    <w:rsid w:val="00645860"/>
    <w:rsid w:val="006459E5"/>
    <w:rsid w:val="006459EC"/>
    <w:rsid w:val="00645A3F"/>
    <w:rsid w:val="00645AB6"/>
    <w:rsid w:val="00645D4E"/>
    <w:rsid w:val="00645EF1"/>
    <w:rsid w:val="00645F78"/>
    <w:rsid w:val="0064620D"/>
    <w:rsid w:val="006465AA"/>
    <w:rsid w:val="00646659"/>
    <w:rsid w:val="0064671D"/>
    <w:rsid w:val="0064675B"/>
    <w:rsid w:val="006468C0"/>
    <w:rsid w:val="00646D34"/>
    <w:rsid w:val="00647225"/>
    <w:rsid w:val="006472F8"/>
    <w:rsid w:val="006474EC"/>
    <w:rsid w:val="00647C52"/>
    <w:rsid w:val="00650332"/>
    <w:rsid w:val="0065091B"/>
    <w:rsid w:val="00650BEF"/>
    <w:rsid w:val="0065150C"/>
    <w:rsid w:val="006515AC"/>
    <w:rsid w:val="00651608"/>
    <w:rsid w:val="00651661"/>
    <w:rsid w:val="0065171C"/>
    <w:rsid w:val="0065176A"/>
    <w:rsid w:val="00651A62"/>
    <w:rsid w:val="00651B9A"/>
    <w:rsid w:val="006524AA"/>
    <w:rsid w:val="0065282E"/>
    <w:rsid w:val="0065288C"/>
    <w:rsid w:val="00652B06"/>
    <w:rsid w:val="00652B1A"/>
    <w:rsid w:val="00652C8D"/>
    <w:rsid w:val="00652D6C"/>
    <w:rsid w:val="00652F26"/>
    <w:rsid w:val="006533B1"/>
    <w:rsid w:val="00653480"/>
    <w:rsid w:val="006535A8"/>
    <w:rsid w:val="0065364B"/>
    <w:rsid w:val="00653858"/>
    <w:rsid w:val="006539B1"/>
    <w:rsid w:val="006539F9"/>
    <w:rsid w:val="00653A49"/>
    <w:rsid w:val="00653FFE"/>
    <w:rsid w:val="0065436A"/>
    <w:rsid w:val="00654531"/>
    <w:rsid w:val="00654848"/>
    <w:rsid w:val="0065485C"/>
    <w:rsid w:val="00654C7A"/>
    <w:rsid w:val="006550D3"/>
    <w:rsid w:val="006554C3"/>
    <w:rsid w:val="00655690"/>
    <w:rsid w:val="00655A87"/>
    <w:rsid w:val="00655ACF"/>
    <w:rsid w:val="00655CA9"/>
    <w:rsid w:val="00655E6A"/>
    <w:rsid w:val="00655EAE"/>
    <w:rsid w:val="0065620B"/>
    <w:rsid w:val="0065646E"/>
    <w:rsid w:val="00656700"/>
    <w:rsid w:val="00656EB9"/>
    <w:rsid w:val="006572D9"/>
    <w:rsid w:val="00657320"/>
    <w:rsid w:val="00657670"/>
    <w:rsid w:val="006579C9"/>
    <w:rsid w:val="00657B5A"/>
    <w:rsid w:val="00657D49"/>
    <w:rsid w:val="00657E3C"/>
    <w:rsid w:val="00660389"/>
    <w:rsid w:val="006608CD"/>
    <w:rsid w:val="00660987"/>
    <w:rsid w:val="00660A1E"/>
    <w:rsid w:val="00660F79"/>
    <w:rsid w:val="0066122E"/>
    <w:rsid w:val="006613CE"/>
    <w:rsid w:val="006618FC"/>
    <w:rsid w:val="00662208"/>
    <w:rsid w:val="00662260"/>
    <w:rsid w:val="00662820"/>
    <w:rsid w:val="0066296F"/>
    <w:rsid w:val="00663055"/>
    <w:rsid w:val="0066311F"/>
    <w:rsid w:val="006637B6"/>
    <w:rsid w:val="0066389C"/>
    <w:rsid w:val="00663D8D"/>
    <w:rsid w:val="006645C8"/>
    <w:rsid w:val="00664783"/>
    <w:rsid w:val="00664875"/>
    <w:rsid w:val="006648E9"/>
    <w:rsid w:val="00664947"/>
    <w:rsid w:val="00664F86"/>
    <w:rsid w:val="0066524C"/>
    <w:rsid w:val="0066528B"/>
    <w:rsid w:val="00665397"/>
    <w:rsid w:val="0066541B"/>
    <w:rsid w:val="00665433"/>
    <w:rsid w:val="006655EA"/>
    <w:rsid w:val="006659C5"/>
    <w:rsid w:val="00665C03"/>
    <w:rsid w:val="00665C09"/>
    <w:rsid w:val="00665FE7"/>
    <w:rsid w:val="00666024"/>
    <w:rsid w:val="006663D4"/>
    <w:rsid w:val="006669D7"/>
    <w:rsid w:val="00666ACD"/>
    <w:rsid w:val="00666C10"/>
    <w:rsid w:val="00666FB6"/>
    <w:rsid w:val="0066753C"/>
    <w:rsid w:val="0066757D"/>
    <w:rsid w:val="006675A4"/>
    <w:rsid w:val="006675F2"/>
    <w:rsid w:val="0066784F"/>
    <w:rsid w:val="006679F5"/>
    <w:rsid w:val="00667D03"/>
    <w:rsid w:val="00667E17"/>
    <w:rsid w:val="00667F1D"/>
    <w:rsid w:val="00670015"/>
    <w:rsid w:val="00670245"/>
    <w:rsid w:val="00670388"/>
    <w:rsid w:val="006703B6"/>
    <w:rsid w:val="00670606"/>
    <w:rsid w:val="00670614"/>
    <w:rsid w:val="00670865"/>
    <w:rsid w:val="00670D47"/>
    <w:rsid w:val="00670D69"/>
    <w:rsid w:val="00670F0F"/>
    <w:rsid w:val="00670FA6"/>
    <w:rsid w:val="00671179"/>
    <w:rsid w:val="0067141E"/>
    <w:rsid w:val="0067164A"/>
    <w:rsid w:val="0067167B"/>
    <w:rsid w:val="00671C32"/>
    <w:rsid w:val="00671D35"/>
    <w:rsid w:val="00671D39"/>
    <w:rsid w:val="006721E2"/>
    <w:rsid w:val="006726A5"/>
    <w:rsid w:val="0067297E"/>
    <w:rsid w:val="00672B9A"/>
    <w:rsid w:val="00672CC4"/>
    <w:rsid w:val="00672F0E"/>
    <w:rsid w:val="00672F75"/>
    <w:rsid w:val="00673289"/>
    <w:rsid w:val="006735FB"/>
    <w:rsid w:val="0067371F"/>
    <w:rsid w:val="00673B0E"/>
    <w:rsid w:val="00673CD4"/>
    <w:rsid w:val="00673D05"/>
    <w:rsid w:val="00673D81"/>
    <w:rsid w:val="00674275"/>
    <w:rsid w:val="0067453F"/>
    <w:rsid w:val="006745B0"/>
    <w:rsid w:val="00674CC8"/>
    <w:rsid w:val="0067502B"/>
    <w:rsid w:val="006750AF"/>
    <w:rsid w:val="0067530E"/>
    <w:rsid w:val="00675763"/>
    <w:rsid w:val="0067594F"/>
    <w:rsid w:val="00675D51"/>
    <w:rsid w:val="00676133"/>
    <w:rsid w:val="00676351"/>
    <w:rsid w:val="006764CE"/>
    <w:rsid w:val="00676AAB"/>
    <w:rsid w:val="00676C9F"/>
    <w:rsid w:val="00677247"/>
    <w:rsid w:val="006772AA"/>
    <w:rsid w:val="0067737B"/>
    <w:rsid w:val="00677438"/>
    <w:rsid w:val="00677755"/>
    <w:rsid w:val="00677DC0"/>
    <w:rsid w:val="00677F01"/>
    <w:rsid w:val="00677F09"/>
    <w:rsid w:val="00680437"/>
    <w:rsid w:val="0068048C"/>
    <w:rsid w:val="006808A2"/>
    <w:rsid w:val="0068091D"/>
    <w:rsid w:val="006809F7"/>
    <w:rsid w:val="00680ACF"/>
    <w:rsid w:val="00680E7F"/>
    <w:rsid w:val="00681302"/>
    <w:rsid w:val="0068143A"/>
    <w:rsid w:val="0068153C"/>
    <w:rsid w:val="00681687"/>
    <w:rsid w:val="006816D3"/>
    <w:rsid w:val="006816F2"/>
    <w:rsid w:val="006817B6"/>
    <w:rsid w:val="006818B0"/>
    <w:rsid w:val="00681B40"/>
    <w:rsid w:val="00681B4E"/>
    <w:rsid w:val="00681DF3"/>
    <w:rsid w:val="00681EF2"/>
    <w:rsid w:val="00681FDF"/>
    <w:rsid w:val="00682199"/>
    <w:rsid w:val="00682812"/>
    <w:rsid w:val="006828F5"/>
    <w:rsid w:val="0068297E"/>
    <w:rsid w:val="00682EDB"/>
    <w:rsid w:val="0068317D"/>
    <w:rsid w:val="0068346A"/>
    <w:rsid w:val="00683ABE"/>
    <w:rsid w:val="00683B9D"/>
    <w:rsid w:val="00683D04"/>
    <w:rsid w:val="00683F90"/>
    <w:rsid w:val="006842BD"/>
    <w:rsid w:val="00684B7D"/>
    <w:rsid w:val="00684D5F"/>
    <w:rsid w:val="00684F4D"/>
    <w:rsid w:val="00685197"/>
    <w:rsid w:val="0068526E"/>
    <w:rsid w:val="0068539B"/>
    <w:rsid w:val="006854EB"/>
    <w:rsid w:val="006858B8"/>
    <w:rsid w:val="0068599F"/>
    <w:rsid w:val="00685A09"/>
    <w:rsid w:val="00685EEB"/>
    <w:rsid w:val="006864F9"/>
    <w:rsid w:val="0068668F"/>
    <w:rsid w:val="00686BD3"/>
    <w:rsid w:val="00686CF8"/>
    <w:rsid w:val="00687030"/>
    <w:rsid w:val="006871B4"/>
    <w:rsid w:val="006874A7"/>
    <w:rsid w:val="00687706"/>
    <w:rsid w:val="006879A5"/>
    <w:rsid w:val="00687CEA"/>
    <w:rsid w:val="00687EAA"/>
    <w:rsid w:val="00690054"/>
    <w:rsid w:val="00690085"/>
    <w:rsid w:val="006900B3"/>
    <w:rsid w:val="00690491"/>
    <w:rsid w:val="00690507"/>
    <w:rsid w:val="00690726"/>
    <w:rsid w:val="00690982"/>
    <w:rsid w:val="0069116F"/>
    <w:rsid w:val="006918CC"/>
    <w:rsid w:val="00691905"/>
    <w:rsid w:val="00691906"/>
    <w:rsid w:val="00691AC4"/>
    <w:rsid w:val="00691D55"/>
    <w:rsid w:val="00691DCB"/>
    <w:rsid w:val="006924DC"/>
    <w:rsid w:val="00692929"/>
    <w:rsid w:val="00692A96"/>
    <w:rsid w:val="00692EA5"/>
    <w:rsid w:val="00692F9E"/>
    <w:rsid w:val="006930A3"/>
    <w:rsid w:val="00693248"/>
    <w:rsid w:val="00693355"/>
    <w:rsid w:val="0069336E"/>
    <w:rsid w:val="006934AF"/>
    <w:rsid w:val="00693667"/>
    <w:rsid w:val="00693B4B"/>
    <w:rsid w:val="0069429B"/>
    <w:rsid w:val="0069467C"/>
    <w:rsid w:val="00694ACE"/>
    <w:rsid w:val="00694C98"/>
    <w:rsid w:val="0069505A"/>
    <w:rsid w:val="00695116"/>
    <w:rsid w:val="0069514C"/>
    <w:rsid w:val="006953AD"/>
    <w:rsid w:val="006956A8"/>
    <w:rsid w:val="00695747"/>
    <w:rsid w:val="00695930"/>
    <w:rsid w:val="006959D3"/>
    <w:rsid w:val="00695AAD"/>
    <w:rsid w:val="00696012"/>
    <w:rsid w:val="006961EB"/>
    <w:rsid w:val="0069649E"/>
    <w:rsid w:val="006964AA"/>
    <w:rsid w:val="00696896"/>
    <w:rsid w:val="006970C6"/>
    <w:rsid w:val="0069711F"/>
    <w:rsid w:val="006972BE"/>
    <w:rsid w:val="006974E9"/>
    <w:rsid w:val="0069754F"/>
    <w:rsid w:val="00697614"/>
    <w:rsid w:val="006976CD"/>
    <w:rsid w:val="00697891"/>
    <w:rsid w:val="00697A82"/>
    <w:rsid w:val="00697AA5"/>
    <w:rsid w:val="00697B15"/>
    <w:rsid w:val="00697E1B"/>
    <w:rsid w:val="006A0150"/>
    <w:rsid w:val="006A023B"/>
    <w:rsid w:val="006A0459"/>
    <w:rsid w:val="006A07FA"/>
    <w:rsid w:val="006A0A81"/>
    <w:rsid w:val="006A0CB8"/>
    <w:rsid w:val="006A0D41"/>
    <w:rsid w:val="006A0FB9"/>
    <w:rsid w:val="006A1009"/>
    <w:rsid w:val="006A1461"/>
    <w:rsid w:val="006A15B6"/>
    <w:rsid w:val="006A17D8"/>
    <w:rsid w:val="006A1941"/>
    <w:rsid w:val="006A1C19"/>
    <w:rsid w:val="006A1D0E"/>
    <w:rsid w:val="006A1F4A"/>
    <w:rsid w:val="006A1F9F"/>
    <w:rsid w:val="006A2360"/>
    <w:rsid w:val="006A23A8"/>
    <w:rsid w:val="006A23C4"/>
    <w:rsid w:val="006A2513"/>
    <w:rsid w:val="006A276D"/>
    <w:rsid w:val="006A27F0"/>
    <w:rsid w:val="006A2A1C"/>
    <w:rsid w:val="006A2E34"/>
    <w:rsid w:val="006A2F9D"/>
    <w:rsid w:val="006A30D8"/>
    <w:rsid w:val="006A3595"/>
    <w:rsid w:val="006A3791"/>
    <w:rsid w:val="006A3D2C"/>
    <w:rsid w:val="006A3D86"/>
    <w:rsid w:val="006A400E"/>
    <w:rsid w:val="006A40AF"/>
    <w:rsid w:val="006A4232"/>
    <w:rsid w:val="006A447A"/>
    <w:rsid w:val="006A451F"/>
    <w:rsid w:val="006A45D9"/>
    <w:rsid w:val="006A476C"/>
    <w:rsid w:val="006A47DC"/>
    <w:rsid w:val="006A494D"/>
    <w:rsid w:val="006A4ACF"/>
    <w:rsid w:val="006A4D29"/>
    <w:rsid w:val="006A4DB7"/>
    <w:rsid w:val="006A4FC1"/>
    <w:rsid w:val="006A50D8"/>
    <w:rsid w:val="006A51EF"/>
    <w:rsid w:val="006A5656"/>
    <w:rsid w:val="006A5991"/>
    <w:rsid w:val="006A59E4"/>
    <w:rsid w:val="006A5A58"/>
    <w:rsid w:val="006A5A7A"/>
    <w:rsid w:val="006A5B2A"/>
    <w:rsid w:val="006A5C29"/>
    <w:rsid w:val="006A5CC1"/>
    <w:rsid w:val="006A5DE9"/>
    <w:rsid w:val="006A5E07"/>
    <w:rsid w:val="006A6200"/>
    <w:rsid w:val="006A642F"/>
    <w:rsid w:val="006A6550"/>
    <w:rsid w:val="006A6710"/>
    <w:rsid w:val="006A6739"/>
    <w:rsid w:val="006A6935"/>
    <w:rsid w:val="006A6AD3"/>
    <w:rsid w:val="006A6C78"/>
    <w:rsid w:val="006A6D97"/>
    <w:rsid w:val="006A7066"/>
    <w:rsid w:val="006A7244"/>
    <w:rsid w:val="006A7309"/>
    <w:rsid w:val="006A7635"/>
    <w:rsid w:val="006A78AC"/>
    <w:rsid w:val="006A7BF8"/>
    <w:rsid w:val="006A7E51"/>
    <w:rsid w:val="006B05A1"/>
    <w:rsid w:val="006B062D"/>
    <w:rsid w:val="006B0792"/>
    <w:rsid w:val="006B112F"/>
    <w:rsid w:val="006B1178"/>
    <w:rsid w:val="006B11B0"/>
    <w:rsid w:val="006B11DD"/>
    <w:rsid w:val="006B146C"/>
    <w:rsid w:val="006B14AD"/>
    <w:rsid w:val="006B15B2"/>
    <w:rsid w:val="006B1640"/>
    <w:rsid w:val="006B176B"/>
    <w:rsid w:val="006B179D"/>
    <w:rsid w:val="006B1A0A"/>
    <w:rsid w:val="006B1BBB"/>
    <w:rsid w:val="006B1BDC"/>
    <w:rsid w:val="006B1C9D"/>
    <w:rsid w:val="006B1F00"/>
    <w:rsid w:val="006B1FAA"/>
    <w:rsid w:val="006B2520"/>
    <w:rsid w:val="006B25F4"/>
    <w:rsid w:val="006B2938"/>
    <w:rsid w:val="006B29F9"/>
    <w:rsid w:val="006B304F"/>
    <w:rsid w:val="006B3244"/>
    <w:rsid w:val="006B33AF"/>
    <w:rsid w:val="006B366D"/>
    <w:rsid w:val="006B3923"/>
    <w:rsid w:val="006B3DFC"/>
    <w:rsid w:val="006B3E95"/>
    <w:rsid w:val="006B440C"/>
    <w:rsid w:val="006B4AFD"/>
    <w:rsid w:val="006B4B7D"/>
    <w:rsid w:val="006B4C1E"/>
    <w:rsid w:val="006B4E0D"/>
    <w:rsid w:val="006B5347"/>
    <w:rsid w:val="006B53FA"/>
    <w:rsid w:val="006B582B"/>
    <w:rsid w:val="006B5905"/>
    <w:rsid w:val="006B5940"/>
    <w:rsid w:val="006B5B03"/>
    <w:rsid w:val="006B5C7E"/>
    <w:rsid w:val="006B5F0B"/>
    <w:rsid w:val="006B63E1"/>
    <w:rsid w:val="006B653A"/>
    <w:rsid w:val="006B6EE7"/>
    <w:rsid w:val="006B6FB4"/>
    <w:rsid w:val="006B6FE2"/>
    <w:rsid w:val="006B7206"/>
    <w:rsid w:val="006B7CB9"/>
    <w:rsid w:val="006B7EDA"/>
    <w:rsid w:val="006C0122"/>
    <w:rsid w:val="006C09DB"/>
    <w:rsid w:val="006C0D28"/>
    <w:rsid w:val="006C0D9D"/>
    <w:rsid w:val="006C107D"/>
    <w:rsid w:val="006C10C7"/>
    <w:rsid w:val="006C11E1"/>
    <w:rsid w:val="006C14B2"/>
    <w:rsid w:val="006C1A93"/>
    <w:rsid w:val="006C1F49"/>
    <w:rsid w:val="006C29CE"/>
    <w:rsid w:val="006C29E1"/>
    <w:rsid w:val="006C2DFC"/>
    <w:rsid w:val="006C2F3E"/>
    <w:rsid w:val="006C3445"/>
    <w:rsid w:val="006C34DD"/>
    <w:rsid w:val="006C358D"/>
    <w:rsid w:val="006C361C"/>
    <w:rsid w:val="006C368A"/>
    <w:rsid w:val="006C3C87"/>
    <w:rsid w:val="006C3E50"/>
    <w:rsid w:val="006C414F"/>
    <w:rsid w:val="006C4555"/>
    <w:rsid w:val="006C45A3"/>
    <w:rsid w:val="006C4AEA"/>
    <w:rsid w:val="006C4B98"/>
    <w:rsid w:val="006C4F76"/>
    <w:rsid w:val="006C50A5"/>
    <w:rsid w:val="006C5170"/>
    <w:rsid w:val="006C565C"/>
    <w:rsid w:val="006C5C09"/>
    <w:rsid w:val="006C5FB5"/>
    <w:rsid w:val="006C64A0"/>
    <w:rsid w:val="006C6750"/>
    <w:rsid w:val="006C6995"/>
    <w:rsid w:val="006C6C04"/>
    <w:rsid w:val="006C6CDE"/>
    <w:rsid w:val="006C7235"/>
    <w:rsid w:val="006C72DA"/>
    <w:rsid w:val="006C7671"/>
    <w:rsid w:val="006C76B7"/>
    <w:rsid w:val="006C7726"/>
    <w:rsid w:val="006C785E"/>
    <w:rsid w:val="006C7C8A"/>
    <w:rsid w:val="006C7DB0"/>
    <w:rsid w:val="006C7F76"/>
    <w:rsid w:val="006D0183"/>
    <w:rsid w:val="006D0314"/>
    <w:rsid w:val="006D03CC"/>
    <w:rsid w:val="006D0523"/>
    <w:rsid w:val="006D0681"/>
    <w:rsid w:val="006D0AEE"/>
    <w:rsid w:val="006D0C00"/>
    <w:rsid w:val="006D0E2C"/>
    <w:rsid w:val="006D1136"/>
    <w:rsid w:val="006D1823"/>
    <w:rsid w:val="006D1AC8"/>
    <w:rsid w:val="006D1B77"/>
    <w:rsid w:val="006D1D40"/>
    <w:rsid w:val="006D1D9C"/>
    <w:rsid w:val="006D1EC1"/>
    <w:rsid w:val="006D1FC8"/>
    <w:rsid w:val="006D20C7"/>
    <w:rsid w:val="006D2153"/>
    <w:rsid w:val="006D2895"/>
    <w:rsid w:val="006D2C57"/>
    <w:rsid w:val="006D2CED"/>
    <w:rsid w:val="006D2E39"/>
    <w:rsid w:val="006D31E2"/>
    <w:rsid w:val="006D353C"/>
    <w:rsid w:val="006D3877"/>
    <w:rsid w:val="006D3D90"/>
    <w:rsid w:val="006D421A"/>
    <w:rsid w:val="006D4272"/>
    <w:rsid w:val="006D435D"/>
    <w:rsid w:val="006D450B"/>
    <w:rsid w:val="006D485E"/>
    <w:rsid w:val="006D4E0D"/>
    <w:rsid w:val="006D4F9F"/>
    <w:rsid w:val="006D50F5"/>
    <w:rsid w:val="006D517A"/>
    <w:rsid w:val="006D5541"/>
    <w:rsid w:val="006D5669"/>
    <w:rsid w:val="006D5916"/>
    <w:rsid w:val="006D5934"/>
    <w:rsid w:val="006D5D7F"/>
    <w:rsid w:val="006D62DC"/>
    <w:rsid w:val="006D69E4"/>
    <w:rsid w:val="006D6A70"/>
    <w:rsid w:val="006D6B7D"/>
    <w:rsid w:val="006D6BED"/>
    <w:rsid w:val="006D7295"/>
    <w:rsid w:val="006D74BB"/>
    <w:rsid w:val="006D76A0"/>
    <w:rsid w:val="006D7BB5"/>
    <w:rsid w:val="006D7E4D"/>
    <w:rsid w:val="006D7FCE"/>
    <w:rsid w:val="006D7FE3"/>
    <w:rsid w:val="006E0248"/>
    <w:rsid w:val="006E0310"/>
    <w:rsid w:val="006E041C"/>
    <w:rsid w:val="006E0711"/>
    <w:rsid w:val="006E0749"/>
    <w:rsid w:val="006E07D9"/>
    <w:rsid w:val="006E1B6E"/>
    <w:rsid w:val="006E1BD7"/>
    <w:rsid w:val="006E215A"/>
    <w:rsid w:val="006E21E8"/>
    <w:rsid w:val="006E28BA"/>
    <w:rsid w:val="006E2B66"/>
    <w:rsid w:val="006E2F12"/>
    <w:rsid w:val="006E2FBD"/>
    <w:rsid w:val="006E32BE"/>
    <w:rsid w:val="006E3735"/>
    <w:rsid w:val="006E3850"/>
    <w:rsid w:val="006E3ABD"/>
    <w:rsid w:val="006E3C35"/>
    <w:rsid w:val="006E3C54"/>
    <w:rsid w:val="006E3F77"/>
    <w:rsid w:val="006E3FA2"/>
    <w:rsid w:val="006E401D"/>
    <w:rsid w:val="006E423D"/>
    <w:rsid w:val="006E448A"/>
    <w:rsid w:val="006E4A73"/>
    <w:rsid w:val="006E4C9B"/>
    <w:rsid w:val="006E4EBD"/>
    <w:rsid w:val="006E555A"/>
    <w:rsid w:val="006E5A77"/>
    <w:rsid w:val="006E5B42"/>
    <w:rsid w:val="006E5BD3"/>
    <w:rsid w:val="006E5E51"/>
    <w:rsid w:val="006E5FAB"/>
    <w:rsid w:val="006E603B"/>
    <w:rsid w:val="006E63AE"/>
    <w:rsid w:val="006E651E"/>
    <w:rsid w:val="006E671B"/>
    <w:rsid w:val="006E6C9B"/>
    <w:rsid w:val="006E6E39"/>
    <w:rsid w:val="006E6FB0"/>
    <w:rsid w:val="006E7121"/>
    <w:rsid w:val="006E75D2"/>
    <w:rsid w:val="006E764F"/>
    <w:rsid w:val="006E7B1A"/>
    <w:rsid w:val="006F01C0"/>
    <w:rsid w:val="006F0297"/>
    <w:rsid w:val="006F0C64"/>
    <w:rsid w:val="006F0C73"/>
    <w:rsid w:val="006F0D18"/>
    <w:rsid w:val="006F1364"/>
    <w:rsid w:val="006F13DC"/>
    <w:rsid w:val="006F16B5"/>
    <w:rsid w:val="006F193C"/>
    <w:rsid w:val="006F1DD8"/>
    <w:rsid w:val="006F1EC5"/>
    <w:rsid w:val="006F1F92"/>
    <w:rsid w:val="006F214F"/>
    <w:rsid w:val="006F21CF"/>
    <w:rsid w:val="006F3019"/>
    <w:rsid w:val="006F3BEF"/>
    <w:rsid w:val="006F3E17"/>
    <w:rsid w:val="006F3EC6"/>
    <w:rsid w:val="006F3F1F"/>
    <w:rsid w:val="006F413A"/>
    <w:rsid w:val="006F4265"/>
    <w:rsid w:val="006F42E4"/>
    <w:rsid w:val="006F448F"/>
    <w:rsid w:val="006F44AC"/>
    <w:rsid w:val="006F4511"/>
    <w:rsid w:val="006F459A"/>
    <w:rsid w:val="006F47DA"/>
    <w:rsid w:val="006F48EF"/>
    <w:rsid w:val="006F4998"/>
    <w:rsid w:val="006F4D97"/>
    <w:rsid w:val="006F4E68"/>
    <w:rsid w:val="006F5120"/>
    <w:rsid w:val="006F539A"/>
    <w:rsid w:val="006F58E6"/>
    <w:rsid w:val="006F5B01"/>
    <w:rsid w:val="006F5F55"/>
    <w:rsid w:val="006F62A7"/>
    <w:rsid w:val="006F6353"/>
    <w:rsid w:val="006F66FA"/>
    <w:rsid w:val="006F6703"/>
    <w:rsid w:val="006F6806"/>
    <w:rsid w:val="006F68C0"/>
    <w:rsid w:val="006F7608"/>
    <w:rsid w:val="006F79B3"/>
    <w:rsid w:val="006F7C76"/>
    <w:rsid w:val="006F7C8D"/>
    <w:rsid w:val="006F7E9E"/>
    <w:rsid w:val="007001AB"/>
    <w:rsid w:val="00700816"/>
    <w:rsid w:val="007008B4"/>
    <w:rsid w:val="00700A48"/>
    <w:rsid w:val="00700BA0"/>
    <w:rsid w:val="00700CAB"/>
    <w:rsid w:val="00700EB2"/>
    <w:rsid w:val="007011ED"/>
    <w:rsid w:val="007016D5"/>
    <w:rsid w:val="00701873"/>
    <w:rsid w:val="0070196E"/>
    <w:rsid w:val="00701C3C"/>
    <w:rsid w:val="00701D26"/>
    <w:rsid w:val="00701F20"/>
    <w:rsid w:val="00702448"/>
    <w:rsid w:val="0070278F"/>
    <w:rsid w:val="007029D3"/>
    <w:rsid w:val="00702AD1"/>
    <w:rsid w:val="00702BA1"/>
    <w:rsid w:val="00702EAC"/>
    <w:rsid w:val="00702F55"/>
    <w:rsid w:val="007030EA"/>
    <w:rsid w:val="00703414"/>
    <w:rsid w:val="007034CC"/>
    <w:rsid w:val="00703640"/>
    <w:rsid w:val="00703A22"/>
    <w:rsid w:val="00703A2D"/>
    <w:rsid w:val="00703A3A"/>
    <w:rsid w:val="00703D6D"/>
    <w:rsid w:val="00703D86"/>
    <w:rsid w:val="00704075"/>
    <w:rsid w:val="00704195"/>
    <w:rsid w:val="0070428A"/>
    <w:rsid w:val="00704D88"/>
    <w:rsid w:val="00704E8D"/>
    <w:rsid w:val="00704EF2"/>
    <w:rsid w:val="007051DC"/>
    <w:rsid w:val="007052AC"/>
    <w:rsid w:val="007052C6"/>
    <w:rsid w:val="00705A58"/>
    <w:rsid w:val="00705D05"/>
    <w:rsid w:val="007060A9"/>
    <w:rsid w:val="007063A8"/>
    <w:rsid w:val="00706E51"/>
    <w:rsid w:val="00707B96"/>
    <w:rsid w:val="00707CF9"/>
    <w:rsid w:val="00707E98"/>
    <w:rsid w:val="00707FDD"/>
    <w:rsid w:val="00710085"/>
    <w:rsid w:val="0071033B"/>
    <w:rsid w:val="007104C0"/>
    <w:rsid w:val="007107C8"/>
    <w:rsid w:val="00710987"/>
    <w:rsid w:val="00710A61"/>
    <w:rsid w:val="00710C5B"/>
    <w:rsid w:val="00710F0C"/>
    <w:rsid w:val="00710FE7"/>
    <w:rsid w:val="00711315"/>
    <w:rsid w:val="0071134A"/>
    <w:rsid w:val="00711641"/>
    <w:rsid w:val="00711B7F"/>
    <w:rsid w:val="0071256C"/>
    <w:rsid w:val="0071352A"/>
    <w:rsid w:val="007137E8"/>
    <w:rsid w:val="007139D7"/>
    <w:rsid w:val="00713BCB"/>
    <w:rsid w:val="00713FC8"/>
    <w:rsid w:val="007144A0"/>
    <w:rsid w:val="0071461E"/>
    <w:rsid w:val="007147D3"/>
    <w:rsid w:val="00714ACE"/>
    <w:rsid w:val="00714DA3"/>
    <w:rsid w:val="00714F07"/>
    <w:rsid w:val="007150E6"/>
    <w:rsid w:val="0071514B"/>
    <w:rsid w:val="00715162"/>
    <w:rsid w:val="00715B1A"/>
    <w:rsid w:val="00715BF6"/>
    <w:rsid w:val="00715D00"/>
    <w:rsid w:val="00715F38"/>
    <w:rsid w:val="00715F48"/>
    <w:rsid w:val="00715F80"/>
    <w:rsid w:val="00716107"/>
    <w:rsid w:val="00716148"/>
    <w:rsid w:val="007163B6"/>
    <w:rsid w:val="00716466"/>
    <w:rsid w:val="00716511"/>
    <w:rsid w:val="0071671B"/>
    <w:rsid w:val="00716F30"/>
    <w:rsid w:val="0071751C"/>
    <w:rsid w:val="007175E2"/>
    <w:rsid w:val="00717A9F"/>
    <w:rsid w:val="00717D37"/>
    <w:rsid w:val="00717EB1"/>
    <w:rsid w:val="00717F62"/>
    <w:rsid w:val="00720023"/>
    <w:rsid w:val="00720259"/>
    <w:rsid w:val="00720858"/>
    <w:rsid w:val="0072094D"/>
    <w:rsid w:val="007209DB"/>
    <w:rsid w:val="00720CDF"/>
    <w:rsid w:val="00720D0A"/>
    <w:rsid w:val="00720DB0"/>
    <w:rsid w:val="007211DE"/>
    <w:rsid w:val="0072152F"/>
    <w:rsid w:val="0072185F"/>
    <w:rsid w:val="007219E2"/>
    <w:rsid w:val="00721A1D"/>
    <w:rsid w:val="00721AB4"/>
    <w:rsid w:val="00721D3C"/>
    <w:rsid w:val="00721D5E"/>
    <w:rsid w:val="00721E1F"/>
    <w:rsid w:val="00721EA5"/>
    <w:rsid w:val="007224B5"/>
    <w:rsid w:val="007229E8"/>
    <w:rsid w:val="00722C48"/>
    <w:rsid w:val="00722D6A"/>
    <w:rsid w:val="0072326E"/>
    <w:rsid w:val="00723284"/>
    <w:rsid w:val="00723392"/>
    <w:rsid w:val="00723A63"/>
    <w:rsid w:val="00723E9C"/>
    <w:rsid w:val="00723EBC"/>
    <w:rsid w:val="00724A78"/>
    <w:rsid w:val="00724C8F"/>
    <w:rsid w:val="00724DF8"/>
    <w:rsid w:val="00725211"/>
    <w:rsid w:val="007252E0"/>
    <w:rsid w:val="007253D5"/>
    <w:rsid w:val="00725550"/>
    <w:rsid w:val="007255E6"/>
    <w:rsid w:val="00725D2F"/>
    <w:rsid w:val="00726009"/>
    <w:rsid w:val="0072649A"/>
    <w:rsid w:val="007265DD"/>
    <w:rsid w:val="0072676E"/>
    <w:rsid w:val="00726807"/>
    <w:rsid w:val="00726C5C"/>
    <w:rsid w:val="00726C6C"/>
    <w:rsid w:val="00727272"/>
    <w:rsid w:val="00727285"/>
    <w:rsid w:val="00727382"/>
    <w:rsid w:val="00727647"/>
    <w:rsid w:val="00730044"/>
    <w:rsid w:val="007300B5"/>
    <w:rsid w:val="0073029F"/>
    <w:rsid w:val="007302E8"/>
    <w:rsid w:val="007302F6"/>
    <w:rsid w:val="007305D6"/>
    <w:rsid w:val="00730DA8"/>
    <w:rsid w:val="00730E9B"/>
    <w:rsid w:val="00730EC1"/>
    <w:rsid w:val="00730FED"/>
    <w:rsid w:val="00731099"/>
    <w:rsid w:val="0073121C"/>
    <w:rsid w:val="00731281"/>
    <w:rsid w:val="00731410"/>
    <w:rsid w:val="00731560"/>
    <w:rsid w:val="00731719"/>
    <w:rsid w:val="007317C7"/>
    <w:rsid w:val="007319D2"/>
    <w:rsid w:val="00731B5F"/>
    <w:rsid w:val="00731C87"/>
    <w:rsid w:val="00731D6F"/>
    <w:rsid w:val="00731D95"/>
    <w:rsid w:val="00731F5C"/>
    <w:rsid w:val="00732042"/>
    <w:rsid w:val="00732193"/>
    <w:rsid w:val="007325EF"/>
    <w:rsid w:val="00732641"/>
    <w:rsid w:val="007326DF"/>
    <w:rsid w:val="00732A8A"/>
    <w:rsid w:val="00732A9F"/>
    <w:rsid w:val="00732AD0"/>
    <w:rsid w:val="00732BFE"/>
    <w:rsid w:val="0073307F"/>
    <w:rsid w:val="00733088"/>
    <w:rsid w:val="0073343C"/>
    <w:rsid w:val="007334C1"/>
    <w:rsid w:val="007339AE"/>
    <w:rsid w:val="007339CD"/>
    <w:rsid w:val="00733BD5"/>
    <w:rsid w:val="00733C6D"/>
    <w:rsid w:val="00733ECC"/>
    <w:rsid w:val="0073408E"/>
    <w:rsid w:val="007348AA"/>
    <w:rsid w:val="007349A2"/>
    <w:rsid w:val="00734AEA"/>
    <w:rsid w:val="00734B41"/>
    <w:rsid w:val="00734FB9"/>
    <w:rsid w:val="00735910"/>
    <w:rsid w:val="00736362"/>
    <w:rsid w:val="007363D3"/>
    <w:rsid w:val="007363FB"/>
    <w:rsid w:val="007364DD"/>
    <w:rsid w:val="007365E6"/>
    <w:rsid w:val="00736B5A"/>
    <w:rsid w:val="00736B6E"/>
    <w:rsid w:val="00736C75"/>
    <w:rsid w:val="00736D40"/>
    <w:rsid w:val="00737614"/>
    <w:rsid w:val="00737669"/>
    <w:rsid w:val="00737805"/>
    <w:rsid w:val="00737ACB"/>
    <w:rsid w:val="00737BBE"/>
    <w:rsid w:val="00737CCB"/>
    <w:rsid w:val="00737F9A"/>
    <w:rsid w:val="0074010E"/>
    <w:rsid w:val="007403BC"/>
    <w:rsid w:val="00740839"/>
    <w:rsid w:val="00740EE7"/>
    <w:rsid w:val="007410BF"/>
    <w:rsid w:val="007413D2"/>
    <w:rsid w:val="0074158F"/>
    <w:rsid w:val="00741682"/>
    <w:rsid w:val="007417D4"/>
    <w:rsid w:val="00741B2F"/>
    <w:rsid w:val="00741C2E"/>
    <w:rsid w:val="00741D75"/>
    <w:rsid w:val="00741FBD"/>
    <w:rsid w:val="007425A9"/>
    <w:rsid w:val="00742881"/>
    <w:rsid w:val="00742AE0"/>
    <w:rsid w:val="00743043"/>
    <w:rsid w:val="0074323E"/>
    <w:rsid w:val="007434DD"/>
    <w:rsid w:val="007435B5"/>
    <w:rsid w:val="00743B6A"/>
    <w:rsid w:val="00743D11"/>
    <w:rsid w:val="00743D50"/>
    <w:rsid w:val="00743EA0"/>
    <w:rsid w:val="00743EE6"/>
    <w:rsid w:val="00743FDD"/>
    <w:rsid w:val="007440AC"/>
    <w:rsid w:val="0074431E"/>
    <w:rsid w:val="007445E6"/>
    <w:rsid w:val="00744866"/>
    <w:rsid w:val="00744EAD"/>
    <w:rsid w:val="007452A1"/>
    <w:rsid w:val="00745306"/>
    <w:rsid w:val="00745323"/>
    <w:rsid w:val="007454A0"/>
    <w:rsid w:val="007455DE"/>
    <w:rsid w:val="00745975"/>
    <w:rsid w:val="00745C0C"/>
    <w:rsid w:val="00745CCF"/>
    <w:rsid w:val="00745D6F"/>
    <w:rsid w:val="00745E1C"/>
    <w:rsid w:val="00745F26"/>
    <w:rsid w:val="007464CB"/>
    <w:rsid w:val="007465BA"/>
    <w:rsid w:val="00746625"/>
    <w:rsid w:val="00746AB9"/>
    <w:rsid w:val="00746BB3"/>
    <w:rsid w:val="00747059"/>
    <w:rsid w:val="0074714F"/>
    <w:rsid w:val="007471D6"/>
    <w:rsid w:val="00747646"/>
    <w:rsid w:val="007477AF"/>
    <w:rsid w:val="00747873"/>
    <w:rsid w:val="0074790F"/>
    <w:rsid w:val="00747B45"/>
    <w:rsid w:val="00747D37"/>
    <w:rsid w:val="00747E3C"/>
    <w:rsid w:val="00750247"/>
    <w:rsid w:val="00750268"/>
    <w:rsid w:val="007502FD"/>
    <w:rsid w:val="007505F4"/>
    <w:rsid w:val="0075066E"/>
    <w:rsid w:val="00750746"/>
    <w:rsid w:val="00750B1B"/>
    <w:rsid w:val="00751336"/>
    <w:rsid w:val="0075137C"/>
    <w:rsid w:val="00751C20"/>
    <w:rsid w:val="00751DA2"/>
    <w:rsid w:val="00751F9C"/>
    <w:rsid w:val="00752126"/>
    <w:rsid w:val="007526DB"/>
    <w:rsid w:val="00752E6A"/>
    <w:rsid w:val="00752FCB"/>
    <w:rsid w:val="00753454"/>
    <w:rsid w:val="0075369F"/>
    <w:rsid w:val="007536D2"/>
    <w:rsid w:val="00753F13"/>
    <w:rsid w:val="00754285"/>
    <w:rsid w:val="00754306"/>
    <w:rsid w:val="00754373"/>
    <w:rsid w:val="007543B0"/>
    <w:rsid w:val="007544F7"/>
    <w:rsid w:val="00754517"/>
    <w:rsid w:val="007545E2"/>
    <w:rsid w:val="0075481D"/>
    <w:rsid w:val="00754B43"/>
    <w:rsid w:val="00754E7B"/>
    <w:rsid w:val="0075541D"/>
    <w:rsid w:val="007555B2"/>
    <w:rsid w:val="00755833"/>
    <w:rsid w:val="00755A89"/>
    <w:rsid w:val="007560C7"/>
    <w:rsid w:val="0075626E"/>
    <w:rsid w:val="00756676"/>
    <w:rsid w:val="007568B7"/>
    <w:rsid w:val="007568D4"/>
    <w:rsid w:val="007568F0"/>
    <w:rsid w:val="00756B18"/>
    <w:rsid w:val="00756C94"/>
    <w:rsid w:val="0075757E"/>
    <w:rsid w:val="00757617"/>
    <w:rsid w:val="0075765C"/>
    <w:rsid w:val="00757989"/>
    <w:rsid w:val="00757A98"/>
    <w:rsid w:val="00757DCA"/>
    <w:rsid w:val="00757E45"/>
    <w:rsid w:val="00757EF3"/>
    <w:rsid w:val="0076012B"/>
    <w:rsid w:val="007602D8"/>
    <w:rsid w:val="007602ED"/>
    <w:rsid w:val="0076032B"/>
    <w:rsid w:val="007604C8"/>
    <w:rsid w:val="00760788"/>
    <w:rsid w:val="00760921"/>
    <w:rsid w:val="0076093C"/>
    <w:rsid w:val="00760B23"/>
    <w:rsid w:val="00761337"/>
    <w:rsid w:val="007617CA"/>
    <w:rsid w:val="007618A0"/>
    <w:rsid w:val="00761FA5"/>
    <w:rsid w:val="007622CB"/>
    <w:rsid w:val="0076243D"/>
    <w:rsid w:val="00762676"/>
    <w:rsid w:val="00762ADF"/>
    <w:rsid w:val="00762B9D"/>
    <w:rsid w:val="00762DD5"/>
    <w:rsid w:val="007630F7"/>
    <w:rsid w:val="00763170"/>
    <w:rsid w:val="00763190"/>
    <w:rsid w:val="0076346A"/>
    <w:rsid w:val="007636F6"/>
    <w:rsid w:val="00763887"/>
    <w:rsid w:val="00763DFC"/>
    <w:rsid w:val="0076429E"/>
    <w:rsid w:val="007642C7"/>
    <w:rsid w:val="00764442"/>
    <w:rsid w:val="0076479A"/>
    <w:rsid w:val="00764806"/>
    <w:rsid w:val="00764918"/>
    <w:rsid w:val="00764BD3"/>
    <w:rsid w:val="00764BF5"/>
    <w:rsid w:val="00764C29"/>
    <w:rsid w:val="00765142"/>
    <w:rsid w:val="007651D8"/>
    <w:rsid w:val="0076528B"/>
    <w:rsid w:val="00765327"/>
    <w:rsid w:val="00765334"/>
    <w:rsid w:val="00765458"/>
    <w:rsid w:val="00765B1E"/>
    <w:rsid w:val="00765B73"/>
    <w:rsid w:val="00765DE1"/>
    <w:rsid w:val="00765E9F"/>
    <w:rsid w:val="00765FD2"/>
    <w:rsid w:val="007662D9"/>
    <w:rsid w:val="0076632E"/>
    <w:rsid w:val="007663F7"/>
    <w:rsid w:val="007665A1"/>
    <w:rsid w:val="00766746"/>
    <w:rsid w:val="00766ECE"/>
    <w:rsid w:val="007671B6"/>
    <w:rsid w:val="00767361"/>
    <w:rsid w:val="00767513"/>
    <w:rsid w:val="007676B5"/>
    <w:rsid w:val="007677DD"/>
    <w:rsid w:val="00767BD7"/>
    <w:rsid w:val="00767F6B"/>
    <w:rsid w:val="00767FFE"/>
    <w:rsid w:val="007702E3"/>
    <w:rsid w:val="0077050E"/>
    <w:rsid w:val="0077055B"/>
    <w:rsid w:val="00770868"/>
    <w:rsid w:val="0077139D"/>
    <w:rsid w:val="00771538"/>
    <w:rsid w:val="0077158E"/>
    <w:rsid w:val="007719E3"/>
    <w:rsid w:val="00771A13"/>
    <w:rsid w:val="00771CFC"/>
    <w:rsid w:val="00771DCB"/>
    <w:rsid w:val="00771DFD"/>
    <w:rsid w:val="00771E13"/>
    <w:rsid w:val="00771EC8"/>
    <w:rsid w:val="00771FF0"/>
    <w:rsid w:val="007724C7"/>
    <w:rsid w:val="00772AC4"/>
    <w:rsid w:val="00772B66"/>
    <w:rsid w:val="00772D29"/>
    <w:rsid w:val="00772E4D"/>
    <w:rsid w:val="00772F5C"/>
    <w:rsid w:val="007731DA"/>
    <w:rsid w:val="007739A3"/>
    <w:rsid w:val="00773C16"/>
    <w:rsid w:val="00773E05"/>
    <w:rsid w:val="00774188"/>
    <w:rsid w:val="007745C3"/>
    <w:rsid w:val="007745F6"/>
    <w:rsid w:val="007746A0"/>
    <w:rsid w:val="007747C4"/>
    <w:rsid w:val="00774AB6"/>
    <w:rsid w:val="00774F44"/>
    <w:rsid w:val="007750CE"/>
    <w:rsid w:val="00775350"/>
    <w:rsid w:val="00775435"/>
    <w:rsid w:val="007755F8"/>
    <w:rsid w:val="00775800"/>
    <w:rsid w:val="00775983"/>
    <w:rsid w:val="00775E18"/>
    <w:rsid w:val="00775EA1"/>
    <w:rsid w:val="00776108"/>
    <w:rsid w:val="007764C3"/>
    <w:rsid w:val="00776831"/>
    <w:rsid w:val="007769EF"/>
    <w:rsid w:val="00776A3A"/>
    <w:rsid w:val="00776EC7"/>
    <w:rsid w:val="007770DE"/>
    <w:rsid w:val="007772B7"/>
    <w:rsid w:val="00777557"/>
    <w:rsid w:val="00777869"/>
    <w:rsid w:val="007779A1"/>
    <w:rsid w:val="00777FC3"/>
    <w:rsid w:val="00780219"/>
    <w:rsid w:val="0078088F"/>
    <w:rsid w:val="0078098E"/>
    <w:rsid w:val="00780C3C"/>
    <w:rsid w:val="00780C8C"/>
    <w:rsid w:val="00780EBF"/>
    <w:rsid w:val="00780F81"/>
    <w:rsid w:val="007811E3"/>
    <w:rsid w:val="00781279"/>
    <w:rsid w:val="00781342"/>
    <w:rsid w:val="00781664"/>
    <w:rsid w:val="00781ACA"/>
    <w:rsid w:val="00781C0C"/>
    <w:rsid w:val="00781C5B"/>
    <w:rsid w:val="00781D44"/>
    <w:rsid w:val="00781F6E"/>
    <w:rsid w:val="00782193"/>
    <w:rsid w:val="007822CE"/>
    <w:rsid w:val="00782540"/>
    <w:rsid w:val="007826C3"/>
    <w:rsid w:val="0078283C"/>
    <w:rsid w:val="00782AEF"/>
    <w:rsid w:val="00782BDE"/>
    <w:rsid w:val="00783113"/>
    <w:rsid w:val="00783140"/>
    <w:rsid w:val="00783227"/>
    <w:rsid w:val="0078342F"/>
    <w:rsid w:val="0078384D"/>
    <w:rsid w:val="00783861"/>
    <w:rsid w:val="00783CC2"/>
    <w:rsid w:val="00783E2B"/>
    <w:rsid w:val="00783E71"/>
    <w:rsid w:val="00783E8C"/>
    <w:rsid w:val="0078461A"/>
    <w:rsid w:val="0078474C"/>
    <w:rsid w:val="007848DF"/>
    <w:rsid w:val="00784928"/>
    <w:rsid w:val="00784EFE"/>
    <w:rsid w:val="0078553D"/>
    <w:rsid w:val="007857B5"/>
    <w:rsid w:val="0078582D"/>
    <w:rsid w:val="007865E2"/>
    <w:rsid w:val="007866FB"/>
    <w:rsid w:val="00786AAF"/>
    <w:rsid w:val="00786BDB"/>
    <w:rsid w:val="00786D8B"/>
    <w:rsid w:val="00786EB0"/>
    <w:rsid w:val="00787A83"/>
    <w:rsid w:val="00787C29"/>
    <w:rsid w:val="00787C2A"/>
    <w:rsid w:val="00787D16"/>
    <w:rsid w:val="00787FF1"/>
    <w:rsid w:val="00790073"/>
    <w:rsid w:val="00790401"/>
    <w:rsid w:val="00790687"/>
    <w:rsid w:val="00790B90"/>
    <w:rsid w:val="00790CC6"/>
    <w:rsid w:val="00790CE2"/>
    <w:rsid w:val="00791007"/>
    <w:rsid w:val="00791307"/>
    <w:rsid w:val="00791337"/>
    <w:rsid w:val="0079140F"/>
    <w:rsid w:val="00791578"/>
    <w:rsid w:val="00791D17"/>
    <w:rsid w:val="00791DC2"/>
    <w:rsid w:val="00791EDF"/>
    <w:rsid w:val="00792038"/>
    <w:rsid w:val="00792666"/>
    <w:rsid w:val="00792D3B"/>
    <w:rsid w:val="00792DAE"/>
    <w:rsid w:val="00793106"/>
    <w:rsid w:val="00793141"/>
    <w:rsid w:val="007931D7"/>
    <w:rsid w:val="0079321B"/>
    <w:rsid w:val="00793332"/>
    <w:rsid w:val="007934A5"/>
    <w:rsid w:val="00793956"/>
    <w:rsid w:val="00793B28"/>
    <w:rsid w:val="00793B94"/>
    <w:rsid w:val="00793BD2"/>
    <w:rsid w:val="00793CF5"/>
    <w:rsid w:val="00793D0D"/>
    <w:rsid w:val="00793DF8"/>
    <w:rsid w:val="00793EE9"/>
    <w:rsid w:val="007940A9"/>
    <w:rsid w:val="007941B5"/>
    <w:rsid w:val="00794484"/>
    <w:rsid w:val="007945EE"/>
    <w:rsid w:val="00794917"/>
    <w:rsid w:val="0079555A"/>
    <w:rsid w:val="007959C8"/>
    <w:rsid w:val="00795AD6"/>
    <w:rsid w:val="0079624B"/>
    <w:rsid w:val="007964A9"/>
    <w:rsid w:val="007968C9"/>
    <w:rsid w:val="007969AE"/>
    <w:rsid w:val="0079702F"/>
    <w:rsid w:val="00797188"/>
    <w:rsid w:val="007971C5"/>
    <w:rsid w:val="007974F3"/>
    <w:rsid w:val="007976BC"/>
    <w:rsid w:val="007976F1"/>
    <w:rsid w:val="00797A8B"/>
    <w:rsid w:val="00797ABD"/>
    <w:rsid w:val="00797FEC"/>
    <w:rsid w:val="007A04E5"/>
    <w:rsid w:val="007A0660"/>
    <w:rsid w:val="007A0D60"/>
    <w:rsid w:val="007A0DDA"/>
    <w:rsid w:val="007A0DF5"/>
    <w:rsid w:val="007A117E"/>
    <w:rsid w:val="007A12AE"/>
    <w:rsid w:val="007A130F"/>
    <w:rsid w:val="007A1795"/>
    <w:rsid w:val="007A195A"/>
    <w:rsid w:val="007A1D16"/>
    <w:rsid w:val="007A1D60"/>
    <w:rsid w:val="007A25DA"/>
    <w:rsid w:val="007A2750"/>
    <w:rsid w:val="007A3059"/>
    <w:rsid w:val="007A30BE"/>
    <w:rsid w:val="007A3349"/>
    <w:rsid w:val="007A334C"/>
    <w:rsid w:val="007A35CE"/>
    <w:rsid w:val="007A35EF"/>
    <w:rsid w:val="007A3739"/>
    <w:rsid w:val="007A3D42"/>
    <w:rsid w:val="007A3F05"/>
    <w:rsid w:val="007A479B"/>
    <w:rsid w:val="007A4AC2"/>
    <w:rsid w:val="007A4C00"/>
    <w:rsid w:val="007A4CC6"/>
    <w:rsid w:val="007A50C7"/>
    <w:rsid w:val="007A55D3"/>
    <w:rsid w:val="007A55DC"/>
    <w:rsid w:val="007A57BC"/>
    <w:rsid w:val="007A588A"/>
    <w:rsid w:val="007A5D9D"/>
    <w:rsid w:val="007A5E8A"/>
    <w:rsid w:val="007A5F09"/>
    <w:rsid w:val="007A5F25"/>
    <w:rsid w:val="007A664C"/>
    <w:rsid w:val="007A6C44"/>
    <w:rsid w:val="007A6C51"/>
    <w:rsid w:val="007A7838"/>
    <w:rsid w:val="007A790E"/>
    <w:rsid w:val="007A7A1A"/>
    <w:rsid w:val="007A7C30"/>
    <w:rsid w:val="007A7F03"/>
    <w:rsid w:val="007B027B"/>
    <w:rsid w:val="007B02BD"/>
    <w:rsid w:val="007B0D3F"/>
    <w:rsid w:val="007B1184"/>
    <w:rsid w:val="007B11B6"/>
    <w:rsid w:val="007B120C"/>
    <w:rsid w:val="007B1E0B"/>
    <w:rsid w:val="007B1E83"/>
    <w:rsid w:val="007B1E86"/>
    <w:rsid w:val="007B216E"/>
    <w:rsid w:val="007B22A5"/>
    <w:rsid w:val="007B22FB"/>
    <w:rsid w:val="007B2A33"/>
    <w:rsid w:val="007B2AB3"/>
    <w:rsid w:val="007B2BDD"/>
    <w:rsid w:val="007B2E17"/>
    <w:rsid w:val="007B2EBE"/>
    <w:rsid w:val="007B3237"/>
    <w:rsid w:val="007B353F"/>
    <w:rsid w:val="007B3698"/>
    <w:rsid w:val="007B36E7"/>
    <w:rsid w:val="007B3776"/>
    <w:rsid w:val="007B39E0"/>
    <w:rsid w:val="007B409A"/>
    <w:rsid w:val="007B4146"/>
    <w:rsid w:val="007B419C"/>
    <w:rsid w:val="007B41CA"/>
    <w:rsid w:val="007B48DD"/>
    <w:rsid w:val="007B4951"/>
    <w:rsid w:val="007B4CAB"/>
    <w:rsid w:val="007B4D77"/>
    <w:rsid w:val="007B4DCE"/>
    <w:rsid w:val="007B5484"/>
    <w:rsid w:val="007B56B2"/>
    <w:rsid w:val="007B58D1"/>
    <w:rsid w:val="007B5E35"/>
    <w:rsid w:val="007B5FA4"/>
    <w:rsid w:val="007B61BA"/>
    <w:rsid w:val="007B6543"/>
    <w:rsid w:val="007B6929"/>
    <w:rsid w:val="007B6953"/>
    <w:rsid w:val="007B6D68"/>
    <w:rsid w:val="007B6E77"/>
    <w:rsid w:val="007B7512"/>
    <w:rsid w:val="007B7954"/>
    <w:rsid w:val="007B7984"/>
    <w:rsid w:val="007B79BF"/>
    <w:rsid w:val="007B7D00"/>
    <w:rsid w:val="007B7F1D"/>
    <w:rsid w:val="007B7F57"/>
    <w:rsid w:val="007C0309"/>
    <w:rsid w:val="007C05FF"/>
    <w:rsid w:val="007C06E7"/>
    <w:rsid w:val="007C0A8A"/>
    <w:rsid w:val="007C0AA6"/>
    <w:rsid w:val="007C0D83"/>
    <w:rsid w:val="007C0E2C"/>
    <w:rsid w:val="007C0E42"/>
    <w:rsid w:val="007C1B71"/>
    <w:rsid w:val="007C1B74"/>
    <w:rsid w:val="007C1CD8"/>
    <w:rsid w:val="007C1DF5"/>
    <w:rsid w:val="007C22D8"/>
    <w:rsid w:val="007C2346"/>
    <w:rsid w:val="007C23B3"/>
    <w:rsid w:val="007C23E5"/>
    <w:rsid w:val="007C2544"/>
    <w:rsid w:val="007C25C4"/>
    <w:rsid w:val="007C2768"/>
    <w:rsid w:val="007C27B1"/>
    <w:rsid w:val="007C2B0C"/>
    <w:rsid w:val="007C2B43"/>
    <w:rsid w:val="007C2CDB"/>
    <w:rsid w:val="007C2DCD"/>
    <w:rsid w:val="007C2EE1"/>
    <w:rsid w:val="007C2F39"/>
    <w:rsid w:val="007C3444"/>
    <w:rsid w:val="007C39A2"/>
    <w:rsid w:val="007C424C"/>
    <w:rsid w:val="007C42C9"/>
    <w:rsid w:val="007C452D"/>
    <w:rsid w:val="007C4561"/>
    <w:rsid w:val="007C46E3"/>
    <w:rsid w:val="007C48D0"/>
    <w:rsid w:val="007C4A0C"/>
    <w:rsid w:val="007C4A2F"/>
    <w:rsid w:val="007C4E97"/>
    <w:rsid w:val="007C5008"/>
    <w:rsid w:val="007C50D3"/>
    <w:rsid w:val="007C5285"/>
    <w:rsid w:val="007C530C"/>
    <w:rsid w:val="007C568A"/>
    <w:rsid w:val="007C5A7D"/>
    <w:rsid w:val="007C5C72"/>
    <w:rsid w:val="007C5CEA"/>
    <w:rsid w:val="007C6032"/>
    <w:rsid w:val="007C6198"/>
    <w:rsid w:val="007C684F"/>
    <w:rsid w:val="007C6851"/>
    <w:rsid w:val="007C695C"/>
    <w:rsid w:val="007C6AEB"/>
    <w:rsid w:val="007C6CA1"/>
    <w:rsid w:val="007C6FB3"/>
    <w:rsid w:val="007C7176"/>
    <w:rsid w:val="007C72C8"/>
    <w:rsid w:val="007C76FE"/>
    <w:rsid w:val="007C7703"/>
    <w:rsid w:val="007C7791"/>
    <w:rsid w:val="007C7902"/>
    <w:rsid w:val="007C7C1E"/>
    <w:rsid w:val="007C7CCF"/>
    <w:rsid w:val="007C7D9C"/>
    <w:rsid w:val="007D0108"/>
    <w:rsid w:val="007D0441"/>
    <w:rsid w:val="007D0B17"/>
    <w:rsid w:val="007D0C6D"/>
    <w:rsid w:val="007D1146"/>
    <w:rsid w:val="007D11AE"/>
    <w:rsid w:val="007D133C"/>
    <w:rsid w:val="007D153F"/>
    <w:rsid w:val="007D16D8"/>
    <w:rsid w:val="007D1777"/>
    <w:rsid w:val="007D17AC"/>
    <w:rsid w:val="007D1826"/>
    <w:rsid w:val="007D1A24"/>
    <w:rsid w:val="007D1B09"/>
    <w:rsid w:val="007D1FD5"/>
    <w:rsid w:val="007D20FF"/>
    <w:rsid w:val="007D2269"/>
    <w:rsid w:val="007D2370"/>
    <w:rsid w:val="007D2399"/>
    <w:rsid w:val="007D2860"/>
    <w:rsid w:val="007D2A7F"/>
    <w:rsid w:val="007D2B59"/>
    <w:rsid w:val="007D2CC3"/>
    <w:rsid w:val="007D3021"/>
    <w:rsid w:val="007D3142"/>
    <w:rsid w:val="007D31F2"/>
    <w:rsid w:val="007D3D0A"/>
    <w:rsid w:val="007D3F5F"/>
    <w:rsid w:val="007D3F90"/>
    <w:rsid w:val="007D4018"/>
    <w:rsid w:val="007D417C"/>
    <w:rsid w:val="007D4593"/>
    <w:rsid w:val="007D4597"/>
    <w:rsid w:val="007D4BD1"/>
    <w:rsid w:val="007D4BEC"/>
    <w:rsid w:val="007D4C31"/>
    <w:rsid w:val="007D4CE9"/>
    <w:rsid w:val="007D4D2D"/>
    <w:rsid w:val="007D4E11"/>
    <w:rsid w:val="007D4FCE"/>
    <w:rsid w:val="007D5133"/>
    <w:rsid w:val="007D5523"/>
    <w:rsid w:val="007D5549"/>
    <w:rsid w:val="007D5AFF"/>
    <w:rsid w:val="007D60FF"/>
    <w:rsid w:val="007D6448"/>
    <w:rsid w:val="007D64B5"/>
    <w:rsid w:val="007D68FB"/>
    <w:rsid w:val="007D69EE"/>
    <w:rsid w:val="007D739F"/>
    <w:rsid w:val="007D7406"/>
    <w:rsid w:val="007D78E5"/>
    <w:rsid w:val="007D7E8B"/>
    <w:rsid w:val="007E014D"/>
    <w:rsid w:val="007E093C"/>
    <w:rsid w:val="007E0A6D"/>
    <w:rsid w:val="007E1115"/>
    <w:rsid w:val="007E1788"/>
    <w:rsid w:val="007E1B17"/>
    <w:rsid w:val="007E254F"/>
    <w:rsid w:val="007E27F6"/>
    <w:rsid w:val="007E2B49"/>
    <w:rsid w:val="007E2BB3"/>
    <w:rsid w:val="007E2EEB"/>
    <w:rsid w:val="007E3223"/>
    <w:rsid w:val="007E33DB"/>
    <w:rsid w:val="007E36F8"/>
    <w:rsid w:val="007E3711"/>
    <w:rsid w:val="007E3978"/>
    <w:rsid w:val="007E3BFF"/>
    <w:rsid w:val="007E3D81"/>
    <w:rsid w:val="007E4102"/>
    <w:rsid w:val="007E4239"/>
    <w:rsid w:val="007E4659"/>
    <w:rsid w:val="007E46FC"/>
    <w:rsid w:val="007E493F"/>
    <w:rsid w:val="007E4E31"/>
    <w:rsid w:val="007E5800"/>
    <w:rsid w:val="007E5872"/>
    <w:rsid w:val="007E59AC"/>
    <w:rsid w:val="007E5C20"/>
    <w:rsid w:val="007E668F"/>
    <w:rsid w:val="007E66AA"/>
    <w:rsid w:val="007E6B2D"/>
    <w:rsid w:val="007E6BDF"/>
    <w:rsid w:val="007E6C4C"/>
    <w:rsid w:val="007E6F4A"/>
    <w:rsid w:val="007E71D2"/>
    <w:rsid w:val="007E71D7"/>
    <w:rsid w:val="007E75A3"/>
    <w:rsid w:val="007E7677"/>
    <w:rsid w:val="007E788B"/>
    <w:rsid w:val="007E7A54"/>
    <w:rsid w:val="007E7EFB"/>
    <w:rsid w:val="007E7F23"/>
    <w:rsid w:val="007F0092"/>
    <w:rsid w:val="007F00AC"/>
    <w:rsid w:val="007F00DA"/>
    <w:rsid w:val="007F07A5"/>
    <w:rsid w:val="007F0D25"/>
    <w:rsid w:val="007F0F80"/>
    <w:rsid w:val="007F13F4"/>
    <w:rsid w:val="007F181B"/>
    <w:rsid w:val="007F1C9D"/>
    <w:rsid w:val="007F1E14"/>
    <w:rsid w:val="007F2A0A"/>
    <w:rsid w:val="007F2D6A"/>
    <w:rsid w:val="007F2EAB"/>
    <w:rsid w:val="007F3056"/>
    <w:rsid w:val="007F30CC"/>
    <w:rsid w:val="007F3265"/>
    <w:rsid w:val="007F3EF7"/>
    <w:rsid w:val="007F3F31"/>
    <w:rsid w:val="007F3FAB"/>
    <w:rsid w:val="007F42D2"/>
    <w:rsid w:val="007F4705"/>
    <w:rsid w:val="007F4C5E"/>
    <w:rsid w:val="007F4DFE"/>
    <w:rsid w:val="007F53DF"/>
    <w:rsid w:val="007F5F61"/>
    <w:rsid w:val="007F6090"/>
    <w:rsid w:val="007F6894"/>
    <w:rsid w:val="007F68DF"/>
    <w:rsid w:val="007F6C3F"/>
    <w:rsid w:val="007F72F4"/>
    <w:rsid w:val="007F752A"/>
    <w:rsid w:val="007F76B0"/>
    <w:rsid w:val="007F784F"/>
    <w:rsid w:val="007F7A5A"/>
    <w:rsid w:val="007F7AC4"/>
    <w:rsid w:val="007F7D97"/>
    <w:rsid w:val="007F7DC7"/>
    <w:rsid w:val="00800893"/>
    <w:rsid w:val="008009A6"/>
    <w:rsid w:val="008009A7"/>
    <w:rsid w:val="00800CAE"/>
    <w:rsid w:val="00800E1C"/>
    <w:rsid w:val="00800F27"/>
    <w:rsid w:val="00800F2F"/>
    <w:rsid w:val="008013D9"/>
    <w:rsid w:val="008016A3"/>
    <w:rsid w:val="008016FB"/>
    <w:rsid w:val="008018C9"/>
    <w:rsid w:val="008019B1"/>
    <w:rsid w:val="00801F76"/>
    <w:rsid w:val="008021D2"/>
    <w:rsid w:val="00802527"/>
    <w:rsid w:val="008029AE"/>
    <w:rsid w:val="00802B09"/>
    <w:rsid w:val="00802D3D"/>
    <w:rsid w:val="00802D76"/>
    <w:rsid w:val="00802FAB"/>
    <w:rsid w:val="008030CD"/>
    <w:rsid w:val="0080367A"/>
    <w:rsid w:val="00803918"/>
    <w:rsid w:val="00803A2E"/>
    <w:rsid w:val="00803D28"/>
    <w:rsid w:val="00803D33"/>
    <w:rsid w:val="00803F13"/>
    <w:rsid w:val="00804183"/>
    <w:rsid w:val="0080420F"/>
    <w:rsid w:val="00804685"/>
    <w:rsid w:val="008046F0"/>
    <w:rsid w:val="00804958"/>
    <w:rsid w:val="0080498C"/>
    <w:rsid w:val="00804B3C"/>
    <w:rsid w:val="00804BE4"/>
    <w:rsid w:val="00804C11"/>
    <w:rsid w:val="00804C4E"/>
    <w:rsid w:val="00804E60"/>
    <w:rsid w:val="008054D7"/>
    <w:rsid w:val="0080566B"/>
    <w:rsid w:val="00805725"/>
    <w:rsid w:val="008057CC"/>
    <w:rsid w:val="00805AD2"/>
    <w:rsid w:val="00805EFC"/>
    <w:rsid w:val="008060FA"/>
    <w:rsid w:val="008061F2"/>
    <w:rsid w:val="008061F3"/>
    <w:rsid w:val="00806316"/>
    <w:rsid w:val="00806350"/>
    <w:rsid w:val="008066E6"/>
    <w:rsid w:val="00806FDF"/>
    <w:rsid w:val="008070BB"/>
    <w:rsid w:val="00807203"/>
    <w:rsid w:val="008075EB"/>
    <w:rsid w:val="00807701"/>
    <w:rsid w:val="00807CC4"/>
    <w:rsid w:val="00810047"/>
    <w:rsid w:val="008101FF"/>
    <w:rsid w:val="0081022D"/>
    <w:rsid w:val="0081027D"/>
    <w:rsid w:val="008102B1"/>
    <w:rsid w:val="00810814"/>
    <w:rsid w:val="00810C4B"/>
    <w:rsid w:val="00811124"/>
    <w:rsid w:val="008111E4"/>
    <w:rsid w:val="00811EF4"/>
    <w:rsid w:val="00811FE6"/>
    <w:rsid w:val="00812621"/>
    <w:rsid w:val="008127B7"/>
    <w:rsid w:val="00812B5D"/>
    <w:rsid w:val="00812D47"/>
    <w:rsid w:val="00813344"/>
    <w:rsid w:val="008136FD"/>
    <w:rsid w:val="008139C4"/>
    <w:rsid w:val="00813A0C"/>
    <w:rsid w:val="00813C6A"/>
    <w:rsid w:val="00813E12"/>
    <w:rsid w:val="00813F9D"/>
    <w:rsid w:val="0081405A"/>
    <w:rsid w:val="0081441B"/>
    <w:rsid w:val="008148AB"/>
    <w:rsid w:val="008149EA"/>
    <w:rsid w:val="00814DB0"/>
    <w:rsid w:val="008154A4"/>
    <w:rsid w:val="00815C93"/>
    <w:rsid w:val="00815EDA"/>
    <w:rsid w:val="00816220"/>
    <w:rsid w:val="00816253"/>
    <w:rsid w:val="0081654D"/>
    <w:rsid w:val="00816599"/>
    <w:rsid w:val="0081669F"/>
    <w:rsid w:val="00816A10"/>
    <w:rsid w:val="00816BBA"/>
    <w:rsid w:val="008170A0"/>
    <w:rsid w:val="008173A3"/>
    <w:rsid w:val="008173A7"/>
    <w:rsid w:val="008176CC"/>
    <w:rsid w:val="008178BD"/>
    <w:rsid w:val="00817AFB"/>
    <w:rsid w:val="00817D3F"/>
    <w:rsid w:val="0082017F"/>
    <w:rsid w:val="008205EE"/>
    <w:rsid w:val="008207FD"/>
    <w:rsid w:val="008209D4"/>
    <w:rsid w:val="0082107A"/>
    <w:rsid w:val="00821322"/>
    <w:rsid w:val="0082149D"/>
    <w:rsid w:val="00821FCE"/>
    <w:rsid w:val="008222B1"/>
    <w:rsid w:val="0082243A"/>
    <w:rsid w:val="008224CF"/>
    <w:rsid w:val="00823172"/>
    <w:rsid w:val="0082378A"/>
    <w:rsid w:val="00823E1F"/>
    <w:rsid w:val="0082403C"/>
    <w:rsid w:val="0082404D"/>
    <w:rsid w:val="008240EE"/>
    <w:rsid w:val="008249B2"/>
    <w:rsid w:val="00824D46"/>
    <w:rsid w:val="00824D84"/>
    <w:rsid w:val="00824FAB"/>
    <w:rsid w:val="00825003"/>
    <w:rsid w:val="00825485"/>
    <w:rsid w:val="008257D1"/>
    <w:rsid w:val="00825989"/>
    <w:rsid w:val="00825BD7"/>
    <w:rsid w:val="00825DEA"/>
    <w:rsid w:val="00825E55"/>
    <w:rsid w:val="00825FC7"/>
    <w:rsid w:val="0082600F"/>
    <w:rsid w:val="00826483"/>
    <w:rsid w:val="0082665A"/>
    <w:rsid w:val="00826792"/>
    <w:rsid w:val="008267B6"/>
    <w:rsid w:val="00826858"/>
    <w:rsid w:val="00826B56"/>
    <w:rsid w:val="00826C3E"/>
    <w:rsid w:val="00827117"/>
    <w:rsid w:val="008272F2"/>
    <w:rsid w:val="0082759D"/>
    <w:rsid w:val="00827B2D"/>
    <w:rsid w:val="00827D19"/>
    <w:rsid w:val="008300A2"/>
    <w:rsid w:val="0083011F"/>
    <w:rsid w:val="00830613"/>
    <w:rsid w:val="00830734"/>
    <w:rsid w:val="008308D0"/>
    <w:rsid w:val="008308FE"/>
    <w:rsid w:val="00830DB8"/>
    <w:rsid w:val="00830FCF"/>
    <w:rsid w:val="00831708"/>
    <w:rsid w:val="00831D02"/>
    <w:rsid w:val="00831D76"/>
    <w:rsid w:val="00831E75"/>
    <w:rsid w:val="008320D6"/>
    <w:rsid w:val="008320F5"/>
    <w:rsid w:val="0083215F"/>
    <w:rsid w:val="008324E8"/>
    <w:rsid w:val="0083255D"/>
    <w:rsid w:val="0083265F"/>
    <w:rsid w:val="00832CA8"/>
    <w:rsid w:val="00833372"/>
    <w:rsid w:val="00833381"/>
    <w:rsid w:val="008333B4"/>
    <w:rsid w:val="00833A06"/>
    <w:rsid w:val="00833B4E"/>
    <w:rsid w:val="00833D99"/>
    <w:rsid w:val="00834086"/>
    <w:rsid w:val="00834171"/>
    <w:rsid w:val="0083443E"/>
    <w:rsid w:val="008346DE"/>
    <w:rsid w:val="00834B74"/>
    <w:rsid w:val="00834D0A"/>
    <w:rsid w:val="00834FC5"/>
    <w:rsid w:val="008352DB"/>
    <w:rsid w:val="008352E3"/>
    <w:rsid w:val="00835441"/>
    <w:rsid w:val="00835687"/>
    <w:rsid w:val="008356A0"/>
    <w:rsid w:val="00835A02"/>
    <w:rsid w:val="00835B00"/>
    <w:rsid w:val="00835CD4"/>
    <w:rsid w:val="00835E4A"/>
    <w:rsid w:val="00835F6D"/>
    <w:rsid w:val="008360FC"/>
    <w:rsid w:val="0083615F"/>
    <w:rsid w:val="0083668C"/>
    <w:rsid w:val="0083672C"/>
    <w:rsid w:val="00836AD6"/>
    <w:rsid w:val="00836B40"/>
    <w:rsid w:val="00837176"/>
    <w:rsid w:val="008372BF"/>
    <w:rsid w:val="00837531"/>
    <w:rsid w:val="0083753E"/>
    <w:rsid w:val="00837685"/>
    <w:rsid w:val="0083772A"/>
    <w:rsid w:val="008378DE"/>
    <w:rsid w:val="00837AB5"/>
    <w:rsid w:val="00837C95"/>
    <w:rsid w:val="00837F3C"/>
    <w:rsid w:val="00837FB3"/>
    <w:rsid w:val="00840181"/>
    <w:rsid w:val="00840A01"/>
    <w:rsid w:val="00840B6F"/>
    <w:rsid w:val="00840E91"/>
    <w:rsid w:val="00840EBD"/>
    <w:rsid w:val="00840F72"/>
    <w:rsid w:val="0084116D"/>
    <w:rsid w:val="00841440"/>
    <w:rsid w:val="008414E1"/>
    <w:rsid w:val="008414F1"/>
    <w:rsid w:val="00841684"/>
    <w:rsid w:val="0084168F"/>
    <w:rsid w:val="00841817"/>
    <w:rsid w:val="00841841"/>
    <w:rsid w:val="00841B6C"/>
    <w:rsid w:val="00841CB1"/>
    <w:rsid w:val="00841F05"/>
    <w:rsid w:val="00842086"/>
    <w:rsid w:val="008422C1"/>
    <w:rsid w:val="008425B0"/>
    <w:rsid w:val="008428EA"/>
    <w:rsid w:val="0084337B"/>
    <w:rsid w:val="008439CD"/>
    <w:rsid w:val="00843A49"/>
    <w:rsid w:val="00843AA1"/>
    <w:rsid w:val="00843CBF"/>
    <w:rsid w:val="00843CEA"/>
    <w:rsid w:val="00843E2C"/>
    <w:rsid w:val="0084407E"/>
    <w:rsid w:val="0084428A"/>
    <w:rsid w:val="00844802"/>
    <w:rsid w:val="0084491A"/>
    <w:rsid w:val="00844B3D"/>
    <w:rsid w:val="00844BDA"/>
    <w:rsid w:val="00844FD3"/>
    <w:rsid w:val="00845034"/>
    <w:rsid w:val="00845050"/>
    <w:rsid w:val="008450F3"/>
    <w:rsid w:val="0084516D"/>
    <w:rsid w:val="008453EF"/>
    <w:rsid w:val="008454F9"/>
    <w:rsid w:val="008459CB"/>
    <w:rsid w:val="008459FC"/>
    <w:rsid w:val="00845B56"/>
    <w:rsid w:val="00845CAC"/>
    <w:rsid w:val="00845E82"/>
    <w:rsid w:val="00845EC4"/>
    <w:rsid w:val="00845F48"/>
    <w:rsid w:val="00845F6E"/>
    <w:rsid w:val="00846075"/>
    <w:rsid w:val="00846215"/>
    <w:rsid w:val="00846702"/>
    <w:rsid w:val="00846967"/>
    <w:rsid w:val="00846C98"/>
    <w:rsid w:val="00846DD9"/>
    <w:rsid w:val="00846E9F"/>
    <w:rsid w:val="00846F0F"/>
    <w:rsid w:val="00847146"/>
    <w:rsid w:val="008473E7"/>
    <w:rsid w:val="00847558"/>
    <w:rsid w:val="008477B1"/>
    <w:rsid w:val="008478DC"/>
    <w:rsid w:val="00847A6A"/>
    <w:rsid w:val="00847DEF"/>
    <w:rsid w:val="0085015A"/>
    <w:rsid w:val="0085041B"/>
    <w:rsid w:val="00850628"/>
    <w:rsid w:val="008507EB"/>
    <w:rsid w:val="00850A44"/>
    <w:rsid w:val="00850AF4"/>
    <w:rsid w:val="00850BBB"/>
    <w:rsid w:val="00850D7A"/>
    <w:rsid w:val="00850F27"/>
    <w:rsid w:val="0085158F"/>
    <w:rsid w:val="008518F4"/>
    <w:rsid w:val="00851F67"/>
    <w:rsid w:val="0085213B"/>
    <w:rsid w:val="008527FA"/>
    <w:rsid w:val="008528FF"/>
    <w:rsid w:val="00852A6E"/>
    <w:rsid w:val="00852AD9"/>
    <w:rsid w:val="00852E34"/>
    <w:rsid w:val="00852F56"/>
    <w:rsid w:val="00852F83"/>
    <w:rsid w:val="0085329F"/>
    <w:rsid w:val="008533AE"/>
    <w:rsid w:val="0085373E"/>
    <w:rsid w:val="008538FC"/>
    <w:rsid w:val="00853910"/>
    <w:rsid w:val="00853B19"/>
    <w:rsid w:val="00853B92"/>
    <w:rsid w:val="00854237"/>
    <w:rsid w:val="00854364"/>
    <w:rsid w:val="00854445"/>
    <w:rsid w:val="008548D0"/>
    <w:rsid w:val="00854E8C"/>
    <w:rsid w:val="00854F19"/>
    <w:rsid w:val="00855363"/>
    <w:rsid w:val="008559F6"/>
    <w:rsid w:val="00855DE9"/>
    <w:rsid w:val="00855F3D"/>
    <w:rsid w:val="008560C3"/>
    <w:rsid w:val="008560D2"/>
    <w:rsid w:val="008565C1"/>
    <w:rsid w:val="00856709"/>
    <w:rsid w:val="0085673A"/>
    <w:rsid w:val="00856936"/>
    <w:rsid w:val="00856991"/>
    <w:rsid w:val="00856DF3"/>
    <w:rsid w:val="00856F37"/>
    <w:rsid w:val="0085752C"/>
    <w:rsid w:val="00857622"/>
    <w:rsid w:val="008576C6"/>
    <w:rsid w:val="0085775D"/>
    <w:rsid w:val="008579BF"/>
    <w:rsid w:val="00857A38"/>
    <w:rsid w:val="00857A83"/>
    <w:rsid w:val="00857C72"/>
    <w:rsid w:val="00860505"/>
    <w:rsid w:val="00860C75"/>
    <w:rsid w:val="00860DDD"/>
    <w:rsid w:val="00860FA5"/>
    <w:rsid w:val="00861059"/>
    <w:rsid w:val="008617D3"/>
    <w:rsid w:val="00861E5A"/>
    <w:rsid w:val="00862370"/>
    <w:rsid w:val="008625CE"/>
    <w:rsid w:val="00862B04"/>
    <w:rsid w:val="00862DAA"/>
    <w:rsid w:val="00863475"/>
    <w:rsid w:val="00863C1F"/>
    <w:rsid w:val="00863C3C"/>
    <w:rsid w:val="00863D04"/>
    <w:rsid w:val="00863DB1"/>
    <w:rsid w:val="0086438C"/>
    <w:rsid w:val="00864477"/>
    <w:rsid w:val="008644A9"/>
    <w:rsid w:val="008644F2"/>
    <w:rsid w:val="0086460C"/>
    <w:rsid w:val="00864760"/>
    <w:rsid w:val="008649A2"/>
    <w:rsid w:val="00864AA9"/>
    <w:rsid w:val="00864BBD"/>
    <w:rsid w:val="00864CA4"/>
    <w:rsid w:val="00864D6C"/>
    <w:rsid w:val="00864D94"/>
    <w:rsid w:val="00864F71"/>
    <w:rsid w:val="008655FF"/>
    <w:rsid w:val="00865BF1"/>
    <w:rsid w:val="00865DC7"/>
    <w:rsid w:val="0086602A"/>
    <w:rsid w:val="00866130"/>
    <w:rsid w:val="00866318"/>
    <w:rsid w:val="0086657B"/>
    <w:rsid w:val="008669DE"/>
    <w:rsid w:val="00866A67"/>
    <w:rsid w:val="00866BD1"/>
    <w:rsid w:val="00866D0D"/>
    <w:rsid w:val="00867766"/>
    <w:rsid w:val="00867857"/>
    <w:rsid w:val="00867EDA"/>
    <w:rsid w:val="00870735"/>
    <w:rsid w:val="0087089A"/>
    <w:rsid w:val="008708B3"/>
    <w:rsid w:val="0087096B"/>
    <w:rsid w:val="00870B08"/>
    <w:rsid w:val="00871314"/>
    <w:rsid w:val="008713A3"/>
    <w:rsid w:val="008714C3"/>
    <w:rsid w:val="008714F8"/>
    <w:rsid w:val="0087150D"/>
    <w:rsid w:val="0087178F"/>
    <w:rsid w:val="00871A8C"/>
    <w:rsid w:val="00871D0F"/>
    <w:rsid w:val="00871E5B"/>
    <w:rsid w:val="008720A8"/>
    <w:rsid w:val="008721C5"/>
    <w:rsid w:val="008723BA"/>
    <w:rsid w:val="00872479"/>
    <w:rsid w:val="0087294D"/>
    <w:rsid w:val="008729BF"/>
    <w:rsid w:val="00872BDC"/>
    <w:rsid w:val="00872D01"/>
    <w:rsid w:val="00872E6F"/>
    <w:rsid w:val="008731D0"/>
    <w:rsid w:val="008736B6"/>
    <w:rsid w:val="008739F3"/>
    <w:rsid w:val="00873D0A"/>
    <w:rsid w:val="00873D9D"/>
    <w:rsid w:val="00873E5C"/>
    <w:rsid w:val="00874049"/>
    <w:rsid w:val="00874476"/>
    <w:rsid w:val="0087459B"/>
    <w:rsid w:val="00874609"/>
    <w:rsid w:val="00874692"/>
    <w:rsid w:val="00874698"/>
    <w:rsid w:val="008748D6"/>
    <w:rsid w:val="00874901"/>
    <w:rsid w:val="00874C4B"/>
    <w:rsid w:val="00874FD3"/>
    <w:rsid w:val="0087528D"/>
    <w:rsid w:val="0087540B"/>
    <w:rsid w:val="0087550F"/>
    <w:rsid w:val="00875970"/>
    <w:rsid w:val="00875A64"/>
    <w:rsid w:val="00875C1C"/>
    <w:rsid w:val="00875CF7"/>
    <w:rsid w:val="00875E39"/>
    <w:rsid w:val="00875F21"/>
    <w:rsid w:val="008762D9"/>
    <w:rsid w:val="0087636A"/>
    <w:rsid w:val="0087681A"/>
    <w:rsid w:val="00876A9F"/>
    <w:rsid w:val="00876B30"/>
    <w:rsid w:val="00876CCB"/>
    <w:rsid w:val="00876D8C"/>
    <w:rsid w:val="00876E98"/>
    <w:rsid w:val="00876EC0"/>
    <w:rsid w:val="0087773B"/>
    <w:rsid w:val="00877904"/>
    <w:rsid w:val="00877C44"/>
    <w:rsid w:val="008801F6"/>
    <w:rsid w:val="008805AC"/>
    <w:rsid w:val="00880912"/>
    <w:rsid w:val="00880976"/>
    <w:rsid w:val="00880AC2"/>
    <w:rsid w:val="00880C01"/>
    <w:rsid w:val="00880CDC"/>
    <w:rsid w:val="00880D61"/>
    <w:rsid w:val="008815BB"/>
    <w:rsid w:val="008816A3"/>
    <w:rsid w:val="008816F7"/>
    <w:rsid w:val="00881D16"/>
    <w:rsid w:val="00881D3B"/>
    <w:rsid w:val="00881D95"/>
    <w:rsid w:val="00881FF7"/>
    <w:rsid w:val="0088205F"/>
    <w:rsid w:val="0088227E"/>
    <w:rsid w:val="00882355"/>
    <w:rsid w:val="00882476"/>
    <w:rsid w:val="008825E8"/>
    <w:rsid w:val="00882863"/>
    <w:rsid w:val="00882D73"/>
    <w:rsid w:val="00882E4F"/>
    <w:rsid w:val="0088324F"/>
    <w:rsid w:val="008835CD"/>
    <w:rsid w:val="0088378B"/>
    <w:rsid w:val="0088379D"/>
    <w:rsid w:val="008838F9"/>
    <w:rsid w:val="008839E9"/>
    <w:rsid w:val="00883D11"/>
    <w:rsid w:val="00883F9B"/>
    <w:rsid w:val="00884071"/>
    <w:rsid w:val="008840BB"/>
    <w:rsid w:val="00884214"/>
    <w:rsid w:val="008842E0"/>
    <w:rsid w:val="00884782"/>
    <w:rsid w:val="00884ABA"/>
    <w:rsid w:val="00884BDE"/>
    <w:rsid w:val="00884C37"/>
    <w:rsid w:val="00884D71"/>
    <w:rsid w:val="00885014"/>
    <w:rsid w:val="00885312"/>
    <w:rsid w:val="00885622"/>
    <w:rsid w:val="0088566D"/>
    <w:rsid w:val="00885686"/>
    <w:rsid w:val="00885895"/>
    <w:rsid w:val="00885ABF"/>
    <w:rsid w:val="00885D3C"/>
    <w:rsid w:val="0088603E"/>
    <w:rsid w:val="00886596"/>
    <w:rsid w:val="008865BA"/>
    <w:rsid w:val="008867B5"/>
    <w:rsid w:val="00886847"/>
    <w:rsid w:val="00886DE7"/>
    <w:rsid w:val="00886E50"/>
    <w:rsid w:val="008876C3"/>
    <w:rsid w:val="00887807"/>
    <w:rsid w:val="008904B1"/>
    <w:rsid w:val="0089063B"/>
    <w:rsid w:val="00890760"/>
    <w:rsid w:val="00890ADB"/>
    <w:rsid w:val="00890F72"/>
    <w:rsid w:val="00891269"/>
    <w:rsid w:val="008912E6"/>
    <w:rsid w:val="008919FD"/>
    <w:rsid w:val="00891D45"/>
    <w:rsid w:val="00891DC9"/>
    <w:rsid w:val="008922DA"/>
    <w:rsid w:val="00892988"/>
    <w:rsid w:val="00892A1F"/>
    <w:rsid w:val="00892BA6"/>
    <w:rsid w:val="00892C9C"/>
    <w:rsid w:val="00892E68"/>
    <w:rsid w:val="00893224"/>
    <w:rsid w:val="008932C7"/>
    <w:rsid w:val="0089331A"/>
    <w:rsid w:val="00893549"/>
    <w:rsid w:val="00893790"/>
    <w:rsid w:val="00893C0F"/>
    <w:rsid w:val="008940DC"/>
    <w:rsid w:val="008942A9"/>
    <w:rsid w:val="00894D1F"/>
    <w:rsid w:val="00894FF7"/>
    <w:rsid w:val="00895041"/>
    <w:rsid w:val="00895165"/>
    <w:rsid w:val="008954B3"/>
    <w:rsid w:val="00895712"/>
    <w:rsid w:val="008958DA"/>
    <w:rsid w:val="00895902"/>
    <w:rsid w:val="00895F8B"/>
    <w:rsid w:val="00896537"/>
    <w:rsid w:val="0089653A"/>
    <w:rsid w:val="00896897"/>
    <w:rsid w:val="00896BBD"/>
    <w:rsid w:val="00896E96"/>
    <w:rsid w:val="00896EC2"/>
    <w:rsid w:val="00896EE4"/>
    <w:rsid w:val="0089710B"/>
    <w:rsid w:val="0089729A"/>
    <w:rsid w:val="0089751E"/>
    <w:rsid w:val="008977AD"/>
    <w:rsid w:val="008979A0"/>
    <w:rsid w:val="008979CF"/>
    <w:rsid w:val="00897CFF"/>
    <w:rsid w:val="00897F30"/>
    <w:rsid w:val="008A039C"/>
    <w:rsid w:val="008A0812"/>
    <w:rsid w:val="008A085F"/>
    <w:rsid w:val="008A116B"/>
    <w:rsid w:val="008A1240"/>
    <w:rsid w:val="008A1701"/>
    <w:rsid w:val="008A1762"/>
    <w:rsid w:val="008A1802"/>
    <w:rsid w:val="008A1E4F"/>
    <w:rsid w:val="008A1EFF"/>
    <w:rsid w:val="008A1F53"/>
    <w:rsid w:val="008A1FA7"/>
    <w:rsid w:val="008A2198"/>
    <w:rsid w:val="008A2BEA"/>
    <w:rsid w:val="008A33E5"/>
    <w:rsid w:val="008A3837"/>
    <w:rsid w:val="008A3E46"/>
    <w:rsid w:val="008A4B9F"/>
    <w:rsid w:val="008A4ED4"/>
    <w:rsid w:val="008A5475"/>
    <w:rsid w:val="008A5584"/>
    <w:rsid w:val="008A5B3A"/>
    <w:rsid w:val="008A5E34"/>
    <w:rsid w:val="008A5E54"/>
    <w:rsid w:val="008A63D4"/>
    <w:rsid w:val="008A63E3"/>
    <w:rsid w:val="008A69D4"/>
    <w:rsid w:val="008A6D42"/>
    <w:rsid w:val="008A6E59"/>
    <w:rsid w:val="008A7020"/>
    <w:rsid w:val="008A711A"/>
    <w:rsid w:val="008A7613"/>
    <w:rsid w:val="008A7861"/>
    <w:rsid w:val="008A7B0D"/>
    <w:rsid w:val="008A7CD1"/>
    <w:rsid w:val="008A7DAD"/>
    <w:rsid w:val="008A7FE5"/>
    <w:rsid w:val="008B0152"/>
    <w:rsid w:val="008B01B9"/>
    <w:rsid w:val="008B03D2"/>
    <w:rsid w:val="008B04E8"/>
    <w:rsid w:val="008B056E"/>
    <w:rsid w:val="008B08A1"/>
    <w:rsid w:val="008B0B29"/>
    <w:rsid w:val="008B1286"/>
    <w:rsid w:val="008B141E"/>
    <w:rsid w:val="008B18E9"/>
    <w:rsid w:val="008B1DA9"/>
    <w:rsid w:val="008B1FEE"/>
    <w:rsid w:val="008B221A"/>
    <w:rsid w:val="008B22DC"/>
    <w:rsid w:val="008B239D"/>
    <w:rsid w:val="008B25D1"/>
    <w:rsid w:val="008B298F"/>
    <w:rsid w:val="008B2F1B"/>
    <w:rsid w:val="008B2F83"/>
    <w:rsid w:val="008B2FBF"/>
    <w:rsid w:val="008B31B1"/>
    <w:rsid w:val="008B3787"/>
    <w:rsid w:val="008B3D60"/>
    <w:rsid w:val="008B41AB"/>
    <w:rsid w:val="008B41D9"/>
    <w:rsid w:val="008B435D"/>
    <w:rsid w:val="008B44A5"/>
    <w:rsid w:val="008B500B"/>
    <w:rsid w:val="008B529E"/>
    <w:rsid w:val="008B52DF"/>
    <w:rsid w:val="008B538D"/>
    <w:rsid w:val="008B55A8"/>
    <w:rsid w:val="008B58E4"/>
    <w:rsid w:val="008B59F0"/>
    <w:rsid w:val="008B5C0F"/>
    <w:rsid w:val="008B5FEF"/>
    <w:rsid w:val="008B62DE"/>
    <w:rsid w:val="008B6778"/>
    <w:rsid w:val="008B6938"/>
    <w:rsid w:val="008B6AC3"/>
    <w:rsid w:val="008B6AC9"/>
    <w:rsid w:val="008B6CFE"/>
    <w:rsid w:val="008B6DA4"/>
    <w:rsid w:val="008B7149"/>
    <w:rsid w:val="008B762F"/>
    <w:rsid w:val="008B77BF"/>
    <w:rsid w:val="008B7C18"/>
    <w:rsid w:val="008B7D8E"/>
    <w:rsid w:val="008B7DE0"/>
    <w:rsid w:val="008B7DF5"/>
    <w:rsid w:val="008B7E2F"/>
    <w:rsid w:val="008C010C"/>
    <w:rsid w:val="008C0938"/>
    <w:rsid w:val="008C0ABE"/>
    <w:rsid w:val="008C0BA7"/>
    <w:rsid w:val="008C1202"/>
    <w:rsid w:val="008C1BAE"/>
    <w:rsid w:val="008C20CF"/>
    <w:rsid w:val="008C232C"/>
    <w:rsid w:val="008C236B"/>
    <w:rsid w:val="008C2501"/>
    <w:rsid w:val="008C273D"/>
    <w:rsid w:val="008C2912"/>
    <w:rsid w:val="008C2A46"/>
    <w:rsid w:val="008C2AE1"/>
    <w:rsid w:val="008C2CB0"/>
    <w:rsid w:val="008C2D7E"/>
    <w:rsid w:val="008C2FBF"/>
    <w:rsid w:val="008C31DE"/>
    <w:rsid w:val="008C332D"/>
    <w:rsid w:val="008C34BB"/>
    <w:rsid w:val="008C369C"/>
    <w:rsid w:val="008C36E6"/>
    <w:rsid w:val="008C3A8E"/>
    <w:rsid w:val="008C3D27"/>
    <w:rsid w:val="008C3D69"/>
    <w:rsid w:val="008C3FF4"/>
    <w:rsid w:val="008C416C"/>
    <w:rsid w:val="008C4186"/>
    <w:rsid w:val="008C425D"/>
    <w:rsid w:val="008C4599"/>
    <w:rsid w:val="008C4675"/>
    <w:rsid w:val="008C4709"/>
    <w:rsid w:val="008C488F"/>
    <w:rsid w:val="008C4F87"/>
    <w:rsid w:val="008C521F"/>
    <w:rsid w:val="008C5597"/>
    <w:rsid w:val="008C5838"/>
    <w:rsid w:val="008C58E9"/>
    <w:rsid w:val="008C6387"/>
    <w:rsid w:val="008C6A28"/>
    <w:rsid w:val="008C73ED"/>
    <w:rsid w:val="008C7C5A"/>
    <w:rsid w:val="008C7DFF"/>
    <w:rsid w:val="008D01D0"/>
    <w:rsid w:val="008D024C"/>
    <w:rsid w:val="008D0280"/>
    <w:rsid w:val="008D0386"/>
    <w:rsid w:val="008D05A6"/>
    <w:rsid w:val="008D0889"/>
    <w:rsid w:val="008D0B9D"/>
    <w:rsid w:val="008D0DF0"/>
    <w:rsid w:val="008D16BE"/>
    <w:rsid w:val="008D174B"/>
    <w:rsid w:val="008D187B"/>
    <w:rsid w:val="008D1FBF"/>
    <w:rsid w:val="008D21A7"/>
    <w:rsid w:val="008D22D2"/>
    <w:rsid w:val="008D26A2"/>
    <w:rsid w:val="008D272D"/>
    <w:rsid w:val="008D27E4"/>
    <w:rsid w:val="008D293C"/>
    <w:rsid w:val="008D2A97"/>
    <w:rsid w:val="008D2E86"/>
    <w:rsid w:val="008D2E98"/>
    <w:rsid w:val="008D31EA"/>
    <w:rsid w:val="008D345C"/>
    <w:rsid w:val="008D34B4"/>
    <w:rsid w:val="008D35B7"/>
    <w:rsid w:val="008D35DE"/>
    <w:rsid w:val="008D3D0D"/>
    <w:rsid w:val="008D45C4"/>
    <w:rsid w:val="008D4669"/>
    <w:rsid w:val="008D48A6"/>
    <w:rsid w:val="008D4BB2"/>
    <w:rsid w:val="008D5303"/>
    <w:rsid w:val="008D5455"/>
    <w:rsid w:val="008D554D"/>
    <w:rsid w:val="008D567E"/>
    <w:rsid w:val="008D59B8"/>
    <w:rsid w:val="008D601B"/>
    <w:rsid w:val="008D60F2"/>
    <w:rsid w:val="008D6352"/>
    <w:rsid w:val="008D6BE8"/>
    <w:rsid w:val="008D6F97"/>
    <w:rsid w:val="008D7366"/>
    <w:rsid w:val="008D783F"/>
    <w:rsid w:val="008D7B86"/>
    <w:rsid w:val="008D7F8A"/>
    <w:rsid w:val="008E00B7"/>
    <w:rsid w:val="008E0289"/>
    <w:rsid w:val="008E0507"/>
    <w:rsid w:val="008E0B89"/>
    <w:rsid w:val="008E1085"/>
    <w:rsid w:val="008E13AB"/>
    <w:rsid w:val="008E160F"/>
    <w:rsid w:val="008E182F"/>
    <w:rsid w:val="008E1A24"/>
    <w:rsid w:val="008E1FCA"/>
    <w:rsid w:val="008E21A1"/>
    <w:rsid w:val="008E2893"/>
    <w:rsid w:val="008E2F27"/>
    <w:rsid w:val="008E2F39"/>
    <w:rsid w:val="008E3005"/>
    <w:rsid w:val="008E34CD"/>
    <w:rsid w:val="008E3A2D"/>
    <w:rsid w:val="008E3B4B"/>
    <w:rsid w:val="008E3F09"/>
    <w:rsid w:val="008E41E2"/>
    <w:rsid w:val="008E4274"/>
    <w:rsid w:val="008E4411"/>
    <w:rsid w:val="008E469A"/>
    <w:rsid w:val="008E4782"/>
    <w:rsid w:val="008E49A2"/>
    <w:rsid w:val="008E49D3"/>
    <w:rsid w:val="008E553E"/>
    <w:rsid w:val="008E5A9D"/>
    <w:rsid w:val="008E5B38"/>
    <w:rsid w:val="008E618D"/>
    <w:rsid w:val="008E62E6"/>
    <w:rsid w:val="008E64B3"/>
    <w:rsid w:val="008E664D"/>
    <w:rsid w:val="008E786A"/>
    <w:rsid w:val="008E7902"/>
    <w:rsid w:val="008E7B14"/>
    <w:rsid w:val="008E7BB6"/>
    <w:rsid w:val="008E7C09"/>
    <w:rsid w:val="008E7CAB"/>
    <w:rsid w:val="008F000A"/>
    <w:rsid w:val="008F01B4"/>
    <w:rsid w:val="008F0387"/>
    <w:rsid w:val="008F03D8"/>
    <w:rsid w:val="008F04B2"/>
    <w:rsid w:val="008F06EB"/>
    <w:rsid w:val="008F0B51"/>
    <w:rsid w:val="008F0E99"/>
    <w:rsid w:val="008F111D"/>
    <w:rsid w:val="008F111E"/>
    <w:rsid w:val="008F14D2"/>
    <w:rsid w:val="008F1A3E"/>
    <w:rsid w:val="008F1D1E"/>
    <w:rsid w:val="008F1E63"/>
    <w:rsid w:val="008F2428"/>
    <w:rsid w:val="008F25E4"/>
    <w:rsid w:val="008F27DC"/>
    <w:rsid w:val="008F28EB"/>
    <w:rsid w:val="008F2A85"/>
    <w:rsid w:val="008F382B"/>
    <w:rsid w:val="008F38BC"/>
    <w:rsid w:val="008F3B0A"/>
    <w:rsid w:val="008F3B2F"/>
    <w:rsid w:val="008F3C18"/>
    <w:rsid w:val="008F3DAA"/>
    <w:rsid w:val="008F3E8D"/>
    <w:rsid w:val="008F40EC"/>
    <w:rsid w:val="008F4CE1"/>
    <w:rsid w:val="008F4FB0"/>
    <w:rsid w:val="008F5190"/>
    <w:rsid w:val="008F533F"/>
    <w:rsid w:val="008F55FF"/>
    <w:rsid w:val="008F5641"/>
    <w:rsid w:val="008F592C"/>
    <w:rsid w:val="008F5A60"/>
    <w:rsid w:val="008F5AAB"/>
    <w:rsid w:val="008F5C48"/>
    <w:rsid w:val="008F5D8F"/>
    <w:rsid w:val="008F5D9A"/>
    <w:rsid w:val="008F60E2"/>
    <w:rsid w:val="008F6288"/>
    <w:rsid w:val="008F6312"/>
    <w:rsid w:val="008F63E4"/>
    <w:rsid w:val="008F6739"/>
    <w:rsid w:val="008F6744"/>
    <w:rsid w:val="008F6F01"/>
    <w:rsid w:val="008F738C"/>
    <w:rsid w:val="008F7434"/>
    <w:rsid w:val="008F74C4"/>
    <w:rsid w:val="008F75A4"/>
    <w:rsid w:val="008F76F6"/>
    <w:rsid w:val="008F76FF"/>
    <w:rsid w:val="008F77A0"/>
    <w:rsid w:val="008F7BEB"/>
    <w:rsid w:val="008F7EF6"/>
    <w:rsid w:val="008F7FB5"/>
    <w:rsid w:val="008F8ED8"/>
    <w:rsid w:val="00900021"/>
    <w:rsid w:val="00900057"/>
    <w:rsid w:val="00900646"/>
    <w:rsid w:val="009006EB"/>
    <w:rsid w:val="00900898"/>
    <w:rsid w:val="00900BA0"/>
    <w:rsid w:val="009011DA"/>
    <w:rsid w:val="00901528"/>
    <w:rsid w:val="00901A47"/>
    <w:rsid w:val="00901B83"/>
    <w:rsid w:val="00901ED1"/>
    <w:rsid w:val="009020FF"/>
    <w:rsid w:val="00902476"/>
    <w:rsid w:val="009027CF"/>
    <w:rsid w:val="00902815"/>
    <w:rsid w:val="009028AD"/>
    <w:rsid w:val="0090342B"/>
    <w:rsid w:val="00903662"/>
    <w:rsid w:val="009039A3"/>
    <w:rsid w:val="00903A80"/>
    <w:rsid w:val="00903EEB"/>
    <w:rsid w:val="0090400F"/>
    <w:rsid w:val="009043C9"/>
    <w:rsid w:val="00904546"/>
    <w:rsid w:val="00904896"/>
    <w:rsid w:val="009048DF"/>
    <w:rsid w:val="00904B7B"/>
    <w:rsid w:val="00904D27"/>
    <w:rsid w:val="00904D5A"/>
    <w:rsid w:val="0090500E"/>
    <w:rsid w:val="0090532D"/>
    <w:rsid w:val="00905380"/>
    <w:rsid w:val="00905462"/>
    <w:rsid w:val="009054CE"/>
    <w:rsid w:val="00905582"/>
    <w:rsid w:val="009058B4"/>
    <w:rsid w:val="009060B2"/>
    <w:rsid w:val="009061BE"/>
    <w:rsid w:val="0090626D"/>
    <w:rsid w:val="0090629B"/>
    <w:rsid w:val="009062D7"/>
    <w:rsid w:val="009064DC"/>
    <w:rsid w:val="0090653C"/>
    <w:rsid w:val="00906857"/>
    <w:rsid w:val="0090693B"/>
    <w:rsid w:val="009069EC"/>
    <w:rsid w:val="00906B6C"/>
    <w:rsid w:val="00906C33"/>
    <w:rsid w:val="00906DFC"/>
    <w:rsid w:val="009076E9"/>
    <w:rsid w:val="00907787"/>
    <w:rsid w:val="009078FC"/>
    <w:rsid w:val="00907948"/>
    <w:rsid w:val="00907C6D"/>
    <w:rsid w:val="00907E05"/>
    <w:rsid w:val="00907EFC"/>
    <w:rsid w:val="0091011F"/>
    <w:rsid w:val="00910283"/>
    <w:rsid w:val="00910421"/>
    <w:rsid w:val="0091058D"/>
    <w:rsid w:val="0091081F"/>
    <w:rsid w:val="009108C1"/>
    <w:rsid w:val="00910C63"/>
    <w:rsid w:val="00910D75"/>
    <w:rsid w:val="00910E5A"/>
    <w:rsid w:val="009110D3"/>
    <w:rsid w:val="00911109"/>
    <w:rsid w:val="00911252"/>
    <w:rsid w:val="0091125A"/>
    <w:rsid w:val="009114C6"/>
    <w:rsid w:val="00911712"/>
    <w:rsid w:val="009117D5"/>
    <w:rsid w:val="00911935"/>
    <w:rsid w:val="00911F68"/>
    <w:rsid w:val="00912112"/>
    <w:rsid w:val="0091211F"/>
    <w:rsid w:val="00912412"/>
    <w:rsid w:val="00912461"/>
    <w:rsid w:val="009124D4"/>
    <w:rsid w:val="009126ED"/>
    <w:rsid w:val="009128B6"/>
    <w:rsid w:val="0091295E"/>
    <w:rsid w:val="00912D2F"/>
    <w:rsid w:val="009131EA"/>
    <w:rsid w:val="009131F0"/>
    <w:rsid w:val="0091354E"/>
    <w:rsid w:val="00913903"/>
    <w:rsid w:val="00913A29"/>
    <w:rsid w:val="00913B2E"/>
    <w:rsid w:val="00913B30"/>
    <w:rsid w:val="00913F1B"/>
    <w:rsid w:val="00914185"/>
    <w:rsid w:val="00914382"/>
    <w:rsid w:val="009149BB"/>
    <w:rsid w:val="00914B87"/>
    <w:rsid w:val="00914F30"/>
    <w:rsid w:val="0091524E"/>
    <w:rsid w:val="009152F4"/>
    <w:rsid w:val="009153E9"/>
    <w:rsid w:val="00915575"/>
    <w:rsid w:val="00915625"/>
    <w:rsid w:val="0091573C"/>
    <w:rsid w:val="00915AFB"/>
    <w:rsid w:val="00915BA3"/>
    <w:rsid w:val="00915E89"/>
    <w:rsid w:val="0091665F"/>
    <w:rsid w:val="009167AD"/>
    <w:rsid w:val="00916956"/>
    <w:rsid w:val="00916AE9"/>
    <w:rsid w:val="00916D37"/>
    <w:rsid w:val="00916D4E"/>
    <w:rsid w:val="00916DD0"/>
    <w:rsid w:val="00916E2F"/>
    <w:rsid w:val="009171F1"/>
    <w:rsid w:val="0091741E"/>
    <w:rsid w:val="009175D8"/>
    <w:rsid w:val="0091766E"/>
    <w:rsid w:val="00917718"/>
    <w:rsid w:val="00917779"/>
    <w:rsid w:val="009177FC"/>
    <w:rsid w:val="0091785C"/>
    <w:rsid w:val="00917971"/>
    <w:rsid w:val="00917A38"/>
    <w:rsid w:val="00917D62"/>
    <w:rsid w:val="00917DFF"/>
    <w:rsid w:val="00920167"/>
    <w:rsid w:val="009202A0"/>
    <w:rsid w:val="00920695"/>
    <w:rsid w:val="009207B7"/>
    <w:rsid w:val="00920892"/>
    <w:rsid w:val="009208C5"/>
    <w:rsid w:val="009209A4"/>
    <w:rsid w:val="00920BF2"/>
    <w:rsid w:val="00920C0D"/>
    <w:rsid w:val="00920F8D"/>
    <w:rsid w:val="009212B4"/>
    <w:rsid w:val="009212DC"/>
    <w:rsid w:val="009216E9"/>
    <w:rsid w:val="009217C3"/>
    <w:rsid w:val="009218C3"/>
    <w:rsid w:val="009218CF"/>
    <w:rsid w:val="00921B66"/>
    <w:rsid w:val="009220B6"/>
    <w:rsid w:val="0092239F"/>
    <w:rsid w:val="009224F6"/>
    <w:rsid w:val="009225CE"/>
    <w:rsid w:val="009226FE"/>
    <w:rsid w:val="0092286A"/>
    <w:rsid w:val="00922E01"/>
    <w:rsid w:val="00923032"/>
    <w:rsid w:val="0092309F"/>
    <w:rsid w:val="0092331F"/>
    <w:rsid w:val="00923372"/>
    <w:rsid w:val="009233FD"/>
    <w:rsid w:val="00923579"/>
    <w:rsid w:val="00923922"/>
    <w:rsid w:val="00923BAC"/>
    <w:rsid w:val="0092435B"/>
    <w:rsid w:val="00924421"/>
    <w:rsid w:val="009244A2"/>
    <w:rsid w:val="00924AB1"/>
    <w:rsid w:val="00924BAF"/>
    <w:rsid w:val="00924DDE"/>
    <w:rsid w:val="00924E48"/>
    <w:rsid w:val="00925728"/>
    <w:rsid w:val="0092609A"/>
    <w:rsid w:val="009262AD"/>
    <w:rsid w:val="0092672B"/>
    <w:rsid w:val="00926877"/>
    <w:rsid w:val="009268DF"/>
    <w:rsid w:val="00926B02"/>
    <w:rsid w:val="00926B24"/>
    <w:rsid w:val="0092707F"/>
    <w:rsid w:val="00927093"/>
    <w:rsid w:val="00927204"/>
    <w:rsid w:val="0092749D"/>
    <w:rsid w:val="00927704"/>
    <w:rsid w:val="0092791C"/>
    <w:rsid w:val="0092798A"/>
    <w:rsid w:val="00927AFA"/>
    <w:rsid w:val="00927BD7"/>
    <w:rsid w:val="00927FB0"/>
    <w:rsid w:val="0093028C"/>
    <w:rsid w:val="009307AD"/>
    <w:rsid w:val="00930863"/>
    <w:rsid w:val="009309B5"/>
    <w:rsid w:val="00930CB4"/>
    <w:rsid w:val="00930D5C"/>
    <w:rsid w:val="0093134C"/>
    <w:rsid w:val="0093139B"/>
    <w:rsid w:val="0093158D"/>
    <w:rsid w:val="00931700"/>
    <w:rsid w:val="00931A7B"/>
    <w:rsid w:val="00931BA1"/>
    <w:rsid w:val="00931C1A"/>
    <w:rsid w:val="00931F35"/>
    <w:rsid w:val="0093209C"/>
    <w:rsid w:val="00932361"/>
    <w:rsid w:val="009323BC"/>
    <w:rsid w:val="00932516"/>
    <w:rsid w:val="00932534"/>
    <w:rsid w:val="009325C6"/>
    <w:rsid w:val="00932662"/>
    <w:rsid w:val="00932A74"/>
    <w:rsid w:val="00932ECF"/>
    <w:rsid w:val="00932EF5"/>
    <w:rsid w:val="0093308B"/>
    <w:rsid w:val="00933286"/>
    <w:rsid w:val="0093334D"/>
    <w:rsid w:val="00933868"/>
    <w:rsid w:val="00933C1F"/>
    <w:rsid w:val="00933E85"/>
    <w:rsid w:val="009341EE"/>
    <w:rsid w:val="009341FC"/>
    <w:rsid w:val="009343D8"/>
    <w:rsid w:val="0093459A"/>
    <w:rsid w:val="00934AA6"/>
    <w:rsid w:val="00934BEB"/>
    <w:rsid w:val="00934E07"/>
    <w:rsid w:val="00935370"/>
    <w:rsid w:val="0093619C"/>
    <w:rsid w:val="0093634C"/>
    <w:rsid w:val="00936574"/>
    <w:rsid w:val="0093673E"/>
    <w:rsid w:val="009367C1"/>
    <w:rsid w:val="00936C15"/>
    <w:rsid w:val="00936D94"/>
    <w:rsid w:val="0093750C"/>
    <w:rsid w:val="009378E5"/>
    <w:rsid w:val="00937919"/>
    <w:rsid w:val="00937A00"/>
    <w:rsid w:val="00937EEC"/>
    <w:rsid w:val="009401CE"/>
    <w:rsid w:val="00940517"/>
    <w:rsid w:val="0094064F"/>
    <w:rsid w:val="00940651"/>
    <w:rsid w:val="009406E1"/>
    <w:rsid w:val="0094107F"/>
    <w:rsid w:val="00941590"/>
    <w:rsid w:val="00941885"/>
    <w:rsid w:val="00941C87"/>
    <w:rsid w:val="00941D83"/>
    <w:rsid w:val="00942210"/>
    <w:rsid w:val="00942235"/>
    <w:rsid w:val="00942493"/>
    <w:rsid w:val="00942862"/>
    <w:rsid w:val="0094295E"/>
    <w:rsid w:val="00942D83"/>
    <w:rsid w:val="00943082"/>
    <w:rsid w:val="009437AE"/>
    <w:rsid w:val="009438D6"/>
    <w:rsid w:val="00943ACF"/>
    <w:rsid w:val="00943D3C"/>
    <w:rsid w:val="00943D64"/>
    <w:rsid w:val="00943E58"/>
    <w:rsid w:val="009447DA"/>
    <w:rsid w:val="00944AA6"/>
    <w:rsid w:val="00944F86"/>
    <w:rsid w:val="00945756"/>
    <w:rsid w:val="00945E48"/>
    <w:rsid w:val="00945EF2"/>
    <w:rsid w:val="00945F3F"/>
    <w:rsid w:val="0094619C"/>
    <w:rsid w:val="00946333"/>
    <w:rsid w:val="00946557"/>
    <w:rsid w:val="00946870"/>
    <w:rsid w:val="00946874"/>
    <w:rsid w:val="00946C59"/>
    <w:rsid w:val="00946FF8"/>
    <w:rsid w:val="009470BD"/>
    <w:rsid w:val="00947944"/>
    <w:rsid w:val="00947D76"/>
    <w:rsid w:val="0095009E"/>
    <w:rsid w:val="00950342"/>
    <w:rsid w:val="00950639"/>
    <w:rsid w:val="00950955"/>
    <w:rsid w:val="00950A42"/>
    <w:rsid w:val="00950CCB"/>
    <w:rsid w:val="0095119F"/>
    <w:rsid w:val="009517EC"/>
    <w:rsid w:val="0095183F"/>
    <w:rsid w:val="00951912"/>
    <w:rsid w:val="00951CF7"/>
    <w:rsid w:val="0095205B"/>
    <w:rsid w:val="009521B0"/>
    <w:rsid w:val="009524EE"/>
    <w:rsid w:val="0095256D"/>
    <w:rsid w:val="0095269F"/>
    <w:rsid w:val="00952999"/>
    <w:rsid w:val="00952A4F"/>
    <w:rsid w:val="00952A52"/>
    <w:rsid w:val="00952B21"/>
    <w:rsid w:val="00952CF0"/>
    <w:rsid w:val="009531E8"/>
    <w:rsid w:val="0095373B"/>
    <w:rsid w:val="00953907"/>
    <w:rsid w:val="00953A39"/>
    <w:rsid w:val="00953BAE"/>
    <w:rsid w:val="00953D5F"/>
    <w:rsid w:val="00953DE7"/>
    <w:rsid w:val="00954094"/>
    <w:rsid w:val="0095441B"/>
    <w:rsid w:val="009545BA"/>
    <w:rsid w:val="00954A12"/>
    <w:rsid w:val="00954C05"/>
    <w:rsid w:val="00954C18"/>
    <w:rsid w:val="00954E46"/>
    <w:rsid w:val="00955249"/>
    <w:rsid w:val="0095537D"/>
    <w:rsid w:val="00955490"/>
    <w:rsid w:val="00955633"/>
    <w:rsid w:val="009556AC"/>
    <w:rsid w:val="0095587F"/>
    <w:rsid w:val="0095589F"/>
    <w:rsid w:val="00955AC3"/>
    <w:rsid w:val="00955BBA"/>
    <w:rsid w:val="00955CCC"/>
    <w:rsid w:val="00955CD2"/>
    <w:rsid w:val="00955E5D"/>
    <w:rsid w:val="00955EAA"/>
    <w:rsid w:val="00955ED5"/>
    <w:rsid w:val="00956225"/>
    <w:rsid w:val="009562E7"/>
    <w:rsid w:val="00956575"/>
    <w:rsid w:val="00956642"/>
    <w:rsid w:val="009567B0"/>
    <w:rsid w:val="00957030"/>
    <w:rsid w:val="009572B0"/>
    <w:rsid w:val="00957915"/>
    <w:rsid w:val="0095796C"/>
    <w:rsid w:val="00957991"/>
    <w:rsid w:val="009579AC"/>
    <w:rsid w:val="00957CBA"/>
    <w:rsid w:val="00957F0F"/>
    <w:rsid w:val="00960341"/>
    <w:rsid w:val="00960690"/>
    <w:rsid w:val="009607E6"/>
    <w:rsid w:val="00961167"/>
    <w:rsid w:val="00961332"/>
    <w:rsid w:val="0096164D"/>
    <w:rsid w:val="00961A21"/>
    <w:rsid w:val="00961A61"/>
    <w:rsid w:val="0096281F"/>
    <w:rsid w:val="00962955"/>
    <w:rsid w:val="009629DD"/>
    <w:rsid w:val="00962AE6"/>
    <w:rsid w:val="00962BE2"/>
    <w:rsid w:val="00962E6D"/>
    <w:rsid w:val="00962EA4"/>
    <w:rsid w:val="00962EF2"/>
    <w:rsid w:val="0096311B"/>
    <w:rsid w:val="0096318B"/>
    <w:rsid w:val="00963223"/>
    <w:rsid w:val="00963238"/>
    <w:rsid w:val="009633FE"/>
    <w:rsid w:val="00963551"/>
    <w:rsid w:val="00963BFF"/>
    <w:rsid w:val="00963EA0"/>
    <w:rsid w:val="00964362"/>
    <w:rsid w:val="009644EC"/>
    <w:rsid w:val="009645CB"/>
    <w:rsid w:val="00964AF2"/>
    <w:rsid w:val="00964D2A"/>
    <w:rsid w:val="00965DA0"/>
    <w:rsid w:val="00965F49"/>
    <w:rsid w:val="009660B3"/>
    <w:rsid w:val="009661BA"/>
    <w:rsid w:val="00966447"/>
    <w:rsid w:val="00966500"/>
    <w:rsid w:val="009665A5"/>
    <w:rsid w:val="00966609"/>
    <w:rsid w:val="00966652"/>
    <w:rsid w:val="0096693D"/>
    <w:rsid w:val="0096697F"/>
    <w:rsid w:val="00966E1D"/>
    <w:rsid w:val="00966F70"/>
    <w:rsid w:val="0096709D"/>
    <w:rsid w:val="009674D5"/>
    <w:rsid w:val="0096759F"/>
    <w:rsid w:val="009677A1"/>
    <w:rsid w:val="00967964"/>
    <w:rsid w:val="00967B6E"/>
    <w:rsid w:val="00967ED1"/>
    <w:rsid w:val="00967F43"/>
    <w:rsid w:val="00967FBF"/>
    <w:rsid w:val="00970096"/>
    <w:rsid w:val="009700EA"/>
    <w:rsid w:val="00970BD1"/>
    <w:rsid w:val="0097160A"/>
    <w:rsid w:val="00971CC3"/>
    <w:rsid w:val="00971D8E"/>
    <w:rsid w:val="00972381"/>
    <w:rsid w:val="0097241A"/>
    <w:rsid w:val="00972673"/>
    <w:rsid w:val="009726F8"/>
    <w:rsid w:val="00972A41"/>
    <w:rsid w:val="00972F11"/>
    <w:rsid w:val="00973627"/>
    <w:rsid w:val="00973853"/>
    <w:rsid w:val="00973936"/>
    <w:rsid w:val="00973A23"/>
    <w:rsid w:val="00973A56"/>
    <w:rsid w:val="00973D88"/>
    <w:rsid w:val="0097413C"/>
    <w:rsid w:val="009741D9"/>
    <w:rsid w:val="00974676"/>
    <w:rsid w:val="009749BE"/>
    <w:rsid w:val="00974B69"/>
    <w:rsid w:val="009750A8"/>
    <w:rsid w:val="00975242"/>
    <w:rsid w:val="009753F6"/>
    <w:rsid w:val="00975508"/>
    <w:rsid w:val="00975789"/>
    <w:rsid w:val="009759E5"/>
    <w:rsid w:val="009759F3"/>
    <w:rsid w:val="00975BB2"/>
    <w:rsid w:val="00976CB7"/>
    <w:rsid w:val="00976FFF"/>
    <w:rsid w:val="009770D7"/>
    <w:rsid w:val="00977161"/>
    <w:rsid w:val="00977389"/>
    <w:rsid w:val="00977E2C"/>
    <w:rsid w:val="009800F6"/>
    <w:rsid w:val="00980117"/>
    <w:rsid w:val="0098021B"/>
    <w:rsid w:val="00980420"/>
    <w:rsid w:val="0098051D"/>
    <w:rsid w:val="009806DB"/>
    <w:rsid w:val="00980A22"/>
    <w:rsid w:val="00980C1D"/>
    <w:rsid w:val="009810D0"/>
    <w:rsid w:val="00981245"/>
    <w:rsid w:val="0098165B"/>
    <w:rsid w:val="00981755"/>
    <w:rsid w:val="00981A54"/>
    <w:rsid w:val="00982204"/>
    <w:rsid w:val="00982707"/>
    <w:rsid w:val="00982C7E"/>
    <w:rsid w:val="00982DD3"/>
    <w:rsid w:val="00982EAA"/>
    <w:rsid w:val="00983663"/>
    <w:rsid w:val="00983819"/>
    <w:rsid w:val="00983933"/>
    <w:rsid w:val="00983A99"/>
    <w:rsid w:val="00983B85"/>
    <w:rsid w:val="00983D78"/>
    <w:rsid w:val="00983F2C"/>
    <w:rsid w:val="00984387"/>
    <w:rsid w:val="0098460E"/>
    <w:rsid w:val="009848D1"/>
    <w:rsid w:val="0098494D"/>
    <w:rsid w:val="009849B5"/>
    <w:rsid w:val="00984AB2"/>
    <w:rsid w:val="00984D1F"/>
    <w:rsid w:val="00984D79"/>
    <w:rsid w:val="00984DBA"/>
    <w:rsid w:val="00984EDD"/>
    <w:rsid w:val="00984FE5"/>
    <w:rsid w:val="0098502A"/>
    <w:rsid w:val="009850C8"/>
    <w:rsid w:val="009850FF"/>
    <w:rsid w:val="009851A2"/>
    <w:rsid w:val="009851F1"/>
    <w:rsid w:val="00985239"/>
    <w:rsid w:val="00985298"/>
    <w:rsid w:val="00985A01"/>
    <w:rsid w:val="0098608C"/>
    <w:rsid w:val="009862AC"/>
    <w:rsid w:val="009865FE"/>
    <w:rsid w:val="009868DA"/>
    <w:rsid w:val="00986A5E"/>
    <w:rsid w:val="00986F16"/>
    <w:rsid w:val="009872D8"/>
    <w:rsid w:val="009873EA"/>
    <w:rsid w:val="00987454"/>
    <w:rsid w:val="009877A3"/>
    <w:rsid w:val="00987BD4"/>
    <w:rsid w:val="00987E98"/>
    <w:rsid w:val="00987F96"/>
    <w:rsid w:val="009900D0"/>
    <w:rsid w:val="00990489"/>
    <w:rsid w:val="00990761"/>
    <w:rsid w:val="00990818"/>
    <w:rsid w:val="00990896"/>
    <w:rsid w:val="00990E23"/>
    <w:rsid w:val="00990F26"/>
    <w:rsid w:val="00990FB2"/>
    <w:rsid w:val="00991145"/>
    <w:rsid w:val="00991287"/>
    <w:rsid w:val="00991620"/>
    <w:rsid w:val="0099162C"/>
    <w:rsid w:val="00992CAD"/>
    <w:rsid w:val="00992D3B"/>
    <w:rsid w:val="00992E69"/>
    <w:rsid w:val="00992F13"/>
    <w:rsid w:val="009931AE"/>
    <w:rsid w:val="00993349"/>
    <w:rsid w:val="00993363"/>
    <w:rsid w:val="009934FE"/>
    <w:rsid w:val="009935A8"/>
    <w:rsid w:val="00993C77"/>
    <w:rsid w:val="00993F69"/>
    <w:rsid w:val="00994214"/>
    <w:rsid w:val="00994688"/>
    <w:rsid w:val="009946E3"/>
    <w:rsid w:val="00994846"/>
    <w:rsid w:val="00994A72"/>
    <w:rsid w:val="00994BA3"/>
    <w:rsid w:val="00994BCF"/>
    <w:rsid w:val="00994C74"/>
    <w:rsid w:val="00994CDB"/>
    <w:rsid w:val="009952DD"/>
    <w:rsid w:val="009952E0"/>
    <w:rsid w:val="00995508"/>
    <w:rsid w:val="009956BE"/>
    <w:rsid w:val="00995A42"/>
    <w:rsid w:val="00995B0C"/>
    <w:rsid w:val="00995D1F"/>
    <w:rsid w:val="00995E21"/>
    <w:rsid w:val="00995EC9"/>
    <w:rsid w:val="00996437"/>
    <w:rsid w:val="0099644B"/>
    <w:rsid w:val="009965CC"/>
    <w:rsid w:val="0099678E"/>
    <w:rsid w:val="00996B7E"/>
    <w:rsid w:val="00996C6F"/>
    <w:rsid w:val="00996CC6"/>
    <w:rsid w:val="00996E1B"/>
    <w:rsid w:val="00996FE5"/>
    <w:rsid w:val="00997266"/>
    <w:rsid w:val="009975DD"/>
    <w:rsid w:val="00997657"/>
    <w:rsid w:val="0099784F"/>
    <w:rsid w:val="009A00F9"/>
    <w:rsid w:val="009A03A6"/>
    <w:rsid w:val="009A0888"/>
    <w:rsid w:val="009A0BA9"/>
    <w:rsid w:val="009A0F50"/>
    <w:rsid w:val="009A0F5A"/>
    <w:rsid w:val="009A1339"/>
    <w:rsid w:val="009A19B3"/>
    <w:rsid w:val="009A1A98"/>
    <w:rsid w:val="009A1AF1"/>
    <w:rsid w:val="009A1F32"/>
    <w:rsid w:val="009A2419"/>
    <w:rsid w:val="009A2837"/>
    <w:rsid w:val="009A29A8"/>
    <w:rsid w:val="009A2AD5"/>
    <w:rsid w:val="009A2C3C"/>
    <w:rsid w:val="009A2D3B"/>
    <w:rsid w:val="009A30F0"/>
    <w:rsid w:val="009A32EA"/>
    <w:rsid w:val="009A36ED"/>
    <w:rsid w:val="009A373D"/>
    <w:rsid w:val="009A37B5"/>
    <w:rsid w:val="009A39AC"/>
    <w:rsid w:val="009A3A63"/>
    <w:rsid w:val="009A3E79"/>
    <w:rsid w:val="009A3EC6"/>
    <w:rsid w:val="009A3F5B"/>
    <w:rsid w:val="009A45DB"/>
    <w:rsid w:val="009A507A"/>
    <w:rsid w:val="009A53FC"/>
    <w:rsid w:val="009A5798"/>
    <w:rsid w:val="009A5B03"/>
    <w:rsid w:val="009A5E6A"/>
    <w:rsid w:val="009A6492"/>
    <w:rsid w:val="009A64DA"/>
    <w:rsid w:val="009A6789"/>
    <w:rsid w:val="009A6D6F"/>
    <w:rsid w:val="009A6DFA"/>
    <w:rsid w:val="009A7193"/>
    <w:rsid w:val="009A7240"/>
    <w:rsid w:val="009A7448"/>
    <w:rsid w:val="009A7483"/>
    <w:rsid w:val="009A7C95"/>
    <w:rsid w:val="009B068A"/>
    <w:rsid w:val="009B0740"/>
    <w:rsid w:val="009B0AFF"/>
    <w:rsid w:val="009B0C15"/>
    <w:rsid w:val="009B0DB7"/>
    <w:rsid w:val="009B1469"/>
    <w:rsid w:val="009B1886"/>
    <w:rsid w:val="009B19C0"/>
    <w:rsid w:val="009B1B95"/>
    <w:rsid w:val="009B1EC4"/>
    <w:rsid w:val="009B232D"/>
    <w:rsid w:val="009B2477"/>
    <w:rsid w:val="009B266E"/>
    <w:rsid w:val="009B29C1"/>
    <w:rsid w:val="009B29FC"/>
    <w:rsid w:val="009B2C35"/>
    <w:rsid w:val="009B2DFC"/>
    <w:rsid w:val="009B3154"/>
    <w:rsid w:val="009B321B"/>
    <w:rsid w:val="009B3269"/>
    <w:rsid w:val="009B33B9"/>
    <w:rsid w:val="009B3612"/>
    <w:rsid w:val="009B3698"/>
    <w:rsid w:val="009B3952"/>
    <w:rsid w:val="009B418D"/>
    <w:rsid w:val="009B4723"/>
    <w:rsid w:val="009B48DE"/>
    <w:rsid w:val="009B4F94"/>
    <w:rsid w:val="009B5650"/>
    <w:rsid w:val="009B5660"/>
    <w:rsid w:val="009B5B94"/>
    <w:rsid w:val="009B61B3"/>
    <w:rsid w:val="009B6386"/>
    <w:rsid w:val="009B6A42"/>
    <w:rsid w:val="009B6F60"/>
    <w:rsid w:val="009B72B6"/>
    <w:rsid w:val="009B7717"/>
    <w:rsid w:val="009B77D4"/>
    <w:rsid w:val="009B78AB"/>
    <w:rsid w:val="009B7DE3"/>
    <w:rsid w:val="009B7F75"/>
    <w:rsid w:val="009C0031"/>
    <w:rsid w:val="009C00D4"/>
    <w:rsid w:val="009C064B"/>
    <w:rsid w:val="009C0F28"/>
    <w:rsid w:val="009C1271"/>
    <w:rsid w:val="009C129B"/>
    <w:rsid w:val="009C1324"/>
    <w:rsid w:val="009C14D5"/>
    <w:rsid w:val="009C15AA"/>
    <w:rsid w:val="009C1CC1"/>
    <w:rsid w:val="009C1D09"/>
    <w:rsid w:val="009C1DBA"/>
    <w:rsid w:val="009C1E6F"/>
    <w:rsid w:val="009C1EF8"/>
    <w:rsid w:val="009C2244"/>
    <w:rsid w:val="009C239E"/>
    <w:rsid w:val="009C255A"/>
    <w:rsid w:val="009C2BB0"/>
    <w:rsid w:val="009C2C25"/>
    <w:rsid w:val="009C32C6"/>
    <w:rsid w:val="009C37BF"/>
    <w:rsid w:val="009C3E54"/>
    <w:rsid w:val="009C3F99"/>
    <w:rsid w:val="009C3F9F"/>
    <w:rsid w:val="009C4411"/>
    <w:rsid w:val="009C4726"/>
    <w:rsid w:val="009C49C9"/>
    <w:rsid w:val="009C4C7C"/>
    <w:rsid w:val="009C55A0"/>
    <w:rsid w:val="009C5732"/>
    <w:rsid w:val="009C5795"/>
    <w:rsid w:val="009C59C7"/>
    <w:rsid w:val="009C5A03"/>
    <w:rsid w:val="009C5A34"/>
    <w:rsid w:val="009C5C3F"/>
    <w:rsid w:val="009C5D8C"/>
    <w:rsid w:val="009C5E00"/>
    <w:rsid w:val="009C65DA"/>
    <w:rsid w:val="009C6715"/>
    <w:rsid w:val="009C69B2"/>
    <w:rsid w:val="009C6B83"/>
    <w:rsid w:val="009C6BDE"/>
    <w:rsid w:val="009C7297"/>
    <w:rsid w:val="009C79E3"/>
    <w:rsid w:val="009C7A0F"/>
    <w:rsid w:val="009C7AE9"/>
    <w:rsid w:val="009C7E58"/>
    <w:rsid w:val="009C7FC0"/>
    <w:rsid w:val="009D0845"/>
    <w:rsid w:val="009D09A3"/>
    <w:rsid w:val="009D0CFB"/>
    <w:rsid w:val="009D11AE"/>
    <w:rsid w:val="009D11F8"/>
    <w:rsid w:val="009D13E0"/>
    <w:rsid w:val="009D14EE"/>
    <w:rsid w:val="009D16DE"/>
    <w:rsid w:val="009D198A"/>
    <w:rsid w:val="009D19F0"/>
    <w:rsid w:val="009D1B04"/>
    <w:rsid w:val="009D1DA9"/>
    <w:rsid w:val="009D1DBA"/>
    <w:rsid w:val="009D1E9C"/>
    <w:rsid w:val="009D21C5"/>
    <w:rsid w:val="009D21E0"/>
    <w:rsid w:val="009D22D9"/>
    <w:rsid w:val="009D2308"/>
    <w:rsid w:val="009D23E1"/>
    <w:rsid w:val="009D26B5"/>
    <w:rsid w:val="009D272B"/>
    <w:rsid w:val="009D2746"/>
    <w:rsid w:val="009D27BE"/>
    <w:rsid w:val="009D2A2D"/>
    <w:rsid w:val="009D2ADD"/>
    <w:rsid w:val="009D2C08"/>
    <w:rsid w:val="009D3060"/>
    <w:rsid w:val="009D3187"/>
    <w:rsid w:val="009D36BC"/>
    <w:rsid w:val="009D382C"/>
    <w:rsid w:val="009D3C21"/>
    <w:rsid w:val="009D3D7E"/>
    <w:rsid w:val="009D469A"/>
    <w:rsid w:val="009D47B1"/>
    <w:rsid w:val="009D4857"/>
    <w:rsid w:val="009D4AC4"/>
    <w:rsid w:val="009D4C39"/>
    <w:rsid w:val="009D52AC"/>
    <w:rsid w:val="009D55EB"/>
    <w:rsid w:val="009D56B0"/>
    <w:rsid w:val="009D5974"/>
    <w:rsid w:val="009D5A43"/>
    <w:rsid w:val="009D5DC4"/>
    <w:rsid w:val="009D6375"/>
    <w:rsid w:val="009D6744"/>
    <w:rsid w:val="009D683E"/>
    <w:rsid w:val="009D68EB"/>
    <w:rsid w:val="009D6BB4"/>
    <w:rsid w:val="009D6F2A"/>
    <w:rsid w:val="009D70FD"/>
    <w:rsid w:val="009D7100"/>
    <w:rsid w:val="009D7768"/>
    <w:rsid w:val="009D7894"/>
    <w:rsid w:val="009D7CB5"/>
    <w:rsid w:val="009D7E6F"/>
    <w:rsid w:val="009D7ED1"/>
    <w:rsid w:val="009D7FA4"/>
    <w:rsid w:val="009E005D"/>
    <w:rsid w:val="009E01BA"/>
    <w:rsid w:val="009E0998"/>
    <w:rsid w:val="009E0B21"/>
    <w:rsid w:val="009E0E13"/>
    <w:rsid w:val="009E0E5C"/>
    <w:rsid w:val="009E0F9A"/>
    <w:rsid w:val="009E10A7"/>
    <w:rsid w:val="009E13B8"/>
    <w:rsid w:val="009E17A3"/>
    <w:rsid w:val="009E18CE"/>
    <w:rsid w:val="009E1EA4"/>
    <w:rsid w:val="009E1EC3"/>
    <w:rsid w:val="009E1F17"/>
    <w:rsid w:val="009E2FCE"/>
    <w:rsid w:val="009E35B5"/>
    <w:rsid w:val="009E3AD3"/>
    <w:rsid w:val="009E3C63"/>
    <w:rsid w:val="009E3E5A"/>
    <w:rsid w:val="009E4085"/>
    <w:rsid w:val="009E415C"/>
    <w:rsid w:val="009E46CA"/>
    <w:rsid w:val="009E4913"/>
    <w:rsid w:val="009E4DC1"/>
    <w:rsid w:val="009E5098"/>
    <w:rsid w:val="009E5270"/>
    <w:rsid w:val="009E5984"/>
    <w:rsid w:val="009E5A8B"/>
    <w:rsid w:val="009E5AB1"/>
    <w:rsid w:val="009E5ADA"/>
    <w:rsid w:val="009E5C11"/>
    <w:rsid w:val="009E5F19"/>
    <w:rsid w:val="009E6496"/>
    <w:rsid w:val="009E66C8"/>
    <w:rsid w:val="009E6CC6"/>
    <w:rsid w:val="009E6DD7"/>
    <w:rsid w:val="009E71E1"/>
    <w:rsid w:val="009E7FAF"/>
    <w:rsid w:val="009F0628"/>
    <w:rsid w:val="009F0AC3"/>
    <w:rsid w:val="009F0AFB"/>
    <w:rsid w:val="009F0CDE"/>
    <w:rsid w:val="009F0D15"/>
    <w:rsid w:val="009F0E0F"/>
    <w:rsid w:val="009F0E81"/>
    <w:rsid w:val="009F0EA2"/>
    <w:rsid w:val="009F0F4B"/>
    <w:rsid w:val="009F0F53"/>
    <w:rsid w:val="009F120E"/>
    <w:rsid w:val="009F142C"/>
    <w:rsid w:val="009F1616"/>
    <w:rsid w:val="009F1AE3"/>
    <w:rsid w:val="009F1C12"/>
    <w:rsid w:val="009F1CBC"/>
    <w:rsid w:val="009F1DC4"/>
    <w:rsid w:val="009F1FAF"/>
    <w:rsid w:val="009F21B3"/>
    <w:rsid w:val="009F222A"/>
    <w:rsid w:val="009F23A7"/>
    <w:rsid w:val="009F25A4"/>
    <w:rsid w:val="009F2634"/>
    <w:rsid w:val="009F2A6E"/>
    <w:rsid w:val="009F2C9F"/>
    <w:rsid w:val="009F2ED5"/>
    <w:rsid w:val="009F30CD"/>
    <w:rsid w:val="009F31EC"/>
    <w:rsid w:val="009F3267"/>
    <w:rsid w:val="009F3316"/>
    <w:rsid w:val="009F3495"/>
    <w:rsid w:val="009F352C"/>
    <w:rsid w:val="009F365D"/>
    <w:rsid w:val="009F382E"/>
    <w:rsid w:val="009F3835"/>
    <w:rsid w:val="009F3948"/>
    <w:rsid w:val="009F3BDB"/>
    <w:rsid w:val="009F3CF9"/>
    <w:rsid w:val="009F3D4C"/>
    <w:rsid w:val="009F451A"/>
    <w:rsid w:val="009F462A"/>
    <w:rsid w:val="009F4A79"/>
    <w:rsid w:val="009F5533"/>
    <w:rsid w:val="009F580C"/>
    <w:rsid w:val="009F5ABF"/>
    <w:rsid w:val="009F5C46"/>
    <w:rsid w:val="009F5F88"/>
    <w:rsid w:val="009F6166"/>
    <w:rsid w:val="009F63D9"/>
    <w:rsid w:val="009F661F"/>
    <w:rsid w:val="009F6709"/>
    <w:rsid w:val="009F6BD0"/>
    <w:rsid w:val="009F6BDE"/>
    <w:rsid w:val="009F6DFA"/>
    <w:rsid w:val="009F7070"/>
    <w:rsid w:val="009F7287"/>
    <w:rsid w:val="009F791F"/>
    <w:rsid w:val="009F79E6"/>
    <w:rsid w:val="009F7B77"/>
    <w:rsid w:val="009F7C29"/>
    <w:rsid w:val="009F7FBE"/>
    <w:rsid w:val="00A00129"/>
    <w:rsid w:val="00A00170"/>
    <w:rsid w:val="00A002AB"/>
    <w:rsid w:val="00A0126E"/>
    <w:rsid w:val="00A01552"/>
    <w:rsid w:val="00A0180D"/>
    <w:rsid w:val="00A01895"/>
    <w:rsid w:val="00A01BD2"/>
    <w:rsid w:val="00A0237C"/>
    <w:rsid w:val="00A02661"/>
    <w:rsid w:val="00A0292C"/>
    <w:rsid w:val="00A02950"/>
    <w:rsid w:val="00A02DB8"/>
    <w:rsid w:val="00A02EA7"/>
    <w:rsid w:val="00A0301E"/>
    <w:rsid w:val="00A03030"/>
    <w:rsid w:val="00A038D4"/>
    <w:rsid w:val="00A03A02"/>
    <w:rsid w:val="00A03BAB"/>
    <w:rsid w:val="00A04030"/>
    <w:rsid w:val="00A0448B"/>
    <w:rsid w:val="00A0472E"/>
    <w:rsid w:val="00A04855"/>
    <w:rsid w:val="00A04930"/>
    <w:rsid w:val="00A04A9A"/>
    <w:rsid w:val="00A04E4E"/>
    <w:rsid w:val="00A04E88"/>
    <w:rsid w:val="00A05282"/>
    <w:rsid w:val="00A05324"/>
    <w:rsid w:val="00A0546B"/>
    <w:rsid w:val="00A0563D"/>
    <w:rsid w:val="00A056A3"/>
    <w:rsid w:val="00A057EB"/>
    <w:rsid w:val="00A05D1C"/>
    <w:rsid w:val="00A05D75"/>
    <w:rsid w:val="00A05F86"/>
    <w:rsid w:val="00A0606F"/>
    <w:rsid w:val="00A068A7"/>
    <w:rsid w:val="00A06AA3"/>
    <w:rsid w:val="00A06D78"/>
    <w:rsid w:val="00A06F75"/>
    <w:rsid w:val="00A071E4"/>
    <w:rsid w:val="00A07355"/>
    <w:rsid w:val="00A07480"/>
    <w:rsid w:val="00A07C43"/>
    <w:rsid w:val="00A07C61"/>
    <w:rsid w:val="00A104CB"/>
    <w:rsid w:val="00A104D2"/>
    <w:rsid w:val="00A105F6"/>
    <w:rsid w:val="00A106E8"/>
    <w:rsid w:val="00A107DC"/>
    <w:rsid w:val="00A10907"/>
    <w:rsid w:val="00A10EB1"/>
    <w:rsid w:val="00A11009"/>
    <w:rsid w:val="00A11060"/>
    <w:rsid w:val="00A1112D"/>
    <w:rsid w:val="00A11457"/>
    <w:rsid w:val="00A11CBB"/>
    <w:rsid w:val="00A11EBA"/>
    <w:rsid w:val="00A1203B"/>
    <w:rsid w:val="00A123E7"/>
    <w:rsid w:val="00A12853"/>
    <w:rsid w:val="00A12BB6"/>
    <w:rsid w:val="00A12C61"/>
    <w:rsid w:val="00A12D45"/>
    <w:rsid w:val="00A12F69"/>
    <w:rsid w:val="00A12FB6"/>
    <w:rsid w:val="00A13153"/>
    <w:rsid w:val="00A131CB"/>
    <w:rsid w:val="00A132F7"/>
    <w:rsid w:val="00A13714"/>
    <w:rsid w:val="00A13736"/>
    <w:rsid w:val="00A14244"/>
    <w:rsid w:val="00A142AE"/>
    <w:rsid w:val="00A144F4"/>
    <w:rsid w:val="00A1451C"/>
    <w:rsid w:val="00A145D2"/>
    <w:rsid w:val="00A14604"/>
    <w:rsid w:val="00A14B7B"/>
    <w:rsid w:val="00A14FC5"/>
    <w:rsid w:val="00A150D4"/>
    <w:rsid w:val="00A1537C"/>
    <w:rsid w:val="00A15CF8"/>
    <w:rsid w:val="00A162BA"/>
    <w:rsid w:val="00A1676F"/>
    <w:rsid w:val="00A1694D"/>
    <w:rsid w:val="00A16AA4"/>
    <w:rsid w:val="00A16C23"/>
    <w:rsid w:val="00A16D13"/>
    <w:rsid w:val="00A16D6C"/>
    <w:rsid w:val="00A16F2D"/>
    <w:rsid w:val="00A16FAE"/>
    <w:rsid w:val="00A17CC8"/>
    <w:rsid w:val="00A17E1F"/>
    <w:rsid w:val="00A17F7D"/>
    <w:rsid w:val="00A20110"/>
    <w:rsid w:val="00A20306"/>
    <w:rsid w:val="00A20447"/>
    <w:rsid w:val="00A20788"/>
    <w:rsid w:val="00A20969"/>
    <w:rsid w:val="00A20BAF"/>
    <w:rsid w:val="00A210E1"/>
    <w:rsid w:val="00A21862"/>
    <w:rsid w:val="00A218BE"/>
    <w:rsid w:val="00A218F1"/>
    <w:rsid w:val="00A21A63"/>
    <w:rsid w:val="00A21D8C"/>
    <w:rsid w:val="00A21E5D"/>
    <w:rsid w:val="00A22288"/>
    <w:rsid w:val="00A223E1"/>
    <w:rsid w:val="00A224CA"/>
    <w:rsid w:val="00A22801"/>
    <w:rsid w:val="00A22A0F"/>
    <w:rsid w:val="00A22B06"/>
    <w:rsid w:val="00A22B5D"/>
    <w:rsid w:val="00A22E32"/>
    <w:rsid w:val="00A23009"/>
    <w:rsid w:val="00A23372"/>
    <w:rsid w:val="00A23710"/>
    <w:rsid w:val="00A240F3"/>
    <w:rsid w:val="00A243DC"/>
    <w:rsid w:val="00A2444D"/>
    <w:rsid w:val="00A24608"/>
    <w:rsid w:val="00A2487C"/>
    <w:rsid w:val="00A24D39"/>
    <w:rsid w:val="00A24DA6"/>
    <w:rsid w:val="00A24E2E"/>
    <w:rsid w:val="00A24FC7"/>
    <w:rsid w:val="00A252C8"/>
    <w:rsid w:val="00A25339"/>
    <w:rsid w:val="00A25374"/>
    <w:rsid w:val="00A257E1"/>
    <w:rsid w:val="00A25BD1"/>
    <w:rsid w:val="00A25E3C"/>
    <w:rsid w:val="00A25ED7"/>
    <w:rsid w:val="00A2610B"/>
    <w:rsid w:val="00A26205"/>
    <w:rsid w:val="00A26247"/>
    <w:rsid w:val="00A2633B"/>
    <w:rsid w:val="00A2648F"/>
    <w:rsid w:val="00A265E6"/>
    <w:rsid w:val="00A26E91"/>
    <w:rsid w:val="00A26FEE"/>
    <w:rsid w:val="00A2716C"/>
    <w:rsid w:val="00A272CD"/>
    <w:rsid w:val="00A27697"/>
    <w:rsid w:val="00A27725"/>
    <w:rsid w:val="00A27BA0"/>
    <w:rsid w:val="00A27FE3"/>
    <w:rsid w:val="00A3012E"/>
    <w:rsid w:val="00A30392"/>
    <w:rsid w:val="00A3039A"/>
    <w:rsid w:val="00A3055A"/>
    <w:rsid w:val="00A30690"/>
    <w:rsid w:val="00A30691"/>
    <w:rsid w:val="00A306ED"/>
    <w:rsid w:val="00A3078A"/>
    <w:rsid w:val="00A307ED"/>
    <w:rsid w:val="00A30917"/>
    <w:rsid w:val="00A30A61"/>
    <w:rsid w:val="00A30DB7"/>
    <w:rsid w:val="00A30FE7"/>
    <w:rsid w:val="00A31095"/>
    <w:rsid w:val="00A31108"/>
    <w:rsid w:val="00A31A65"/>
    <w:rsid w:val="00A31A7F"/>
    <w:rsid w:val="00A31F34"/>
    <w:rsid w:val="00A32A8A"/>
    <w:rsid w:val="00A3308D"/>
    <w:rsid w:val="00A33498"/>
    <w:rsid w:val="00A33654"/>
    <w:rsid w:val="00A3374A"/>
    <w:rsid w:val="00A337CD"/>
    <w:rsid w:val="00A33AD7"/>
    <w:rsid w:val="00A33B66"/>
    <w:rsid w:val="00A33F0E"/>
    <w:rsid w:val="00A33FC6"/>
    <w:rsid w:val="00A34250"/>
    <w:rsid w:val="00A347F3"/>
    <w:rsid w:val="00A34862"/>
    <w:rsid w:val="00A34895"/>
    <w:rsid w:val="00A34B9B"/>
    <w:rsid w:val="00A34BA6"/>
    <w:rsid w:val="00A34C31"/>
    <w:rsid w:val="00A34C6E"/>
    <w:rsid w:val="00A34D20"/>
    <w:rsid w:val="00A34D61"/>
    <w:rsid w:val="00A3563A"/>
    <w:rsid w:val="00A35AB5"/>
    <w:rsid w:val="00A35AC8"/>
    <w:rsid w:val="00A35BFB"/>
    <w:rsid w:val="00A35DAA"/>
    <w:rsid w:val="00A35DB7"/>
    <w:rsid w:val="00A35DC9"/>
    <w:rsid w:val="00A35F65"/>
    <w:rsid w:val="00A36026"/>
    <w:rsid w:val="00A362B9"/>
    <w:rsid w:val="00A36CB6"/>
    <w:rsid w:val="00A370E0"/>
    <w:rsid w:val="00A37106"/>
    <w:rsid w:val="00A37506"/>
    <w:rsid w:val="00A375E8"/>
    <w:rsid w:val="00A37EF6"/>
    <w:rsid w:val="00A4034F"/>
    <w:rsid w:val="00A4082E"/>
    <w:rsid w:val="00A40B69"/>
    <w:rsid w:val="00A40E19"/>
    <w:rsid w:val="00A413EA"/>
    <w:rsid w:val="00A41D16"/>
    <w:rsid w:val="00A41D9A"/>
    <w:rsid w:val="00A41F95"/>
    <w:rsid w:val="00A41F9C"/>
    <w:rsid w:val="00A42128"/>
    <w:rsid w:val="00A42131"/>
    <w:rsid w:val="00A42214"/>
    <w:rsid w:val="00A426A2"/>
    <w:rsid w:val="00A426A9"/>
    <w:rsid w:val="00A427C1"/>
    <w:rsid w:val="00A42DC4"/>
    <w:rsid w:val="00A434BE"/>
    <w:rsid w:val="00A43549"/>
    <w:rsid w:val="00A4375F"/>
    <w:rsid w:val="00A437F4"/>
    <w:rsid w:val="00A4389F"/>
    <w:rsid w:val="00A43CAB"/>
    <w:rsid w:val="00A43CD5"/>
    <w:rsid w:val="00A440E1"/>
    <w:rsid w:val="00A44109"/>
    <w:rsid w:val="00A44110"/>
    <w:rsid w:val="00A442A3"/>
    <w:rsid w:val="00A44483"/>
    <w:rsid w:val="00A448A3"/>
    <w:rsid w:val="00A44A41"/>
    <w:rsid w:val="00A44AC8"/>
    <w:rsid w:val="00A44C3B"/>
    <w:rsid w:val="00A44C85"/>
    <w:rsid w:val="00A45A30"/>
    <w:rsid w:val="00A45A64"/>
    <w:rsid w:val="00A45B9E"/>
    <w:rsid w:val="00A45BF3"/>
    <w:rsid w:val="00A45CC2"/>
    <w:rsid w:val="00A46012"/>
    <w:rsid w:val="00A4624B"/>
    <w:rsid w:val="00A463AD"/>
    <w:rsid w:val="00A465E2"/>
    <w:rsid w:val="00A46D6A"/>
    <w:rsid w:val="00A47335"/>
    <w:rsid w:val="00A4757C"/>
    <w:rsid w:val="00A476DE"/>
    <w:rsid w:val="00A47FCE"/>
    <w:rsid w:val="00A500B4"/>
    <w:rsid w:val="00A50289"/>
    <w:rsid w:val="00A50332"/>
    <w:rsid w:val="00A506A2"/>
    <w:rsid w:val="00A509E2"/>
    <w:rsid w:val="00A50A41"/>
    <w:rsid w:val="00A50EBD"/>
    <w:rsid w:val="00A5108C"/>
    <w:rsid w:val="00A510A6"/>
    <w:rsid w:val="00A5191E"/>
    <w:rsid w:val="00A51933"/>
    <w:rsid w:val="00A519B5"/>
    <w:rsid w:val="00A51C19"/>
    <w:rsid w:val="00A51CF7"/>
    <w:rsid w:val="00A51D46"/>
    <w:rsid w:val="00A520D6"/>
    <w:rsid w:val="00A52207"/>
    <w:rsid w:val="00A5229C"/>
    <w:rsid w:val="00A528F8"/>
    <w:rsid w:val="00A530D7"/>
    <w:rsid w:val="00A5327F"/>
    <w:rsid w:val="00A53383"/>
    <w:rsid w:val="00A53823"/>
    <w:rsid w:val="00A53948"/>
    <w:rsid w:val="00A539D1"/>
    <w:rsid w:val="00A53BDE"/>
    <w:rsid w:val="00A540A0"/>
    <w:rsid w:val="00A541FB"/>
    <w:rsid w:val="00A54362"/>
    <w:rsid w:val="00A543FB"/>
    <w:rsid w:val="00A54506"/>
    <w:rsid w:val="00A54651"/>
    <w:rsid w:val="00A54815"/>
    <w:rsid w:val="00A54A68"/>
    <w:rsid w:val="00A54D11"/>
    <w:rsid w:val="00A54D54"/>
    <w:rsid w:val="00A54E6D"/>
    <w:rsid w:val="00A5504B"/>
    <w:rsid w:val="00A5523C"/>
    <w:rsid w:val="00A55749"/>
    <w:rsid w:val="00A55779"/>
    <w:rsid w:val="00A558A8"/>
    <w:rsid w:val="00A55A57"/>
    <w:rsid w:val="00A55E29"/>
    <w:rsid w:val="00A55EE4"/>
    <w:rsid w:val="00A55F46"/>
    <w:rsid w:val="00A55F49"/>
    <w:rsid w:val="00A56126"/>
    <w:rsid w:val="00A562B9"/>
    <w:rsid w:val="00A56349"/>
    <w:rsid w:val="00A5682B"/>
    <w:rsid w:val="00A569FF"/>
    <w:rsid w:val="00A56B0D"/>
    <w:rsid w:val="00A56C55"/>
    <w:rsid w:val="00A56EB6"/>
    <w:rsid w:val="00A56FAB"/>
    <w:rsid w:val="00A572E9"/>
    <w:rsid w:val="00A573D8"/>
    <w:rsid w:val="00A575AC"/>
    <w:rsid w:val="00A57B1D"/>
    <w:rsid w:val="00A57BE0"/>
    <w:rsid w:val="00A604BE"/>
    <w:rsid w:val="00A605AE"/>
    <w:rsid w:val="00A6078A"/>
    <w:rsid w:val="00A60888"/>
    <w:rsid w:val="00A608BB"/>
    <w:rsid w:val="00A60B6A"/>
    <w:rsid w:val="00A60CC9"/>
    <w:rsid w:val="00A60EA5"/>
    <w:rsid w:val="00A610AB"/>
    <w:rsid w:val="00A613E5"/>
    <w:rsid w:val="00A61623"/>
    <w:rsid w:val="00A617A2"/>
    <w:rsid w:val="00A618A4"/>
    <w:rsid w:val="00A618A6"/>
    <w:rsid w:val="00A6194F"/>
    <w:rsid w:val="00A619F2"/>
    <w:rsid w:val="00A61A1F"/>
    <w:rsid w:val="00A62302"/>
    <w:rsid w:val="00A62334"/>
    <w:rsid w:val="00A627B4"/>
    <w:rsid w:val="00A62834"/>
    <w:rsid w:val="00A6296B"/>
    <w:rsid w:val="00A62D07"/>
    <w:rsid w:val="00A62DBF"/>
    <w:rsid w:val="00A632AF"/>
    <w:rsid w:val="00A632B8"/>
    <w:rsid w:val="00A6336D"/>
    <w:rsid w:val="00A6351B"/>
    <w:rsid w:val="00A63544"/>
    <w:rsid w:val="00A63866"/>
    <w:rsid w:val="00A63972"/>
    <w:rsid w:val="00A6399F"/>
    <w:rsid w:val="00A63C6B"/>
    <w:rsid w:val="00A63D09"/>
    <w:rsid w:val="00A63DFC"/>
    <w:rsid w:val="00A63E16"/>
    <w:rsid w:val="00A64971"/>
    <w:rsid w:val="00A64A6A"/>
    <w:rsid w:val="00A64C4E"/>
    <w:rsid w:val="00A64E82"/>
    <w:rsid w:val="00A653F5"/>
    <w:rsid w:val="00A654A9"/>
    <w:rsid w:val="00A6552F"/>
    <w:rsid w:val="00A657AC"/>
    <w:rsid w:val="00A65AC1"/>
    <w:rsid w:val="00A65DD9"/>
    <w:rsid w:val="00A65E4F"/>
    <w:rsid w:val="00A65F2C"/>
    <w:rsid w:val="00A660E9"/>
    <w:rsid w:val="00A661DD"/>
    <w:rsid w:val="00A66319"/>
    <w:rsid w:val="00A665B1"/>
    <w:rsid w:val="00A6677E"/>
    <w:rsid w:val="00A667A3"/>
    <w:rsid w:val="00A66A12"/>
    <w:rsid w:val="00A66B81"/>
    <w:rsid w:val="00A66FC8"/>
    <w:rsid w:val="00A67139"/>
    <w:rsid w:val="00A6713F"/>
    <w:rsid w:val="00A67140"/>
    <w:rsid w:val="00A67216"/>
    <w:rsid w:val="00A6794A"/>
    <w:rsid w:val="00A67A37"/>
    <w:rsid w:val="00A67BED"/>
    <w:rsid w:val="00A67FA4"/>
    <w:rsid w:val="00A67FCA"/>
    <w:rsid w:val="00A67FD0"/>
    <w:rsid w:val="00A700C0"/>
    <w:rsid w:val="00A7016C"/>
    <w:rsid w:val="00A70422"/>
    <w:rsid w:val="00A705F6"/>
    <w:rsid w:val="00A70889"/>
    <w:rsid w:val="00A70DB6"/>
    <w:rsid w:val="00A7115F"/>
    <w:rsid w:val="00A717C1"/>
    <w:rsid w:val="00A71916"/>
    <w:rsid w:val="00A71955"/>
    <w:rsid w:val="00A71BFF"/>
    <w:rsid w:val="00A71DF5"/>
    <w:rsid w:val="00A72ACC"/>
    <w:rsid w:val="00A72B82"/>
    <w:rsid w:val="00A72D5E"/>
    <w:rsid w:val="00A72D91"/>
    <w:rsid w:val="00A7300C"/>
    <w:rsid w:val="00A73152"/>
    <w:rsid w:val="00A7336A"/>
    <w:rsid w:val="00A7344F"/>
    <w:rsid w:val="00A73496"/>
    <w:rsid w:val="00A73937"/>
    <w:rsid w:val="00A73A7A"/>
    <w:rsid w:val="00A73CFF"/>
    <w:rsid w:val="00A7409C"/>
    <w:rsid w:val="00A74150"/>
    <w:rsid w:val="00A744BA"/>
    <w:rsid w:val="00A7450B"/>
    <w:rsid w:val="00A746A2"/>
    <w:rsid w:val="00A74CB8"/>
    <w:rsid w:val="00A74FB1"/>
    <w:rsid w:val="00A7520D"/>
    <w:rsid w:val="00A752FE"/>
    <w:rsid w:val="00A753A8"/>
    <w:rsid w:val="00A75B33"/>
    <w:rsid w:val="00A75DEC"/>
    <w:rsid w:val="00A760F3"/>
    <w:rsid w:val="00A7619B"/>
    <w:rsid w:val="00A7628A"/>
    <w:rsid w:val="00A762B3"/>
    <w:rsid w:val="00A76551"/>
    <w:rsid w:val="00A765F5"/>
    <w:rsid w:val="00A76F62"/>
    <w:rsid w:val="00A77003"/>
    <w:rsid w:val="00A7706A"/>
    <w:rsid w:val="00A7722D"/>
    <w:rsid w:val="00A7748B"/>
    <w:rsid w:val="00A77559"/>
    <w:rsid w:val="00A77BDF"/>
    <w:rsid w:val="00A77C8E"/>
    <w:rsid w:val="00A77ED7"/>
    <w:rsid w:val="00A80797"/>
    <w:rsid w:val="00A80992"/>
    <w:rsid w:val="00A80B54"/>
    <w:rsid w:val="00A80BDA"/>
    <w:rsid w:val="00A81695"/>
    <w:rsid w:val="00A81815"/>
    <w:rsid w:val="00A819FB"/>
    <w:rsid w:val="00A819FD"/>
    <w:rsid w:val="00A821BB"/>
    <w:rsid w:val="00A82BC3"/>
    <w:rsid w:val="00A83499"/>
    <w:rsid w:val="00A83882"/>
    <w:rsid w:val="00A83CDB"/>
    <w:rsid w:val="00A83FA8"/>
    <w:rsid w:val="00A83FD8"/>
    <w:rsid w:val="00A8482A"/>
    <w:rsid w:val="00A84BA6"/>
    <w:rsid w:val="00A84F1A"/>
    <w:rsid w:val="00A852E2"/>
    <w:rsid w:val="00A85451"/>
    <w:rsid w:val="00A854FE"/>
    <w:rsid w:val="00A85528"/>
    <w:rsid w:val="00A8553A"/>
    <w:rsid w:val="00A8595E"/>
    <w:rsid w:val="00A85A93"/>
    <w:rsid w:val="00A85BE7"/>
    <w:rsid w:val="00A85C20"/>
    <w:rsid w:val="00A85EC6"/>
    <w:rsid w:val="00A86305"/>
    <w:rsid w:val="00A863D1"/>
    <w:rsid w:val="00A86670"/>
    <w:rsid w:val="00A866F8"/>
    <w:rsid w:val="00A8683C"/>
    <w:rsid w:val="00A86850"/>
    <w:rsid w:val="00A868F6"/>
    <w:rsid w:val="00A86AC1"/>
    <w:rsid w:val="00A86DB6"/>
    <w:rsid w:val="00A870FE"/>
    <w:rsid w:val="00A87674"/>
    <w:rsid w:val="00A87865"/>
    <w:rsid w:val="00A87A50"/>
    <w:rsid w:val="00A87F06"/>
    <w:rsid w:val="00A87F38"/>
    <w:rsid w:val="00A9011A"/>
    <w:rsid w:val="00A9013F"/>
    <w:rsid w:val="00A9025A"/>
    <w:rsid w:val="00A902C9"/>
    <w:rsid w:val="00A903A1"/>
    <w:rsid w:val="00A903F3"/>
    <w:rsid w:val="00A904F1"/>
    <w:rsid w:val="00A907C6"/>
    <w:rsid w:val="00A90DC1"/>
    <w:rsid w:val="00A9105E"/>
    <w:rsid w:val="00A910DE"/>
    <w:rsid w:val="00A9121C"/>
    <w:rsid w:val="00A913FF"/>
    <w:rsid w:val="00A9198F"/>
    <w:rsid w:val="00A91DB4"/>
    <w:rsid w:val="00A9200F"/>
    <w:rsid w:val="00A920E7"/>
    <w:rsid w:val="00A92303"/>
    <w:rsid w:val="00A92381"/>
    <w:rsid w:val="00A92457"/>
    <w:rsid w:val="00A9276C"/>
    <w:rsid w:val="00A9281D"/>
    <w:rsid w:val="00A92994"/>
    <w:rsid w:val="00A929A6"/>
    <w:rsid w:val="00A92A86"/>
    <w:rsid w:val="00A92A93"/>
    <w:rsid w:val="00A92F5A"/>
    <w:rsid w:val="00A932FA"/>
    <w:rsid w:val="00A932FB"/>
    <w:rsid w:val="00A93386"/>
    <w:rsid w:val="00A93640"/>
    <w:rsid w:val="00A938F0"/>
    <w:rsid w:val="00A93D8C"/>
    <w:rsid w:val="00A943D2"/>
    <w:rsid w:val="00A94B50"/>
    <w:rsid w:val="00A94F25"/>
    <w:rsid w:val="00A95405"/>
    <w:rsid w:val="00A9546A"/>
    <w:rsid w:val="00A95D31"/>
    <w:rsid w:val="00A95E99"/>
    <w:rsid w:val="00A960AA"/>
    <w:rsid w:val="00A96454"/>
    <w:rsid w:val="00A965BF"/>
    <w:rsid w:val="00A96967"/>
    <w:rsid w:val="00A96E56"/>
    <w:rsid w:val="00A97180"/>
    <w:rsid w:val="00A97573"/>
    <w:rsid w:val="00A9799E"/>
    <w:rsid w:val="00A97DB1"/>
    <w:rsid w:val="00A97F4B"/>
    <w:rsid w:val="00AA00B7"/>
    <w:rsid w:val="00AA0104"/>
    <w:rsid w:val="00AA0637"/>
    <w:rsid w:val="00AA093A"/>
    <w:rsid w:val="00AA0C51"/>
    <w:rsid w:val="00AA0CBC"/>
    <w:rsid w:val="00AA0FD4"/>
    <w:rsid w:val="00AA105C"/>
    <w:rsid w:val="00AA18FD"/>
    <w:rsid w:val="00AA1910"/>
    <w:rsid w:val="00AA19BD"/>
    <w:rsid w:val="00AA1A42"/>
    <w:rsid w:val="00AA1AC2"/>
    <w:rsid w:val="00AA1E42"/>
    <w:rsid w:val="00AA1E7E"/>
    <w:rsid w:val="00AA1FA6"/>
    <w:rsid w:val="00AA2130"/>
    <w:rsid w:val="00AA2133"/>
    <w:rsid w:val="00AA21C0"/>
    <w:rsid w:val="00AA2569"/>
    <w:rsid w:val="00AA270D"/>
    <w:rsid w:val="00AA2B59"/>
    <w:rsid w:val="00AA2B72"/>
    <w:rsid w:val="00AA2CA4"/>
    <w:rsid w:val="00AA2F5D"/>
    <w:rsid w:val="00AA3411"/>
    <w:rsid w:val="00AA34CF"/>
    <w:rsid w:val="00AA3778"/>
    <w:rsid w:val="00AA38BF"/>
    <w:rsid w:val="00AA3B76"/>
    <w:rsid w:val="00AA3EDA"/>
    <w:rsid w:val="00AA43E6"/>
    <w:rsid w:val="00AA441F"/>
    <w:rsid w:val="00AA4470"/>
    <w:rsid w:val="00AA45BD"/>
    <w:rsid w:val="00AA4653"/>
    <w:rsid w:val="00AA47C0"/>
    <w:rsid w:val="00AA47F3"/>
    <w:rsid w:val="00AA49BB"/>
    <w:rsid w:val="00AA4E0F"/>
    <w:rsid w:val="00AA4EA8"/>
    <w:rsid w:val="00AA4F3E"/>
    <w:rsid w:val="00AA4FBB"/>
    <w:rsid w:val="00AA50E6"/>
    <w:rsid w:val="00AA53D0"/>
    <w:rsid w:val="00AA540E"/>
    <w:rsid w:val="00AA55F6"/>
    <w:rsid w:val="00AA5C9B"/>
    <w:rsid w:val="00AA6210"/>
    <w:rsid w:val="00AA6226"/>
    <w:rsid w:val="00AA6350"/>
    <w:rsid w:val="00AA6491"/>
    <w:rsid w:val="00AA64BF"/>
    <w:rsid w:val="00AA68DB"/>
    <w:rsid w:val="00AA6B1B"/>
    <w:rsid w:val="00AA6CEA"/>
    <w:rsid w:val="00AA6F60"/>
    <w:rsid w:val="00AA7297"/>
    <w:rsid w:val="00AA798B"/>
    <w:rsid w:val="00AA7E1C"/>
    <w:rsid w:val="00AB01F4"/>
    <w:rsid w:val="00AB04C5"/>
    <w:rsid w:val="00AB0530"/>
    <w:rsid w:val="00AB064F"/>
    <w:rsid w:val="00AB0D83"/>
    <w:rsid w:val="00AB1260"/>
    <w:rsid w:val="00AB13CB"/>
    <w:rsid w:val="00AB142B"/>
    <w:rsid w:val="00AB1446"/>
    <w:rsid w:val="00AB199E"/>
    <w:rsid w:val="00AB1ADA"/>
    <w:rsid w:val="00AB1B5E"/>
    <w:rsid w:val="00AB1CEA"/>
    <w:rsid w:val="00AB26F4"/>
    <w:rsid w:val="00AB27AD"/>
    <w:rsid w:val="00AB287A"/>
    <w:rsid w:val="00AB296F"/>
    <w:rsid w:val="00AB2FC0"/>
    <w:rsid w:val="00AB3026"/>
    <w:rsid w:val="00AB310A"/>
    <w:rsid w:val="00AB3690"/>
    <w:rsid w:val="00AB38D3"/>
    <w:rsid w:val="00AB3E90"/>
    <w:rsid w:val="00AB3F0B"/>
    <w:rsid w:val="00AB407F"/>
    <w:rsid w:val="00AB4112"/>
    <w:rsid w:val="00AB439C"/>
    <w:rsid w:val="00AB4498"/>
    <w:rsid w:val="00AB4722"/>
    <w:rsid w:val="00AB4758"/>
    <w:rsid w:val="00AB47B1"/>
    <w:rsid w:val="00AB4824"/>
    <w:rsid w:val="00AB49E8"/>
    <w:rsid w:val="00AB4A1F"/>
    <w:rsid w:val="00AB4B34"/>
    <w:rsid w:val="00AB4E58"/>
    <w:rsid w:val="00AB55B1"/>
    <w:rsid w:val="00AB5665"/>
    <w:rsid w:val="00AB5C23"/>
    <w:rsid w:val="00AB5DEF"/>
    <w:rsid w:val="00AB5F0B"/>
    <w:rsid w:val="00AB60C1"/>
    <w:rsid w:val="00AB6598"/>
    <w:rsid w:val="00AB68A7"/>
    <w:rsid w:val="00AB7079"/>
    <w:rsid w:val="00AB72E0"/>
    <w:rsid w:val="00AB746E"/>
    <w:rsid w:val="00AB7740"/>
    <w:rsid w:val="00AB7752"/>
    <w:rsid w:val="00AB776F"/>
    <w:rsid w:val="00AB77FA"/>
    <w:rsid w:val="00AB79F6"/>
    <w:rsid w:val="00AC0037"/>
    <w:rsid w:val="00AC039A"/>
    <w:rsid w:val="00AC0C09"/>
    <w:rsid w:val="00AC0E3A"/>
    <w:rsid w:val="00AC1080"/>
    <w:rsid w:val="00AC153A"/>
    <w:rsid w:val="00AC17BA"/>
    <w:rsid w:val="00AC1B5C"/>
    <w:rsid w:val="00AC1C06"/>
    <w:rsid w:val="00AC1D67"/>
    <w:rsid w:val="00AC23BA"/>
    <w:rsid w:val="00AC28ED"/>
    <w:rsid w:val="00AC2B00"/>
    <w:rsid w:val="00AC2B2C"/>
    <w:rsid w:val="00AC3109"/>
    <w:rsid w:val="00AC36A6"/>
    <w:rsid w:val="00AC3C30"/>
    <w:rsid w:val="00AC3EBE"/>
    <w:rsid w:val="00AC41BB"/>
    <w:rsid w:val="00AC488A"/>
    <w:rsid w:val="00AC48B5"/>
    <w:rsid w:val="00AC48C3"/>
    <w:rsid w:val="00AC48D0"/>
    <w:rsid w:val="00AC4BAA"/>
    <w:rsid w:val="00AC4EFA"/>
    <w:rsid w:val="00AC51EC"/>
    <w:rsid w:val="00AC5214"/>
    <w:rsid w:val="00AC5324"/>
    <w:rsid w:val="00AC574F"/>
    <w:rsid w:val="00AC5F24"/>
    <w:rsid w:val="00AC5F2A"/>
    <w:rsid w:val="00AC5F34"/>
    <w:rsid w:val="00AC61C9"/>
    <w:rsid w:val="00AC630B"/>
    <w:rsid w:val="00AC64E9"/>
    <w:rsid w:val="00AC68FD"/>
    <w:rsid w:val="00AC6F85"/>
    <w:rsid w:val="00AC714C"/>
    <w:rsid w:val="00AC7333"/>
    <w:rsid w:val="00AC76AD"/>
    <w:rsid w:val="00AC76F7"/>
    <w:rsid w:val="00AC772D"/>
    <w:rsid w:val="00AC7819"/>
    <w:rsid w:val="00AC7A9F"/>
    <w:rsid w:val="00AC7F76"/>
    <w:rsid w:val="00AD0090"/>
    <w:rsid w:val="00AD0152"/>
    <w:rsid w:val="00AD0516"/>
    <w:rsid w:val="00AD0540"/>
    <w:rsid w:val="00AD09B3"/>
    <w:rsid w:val="00AD0BDE"/>
    <w:rsid w:val="00AD0C7C"/>
    <w:rsid w:val="00AD0E59"/>
    <w:rsid w:val="00AD0F64"/>
    <w:rsid w:val="00AD1019"/>
    <w:rsid w:val="00AD10A8"/>
    <w:rsid w:val="00AD11FE"/>
    <w:rsid w:val="00AD1725"/>
    <w:rsid w:val="00AD191B"/>
    <w:rsid w:val="00AD209A"/>
    <w:rsid w:val="00AD217D"/>
    <w:rsid w:val="00AD21AB"/>
    <w:rsid w:val="00AD22B7"/>
    <w:rsid w:val="00AD22E5"/>
    <w:rsid w:val="00AD2331"/>
    <w:rsid w:val="00AD25BF"/>
    <w:rsid w:val="00AD267C"/>
    <w:rsid w:val="00AD28DE"/>
    <w:rsid w:val="00AD2A83"/>
    <w:rsid w:val="00AD2B2D"/>
    <w:rsid w:val="00AD2BCC"/>
    <w:rsid w:val="00AD2CF0"/>
    <w:rsid w:val="00AD3017"/>
    <w:rsid w:val="00AD38B0"/>
    <w:rsid w:val="00AD393C"/>
    <w:rsid w:val="00AD3AA8"/>
    <w:rsid w:val="00AD3AF3"/>
    <w:rsid w:val="00AD45B2"/>
    <w:rsid w:val="00AD45DC"/>
    <w:rsid w:val="00AD4667"/>
    <w:rsid w:val="00AD4A34"/>
    <w:rsid w:val="00AD4C54"/>
    <w:rsid w:val="00AD4EB5"/>
    <w:rsid w:val="00AD5A19"/>
    <w:rsid w:val="00AD5C37"/>
    <w:rsid w:val="00AD5C4F"/>
    <w:rsid w:val="00AD5EB2"/>
    <w:rsid w:val="00AD61A7"/>
    <w:rsid w:val="00AD63DF"/>
    <w:rsid w:val="00AD6657"/>
    <w:rsid w:val="00AD6A61"/>
    <w:rsid w:val="00AD6C0F"/>
    <w:rsid w:val="00AD6D62"/>
    <w:rsid w:val="00AD70F2"/>
    <w:rsid w:val="00AD73E5"/>
    <w:rsid w:val="00AD749E"/>
    <w:rsid w:val="00AD7A78"/>
    <w:rsid w:val="00AD7FA2"/>
    <w:rsid w:val="00AE05E0"/>
    <w:rsid w:val="00AE062C"/>
    <w:rsid w:val="00AE07A6"/>
    <w:rsid w:val="00AE07E8"/>
    <w:rsid w:val="00AE07EF"/>
    <w:rsid w:val="00AE0C13"/>
    <w:rsid w:val="00AE0C9A"/>
    <w:rsid w:val="00AE0D4F"/>
    <w:rsid w:val="00AE0D57"/>
    <w:rsid w:val="00AE0E19"/>
    <w:rsid w:val="00AE0E36"/>
    <w:rsid w:val="00AE0F2E"/>
    <w:rsid w:val="00AE11C9"/>
    <w:rsid w:val="00AE16BB"/>
    <w:rsid w:val="00AE16E5"/>
    <w:rsid w:val="00AE17D3"/>
    <w:rsid w:val="00AE17D6"/>
    <w:rsid w:val="00AE1A3A"/>
    <w:rsid w:val="00AE1AB3"/>
    <w:rsid w:val="00AE1BF8"/>
    <w:rsid w:val="00AE2108"/>
    <w:rsid w:val="00AE2B81"/>
    <w:rsid w:val="00AE2CDD"/>
    <w:rsid w:val="00AE2F37"/>
    <w:rsid w:val="00AE3318"/>
    <w:rsid w:val="00AE3370"/>
    <w:rsid w:val="00AE338C"/>
    <w:rsid w:val="00AE3475"/>
    <w:rsid w:val="00AE366B"/>
    <w:rsid w:val="00AE38E1"/>
    <w:rsid w:val="00AE391E"/>
    <w:rsid w:val="00AE3BB8"/>
    <w:rsid w:val="00AE3BFF"/>
    <w:rsid w:val="00AE3C91"/>
    <w:rsid w:val="00AE3D2A"/>
    <w:rsid w:val="00AE3F19"/>
    <w:rsid w:val="00AE40C0"/>
    <w:rsid w:val="00AE4204"/>
    <w:rsid w:val="00AE4915"/>
    <w:rsid w:val="00AE4932"/>
    <w:rsid w:val="00AE4ADE"/>
    <w:rsid w:val="00AE513B"/>
    <w:rsid w:val="00AE54BD"/>
    <w:rsid w:val="00AE5749"/>
    <w:rsid w:val="00AE58E8"/>
    <w:rsid w:val="00AE5AA0"/>
    <w:rsid w:val="00AE5EF1"/>
    <w:rsid w:val="00AE60B2"/>
    <w:rsid w:val="00AE60DB"/>
    <w:rsid w:val="00AE614C"/>
    <w:rsid w:val="00AE6BD8"/>
    <w:rsid w:val="00AE6DD6"/>
    <w:rsid w:val="00AE6E92"/>
    <w:rsid w:val="00AE739B"/>
    <w:rsid w:val="00AE73B9"/>
    <w:rsid w:val="00AE74BE"/>
    <w:rsid w:val="00AE77D0"/>
    <w:rsid w:val="00AE7893"/>
    <w:rsid w:val="00AE78B0"/>
    <w:rsid w:val="00AE7A57"/>
    <w:rsid w:val="00AE7AA6"/>
    <w:rsid w:val="00AE7E63"/>
    <w:rsid w:val="00AE7EEC"/>
    <w:rsid w:val="00AE7F54"/>
    <w:rsid w:val="00AE7FF8"/>
    <w:rsid w:val="00AF004A"/>
    <w:rsid w:val="00AF042E"/>
    <w:rsid w:val="00AF0495"/>
    <w:rsid w:val="00AF04CD"/>
    <w:rsid w:val="00AF0675"/>
    <w:rsid w:val="00AF06D3"/>
    <w:rsid w:val="00AF07A1"/>
    <w:rsid w:val="00AF1269"/>
    <w:rsid w:val="00AF19E5"/>
    <w:rsid w:val="00AF1E5B"/>
    <w:rsid w:val="00AF2212"/>
    <w:rsid w:val="00AF23E5"/>
    <w:rsid w:val="00AF242A"/>
    <w:rsid w:val="00AF28A6"/>
    <w:rsid w:val="00AF2D83"/>
    <w:rsid w:val="00AF3042"/>
    <w:rsid w:val="00AF3166"/>
    <w:rsid w:val="00AF3380"/>
    <w:rsid w:val="00AF3CAD"/>
    <w:rsid w:val="00AF3D01"/>
    <w:rsid w:val="00AF4066"/>
    <w:rsid w:val="00AF496D"/>
    <w:rsid w:val="00AF4D92"/>
    <w:rsid w:val="00AF50A2"/>
    <w:rsid w:val="00AF5260"/>
    <w:rsid w:val="00AF599B"/>
    <w:rsid w:val="00AF5A1D"/>
    <w:rsid w:val="00AF5CED"/>
    <w:rsid w:val="00AF5E19"/>
    <w:rsid w:val="00AF5EDC"/>
    <w:rsid w:val="00AF60B0"/>
    <w:rsid w:val="00AF61CC"/>
    <w:rsid w:val="00AF63D8"/>
    <w:rsid w:val="00AF6D6E"/>
    <w:rsid w:val="00AF7007"/>
    <w:rsid w:val="00AF712C"/>
    <w:rsid w:val="00AF7238"/>
    <w:rsid w:val="00AF759B"/>
    <w:rsid w:val="00AF7904"/>
    <w:rsid w:val="00AF796A"/>
    <w:rsid w:val="00AF7AC4"/>
    <w:rsid w:val="00AF7C19"/>
    <w:rsid w:val="00B000B7"/>
    <w:rsid w:val="00B002A9"/>
    <w:rsid w:val="00B00A26"/>
    <w:rsid w:val="00B01357"/>
    <w:rsid w:val="00B01704"/>
    <w:rsid w:val="00B01B7A"/>
    <w:rsid w:val="00B01C26"/>
    <w:rsid w:val="00B01DCC"/>
    <w:rsid w:val="00B01F0F"/>
    <w:rsid w:val="00B023B2"/>
    <w:rsid w:val="00B02512"/>
    <w:rsid w:val="00B026A2"/>
    <w:rsid w:val="00B026A7"/>
    <w:rsid w:val="00B02A24"/>
    <w:rsid w:val="00B02D7B"/>
    <w:rsid w:val="00B0318C"/>
    <w:rsid w:val="00B031EC"/>
    <w:rsid w:val="00B037F7"/>
    <w:rsid w:val="00B03998"/>
    <w:rsid w:val="00B039DD"/>
    <w:rsid w:val="00B03A30"/>
    <w:rsid w:val="00B03CFA"/>
    <w:rsid w:val="00B03E06"/>
    <w:rsid w:val="00B0412F"/>
    <w:rsid w:val="00B04464"/>
    <w:rsid w:val="00B04583"/>
    <w:rsid w:val="00B0487A"/>
    <w:rsid w:val="00B04E25"/>
    <w:rsid w:val="00B0529F"/>
    <w:rsid w:val="00B0593B"/>
    <w:rsid w:val="00B05960"/>
    <w:rsid w:val="00B05A47"/>
    <w:rsid w:val="00B05CD4"/>
    <w:rsid w:val="00B060A6"/>
    <w:rsid w:val="00B063A3"/>
    <w:rsid w:val="00B06451"/>
    <w:rsid w:val="00B06A5B"/>
    <w:rsid w:val="00B06C43"/>
    <w:rsid w:val="00B06FFE"/>
    <w:rsid w:val="00B0745C"/>
    <w:rsid w:val="00B07478"/>
    <w:rsid w:val="00B07567"/>
    <w:rsid w:val="00B07641"/>
    <w:rsid w:val="00B07A84"/>
    <w:rsid w:val="00B101AD"/>
    <w:rsid w:val="00B104BB"/>
    <w:rsid w:val="00B109B4"/>
    <w:rsid w:val="00B10AC3"/>
    <w:rsid w:val="00B10B79"/>
    <w:rsid w:val="00B10EE4"/>
    <w:rsid w:val="00B10F2E"/>
    <w:rsid w:val="00B112AF"/>
    <w:rsid w:val="00B11628"/>
    <w:rsid w:val="00B119C6"/>
    <w:rsid w:val="00B11CEA"/>
    <w:rsid w:val="00B1210A"/>
    <w:rsid w:val="00B1220F"/>
    <w:rsid w:val="00B1227F"/>
    <w:rsid w:val="00B12763"/>
    <w:rsid w:val="00B1281D"/>
    <w:rsid w:val="00B12AA3"/>
    <w:rsid w:val="00B12E6A"/>
    <w:rsid w:val="00B12F97"/>
    <w:rsid w:val="00B13440"/>
    <w:rsid w:val="00B135C6"/>
    <w:rsid w:val="00B13673"/>
    <w:rsid w:val="00B13758"/>
    <w:rsid w:val="00B141AD"/>
    <w:rsid w:val="00B141D7"/>
    <w:rsid w:val="00B14207"/>
    <w:rsid w:val="00B14335"/>
    <w:rsid w:val="00B1449D"/>
    <w:rsid w:val="00B14DDD"/>
    <w:rsid w:val="00B15EAA"/>
    <w:rsid w:val="00B16554"/>
    <w:rsid w:val="00B168F2"/>
    <w:rsid w:val="00B16C20"/>
    <w:rsid w:val="00B17201"/>
    <w:rsid w:val="00B17205"/>
    <w:rsid w:val="00B17442"/>
    <w:rsid w:val="00B1754A"/>
    <w:rsid w:val="00B17DD1"/>
    <w:rsid w:val="00B20284"/>
    <w:rsid w:val="00B20B2D"/>
    <w:rsid w:val="00B20CB9"/>
    <w:rsid w:val="00B20CF6"/>
    <w:rsid w:val="00B21155"/>
    <w:rsid w:val="00B2131E"/>
    <w:rsid w:val="00B21323"/>
    <w:rsid w:val="00B213F7"/>
    <w:rsid w:val="00B21AA6"/>
    <w:rsid w:val="00B21BA0"/>
    <w:rsid w:val="00B22205"/>
    <w:rsid w:val="00B2266E"/>
    <w:rsid w:val="00B22729"/>
    <w:rsid w:val="00B2288E"/>
    <w:rsid w:val="00B229AE"/>
    <w:rsid w:val="00B22A6B"/>
    <w:rsid w:val="00B22C6F"/>
    <w:rsid w:val="00B22DE5"/>
    <w:rsid w:val="00B23422"/>
    <w:rsid w:val="00B2344D"/>
    <w:rsid w:val="00B23693"/>
    <w:rsid w:val="00B238B0"/>
    <w:rsid w:val="00B23ABC"/>
    <w:rsid w:val="00B23C2D"/>
    <w:rsid w:val="00B24167"/>
    <w:rsid w:val="00B243C5"/>
    <w:rsid w:val="00B24A68"/>
    <w:rsid w:val="00B24C5C"/>
    <w:rsid w:val="00B24E28"/>
    <w:rsid w:val="00B25405"/>
    <w:rsid w:val="00B25D36"/>
    <w:rsid w:val="00B25EE0"/>
    <w:rsid w:val="00B26021"/>
    <w:rsid w:val="00B2604A"/>
    <w:rsid w:val="00B263B6"/>
    <w:rsid w:val="00B26625"/>
    <w:rsid w:val="00B267AA"/>
    <w:rsid w:val="00B26C2B"/>
    <w:rsid w:val="00B26CE4"/>
    <w:rsid w:val="00B270BF"/>
    <w:rsid w:val="00B27411"/>
    <w:rsid w:val="00B27540"/>
    <w:rsid w:val="00B27861"/>
    <w:rsid w:val="00B2789F"/>
    <w:rsid w:val="00B27B9F"/>
    <w:rsid w:val="00B27EF6"/>
    <w:rsid w:val="00B30049"/>
    <w:rsid w:val="00B302FF"/>
    <w:rsid w:val="00B304AC"/>
    <w:rsid w:val="00B30BED"/>
    <w:rsid w:val="00B318A7"/>
    <w:rsid w:val="00B31931"/>
    <w:rsid w:val="00B31A8F"/>
    <w:rsid w:val="00B31DC7"/>
    <w:rsid w:val="00B3217F"/>
    <w:rsid w:val="00B3286A"/>
    <w:rsid w:val="00B32A0D"/>
    <w:rsid w:val="00B32BA9"/>
    <w:rsid w:val="00B32C2E"/>
    <w:rsid w:val="00B330E8"/>
    <w:rsid w:val="00B333FA"/>
    <w:rsid w:val="00B33403"/>
    <w:rsid w:val="00B336FE"/>
    <w:rsid w:val="00B33903"/>
    <w:rsid w:val="00B33A21"/>
    <w:rsid w:val="00B33AE5"/>
    <w:rsid w:val="00B34222"/>
    <w:rsid w:val="00B3470B"/>
    <w:rsid w:val="00B34784"/>
    <w:rsid w:val="00B3488D"/>
    <w:rsid w:val="00B34908"/>
    <w:rsid w:val="00B34C6E"/>
    <w:rsid w:val="00B34E89"/>
    <w:rsid w:val="00B350B9"/>
    <w:rsid w:val="00B356C8"/>
    <w:rsid w:val="00B3572F"/>
    <w:rsid w:val="00B357FA"/>
    <w:rsid w:val="00B35880"/>
    <w:rsid w:val="00B35A27"/>
    <w:rsid w:val="00B35B0B"/>
    <w:rsid w:val="00B35B68"/>
    <w:rsid w:val="00B3606B"/>
    <w:rsid w:val="00B36182"/>
    <w:rsid w:val="00B3646D"/>
    <w:rsid w:val="00B36687"/>
    <w:rsid w:val="00B36A8A"/>
    <w:rsid w:val="00B37143"/>
    <w:rsid w:val="00B371B7"/>
    <w:rsid w:val="00B37489"/>
    <w:rsid w:val="00B37593"/>
    <w:rsid w:val="00B376E9"/>
    <w:rsid w:val="00B37ABC"/>
    <w:rsid w:val="00B37C49"/>
    <w:rsid w:val="00B37CE5"/>
    <w:rsid w:val="00B4018E"/>
    <w:rsid w:val="00B403D3"/>
    <w:rsid w:val="00B40554"/>
    <w:rsid w:val="00B4068B"/>
    <w:rsid w:val="00B40CC0"/>
    <w:rsid w:val="00B41037"/>
    <w:rsid w:val="00B41373"/>
    <w:rsid w:val="00B4169E"/>
    <w:rsid w:val="00B41771"/>
    <w:rsid w:val="00B42129"/>
    <w:rsid w:val="00B4230B"/>
    <w:rsid w:val="00B423F9"/>
    <w:rsid w:val="00B42653"/>
    <w:rsid w:val="00B427C4"/>
    <w:rsid w:val="00B429F8"/>
    <w:rsid w:val="00B42CC0"/>
    <w:rsid w:val="00B42D32"/>
    <w:rsid w:val="00B42D6B"/>
    <w:rsid w:val="00B42F38"/>
    <w:rsid w:val="00B42FD2"/>
    <w:rsid w:val="00B43436"/>
    <w:rsid w:val="00B43AAC"/>
    <w:rsid w:val="00B43FCC"/>
    <w:rsid w:val="00B448B9"/>
    <w:rsid w:val="00B450F6"/>
    <w:rsid w:val="00B451C2"/>
    <w:rsid w:val="00B4521A"/>
    <w:rsid w:val="00B453C0"/>
    <w:rsid w:val="00B457DD"/>
    <w:rsid w:val="00B45BA7"/>
    <w:rsid w:val="00B460E6"/>
    <w:rsid w:val="00B4654A"/>
    <w:rsid w:val="00B46AFC"/>
    <w:rsid w:val="00B46C58"/>
    <w:rsid w:val="00B46DD6"/>
    <w:rsid w:val="00B46DEB"/>
    <w:rsid w:val="00B4702E"/>
    <w:rsid w:val="00B47432"/>
    <w:rsid w:val="00B47491"/>
    <w:rsid w:val="00B47AD1"/>
    <w:rsid w:val="00B47B05"/>
    <w:rsid w:val="00B47E47"/>
    <w:rsid w:val="00B504E7"/>
    <w:rsid w:val="00B505DA"/>
    <w:rsid w:val="00B5063F"/>
    <w:rsid w:val="00B50711"/>
    <w:rsid w:val="00B50953"/>
    <w:rsid w:val="00B50A8B"/>
    <w:rsid w:val="00B50ABA"/>
    <w:rsid w:val="00B50B4F"/>
    <w:rsid w:val="00B50D3E"/>
    <w:rsid w:val="00B50D51"/>
    <w:rsid w:val="00B50EFB"/>
    <w:rsid w:val="00B5112F"/>
    <w:rsid w:val="00B519F3"/>
    <w:rsid w:val="00B519F6"/>
    <w:rsid w:val="00B51F43"/>
    <w:rsid w:val="00B51F9B"/>
    <w:rsid w:val="00B52302"/>
    <w:rsid w:val="00B523C3"/>
    <w:rsid w:val="00B526D3"/>
    <w:rsid w:val="00B5298B"/>
    <w:rsid w:val="00B52A10"/>
    <w:rsid w:val="00B52B06"/>
    <w:rsid w:val="00B52BBA"/>
    <w:rsid w:val="00B53302"/>
    <w:rsid w:val="00B53308"/>
    <w:rsid w:val="00B537BC"/>
    <w:rsid w:val="00B53C9C"/>
    <w:rsid w:val="00B53FBF"/>
    <w:rsid w:val="00B55124"/>
    <w:rsid w:val="00B5533C"/>
    <w:rsid w:val="00B55346"/>
    <w:rsid w:val="00B55366"/>
    <w:rsid w:val="00B5537F"/>
    <w:rsid w:val="00B55434"/>
    <w:rsid w:val="00B55549"/>
    <w:rsid w:val="00B55A8F"/>
    <w:rsid w:val="00B55BE2"/>
    <w:rsid w:val="00B55F2A"/>
    <w:rsid w:val="00B56056"/>
    <w:rsid w:val="00B569FE"/>
    <w:rsid w:val="00B56E9B"/>
    <w:rsid w:val="00B56EAC"/>
    <w:rsid w:val="00B5729E"/>
    <w:rsid w:val="00B573B9"/>
    <w:rsid w:val="00B574B4"/>
    <w:rsid w:val="00B578D8"/>
    <w:rsid w:val="00B57BA2"/>
    <w:rsid w:val="00B57D27"/>
    <w:rsid w:val="00B60145"/>
    <w:rsid w:val="00B60209"/>
    <w:rsid w:val="00B60504"/>
    <w:rsid w:val="00B6053A"/>
    <w:rsid w:val="00B6087B"/>
    <w:rsid w:val="00B6096E"/>
    <w:rsid w:val="00B60AD3"/>
    <w:rsid w:val="00B60D19"/>
    <w:rsid w:val="00B60DD1"/>
    <w:rsid w:val="00B60E98"/>
    <w:rsid w:val="00B612BB"/>
    <w:rsid w:val="00B61305"/>
    <w:rsid w:val="00B61457"/>
    <w:rsid w:val="00B61B94"/>
    <w:rsid w:val="00B61CD1"/>
    <w:rsid w:val="00B62188"/>
    <w:rsid w:val="00B62368"/>
    <w:rsid w:val="00B62654"/>
    <w:rsid w:val="00B626FE"/>
    <w:rsid w:val="00B636B3"/>
    <w:rsid w:val="00B638F6"/>
    <w:rsid w:val="00B63C95"/>
    <w:rsid w:val="00B64578"/>
    <w:rsid w:val="00B64805"/>
    <w:rsid w:val="00B6487A"/>
    <w:rsid w:val="00B648FF"/>
    <w:rsid w:val="00B6495F"/>
    <w:rsid w:val="00B64971"/>
    <w:rsid w:val="00B649D9"/>
    <w:rsid w:val="00B64E45"/>
    <w:rsid w:val="00B650A9"/>
    <w:rsid w:val="00B651EB"/>
    <w:rsid w:val="00B6535D"/>
    <w:rsid w:val="00B659FD"/>
    <w:rsid w:val="00B65D70"/>
    <w:rsid w:val="00B65D92"/>
    <w:rsid w:val="00B65E03"/>
    <w:rsid w:val="00B6622F"/>
    <w:rsid w:val="00B662D5"/>
    <w:rsid w:val="00B663A5"/>
    <w:rsid w:val="00B668DA"/>
    <w:rsid w:val="00B66919"/>
    <w:rsid w:val="00B66A9E"/>
    <w:rsid w:val="00B66B6A"/>
    <w:rsid w:val="00B66D2F"/>
    <w:rsid w:val="00B670B9"/>
    <w:rsid w:val="00B6714E"/>
    <w:rsid w:val="00B672E3"/>
    <w:rsid w:val="00B67609"/>
    <w:rsid w:val="00B67CA2"/>
    <w:rsid w:val="00B67D86"/>
    <w:rsid w:val="00B67DE0"/>
    <w:rsid w:val="00B70131"/>
    <w:rsid w:val="00B707F7"/>
    <w:rsid w:val="00B70A5F"/>
    <w:rsid w:val="00B710F3"/>
    <w:rsid w:val="00B713D1"/>
    <w:rsid w:val="00B714D6"/>
    <w:rsid w:val="00B71796"/>
    <w:rsid w:val="00B71A24"/>
    <w:rsid w:val="00B71AA5"/>
    <w:rsid w:val="00B72306"/>
    <w:rsid w:val="00B72346"/>
    <w:rsid w:val="00B7257B"/>
    <w:rsid w:val="00B72BE3"/>
    <w:rsid w:val="00B72F4E"/>
    <w:rsid w:val="00B732D7"/>
    <w:rsid w:val="00B733B4"/>
    <w:rsid w:val="00B73A40"/>
    <w:rsid w:val="00B73BC3"/>
    <w:rsid w:val="00B744F1"/>
    <w:rsid w:val="00B746A7"/>
    <w:rsid w:val="00B7486E"/>
    <w:rsid w:val="00B74DD3"/>
    <w:rsid w:val="00B74FBF"/>
    <w:rsid w:val="00B75060"/>
    <w:rsid w:val="00B75079"/>
    <w:rsid w:val="00B751B2"/>
    <w:rsid w:val="00B7534E"/>
    <w:rsid w:val="00B7543A"/>
    <w:rsid w:val="00B7545C"/>
    <w:rsid w:val="00B75564"/>
    <w:rsid w:val="00B758B8"/>
    <w:rsid w:val="00B758DD"/>
    <w:rsid w:val="00B75ABF"/>
    <w:rsid w:val="00B75EF5"/>
    <w:rsid w:val="00B76566"/>
    <w:rsid w:val="00B76BE0"/>
    <w:rsid w:val="00B76D90"/>
    <w:rsid w:val="00B76DBE"/>
    <w:rsid w:val="00B76F3E"/>
    <w:rsid w:val="00B77B1B"/>
    <w:rsid w:val="00B77EBE"/>
    <w:rsid w:val="00B80184"/>
    <w:rsid w:val="00B801BD"/>
    <w:rsid w:val="00B80716"/>
    <w:rsid w:val="00B80774"/>
    <w:rsid w:val="00B80A62"/>
    <w:rsid w:val="00B80B70"/>
    <w:rsid w:val="00B81236"/>
    <w:rsid w:val="00B812E5"/>
    <w:rsid w:val="00B8141E"/>
    <w:rsid w:val="00B81624"/>
    <w:rsid w:val="00B81A90"/>
    <w:rsid w:val="00B81ACD"/>
    <w:rsid w:val="00B81ACF"/>
    <w:rsid w:val="00B81AF7"/>
    <w:rsid w:val="00B820AD"/>
    <w:rsid w:val="00B8275A"/>
    <w:rsid w:val="00B8275F"/>
    <w:rsid w:val="00B82A09"/>
    <w:rsid w:val="00B82A12"/>
    <w:rsid w:val="00B82CD6"/>
    <w:rsid w:val="00B8319D"/>
    <w:rsid w:val="00B83706"/>
    <w:rsid w:val="00B83C15"/>
    <w:rsid w:val="00B84287"/>
    <w:rsid w:val="00B84974"/>
    <w:rsid w:val="00B84994"/>
    <w:rsid w:val="00B84A24"/>
    <w:rsid w:val="00B84B3F"/>
    <w:rsid w:val="00B84D64"/>
    <w:rsid w:val="00B84FFE"/>
    <w:rsid w:val="00B85124"/>
    <w:rsid w:val="00B8516B"/>
    <w:rsid w:val="00B85465"/>
    <w:rsid w:val="00B854AF"/>
    <w:rsid w:val="00B85BF6"/>
    <w:rsid w:val="00B86449"/>
    <w:rsid w:val="00B86C68"/>
    <w:rsid w:val="00B86E6D"/>
    <w:rsid w:val="00B86F1A"/>
    <w:rsid w:val="00B87158"/>
    <w:rsid w:val="00B8739E"/>
    <w:rsid w:val="00B87650"/>
    <w:rsid w:val="00B87D40"/>
    <w:rsid w:val="00B87DEF"/>
    <w:rsid w:val="00B87E53"/>
    <w:rsid w:val="00B87EED"/>
    <w:rsid w:val="00B87FAA"/>
    <w:rsid w:val="00B9011D"/>
    <w:rsid w:val="00B90198"/>
    <w:rsid w:val="00B9019F"/>
    <w:rsid w:val="00B90265"/>
    <w:rsid w:val="00B907CD"/>
    <w:rsid w:val="00B90842"/>
    <w:rsid w:val="00B90ADD"/>
    <w:rsid w:val="00B91002"/>
    <w:rsid w:val="00B911F2"/>
    <w:rsid w:val="00B9142F"/>
    <w:rsid w:val="00B91AF2"/>
    <w:rsid w:val="00B91CB5"/>
    <w:rsid w:val="00B91F15"/>
    <w:rsid w:val="00B91F38"/>
    <w:rsid w:val="00B92355"/>
    <w:rsid w:val="00B924DF"/>
    <w:rsid w:val="00B9301A"/>
    <w:rsid w:val="00B93513"/>
    <w:rsid w:val="00B93854"/>
    <w:rsid w:val="00B93945"/>
    <w:rsid w:val="00B93978"/>
    <w:rsid w:val="00B93A00"/>
    <w:rsid w:val="00B93EFC"/>
    <w:rsid w:val="00B94061"/>
    <w:rsid w:val="00B9415A"/>
    <w:rsid w:val="00B941BB"/>
    <w:rsid w:val="00B94326"/>
    <w:rsid w:val="00B94594"/>
    <w:rsid w:val="00B94623"/>
    <w:rsid w:val="00B94648"/>
    <w:rsid w:val="00B94650"/>
    <w:rsid w:val="00B94769"/>
    <w:rsid w:val="00B94784"/>
    <w:rsid w:val="00B9492E"/>
    <w:rsid w:val="00B9495D"/>
    <w:rsid w:val="00B94A4E"/>
    <w:rsid w:val="00B94F99"/>
    <w:rsid w:val="00B95561"/>
    <w:rsid w:val="00B957D2"/>
    <w:rsid w:val="00B959D8"/>
    <w:rsid w:val="00B95FB1"/>
    <w:rsid w:val="00B962CD"/>
    <w:rsid w:val="00B965D8"/>
    <w:rsid w:val="00B9661E"/>
    <w:rsid w:val="00B9674A"/>
    <w:rsid w:val="00B967A7"/>
    <w:rsid w:val="00B96A02"/>
    <w:rsid w:val="00B96C0F"/>
    <w:rsid w:val="00B96ECF"/>
    <w:rsid w:val="00B974CD"/>
    <w:rsid w:val="00B97647"/>
    <w:rsid w:val="00B97826"/>
    <w:rsid w:val="00B97A97"/>
    <w:rsid w:val="00B97BC3"/>
    <w:rsid w:val="00B97CCA"/>
    <w:rsid w:val="00B97DDB"/>
    <w:rsid w:val="00BA0129"/>
    <w:rsid w:val="00BA0356"/>
    <w:rsid w:val="00BA0394"/>
    <w:rsid w:val="00BA03F5"/>
    <w:rsid w:val="00BA0430"/>
    <w:rsid w:val="00BA04CB"/>
    <w:rsid w:val="00BA09A7"/>
    <w:rsid w:val="00BA0AB1"/>
    <w:rsid w:val="00BA11E5"/>
    <w:rsid w:val="00BA14EB"/>
    <w:rsid w:val="00BA15F0"/>
    <w:rsid w:val="00BA168E"/>
    <w:rsid w:val="00BA1C46"/>
    <w:rsid w:val="00BA1F77"/>
    <w:rsid w:val="00BA1FA5"/>
    <w:rsid w:val="00BA24FE"/>
    <w:rsid w:val="00BA2781"/>
    <w:rsid w:val="00BA2962"/>
    <w:rsid w:val="00BA29B1"/>
    <w:rsid w:val="00BA2AE6"/>
    <w:rsid w:val="00BA2AF3"/>
    <w:rsid w:val="00BA2BFD"/>
    <w:rsid w:val="00BA2CCE"/>
    <w:rsid w:val="00BA2D65"/>
    <w:rsid w:val="00BA31C2"/>
    <w:rsid w:val="00BA35C7"/>
    <w:rsid w:val="00BA3BB3"/>
    <w:rsid w:val="00BA3D16"/>
    <w:rsid w:val="00BA3D5A"/>
    <w:rsid w:val="00BA419E"/>
    <w:rsid w:val="00BA43B4"/>
    <w:rsid w:val="00BA43EC"/>
    <w:rsid w:val="00BA45D1"/>
    <w:rsid w:val="00BA551D"/>
    <w:rsid w:val="00BA5548"/>
    <w:rsid w:val="00BA5F71"/>
    <w:rsid w:val="00BA64F5"/>
    <w:rsid w:val="00BA665E"/>
    <w:rsid w:val="00BA6720"/>
    <w:rsid w:val="00BA6A3E"/>
    <w:rsid w:val="00BA6AEC"/>
    <w:rsid w:val="00BA6C2A"/>
    <w:rsid w:val="00BA70DE"/>
    <w:rsid w:val="00BA72E5"/>
    <w:rsid w:val="00BA7479"/>
    <w:rsid w:val="00BA7518"/>
    <w:rsid w:val="00BA7BD3"/>
    <w:rsid w:val="00BA7C80"/>
    <w:rsid w:val="00BA7E14"/>
    <w:rsid w:val="00BB023A"/>
    <w:rsid w:val="00BB0547"/>
    <w:rsid w:val="00BB05BB"/>
    <w:rsid w:val="00BB06EE"/>
    <w:rsid w:val="00BB0B25"/>
    <w:rsid w:val="00BB0E73"/>
    <w:rsid w:val="00BB1220"/>
    <w:rsid w:val="00BB128B"/>
    <w:rsid w:val="00BB1996"/>
    <w:rsid w:val="00BB1A6C"/>
    <w:rsid w:val="00BB2041"/>
    <w:rsid w:val="00BB20EC"/>
    <w:rsid w:val="00BB230E"/>
    <w:rsid w:val="00BB2482"/>
    <w:rsid w:val="00BB24A6"/>
    <w:rsid w:val="00BB252D"/>
    <w:rsid w:val="00BB271E"/>
    <w:rsid w:val="00BB28BF"/>
    <w:rsid w:val="00BB2993"/>
    <w:rsid w:val="00BB2AAD"/>
    <w:rsid w:val="00BB2AD1"/>
    <w:rsid w:val="00BB2D0A"/>
    <w:rsid w:val="00BB2F72"/>
    <w:rsid w:val="00BB32D5"/>
    <w:rsid w:val="00BB32ED"/>
    <w:rsid w:val="00BB3644"/>
    <w:rsid w:val="00BB3869"/>
    <w:rsid w:val="00BB38FC"/>
    <w:rsid w:val="00BB393F"/>
    <w:rsid w:val="00BB3CA6"/>
    <w:rsid w:val="00BB3DD9"/>
    <w:rsid w:val="00BB4E53"/>
    <w:rsid w:val="00BB4F26"/>
    <w:rsid w:val="00BB5608"/>
    <w:rsid w:val="00BB57AC"/>
    <w:rsid w:val="00BB5855"/>
    <w:rsid w:val="00BB59C4"/>
    <w:rsid w:val="00BB5B5F"/>
    <w:rsid w:val="00BB5BD3"/>
    <w:rsid w:val="00BB5D0E"/>
    <w:rsid w:val="00BB5D60"/>
    <w:rsid w:val="00BB5ED9"/>
    <w:rsid w:val="00BB5F7E"/>
    <w:rsid w:val="00BB5FF0"/>
    <w:rsid w:val="00BB605E"/>
    <w:rsid w:val="00BB60EF"/>
    <w:rsid w:val="00BB6323"/>
    <w:rsid w:val="00BB6E2E"/>
    <w:rsid w:val="00BB6F37"/>
    <w:rsid w:val="00BB714F"/>
    <w:rsid w:val="00BB7686"/>
    <w:rsid w:val="00BB778E"/>
    <w:rsid w:val="00BB7BCA"/>
    <w:rsid w:val="00BB7F38"/>
    <w:rsid w:val="00BC00C5"/>
    <w:rsid w:val="00BC0581"/>
    <w:rsid w:val="00BC058A"/>
    <w:rsid w:val="00BC0641"/>
    <w:rsid w:val="00BC06A4"/>
    <w:rsid w:val="00BC0835"/>
    <w:rsid w:val="00BC0A84"/>
    <w:rsid w:val="00BC0E3B"/>
    <w:rsid w:val="00BC10D0"/>
    <w:rsid w:val="00BC10F2"/>
    <w:rsid w:val="00BC1125"/>
    <w:rsid w:val="00BC12E8"/>
    <w:rsid w:val="00BC1466"/>
    <w:rsid w:val="00BC1875"/>
    <w:rsid w:val="00BC1955"/>
    <w:rsid w:val="00BC19F2"/>
    <w:rsid w:val="00BC1C4F"/>
    <w:rsid w:val="00BC1DB7"/>
    <w:rsid w:val="00BC1E74"/>
    <w:rsid w:val="00BC1EB9"/>
    <w:rsid w:val="00BC208D"/>
    <w:rsid w:val="00BC2350"/>
    <w:rsid w:val="00BC242A"/>
    <w:rsid w:val="00BC2541"/>
    <w:rsid w:val="00BC281F"/>
    <w:rsid w:val="00BC2986"/>
    <w:rsid w:val="00BC299F"/>
    <w:rsid w:val="00BC2C86"/>
    <w:rsid w:val="00BC3182"/>
    <w:rsid w:val="00BC32C1"/>
    <w:rsid w:val="00BC32E1"/>
    <w:rsid w:val="00BC3532"/>
    <w:rsid w:val="00BC3658"/>
    <w:rsid w:val="00BC3763"/>
    <w:rsid w:val="00BC3A57"/>
    <w:rsid w:val="00BC41C7"/>
    <w:rsid w:val="00BC41EB"/>
    <w:rsid w:val="00BC43DF"/>
    <w:rsid w:val="00BC4785"/>
    <w:rsid w:val="00BC4992"/>
    <w:rsid w:val="00BC49EC"/>
    <w:rsid w:val="00BC4AAD"/>
    <w:rsid w:val="00BC4D62"/>
    <w:rsid w:val="00BC520E"/>
    <w:rsid w:val="00BC5276"/>
    <w:rsid w:val="00BC536A"/>
    <w:rsid w:val="00BC565D"/>
    <w:rsid w:val="00BC59E3"/>
    <w:rsid w:val="00BC625C"/>
    <w:rsid w:val="00BC62AD"/>
    <w:rsid w:val="00BC631E"/>
    <w:rsid w:val="00BC654B"/>
    <w:rsid w:val="00BC684C"/>
    <w:rsid w:val="00BC6B9B"/>
    <w:rsid w:val="00BC79CA"/>
    <w:rsid w:val="00BC7C9D"/>
    <w:rsid w:val="00BD02AD"/>
    <w:rsid w:val="00BD0355"/>
    <w:rsid w:val="00BD05D5"/>
    <w:rsid w:val="00BD068C"/>
    <w:rsid w:val="00BD074E"/>
    <w:rsid w:val="00BD08BC"/>
    <w:rsid w:val="00BD09D8"/>
    <w:rsid w:val="00BD0A73"/>
    <w:rsid w:val="00BD0EA8"/>
    <w:rsid w:val="00BD1192"/>
    <w:rsid w:val="00BD15F6"/>
    <w:rsid w:val="00BD18A8"/>
    <w:rsid w:val="00BD1EBF"/>
    <w:rsid w:val="00BD1F0C"/>
    <w:rsid w:val="00BD2329"/>
    <w:rsid w:val="00BD285A"/>
    <w:rsid w:val="00BD2893"/>
    <w:rsid w:val="00BD2CB1"/>
    <w:rsid w:val="00BD2CD3"/>
    <w:rsid w:val="00BD3281"/>
    <w:rsid w:val="00BD3327"/>
    <w:rsid w:val="00BD34D8"/>
    <w:rsid w:val="00BD3C45"/>
    <w:rsid w:val="00BD3DF3"/>
    <w:rsid w:val="00BD3F61"/>
    <w:rsid w:val="00BD4129"/>
    <w:rsid w:val="00BD41DC"/>
    <w:rsid w:val="00BD4305"/>
    <w:rsid w:val="00BD4462"/>
    <w:rsid w:val="00BD4B1A"/>
    <w:rsid w:val="00BD4FD3"/>
    <w:rsid w:val="00BD50D6"/>
    <w:rsid w:val="00BD5322"/>
    <w:rsid w:val="00BD54D4"/>
    <w:rsid w:val="00BD5779"/>
    <w:rsid w:val="00BD587E"/>
    <w:rsid w:val="00BD5DD8"/>
    <w:rsid w:val="00BD60C1"/>
    <w:rsid w:val="00BD6AD1"/>
    <w:rsid w:val="00BD6D31"/>
    <w:rsid w:val="00BD7007"/>
    <w:rsid w:val="00BD7038"/>
    <w:rsid w:val="00BD756A"/>
    <w:rsid w:val="00BD7681"/>
    <w:rsid w:val="00BD7AA9"/>
    <w:rsid w:val="00BD7AF2"/>
    <w:rsid w:val="00BD7B01"/>
    <w:rsid w:val="00BE0555"/>
    <w:rsid w:val="00BE056C"/>
    <w:rsid w:val="00BE0CDD"/>
    <w:rsid w:val="00BE0DE7"/>
    <w:rsid w:val="00BE0E9E"/>
    <w:rsid w:val="00BE10B6"/>
    <w:rsid w:val="00BE122B"/>
    <w:rsid w:val="00BE12A5"/>
    <w:rsid w:val="00BE13C3"/>
    <w:rsid w:val="00BE15BB"/>
    <w:rsid w:val="00BE17F2"/>
    <w:rsid w:val="00BE1A15"/>
    <w:rsid w:val="00BE214B"/>
    <w:rsid w:val="00BE2358"/>
    <w:rsid w:val="00BE2675"/>
    <w:rsid w:val="00BE281A"/>
    <w:rsid w:val="00BE298A"/>
    <w:rsid w:val="00BE2AC3"/>
    <w:rsid w:val="00BE2B19"/>
    <w:rsid w:val="00BE2B5D"/>
    <w:rsid w:val="00BE2D29"/>
    <w:rsid w:val="00BE2D8B"/>
    <w:rsid w:val="00BE332C"/>
    <w:rsid w:val="00BE3421"/>
    <w:rsid w:val="00BE38DD"/>
    <w:rsid w:val="00BE38E3"/>
    <w:rsid w:val="00BE3AC4"/>
    <w:rsid w:val="00BE3B38"/>
    <w:rsid w:val="00BE3EA0"/>
    <w:rsid w:val="00BE3F0D"/>
    <w:rsid w:val="00BE41B6"/>
    <w:rsid w:val="00BE42A0"/>
    <w:rsid w:val="00BE436E"/>
    <w:rsid w:val="00BE468C"/>
    <w:rsid w:val="00BE472A"/>
    <w:rsid w:val="00BE489C"/>
    <w:rsid w:val="00BE4B44"/>
    <w:rsid w:val="00BE4BE0"/>
    <w:rsid w:val="00BE4C34"/>
    <w:rsid w:val="00BE4D19"/>
    <w:rsid w:val="00BE4F96"/>
    <w:rsid w:val="00BE5166"/>
    <w:rsid w:val="00BE51F1"/>
    <w:rsid w:val="00BE5A95"/>
    <w:rsid w:val="00BE614C"/>
    <w:rsid w:val="00BE6151"/>
    <w:rsid w:val="00BE617A"/>
    <w:rsid w:val="00BE653E"/>
    <w:rsid w:val="00BE6575"/>
    <w:rsid w:val="00BE6981"/>
    <w:rsid w:val="00BE6D03"/>
    <w:rsid w:val="00BE6DA9"/>
    <w:rsid w:val="00BE6FE5"/>
    <w:rsid w:val="00BE7297"/>
    <w:rsid w:val="00BE72AC"/>
    <w:rsid w:val="00BE75E5"/>
    <w:rsid w:val="00BE75F5"/>
    <w:rsid w:val="00BE78D1"/>
    <w:rsid w:val="00BE79B0"/>
    <w:rsid w:val="00BE7A16"/>
    <w:rsid w:val="00BE7B38"/>
    <w:rsid w:val="00BE7B87"/>
    <w:rsid w:val="00BEB8A2"/>
    <w:rsid w:val="00BF003D"/>
    <w:rsid w:val="00BF01E1"/>
    <w:rsid w:val="00BF04FA"/>
    <w:rsid w:val="00BF05AF"/>
    <w:rsid w:val="00BF061C"/>
    <w:rsid w:val="00BF0638"/>
    <w:rsid w:val="00BF071D"/>
    <w:rsid w:val="00BF0BD6"/>
    <w:rsid w:val="00BF0E4D"/>
    <w:rsid w:val="00BF0FD4"/>
    <w:rsid w:val="00BF1228"/>
    <w:rsid w:val="00BF1490"/>
    <w:rsid w:val="00BF1504"/>
    <w:rsid w:val="00BF175C"/>
    <w:rsid w:val="00BF18B1"/>
    <w:rsid w:val="00BF1ADB"/>
    <w:rsid w:val="00BF1BF5"/>
    <w:rsid w:val="00BF1D28"/>
    <w:rsid w:val="00BF1D38"/>
    <w:rsid w:val="00BF1DF7"/>
    <w:rsid w:val="00BF22D4"/>
    <w:rsid w:val="00BF242C"/>
    <w:rsid w:val="00BF25B4"/>
    <w:rsid w:val="00BF2783"/>
    <w:rsid w:val="00BF2AB8"/>
    <w:rsid w:val="00BF309B"/>
    <w:rsid w:val="00BF3228"/>
    <w:rsid w:val="00BF34D2"/>
    <w:rsid w:val="00BF383A"/>
    <w:rsid w:val="00BF3FA2"/>
    <w:rsid w:val="00BF4082"/>
    <w:rsid w:val="00BF4171"/>
    <w:rsid w:val="00BF4448"/>
    <w:rsid w:val="00BF46B0"/>
    <w:rsid w:val="00BF47EE"/>
    <w:rsid w:val="00BF49BF"/>
    <w:rsid w:val="00BF4B45"/>
    <w:rsid w:val="00BF4BF1"/>
    <w:rsid w:val="00BF4C59"/>
    <w:rsid w:val="00BF4F6B"/>
    <w:rsid w:val="00BF538D"/>
    <w:rsid w:val="00BF543B"/>
    <w:rsid w:val="00BF5462"/>
    <w:rsid w:val="00BF549A"/>
    <w:rsid w:val="00BF54D4"/>
    <w:rsid w:val="00BF581E"/>
    <w:rsid w:val="00BF588F"/>
    <w:rsid w:val="00BF5C41"/>
    <w:rsid w:val="00BF5EF3"/>
    <w:rsid w:val="00BF68EA"/>
    <w:rsid w:val="00BF6DE1"/>
    <w:rsid w:val="00BF6F66"/>
    <w:rsid w:val="00BF71B6"/>
    <w:rsid w:val="00BF724A"/>
    <w:rsid w:val="00BF7676"/>
    <w:rsid w:val="00BF77C1"/>
    <w:rsid w:val="00BF7847"/>
    <w:rsid w:val="00BF7D52"/>
    <w:rsid w:val="00BF7FD6"/>
    <w:rsid w:val="00C0034C"/>
    <w:rsid w:val="00C00723"/>
    <w:rsid w:val="00C00AAC"/>
    <w:rsid w:val="00C01584"/>
    <w:rsid w:val="00C015B6"/>
    <w:rsid w:val="00C01865"/>
    <w:rsid w:val="00C0198A"/>
    <w:rsid w:val="00C01E68"/>
    <w:rsid w:val="00C01FDD"/>
    <w:rsid w:val="00C0245E"/>
    <w:rsid w:val="00C025AC"/>
    <w:rsid w:val="00C02BCA"/>
    <w:rsid w:val="00C02D2D"/>
    <w:rsid w:val="00C02E2A"/>
    <w:rsid w:val="00C03077"/>
    <w:rsid w:val="00C031CA"/>
    <w:rsid w:val="00C033FC"/>
    <w:rsid w:val="00C035A9"/>
    <w:rsid w:val="00C03646"/>
    <w:rsid w:val="00C0389D"/>
    <w:rsid w:val="00C03BC7"/>
    <w:rsid w:val="00C03C8A"/>
    <w:rsid w:val="00C043A9"/>
    <w:rsid w:val="00C046C1"/>
    <w:rsid w:val="00C047CF"/>
    <w:rsid w:val="00C04BC1"/>
    <w:rsid w:val="00C04D5C"/>
    <w:rsid w:val="00C04DBC"/>
    <w:rsid w:val="00C04E25"/>
    <w:rsid w:val="00C04F93"/>
    <w:rsid w:val="00C05B4B"/>
    <w:rsid w:val="00C05C9E"/>
    <w:rsid w:val="00C05F09"/>
    <w:rsid w:val="00C0622D"/>
    <w:rsid w:val="00C0627A"/>
    <w:rsid w:val="00C06304"/>
    <w:rsid w:val="00C06708"/>
    <w:rsid w:val="00C068D9"/>
    <w:rsid w:val="00C06BC1"/>
    <w:rsid w:val="00C06BD8"/>
    <w:rsid w:val="00C06D05"/>
    <w:rsid w:val="00C06E6D"/>
    <w:rsid w:val="00C06F52"/>
    <w:rsid w:val="00C0702B"/>
    <w:rsid w:val="00C07480"/>
    <w:rsid w:val="00C074E4"/>
    <w:rsid w:val="00C074EF"/>
    <w:rsid w:val="00C07935"/>
    <w:rsid w:val="00C079E8"/>
    <w:rsid w:val="00C07D76"/>
    <w:rsid w:val="00C07DF2"/>
    <w:rsid w:val="00C104AF"/>
    <w:rsid w:val="00C105EE"/>
    <w:rsid w:val="00C106C0"/>
    <w:rsid w:val="00C10751"/>
    <w:rsid w:val="00C108F8"/>
    <w:rsid w:val="00C11065"/>
    <w:rsid w:val="00C11332"/>
    <w:rsid w:val="00C11717"/>
    <w:rsid w:val="00C11751"/>
    <w:rsid w:val="00C11823"/>
    <w:rsid w:val="00C11ABC"/>
    <w:rsid w:val="00C120F3"/>
    <w:rsid w:val="00C125BC"/>
    <w:rsid w:val="00C127EB"/>
    <w:rsid w:val="00C12855"/>
    <w:rsid w:val="00C12F3D"/>
    <w:rsid w:val="00C13043"/>
    <w:rsid w:val="00C13183"/>
    <w:rsid w:val="00C13298"/>
    <w:rsid w:val="00C132CF"/>
    <w:rsid w:val="00C13422"/>
    <w:rsid w:val="00C13441"/>
    <w:rsid w:val="00C1346D"/>
    <w:rsid w:val="00C13493"/>
    <w:rsid w:val="00C13ADA"/>
    <w:rsid w:val="00C13C3F"/>
    <w:rsid w:val="00C14284"/>
    <w:rsid w:val="00C14658"/>
    <w:rsid w:val="00C14E10"/>
    <w:rsid w:val="00C15108"/>
    <w:rsid w:val="00C154CE"/>
    <w:rsid w:val="00C1597C"/>
    <w:rsid w:val="00C15A45"/>
    <w:rsid w:val="00C162C6"/>
    <w:rsid w:val="00C16499"/>
    <w:rsid w:val="00C16610"/>
    <w:rsid w:val="00C1662C"/>
    <w:rsid w:val="00C16664"/>
    <w:rsid w:val="00C16A5C"/>
    <w:rsid w:val="00C17011"/>
    <w:rsid w:val="00C17908"/>
    <w:rsid w:val="00C179A2"/>
    <w:rsid w:val="00C17AA7"/>
    <w:rsid w:val="00C17F82"/>
    <w:rsid w:val="00C20072"/>
    <w:rsid w:val="00C202E5"/>
    <w:rsid w:val="00C20370"/>
    <w:rsid w:val="00C208B4"/>
    <w:rsid w:val="00C20995"/>
    <w:rsid w:val="00C20FC9"/>
    <w:rsid w:val="00C2124C"/>
    <w:rsid w:val="00C212D3"/>
    <w:rsid w:val="00C2135F"/>
    <w:rsid w:val="00C21480"/>
    <w:rsid w:val="00C215AC"/>
    <w:rsid w:val="00C2164B"/>
    <w:rsid w:val="00C219EC"/>
    <w:rsid w:val="00C21AA0"/>
    <w:rsid w:val="00C21B71"/>
    <w:rsid w:val="00C21CEB"/>
    <w:rsid w:val="00C21DAE"/>
    <w:rsid w:val="00C22296"/>
    <w:rsid w:val="00C223A2"/>
    <w:rsid w:val="00C22431"/>
    <w:rsid w:val="00C2283B"/>
    <w:rsid w:val="00C22D1B"/>
    <w:rsid w:val="00C22F6D"/>
    <w:rsid w:val="00C22FDA"/>
    <w:rsid w:val="00C230EC"/>
    <w:rsid w:val="00C231E0"/>
    <w:rsid w:val="00C235C6"/>
    <w:rsid w:val="00C23609"/>
    <w:rsid w:val="00C238FE"/>
    <w:rsid w:val="00C23C51"/>
    <w:rsid w:val="00C24215"/>
    <w:rsid w:val="00C24F2D"/>
    <w:rsid w:val="00C2539F"/>
    <w:rsid w:val="00C2586D"/>
    <w:rsid w:val="00C25F42"/>
    <w:rsid w:val="00C2636B"/>
    <w:rsid w:val="00C26389"/>
    <w:rsid w:val="00C26817"/>
    <w:rsid w:val="00C268BE"/>
    <w:rsid w:val="00C26992"/>
    <w:rsid w:val="00C26AA0"/>
    <w:rsid w:val="00C27377"/>
    <w:rsid w:val="00C27398"/>
    <w:rsid w:val="00C27524"/>
    <w:rsid w:val="00C2753F"/>
    <w:rsid w:val="00C2760B"/>
    <w:rsid w:val="00C2765B"/>
    <w:rsid w:val="00C27C1C"/>
    <w:rsid w:val="00C27CD7"/>
    <w:rsid w:val="00C30195"/>
    <w:rsid w:val="00C30485"/>
    <w:rsid w:val="00C30A86"/>
    <w:rsid w:val="00C30EFE"/>
    <w:rsid w:val="00C31013"/>
    <w:rsid w:val="00C31077"/>
    <w:rsid w:val="00C31509"/>
    <w:rsid w:val="00C316B5"/>
    <w:rsid w:val="00C31D74"/>
    <w:rsid w:val="00C31DDA"/>
    <w:rsid w:val="00C31E1C"/>
    <w:rsid w:val="00C31E80"/>
    <w:rsid w:val="00C31E93"/>
    <w:rsid w:val="00C31F27"/>
    <w:rsid w:val="00C32025"/>
    <w:rsid w:val="00C32666"/>
    <w:rsid w:val="00C32A1D"/>
    <w:rsid w:val="00C32C07"/>
    <w:rsid w:val="00C32E0C"/>
    <w:rsid w:val="00C32E66"/>
    <w:rsid w:val="00C32F57"/>
    <w:rsid w:val="00C32FE0"/>
    <w:rsid w:val="00C33223"/>
    <w:rsid w:val="00C339AB"/>
    <w:rsid w:val="00C3416C"/>
    <w:rsid w:val="00C34263"/>
    <w:rsid w:val="00C343D5"/>
    <w:rsid w:val="00C3511F"/>
    <w:rsid w:val="00C35161"/>
    <w:rsid w:val="00C355A0"/>
    <w:rsid w:val="00C358CA"/>
    <w:rsid w:val="00C3597B"/>
    <w:rsid w:val="00C35A93"/>
    <w:rsid w:val="00C360C7"/>
    <w:rsid w:val="00C362DA"/>
    <w:rsid w:val="00C36599"/>
    <w:rsid w:val="00C367DE"/>
    <w:rsid w:val="00C3687A"/>
    <w:rsid w:val="00C369BB"/>
    <w:rsid w:val="00C36A6D"/>
    <w:rsid w:val="00C36B4C"/>
    <w:rsid w:val="00C36BE2"/>
    <w:rsid w:val="00C37201"/>
    <w:rsid w:val="00C377F0"/>
    <w:rsid w:val="00C37909"/>
    <w:rsid w:val="00C37B84"/>
    <w:rsid w:val="00C37D53"/>
    <w:rsid w:val="00C37E83"/>
    <w:rsid w:val="00C407AD"/>
    <w:rsid w:val="00C4088A"/>
    <w:rsid w:val="00C40DE3"/>
    <w:rsid w:val="00C40E93"/>
    <w:rsid w:val="00C4116C"/>
    <w:rsid w:val="00C411AD"/>
    <w:rsid w:val="00C4126C"/>
    <w:rsid w:val="00C41429"/>
    <w:rsid w:val="00C41537"/>
    <w:rsid w:val="00C41704"/>
    <w:rsid w:val="00C41DB3"/>
    <w:rsid w:val="00C41E97"/>
    <w:rsid w:val="00C41EAA"/>
    <w:rsid w:val="00C41FD6"/>
    <w:rsid w:val="00C41FE1"/>
    <w:rsid w:val="00C42110"/>
    <w:rsid w:val="00C4214E"/>
    <w:rsid w:val="00C4268E"/>
    <w:rsid w:val="00C42BA4"/>
    <w:rsid w:val="00C42C24"/>
    <w:rsid w:val="00C42D64"/>
    <w:rsid w:val="00C43124"/>
    <w:rsid w:val="00C43787"/>
    <w:rsid w:val="00C43893"/>
    <w:rsid w:val="00C43A43"/>
    <w:rsid w:val="00C43BAF"/>
    <w:rsid w:val="00C43F84"/>
    <w:rsid w:val="00C43FF0"/>
    <w:rsid w:val="00C440F2"/>
    <w:rsid w:val="00C441C0"/>
    <w:rsid w:val="00C4422E"/>
    <w:rsid w:val="00C442D5"/>
    <w:rsid w:val="00C44352"/>
    <w:rsid w:val="00C4484A"/>
    <w:rsid w:val="00C44A3B"/>
    <w:rsid w:val="00C44FF1"/>
    <w:rsid w:val="00C45383"/>
    <w:rsid w:val="00C45659"/>
    <w:rsid w:val="00C4575A"/>
    <w:rsid w:val="00C458E5"/>
    <w:rsid w:val="00C46274"/>
    <w:rsid w:val="00C464FE"/>
    <w:rsid w:val="00C477C0"/>
    <w:rsid w:val="00C47A31"/>
    <w:rsid w:val="00C47B92"/>
    <w:rsid w:val="00C47C7B"/>
    <w:rsid w:val="00C47E6A"/>
    <w:rsid w:val="00C501E4"/>
    <w:rsid w:val="00C5037F"/>
    <w:rsid w:val="00C50437"/>
    <w:rsid w:val="00C5048E"/>
    <w:rsid w:val="00C508CB"/>
    <w:rsid w:val="00C50A43"/>
    <w:rsid w:val="00C51400"/>
    <w:rsid w:val="00C5189B"/>
    <w:rsid w:val="00C5191C"/>
    <w:rsid w:val="00C51979"/>
    <w:rsid w:val="00C519DE"/>
    <w:rsid w:val="00C51B93"/>
    <w:rsid w:val="00C51BDE"/>
    <w:rsid w:val="00C5209D"/>
    <w:rsid w:val="00C528E6"/>
    <w:rsid w:val="00C52E26"/>
    <w:rsid w:val="00C53135"/>
    <w:rsid w:val="00C53572"/>
    <w:rsid w:val="00C538DE"/>
    <w:rsid w:val="00C53953"/>
    <w:rsid w:val="00C539E5"/>
    <w:rsid w:val="00C53A1A"/>
    <w:rsid w:val="00C53D78"/>
    <w:rsid w:val="00C53EDE"/>
    <w:rsid w:val="00C540F4"/>
    <w:rsid w:val="00C54168"/>
    <w:rsid w:val="00C54417"/>
    <w:rsid w:val="00C54644"/>
    <w:rsid w:val="00C54840"/>
    <w:rsid w:val="00C548B3"/>
    <w:rsid w:val="00C54AD0"/>
    <w:rsid w:val="00C54D8C"/>
    <w:rsid w:val="00C54F96"/>
    <w:rsid w:val="00C55204"/>
    <w:rsid w:val="00C556E5"/>
    <w:rsid w:val="00C55D89"/>
    <w:rsid w:val="00C55F3A"/>
    <w:rsid w:val="00C5614C"/>
    <w:rsid w:val="00C56282"/>
    <w:rsid w:val="00C56451"/>
    <w:rsid w:val="00C56592"/>
    <w:rsid w:val="00C56686"/>
    <w:rsid w:val="00C568FB"/>
    <w:rsid w:val="00C56983"/>
    <w:rsid w:val="00C569F1"/>
    <w:rsid w:val="00C56AA6"/>
    <w:rsid w:val="00C56AC0"/>
    <w:rsid w:val="00C56F67"/>
    <w:rsid w:val="00C57595"/>
    <w:rsid w:val="00C57D65"/>
    <w:rsid w:val="00C57F81"/>
    <w:rsid w:val="00C600A2"/>
    <w:rsid w:val="00C600E6"/>
    <w:rsid w:val="00C6021A"/>
    <w:rsid w:val="00C603AB"/>
    <w:rsid w:val="00C605B4"/>
    <w:rsid w:val="00C605BD"/>
    <w:rsid w:val="00C605EF"/>
    <w:rsid w:val="00C607B1"/>
    <w:rsid w:val="00C607F2"/>
    <w:rsid w:val="00C60819"/>
    <w:rsid w:val="00C60ACF"/>
    <w:rsid w:val="00C60CE8"/>
    <w:rsid w:val="00C60D83"/>
    <w:rsid w:val="00C61231"/>
    <w:rsid w:val="00C612A6"/>
    <w:rsid w:val="00C6151B"/>
    <w:rsid w:val="00C61727"/>
    <w:rsid w:val="00C61894"/>
    <w:rsid w:val="00C61BDD"/>
    <w:rsid w:val="00C62293"/>
    <w:rsid w:val="00C62A78"/>
    <w:rsid w:val="00C62AB2"/>
    <w:rsid w:val="00C62E1E"/>
    <w:rsid w:val="00C634B2"/>
    <w:rsid w:val="00C63732"/>
    <w:rsid w:val="00C63C93"/>
    <w:rsid w:val="00C64086"/>
    <w:rsid w:val="00C6433C"/>
    <w:rsid w:val="00C650E9"/>
    <w:rsid w:val="00C65153"/>
    <w:rsid w:val="00C65352"/>
    <w:rsid w:val="00C65556"/>
    <w:rsid w:val="00C65778"/>
    <w:rsid w:val="00C65A7A"/>
    <w:rsid w:val="00C65CDA"/>
    <w:rsid w:val="00C66422"/>
    <w:rsid w:val="00C6665D"/>
    <w:rsid w:val="00C66677"/>
    <w:rsid w:val="00C66700"/>
    <w:rsid w:val="00C66740"/>
    <w:rsid w:val="00C66AF4"/>
    <w:rsid w:val="00C66DAA"/>
    <w:rsid w:val="00C67722"/>
    <w:rsid w:val="00C67991"/>
    <w:rsid w:val="00C67BF0"/>
    <w:rsid w:val="00C67DF7"/>
    <w:rsid w:val="00C70016"/>
    <w:rsid w:val="00C70665"/>
    <w:rsid w:val="00C707F2"/>
    <w:rsid w:val="00C708E6"/>
    <w:rsid w:val="00C70A54"/>
    <w:rsid w:val="00C70E42"/>
    <w:rsid w:val="00C70FDB"/>
    <w:rsid w:val="00C71025"/>
    <w:rsid w:val="00C71787"/>
    <w:rsid w:val="00C71857"/>
    <w:rsid w:val="00C7196A"/>
    <w:rsid w:val="00C71C79"/>
    <w:rsid w:val="00C71EA4"/>
    <w:rsid w:val="00C720A8"/>
    <w:rsid w:val="00C72204"/>
    <w:rsid w:val="00C725E0"/>
    <w:rsid w:val="00C7281A"/>
    <w:rsid w:val="00C72AE8"/>
    <w:rsid w:val="00C7314B"/>
    <w:rsid w:val="00C731F5"/>
    <w:rsid w:val="00C738B0"/>
    <w:rsid w:val="00C73CDB"/>
    <w:rsid w:val="00C749ED"/>
    <w:rsid w:val="00C74AB5"/>
    <w:rsid w:val="00C74BFB"/>
    <w:rsid w:val="00C74D6A"/>
    <w:rsid w:val="00C75272"/>
    <w:rsid w:val="00C7587C"/>
    <w:rsid w:val="00C75C33"/>
    <w:rsid w:val="00C76B68"/>
    <w:rsid w:val="00C76F08"/>
    <w:rsid w:val="00C76FE5"/>
    <w:rsid w:val="00C771B5"/>
    <w:rsid w:val="00C7726E"/>
    <w:rsid w:val="00C7765A"/>
    <w:rsid w:val="00C77A85"/>
    <w:rsid w:val="00C77C6D"/>
    <w:rsid w:val="00C77FF7"/>
    <w:rsid w:val="00C80279"/>
    <w:rsid w:val="00C802B6"/>
    <w:rsid w:val="00C8094F"/>
    <w:rsid w:val="00C809A0"/>
    <w:rsid w:val="00C80BE8"/>
    <w:rsid w:val="00C80C92"/>
    <w:rsid w:val="00C810F4"/>
    <w:rsid w:val="00C812A9"/>
    <w:rsid w:val="00C8170E"/>
    <w:rsid w:val="00C817CD"/>
    <w:rsid w:val="00C818E8"/>
    <w:rsid w:val="00C81A01"/>
    <w:rsid w:val="00C81D32"/>
    <w:rsid w:val="00C81E6F"/>
    <w:rsid w:val="00C82022"/>
    <w:rsid w:val="00C8272A"/>
    <w:rsid w:val="00C82943"/>
    <w:rsid w:val="00C82DD4"/>
    <w:rsid w:val="00C82FE2"/>
    <w:rsid w:val="00C8352F"/>
    <w:rsid w:val="00C839C1"/>
    <w:rsid w:val="00C83B08"/>
    <w:rsid w:val="00C83E86"/>
    <w:rsid w:val="00C83F52"/>
    <w:rsid w:val="00C840E7"/>
    <w:rsid w:val="00C8450B"/>
    <w:rsid w:val="00C845C5"/>
    <w:rsid w:val="00C8487D"/>
    <w:rsid w:val="00C8493D"/>
    <w:rsid w:val="00C84AFD"/>
    <w:rsid w:val="00C84CD2"/>
    <w:rsid w:val="00C84FD0"/>
    <w:rsid w:val="00C850BF"/>
    <w:rsid w:val="00C852D1"/>
    <w:rsid w:val="00C852F7"/>
    <w:rsid w:val="00C8535B"/>
    <w:rsid w:val="00C85790"/>
    <w:rsid w:val="00C85A78"/>
    <w:rsid w:val="00C85F69"/>
    <w:rsid w:val="00C86A03"/>
    <w:rsid w:val="00C86BC1"/>
    <w:rsid w:val="00C86BE1"/>
    <w:rsid w:val="00C86F6B"/>
    <w:rsid w:val="00C87013"/>
    <w:rsid w:val="00C8728D"/>
    <w:rsid w:val="00C87752"/>
    <w:rsid w:val="00C87901"/>
    <w:rsid w:val="00C87A94"/>
    <w:rsid w:val="00C87AC0"/>
    <w:rsid w:val="00C87B02"/>
    <w:rsid w:val="00C87DAC"/>
    <w:rsid w:val="00C87E7D"/>
    <w:rsid w:val="00C87FB3"/>
    <w:rsid w:val="00C9013B"/>
    <w:rsid w:val="00C90349"/>
    <w:rsid w:val="00C906A1"/>
    <w:rsid w:val="00C90731"/>
    <w:rsid w:val="00C90801"/>
    <w:rsid w:val="00C90822"/>
    <w:rsid w:val="00C90B58"/>
    <w:rsid w:val="00C90D06"/>
    <w:rsid w:val="00C90E05"/>
    <w:rsid w:val="00C90F58"/>
    <w:rsid w:val="00C91187"/>
    <w:rsid w:val="00C91188"/>
    <w:rsid w:val="00C91927"/>
    <w:rsid w:val="00C91F10"/>
    <w:rsid w:val="00C92150"/>
    <w:rsid w:val="00C92154"/>
    <w:rsid w:val="00C924DE"/>
    <w:rsid w:val="00C93054"/>
    <w:rsid w:val="00C9305D"/>
    <w:rsid w:val="00C934D0"/>
    <w:rsid w:val="00C9361F"/>
    <w:rsid w:val="00C9398D"/>
    <w:rsid w:val="00C93AE2"/>
    <w:rsid w:val="00C93D17"/>
    <w:rsid w:val="00C949E2"/>
    <w:rsid w:val="00C94AD6"/>
    <w:rsid w:val="00C94C56"/>
    <w:rsid w:val="00C94E59"/>
    <w:rsid w:val="00C9521A"/>
    <w:rsid w:val="00C95266"/>
    <w:rsid w:val="00C9544D"/>
    <w:rsid w:val="00C95647"/>
    <w:rsid w:val="00C95923"/>
    <w:rsid w:val="00C9604F"/>
    <w:rsid w:val="00C96362"/>
    <w:rsid w:val="00C963EF"/>
    <w:rsid w:val="00C96467"/>
    <w:rsid w:val="00C967D4"/>
    <w:rsid w:val="00C96852"/>
    <w:rsid w:val="00C9687C"/>
    <w:rsid w:val="00C96ABE"/>
    <w:rsid w:val="00C96D86"/>
    <w:rsid w:val="00C970DF"/>
    <w:rsid w:val="00C973CE"/>
    <w:rsid w:val="00C974D9"/>
    <w:rsid w:val="00C978C2"/>
    <w:rsid w:val="00C97BBD"/>
    <w:rsid w:val="00C97D2D"/>
    <w:rsid w:val="00C97D4C"/>
    <w:rsid w:val="00C97F75"/>
    <w:rsid w:val="00CA036E"/>
    <w:rsid w:val="00CA0378"/>
    <w:rsid w:val="00CA03E6"/>
    <w:rsid w:val="00CA0772"/>
    <w:rsid w:val="00CA0952"/>
    <w:rsid w:val="00CA0B24"/>
    <w:rsid w:val="00CA0EEC"/>
    <w:rsid w:val="00CA0FBA"/>
    <w:rsid w:val="00CA14C8"/>
    <w:rsid w:val="00CA14DF"/>
    <w:rsid w:val="00CA1853"/>
    <w:rsid w:val="00CA18EF"/>
    <w:rsid w:val="00CA1B8D"/>
    <w:rsid w:val="00CA1E84"/>
    <w:rsid w:val="00CA1F7A"/>
    <w:rsid w:val="00CA215F"/>
    <w:rsid w:val="00CA2416"/>
    <w:rsid w:val="00CA2485"/>
    <w:rsid w:val="00CA2605"/>
    <w:rsid w:val="00CA2703"/>
    <w:rsid w:val="00CA2879"/>
    <w:rsid w:val="00CA29A9"/>
    <w:rsid w:val="00CA2A4D"/>
    <w:rsid w:val="00CA2DE8"/>
    <w:rsid w:val="00CA2E50"/>
    <w:rsid w:val="00CA3085"/>
    <w:rsid w:val="00CA3631"/>
    <w:rsid w:val="00CA3C12"/>
    <w:rsid w:val="00CA3FB6"/>
    <w:rsid w:val="00CA4282"/>
    <w:rsid w:val="00CA42BD"/>
    <w:rsid w:val="00CA42DF"/>
    <w:rsid w:val="00CA4409"/>
    <w:rsid w:val="00CA457A"/>
    <w:rsid w:val="00CA473A"/>
    <w:rsid w:val="00CA4961"/>
    <w:rsid w:val="00CA4A24"/>
    <w:rsid w:val="00CA4B5C"/>
    <w:rsid w:val="00CA4E08"/>
    <w:rsid w:val="00CA4F24"/>
    <w:rsid w:val="00CA5455"/>
    <w:rsid w:val="00CA55AB"/>
    <w:rsid w:val="00CA55CC"/>
    <w:rsid w:val="00CA56EC"/>
    <w:rsid w:val="00CA58BD"/>
    <w:rsid w:val="00CA5966"/>
    <w:rsid w:val="00CA5A79"/>
    <w:rsid w:val="00CA5B25"/>
    <w:rsid w:val="00CA5C92"/>
    <w:rsid w:val="00CA5E4D"/>
    <w:rsid w:val="00CA5F25"/>
    <w:rsid w:val="00CA5F93"/>
    <w:rsid w:val="00CA60BA"/>
    <w:rsid w:val="00CA6361"/>
    <w:rsid w:val="00CA6610"/>
    <w:rsid w:val="00CA6726"/>
    <w:rsid w:val="00CA680A"/>
    <w:rsid w:val="00CA70F7"/>
    <w:rsid w:val="00CA74C9"/>
    <w:rsid w:val="00CA78F4"/>
    <w:rsid w:val="00CA79B9"/>
    <w:rsid w:val="00CA7CB8"/>
    <w:rsid w:val="00CB0273"/>
    <w:rsid w:val="00CB0406"/>
    <w:rsid w:val="00CB0B74"/>
    <w:rsid w:val="00CB0C50"/>
    <w:rsid w:val="00CB1168"/>
    <w:rsid w:val="00CB11B5"/>
    <w:rsid w:val="00CB11E5"/>
    <w:rsid w:val="00CB14C6"/>
    <w:rsid w:val="00CB14E4"/>
    <w:rsid w:val="00CB1604"/>
    <w:rsid w:val="00CB17AB"/>
    <w:rsid w:val="00CB1AFB"/>
    <w:rsid w:val="00CB1C6B"/>
    <w:rsid w:val="00CB1D58"/>
    <w:rsid w:val="00CB1DAD"/>
    <w:rsid w:val="00CB1ED3"/>
    <w:rsid w:val="00CB245C"/>
    <w:rsid w:val="00CB27A3"/>
    <w:rsid w:val="00CB2B47"/>
    <w:rsid w:val="00CB3092"/>
    <w:rsid w:val="00CB38CC"/>
    <w:rsid w:val="00CB3BC3"/>
    <w:rsid w:val="00CB3FD1"/>
    <w:rsid w:val="00CB4081"/>
    <w:rsid w:val="00CB4799"/>
    <w:rsid w:val="00CB479F"/>
    <w:rsid w:val="00CB4DDE"/>
    <w:rsid w:val="00CB5271"/>
    <w:rsid w:val="00CB58DC"/>
    <w:rsid w:val="00CB59FA"/>
    <w:rsid w:val="00CB5BD8"/>
    <w:rsid w:val="00CB5C38"/>
    <w:rsid w:val="00CB6507"/>
    <w:rsid w:val="00CB68B5"/>
    <w:rsid w:val="00CB6AE9"/>
    <w:rsid w:val="00CB6CB6"/>
    <w:rsid w:val="00CB6CD2"/>
    <w:rsid w:val="00CB6D51"/>
    <w:rsid w:val="00CB6FCC"/>
    <w:rsid w:val="00CB702C"/>
    <w:rsid w:val="00CB7172"/>
    <w:rsid w:val="00CB7290"/>
    <w:rsid w:val="00CB7588"/>
    <w:rsid w:val="00CB7620"/>
    <w:rsid w:val="00CB76DE"/>
    <w:rsid w:val="00CB7757"/>
    <w:rsid w:val="00CB77CC"/>
    <w:rsid w:val="00CB78E1"/>
    <w:rsid w:val="00CB7A66"/>
    <w:rsid w:val="00CB7B66"/>
    <w:rsid w:val="00CB7BE6"/>
    <w:rsid w:val="00CC06D3"/>
    <w:rsid w:val="00CC0750"/>
    <w:rsid w:val="00CC0785"/>
    <w:rsid w:val="00CC0AC8"/>
    <w:rsid w:val="00CC0E31"/>
    <w:rsid w:val="00CC0F18"/>
    <w:rsid w:val="00CC125A"/>
    <w:rsid w:val="00CC1733"/>
    <w:rsid w:val="00CC1824"/>
    <w:rsid w:val="00CC1942"/>
    <w:rsid w:val="00CC1B52"/>
    <w:rsid w:val="00CC1B5D"/>
    <w:rsid w:val="00CC1C3A"/>
    <w:rsid w:val="00CC2089"/>
    <w:rsid w:val="00CC2357"/>
    <w:rsid w:val="00CC2675"/>
    <w:rsid w:val="00CC2921"/>
    <w:rsid w:val="00CC2CBA"/>
    <w:rsid w:val="00CC301F"/>
    <w:rsid w:val="00CC3070"/>
    <w:rsid w:val="00CC3076"/>
    <w:rsid w:val="00CC3136"/>
    <w:rsid w:val="00CC35FB"/>
    <w:rsid w:val="00CC3851"/>
    <w:rsid w:val="00CC3919"/>
    <w:rsid w:val="00CC3B0A"/>
    <w:rsid w:val="00CC3D70"/>
    <w:rsid w:val="00CC3F03"/>
    <w:rsid w:val="00CC41F9"/>
    <w:rsid w:val="00CC45DD"/>
    <w:rsid w:val="00CC491B"/>
    <w:rsid w:val="00CC4C32"/>
    <w:rsid w:val="00CC4F92"/>
    <w:rsid w:val="00CC4FB5"/>
    <w:rsid w:val="00CC532A"/>
    <w:rsid w:val="00CC5A0C"/>
    <w:rsid w:val="00CC5B99"/>
    <w:rsid w:val="00CC5D40"/>
    <w:rsid w:val="00CC5D46"/>
    <w:rsid w:val="00CC5E2A"/>
    <w:rsid w:val="00CC60CD"/>
    <w:rsid w:val="00CC63FB"/>
    <w:rsid w:val="00CC6AF1"/>
    <w:rsid w:val="00CC6B0B"/>
    <w:rsid w:val="00CC6E65"/>
    <w:rsid w:val="00CC73D3"/>
    <w:rsid w:val="00CC76A6"/>
    <w:rsid w:val="00CC76AF"/>
    <w:rsid w:val="00CC79F6"/>
    <w:rsid w:val="00CC7B41"/>
    <w:rsid w:val="00CC7D34"/>
    <w:rsid w:val="00CD01B5"/>
    <w:rsid w:val="00CD0327"/>
    <w:rsid w:val="00CD046B"/>
    <w:rsid w:val="00CD047B"/>
    <w:rsid w:val="00CD0564"/>
    <w:rsid w:val="00CD07AC"/>
    <w:rsid w:val="00CD098D"/>
    <w:rsid w:val="00CD0FC0"/>
    <w:rsid w:val="00CD1257"/>
    <w:rsid w:val="00CD128E"/>
    <w:rsid w:val="00CD1339"/>
    <w:rsid w:val="00CD136B"/>
    <w:rsid w:val="00CD1802"/>
    <w:rsid w:val="00CD1D31"/>
    <w:rsid w:val="00CD2080"/>
    <w:rsid w:val="00CD21E9"/>
    <w:rsid w:val="00CD2364"/>
    <w:rsid w:val="00CD23FD"/>
    <w:rsid w:val="00CD268C"/>
    <w:rsid w:val="00CD2914"/>
    <w:rsid w:val="00CD2A6F"/>
    <w:rsid w:val="00CD2AA7"/>
    <w:rsid w:val="00CD2AF9"/>
    <w:rsid w:val="00CD2C9B"/>
    <w:rsid w:val="00CD2FBB"/>
    <w:rsid w:val="00CD3044"/>
    <w:rsid w:val="00CD324C"/>
    <w:rsid w:val="00CD3332"/>
    <w:rsid w:val="00CD336B"/>
    <w:rsid w:val="00CD359F"/>
    <w:rsid w:val="00CD36F7"/>
    <w:rsid w:val="00CD37EC"/>
    <w:rsid w:val="00CD3851"/>
    <w:rsid w:val="00CD386E"/>
    <w:rsid w:val="00CD38E2"/>
    <w:rsid w:val="00CD3D18"/>
    <w:rsid w:val="00CD3E2A"/>
    <w:rsid w:val="00CD3F5F"/>
    <w:rsid w:val="00CD41B1"/>
    <w:rsid w:val="00CD437A"/>
    <w:rsid w:val="00CD43E6"/>
    <w:rsid w:val="00CD4842"/>
    <w:rsid w:val="00CD4B9F"/>
    <w:rsid w:val="00CD4DD0"/>
    <w:rsid w:val="00CD5274"/>
    <w:rsid w:val="00CD52CA"/>
    <w:rsid w:val="00CD55EA"/>
    <w:rsid w:val="00CD55EE"/>
    <w:rsid w:val="00CD560E"/>
    <w:rsid w:val="00CD570A"/>
    <w:rsid w:val="00CD583B"/>
    <w:rsid w:val="00CD590D"/>
    <w:rsid w:val="00CD5FF7"/>
    <w:rsid w:val="00CD6692"/>
    <w:rsid w:val="00CD6DD4"/>
    <w:rsid w:val="00CD6DFF"/>
    <w:rsid w:val="00CD6EB5"/>
    <w:rsid w:val="00CD70E3"/>
    <w:rsid w:val="00CD75A6"/>
    <w:rsid w:val="00CD762C"/>
    <w:rsid w:val="00CD76A9"/>
    <w:rsid w:val="00CD790B"/>
    <w:rsid w:val="00CD7A64"/>
    <w:rsid w:val="00CD7B66"/>
    <w:rsid w:val="00CD7D39"/>
    <w:rsid w:val="00CE03A2"/>
    <w:rsid w:val="00CE0484"/>
    <w:rsid w:val="00CE0D20"/>
    <w:rsid w:val="00CE154E"/>
    <w:rsid w:val="00CE1572"/>
    <w:rsid w:val="00CE1768"/>
    <w:rsid w:val="00CE1A6C"/>
    <w:rsid w:val="00CE1B63"/>
    <w:rsid w:val="00CE1E25"/>
    <w:rsid w:val="00CE1E76"/>
    <w:rsid w:val="00CE2047"/>
    <w:rsid w:val="00CE22CB"/>
    <w:rsid w:val="00CE29E0"/>
    <w:rsid w:val="00CE2A0D"/>
    <w:rsid w:val="00CE2E19"/>
    <w:rsid w:val="00CE311C"/>
    <w:rsid w:val="00CE31CE"/>
    <w:rsid w:val="00CE338B"/>
    <w:rsid w:val="00CE36BB"/>
    <w:rsid w:val="00CE36C2"/>
    <w:rsid w:val="00CE37FC"/>
    <w:rsid w:val="00CE3B84"/>
    <w:rsid w:val="00CE3C5A"/>
    <w:rsid w:val="00CE42D0"/>
    <w:rsid w:val="00CE431F"/>
    <w:rsid w:val="00CE43EA"/>
    <w:rsid w:val="00CE44FB"/>
    <w:rsid w:val="00CE4565"/>
    <w:rsid w:val="00CE456A"/>
    <w:rsid w:val="00CE456E"/>
    <w:rsid w:val="00CE46BB"/>
    <w:rsid w:val="00CE48D0"/>
    <w:rsid w:val="00CE49CC"/>
    <w:rsid w:val="00CE4B99"/>
    <w:rsid w:val="00CE4EA9"/>
    <w:rsid w:val="00CE4F28"/>
    <w:rsid w:val="00CE50B8"/>
    <w:rsid w:val="00CE5257"/>
    <w:rsid w:val="00CE52AC"/>
    <w:rsid w:val="00CE544D"/>
    <w:rsid w:val="00CE5825"/>
    <w:rsid w:val="00CE59A0"/>
    <w:rsid w:val="00CE5A5B"/>
    <w:rsid w:val="00CE5A7B"/>
    <w:rsid w:val="00CE5D4E"/>
    <w:rsid w:val="00CE65E2"/>
    <w:rsid w:val="00CE6811"/>
    <w:rsid w:val="00CE6955"/>
    <w:rsid w:val="00CE6ABE"/>
    <w:rsid w:val="00CE6C31"/>
    <w:rsid w:val="00CE701F"/>
    <w:rsid w:val="00CE72C2"/>
    <w:rsid w:val="00CE766F"/>
    <w:rsid w:val="00CE77AA"/>
    <w:rsid w:val="00CE78C2"/>
    <w:rsid w:val="00CE7A00"/>
    <w:rsid w:val="00CE7B08"/>
    <w:rsid w:val="00CE7C55"/>
    <w:rsid w:val="00CE7DF4"/>
    <w:rsid w:val="00CE7E2A"/>
    <w:rsid w:val="00CF0204"/>
    <w:rsid w:val="00CF041B"/>
    <w:rsid w:val="00CF0650"/>
    <w:rsid w:val="00CF0A5E"/>
    <w:rsid w:val="00CF0B87"/>
    <w:rsid w:val="00CF0C97"/>
    <w:rsid w:val="00CF0F15"/>
    <w:rsid w:val="00CF1148"/>
    <w:rsid w:val="00CF13E1"/>
    <w:rsid w:val="00CF14C0"/>
    <w:rsid w:val="00CF1566"/>
    <w:rsid w:val="00CF1900"/>
    <w:rsid w:val="00CF193F"/>
    <w:rsid w:val="00CF1B32"/>
    <w:rsid w:val="00CF1F6A"/>
    <w:rsid w:val="00CF2426"/>
    <w:rsid w:val="00CF25EA"/>
    <w:rsid w:val="00CF2B4C"/>
    <w:rsid w:val="00CF3632"/>
    <w:rsid w:val="00CF37F2"/>
    <w:rsid w:val="00CF3BA1"/>
    <w:rsid w:val="00CF4024"/>
    <w:rsid w:val="00CF4402"/>
    <w:rsid w:val="00CF4A77"/>
    <w:rsid w:val="00CF4AF8"/>
    <w:rsid w:val="00CF4EA0"/>
    <w:rsid w:val="00CF5141"/>
    <w:rsid w:val="00CF51C2"/>
    <w:rsid w:val="00CF537F"/>
    <w:rsid w:val="00CF5419"/>
    <w:rsid w:val="00CF5464"/>
    <w:rsid w:val="00CF5801"/>
    <w:rsid w:val="00CF5946"/>
    <w:rsid w:val="00CF5A65"/>
    <w:rsid w:val="00CF5D4D"/>
    <w:rsid w:val="00CF659D"/>
    <w:rsid w:val="00CF683D"/>
    <w:rsid w:val="00CF6941"/>
    <w:rsid w:val="00CF6A5D"/>
    <w:rsid w:val="00CF6B2C"/>
    <w:rsid w:val="00CF6C2B"/>
    <w:rsid w:val="00CF6DE5"/>
    <w:rsid w:val="00CF6F22"/>
    <w:rsid w:val="00CF708F"/>
    <w:rsid w:val="00CF70CA"/>
    <w:rsid w:val="00CF7868"/>
    <w:rsid w:val="00CF78E4"/>
    <w:rsid w:val="00CF7A56"/>
    <w:rsid w:val="00CF7C83"/>
    <w:rsid w:val="00CF7CE7"/>
    <w:rsid w:val="00D002E7"/>
    <w:rsid w:val="00D00337"/>
    <w:rsid w:val="00D0039F"/>
    <w:rsid w:val="00D00456"/>
    <w:rsid w:val="00D00CB5"/>
    <w:rsid w:val="00D00CF8"/>
    <w:rsid w:val="00D00F08"/>
    <w:rsid w:val="00D010C4"/>
    <w:rsid w:val="00D012D3"/>
    <w:rsid w:val="00D01866"/>
    <w:rsid w:val="00D01F85"/>
    <w:rsid w:val="00D02516"/>
    <w:rsid w:val="00D02574"/>
    <w:rsid w:val="00D027D1"/>
    <w:rsid w:val="00D02A38"/>
    <w:rsid w:val="00D02C55"/>
    <w:rsid w:val="00D02DC5"/>
    <w:rsid w:val="00D030B5"/>
    <w:rsid w:val="00D03143"/>
    <w:rsid w:val="00D03272"/>
    <w:rsid w:val="00D0328B"/>
    <w:rsid w:val="00D0328E"/>
    <w:rsid w:val="00D03659"/>
    <w:rsid w:val="00D039C1"/>
    <w:rsid w:val="00D039D7"/>
    <w:rsid w:val="00D03A43"/>
    <w:rsid w:val="00D03E82"/>
    <w:rsid w:val="00D0409E"/>
    <w:rsid w:val="00D041BB"/>
    <w:rsid w:val="00D041D5"/>
    <w:rsid w:val="00D04254"/>
    <w:rsid w:val="00D047BA"/>
    <w:rsid w:val="00D04AFE"/>
    <w:rsid w:val="00D04E1B"/>
    <w:rsid w:val="00D04EE4"/>
    <w:rsid w:val="00D052FB"/>
    <w:rsid w:val="00D05703"/>
    <w:rsid w:val="00D05998"/>
    <w:rsid w:val="00D05AEC"/>
    <w:rsid w:val="00D05B30"/>
    <w:rsid w:val="00D05C04"/>
    <w:rsid w:val="00D05E15"/>
    <w:rsid w:val="00D05F1B"/>
    <w:rsid w:val="00D06196"/>
    <w:rsid w:val="00D0620B"/>
    <w:rsid w:val="00D063D8"/>
    <w:rsid w:val="00D0647C"/>
    <w:rsid w:val="00D06638"/>
    <w:rsid w:val="00D066BD"/>
    <w:rsid w:val="00D066D7"/>
    <w:rsid w:val="00D06782"/>
    <w:rsid w:val="00D06A05"/>
    <w:rsid w:val="00D06A70"/>
    <w:rsid w:val="00D06DD6"/>
    <w:rsid w:val="00D0707D"/>
    <w:rsid w:val="00D07123"/>
    <w:rsid w:val="00D07528"/>
    <w:rsid w:val="00D075BD"/>
    <w:rsid w:val="00D078F0"/>
    <w:rsid w:val="00D079BC"/>
    <w:rsid w:val="00D07D87"/>
    <w:rsid w:val="00D07D90"/>
    <w:rsid w:val="00D07FBC"/>
    <w:rsid w:val="00D103DC"/>
    <w:rsid w:val="00D1042F"/>
    <w:rsid w:val="00D10B34"/>
    <w:rsid w:val="00D10EBF"/>
    <w:rsid w:val="00D11127"/>
    <w:rsid w:val="00D1135D"/>
    <w:rsid w:val="00D1154F"/>
    <w:rsid w:val="00D11A5E"/>
    <w:rsid w:val="00D11BF1"/>
    <w:rsid w:val="00D11CBE"/>
    <w:rsid w:val="00D11F04"/>
    <w:rsid w:val="00D12014"/>
    <w:rsid w:val="00D12065"/>
    <w:rsid w:val="00D122A0"/>
    <w:rsid w:val="00D123D6"/>
    <w:rsid w:val="00D124F2"/>
    <w:rsid w:val="00D1280E"/>
    <w:rsid w:val="00D12DF9"/>
    <w:rsid w:val="00D12E46"/>
    <w:rsid w:val="00D12F47"/>
    <w:rsid w:val="00D12FAF"/>
    <w:rsid w:val="00D12FFD"/>
    <w:rsid w:val="00D1330B"/>
    <w:rsid w:val="00D13352"/>
    <w:rsid w:val="00D13979"/>
    <w:rsid w:val="00D139C5"/>
    <w:rsid w:val="00D13A8D"/>
    <w:rsid w:val="00D14006"/>
    <w:rsid w:val="00D140BB"/>
    <w:rsid w:val="00D14187"/>
    <w:rsid w:val="00D1419A"/>
    <w:rsid w:val="00D144FB"/>
    <w:rsid w:val="00D1481E"/>
    <w:rsid w:val="00D14A59"/>
    <w:rsid w:val="00D14AB3"/>
    <w:rsid w:val="00D14DC1"/>
    <w:rsid w:val="00D1504D"/>
    <w:rsid w:val="00D151DE"/>
    <w:rsid w:val="00D15344"/>
    <w:rsid w:val="00D153C4"/>
    <w:rsid w:val="00D154CB"/>
    <w:rsid w:val="00D154ED"/>
    <w:rsid w:val="00D15811"/>
    <w:rsid w:val="00D15F5C"/>
    <w:rsid w:val="00D16132"/>
    <w:rsid w:val="00D163F3"/>
    <w:rsid w:val="00D169D4"/>
    <w:rsid w:val="00D16C3D"/>
    <w:rsid w:val="00D16C4B"/>
    <w:rsid w:val="00D1712E"/>
    <w:rsid w:val="00D172C3"/>
    <w:rsid w:val="00D17395"/>
    <w:rsid w:val="00D1747A"/>
    <w:rsid w:val="00D175B6"/>
    <w:rsid w:val="00D17700"/>
    <w:rsid w:val="00D179F8"/>
    <w:rsid w:val="00D17D12"/>
    <w:rsid w:val="00D17D8E"/>
    <w:rsid w:val="00D2009D"/>
    <w:rsid w:val="00D208DD"/>
    <w:rsid w:val="00D20B41"/>
    <w:rsid w:val="00D21178"/>
    <w:rsid w:val="00D212A7"/>
    <w:rsid w:val="00D21329"/>
    <w:rsid w:val="00D2144F"/>
    <w:rsid w:val="00D2169F"/>
    <w:rsid w:val="00D21AB8"/>
    <w:rsid w:val="00D21CC2"/>
    <w:rsid w:val="00D21CE2"/>
    <w:rsid w:val="00D22065"/>
    <w:rsid w:val="00D221EB"/>
    <w:rsid w:val="00D223BC"/>
    <w:rsid w:val="00D22481"/>
    <w:rsid w:val="00D22B4D"/>
    <w:rsid w:val="00D22CC9"/>
    <w:rsid w:val="00D22FF4"/>
    <w:rsid w:val="00D2375D"/>
    <w:rsid w:val="00D23766"/>
    <w:rsid w:val="00D23868"/>
    <w:rsid w:val="00D238C4"/>
    <w:rsid w:val="00D23CF7"/>
    <w:rsid w:val="00D23E07"/>
    <w:rsid w:val="00D23F8B"/>
    <w:rsid w:val="00D2466E"/>
    <w:rsid w:val="00D247DF"/>
    <w:rsid w:val="00D24924"/>
    <w:rsid w:val="00D24A91"/>
    <w:rsid w:val="00D24B40"/>
    <w:rsid w:val="00D24DBA"/>
    <w:rsid w:val="00D24DE4"/>
    <w:rsid w:val="00D24F92"/>
    <w:rsid w:val="00D2554D"/>
    <w:rsid w:val="00D25953"/>
    <w:rsid w:val="00D25AFA"/>
    <w:rsid w:val="00D25BD6"/>
    <w:rsid w:val="00D25D11"/>
    <w:rsid w:val="00D25DA4"/>
    <w:rsid w:val="00D25E7A"/>
    <w:rsid w:val="00D26021"/>
    <w:rsid w:val="00D26056"/>
    <w:rsid w:val="00D26152"/>
    <w:rsid w:val="00D2623F"/>
    <w:rsid w:val="00D262E1"/>
    <w:rsid w:val="00D263AE"/>
    <w:rsid w:val="00D26696"/>
    <w:rsid w:val="00D2682C"/>
    <w:rsid w:val="00D26AF3"/>
    <w:rsid w:val="00D26DBF"/>
    <w:rsid w:val="00D2703D"/>
    <w:rsid w:val="00D2709D"/>
    <w:rsid w:val="00D2719C"/>
    <w:rsid w:val="00D272A7"/>
    <w:rsid w:val="00D273C8"/>
    <w:rsid w:val="00D27463"/>
    <w:rsid w:val="00D276B6"/>
    <w:rsid w:val="00D27AC3"/>
    <w:rsid w:val="00D27EBA"/>
    <w:rsid w:val="00D27EF8"/>
    <w:rsid w:val="00D27EFE"/>
    <w:rsid w:val="00D2E16E"/>
    <w:rsid w:val="00D30250"/>
    <w:rsid w:val="00D30385"/>
    <w:rsid w:val="00D30591"/>
    <w:rsid w:val="00D306F3"/>
    <w:rsid w:val="00D30715"/>
    <w:rsid w:val="00D30952"/>
    <w:rsid w:val="00D30C72"/>
    <w:rsid w:val="00D30E29"/>
    <w:rsid w:val="00D30FCF"/>
    <w:rsid w:val="00D312B0"/>
    <w:rsid w:val="00D31627"/>
    <w:rsid w:val="00D320A4"/>
    <w:rsid w:val="00D32452"/>
    <w:rsid w:val="00D32992"/>
    <w:rsid w:val="00D32BF8"/>
    <w:rsid w:val="00D33036"/>
    <w:rsid w:val="00D33456"/>
    <w:rsid w:val="00D334A1"/>
    <w:rsid w:val="00D33788"/>
    <w:rsid w:val="00D338AC"/>
    <w:rsid w:val="00D33F17"/>
    <w:rsid w:val="00D33FD7"/>
    <w:rsid w:val="00D34589"/>
    <w:rsid w:val="00D34642"/>
    <w:rsid w:val="00D3484F"/>
    <w:rsid w:val="00D349C5"/>
    <w:rsid w:val="00D34E83"/>
    <w:rsid w:val="00D34FB1"/>
    <w:rsid w:val="00D35097"/>
    <w:rsid w:val="00D3530D"/>
    <w:rsid w:val="00D35370"/>
    <w:rsid w:val="00D3555E"/>
    <w:rsid w:val="00D355BD"/>
    <w:rsid w:val="00D3590D"/>
    <w:rsid w:val="00D35956"/>
    <w:rsid w:val="00D35F4E"/>
    <w:rsid w:val="00D361E9"/>
    <w:rsid w:val="00D3664D"/>
    <w:rsid w:val="00D369D6"/>
    <w:rsid w:val="00D36DF5"/>
    <w:rsid w:val="00D37114"/>
    <w:rsid w:val="00D376BA"/>
    <w:rsid w:val="00D37B79"/>
    <w:rsid w:val="00D37F55"/>
    <w:rsid w:val="00D403B8"/>
    <w:rsid w:val="00D404C0"/>
    <w:rsid w:val="00D40AFC"/>
    <w:rsid w:val="00D40D5F"/>
    <w:rsid w:val="00D40FFC"/>
    <w:rsid w:val="00D41106"/>
    <w:rsid w:val="00D41537"/>
    <w:rsid w:val="00D41A63"/>
    <w:rsid w:val="00D41E3F"/>
    <w:rsid w:val="00D41F8C"/>
    <w:rsid w:val="00D4207E"/>
    <w:rsid w:val="00D42412"/>
    <w:rsid w:val="00D42EB8"/>
    <w:rsid w:val="00D42F82"/>
    <w:rsid w:val="00D4310D"/>
    <w:rsid w:val="00D4326E"/>
    <w:rsid w:val="00D433B0"/>
    <w:rsid w:val="00D4353C"/>
    <w:rsid w:val="00D4391B"/>
    <w:rsid w:val="00D43D9C"/>
    <w:rsid w:val="00D44292"/>
    <w:rsid w:val="00D448E4"/>
    <w:rsid w:val="00D44C60"/>
    <w:rsid w:val="00D44FBB"/>
    <w:rsid w:val="00D45373"/>
    <w:rsid w:val="00D457D8"/>
    <w:rsid w:val="00D45A4A"/>
    <w:rsid w:val="00D45A55"/>
    <w:rsid w:val="00D45B15"/>
    <w:rsid w:val="00D45B5C"/>
    <w:rsid w:val="00D45DF6"/>
    <w:rsid w:val="00D45EA9"/>
    <w:rsid w:val="00D45F10"/>
    <w:rsid w:val="00D4604B"/>
    <w:rsid w:val="00D461CE"/>
    <w:rsid w:val="00D4621D"/>
    <w:rsid w:val="00D46462"/>
    <w:rsid w:val="00D46CF3"/>
    <w:rsid w:val="00D46D1C"/>
    <w:rsid w:val="00D46D25"/>
    <w:rsid w:val="00D46EAB"/>
    <w:rsid w:val="00D471CA"/>
    <w:rsid w:val="00D471CD"/>
    <w:rsid w:val="00D473E3"/>
    <w:rsid w:val="00D474F2"/>
    <w:rsid w:val="00D477A8"/>
    <w:rsid w:val="00D47B90"/>
    <w:rsid w:val="00D5010B"/>
    <w:rsid w:val="00D50655"/>
    <w:rsid w:val="00D50809"/>
    <w:rsid w:val="00D50945"/>
    <w:rsid w:val="00D50988"/>
    <w:rsid w:val="00D50C9B"/>
    <w:rsid w:val="00D50D56"/>
    <w:rsid w:val="00D5116F"/>
    <w:rsid w:val="00D51335"/>
    <w:rsid w:val="00D51336"/>
    <w:rsid w:val="00D5176E"/>
    <w:rsid w:val="00D51B9E"/>
    <w:rsid w:val="00D51BB8"/>
    <w:rsid w:val="00D51D39"/>
    <w:rsid w:val="00D5215B"/>
    <w:rsid w:val="00D5294E"/>
    <w:rsid w:val="00D52AD8"/>
    <w:rsid w:val="00D52B0D"/>
    <w:rsid w:val="00D52D4A"/>
    <w:rsid w:val="00D52E7C"/>
    <w:rsid w:val="00D52FDD"/>
    <w:rsid w:val="00D53090"/>
    <w:rsid w:val="00D530C4"/>
    <w:rsid w:val="00D5323A"/>
    <w:rsid w:val="00D5362A"/>
    <w:rsid w:val="00D53883"/>
    <w:rsid w:val="00D54049"/>
    <w:rsid w:val="00D54666"/>
    <w:rsid w:val="00D5468D"/>
    <w:rsid w:val="00D54768"/>
    <w:rsid w:val="00D54952"/>
    <w:rsid w:val="00D54B55"/>
    <w:rsid w:val="00D54BA8"/>
    <w:rsid w:val="00D54EFB"/>
    <w:rsid w:val="00D54F1E"/>
    <w:rsid w:val="00D55011"/>
    <w:rsid w:val="00D55804"/>
    <w:rsid w:val="00D558D3"/>
    <w:rsid w:val="00D55914"/>
    <w:rsid w:val="00D559C2"/>
    <w:rsid w:val="00D559D0"/>
    <w:rsid w:val="00D55F1A"/>
    <w:rsid w:val="00D56287"/>
    <w:rsid w:val="00D563DA"/>
    <w:rsid w:val="00D563DE"/>
    <w:rsid w:val="00D56540"/>
    <w:rsid w:val="00D56B7F"/>
    <w:rsid w:val="00D56F69"/>
    <w:rsid w:val="00D56F6A"/>
    <w:rsid w:val="00D5714A"/>
    <w:rsid w:val="00D57247"/>
    <w:rsid w:val="00D57290"/>
    <w:rsid w:val="00D57698"/>
    <w:rsid w:val="00D578B9"/>
    <w:rsid w:val="00D57AD4"/>
    <w:rsid w:val="00D57E8C"/>
    <w:rsid w:val="00D57FD8"/>
    <w:rsid w:val="00D6072A"/>
    <w:rsid w:val="00D6074E"/>
    <w:rsid w:val="00D6084D"/>
    <w:rsid w:val="00D60DE8"/>
    <w:rsid w:val="00D61037"/>
    <w:rsid w:val="00D61073"/>
    <w:rsid w:val="00D61441"/>
    <w:rsid w:val="00D61824"/>
    <w:rsid w:val="00D6188C"/>
    <w:rsid w:val="00D61B08"/>
    <w:rsid w:val="00D61B8B"/>
    <w:rsid w:val="00D61BE6"/>
    <w:rsid w:val="00D61D6F"/>
    <w:rsid w:val="00D621B7"/>
    <w:rsid w:val="00D623BC"/>
    <w:rsid w:val="00D626A0"/>
    <w:rsid w:val="00D6287A"/>
    <w:rsid w:val="00D629A1"/>
    <w:rsid w:val="00D62D2A"/>
    <w:rsid w:val="00D632C0"/>
    <w:rsid w:val="00D63506"/>
    <w:rsid w:val="00D635FA"/>
    <w:rsid w:val="00D639D0"/>
    <w:rsid w:val="00D63A62"/>
    <w:rsid w:val="00D63C39"/>
    <w:rsid w:val="00D63DF2"/>
    <w:rsid w:val="00D63E9B"/>
    <w:rsid w:val="00D64464"/>
    <w:rsid w:val="00D64625"/>
    <w:rsid w:val="00D64772"/>
    <w:rsid w:val="00D64C1F"/>
    <w:rsid w:val="00D64D2F"/>
    <w:rsid w:val="00D64E52"/>
    <w:rsid w:val="00D64F5C"/>
    <w:rsid w:val="00D65016"/>
    <w:rsid w:val="00D65072"/>
    <w:rsid w:val="00D6546C"/>
    <w:rsid w:val="00D656A7"/>
    <w:rsid w:val="00D658DC"/>
    <w:rsid w:val="00D66620"/>
    <w:rsid w:val="00D6665E"/>
    <w:rsid w:val="00D666BE"/>
    <w:rsid w:val="00D66714"/>
    <w:rsid w:val="00D66C73"/>
    <w:rsid w:val="00D66CDB"/>
    <w:rsid w:val="00D67061"/>
    <w:rsid w:val="00D67276"/>
    <w:rsid w:val="00D67E8C"/>
    <w:rsid w:val="00D70218"/>
    <w:rsid w:val="00D704AE"/>
    <w:rsid w:val="00D70510"/>
    <w:rsid w:val="00D7065F"/>
    <w:rsid w:val="00D706B2"/>
    <w:rsid w:val="00D70822"/>
    <w:rsid w:val="00D70BA5"/>
    <w:rsid w:val="00D70BE8"/>
    <w:rsid w:val="00D71097"/>
    <w:rsid w:val="00D71171"/>
    <w:rsid w:val="00D7125E"/>
    <w:rsid w:val="00D714FD"/>
    <w:rsid w:val="00D715BA"/>
    <w:rsid w:val="00D71AEF"/>
    <w:rsid w:val="00D71F0D"/>
    <w:rsid w:val="00D72278"/>
    <w:rsid w:val="00D72352"/>
    <w:rsid w:val="00D7245C"/>
    <w:rsid w:val="00D72707"/>
    <w:rsid w:val="00D727A7"/>
    <w:rsid w:val="00D72E17"/>
    <w:rsid w:val="00D73459"/>
    <w:rsid w:val="00D73502"/>
    <w:rsid w:val="00D7370C"/>
    <w:rsid w:val="00D73873"/>
    <w:rsid w:val="00D7398E"/>
    <w:rsid w:val="00D7429D"/>
    <w:rsid w:val="00D742B3"/>
    <w:rsid w:val="00D74393"/>
    <w:rsid w:val="00D744CC"/>
    <w:rsid w:val="00D7462F"/>
    <w:rsid w:val="00D75225"/>
    <w:rsid w:val="00D75576"/>
    <w:rsid w:val="00D7579B"/>
    <w:rsid w:val="00D75A8F"/>
    <w:rsid w:val="00D75F49"/>
    <w:rsid w:val="00D76021"/>
    <w:rsid w:val="00D76088"/>
    <w:rsid w:val="00D763B5"/>
    <w:rsid w:val="00D764EF"/>
    <w:rsid w:val="00D76540"/>
    <w:rsid w:val="00D76547"/>
    <w:rsid w:val="00D76A39"/>
    <w:rsid w:val="00D76C51"/>
    <w:rsid w:val="00D76E60"/>
    <w:rsid w:val="00D77219"/>
    <w:rsid w:val="00D772DD"/>
    <w:rsid w:val="00D77357"/>
    <w:rsid w:val="00D774FB"/>
    <w:rsid w:val="00D77AD4"/>
    <w:rsid w:val="00D77B8E"/>
    <w:rsid w:val="00D77BE0"/>
    <w:rsid w:val="00D77BF1"/>
    <w:rsid w:val="00D80066"/>
    <w:rsid w:val="00D800E8"/>
    <w:rsid w:val="00D800F1"/>
    <w:rsid w:val="00D803A0"/>
    <w:rsid w:val="00D80620"/>
    <w:rsid w:val="00D8071C"/>
    <w:rsid w:val="00D809AD"/>
    <w:rsid w:val="00D80A9E"/>
    <w:rsid w:val="00D80B6D"/>
    <w:rsid w:val="00D80D86"/>
    <w:rsid w:val="00D81027"/>
    <w:rsid w:val="00D81178"/>
    <w:rsid w:val="00D814C4"/>
    <w:rsid w:val="00D815CF"/>
    <w:rsid w:val="00D818C1"/>
    <w:rsid w:val="00D81C32"/>
    <w:rsid w:val="00D81D82"/>
    <w:rsid w:val="00D81DC0"/>
    <w:rsid w:val="00D81F9A"/>
    <w:rsid w:val="00D82504"/>
    <w:rsid w:val="00D82546"/>
    <w:rsid w:val="00D8268B"/>
    <w:rsid w:val="00D82936"/>
    <w:rsid w:val="00D8293B"/>
    <w:rsid w:val="00D82BCB"/>
    <w:rsid w:val="00D82D12"/>
    <w:rsid w:val="00D82DA8"/>
    <w:rsid w:val="00D82DF3"/>
    <w:rsid w:val="00D82E3F"/>
    <w:rsid w:val="00D831A2"/>
    <w:rsid w:val="00D83328"/>
    <w:rsid w:val="00D83706"/>
    <w:rsid w:val="00D838DA"/>
    <w:rsid w:val="00D83A46"/>
    <w:rsid w:val="00D83CCA"/>
    <w:rsid w:val="00D83F08"/>
    <w:rsid w:val="00D8437D"/>
    <w:rsid w:val="00D8464F"/>
    <w:rsid w:val="00D847D6"/>
    <w:rsid w:val="00D8495D"/>
    <w:rsid w:val="00D849B9"/>
    <w:rsid w:val="00D84DFD"/>
    <w:rsid w:val="00D8544E"/>
    <w:rsid w:val="00D8562A"/>
    <w:rsid w:val="00D856D7"/>
    <w:rsid w:val="00D856F1"/>
    <w:rsid w:val="00D8582C"/>
    <w:rsid w:val="00D85A64"/>
    <w:rsid w:val="00D85B08"/>
    <w:rsid w:val="00D85CF6"/>
    <w:rsid w:val="00D85DFB"/>
    <w:rsid w:val="00D85EC5"/>
    <w:rsid w:val="00D85EC8"/>
    <w:rsid w:val="00D8604A"/>
    <w:rsid w:val="00D86425"/>
    <w:rsid w:val="00D866A0"/>
    <w:rsid w:val="00D86859"/>
    <w:rsid w:val="00D86D96"/>
    <w:rsid w:val="00D87636"/>
    <w:rsid w:val="00D876CC"/>
    <w:rsid w:val="00D877D2"/>
    <w:rsid w:val="00D87867"/>
    <w:rsid w:val="00D87C56"/>
    <w:rsid w:val="00D87CD2"/>
    <w:rsid w:val="00D87F6F"/>
    <w:rsid w:val="00D87FFE"/>
    <w:rsid w:val="00D90154"/>
    <w:rsid w:val="00D90162"/>
    <w:rsid w:val="00D909B9"/>
    <w:rsid w:val="00D90C3C"/>
    <w:rsid w:val="00D90ED1"/>
    <w:rsid w:val="00D910FA"/>
    <w:rsid w:val="00D911A0"/>
    <w:rsid w:val="00D91597"/>
    <w:rsid w:val="00D918D2"/>
    <w:rsid w:val="00D918F6"/>
    <w:rsid w:val="00D91A96"/>
    <w:rsid w:val="00D91BB7"/>
    <w:rsid w:val="00D91C17"/>
    <w:rsid w:val="00D91D57"/>
    <w:rsid w:val="00D92312"/>
    <w:rsid w:val="00D926FC"/>
    <w:rsid w:val="00D92CF7"/>
    <w:rsid w:val="00D92FD4"/>
    <w:rsid w:val="00D932F0"/>
    <w:rsid w:val="00D93380"/>
    <w:rsid w:val="00D935AD"/>
    <w:rsid w:val="00D93A0B"/>
    <w:rsid w:val="00D93A61"/>
    <w:rsid w:val="00D93A90"/>
    <w:rsid w:val="00D93D2C"/>
    <w:rsid w:val="00D93DDE"/>
    <w:rsid w:val="00D93F89"/>
    <w:rsid w:val="00D940DA"/>
    <w:rsid w:val="00D942E5"/>
    <w:rsid w:val="00D9462C"/>
    <w:rsid w:val="00D94D60"/>
    <w:rsid w:val="00D9533A"/>
    <w:rsid w:val="00D9535A"/>
    <w:rsid w:val="00D95380"/>
    <w:rsid w:val="00D953F9"/>
    <w:rsid w:val="00D95429"/>
    <w:rsid w:val="00D959B0"/>
    <w:rsid w:val="00D96202"/>
    <w:rsid w:val="00D964B0"/>
    <w:rsid w:val="00D96735"/>
    <w:rsid w:val="00D96D3B"/>
    <w:rsid w:val="00D97360"/>
    <w:rsid w:val="00D9756A"/>
    <w:rsid w:val="00D97B8D"/>
    <w:rsid w:val="00D97CC9"/>
    <w:rsid w:val="00D97DF2"/>
    <w:rsid w:val="00DA02A7"/>
    <w:rsid w:val="00DA045F"/>
    <w:rsid w:val="00DA0494"/>
    <w:rsid w:val="00DA0DED"/>
    <w:rsid w:val="00DA12CA"/>
    <w:rsid w:val="00DA12F7"/>
    <w:rsid w:val="00DA18BC"/>
    <w:rsid w:val="00DA1A37"/>
    <w:rsid w:val="00DA1DA1"/>
    <w:rsid w:val="00DA1DC7"/>
    <w:rsid w:val="00DA1E6F"/>
    <w:rsid w:val="00DA207A"/>
    <w:rsid w:val="00DA239C"/>
    <w:rsid w:val="00DA2400"/>
    <w:rsid w:val="00DA26D7"/>
    <w:rsid w:val="00DA2B14"/>
    <w:rsid w:val="00DA2C63"/>
    <w:rsid w:val="00DA2D1A"/>
    <w:rsid w:val="00DA2D7B"/>
    <w:rsid w:val="00DA2E06"/>
    <w:rsid w:val="00DA2F8A"/>
    <w:rsid w:val="00DA31C5"/>
    <w:rsid w:val="00DA32AB"/>
    <w:rsid w:val="00DA352B"/>
    <w:rsid w:val="00DA369F"/>
    <w:rsid w:val="00DA375B"/>
    <w:rsid w:val="00DA3CC4"/>
    <w:rsid w:val="00DA4017"/>
    <w:rsid w:val="00DA44EA"/>
    <w:rsid w:val="00DA4751"/>
    <w:rsid w:val="00DA4BC3"/>
    <w:rsid w:val="00DA4E98"/>
    <w:rsid w:val="00DA4F2C"/>
    <w:rsid w:val="00DA5618"/>
    <w:rsid w:val="00DA5620"/>
    <w:rsid w:val="00DA5EBB"/>
    <w:rsid w:val="00DA601F"/>
    <w:rsid w:val="00DA6140"/>
    <w:rsid w:val="00DA6169"/>
    <w:rsid w:val="00DA63ED"/>
    <w:rsid w:val="00DA6806"/>
    <w:rsid w:val="00DA6A06"/>
    <w:rsid w:val="00DA6B4F"/>
    <w:rsid w:val="00DA6BF4"/>
    <w:rsid w:val="00DA6CAD"/>
    <w:rsid w:val="00DA7078"/>
    <w:rsid w:val="00DA74E5"/>
    <w:rsid w:val="00DA7B5B"/>
    <w:rsid w:val="00DA7F70"/>
    <w:rsid w:val="00DB01AD"/>
    <w:rsid w:val="00DB01F9"/>
    <w:rsid w:val="00DB03FD"/>
    <w:rsid w:val="00DB043C"/>
    <w:rsid w:val="00DB0833"/>
    <w:rsid w:val="00DB0962"/>
    <w:rsid w:val="00DB0B58"/>
    <w:rsid w:val="00DB100C"/>
    <w:rsid w:val="00DB115C"/>
    <w:rsid w:val="00DB1BA5"/>
    <w:rsid w:val="00DB1FA6"/>
    <w:rsid w:val="00DB2085"/>
    <w:rsid w:val="00DB22A6"/>
    <w:rsid w:val="00DB2BB9"/>
    <w:rsid w:val="00DB2CF1"/>
    <w:rsid w:val="00DB2E24"/>
    <w:rsid w:val="00DB3464"/>
    <w:rsid w:val="00DB383E"/>
    <w:rsid w:val="00DB3E79"/>
    <w:rsid w:val="00DB3F94"/>
    <w:rsid w:val="00DB40FE"/>
    <w:rsid w:val="00DB41EA"/>
    <w:rsid w:val="00DB4312"/>
    <w:rsid w:val="00DB4679"/>
    <w:rsid w:val="00DB47AF"/>
    <w:rsid w:val="00DB48F6"/>
    <w:rsid w:val="00DB491A"/>
    <w:rsid w:val="00DB4932"/>
    <w:rsid w:val="00DB4A41"/>
    <w:rsid w:val="00DB4AB9"/>
    <w:rsid w:val="00DB4C39"/>
    <w:rsid w:val="00DB4D9B"/>
    <w:rsid w:val="00DB4DAC"/>
    <w:rsid w:val="00DB4F38"/>
    <w:rsid w:val="00DB569D"/>
    <w:rsid w:val="00DB5FB3"/>
    <w:rsid w:val="00DB609A"/>
    <w:rsid w:val="00DB6195"/>
    <w:rsid w:val="00DB63A0"/>
    <w:rsid w:val="00DB64ED"/>
    <w:rsid w:val="00DB6511"/>
    <w:rsid w:val="00DB65A0"/>
    <w:rsid w:val="00DB6626"/>
    <w:rsid w:val="00DB6787"/>
    <w:rsid w:val="00DB6AA6"/>
    <w:rsid w:val="00DB718B"/>
    <w:rsid w:val="00DB72DB"/>
    <w:rsid w:val="00DB7D3D"/>
    <w:rsid w:val="00DB7E10"/>
    <w:rsid w:val="00DC003B"/>
    <w:rsid w:val="00DC00BE"/>
    <w:rsid w:val="00DC012F"/>
    <w:rsid w:val="00DC01B4"/>
    <w:rsid w:val="00DC0312"/>
    <w:rsid w:val="00DC03BF"/>
    <w:rsid w:val="00DC0824"/>
    <w:rsid w:val="00DC0C10"/>
    <w:rsid w:val="00DC0CCA"/>
    <w:rsid w:val="00DC0E28"/>
    <w:rsid w:val="00DC0EED"/>
    <w:rsid w:val="00DC132D"/>
    <w:rsid w:val="00DC14F8"/>
    <w:rsid w:val="00DC19D2"/>
    <w:rsid w:val="00DC1F59"/>
    <w:rsid w:val="00DC21BC"/>
    <w:rsid w:val="00DC256C"/>
    <w:rsid w:val="00DC27ED"/>
    <w:rsid w:val="00DC28E9"/>
    <w:rsid w:val="00DC2B10"/>
    <w:rsid w:val="00DC2CE8"/>
    <w:rsid w:val="00DC2EF3"/>
    <w:rsid w:val="00DC33B1"/>
    <w:rsid w:val="00DC33CA"/>
    <w:rsid w:val="00DC36E4"/>
    <w:rsid w:val="00DC3853"/>
    <w:rsid w:val="00DC3879"/>
    <w:rsid w:val="00DC3AC0"/>
    <w:rsid w:val="00DC3B9F"/>
    <w:rsid w:val="00DC3F27"/>
    <w:rsid w:val="00DC3FB5"/>
    <w:rsid w:val="00DC47DB"/>
    <w:rsid w:val="00DC49FF"/>
    <w:rsid w:val="00DC4A6F"/>
    <w:rsid w:val="00DC4A94"/>
    <w:rsid w:val="00DC4B4C"/>
    <w:rsid w:val="00DC503F"/>
    <w:rsid w:val="00DC53F8"/>
    <w:rsid w:val="00DC5479"/>
    <w:rsid w:val="00DC60CE"/>
    <w:rsid w:val="00DC6391"/>
    <w:rsid w:val="00DC68A6"/>
    <w:rsid w:val="00DC6B9B"/>
    <w:rsid w:val="00DC7555"/>
    <w:rsid w:val="00DC757D"/>
    <w:rsid w:val="00DD02EE"/>
    <w:rsid w:val="00DD0372"/>
    <w:rsid w:val="00DD090B"/>
    <w:rsid w:val="00DD0DD8"/>
    <w:rsid w:val="00DD0DF6"/>
    <w:rsid w:val="00DD0EB5"/>
    <w:rsid w:val="00DD1028"/>
    <w:rsid w:val="00DD19CB"/>
    <w:rsid w:val="00DD1BFD"/>
    <w:rsid w:val="00DD1CDA"/>
    <w:rsid w:val="00DD2112"/>
    <w:rsid w:val="00DD2978"/>
    <w:rsid w:val="00DD2A51"/>
    <w:rsid w:val="00DD2BE4"/>
    <w:rsid w:val="00DD2D4E"/>
    <w:rsid w:val="00DD2E10"/>
    <w:rsid w:val="00DD2FDF"/>
    <w:rsid w:val="00DD352D"/>
    <w:rsid w:val="00DD37CD"/>
    <w:rsid w:val="00DD387D"/>
    <w:rsid w:val="00DD3C48"/>
    <w:rsid w:val="00DD3E64"/>
    <w:rsid w:val="00DD3F6E"/>
    <w:rsid w:val="00DD4226"/>
    <w:rsid w:val="00DD45FC"/>
    <w:rsid w:val="00DD4728"/>
    <w:rsid w:val="00DD4788"/>
    <w:rsid w:val="00DD4A03"/>
    <w:rsid w:val="00DD4D89"/>
    <w:rsid w:val="00DD4E6C"/>
    <w:rsid w:val="00DD4EF7"/>
    <w:rsid w:val="00DD5136"/>
    <w:rsid w:val="00DD5D44"/>
    <w:rsid w:val="00DD6384"/>
    <w:rsid w:val="00DD671E"/>
    <w:rsid w:val="00DD67C2"/>
    <w:rsid w:val="00DD6A6F"/>
    <w:rsid w:val="00DD6C06"/>
    <w:rsid w:val="00DD727E"/>
    <w:rsid w:val="00DD7535"/>
    <w:rsid w:val="00DD774B"/>
    <w:rsid w:val="00DD7BE2"/>
    <w:rsid w:val="00DD7E8C"/>
    <w:rsid w:val="00DD7FBA"/>
    <w:rsid w:val="00DE04DE"/>
    <w:rsid w:val="00DE0712"/>
    <w:rsid w:val="00DE0A8F"/>
    <w:rsid w:val="00DE0B65"/>
    <w:rsid w:val="00DE0C99"/>
    <w:rsid w:val="00DE0F6A"/>
    <w:rsid w:val="00DE11CF"/>
    <w:rsid w:val="00DE155E"/>
    <w:rsid w:val="00DE1A0B"/>
    <w:rsid w:val="00DE1C87"/>
    <w:rsid w:val="00DE1D02"/>
    <w:rsid w:val="00DE1F9B"/>
    <w:rsid w:val="00DE1F9C"/>
    <w:rsid w:val="00DE2103"/>
    <w:rsid w:val="00DE2369"/>
    <w:rsid w:val="00DE28EC"/>
    <w:rsid w:val="00DE2F7A"/>
    <w:rsid w:val="00DE31E6"/>
    <w:rsid w:val="00DE3383"/>
    <w:rsid w:val="00DE33B3"/>
    <w:rsid w:val="00DE33C5"/>
    <w:rsid w:val="00DE33DC"/>
    <w:rsid w:val="00DE39E2"/>
    <w:rsid w:val="00DE3B6D"/>
    <w:rsid w:val="00DE3FEE"/>
    <w:rsid w:val="00DE4482"/>
    <w:rsid w:val="00DE47C7"/>
    <w:rsid w:val="00DE499B"/>
    <w:rsid w:val="00DE4CCC"/>
    <w:rsid w:val="00DE515E"/>
    <w:rsid w:val="00DE5720"/>
    <w:rsid w:val="00DE575C"/>
    <w:rsid w:val="00DE57D7"/>
    <w:rsid w:val="00DE5806"/>
    <w:rsid w:val="00DE5978"/>
    <w:rsid w:val="00DE5CC4"/>
    <w:rsid w:val="00DE5FE1"/>
    <w:rsid w:val="00DE6279"/>
    <w:rsid w:val="00DE6309"/>
    <w:rsid w:val="00DE65C4"/>
    <w:rsid w:val="00DE66AF"/>
    <w:rsid w:val="00DE677F"/>
    <w:rsid w:val="00DE6785"/>
    <w:rsid w:val="00DE68FA"/>
    <w:rsid w:val="00DE690B"/>
    <w:rsid w:val="00DE691E"/>
    <w:rsid w:val="00DE6E52"/>
    <w:rsid w:val="00DE6E6F"/>
    <w:rsid w:val="00DE7126"/>
    <w:rsid w:val="00DE7238"/>
    <w:rsid w:val="00DE72CC"/>
    <w:rsid w:val="00DE7465"/>
    <w:rsid w:val="00DE769F"/>
    <w:rsid w:val="00DE78BF"/>
    <w:rsid w:val="00DE7A09"/>
    <w:rsid w:val="00DE7D30"/>
    <w:rsid w:val="00DE7F29"/>
    <w:rsid w:val="00DE7F40"/>
    <w:rsid w:val="00DE7F8D"/>
    <w:rsid w:val="00DF01F4"/>
    <w:rsid w:val="00DF0873"/>
    <w:rsid w:val="00DF094E"/>
    <w:rsid w:val="00DF0C8C"/>
    <w:rsid w:val="00DF0F00"/>
    <w:rsid w:val="00DF1199"/>
    <w:rsid w:val="00DF16F1"/>
    <w:rsid w:val="00DF1842"/>
    <w:rsid w:val="00DF1C09"/>
    <w:rsid w:val="00DF1D1A"/>
    <w:rsid w:val="00DF1EF2"/>
    <w:rsid w:val="00DF2204"/>
    <w:rsid w:val="00DF23F2"/>
    <w:rsid w:val="00DF26EE"/>
    <w:rsid w:val="00DF277C"/>
    <w:rsid w:val="00DF2A28"/>
    <w:rsid w:val="00DF2C89"/>
    <w:rsid w:val="00DF30A8"/>
    <w:rsid w:val="00DF31F2"/>
    <w:rsid w:val="00DF373C"/>
    <w:rsid w:val="00DF3746"/>
    <w:rsid w:val="00DF3777"/>
    <w:rsid w:val="00DF37C5"/>
    <w:rsid w:val="00DF383C"/>
    <w:rsid w:val="00DF3A63"/>
    <w:rsid w:val="00DF3ADB"/>
    <w:rsid w:val="00DF3D69"/>
    <w:rsid w:val="00DF3E12"/>
    <w:rsid w:val="00DF3F2B"/>
    <w:rsid w:val="00DF3F85"/>
    <w:rsid w:val="00DF3FC7"/>
    <w:rsid w:val="00DF40BA"/>
    <w:rsid w:val="00DF4578"/>
    <w:rsid w:val="00DF49C6"/>
    <w:rsid w:val="00DF4C9D"/>
    <w:rsid w:val="00DF4D64"/>
    <w:rsid w:val="00DF4F05"/>
    <w:rsid w:val="00DF51B4"/>
    <w:rsid w:val="00DF5696"/>
    <w:rsid w:val="00DF5849"/>
    <w:rsid w:val="00DF5895"/>
    <w:rsid w:val="00DF59D2"/>
    <w:rsid w:val="00DF5C5C"/>
    <w:rsid w:val="00DF6497"/>
    <w:rsid w:val="00DF6AB6"/>
    <w:rsid w:val="00DF6BA8"/>
    <w:rsid w:val="00DF6E51"/>
    <w:rsid w:val="00DF70CF"/>
    <w:rsid w:val="00DF736A"/>
    <w:rsid w:val="00DF7952"/>
    <w:rsid w:val="00DF7AB9"/>
    <w:rsid w:val="00E00649"/>
    <w:rsid w:val="00E006B7"/>
    <w:rsid w:val="00E00AAA"/>
    <w:rsid w:val="00E00B69"/>
    <w:rsid w:val="00E00DC0"/>
    <w:rsid w:val="00E00EC8"/>
    <w:rsid w:val="00E010B0"/>
    <w:rsid w:val="00E0119A"/>
    <w:rsid w:val="00E016CD"/>
    <w:rsid w:val="00E0182B"/>
    <w:rsid w:val="00E01904"/>
    <w:rsid w:val="00E01D7A"/>
    <w:rsid w:val="00E01F82"/>
    <w:rsid w:val="00E02196"/>
    <w:rsid w:val="00E0233F"/>
    <w:rsid w:val="00E025B7"/>
    <w:rsid w:val="00E02633"/>
    <w:rsid w:val="00E02759"/>
    <w:rsid w:val="00E02858"/>
    <w:rsid w:val="00E0292A"/>
    <w:rsid w:val="00E029AC"/>
    <w:rsid w:val="00E02BAE"/>
    <w:rsid w:val="00E02D7B"/>
    <w:rsid w:val="00E02DAD"/>
    <w:rsid w:val="00E02E43"/>
    <w:rsid w:val="00E02FD9"/>
    <w:rsid w:val="00E030D8"/>
    <w:rsid w:val="00E03B02"/>
    <w:rsid w:val="00E03C0F"/>
    <w:rsid w:val="00E041F9"/>
    <w:rsid w:val="00E0458E"/>
    <w:rsid w:val="00E04827"/>
    <w:rsid w:val="00E04CB9"/>
    <w:rsid w:val="00E05323"/>
    <w:rsid w:val="00E05383"/>
    <w:rsid w:val="00E0538A"/>
    <w:rsid w:val="00E056AC"/>
    <w:rsid w:val="00E0586C"/>
    <w:rsid w:val="00E0587A"/>
    <w:rsid w:val="00E059D9"/>
    <w:rsid w:val="00E05BFA"/>
    <w:rsid w:val="00E05F75"/>
    <w:rsid w:val="00E06EC7"/>
    <w:rsid w:val="00E070D0"/>
    <w:rsid w:val="00E0711A"/>
    <w:rsid w:val="00E071B1"/>
    <w:rsid w:val="00E07667"/>
    <w:rsid w:val="00E077F9"/>
    <w:rsid w:val="00E07FB7"/>
    <w:rsid w:val="00E10191"/>
    <w:rsid w:val="00E10473"/>
    <w:rsid w:val="00E10980"/>
    <w:rsid w:val="00E109F1"/>
    <w:rsid w:val="00E109F3"/>
    <w:rsid w:val="00E10FE9"/>
    <w:rsid w:val="00E110E6"/>
    <w:rsid w:val="00E112E6"/>
    <w:rsid w:val="00E1168A"/>
    <w:rsid w:val="00E1188F"/>
    <w:rsid w:val="00E11C42"/>
    <w:rsid w:val="00E11DC8"/>
    <w:rsid w:val="00E122E9"/>
    <w:rsid w:val="00E123EA"/>
    <w:rsid w:val="00E1243D"/>
    <w:rsid w:val="00E12731"/>
    <w:rsid w:val="00E12895"/>
    <w:rsid w:val="00E12C8A"/>
    <w:rsid w:val="00E12EC3"/>
    <w:rsid w:val="00E12F5D"/>
    <w:rsid w:val="00E1358D"/>
    <w:rsid w:val="00E13690"/>
    <w:rsid w:val="00E13698"/>
    <w:rsid w:val="00E1370C"/>
    <w:rsid w:val="00E13843"/>
    <w:rsid w:val="00E13855"/>
    <w:rsid w:val="00E13BA8"/>
    <w:rsid w:val="00E142F6"/>
    <w:rsid w:val="00E1436B"/>
    <w:rsid w:val="00E143DA"/>
    <w:rsid w:val="00E1445F"/>
    <w:rsid w:val="00E145AB"/>
    <w:rsid w:val="00E1486B"/>
    <w:rsid w:val="00E14BB6"/>
    <w:rsid w:val="00E14BE7"/>
    <w:rsid w:val="00E14FF6"/>
    <w:rsid w:val="00E156C2"/>
    <w:rsid w:val="00E15A03"/>
    <w:rsid w:val="00E15B7D"/>
    <w:rsid w:val="00E15F91"/>
    <w:rsid w:val="00E160D4"/>
    <w:rsid w:val="00E16636"/>
    <w:rsid w:val="00E1680A"/>
    <w:rsid w:val="00E1696E"/>
    <w:rsid w:val="00E169F5"/>
    <w:rsid w:val="00E16A3E"/>
    <w:rsid w:val="00E16C07"/>
    <w:rsid w:val="00E16ECB"/>
    <w:rsid w:val="00E1708A"/>
    <w:rsid w:val="00E171E2"/>
    <w:rsid w:val="00E1750B"/>
    <w:rsid w:val="00E1767C"/>
    <w:rsid w:val="00E17AED"/>
    <w:rsid w:val="00E17B8C"/>
    <w:rsid w:val="00E17C73"/>
    <w:rsid w:val="00E17D96"/>
    <w:rsid w:val="00E17FE3"/>
    <w:rsid w:val="00E20346"/>
    <w:rsid w:val="00E203B7"/>
    <w:rsid w:val="00E20572"/>
    <w:rsid w:val="00E20966"/>
    <w:rsid w:val="00E20B68"/>
    <w:rsid w:val="00E20C55"/>
    <w:rsid w:val="00E20E22"/>
    <w:rsid w:val="00E211A9"/>
    <w:rsid w:val="00E21BC0"/>
    <w:rsid w:val="00E21CD8"/>
    <w:rsid w:val="00E220F8"/>
    <w:rsid w:val="00E22548"/>
    <w:rsid w:val="00E225CB"/>
    <w:rsid w:val="00E22774"/>
    <w:rsid w:val="00E22C8D"/>
    <w:rsid w:val="00E22CFB"/>
    <w:rsid w:val="00E2301E"/>
    <w:rsid w:val="00E2324A"/>
    <w:rsid w:val="00E234E7"/>
    <w:rsid w:val="00E236D7"/>
    <w:rsid w:val="00E23716"/>
    <w:rsid w:val="00E239CF"/>
    <w:rsid w:val="00E23C91"/>
    <w:rsid w:val="00E241F3"/>
    <w:rsid w:val="00E24405"/>
    <w:rsid w:val="00E24574"/>
    <w:rsid w:val="00E24ED8"/>
    <w:rsid w:val="00E25037"/>
    <w:rsid w:val="00E2532A"/>
    <w:rsid w:val="00E253AE"/>
    <w:rsid w:val="00E25827"/>
    <w:rsid w:val="00E25866"/>
    <w:rsid w:val="00E25FF7"/>
    <w:rsid w:val="00E2602B"/>
    <w:rsid w:val="00E26194"/>
    <w:rsid w:val="00E261FA"/>
    <w:rsid w:val="00E26496"/>
    <w:rsid w:val="00E27283"/>
    <w:rsid w:val="00E2741C"/>
    <w:rsid w:val="00E27443"/>
    <w:rsid w:val="00E2747F"/>
    <w:rsid w:val="00E2749C"/>
    <w:rsid w:val="00E2751F"/>
    <w:rsid w:val="00E275AB"/>
    <w:rsid w:val="00E27931"/>
    <w:rsid w:val="00E27962"/>
    <w:rsid w:val="00E27A31"/>
    <w:rsid w:val="00E27AB1"/>
    <w:rsid w:val="00E27D06"/>
    <w:rsid w:val="00E27F83"/>
    <w:rsid w:val="00E305B1"/>
    <w:rsid w:val="00E30605"/>
    <w:rsid w:val="00E307E5"/>
    <w:rsid w:val="00E30CD6"/>
    <w:rsid w:val="00E30FE9"/>
    <w:rsid w:val="00E31097"/>
    <w:rsid w:val="00E31184"/>
    <w:rsid w:val="00E31395"/>
    <w:rsid w:val="00E31566"/>
    <w:rsid w:val="00E316E2"/>
    <w:rsid w:val="00E3186A"/>
    <w:rsid w:val="00E31871"/>
    <w:rsid w:val="00E319D3"/>
    <w:rsid w:val="00E31F4F"/>
    <w:rsid w:val="00E31FF0"/>
    <w:rsid w:val="00E324EA"/>
    <w:rsid w:val="00E327B2"/>
    <w:rsid w:val="00E32A4D"/>
    <w:rsid w:val="00E32DB1"/>
    <w:rsid w:val="00E32E3C"/>
    <w:rsid w:val="00E32F3A"/>
    <w:rsid w:val="00E3333B"/>
    <w:rsid w:val="00E33452"/>
    <w:rsid w:val="00E33668"/>
    <w:rsid w:val="00E33791"/>
    <w:rsid w:val="00E33961"/>
    <w:rsid w:val="00E33B74"/>
    <w:rsid w:val="00E33FF9"/>
    <w:rsid w:val="00E34074"/>
    <w:rsid w:val="00E34688"/>
    <w:rsid w:val="00E346D3"/>
    <w:rsid w:val="00E34C7F"/>
    <w:rsid w:val="00E34E4E"/>
    <w:rsid w:val="00E34EED"/>
    <w:rsid w:val="00E35384"/>
    <w:rsid w:val="00E35570"/>
    <w:rsid w:val="00E35690"/>
    <w:rsid w:val="00E36180"/>
    <w:rsid w:val="00E36392"/>
    <w:rsid w:val="00E3639D"/>
    <w:rsid w:val="00E365C1"/>
    <w:rsid w:val="00E36808"/>
    <w:rsid w:val="00E3686D"/>
    <w:rsid w:val="00E3689D"/>
    <w:rsid w:val="00E36BAB"/>
    <w:rsid w:val="00E36E3B"/>
    <w:rsid w:val="00E36F6F"/>
    <w:rsid w:val="00E3712E"/>
    <w:rsid w:val="00E3714C"/>
    <w:rsid w:val="00E37325"/>
    <w:rsid w:val="00E37347"/>
    <w:rsid w:val="00E373A9"/>
    <w:rsid w:val="00E3767B"/>
    <w:rsid w:val="00E37C94"/>
    <w:rsid w:val="00E37E61"/>
    <w:rsid w:val="00E402FF"/>
    <w:rsid w:val="00E4041E"/>
    <w:rsid w:val="00E40660"/>
    <w:rsid w:val="00E40D9D"/>
    <w:rsid w:val="00E40E04"/>
    <w:rsid w:val="00E410D7"/>
    <w:rsid w:val="00E41185"/>
    <w:rsid w:val="00E41730"/>
    <w:rsid w:val="00E418EB"/>
    <w:rsid w:val="00E41D74"/>
    <w:rsid w:val="00E41DF8"/>
    <w:rsid w:val="00E41ED4"/>
    <w:rsid w:val="00E41F44"/>
    <w:rsid w:val="00E42263"/>
    <w:rsid w:val="00E4245A"/>
    <w:rsid w:val="00E4249A"/>
    <w:rsid w:val="00E424BD"/>
    <w:rsid w:val="00E4256F"/>
    <w:rsid w:val="00E42576"/>
    <w:rsid w:val="00E425D1"/>
    <w:rsid w:val="00E42644"/>
    <w:rsid w:val="00E42745"/>
    <w:rsid w:val="00E42C71"/>
    <w:rsid w:val="00E42FF6"/>
    <w:rsid w:val="00E431F9"/>
    <w:rsid w:val="00E43395"/>
    <w:rsid w:val="00E4369A"/>
    <w:rsid w:val="00E436F2"/>
    <w:rsid w:val="00E43828"/>
    <w:rsid w:val="00E43A9D"/>
    <w:rsid w:val="00E43D3D"/>
    <w:rsid w:val="00E43DDE"/>
    <w:rsid w:val="00E4422F"/>
    <w:rsid w:val="00E442CE"/>
    <w:rsid w:val="00E449E6"/>
    <w:rsid w:val="00E44AA7"/>
    <w:rsid w:val="00E44E65"/>
    <w:rsid w:val="00E452A5"/>
    <w:rsid w:val="00E456E4"/>
    <w:rsid w:val="00E45799"/>
    <w:rsid w:val="00E45882"/>
    <w:rsid w:val="00E459BB"/>
    <w:rsid w:val="00E45A34"/>
    <w:rsid w:val="00E45CBE"/>
    <w:rsid w:val="00E45DDC"/>
    <w:rsid w:val="00E460C9"/>
    <w:rsid w:val="00E46262"/>
    <w:rsid w:val="00E46616"/>
    <w:rsid w:val="00E467DD"/>
    <w:rsid w:val="00E469E7"/>
    <w:rsid w:val="00E46C7A"/>
    <w:rsid w:val="00E47299"/>
    <w:rsid w:val="00E472DC"/>
    <w:rsid w:val="00E47312"/>
    <w:rsid w:val="00E47874"/>
    <w:rsid w:val="00E4799E"/>
    <w:rsid w:val="00E47E41"/>
    <w:rsid w:val="00E47F89"/>
    <w:rsid w:val="00E50266"/>
    <w:rsid w:val="00E50407"/>
    <w:rsid w:val="00E504BA"/>
    <w:rsid w:val="00E50515"/>
    <w:rsid w:val="00E506AE"/>
    <w:rsid w:val="00E509E0"/>
    <w:rsid w:val="00E50A60"/>
    <w:rsid w:val="00E50E7F"/>
    <w:rsid w:val="00E51029"/>
    <w:rsid w:val="00E5121A"/>
    <w:rsid w:val="00E514D2"/>
    <w:rsid w:val="00E519DD"/>
    <w:rsid w:val="00E51AF6"/>
    <w:rsid w:val="00E51B4C"/>
    <w:rsid w:val="00E51F11"/>
    <w:rsid w:val="00E5202F"/>
    <w:rsid w:val="00E52208"/>
    <w:rsid w:val="00E525A5"/>
    <w:rsid w:val="00E52715"/>
    <w:rsid w:val="00E52B92"/>
    <w:rsid w:val="00E52E72"/>
    <w:rsid w:val="00E52EBC"/>
    <w:rsid w:val="00E532C4"/>
    <w:rsid w:val="00E537F6"/>
    <w:rsid w:val="00E53803"/>
    <w:rsid w:val="00E53914"/>
    <w:rsid w:val="00E5393A"/>
    <w:rsid w:val="00E53AB9"/>
    <w:rsid w:val="00E53BBF"/>
    <w:rsid w:val="00E53BD0"/>
    <w:rsid w:val="00E5407B"/>
    <w:rsid w:val="00E54088"/>
    <w:rsid w:val="00E540C1"/>
    <w:rsid w:val="00E542CE"/>
    <w:rsid w:val="00E542F5"/>
    <w:rsid w:val="00E54C35"/>
    <w:rsid w:val="00E55003"/>
    <w:rsid w:val="00E55386"/>
    <w:rsid w:val="00E55726"/>
    <w:rsid w:val="00E55A43"/>
    <w:rsid w:val="00E55E6C"/>
    <w:rsid w:val="00E55FA2"/>
    <w:rsid w:val="00E56078"/>
    <w:rsid w:val="00E563AF"/>
    <w:rsid w:val="00E568D1"/>
    <w:rsid w:val="00E56D31"/>
    <w:rsid w:val="00E56E4A"/>
    <w:rsid w:val="00E57209"/>
    <w:rsid w:val="00E57362"/>
    <w:rsid w:val="00E57485"/>
    <w:rsid w:val="00E57574"/>
    <w:rsid w:val="00E5773D"/>
    <w:rsid w:val="00E577ED"/>
    <w:rsid w:val="00E57ECC"/>
    <w:rsid w:val="00E57FF6"/>
    <w:rsid w:val="00E60112"/>
    <w:rsid w:val="00E6022D"/>
    <w:rsid w:val="00E6046C"/>
    <w:rsid w:val="00E6126F"/>
    <w:rsid w:val="00E618DF"/>
    <w:rsid w:val="00E61A9C"/>
    <w:rsid w:val="00E61AB2"/>
    <w:rsid w:val="00E61C10"/>
    <w:rsid w:val="00E61D7C"/>
    <w:rsid w:val="00E621EF"/>
    <w:rsid w:val="00E6275B"/>
    <w:rsid w:val="00E6283A"/>
    <w:rsid w:val="00E631FC"/>
    <w:rsid w:val="00E6347D"/>
    <w:rsid w:val="00E6348C"/>
    <w:rsid w:val="00E63506"/>
    <w:rsid w:val="00E636BB"/>
    <w:rsid w:val="00E6386E"/>
    <w:rsid w:val="00E638C6"/>
    <w:rsid w:val="00E63B57"/>
    <w:rsid w:val="00E63CF4"/>
    <w:rsid w:val="00E63E75"/>
    <w:rsid w:val="00E63EC5"/>
    <w:rsid w:val="00E64377"/>
    <w:rsid w:val="00E6489B"/>
    <w:rsid w:val="00E64D75"/>
    <w:rsid w:val="00E64F43"/>
    <w:rsid w:val="00E65490"/>
    <w:rsid w:val="00E65742"/>
    <w:rsid w:val="00E65766"/>
    <w:rsid w:val="00E65830"/>
    <w:rsid w:val="00E6586E"/>
    <w:rsid w:val="00E659C0"/>
    <w:rsid w:val="00E65A05"/>
    <w:rsid w:val="00E6636A"/>
    <w:rsid w:val="00E663C0"/>
    <w:rsid w:val="00E66779"/>
    <w:rsid w:val="00E6681A"/>
    <w:rsid w:val="00E66910"/>
    <w:rsid w:val="00E66B83"/>
    <w:rsid w:val="00E66B97"/>
    <w:rsid w:val="00E67070"/>
    <w:rsid w:val="00E67258"/>
    <w:rsid w:val="00E67347"/>
    <w:rsid w:val="00E674F0"/>
    <w:rsid w:val="00E678C0"/>
    <w:rsid w:val="00E67C8A"/>
    <w:rsid w:val="00E67F94"/>
    <w:rsid w:val="00E70271"/>
    <w:rsid w:val="00E704C4"/>
    <w:rsid w:val="00E7063E"/>
    <w:rsid w:val="00E706CB"/>
    <w:rsid w:val="00E70984"/>
    <w:rsid w:val="00E709ED"/>
    <w:rsid w:val="00E70AF5"/>
    <w:rsid w:val="00E70DB5"/>
    <w:rsid w:val="00E70FCD"/>
    <w:rsid w:val="00E71219"/>
    <w:rsid w:val="00E7124E"/>
    <w:rsid w:val="00E713BD"/>
    <w:rsid w:val="00E7159C"/>
    <w:rsid w:val="00E716A8"/>
    <w:rsid w:val="00E71A8D"/>
    <w:rsid w:val="00E71BF1"/>
    <w:rsid w:val="00E71D4D"/>
    <w:rsid w:val="00E71D52"/>
    <w:rsid w:val="00E71E5C"/>
    <w:rsid w:val="00E720AB"/>
    <w:rsid w:val="00E7210D"/>
    <w:rsid w:val="00E72195"/>
    <w:rsid w:val="00E721A8"/>
    <w:rsid w:val="00E721E4"/>
    <w:rsid w:val="00E721EF"/>
    <w:rsid w:val="00E7265C"/>
    <w:rsid w:val="00E72998"/>
    <w:rsid w:val="00E72BDD"/>
    <w:rsid w:val="00E72EA9"/>
    <w:rsid w:val="00E73117"/>
    <w:rsid w:val="00E737D2"/>
    <w:rsid w:val="00E73A53"/>
    <w:rsid w:val="00E73B8C"/>
    <w:rsid w:val="00E73B95"/>
    <w:rsid w:val="00E73F83"/>
    <w:rsid w:val="00E740F8"/>
    <w:rsid w:val="00E74223"/>
    <w:rsid w:val="00E743E9"/>
    <w:rsid w:val="00E74C7E"/>
    <w:rsid w:val="00E74D83"/>
    <w:rsid w:val="00E74DCE"/>
    <w:rsid w:val="00E74E32"/>
    <w:rsid w:val="00E74E35"/>
    <w:rsid w:val="00E7504F"/>
    <w:rsid w:val="00E75517"/>
    <w:rsid w:val="00E75C6F"/>
    <w:rsid w:val="00E75EB0"/>
    <w:rsid w:val="00E7628E"/>
    <w:rsid w:val="00E763E2"/>
    <w:rsid w:val="00E76585"/>
    <w:rsid w:val="00E76767"/>
    <w:rsid w:val="00E768DF"/>
    <w:rsid w:val="00E76C52"/>
    <w:rsid w:val="00E76EAE"/>
    <w:rsid w:val="00E7705E"/>
    <w:rsid w:val="00E7717E"/>
    <w:rsid w:val="00E773AC"/>
    <w:rsid w:val="00E775E4"/>
    <w:rsid w:val="00E77675"/>
    <w:rsid w:val="00E776F1"/>
    <w:rsid w:val="00E77EF9"/>
    <w:rsid w:val="00E77F88"/>
    <w:rsid w:val="00E80431"/>
    <w:rsid w:val="00E806B7"/>
    <w:rsid w:val="00E8108C"/>
    <w:rsid w:val="00E81165"/>
    <w:rsid w:val="00E81273"/>
    <w:rsid w:val="00E814C1"/>
    <w:rsid w:val="00E81686"/>
    <w:rsid w:val="00E817CB"/>
    <w:rsid w:val="00E81D71"/>
    <w:rsid w:val="00E81DB8"/>
    <w:rsid w:val="00E81DD7"/>
    <w:rsid w:val="00E82154"/>
    <w:rsid w:val="00E825D8"/>
    <w:rsid w:val="00E825F3"/>
    <w:rsid w:val="00E82A83"/>
    <w:rsid w:val="00E82F51"/>
    <w:rsid w:val="00E8359C"/>
    <w:rsid w:val="00E835D0"/>
    <w:rsid w:val="00E83682"/>
    <w:rsid w:val="00E83774"/>
    <w:rsid w:val="00E8385C"/>
    <w:rsid w:val="00E83EEF"/>
    <w:rsid w:val="00E8435D"/>
    <w:rsid w:val="00E8439A"/>
    <w:rsid w:val="00E8449E"/>
    <w:rsid w:val="00E844BF"/>
    <w:rsid w:val="00E84A63"/>
    <w:rsid w:val="00E84A8F"/>
    <w:rsid w:val="00E850E7"/>
    <w:rsid w:val="00E85285"/>
    <w:rsid w:val="00E8546E"/>
    <w:rsid w:val="00E85692"/>
    <w:rsid w:val="00E857CD"/>
    <w:rsid w:val="00E85839"/>
    <w:rsid w:val="00E85DD4"/>
    <w:rsid w:val="00E85EF4"/>
    <w:rsid w:val="00E85F04"/>
    <w:rsid w:val="00E85FCA"/>
    <w:rsid w:val="00E86195"/>
    <w:rsid w:val="00E8649B"/>
    <w:rsid w:val="00E864BA"/>
    <w:rsid w:val="00E86811"/>
    <w:rsid w:val="00E86AA1"/>
    <w:rsid w:val="00E86EA6"/>
    <w:rsid w:val="00E86EBC"/>
    <w:rsid w:val="00E871A7"/>
    <w:rsid w:val="00E87338"/>
    <w:rsid w:val="00E87365"/>
    <w:rsid w:val="00E877A3"/>
    <w:rsid w:val="00E8782A"/>
    <w:rsid w:val="00E87A05"/>
    <w:rsid w:val="00E87C42"/>
    <w:rsid w:val="00E87CE6"/>
    <w:rsid w:val="00E904A4"/>
    <w:rsid w:val="00E9059F"/>
    <w:rsid w:val="00E90A90"/>
    <w:rsid w:val="00E90B24"/>
    <w:rsid w:val="00E90BBA"/>
    <w:rsid w:val="00E90D96"/>
    <w:rsid w:val="00E912EB"/>
    <w:rsid w:val="00E91668"/>
    <w:rsid w:val="00E916C1"/>
    <w:rsid w:val="00E91B5E"/>
    <w:rsid w:val="00E91D40"/>
    <w:rsid w:val="00E91DB0"/>
    <w:rsid w:val="00E920E0"/>
    <w:rsid w:val="00E9280A"/>
    <w:rsid w:val="00E92B7D"/>
    <w:rsid w:val="00E92DBE"/>
    <w:rsid w:val="00E931C1"/>
    <w:rsid w:val="00E93280"/>
    <w:rsid w:val="00E93862"/>
    <w:rsid w:val="00E938FD"/>
    <w:rsid w:val="00E93BFD"/>
    <w:rsid w:val="00E93C63"/>
    <w:rsid w:val="00E94543"/>
    <w:rsid w:val="00E9487D"/>
    <w:rsid w:val="00E95012"/>
    <w:rsid w:val="00E9502E"/>
    <w:rsid w:val="00E951A3"/>
    <w:rsid w:val="00E95314"/>
    <w:rsid w:val="00E9542E"/>
    <w:rsid w:val="00E95452"/>
    <w:rsid w:val="00E95AD5"/>
    <w:rsid w:val="00E95FB2"/>
    <w:rsid w:val="00E9653F"/>
    <w:rsid w:val="00E96588"/>
    <w:rsid w:val="00E965AD"/>
    <w:rsid w:val="00E96715"/>
    <w:rsid w:val="00E96D89"/>
    <w:rsid w:val="00E96E09"/>
    <w:rsid w:val="00E96F59"/>
    <w:rsid w:val="00E97485"/>
    <w:rsid w:val="00E9757D"/>
    <w:rsid w:val="00E97BB3"/>
    <w:rsid w:val="00E97E05"/>
    <w:rsid w:val="00EA010C"/>
    <w:rsid w:val="00EA01BB"/>
    <w:rsid w:val="00EA033B"/>
    <w:rsid w:val="00EA0376"/>
    <w:rsid w:val="00EA0415"/>
    <w:rsid w:val="00EA063F"/>
    <w:rsid w:val="00EA0A3D"/>
    <w:rsid w:val="00EA0B30"/>
    <w:rsid w:val="00EA1026"/>
    <w:rsid w:val="00EA128C"/>
    <w:rsid w:val="00EA16A2"/>
    <w:rsid w:val="00EA18A2"/>
    <w:rsid w:val="00EA2741"/>
    <w:rsid w:val="00EA27AD"/>
    <w:rsid w:val="00EA285B"/>
    <w:rsid w:val="00EA28A8"/>
    <w:rsid w:val="00EA2A75"/>
    <w:rsid w:val="00EA2AFF"/>
    <w:rsid w:val="00EA32D2"/>
    <w:rsid w:val="00EA3481"/>
    <w:rsid w:val="00EA3769"/>
    <w:rsid w:val="00EA388A"/>
    <w:rsid w:val="00EA38FE"/>
    <w:rsid w:val="00EA39C2"/>
    <w:rsid w:val="00EA3B5F"/>
    <w:rsid w:val="00EA3EA5"/>
    <w:rsid w:val="00EA402D"/>
    <w:rsid w:val="00EA46C0"/>
    <w:rsid w:val="00EA4B46"/>
    <w:rsid w:val="00EA4BA4"/>
    <w:rsid w:val="00EA4CF8"/>
    <w:rsid w:val="00EA4CFB"/>
    <w:rsid w:val="00EA4D35"/>
    <w:rsid w:val="00EA4F51"/>
    <w:rsid w:val="00EA546B"/>
    <w:rsid w:val="00EA55A2"/>
    <w:rsid w:val="00EA55AD"/>
    <w:rsid w:val="00EA5A69"/>
    <w:rsid w:val="00EA5E6B"/>
    <w:rsid w:val="00EA6347"/>
    <w:rsid w:val="00EA6476"/>
    <w:rsid w:val="00EA64FA"/>
    <w:rsid w:val="00EA6C69"/>
    <w:rsid w:val="00EA711E"/>
    <w:rsid w:val="00EA719E"/>
    <w:rsid w:val="00EA7227"/>
    <w:rsid w:val="00EA7A7B"/>
    <w:rsid w:val="00EB0A67"/>
    <w:rsid w:val="00EB0DBA"/>
    <w:rsid w:val="00EB0EFD"/>
    <w:rsid w:val="00EB1001"/>
    <w:rsid w:val="00EB1305"/>
    <w:rsid w:val="00EB1342"/>
    <w:rsid w:val="00EB169D"/>
    <w:rsid w:val="00EB18AF"/>
    <w:rsid w:val="00EB1FA4"/>
    <w:rsid w:val="00EB1FB4"/>
    <w:rsid w:val="00EB26D9"/>
    <w:rsid w:val="00EB291D"/>
    <w:rsid w:val="00EB2A36"/>
    <w:rsid w:val="00EB2C91"/>
    <w:rsid w:val="00EB3380"/>
    <w:rsid w:val="00EB34CD"/>
    <w:rsid w:val="00EB371F"/>
    <w:rsid w:val="00EB3758"/>
    <w:rsid w:val="00EB39DB"/>
    <w:rsid w:val="00EB3C9E"/>
    <w:rsid w:val="00EB405D"/>
    <w:rsid w:val="00EB4622"/>
    <w:rsid w:val="00EB4732"/>
    <w:rsid w:val="00EB494A"/>
    <w:rsid w:val="00EB494F"/>
    <w:rsid w:val="00EB4C8C"/>
    <w:rsid w:val="00EB522F"/>
    <w:rsid w:val="00EB530A"/>
    <w:rsid w:val="00EB530F"/>
    <w:rsid w:val="00EB558D"/>
    <w:rsid w:val="00EB5A8C"/>
    <w:rsid w:val="00EB5F7C"/>
    <w:rsid w:val="00EB5FDA"/>
    <w:rsid w:val="00EB6618"/>
    <w:rsid w:val="00EB66C8"/>
    <w:rsid w:val="00EB66D3"/>
    <w:rsid w:val="00EB66E6"/>
    <w:rsid w:val="00EB6897"/>
    <w:rsid w:val="00EB68D7"/>
    <w:rsid w:val="00EB6B17"/>
    <w:rsid w:val="00EB6B47"/>
    <w:rsid w:val="00EB6F62"/>
    <w:rsid w:val="00EB7097"/>
    <w:rsid w:val="00EB72C1"/>
    <w:rsid w:val="00EB752A"/>
    <w:rsid w:val="00EB76FF"/>
    <w:rsid w:val="00EB7C37"/>
    <w:rsid w:val="00EB7CB3"/>
    <w:rsid w:val="00EB7D89"/>
    <w:rsid w:val="00EC033C"/>
    <w:rsid w:val="00EC058B"/>
    <w:rsid w:val="00EC0C17"/>
    <w:rsid w:val="00EC0DA4"/>
    <w:rsid w:val="00EC107E"/>
    <w:rsid w:val="00EC10CB"/>
    <w:rsid w:val="00EC148A"/>
    <w:rsid w:val="00EC1790"/>
    <w:rsid w:val="00EC1ECE"/>
    <w:rsid w:val="00EC20E5"/>
    <w:rsid w:val="00EC2124"/>
    <w:rsid w:val="00EC25D0"/>
    <w:rsid w:val="00EC25FD"/>
    <w:rsid w:val="00EC2620"/>
    <w:rsid w:val="00EC292D"/>
    <w:rsid w:val="00EC2E1A"/>
    <w:rsid w:val="00EC2E30"/>
    <w:rsid w:val="00EC34B6"/>
    <w:rsid w:val="00EC36DA"/>
    <w:rsid w:val="00EC3AFB"/>
    <w:rsid w:val="00EC3F58"/>
    <w:rsid w:val="00EC3FDE"/>
    <w:rsid w:val="00EC4350"/>
    <w:rsid w:val="00EC4515"/>
    <w:rsid w:val="00EC487F"/>
    <w:rsid w:val="00EC49C9"/>
    <w:rsid w:val="00EC4A4B"/>
    <w:rsid w:val="00EC4EEC"/>
    <w:rsid w:val="00EC505B"/>
    <w:rsid w:val="00EC532F"/>
    <w:rsid w:val="00EC54A9"/>
    <w:rsid w:val="00EC55B3"/>
    <w:rsid w:val="00EC5A00"/>
    <w:rsid w:val="00EC5A1F"/>
    <w:rsid w:val="00EC5B72"/>
    <w:rsid w:val="00EC5BB1"/>
    <w:rsid w:val="00EC5DE1"/>
    <w:rsid w:val="00EC5FC7"/>
    <w:rsid w:val="00EC60D0"/>
    <w:rsid w:val="00EC6485"/>
    <w:rsid w:val="00EC6A06"/>
    <w:rsid w:val="00EC6A7D"/>
    <w:rsid w:val="00EC6AEA"/>
    <w:rsid w:val="00EC6B3C"/>
    <w:rsid w:val="00EC6BCC"/>
    <w:rsid w:val="00EC6ECE"/>
    <w:rsid w:val="00EC6F93"/>
    <w:rsid w:val="00EC77AD"/>
    <w:rsid w:val="00EC7899"/>
    <w:rsid w:val="00EC7924"/>
    <w:rsid w:val="00EC79D8"/>
    <w:rsid w:val="00EC7CCC"/>
    <w:rsid w:val="00EC7F58"/>
    <w:rsid w:val="00ED0368"/>
    <w:rsid w:val="00ED0903"/>
    <w:rsid w:val="00ED0F4D"/>
    <w:rsid w:val="00ED10E9"/>
    <w:rsid w:val="00ED1279"/>
    <w:rsid w:val="00ED1333"/>
    <w:rsid w:val="00ED14E6"/>
    <w:rsid w:val="00ED15A9"/>
    <w:rsid w:val="00ED194B"/>
    <w:rsid w:val="00ED19AD"/>
    <w:rsid w:val="00ED211E"/>
    <w:rsid w:val="00ED2125"/>
    <w:rsid w:val="00ED21A0"/>
    <w:rsid w:val="00ED2932"/>
    <w:rsid w:val="00ED2BE4"/>
    <w:rsid w:val="00ED3820"/>
    <w:rsid w:val="00ED3C77"/>
    <w:rsid w:val="00ED449C"/>
    <w:rsid w:val="00ED44E2"/>
    <w:rsid w:val="00ED4757"/>
    <w:rsid w:val="00ED4CDD"/>
    <w:rsid w:val="00ED4E96"/>
    <w:rsid w:val="00ED51D3"/>
    <w:rsid w:val="00ED5926"/>
    <w:rsid w:val="00ED59AE"/>
    <w:rsid w:val="00ED5A67"/>
    <w:rsid w:val="00ED5CA2"/>
    <w:rsid w:val="00ED6068"/>
    <w:rsid w:val="00ED607D"/>
    <w:rsid w:val="00ED6216"/>
    <w:rsid w:val="00ED6F3D"/>
    <w:rsid w:val="00ED7172"/>
    <w:rsid w:val="00ED725D"/>
    <w:rsid w:val="00ED791E"/>
    <w:rsid w:val="00ED7BAB"/>
    <w:rsid w:val="00EE0343"/>
    <w:rsid w:val="00EE074D"/>
    <w:rsid w:val="00EE0829"/>
    <w:rsid w:val="00EE0F72"/>
    <w:rsid w:val="00EE1306"/>
    <w:rsid w:val="00EE145A"/>
    <w:rsid w:val="00EE1686"/>
    <w:rsid w:val="00EE1979"/>
    <w:rsid w:val="00EE1996"/>
    <w:rsid w:val="00EE1B88"/>
    <w:rsid w:val="00EE1BED"/>
    <w:rsid w:val="00EE1EF0"/>
    <w:rsid w:val="00EE2293"/>
    <w:rsid w:val="00EE22E2"/>
    <w:rsid w:val="00EE2467"/>
    <w:rsid w:val="00EE268E"/>
    <w:rsid w:val="00EE2865"/>
    <w:rsid w:val="00EE288D"/>
    <w:rsid w:val="00EE28D5"/>
    <w:rsid w:val="00EE2D5A"/>
    <w:rsid w:val="00EE3061"/>
    <w:rsid w:val="00EE31DA"/>
    <w:rsid w:val="00EE33FC"/>
    <w:rsid w:val="00EE3560"/>
    <w:rsid w:val="00EE36DD"/>
    <w:rsid w:val="00EE3FAD"/>
    <w:rsid w:val="00EE4046"/>
    <w:rsid w:val="00EE41FF"/>
    <w:rsid w:val="00EE47A5"/>
    <w:rsid w:val="00EE481F"/>
    <w:rsid w:val="00EE494F"/>
    <w:rsid w:val="00EE4959"/>
    <w:rsid w:val="00EE49CB"/>
    <w:rsid w:val="00EE4C68"/>
    <w:rsid w:val="00EE4D63"/>
    <w:rsid w:val="00EE4EC3"/>
    <w:rsid w:val="00EE4FB0"/>
    <w:rsid w:val="00EE5027"/>
    <w:rsid w:val="00EE55F3"/>
    <w:rsid w:val="00EE565C"/>
    <w:rsid w:val="00EE5666"/>
    <w:rsid w:val="00EE598A"/>
    <w:rsid w:val="00EE5AA6"/>
    <w:rsid w:val="00EE5D02"/>
    <w:rsid w:val="00EE5D73"/>
    <w:rsid w:val="00EE5E8A"/>
    <w:rsid w:val="00EE5EAD"/>
    <w:rsid w:val="00EE5FBC"/>
    <w:rsid w:val="00EE6216"/>
    <w:rsid w:val="00EE66DA"/>
    <w:rsid w:val="00EE6786"/>
    <w:rsid w:val="00EE692C"/>
    <w:rsid w:val="00EE6935"/>
    <w:rsid w:val="00EE6A7E"/>
    <w:rsid w:val="00EE6ECE"/>
    <w:rsid w:val="00EE6F03"/>
    <w:rsid w:val="00EE6FDC"/>
    <w:rsid w:val="00EE6FE9"/>
    <w:rsid w:val="00EE735B"/>
    <w:rsid w:val="00EE74F3"/>
    <w:rsid w:val="00EE74FF"/>
    <w:rsid w:val="00EE78F4"/>
    <w:rsid w:val="00EE7B61"/>
    <w:rsid w:val="00EE7BA9"/>
    <w:rsid w:val="00EE7DE5"/>
    <w:rsid w:val="00EF01D2"/>
    <w:rsid w:val="00EF0213"/>
    <w:rsid w:val="00EF02F0"/>
    <w:rsid w:val="00EF05FC"/>
    <w:rsid w:val="00EF06AA"/>
    <w:rsid w:val="00EF0956"/>
    <w:rsid w:val="00EF0B0A"/>
    <w:rsid w:val="00EF0BC0"/>
    <w:rsid w:val="00EF14B3"/>
    <w:rsid w:val="00EF15D3"/>
    <w:rsid w:val="00EF18BF"/>
    <w:rsid w:val="00EF193B"/>
    <w:rsid w:val="00EF1BA5"/>
    <w:rsid w:val="00EF1D60"/>
    <w:rsid w:val="00EF1F20"/>
    <w:rsid w:val="00EF242F"/>
    <w:rsid w:val="00EF245C"/>
    <w:rsid w:val="00EF25AD"/>
    <w:rsid w:val="00EF25C8"/>
    <w:rsid w:val="00EF2701"/>
    <w:rsid w:val="00EF2747"/>
    <w:rsid w:val="00EF2C9A"/>
    <w:rsid w:val="00EF2FAF"/>
    <w:rsid w:val="00EF365F"/>
    <w:rsid w:val="00EF3728"/>
    <w:rsid w:val="00EF38A0"/>
    <w:rsid w:val="00EF3BCB"/>
    <w:rsid w:val="00EF3EC8"/>
    <w:rsid w:val="00EF43BC"/>
    <w:rsid w:val="00EF44C5"/>
    <w:rsid w:val="00EF4520"/>
    <w:rsid w:val="00EF464E"/>
    <w:rsid w:val="00EF47B8"/>
    <w:rsid w:val="00EF4800"/>
    <w:rsid w:val="00EF492A"/>
    <w:rsid w:val="00EF4C02"/>
    <w:rsid w:val="00EF4D26"/>
    <w:rsid w:val="00EF4F10"/>
    <w:rsid w:val="00EF53B3"/>
    <w:rsid w:val="00EF543E"/>
    <w:rsid w:val="00EF5481"/>
    <w:rsid w:val="00EF56EE"/>
    <w:rsid w:val="00EF58F5"/>
    <w:rsid w:val="00EF5942"/>
    <w:rsid w:val="00EF62EC"/>
    <w:rsid w:val="00EF6390"/>
    <w:rsid w:val="00EF661B"/>
    <w:rsid w:val="00EF6680"/>
    <w:rsid w:val="00EF69E9"/>
    <w:rsid w:val="00EF6BC2"/>
    <w:rsid w:val="00EF6C84"/>
    <w:rsid w:val="00EF6FF0"/>
    <w:rsid w:val="00EF7280"/>
    <w:rsid w:val="00EF73F7"/>
    <w:rsid w:val="00EF76BB"/>
    <w:rsid w:val="00EF79C6"/>
    <w:rsid w:val="00EF7CB9"/>
    <w:rsid w:val="00F0000F"/>
    <w:rsid w:val="00F00014"/>
    <w:rsid w:val="00F00031"/>
    <w:rsid w:val="00F00102"/>
    <w:rsid w:val="00F00350"/>
    <w:rsid w:val="00F00357"/>
    <w:rsid w:val="00F00A31"/>
    <w:rsid w:val="00F00C04"/>
    <w:rsid w:val="00F011C9"/>
    <w:rsid w:val="00F01400"/>
    <w:rsid w:val="00F01470"/>
    <w:rsid w:val="00F015C3"/>
    <w:rsid w:val="00F01655"/>
    <w:rsid w:val="00F01DBE"/>
    <w:rsid w:val="00F01E9E"/>
    <w:rsid w:val="00F01F88"/>
    <w:rsid w:val="00F028CA"/>
    <w:rsid w:val="00F0290C"/>
    <w:rsid w:val="00F02FD4"/>
    <w:rsid w:val="00F0340A"/>
    <w:rsid w:val="00F0355A"/>
    <w:rsid w:val="00F038DB"/>
    <w:rsid w:val="00F0396E"/>
    <w:rsid w:val="00F039E4"/>
    <w:rsid w:val="00F03C41"/>
    <w:rsid w:val="00F03E15"/>
    <w:rsid w:val="00F04589"/>
    <w:rsid w:val="00F04696"/>
    <w:rsid w:val="00F0469A"/>
    <w:rsid w:val="00F046E0"/>
    <w:rsid w:val="00F04F41"/>
    <w:rsid w:val="00F04F54"/>
    <w:rsid w:val="00F05204"/>
    <w:rsid w:val="00F052BD"/>
    <w:rsid w:val="00F0546B"/>
    <w:rsid w:val="00F055ED"/>
    <w:rsid w:val="00F05812"/>
    <w:rsid w:val="00F05954"/>
    <w:rsid w:val="00F05C53"/>
    <w:rsid w:val="00F05D06"/>
    <w:rsid w:val="00F05D46"/>
    <w:rsid w:val="00F060B5"/>
    <w:rsid w:val="00F065DB"/>
    <w:rsid w:val="00F06920"/>
    <w:rsid w:val="00F069CB"/>
    <w:rsid w:val="00F06AC6"/>
    <w:rsid w:val="00F06ADF"/>
    <w:rsid w:val="00F06C4A"/>
    <w:rsid w:val="00F06CBD"/>
    <w:rsid w:val="00F06DDE"/>
    <w:rsid w:val="00F0767A"/>
    <w:rsid w:val="00F07814"/>
    <w:rsid w:val="00F07E51"/>
    <w:rsid w:val="00F103FF"/>
    <w:rsid w:val="00F10562"/>
    <w:rsid w:val="00F10957"/>
    <w:rsid w:val="00F11251"/>
    <w:rsid w:val="00F11694"/>
    <w:rsid w:val="00F116DD"/>
    <w:rsid w:val="00F117D5"/>
    <w:rsid w:val="00F1185F"/>
    <w:rsid w:val="00F11A7E"/>
    <w:rsid w:val="00F11B34"/>
    <w:rsid w:val="00F11BBD"/>
    <w:rsid w:val="00F11D6E"/>
    <w:rsid w:val="00F11EA2"/>
    <w:rsid w:val="00F1221C"/>
    <w:rsid w:val="00F12C12"/>
    <w:rsid w:val="00F12C9C"/>
    <w:rsid w:val="00F12D19"/>
    <w:rsid w:val="00F12E77"/>
    <w:rsid w:val="00F13389"/>
    <w:rsid w:val="00F1345E"/>
    <w:rsid w:val="00F1366E"/>
    <w:rsid w:val="00F139D2"/>
    <w:rsid w:val="00F13B0D"/>
    <w:rsid w:val="00F13C66"/>
    <w:rsid w:val="00F13EFA"/>
    <w:rsid w:val="00F13FC7"/>
    <w:rsid w:val="00F142F9"/>
    <w:rsid w:val="00F143A5"/>
    <w:rsid w:val="00F144CF"/>
    <w:rsid w:val="00F1599E"/>
    <w:rsid w:val="00F15A94"/>
    <w:rsid w:val="00F15D70"/>
    <w:rsid w:val="00F15E02"/>
    <w:rsid w:val="00F162AD"/>
    <w:rsid w:val="00F164A7"/>
    <w:rsid w:val="00F16674"/>
    <w:rsid w:val="00F16810"/>
    <w:rsid w:val="00F16815"/>
    <w:rsid w:val="00F1686F"/>
    <w:rsid w:val="00F16B54"/>
    <w:rsid w:val="00F16BCA"/>
    <w:rsid w:val="00F17239"/>
    <w:rsid w:val="00F174EC"/>
    <w:rsid w:val="00F176CF"/>
    <w:rsid w:val="00F17745"/>
    <w:rsid w:val="00F17748"/>
    <w:rsid w:val="00F17770"/>
    <w:rsid w:val="00F177AC"/>
    <w:rsid w:val="00F17A82"/>
    <w:rsid w:val="00F17C43"/>
    <w:rsid w:val="00F17E39"/>
    <w:rsid w:val="00F20289"/>
    <w:rsid w:val="00F2075B"/>
    <w:rsid w:val="00F20B41"/>
    <w:rsid w:val="00F20DA3"/>
    <w:rsid w:val="00F21A1E"/>
    <w:rsid w:val="00F21F17"/>
    <w:rsid w:val="00F225EA"/>
    <w:rsid w:val="00F2268A"/>
    <w:rsid w:val="00F229C1"/>
    <w:rsid w:val="00F22F26"/>
    <w:rsid w:val="00F22F9A"/>
    <w:rsid w:val="00F233C7"/>
    <w:rsid w:val="00F2356C"/>
    <w:rsid w:val="00F2362B"/>
    <w:rsid w:val="00F23659"/>
    <w:rsid w:val="00F23678"/>
    <w:rsid w:val="00F2377F"/>
    <w:rsid w:val="00F23BAD"/>
    <w:rsid w:val="00F23C51"/>
    <w:rsid w:val="00F23C73"/>
    <w:rsid w:val="00F23C8D"/>
    <w:rsid w:val="00F241E2"/>
    <w:rsid w:val="00F242B9"/>
    <w:rsid w:val="00F2437D"/>
    <w:rsid w:val="00F246E4"/>
    <w:rsid w:val="00F24A02"/>
    <w:rsid w:val="00F24AA7"/>
    <w:rsid w:val="00F24C45"/>
    <w:rsid w:val="00F24E93"/>
    <w:rsid w:val="00F25056"/>
    <w:rsid w:val="00F2516D"/>
    <w:rsid w:val="00F254C0"/>
    <w:rsid w:val="00F256B1"/>
    <w:rsid w:val="00F25755"/>
    <w:rsid w:val="00F25770"/>
    <w:rsid w:val="00F25828"/>
    <w:rsid w:val="00F259D5"/>
    <w:rsid w:val="00F25AFA"/>
    <w:rsid w:val="00F25D51"/>
    <w:rsid w:val="00F25E02"/>
    <w:rsid w:val="00F264E8"/>
    <w:rsid w:val="00F2685A"/>
    <w:rsid w:val="00F26959"/>
    <w:rsid w:val="00F26ED1"/>
    <w:rsid w:val="00F27023"/>
    <w:rsid w:val="00F2705C"/>
    <w:rsid w:val="00F27110"/>
    <w:rsid w:val="00F2778A"/>
    <w:rsid w:val="00F2779F"/>
    <w:rsid w:val="00F277EA"/>
    <w:rsid w:val="00F279CE"/>
    <w:rsid w:val="00F279D7"/>
    <w:rsid w:val="00F27C6C"/>
    <w:rsid w:val="00F27FF0"/>
    <w:rsid w:val="00F302A4"/>
    <w:rsid w:val="00F30503"/>
    <w:rsid w:val="00F3064A"/>
    <w:rsid w:val="00F30ABB"/>
    <w:rsid w:val="00F30C00"/>
    <w:rsid w:val="00F30DEA"/>
    <w:rsid w:val="00F30EAC"/>
    <w:rsid w:val="00F3105D"/>
    <w:rsid w:val="00F31389"/>
    <w:rsid w:val="00F316BE"/>
    <w:rsid w:val="00F31A1D"/>
    <w:rsid w:val="00F31DE1"/>
    <w:rsid w:val="00F3214A"/>
    <w:rsid w:val="00F32426"/>
    <w:rsid w:val="00F32562"/>
    <w:rsid w:val="00F32873"/>
    <w:rsid w:val="00F32A1B"/>
    <w:rsid w:val="00F32DE5"/>
    <w:rsid w:val="00F32F4C"/>
    <w:rsid w:val="00F32F61"/>
    <w:rsid w:val="00F3397E"/>
    <w:rsid w:val="00F343B2"/>
    <w:rsid w:val="00F3440C"/>
    <w:rsid w:val="00F34654"/>
    <w:rsid w:val="00F34DC6"/>
    <w:rsid w:val="00F34DEB"/>
    <w:rsid w:val="00F3521D"/>
    <w:rsid w:val="00F352F8"/>
    <w:rsid w:val="00F3538D"/>
    <w:rsid w:val="00F35775"/>
    <w:rsid w:val="00F358C8"/>
    <w:rsid w:val="00F3593C"/>
    <w:rsid w:val="00F35A56"/>
    <w:rsid w:val="00F35C8E"/>
    <w:rsid w:val="00F35DD9"/>
    <w:rsid w:val="00F35F73"/>
    <w:rsid w:val="00F35FEF"/>
    <w:rsid w:val="00F360E4"/>
    <w:rsid w:val="00F36271"/>
    <w:rsid w:val="00F366FF"/>
    <w:rsid w:val="00F367C9"/>
    <w:rsid w:val="00F36810"/>
    <w:rsid w:val="00F36A72"/>
    <w:rsid w:val="00F37391"/>
    <w:rsid w:val="00F377B3"/>
    <w:rsid w:val="00F4019A"/>
    <w:rsid w:val="00F407A9"/>
    <w:rsid w:val="00F40D06"/>
    <w:rsid w:val="00F40D89"/>
    <w:rsid w:val="00F41172"/>
    <w:rsid w:val="00F41454"/>
    <w:rsid w:val="00F4145C"/>
    <w:rsid w:val="00F414E4"/>
    <w:rsid w:val="00F41C02"/>
    <w:rsid w:val="00F41E77"/>
    <w:rsid w:val="00F4250E"/>
    <w:rsid w:val="00F42B27"/>
    <w:rsid w:val="00F42D2C"/>
    <w:rsid w:val="00F42D9F"/>
    <w:rsid w:val="00F42EC4"/>
    <w:rsid w:val="00F42FD1"/>
    <w:rsid w:val="00F43341"/>
    <w:rsid w:val="00F4340D"/>
    <w:rsid w:val="00F437CF"/>
    <w:rsid w:val="00F43C78"/>
    <w:rsid w:val="00F44101"/>
    <w:rsid w:val="00F44134"/>
    <w:rsid w:val="00F442E6"/>
    <w:rsid w:val="00F442FF"/>
    <w:rsid w:val="00F4446A"/>
    <w:rsid w:val="00F447C4"/>
    <w:rsid w:val="00F44924"/>
    <w:rsid w:val="00F44A1B"/>
    <w:rsid w:val="00F44AC9"/>
    <w:rsid w:val="00F44BD0"/>
    <w:rsid w:val="00F45181"/>
    <w:rsid w:val="00F4559C"/>
    <w:rsid w:val="00F459A9"/>
    <w:rsid w:val="00F45BC2"/>
    <w:rsid w:val="00F46305"/>
    <w:rsid w:val="00F46381"/>
    <w:rsid w:val="00F4683E"/>
    <w:rsid w:val="00F469A5"/>
    <w:rsid w:val="00F46C90"/>
    <w:rsid w:val="00F47534"/>
    <w:rsid w:val="00F47683"/>
    <w:rsid w:val="00F47E92"/>
    <w:rsid w:val="00F5042F"/>
    <w:rsid w:val="00F507BD"/>
    <w:rsid w:val="00F508A2"/>
    <w:rsid w:val="00F50E4F"/>
    <w:rsid w:val="00F50ECB"/>
    <w:rsid w:val="00F51048"/>
    <w:rsid w:val="00F51078"/>
    <w:rsid w:val="00F51785"/>
    <w:rsid w:val="00F51A80"/>
    <w:rsid w:val="00F52467"/>
    <w:rsid w:val="00F52499"/>
    <w:rsid w:val="00F52787"/>
    <w:rsid w:val="00F52922"/>
    <w:rsid w:val="00F529A4"/>
    <w:rsid w:val="00F529D0"/>
    <w:rsid w:val="00F52A1F"/>
    <w:rsid w:val="00F5306B"/>
    <w:rsid w:val="00F530F4"/>
    <w:rsid w:val="00F534C7"/>
    <w:rsid w:val="00F536F5"/>
    <w:rsid w:val="00F5396B"/>
    <w:rsid w:val="00F54158"/>
    <w:rsid w:val="00F5459F"/>
    <w:rsid w:val="00F54642"/>
    <w:rsid w:val="00F54E0C"/>
    <w:rsid w:val="00F551CA"/>
    <w:rsid w:val="00F554A5"/>
    <w:rsid w:val="00F5575E"/>
    <w:rsid w:val="00F55BEE"/>
    <w:rsid w:val="00F561C7"/>
    <w:rsid w:val="00F56921"/>
    <w:rsid w:val="00F56BC9"/>
    <w:rsid w:val="00F56EBF"/>
    <w:rsid w:val="00F56F63"/>
    <w:rsid w:val="00F57201"/>
    <w:rsid w:val="00F57443"/>
    <w:rsid w:val="00F57D2D"/>
    <w:rsid w:val="00F57FB7"/>
    <w:rsid w:val="00F60179"/>
    <w:rsid w:val="00F60465"/>
    <w:rsid w:val="00F60549"/>
    <w:rsid w:val="00F609D3"/>
    <w:rsid w:val="00F60B99"/>
    <w:rsid w:val="00F6105F"/>
    <w:rsid w:val="00F6109A"/>
    <w:rsid w:val="00F61323"/>
    <w:rsid w:val="00F6154B"/>
    <w:rsid w:val="00F61573"/>
    <w:rsid w:val="00F61797"/>
    <w:rsid w:val="00F6186A"/>
    <w:rsid w:val="00F61B5F"/>
    <w:rsid w:val="00F61C57"/>
    <w:rsid w:val="00F61CA3"/>
    <w:rsid w:val="00F62634"/>
    <w:rsid w:val="00F6294C"/>
    <w:rsid w:val="00F62BC1"/>
    <w:rsid w:val="00F62D57"/>
    <w:rsid w:val="00F630E6"/>
    <w:rsid w:val="00F6319A"/>
    <w:rsid w:val="00F633A0"/>
    <w:rsid w:val="00F6343C"/>
    <w:rsid w:val="00F6377F"/>
    <w:rsid w:val="00F639D9"/>
    <w:rsid w:val="00F63EA9"/>
    <w:rsid w:val="00F64181"/>
    <w:rsid w:val="00F641C8"/>
    <w:rsid w:val="00F642CE"/>
    <w:rsid w:val="00F6435B"/>
    <w:rsid w:val="00F6463E"/>
    <w:rsid w:val="00F6465A"/>
    <w:rsid w:val="00F648A8"/>
    <w:rsid w:val="00F64CBA"/>
    <w:rsid w:val="00F64E30"/>
    <w:rsid w:val="00F64EB2"/>
    <w:rsid w:val="00F65004"/>
    <w:rsid w:val="00F6508C"/>
    <w:rsid w:val="00F65199"/>
    <w:rsid w:val="00F65450"/>
    <w:rsid w:val="00F655E4"/>
    <w:rsid w:val="00F65797"/>
    <w:rsid w:val="00F657A6"/>
    <w:rsid w:val="00F65805"/>
    <w:rsid w:val="00F65AAF"/>
    <w:rsid w:val="00F65CB5"/>
    <w:rsid w:val="00F65DE0"/>
    <w:rsid w:val="00F65FF6"/>
    <w:rsid w:val="00F663C6"/>
    <w:rsid w:val="00F6643B"/>
    <w:rsid w:val="00F665A9"/>
    <w:rsid w:val="00F666C1"/>
    <w:rsid w:val="00F6671A"/>
    <w:rsid w:val="00F66AFE"/>
    <w:rsid w:val="00F66CEC"/>
    <w:rsid w:val="00F66E2E"/>
    <w:rsid w:val="00F67141"/>
    <w:rsid w:val="00F67506"/>
    <w:rsid w:val="00F67A38"/>
    <w:rsid w:val="00F67FB5"/>
    <w:rsid w:val="00F700F8"/>
    <w:rsid w:val="00F703B5"/>
    <w:rsid w:val="00F7059D"/>
    <w:rsid w:val="00F70811"/>
    <w:rsid w:val="00F70813"/>
    <w:rsid w:val="00F7094A"/>
    <w:rsid w:val="00F70A02"/>
    <w:rsid w:val="00F70FE9"/>
    <w:rsid w:val="00F7118D"/>
    <w:rsid w:val="00F713E6"/>
    <w:rsid w:val="00F71482"/>
    <w:rsid w:val="00F71551"/>
    <w:rsid w:val="00F715C3"/>
    <w:rsid w:val="00F71765"/>
    <w:rsid w:val="00F71D94"/>
    <w:rsid w:val="00F71F89"/>
    <w:rsid w:val="00F720A7"/>
    <w:rsid w:val="00F720E1"/>
    <w:rsid w:val="00F72198"/>
    <w:rsid w:val="00F7296C"/>
    <w:rsid w:val="00F72D89"/>
    <w:rsid w:val="00F72F68"/>
    <w:rsid w:val="00F7306D"/>
    <w:rsid w:val="00F7311C"/>
    <w:rsid w:val="00F73163"/>
    <w:rsid w:val="00F73810"/>
    <w:rsid w:val="00F73AC9"/>
    <w:rsid w:val="00F7419B"/>
    <w:rsid w:val="00F744A1"/>
    <w:rsid w:val="00F746B9"/>
    <w:rsid w:val="00F7479C"/>
    <w:rsid w:val="00F74851"/>
    <w:rsid w:val="00F7486A"/>
    <w:rsid w:val="00F748D1"/>
    <w:rsid w:val="00F74C0E"/>
    <w:rsid w:val="00F751D5"/>
    <w:rsid w:val="00F75409"/>
    <w:rsid w:val="00F75475"/>
    <w:rsid w:val="00F754BF"/>
    <w:rsid w:val="00F758DB"/>
    <w:rsid w:val="00F75ACF"/>
    <w:rsid w:val="00F7604A"/>
    <w:rsid w:val="00F761D6"/>
    <w:rsid w:val="00F76202"/>
    <w:rsid w:val="00F7620C"/>
    <w:rsid w:val="00F76230"/>
    <w:rsid w:val="00F76233"/>
    <w:rsid w:val="00F76450"/>
    <w:rsid w:val="00F764E1"/>
    <w:rsid w:val="00F7678D"/>
    <w:rsid w:val="00F768E8"/>
    <w:rsid w:val="00F76952"/>
    <w:rsid w:val="00F76A73"/>
    <w:rsid w:val="00F76B19"/>
    <w:rsid w:val="00F76D18"/>
    <w:rsid w:val="00F76ED9"/>
    <w:rsid w:val="00F76EF5"/>
    <w:rsid w:val="00F76FF1"/>
    <w:rsid w:val="00F770C0"/>
    <w:rsid w:val="00F77236"/>
    <w:rsid w:val="00F7729B"/>
    <w:rsid w:val="00F7730B"/>
    <w:rsid w:val="00F7759A"/>
    <w:rsid w:val="00F775D6"/>
    <w:rsid w:val="00F779A8"/>
    <w:rsid w:val="00F77A8B"/>
    <w:rsid w:val="00F77B33"/>
    <w:rsid w:val="00F80072"/>
    <w:rsid w:val="00F8061D"/>
    <w:rsid w:val="00F8085D"/>
    <w:rsid w:val="00F8094C"/>
    <w:rsid w:val="00F80C6E"/>
    <w:rsid w:val="00F812F4"/>
    <w:rsid w:val="00F81377"/>
    <w:rsid w:val="00F813AC"/>
    <w:rsid w:val="00F81483"/>
    <w:rsid w:val="00F81662"/>
    <w:rsid w:val="00F816D0"/>
    <w:rsid w:val="00F8190D"/>
    <w:rsid w:val="00F81BA8"/>
    <w:rsid w:val="00F8200D"/>
    <w:rsid w:val="00F820A7"/>
    <w:rsid w:val="00F82279"/>
    <w:rsid w:val="00F82B90"/>
    <w:rsid w:val="00F8463F"/>
    <w:rsid w:val="00F8482C"/>
    <w:rsid w:val="00F84A31"/>
    <w:rsid w:val="00F84B01"/>
    <w:rsid w:val="00F84B77"/>
    <w:rsid w:val="00F85012"/>
    <w:rsid w:val="00F8525B"/>
    <w:rsid w:val="00F85C53"/>
    <w:rsid w:val="00F85EA4"/>
    <w:rsid w:val="00F85EDF"/>
    <w:rsid w:val="00F8602A"/>
    <w:rsid w:val="00F8618E"/>
    <w:rsid w:val="00F86508"/>
    <w:rsid w:val="00F86557"/>
    <w:rsid w:val="00F86908"/>
    <w:rsid w:val="00F8697C"/>
    <w:rsid w:val="00F86BB2"/>
    <w:rsid w:val="00F86D7F"/>
    <w:rsid w:val="00F87348"/>
    <w:rsid w:val="00F87723"/>
    <w:rsid w:val="00F87758"/>
    <w:rsid w:val="00F87B53"/>
    <w:rsid w:val="00F90271"/>
    <w:rsid w:val="00F90881"/>
    <w:rsid w:val="00F909A0"/>
    <w:rsid w:val="00F90AE3"/>
    <w:rsid w:val="00F9164B"/>
    <w:rsid w:val="00F91683"/>
    <w:rsid w:val="00F916A2"/>
    <w:rsid w:val="00F918AB"/>
    <w:rsid w:val="00F922CB"/>
    <w:rsid w:val="00F9230F"/>
    <w:rsid w:val="00F92500"/>
    <w:rsid w:val="00F92588"/>
    <w:rsid w:val="00F928A1"/>
    <w:rsid w:val="00F9330B"/>
    <w:rsid w:val="00F93434"/>
    <w:rsid w:val="00F93C93"/>
    <w:rsid w:val="00F93D7F"/>
    <w:rsid w:val="00F94221"/>
    <w:rsid w:val="00F94374"/>
    <w:rsid w:val="00F94453"/>
    <w:rsid w:val="00F948B1"/>
    <w:rsid w:val="00F9495C"/>
    <w:rsid w:val="00F9606E"/>
    <w:rsid w:val="00F9649E"/>
    <w:rsid w:val="00F965D3"/>
    <w:rsid w:val="00F96757"/>
    <w:rsid w:val="00F96A82"/>
    <w:rsid w:val="00F96D26"/>
    <w:rsid w:val="00F96E5A"/>
    <w:rsid w:val="00F96EDC"/>
    <w:rsid w:val="00F970A8"/>
    <w:rsid w:val="00F9731C"/>
    <w:rsid w:val="00F979FC"/>
    <w:rsid w:val="00F97BEB"/>
    <w:rsid w:val="00F97C54"/>
    <w:rsid w:val="00FA0418"/>
    <w:rsid w:val="00FA0499"/>
    <w:rsid w:val="00FA04A5"/>
    <w:rsid w:val="00FA04BC"/>
    <w:rsid w:val="00FA07A7"/>
    <w:rsid w:val="00FA0C70"/>
    <w:rsid w:val="00FA0C99"/>
    <w:rsid w:val="00FA11E2"/>
    <w:rsid w:val="00FA1595"/>
    <w:rsid w:val="00FA167E"/>
    <w:rsid w:val="00FA1808"/>
    <w:rsid w:val="00FA1CEF"/>
    <w:rsid w:val="00FA2257"/>
    <w:rsid w:val="00FA2574"/>
    <w:rsid w:val="00FA2BFC"/>
    <w:rsid w:val="00FA2CA6"/>
    <w:rsid w:val="00FA3024"/>
    <w:rsid w:val="00FA30A4"/>
    <w:rsid w:val="00FA30F4"/>
    <w:rsid w:val="00FA33A6"/>
    <w:rsid w:val="00FA33D6"/>
    <w:rsid w:val="00FA34FC"/>
    <w:rsid w:val="00FA38BC"/>
    <w:rsid w:val="00FA3B40"/>
    <w:rsid w:val="00FA3B65"/>
    <w:rsid w:val="00FA3F02"/>
    <w:rsid w:val="00FA40D2"/>
    <w:rsid w:val="00FA45A2"/>
    <w:rsid w:val="00FA49E2"/>
    <w:rsid w:val="00FA4A6F"/>
    <w:rsid w:val="00FA4B6F"/>
    <w:rsid w:val="00FA4CC4"/>
    <w:rsid w:val="00FA4EED"/>
    <w:rsid w:val="00FA4FC5"/>
    <w:rsid w:val="00FA5053"/>
    <w:rsid w:val="00FA5168"/>
    <w:rsid w:val="00FA5ADB"/>
    <w:rsid w:val="00FA5BDB"/>
    <w:rsid w:val="00FA5F37"/>
    <w:rsid w:val="00FA6031"/>
    <w:rsid w:val="00FA6726"/>
    <w:rsid w:val="00FA67D7"/>
    <w:rsid w:val="00FA682B"/>
    <w:rsid w:val="00FA684C"/>
    <w:rsid w:val="00FA7F8A"/>
    <w:rsid w:val="00FB019E"/>
    <w:rsid w:val="00FB0419"/>
    <w:rsid w:val="00FB06B5"/>
    <w:rsid w:val="00FB07F6"/>
    <w:rsid w:val="00FB0A59"/>
    <w:rsid w:val="00FB0D44"/>
    <w:rsid w:val="00FB0FDA"/>
    <w:rsid w:val="00FB108F"/>
    <w:rsid w:val="00FB160B"/>
    <w:rsid w:val="00FB1806"/>
    <w:rsid w:val="00FB1EB1"/>
    <w:rsid w:val="00FB1F7F"/>
    <w:rsid w:val="00FB2864"/>
    <w:rsid w:val="00FB2889"/>
    <w:rsid w:val="00FB290B"/>
    <w:rsid w:val="00FB299F"/>
    <w:rsid w:val="00FB2A6F"/>
    <w:rsid w:val="00FB2BAA"/>
    <w:rsid w:val="00FB3BBA"/>
    <w:rsid w:val="00FB3CED"/>
    <w:rsid w:val="00FB3E80"/>
    <w:rsid w:val="00FB41F3"/>
    <w:rsid w:val="00FB423D"/>
    <w:rsid w:val="00FB45B1"/>
    <w:rsid w:val="00FB4C4D"/>
    <w:rsid w:val="00FB5001"/>
    <w:rsid w:val="00FB512A"/>
    <w:rsid w:val="00FB5253"/>
    <w:rsid w:val="00FB594E"/>
    <w:rsid w:val="00FB5972"/>
    <w:rsid w:val="00FB59D1"/>
    <w:rsid w:val="00FB5B1F"/>
    <w:rsid w:val="00FB5ED2"/>
    <w:rsid w:val="00FB6158"/>
    <w:rsid w:val="00FB6681"/>
    <w:rsid w:val="00FB6AD6"/>
    <w:rsid w:val="00FB6BDF"/>
    <w:rsid w:val="00FB70D8"/>
    <w:rsid w:val="00FB7248"/>
    <w:rsid w:val="00FB74CC"/>
    <w:rsid w:val="00FB77DA"/>
    <w:rsid w:val="00FB7A05"/>
    <w:rsid w:val="00FB7CD5"/>
    <w:rsid w:val="00FB7F9D"/>
    <w:rsid w:val="00FC0149"/>
    <w:rsid w:val="00FC030A"/>
    <w:rsid w:val="00FC03DE"/>
    <w:rsid w:val="00FC0512"/>
    <w:rsid w:val="00FC0700"/>
    <w:rsid w:val="00FC095C"/>
    <w:rsid w:val="00FC0BF7"/>
    <w:rsid w:val="00FC0C54"/>
    <w:rsid w:val="00FC13D7"/>
    <w:rsid w:val="00FC149D"/>
    <w:rsid w:val="00FC18D7"/>
    <w:rsid w:val="00FC1CE9"/>
    <w:rsid w:val="00FC1D3A"/>
    <w:rsid w:val="00FC21C2"/>
    <w:rsid w:val="00FC230A"/>
    <w:rsid w:val="00FC2BF9"/>
    <w:rsid w:val="00FC2BFE"/>
    <w:rsid w:val="00FC2E18"/>
    <w:rsid w:val="00FC30BA"/>
    <w:rsid w:val="00FC32C1"/>
    <w:rsid w:val="00FC3752"/>
    <w:rsid w:val="00FC395C"/>
    <w:rsid w:val="00FC39DE"/>
    <w:rsid w:val="00FC39E6"/>
    <w:rsid w:val="00FC3E0E"/>
    <w:rsid w:val="00FC40B7"/>
    <w:rsid w:val="00FC40F8"/>
    <w:rsid w:val="00FC415E"/>
    <w:rsid w:val="00FC422E"/>
    <w:rsid w:val="00FC470B"/>
    <w:rsid w:val="00FC4832"/>
    <w:rsid w:val="00FC492D"/>
    <w:rsid w:val="00FC4B70"/>
    <w:rsid w:val="00FC4C10"/>
    <w:rsid w:val="00FC4ECF"/>
    <w:rsid w:val="00FC5121"/>
    <w:rsid w:val="00FC5374"/>
    <w:rsid w:val="00FC5460"/>
    <w:rsid w:val="00FC57B9"/>
    <w:rsid w:val="00FC5B7E"/>
    <w:rsid w:val="00FC5DD2"/>
    <w:rsid w:val="00FC60E3"/>
    <w:rsid w:val="00FC6552"/>
    <w:rsid w:val="00FC67EA"/>
    <w:rsid w:val="00FC6A58"/>
    <w:rsid w:val="00FC6EB7"/>
    <w:rsid w:val="00FC71B2"/>
    <w:rsid w:val="00FC7359"/>
    <w:rsid w:val="00FC77AB"/>
    <w:rsid w:val="00FC78DD"/>
    <w:rsid w:val="00FC7DFC"/>
    <w:rsid w:val="00FD006A"/>
    <w:rsid w:val="00FD0173"/>
    <w:rsid w:val="00FD03E1"/>
    <w:rsid w:val="00FD056B"/>
    <w:rsid w:val="00FD05DF"/>
    <w:rsid w:val="00FD0AA8"/>
    <w:rsid w:val="00FD0C07"/>
    <w:rsid w:val="00FD0CBB"/>
    <w:rsid w:val="00FD0D0B"/>
    <w:rsid w:val="00FD0EB0"/>
    <w:rsid w:val="00FD0F2E"/>
    <w:rsid w:val="00FD11C2"/>
    <w:rsid w:val="00FD159F"/>
    <w:rsid w:val="00FD15F7"/>
    <w:rsid w:val="00FD1674"/>
    <w:rsid w:val="00FD19A1"/>
    <w:rsid w:val="00FD20E9"/>
    <w:rsid w:val="00FD2644"/>
    <w:rsid w:val="00FD2646"/>
    <w:rsid w:val="00FD2782"/>
    <w:rsid w:val="00FD28BB"/>
    <w:rsid w:val="00FD29BC"/>
    <w:rsid w:val="00FD2D29"/>
    <w:rsid w:val="00FD2E81"/>
    <w:rsid w:val="00FD351E"/>
    <w:rsid w:val="00FD37EA"/>
    <w:rsid w:val="00FD38CF"/>
    <w:rsid w:val="00FD3924"/>
    <w:rsid w:val="00FD3A7B"/>
    <w:rsid w:val="00FD3AC4"/>
    <w:rsid w:val="00FD3D98"/>
    <w:rsid w:val="00FD41A5"/>
    <w:rsid w:val="00FD44E8"/>
    <w:rsid w:val="00FD4675"/>
    <w:rsid w:val="00FD4788"/>
    <w:rsid w:val="00FD4849"/>
    <w:rsid w:val="00FD48BC"/>
    <w:rsid w:val="00FD4A1E"/>
    <w:rsid w:val="00FD4A99"/>
    <w:rsid w:val="00FD4D4E"/>
    <w:rsid w:val="00FD4D69"/>
    <w:rsid w:val="00FD4FE7"/>
    <w:rsid w:val="00FD5004"/>
    <w:rsid w:val="00FD5052"/>
    <w:rsid w:val="00FD54FF"/>
    <w:rsid w:val="00FD559D"/>
    <w:rsid w:val="00FD5731"/>
    <w:rsid w:val="00FD5A18"/>
    <w:rsid w:val="00FD5AFE"/>
    <w:rsid w:val="00FD5B26"/>
    <w:rsid w:val="00FD5B81"/>
    <w:rsid w:val="00FD5D01"/>
    <w:rsid w:val="00FD60FA"/>
    <w:rsid w:val="00FD61C7"/>
    <w:rsid w:val="00FD6350"/>
    <w:rsid w:val="00FD6B60"/>
    <w:rsid w:val="00FD7861"/>
    <w:rsid w:val="00FD79CA"/>
    <w:rsid w:val="00FD7DB2"/>
    <w:rsid w:val="00FE0098"/>
    <w:rsid w:val="00FE0289"/>
    <w:rsid w:val="00FE02B2"/>
    <w:rsid w:val="00FE065F"/>
    <w:rsid w:val="00FE0895"/>
    <w:rsid w:val="00FE106F"/>
    <w:rsid w:val="00FE11AF"/>
    <w:rsid w:val="00FE155A"/>
    <w:rsid w:val="00FE1598"/>
    <w:rsid w:val="00FE163E"/>
    <w:rsid w:val="00FE164C"/>
    <w:rsid w:val="00FE18FE"/>
    <w:rsid w:val="00FE1908"/>
    <w:rsid w:val="00FE199C"/>
    <w:rsid w:val="00FE1A75"/>
    <w:rsid w:val="00FE1B45"/>
    <w:rsid w:val="00FE1D79"/>
    <w:rsid w:val="00FE258F"/>
    <w:rsid w:val="00FE27A4"/>
    <w:rsid w:val="00FE2940"/>
    <w:rsid w:val="00FE298B"/>
    <w:rsid w:val="00FE2DB3"/>
    <w:rsid w:val="00FE2E0F"/>
    <w:rsid w:val="00FE2EFC"/>
    <w:rsid w:val="00FE3034"/>
    <w:rsid w:val="00FE385C"/>
    <w:rsid w:val="00FE3877"/>
    <w:rsid w:val="00FE3C1D"/>
    <w:rsid w:val="00FE4067"/>
    <w:rsid w:val="00FE4140"/>
    <w:rsid w:val="00FE41CD"/>
    <w:rsid w:val="00FE4735"/>
    <w:rsid w:val="00FE4751"/>
    <w:rsid w:val="00FE4B10"/>
    <w:rsid w:val="00FE4B99"/>
    <w:rsid w:val="00FE4D3E"/>
    <w:rsid w:val="00FE4EAC"/>
    <w:rsid w:val="00FE4FE5"/>
    <w:rsid w:val="00FE5C94"/>
    <w:rsid w:val="00FE639B"/>
    <w:rsid w:val="00FE639E"/>
    <w:rsid w:val="00FE6525"/>
    <w:rsid w:val="00FE6933"/>
    <w:rsid w:val="00FE6B79"/>
    <w:rsid w:val="00FE6BB9"/>
    <w:rsid w:val="00FE6D3B"/>
    <w:rsid w:val="00FE6DAD"/>
    <w:rsid w:val="00FE71F5"/>
    <w:rsid w:val="00FE79BD"/>
    <w:rsid w:val="00FE7BB9"/>
    <w:rsid w:val="00FE7D01"/>
    <w:rsid w:val="00FF04BB"/>
    <w:rsid w:val="00FF04DF"/>
    <w:rsid w:val="00FF0614"/>
    <w:rsid w:val="00FF0967"/>
    <w:rsid w:val="00FF1027"/>
    <w:rsid w:val="00FF1225"/>
    <w:rsid w:val="00FF19CA"/>
    <w:rsid w:val="00FF1A7D"/>
    <w:rsid w:val="00FF1D83"/>
    <w:rsid w:val="00FF212D"/>
    <w:rsid w:val="00FF219B"/>
    <w:rsid w:val="00FF2286"/>
    <w:rsid w:val="00FF27C7"/>
    <w:rsid w:val="00FF2A8F"/>
    <w:rsid w:val="00FF2D00"/>
    <w:rsid w:val="00FF2D91"/>
    <w:rsid w:val="00FF31B5"/>
    <w:rsid w:val="00FF386F"/>
    <w:rsid w:val="00FF3EAB"/>
    <w:rsid w:val="00FF4449"/>
    <w:rsid w:val="00FF4844"/>
    <w:rsid w:val="00FF4D4D"/>
    <w:rsid w:val="00FF5234"/>
    <w:rsid w:val="00FF54CA"/>
    <w:rsid w:val="00FF59BF"/>
    <w:rsid w:val="00FF5ACE"/>
    <w:rsid w:val="00FF5CAA"/>
    <w:rsid w:val="00FF5D07"/>
    <w:rsid w:val="00FF5E29"/>
    <w:rsid w:val="00FF5EBF"/>
    <w:rsid w:val="00FF5EE7"/>
    <w:rsid w:val="00FF5F7F"/>
    <w:rsid w:val="00FF6210"/>
    <w:rsid w:val="00FF6294"/>
    <w:rsid w:val="00FF633C"/>
    <w:rsid w:val="00FF6DD6"/>
    <w:rsid w:val="00FF74B7"/>
    <w:rsid w:val="00FF7C5E"/>
    <w:rsid w:val="00FF7CFE"/>
    <w:rsid w:val="010857DB"/>
    <w:rsid w:val="012B8DA7"/>
    <w:rsid w:val="012F3E2F"/>
    <w:rsid w:val="01FB607B"/>
    <w:rsid w:val="01FE1AF3"/>
    <w:rsid w:val="020132E9"/>
    <w:rsid w:val="021147E6"/>
    <w:rsid w:val="02203067"/>
    <w:rsid w:val="02337536"/>
    <w:rsid w:val="02374177"/>
    <w:rsid w:val="02481D0C"/>
    <w:rsid w:val="024A26CD"/>
    <w:rsid w:val="0259715F"/>
    <w:rsid w:val="025B1889"/>
    <w:rsid w:val="025B2DED"/>
    <w:rsid w:val="027427A5"/>
    <w:rsid w:val="02796034"/>
    <w:rsid w:val="0279D025"/>
    <w:rsid w:val="027B76AD"/>
    <w:rsid w:val="029926FE"/>
    <w:rsid w:val="029ABB4D"/>
    <w:rsid w:val="02A5581F"/>
    <w:rsid w:val="02AB449E"/>
    <w:rsid w:val="02AC1E58"/>
    <w:rsid w:val="02BD01CA"/>
    <w:rsid w:val="02C80ADE"/>
    <w:rsid w:val="02D2D668"/>
    <w:rsid w:val="02D72476"/>
    <w:rsid w:val="02E5D047"/>
    <w:rsid w:val="02F23279"/>
    <w:rsid w:val="02F38AB0"/>
    <w:rsid w:val="0304341D"/>
    <w:rsid w:val="031EF7AB"/>
    <w:rsid w:val="032A61DF"/>
    <w:rsid w:val="0338AC05"/>
    <w:rsid w:val="03454FA9"/>
    <w:rsid w:val="03500C4E"/>
    <w:rsid w:val="038C0C66"/>
    <w:rsid w:val="039AAC2D"/>
    <w:rsid w:val="03A9F6C7"/>
    <w:rsid w:val="03B352A3"/>
    <w:rsid w:val="03BD6B38"/>
    <w:rsid w:val="03C1ACC0"/>
    <w:rsid w:val="03C37BF0"/>
    <w:rsid w:val="03DDFB10"/>
    <w:rsid w:val="03DEA6DE"/>
    <w:rsid w:val="0423AA74"/>
    <w:rsid w:val="0427254B"/>
    <w:rsid w:val="04292646"/>
    <w:rsid w:val="0445769D"/>
    <w:rsid w:val="046EF8C8"/>
    <w:rsid w:val="047BE569"/>
    <w:rsid w:val="04850D1A"/>
    <w:rsid w:val="04902153"/>
    <w:rsid w:val="04BE6A7F"/>
    <w:rsid w:val="04C04ED2"/>
    <w:rsid w:val="04C145FA"/>
    <w:rsid w:val="04DD7DF1"/>
    <w:rsid w:val="04E89B74"/>
    <w:rsid w:val="04F3B531"/>
    <w:rsid w:val="0511052D"/>
    <w:rsid w:val="05222582"/>
    <w:rsid w:val="052AA2CA"/>
    <w:rsid w:val="052B7E66"/>
    <w:rsid w:val="0533111F"/>
    <w:rsid w:val="0539D74C"/>
    <w:rsid w:val="054A3CBD"/>
    <w:rsid w:val="0566CA72"/>
    <w:rsid w:val="0573050B"/>
    <w:rsid w:val="057971A2"/>
    <w:rsid w:val="058D8E2E"/>
    <w:rsid w:val="05970F4B"/>
    <w:rsid w:val="05B62953"/>
    <w:rsid w:val="05C9CE49"/>
    <w:rsid w:val="05CD7859"/>
    <w:rsid w:val="0622E79C"/>
    <w:rsid w:val="0633C6F1"/>
    <w:rsid w:val="063475B7"/>
    <w:rsid w:val="064703C5"/>
    <w:rsid w:val="06513F19"/>
    <w:rsid w:val="065E3DC3"/>
    <w:rsid w:val="066EE75A"/>
    <w:rsid w:val="06782CDB"/>
    <w:rsid w:val="067FF05B"/>
    <w:rsid w:val="068A1968"/>
    <w:rsid w:val="068AD1E2"/>
    <w:rsid w:val="06D382D3"/>
    <w:rsid w:val="06F3C874"/>
    <w:rsid w:val="07014CBA"/>
    <w:rsid w:val="070C9FC5"/>
    <w:rsid w:val="07113B43"/>
    <w:rsid w:val="072FB4AE"/>
    <w:rsid w:val="07355A7B"/>
    <w:rsid w:val="074F6B1D"/>
    <w:rsid w:val="075CE7D6"/>
    <w:rsid w:val="0762777C"/>
    <w:rsid w:val="07863E20"/>
    <w:rsid w:val="078C845F"/>
    <w:rsid w:val="078D7228"/>
    <w:rsid w:val="07E579DE"/>
    <w:rsid w:val="07EDC620"/>
    <w:rsid w:val="0811D060"/>
    <w:rsid w:val="08225EA5"/>
    <w:rsid w:val="083FB32F"/>
    <w:rsid w:val="08432217"/>
    <w:rsid w:val="085186EC"/>
    <w:rsid w:val="085C0F82"/>
    <w:rsid w:val="087AA956"/>
    <w:rsid w:val="088849CD"/>
    <w:rsid w:val="088DA097"/>
    <w:rsid w:val="089350A9"/>
    <w:rsid w:val="0898B664"/>
    <w:rsid w:val="08BB869F"/>
    <w:rsid w:val="08BDE196"/>
    <w:rsid w:val="08E441E9"/>
    <w:rsid w:val="08E579F7"/>
    <w:rsid w:val="08EA85EF"/>
    <w:rsid w:val="091D25F7"/>
    <w:rsid w:val="093DF51A"/>
    <w:rsid w:val="09471E47"/>
    <w:rsid w:val="094796AA"/>
    <w:rsid w:val="094CD291"/>
    <w:rsid w:val="0957FF89"/>
    <w:rsid w:val="0978F44A"/>
    <w:rsid w:val="098CF19D"/>
    <w:rsid w:val="099BE50D"/>
    <w:rsid w:val="09A2F1AF"/>
    <w:rsid w:val="09B0D287"/>
    <w:rsid w:val="09B9373D"/>
    <w:rsid w:val="09D37B06"/>
    <w:rsid w:val="09E4E6C5"/>
    <w:rsid w:val="09EBE953"/>
    <w:rsid w:val="09EF3DB1"/>
    <w:rsid w:val="0A0B31E1"/>
    <w:rsid w:val="0A1723D7"/>
    <w:rsid w:val="0A2100B4"/>
    <w:rsid w:val="0A27AC6A"/>
    <w:rsid w:val="0A38B99C"/>
    <w:rsid w:val="0A4B500E"/>
    <w:rsid w:val="0A55F897"/>
    <w:rsid w:val="0A583328"/>
    <w:rsid w:val="0A6EA68D"/>
    <w:rsid w:val="0A75F058"/>
    <w:rsid w:val="0A782AC9"/>
    <w:rsid w:val="0A7C9836"/>
    <w:rsid w:val="0A8C4B39"/>
    <w:rsid w:val="0A8DCFAC"/>
    <w:rsid w:val="0A94183F"/>
    <w:rsid w:val="0A965B20"/>
    <w:rsid w:val="0A976E28"/>
    <w:rsid w:val="0AC31AAC"/>
    <w:rsid w:val="0AC38763"/>
    <w:rsid w:val="0AD71526"/>
    <w:rsid w:val="0AED7CE5"/>
    <w:rsid w:val="0AF22B42"/>
    <w:rsid w:val="0AF37CD9"/>
    <w:rsid w:val="0AF65DF7"/>
    <w:rsid w:val="0B2A8B4D"/>
    <w:rsid w:val="0B32ECFF"/>
    <w:rsid w:val="0B336E0A"/>
    <w:rsid w:val="0B3564B2"/>
    <w:rsid w:val="0B481064"/>
    <w:rsid w:val="0B8535D0"/>
    <w:rsid w:val="0B8947AA"/>
    <w:rsid w:val="0B9E5271"/>
    <w:rsid w:val="0B9EDCFB"/>
    <w:rsid w:val="0BA94BDD"/>
    <w:rsid w:val="0BA9FB63"/>
    <w:rsid w:val="0BC6FF5D"/>
    <w:rsid w:val="0BD0B28F"/>
    <w:rsid w:val="0BD9D62F"/>
    <w:rsid w:val="0BDFF123"/>
    <w:rsid w:val="0BF4D2E1"/>
    <w:rsid w:val="0BF7C4B5"/>
    <w:rsid w:val="0BFF18FC"/>
    <w:rsid w:val="0C06A99C"/>
    <w:rsid w:val="0C0B09AB"/>
    <w:rsid w:val="0C128151"/>
    <w:rsid w:val="0C40330A"/>
    <w:rsid w:val="0C40B3E6"/>
    <w:rsid w:val="0C445224"/>
    <w:rsid w:val="0C4E9712"/>
    <w:rsid w:val="0C7D272A"/>
    <w:rsid w:val="0C85A243"/>
    <w:rsid w:val="0C942AA2"/>
    <w:rsid w:val="0C94D139"/>
    <w:rsid w:val="0CF27477"/>
    <w:rsid w:val="0CF8E4D2"/>
    <w:rsid w:val="0D08E74D"/>
    <w:rsid w:val="0D252395"/>
    <w:rsid w:val="0D34E15A"/>
    <w:rsid w:val="0D4192E0"/>
    <w:rsid w:val="0D4914F9"/>
    <w:rsid w:val="0D95C9F1"/>
    <w:rsid w:val="0D9A59FA"/>
    <w:rsid w:val="0DA7D62B"/>
    <w:rsid w:val="0DB291BE"/>
    <w:rsid w:val="0DFD03BD"/>
    <w:rsid w:val="0E1581C0"/>
    <w:rsid w:val="0E3EE219"/>
    <w:rsid w:val="0E505A4E"/>
    <w:rsid w:val="0E6FE9B5"/>
    <w:rsid w:val="0EB01A4C"/>
    <w:rsid w:val="0EBE95AD"/>
    <w:rsid w:val="0EE29C1B"/>
    <w:rsid w:val="0F0A9837"/>
    <w:rsid w:val="0F0D8D8F"/>
    <w:rsid w:val="0F2D7123"/>
    <w:rsid w:val="0F33A726"/>
    <w:rsid w:val="0F3572D5"/>
    <w:rsid w:val="0F477DF3"/>
    <w:rsid w:val="0F4EB32B"/>
    <w:rsid w:val="0F5DE3BB"/>
    <w:rsid w:val="0F67F9BB"/>
    <w:rsid w:val="0F69EE84"/>
    <w:rsid w:val="0FA4F10A"/>
    <w:rsid w:val="0FB31FD8"/>
    <w:rsid w:val="0FC779CD"/>
    <w:rsid w:val="1002A880"/>
    <w:rsid w:val="100F2939"/>
    <w:rsid w:val="101D9429"/>
    <w:rsid w:val="102229AC"/>
    <w:rsid w:val="103CD280"/>
    <w:rsid w:val="109408CA"/>
    <w:rsid w:val="10A1E28D"/>
    <w:rsid w:val="10B9C7E1"/>
    <w:rsid w:val="10CD21B7"/>
    <w:rsid w:val="10CE53FE"/>
    <w:rsid w:val="10D32418"/>
    <w:rsid w:val="10F500F5"/>
    <w:rsid w:val="10FED895"/>
    <w:rsid w:val="1103B681"/>
    <w:rsid w:val="110DB737"/>
    <w:rsid w:val="111EEAB7"/>
    <w:rsid w:val="1125DB23"/>
    <w:rsid w:val="113B85C6"/>
    <w:rsid w:val="114ABA44"/>
    <w:rsid w:val="115048ED"/>
    <w:rsid w:val="11524228"/>
    <w:rsid w:val="1163E1A6"/>
    <w:rsid w:val="116C29D5"/>
    <w:rsid w:val="11A90B66"/>
    <w:rsid w:val="11D0C24C"/>
    <w:rsid w:val="11E8C2C0"/>
    <w:rsid w:val="11ED8833"/>
    <w:rsid w:val="12039DD9"/>
    <w:rsid w:val="12065132"/>
    <w:rsid w:val="120A4241"/>
    <w:rsid w:val="120D6E15"/>
    <w:rsid w:val="121453E9"/>
    <w:rsid w:val="1219052A"/>
    <w:rsid w:val="1221DEC8"/>
    <w:rsid w:val="122C4D56"/>
    <w:rsid w:val="125CA57D"/>
    <w:rsid w:val="126FBB46"/>
    <w:rsid w:val="1277DE59"/>
    <w:rsid w:val="129BBCA9"/>
    <w:rsid w:val="12B5F54A"/>
    <w:rsid w:val="12C8782C"/>
    <w:rsid w:val="12D65B61"/>
    <w:rsid w:val="12E0F101"/>
    <w:rsid w:val="12FBF361"/>
    <w:rsid w:val="12FC83D7"/>
    <w:rsid w:val="1305CCB3"/>
    <w:rsid w:val="13079CA9"/>
    <w:rsid w:val="130C0BBB"/>
    <w:rsid w:val="1315349A"/>
    <w:rsid w:val="13233DFF"/>
    <w:rsid w:val="13307742"/>
    <w:rsid w:val="13455EA9"/>
    <w:rsid w:val="134EFDF9"/>
    <w:rsid w:val="1353B3CA"/>
    <w:rsid w:val="13553E25"/>
    <w:rsid w:val="136F3258"/>
    <w:rsid w:val="137AD78A"/>
    <w:rsid w:val="137E595B"/>
    <w:rsid w:val="139EA0D4"/>
    <w:rsid w:val="13AFCD80"/>
    <w:rsid w:val="13CE3E68"/>
    <w:rsid w:val="13E4C9D9"/>
    <w:rsid w:val="14059B93"/>
    <w:rsid w:val="142D8751"/>
    <w:rsid w:val="143F08B1"/>
    <w:rsid w:val="145EE83E"/>
    <w:rsid w:val="1467B1BA"/>
    <w:rsid w:val="1479F064"/>
    <w:rsid w:val="14C23EB3"/>
    <w:rsid w:val="14E48D3A"/>
    <w:rsid w:val="14EB60D9"/>
    <w:rsid w:val="14F953F3"/>
    <w:rsid w:val="150509BC"/>
    <w:rsid w:val="15052EB4"/>
    <w:rsid w:val="1532FC5E"/>
    <w:rsid w:val="154697D6"/>
    <w:rsid w:val="1549024E"/>
    <w:rsid w:val="156407A6"/>
    <w:rsid w:val="157FA3A8"/>
    <w:rsid w:val="15A3494B"/>
    <w:rsid w:val="15AD4838"/>
    <w:rsid w:val="15ADAAAE"/>
    <w:rsid w:val="15B2E810"/>
    <w:rsid w:val="15E48D08"/>
    <w:rsid w:val="16105C3C"/>
    <w:rsid w:val="16149786"/>
    <w:rsid w:val="161C9F86"/>
    <w:rsid w:val="163831FF"/>
    <w:rsid w:val="1653F551"/>
    <w:rsid w:val="165A4DFC"/>
    <w:rsid w:val="165EDEE0"/>
    <w:rsid w:val="165F7658"/>
    <w:rsid w:val="167CFF6B"/>
    <w:rsid w:val="167EE0C5"/>
    <w:rsid w:val="169FBE9A"/>
    <w:rsid w:val="16DC24D4"/>
    <w:rsid w:val="16ECB7E9"/>
    <w:rsid w:val="16EEFCDF"/>
    <w:rsid w:val="170EB424"/>
    <w:rsid w:val="171455D7"/>
    <w:rsid w:val="17347471"/>
    <w:rsid w:val="1744095F"/>
    <w:rsid w:val="174788B5"/>
    <w:rsid w:val="17485768"/>
    <w:rsid w:val="17727AE8"/>
    <w:rsid w:val="1774F223"/>
    <w:rsid w:val="178F011C"/>
    <w:rsid w:val="179407AC"/>
    <w:rsid w:val="179D38E7"/>
    <w:rsid w:val="17A1311B"/>
    <w:rsid w:val="17A34F61"/>
    <w:rsid w:val="17A90B29"/>
    <w:rsid w:val="17AE6257"/>
    <w:rsid w:val="17BAB0AA"/>
    <w:rsid w:val="17CF9755"/>
    <w:rsid w:val="17F193C6"/>
    <w:rsid w:val="180179D8"/>
    <w:rsid w:val="182D94C6"/>
    <w:rsid w:val="183F3AAB"/>
    <w:rsid w:val="183F75CA"/>
    <w:rsid w:val="18447FF9"/>
    <w:rsid w:val="184E0A69"/>
    <w:rsid w:val="1858A654"/>
    <w:rsid w:val="185D2F43"/>
    <w:rsid w:val="185F6AF5"/>
    <w:rsid w:val="187F721C"/>
    <w:rsid w:val="188E8DCF"/>
    <w:rsid w:val="18A23E1B"/>
    <w:rsid w:val="18B2B5EE"/>
    <w:rsid w:val="18B60FF8"/>
    <w:rsid w:val="18BED0B1"/>
    <w:rsid w:val="18CA9F5F"/>
    <w:rsid w:val="18DA25AD"/>
    <w:rsid w:val="18EBB985"/>
    <w:rsid w:val="1903DD18"/>
    <w:rsid w:val="190F91B4"/>
    <w:rsid w:val="191FE197"/>
    <w:rsid w:val="192507A0"/>
    <w:rsid w:val="19362C85"/>
    <w:rsid w:val="19457669"/>
    <w:rsid w:val="194DBF9E"/>
    <w:rsid w:val="196865DD"/>
    <w:rsid w:val="19702092"/>
    <w:rsid w:val="19719920"/>
    <w:rsid w:val="197EE401"/>
    <w:rsid w:val="19A75268"/>
    <w:rsid w:val="19BE3F7D"/>
    <w:rsid w:val="19D28FF7"/>
    <w:rsid w:val="1A0C4D26"/>
    <w:rsid w:val="1A3A3DF8"/>
    <w:rsid w:val="1A4AF442"/>
    <w:rsid w:val="1A62B67E"/>
    <w:rsid w:val="1A6419CE"/>
    <w:rsid w:val="1A77BA93"/>
    <w:rsid w:val="1A78FC2B"/>
    <w:rsid w:val="1A8C7E2E"/>
    <w:rsid w:val="1A8EF307"/>
    <w:rsid w:val="1A9ABB39"/>
    <w:rsid w:val="1AB79FA1"/>
    <w:rsid w:val="1ABC9DE6"/>
    <w:rsid w:val="1AC8AE1E"/>
    <w:rsid w:val="1ACBE0FC"/>
    <w:rsid w:val="1AE1FA4F"/>
    <w:rsid w:val="1AEC8433"/>
    <w:rsid w:val="1B1DBB2D"/>
    <w:rsid w:val="1B218DAE"/>
    <w:rsid w:val="1B29F5E4"/>
    <w:rsid w:val="1B447441"/>
    <w:rsid w:val="1B53321A"/>
    <w:rsid w:val="1B67929E"/>
    <w:rsid w:val="1B752E8C"/>
    <w:rsid w:val="1B8C9D06"/>
    <w:rsid w:val="1B8FE28A"/>
    <w:rsid w:val="1B91BDC4"/>
    <w:rsid w:val="1B9237B4"/>
    <w:rsid w:val="1B92C3A5"/>
    <w:rsid w:val="1B97371F"/>
    <w:rsid w:val="1BB316D3"/>
    <w:rsid w:val="1BD07A8D"/>
    <w:rsid w:val="1BD1B331"/>
    <w:rsid w:val="1BFBE424"/>
    <w:rsid w:val="1C013293"/>
    <w:rsid w:val="1C0BD041"/>
    <w:rsid w:val="1C0CFF2F"/>
    <w:rsid w:val="1C1D1C70"/>
    <w:rsid w:val="1C2369CC"/>
    <w:rsid w:val="1C270E62"/>
    <w:rsid w:val="1C41CA0E"/>
    <w:rsid w:val="1C65BED7"/>
    <w:rsid w:val="1C71D313"/>
    <w:rsid w:val="1C8AB58C"/>
    <w:rsid w:val="1C97841C"/>
    <w:rsid w:val="1CB4A160"/>
    <w:rsid w:val="1CBBDDDB"/>
    <w:rsid w:val="1CBE00DA"/>
    <w:rsid w:val="1CEB43D5"/>
    <w:rsid w:val="1CEB9DE4"/>
    <w:rsid w:val="1CF47F79"/>
    <w:rsid w:val="1D1CD42B"/>
    <w:rsid w:val="1D27FE28"/>
    <w:rsid w:val="1D2DB323"/>
    <w:rsid w:val="1D380826"/>
    <w:rsid w:val="1D4B8D8A"/>
    <w:rsid w:val="1D6D3995"/>
    <w:rsid w:val="1DB67AA6"/>
    <w:rsid w:val="1DC91869"/>
    <w:rsid w:val="1DD6758D"/>
    <w:rsid w:val="1DDB5353"/>
    <w:rsid w:val="1DE8480F"/>
    <w:rsid w:val="1E16B84F"/>
    <w:rsid w:val="1E3DCD33"/>
    <w:rsid w:val="1E4670BB"/>
    <w:rsid w:val="1E47B7A9"/>
    <w:rsid w:val="1E572B89"/>
    <w:rsid w:val="1E6305D7"/>
    <w:rsid w:val="1E721E4E"/>
    <w:rsid w:val="1E8D3B54"/>
    <w:rsid w:val="1E8D484C"/>
    <w:rsid w:val="1E9249C3"/>
    <w:rsid w:val="1E95B8EA"/>
    <w:rsid w:val="1EA81797"/>
    <w:rsid w:val="1EB594AF"/>
    <w:rsid w:val="1ED31068"/>
    <w:rsid w:val="1EF7B4E8"/>
    <w:rsid w:val="1EFB0EA8"/>
    <w:rsid w:val="1F108FCF"/>
    <w:rsid w:val="1F1EB116"/>
    <w:rsid w:val="1F38FD6B"/>
    <w:rsid w:val="1F392A80"/>
    <w:rsid w:val="1F3D09E1"/>
    <w:rsid w:val="1F488073"/>
    <w:rsid w:val="1F50F535"/>
    <w:rsid w:val="1F554EE3"/>
    <w:rsid w:val="1F55873F"/>
    <w:rsid w:val="1F59F512"/>
    <w:rsid w:val="1F77413C"/>
    <w:rsid w:val="1F794392"/>
    <w:rsid w:val="1F9D02D5"/>
    <w:rsid w:val="1FA25098"/>
    <w:rsid w:val="1FB65A9F"/>
    <w:rsid w:val="1FBF46BF"/>
    <w:rsid w:val="1FC00B81"/>
    <w:rsid w:val="1FDBFFDD"/>
    <w:rsid w:val="1FE7BE85"/>
    <w:rsid w:val="1FF83D76"/>
    <w:rsid w:val="200DD5EA"/>
    <w:rsid w:val="202E862B"/>
    <w:rsid w:val="203FBD52"/>
    <w:rsid w:val="20412338"/>
    <w:rsid w:val="2049E0E8"/>
    <w:rsid w:val="206437C4"/>
    <w:rsid w:val="20678DFB"/>
    <w:rsid w:val="2071985E"/>
    <w:rsid w:val="2081C867"/>
    <w:rsid w:val="20964D76"/>
    <w:rsid w:val="209C6C7F"/>
    <w:rsid w:val="209EDEC0"/>
    <w:rsid w:val="20AD7A9F"/>
    <w:rsid w:val="20C5A833"/>
    <w:rsid w:val="20C5D3B1"/>
    <w:rsid w:val="20D50002"/>
    <w:rsid w:val="20D82E81"/>
    <w:rsid w:val="20FF082C"/>
    <w:rsid w:val="2103911B"/>
    <w:rsid w:val="212DD18D"/>
    <w:rsid w:val="2135A410"/>
    <w:rsid w:val="21464A08"/>
    <w:rsid w:val="21476B61"/>
    <w:rsid w:val="21496301"/>
    <w:rsid w:val="218138E5"/>
    <w:rsid w:val="21960584"/>
    <w:rsid w:val="21CF2CD9"/>
    <w:rsid w:val="21E27E1F"/>
    <w:rsid w:val="220F81D9"/>
    <w:rsid w:val="2215944E"/>
    <w:rsid w:val="2215C10D"/>
    <w:rsid w:val="2232E07A"/>
    <w:rsid w:val="22518C7B"/>
    <w:rsid w:val="225A8451"/>
    <w:rsid w:val="225B5365"/>
    <w:rsid w:val="22614668"/>
    <w:rsid w:val="226C821C"/>
    <w:rsid w:val="2275E7D9"/>
    <w:rsid w:val="22845E26"/>
    <w:rsid w:val="2288127A"/>
    <w:rsid w:val="229C5121"/>
    <w:rsid w:val="22C7E1A2"/>
    <w:rsid w:val="2300889E"/>
    <w:rsid w:val="2323F50D"/>
    <w:rsid w:val="2348B5F3"/>
    <w:rsid w:val="23536DAF"/>
    <w:rsid w:val="235CA828"/>
    <w:rsid w:val="236A5BEB"/>
    <w:rsid w:val="23A291B3"/>
    <w:rsid w:val="23B52368"/>
    <w:rsid w:val="23BAA05D"/>
    <w:rsid w:val="23C5E36D"/>
    <w:rsid w:val="23CAF271"/>
    <w:rsid w:val="23E95554"/>
    <w:rsid w:val="23FA5089"/>
    <w:rsid w:val="2405534C"/>
    <w:rsid w:val="241680ED"/>
    <w:rsid w:val="2470A4A5"/>
    <w:rsid w:val="2481D899"/>
    <w:rsid w:val="24880649"/>
    <w:rsid w:val="24A25023"/>
    <w:rsid w:val="24B7EB8B"/>
    <w:rsid w:val="24C33215"/>
    <w:rsid w:val="24D0E9AB"/>
    <w:rsid w:val="24D4E331"/>
    <w:rsid w:val="24DC530C"/>
    <w:rsid w:val="2506121E"/>
    <w:rsid w:val="25307F5C"/>
    <w:rsid w:val="25399BD2"/>
    <w:rsid w:val="25630BEF"/>
    <w:rsid w:val="2565CF0B"/>
    <w:rsid w:val="257F34D1"/>
    <w:rsid w:val="25862A46"/>
    <w:rsid w:val="25C14A06"/>
    <w:rsid w:val="25C4E88D"/>
    <w:rsid w:val="25E9C89C"/>
    <w:rsid w:val="25EBC61B"/>
    <w:rsid w:val="25F43069"/>
    <w:rsid w:val="25FA176A"/>
    <w:rsid w:val="260295EF"/>
    <w:rsid w:val="26295DD9"/>
    <w:rsid w:val="26307062"/>
    <w:rsid w:val="2635AFF7"/>
    <w:rsid w:val="263A437E"/>
    <w:rsid w:val="2657D677"/>
    <w:rsid w:val="265CFE9B"/>
    <w:rsid w:val="2660A0A5"/>
    <w:rsid w:val="266E316C"/>
    <w:rsid w:val="267AA6E6"/>
    <w:rsid w:val="269477BF"/>
    <w:rsid w:val="269EA728"/>
    <w:rsid w:val="26ADC5F3"/>
    <w:rsid w:val="26B832DD"/>
    <w:rsid w:val="26CB81DF"/>
    <w:rsid w:val="26D9607A"/>
    <w:rsid w:val="26DA3190"/>
    <w:rsid w:val="26E72615"/>
    <w:rsid w:val="26F5659C"/>
    <w:rsid w:val="27135AD2"/>
    <w:rsid w:val="271795F6"/>
    <w:rsid w:val="272BF30F"/>
    <w:rsid w:val="27420E67"/>
    <w:rsid w:val="27449E1D"/>
    <w:rsid w:val="27467FFF"/>
    <w:rsid w:val="274BCAAD"/>
    <w:rsid w:val="276FB9D6"/>
    <w:rsid w:val="277FA739"/>
    <w:rsid w:val="2785004E"/>
    <w:rsid w:val="279E9BA0"/>
    <w:rsid w:val="27A402B7"/>
    <w:rsid w:val="27B713C2"/>
    <w:rsid w:val="27B830BD"/>
    <w:rsid w:val="27C8E528"/>
    <w:rsid w:val="27E387AE"/>
    <w:rsid w:val="27EE106A"/>
    <w:rsid w:val="27F5E541"/>
    <w:rsid w:val="27F6938E"/>
    <w:rsid w:val="27FD09D4"/>
    <w:rsid w:val="28098F96"/>
    <w:rsid w:val="28123E44"/>
    <w:rsid w:val="281F56EE"/>
    <w:rsid w:val="28202474"/>
    <w:rsid w:val="28212D35"/>
    <w:rsid w:val="283A63CB"/>
    <w:rsid w:val="283DA1CD"/>
    <w:rsid w:val="284D6525"/>
    <w:rsid w:val="286B5E80"/>
    <w:rsid w:val="2873A411"/>
    <w:rsid w:val="2875ED5B"/>
    <w:rsid w:val="2890A94F"/>
    <w:rsid w:val="28B7D746"/>
    <w:rsid w:val="28CAE347"/>
    <w:rsid w:val="2906FCC8"/>
    <w:rsid w:val="29129F0F"/>
    <w:rsid w:val="29177766"/>
    <w:rsid w:val="2944EACD"/>
    <w:rsid w:val="295162C5"/>
    <w:rsid w:val="2953B063"/>
    <w:rsid w:val="296F00E7"/>
    <w:rsid w:val="29710AA3"/>
    <w:rsid w:val="29736341"/>
    <w:rsid w:val="2986ACA9"/>
    <w:rsid w:val="29B82692"/>
    <w:rsid w:val="29C2AF6A"/>
    <w:rsid w:val="29E447F0"/>
    <w:rsid w:val="29E69854"/>
    <w:rsid w:val="29F058C3"/>
    <w:rsid w:val="29F0F03B"/>
    <w:rsid w:val="29FC916E"/>
    <w:rsid w:val="29FEBD0F"/>
    <w:rsid w:val="2A1907C9"/>
    <w:rsid w:val="2A4B6F84"/>
    <w:rsid w:val="2A4C9BEA"/>
    <w:rsid w:val="2A4E61CB"/>
    <w:rsid w:val="2A660956"/>
    <w:rsid w:val="2A7BBAA8"/>
    <w:rsid w:val="2A899670"/>
    <w:rsid w:val="2A8AAAEE"/>
    <w:rsid w:val="2A989902"/>
    <w:rsid w:val="2AD07867"/>
    <w:rsid w:val="2AD3E0B1"/>
    <w:rsid w:val="2AD69E8A"/>
    <w:rsid w:val="2AFB77FC"/>
    <w:rsid w:val="2B25DB7F"/>
    <w:rsid w:val="2B2FF595"/>
    <w:rsid w:val="2B46B130"/>
    <w:rsid w:val="2B5A654A"/>
    <w:rsid w:val="2B6AD6D3"/>
    <w:rsid w:val="2B7927E5"/>
    <w:rsid w:val="2B83DF47"/>
    <w:rsid w:val="2B94E115"/>
    <w:rsid w:val="2BC60A59"/>
    <w:rsid w:val="2BC64420"/>
    <w:rsid w:val="2BE452A8"/>
    <w:rsid w:val="2C05537A"/>
    <w:rsid w:val="2C0B6EA3"/>
    <w:rsid w:val="2C169D75"/>
    <w:rsid w:val="2C1F548E"/>
    <w:rsid w:val="2C2BB04E"/>
    <w:rsid w:val="2C2E35C4"/>
    <w:rsid w:val="2C4A5D16"/>
    <w:rsid w:val="2C90C317"/>
    <w:rsid w:val="2CA912DF"/>
    <w:rsid w:val="2CC1B31F"/>
    <w:rsid w:val="2CC28B34"/>
    <w:rsid w:val="2CC3D85C"/>
    <w:rsid w:val="2CC8BEB2"/>
    <w:rsid w:val="2CEB8FCD"/>
    <w:rsid w:val="2CEE540C"/>
    <w:rsid w:val="2D09CF2D"/>
    <w:rsid w:val="2D1B5F12"/>
    <w:rsid w:val="2D28307D"/>
    <w:rsid w:val="2D30E22F"/>
    <w:rsid w:val="2D3124C0"/>
    <w:rsid w:val="2D38FEC3"/>
    <w:rsid w:val="2D39345C"/>
    <w:rsid w:val="2D3A8BA5"/>
    <w:rsid w:val="2D404303"/>
    <w:rsid w:val="2D428D40"/>
    <w:rsid w:val="2D5411DC"/>
    <w:rsid w:val="2D91AB9C"/>
    <w:rsid w:val="2D996926"/>
    <w:rsid w:val="2DBE59F9"/>
    <w:rsid w:val="2DCA7859"/>
    <w:rsid w:val="2E010692"/>
    <w:rsid w:val="2E1E924D"/>
    <w:rsid w:val="2E3B8045"/>
    <w:rsid w:val="2E3DF18A"/>
    <w:rsid w:val="2E40CC74"/>
    <w:rsid w:val="2E548FC6"/>
    <w:rsid w:val="2E59A2D2"/>
    <w:rsid w:val="2E5D0769"/>
    <w:rsid w:val="2E5E5B95"/>
    <w:rsid w:val="2E6731B0"/>
    <w:rsid w:val="2E9FD7E8"/>
    <w:rsid w:val="2EAE3914"/>
    <w:rsid w:val="2ECAB72D"/>
    <w:rsid w:val="2EE18F5D"/>
    <w:rsid w:val="2EE78778"/>
    <w:rsid w:val="2F01DD5B"/>
    <w:rsid w:val="2F0E5E04"/>
    <w:rsid w:val="2F2A6FF8"/>
    <w:rsid w:val="2F2BE9B2"/>
    <w:rsid w:val="2F37184F"/>
    <w:rsid w:val="2F3AAB91"/>
    <w:rsid w:val="2F3BBAB4"/>
    <w:rsid w:val="2F4607EA"/>
    <w:rsid w:val="2F750DFE"/>
    <w:rsid w:val="2F988CBC"/>
    <w:rsid w:val="2FB5973F"/>
    <w:rsid w:val="2FBA6B46"/>
    <w:rsid w:val="2FBD79B7"/>
    <w:rsid w:val="2FFC6447"/>
    <w:rsid w:val="30131B74"/>
    <w:rsid w:val="302DC176"/>
    <w:rsid w:val="30451BE9"/>
    <w:rsid w:val="30462454"/>
    <w:rsid w:val="30719497"/>
    <w:rsid w:val="307364D4"/>
    <w:rsid w:val="30896224"/>
    <w:rsid w:val="308D7EDA"/>
    <w:rsid w:val="308FBA84"/>
    <w:rsid w:val="309694F1"/>
    <w:rsid w:val="30AEF8AB"/>
    <w:rsid w:val="30B1A13E"/>
    <w:rsid w:val="30BBA8A0"/>
    <w:rsid w:val="30D7A85A"/>
    <w:rsid w:val="30DF1070"/>
    <w:rsid w:val="30F40169"/>
    <w:rsid w:val="30FD252A"/>
    <w:rsid w:val="30FFE07F"/>
    <w:rsid w:val="312766A4"/>
    <w:rsid w:val="3146EE0E"/>
    <w:rsid w:val="314ACBBB"/>
    <w:rsid w:val="316C0ABE"/>
    <w:rsid w:val="3176D99F"/>
    <w:rsid w:val="3185DECF"/>
    <w:rsid w:val="31885E5C"/>
    <w:rsid w:val="319F2937"/>
    <w:rsid w:val="31A7706A"/>
    <w:rsid w:val="31AEE55B"/>
    <w:rsid w:val="31AF8B5D"/>
    <w:rsid w:val="31C42512"/>
    <w:rsid w:val="31C89AA2"/>
    <w:rsid w:val="31C9D99F"/>
    <w:rsid w:val="31CE8A78"/>
    <w:rsid w:val="31E064FE"/>
    <w:rsid w:val="31E71A28"/>
    <w:rsid w:val="31EA130F"/>
    <w:rsid w:val="31FA585E"/>
    <w:rsid w:val="32091E0E"/>
    <w:rsid w:val="32133144"/>
    <w:rsid w:val="321C046F"/>
    <w:rsid w:val="32279160"/>
    <w:rsid w:val="3250B043"/>
    <w:rsid w:val="32612887"/>
    <w:rsid w:val="327A4A96"/>
    <w:rsid w:val="328479A7"/>
    <w:rsid w:val="329B8B8B"/>
    <w:rsid w:val="329BF709"/>
    <w:rsid w:val="329E4D17"/>
    <w:rsid w:val="32A0B58F"/>
    <w:rsid w:val="32C9B98D"/>
    <w:rsid w:val="32D29C4C"/>
    <w:rsid w:val="32D920FA"/>
    <w:rsid w:val="32E6EA4F"/>
    <w:rsid w:val="32EC40BA"/>
    <w:rsid w:val="32FE9589"/>
    <w:rsid w:val="3300C9AE"/>
    <w:rsid w:val="33010E74"/>
    <w:rsid w:val="3336B440"/>
    <w:rsid w:val="333F8443"/>
    <w:rsid w:val="33401B3C"/>
    <w:rsid w:val="3340470A"/>
    <w:rsid w:val="334E6AA4"/>
    <w:rsid w:val="335A0829"/>
    <w:rsid w:val="335DE8C0"/>
    <w:rsid w:val="338A5555"/>
    <w:rsid w:val="33D8C363"/>
    <w:rsid w:val="33DA2C3E"/>
    <w:rsid w:val="33ED9EA5"/>
    <w:rsid w:val="3421FCCD"/>
    <w:rsid w:val="3431842C"/>
    <w:rsid w:val="343638DC"/>
    <w:rsid w:val="343931FF"/>
    <w:rsid w:val="344F92C5"/>
    <w:rsid w:val="3475EE3D"/>
    <w:rsid w:val="34778D0E"/>
    <w:rsid w:val="3489A5D6"/>
    <w:rsid w:val="34C16ED7"/>
    <w:rsid w:val="34D77CCF"/>
    <w:rsid w:val="34D9DE14"/>
    <w:rsid w:val="34DD792C"/>
    <w:rsid w:val="34E5C4EB"/>
    <w:rsid w:val="34F25603"/>
    <w:rsid w:val="34F60190"/>
    <w:rsid w:val="34FF3ABC"/>
    <w:rsid w:val="3506CAB5"/>
    <w:rsid w:val="3513C4FA"/>
    <w:rsid w:val="35164EB7"/>
    <w:rsid w:val="352FA6D3"/>
    <w:rsid w:val="35513E9D"/>
    <w:rsid w:val="35670168"/>
    <w:rsid w:val="359167CB"/>
    <w:rsid w:val="35B6672D"/>
    <w:rsid w:val="35C81093"/>
    <w:rsid w:val="35C94E99"/>
    <w:rsid w:val="35D44264"/>
    <w:rsid w:val="35DD6222"/>
    <w:rsid w:val="35E0570E"/>
    <w:rsid w:val="35E5D10D"/>
    <w:rsid w:val="35F247FC"/>
    <w:rsid w:val="3613ADF0"/>
    <w:rsid w:val="3632C99F"/>
    <w:rsid w:val="36388C16"/>
    <w:rsid w:val="365F13CC"/>
    <w:rsid w:val="366602D5"/>
    <w:rsid w:val="367D6FAE"/>
    <w:rsid w:val="36849EE2"/>
    <w:rsid w:val="3698458F"/>
    <w:rsid w:val="369E5179"/>
    <w:rsid w:val="36AA5719"/>
    <w:rsid w:val="36B0A6AA"/>
    <w:rsid w:val="36B875F5"/>
    <w:rsid w:val="36BBE900"/>
    <w:rsid w:val="36D70DCF"/>
    <w:rsid w:val="36F347CE"/>
    <w:rsid w:val="3702DD20"/>
    <w:rsid w:val="37148DAA"/>
    <w:rsid w:val="37156700"/>
    <w:rsid w:val="37209B37"/>
    <w:rsid w:val="37219CD0"/>
    <w:rsid w:val="3751219C"/>
    <w:rsid w:val="37634F67"/>
    <w:rsid w:val="3780F087"/>
    <w:rsid w:val="378A4A74"/>
    <w:rsid w:val="37A1CF4F"/>
    <w:rsid w:val="37B272AE"/>
    <w:rsid w:val="37B3E4EA"/>
    <w:rsid w:val="37B83031"/>
    <w:rsid w:val="37D3E327"/>
    <w:rsid w:val="37E37827"/>
    <w:rsid w:val="37E9817A"/>
    <w:rsid w:val="37E9DDF1"/>
    <w:rsid w:val="37F31247"/>
    <w:rsid w:val="37FB87D0"/>
    <w:rsid w:val="380A2563"/>
    <w:rsid w:val="3814929E"/>
    <w:rsid w:val="381D43E2"/>
    <w:rsid w:val="382BB190"/>
    <w:rsid w:val="38387CCE"/>
    <w:rsid w:val="38536D85"/>
    <w:rsid w:val="385FB5B3"/>
    <w:rsid w:val="387835D9"/>
    <w:rsid w:val="387991C1"/>
    <w:rsid w:val="38CB979C"/>
    <w:rsid w:val="38F14B94"/>
    <w:rsid w:val="39054385"/>
    <w:rsid w:val="390B2426"/>
    <w:rsid w:val="390B965D"/>
    <w:rsid w:val="39109A66"/>
    <w:rsid w:val="3916E849"/>
    <w:rsid w:val="39255397"/>
    <w:rsid w:val="3943B924"/>
    <w:rsid w:val="394F49C6"/>
    <w:rsid w:val="398A4604"/>
    <w:rsid w:val="398B561D"/>
    <w:rsid w:val="398D2A47"/>
    <w:rsid w:val="398F5D1D"/>
    <w:rsid w:val="39A5CD7A"/>
    <w:rsid w:val="39B0DBFB"/>
    <w:rsid w:val="39C1DCB5"/>
    <w:rsid w:val="39C956B8"/>
    <w:rsid w:val="39F07B35"/>
    <w:rsid w:val="3A0E04B3"/>
    <w:rsid w:val="3A1752BD"/>
    <w:rsid w:val="3A1F123E"/>
    <w:rsid w:val="3A41FBAF"/>
    <w:rsid w:val="3A42DAE3"/>
    <w:rsid w:val="3A657AC8"/>
    <w:rsid w:val="3A688A6C"/>
    <w:rsid w:val="3A6ADB0A"/>
    <w:rsid w:val="3A855785"/>
    <w:rsid w:val="3A9912B4"/>
    <w:rsid w:val="3A9C2034"/>
    <w:rsid w:val="3AB3C8A6"/>
    <w:rsid w:val="3ADE4EE0"/>
    <w:rsid w:val="3AE5AEE7"/>
    <w:rsid w:val="3AFE62CD"/>
    <w:rsid w:val="3B093F60"/>
    <w:rsid w:val="3B1BFA01"/>
    <w:rsid w:val="3B40BC1C"/>
    <w:rsid w:val="3B476EE1"/>
    <w:rsid w:val="3B8B3339"/>
    <w:rsid w:val="3B98B9BE"/>
    <w:rsid w:val="3BC86214"/>
    <w:rsid w:val="3BE08547"/>
    <w:rsid w:val="3C0F1C06"/>
    <w:rsid w:val="3C195F6C"/>
    <w:rsid w:val="3C4225E2"/>
    <w:rsid w:val="3C4D811F"/>
    <w:rsid w:val="3C4ED94D"/>
    <w:rsid w:val="3C5C0A79"/>
    <w:rsid w:val="3C5F4F08"/>
    <w:rsid w:val="3C930190"/>
    <w:rsid w:val="3CA90C74"/>
    <w:rsid w:val="3CB132DE"/>
    <w:rsid w:val="3CB421E1"/>
    <w:rsid w:val="3CC23699"/>
    <w:rsid w:val="3CC56535"/>
    <w:rsid w:val="3CC59D19"/>
    <w:rsid w:val="3CCB0C96"/>
    <w:rsid w:val="3CD231D8"/>
    <w:rsid w:val="3CD26D82"/>
    <w:rsid w:val="3CE6FC5C"/>
    <w:rsid w:val="3CF08D5B"/>
    <w:rsid w:val="3CF47E79"/>
    <w:rsid w:val="3CF8567F"/>
    <w:rsid w:val="3D0A9408"/>
    <w:rsid w:val="3D0D7D14"/>
    <w:rsid w:val="3D1ED02B"/>
    <w:rsid w:val="3D3BF240"/>
    <w:rsid w:val="3D535435"/>
    <w:rsid w:val="3D5825F7"/>
    <w:rsid w:val="3D5BE8DE"/>
    <w:rsid w:val="3D5D786B"/>
    <w:rsid w:val="3D7CF180"/>
    <w:rsid w:val="3D954B34"/>
    <w:rsid w:val="3D9DA91A"/>
    <w:rsid w:val="3DC2E02E"/>
    <w:rsid w:val="3DDCF014"/>
    <w:rsid w:val="3DDE1A87"/>
    <w:rsid w:val="3DF91251"/>
    <w:rsid w:val="3DFA6584"/>
    <w:rsid w:val="3E05CA63"/>
    <w:rsid w:val="3E0B10F3"/>
    <w:rsid w:val="3E40B0B8"/>
    <w:rsid w:val="3E5022EB"/>
    <w:rsid w:val="3E5B2FCB"/>
    <w:rsid w:val="3E752992"/>
    <w:rsid w:val="3E76EC85"/>
    <w:rsid w:val="3E786919"/>
    <w:rsid w:val="3EA3FAF3"/>
    <w:rsid w:val="3EB302B6"/>
    <w:rsid w:val="3EDA4E90"/>
    <w:rsid w:val="3EDB1CA0"/>
    <w:rsid w:val="3EDF6FDA"/>
    <w:rsid w:val="3EE2A484"/>
    <w:rsid w:val="3F09F715"/>
    <w:rsid w:val="3F279428"/>
    <w:rsid w:val="3F2DCE83"/>
    <w:rsid w:val="3F4CF0A8"/>
    <w:rsid w:val="3F60749F"/>
    <w:rsid w:val="3F66DA83"/>
    <w:rsid w:val="3F7B2D8C"/>
    <w:rsid w:val="3F80211B"/>
    <w:rsid w:val="3F858D8F"/>
    <w:rsid w:val="3F90BE11"/>
    <w:rsid w:val="3F9EAD67"/>
    <w:rsid w:val="3FA769F5"/>
    <w:rsid w:val="3FB76088"/>
    <w:rsid w:val="3FC8A75A"/>
    <w:rsid w:val="3FDD2512"/>
    <w:rsid w:val="3FEF2829"/>
    <w:rsid w:val="3FF107EA"/>
    <w:rsid w:val="3FFA28AD"/>
    <w:rsid w:val="3FFDDBDA"/>
    <w:rsid w:val="3FFF3619"/>
    <w:rsid w:val="4008702F"/>
    <w:rsid w:val="400A9274"/>
    <w:rsid w:val="401D19D5"/>
    <w:rsid w:val="4036C37F"/>
    <w:rsid w:val="404BBCB0"/>
    <w:rsid w:val="4056C0A7"/>
    <w:rsid w:val="406A3020"/>
    <w:rsid w:val="4071BB39"/>
    <w:rsid w:val="407751A8"/>
    <w:rsid w:val="40A23DC9"/>
    <w:rsid w:val="40C1729B"/>
    <w:rsid w:val="41158AC0"/>
    <w:rsid w:val="4124D900"/>
    <w:rsid w:val="4154770B"/>
    <w:rsid w:val="41569574"/>
    <w:rsid w:val="41581FD2"/>
    <w:rsid w:val="4170A97E"/>
    <w:rsid w:val="41846ECE"/>
    <w:rsid w:val="4185B066"/>
    <w:rsid w:val="4189D63B"/>
    <w:rsid w:val="4194F2FF"/>
    <w:rsid w:val="419618E4"/>
    <w:rsid w:val="41994333"/>
    <w:rsid w:val="419ABD30"/>
    <w:rsid w:val="419FA03F"/>
    <w:rsid w:val="41C33358"/>
    <w:rsid w:val="41EE049C"/>
    <w:rsid w:val="41F2529A"/>
    <w:rsid w:val="420BB355"/>
    <w:rsid w:val="421653CF"/>
    <w:rsid w:val="421F5A01"/>
    <w:rsid w:val="421FD4EC"/>
    <w:rsid w:val="42209E3A"/>
    <w:rsid w:val="42236E78"/>
    <w:rsid w:val="42584488"/>
    <w:rsid w:val="42596159"/>
    <w:rsid w:val="425F669A"/>
    <w:rsid w:val="426A78C1"/>
    <w:rsid w:val="426C8AD3"/>
    <w:rsid w:val="428C740B"/>
    <w:rsid w:val="428F2E14"/>
    <w:rsid w:val="4293C19B"/>
    <w:rsid w:val="429BBB61"/>
    <w:rsid w:val="42A62B62"/>
    <w:rsid w:val="42A87F44"/>
    <w:rsid w:val="42B3E9ED"/>
    <w:rsid w:val="42B90468"/>
    <w:rsid w:val="42C4ED02"/>
    <w:rsid w:val="42C76221"/>
    <w:rsid w:val="42D408FD"/>
    <w:rsid w:val="42DBF260"/>
    <w:rsid w:val="42FA3219"/>
    <w:rsid w:val="431A4A4B"/>
    <w:rsid w:val="431EBC39"/>
    <w:rsid w:val="431F06A3"/>
    <w:rsid w:val="432F4EF7"/>
    <w:rsid w:val="43783A60"/>
    <w:rsid w:val="437B7CE9"/>
    <w:rsid w:val="437D5F78"/>
    <w:rsid w:val="439AE2FE"/>
    <w:rsid w:val="43A4A6CC"/>
    <w:rsid w:val="43A7485B"/>
    <w:rsid w:val="43B52198"/>
    <w:rsid w:val="43C77E07"/>
    <w:rsid w:val="43D75217"/>
    <w:rsid w:val="43F737C5"/>
    <w:rsid w:val="44023BAE"/>
    <w:rsid w:val="44115CDB"/>
    <w:rsid w:val="4413B294"/>
    <w:rsid w:val="44150974"/>
    <w:rsid w:val="44283FA4"/>
    <w:rsid w:val="44318A3A"/>
    <w:rsid w:val="44628C0C"/>
    <w:rsid w:val="4471C1D2"/>
    <w:rsid w:val="447DC2A1"/>
    <w:rsid w:val="44858D3B"/>
    <w:rsid w:val="4488E242"/>
    <w:rsid w:val="44900B35"/>
    <w:rsid w:val="4497B192"/>
    <w:rsid w:val="44AAFD0A"/>
    <w:rsid w:val="4515404B"/>
    <w:rsid w:val="4518D7B3"/>
    <w:rsid w:val="45484D7C"/>
    <w:rsid w:val="4564F58A"/>
    <w:rsid w:val="456A942D"/>
    <w:rsid w:val="4575C80F"/>
    <w:rsid w:val="458B13FB"/>
    <w:rsid w:val="45971C1F"/>
    <w:rsid w:val="459C0F0B"/>
    <w:rsid w:val="459C1BA4"/>
    <w:rsid w:val="459E9E95"/>
    <w:rsid w:val="45A14B3F"/>
    <w:rsid w:val="45C137A9"/>
    <w:rsid w:val="45C640E3"/>
    <w:rsid w:val="45E82E09"/>
    <w:rsid w:val="45FE5F61"/>
    <w:rsid w:val="461DBAD1"/>
    <w:rsid w:val="463D23FD"/>
    <w:rsid w:val="464C6696"/>
    <w:rsid w:val="46520F8F"/>
    <w:rsid w:val="465A7DCF"/>
    <w:rsid w:val="467122DD"/>
    <w:rsid w:val="4696C654"/>
    <w:rsid w:val="46976B8D"/>
    <w:rsid w:val="4698F205"/>
    <w:rsid w:val="46A7548E"/>
    <w:rsid w:val="46CD7611"/>
    <w:rsid w:val="46CF3597"/>
    <w:rsid w:val="46E238E1"/>
    <w:rsid w:val="47099E69"/>
    <w:rsid w:val="4709D13A"/>
    <w:rsid w:val="4713615C"/>
    <w:rsid w:val="471AB1C1"/>
    <w:rsid w:val="471D10D0"/>
    <w:rsid w:val="4722D347"/>
    <w:rsid w:val="4755F7E7"/>
    <w:rsid w:val="47595494"/>
    <w:rsid w:val="475B7902"/>
    <w:rsid w:val="476C2AEC"/>
    <w:rsid w:val="47728D07"/>
    <w:rsid w:val="47802CAA"/>
    <w:rsid w:val="4788277D"/>
    <w:rsid w:val="47B4686B"/>
    <w:rsid w:val="47B46DB7"/>
    <w:rsid w:val="47C5AA81"/>
    <w:rsid w:val="47E72798"/>
    <w:rsid w:val="47F77358"/>
    <w:rsid w:val="4806B78C"/>
    <w:rsid w:val="480B24EF"/>
    <w:rsid w:val="4821F1DA"/>
    <w:rsid w:val="48283262"/>
    <w:rsid w:val="482EB4FC"/>
    <w:rsid w:val="4832EF62"/>
    <w:rsid w:val="484C9AA1"/>
    <w:rsid w:val="4853EF2F"/>
    <w:rsid w:val="4861BB8C"/>
    <w:rsid w:val="487879B3"/>
    <w:rsid w:val="48859B8B"/>
    <w:rsid w:val="488B341B"/>
    <w:rsid w:val="488BA5C3"/>
    <w:rsid w:val="48A9FD78"/>
    <w:rsid w:val="48CA8E2E"/>
    <w:rsid w:val="48CD4EC9"/>
    <w:rsid w:val="48DAD30A"/>
    <w:rsid w:val="48DC1FCF"/>
    <w:rsid w:val="48ED44DF"/>
    <w:rsid w:val="4901757D"/>
    <w:rsid w:val="4915DC25"/>
    <w:rsid w:val="4935AF3D"/>
    <w:rsid w:val="493B7343"/>
    <w:rsid w:val="493D9A4B"/>
    <w:rsid w:val="493FDE1D"/>
    <w:rsid w:val="495F36BF"/>
    <w:rsid w:val="4964AB82"/>
    <w:rsid w:val="4965E7C8"/>
    <w:rsid w:val="4991FB28"/>
    <w:rsid w:val="49927B62"/>
    <w:rsid w:val="49979611"/>
    <w:rsid w:val="49A8904D"/>
    <w:rsid w:val="49BEC38B"/>
    <w:rsid w:val="49C97174"/>
    <w:rsid w:val="49CC8EF0"/>
    <w:rsid w:val="49CF32D4"/>
    <w:rsid w:val="4A004477"/>
    <w:rsid w:val="4A0D0D74"/>
    <w:rsid w:val="4A228077"/>
    <w:rsid w:val="4A27FE66"/>
    <w:rsid w:val="4A2A4674"/>
    <w:rsid w:val="4A541A1A"/>
    <w:rsid w:val="4A579EAC"/>
    <w:rsid w:val="4A60ADCF"/>
    <w:rsid w:val="4A6AD0FC"/>
    <w:rsid w:val="4AADBBD3"/>
    <w:rsid w:val="4AB30E47"/>
    <w:rsid w:val="4ACE3C5B"/>
    <w:rsid w:val="4AD8A93A"/>
    <w:rsid w:val="4ADCAFE8"/>
    <w:rsid w:val="4B1AC6B6"/>
    <w:rsid w:val="4B2D53EA"/>
    <w:rsid w:val="4B44A149"/>
    <w:rsid w:val="4B4C2D5D"/>
    <w:rsid w:val="4B591480"/>
    <w:rsid w:val="4B678731"/>
    <w:rsid w:val="4B69B599"/>
    <w:rsid w:val="4B7148F4"/>
    <w:rsid w:val="4B7BA823"/>
    <w:rsid w:val="4B7CC536"/>
    <w:rsid w:val="4B9C9977"/>
    <w:rsid w:val="4BD29250"/>
    <w:rsid w:val="4BF03B87"/>
    <w:rsid w:val="4BF08922"/>
    <w:rsid w:val="4BF8DEB8"/>
    <w:rsid w:val="4BFAA520"/>
    <w:rsid w:val="4C11304B"/>
    <w:rsid w:val="4C252C9A"/>
    <w:rsid w:val="4C40CED9"/>
    <w:rsid w:val="4C45A382"/>
    <w:rsid w:val="4C4AAFC8"/>
    <w:rsid w:val="4C503F6E"/>
    <w:rsid w:val="4C5C8DBC"/>
    <w:rsid w:val="4C64E6EC"/>
    <w:rsid w:val="4C72E7ED"/>
    <w:rsid w:val="4C759732"/>
    <w:rsid w:val="4C7E974A"/>
    <w:rsid w:val="4C8E4383"/>
    <w:rsid w:val="4C8E5646"/>
    <w:rsid w:val="4C918691"/>
    <w:rsid w:val="4CAD61A0"/>
    <w:rsid w:val="4CB863A5"/>
    <w:rsid w:val="4CBF1DDD"/>
    <w:rsid w:val="4CD6ECF3"/>
    <w:rsid w:val="4CDF7D21"/>
    <w:rsid w:val="4CF01437"/>
    <w:rsid w:val="4CFA317F"/>
    <w:rsid w:val="4D0CF655"/>
    <w:rsid w:val="4D13EE41"/>
    <w:rsid w:val="4D194D2E"/>
    <w:rsid w:val="4D1EAA46"/>
    <w:rsid w:val="4D4D50AD"/>
    <w:rsid w:val="4D4E19FB"/>
    <w:rsid w:val="4D560910"/>
    <w:rsid w:val="4D6C14A2"/>
    <w:rsid w:val="4D75E37B"/>
    <w:rsid w:val="4D7CA783"/>
    <w:rsid w:val="4D7E2A15"/>
    <w:rsid w:val="4DB99F1E"/>
    <w:rsid w:val="4DCAE9D6"/>
    <w:rsid w:val="4DE67347"/>
    <w:rsid w:val="4DF6AEF1"/>
    <w:rsid w:val="4E0017C5"/>
    <w:rsid w:val="4E0507A6"/>
    <w:rsid w:val="4E0FFA56"/>
    <w:rsid w:val="4E11C8BA"/>
    <w:rsid w:val="4E18DAEE"/>
    <w:rsid w:val="4E1F9593"/>
    <w:rsid w:val="4E319E36"/>
    <w:rsid w:val="4E376AFB"/>
    <w:rsid w:val="4E41ED94"/>
    <w:rsid w:val="4E5C7513"/>
    <w:rsid w:val="4E726A57"/>
    <w:rsid w:val="4E803E63"/>
    <w:rsid w:val="4E899E03"/>
    <w:rsid w:val="4E92EF48"/>
    <w:rsid w:val="4EAC998C"/>
    <w:rsid w:val="4EB2A26F"/>
    <w:rsid w:val="4EC44D80"/>
    <w:rsid w:val="4ECB3DEC"/>
    <w:rsid w:val="4ED4A3DD"/>
    <w:rsid w:val="4ED4BE0E"/>
    <w:rsid w:val="4F0669D4"/>
    <w:rsid w:val="4F26AE1B"/>
    <w:rsid w:val="4F4B355B"/>
    <w:rsid w:val="4F552592"/>
    <w:rsid w:val="4F6FD22D"/>
    <w:rsid w:val="4F8035C9"/>
    <w:rsid w:val="4F82FAD6"/>
    <w:rsid w:val="4F84F140"/>
    <w:rsid w:val="4F870966"/>
    <w:rsid w:val="4F8EB3B1"/>
    <w:rsid w:val="4FE9E824"/>
    <w:rsid w:val="4FEB1761"/>
    <w:rsid w:val="4FEE9627"/>
    <w:rsid w:val="501077ED"/>
    <w:rsid w:val="50160A17"/>
    <w:rsid w:val="501858C6"/>
    <w:rsid w:val="502AE6BB"/>
    <w:rsid w:val="506537B7"/>
    <w:rsid w:val="506B8C44"/>
    <w:rsid w:val="5076A086"/>
    <w:rsid w:val="5084E7EF"/>
    <w:rsid w:val="50B5855E"/>
    <w:rsid w:val="50BA0E4D"/>
    <w:rsid w:val="50BD357B"/>
    <w:rsid w:val="50C7B3B1"/>
    <w:rsid w:val="50D89284"/>
    <w:rsid w:val="50E7D9F2"/>
    <w:rsid w:val="50F25DF0"/>
    <w:rsid w:val="5109E65A"/>
    <w:rsid w:val="510A14CE"/>
    <w:rsid w:val="510B8FF9"/>
    <w:rsid w:val="512201DB"/>
    <w:rsid w:val="51279FFE"/>
    <w:rsid w:val="5133A29C"/>
    <w:rsid w:val="51418152"/>
    <w:rsid w:val="51433C7A"/>
    <w:rsid w:val="5147A610"/>
    <w:rsid w:val="5162970D"/>
    <w:rsid w:val="519729C3"/>
    <w:rsid w:val="519DBDE7"/>
    <w:rsid w:val="51B88052"/>
    <w:rsid w:val="51C973C2"/>
    <w:rsid w:val="51E48C4D"/>
    <w:rsid w:val="52269E53"/>
    <w:rsid w:val="5228B5E4"/>
    <w:rsid w:val="522D21B9"/>
    <w:rsid w:val="5234423C"/>
    <w:rsid w:val="52378C4D"/>
    <w:rsid w:val="524C02E6"/>
    <w:rsid w:val="52A00F53"/>
    <w:rsid w:val="52AA4F9C"/>
    <w:rsid w:val="52F32627"/>
    <w:rsid w:val="53102129"/>
    <w:rsid w:val="5319CAAA"/>
    <w:rsid w:val="532135BC"/>
    <w:rsid w:val="5323948B"/>
    <w:rsid w:val="53244DDB"/>
    <w:rsid w:val="533416A4"/>
    <w:rsid w:val="533BC232"/>
    <w:rsid w:val="53401B5E"/>
    <w:rsid w:val="5343C0A5"/>
    <w:rsid w:val="5368117D"/>
    <w:rsid w:val="53716FA9"/>
    <w:rsid w:val="537F9D72"/>
    <w:rsid w:val="53B3DB5D"/>
    <w:rsid w:val="53BD19F9"/>
    <w:rsid w:val="53C7ACEF"/>
    <w:rsid w:val="540ACB45"/>
    <w:rsid w:val="541F4409"/>
    <w:rsid w:val="54309188"/>
    <w:rsid w:val="546A87CA"/>
    <w:rsid w:val="547A0501"/>
    <w:rsid w:val="549201C8"/>
    <w:rsid w:val="549AD6D7"/>
    <w:rsid w:val="54B0211D"/>
    <w:rsid w:val="54B87B30"/>
    <w:rsid w:val="54CAB60E"/>
    <w:rsid w:val="54CC5A39"/>
    <w:rsid w:val="54CC913C"/>
    <w:rsid w:val="54D79C2A"/>
    <w:rsid w:val="54F52735"/>
    <w:rsid w:val="54FD1211"/>
    <w:rsid w:val="5528F6CE"/>
    <w:rsid w:val="55459329"/>
    <w:rsid w:val="55523176"/>
    <w:rsid w:val="55975E0A"/>
    <w:rsid w:val="55B7C27B"/>
    <w:rsid w:val="55B8975C"/>
    <w:rsid w:val="55C2AF1B"/>
    <w:rsid w:val="55D95235"/>
    <w:rsid w:val="55EE242D"/>
    <w:rsid w:val="55FC228C"/>
    <w:rsid w:val="55FF8BF7"/>
    <w:rsid w:val="56039D70"/>
    <w:rsid w:val="5603CF43"/>
    <w:rsid w:val="56076736"/>
    <w:rsid w:val="560AC503"/>
    <w:rsid w:val="561B0F32"/>
    <w:rsid w:val="562153CB"/>
    <w:rsid w:val="5646DF64"/>
    <w:rsid w:val="5659A408"/>
    <w:rsid w:val="5696F453"/>
    <w:rsid w:val="5697DB3A"/>
    <w:rsid w:val="56BE18FB"/>
    <w:rsid w:val="56D229FC"/>
    <w:rsid w:val="56D41CEE"/>
    <w:rsid w:val="56E29210"/>
    <w:rsid w:val="56E50E3B"/>
    <w:rsid w:val="56E6F11B"/>
    <w:rsid w:val="56EDB34F"/>
    <w:rsid w:val="570FA39F"/>
    <w:rsid w:val="57143A1E"/>
    <w:rsid w:val="572DB897"/>
    <w:rsid w:val="573033BC"/>
    <w:rsid w:val="57493473"/>
    <w:rsid w:val="574BC287"/>
    <w:rsid w:val="575A3BE6"/>
    <w:rsid w:val="57612538"/>
    <w:rsid w:val="576C3372"/>
    <w:rsid w:val="576FAD6B"/>
    <w:rsid w:val="5777F83C"/>
    <w:rsid w:val="5780D52F"/>
    <w:rsid w:val="57834262"/>
    <w:rsid w:val="57A8BBEC"/>
    <w:rsid w:val="57B3BBD3"/>
    <w:rsid w:val="57BE6788"/>
    <w:rsid w:val="57E24617"/>
    <w:rsid w:val="57EE3264"/>
    <w:rsid w:val="5813943C"/>
    <w:rsid w:val="581AA4C1"/>
    <w:rsid w:val="582AD0C4"/>
    <w:rsid w:val="58382E95"/>
    <w:rsid w:val="5847B4EA"/>
    <w:rsid w:val="584F5F9F"/>
    <w:rsid w:val="5854689E"/>
    <w:rsid w:val="5875605A"/>
    <w:rsid w:val="5876EB9D"/>
    <w:rsid w:val="58792441"/>
    <w:rsid w:val="5883F32B"/>
    <w:rsid w:val="58898919"/>
    <w:rsid w:val="58A0B95B"/>
    <w:rsid w:val="58A1AD6A"/>
    <w:rsid w:val="58A36751"/>
    <w:rsid w:val="58A3FBBC"/>
    <w:rsid w:val="58E069A6"/>
    <w:rsid w:val="58E16CAB"/>
    <w:rsid w:val="58EB99C3"/>
    <w:rsid w:val="593207DF"/>
    <w:rsid w:val="59458072"/>
    <w:rsid w:val="5947A2B9"/>
    <w:rsid w:val="5952B64E"/>
    <w:rsid w:val="595EF5F3"/>
    <w:rsid w:val="5967F4A1"/>
    <w:rsid w:val="596AC010"/>
    <w:rsid w:val="59C76F92"/>
    <w:rsid w:val="59E1E498"/>
    <w:rsid w:val="59EEF278"/>
    <w:rsid w:val="59EFCF2D"/>
    <w:rsid w:val="59F760A6"/>
    <w:rsid w:val="59F9468D"/>
    <w:rsid w:val="5A07CE65"/>
    <w:rsid w:val="5A0F842A"/>
    <w:rsid w:val="5A1DAD7A"/>
    <w:rsid w:val="5A26B34E"/>
    <w:rsid w:val="5A2807B6"/>
    <w:rsid w:val="5A430CF0"/>
    <w:rsid w:val="5A44ACE1"/>
    <w:rsid w:val="5A726C28"/>
    <w:rsid w:val="5A818113"/>
    <w:rsid w:val="5A99268F"/>
    <w:rsid w:val="5AACDC4E"/>
    <w:rsid w:val="5AC18496"/>
    <w:rsid w:val="5ADCE7DB"/>
    <w:rsid w:val="5AE53469"/>
    <w:rsid w:val="5AEF72BD"/>
    <w:rsid w:val="5AF75DD1"/>
    <w:rsid w:val="5AFFE286"/>
    <w:rsid w:val="5B04762F"/>
    <w:rsid w:val="5B0E3356"/>
    <w:rsid w:val="5B177857"/>
    <w:rsid w:val="5B1BD707"/>
    <w:rsid w:val="5B36529A"/>
    <w:rsid w:val="5B457C60"/>
    <w:rsid w:val="5B54D0C6"/>
    <w:rsid w:val="5B5D16DC"/>
    <w:rsid w:val="5B5E6395"/>
    <w:rsid w:val="5B67BF5D"/>
    <w:rsid w:val="5B7737BB"/>
    <w:rsid w:val="5B7970D9"/>
    <w:rsid w:val="5BB2FAAA"/>
    <w:rsid w:val="5BDB1B6B"/>
    <w:rsid w:val="5BDB4AB8"/>
    <w:rsid w:val="5C0369F9"/>
    <w:rsid w:val="5C199C82"/>
    <w:rsid w:val="5C1DF31C"/>
    <w:rsid w:val="5C304C62"/>
    <w:rsid w:val="5C53DA43"/>
    <w:rsid w:val="5C5EE868"/>
    <w:rsid w:val="5C704722"/>
    <w:rsid w:val="5C71826F"/>
    <w:rsid w:val="5C8213A4"/>
    <w:rsid w:val="5C826B7C"/>
    <w:rsid w:val="5C949961"/>
    <w:rsid w:val="5C9FE8DC"/>
    <w:rsid w:val="5CC3F323"/>
    <w:rsid w:val="5CD8B854"/>
    <w:rsid w:val="5CE0D172"/>
    <w:rsid w:val="5D021967"/>
    <w:rsid w:val="5D06CEC5"/>
    <w:rsid w:val="5D14E26D"/>
    <w:rsid w:val="5D18E3E4"/>
    <w:rsid w:val="5D18E729"/>
    <w:rsid w:val="5D2636C5"/>
    <w:rsid w:val="5D32235F"/>
    <w:rsid w:val="5D4C65B9"/>
    <w:rsid w:val="5D507E6F"/>
    <w:rsid w:val="5D6968C4"/>
    <w:rsid w:val="5D6A1725"/>
    <w:rsid w:val="5D75D774"/>
    <w:rsid w:val="5D7F1A70"/>
    <w:rsid w:val="5DA06897"/>
    <w:rsid w:val="5DB350A2"/>
    <w:rsid w:val="5DBD4D20"/>
    <w:rsid w:val="5DE0680B"/>
    <w:rsid w:val="5E1CC844"/>
    <w:rsid w:val="5E32BB07"/>
    <w:rsid w:val="5E371EA1"/>
    <w:rsid w:val="5E3E4CB9"/>
    <w:rsid w:val="5E41D947"/>
    <w:rsid w:val="5E5E0AA7"/>
    <w:rsid w:val="5E76FD39"/>
    <w:rsid w:val="5E79DCCE"/>
    <w:rsid w:val="5E8E571E"/>
    <w:rsid w:val="5E9823F5"/>
    <w:rsid w:val="5E9E9EAF"/>
    <w:rsid w:val="5EA30F68"/>
    <w:rsid w:val="5EF98078"/>
    <w:rsid w:val="5F021FF3"/>
    <w:rsid w:val="5F16DD59"/>
    <w:rsid w:val="5F18122B"/>
    <w:rsid w:val="5F465B43"/>
    <w:rsid w:val="5F4B4973"/>
    <w:rsid w:val="5F516FDE"/>
    <w:rsid w:val="5F734836"/>
    <w:rsid w:val="5F75A20F"/>
    <w:rsid w:val="5F90EF60"/>
    <w:rsid w:val="5F9354E8"/>
    <w:rsid w:val="5FAF5274"/>
    <w:rsid w:val="5FB490D6"/>
    <w:rsid w:val="5FC270F8"/>
    <w:rsid w:val="5FD49FD9"/>
    <w:rsid w:val="5FD6CB5C"/>
    <w:rsid w:val="5FE3FF18"/>
    <w:rsid w:val="5FF766CA"/>
    <w:rsid w:val="60003C37"/>
    <w:rsid w:val="60054959"/>
    <w:rsid w:val="6016BF11"/>
    <w:rsid w:val="601A7217"/>
    <w:rsid w:val="602AFF0C"/>
    <w:rsid w:val="603A8996"/>
    <w:rsid w:val="603F72DF"/>
    <w:rsid w:val="60549F8A"/>
    <w:rsid w:val="6058EC20"/>
    <w:rsid w:val="6066AD85"/>
    <w:rsid w:val="609F104D"/>
    <w:rsid w:val="60ADB067"/>
    <w:rsid w:val="60B5615C"/>
    <w:rsid w:val="60BE5390"/>
    <w:rsid w:val="60CCE028"/>
    <w:rsid w:val="60CE7647"/>
    <w:rsid w:val="60D7C97B"/>
    <w:rsid w:val="60F1FAE8"/>
    <w:rsid w:val="60F23FFF"/>
    <w:rsid w:val="6153DD7D"/>
    <w:rsid w:val="6156E021"/>
    <w:rsid w:val="618B544C"/>
    <w:rsid w:val="61A393D8"/>
    <w:rsid w:val="61A77E94"/>
    <w:rsid w:val="61A80A26"/>
    <w:rsid w:val="61B64608"/>
    <w:rsid w:val="61DF2FD7"/>
    <w:rsid w:val="61F57897"/>
    <w:rsid w:val="62075AB0"/>
    <w:rsid w:val="620F1ABA"/>
    <w:rsid w:val="62148294"/>
    <w:rsid w:val="622FC25D"/>
    <w:rsid w:val="62392351"/>
    <w:rsid w:val="623C5ECC"/>
    <w:rsid w:val="623F5507"/>
    <w:rsid w:val="625156E1"/>
    <w:rsid w:val="626F9F00"/>
    <w:rsid w:val="62A34A65"/>
    <w:rsid w:val="62A9A827"/>
    <w:rsid w:val="62AB4FFA"/>
    <w:rsid w:val="62B08FEC"/>
    <w:rsid w:val="62B1E9A1"/>
    <w:rsid w:val="62B6BA20"/>
    <w:rsid w:val="62C9CECA"/>
    <w:rsid w:val="62EE76EA"/>
    <w:rsid w:val="62F550F5"/>
    <w:rsid w:val="630FC66C"/>
    <w:rsid w:val="63108C21"/>
    <w:rsid w:val="632047DE"/>
    <w:rsid w:val="6323D9DE"/>
    <w:rsid w:val="6355DFA7"/>
    <w:rsid w:val="63599401"/>
    <w:rsid w:val="635ACEE6"/>
    <w:rsid w:val="63810A40"/>
    <w:rsid w:val="63A88F4D"/>
    <w:rsid w:val="63D162FA"/>
    <w:rsid w:val="63D748C6"/>
    <w:rsid w:val="64044609"/>
    <w:rsid w:val="641DFC51"/>
    <w:rsid w:val="64286A68"/>
    <w:rsid w:val="642C53AD"/>
    <w:rsid w:val="642F4189"/>
    <w:rsid w:val="644127A4"/>
    <w:rsid w:val="6448BA47"/>
    <w:rsid w:val="645B01B7"/>
    <w:rsid w:val="64619E82"/>
    <w:rsid w:val="646D700B"/>
    <w:rsid w:val="64778EAB"/>
    <w:rsid w:val="648E66B8"/>
    <w:rsid w:val="6492AA34"/>
    <w:rsid w:val="6492CE33"/>
    <w:rsid w:val="6499EFF0"/>
    <w:rsid w:val="649AB3F9"/>
    <w:rsid w:val="649ED746"/>
    <w:rsid w:val="64A1053D"/>
    <w:rsid w:val="64A3B046"/>
    <w:rsid w:val="64B5A1C3"/>
    <w:rsid w:val="64BA7AC3"/>
    <w:rsid w:val="64E2D932"/>
    <w:rsid w:val="64E78AF2"/>
    <w:rsid w:val="64F72B18"/>
    <w:rsid w:val="64FCE4F2"/>
    <w:rsid w:val="651552BD"/>
    <w:rsid w:val="65273D7B"/>
    <w:rsid w:val="6534A742"/>
    <w:rsid w:val="6546A65D"/>
    <w:rsid w:val="654EC4AA"/>
    <w:rsid w:val="6557890E"/>
    <w:rsid w:val="6576DB6B"/>
    <w:rsid w:val="658E8D56"/>
    <w:rsid w:val="65925778"/>
    <w:rsid w:val="659CD0E6"/>
    <w:rsid w:val="65A9D3F1"/>
    <w:rsid w:val="65C02D28"/>
    <w:rsid w:val="65C59152"/>
    <w:rsid w:val="65D195EA"/>
    <w:rsid w:val="65DE78FA"/>
    <w:rsid w:val="65EB991E"/>
    <w:rsid w:val="66220327"/>
    <w:rsid w:val="664DA6A5"/>
    <w:rsid w:val="66535B75"/>
    <w:rsid w:val="66569E5B"/>
    <w:rsid w:val="6662246C"/>
    <w:rsid w:val="6671BDBE"/>
    <w:rsid w:val="6676A156"/>
    <w:rsid w:val="668016E0"/>
    <w:rsid w:val="6681C9D1"/>
    <w:rsid w:val="66835488"/>
    <w:rsid w:val="66B8A8CA"/>
    <w:rsid w:val="66C92C85"/>
    <w:rsid w:val="66EF5DB2"/>
    <w:rsid w:val="66F04B07"/>
    <w:rsid w:val="670FD7D8"/>
    <w:rsid w:val="671645B0"/>
    <w:rsid w:val="67197DFD"/>
    <w:rsid w:val="671C8DEA"/>
    <w:rsid w:val="676C5DD3"/>
    <w:rsid w:val="6770A210"/>
    <w:rsid w:val="6774FCF9"/>
    <w:rsid w:val="67768D4F"/>
    <w:rsid w:val="67816B78"/>
    <w:rsid w:val="67842191"/>
    <w:rsid w:val="67871C0E"/>
    <w:rsid w:val="6787E330"/>
    <w:rsid w:val="6797B606"/>
    <w:rsid w:val="679F0149"/>
    <w:rsid w:val="67B9D779"/>
    <w:rsid w:val="67C10B70"/>
    <w:rsid w:val="67E2F915"/>
    <w:rsid w:val="67F97E19"/>
    <w:rsid w:val="68017C84"/>
    <w:rsid w:val="681891CD"/>
    <w:rsid w:val="681BAFD7"/>
    <w:rsid w:val="681CD1BE"/>
    <w:rsid w:val="682C97FE"/>
    <w:rsid w:val="682DA882"/>
    <w:rsid w:val="685339C6"/>
    <w:rsid w:val="68C7C7D2"/>
    <w:rsid w:val="68E259AD"/>
    <w:rsid w:val="68E37600"/>
    <w:rsid w:val="68E69ABB"/>
    <w:rsid w:val="690CFA5A"/>
    <w:rsid w:val="69256477"/>
    <w:rsid w:val="693BF01A"/>
    <w:rsid w:val="69429A65"/>
    <w:rsid w:val="6958D2A5"/>
    <w:rsid w:val="695E5780"/>
    <w:rsid w:val="698361AB"/>
    <w:rsid w:val="698E87F0"/>
    <w:rsid w:val="699FDD63"/>
    <w:rsid w:val="69A63752"/>
    <w:rsid w:val="69DAF483"/>
    <w:rsid w:val="6A035698"/>
    <w:rsid w:val="6A0B035E"/>
    <w:rsid w:val="6A28B0E2"/>
    <w:rsid w:val="6A2A9D86"/>
    <w:rsid w:val="6A2DD541"/>
    <w:rsid w:val="6A31D454"/>
    <w:rsid w:val="6A33DC8D"/>
    <w:rsid w:val="6A4DE829"/>
    <w:rsid w:val="6A4F6620"/>
    <w:rsid w:val="6A50B99E"/>
    <w:rsid w:val="6A6B84B1"/>
    <w:rsid w:val="6A7A6D9B"/>
    <w:rsid w:val="6AA11C87"/>
    <w:rsid w:val="6AA459E5"/>
    <w:rsid w:val="6AAC313B"/>
    <w:rsid w:val="6AE460B1"/>
    <w:rsid w:val="6AF0C7B4"/>
    <w:rsid w:val="6B05BE03"/>
    <w:rsid w:val="6B14409F"/>
    <w:rsid w:val="6B1E76B6"/>
    <w:rsid w:val="6B286C17"/>
    <w:rsid w:val="6B5AB8AF"/>
    <w:rsid w:val="6B8AC7E0"/>
    <w:rsid w:val="6B8CD4D0"/>
    <w:rsid w:val="6B92FED8"/>
    <w:rsid w:val="6C0CD048"/>
    <w:rsid w:val="6C121CB8"/>
    <w:rsid w:val="6C1CA249"/>
    <w:rsid w:val="6C23B0F0"/>
    <w:rsid w:val="6C2C5BA4"/>
    <w:rsid w:val="6C2CE911"/>
    <w:rsid w:val="6C4D197B"/>
    <w:rsid w:val="6C5223CE"/>
    <w:rsid w:val="6C54D8C5"/>
    <w:rsid w:val="6C80CC13"/>
    <w:rsid w:val="6C8A46AA"/>
    <w:rsid w:val="6C91872C"/>
    <w:rsid w:val="6CA5F8AF"/>
    <w:rsid w:val="6CB1A7EB"/>
    <w:rsid w:val="6CB5DBDB"/>
    <w:rsid w:val="6CD31B86"/>
    <w:rsid w:val="6CDA0164"/>
    <w:rsid w:val="6D047CA2"/>
    <w:rsid w:val="6D2F8A21"/>
    <w:rsid w:val="6D332AFB"/>
    <w:rsid w:val="6D42C15B"/>
    <w:rsid w:val="6D636EB8"/>
    <w:rsid w:val="6D772A49"/>
    <w:rsid w:val="6D7BA219"/>
    <w:rsid w:val="6D851CED"/>
    <w:rsid w:val="6D9BB3E0"/>
    <w:rsid w:val="6DB236F6"/>
    <w:rsid w:val="6DB50AAC"/>
    <w:rsid w:val="6DCEA5AF"/>
    <w:rsid w:val="6DD29726"/>
    <w:rsid w:val="6DD635A3"/>
    <w:rsid w:val="6DD7BDB4"/>
    <w:rsid w:val="6DDC1E01"/>
    <w:rsid w:val="6E12C5D4"/>
    <w:rsid w:val="6E22E581"/>
    <w:rsid w:val="6E3DEB3C"/>
    <w:rsid w:val="6E431DBB"/>
    <w:rsid w:val="6E57649D"/>
    <w:rsid w:val="6E72DC4F"/>
    <w:rsid w:val="6E7967B6"/>
    <w:rsid w:val="6E86BFFF"/>
    <w:rsid w:val="6E96E8D1"/>
    <w:rsid w:val="6EA2958E"/>
    <w:rsid w:val="6EAFCE3E"/>
    <w:rsid w:val="6EEDEA4B"/>
    <w:rsid w:val="6EFBE758"/>
    <w:rsid w:val="6F1C2C62"/>
    <w:rsid w:val="6F55B774"/>
    <w:rsid w:val="6F586658"/>
    <w:rsid w:val="6F5DA1FD"/>
    <w:rsid w:val="6F686CCF"/>
    <w:rsid w:val="6F7558CF"/>
    <w:rsid w:val="6F8262FC"/>
    <w:rsid w:val="6F8950A9"/>
    <w:rsid w:val="6FCA74EE"/>
    <w:rsid w:val="6FCBE229"/>
    <w:rsid w:val="6FDB5422"/>
    <w:rsid w:val="6FDF2D08"/>
    <w:rsid w:val="6FEBF930"/>
    <w:rsid w:val="6FF0366B"/>
    <w:rsid w:val="6FF7EBC2"/>
    <w:rsid w:val="70208530"/>
    <w:rsid w:val="70413D21"/>
    <w:rsid w:val="70518375"/>
    <w:rsid w:val="70627A8B"/>
    <w:rsid w:val="706D982F"/>
    <w:rsid w:val="707E316C"/>
    <w:rsid w:val="70854A48"/>
    <w:rsid w:val="709BA324"/>
    <w:rsid w:val="70BB7028"/>
    <w:rsid w:val="70C410EF"/>
    <w:rsid w:val="70CB9EDC"/>
    <w:rsid w:val="70CC2D60"/>
    <w:rsid w:val="70CFE779"/>
    <w:rsid w:val="70D1EAA1"/>
    <w:rsid w:val="70E9489D"/>
    <w:rsid w:val="70EAC393"/>
    <w:rsid w:val="70F06B92"/>
    <w:rsid w:val="71014246"/>
    <w:rsid w:val="71044302"/>
    <w:rsid w:val="71104B21"/>
    <w:rsid w:val="711FFE51"/>
    <w:rsid w:val="71421952"/>
    <w:rsid w:val="71499274"/>
    <w:rsid w:val="714BC6A1"/>
    <w:rsid w:val="7156E891"/>
    <w:rsid w:val="716DDF9D"/>
    <w:rsid w:val="717ED225"/>
    <w:rsid w:val="71800327"/>
    <w:rsid w:val="7185C921"/>
    <w:rsid w:val="71936454"/>
    <w:rsid w:val="71946E96"/>
    <w:rsid w:val="71A81EB5"/>
    <w:rsid w:val="71ACB658"/>
    <w:rsid w:val="71F0BE32"/>
    <w:rsid w:val="72100998"/>
    <w:rsid w:val="72249E6E"/>
    <w:rsid w:val="7228487E"/>
    <w:rsid w:val="72298A1B"/>
    <w:rsid w:val="722B6302"/>
    <w:rsid w:val="7234B7FA"/>
    <w:rsid w:val="723DB818"/>
    <w:rsid w:val="724C1EF5"/>
    <w:rsid w:val="725D27F3"/>
    <w:rsid w:val="725E2FA5"/>
    <w:rsid w:val="726BCB04"/>
    <w:rsid w:val="72803505"/>
    <w:rsid w:val="7295547E"/>
    <w:rsid w:val="72A52F90"/>
    <w:rsid w:val="72C4FCBA"/>
    <w:rsid w:val="72DE6A90"/>
    <w:rsid w:val="72E5B37D"/>
    <w:rsid w:val="7301C9B5"/>
    <w:rsid w:val="7315089C"/>
    <w:rsid w:val="73234344"/>
    <w:rsid w:val="7367E801"/>
    <w:rsid w:val="73755274"/>
    <w:rsid w:val="738D5C33"/>
    <w:rsid w:val="73B6DAB1"/>
    <w:rsid w:val="73D9F72B"/>
    <w:rsid w:val="73F7F425"/>
    <w:rsid w:val="73F87A20"/>
    <w:rsid w:val="742BB108"/>
    <w:rsid w:val="742DE602"/>
    <w:rsid w:val="7439738E"/>
    <w:rsid w:val="7447DAB0"/>
    <w:rsid w:val="7452D973"/>
    <w:rsid w:val="745C2127"/>
    <w:rsid w:val="745C6C65"/>
    <w:rsid w:val="747FCC76"/>
    <w:rsid w:val="7489F08D"/>
    <w:rsid w:val="74B3CD1B"/>
    <w:rsid w:val="74C5C1DD"/>
    <w:rsid w:val="74EA687E"/>
    <w:rsid w:val="74F23CA5"/>
    <w:rsid w:val="7506A4E2"/>
    <w:rsid w:val="751CA611"/>
    <w:rsid w:val="753143C3"/>
    <w:rsid w:val="7557B0A2"/>
    <w:rsid w:val="756D9C3C"/>
    <w:rsid w:val="75964695"/>
    <w:rsid w:val="75A3D861"/>
    <w:rsid w:val="75A90F0F"/>
    <w:rsid w:val="75B9C207"/>
    <w:rsid w:val="75D42156"/>
    <w:rsid w:val="75E0DAD1"/>
    <w:rsid w:val="75E7DB18"/>
    <w:rsid w:val="75F29D5F"/>
    <w:rsid w:val="7606D417"/>
    <w:rsid w:val="760DD853"/>
    <w:rsid w:val="7628425C"/>
    <w:rsid w:val="763A8629"/>
    <w:rsid w:val="763F6594"/>
    <w:rsid w:val="765710CA"/>
    <w:rsid w:val="76641229"/>
    <w:rsid w:val="76696EFE"/>
    <w:rsid w:val="766A3947"/>
    <w:rsid w:val="7672F52D"/>
    <w:rsid w:val="7673E7FC"/>
    <w:rsid w:val="76839C35"/>
    <w:rsid w:val="768E1164"/>
    <w:rsid w:val="76B544C5"/>
    <w:rsid w:val="76C073A3"/>
    <w:rsid w:val="76E49C1B"/>
    <w:rsid w:val="76E7157A"/>
    <w:rsid w:val="76EEC5DB"/>
    <w:rsid w:val="7700569B"/>
    <w:rsid w:val="770CE1D0"/>
    <w:rsid w:val="77211CC9"/>
    <w:rsid w:val="77295F54"/>
    <w:rsid w:val="773774F1"/>
    <w:rsid w:val="77441AD8"/>
    <w:rsid w:val="7768BC01"/>
    <w:rsid w:val="778800D6"/>
    <w:rsid w:val="779FCB09"/>
    <w:rsid w:val="77ABB495"/>
    <w:rsid w:val="77B53A5C"/>
    <w:rsid w:val="77C7BC21"/>
    <w:rsid w:val="77EB219D"/>
    <w:rsid w:val="7801D2B8"/>
    <w:rsid w:val="78115E9A"/>
    <w:rsid w:val="7816E8CC"/>
    <w:rsid w:val="7820A470"/>
    <w:rsid w:val="783106B6"/>
    <w:rsid w:val="7833D6EC"/>
    <w:rsid w:val="7837D81A"/>
    <w:rsid w:val="7846C8D6"/>
    <w:rsid w:val="78472321"/>
    <w:rsid w:val="7859C579"/>
    <w:rsid w:val="78650700"/>
    <w:rsid w:val="78822BDE"/>
    <w:rsid w:val="788AC19A"/>
    <w:rsid w:val="78911D6B"/>
    <w:rsid w:val="78A47151"/>
    <w:rsid w:val="78AA529C"/>
    <w:rsid w:val="78C9B989"/>
    <w:rsid w:val="78DC80F1"/>
    <w:rsid w:val="78E41584"/>
    <w:rsid w:val="78F5073D"/>
    <w:rsid w:val="791577F2"/>
    <w:rsid w:val="79165B55"/>
    <w:rsid w:val="791EF202"/>
    <w:rsid w:val="7931128F"/>
    <w:rsid w:val="79435DB5"/>
    <w:rsid w:val="7947B616"/>
    <w:rsid w:val="79A5AEDA"/>
    <w:rsid w:val="79B1D0F9"/>
    <w:rsid w:val="79D3A883"/>
    <w:rsid w:val="79D7CA78"/>
    <w:rsid w:val="79E4E9A7"/>
    <w:rsid w:val="79E6EE3D"/>
    <w:rsid w:val="7A0974FD"/>
    <w:rsid w:val="7A0C3E86"/>
    <w:rsid w:val="7A102F02"/>
    <w:rsid w:val="7A13245A"/>
    <w:rsid w:val="7A254761"/>
    <w:rsid w:val="7A2885A9"/>
    <w:rsid w:val="7A2CCAA9"/>
    <w:rsid w:val="7A2D1C8B"/>
    <w:rsid w:val="7A3B3C56"/>
    <w:rsid w:val="7A740FCA"/>
    <w:rsid w:val="7A940874"/>
    <w:rsid w:val="7A97ED0D"/>
    <w:rsid w:val="7A9889E3"/>
    <w:rsid w:val="7A9BBB0F"/>
    <w:rsid w:val="7AA359FD"/>
    <w:rsid w:val="7AA9C6FD"/>
    <w:rsid w:val="7ABE38EB"/>
    <w:rsid w:val="7AD4E177"/>
    <w:rsid w:val="7AD98D87"/>
    <w:rsid w:val="7AE7904E"/>
    <w:rsid w:val="7B411DF3"/>
    <w:rsid w:val="7B5DECF9"/>
    <w:rsid w:val="7B712109"/>
    <w:rsid w:val="7B789EEF"/>
    <w:rsid w:val="7B79A9EB"/>
    <w:rsid w:val="7B8274D1"/>
    <w:rsid w:val="7B9F889A"/>
    <w:rsid w:val="7BA014E0"/>
    <w:rsid w:val="7BA64F12"/>
    <w:rsid w:val="7BAD74DF"/>
    <w:rsid w:val="7BB0EB10"/>
    <w:rsid w:val="7BB75990"/>
    <w:rsid w:val="7BDD4019"/>
    <w:rsid w:val="7BE33509"/>
    <w:rsid w:val="7BF2A824"/>
    <w:rsid w:val="7BF701F9"/>
    <w:rsid w:val="7C03E2FB"/>
    <w:rsid w:val="7C201846"/>
    <w:rsid w:val="7C638664"/>
    <w:rsid w:val="7C6B1C96"/>
    <w:rsid w:val="7C7FC011"/>
    <w:rsid w:val="7C903F5C"/>
    <w:rsid w:val="7CAB25FE"/>
    <w:rsid w:val="7CBCC08E"/>
    <w:rsid w:val="7CBDD3B3"/>
    <w:rsid w:val="7CDB9DCA"/>
    <w:rsid w:val="7CE9CFB5"/>
    <w:rsid w:val="7CECE2A0"/>
    <w:rsid w:val="7CFD21FB"/>
    <w:rsid w:val="7D34160F"/>
    <w:rsid w:val="7D38BA4B"/>
    <w:rsid w:val="7D39681A"/>
    <w:rsid w:val="7D3A7AF1"/>
    <w:rsid w:val="7D44A616"/>
    <w:rsid w:val="7D583B09"/>
    <w:rsid w:val="7D8110EA"/>
    <w:rsid w:val="7D9AA886"/>
    <w:rsid w:val="7DA69120"/>
    <w:rsid w:val="7DAA333C"/>
    <w:rsid w:val="7DF05EB0"/>
    <w:rsid w:val="7E018422"/>
    <w:rsid w:val="7E321BAE"/>
    <w:rsid w:val="7E375AD4"/>
    <w:rsid w:val="7E426FB2"/>
    <w:rsid w:val="7E47B2BB"/>
    <w:rsid w:val="7E4A24F1"/>
    <w:rsid w:val="7E7FABC2"/>
    <w:rsid w:val="7E8041E6"/>
    <w:rsid w:val="7E820E79"/>
    <w:rsid w:val="7E8A3D6B"/>
    <w:rsid w:val="7EDE4DE8"/>
    <w:rsid w:val="7EF181F8"/>
    <w:rsid w:val="7EF2BBF7"/>
    <w:rsid w:val="7F0247FD"/>
    <w:rsid w:val="7F046B80"/>
    <w:rsid w:val="7F0E00C3"/>
    <w:rsid w:val="7F1181A8"/>
    <w:rsid w:val="7F39DA32"/>
    <w:rsid w:val="7F3C86E2"/>
    <w:rsid w:val="7F5D8522"/>
    <w:rsid w:val="7F6011DE"/>
    <w:rsid w:val="7F77337A"/>
    <w:rsid w:val="7F97C102"/>
    <w:rsid w:val="7F982D49"/>
    <w:rsid w:val="7F9C8F63"/>
    <w:rsid w:val="7FA9B51E"/>
    <w:rsid w:val="7FAAEDC3"/>
    <w:rsid w:val="7FAF06BB"/>
    <w:rsid w:val="7FD00B0D"/>
    <w:rsid w:val="7FD13085"/>
    <w:rsid w:val="7FD3D401"/>
    <w:rsid w:val="7FD7B276"/>
    <w:rsid w:val="7FEBAE85"/>
    <w:rsid w:val="7FECA5BE"/>
    <w:rsid w:val="7FECEA0F"/>
    <w:rsid w:val="7FEFC455"/>
    <w:rsid w:val="7FF58E14"/>
    <w:rsid w:val="7FF9BB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86E0"/>
  <w15:chartTrackingRefBased/>
  <w15:docId w15:val="{8BBD3820-B9FA-4996-B8CB-F36755001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587"/>
    <w:pPr>
      <w:spacing w:line="48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1FA"/>
    <w:pPr>
      <w:ind w:left="720"/>
      <w:contextualSpacing/>
    </w:pPr>
  </w:style>
  <w:style w:type="character" w:styleId="CommentReference">
    <w:name w:val="annotation reference"/>
    <w:basedOn w:val="DefaultParagraphFont"/>
    <w:uiPriority w:val="99"/>
    <w:semiHidden/>
    <w:unhideWhenUsed/>
    <w:rsid w:val="00A87674"/>
    <w:rPr>
      <w:sz w:val="16"/>
      <w:szCs w:val="16"/>
    </w:rPr>
  </w:style>
  <w:style w:type="paragraph" w:styleId="CommentText">
    <w:name w:val="annotation text"/>
    <w:basedOn w:val="Normal"/>
    <w:link w:val="CommentTextChar"/>
    <w:uiPriority w:val="99"/>
    <w:unhideWhenUsed/>
    <w:rsid w:val="00A87674"/>
    <w:pPr>
      <w:spacing w:line="240" w:lineRule="auto"/>
    </w:pPr>
    <w:rPr>
      <w:sz w:val="20"/>
      <w:szCs w:val="20"/>
    </w:rPr>
  </w:style>
  <w:style w:type="character" w:customStyle="1" w:styleId="CommentTextChar">
    <w:name w:val="Comment Text Char"/>
    <w:basedOn w:val="DefaultParagraphFont"/>
    <w:link w:val="CommentText"/>
    <w:uiPriority w:val="99"/>
    <w:rsid w:val="00A87674"/>
    <w:rPr>
      <w:sz w:val="20"/>
      <w:szCs w:val="20"/>
    </w:rPr>
  </w:style>
  <w:style w:type="paragraph" w:styleId="CommentSubject">
    <w:name w:val="annotation subject"/>
    <w:basedOn w:val="CommentText"/>
    <w:next w:val="CommentText"/>
    <w:link w:val="CommentSubjectChar"/>
    <w:uiPriority w:val="99"/>
    <w:semiHidden/>
    <w:unhideWhenUsed/>
    <w:rsid w:val="00A87674"/>
    <w:rPr>
      <w:b/>
      <w:bCs/>
    </w:rPr>
  </w:style>
  <w:style w:type="character" w:customStyle="1" w:styleId="CommentSubjectChar">
    <w:name w:val="Comment Subject Char"/>
    <w:basedOn w:val="CommentTextChar"/>
    <w:link w:val="CommentSubject"/>
    <w:uiPriority w:val="99"/>
    <w:semiHidden/>
    <w:rsid w:val="00A87674"/>
    <w:rPr>
      <w:b/>
      <w:bCs/>
      <w:sz w:val="20"/>
      <w:szCs w:val="20"/>
    </w:rPr>
  </w:style>
  <w:style w:type="character" w:styleId="PlaceholderText">
    <w:name w:val="Placeholder Text"/>
    <w:basedOn w:val="DefaultParagraphFont"/>
    <w:uiPriority w:val="99"/>
    <w:semiHidden/>
    <w:rsid w:val="00FE4B10"/>
    <w:rPr>
      <w:color w:val="808080"/>
    </w:rPr>
  </w:style>
  <w:style w:type="character" w:styleId="Hyperlink">
    <w:name w:val="Hyperlink"/>
    <w:basedOn w:val="DefaultParagraphFont"/>
    <w:uiPriority w:val="99"/>
    <w:unhideWhenUsed/>
    <w:rsid w:val="000A666A"/>
    <w:rPr>
      <w:color w:val="0563C1" w:themeColor="hyperlink"/>
      <w:u w:val="single"/>
    </w:rPr>
  </w:style>
  <w:style w:type="character" w:styleId="UnresolvedMention">
    <w:name w:val="Unresolved Mention"/>
    <w:basedOn w:val="DefaultParagraphFont"/>
    <w:uiPriority w:val="99"/>
    <w:semiHidden/>
    <w:unhideWhenUsed/>
    <w:rsid w:val="000A666A"/>
    <w:rPr>
      <w:color w:val="605E5C"/>
      <w:shd w:val="clear" w:color="auto" w:fill="E1DFDD"/>
    </w:rPr>
  </w:style>
  <w:style w:type="character" w:styleId="FollowedHyperlink">
    <w:name w:val="FollowedHyperlink"/>
    <w:basedOn w:val="DefaultParagraphFont"/>
    <w:uiPriority w:val="99"/>
    <w:semiHidden/>
    <w:unhideWhenUsed/>
    <w:rsid w:val="005D2EC2"/>
    <w:rPr>
      <w:color w:val="954F72" w:themeColor="followedHyperlink"/>
      <w:u w:val="single"/>
    </w:rPr>
  </w:style>
  <w:style w:type="paragraph" w:styleId="Bibliography">
    <w:name w:val="Bibliography"/>
    <w:basedOn w:val="Normal"/>
    <w:next w:val="Normal"/>
    <w:uiPriority w:val="37"/>
    <w:unhideWhenUsed/>
    <w:rsid w:val="006C6C04"/>
    <w:pPr>
      <w:spacing w:after="0" w:line="240" w:lineRule="auto"/>
      <w:ind w:left="720" w:hanging="720"/>
    </w:pPr>
  </w:style>
  <w:style w:type="paragraph" w:styleId="Header">
    <w:name w:val="header"/>
    <w:basedOn w:val="Normal"/>
    <w:link w:val="HeaderChar"/>
    <w:uiPriority w:val="99"/>
    <w:unhideWhenUsed/>
    <w:rsid w:val="009A0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BA9"/>
    <w:rPr>
      <w:lang w:val="en-US"/>
    </w:rPr>
  </w:style>
  <w:style w:type="paragraph" w:styleId="Footer">
    <w:name w:val="footer"/>
    <w:basedOn w:val="Normal"/>
    <w:link w:val="FooterChar"/>
    <w:uiPriority w:val="99"/>
    <w:unhideWhenUsed/>
    <w:rsid w:val="009A0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BA9"/>
    <w:rPr>
      <w:lang w:val="en-US"/>
    </w:rPr>
  </w:style>
  <w:style w:type="paragraph" w:styleId="Revision">
    <w:name w:val="Revision"/>
    <w:hidden/>
    <w:uiPriority w:val="99"/>
    <w:semiHidden/>
    <w:rsid w:val="0048336A"/>
    <w:pPr>
      <w:spacing w:after="0" w:line="240" w:lineRule="auto"/>
    </w:pPr>
    <w:rPr>
      <w:lang w:val="en-US"/>
    </w:rPr>
  </w:style>
  <w:style w:type="paragraph" w:styleId="Date">
    <w:name w:val="Date"/>
    <w:basedOn w:val="Normal"/>
    <w:next w:val="Normal"/>
    <w:link w:val="DateChar"/>
    <w:uiPriority w:val="99"/>
    <w:semiHidden/>
    <w:unhideWhenUsed/>
    <w:rsid w:val="006E651E"/>
  </w:style>
  <w:style w:type="character" w:customStyle="1" w:styleId="DateChar">
    <w:name w:val="Date Char"/>
    <w:basedOn w:val="DefaultParagraphFont"/>
    <w:link w:val="Date"/>
    <w:uiPriority w:val="99"/>
    <w:semiHidden/>
    <w:rsid w:val="006E651E"/>
  </w:style>
  <w:style w:type="paragraph" w:customStyle="1" w:styleId="mysubtitle">
    <w:name w:val="my subtitle"/>
    <w:basedOn w:val="Normal"/>
    <w:link w:val="mysubtitleChar"/>
    <w:qFormat/>
    <w:rsid w:val="007B6929"/>
    <w:pPr>
      <w:spacing w:before="120"/>
    </w:pPr>
    <w:rPr>
      <w:b/>
      <w:bCs/>
      <w:szCs w:val="24"/>
    </w:rPr>
  </w:style>
  <w:style w:type="character" w:customStyle="1" w:styleId="mysubtitleChar">
    <w:name w:val="my subtitle Char"/>
    <w:basedOn w:val="DefaultParagraphFont"/>
    <w:link w:val="mysubtitle"/>
    <w:rsid w:val="007B6929"/>
    <w:rPr>
      <w:b/>
      <w:bCs/>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semiHidden/>
    <w:unhideWhenUsed/>
    <w:rsid w:val="006648E9"/>
    <w:pPr>
      <w:spacing w:after="120"/>
    </w:pPr>
  </w:style>
  <w:style w:type="character" w:customStyle="1" w:styleId="BodyTextChar">
    <w:name w:val="Body Text Char"/>
    <w:basedOn w:val="DefaultParagraphFont"/>
    <w:link w:val="BodyText"/>
    <w:uiPriority w:val="99"/>
    <w:semiHidden/>
    <w:rsid w:val="006648E9"/>
  </w:style>
  <w:style w:type="character" w:styleId="LineNumber">
    <w:name w:val="line number"/>
    <w:basedOn w:val="DefaultParagraphFont"/>
    <w:uiPriority w:val="99"/>
    <w:semiHidden/>
    <w:unhideWhenUsed/>
    <w:rsid w:val="00EE28D5"/>
  </w:style>
  <w:style w:type="character" w:styleId="Mention">
    <w:name w:val="Mention"/>
    <w:basedOn w:val="DefaultParagraphFont"/>
    <w:uiPriority w:val="99"/>
    <w:unhideWhenUsed/>
    <w:rsid w:val="00781C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99923">
      <w:bodyDiv w:val="1"/>
      <w:marLeft w:val="0"/>
      <w:marRight w:val="0"/>
      <w:marTop w:val="0"/>
      <w:marBottom w:val="0"/>
      <w:divBdr>
        <w:top w:val="none" w:sz="0" w:space="0" w:color="auto"/>
        <w:left w:val="none" w:sz="0" w:space="0" w:color="auto"/>
        <w:bottom w:val="none" w:sz="0" w:space="0" w:color="auto"/>
        <w:right w:val="none" w:sz="0" w:space="0" w:color="auto"/>
      </w:divBdr>
    </w:div>
    <w:div w:id="106698846">
      <w:bodyDiv w:val="1"/>
      <w:marLeft w:val="0"/>
      <w:marRight w:val="0"/>
      <w:marTop w:val="0"/>
      <w:marBottom w:val="0"/>
      <w:divBdr>
        <w:top w:val="none" w:sz="0" w:space="0" w:color="auto"/>
        <w:left w:val="none" w:sz="0" w:space="0" w:color="auto"/>
        <w:bottom w:val="none" w:sz="0" w:space="0" w:color="auto"/>
        <w:right w:val="none" w:sz="0" w:space="0" w:color="auto"/>
      </w:divBdr>
    </w:div>
    <w:div w:id="173303471">
      <w:bodyDiv w:val="1"/>
      <w:marLeft w:val="0"/>
      <w:marRight w:val="0"/>
      <w:marTop w:val="0"/>
      <w:marBottom w:val="0"/>
      <w:divBdr>
        <w:top w:val="none" w:sz="0" w:space="0" w:color="auto"/>
        <w:left w:val="none" w:sz="0" w:space="0" w:color="auto"/>
        <w:bottom w:val="none" w:sz="0" w:space="0" w:color="auto"/>
        <w:right w:val="none" w:sz="0" w:space="0" w:color="auto"/>
      </w:divBdr>
    </w:div>
    <w:div w:id="306083384">
      <w:bodyDiv w:val="1"/>
      <w:marLeft w:val="0"/>
      <w:marRight w:val="0"/>
      <w:marTop w:val="0"/>
      <w:marBottom w:val="0"/>
      <w:divBdr>
        <w:top w:val="none" w:sz="0" w:space="0" w:color="auto"/>
        <w:left w:val="none" w:sz="0" w:space="0" w:color="auto"/>
        <w:bottom w:val="none" w:sz="0" w:space="0" w:color="auto"/>
        <w:right w:val="none" w:sz="0" w:space="0" w:color="auto"/>
      </w:divBdr>
    </w:div>
    <w:div w:id="362558465">
      <w:bodyDiv w:val="1"/>
      <w:marLeft w:val="0"/>
      <w:marRight w:val="0"/>
      <w:marTop w:val="0"/>
      <w:marBottom w:val="0"/>
      <w:divBdr>
        <w:top w:val="none" w:sz="0" w:space="0" w:color="auto"/>
        <w:left w:val="none" w:sz="0" w:space="0" w:color="auto"/>
        <w:bottom w:val="none" w:sz="0" w:space="0" w:color="auto"/>
        <w:right w:val="none" w:sz="0" w:space="0" w:color="auto"/>
      </w:divBdr>
    </w:div>
    <w:div w:id="397478821">
      <w:bodyDiv w:val="1"/>
      <w:marLeft w:val="0"/>
      <w:marRight w:val="0"/>
      <w:marTop w:val="0"/>
      <w:marBottom w:val="0"/>
      <w:divBdr>
        <w:top w:val="none" w:sz="0" w:space="0" w:color="auto"/>
        <w:left w:val="none" w:sz="0" w:space="0" w:color="auto"/>
        <w:bottom w:val="none" w:sz="0" w:space="0" w:color="auto"/>
        <w:right w:val="none" w:sz="0" w:space="0" w:color="auto"/>
      </w:divBdr>
    </w:div>
    <w:div w:id="404112129">
      <w:bodyDiv w:val="1"/>
      <w:marLeft w:val="0"/>
      <w:marRight w:val="0"/>
      <w:marTop w:val="0"/>
      <w:marBottom w:val="0"/>
      <w:divBdr>
        <w:top w:val="none" w:sz="0" w:space="0" w:color="auto"/>
        <w:left w:val="none" w:sz="0" w:space="0" w:color="auto"/>
        <w:bottom w:val="none" w:sz="0" w:space="0" w:color="auto"/>
        <w:right w:val="none" w:sz="0" w:space="0" w:color="auto"/>
      </w:divBdr>
    </w:div>
    <w:div w:id="448740538">
      <w:bodyDiv w:val="1"/>
      <w:marLeft w:val="0"/>
      <w:marRight w:val="0"/>
      <w:marTop w:val="0"/>
      <w:marBottom w:val="0"/>
      <w:divBdr>
        <w:top w:val="none" w:sz="0" w:space="0" w:color="auto"/>
        <w:left w:val="none" w:sz="0" w:space="0" w:color="auto"/>
        <w:bottom w:val="none" w:sz="0" w:space="0" w:color="auto"/>
        <w:right w:val="none" w:sz="0" w:space="0" w:color="auto"/>
      </w:divBdr>
    </w:div>
    <w:div w:id="717238946">
      <w:bodyDiv w:val="1"/>
      <w:marLeft w:val="0"/>
      <w:marRight w:val="0"/>
      <w:marTop w:val="0"/>
      <w:marBottom w:val="0"/>
      <w:divBdr>
        <w:top w:val="none" w:sz="0" w:space="0" w:color="auto"/>
        <w:left w:val="none" w:sz="0" w:space="0" w:color="auto"/>
        <w:bottom w:val="none" w:sz="0" w:space="0" w:color="auto"/>
        <w:right w:val="none" w:sz="0" w:space="0" w:color="auto"/>
      </w:divBdr>
    </w:div>
    <w:div w:id="749809087">
      <w:bodyDiv w:val="1"/>
      <w:marLeft w:val="0"/>
      <w:marRight w:val="0"/>
      <w:marTop w:val="0"/>
      <w:marBottom w:val="0"/>
      <w:divBdr>
        <w:top w:val="none" w:sz="0" w:space="0" w:color="auto"/>
        <w:left w:val="none" w:sz="0" w:space="0" w:color="auto"/>
        <w:bottom w:val="none" w:sz="0" w:space="0" w:color="auto"/>
        <w:right w:val="none" w:sz="0" w:space="0" w:color="auto"/>
      </w:divBdr>
    </w:div>
    <w:div w:id="807866538">
      <w:bodyDiv w:val="1"/>
      <w:marLeft w:val="0"/>
      <w:marRight w:val="0"/>
      <w:marTop w:val="0"/>
      <w:marBottom w:val="0"/>
      <w:divBdr>
        <w:top w:val="none" w:sz="0" w:space="0" w:color="auto"/>
        <w:left w:val="none" w:sz="0" w:space="0" w:color="auto"/>
        <w:bottom w:val="none" w:sz="0" w:space="0" w:color="auto"/>
        <w:right w:val="none" w:sz="0" w:space="0" w:color="auto"/>
      </w:divBdr>
    </w:div>
    <w:div w:id="939143433">
      <w:bodyDiv w:val="1"/>
      <w:marLeft w:val="0"/>
      <w:marRight w:val="0"/>
      <w:marTop w:val="0"/>
      <w:marBottom w:val="0"/>
      <w:divBdr>
        <w:top w:val="none" w:sz="0" w:space="0" w:color="auto"/>
        <w:left w:val="none" w:sz="0" w:space="0" w:color="auto"/>
        <w:bottom w:val="none" w:sz="0" w:space="0" w:color="auto"/>
        <w:right w:val="none" w:sz="0" w:space="0" w:color="auto"/>
      </w:divBdr>
    </w:div>
    <w:div w:id="1199128318">
      <w:bodyDiv w:val="1"/>
      <w:marLeft w:val="0"/>
      <w:marRight w:val="0"/>
      <w:marTop w:val="0"/>
      <w:marBottom w:val="0"/>
      <w:divBdr>
        <w:top w:val="none" w:sz="0" w:space="0" w:color="auto"/>
        <w:left w:val="none" w:sz="0" w:space="0" w:color="auto"/>
        <w:bottom w:val="none" w:sz="0" w:space="0" w:color="auto"/>
        <w:right w:val="none" w:sz="0" w:space="0" w:color="auto"/>
      </w:divBdr>
    </w:div>
    <w:div w:id="1226572429">
      <w:bodyDiv w:val="1"/>
      <w:marLeft w:val="0"/>
      <w:marRight w:val="0"/>
      <w:marTop w:val="0"/>
      <w:marBottom w:val="0"/>
      <w:divBdr>
        <w:top w:val="none" w:sz="0" w:space="0" w:color="auto"/>
        <w:left w:val="none" w:sz="0" w:space="0" w:color="auto"/>
        <w:bottom w:val="none" w:sz="0" w:space="0" w:color="auto"/>
        <w:right w:val="none" w:sz="0" w:space="0" w:color="auto"/>
      </w:divBdr>
    </w:div>
    <w:div w:id="1523862720">
      <w:bodyDiv w:val="1"/>
      <w:marLeft w:val="0"/>
      <w:marRight w:val="0"/>
      <w:marTop w:val="0"/>
      <w:marBottom w:val="0"/>
      <w:divBdr>
        <w:top w:val="none" w:sz="0" w:space="0" w:color="auto"/>
        <w:left w:val="none" w:sz="0" w:space="0" w:color="auto"/>
        <w:bottom w:val="none" w:sz="0" w:space="0" w:color="auto"/>
        <w:right w:val="none" w:sz="0" w:space="0" w:color="auto"/>
      </w:divBdr>
    </w:div>
    <w:div w:id="1527601642">
      <w:bodyDiv w:val="1"/>
      <w:marLeft w:val="0"/>
      <w:marRight w:val="0"/>
      <w:marTop w:val="0"/>
      <w:marBottom w:val="0"/>
      <w:divBdr>
        <w:top w:val="none" w:sz="0" w:space="0" w:color="auto"/>
        <w:left w:val="none" w:sz="0" w:space="0" w:color="auto"/>
        <w:bottom w:val="none" w:sz="0" w:space="0" w:color="auto"/>
        <w:right w:val="none" w:sz="0" w:space="0" w:color="auto"/>
      </w:divBdr>
    </w:div>
    <w:div w:id="1632976579">
      <w:bodyDiv w:val="1"/>
      <w:marLeft w:val="0"/>
      <w:marRight w:val="0"/>
      <w:marTop w:val="0"/>
      <w:marBottom w:val="0"/>
      <w:divBdr>
        <w:top w:val="none" w:sz="0" w:space="0" w:color="auto"/>
        <w:left w:val="none" w:sz="0" w:space="0" w:color="auto"/>
        <w:bottom w:val="none" w:sz="0" w:space="0" w:color="auto"/>
        <w:right w:val="none" w:sz="0" w:space="0" w:color="auto"/>
      </w:divBdr>
    </w:div>
    <w:div w:id="1655839284">
      <w:bodyDiv w:val="1"/>
      <w:marLeft w:val="0"/>
      <w:marRight w:val="0"/>
      <w:marTop w:val="0"/>
      <w:marBottom w:val="0"/>
      <w:divBdr>
        <w:top w:val="none" w:sz="0" w:space="0" w:color="auto"/>
        <w:left w:val="none" w:sz="0" w:space="0" w:color="auto"/>
        <w:bottom w:val="none" w:sz="0" w:space="0" w:color="auto"/>
        <w:right w:val="none" w:sz="0" w:space="0" w:color="auto"/>
      </w:divBdr>
    </w:div>
    <w:div w:id="1721398271">
      <w:bodyDiv w:val="1"/>
      <w:marLeft w:val="0"/>
      <w:marRight w:val="0"/>
      <w:marTop w:val="0"/>
      <w:marBottom w:val="0"/>
      <w:divBdr>
        <w:top w:val="none" w:sz="0" w:space="0" w:color="auto"/>
        <w:left w:val="none" w:sz="0" w:space="0" w:color="auto"/>
        <w:bottom w:val="none" w:sz="0" w:space="0" w:color="auto"/>
        <w:right w:val="none" w:sz="0" w:space="0" w:color="auto"/>
      </w:divBdr>
    </w:div>
    <w:div w:id="1763145554">
      <w:bodyDiv w:val="1"/>
      <w:marLeft w:val="0"/>
      <w:marRight w:val="0"/>
      <w:marTop w:val="0"/>
      <w:marBottom w:val="0"/>
      <w:divBdr>
        <w:top w:val="none" w:sz="0" w:space="0" w:color="auto"/>
        <w:left w:val="none" w:sz="0" w:space="0" w:color="auto"/>
        <w:bottom w:val="none" w:sz="0" w:space="0" w:color="auto"/>
        <w:right w:val="none" w:sz="0" w:space="0" w:color="auto"/>
      </w:divBdr>
    </w:div>
    <w:div w:id="1771504688">
      <w:bodyDiv w:val="1"/>
      <w:marLeft w:val="0"/>
      <w:marRight w:val="0"/>
      <w:marTop w:val="0"/>
      <w:marBottom w:val="0"/>
      <w:divBdr>
        <w:top w:val="none" w:sz="0" w:space="0" w:color="auto"/>
        <w:left w:val="none" w:sz="0" w:space="0" w:color="auto"/>
        <w:bottom w:val="none" w:sz="0" w:space="0" w:color="auto"/>
        <w:right w:val="none" w:sz="0" w:space="0" w:color="auto"/>
      </w:divBdr>
    </w:div>
    <w:div w:id="1946111515">
      <w:bodyDiv w:val="1"/>
      <w:marLeft w:val="0"/>
      <w:marRight w:val="0"/>
      <w:marTop w:val="0"/>
      <w:marBottom w:val="0"/>
      <w:divBdr>
        <w:top w:val="none" w:sz="0" w:space="0" w:color="auto"/>
        <w:left w:val="none" w:sz="0" w:space="0" w:color="auto"/>
        <w:bottom w:val="none" w:sz="0" w:space="0" w:color="auto"/>
        <w:right w:val="none" w:sz="0" w:space="0" w:color="auto"/>
      </w:divBdr>
    </w:div>
    <w:div w:id="1952546577">
      <w:bodyDiv w:val="1"/>
      <w:marLeft w:val="0"/>
      <w:marRight w:val="0"/>
      <w:marTop w:val="0"/>
      <w:marBottom w:val="0"/>
      <w:divBdr>
        <w:top w:val="none" w:sz="0" w:space="0" w:color="auto"/>
        <w:left w:val="none" w:sz="0" w:space="0" w:color="auto"/>
        <w:bottom w:val="none" w:sz="0" w:space="0" w:color="auto"/>
        <w:right w:val="none" w:sz="0" w:space="0" w:color="auto"/>
      </w:divBdr>
    </w:div>
    <w:div w:id="2017923073">
      <w:bodyDiv w:val="1"/>
      <w:marLeft w:val="0"/>
      <w:marRight w:val="0"/>
      <w:marTop w:val="0"/>
      <w:marBottom w:val="0"/>
      <w:divBdr>
        <w:top w:val="none" w:sz="0" w:space="0" w:color="auto"/>
        <w:left w:val="none" w:sz="0" w:space="0" w:color="auto"/>
        <w:bottom w:val="none" w:sz="0" w:space="0" w:color="auto"/>
        <w:right w:val="none" w:sz="0" w:space="0" w:color="auto"/>
      </w:divBdr>
    </w:div>
    <w:div w:id="206741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hsl.jrc.ec.europa.eu/degurbaDefinitions.php" TargetMode="External"/><Relationship Id="rId24" Type="http://schemas.openxmlformats.org/officeDocument/2006/relationships/image" Target="media/image13.tiff"/><Relationship Id="rId32" Type="http://schemas.openxmlformats.org/officeDocument/2006/relationships/image" Target="media/image21.tiff"/><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image" Target="media/image17.tiff"/><Relationship Id="rId10" Type="http://schemas.openxmlformats.org/officeDocument/2006/relationships/hyperlink" Target="https://hub.worldpop.org/project/categories?id=3" TargetMode="External"/><Relationship Id="rId19" Type="http://schemas.openxmlformats.org/officeDocument/2006/relationships/image" Target="media/image8.tiff"/><Relationship Id="rId31" Type="http://schemas.openxmlformats.org/officeDocument/2006/relationships/image" Target="media/image20.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f"/><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6413-45B0-45DD-94B3-746F57CE2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56</Pages>
  <Words>55295</Words>
  <Characters>315188</Characters>
  <Application>Microsoft Office Word</Application>
  <DocSecurity>0</DocSecurity>
  <Lines>2626</Lines>
  <Paragraphs>739</Paragraphs>
  <ScaleCrop>false</ScaleCrop>
  <Company/>
  <LinksUpToDate>false</LinksUpToDate>
  <CharactersWithSpaces>369744</CharactersWithSpaces>
  <SharedDoc>false</SharedDoc>
  <HLinks>
    <vt:vector size="18" baseType="variant">
      <vt:variant>
        <vt:i4>6</vt:i4>
      </vt:variant>
      <vt:variant>
        <vt:i4>261</vt:i4>
      </vt:variant>
      <vt:variant>
        <vt:i4>0</vt:i4>
      </vt:variant>
      <vt:variant>
        <vt:i4>5</vt:i4>
      </vt:variant>
      <vt:variant>
        <vt:lpwstr>https://github.com/qwduan/Facebook_cleaning_imputation</vt:lpwstr>
      </vt:variant>
      <vt:variant>
        <vt:lpwstr/>
      </vt:variant>
      <vt:variant>
        <vt:i4>1048653</vt:i4>
      </vt:variant>
      <vt:variant>
        <vt:i4>141</vt:i4>
      </vt:variant>
      <vt:variant>
        <vt:i4>0</vt:i4>
      </vt:variant>
      <vt:variant>
        <vt:i4>5</vt:i4>
      </vt:variant>
      <vt:variant>
        <vt:lpwstr>https://ghsl.jrc.ec.europa.eu/degurbaDefinitions.php</vt:lpwstr>
      </vt:variant>
      <vt:variant>
        <vt:lpwstr/>
      </vt:variant>
      <vt:variant>
        <vt:i4>4194374</vt:i4>
      </vt:variant>
      <vt:variant>
        <vt:i4>129</vt:i4>
      </vt:variant>
      <vt:variant>
        <vt:i4>0</vt:i4>
      </vt:variant>
      <vt:variant>
        <vt:i4>5</vt:i4>
      </vt:variant>
      <vt:variant>
        <vt:lpwstr>https://hub.worldpop.org/project/categories?id=3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Qianwen Duan</dc:creator>
  <cp:keywords/>
  <dc:description/>
  <cp:lastModifiedBy>Qianwen Duan</cp:lastModifiedBy>
  <cp:revision>28</cp:revision>
  <dcterms:created xsi:type="dcterms:W3CDTF">2024-04-08T16:49:00Z</dcterms:created>
  <dcterms:modified xsi:type="dcterms:W3CDTF">2024-06-03T14:52:00Z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id="zBqgsn4Z"/&gt;&lt;style id="http://www.zotero.org/styles/elsevier-harvard" hasBibliography="1" bibliographyStyleHasBeenSet="1"/&gt;&lt;prefs&gt;&lt;pref name="fieldType" value="Field"/&gt;&lt;/prefs&gt;&lt;/data&gt;</vt:lpwstr>
  </property>
</Properties>
</file>