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4362" w14:textId="77777777" w:rsidR="0054637A" w:rsidRPr="0005422F" w:rsidRDefault="0054637A" w:rsidP="00DD05AD">
      <w:pPr>
        <w:jc w:val="both"/>
        <w:rPr>
          <w:b/>
          <w:i/>
          <w:color w:val="7F7F7F" w:themeColor="text1" w:themeTint="80"/>
          <w:sz w:val="30"/>
        </w:rPr>
      </w:pPr>
      <w:r w:rsidRPr="0005422F">
        <w:rPr>
          <w:b/>
          <w:i/>
          <w:color w:val="7F7F7F" w:themeColor="text1" w:themeTint="80"/>
          <w:sz w:val="30"/>
        </w:rPr>
        <w:t>ARTICLE</w:t>
      </w:r>
    </w:p>
    <w:p w14:paraId="7314EE4D" w14:textId="77777777" w:rsidR="0054637A" w:rsidRPr="0005422F" w:rsidRDefault="0054637A" w:rsidP="00DD05AD">
      <w:pPr>
        <w:jc w:val="both"/>
        <w:rPr>
          <w:b/>
          <w:sz w:val="40"/>
          <w:szCs w:val="40"/>
        </w:rPr>
      </w:pPr>
      <w:r w:rsidRPr="0005422F">
        <w:rPr>
          <w:b/>
          <w:sz w:val="40"/>
          <w:szCs w:val="40"/>
        </w:rPr>
        <w:t>The impact of inversions across 33,924 families with rare disease from a national genome sequencing project</w:t>
      </w:r>
    </w:p>
    <w:p w14:paraId="0506E8CD" w14:textId="61FE4E5E" w:rsidR="0054637A" w:rsidRPr="00BA7964" w:rsidRDefault="0054637A" w:rsidP="00DD05AD">
      <w:pPr>
        <w:jc w:val="both"/>
      </w:pPr>
      <w:r>
        <w:t>Alistair T. Pagnamenta,</w:t>
      </w:r>
      <w:r w:rsidRPr="003B0974">
        <w:rPr>
          <w:vertAlign w:val="superscript"/>
        </w:rPr>
        <w:t>1</w:t>
      </w:r>
      <w:r>
        <w:rPr>
          <w:vertAlign w:val="superscript"/>
        </w:rPr>
        <w:t>,*</w:t>
      </w:r>
      <w:r>
        <w:t xml:space="preserve"> Jing Yu,</w:t>
      </w:r>
      <w:r w:rsidRPr="003B0974">
        <w:rPr>
          <w:vertAlign w:val="superscript"/>
        </w:rPr>
        <w:t>1</w:t>
      </w:r>
      <w:r>
        <w:rPr>
          <w:vertAlign w:val="superscript"/>
        </w:rPr>
        <w:t>,2</w:t>
      </w:r>
      <w:r>
        <w:t xml:space="preserve"> Susan Walker,</w:t>
      </w:r>
      <w:r>
        <w:rPr>
          <w:vertAlign w:val="superscript"/>
        </w:rPr>
        <w:t>3</w:t>
      </w:r>
      <w:r>
        <w:t xml:space="preserve"> Alexandra J. Noble,</w:t>
      </w:r>
      <w:r>
        <w:rPr>
          <w:vertAlign w:val="superscript"/>
        </w:rPr>
        <w:t>4</w:t>
      </w:r>
      <w:r>
        <w:t xml:space="preserve"> Jenny Lord,</w:t>
      </w:r>
      <w:r w:rsidRPr="00200E32">
        <w:rPr>
          <w:vertAlign w:val="superscript"/>
        </w:rPr>
        <w:t>5</w:t>
      </w:r>
      <w:r>
        <w:rPr>
          <w:vertAlign w:val="superscript"/>
        </w:rPr>
        <w:t>,6</w:t>
      </w:r>
      <w:r>
        <w:t xml:space="preserve"> Prasun Dutta,</w:t>
      </w:r>
      <w:r w:rsidRPr="004E3450">
        <w:rPr>
          <w:vertAlign w:val="superscript"/>
        </w:rPr>
        <w:t>1</w:t>
      </w:r>
      <w:r>
        <w:t xml:space="preserve"> Mona Hashim,</w:t>
      </w:r>
      <w:r w:rsidRPr="00AF5DE1">
        <w:rPr>
          <w:vertAlign w:val="superscript"/>
        </w:rPr>
        <w:t>1</w:t>
      </w:r>
      <w:r>
        <w:t xml:space="preserve"> Carme Camps,</w:t>
      </w:r>
      <w:r w:rsidRPr="0070121D">
        <w:rPr>
          <w:vertAlign w:val="superscript"/>
        </w:rPr>
        <w:t>1</w:t>
      </w:r>
      <w:r>
        <w:t xml:space="preserve"> Hannah Green,</w:t>
      </w:r>
      <w:r>
        <w:rPr>
          <w:vertAlign w:val="superscript"/>
        </w:rPr>
        <w:t>7</w:t>
      </w:r>
      <w:r>
        <w:t xml:space="preserve"> </w:t>
      </w:r>
      <w:r w:rsidRPr="009C3DBA">
        <w:t>Smrithi Devaiah</w:t>
      </w:r>
      <w:r>
        <w:t>,</w:t>
      </w:r>
      <w:r>
        <w:rPr>
          <w:vertAlign w:val="superscript"/>
        </w:rPr>
        <w:t>8</w:t>
      </w:r>
      <w:r>
        <w:t xml:space="preserve"> Lina Nashef,</w:t>
      </w:r>
      <w:r>
        <w:rPr>
          <w:vertAlign w:val="superscript"/>
        </w:rPr>
        <w:t>9</w:t>
      </w:r>
      <w:r>
        <w:t xml:space="preserve"> </w:t>
      </w:r>
      <w:r w:rsidRPr="0049721E">
        <w:t>Jason Parr</w:t>
      </w:r>
      <w:r>
        <w:t>,</w:t>
      </w:r>
      <w:r>
        <w:rPr>
          <w:vertAlign w:val="superscript"/>
        </w:rPr>
        <w:t>10</w:t>
      </w:r>
      <w:r>
        <w:t xml:space="preserve"> Carl Fratter,</w:t>
      </w:r>
      <w:r>
        <w:rPr>
          <w:vertAlign w:val="superscript"/>
        </w:rPr>
        <w:t>7</w:t>
      </w:r>
      <w:r>
        <w:t xml:space="preserve"> Rana </w:t>
      </w:r>
      <w:proofErr w:type="spellStart"/>
      <w:r w:rsidRPr="009220E2">
        <w:t>Ibnouf</w:t>
      </w:r>
      <w:proofErr w:type="spellEnd"/>
      <w:r>
        <w:t xml:space="preserve"> Hussein,</w:t>
      </w:r>
      <w:r>
        <w:rPr>
          <w:vertAlign w:val="superscript"/>
        </w:rPr>
        <w:t>10</w:t>
      </w:r>
      <w:r>
        <w:t xml:space="preserve"> Sarah J. Lindsay,</w:t>
      </w:r>
      <w:r>
        <w:rPr>
          <w:vertAlign w:val="superscript"/>
        </w:rPr>
        <w:t>11</w:t>
      </w:r>
      <w:r>
        <w:t xml:space="preserve"> Fiona Lalloo,</w:t>
      </w:r>
      <w:r>
        <w:rPr>
          <w:vertAlign w:val="superscript"/>
        </w:rPr>
        <w:t>10</w:t>
      </w:r>
      <w:r>
        <w:t xml:space="preserve"> Benito Banos-Pinero,</w:t>
      </w:r>
      <w:r>
        <w:rPr>
          <w:vertAlign w:val="superscript"/>
        </w:rPr>
        <w:t>7</w:t>
      </w:r>
      <w:r>
        <w:t xml:space="preserve"> David Evans,</w:t>
      </w:r>
      <w:r>
        <w:rPr>
          <w:vertAlign w:val="superscript"/>
        </w:rPr>
        <w:t>12</w:t>
      </w:r>
      <w:r>
        <w:t xml:space="preserve"> </w:t>
      </w:r>
      <w:r w:rsidRPr="00DA75C4">
        <w:t>Lucy Ma</w:t>
      </w:r>
      <w:r>
        <w:t>l</w:t>
      </w:r>
      <w:r w:rsidRPr="00DA75C4">
        <w:t>lin</w:t>
      </w:r>
      <w:r>
        <w:t>,</w:t>
      </w:r>
      <w:r w:rsidRPr="00DA75C4">
        <w:rPr>
          <w:vertAlign w:val="superscript"/>
        </w:rPr>
        <w:t>1</w:t>
      </w:r>
      <w:r>
        <w:rPr>
          <w:vertAlign w:val="superscript"/>
        </w:rPr>
        <w:t>2</w:t>
      </w:r>
      <w:r w:rsidRPr="00DA75C4">
        <w:t xml:space="preserve"> </w:t>
      </w:r>
      <w:r>
        <w:t>Adrian Waite,</w:t>
      </w:r>
      <w:r w:rsidRPr="00247006">
        <w:rPr>
          <w:vertAlign w:val="superscript"/>
        </w:rPr>
        <w:t>1</w:t>
      </w:r>
      <w:r>
        <w:rPr>
          <w:vertAlign w:val="superscript"/>
        </w:rPr>
        <w:t>3</w:t>
      </w:r>
      <w:r>
        <w:t xml:space="preserve"> Julie Evans,</w:t>
      </w:r>
      <w:r w:rsidRPr="00730BAC">
        <w:rPr>
          <w:vertAlign w:val="superscript"/>
        </w:rPr>
        <w:t>1</w:t>
      </w:r>
      <w:r>
        <w:rPr>
          <w:vertAlign w:val="superscript"/>
        </w:rPr>
        <w:t>3</w:t>
      </w:r>
      <w:r>
        <w:t xml:space="preserve"> Andrew Newman,</w:t>
      </w:r>
      <w:r w:rsidRPr="00730BAC">
        <w:rPr>
          <w:vertAlign w:val="superscript"/>
        </w:rPr>
        <w:t>1</w:t>
      </w:r>
      <w:r>
        <w:rPr>
          <w:vertAlign w:val="superscript"/>
        </w:rPr>
        <w:t>4</w:t>
      </w:r>
      <w:r>
        <w:t xml:space="preserve"> Zoe Allen,</w:t>
      </w:r>
      <w:r w:rsidRPr="006A64BB">
        <w:rPr>
          <w:vertAlign w:val="superscript"/>
        </w:rPr>
        <w:t>1</w:t>
      </w:r>
      <w:r>
        <w:rPr>
          <w:vertAlign w:val="superscript"/>
        </w:rPr>
        <w:t>5</w:t>
      </w:r>
      <w:r>
        <w:t xml:space="preserve"> Cristina Perez-Becerril,</w:t>
      </w:r>
      <w:r>
        <w:rPr>
          <w:vertAlign w:val="superscript"/>
        </w:rPr>
        <w:t>10</w:t>
      </w:r>
      <w:r>
        <w:t xml:space="preserve"> </w:t>
      </w:r>
      <w:r w:rsidRPr="007B21C5">
        <w:t>Gavin Ryan</w:t>
      </w:r>
      <w:r>
        <w:t>,</w:t>
      </w:r>
      <w:r w:rsidRPr="00AF2466">
        <w:rPr>
          <w:vertAlign w:val="superscript"/>
        </w:rPr>
        <w:t>1</w:t>
      </w:r>
      <w:r>
        <w:rPr>
          <w:vertAlign w:val="superscript"/>
        </w:rPr>
        <w:t>6</w:t>
      </w:r>
      <w:r>
        <w:t xml:space="preserve"> Rachel Hart,</w:t>
      </w:r>
      <w:r>
        <w:rPr>
          <w:vertAlign w:val="superscript"/>
        </w:rPr>
        <w:t>17</w:t>
      </w:r>
      <w:r>
        <w:t xml:space="preserve"> John Taylor,</w:t>
      </w:r>
      <w:r>
        <w:rPr>
          <w:vertAlign w:val="superscript"/>
        </w:rPr>
        <w:t>7</w:t>
      </w:r>
      <w:r>
        <w:t xml:space="preserve"> Tina Bedenham,</w:t>
      </w:r>
      <w:r>
        <w:rPr>
          <w:vertAlign w:val="superscript"/>
        </w:rPr>
        <w:t>7</w:t>
      </w:r>
      <w:r>
        <w:t xml:space="preserve"> Emma Clement,</w:t>
      </w:r>
      <w:r w:rsidRPr="00AF2466">
        <w:rPr>
          <w:vertAlign w:val="superscript"/>
        </w:rPr>
        <w:t>1</w:t>
      </w:r>
      <w:r>
        <w:rPr>
          <w:vertAlign w:val="superscript"/>
        </w:rPr>
        <w:t>8</w:t>
      </w:r>
      <w:r>
        <w:t xml:space="preserve"> Ed Blair,</w:t>
      </w:r>
      <w:r>
        <w:rPr>
          <w:vertAlign w:val="superscript"/>
        </w:rPr>
        <w:t>8</w:t>
      </w:r>
      <w:r>
        <w:t xml:space="preserve"> </w:t>
      </w:r>
      <w:r w:rsidRPr="00A416AC">
        <w:t>Eleanor Hay</w:t>
      </w:r>
      <w:r>
        <w:t>,</w:t>
      </w:r>
      <w:r w:rsidRPr="00A416AC">
        <w:rPr>
          <w:vertAlign w:val="superscript"/>
        </w:rPr>
        <w:t>1</w:t>
      </w:r>
      <w:r>
        <w:rPr>
          <w:vertAlign w:val="superscript"/>
        </w:rPr>
        <w:t>8</w:t>
      </w:r>
      <w:r>
        <w:t xml:space="preserve"> Francesca Forzano,</w:t>
      </w:r>
      <w:r w:rsidRPr="00AF2466">
        <w:rPr>
          <w:vertAlign w:val="superscript"/>
        </w:rPr>
        <w:t>1</w:t>
      </w:r>
      <w:r>
        <w:rPr>
          <w:vertAlign w:val="superscript"/>
        </w:rPr>
        <w:t>9</w:t>
      </w:r>
      <w:r>
        <w:t xml:space="preserve"> Jenny Higgs,</w:t>
      </w:r>
      <w:r w:rsidRPr="00502C09">
        <w:rPr>
          <w:vertAlign w:val="superscript"/>
        </w:rPr>
        <w:t>1</w:t>
      </w:r>
      <w:r>
        <w:rPr>
          <w:vertAlign w:val="superscript"/>
        </w:rPr>
        <w:t>7</w:t>
      </w:r>
      <w:r>
        <w:t xml:space="preserve"> Natalie Canham,</w:t>
      </w:r>
      <w:r w:rsidRPr="00502C09">
        <w:rPr>
          <w:vertAlign w:val="superscript"/>
        </w:rPr>
        <w:t>1</w:t>
      </w:r>
      <w:r>
        <w:rPr>
          <w:vertAlign w:val="superscript"/>
        </w:rPr>
        <w:t>7</w:t>
      </w:r>
      <w:r>
        <w:t xml:space="preserve"> Anirban Majumdar,</w:t>
      </w:r>
      <w:r>
        <w:rPr>
          <w:vertAlign w:val="superscript"/>
        </w:rPr>
        <w:t>20</w:t>
      </w:r>
      <w:r>
        <w:t xml:space="preserve"> Meriel McEntagart,</w:t>
      </w:r>
      <w:r w:rsidRPr="00805C8B">
        <w:rPr>
          <w:vertAlign w:val="superscript"/>
        </w:rPr>
        <w:t>2</w:t>
      </w:r>
      <w:r>
        <w:rPr>
          <w:vertAlign w:val="superscript"/>
        </w:rPr>
        <w:t>1</w:t>
      </w:r>
      <w:r>
        <w:t xml:space="preserve"> Nayana Lahiri,</w:t>
      </w:r>
      <w:r w:rsidRPr="00805C8B">
        <w:rPr>
          <w:vertAlign w:val="superscript"/>
        </w:rPr>
        <w:t>2</w:t>
      </w:r>
      <w:r>
        <w:rPr>
          <w:vertAlign w:val="superscript"/>
        </w:rPr>
        <w:t>1</w:t>
      </w:r>
      <w:r>
        <w:t xml:space="preserve"> Helen Stewart,</w:t>
      </w:r>
      <w:r>
        <w:rPr>
          <w:vertAlign w:val="superscript"/>
        </w:rPr>
        <w:t>8</w:t>
      </w:r>
      <w:r>
        <w:t xml:space="preserve"> Sarah Smithson,</w:t>
      </w:r>
      <w:r w:rsidRPr="00805C8B">
        <w:rPr>
          <w:vertAlign w:val="superscript"/>
        </w:rPr>
        <w:t>2</w:t>
      </w:r>
      <w:r>
        <w:rPr>
          <w:vertAlign w:val="superscript"/>
        </w:rPr>
        <w:t>2</w:t>
      </w:r>
      <w:r w:rsidRPr="000B64D4">
        <w:t xml:space="preserve"> Eduardo Calpena</w:t>
      </w:r>
      <w:r>
        <w:t>,</w:t>
      </w:r>
      <w:r w:rsidRPr="004F0CCA">
        <w:rPr>
          <w:vertAlign w:val="superscript"/>
        </w:rPr>
        <w:t>2</w:t>
      </w:r>
      <w:r>
        <w:rPr>
          <w:vertAlign w:val="superscript"/>
        </w:rPr>
        <w:t>3</w:t>
      </w:r>
      <w:r>
        <w:t xml:space="preserve"> Adam Jackson,</w:t>
      </w:r>
      <w:r>
        <w:rPr>
          <w:vertAlign w:val="superscript"/>
        </w:rPr>
        <w:t>10,24</w:t>
      </w:r>
      <w:r>
        <w:t xml:space="preserve"> Siddharth Banka,</w:t>
      </w:r>
      <w:r>
        <w:rPr>
          <w:vertAlign w:val="superscript"/>
        </w:rPr>
        <w:t>10,24</w:t>
      </w:r>
      <w:r>
        <w:t xml:space="preserve"> Hannah Titheradge,</w:t>
      </w:r>
      <w:r w:rsidRPr="004918C3">
        <w:rPr>
          <w:vertAlign w:val="superscript"/>
        </w:rPr>
        <w:t>2</w:t>
      </w:r>
      <w:r>
        <w:rPr>
          <w:vertAlign w:val="superscript"/>
        </w:rPr>
        <w:t>5</w:t>
      </w:r>
      <w:r>
        <w:t xml:space="preserve"> Ruth McGowan,</w:t>
      </w:r>
      <w:r w:rsidRPr="004918C3">
        <w:rPr>
          <w:vertAlign w:val="superscript"/>
        </w:rPr>
        <w:t>2</w:t>
      </w:r>
      <w:r>
        <w:rPr>
          <w:vertAlign w:val="superscript"/>
        </w:rPr>
        <w:t>6</w:t>
      </w:r>
      <w:r>
        <w:t xml:space="preserve"> Julia Rankin,</w:t>
      </w:r>
      <w:r>
        <w:rPr>
          <w:vertAlign w:val="superscript"/>
        </w:rPr>
        <w:t>27</w:t>
      </w:r>
      <w:r>
        <w:t xml:space="preserve"> Charles Shaw-Smith,</w:t>
      </w:r>
      <w:r>
        <w:rPr>
          <w:vertAlign w:val="superscript"/>
        </w:rPr>
        <w:t>27</w:t>
      </w:r>
      <w:r>
        <w:t xml:space="preserve"> D. Gareth Evans,</w:t>
      </w:r>
      <w:r>
        <w:rPr>
          <w:vertAlign w:val="superscript"/>
        </w:rPr>
        <w:t>10,24</w:t>
      </w:r>
      <w:r>
        <w:t xml:space="preserve"> George J. Burghel,</w:t>
      </w:r>
      <w:r>
        <w:rPr>
          <w:vertAlign w:val="superscript"/>
        </w:rPr>
        <w:t>10</w:t>
      </w:r>
      <w:r>
        <w:t xml:space="preserve"> Miriam J. Smith,</w:t>
      </w:r>
      <w:r>
        <w:rPr>
          <w:vertAlign w:val="superscript"/>
        </w:rPr>
        <w:t>10</w:t>
      </w:r>
      <w:r>
        <w:t xml:space="preserve"> Emily Anderson,</w:t>
      </w:r>
      <w:r w:rsidRPr="00770D63">
        <w:rPr>
          <w:vertAlign w:val="superscript"/>
        </w:rPr>
        <w:t>1</w:t>
      </w:r>
      <w:r>
        <w:rPr>
          <w:vertAlign w:val="superscript"/>
        </w:rPr>
        <w:t>7</w:t>
      </w:r>
      <w:r>
        <w:t xml:space="preserve"> Rajesh Madhu,</w:t>
      </w:r>
      <w:r w:rsidRPr="00770D63">
        <w:rPr>
          <w:vertAlign w:val="superscript"/>
        </w:rPr>
        <w:t>2</w:t>
      </w:r>
      <w:r>
        <w:rPr>
          <w:vertAlign w:val="superscript"/>
        </w:rPr>
        <w:t>8</w:t>
      </w:r>
      <w:r>
        <w:t xml:space="preserve"> Helen Firth,</w:t>
      </w:r>
      <w:r w:rsidRPr="00805C8B">
        <w:rPr>
          <w:vertAlign w:val="superscript"/>
        </w:rPr>
        <w:t>1</w:t>
      </w:r>
      <w:r>
        <w:rPr>
          <w:vertAlign w:val="superscript"/>
        </w:rPr>
        <w:t>1</w:t>
      </w:r>
      <w:r>
        <w:t xml:space="preserve"> </w:t>
      </w:r>
      <w:r w:rsidRPr="00DA75C4">
        <w:t>Sian Ellard,</w:t>
      </w:r>
      <w:r w:rsidRPr="00DA75C4">
        <w:rPr>
          <w:vertAlign w:val="superscript"/>
        </w:rPr>
        <w:t>1</w:t>
      </w:r>
      <w:r>
        <w:rPr>
          <w:vertAlign w:val="superscript"/>
        </w:rPr>
        <w:t>2</w:t>
      </w:r>
      <w:r>
        <w:t xml:space="preserve"> Paul Brennan,</w:t>
      </w:r>
      <w:r w:rsidRPr="00770D63">
        <w:rPr>
          <w:vertAlign w:val="superscript"/>
        </w:rPr>
        <w:t>2</w:t>
      </w:r>
      <w:r>
        <w:rPr>
          <w:vertAlign w:val="superscript"/>
        </w:rPr>
        <w:t>9</w:t>
      </w:r>
      <w:r>
        <w:t xml:space="preserve"> </w:t>
      </w:r>
      <w:r w:rsidR="00E01974" w:rsidRPr="00E01974">
        <w:t>Claire Anderson</w:t>
      </w:r>
      <w:r w:rsidR="00E01974">
        <w:t>,</w:t>
      </w:r>
      <w:r w:rsidR="00E01974" w:rsidRPr="00E01974">
        <w:rPr>
          <w:vertAlign w:val="superscript"/>
        </w:rPr>
        <w:t>30</w:t>
      </w:r>
      <w:r w:rsidR="00E01974">
        <w:t xml:space="preserve"> </w:t>
      </w:r>
      <w:r w:rsidR="00D75B27">
        <w:t>Doug Tau</w:t>
      </w:r>
      <w:r w:rsidR="008776B4">
        <w:t>p</w:t>
      </w:r>
      <w:r w:rsidR="00D75B27">
        <w:t>in,</w:t>
      </w:r>
      <w:r w:rsidR="00E01974" w:rsidRPr="00E01974">
        <w:rPr>
          <w:vertAlign w:val="superscript"/>
        </w:rPr>
        <w:t>3</w:t>
      </w:r>
      <w:r w:rsidR="001D7F92">
        <w:rPr>
          <w:vertAlign w:val="superscript"/>
        </w:rPr>
        <w:t>1</w:t>
      </w:r>
      <w:r w:rsidR="00D75B27">
        <w:t xml:space="preserve"> </w:t>
      </w:r>
      <w:r>
        <w:t>Mark T. Rogers,</w:t>
      </w:r>
      <w:r w:rsidRPr="002D5855">
        <w:rPr>
          <w:vertAlign w:val="superscript"/>
        </w:rPr>
        <w:t>1</w:t>
      </w:r>
      <w:r>
        <w:rPr>
          <w:vertAlign w:val="superscript"/>
        </w:rPr>
        <w:t>4</w:t>
      </w:r>
      <w:r>
        <w:t xml:space="preserve"> Jackie A. Cook,</w:t>
      </w:r>
      <w:r>
        <w:rPr>
          <w:vertAlign w:val="superscript"/>
        </w:rPr>
        <w:t>3</w:t>
      </w:r>
      <w:r w:rsidR="007F0D39">
        <w:rPr>
          <w:vertAlign w:val="superscript"/>
        </w:rPr>
        <w:t>2</w:t>
      </w:r>
      <w:r>
        <w:t xml:space="preserve"> Miranda Durkie,</w:t>
      </w:r>
      <w:r>
        <w:rPr>
          <w:vertAlign w:val="superscript"/>
        </w:rPr>
        <w:t>3</w:t>
      </w:r>
      <w:r w:rsidR="007F0D39">
        <w:rPr>
          <w:vertAlign w:val="superscript"/>
        </w:rPr>
        <w:t>3</w:t>
      </w:r>
      <w:r>
        <w:t xml:space="preserve"> </w:t>
      </w:r>
      <w:r w:rsidRPr="00D13768">
        <w:t xml:space="preserve">James </w:t>
      </w:r>
      <w:r>
        <w:t xml:space="preserve">E. </w:t>
      </w:r>
      <w:r w:rsidRPr="00D13768">
        <w:t>East</w:t>
      </w:r>
      <w:r>
        <w:t>,</w:t>
      </w:r>
      <w:r w:rsidRPr="00D13768">
        <w:rPr>
          <w:vertAlign w:val="superscript"/>
        </w:rPr>
        <w:t>4</w:t>
      </w:r>
      <w:r w:rsidRPr="00D13768">
        <w:t xml:space="preserve"> Darren Fowler</w:t>
      </w:r>
      <w:r>
        <w:t>,</w:t>
      </w:r>
      <w:r>
        <w:rPr>
          <w:vertAlign w:val="superscript"/>
        </w:rPr>
        <w:t>3</w:t>
      </w:r>
      <w:r w:rsidR="007F0D39">
        <w:rPr>
          <w:vertAlign w:val="superscript"/>
        </w:rPr>
        <w:t>4</w:t>
      </w:r>
      <w:r w:rsidRPr="00D13768">
        <w:t xml:space="preserve"> </w:t>
      </w:r>
      <w:r>
        <w:t>Louise Wilson,</w:t>
      </w:r>
      <w:r w:rsidRPr="00AF2466">
        <w:rPr>
          <w:vertAlign w:val="superscript"/>
        </w:rPr>
        <w:t>1</w:t>
      </w:r>
      <w:r>
        <w:rPr>
          <w:vertAlign w:val="superscript"/>
        </w:rPr>
        <w:t>8</w:t>
      </w:r>
      <w:r>
        <w:t xml:space="preserve"> </w:t>
      </w:r>
      <w:r w:rsidRPr="00EB1E2F">
        <w:t>Rebecca Igbokwe</w:t>
      </w:r>
      <w:r>
        <w:t>,</w:t>
      </w:r>
      <w:r>
        <w:rPr>
          <w:vertAlign w:val="superscript"/>
        </w:rPr>
        <w:t>25</w:t>
      </w:r>
      <w:r>
        <w:t xml:space="preserve"> Alice Gardham,</w:t>
      </w:r>
      <w:r w:rsidRPr="004918C3">
        <w:rPr>
          <w:vertAlign w:val="superscript"/>
        </w:rPr>
        <w:t>1</w:t>
      </w:r>
      <w:r>
        <w:rPr>
          <w:vertAlign w:val="superscript"/>
        </w:rPr>
        <w:t>8</w:t>
      </w:r>
      <w:r>
        <w:t xml:space="preserve"> Ian Tomlinson,</w:t>
      </w:r>
      <w:r>
        <w:rPr>
          <w:vertAlign w:val="superscript"/>
        </w:rPr>
        <w:t>3</w:t>
      </w:r>
      <w:r w:rsidR="007F0D39">
        <w:rPr>
          <w:vertAlign w:val="superscript"/>
        </w:rPr>
        <w:t>5</w:t>
      </w:r>
      <w:r>
        <w:t xml:space="preserve"> Diana Baralle,</w:t>
      </w:r>
      <w:r w:rsidRPr="00200E32">
        <w:rPr>
          <w:vertAlign w:val="superscript"/>
        </w:rPr>
        <w:t>5</w:t>
      </w:r>
      <w:r>
        <w:t xml:space="preserve"> Holm H. Uhlig,</w:t>
      </w:r>
      <w:r w:rsidRPr="000C48B9">
        <w:rPr>
          <w:vertAlign w:val="superscript"/>
        </w:rPr>
        <w:t>1,</w:t>
      </w:r>
      <w:r>
        <w:rPr>
          <w:vertAlign w:val="superscript"/>
        </w:rPr>
        <w:t>4</w:t>
      </w:r>
      <w:r>
        <w:t xml:space="preserve"> and Jenny C. Taylor</w:t>
      </w:r>
      <w:r w:rsidRPr="003B0974">
        <w:rPr>
          <w:vertAlign w:val="superscript"/>
        </w:rPr>
        <w:t>1</w:t>
      </w:r>
      <w:r>
        <w:rPr>
          <w:vertAlign w:val="superscript"/>
        </w:rPr>
        <w:t>,*</w:t>
      </w:r>
    </w:p>
    <w:p w14:paraId="751DB871" w14:textId="77777777" w:rsidR="0054637A" w:rsidRDefault="0054637A" w:rsidP="00DD05AD">
      <w:pPr>
        <w:jc w:val="both"/>
        <w:rPr>
          <w:b/>
        </w:rPr>
      </w:pPr>
      <w:r>
        <w:rPr>
          <w:b/>
        </w:rPr>
        <w:t>Affiliations</w:t>
      </w:r>
    </w:p>
    <w:p w14:paraId="1039BB31" w14:textId="6FA28CB6" w:rsidR="0054637A" w:rsidRPr="00BE037E" w:rsidRDefault="0054637A" w:rsidP="00DD05AD">
      <w:pPr>
        <w:jc w:val="both"/>
      </w:pPr>
      <w:r w:rsidRPr="00373267">
        <w:rPr>
          <w:vertAlign w:val="superscript"/>
        </w:rPr>
        <w:t>1</w:t>
      </w:r>
      <w:r w:rsidRPr="00373267">
        <w:t xml:space="preserve">Oxford </w:t>
      </w:r>
      <w:r>
        <w:t xml:space="preserve">Biomedical Research Centre, Centre for Human Genetics, University of Oxford, Oxford, UK; </w:t>
      </w:r>
      <w:r w:rsidRPr="00373267">
        <w:rPr>
          <w:vertAlign w:val="superscript"/>
        </w:rPr>
        <w:t>2</w:t>
      </w:r>
      <w:r w:rsidRPr="007F1F0C">
        <w:t>Novo Nordisk Oxford Research Centre, Oxford</w:t>
      </w:r>
      <w:r>
        <w:t xml:space="preserve">, UK; </w:t>
      </w:r>
      <w:r w:rsidRPr="00821E79">
        <w:rPr>
          <w:vertAlign w:val="superscript"/>
        </w:rPr>
        <w:t>3</w:t>
      </w:r>
      <w:r w:rsidRPr="00821E79">
        <w:t>Genomics England, London, UK</w:t>
      </w:r>
      <w:r>
        <w:t xml:space="preserve">; </w:t>
      </w:r>
      <w:r w:rsidRPr="00821E79">
        <w:rPr>
          <w:vertAlign w:val="superscript"/>
        </w:rPr>
        <w:t>4</w:t>
      </w:r>
      <w:r w:rsidRPr="00821E79">
        <w:t>Translational Gastroenterology Unit, John Radcliffe Hospital, Oxford</w:t>
      </w:r>
      <w:r>
        <w:t xml:space="preserve">, UK; </w:t>
      </w:r>
      <w:r w:rsidRPr="00821E79">
        <w:rPr>
          <w:vertAlign w:val="superscript"/>
        </w:rPr>
        <w:t>5</w:t>
      </w:r>
      <w:r>
        <w:t xml:space="preserve">School of Human Development and Health, Faculty of Medicine, University of Southampton, Southampton, UK; </w:t>
      </w:r>
      <w:r w:rsidRPr="009F2B9B">
        <w:rPr>
          <w:vertAlign w:val="superscript"/>
        </w:rPr>
        <w:t>6</w:t>
      </w:r>
      <w:r w:rsidRPr="009F2B9B">
        <w:t>Sheffield Institute for Translatio</w:t>
      </w:r>
      <w:r>
        <w:t>nal Neuroscience</w:t>
      </w:r>
      <w:r w:rsidRPr="009F2B9B">
        <w:t>, The University of Sheffield, Sheffield, UK</w:t>
      </w:r>
      <w:r>
        <w:t xml:space="preserve">; </w:t>
      </w:r>
      <w:r>
        <w:rPr>
          <w:vertAlign w:val="superscript"/>
        </w:rPr>
        <w:t>7</w:t>
      </w:r>
      <w:r w:rsidRPr="000F7A28">
        <w:t xml:space="preserve">Oxford </w:t>
      </w:r>
      <w:r w:rsidRPr="003404BC">
        <w:t xml:space="preserve">Genetics Laboratories, Oxford University Hospitals NHS Foundation Trust, Oxford, UK; </w:t>
      </w:r>
      <w:r>
        <w:rPr>
          <w:vertAlign w:val="superscript"/>
        </w:rPr>
        <w:t>8</w:t>
      </w:r>
      <w:r w:rsidRPr="00EC5482">
        <w:t>Oxford Centre for Genomic Medicine, Oxford University Hospitals NHS Foundation Trust, Oxford, UK</w:t>
      </w:r>
      <w:r>
        <w:t>;</w:t>
      </w:r>
      <w:r w:rsidRPr="002221CE">
        <w:t xml:space="preserve"> </w:t>
      </w:r>
      <w:r>
        <w:rPr>
          <w:vertAlign w:val="superscript"/>
        </w:rPr>
        <w:t>9</w:t>
      </w:r>
      <w:r w:rsidRPr="002221CE">
        <w:t>Department of Neurology, King's College Hospital, London, UK</w:t>
      </w:r>
      <w:r>
        <w:t xml:space="preserve">; </w:t>
      </w:r>
      <w:r>
        <w:rPr>
          <w:vertAlign w:val="superscript"/>
        </w:rPr>
        <w:t>10</w:t>
      </w:r>
      <w:r w:rsidRPr="002221CE">
        <w:t>Manchester Centr</w:t>
      </w:r>
      <w:r>
        <w:t xml:space="preserve">e for Genomic Medicine, </w:t>
      </w:r>
      <w:r w:rsidRPr="002221CE">
        <w:t xml:space="preserve">Manchester University Hospitals NHS Foundation Trust, </w:t>
      </w:r>
      <w:r w:rsidRPr="00AA0832">
        <w:t xml:space="preserve">Health Innovation Manchester, </w:t>
      </w:r>
      <w:r w:rsidRPr="002221CE">
        <w:t>Manchester, UK</w:t>
      </w:r>
      <w:r>
        <w:t xml:space="preserve">; </w:t>
      </w:r>
      <w:r w:rsidRPr="00596FE1">
        <w:rPr>
          <w:vertAlign w:val="superscript"/>
        </w:rPr>
        <w:t>1</w:t>
      </w:r>
      <w:r>
        <w:rPr>
          <w:vertAlign w:val="superscript"/>
        </w:rPr>
        <w:t>1</w:t>
      </w:r>
      <w:r w:rsidRPr="00596FE1">
        <w:t xml:space="preserve">Wellcome Sanger Institute, </w:t>
      </w:r>
      <w:proofErr w:type="spellStart"/>
      <w:r w:rsidRPr="00596FE1">
        <w:t>Wellcome</w:t>
      </w:r>
      <w:proofErr w:type="spellEnd"/>
      <w:r w:rsidRPr="00596FE1">
        <w:t xml:space="preserve"> Genome Campus, </w:t>
      </w:r>
      <w:proofErr w:type="spellStart"/>
      <w:r w:rsidRPr="00596FE1">
        <w:t>Hinxton</w:t>
      </w:r>
      <w:proofErr w:type="spellEnd"/>
      <w:r>
        <w:t xml:space="preserve">, </w:t>
      </w:r>
      <w:r w:rsidRPr="00596FE1">
        <w:t>UK</w:t>
      </w:r>
      <w:r>
        <w:t xml:space="preserve">; </w:t>
      </w:r>
      <w:r w:rsidRPr="000844AE">
        <w:rPr>
          <w:vertAlign w:val="superscript"/>
        </w:rPr>
        <w:t>1</w:t>
      </w:r>
      <w:r>
        <w:rPr>
          <w:vertAlign w:val="superscript"/>
        </w:rPr>
        <w:t>2</w:t>
      </w:r>
      <w:r w:rsidRPr="005E5AAF">
        <w:t xml:space="preserve">Exeter Genomics Laboratory, Royal Devon University Healthcare NHS Foundation Trust, Exeter, </w:t>
      </w:r>
      <w:r w:rsidRPr="000844AE">
        <w:t>UK</w:t>
      </w:r>
      <w:r>
        <w:t xml:space="preserve">; </w:t>
      </w:r>
      <w:r w:rsidRPr="005E5AAF">
        <w:rPr>
          <w:vertAlign w:val="superscript"/>
        </w:rPr>
        <w:t>1</w:t>
      </w:r>
      <w:r>
        <w:rPr>
          <w:vertAlign w:val="superscript"/>
        </w:rPr>
        <w:t>3</w:t>
      </w:r>
      <w:r w:rsidRPr="005E5AAF">
        <w:t>Bristol Genetics Laboratory, North Bristol NHS Trust, Bristol, UK</w:t>
      </w:r>
      <w:r>
        <w:t xml:space="preserve">; </w:t>
      </w:r>
      <w:r w:rsidRPr="002D5855">
        <w:rPr>
          <w:vertAlign w:val="superscript"/>
        </w:rPr>
        <w:t>1</w:t>
      </w:r>
      <w:r>
        <w:rPr>
          <w:vertAlign w:val="superscript"/>
        </w:rPr>
        <w:t>4</w:t>
      </w:r>
      <w:r w:rsidRPr="00710E67">
        <w:t>The All Wales Medical Genomics Service, University Hospital of Wales, Cardiff</w:t>
      </w:r>
      <w:r>
        <w:t xml:space="preserve">; </w:t>
      </w:r>
      <w:r w:rsidRPr="00AF2466">
        <w:rPr>
          <w:vertAlign w:val="superscript"/>
        </w:rPr>
        <w:t>1</w:t>
      </w:r>
      <w:r>
        <w:rPr>
          <w:vertAlign w:val="superscript"/>
        </w:rPr>
        <w:t>5</w:t>
      </w:r>
      <w:r>
        <w:t xml:space="preserve">North Thames Rare and Inherited Disease Laboratory, Great Ormond Street Hospital for Children NHS Foundation Trust, London, UK; </w:t>
      </w:r>
      <w:r w:rsidRPr="00AF2466">
        <w:rPr>
          <w:vertAlign w:val="superscript"/>
        </w:rPr>
        <w:t>1</w:t>
      </w:r>
      <w:r>
        <w:rPr>
          <w:vertAlign w:val="superscript"/>
        </w:rPr>
        <w:t>6</w:t>
      </w:r>
      <w:r w:rsidRPr="00AF2466">
        <w:t>West Midlands Regional Genetics Laboratory, Central and South Genomic Laboratory Hub, Birmingham, UK</w:t>
      </w:r>
      <w:r>
        <w:t>;</w:t>
      </w:r>
      <w:r>
        <w:rPr>
          <w:vertAlign w:val="superscript"/>
        </w:rPr>
        <w:t xml:space="preserve"> 17</w:t>
      </w:r>
      <w:r w:rsidRPr="00C12E89">
        <w:t>Liverpool Centre for Genomic Medicine</w:t>
      </w:r>
      <w:r>
        <w:t>, L</w:t>
      </w:r>
      <w:r w:rsidRPr="00596FE1">
        <w:t>iverpool Women's NHS Foundation Trust</w:t>
      </w:r>
      <w:r>
        <w:t>, Liverpool, UK;</w:t>
      </w:r>
      <w:r w:rsidRPr="00AF2466">
        <w:rPr>
          <w:vertAlign w:val="superscript"/>
        </w:rPr>
        <w:t xml:space="preserve"> 1</w:t>
      </w:r>
      <w:r>
        <w:rPr>
          <w:vertAlign w:val="superscript"/>
        </w:rPr>
        <w:t>8</w:t>
      </w:r>
      <w:r w:rsidRPr="00AF2466">
        <w:t>North East Thames Regional Genetic Service, Great Ormond Street Hospital for Children NHS Foundation Trust, London, UK</w:t>
      </w:r>
      <w:r>
        <w:t xml:space="preserve">; </w:t>
      </w:r>
      <w:r w:rsidRPr="00AF2466">
        <w:rPr>
          <w:vertAlign w:val="superscript"/>
        </w:rPr>
        <w:t>1</w:t>
      </w:r>
      <w:r>
        <w:rPr>
          <w:vertAlign w:val="superscript"/>
        </w:rPr>
        <w:t>9</w:t>
      </w:r>
      <w:r w:rsidRPr="00AF2466">
        <w:t>Clinical Genetics Department, Guy's and St Thomas' NHS Foundation Trust, London, UK</w:t>
      </w:r>
      <w:r>
        <w:t xml:space="preserve">; </w:t>
      </w:r>
      <w:r w:rsidRPr="009F2B9B">
        <w:rPr>
          <w:vertAlign w:val="superscript"/>
        </w:rPr>
        <w:t>20</w:t>
      </w:r>
      <w:r w:rsidRPr="00805C8B">
        <w:t>Department of Paediatric Neurology, Bristol Children's Hospital, Bristol, UK</w:t>
      </w:r>
      <w:r>
        <w:t xml:space="preserve">; </w:t>
      </w:r>
      <w:r w:rsidRPr="00805C8B">
        <w:rPr>
          <w:vertAlign w:val="superscript"/>
        </w:rPr>
        <w:t>2</w:t>
      </w:r>
      <w:r>
        <w:rPr>
          <w:vertAlign w:val="superscript"/>
        </w:rPr>
        <w:t>1</w:t>
      </w:r>
      <w:r w:rsidRPr="004F03C5">
        <w:t>SW Thames Centre for Genomic Medicine, St George’s, University of London &amp; St George’s University Hospitals NHS Foundation Trust, London, UK</w:t>
      </w:r>
      <w:r>
        <w:t xml:space="preserve">; </w:t>
      </w:r>
      <w:r w:rsidRPr="00805C8B">
        <w:rPr>
          <w:vertAlign w:val="superscript"/>
        </w:rPr>
        <w:t>2</w:t>
      </w:r>
      <w:r>
        <w:rPr>
          <w:vertAlign w:val="superscript"/>
        </w:rPr>
        <w:t>2</w:t>
      </w:r>
      <w:r w:rsidRPr="00805C8B">
        <w:t>Department of Clinical Genetics, University Hospitals Bristol NHS Foundation Trust, Bristol, UK</w:t>
      </w:r>
      <w:r>
        <w:t xml:space="preserve">; </w:t>
      </w:r>
      <w:r w:rsidRPr="004F0CCA">
        <w:rPr>
          <w:vertAlign w:val="superscript"/>
        </w:rPr>
        <w:t>2</w:t>
      </w:r>
      <w:r>
        <w:rPr>
          <w:vertAlign w:val="superscript"/>
        </w:rPr>
        <w:t>3</w:t>
      </w:r>
      <w:r w:rsidRPr="004F0CCA">
        <w:t>Clinical Genetics Group, MRC Weatherall Institute of Molecular Medicine, University of Oxford, Oxford, United Kingdom</w:t>
      </w:r>
      <w:r>
        <w:t xml:space="preserve">; </w:t>
      </w:r>
      <w:r w:rsidRPr="00BE037E">
        <w:rPr>
          <w:vertAlign w:val="superscript"/>
        </w:rPr>
        <w:t>2</w:t>
      </w:r>
      <w:r>
        <w:rPr>
          <w:vertAlign w:val="superscript"/>
        </w:rPr>
        <w:t>4</w:t>
      </w:r>
      <w:r w:rsidRPr="00BE037E">
        <w:t>Division of Evolution, Infection and Genomics, School of Biological Sciences, Faculty of Biology, Medicine and Health, University of Manchester, Manchester, UK</w:t>
      </w:r>
      <w:r>
        <w:t xml:space="preserve">; </w:t>
      </w:r>
      <w:r w:rsidRPr="004918C3">
        <w:rPr>
          <w:vertAlign w:val="superscript"/>
        </w:rPr>
        <w:t>2</w:t>
      </w:r>
      <w:r>
        <w:rPr>
          <w:vertAlign w:val="superscript"/>
        </w:rPr>
        <w:t>5</w:t>
      </w:r>
      <w:r w:rsidRPr="004918C3">
        <w:t>Department of Clinical Genetics,</w:t>
      </w:r>
      <w:r w:rsidRPr="004918C3">
        <w:rPr>
          <w:vertAlign w:val="superscript"/>
        </w:rPr>
        <w:t xml:space="preserve"> </w:t>
      </w:r>
      <w:r w:rsidRPr="004918C3">
        <w:t>Birmingham Women's and Children's NHS Foundation Trust, Birmingham, UK</w:t>
      </w:r>
      <w:r>
        <w:t xml:space="preserve">; </w:t>
      </w:r>
      <w:r w:rsidRPr="004918C3">
        <w:rPr>
          <w:vertAlign w:val="superscript"/>
        </w:rPr>
        <w:t>2</w:t>
      </w:r>
      <w:r>
        <w:rPr>
          <w:vertAlign w:val="superscript"/>
        </w:rPr>
        <w:t>6</w:t>
      </w:r>
      <w:r w:rsidRPr="004918C3">
        <w:t xml:space="preserve">West </w:t>
      </w:r>
      <w:r w:rsidRPr="004918C3">
        <w:lastRenderedPageBreak/>
        <w:t>of Scotland Centre for Genomic Medicine, Glasgow, United Kingdom</w:t>
      </w:r>
      <w:r>
        <w:t xml:space="preserve">; </w:t>
      </w:r>
      <w:r>
        <w:rPr>
          <w:vertAlign w:val="superscript"/>
        </w:rPr>
        <w:t>27</w:t>
      </w:r>
      <w:r w:rsidRPr="00596FE1">
        <w:t>Department of Clinical Genetics, Royal Devon University Healthcare NHS Trust, Exeter, UK</w:t>
      </w:r>
      <w:r>
        <w:t xml:space="preserve">; </w:t>
      </w:r>
      <w:r w:rsidRPr="00770D63">
        <w:rPr>
          <w:vertAlign w:val="superscript"/>
        </w:rPr>
        <w:t>2</w:t>
      </w:r>
      <w:r>
        <w:rPr>
          <w:vertAlign w:val="superscript"/>
        </w:rPr>
        <w:t>8</w:t>
      </w:r>
      <w:r w:rsidRPr="00770D63">
        <w:t>Paediatric Neurosciences Department, Alder Hey Children's Hospital NHS Foundation Trust, Liverpool, UK</w:t>
      </w:r>
      <w:r>
        <w:t xml:space="preserve">; </w:t>
      </w:r>
      <w:r w:rsidRPr="00770D63">
        <w:rPr>
          <w:vertAlign w:val="superscript"/>
        </w:rPr>
        <w:t>2</w:t>
      </w:r>
      <w:r>
        <w:rPr>
          <w:vertAlign w:val="superscript"/>
        </w:rPr>
        <w:t>9</w:t>
      </w:r>
      <w:r w:rsidRPr="00770D63">
        <w:t>Institute of Genetic Medicine, Newcastle University, International Centre for Life</w:t>
      </w:r>
      <w:r>
        <w:t>, Newcastle University, Newcastle, UK;</w:t>
      </w:r>
      <w:r w:rsidR="001D7F92">
        <w:t xml:space="preserve"> </w:t>
      </w:r>
      <w:r w:rsidR="001D7F92" w:rsidRPr="00E01974">
        <w:rPr>
          <w:vertAlign w:val="superscript"/>
        </w:rPr>
        <w:t>3</w:t>
      </w:r>
      <w:r w:rsidR="001D7F92">
        <w:rPr>
          <w:vertAlign w:val="superscript"/>
        </w:rPr>
        <w:t>0</w:t>
      </w:r>
      <w:r w:rsidR="001D7F92" w:rsidRPr="001D7F92">
        <w:t>Canberra Clinical Genomics</w:t>
      </w:r>
      <w:r w:rsidR="001D7F92" w:rsidRPr="00E01974">
        <w:t xml:space="preserve">, </w:t>
      </w:r>
      <w:r w:rsidR="003B7268" w:rsidRPr="003B7268">
        <w:t xml:space="preserve">Canberra Health Services and The </w:t>
      </w:r>
      <w:r w:rsidR="001D7F92" w:rsidRPr="001D7F92">
        <w:t>Australian National University</w:t>
      </w:r>
      <w:r w:rsidR="001D7F92">
        <w:t>, C</w:t>
      </w:r>
      <w:r w:rsidR="001D7F92" w:rsidRPr="00E01974">
        <w:t>anberra, Australian Capital Territory, Australia</w:t>
      </w:r>
      <w:r w:rsidR="001D7F92">
        <w:t xml:space="preserve">; </w:t>
      </w:r>
      <w:r w:rsidR="00E01974" w:rsidRPr="00E01974">
        <w:rPr>
          <w:vertAlign w:val="superscript"/>
        </w:rPr>
        <w:t>3</w:t>
      </w:r>
      <w:r w:rsidR="001D7F92">
        <w:rPr>
          <w:vertAlign w:val="superscript"/>
        </w:rPr>
        <w:t>1</w:t>
      </w:r>
      <w:r w:rsidR="00E01974" w:rsidRPr="00E01974">
        <w:t>Cancer Research, Canberra Hospital, Canberra, Australian Capital Territory, Australia</w:t>
      </w:r>
      <w:r w:rsidR="00E01974">
        <w:t>;</w:t>
      </w:r>
      <w:r>
        <w:t xml:space="preserve"> </w:t>
      </w:r>
      <w:r w:rsidRPr="00BA7964">
        <w:rPr>
          <w:vertAlign w:val="superscript"/>
        </w:rPr>
        <w:t>3</w:t>
      </w:r>
      <w:r w:rsidR="001D7F92">
        <w:rPr>
          <w:vertAlign w:val="superscript"/>
        </w:rPr>
        <w:t>2</w:t>
      </w:r>
      <w:r w:rsidRPr="00A94227">
        <w:t>Department of Clinical Genetics, Sheffield Children's NHS Foundation</w:t>
      </w:r>
      <w:r>
        <w:t xml:space="preserve"> </w:t>
      </w:r>
      <w:r w:rsidRPr="00A94227">
        <w:t>Trust, Sheffield, UK</w:t>
      </w:r>
      <w:r>
        <w:t xml:space="preserve">; </w:t>
      </w:r>
      <w:r>
        <w:rPr>
          <w:vertAlign w:val="superscript"/>
        </w:rPr>
        <w:t>3</w:t>
      </w:r>
      <w:r w:rsidR="001D7F92">
        <w:rPr>
          <w:vertAlign w:val="superscript"/>
        </w:rPr>
        <w:t>3</w:t>
      </w:r>
      <w:r w:rsidRPr="00851A3B">
        <w:t>Sheffield Diagnostic Genetics Service, Sheffield Children's NHS Foundation Trust, North East and Yorkshire Genomic Laboratory Hub, Sheffield, UK</w:t>
      </w:r>
      <w:r>
        <w:t xml:space="preserve">; </w:t>
      </w:r>
      <w:r>
        <w:rPr>
          <w:vertAlign w:val="superscript"/>
        </w:rPr>
        <w:t>3</w:t>
      </w:r>
      <w:r w:rsidR="001D7F92">
        <w:rPr>
          <w:vertAlign w:val="superscript"/>
        </w:rPr>
        <w:t>4</w:t>
      </w:r>
      <w:r w:rsidRPr="00D13768">
        <w:t xml:space="preserve">Department of </w:t>
      </w:r>
      <w:r>
        <w:t xml:space="preserve">Cellular </w:t>
      </w:r>
      <w:r w:rsidRPr="00D13768">
        <w:t xml:space="preserve">Pathology, </w:t>
      </w:r>
      <w:r w:rsidRPr="00240ACB">
        <w:t>Oxford University Hospitals NHS Foundation Trust</w:t>
      </w:r>
      <w:r w:rsidRPr="00D13768">
        <w:t>, Oxford, UK</w:t>
      </w:r>
      <w:r>
        <w:t xml:space="preserve">; </w:t>
      </w:r>
      <w:r>
        <w:rPr>
          <w:vertAlign w:val="superscript"/>
        </w:rPr>
        <w:t>3</w:t>
      </w:r>
      <w:r w:rsidR="001D7F92">
        <w:rPr>
          <w:vertAlign w:val="superscript"/>
        </w:rPr>
        <w:t>5</w:t>
      </w:r>
      <w:r>
        <w:t>Department of Oncology</w:t>
      </w:r>
      <w:r w:rsidRPr="00327F42">
        <w:t xml:space="preserve">, University of </w:t>
      </w:r>
      <w:r>
        <w:t>Oxford</w:t>
      </w:r>
      <w:r w:rsidRPr="00327F42">
        <w:t xml:space="preserve">, </w:t>
      </w:r>
      <w:r>
        <w:t>Oxford</w:t>
      </w:r>
      <w:r w:rsidRPr="00327F42">
        <w:t>, UK</w:t>
      </w:r>
      <w:r>
        <w:t>.</w:t>
      </w:r>
    </w:p>
    <w:p w14:paraId="11CF0F42" w14:textId="77777777" w:rsidR="0054637A" w:rsidRDefault="0054637A" w:rsidP="00DD05AD">
      <w:pPr>
        <w:jc w:val="both"/>
      </w:pPr>
      <w:r>
        <w:t>*</w:t>
      </w:r>
      <w:r w:rsidRPr="007F3BCF">
        <w:t>Correspondence:</w:t>
      </w:r>
      <w:r>
        <w:t xml:space="preserve"> alistair@well.ox.ac.uk, jenny.taylor</w:t>
      </w:r>
      <w:r w:rsidRPr="007F3BCF">
        <w:t>@</w:t>
      </w:r>
      <w:r>
        <w:t>well.ox.ac.uk</w:t>
      </w:r>
    </w:p>
    <w:p w14:paraId="4F892341" w14:textId="77777777" w:rsidR="0054637A" w:rsidRPr="00812491" w:rsidRDefault="0054637A" w:rsidP="00DD05AD">
      <w:pPr>
        <w:jc w:val="both"/>
        <w:rPr>
          <w:b/>
        </w:rPr>
      </w:pPr>
      <w:r w:rsidRPr="0049721E">
        <w:rPr>
          <w:b/>
        </w:rPr>
        <w:t>ABSTRACT</w:t>
      </w:r>
    </w:p>
    <w:p w14:paraId="5B1A4B01" w14:textId="303A9F6A" w:rsidR="0054637A" w:rsidRDefault="0054637A" w:rsidP="00DD05AD">
      <w:pPr>
        <w:jc w:val="both"/>
      </w:pPr>
      <w:r>
        <w:t xml:space="preserve">Detection of structural variants (SVs) is currently biased towards those that alter copy number. The relative contribution of inversions towards genetic disease is unclear. In this study, we analysed </w:t>
      </w:r>
      <w:r w:rsidRPr="00296D47">
        <w:t xml:space="preserve">genome </w:t>
      </w:r>
      <w:r>
        <w:t>sequencing data for 33,924 families with rare-</w:t>
      </w:r>
      <w:r w:rsidRPr="00296D47">
        <w:t>disease</w:t>
      </w:r>
      <w:r>
        <w:t>,</w:t>
      </w:r>
      <w:r w:rsidRPr="00296D47">
        <w:t xml:space="preserve"> </w:t>
      </w:r>
      <w:r>
        <w:t xml:space="preserve">from the 100,000 Genomes Project. From a database hosting &gt;500 million SVs, we focussed on 351 genes where haploinsufficiency is a confirmed </w:t>
      </w:r>
      <w:r w:rsidR="005B7092">
        <w:t xml:space="preserve">disease </w:t>
      </w:r>
      <w:r>
        <w:t xml:space="preserve">mechanism and identified 47 ultra-rare rearrangements that included an inversion (24bp to 36.4Mb, 20/47 </w:t>
      </w:r>
      <w:r w:rsidRPr="00C71730">
        <w:rPr>
          <w:i/>
        </w:rPr>
        <w:t>de novo</w:t>
      </w:r>
      <w:r w:rsidRPr="00D67E08">
        <w:t>)</w:t>
      </w:r>
      <w:r>
        <w:rPr>
          <w:i/>
        </w:rPr>
        <w:t xml:space="preserve">. </w:t>
      </w:r>
      <w:r>
        <w:t xml:space="preserve">Validation utilised a number of orthogonal approaches, including retrospective exome analysis. </w:t>
      </w:r>
      <w:proofErr w:type="spellStart"/>
      <w:r>
        <w:t>RNAseq</w:t>
      </w:r>
      <w:proofErr w:type="spellEnd"/>
      <w:r>
        <w:t xml:space="preserve"> data supported the respective diagnoses</w:t>
      </w:r>
      <w:r w:rsidRPr="005C75ED">
        <w:t xml:space="preserve"> </w:t>
      </w:r>
      <w:r>
        <w:t>for 6 participants. Phenotypic blending was apparent in 4 probands. Diagnostic odysseys were a common theme (&gt;50 years for one individual) and t</w:t>
      </w:r>
      <w:r w:rsidRPr="00443D2A">
        <w:t xml:space="preserve">argeted analysis for </w:t>
      </w:r>
      <w:r>
        <w:t xml:space="preserve">the </w:t>
      </w:r>
      <w:r w:rsidRPr="00443D2A">
        <w:t xml:space="preserve">specific </w:t>
      </w:r>
      <w:r>
        <w:t xml:space="preserve">gene had already been performed </w:t>
      </w:r>
      <w:r w:rsidR="00094B76">
        <w:t xml:space="preserve">for </w:t>
      </w:r>
      <w:r>
        <w:t xml:space="preserve">30% </w:t>
      </w:r>
      <w:r w:rsidR="00094B76">
        <w:t xml:space="preserve">of these individuals </w:t>
      </w:r>
      <w:r>
        <w:t xml:space="preserve">but with no findings. We provide formal confirmation of a European founder origin for an intragenic </w:t>
      </w:r>
      <w:r w:rsidRPr="00EE7D57">
        <w:rPr>
          <w:i/>
        </w:rPr>
        <w:t>MSH2</w:t>
      </w:r>
      <w:r>
        <w:t xml:space="preserve"> inversion. For two individuals with complex SVs involving the </w:t>
      </w:r>
      <w:r w:rsidRPr="002F51F9">
        <w:rPr>
          <w:i/>
        </w:rPr>
        <w:t>MECP2</w:t>
      </w:r>
      <w:r w:rsidRPr="00D37E31">
        <w:t xml:space="preserve"> </w:t>
      </w:r>
      <w:r>
        <w:t xml:space="preserve">mutational </w:t>
      </w:r>
      <w:r w:rsidRPr="00B76620">
        <w:t>hotspot</w:t>
      </w:r>
      <w:r>
        <w:t xml:space="preserve">, ambiguous SV structures were resolved using long-read sequencing, influencing clinical interpretation. A </w:t>
      </w:r>
      <w:r w:rsidRPr="009046C4">
        <w:rPr>
          <w:i/>
        </w:rPr>
        <w:t>de novo</w:t>
      </w:r>
      <w:r>
        <w:t xml:space="preserve"> inversion of </w:t>
      </w:r>
      <w:r w:rsidRPr="0045071D">
        <w:rPr>
          <w:i/>
        </w:rPr>
        <w:t>HOXD11-13</w:t>
      </w:r>
      <w:r>
        <w:t xml:space="preserve"> was uncovered in a family with </w:t>
      </w:r>
      <w:proofErr w:type="spellStart"/>
      <w:r w:rsidRPr="0049721E">
        <w:t>Kantaputra</w:t>
      </w:r>
      <w:proofErr w:type="spellEnd"/>
      <w:r>
        <w:t>-</w:t>
      </w:r>
      <w:r w:rsidRPr="0049721E">
        <w:t xml:space="preserve">type </w:t>
      </w:r>
      <w:proofErr w:type="spellStart"/>
      <w:r>
        <w:t>mesomelic</w:t>
      </w:r>
      <w:proofErr w:type="spellEnd"/>
      <w:r>
        <w:t xml:space="preserve"> dysplasia. Lastly, a complex translocation disrupting </w:t>
      </w:r>
      <w:r w:rsidRPr="009738F2">
        <w:rPr>
          <w:i/>
        </w:rPr>
        <w:t>APC</w:t>
      </w:r>
      <w:r w:rsidRPr="008A5C69">
        <w:t xml:space="preserve"> </w:t>
      </w:r>
      <w:r>
        <w:t xml:space="preserve">and involving 9 rearranged segments, confirmed a clinical diagnosis for 3 family members and resolved a conundrum for a sibling with a single polyp. Overall, inversions play a small but </w:t>
      </w:r>
      <w:r w:rsidR="00C16A1E">
        <w:t xml:space="preserve">notable </w:t>
      </w:r>
      <w:r>
        <w:t>role in rare-disease, likely explaining the aetiology in around 1/750 families across heterogeneous clinical cohorts.</w:t>
      </w:r>
    </w:p>
    <w:p w14:paraId="1ABC4FC4" w14:textId="77777777" w:rsidR="0054637A" w:rsidRDefault="0054637A" w:rsidP="00DD05AD">
      <w:pPr>
        <w:jc w:val="both"/>
        <w:rPr>
          <w:b/>
        </w:rPr>
      </w:pPr>
      <w:r>
        <w:rPr>
          <w:b/>
        </w:rPr>
        <w:t xml:space="preserve">Keywords: </w:t>
      </w:r>
      <w:r w:rsidRPr="00373267">
        <w:t>Inversion</w:t>
      </w:r>
      <w:r>
        <w:t>;</w:t>
      </w:r>
      <w:r w:rsidRPr="00373267">
        <w:t xml:space="preserve"> </w:t>
      </w:r>
      <w:r>
        <w:t>complex rearrangement; g</w:t>
      </w:r>
      <w:r w:rsidRPr="00373267">
        <w:t>enome sequencing</w:t>
      </w:r>
      <w:r>
        <w:t>;</w:t>
      </w:r>
      <w:r w:rsidRPr="007D25F8">
        <w:t xml:space="preserve"> </w:t>
      </w:r>
      <w:r w:rsidRPr="003A2638">
        <w:rPr>
          <w:i/>
        </w:rPr>
        <w:t>MSH2</w:t>
      </w:r>
      <w:r>
        <w:t xml:space="preserve">; </w:t>
      </w:r>
      <w:r w:rsidRPr="003A2638">
        <w:rPr>
          <w:i/>
        </w:rPr>
        <w:t>MECP2</w:t>
      </w:r>
      <w:r>
        <w:t>;</w:t>
      </w:r>
      <w:r w:rsidRPr="007D25F8">
        <w:t xml:space="preserve"> </w:t>
      </w:r>
      <w:r w:rsidRPr="003A2638">
        <w:rPr>
          <w:i/>
        </w:rPr>
        <w:t>HOXD</w:t>
      </w:r>
      <w:r>
        <w:t xml:space="preserve"> cluster; </w:t>
      </w:r>
      <w:r w:rsidRPr="003A2638">
        <w:rPr>
          <w:i/>
        </w:rPr>
        <w:t>APC</w:t>
      </w:r>
      <w:r>
        <w:t xml:space="preserve">; </w:t>
      </w:r>
      <w:proofErr w:type="spellStart"/>
      <w:r>
        <w:t>PacBio</w:t>
      </w:r>
      <w:proofErr w:type="spellEnd"/>
      <w:r>
        <w:t xml:space="preserve">; </w:t>
      </w:r>
      <w:proofErr w:type="spellStart"/>
      <w:r>
        <w:t>RNAseq</w:t>
      </w:r>
      <w:proofErr w:type="spellEnd"/>
    </w:p>
    <w:p w14:paraId="454CC2FB" w14:textId="77777777" w:rsidR="0054637A" w:rsidRDefault="0054637A" w:rsidP="00DD05AD">
      <w:pPr>
        <w:jc w:val="both"/>
        <w:rPr>
          <w:b/>
          <w:sz w:val="26"/>
        </w:rPr>
      </w:pPr>
      <w:r w:rsidRPr="0049721E">
        <w:rPr>
          <w:b/>
          <w:sz w:val="26"/>
        </w:rPr>
        <w:t>Introduction</w:t>
      </w:r>
    </w:p>
    <w:p w14:paraId="2CE0FA8A" w14:textId="77777777" w:rsidR="0054637A" w:rsidRDefault="0054637A" w:rsidP="00DD05AD">
      <w:pPr>
        <w:jc w:val="both"/>
      </w:pPr>
      <w:r>
        <w:t>Genomic inversions are segments of DNA where the sequence is present in the reverse orientation compared with the reference. In human populations, such rearrangements are spread all over the genome and have a wide range of sizes.</w:t>
      </w:r>
      <w:r w:rsidRPr="00B3002C">
        <w:rPr>
          <w:noProof/>
          <w:vertAlign w:val="superscript"/>
        </w:rPr>
        <w:t>1</w:t>
      </w:r>
      <w:r>
        <w:t xml:space="preserve"> A range of complexity is typically seen</w:t>
      </w:r>
      <w:r w:rsidRPr="00053445">
        <w:rPr>
          <w:noProof/>
          <w:vertAlign w:val="superscript"/>
        </w:rPr>
        <w:t>2</w:t>
      </w:r>
      <w:r>
        <w:t xml:space="preserve"> and </w:t>
      </w:r>
      <w:bookmarkStart w:id="0" w:name="_Hlk158330487"/>
      <w:r>
        <w:t>the mutational mechanisms underlying these types of rearrangement are becoming better understood.</w:t>
      </w:r>
      <w:bookmarkEnd w:id="0"/>
      <w:r w:rsidRPr="00053445">
        <w:rPr>
          <w:noProof/>
          <w:vertAlign w:val="superscript"/>
        </w:rPr>
        <w:t>3</w:t>
      </w:r>
      <w:r>
        <w:t xml:space="preserve"> Inversions differ in frequency, ranging from benign common polymorphisms to private </w:t>
      </w:r>
      <w:r w:rsidRPr="00D6051F">
        <w:rPr>
          <w:i/>
        </w:rPr>
        <w:t>de novo</w:t>
      </w:r>
      <w:r>
        <w:t xml:space="preserve"> variants that predispose to disease. Inversions can cause disease through both loss and gain-of-function mechanisms, the latter via creation of gene-fusions or by changing regulatory landscape which can lead to aberrant gene expression. Although inversions can be identified by traditional karyotyping approaches, such methods typically cannot identify rearrangements &lt;10Mb in size. Over the last 20 years, karyotyping has gradually been replaced by copy number variant (CNV</w:t>
      </w:r>
      <w:r w:rsidRPr="008C51C0">
        <w:t xml:space="preserve">) </w:t>
      </w:r>
      <w:r>
        <w:t>analysis using array-based testing, or by m</w:t>
      </w:r>
      <w:r w:rsidRPr="008C51C0">
        <w:t>ultiplex ligation-dependent probe amplification</w:t>
      </w:r>
      <w:r>
        <w:t xml:space="preserve"> </w:t>
      </w:r>
      <w:r w:rsidRPr="008C51C0">
        <w:t>(MLPA</w:t>
      </w:r>
      <w:r>
        <w:t>, Note S1</w:t>
      </w:r>
      <w:r w:rsidRPr="008C51C0">
        <w:t>)</w:t>
      </w:r>
      <w:r>
        <w:t xml:space="preserve">. Initially </w:t>
      </w:r>
      <w:r>
        <w:lastRenderedPageBreak/>
        <w:t>m</w:t>
      </w:r>
      <w:r w:rsidRPr="009470F0">
        <w:t>icroarray</w:t>
      </w:r>
      <w:r>
        <w:t>s</w:t>
      </w:r>
      <w:r w:rsidRPr="009470F0">
        <w:t xml:space="preserve"> </w:t>
      </w:r>
      <w:r>
        <w:t xml:space="preserve">were </w:t>
      </w:r>
      <w:r w:rsidRPr="009470F0">
        <w:t xml:space="preserve">constructed </w:t>
      </w:r>
      <w:r>
        <w:t xml:space="preserve">using </w:t>
      </w:r>
      <w:r w:rsidRPr="009470F0">
        <w:t xml:space="preserve">large insert clones spaced at approximately </w:t>
      </w:r>
      <w:r>
        <w:t>~</w:t>
      </w:r>
      <w:r w:rsidRPr="009470F0">
        <w:t>1Mb</w:t>
      </w:r>
      <w:r>
        <w:t xml:space="preserve"> intervals.</w:t>
      </w:r>
      <w:r w:rsidRPr="00053445">
        <w:rPr>
          <w:noProof/>
          <w:vertAlign w:val="superscript"/>
        </w:rPr>
        <w:t>4</w:t>
      </w:r>
      <w:r>
        <w:t xml:space="preserve"> Gradual improvements in resolution/throughput combined with reductions in cost have meant that array testing has been adopted by the majority of clinical genetics laboratories, often as the first-line genetic test.</w:t>
      </w:r>
      <w:r w:rsidRPr="00053445">
        <w:rPr>
          <w:noProof/>
          <w:vertAlign w:val="superscript"/>
        </w:rPr>
        <w:t>5</w:t>
      </w:r>
      <w:r>
        <w:t xml:space="preserve"> Therefore, whilst the rapid technical progress in array technologies has led to substantial improvements in diagnostic yields (and more generally in our understanding of the role of CNVs in human disease), copy neutral structural variants (SVs) such as inversions, have in comparison been overlooked by clinical testing laboratories. Consequently, the relative importance of inversions and other types of balanced rearrangement remains elusive.</w:t>
      </w:r>
    </w:p>
    <w:p w14:paraId="4DF8546D" w14:textId="285592EC" w:rsidR="0054637A" w:rsidRDefault="0054637A" w:rsidP="00DD05AD">
      <w:pPr>
        <w:jc w:val="both"/>
      </w:pPr>
      <w:r>
        <w:t>The UK’s 100,000 Genomes Project (100kGP) was a large national study that aimed to uncover the genetic basis of disease for individuals with rare disease (RD) and cancer in whom a diagnosis had not been obtained by standard of care testing.</w:t>
      </w:r>
      <w:r w:rsidRPr="00053445">
        <w:rPr>
          <w:noProof/>
          <w:vertAlign w:val="superscript"/>
        </w:rPr>
        <w:t>6; 7</w:t>
      </w:r>
      <w:r>
        <w:t xml:space="preserve"> A secondary aim was to build upon evidence from previous studies</w:t>
      </w:r>
      <w:r w:rsidRPr="00053445">
        <w:rPr>
          <w:noProof/>
          <w:vertAlign w:val="superscript"/>
        </w:rPr>
        <w:t>8</w:t>
      </w:r>
      <w:r>
        <w:t xml:space="preserve"> and demonstrate the feasibility of genome sequencing as part of standard clinical practice within the National Health Service (NHS). More background about the 100kGP is provided in Note S2. The diagnostic yield obtained across 2,183 families with RD in the initial pilot phase of the 100kGP was 25%.</w:t>
      </w:r>
      <w:r w:rsidRPr="00053445">
        <w:rPr>
          <w:noProof/>
          <w:vertAlign w:val="superscript"/>
        </w:rPr>
        <w:t>6</w:t>
      </w:r>
      <w:r>
        <w:t xml:space="preserve"> However, this was only after significant input from the research community, which included the detection of 22 non-coding variants and a total of 40 SVs. Although SV calls from Manta</w:t>
      </w:r>
      <w:r w:rsidRPr="00053445">
        <w:rPr>
          <w:noProof/>
          <w:vertAlign w:val="superscript"/>
        </w:rPr>
        <w:t>9</w:t>
      </w:r>
      <w:r>
        <w:t xml:space="preserve"> (a split-read variant caller) were reviewed, none of the 40 SVs were inversions or complex SVs. For the 4 duplications identified, it was also not reported whether these were direct tandem repeats or whether the additional DNA segments were in another configuration, as is typically seen in ~20%</w:t>
      </w:r>
      <w:r w:rsidR="005F2535">
        <w:t xml:space="preserve"> of cases</w:t>
      </w:r>
      <w:r>
        <w:t>.</w:t>
      </w:r>
      <w:r w:rsidRPr="00053445">
        <w:rPr>
          <w:noProof/>
          <w:vertAlign w:val="superscript"/>
        </w:rPr>
        <w:t>10</w:t>
      </w:r>
      <w:r>
        <w:t xml:space="preserve"> These findings led us to question whether cryptic SVs (such as inversions) are ultra-rare in heterogeneous clinical cohorts such as the RD arm of the 100kGP, or if they are </w:t>
      </w:r>
      <w:r w:rsidR="00635361">
        <w:t xml:space="preserve">overlooked </w:t>
      </w:r>
      <w:r>
        <w:t>due to the SV filtering strategies employed.</w:t>
      </w:r>
    </w:p>
    <w:p w14:paraId="4ACBC0B3" w14:textId="30140531" w:rsidR="0054637A" w:rsidRDefault="0054637A" w:rsidP="00DD05AD">
      <w:pPr>
        <w:jc w:val="both"/>
      </w:pPr>
      <w:r>
        <w:t>Now that genome sequencing is more widespread, case reports describing inversions are becoming increasingly common in the literature.</w:t>
      </w:r>
      <w:r w:rsidRPr="00053445">
        <w:rPr>
          <w:noProof/>
          <w:vertAlign w:val="superscript"/>
        </w:rPr>
        <w:t>11-14</w:t>
      </w:r>
      <w:r>
        <w:t xml:space="preserve"> Larger studies involving pre-selected cohorts (i.e. ascertainment due to the presence of a balanced cytogenetic abnormality) have shown that short-read genome sequencing can find the breakpoints </w:t>
      </w:r>
      <w:r w:rsidR="00635361">
        <w:t xml:space="preserve">for </w:t>
      </w:r>
      <w:r>
        <w:t xml:space="preserve">&gt;90% of </w:t>
      </w:r>
      <w:r w:rsidR="00635361">
        <w:t>individuals</w:t>
      </w:r>
      <w:r>
        <w:t xml:space="preserve">, with direct gene disruption/imbalance playing a likely role in disease </w:t>
      </w:r>
      <w:proofErr w:type="spellStart"/>
      <w:r>
        <w:t>etiology</w:t>
      </w:r>
      <w:proofErr w:type="spellEnd"/>
      <w:r>
        <w:t xml:space="preserve"> for 27%.</w:t>
      </w:r>
      <w:r w:rsidRPr="00053445">
        <w:rPr>
          <w:noProof/>
          <w:vertAlign w:val="superscript"/>
        </w:rPr>
        <w:t>15</w:t>
      </w:r>
      <w:r>
        <w:t xml:space="preserve"> However, to our knowledge there have been only limited systematic analyses performed across large unselected/heterogeneous RD cohorts. Thus, the overall impact of such variants in clinical settings is less certain.</w:t>
      </w:r>
    </w:p>
    <w:p w14:paraId="05AC6A79" w14:textId="77777777" w:rsidR="0054637A" w:rsidRPr="00E3570C" w:rsidRDefault="0054637A" w:rsidP="00DD05AD">
      <w:pPr>
        <w:jc w:val="both"/>
      </w:pPr>
      <w:r>
        <w:t>In an earlier study</w:t>
      </w:r>
      <w:r w:rsidRPr="009C39DA">
        <w:t xml:space="preserve"> </w:t>
      </w:r>
      <w:r>
        <w:t>using data from the main 100kGP programme, we assessed the clinical impact of inversions by focussing on 43 genes linked to autosomal dominant musculoskeletal syndromes.</w:t>
      </w:r>
      <w:r w:rsidRPr="00053445">
        <w:rPr>
          <w:noProof/>
          <w:vertAlign w:val="superscript"/>
        </w:rPr>
        <w:t>16</w:t>
      </w:r>
      <w:r>
        <w:t xml:space="preserve"> Presumed pathogenic inversions were detected in 10 individuals from 3 independent families. The aim of the present study was to extend our analysis to all </w:t>
      </w:r>
      <w:r w:rsidRPr="00FB1E2A">
        <w:t xml:space="preserve">33,924 </w:t>
      </w:r>
      <w:r>
        <w:t>families from the 100kGP and across all RD areas by assessing an established set of genes that cause disease through haploinsufficiency (HI). As well as gaining a better understanding of the overall incidence of this class of variant on human disease, additional aims were to determine how commonly the inverted segments detected were part of more complex structural rearrangements (those that involve &gt;2 breakpoints) and to make recommendations for the interpretation of such changes.</w:t>
      </w:r>
    </w:p>
    <w:p w14:paraId="427D5675" w14:textId="77777777" w:rsidR="0054637A" w:rsidRDefault="0054637A" w:rsidP="00DD05AD">
      <w:pPr>
        <w:jc w:val="both"/>
        <w:rPr>
          <w:b/>
          <w:sz w:val="26"/>
        </w:rPr>
      </w:pPr>
      <w:r>
        <w:rPr>
          <w:b/>
          <w:sz w:val="26"/>
        </w:rPr>
        <w:t>Material</w:t>
      </w:r>
      <w:r w:rsidRPr="0049721E">
        <w:rPr>
          <w:b/>
          <w:sz w:val="26"/>
        </w:rPr>
        <w:t xml:space="preserve"> and Methods</w:t>
      </w:r>
    </w:p>
    <w:p w14:paraId="5D6AB0AD" w14:textId="77777777" w:rsidR="0054637A" w:rsidRDefault="0054637A" w:rsidP="00DD05AD">
      <w:pPr>
        <w:jc w:val="both"/>
      </w:pPr>
      <w:r>
        <w:t>The main clinical analysis pipeline utilised as part of the 100kGP has focussed largely on small variants called by Platypus.</w:t>
      </w:r>
      <w:r w:rsidRPr="00053445">
        <w:rPr>
          <w:noProof/>
          <w:vertAlign w:val="superscript"/>
        </w:rPr>
        <w:t>17</w:t>
      </w:r>
      <w:r>
        <w:t xml:space="preserve"> Variant prioritisation is based on gene-sets derived from PanelApp,</w:t>
      </w:r>
      <w:r w:rsidRPr="00053445">
        <w:rPr>
          <w:noProof/>
          <w:vertAlign w:val="superscript"/>
        </w:rPr>
        <w:t>18</w:t>
      </w:r>
      <w:r>
        <w:t xml:space="preserve"> a tool which uses crowdsourcing to gather </w:t>
      </w:r>
      <w:r w:rsidRPr="00613909">
        <w:t xml:space="preserve">expert knowledge </w:t>
      </w:r>
      <w:r>
        <w:t xml:space="preserve">and </w:t>
      </w:r>
      <w:r w:rsidRPr="00613909">
        <w:t xml:space="preserve">establish </w:t>
      </w:r>
      <w:r>
        <w:t xml:space="preserve">a </w:t>
      </w:r>
      <w:r w:rsidRPr="00613909">
        <w:t xml:space="preserve">consensus </w:t>
      </w:r>
      <w:r>
        <w:t>for high-quality diagnostic gene-</w:t>
      </w:r>
      <w:r w:rsidRPr="00613909">
        <w:t>panels</w:t>
      </w:r>
      <w:r>
        <w:t xml:space="preserve">. For the majority of 100kGP participants, </w:t>
      </w:r>
      <w:r w:rsidRPr="000D3618">
        <w:t xml:space="preserve">DNA was extracted from </w:t>
      </w:r>
      <w:r>
        <w:t xml:space="preserve">EDTA </w:t>
      </w:r>
      <w:r w:rsidRPr="000D3618">
        <w:t>blood</w:t>
      </w:r>
      <w:r>
        <w:t>. L</w:t>
      </w:r>
      <w:r w:rsidRPr="000D3618">
        <w:t xml:space="preserve">ibrary preparation </w:t>
      </w:r>
      <w:r>
        <w:t xml:space="preserve">used the </w:t>
      </w:r>
      <w:proofErr w:type="spellStart"/>
      <w:r w:rsidRPr="000D3618">
        <w:t>TruSeq</w:t>
      </w:r>
      <w:proofErr w:type="spellEnd"/>
      <w:r w:rsidRPr="000D3618">
        <w:t xml:space="preserve"> PCR-free high throughput </w:t>
      </w:r>
      <w:r>
        <w:t xml:space="preserve">kit and sequencing was performed using </w:t>
      </w:r>
      <w:r w:rsidRPr="000D3618">
        <w:t>150bp paired-read</w:t>
      </w:r>
      <w:r>
        <w:t>s</w:t>
      </w:r>
      <w:r w:rsidRPr="000D3618">
        <w:t xml:space="preserve"> on a </w:t>
      </w:r>
      <w:proofErr w:type="spellStart"/>
      <w:r w:rsidRPr="000D3618">
        <w:t>HiSeqX</w:t>
      </w:r>
      <w:proofErr w:type="spellEnd"/>
      <w:r w:rsidRPr="000D3618">
        <w:t xml:space="preserve"> machine (Illumina).</w:t>
      </w:r>
      <w:r w:rsidRPr="00F94486">
        <w:t xml:space="preserve"> </w:t>
      </w:r>
      <w:r w:rsidRPr="000D3618">
        <w:t xml:space="preserve">SVs were called using </w:t>
      </w:r>
      <w:r>
        <w:t>both Canvas</w:t>
      </w:r>
      <w:r w:rsidRPr="000D3618">
        <w:t xml:space="preserve"> </w:t>
      </w:r>
      <w:r>
        <w:t>v1.3.1</w:t>
      </w:r>
      <w:r w:rsidRPr="00053445">
        <w:rPr>
          <w:noProof/>
          <w:vertAlign w:val="superscript"/>
        </w:rPr>
        <w:t>19</w:t>
      </w:r>
      <w:r>
        <w:t xml:space="preserve"> </w:t>
      </w:r>
      <w:r w:rsidRPr="000D3618">
        <w:t xml:space="preserve">and </w:t>
      </w:r>
      <w:r>
        <w:t>Manta</w:t>
      </w:r>
      <w:r w:rsidRPr="000D3618">
        <w:t xml:space="preserve"> </w:t>
      </w:r>
      <w:r>
        <w:lastRenderedPageBreak/>
        <w:t>v</w:t>
      </w:r>
      <w:r w:rsidRPr="00C813B5">
        <w:t>0.28.0</w:t>
      </w:r>
      <w:r w:rsidRPr="00053445">
        <w:rPr>
          <w:noProof/>
          <w:vertAlign w:val="superscript"/>
        </w:rPr>
        <w:t>9</w:t>
      </w:r>
      <w:r>
        <w:t xml:space="preserve"> </w:t>
      </w:r>
      <w:r w:rsidRPr="000D3618">
        <w:t xml:space="preserve">and combined into a single </w:t>
      </w:r>
      <w:r>
        <w:t xml:space="preserve">structural </w:t>
      </w:r>
      <w:proofErr w:type="spellStart"/>
      <w:r w:rsidRPr="000D3618">
        <w:t>vcf</w:t>
      </w:r>
      <w:proofErr w:type="spellEnd"/>
      <w:r w:rsidRPr="000D3618">
        <w:t xml:space="preserve"> file</w:t>
      </w:r>
      <w:r>
        <w:t>. As Canvas only detects CNVs, Manta calls were utilised for the present study. Genomic data available for the 100kGP cohort comprise a mix of genome builds (GRCh37 and GRCh38). For the inversion-positive individuals identified in the present study, 12/47 were originally analysed on</w:t>
      </w:r>
      <w:r w:rsidRPr="001D4C4C">
        <w:t xml:space="preserve"> </w:t>
      </w:r>
      <w:r>
        <w:t>GRCh37.</w:t>
      </w:r>
    </w:p>
    <w:p w14:paraId="6108C572" w14:textId="77777777" w:rsidR="0054637A" w:rsidRDefault="0054637A" w:rsidP="00DD05AD">
      <w:pPr>
        <w:jc w:val="both"/>
      </w:pPr>
      <w:r w:rsidRPr="0002097D">
        <w:t>In order to prioritise SV calls from the 100kGP, we used SVRare</w:t>
      </w:r>
      <w:r w:rsidRPr="00053445">
        <w:rPr>
          <w:noProof/>
          <w:vertAlign w:val="superscript"/>
        </w:rPr>
        <w:t>20</w:t>
      </w:r>
      <w:r w:rsidRPr="0002097D">
        <w:t xml:space="preserve"> (Web resources) and a MySQL database that hosted 554,060,126 SVs from 71,408 participants across 33,924 families with RD.</w:t>
      </w:r>
      <w:r>
        <w:t xml:space="preserve"> Coordinates for the SVs called on the GRCh37 subset of genomes were converted to GRCh38 using the </w:t>
      </w:r>
      <w:proofErr w:type="spellStart"/>
      <w:r>
        <w:t>LiftOver</w:t>
      </w:r>
      <w:proofErr w:type="spellEnd"/>
      <w:r>
        <w:t xml:space="preserve"> tool (Web resources). Clustering the SV calls using an overlap threshold set to 80% allowed us to filter for ultra-rare inversion calls detected by Manta. Large multiplex families are uncommon in the 100kGP and so we prioritised variants observed with an apparent allele count of 5 or less.</w:t>
      </w:r>
    </w:p>
    <w:p w14:paraId="288B9622" w14:textId="77777777" w:rsidR="0054637A" w:rsidRDefault="0054637A" w:rsidP="00DD05AD">
      <w:pPr>
        <w:jc w:val="both"/>
      </w:pPr>
      <w:r>
        <w:t>Rare inversions were filtered for those likely to disrupt a set of 351 genes for which HI is a well-established disease mechanism. This gene set was taken f</w:t>
      </w:r>
      <w:r w:rsidRPr="00B908B8">
        <w:t>rom the NIH funded Clini</w:t>
      </w:r>
      <w:r>
        <w:t>cal Genome Res</w:t>
      </w:r>
      <w:r w:rsidRPr="00B908B8">
        <w:t>ou</w:t>
      </w:r>
      <w:r>
        <w:t>r</w:t>
      </w:r>
      <w:r w:rsidRPr="00B908B8">
        <w:t>ce (</w:t>
      </w:r>
      <w:r>
        <w:t>HI=3 genes, downloaded November 2022; Table S1 and Web resources</w:t>
      </w:r>
      <w:r w:rsidRPr="00B908B8">
        <w:t>)</w:t>
      </w:r>
      <w:r>
        <w:t xml:space="preserve">. At least one breakpoint had to lie within the gene region. Where both breakpoints lay inside the same gene, the inversion call had to span at least one coding exon, such that the SV would likely disrupt gene-function. Larger inversions that invert a HI gene, but leave it fully intact, were deprioritised. GRCh38 gene coordinates were based on ENSEMBL release v105. For higher confidence, we utilised </w:t>
      </w:r>
      <w:r w:rsidRPr="00E9204F">
        <w:t>“</w:t>
      </w:r>
      <w:proofErr w:type="spellStart"/>
      <w:r w:rsidRPr="00E9204F">
        <w:t>PairSupport</w:t>
      </w:r>
      <w:proofErr w:type="spellEnd"/>
      <w:r w:rsidRPr="00E9204F">
        <w:t>”</w:t>
      </w:r>
      <w:r>
        <w:t xml:space="preserve"> information available from the Manta output. One additional inversion was ascertained due to an unusual pattern of clustering for a filtered set of “TIERED” single nucleotide variants (SNVs).</w:t>
      </w:r>
    </w:p>
    <w:p w14:paraId="0E0B6986" w14:textId="29EB25C8" w:rsidR="0054637A" w:rsidRDefault="0054637A" w:rsidP="00DD05AD">
      <w:pPr>
        <w:jc w:val="both"/>
      </w:pPr>
      <w:r>
        <w:t xml:space="preserve">Detailed manual review of around 250 bioinformatically filtered inversions involved: </w:t>
      </w:r>
      <w:proofErr w:type="spellStart"/>
      <w:r>
        <w:t>i</w:t>
      </w:r>
      <w:proofErr w:type="spellEnd"/>
      <w:r>
        <w:t xml:space="preserve">) assessing whether the submitted diagnosis and associated HPO terms for the 100kGP participant were consistent with what was known about the disorder, based on OMIM and information from the </w:t>
      </w:r>
      <w:r w:rsidRPr="004B3274">
        <w:t>Clinical Genome Resource</w:t>
      </w:r>
      <w:r>
        <w:t>, ii) visually reviewing 150bp read alignments at the locus of interest using the Integrative Genome Viewer (IGV)</w:t>
      </w:r>
      <w:r w:rsidRPr="00053445">
        <w:rPr>
          <w:noProof/>
          <w:vertAlign w:val="superscript"/>
        </w:rPr>
        <w:t>21</w:t>
      </w:r>
      <w:r>
        <w:t xml:space="preserve"> to determine whether the SV was likely genuine and how likely it was to disrupt gene function (especially for complex SVs), iii) assessing the mode of inheritance for probands where data for other family members were available and iv) using the TIERING table (a list of prioritised small variants based on inheritance, population allele frequency, predicted consequence and whether the gene in question is in the gene-panel linked to the participant’s condition) and exit questionnaire data (a table containing summaries of clinical laboratories’ final interpretation of the reported variant) to determine whether the </w:t>
      </w:r>
      <w:r w:rsidR="00635361">
        <w:t xml:space="preserve">genetic cause for the participant’s condition </w:t>
      </w:r>
      <w:r>
        <w:t xml:space="preserve">had already been </w:t>
      </w:r>
      <w:r w:rsidR="00635361">
        <w:t>uncovered</w:t>
      </w:r>
      <w:r>
        <w:t>.</w:t>
      </w:r>
    </w:p>
    <w:p w14:paraId="66DC04FB" w14:textId="77777777" w:rsidR="0054637A" w:rsidRPr="000D3618" w:rsidRDefault="0054637A" w:rsidP="00DD05AD">
      <w:pPr>
        <w:jc w:val="both"/>
      </w:pPr>
      <w:r>
        <w:t xml:space="preserve">Following manual review, all positive findings went through an internal review process at Genomics England and approved submissions were then entered into the “Diagnostic Discovery” pathway for feedback of the result to one of seven Genomic Laboratory Hubs (GLHs) for clinical assessment, validation and onward reporting. A summary </w:t>
      </w:r>
      <w:r w:rsidRPr="006F1BBC">
        <w:t xml:space="preserve">of </w:t>
      </w:r>
      <w:r>
        <w:t xml:space="preserve">the </w:t>
      </w:r>
      <w:r w:rsidRPr="006F1BBC">
        <w:t xml:space="preserve">clinical tiering and </w:t>
      </w:r>
      <w:r>
        <w:t xml:space="preserve">the clinical triage process for </w:t>
      </w:r>
      <w:r w:rsidRPr="006F1BBC">
        <w:t>researcher identified variant</w:t>
      </w:r>
      <w:r>
        <w:t>s</w:t>
      </w:r>
      <w:r w:rsidRPr="006F1BBC">
        <w:t xml:space="preserve"> </w:t>
      </w:r>
      <w:r>
        <w:t>has been described previously.</w:t>
      </w:r>
      <w:r w:rsidRPr="00053445">
        <w:rPr>
          <w:noProof/>
          <w:vertAlign w:val="superscript"/>
        </w:rPr>
        <w:t>16</w:t>
      </w:r>
      <w:r>
        <w:t xml:space="preserve"> Data analysis was performed inside the Genomics England’s research environment, a secure v</w:t>
      </w:r>
      <w:r w:rsidRPr="00A65029">
        <w:t xml:space="preserve">irtual desktop environment </w:t>
      </w:r>
      <w:r>
        <w:t xml:space="preserve">that hosts </w:t>
      </w:r>
      <w:r w:rsidRPr="00A65029">
        <w:t>up-to-date genomic and clinical data</w:t>
      </w:r>
      <w:r>
        <w:t>.</w:t>
      </w:r>
    </w:p>
    <w:p w14:paraId="21B80014" w14:textId="77777777" w:rsidR="0054637A" w:rsidRPr="00B6063F" w:rsidRDefault="0054637A" w:rsidP="00DD05AD">
      <w:pPr>
        <w:jc w:val="both"/>
        <w:rPr>
          <w:b/>
        </w:rPr>
      </w:pPr>
      <w:r w:rsidRPr="00CE7DFF">
        <w:rPr>
          <w:b/>
        </w:rPr>
        <w:t>Long</w:t>
      </w:r>
      <w:r>
        <w:rPr>
          <w:b/>
        </w:rPr>
        <w:t>-</w:t>
      </w:r>
      <w:r w:rsidRPr="00CE7DFF">
        <w:rPr>
          <w:b/>
        </w:rPr>
        <w:t>read sequencing</w:t>
      </w:r>
    </w:p>
    <w:p w14:paraId="2AE7D283" w14:textId="77777777" w:rsidR="0054637A" w:rsidRDefault="0054637A" w:rsidP="00DD05AD">
      <w:pPr>
        <w:jc w:val="both"/>
      </w:pPr>
      <w:r>
        <w:t xml:space="preserve">Release 17 of the 100kGP data contains </w:t>
      </w:r>
      <w:r w:rsidRPr="005476D4">
        <w:t xml:space="preserve">Pacific Biosciences (PacBio) </w:t>
      </w:r>
      <w:r>
        <w:t xml:space="preserve">genome sequencing data for 91 participants from the RD arm of the project as an </w:t>
      </w:r>
      <w:r w:rsidRPr="005476D4">
        <w:t xml:space="preserve">example dataset to </w:t>
      </w:r>
      <w:r>
        <w:t xml:space="preserve">help </w:t>
      </w:r>
      <w:r w:rsidRPr="005476D4">
        <w:t xml:space="preserve">demonstrate the utility of HiFi technology. </w:t>
      </w:r>
      <w:r>
        <w:t xml:space="preserve">A subset of these 91 participants had been proposed for inclusion due to the presence of a complex SV, especially those </w:t>
      </w:r>
      <w:r w:rsidRPr="009E1478">
        <w:rPr>
          <w:rFonts w:cstheme="minorHAnsi"/>
        </w:rPr>
        <w:t>involv</w:t>
      </w:r>
      <w:r>
        <w:rPr>
          <w:rFonts w:cstheme="minorHAnsi"/>
        </w:rPr>
        <w:t>ing</w:t>
      </w:r>
      <w:r w:rsidRPr="009E1478">
        <w:rPr>
          <w:rFonts w:cstheme="minorHAnsi"/>
        </w:rPr>
        <w:t xml:space="preserve"> duplicat</w:t>
      </w:r>
      <w:r>
        <w:rPr>
          <w:rFonts w:cstheme="minorHAnsi"/>
        </w:rPr>
        <w:t>ed</w:t>
      </w:r>
      <w:r w:rsidRPr="009E1478">
        <w:rPr>
          <w:rFonts w:cstheme="minorHAnsi"/>
        </w:rPr>
        <w:t xml:space="preserve"> segments </w:t>
      </w:r>
      <w:r>
        <w:rPr>
          <w:rFonts w:cstheme="minorHAnsi"/>
        </w:rPr>
        <w:t>and consequently ambiguous based on short-</w:t>
      </w:r>
      <w:r w:rsidRPr="009E1478">
        <w:rPr>
          <w:rFonts w:cstheme="minorHAnsi"/>
        </w:rPr>
        <w:t>read genome sequencing data</w:t>
      </w:r>
      <w:r>
        <w:t xml:space="preserve">. Thus, in the PacBio pilot data release, 9/91 individuals were </w:t>
      </w:r>
      <w:r>
        <w:lastRenderedPageBreak/>
        <w:t xml:space="preserve">identified as part of the present study. Long-read sequencing was performed on the </w:t>
      </w:r>
      <w:r w:rsidRPr="00014AB7">
        <w:t xml:space="preserve">Sequel </w:t>
      </w:r>
      <w:proofErr w:type="spellStart"/>
      <w:r w:rsidRPr="00014AB7">
        <w:t>IIe</w:t>
      </w:r>
      <w:proofErr w:type="spellEnd"/>
      <w:r w:rsidRPr="00014AB7">
        <w:t xml:space="preserve"> system</w:t>
      </w:r>
      <w:r>
        <w:t xml:space="preserve"> (</w:t>
      </w:r>
      <w:r w:rsidRPr="00EB4214">
        <w:t xml:space="preserve">2-4 </w:t>
      </w:r>
      <w:r>
        <w:t>SMRT</w:t>
      </w:r>
      <w:r w:rsidRPr="00EB4214">
        <w:t xml:space="preserve"> cells per sample</w:t>
      </w:r>
      <w:r>
        <w:t>). Data analysis was performed by PacBio using a pipeline that utilised pbmm2 v1.9.0 for aligning reads to</w:t>
      </w:r>
      <w:r w:rsidRPr="00F51D6A">
        <w:t xml:space="preserve"> </w:t>
      </w:r>
      <w:r>
        <w:t xml:space="preserve">GRCh38, </w:t>
      </w:r>
      <w:proofErr w:type="spellStart"/>
      <w:r>
        <w:t>pbsv</w:t>
      </w:r>
      <w:proofErr w:type="spellEnd"/>
      <w:r>
        <w:t xml:space="preserve"> v2.8.0 for SV calling and </w:t>
      </w:r>
      <w:proofErr w:type="spellStart"/>
      <w:r>
        <w:t>DeepVariant</w:t>
      </w:r>
      <w:proofErr w:type="spellEnd"/>
      <w:r>
        <w:t xml:space="preserve"> v1.4 for small variant calling. </w:t>
      </w:r>
      <w:proofErr w:type="spellStart"/>
      <w:r>
        <w:t>GLnexus</w:t>
      </w:r>
      <w:proofErr w:type="spellEnd"/>
      <w:r>
        <w:t xml:space="preserve"> v1.4.1 was used for joint calling. P</w:t>
      </w:r>
      <w:r w:rsidRPr="005476D4">
        <w:t xml:space="preserve">hasing </w:t>
      </w:r>
      <w:r>
        <w:t>wa</w:t>
      </w:r>
      <w:r w:rsidRPr="005476D4">
        <w:t xml:space="preserve">s based on </w:t>
      </w:r>
      <w:r>
        <w:t xml:space="preserve">SNVs </w:t>
      </w:r>
      <w:r w:rsidRPr="005476D4">
        <w:t xml:space="preserve">in reads rather than </w:t>
      </w:r>
      <w:r>
        <w:t>by inheritance</w:t>
      </w:r>
      <w:r w:rsidRPr="005476D4">
        <w:t xml:space="preserve">. </w:t>
      </w:r>
      <w:r>
        <w:t xml:space="preserve">The </w:t>
      </w:r>
      <w:r w:rsidRPr="005476D4">
        <w:t xml:space="preserve">reads that contain these variants </w:t>
      </w:r>
      <w:r>
        <w:t>we</w:t>
      </w:r>
      <w:r w:rsidRPr="005476D4">
        <w:t xml:space="preserve">re classified into haplotype group 1 or 2 based on the occurrence of shared variants by </w:t>
      </w:r>
      <w:proofErr w:type="spellStart"/>
      <w:r>
        <w:t>WhatsHap</w:t>
      </w:r>
      <w:proofErr w:type="spellEnd"/>
      <w:r>
        <w:t xml:space="preserve"> v1.0</w:t>
      </w:r>
      <w:r w:rsidRPr="005476D4">
        <w:t>.</w:t>
      </w:r>
      <w:r w:rsidRPr="00053445">
        <w:rPr>
          <w:noProof/>
          <w:vertAlign w:val="superscript"/>
        </w:rPr>
        <w:t>22</w:t>
      </w:r>
      <w:r>
        <w:t xml:space="preserve"> Specific long-read sequences from the locus of interest were compared to the GRCh38 reference with FlexiDot</w:t>
      </w:r>
      <w:r w:rsidRPr="00053445">
        <w:rPr>
          <w:noProof/>
          <w:vertAlign w:val="superscript"/>
        </w:rPr>
        <w:t>23</w:t>
      </w:r>
      <w:r>
        <w:t xml:space="preserve"> using the settings </w:t>
      </w:r>
      <w:proofErr w:type="spellStart"/>
      <w:r>
        <w:rPr>
          <w:rFonts w:ascii="Calibri" w:hAnsi="Calibri" w:cs="Calibri"/>
          <w:color w:val="000000"/>
          <w:shd w:val="clear" w:color="auto" w:fill="FFFFFF"/>
        </w:rPr>
        <w:t>wordsize</w:t>
      </w:r>
      <w:proofErr w:type="spellEnd"/>
      <w:r>
        <w:rPr>
          <w:rFonts w:ascii="Calibri" w:hAnsi="Calibri" w:cs="Calibri"/>
          <w:color w:val="000000"/>
          <w:shd w:val="clear" w:color="auto" w:fill="FFFFFF"/>
        </w:rPr>
        <w:t>=50 and --</w:t>
      </w:r>
      <w:proofErr w:type="spellStart"/>
      <w:r>
        <w:rPr>
          <w:rFonts w:ascii="Calibri" w:hAnsi="Calibri" w:cs="Calibri"/>
          <w:color w:val="000000"/>
          <w:shd w:val="clear" w:color="auto" w:fill="FFFFFF"/>
        </w:rPr>
        <w:t>plotting_mode</w:t>
      </w:r>
      <w:proofErr w:type="spellEnd"/>
      <w:r>
        <w:rPr>
          <w:rFonts w:ascii="Calibri" w:hAnsi="Calibri" w:cs="Calibri"/>
          <w:color w:val="000000"/>
          <w:shd w:val="clear" w:color="auto" w:fill="FFFFFF"/>
        </w:rPr>
        <w:t>=1</w:t>
      </w:r>
      <w:r>
        <w:t>.</w:t>
      </w:r>
    </w:p>
    <w:p w14:paraId="1A83BDDD" w14:textId="77777777" w:rsidR="0054637A" w:rsidRDefault="0054637A" w:rsidP="00DD05AD">
      <w:pPr>
        <w:jc w:val="both"/>
        <w:rPr>
          <w:b/>
        </w:rPr>
      </w:pPr>
      <w:r>
        <w:rPr>
          <w:b/>
        </w:rPr>
        <w:t>Transcriptomics</w:t>
      </w:r>
    </w:p>
    <w:p w14:paraId="4B178BB2" w14:textId="77777777" w:rsidR="0054637A" w:rsidRDefault="0054637A" w:rsidP="00DD05AD">
      <w:pPr>
        <w:jc w:val="both"/>
      </w:pPr>
      <w:r w:rsidRPr="00273D88">
        <w:t xml:space="preserve">For a subset of individuals entered into the </w:t>
      </w:r>
      <w:r>
        <w:t>RD</w:t>
      </w:r>
      <w:r w:rsidRPr="00273D88">
        <w:t xml:space="preserve"> domain of </w:t>
      </w:r>
      <w:r>
        <w:t xml:space="preserve">the </w:t>
      </w:r>
      <w:r w:rsidRPr="00273D88">
        <w:t xml:space="preserve">100kGP, RNA was collected at the time of recruitment </w:t>
      </w:r>
      <w:r>
        <w:t>using</w:t>
      </w:r>
      <w:r w:rsidRPr="00273D88">
        <w:t xml:space="preserve"> </w:t>
      </w:r>
      <w:proofErr w:type="spellStart"/>
      <w:r w:rsidRPr="00273D88">
        <w:t>PaxGene</w:t>
      </w:r>
      <w:proofErr w:type="spellEnd"/>
      <w:r w:rsidRPr="00273D88">
        <w:t xml:space="preserve"> blood tubes. </w:t>
      </w:r>
      <w:r>
        <w:t xml:space="preserve">For individuals that remained unsolved, </w:t>
      </w:r>
      <w:proofErr w:type="spellStart"/>
      <w:r>
        <w:t>RNAseq</w:t>
      </w:r>
      <w:proofErr w:type="spellEnd"/>
      <w:r>
        <w:t xml:space="preserve"> was performed. </w:t>
      </w:r>
      <w:r w:rsidRPr="00273D88">
        <w:t>Following a standard RNA extraction procedure, whole blood RNA samples were depleted for rRNA and globin. Samples were sequenced by Illumina using 100bp pair</w:t>
      </w:r>
      <w:r>
        <w:t>ed-end reads, with a mean of 109</w:t>
      </w:r>
      <w:r w:rsidRPr="00273D88">
        <w:t xml:space="preserve">M mapped </w:t>
      </w:r>
      <w:proofErr w:type="spellStart"/>
      <w:r>
        <w:t>RNAseq</w:t>
      </w:r>
      <w:proofErr w:type="spellEnd"/>
      <w:r>
        <w:t xml:space="preserve"> </w:t>
      </w:r>
      <w:r w:rsidRPr="00273D88">
        <w:t xml:space="preserve">reads per individual. </w:t>
      </w:r>
      <w:r w:rsidRPr="00050A7C">
        <w:t>Alignment and transcript quantification were performed u</w:t>
      </w:r>
      <w:r>
        <w:t>sing Illumina’s DRAGEN pipeline</w:t>
      </w:r>
      <w:r w:rsidRPr="00890D2F">
        <w:t xml:space="preserve"> </w:t>
      </w:r>
      <w:r>
        <w:t>(v3.8.4)</w:t>
      </w:r>
      <w:r w:rsidRPr="00050A7C">
        <w:t xml:space="preserve">. </w:t>
      </w:r>
      <w:r w:rsidRPr="00273D88">
        <w:t xml:space="preserve">Expression outlier analysis was </w:t>
      </w:r>
      <w:r>
        <w:t>performed using OUTRIDER</w:t>
      </w:r>
      <w:r w:rsidRPr="00053445">
        <w:rPr>
          <w:noProof/>
          <w:vertAlign w:val="superscript"/>
        </w:rPr>
        <w:t>24</w:t>
      </w:r>
      <w:r>
        <w:t>,</w:t>
      </w:r>
      <w:r w:rsidRPr="00273D88">
        <w:t xml:space="preserve"> </w:t>
      </w:r>
      <w:r>
        <w:t xml:space="preserve">which was </w:t>
      </w:r>
      <w:r w:rsidRPr="00273D88">
        <w:t>run via the</w:t>
      </w:r>
      <w:r>
        <w:t xml:space="preserve"> DROP pipeline v1.3.3</w:t>
      </w:r>
      <w:r w:rsidRPr="00053445">
        <w:rPr>
          <w:noProof/>
          <w:vertAlign w:val="superscript"/>
        </w:rPr>
        <w:t>25</w:t>
      </w:r>
      <w:r>
        <w:t xml:space="preserve"> </w:t>
      </w:r>
      <w:r w:rsidRPr="00273D88">
        <w:t xml:space="preserve">using default settings in batches of 500 individuals. </w:t>
      </w:r>
      <w:r>
        <w:t xml:space="preserve">By chance, the </w:t>
      </w:r>
      <w:r w:rsidRPr="00273D88">
        <w:t>proband</w:t>
      </w:r>
      <w:r>
        <w:t xml:space="preserve">s from several families harbouring inversions reported here had been included in </w:t>
      </w:r>
      <w:r w:rsidRPr="00273D88">
        <w:t xml:space="preserve">this </w:t>
      </w:r>
      <w:proofErr w:type="spellStart"/>
      <w:r>
        <w:t>RNAseq</w:t>
      </w:r>
      <w:proofErr w:type="spellEnd"/>
      <w:r>
        <w:t xml:space="preserve"> </w:t>
      </w:r>
      <w:r w:rsidRPr="00273D88">
        <w:t xml:space="preserve">cohort, allowing us to assess whether the observed </w:t>
      </w:r>
      <w:r>
        <w:t xml:space="preserve">SVs </w:t>
      </w:r>
      <w:r w:rsidRPr="00273D88">
        <w:t>impacted gene expression.</w:t>
      </w:r>
    </w:p>
    <w:p w14:paraId="6156FF48" w14:textId="77777777" w:rsidR="0054637A" w:rsidRPr="002A3646" w:rsidRDefault="0054637A" w:rsidP="00DD05AD">
      <w:pPr>
        <w:jc w:val="both"/>
        <w:rPr>
          <w:b/>
        </w:rPr>
      </w:pPr>
      <w:r>
        <w:rPr>
          <w:b/>
        </w:rPr>
        <w:t xml:space="preserve">Haplotype sharing </w:t>
      </w:r>
      <w:r w:rsidRPr="002A3646">
        <w:rPr>
          <w:b/>
        </w:rPr>
        <w:t xml:space="preserve">analysis </w:t>
      </w:r>
      <w:r>
        <w:rPr>
          <w:b/>
        </w:rPr>
        <w:t>and mutation age estimation</w:t>
      </w:r>
    </w:p>
    <w:p w14:paraId="618C6244" w14:textId="77777777" w:rsidR="0054637A" w:rsidRDefault="0054637A" w:rsidP="00DD05AD">
      <w:pPr>
        <w:jc w:val="both"/>
      </w:pPr>
      <w:r>
        <w:t xml:space="preserve">Locus-specific joint variant calling was performed </w:t>
      </w:r>
      <w:r w:rsidRPr="00A66F5C">
        <w:t xml:space="preserve">using Platypus v0.7.9.5 and the GRCh38 reference. Default settings were employed, except for </w:t>
      </w:r>
      <w:proofErr w:type="spellStart"/>
      <w:r w:rsidRPr="00A66F5C">
        <w:t>minFlank</w:t>
      </w:r>
      <w:proofErr w:type="spellEnd"/>
      <w:r w:rsidRPr="00A66F5C">
        <w:t>=0. We filtered for PASS variants, removed indels and then calculated the absolute difference in B allele frequency (i.e. number of reads</w:t>
      </w:r>
      <w:r>
        <w:t xml:space="preserve"> containing variant divided by number of reads covering variant). These values were plotted against genomic position using the </w:t>
      </w:r>
      <w:proofErr w:type="spellStart"/>
      <w:r>
        <w:t>ggplot</w:t>
      </w:r>
      <w:proofErr w:type="spellEnd"/>
      <w:r>
        <w:t xml:space="preserve"> package</w:t>
      </w:r>
      <w:r w:rsidRPr="00053445">
        <w:rPr>
          <w:noProof/>
          <w:vertAlign w:val="superscript"/>
        </w:rPr>
        <w:t>26</w:t>
      </w:r>
      <w:r>
        <w:t xml:space="preserve"> in R (Web resources), in order to identify regions where there was an absence of conflicting homozygosity. SNPs flanking the shared haplotype were assessed in IGV. Coordinates of the shared haplotype were converted to hg19 using the </w:t>
      </w:r>
      <w:proofErr w:type="spellStart"/>
      <w:r>
        <w:t>LiftOver</w:t>
      </w:r>
      <w:proofErr w:type="spellEnd"/>
      <w:r>
        <w:t xml:space="preserve"> tool and then run on the R Shiny app “Genetic Mutation Age Estimator”. This is a widely-used online tool which </w:t>
      </w:r>
      <w:r w:rsidRPr="00F138BD">
        <w:t xml:space="preserve">can be reliably applied to small </w:t>
      </w:r>
      <w:r>
        <w:t>numbers</w:t>
      </w:r>
      <w:r w:rsidRPr="00404116">
        <w:t xml:space="preserve"> </w:t>
      </w:r>
      <w:r>
        <w:t xml:space="preserve">of </w:t>
      </w:r>
      <w:r w:rsidRPr="00F138BD">
        <w:t>sample</w:t>
      </w:r>
      <w:r>
        <w:t xml:space="preserve">s and uses a </w:t>
      </w:r>
      <w:r w:rsidRPr="00F138BD">
        <w:t>method for estimating the age of a mutation based on the genetic length of ancestral haplotypes shared between individuals carrying the mutatio</w:t>
      </w:r>
      <w:r>
        <w:t>n.</w:t>
      </w:r>
      <w:r w:rsidRPr="00053445">
        <w:rPr>
          <w:noProof/>
          <w:vertAlign w:val="superscript"/>
        </w:rPr>
        <w:t>27-29</w:t>
      </w:r>
    </w:p>
    <w:p w14:paraId="61A2C73B" w14:textId="77777777" w:rsidR="0054637A" w:rsidRDefault="0054637A" w:rsidP="00DD05AD">
      <w:pPr>
        <w:jc w:val="both"/>
        <w:rPr>
          <w:b/>
        </w:rPr>
      </w:pPr>
      <w:r>
        <w:rPr>
          <w:b/>
        </w:rPr>
        <w:t>Ethics declaration</w:t>
      </w:r>
    </w:p>
    <w:p w14:paraId="3CC21E4A" w14:textId="77777777" w:rsidR="0054637A" w:rsidRPr="00CA234D" w:rsidRDefault="0054637A" w:rsidP="00DD05AD">
      <w:pPr>
        <w:jc w:val="both"/>
      </w:pPr>
      <w:r w:rsidRPr="00CA234D">
        <w:t>Ethics approval for 100</w:t>
      </w:r>
      <w:r>
        <w:t>k</w:t>
      </w:r>
      <w:r w:rsidRPr="00CA234D">
        <w:t>GP was from Cambridge South REC (14/EE/1112)</w:t>
      </w:r>
      <w:r>
        <w:t xml:space="preserve"> and consent included a statement that </w:t>
      </w:r>
      <w:r w:rsidRPr="00315740">
        <w:t>“</w:t>
      </w:r>
      <w:r>
        <w:t>m</w:t>
      </w:r>
      <w:r w:rsidRPr="00315740">
        <w:t>y samples can be used for collecting DNA for whole genome sequencing”</w:t>
      </w:r>
      <w:r>
        <w:t xml:space="preserve">. Approval for ongoing </w:t>
      </w:r>
      <w:r w:rsidRPr="00C473E9">
        <w:t xml:space="preserve">PacBio </w:t>
      </w:r>
      <w:r>
        <w:t xml:space="preserve">studies on Family 40 was </w:t>
      </w:r>
      <w:r w:rsidRPr="00C473E9">
        <w:t>from the North West 7–Greater Manchester Central Research Ethics Committee (10/H1008/74).</w:t>
      </w:r>
    </w:p>
    <w:p w14:paraId="7E10E062" w14:textId="77777777" w:rsidR="0054637A" w:rsidRDefault="0054637A" w:rsidP="00DD05AD">
      <w:pPr>
        <w:jc w:val="both"/>
        <w:rPr>
          <w:b/>
          <w:sz w:val="26"/>
        </w:rPr>
      </w:pPr>
      <w:r w:rsidRPr="0049721E">
        <w:rPr>
          <w:b/>
          <w:sz w:val="26"/>
        </w:rPr>
        <w:t>Results</w:t>
      </w:r>
    </w:p>
    <w:p w14:paraId="687D1832" w14:textId="77777777" w:rsidR="0054637A" w:rsidRDefault="0054637A" w:rsidP="00DD05AD">
      <w:pPr>
        <w:jc w:val="both"/>
        <w:rPr>
          <w:b/>
          <w:i/>
        </w:rPr>
      </w:pPr>
      <w:r w:rsidRPr="005B1BC7">
        <w:rPr>
          <w:b/>
          <w:i/>
        </w:rPr>
        <w:t>Overall results summary</w:t>
      </w:r>
    </w:p>
    <w:p w14:paraId="2216151A" w14:textId="77777777" w:rsidR="0054637A" w:rsidRDefault="0054637A" w:rsidP="00DD05AD">
      <w:pPr>
        <w:jc w:val="both"/>
      </w:pPr>
      <w:r>
        <w:t xml:space="preserve">A total of 62 affected individuals from 47 independent families harbouring 46 different SVs were detected on account of a </w:t>
      </w:r>
      <w:proofErr w:type="spellStart"/>
      <w:r>
        <w:t>MantaINV</w:t>
      </w:r>
      <w:proofErr w:type="spellEnd"/>
      <w:r>
        <w:t xml:space="preserve"> call (Table S2). For all these variants “Researcher identified potential diagnosis” forms were submitted to be considered for entry to the diagnostic discovery pathway. Requests to contact the recruiting clinicians were made concurrently. Overall, six genes were </w:t>
      </w:r>
      <w:r>
        <w:lastRenderedPageBreak/>
        <w:t>hit twice and these included:</w:t>
      </w:r>
      <w:r w:rsidRPr="00C051C5">
        <w:rPr>
          <w:i/>
        </w:rPr>
        <w:t xml:space="preserve"> </w:t>
      </w:r>
      <w:r w:rsidRPr="00D4084F">
        <w:rPr>
          <w:i/>
        </w:rPr>
        <w:t>MSH2</w:t>
      </w:r>
      <w:r>
        <w:t xml:space="preserve"> (exemplar 1</w:t>
      </w:r>
      <w:r w:rsidR="00EF558B">
        <w:t>, MIM *</w:t>
      </w:r>
      <w:r w:rsidR="00EF558B" w:rsidRPr="00EF558B">
        <w:t>609309</w:t>
      </w:r>
      <w:r>
        <w:t xml:space="preserve">), </w:t>
      </w:r>
      <w:r w:rsidRPr="00D4084F">
        <w:rPr>
          <w:i/>
        </w:rPr>
        <w:t>MECP2</w:t>
      </w:r>
      <w:r>
        <w:t xml:space="preserve"> (exemplar 2</w:t>
      </w:r>
      <w:r w:rsidR="00EF558B">
        <w:t>, MIM *</w:t>
      </w:r>
      <w:r w:rsidR="00EF558B" w:rsidRPr="00EF558B">
        <w:t>300005</w:t>
      </w:r>
      <w:r>
        <w:t xml:space="preserve">), </w:t>
      </w:r>
      <w:r w:rsidRPr="00D4084F">
        <w:rPr>
          <w:i/>
        </w:rPr>
        <w:t>GLI3</w:t>
      </w:r>
      <w:r w:rsidR="00EF558B">
        <w:rPr>
          <w:i/>
        </w:rPr>
        <w:t xml:space="preserve"> </w:t>
      </w:r>
      <w:r w:rsidR="00EF558B" w:rsidRPr="00EF558B">
        <w:t>(</w:t>
      </w:r>
      <w:r w:rsidR="00EF558B">
        <w:t>MIM *</w:t>
      </w:r>
      <w:r w:rsidR="00EF558B" w:rsidRPr="00EF558B">
        <w:t>165240)</w:t>
      </w:r>
      <w:r>
        <w:t xml:space="preserve">, </w:t>
      </w:r>
      <w:r w:rsidRPr="00D4084F">
        <w:rPr>
          <w:i/>
        </w:rPr>
        <w:t>AUTS2</w:t>
      </w:r>
      <w:r w:rsidR="00EF558B">
        <w:rPr>
          <w:i/>
        </w:rPr>
        <w:t xml:space="preserve"> </w:t>
      </w:r>
      <w:r w:rsidR="00EF558B" w:rsidRPr="00EF558B">
        <w:t>(</w:t>
      </w:r>
      <w:r w:rsidR="00EF558B">
        <w:t>MIM *</w:t>
      </w:r>
      <w:r w:rsidR="00EF558B" w:rsidRPr="00EF558B">
        <w:t>607270)</w:t>
      </w:r>
      <w:r>
        <w:t xml:space="preserve">, </w:t>
      </w:r>
      <w:r w:rsidRPr="00D4084F">
        <w:rPr>
          <w:i/>
        </w:rPr>
        <w:t>CDKL5</w:t>
      </w:r>
      <w:r>
        <w:t xml:space="preserve"> </w:t>
      </w:r>
      <w:r w:rsidR="00EF558B">
        <w:t>(MIM *</w:t>
      </w:r>
      <w:r w:rsidR="00EF558B" w:rsidRPr="00EF558B">
        <w:t>300203</w:t>
      </w:r>
      <w:r w:rsidR="00EF558B">
        <w:t xml:space="preserve">) </w:t>
      </w:r>
      <w:r>
        <w:t>and</w:t>
      </w:r>
      <w:r w:rsidRPr="002314E8">
        <w:t xml:space="preserve"> </w:t>
      </w:r>
      <w:r w:rsidRPr="00947ACB">
        <w:rPr>
          <w:i/>
        </w:rPr>
        <w:t>ARID2</w:t>
      </w:r>
      <w:r w:rsidR="00EF558B">
        <w:rPr>
          <w:i/>
        </w:rPr>
        <w:t xml:space="preserve"> </w:t>
      </w:r>
      <w:r w:rsidR="00EF558B" w:rsidRPr="00EF558B">
        <w:t>(</w:t>
      </w:r>
      <w:r w:rsidR="00EF558B">
        <w:t>MIM *</w:t>
      </w:r>
      <w:r w:rsidR="00EF558B" w:rsidRPr="00EF558B">
        <w:t>609539)</w:t>
      </w:r>
      <w:r>
        <w:t>. For 14/47 families (30%), the gene found to be disrupted had been strongly suspected, as evidenced by previous targeted sequencing or MLPA testing (Table S2).</w:t>
      </w:r>
    </w:p>
    <w:p w14:paraId="44343F3E" w14:textId="77777777" w:rsidR="0054637A" w:rsidRDefault="0054637A" w:rsidP="00DD05AD">
      <w:pPr>
        <w:jc w:val="both"/>
      </w:pPr>
      <w:r>
        <w:t>The size of the inversions ranged over six orders of magnitude, with the largest two above 30Mb in size (Figure 1A).</w:t>
      </w:r>
      <w:r w:rsidRPr="004B7D62">
        <w:t xml:space="preserve"> </w:t>
      </w:r>
      <w:r>
        <w:t xml:space="preserve">The mean and median sizes were 3.51Mb and 635kb, respectively. The largest inversion was a </w:t>
      </w:r>
      <w:r w:rsidRPr="00AA691F">
        <w:rPr>
          <w:i/>
        </w:rPr>
        <w:t>de novo</w:t>
      </w:r>
      <w:r>
        <w:t xml:space="preserve"> 36.4Mb</w:t>
      </w:r>
      <w:r w:rsidRPr="00D048DE">
        <w:t xml:space="preserve"> </w:t>
      </w:r>
      <w:r>
        <w:t>variant (</w:t>
      </w:r>
      <w:r w:rsidRPr="005C1E3A">
        <w:t>chrX:18</w:t>
      </w:r>
      <w:r>
        <w:t>,</w:t>
      </w:r>
      <w:r w:rsidRPr="005C1E3A">
        <w:t>472</w:t>
      </w:r>
      <w:r>
        <w:t>,</w:t>
      </w:r>
      <w:r w:rsidRPr="005C1E3A">
        <w:t>998-54</w:t>
      </w:r>
      <w:r>
        <w:t>,</w:t>
      </w:r>
      <w:r w:rsidRPr="005C1E3A">
        <w:t>910</w:t>
      </w:r>
      <w:r>
        <w:t>,</w:t>
      </w:r>
      <w:r w:rsidRPr="005C1E3A">
        <w:t>892</w:t>
      </w:r>
      <w:r>
        <w:t xml:space="preserve">, GRCh38) that disrupts </w:t>
      </w:r>
      <w:r w:rsidRPr="00AA691F">
        <w:rPr>
          <w:i/>
        </w:rPr>
        <w:t>CDKL5</w:t>
      </w:r>
      <w:r>
        <w:t xml:space="preserve"> in an individual with intellectual disability and seizures, consistent with a diagnosis of d</w:t>
      </w:r>
      <w:r w:rsidRPr="005C3F8F">
        <w:t xml:space="preserve">evelopmental and epileptic encephalopathy 2 </w:t>
      </w:r>
      <w:r>
        <w:t>[MIM #</w:t>
      </w:r>
      <w:r w:rsidRPr="005C3F8F">
        <w:t>300672</w:t>
      </w:r>
      <w:r>
        <w:t xml:space="preserve">]. The second largest SV was a </w:t>
      </w:r>
      <w:r w:rsidRPr="004B7D62">
        <w:t xml:space="preserve">30.7Mb inversion with </w:t>
      </w:r>
      <w:r>
        <w:t xml:space="preserve">a </w:t>
      </w:r>
      <w:r w:rsidRPr="004B7D62">
        <w:t xml:space="preserve">proximal breakpoint in intron 13 </w:t>
      </w:r>
      <w:r>
        <w:t xml:space="preserve">of </w:t>
      </w:r>
      <w:r w:rsidRPr="00AA691F">
        <w:rPr>
          <w:i/>
        </w:rPr>
        <w:t>MLH1</w:t>
      </w:r>
      <w:r>
        <w:t xml:space="preserve"> </w:t>
      </w:r>
      <w:r w:rsidRPr="004B7D62">
        <w:t>(NM_000249.4</w:t>
      </w:r>
      <w:r w:rsidR="00CD6BD2">
        <w:t>, MIM *</w:t>
      </w:r>
      <w:r w:rsidR="00CD6BD2" w:rsidRPr="00CD6BD2">
        <w:t>120436</w:t>
      </w:r>
      <w:r w:rsidRPr="004B7D62">
        <w:t>)</w:t>
      </w:r>
      <w:r>
        <w:t>. This variant had been identified in parallel with the 100kGP by karyotyping and has now been confirmed by FISH (Figure 1</w:t>
      </w:r>
      <w:r w:rsidRPr="004F2397">
        <w:t>B</w:t>
      </w:r>
      <w:r>
        <w:t xml:space="preserve">). </w:t>
      </w:r>
      <w:r w:rsidRPr="00D048DE">
        <w:t>Th</w:t>
      </w:r>
      <w:r>
        <w:t>is individual (</w:t>
      </w:r>
      <w:r w:rsidRPr="00D048DE">
        <w:t>Family 19</w:t>
      </w:r>
      <w:r>
        <w:t xml:space="preserve">) had been recruited to 100kGP due to </w:t>
      </w:r>
      <w:r w:rsidRPr="009E1B06">
        <w:t xml:space="preserve">early onset </w:t>
      </w:r>
      <w:r>
        <w:t xml:space="preserve">colorectal cancer (CRC, aged </w:t>
      </w:r>
      <w:r w:rsidRPr="009E1B06">
        <w:t>27</w:t>
      </w:r>
      <w:r>
        <w:t xml:space="preserve"> years old)</w:t>
      </w:r>
      <w:r w:rsidRPr="009E1B06">
        <w:t xml:space="preserve"> </w:t>
      </w:r>
      <w:r>
        <w:t xml:space="preserve">and this was </w:t>
      </w:r>
      <w:r w:rsidRPr="009E1B06">
        <w:t xml:space="preserve">assumed to be </w:t>
      </w:r>
      <w:r>
        <w:t xml:space="preserve">a </w:t>
      </w:r>
      <w:r w:rsidRPr="009E1B06">
        <w:t>cryptic form of Lynch syndrome</w:t>
      </w:r>
      <w:r>
        <w:t xml:space="preserve"> due to the significant family history (Figure S1). Detection of the inversion resolved the diagnosis to </w:t>
      </w:r>
      <w:r w:rsidRPr="0084089A">
        <w:t>Lynch syndrome 2</w:t>
      </w:r>
      <w:r>
        <w:t xml:space="preserve"> [MIM #</w:t>
      </w:r>
      <w:r w:rsidRPr="0084089A">
        <w:t>609310</w:t>
      </w:r>
      <w:r>
        <w:t>].</w:t>
      </w:r>
    </w:p>
    <w:p w14:paraId="236AFB3A" w14:textId="77777777" w:rsidR="0054637A" w:rsidRDefault="0054637A" w:rsidP="00DD05AD">
      <w:pPr>
        <w:jc w:val="both"/>
      </w:pPr>
      <w:r>
        <w:t xml:space="preserve">For 87% of individuals (41/47), the inversion was below 10Mb in size, which is considered the typical resolution for being able to detect an inversion by karyotyping (Figure 1A). The smallest inversion was a 24bp segment in </w:t>
      </w:r>
      <w:r w:rsidRPr="004B7D62">
        <w:rPr>
          <w:i/>
        </w:rPr>
        <w:t>NUS1</w:t>
      </w:r>
      <w:r>
        <w:rPr>
          <w:i/>
        </w:rPr>
        <w:t xml:space="preserve"> </w:t>
      </w:r>
      <w:r w:rsidRPr="004B7D62">
        <w:t>(NM_138459.5</w:t>
      </w:r>
      <w:r w:rsidR="00CD6BD2">
        <w:t>, MIM *</w:t>
      </w:r>
      <w:r w:rsidR="00CD6BD2" w:rsidRPr="00CD6BD2">
        <w:t>610463</w:t>
      </w:r>
      <w:r>
        <w:t>)</w:t>
      </w:r>
      <w:r w:rsidRPr="004B7D62">
        <w:t xml:space="preserve"> </w:t>
      </w:r>
      <w:r>
        <w:t xml:space="preserve">which inverts the splice acceptor site at the start of exon 3 </w:t>
      </w:r>
      <w:r w:rsidRPr="004B7D62">
        <w:t>(Figure</w:t>
      </w:r>
      <w:r>
        <w:t>s</w:t>
      </w:r>
      <w:r w:rsidRPr="004B7D62">
        <w:t xml:space="preserve"> 1</w:t>
      </w:r>
      <w:r w:rsidRPr="004F2397">
        <w:t>C</w:t>
      </w:r>
      <w:r>
        <w:t>, S2</w:t>
      </w:r>
      <w:r w:rsidRPr="004B7D62">
        <w:t>)</w:t>
      </w:r>
      <w:r>
        <w:t xml:space="preserve">. Notably this was the only SV identified using the small variant caller. It was not called as an inversion but detected due to an unusual clustering of tiered SNVs. </w:t>
      </w:r>
      <w:proofErr w:type="gramStart"/>
      <w:r>
        <w:t xml:space="preserve">This inversion was seen in a male (Family 45) </w:t>
      </w:r>
      <w:r w:rsidRPr="00BC35FF">
        <w:t>with slowly progressive myoclonic epilepsy, ataxia and mild intellectual disability</w:t>
      </w:r>
      <w:r>
        <w:t xml:space="preserve"> and overall his phenotype was considered a good match to previous reports of </w:t>
      </w:r>
      <w:r w:rsidRPr="0084089A">
        <w:t>Intellectual developmental disorder, autosomal dominant 55, with seizures</w:t>
      </w:r>
      <w:r>
        <w:t xml:space="preserve"> [MIM #</w:t>
      </w:r>
      <w:r w:rsidRPr="0084089A">
        <w:t>617831</w:t>
      </w:r>
      <w:r>
        <w:t>].</w:t>
      </w:r>
      <w:r w:rsidRPr="00053445">
        <w:rPr>
          <w:noProof/>
          <w:vertAlign w:val="superscript"/>
        </w:rPr>
        <w:t>30</w:t>
      </w:r>
      <w:r w:rsidRPr="00BC35FF">
        <w:t xml:space="preserve"> </w:t>
      </w:r>
      <w:r>
        <w:t xml:space="preserve">Prior testing had included assessment of repeat expansions in </w:t>
      </w:r>
      <w:r w:rsidRPr="00BC35FF">
        <w:rPr>
          <w:i/>
        </w:rPr>
        <w:t>HTT</w:t>
      </w:r>
      <w:r w:rsidR="00F41CD0">
        <w:rPr>
          <w:i/>
        </w:rPr>
        <w:t xml:space="preserve"> </w:t>
      </w:r>
      <w:r w:rsidR="00F41CD0" w:rsidRPr="00F41CD0">
        <w:t>(</w:t>
      </w:r>
      <w:r w:rsidR="00F41CD0">
        <w:t xml:space="preserve">MIM </w:t>
      </w:r>
      <w:r w:rsidR="00F41CD0" w:rsidRPr="00F41CD0">
        <w:t>*613004)</w:t>
      </w:r>
      <w:r>
        <w:t>/</w:t>
      </w:r>
      <w:r w:rsidRPr="00BC35FF">
        <w:rPr>
          <w:i/>
        </w:rPr>
        <w:t>ATN1</w:t>
      </w:r>
      <w:r w:rsidR="00F41CD0">
        <w:rPr>
          <w:i/>
        </w:rPr>
        <w:t xml:space="preserve"> </w:t>
      </w:r>
      <w:r w:rsidR="00F41CD0" w:rsidRPr="00F41CD0">
        <w:t>(</w:t>
      </w:r>
      <w:r w:rsidR="00F41CD0">
        <w:t>MIM *</w:t>
      </w:r>
      <w:r w:rsidR="00F41CD0" w:rsidRPr="00F41CD0">
        <w:t>607462)</w:t>
      </w:r>
      <w:r w:rsidRPr="00BC35FF">
        <w:t xml:space="preserve">, </w:t>
      </w:r>
      <w:r>
        <w:t xml:space="preserve">a </w:t>
      </w:r>
      <w:r w:rsidRPr="00BC35FF">
        <w:t xml:space="preserve">screen for common </w:t>
      </w:r>
      <w:proofErr w:type="spellStart"/>
      <w:r>
        <w:t>mtDNA</w:t>
      </w:r>
      <w:proofErr w:type="spellEnd"/>
      <w:r>
        <w:t xml:space="preserve"> </w:t>
      </w:r>
      <w:r w:rsidRPr="00BC35FF">
        <w:t xml:space="preserve">mutations and </w:t>
      </w:r>
      <w:r w:rsidRPr="00BC35FF">
        <w:rPr>
          <w:i/>
        </w:rPr>
        <w:t>POLG</w:t>
      </w:r>
      <w:r>
        <w:rPr>
          <w:i/>
        </w:rPr>
        <w:t xml:space="preserve"> </w:t>
      </w:r>
      <w:r w:rsidR="00F41CD0" w:rsidRPr="00F41CD0">
        <w:t>(</w:t>
      </w:r>
      <w:r w:rsidR="00F41CD0">
        <w:t>MIM *</w:t>
      </w:r>
      <w:r w:rsidR="00F41CD0" w:rsidRPr="00F41CD0">
        <w:t>174763)</w:t>
      </w:r>
      <w:r w:rsidR="00F41CD0">
        <w:t xml:space="preserve"> </w:t>
      </w:r>
      <w:r>
        <w:t>sequencing.</w:t>
      </w:r>
      <w:proofErr w:type="gramEnd"/>
    </w:p>
    <w:p w14:paraId="5A34A168" w14:textId="77777777" w:rsidR="0054637A" w:rsidRDefault="0054637A" w:rsidP="00DD05AD">
      <w:pPr>
        <w:jc w:val="both"/>
      </w:pPr>
      <w:r>
        <w:t xml:space="preserve">Across the 47 families, 20 of the variants were confirmed to have arisen </w:t>
      </w:r>
      <w:r w:rsidRPr="002642B4">
        <w:rPr>
          <w:i/>
        </w:rPr>
        <w:t>de novo</w:t>
      </w:r>
      <w:r>
        <w:t xml:space="preserve"> and in 11 families, the variant was inherited from an affected parent (Figure 1</w:t>
      </w:r>
      <w:r w:rsidRPr="00105BFB">
        <w:t>D</w:t>
      </w:r>
      <w:r>
        <w:t xml:space="preserve">). Support from co-segregation was strongest for two previously reported quad families with inversions that disrupt </w:t>
      </w:r>
      <w:r w:rsidRPr="007C355E">
        <w:rPr>
          <w:i/>
        </w:rPr>
        <w:t>GLI3</w:t>
      </w:r>
      <w:r>
        <w:t xml:space="preserve"> and result in clinical features consistent with Greig </w:t>
      </w:r>
      <w:r w:rsidRPr="001F01EA">
        <w:t xml:space="preserve">cephalopolysyndactyly </w:t>
      </w:r>
      <w:r>
        <w:t xml:space="preserve">syndrome [MIM </w:t>
      </w:r>
      <w:r w:rsidRPr="009E3CE2">
        <w:t>#175700</w:t>
      </w:r>
      <w:r>
        <w:t>].</w:t>
      </w:r>
      <w:r w:rsidRPr="00053445">
        <w:rPr>
          <w:noProof/>
          <w:vertAlign w:val="superscript"/>
        </w:rPr>
        <w:t>16</w:t>
      </w:r>
      <w:r>
        <w:t xml:space="preserve"> Other families from this cohort described previously include individuals with SVs that disrupt </w:t>
      </w:r>
      <w:r w:rsidRPr="005A2F25">
        <w:rPr>
          <w:i/>
        </w:rPr>
        <w:t>KMT2E</w:t>
      </w:r>
      <w:r w:rsidR="00247F53">
        <w:rPr>
          <w:i/>
        </w:rPr>
        <w:t xml:space="preserve"> </w:t>
      </w:r>
      <w:r w:rsidR="00247F53" w:rsidRPr="00247F53">
        <w:t>(</w:t>
      </w:r>
      <w:r w:rsidR="00247F53">
        <w:t>MIM *</w:t>
      </w:r>
      <w:r w:rsidR="00247F53" w:rsidRPr="00247F53">
        <w:t>608444)</w:t>
      </w:r>
      <w:r w:rsidRPr="007C355E">
        <w:t>,</w:t>
      </w:r>
      <w:r w:rsidRPr="00053445">
        <w:rPr>
          <w:noProof/>
          <w:vertAlign w:val="superscript"/>
        </w:rPr>
        <w:t>31</w:t>
      </w:r>
      <w:r w:rsidRPr="005A2F25">
        <w:rPr>
          <w:i/>
        </w:rPr>
        <w:t xml:space="preserve"> FBN1</w:t>
      </w:r>
      <w:r w:rsidR="00247F53">
        <w:rPr>
          <w:i/>
        </w:rPr>
        <w:t xml:space="preserve"> </w:t>
      </w:r>
      <w:r w:rsidR="00247F53" w:rsidRPr="00247F53">
        <w:t>(</w:t>
      </w:r>
      <w:r w:rsidR="00247F53">
        <w:t>MIM *</w:t>
      </w:r>
      <w:r w:rsidR="00247F53" w:rsidRPr="00247F53">
        <w:t>134797)</w:t>
      </w:r>
      <w:r w:rsidR="00247F53">
        <w:rPr>
          <w:i/>
        </w:rPr>
        <w:t xml:space="preserve"> </w:t>
      </w:r>
      <w:r w:rsidRPr="00053445">
        <w:rPr>
          <w:i/>
          <w:noProof/>
          <w:vertAlign w:val="superscript"/>
        </w:rPr>
        <w:t>16</w:t>
      </w:r>
      <w:r>
        <w:rPr>
          <w:i/>
        </w:rPr>
        <w:t xml:space="preserve"> </w:t>
      </w:r>
      <w:r w:rsidRPr="007C355E">
        <w:t>and</w:t>
      </w:r>
      <w:r w:rsidRPr="005A2F25">
        <w:rPr>
          <w:i/>
        </w:rPr>
        <w:t xml:space="preserve"> TWIST1</w:t>
      </w:r>
      <w:r w:rsidR="00247F53">
        <w:rPr>
          <w:i/>
        </w:rPr>
        <w:t xml:space="preserve"> </w:t>
      </w:r>
      <w:r w:rsidR="00247F53" w:rsidRPr="00247F53">
        <w:t>(</w:t>
      </w:r>
      <w:r w:rsidR="00247F53">
        <w:t xml:space="preserve">MIM </w:t>
      </w:r>
      <w:r w:rsidR="00247F53" w:rsidRPr="00247F53">
        <w:t>*601622)</w:t>
      </w:r>
      <w:r>
        <w:t>.</w:t>
      </w:r>
      <w:r w:rsidRPr="00053445">
        <w:rPr>
          <w:noProof/>
          <w:vertAlign w:val="superscript"/>
        </w:rPr>
        <w:t>32</w:t>
      </w:r>
    </w:p>
    <w:p w14:paraId="3020FB9B" w14:textId="77777777" w:rsidR="0054637A" w:rsidRDefault="0054637A" w:rsidP="00DD05AD">
      <w:pPr>
        <w:jc w:val="both"/>
        <w:rPr>
          <w:b/>
          <w:i/>
        </w:rPr>
      </w:pPr>
      <w:r>
        <w:rPr>
          <w:b/>
          <w:i/>
        </w:rPr>
        <w:t xml:space="preserve">Different categories of SVs detected due to </w:t>
      </w:r>
      <w:proofErr w:type="spellStart"/>
      <w:r>
        <w:rPr>
          <w:b/>
          <w:i/>
        </w:rPr>
        <w:t>MantaINV</w:t>
      </w:r>
      <w:proofErr w:type="spellEnd"/>
      <w:r>
        <w:rPr>
          <w:b/>
          <w:i/>
        </w:rPr>
        <w:t xml:space="preserve"> call</w:t>
      </w:r>
    </w:p>
    <w:p w14:paraId="7C614791" w14:textId="77777777" w:rsidR="0054637A" w:rsidRPr="005B1BC7" w:rsidRDefault="0054637A" w:rsidP="00DD05AD">
      <w:pPr>
        <w:jc w:val="both"/>
        <w:rPr>
          <w:b/>
          <w:i/>
        </w:rPr>
      </w:pPr>
      <w:r>
        <w:t xml:space="preserve">Although all SVs were detected on account of a </w:t>
      </w:r>
      <w:proofErr w:type="spellStart"/>
      <w:r>
        <w:t>MantaINV</w:t>
      </w:r>
      <w:proofErr w:type="spellEnd"/>
      <w:r>
        <w:t xml:space="preserve"> call, there was a wide range of complexity seen across the cohort. Different categories of SV types identified are listed in full in Table S2 and summarised in Figure 1</w:t>
      </w:r>
      <w:r w:rsidRPr="00105BFB">
        <w:t>D</w:t>
      </w:r>
      <w:r>
        <w:t>.</w:t>
      </w:r>
    </w:p>
    <w:p w14:paraId="3B0372D9" w14:textId="77777777" w:rsidR="0054637A" w:rsidRPr="00E15414" w:rsidRDefault="0054637A" w:rsidP="00DD05AD">
      <w:pPr>
        <w:pStyle w:val="ListParagraph"/>
        <w:numPr>
          <w:ilvl w:val="0"/>
          <w:numId w:val="9"/>
        </w:numPr>
        <w:jc w:val="both"/>
        <w:rPr>
          <w:b/>
          <w:i/>
        </w:rPr>
      </w:pPr>
      <w:r w:rsidRPr="00E15414">
        <w:rPr>
          <w:b/>
          <w:i/>
        </w:rPr>
        <w:t>Simple inversions</w:t>
      </w:r>
    </w:p>
    <w:p w14:paraId="0E59BB56" w14:textId="77777777" w:rsidR="0054637A" w:rsidRDefault="0054637A" w:rsidP="00DD05AD">
      <w:pPr>
        <w:jc w:val="both"/>
      </w:pPr>
      <w:r>
        <w:t>Overall, 24/47 SVs were relatively simple inversions with &lt;10% loss at one end. An illustrative example of this class of SV was a 100kGP participant</w:t>
      </w:r>
      <w:r w:rsidRPr="0061704B">
        <w:t xml:space="preserve"> </w:t>
      </w:r>
      <w:r>
        <w:t xml:space="preserve">with </w:t>
      </w:r>
      <w:r w:rsidRPr="00C53CA4">
        <w:t>lissencephaly</w:t>
      </w:r>
      <w:r>
        <w:t xml:space="preserve"> 1 [MIM #</w:t>
      </w:r>
      <w:r w:rsidRPr="0043587A">
        <w:t>607432</w:t>
      </w:r>
      <w:r>
        <w:t xml:space="preserve">] harbouring a 256kb inversion (Figure S3) disrupting </w:t>
      </w:r>
      <w:r w:rsidRPr="00003140">
        <w:rPr>
          <w:i/>
        </w:rPr>
        <w:t>PAFAH1B1</w:t>
      </w:r>
      <w:r>
        <w:rPr>
          <w:i/>
        </w:rPr>
        <w:t xml:space="preserve"> </w:t>
      </w:r>
      <w:r w:rsidRPr="00C53CA4">
        <w:t>(</w:t>
      </w:r>
      <w:r w:rsidR="00247F53">
        <w:t>MIM</w:t>
      </w:r>
      <w:r w:rsidR="00247F53" w:rsidRPr="00247F53">
        <w:t xml:space="preserve"> </w:t>
      </w:r>
      <w:r w:rsidR="00247F53">
        <w:t>*</w:t>
      </w:r>
      <w:r w:rsidR="00247F53" w:rsidRPr="00247F53">
        <w:t>601545</w:t>
      </w:r>
      <w:r w:rsidR="00247F53">
        <w:t xml:space="preserve">; </w:t>
      </w:r>
      <w:r w:rsidRPr="00C53CA4">
        <w:t xml:space="preserve">Family </w:t>
      </w:r>
      <w:r>
        <w:t>13</w:t>
      </w:r>
      <w:r w:rsidRPr="00C53CA4">
        <w:t>)</w:t>
      </w:r>
      <w:r>
        <w:rPr>
          <w:i/>
        </w:rPr>
        <w:t>.</w:t>
      </w:r>
    </w:p>
    <w:p w14:paraId="2374972E" w14:textId="77777777" w:rsidR="0054637A" w:rsidRPr="00E15414" w:rsidRDefault="0054637A" w:rsidP="00DD05AD">
      <w:pPr>
        <w:pStyle w:val="ListParagraph"/>
        <w:numPr>
          <w:ilvl w:val="0"/>
          <w:numId w:val="9"/>
        </w:numPr>
        <w:jc w:val="both"/>
        <w:rPr>
          <w:b/>
          <w:i/>
        </w:rPr>
      </w:pPr>
      <w:r w:rsidRPr="00E15414">
        <w:rPr>
          <w:b/>
          <w:i/>
        </w:rPr>
        <w:t>Inversions with loss (&gt;10%) at one end</w:t>
      </w:r>
    </w:p>
    <w:p w14:paraId="4AD87762" w14:textId="77777777" w:rsidR="0054637A" w:rsidRDefault="0054637A" w:rsidP="00DD05AD">
      <w:pPr>
        <w:jc w:val="both"/>
      </w:pPr>
      <w:r>
        <w:t xml:space="preserve">Inversions with a significant loss (&gt;10%) just at one end were seen in a further 3 individuals. Examples of this category include one boy with a phenotype consistent with </w:t>
      </w:r>
      <w:r w:rsidRPr="00690256">
        <w:t xml:space="preserve">Wiedemann-Steiner syndrome </w:t>
      </w:r>
      <w:r>
        <w:t>[MIM #</w:t>
      </w:r>
      <w:r w:rsidRPr="00690256">
        <w:t>605130</w:t>
      </w:r>
      <w:r>
        <w:t xml:space="preserve">] in whom a </w:t>
      </w:r>
      <w:r w:rsidRPr="00690256">
        <w:rPr>
          <w:i/>
        </w:rPr>
        <w:t>de novo</w:t>
      </w:r>
      <w:r>
        <w:t xml:space="preserve"> inversion/loss disrupting </w:t>
      </w:r>
      <w:r w:rsidRPr="004A4C32">
        <w:rPr>
          <w:i/>
        </w:rPr>
        <w:t>KMT2A</w:t>
      </w:r>
      <w:r>
        <w:t xml:space="preserve"> </w:t>
      </w:r>
      <w:r w:rsidR="00247F53">
        <w:t>(MIM *</w:t>
      </w:r>
      <w:r w:rsidR="00247F53" w:rsidRPr="00247F53">
        <w:t>159555</w:t>
      </w:r>
      <w:r w:rsidR="00247F53">
        <w:t xml:space="preserve">) </w:t>
      </w:r>
      <w:r>
        <w:t xml:space="preserve">was detected </w:t>
      </w:r>
      <w:r>
        <w:lastRenderedPageBreak/>
        <w:t>(Family 5). Another individual with s</w:t>
      </w:r>
      <w:r w:rsidRPr="0096290F">
        <w:t xml:space="preserve">yndromic cleft palate </w:t>
      </w:r>
      <w:r>
        <w:t xml:space="preserve">(Family 10) harboured an inversion disrupting </w:t>
      </w:r>
      <w:r w:rsidRPr="004A4C32">
        <w:rPr>
          <w:i/>
        </w:rPr>
        <w:t>MEIS2</w:t>
      </w:r>
      <w:r w:rsidR="00247F53">
        <w:rPr>
          <w:i/>
        </w:rPr>
        <w:t xml:space="preserve"> </w:t>
      </w:r>
      <w:r w:rsidR="00247F53" w:rsidRPr="00247F53">
        <w:t>(</w:t>
      </w:r>
      <w:r w:rsidR="00247F53">
        <w:t>MIM *</w:t>
      </w:r>
      <w:r w:rsidR="00247F53" w:rsidRPr="00247F53">
        <w:t>601740)</w:t>
      </w:r>
      <w:r>
        <w:t>, a gene linked to c</w:t>
      </w:r>
      <w:r w:rsidRPr="0043587A">
        <w:t>left palate, cardiac defects, and impaired intell</w:t>
      </w:r>
      <w:r>
        <w:t>ectual development [MIM #600987]</w:t>
      </w:r>
      <w:r w:rsidRPr="0043587A">
        <w:t>.</w:t>
      </w:r>
    </w:p>
    <w:p w14:paraId="6D68C2DD" w14:textId="77777777" w:rsidR="0054637A" w:rsidRPr="00E15414" w:rsidRDefault="0054637A" w:rsidP="00DD05AD">
      <w:pPr>
        <w:pStyle w:val="ListParagraph"/>
        <w:numPr>
          <w:ilvl w:val="0"/>
          <w:numId w:val="9"/>
        </w:numPr>
        <w:jc w:val="both"/>
        <w:rPr>
          <w:b/>
          <w:i/>
        </w:rPr>
      </w:pPr>
      <w:r w:rsidRPr="00E15414">
        <w:rPr>
          <w:b/>
          <w:i/>
        </w:rPr>
        <w:t>Deletions with small internal segment(s) retained</w:t>
      </w:r>
    </w:p>
    <w:p w14:paraId="67089770" w14:textId="77777777" w:rsidR="0054637A" w:rsidRDefault="0054637A" w:rsidP="00DD05AD">
      <w:pPr>
        <w:jc w:val="both"/>
      </w:pPr>
      <w:r>
        <w:t xml:space="preserve">Some SVs picked up due to </w:t>
      </w:r>
      <w:proofErr w:type="spellStart"/>
      <w:r>
        <w:t>MantaINV</w:t>
      </w:r>
      <w:proofErr w:type="spellEnd"/>
      <w:r>
        <w:t xml:space="preserve"> calls were categorised as complex deletions with retained/inverted internal segments. Four such rearrangements were detected, which included Family 21 where a </w:t>
      </w:r>
      <w:r w:rsidRPr="00BB3959">
        <w:rPr>
          <w:i/>
        </w:rPr>
        <w:t>de novo</w:t>
      </w:r>
      <w:r>
        <w:t xml:space="preserve"> SV disrupting </w:t>
      </w:r>
      <w:r w:rsidRPr="00BB3959">
        <w:rPr>
          <w:i/>
        </w:rPr>
        <w:t>KMT2E</w:t>
      </w:r>
      <w:r>
        <w:t xml:space="preserve"> was identified in a f</w:t>
      </w:r>
      <w:r w:rsidRPr="00965FBB">
        <w:t>emale with delayed developmental milestones, autistic traits, postnatal macrocephaly and tall stature</w:t>
      </w:r>
      <w:r>
        <w:t xml:space="preserve">, consistent with a diagnosis of </w:t>
      </w:r>
      <w:r w:rsidRPr="00E26106">
        <w:t>O'Donnell-Luria-</w:t>
      </w:r>
      <w:proofErr w:type="spellStart"/>
      <w:r w:rsidRPr="00E26106">
        <w:t>Rodan</w:t>
      </w:r>
      <w:proofErr w:type="spellEnd"/>
      <w:r w:rsidRPr="00E26106">
        <w:t xml:space="preserve"> syndrome</w:t>
      </w:r>
      <w:r>
        <w:t xml:space="preserve"> [MIM #</w:t>
      </w:r>
      <w:r w:rsidRPr="00E26106">
        <w:t>618512</w:t>
      </w:r>
      <w:r>
        <w:t>].</w:t>
      </w:r>
      <w:r w:rsidRPr="00053445">
        <w:rPr>
          <w:noProof/>
          <w:vertAlign w:val="superscript"/>
        </w:rPr>
        <w:t>31</w:t>
      </w:r>
      <w:r>
        <w:t xml:space="preserve"> A complex deletion involving </w:t>
      </w:r>
      <w:r w:rsidRPr="00BB3959">
        <w:rPr>
          <w:i/>
        </w:rPr>
        <w:t>EFTUD2</w:t>
      </w:r>
      <w:r>
        <w:t xml:space="preserve"> (</w:t>
      </w:r>
      <w:r w:rsidR="00247F53">
        <w:t>MIM *</w:t>
      </w:r>
      <w:r w:rsidR="00247F53" w:rsidRPr="00247F53">
        <w:t>603892</w:t>
      </w:r>
      <w:r w:rsidR="00247F53">
        <w:t xml:space="preserve">; </w:t>
      </w:r>
      <w:r>
        <w:t xml:space="preserve">Family 12), identified in an individual with a blended phenotype (Note S3), also fitted into this subgroup. </w:t>
      </w:r>
      <w:r w:rsidRPr="00D23DC1">
        <w:t>A</w:t>
      </w:r>
      <w:r>
        <w:t>n a</w:t>
      </w:r>
      <w:r w:rsidRPr="00D23DC1">
        <w:t>dult male with multiple renal and hepatic cysts</w:t>
      </w:r>
      <w:r>
        <w:t xml:space="preserve"> harboured a similar complex deletion involving </w:t>
      </w:r>
      <w:r w:rsidRPr="00BB3959">
        <w:rPr>
          <w:i/>
        </w:rPr>
        <w:t>PKD1</w:t>
      </w:r>
      <w:r>
        <w:t xml:space="preserve"> (</w:t>
      </w:r>
      <w:r w:rsidR="00247F53">
        <w:t>MIM *</w:t>
      </w:r>
      <w:r w:rsidR="00247F53" w:rsidRPr="00247F53">
        <w:t>601313</w:t>
      </w:r>
      <w:r w:rsidR="00247F53">
        <w:t xml:space="preserve">; </w:t>
      </w:r>
      <w:r>
        <w:t xml:space="preserve">Family 11), whilst another participant recruited due to intellectual disability and short stature (Family 14) carried a similar </w:t>
      </w:r>
      <w:r w:rsidRPr="00FC59B7">
        <w:rPr>
          <w:i/>
        </w:rPr>
        <w:t>de novo</w:t>
      </w:r>
      <w:r>
        <w:t xml:space="preserve"> rearrangement involving </w:t>
      </w:r>
      <w:r w:rsidRPr="00BB3959">
        <w:rPr>
          <w:i/>
        </w:rPr>
        <w:t>KMT2B</w:t>
      </w:r>
      <w:r w:rsidR="00247F53">
        <w:rPr>
          <w:i/>
        </w:rPr>
        <w:t xml:space="preserve"> </w:t>
      </w:r>
      <w:r w:rsidR="00247F53" w:rsidRPr="00247F53">
        <w:t>(</w:t>
      </w:r>
      <w:r w:rsidR="00247F53">
        <w:t>MIM *</w:t>
      </w:r>
      <w:r w:rsidR="00247F53" w:rsidRPr="00247F53">
        <w:t>606834)</w:t>
      </w:r>
      <w:r>
        <w:t>.</w:t>
      </w:r>
      <w:r w:rsidRPr="00FC59B7">
        <w:rPr>
          <w:b/>
          <w:i/>
        </w:rPr>
        <w:t xml:space="preserve"> </w:t>
      </w:r>
    </w:p>
    <w:p w14:paraId="4FA686F8" w14:textId="77777777" w:rsidR="0054637A" w:rsidRPr="00E15414" w:rsidRDefault="0054637A" w:rsidP="00DD05AD">
      <w:pPr>
        <w:pStyle w:val="ListParagraph"/>
        <w:numPr>
          <w:ilvl w:val="0"/>
          <w:numId w:val="9"/>
        </w:numPr>
        <w:jc w:val="both"/>
        <w:rPr>
          <w:b/>
          <w:i/>
        </w:rPr>
      </w:pPr>
      <w:r w:rsidRPr="00E15414">
        <w:rPr>
          <w:b/>
          <w:i/>
        </w:rPr>
        <w:t>Duplication-triplications</w:t>
      </w:r>
    </w:p>
    <w:p w14:paraId="4294A56B" w14:textId="3D15333D" w:rsidR="0054637A" w:rsidRPr="00BB3959" w:rsidRDefault="0054637A" w:rsidP="00DD05AD">
      <w:pPr>
        <w:jc w:val="both"/>
      </w:pPr>
      <w:r>
        <w:t>Another class of rearrangement, observed in two families, was the duplication-triplication structure. Although this type of SV appears complex, only 2 breakpoints are involved. Such SVs are also known as “Carvalho” type rearrangements</w:t>
      </w:r>
      <w:r w:rsidRPr="00053445">
        <w:rPr>
          <w:noProof/>
          <w:vertAlign w:val="superscript"/>
        </w:rPr>
        <w:t>33</w:t>
      </w:r>
      <w:r>
        <w:t xml:space="preserve"> and can be hard to resolve as 4 configurations can be possible. In this study, we identified only one such rearrangement with an unambiguous effect on gene function. This duplication-triplication involved </w:t>
      </w:r>
      <w:r w:rsidRPr="00BB3959">
        <w:rPr>
          <w:i/>
        </w:rPr>
        <w:t xml:space="preserve">COL4A5 </w:t>
      </w:r>
      <w:r w:rsidRPr="0024536F">
        <w:t>(</w:t>
      </w:r>
      <w:r w:rsidR="004D529F">
        <w:t>MIM *</w:t>
      </w:r>
      <w:r w:rsidR="004D529F" w:rsidRPr="004D529F">
        <w:t>303630</w:t>
      </w:r>
      <w:r w:rsidRPr="0024536F">
        <w:t>)</w:t>
      </w:r>
      <w:r w:rsidRPr="00BB3959">
        <w:rPr>
          <w:i/>
        </w:rPr>
        <w:t xml:space="preserve"> </w:t>
      </w:r>
      <w:r w:rsidRPr="00817FDE">
        <w:t xml:space="preserve">and </w:t>
      </w:r>
      <w:r>
        <w:t xml:space="preserve">was found </w:t>
      </w:r>
      <w:r w:rsidRPr="00817FDE">
        <w:t>in two affected family members recruited to 100kGP with familial haematuria</w:t>
      </w:r>
      <w:r>
        <w:t xml:space="preserve"> (Family 25). The SV was prioritised due to the 7kb </w:t>
      </w:r>
      <w:proofErr w:type="spellStart"/>
      <w:r>
        <w:t>MantaINV</w:t>
      </w:r>
      <w:proofErr w:type="spellEnd"/>
      <w:r>
        <w:t xml:space="preserve"> call (exons 4-6</w:t>
      </w:r>
      <w:r w:rsidR="004D529F">
        <w:t xml:space="preserve"> based on </w:t>
      </w:r>
      <w:r w:rsidR="004D529F" w:rsidRPr="0024536F">
        <w:t>NM_033380.3</w:t>
      </w:r>
      <w:r>
        <w:t xml:space="preserve">) which corresponds to the duplicated region at the proximal end of the SV (Figure S4). Inverted Alu elements present at the distal end of this rearrangement are notable given that </w:t>
      </w:r>
      <w:r w:rsidRPr="00B97569">
        <w:t>duplication-tr</w:t>
      </w:r>
      <w:r>
        <w:t xml:space="preserve">iplication/inverted-duplications are thought to </w:t>
      </w:r>
      <w:r w:rsidRPr="00B97569">
        <w:t xml:space="preserve">often </w:t>
      </w:r>
      <w:r>
        <w:t xml:space="preserve">be </w:t>
      </w:r>
      <w:r w:rsidRPr="00B97569">
        <w:t>mediated by pair</w:t>
      </w:r>
      <w:r>
        <w:t>s</w:t>
      </w:r>
      <w:r w:rsidRPr="00B97569">
        <w:t xml:space="preserve"> of inverted low-copy repeats</w:t>
      </w:r>
      <w:r>
        <w:t>.</w:t>
      </w:r>
      <w:r w:rsidRPr="00053445">
        <w:rPr>
          <w:noProof/>
          <w:vertAlign w:val="superscript"/>
        </w:rPr>
        <w:t>34</w:t>
      </w:r>
      <w:r>
        <w:t xml:space="preserve"> As the SV was fully intragenic to </w:t>
      </w:r>
      <w:r w:rsidRPr="00BB3959">
        <w:rPr>
          <w:i/>
        </w:rPr>
        <w:t>COL4A5</w:t>
      </w:r>
      <w:r>
        <w:t xml:space="preserve"> and involves multiple exons, it would likely disrupt gene-function whichever configuration is correct and so is consistent with a diagnosis of </w:t>
      </w:r>
      <w:r w:rsidRPr="0043587A">
        <w:t>Alport syndrome 1, X-linked</w:t>
      </w:r>
      <w:r>
        <w:t xml:space="preserve"> [MIM #</w:t>
      </w:r>
      <w:r w:rsidRPr="0043587A">
        <w:t>301050</w:t>
      </w:r>
      <w:r>
        <w:t>].</w:t>
      </w:r>
      <w:r w:rsidRPr="0043587A">
        <w:t xml:space="preserve"> </w:t>
      </w:r>
      <w:r>
        <w:t xml:space="preserve">A second duplication-triplication involving </w:t>
      </w:r>
      <w:r w:rsidRPr="00BB3959">
        <w:rPr>
          <w:i/>
        </w:rPr>
        <w:t xml:space="preserve">PDHA1 </w:t>
      </w:r>
      <w:r w:rsidRPr="006211EF">
        <w:t>(</w:t>
      </w:r>
      <w:r w:rsidR="00D26212">
        <w:t xml:space="preserve">MIM </w:t>
      </w:r>
      <w:r w:rsidR="00D26212" w:rsidRPr="00D26212">
        <w:t>*300502</w:t>
      </w:r>
      <w:r w:rsidR="00D26212">
        <w:t xml:space="preserve">; </w:t>
      </w:r>
      <w:r w:rsidRPr="006211EF">
        <w:t>NM_000284.4</w:t>
      </w:r>
      <w:r>
        <w:t xml:space="preserve">) in Family 41, </w:t>
      </w:r>
      <w:r w:rsidRPr="005A3B71">
        <w:t xml:space="preserve">prioritised due to </w:t>
      </w:r>
      <w:r>
        <w:t>a 4.5kb inversion call that involved exons 6-9 (Figure S5), was harder to interpret (Note S4).</w:t>
      </w:r>
    </w:p>
    <w:p w14:paraId="5B9AE518" w14:textId="77777777" w:rsidR="0054637A" w:rsidRPr="00E15414" w:rsidRDefault="0054637A" w:rsidP="00DD05AD">
      <w:pPr>
        <w:pStyle w:val="ListParagraph"/>
        <w:numPr>
          <w:ilvl w:val="0"/>
          <w:numId w:val="9"/>
        </w:numPr>
        <w:jc w:val="both"/>
        <w:rPr>
          <w:b/>
          <w:i/>
        </w:rPr>
      </w:pPr>
      <w:r w:rsidRPr="00E15414">
        <w:rPr>
          <w:b/>
          <w:i/>
        </w:rPr>
        <w:t>Interlinked duplications</w:t>
      </w:r>
    </w:p>
    <w:p w14:paraId="6053A0C9" w14:textId="5B6C8C50" w:rsidR="0054637A" w:rsidRDefault="0054637A" w:rsidP="00DD05AD">
      <w:pPr>
        <w:jc w:val="both"/>
      </w:pPr>
      <w:r>
        <w:t>Whilst most rare duplications are arranged in a direct tandem repeat orientation, ~20% of the time there is a more complex structure.</w:t>
      </w:r>
      <w:r w:rsidRPr="00053445">
        <w:rPr>
          <w:noProof/>
          <w:vertAlign w:val="superscript"/>
        </w:rPr>
        <w:t>10</w:t>
      </w:r>
      <w:r>
        <w:t xml:space="preserve"> Such rearrangements can also result in </w:t>
      </w:r>
      <w:proofErr w:type="spellStart"/>
      <w:r>
        <w:t>MantaINV</w:t>
      </w:r>
      <w:proofErr w:type="spellEnd"/>
      <w:r>
        <w:t xml:space="preserve"> calls, </w:t>
      </w:r>
      <w:r w:rsidRPr="00142015">
        <w:rPr>
          <w:rFonts w:cstheme="minorHAnsi"/>
        </w:rPr>
        <w:t>Family 44</w:t>
      </w:r>
      <w:r>
        <w:rPr>
          <w:rFonts w:cstheme="minorHAnsi"/>
        </w:rPr>
        <w:t xml:space="preserve"> being a good example. The proband was recruited to the 100kGP with a diagnosis of classical </w:t>
      </w:r>
      <w:r w:rsidR="005B7092">
        <w:rPr>
          <w:rFonts w:cstheme="minorHAnsi"/>
        </w:rPr>
        <w:t>Beckwith-</w:t>
      </w:r>
      <w:r>
        <w:rPr>
          <w:rFonts w:cstheme="minorHAnsi"/>
        </w:rPr>
        <w:t>Wiedemann syndrome [MIM #</w:t>
      </w:r>
      <w:r w:rsidRPr="002A2F7A">
        <w:rPr>
          <w:rFonts w:cstheme="minorHAnsi"/>
        </w:rPr>
        <w:t>130650</w:t>
      </w:r>
      <w:r>
        <w:rPr>
          <w:rFonts w:cstheme="minorHAnsi"/>
        </w:rPr>
        <w:t>]. T</w:t>
      </w:r>
      <w:r w:rsidRPr="00142015">
        <w:rPr>
          <w:rFonts w:cstheme="minorHAnsi"/>
        </w:rPr>
        <w:t xml:space="preserve">wo Manta inversion calls </w:t>
      </w:r>
      <w:r>
        <w:rPr>
          <w:rFonts w:cstheme="minorHAnsi"/>
        </w:rPr>
        <w:t xml:space="preserve">of </w:t>
      </w:r>
      <w:r w:rsidRPr="00142015">
        <w:rPr>
          <w:rFonts w:cstheme="minorHAnsi"/>
        </w:rPr>
        <w:t xml:space="preserve">635kb and 334kb </w:t>
      </w:r>
      <w:r>
        <w:rPr>
          <w:rFonts w:cstheme="minorHAnsi"/>
        </w:rPr>
        <w:t xml:space="preserve">were detected which lay close to </w:t>
      </w:r>
      <w:r w:rsidRPr="00C90453">
        <w:rPr>
          <w:rFonts w:cstheme="minorHAnsi"/>
          <w:i/>
        </w:rPr>
        <w:t>CDKN1C</w:t>
      </w:r>
      <w:r>
        <w:rPr>
          <w:rFonts w:cstheme="minorHAnsi"/>
        </w:rPr>
        <w:t xml:space="preserve"> (</w:t>
      </w:r>
      <w:r w:rsidR="00D26212">
        <w:rPr>
          <w:rFonts w:cstheme="minorHAnsi"/>
        </w:rPr>
        <w:t xml:space="preserve">MIM </w:t>
      </w:r>
      <w:r w:rsidR="00B17AD8">
        <w:rPr>
          <w:rFonts w:cstheme="minorHAnsi"/>
        </w:rPr>
        <w:t>*</w:t>
      </w:r>
      <w:r w:rsidR="00D26212" w:rsidRPr="00D26212">
        <w:rPr>
          <w:rFonts w:cstheme="minorHAnsi"/>
        </w:rPr>
        <w:t>600856</w:t>
      </w:r>
      <w:r w:rsidR="00D26212">
        <w:rPr>
          <w:rFonts w:cstheme="minorHAnsi"/>
        </w:rPr>
        <w:t xml:space="preserve">; </w:t>
      </w:r>
      <w:r>
        <w:rPr>
          <w:rFonts w:cstheme="minorHAnsi"/>
        </w:rPr>
        <w:t>Figure S6)</w:t>
      </w:r>
      <w:r>
        <w:rPr>
          <w:rFonts w:cstheme="minorHAnsi"/>
          <w:i/>
        </w:rPr>
        <w:t>.</w:t>
      </w:r>
      <w:r w:rsidRPr="00AF15F9">
        <w:rPr>
          <w:rFonts w:cstheme="minorHAnsi"/>
        </w:rPr>
        <w:t xml:space="preserve"> </w:t>
      </w:r>
      <w:r>
        <w:rPr>
          <w:rFonts w:cstheme="minorHAnsi"/>
        </w:rPr>
        <w:t xml:space="preserve">Closer scrutiny of the short-read data indicated that this </w:t>
      </w:r>
      <w:r w:rsidRPr="006531FF">
        <w:rPr>
          <w:rFonts w:cstheme="minorHAnsi"/>
          <w:i/>
        </w:rPr>
        <w:t>de novo</w:t>
      </w:r>
      <w:r>
        <w:rPr>
          <w:rFonts w:cstheme="minorHAnsi"/>
        </w:rPr>
        <w:t xml:space="preserve"> SV involved three interlinked duplications of 15-63kb (Figure S7). Three possible configurations could explain the short-read data (Figure S8), only one of which lay within </w:t>
      </w:r>
      <w:r w:rsidRPr="00FF3A1E">
        <w:rPr>
          <w:rFonts w:cstheme="minorHAnsi"/>
          <w:i/>
        </w:rPr>
        <w:t>KCNQ1</w:t>
      </w:r>
      <w:r w:rsidR="00B17AD8">
        <w:rPr>
          <w:rFonts w:cstheme="minorHAnsi"/>
          <w:i/>
        </w:rPr>
        <w:t xml:space="preserve"> </w:t>
      </w:r>
      <w:r w:rsidR="00B17AD8" w:rsidRPr="00F97B8B">
        <w:rPr>
          <w:rFonts w:cstheme="minorHAnsi"/>
          <w:iCs/>
        </w:rPr>
        <w:t>(</w:t>
      </w:r>
      <w:r w:rsidR="00B17AD8">
        <w:rPr>
          <w:rFonts w:cstheme="minorHAnsi"/>
          <w:iCs/>
        </w:rPr>
        <w:t xml:space="preserve">MIM </w:t>
      </w:r>
      <w:r w:rsidR="00B17AD8" w:rsidRPr="00F97B8B">
        <w:rPr>
          <w:rFonts w:cstheme="minorHAnsi"/>
          <w:iCs/>
        </w:rPr>
        <w:t>*607542)</w:t>
      </w:r>
      <w:r>
        <w:rPr>
          <w:rFonts w:cstheme="minorHAnsi"/>
        </w:rPr>
        <w:t xml:space="preserve">, which would likely disrupt methylation of the imprinting control region 2 (ICR2). To help resolve this structural ambiguity, the family was offered testing by </w:t>
      </w:r>
      <w:proofErr w:type="spellStart"/>
      <w:r>
        <w:rPr>
          <w:rFonts w:cstheme="minorHAnsi"/>
        </w:rPr>
        <w:t>Bionano</w:t>
      </w:r>
      <w:proofErr w:type="spellEnd"/>
      <w:r>
        <w:rPr>
          <w:rFonts w:cstheme="minorHAnsi"/>
        </w:rPr>
        <w:t xml:space="preserve"> optical mapping on a research basis, but declined. D</w:t>
      </w:r>
      <w:r w:rsidRPr="00AF15F9">
        <w:rPr>
          <w:rFonts w:cstheme="minorHAnsi"/>
        </w:rPr>
        <w:t xml:space="preserve">espite having </w:t>
      </w:r>
      <w:r>
        <w:rPr>
          <w:rFonts w:cstheme="minorHAnsi"/>
        </w:rPr>
        <w:t>only short-</w:t>
      </w:r>
      <w:r w:rsidRPr="00AF15F9">
        <w:rPr>
          <w:rFonts w:cstheme="minorHAnsi"/>
        </w:rPr>
        <w:t>read</w:t>
      </w:r>
      <w:r>
        <w:rPr>
          <w:rFonts w:cstheme="minorHAnsi"/>
        </w:rPr>
        <w:t xml:space="preserve"> data</w:t>
      </w:r>
      <w:r w:rsidRPr="00AF15F9">
        <w:rPr>
          <w:rFonts w:cstheme="minorHAnsi"/>
        </w:rPr>
        <w:t xml:space="preserve"> for this family, phasing the </w:t>
      </w:r>
      <w:r w:rsidRPr="00C90453">
        <w:rPr>
          <w:rFonts w:cstheme="minorHAnsi"/>
          <w:i/>
        </w:rPr>
        <w:t>de novo</w:t>
      </w:r>
      <w:r w:rsidRPr="00AF15F9">
        <w:rPr>
          <w:rFonts w:cstheme="minorHAnsi"/>
        </w:rPr>
        <w:t xml:space="preserve"> SV was possible using </w:t>
      </w:r>
      <w:r>
        <w:rPr>
          <w:rFonts w:cstheme="minorHAnsi"/>
        </w:rPr>
        <w:t xml:space="preserve">four </w:t>
      </w:r>
      <w:r w:rsidRPr="00AF15F9">
        <w:rPr>
          <w:rFonts w:cstheme="minorHAnsi"/>
        </w:rPr>
        <w:t>informative SNPs</w:t>
      </w:r>
      <w:r>
        <w:rPr>
          <w:rFonts w:cstheme="minorHAnsi"/>
        </w:rPr>
        <w:t xml:space="preserve"> that </w:t>
      </w:r>
      <w:r w:rsidRPr="00AF15F9">
        <w:rPr>
          <w:rFonts w:cstheme="minorHAnsi"/>
        </w:rPr>
        <w:t>lie close to breakpoints</w:t>
      </w:r>
      <w:r>
        <w:rPr>
          <w:rFonts w:cstheme="minorHAnsi"/>
        </w:rPr>
        <w:t xml:space="preserve"> (Figure S9)</w:t>
      </w:r>
      <w:r w:rsidRPr="00AF15F9">
        <w:rPr>
          <w:rFonts w:cstheme="minorHAnsi"/>
        </w:rPr>
        <w:t xml:space="preserve">. The SV </w:t>
      </w:r>
      <w:r>
        <w:rPr>
          <w:rFonts w:cstheme="minorHAnsi"/>
        </w:rPr>
        <w:t xml:space="preserve">was shown to have </w:t>
      </w:r>
      <w:r w:rsidRPr="00AF15F9">
        <w:rPr>
          <w:rFonts w:cstheme="minorHAnsi"/>
        </w:rPr>
        <w:t>occurred on the maternal chromosome</w:t>
      </w:r>
      <w:r>
        <w:rPr>
          <w:rFonts w:cstheme="minorHAnsi"/>
        </w:rPr>
        <w:t>,</w:t>
      </w:r>
      <w:r w:rsidRPr="00AF15F9">
        <w:rPr>
          <w:rFonts w:cstheme="minorHAnsi"/>
        </w:rPr>
        <w:t xml:space="preserve"> which fits with the imprinted nature of this locus</w:t>
      </w:r>
      <w:r>
        <w:rPr>
          <w:rFonts w:cstheme="minorHAnsi"/>
        </w:rPr>
        <w:t xml:space="preserve"> and the fact that </w:t>
      </w:r>
      <w:r w:rsidRPr="001D300C">
        <w:rPr>
          <w:rFonts w:cstheme="minorHAnsi"/>
          <w:i/>
        </w:rPr>
        <w:t>CDKN1C</w:t>
      </w:r>
      <w:r>
        <w:rPr>
          <w:rFonts w:cstheme="minorHAnsi"/>
        </w:rPr>
        <w:t xml:space="preserve"> is normally expressed exclusively from the maternal chromosome</w:t>
      </w:r>
      <w:r w:rsidRPr="00AF15F9">
        <w:rPr>
          <w:rFonts w:cstheme="minorHAnsi"/>
        </w:rPr>
        <w:t>.</w:t>
      </w:r>
      <w:r w:rsidRPr="00053445">
        <w:rPr>
          <w:rFonts w:cstheme="minorHAnsi"/>
          <w:noProof/>
          <w:vertAlign w:val="superscript"/>
        </w:rPr>
        <w:t>35</w:t>
      </w:r>
      <w:r>
        <w:t xml:space="preserve"> A similar </w:t>
      </w:r>
      <w:r>
        <w:lastRenderedPageBreak/>
        <w:t>pattern of 3 interlinked duplications was observed in Family 31 (</w:t>
      </w:r>
      <w:r w:rsidRPr="00430D40">
        <w:rPr>
          <w:i/>
        </w:rPr>
        <w:t>K</w:t>
      </w:r>
      <w:r>
        <w:rPr>
          <w:i/>
        </w:rPr>
        <w:t>DM</w:t>
      </w:r>
      <w:r w:rsidRPr="00430D40">
        <w:rPr>
          <w:i/>
        </w:rPr>
        <w:t>6A</w:t>
      </w:r>
      <w:r w:rsidR="00D46276" w:rsidRPr="00D46276">
        <w:rPr>
          <w:iCs/>
        </w:rPr>
        <w:t>, MIM *300128</w:t>
      </w:r>
      <w:r w:rsidRPr="006531FF">
        <w:t>)</w:t>
      </w:r>
      <w:r>
        <w:t xml:space="preserve"> and Family 40 (</w:t>
      </w:r>
      <w:r w:rsidRPr="00430D40">
        <w:rPr>
          <w:i/>
        </w:rPr>
        <w:t>NF2</w:t>
      </w:r>
      <w:r w:rsidRPr="00B120B8">
        <w:rPr>
          <w:iCs/>
        </w:rPr>
        <w:t xml:space="preserve">, </w:t>
      </w:r>
      <w:r w:rsidR="00B120B8">
        <w:t>MIM *</w:t>
      </w:r>
      <w:r w:rsidR="00B120B8" w:rsidRPr="00B120B8">
        <w:t>607379</w:t>
      </w:r>
      <w:r w:rsidR="00B120B8">
        <w:t xml:space="preserve">), </w:t>
      </w:r>
      <w:r w:rsidRPr="006531FF">
        <w:t>described below</w:t>
      </w:r>
      <w:r>
        <w:t>.</w:t>
      </w:r>
    </w:p>
    <w:p w14:paraId="034C1B69" w14:textId="77777777" w:rsidR="0054637A" w:rsidRPr="00E15414" w:rsidRDefault="0054637A" w:rsidP="00DD05AD">
      <w:pPr>
        <w:pStyle w:val="ListParagraph"/>
        <w:numPr>
          <w:ilvl w:val="0"/>
          <w:numId w:val="9"/>
        </w:numPr>
        <w:jc w:val="both"/>
        <w:rPr>
          <w:b/>
          <w:i/>
        </w:rPr>
      </w:pPr>
      <w:r w:rsidRPr="00E15414">
        <w:rPr>
          <w:b/>
          <w:i/>
        </w:rPr>
        <w:t>Other types of complex SV</w:t>
      </w:r>
    </w:p>
    <w:p w14:paraId="19C43D33" w14:textId="269E91C2" w:rsidR="0054637A" w:rsidRPr="009439E3" w:rsidRDefault="0054637A" w:rsidP="00DD05AD">
      <w:pPr>
        <w:jc w:val="both"/>
      </w:pPr>
      <w:r w:rsidRPr="00AC4AF5">
        <w:t xml:space="preserve">Other complex SVs were identified which did not fit into </w:t>
      </w:r>
      <w:r>
        <w:t xml:space="preserve">discrete </w:t>
      </w:r>
      <w:r w:rsidRPr="00AC4AF5">
        <w:t>sub</w:t>
      </w:r>
      <w:r>
        <w:t>types</w:t>
      </w:r>
      <w:r w:rsidRPr="00AC4AF5">
        <w:t>. One such SV was</w:t>
      </w:r>
      <w:r>
        <w:t xml:space="preserve"> identified in a female proband (Family 30) recruited to 100kGP due to a clinical suspicion of e</w:t>
      </w:r>
      <w:r w:rsidRPr="00AC4AF5">
        <w:t>ctodermal dysplasia</w:t>
      </w:r>
      <w:r>
        <w:t xml:space="preserve">. Other features included </w:t>
      </w:r>
      <w:r w:rsidRPr="00AC4AF5">
        <w:t>bilateral talipes</w:t>
      </w:r>
      <w:r>
        <w:t xml:space="preserve"> (from birth), c</w:t>
      </w:r>
      <w:r w:rsidRPr="00AC4AF5">
        <w:t>onical teeth</w:t>
      </w:r>
      <w:r>
        <w:t xml:space="preserve"> and s</w:t>
      </w:r>
      <w:r w:rsidRPr="00AC4AF5">
        <w:t>lightly fine scalp hair. Height</w:t>
      </w:r>
      <w:r>
        <w:t xml:space="preserve"> and </w:t>
      </w:r>
      <w:r w:rsidRPr="00AC4AF5">
        <w:t xml:space="preserve">head circumference </w:t>
      </w:r>
      <w:r>
        <w:t xml:space="preserve">were </w:t>
      </w:r>
      <w:r w:rsidRPr="00AC4AF5">
        <w:t xml:space="preserve">within the normal range. Nails </w:t>
      </w:r>
      <w:r>
        <w:t xml:space="preserve">were </w:t>
      </w:r>
      <w:r w:rsidRPr="00AC4AF5">
        <w:t>noted to be slightly thin, especially those of her great toes. Overall</w:t>
      </w:r>
      <w:r>
        <w:t xml:space="preserve">, </w:t>
      </w:r>
      <w:r w:rsidRPr="00AC4AF5">
        <w:t xml:space="preserve">there </w:t>
      </w:r>
      <w:r>
        <w:t>we</w:t>
      </w:r>
      <w:r w:rsidRPr="00AC4AF5">
        <w:t>re clear, though mild features of ectodermal dysplasia</w:t>
      </w:r>
      <w:r>
        <w:t xml:space="preserve"> and </w:t>
      </w:r>
      <w:r w:rsidRPr="007C003A">
        <w:rPr>
          <w:i/>
        </w:rPr>
        <w:t>EDAR</w:t>
      </w:r>
      <w:r>
        <w:t xml:space="preserve"> </w:t>
      </w:r>
      <w:r w:rsidR="008D0DA8">
        <w:t xml:space="preserve">(MIM </w:t>
      </w:r>
      <w:r w:rsidR="008D0DA8" w:rsidRPr="008D0DA8">
        <w:t>*604095</w:t>
      </w:r>
      <w:r w:rsidR="008D0DA8">
        <w:t xml:space="preserve">) </w:t>
      </w:r>
      <w:r w:rsidR="00C64774">
        <w:t xml:space="preserve">variants </w:t>
      </w:r>
      <w:r>
        <w:t>had been excluded prior to recruitment to the 100kGP. A r</w:t>
      </w:r>
      <w:r w:rsidRPr="00AC4AF5">
        <w:t xml:space="preserve">esemblance to the X-linked </w:t>
      </w:r>
      <w:proofErr w:type="spellStart"/>
      <w:r w:rsidRPr="00AC4AF5">
        <w:t>hypohydrotic</w:t>
      </w:r>
      <w:proofErr w:type="spellEnd"/>
      <w:r w:rsidRPr="00AC4AF5">
        <w:t xml:space="preserve"> ectodermal dysplasia form</w:t>
      </w:r>
      <w:r>
        <w:t xml:space="preserve"> [MIM #</w:t>
      </w:r>
      <w:r w:rsidRPr="00DE127E">
        <w:t>305100</w:t>
      </w:r>
      <w:r>
        <w:t>] was noted,</w:t>
      </w:r>
      <w:r w:rsidRPr="004E4D86">
        <w:t xml:space="preserve"> </w:t>
      </w:r>
      <w:r>
        <w:t xml:space="preserve">despite </w:t>
      </w:r>
      <w:r w:rsidRPr="00AC4AF5">
        <w:t xml:space="preserve">episodes of heat intolerance </w:t>
      </w:r>
      <w:r>
        <w:t xml:space="preserve">not being </w:t>
      </w:r>
      <w:r w:rsidRPr="00AC4AF5">
        <w:t>reported</w:t>
      </w:r>
      <w:r>
        <w:t xml:space="preserve">. </w:t>
      </w:r>
      <w:r w:rsidRPr="004E4D86">
        <w:t xml:space="preserve">Two </w:t>
      </w:r>
      <w:proofErr w:type="spellStart"/>
      <w:r w:rsidRPr="004E4D86">
        <w:t>MantaINV</w:t>
      </w:r>
      <w:proofErr w:type="spellEnd"/>
      <w:r w:rsidRPr="004E4D86">
        <w:t xml:space="preserve"> calls o</w:t>
      </w:r>
      <w:r>
        <w:t xml:space="preserve">f 377kb and 340kb were identified, each with a breakpoint lying in intron 1 of </w:t>
      </w:r>
      <w:r w:rsidRPr="004E4D86">
        <w:rPr>
          <w:i/>
        </w:rPr>
        <w:t>EDA</w:t>
      </w:r>
      <w:r w:rsidR="008D0DA8">
        <w:rPr>
          <w:i/>
        </w:rPr>
        <w:t xml:space="preserve"> </w:t>
      </w:r>
      <w:r w:rsidR="008D0DA8" w:rsidRPr="008D0DA8">
        <w:rPr>
          <w:iCs/>
        </w:rPr>
        <w:t>(</w:t>
      </w:r>
      <w:r w:rsidR="008D0DA8">
        <w:rPr>
          <w:iCs/>
        </w:rPr>
        <w:t xml:space="preserve">MIM </w:t>
      </w:r>
      <w:r w:rsidR="008D0DA8" w:rsidRPr="008D0DA8">
        <w:rPr>
          <w:iCs/>
        </w:rPr>
        <w:t>*300451)</w:t>
      </w:r>
      <w:r>
        <w:t xml:space="preserve">. Closer scrutiny of the data showed that the rearrangement involved two non-tandem duplications that had been inserted into </w:t>
      </w:r>
      <w:r w:rsidRPr="004E4D86">
        <w:rPr>
          <w:i/>
        </w:rPr>
        <w:t>EDA</w:t>
      </w:r>
      <w:r>
        <w:rPr>
          <w:i/>
        </w:rPr>
        <w:t xml:space="preserve"> </w:t>
      </w:r>
      <w:r w:rsidRPr="004E4D86">
        <w:t>at the site of a 42kb deletion</w:t>
      </w:r>
      <w:r>
        <w:t xml:space="preserve"> (Figure S10A</w:t>
      </w:r>
      <w:proofErr w:type="gramStart"/>
      <w:r>
        <w:t>,B</w:t>
      </w:r>
      <w:proofErr w:type="gramEnd"/>
      <w:r>
        <w:t xml:space="preserve">). The rearrangement was ambiguous with short-read data, with 3 possible configurations (Figure S10C), although all would likely be disruptive for </w:t>
      </w:r>
      <w:r w:rsidRPr="0061670D">
        <w:rPr>
          <w:i/>
        </w:rPr>
        <w:t>EDA</w:t>
      </w:r>
      <w:r>
        <w:t xml:space="preserve"> function. The SV was also shown to have arisen </w:t>
      </w:r>
      <w:r w:rsidRPr="004E4D86">
        <w:rPr>
          <w:i/>
        </w:rPr>
        <w:t>de novo</w:t>
      </w:r>
      <w:r>
        <w:t xml:space="preserve"> and occurred on the paternal chromosome, a finding which could be of value if accurate recurrent risk estimates are needed.</w:t>
      </w:r>
      <w:r w:rsidRPr="00053445">
        <w:rPr>
          <w:noProof/>
          <w:vertAlign w:val="superscript"/>
        </w:rPr>
        <w:t>36</w:t>
      </w:r>
    </w:p>
    <w:p w14:paraId="186C8DE5" w14:textId="6E4FC914" w:rsidR="0054637A" w:rsidRDefault="0054637A" w:rsidP="00DD05AD">
      <w:pPr>
        <w:jc w:val="both"/>
      </w:pPr>
      <w:r>
        <w:t xml:space="preserve">Another unusual SV was identified in </w:t>
      </w:r>
      <w:r w:rsidRPr="0002596B">
        <w:t xml:space="preserve">Family </w:t>
      </w:r>
      <w:r>
        <w:t>3</w:t>
      </w:r>
      <w:r w:rsidRPr="0002596B">
        <w:t>9</w:t>
      </w:r>
      <w:r>
        <w:t xml:space="preserve"> where two immediately adjacent inversions of 3.9Mb and 1.4Mb had been detected. The middle of the three breakpoints disrupted intron 20 of </w:t>
      </w:r>
      <w:r w:rsidRPr="00430D40">
        <w:rPr>
          <w:i/>
        </w:rPr>
        <w:t>CUL4B</w:t>
      </w:r>
      <w:r>
        <w:rPr>
          <w:i/>
        </w:rPr>
        <w:t xml:space="preserve"> </w:t>
      </w:r>
      <w:r w:rsidRPr="00A9503D">
        <w:t>(</w:t>
      </w:r>
      <w:r w:rsidR="00D46276">
        <w:t xml:space="preserve">MIM </w:t>
      </w:r>
      <w:r w:rsidR="00D46276" w:rsidRPr="00D46276">
        <w:t>*300304</w:t>
      </w:r>
      <w:r w:rsidR="00D46276">
        <w:t xml:space="preserve">; </w:t>
      </w:r>
      <w:r>
        <w:t>NM_003588.4</w:t>
      </w:r>
      <w:r w:rsidR="00D46276">
        <w:t>) (</w:t>
      </w:r>
      <w:r w:rsidRPr="00064664">
        <w:t>Figure S</w:t>
      </w:r>
      <w:r>
        <w:t>11</w:t>
      </w:r>
      <w:r w:rsidRPr="00064664">
        <w:t>)</w:t>
      </w:r>
      <w:r>
        <w:rPr>
          <w:i/>
        </w:rPr>
        <w:t xml:space="preserve">. </w:t>
      </w:r>
      <w:r>
        <w:t>This boy had been recruited to the DDD study</w:t>
      </w:r>
      <w:r w:rsidRPr="00053445">
        <w:rPr>
          <w:noProof/>
          <w:vertAlign w:val="superscript"/>
        </w:rPr>
        <w:t>37</w:t>
      </w:r>
      <w:r>
        <w:t xml:space="preserve"> (which did not pick up any likely pathogenic variants) and then to the 100kGP, with a diagnosis of intellectual disability, </w:t>
      </w:r>
      <w:r w:rsidRPr="0002596B">
        <w:t>severe global delay and seizures</w:t>
      </w:r>
      <w:r>
        <w:t>. His phenotype was considered to be consistent with “</w:t>
      </w:r>
      <w:r w:rsidRPr="0002596B">
        <w:t>Intellectual developmental disorder, X-linked syndromic, Cabezas type</w:t>
      </w:r>
      <w:r>
        <w:t>” [MIM #300354].</w:t>
      </w:r>
      <w:r>
        <w:rPr>
          <w:i/>
        </w:rPr>
        <w:t xml:space="preserve"> </w:t>
      </w:r>
      <w:r>
        <w:t xml:space="preserve">Although the father had been recruited to the 100kGP coded as affected, from the limited information available his condition appeared to be much less severe than that seen in his son. Given the </w:t>
      </w:r>
      <w:r w:rsidRPr="00064664">
        <w:rPr>
          <w:i/>
        </w:rPr>
        <w:t xml:space="preserve">de novo </w:t>
      </w:r>
      <w:r>
        <w:t xml:space="preserve">disruption of </w:t>
      </w:r>
      <w:r w:rsidRPr="00064664">
        <w:rPr>
          <w:i/>
        </w:rPr>
        <w:t>CUL4B</w:t>
      </w:r>
      <w:r>
        <w:t>, it may now be appropriate for the genome sequencing data for the father to be re-examined as a singleton, to search for an alternative genetic diagnosis.</w:t>
      </w:r>
    </w:p>
    <w:p w14:paraId="178C55CC" w14:textId="4F0EB4F8" w:rsidR="0054637A" w:rsidRPr="00FF17B1" w:rsidRDefault="0054637A" w:rsidP="00DD05AD">
      <w:pPr>
        <w:jc w:val="both"/>
      </w:pPr>
      <w:r>
        <w:t xml:space="preserve">The most </w:t>
      </w:r>
      <w:r w:rsidRPr="009439E3">
        <w:t xml:space="preserve">complex SV </w:t>
      </w:r>
      <w:r>
        <w:t xml:space="preserve">in the present study </w:t>
      </w:r>
      <w:r w:rsidRPr="009439E3">
        <w:t xml:space="preserve">was </w:t>
      </w:r>
      <w:r>
        <w:t xml:space="preserve">the </w:t>
      </w:r>
      <w:r w:rsidRPr="009439E3">
        <w:t xml:space="preserve">translocation </w:t>
      </w:r>
      <w:r>
        <w:t xml:space="preserve">involving chromosomes 5 and 11, with </w:t>
      </w:r>
      <w:r w:rsidRPr="009439E3">
        <w:t xml:space="preserve">9 rearranged segments </w:t>
      </w:r>
      <w:r>
        <w:t xml:space="preserve">(Family 43) </w:t>
      </w:r>
      <w:r w:rsidRPr="009439E3">
        <w:t xml:space="preserve">that disrupted </w:t>
      </w:r>
      <w:r w:rsidRPr="009439E3">
        <w:rPr>
          <w:i/>
        </w:rPr>
        <w:t>APC</w:t>
      </w:r>
      <w:r w:rsidR="00D46276">
        <w:rPr>
          <w:i/>
        </w:rPr>
        <w:t xml:space="preserve"> </w:t>
      </w:r>
      <w:r w:rsidR="00D46276" w:rsidRPr="00D46276">
        <w:t>(</w:t>
      </w:r>
      <w:r w:rsidR="00D46276">
        <w:t xml:space="preserve">MIM </w:t>
      </w:r>
      <w:r w:rsidR="00D46276" w:rsidRPr="00D46276">
        <w:t>*611731)</w:t>
      </w:r>
      <w:r>
        <w:t xml:space="preserve">. This rearrangement and how it resolved a clinical dilemma is </w:t>
      </w:r>
      <w:r w:rsidRPr="009439E3">
        <w:t xml:space="preserve">described </w:t>
      </w:r>
      <w:r>
        <w:t>below (exemplar 4).</w:t>
      </w:r>
    </w:p>
    <w:p w14:paraId="7DC43126" w14:textId="77777777" w:rsidR="0054637A" w:rsidRDefault="0054637A" w:rsidP="00DD05AD">
      <w:pPr>
        <w:jc w:val="both"/>
        <w:rPr>
          <w:b/>
          <w:i/>
        </w:rPr>
      </w:pPr>
      <w:r>
        <w:rPr>
          <w:b/>
          <w:i/>
        </w:rPr>
        <w:t>V</w:t>
      </w:r>
      <w:r w:rsidRPr="005B1BC7">
        <w:rPr>
          <w:b/>
          <w:i/>
        </w:rPr>
        <w:t xml:space="preserve">alidation </w:t>
      </w:r>
      <w:r>
        <w:rPr>
          <w:b/>
          <w:i/>
        </w:rPr>
        <w:t>status</w:t>
      </w:r>
    </w:p>
    <w:p w14:paraId="6A9E67ED" w14:textId="77777777" w:rsidR="0054637A" w:rsidRDefault="0054637A" w:rsidP="00DD05AD">
      <w:pPr>
        <w:jc w:val="both"/>
      </w:pPr>
      <w:r>
        <w:t xml:space="preserve">Our analysis was performed on a clinical </w:t>
      </w:r>
      <w:r w:rsidRPr="00C15CE9">
        <w:t>cohort</w:t>
      </w:r>
      <w:r>
        <w:t xml:space="preserve"> spread across the UK and involving many different GLHs. Across these GLHs there was variable experience/resource available for validation and reporting of complex SVs from the 100kGP. These efforts are therefore ongoing and data on these aspects are incomplete. To the best of our knowledge,</w:t>
      </w:r>
      <w:r w:rsidRPr="0064597E">
        <w:t xml:space="preserve"> </w:t>
      </w:r>
      <w:r>
        <w:t>~18 months after reporting this set of variants, 28/47 (60%) of the SVs reported here have now been confirmed at the DNA level, with a range of orthogonal approaches (Table S2, Table S3). The most commonly used approach was PCR/Sanger sequencing, which was undertaken in 17/47. For some individuals, more than one method was used (Figure 1D).</w:t>
      </w:r>
    </w:p>
    <w:p w14:paraId="5A05E94E" w14:textId="77777777" w:rsidR="0054637A" w:rsidRPr="00C43ABC" w:rsidRDefault="0054637A" w:rsidP="00DD05AD">
      <w:pPr>
        <w:pStyle w:val="ListParagraph"/>
        <w:numPr>
          <w:ilvl w:val="0"/>
          <w:numId w:val="9"/>
        </w:numPr>
        <w:jc w:val="both"/>
        <w:rPr>
          <w:b/>
        </w:rPr>
      </w:pPr>
      <w:r w:rsidRPr="00C43ABC">
        <w:rPr>
          <w:b/>
        </w:rPr>
        <w:t>Retrospective analysis of exomes</w:t>
      </w:r>
    </w:p>
    <w:p w14:paraId="2FD438FE" w14:textId="77777777" w:rsidR="0054637A" w:rsidRPr="00C43ABC" w:rsidRDefault="0054637A" w:rsidP="00DD05AD">
      <w:pPr>
        <w:jc w:val="both"/>
      </w:pPr>
      <w:r w:rsidRPr="00C43ABC">
        <w:t>For six families (6, 12, 29, 36, 37 and 39), exome sequencing had been performed previously as part of the DDD study</w:t>
      </w:r>
      <w:r w:rsidRPr="00053445">
        <w:rPr>
          <w:noProof/>
          <w:vertAlign w:val="superscript"/>
        </w:rPr>
        <w:t>37</w:t>
      </w:r>
      <w:r w:rsidRPr="00C43ABC">
        <w:t xml:space="preserve"> and read alignment data was available for review. For 2/6 </w:t>
      </w:r>
      <w:r>
        <w:t>participants</w:t>
      </w:r>
      <w:r w:rsidRPr="00C43ABC">
        <w:t>, retrospective analysis of this exome data was able to validate the SV. The first of these was the individual with a blended phenotype (Family 12, Note S3). The complex SV involving</w:t>
      </w:r>
      <w:r w:rsidRPr="00C43ABC">
        <w:rPr>
          <w:i/>
        </w:rPr>
        <w:t xml:space="preserve"> EFTUD2</w:t>
      </w:r>
      <w:r w:rsidRPr="00C43ABC">
        <w:t xml:space="preserve"> </w:t>
      </w:r>
      <w:r w:rsidRPr="00C43ABC">
        <w:lastRenderedPageBreak/>
        <w:t>(NM_004247.4) removes exons 3-6 and partially deletes exon 7. As the exon 7 breakpoint lies right in the middle of the exon (Figure S12A,B), it is not surprising that it was captured by the exome data (Figure S12C).</w:t>
      </w:r>
    </w:p>
    <w:p w14:paraId="7B9B3213" w14:textId="49FD064C" w:rsidR="0054637A" w:rsidRPr="00C43ABC" w:rsidRDefault="0054637A" w:rsidP="00DD05AD">
      <w:pPr>
        <w:jc w:val="both"/>
      </w:pPr>
      <w:r w:rsidRPr="00C43ABC">
        <w:t xml:space="preserve">The second </w:t>
      </w:r>
      <w:r>
        <w:t xml:space="preserve">participant </w:t>
      </w:r>
      <w:r w:rsidRPr="00C43ABC">
        <w:t xml:space="preserve">where exome data could be used to confirm an inversion was a </w:t>
      </w:r>
      <w:r w:rsidR="002D0AD6">
        <w:t xml:space="preserve">female </w:t>
      </w:r>
      <w:r w:rsidRPr="00C43ABC">
        <w:t xml:space="preserve">recruited to 100kGP due to severe intellectual disability seizures (Family 6). Before the DDD study/100kGP, prior testing had included </w:t>
      </w:r>
      <w:r w:rsidRPr="00C43ABC">
        <w:rPr>
          <w:i/>
        </w:rPr>
        <w:t>TCF4</w:t>
      </w:r>
      <w:r w:rsidRPr="00C43ABC">
        <w:t xml:space="preserve"> </w:t>
      </w:r>
      <w:r w:rsidR="00B120B8">
        <w:t xml:space="preserve">(MIM </w:t>
      </w:r>
      <w:r w:rsidR="00B120B8" w:rsidRPr="00B120B8">
        <w:t>*602272</w:t>
      </w:r>
      <w:r w:rsidR="00B120B8">
        <w:t xml:space="preserve">) </w:t>
      </w:r>
      <w:r w:rsidRPr="00C43ABC">
        <w:t xml:space="preserve">and array-CGH. We identified a </w:t>
      </w:r>
      <w:r w:rsidRPr="00C43ABC">
        <w:rPr>
          <w:i/>
        </w:rPr>
        <w:t>de novo</w:t>
      </w:r>
      <w:r w:rsidRPr="00C43ABC">
        <w:t xml:space="preserve"> 1.3Mb inversion with a proximal breakpoint lying in intron 3 of </w:t>
      </w:r>
      <w:r w:rsidRPr="00C43ABC">
        <w:rPr>
          <w:i/>
        </w:rPr>
        <w:t>SOX5</w:t>
      </w:r>
      <w:r w:rsidRPr="00C43ABC">
        <w:t xml:space="preserve"> (</w:t>
      </w:r>
      <w:r w:rsidR="00B120B8">
        <w:t>MIM</w:t>
      </w:r>
      <w:r w:rsidR="00B120B8" w:rsidRPr="00B120B8">
        <w:t xml:space="preserve"> *604975</w:t>
      </w:r>
      <w:r w:rsidR="00B120B8">
        <w:t xml:space="preserve">; </w:t>
      </w:r>
      <w:r w:rsidRPr="00C43ABC">
        <w:t xml:space="preserve">NM_006940.6), which resolved the diagnosis to that of Lamb-Shaffer syndrome </w:t>
      </w:r>
      <w:r>
        <w:t>[</w:t>
      </w:r>
      <w:r w:rsidRPr="00C43ABC">
        <w:t>MIM #616803</w:t>
      </w:r>
      <w:r>
        <w:t>]</w:t>
      </w:r>
      <w:r w:rsidRPr="00C43ABC">
        <w:t>.</w:t>
      </w:r>
      <w:r w:rsidRPr="00053445">
        <w:rPr>
          <w:noProof/>
          <w:vertAlign w:val="superscript"/>
        </w:rPr>
        <w:t>38</w:t>
      </w:r>
      <w:r w:rsidRPr="00C43ABC">
        <w:t xml:space="preserve"> Although that breakpoint lay almost 400bp from the exon boundary and despite only 5-6x coverage at the breakpoint, we identified one read mapping to the distal end of the inversion that contained inverted sequence from the proximal end (Figure S13). This helped confirm the findings from the genome sequencing data and resolved a 41-year odyssey. Clinical utility extends to the brother as we can now confirm low recurrence risk to his offspring.</w:t>
      </w:r>
    </w:p>
    <w:p w14:paraId="0BDCFFE3" w14:textId="77777777" w:rsidR="0054637A" w:rsidRPr="00C43ABC" w:rsidRDefault="0054637A" w:rsidP="00DD05AD">
      <w:pPr>
        <w:pStyle w:val="ListParagraph"/>
        <w:numPr>
          <w:ilvl w:val="0"/>
          <w:numId w:val="9"/>
        </w:numPr>
        <w:jc w:val="both"/>
        <w:rPr>
          <w:b/>
        </w:rPr>
      </w:pPr>
      <w:r w:rsidRPr="00C43ABC">
        <w:rPr>
          <w:b/>
        </w:rPr>
        <w:t>Array testing</w:t>
      </w:r>
    </w:p>
    <w:p w14:paraId="38515A0B" w14:textId="77777777" w:rsidR="0054637A" w:rsidRDefault="0054637A" w:rsidP="00DD05AD">
      <w:pPr>
        <w:jc w:val="both"/>
      </w:pPr>
      <w:r w:rsidRPr="00C43ABC">
        <w:t xml:space="preserve">Three complex SVs involving duplicated segments had already been identified by array testing prior to 100kGP recruitment, although the additional complexity had not previously been realised. This included the duplication-triplication involving </w:t>
      </w:r>
      <w:r w:rsidRPr="00C43ABC">
        <w:rPr>
          <w:i/>
        </w:rPr>
        <w:t xml:space="preserve">PDHA1 </w:t>
      </w:r>
      <w:r w:rsidRPr="00C43ABC">
        <w:t>(Family 41, described below)</w:t>
      </w:r>
      <w:r w:rsidRPr="00C43ABC">
        <w:rPr>
          <w:i/>
        </w:rPr>
        <w:t xml:space="preserve">, </w:t>
      </w:r>
      <w:r w:rsidRPr="00C43ABC">
        <w:t>a</w:t>
      </w:r>
      <w:r>
        <w:t xml:space="preserve"> participant </w:t>
      </w:r>
      <w:r w:rsidRPr="00C43ABC">
        <w:t xml:space="preserve">with three interlinked duplications involving </w:t>
      </w:r>
      <w:r w:rsidRPr="00C43ABC">
        <w:rPr>
          <w:i/>
        </w:rPr>
        <w:t>KDM6A</w:t>
      </w:r>
      <w:r w:rsidRPr="00C43ABC">
        <w:t xml:space="preserve"> (Family 31) and a rare 721kb duplication in a female with suspected Rett syndrome (Family 29) which was assumed to be a tandem event, but for which, the sequence data shows has been inserted into </w:t>
      </w:r>
      <w:r w:rsidRPr="00C43ABC">
        <w:rPr>
          <w:i/>
        </w:rPr>
        <w:t>CDKL5</w:t>
      </w:r>
      <w:r w:rsidRPr="00C43ABC">
        <w:t>.</w:t>
      </w:r>
    </w:p>
    <w:p w14:paraId="23F822C7" w14:textId="77777777" w:rsidR="0054637A" w:rsidRDefault="0054637A" w:rsidP="00DD05AD">
      <w:pPr>
        <w:pStyle w:val="ListParagraph"/>
        <w:numPr>
          <w:ilvl w:val="0"/>
          <w:numId w:val="9"/>
        </w:numPr>
        <w:jc w:val="both"/>
      </w:pPr>
      <w:r w:rsidRPr="0094532F">
        <w:rPr>
          <w:b/>
          <w:i/>
        </w:rPr>
        <w:t>Long-read genome sequencing</w:t>
      </w:r>
    </w:p>
    <w:p w14:paraId="015AEA6A" w14:textId="77777777" w:rsidR="0054637A" w:rsidRDefault="0054637A" w:rsidP="00DD05AD">
      <w:pPr>
        <w:spacing w:after="0" w:line="240" w:lineRule="auto"/>
        <w:jc w:val="both"/>
        <w:textAlignment w:val="baseline"/>
        <w:rPr>
          <w:rFonts w:cstheme="minorHAnsi"/>
        </w:rPr>
      </w:pPr>
      <w:r>
        <w:t>Of the</w:t>
      </w:r>
      <w:r w:rsidRPr="009E1478">
        <w:t xml:space="preserve"> 1</w:t>
      </w:r>
      <w:r>
        <w:t>0/47</w:t>
      </w:r>
      <w:r w:rsidRPr="009E1478">
        <w:t xml:space="preserve"> </w:t>
      </w:r>
      <w:r>
        <w:t>individuals</w:t>
      </w:r>
      <w:r w:rsidRPr="009E1478">
        <w:t xml:space="preserve"> followed up using long</w:t>
      </w:r>
      <w:r>
        <w:t>-</w:t>
      </w:r>
      <w:r w:rsidRPr="009E1478">
        <w:t>read</w:t>
      </w:r>
      <w:r>
        <w:t xml:space="preserve"> </w:t>
      </w:r>
      <w:r w:rsidRPr="009E1478">
        <w:t>genome sequencing</w:t>
      </w:r>
      <w:r>
        <w:t xml:space="preserve">, </w:t>
      </w:r>
      <w:r>
        <w:rPr>
          <w:rFonts w:eastAsia="Times New Roman" w:cstheme="minorHAnsi"/>
          <w:color w:val="000000"/>
          <w:lang w:eastAsia="en-GB"/>
        </w:rPr>
        <w:t xml:space="preserve">9 had been included in Genomics England’s pilot study using PacBio HiFi technology. </w:t>
      </w:r>
      <w:r>
        <w:rPr>
          <w:rFonts w:cstheme="minorHAnsi"/>
        </w:rPr>
        <w:t xml:space="preserve">For another participant, long-read genome sequencing was performed independently with </w:t>
      </w:r>
      <w:r w:rsidRPr="00AF15F9">
        <w:rPr>
          <w:rFonts w:cstheme="minorHAnsi"/>
        </w:rPr>
        <w:t>nanopore</w:t>
      </w:r>
      <w:r>
        <w:rPr>
          <w:rFonts w:cstheme="minorHAnsi"/>
        </w:rPr>
        <w:t xml:space="preserve"> sequencing</w:t>
      </w:r>
      <w:r w:rsidRPr="00AF15F9">
        <w:rPr>
          <w:rFonts w:cstheme="minorHAnsi"/>
        </w:rPr>
        <w:t xml:space="preserve">. In </w:t>
      </w:r>
      <w:r>
        <w:rPr>
          <w:rFonts w:cstheme="minorHAnsi"/>
        </w:rPr>
        <w:t>every instance,</w:t>
      </w:r>
      <w:r w:rsidRPr="00AF15F9">
        <w:rPr>
          <w:rFonts w:cstheme="minorHAnsi"/>
        </w:rPr>
        <w:t xml:space="preserve"> </w:t>
      </w:r>
      <w:r>
        <w:rPr>
          <w:rFonts w:cstheme="minorHAnsi"/>
        </w:rPr>
        <w:t xml:space="preserve">all </w:t>
      </w:r>
      <w:r w:rsidRPr="00AF15F9">
        <w:rPr>
          <w:rFonts w:cstheme="minorHAnsi"/>
        </w:rPr>
        <w:t>SV</w:t>
      </w:r>
      <w:r>
        <w:rPr>
          <w:rFonts w:cstheme="minorHAnsi"/>
        </w:rPr>
        <w:t xml:space="preserve"> breakpoint</w:t>
      </w:r>
      <w:r w:rsidRPr="00AF15F9">
        <w:rPr>
          <w:rFonts w:cstheme="minorHAnsi"/>
        </w:rPr>
        <w:t>s were validated</w:t>
      </w:r>
      <w:r>
        <w:rPr>
          <w:rFonts w:cstheme="minorHAnsi"/>
        </w:rPr>
        <w:t>, with no additional complexity being identified.</w:t>
      </w:r>
    </w:p>
    <w:p w14:paraId="17DF87E0" w14:textId="77777777" w:rsidR="0054637A" w:rsidRDefault="0054637A" w:rsidP="00DD05AD">
      <w:pPr>
        <w:spacing w:after="0" w:line="240" w:lineRule="auto"/>
        <w:jc w:val="both"/>
        <w:textAlignment w:val="baseline"/>
        <w:rPr>
          <w:rFonts w:cstheme="minorHAnsi"/>
        </w:rPr>
      </w:pPr>
    </w:p>
    <w:p w14:paraId="756C6C06" w14:textId="545E01AD" w:rsidR="0054637A" w:rsidRPr="00AF15F9" w:rsidRDefault="0054637A" w:rsidP="00DD05AD">
      <w:pPr>
        <w:spacing w:after="0" w:line="240" w:lineRule="auto"/>
        <w:jc w:val="both"/>
        <w:textAlignment w:val="baseline"/>
        <w:rPr>
          <w:rFonts w:eastAsia="Times New Roman" w:cstheme="minorHAnsi"/>
          <w:color w:val="000000"/>
          <w:lang w:eastAsia="en-GB"/>
        </w:rPr>
      </w:pPr>
      <w:r>
        <w:rPr>
          <w:rFonts w:cstheme="minorHAnsi"/>
        </w:rPr>
        <w:t xml:space="preserve">In 4/10 individuals where the structure of the SVs had been interpreted as unambiguous from short-read data, long-read data helped confirm the prior SV interpretation. These included Family 43 with a complex but copy-neutral translocation disrupting </w:t>
      </w:r>
      <w:r w:rsidRPr="00095005">
        <w:rPr>
          <w:rFonts w:eastAsia="Times New Roman" w:cstheme="minorHAnsi"/>
          <w:i/>
          <w:color w:val="000000"/>
          <w:bdr w:val="none" w:sz="0" w:space="0" w:color="auto" w:frame="1"/>
          <w:lang w:eastAsia="en-GB"/>
        </w:rPr>
        <w:t>APC</w:t>
      </w:r>
      <w:r>
        <w:rPr>
          <w:rFonts w:eastAsia="Times New Roman" w:cstheme="minorHAnsi"/>
          <w:color w:val="000000"/>
          <w:bdr w:val="none" w:sz="0" w:space="0" w:color="auto" w:frame="1"/>
          <w:lang w:eastAsia="en-GB"/>
        </w:rPr>
        <w:t xml:space="preserve"> (exemplar 4), Family 12 described above (</w:t>
      </w:r>
      <w:r w:rsidRPr="00095005">
        <w:rPr>
          <w:rFonts w:eastAsia="Times New Roman" w:cstheme="minorHAnsi"/>
          <w:i/>
          <w:color w:val="000000"/>
          <w:lang w:eastAsia="en-GB"/>
        </w:rPr>
        <w:t>EFTUD2</w:t>
      </w:r>
      <w:r>
        <w:rPr>
          <w:rFonts w:eastAsia="Times New Roman" w:cstheme="minorHAnsi"/>
          <w:color w:val="000000"/>
          <w:lang w:eastAsia="en-GB"/>
        </w:rPr>
        <w:t xml:space="preserve">) and Family 2 with a translocated inversion disrupting </w:t>
      </w:r>
      <w:r w:rsidRPr="00095005">
        <w:rPr>
          <w:rFonts w:eastAsia="Times New Roman" w:cstheme="minorHAnsi"/>
          <w:i/>
          <w:color w:val="000000"/>
          <w:lang w:eastAsia="en-GB"/>
        </w:rPr>
        <w:t>FH</w:t>
      </w:r>
      <w:r>
        <w:rPr>
          <w:rFonts w:eastAsia="Times New Roman" w:cstheme="minorHAnsi"/>
          <w:i/>
          <w:color w:val="000000"/>
          <w:lang w:eastAsia="en-GB"/>
        </w:rPr>
        <w:t xml:space="preserve"> </w:t>
      </w:r>
      <w:r w:rsidR="001801AF" w:rsidRPr="001801AF">
        <w:rPr>
          <w:rFonts w:eastAsia="Times New Roman" w:cstheme="minorHAnsi"/>
          <w:iCs/>
          <w:color w:val="000000"/>
          <w:lang w:eastAsia="en-GB"/>
        </w:rPr>
        <w:t>(</w:t>
      </w:r>
      <w:r w:rsidR="001801AF">
        <w:rPr>
          <w:rFonts w:eastAsia="Times New Roman" w:cstheme="minorHAnsi"/>
          <w:iCs/>
          <w:color w:val="000000"/>
          <w:lang w:eastAsia="en-GB"/>
        </w:rPr>
        <w:t xml:space="preserve">MIM </w:t>
      </w:r>
      <w:r w:rsidR="001801AF" w:rsidRPr="001801AF">
        <w:rPr>
          <w:rFonts w:eastAsia="Times New Roman" w:cstheme="minorHAnsi"/>
          <w:iCs/>
          <w:color w:val="000000"/>
          <w:lang w:eastAsia="en-GB"/>
        </w:rPr>
        <w:t>*136850</w:t>
      </w:r>
      <w:r w:rsidR="001801AF" w:rsidRPr="001801AF">
        <w:rPr>
          <w:rFonts w:eastAsia="Times New Roman" w:cstheme="minorHAnsi"/>
          <w:color w:val="000000"/>
          <w:lang w:eastAsia="en-GB"/>
        </w:rPr>
        <w:t xml:space="preserve">) </w:t>
      </w:r>
      <w:r>
        <w:rPr>
          <w:rFonts w:eastAsia="Times New Roman" w:cstheme="minorHAnsi"/>
          <w:color w:val="000000"/>
          <w:lang w:eastAsia="en-GB"/>
        </w:rPr>
        <w:t>(</w:t>
      </w:r>
      <w:r w:rsidRPr="00E07633">
        <w:rPr>
          <w:rFonts w:eastAsia="Times New Roman" w:cstheme="minorHAnsi"/>
          <w:color w:val="000000"/>
          <w:lang w:eastAsia="en-GB"/>
        </w:rPr>
        <w:t>described below</w:t>
      </w:r>
      <w:r>
        <w:rPr>
          <w:rFonts w:eastAsia="Times New Roman" w:cstheme="minorHAnsi"/>
          <w:color w:val="000000"/>
          <w:lang w:eastAsia="en-GB"/>
        </w:rPr>
        <w:t>). For Family 37</w:t>
      </w:r>
      <w:r>
        <w:t xml:space="preserve">, unsolved following the </w:t>
      </w:r>
      <w:r w:rsidRPr="008A34E7">
        <w:rPr>
          <w:rFonts w:eastAsia="Times New Roman" w:cstheme="minorHAnsi"/>
          <w:color w:val="000000"/>
          <w:lang w:eastAsia="en-GB"/>
        </w:rPr>
        <w:t>Scottish Genomes Partnership</w:t>
      </w:r>
      <w:r>
        <w:rPr>
          <w:rFonts w:eastAsia="Times New Roman" w:cstheme="minorHAnsi"/>
          <w:color w:val="000000"/>
          <w:lang w:eastAsia="en-GB"/>
        </w:rPr>
        <w:t>’s analysis of 100kGP short-read data</w:t>
      </w:r>
      <w:r w:rsidRPr="00053445">
        <w:rPr>
          <w:rFonts w:eastAsia="Times New Roman" w:cstheme="minorHAnsi"/>
          <w:noProof/>
          <w:color w:val="000000"/>
          <w:vertAlign w:val="superscript"/>
          <w:lang w:eastAsia="en-GB"/>
        </w:rPr>
        <w:t>39</w:t>
      </w:r>
      <w:r>
        <w:rPr>
          <w:rFonts w:eastAsia="Times New Roman" w:cstheme="minorHAnsi"/>
          <w:color w:val="000000"/>
          <w:lang w:eastAsia="en-GB"/>
        </w:rPr>
        <w:t xml:space="preserve">, a </w:t>
      </w:r>
      <w:r w:rsidRPr="0091295D">
        <w:rPr>
          <w:rFonts w:eastAsia="Times New Roman" w:cstheme="minorHAnsi"/>
          <w:i/>
          <w:color w:val="000000"/>
          <w:lang w:eastAsia="en-GB"/>
        </w:rPr>
        <w:t>de novo</w:t>
      </w:r>
      <w:r>
        <w:rPr>
          <w:rFonts w:eastAsia="Times New Roman" w:cstheme="minorHAnsi"/>
          <w:color w:val="000000"/>
          <w:lang w:eastAsia="en-GB"/>
        </w:rPr>
        <w:t xml:space="preserve"> balanced 1.35Mb inversion disrupting </w:t>
      </w:r>
      <w:r w:rsidRPr="00BB7A22">
        <w:rPr>
          <w:rFonts w:eastAsia="Times New Roman" w:cstheme="minorHAnsi"/>
          <w:i/>
          <w:color w:val="000000"/>
          <w:lang w:eastAsia="en-GB"/>
        </w:rPr>
        <w:t>AUTS2</w:t>
      </w:r>
      <w:r w:rsidRPr="0091295D">
        <w:rPr>
          <w:rFonts w:eastAsia="Times New Roman" w:cstheme="minorHAnsi"/>
          <w:color w:val="000000"/>
          <w:lang w:eastAsia="en-GB"/>
        </w:rPr>
        <w:t xml:space="preserve"> </w:t>
      </w:r>
      <w:r>
        <w:rPr>
          <w:rFonts w:eastAsia="Times New Roman" w:cstheme="minorHAnsi"/>
          <w:color w:val="000000"/>
          <w:lang w:eastAsia="en-GB"/>
        </w:rPr>
        <w:t>was identified as part of the present study and subsequently validated with nanopore genome sequencing (to be described elsewhere).</w:t>
      </w:r>
    </w:p>
    <w:p w14:paraId="5B790ABE" w14:textId="77777777" w:rsidR="0054637A" w:rsidRDefault="0054637A" w:rsidP="00DD05AD">
      <w:pPr>
        <w:spacing w:after="0" w:line="240" w:lineRule="auto"/>
        <w:jc w:val="both"/>
        <w:textAlignment w:val="baseline"/>
        <w:rPr>
          <w:rFonts w:cstheme="minorHAnsi"/>
        </w:rPr>
      </w:pPr>
    </w:p>
    <w:p w14:paraId="4D9DF41D" w14:textId="77777777" w:rsidR="0054637A" w:rsidRDefault="0054637A" w:rsidP="00DD05AD">
      <w:pPr>
        <w:spacing w:after="0" w:line="240" w:lineRule="auto"/>
        <w:jc w:val="both"/>
        <w:textAlignment w:val="baseline"/>
        <w:rPr>
          <w:rFonts w:eastAsia="Times New Roman" w:cstheme="minorHAnsi"/>
          <w:color w:val="000000"/>
          <w:lang w:eastAsia="en-GB"/>
        </w:rPr>
      </w:pPr>
      <w:r>
        <w:rPr>
          <w:rFonts w:cstheme="minorHAnsi"/>
        </w:rPr>
        <w:t xml:space="preserve">In contrast, for the remaining 6/10 participants where long-read data were available, there had been ambiguity regarding the precise SV configuration based on short-read data alone, due to duplicated segments. For two of these, the SV has now been resolved due to the long-read data. This includes two individuals (Families 33 and 47) with complex SVs involving the final exon of </w:t>
      </w:r>
      <w:r w:rsidRPr="0091295D">
        <w:rPr>
          <w:rFonts w:eastAsia="Times New Roman" w:cstheme="minorHAnsi"/>
          <w:i/>
          <w:color w:val="000000"/>
          <w:bdr w:val="none" w:sz="0" w:space="0" w:color="auto" w:frame="1"/>
          <w:lang w:eastAsia="en-GB"/>
        </w:rPr>
        <w:t>MECP2</w:t>
      </w:r>
      <w:r w:rsidRPr="00AF15F9">
        <w:rPr>
          <w:rFonts w:eastAsia="Times New Roman" w:cstheme="minorHAnsi"/>
          <w:color w:val="000000"/>
          <w:bdr w:val="none" w:sz="0" w:space="0" w:color="auto" w:frame="1"/>
          <w:lang w:eastAsia="en-GB"/>
        </w:rPr>
        <w:t xml:space="preserve"> </w:t>
      </w:r>
      <w:r>
        <w:rPr>
          <w:rFonts w:eastAsia="Times New Roman" w:cstheme="minorHAnsi"/>
          <w:color w:val="000000"/>
          <w:bdr w:val="none" w:sz="0" w:space="0" w:color="auto" w:frame="1"/>
          <w:lang w:eastAsia="en-GB"/>
        </w:rPr>
        <w:t xml:space="preserve">where PacBio data resolved the SVs and these findings directly influenced clinical interpretation. These results are described in more detail below (exemplar 2). </w:t>
      </w:r>
      <w:r>
        <w:rPr>
          <w:rFonts w:eastAsia="Times New Roman" w:cstheme="minorHAnsi"/>
          <w:color w:val="000000"/>
          <w:lang w:eastAsia="en-GB"/>
        </w:rPr>
        <w:t xml:space="preserve">The four remaining complex SVs could not be resolved with PacBio data. This was due to the presence of large duplicated segments that could not be spanned by HiFi reads, which typically extend to just above 20kb in length. These included complex SVs in Families 25, 30, 31 and 41, involving </w:t>
      </w:r>
      <w:r w:rsidRPr="008A34E7">
        <w:rPr>
          <w:rFonts w:eastAsia="Times New Roman" w:cstheme="minorHAnsi"/>
          <w:i/>
          <w:color w:val="000000"/>
          <w:lang w:eastAsia="en-GB"/>
        </w:rPr>
        <w:t>COL4A5</w:t>
      </w:r>
      <w:r>
        <w:rPr>
          <w:rFonts w:eastAsia="Times New Roman" w:cstheme="minorHAnsi"/>
          <w:color w:val="000000"/>
          <w:lang w:eastAsia="en-GB"/>
        </w:rPr>
        <w:t xml:space="preserve">, </w:t>
      </w:r>
      <w:r w:rsidRPr="008A34E7">
        <w:rPr>
          <w:rFonts w:eastAsia="Times New Roman" w:cstheme="minorHAnsi"/>
          <w:i/>
          <w:color w:val="000000"/>
          <w:lang w:eastAsia="en-GB"/>
        </w:rPr>
        <w:t xml:space="preserve">EDA, </w:t>
      </w:r>
      <w:r>
        <w:rPr>
          <w:rFonts w:eastAsia="Times New Roman" w:cstheme="minorHAnsi"/>
          <w:i/>
          <w:color w:val="000000"/>
          <w:lang w:eastAsia="en-GB"/>
        </w:rPr>
        <w:t xml:space="preserve">KDM6A </w:t>
      </w:r>
      <w:r>
        <w:rPr>
          <w:rFonts w:eastAsia="Times New Roman" w:cstheme="minorHAnsi"/>
          <w:color w:val="000000"/>
          <w:lang w:eastAsia="en-GB"/>
        </w:rPr>
        <w:t xml:space="preserve">and </w:t>
      </w:r>
      <w:r w:rsidRPr="008A34E7">
        <w:rPr>
          <w:rFonts w:eastAsia="Times New Roman" w:cstheme="minorHAnsi"/>
          <w:i/>
          <w:color w:val="000000"/>
          <w:lang w:eastAsia="en-GB"/>
        </w:rPr>
        <w:t xml:space="preserve">PDHA1, </w:t>
      </w:r>
      <w:r>
        <w:rPr>
          <w:rFonts w:eastAsia="Times New Roman" w:cstheme="minorHAnsi"/>
          <w:color w:val="000000"/>
          <w:lang w:eastAsia="en-GB"/>
        </w:rPr>
        <w:t xml:space="preserve">respectively. In future, we anticipate that these latter SVs could be investigated using </w:t>
      </w:r>
      <w:proofErr w:type="spellStart"/>
      <w:r>
        <w:rPr>
          <w:rFonts w:eastAsia="Times New Roman" w:cstheme="minorHAnsi"/>
          <w:color w:val="000000"/>
          <w:lang w:eastAsia="en-GB"/>
        </w:rPr>
        <w:t>Bionano</w:t>
      </w:r>
      <w:proofErr w:type="spellEnd"/>
      <w:r>
        <w:rPr>
          <w:rFonts w:eastAsia="Times New Roman" w:cstheme="minorHAnsi"/>
          <w:color w:val="000000"/>
          <w:lang w:eastAsia="en-GB"/>
        </w:rPr>
        <w:t xml:space="preserve"> optical genome mapping or by using long-read sequencing approaches, where library preparation methods are optimised to achieve ultra-long DNA fragments.</w:t>
      </w:r>
    </w:p>
    <w:p w14:paraId="3FAAD540" w14:textId="77777777" w:rsidR="0054637A" w:rsidRDefault="0054637A" w:rsidP="00DD05AD">
      <w:pPr>
        <w:spacing w:after="0" w:line="240" w:lineRule="auto"/>
        <w:jc w:val="both"/>
        <w:textAlignment w:val="baseline"/>
        <w:rPr>
          <w:rFonts w:eastAsia="Times New Roman" w:cstheme="minorHAnsi"/>
          <w:color w:val="000000"/>
          <w:lang w:eastAsia="en-GB"/>
        </w:rPr>
      </w:pPr>
    </w:p>
    <w:p w14:paraId="17C3D47D" w14:textId="77777777" w:rsidR="0054637A" w:rsidRPr="003B2721" w:rsidRDefault="0054637A" w:rsidP="00DD05AD">
      <w:pPr>
        <w:pStyle w:val="ListParagraph"/>
        <w:numPr>
          <w:ilvl w:val="0"/>
          <w:numId w:val="9"/>
        </w:numPr>
        <w:jc w:val="both"/>
        <w:rPr>
          <w:b/>
          <w:i/>
        </w:rPr>
      </w:pPr>
      <w:r w:rsidRPr="003B2721">
        <w:rPr>
          <w:b/>
          <w:i/>
        </w:rPr>
        <w:lastRenderedPageBreak/>
        <w:t xml:space="preserve">Support from </w:t>
      </w:r>
      <w:proofErr w:type="spellStart"/>
      <w:r w:rsidRPr="003B2721">
        <w:rPr>
          <w:b/>
          <w:i/>
        </w:rPr>
        <w:t>RNAseq</w:t>
      </w:r>
      <w:proofErr w:type="spellEnd"/>
      <w:r w:rsidRPr="003B2721">
        <w:rPr>
          <w:b/>
          <w:i/>
        </w:rPr>
        <w:t xml:space="preserve"> studies</w:t>
      </w:r>
    </w:p>
    <w:p w14:paraId="4EBB89E3" w14:textId="483FFF08" w:rsidR="0054637A" w:rsidRDefault="0054637A" w:rsidP="00DD05AD">
      <w:pPr>
        <w:jc w:val="both"/>
      </w:pPr>
      <w:proofErr w:type="spellStart"/>
      <w:r w:rsidRPr="00415C2A">
        <w:t>RNAseq</w:t>
      </w:r>
      <w:proofErr w:type="spellEnd"/>
      <w:r w:rsidRPr="00415C2A">
        <w:t xml:space="preserve"> data </w:t>
      </w:r>
      <w:r>
        <w:t xml:space="preserve">were available for 11/47 participants and in six, this data helped further support pathogenicity (Table 1, </w:t>
      </w:r>
      <w:r>
        <w:rPr>
          <w:rFonts w:cstheme="minorHAnsi"/>
        </w:rPr>
        <w:t>Figure 1D</w:t>
      </w:r>
      <w:r>
        <w:t xml:space="preserve">). Most notable </w:t>
      </w:r>
      <w:r w:rsidR="00094B76">
        <w:t xml:space="preserve">amongst </w:t>
      </w:r>
      <w:r>
        <w:t xml:space="preserve">these was </w:t>
      </w:r>
      <w:r w:rsidRPr="007A6CFE">
        <w:t>Family 36</w:t>
      </w:r>
      <w:r>
        <w:t xml:space="preserve"> where</w:t>
      </w:r>
      <w:r w:rsidRPr="007A6CFE">
        <w:t xml:space="preserve"> the </w:t>
      </w:r>
      <w:r>
        <w:t xml:space="preserve">proximal </w:t>
      </w:r>
      <w:r w:rsidRPr="007A6CFE">
        <w:t xml:space="preserve">breakpoint of </w:t>
      </w:r>
      <w:r>
        <w:t xml:space="preserve">a 764kb </w:t>
      </w:r>
      <w:r w:rsidRPr="007A6CFE">
        <w:t xml:space="preserve">inversion </w:t>
      </w:r>
      <w:r>
        <w:t xml:space="preserve">(Figure S14) </w:t>
      </w:r>
      <w:r w:rsidRPr="007A6CFE">
        <w:t xml:space="preserve">lay in intron </w:t>
      </w:r>
      <w:r>
        <w:t xml:space="preserve">1 </w:t>
      </w:r>
      <w:r w:rsidRPr="007A6CFE">
        <w:t xml:space="preserve">of </w:t>
      </w:r>
      <w:r w:rsidRPr="007A6CFE">
        <w:rPr>
          <w:i/>
        </w:rPr>
        <w:t>DYRK1A</w:t>
      </w:r>
      <w:r w:rsidRPr="00E44BCC">
        <w:t xml:space="preserve"> </w:t>
      </w:r>
      <w:r>
        <w:t>(</w:t>
      </w:r>
      <w:r w:rsidR="001801AF">
        <w:t xml:space="preserve">MIM </w:t>
      </w:r>
      <w:r w:rsidR="001801AF" w:rsidRPr="001801AF">
        <w:t>*600855</w:t>
      </w:r>
      <w:r w:rsidR="001801AF">
        <w:t xml:space="preserve">; </w:t>
      </w:r>
      <w:r w:rsidRPr="00E44BCC">
        <w:t>NM_001347721.2)</w:t>
      </w:r>
      <w:r>
        <w:t xml:space="preserve">. </w:t>
      </w:r>
      <w:r w:rsidRPr="000B7F85">
        <w:t>This individual was recruited to the 100kGP with a diagnosis of intellectual disability</w:t>
      </w:r>
      <w:r>
        <w:t>,</w:t>
      </w:r>
      <w:r w:rsidRPr="000B7F85">
        <w:t xml:space="preserve"> but additional features included deep set eyes</w:t>
      </w:r>
      <w:r>
        <w:t>, a</w:t>
      </w:r>
      <w:r w:rsidRPr="000B7F85">
        <w:t xml:space="preserve"> prominent nasal bridge</w:t>
      </w:r>
      <w:r>
        <w:t xml:space="preserve">, </w:t>
      </w:r>
      <w:r w:rsidRPr="000B7F85">
        <w:t>short stature</w:t>
      </w:r>
      <w:r>
        <w:t>, hirsutism and epilepsy</w:t>
      </w:r>
      <w:r w:rsidRPr="000B7F85">
        <w:t xml:space="preserve">. </w:t>
      </w:r>
      <w:r>
        <w:t>There was s</w:t>
      </w:r>
      <w:r w:rsidRPr="000B7F85">
        <w:t>ignificant microcephaly (</w:t>
      </w:r>
      <w:r>
        <w:t xml:space="preserve">between </w:t>
      </w:r>
      <w:r w:rsidRPr="000B7F85">
        <w:t xml:space="preserve">-4 to -5 SDs) </w:t>
      </w:r>
      <w:r>
        <w:t xml:space="preserve">and </w:t>
      </w:r>
      <w:r w:rsidRPr="000B7F85">
        <w:t xml:space="preserve">MRI </w:t>
      </w:r>
      <w:r>
        <w:t xml:space="preserve">investigations demonstrated </w:t>
      </w:r>
      <w:r w:rsidRPr="000B7F85">
        <w:t>delayed myelination</w:t>
      </w:r>
      <w:r>
        <w:t>,</w:t>
      </w:r>
      <w:r w:rsidRPr="000B7F85">
        <w:t xml:space="preserve"> especially subcortical white matter atrophy, pons and cerebellum.</w:t>
      </w:r>
      <w:r w:rsidRPr="000B7F85">
        <w:rPr>
          <w:i/>
        </w:rPr>
        <w:t xml:space="preserve"> </w:t>
      </w:r>
      <w:r>
        <w:t xml:space="preserve">The SV had arisen </w:t>
      </w:r>
      <w:r w:rsidRPr="007A6CFE">
        <w:rPr>
          <w:i/>
        </w:rPr>
        <w:t>de novo</w:t>
      </w:r>
      <w:r>
        <w:rPr>
          <w:i/>
        </w:rPr>
        <w:t xml:space="preserve"> </w:t>
      </w:r>
      <w:r w:rsidRPr="000B7F85">
        <w:t>and the</w:t>
      </w:r>
      <w:r>
        <w:rPr>
          <w:i/>
        </w:rPr>
        <w:t xml:space="preserve"> </w:t>
      </w:r>
      <w:r w:rsidRPr="00E44BCC">
        <w:t xml:space="preserve">clinical features were thought to </w:t>
      </w:r>
      <w:r>
        <w:t xml:space="preserve">be consistent with </w:t>
      </w:r>
      <w:r w:rsidRPr="00E44BCC">
        <w:t xml:space="preserve">Intellectual developmental disorder, autosomal dominant </w:t>
      </w:r>
      <w:r>
        <w:t>7 [MIM #</w:t>
      </w:r>
      <w:r w:rsidRPr="00E44BCC">
        <w:t>614104</w:t>
      </w:r>
      <w:r>
        <w:t xml:space="preserve">]. However, because the translation start site lies in exon 2, the coding sequence is intact and thus some diagnostic uncertainty remained. We speculated that the dislocation of the evolutionary conserved 5’-UTR exon from the remainder of the gene would result in reduced expression. There were no informative coding SNPs and so allelic imbalance analysis was not possible. However, OUTRIDER analysis indicated a </w:t>
      </w:r>
      <w:r w:rsidRPr="00E44BCC">
        <w:t>0.57 fold change</w:t>
      </w:r>
      <w:r>
        <w:t xml:space="preserve"> in expression (</w:t>
      </w:r>
      <w:r w:rsidRPr="00E44BCC">
        <w:t>adjusted p-value 3.7x10</w:t>
      </w:r>
      <w:r w:rsidRPr="002C5BDF">
        <w:rPr>
          <w:vertAlign w:val="superscript"/>
        </w:rPr>
        <w:t>-27</w:t>
      </w:r>
      <w:r>
        <w:t>), helping confirm our hypothesis.</w:t>
      </w:r>
    </w:p>
    <w:p w14:paraId="0BA5B870" w14:textId="3F46274B" w:rsidR="0054637A" w:rsidRDefault="0054637A" w:rsidP="00DD05AD">
      <w:pPr>
        <w:jc w:val="both"/>
      </w:pPr>
      <w:proofErr w:type="spellStart"/>
      <w:r>
        <w:t>RNAseq</w:t>
      </w:r>
      <w:proofErr w:type="spellEnd"/>
      <w:r>
        <w:t xml:space="preserve"> data were available for an individual (Family 26) with suspected </w:t>
      </w:r>
      <w:proofErr w:type="spellStart"/>
      <w:r>
        <w:t>hypophosphatemic</w:t>
      </w:r>
      <w:proofErr w:type="spellEnd"/>
      <w:r>
        <w:t xml:space="preserve"> rickets [MIM #</w:t>
      </w:r>
      <w:r w:rsidRPr="00746FDD">
        <w:t>307800</w:t>
      </w:r>
      <w:r>
        <w:t xml:space="preserve">] in whom a </w:t>
      </w:r>
      <w:r w:rsidRPr="00E54C6D">
        <w:rPr>
          <w:i/>
        </w:rPr>
        <w:t>de novo</w:t>
      </w:r>
      <w:r>
        <w:t xml:space="preserve"> 2.6Mb inversion involving </w:t>
      </w:r>
      <w:r w:rsidRPr="00E54C6D">
        <w:rPr>
          <w:i/>
        </w:rPr>
        <w:t>PHEX</w:t>
      </w:r>
      <w:r>
        <w:rPr>
          <w:i/>
        </w:rPr>
        <w:t xml:space="preserve"> </w:t>
      </w:r>
      <w:r w:rsidRPr="00F20EDB">
        <w:t>(</w:t>
      </w:r>
      <w:r w:rsidR="000E1AD6">
        <w:t xml:space="preserve">MIM </w:t>
      </w:r>
      <w:r w:rsidR="000E1AD6" w:rsidRPr="000E1AD6">
        <w:t>*300550</w:t>
      </w:r>
      <w:r w:rsidR="000E1AD6">
        <w:t xml:space="preserve">; </w:t>
      </w:r>
      <w:r w:rsidRPr="00F20EDB">
        <w:t>NM_000444.6)</w:t>
      </w:r>
      <w:r>
        <w:t xml:space="preserve"> had been identified. Given the position of the proximal breakpoint in intron 15 (Figure S15), this inversion is highly likely to disrupt gene function. Unfortunately, the low expression in blood (e.g. TPM=0.03 in </w:t>
      </w:r>
      <w:proofErr w:type="spellStart"/>
      <w:r>
        <w:t>GTEx</w:t>
      </w:r>
      <w:proofErr w:type="spellEnd"/>
      <w:r>
        <w:t xml:space="preserve">) and low data quality for this subject (only 35M mapped </w:t>
      </w:r>
      <w:proofErr w:type="spellStart"/>
      <w:r>
        <w:t>RNAseq</w:t>
      </w:r>
      <w:proofErr w:type="spellEnd"/>
      <w:r>
        <w:t xml:space="preserve"> reads) meant expression analysis was uninformative</w:t>
      </w:r>
      <w:r w:rsidRPr="00F73FC2">
        <w:t xml:space="preserve"> for </w:t>
      </w:r>
      <w:r w:rsidRPr="00415C2A">
        <w:rPr>
          <w:i/>
        </w:rPr>
        <w:t>PHEX</w:t>
      </w:r>
      <w:r w:rsidRPr="00F73FC2">
        <w:t xml:space="preserve">. However, the </w:t>
      </w:r>
      <w:r>
        <w:t>distal</w:t>
      </w:r>
      <w:r w:rsidRPr="00F73FC2">
        <w:t xml:space="preserve"> breakpoint for this inversion falls within </w:t>
      </w:r>
      <w:r w:rsidRPr="00F73FC2">
        <w:rPr>
          <w:i/>
        </w:rPr>
        <w:t>SH3KBP1</w:t>
      </w:r>
      <w:r w:rsidRPr="00F73FC2">
        <w:t xml:space="preserve"> </w:t>
      </w:r>
      <w:r w:rsidR="000E1AD6">
        <w:t xml:space="preserve">(MIM </w:t>
      </w:r>
      <w:r w:rsidR="000E1AD6" w:rsidRPr="000E1AD6">
        <w:t>*300374</w:t>
      </w:r>
      <w:r w:rsidR="000E1AD6">
        <w:t>)</w:t>
      </w:r>
      <w:r w:rsidR="000E1AD6" w:rsidRPr="000E1AD6">
        <w:t xml:space="preserve"> </w:t>
      </w:r>
      <w:r w:rsidRPr="00F73FC2">
        <w:t>and OUTRIDER did detect a significant decrease of the expression of this gene (0.46 fold change, adjusted p-value 6.6x10</w:t>
      </w:r>
      <w:r w:rsidRPr="00415C2A">
        <w:rPr>
          <w:vertAlign w:val="superscript"/>
        </w:rPr>
        <w:t>-21</w:t>
      </w:r>
      <w:r w:rsidRPr="00F73FC2">
        <w:t>), supporting the overall dele</w:t>
      </w:r>
      <w:r>
        <w:t xml:space="preserve">terious nature of this event. In two other </w:t>
      </w:r>
      <w:r w:rsidR="00635361">
        <w:t>individuals</w:t>
      </w:r>
      <w:r>
        <w:t xml:space="preserve">, heterozygous coding SNPs were used to demonstrate monoallelic expression (Figure 2A, S16) whilst for the </w:t>
      </w:r>
      <w:r w:rsidRPr="00EE159D">
        <w:rPr>
          <w:i/>
        </w:rPr>
        <w:t>PTEN</w:t>
      </w:r>
      <w:r>
        <w:t xml:space="preserve"> </w:t>
      </w:r>
      <w:r w:rsidR="000E1AD6">
        <w:t>(MIM</w:t>
      </w:r>
      <w:r w:rsidR="000E1AD6" w:rsidRPr="000E1AD6">
        <w:t xml:space="preserve"> *601728</w:t>
      </w:r>
      <w:r w:rsidR="000E1AD6">
        <w:t xml:space="preserve">) </w:t>
      </w:r>
      <w:r>
        <w:t xml:space="preserve">inversion described </w:t>
      </w:r>
      <w:r w:rsidR="000E1AD6">
        <w:t>below</w:t>
      </w:r>
      <w:r>
        <w:t>, in-frame skipping of exons 6-8 was observed (Figure 2B).</w:t>
      </w:r>
    </w:p>
    <w:p w14:paraId="6FA15489" w14:textId="015E3594" w:rsidR="0054637A" w:rsidRDefault="0054637A" w:rsidP="00DD05AD">
      <w:pPr>
        <w:jc w:val="both"/>
      </w:pPr>
      <w:r>
        <w:t xml:space="preserve">In Family 35, we initially reported a 1.8Mb inversion involving </w:t>
      </w:r>
      <w:r w:rsidRPr="008B2B35">
        <w:rPr>
          <w:i/>
        </w:rPr>
        <w:t>ARID2</w:t>
      </w:r>
      <w:r w:rsidRPr="008B2B35">
        <w:t xml:space="preserve"> </w:t>
      </w:r>
      <w:r>
        <w:t xml:space="preserve">in a male </w:t>
      </w:r>
      <w:r w:rsidRPr="00813D31">
        <w:t>with﻿ intellectual disability</w:t>
      </w:r>
      <w:r>
        <w:t xml:space="preserve"> and</w:t>
      </w:r>
      <w:r w:rsidRPr="00813D31">
        <w:t xml:space="preserve"> delayed motor development</w:t>
      </w:r>
      <w:r>
        <w:t>. Although inherited from his apparently unaffected mother, a r</w:t>
      </w:r>
      <w:r w:rsidRPr="00813D31">
        <w:t xml:space="preserve">ecent </w:t>
      </w:r>
      <w:r>
        <w:t xml:space="preserve">report </w:t>
      </w:r>
      <w:r w:rsidRPr="00813D31">
        <w:t>note</w:t>
      </w:r>
      <w:r>
        <w:t>d</w:t>
      </w:r>
      <w:r w:rsidRPr="00813D31">
        <w:t xml:space="preserve"> variable expressivity </w:t>
      </w:r>
      <w:r>
        <w:t>linked to a nonsense variant in this gene.</w:t>
      </w:r>
      <w:r w:rsidRPr="00053445">
        <w:rPr>
          <w:noProof/>
          <w:vertAlign w:val="superscript"/>
        </w:rPr>
        <w:t>40</w:t>
      </w:r>
      <w:r>
        <w:t xml:space="preserve"> We therefore considered that </w:t>
      </w:r>
      <w:r w:rsidRPr="00813D31">
        <w:t xml:space="preserve">incomplete penetrance </w:t>
      </w:r>
      <w:r>
        <w:t xml:space="preserve">could be </w:t>
      </w:r>
      <w:r w:rsidRPr="00813D31">
        <w:t>plausible</w:t>
      </w:r>
      <w:r>
        <w:t xml:space="preserve"> and our initial interpretation was that the variant was likely to lead to gene disruption</w:t>
      </w:r>
      <w:r w:rsidRPr="00813D31">
        <w:t>.</w:t>
      </w:r>
      <w:r>
        <w:t xml:space="preserve"> However, closer scrutiny of read alignments supporting the </w:t>
      </w:r>
      <w:proofErr w:type="spellStart"/>
      <w:r>
        <w:t>MantaINV</w:t>
      </w:r>
      <w:proofErr w:type="spellEnd"/>
      <w:r>
        <w:t xml:space="preserve"> call (Figure S17), together with input from the diagnostic discovery review team, suggested that a more parsimonious explanation was that the SV was an inverted </w:t>
      </w:r>
      <w:proofErr w:type="spellStart"/>
      <w:r>
        <w:t>AluSc</w:t>
      </w:r>
      <w:proofErr w:type="spellEnd"/>
      <w:r>
        <w:t xml:space="preserve"> element integrated into </w:t>
      </w:r>
      <w:r w:rsidRPr="007B1B84">
        <w:t>intron 16 (NM_152641.4)</w:t>
      </w:r>
      <w:r>
        <w:t xml:space="preserve">. Long-read sequencing data was not available to confirm this alternative explanation and </w:t>
      </w:r>
      <w:proofErr w:type="spellStart"/>
      <w:r>
        <w:t>RNAseq</w:t>
      </w:r>
      <w:proofErr w:type="spellEnd"/>
      <w:r>
        <w:t xml:space="preserve"> did not obtain enough reads for OUTRIDER analysis to be possible.</w:t>
      </w:r>
    </w:p>
    <w:p w14:paraId="1B350049" w14:textId="77777777" w:rsidR="0054637A" w:rsidRDefault="0054637A" w:rsidP="00DD05AD">
      <w:pPr>
        <w:jc w:val="both"/>
      </w:pPr>
      <w:r>
        <w:rPr>
          <w:b/>
          <w:i/>
        </w:rPr>
        <w:t xml:space="preserve">Final </w:t>
      </w:r>
      <w:r w:rsidRPr="007A6CFE">
        <w:rPr>
          <w:b/>
          <w:i/>
        </w:rPr>
        <w:t>yield</w:t>
      </w:r>
      <w:r>
        <w:rPr>
          <w:b/>
          <w:i/>
        </w:rPr>
        <w:t xml:space="preserve"> of likely diagnostic SVs</w:t>
      </w:r>
    </w:p>
    <w:p w14:paraId="5B58B561" w14:textId="163A0D44" w:rsidR="0054637A" w:rsidRPr="000D259F" w:rsidRDefault="0054637A" w:rsidP="00DD05AD">
      <w:pPr>
        <w:jc w:val="both"/>
      </w:pPr>
      <w:r>
        <w:t xml:space="preserve">In Family 41, the complex duplication-triplication involving </w:t>
      </w:r>
      <w:r w:rsidRPr="001F185D">
        <w:rPr>
          <w:i/>
        </w:rPr>
        <w:t>PDHA1</w:t>
      </w:r>
      <w:r w:rsidRPr="001F185D">
        <w:t xml:space="preserve"> </w:t>
      </w:r>
      <w:r>
        <w:t>(mentioned above) was identified in a participant with exercise intolerance, intellectual disability and white matter abnormalities and so compatible with p</w:t>
      </w:r>
      <w:r w:rsidRPr="00A85964">
        <w:t xml:space="preserve">yruvate dehydrogenase E1-alpha deficiency </w:t>
      </w:r>
      <w:r>
        <w:t>[MIM #</w:t>
      </w:r>
      <w:r w:rsidRPr="00A85964">
        <w:t>312170</w:t>
      </w:r>
      <w:r>
        <w:t xml:space="preserve">]. Near-normal enzyme activity and immunohistochemistry results together suggest that the duplication likely has no consequences (Note S4). Discounting this and the </w:t>
      </w:r>
      <w:r w:rsidR="00635361">
        <w:t xml:space="preserve">participant with the </w:t>
      </w:r>
      <w:r w:rsidRPr="003B2721">
        <w:rPr>
          <w:i/>
        </w:rPr>
        <w:t>ARID2</w:t>
      </w:r>
      <w:r>
        <w:t xml:space="preserve"> </w:t>
      </w:r>
      <w:r w:rsidR="00635361">
        <w:t>variant</w:t>
      </w:r>
      <w:r w:rsidR="001F01F3">
        <w:t xml:space="preserve"> of uncertain significance </w:t>
      </w:r>
      <w:r>
        <w:t xml:space="preserve">(Family 35) takes the overall incidence of likely diagnoses linked to this class of SVs in the set of prioritised genes to 1/754 (i.e. 45 across the </w:t>
      </w:r>
      <w:r w:rsidRPr="00F147C8">
        <w:t>33,924</w:t>
      </w:r>
      <w:r>
        <w:t xml:space="preserve"> families contained in the </w:t>
      </w:r>
      <w:proofErr w:type="spellStart"/>
      <w:r>
        <w:t>SVRare</w:t>
      </w:r>
      <w:proofErr w:type="spellEnd"/>
      <w:r>
        <w:t xml:space="preserve"> database). This reported incidence will have been influenced by the degree of prior testing performed before families were recruited to the 100kGP. For many disease areas, ruling out the most likely candidate </w:t>
      </w:r>
      <w:r>
        <w:lastRenderedPageBreak/>
        <w:t>gene(s) was a prerequisite for enrolment and in the RD pilot, a median of 1 genetic test (range 0-16) had been undertaken.</w:t>
      </w:r>
      <w:r w:rsidRPr="00053445">
        <w:rPr>
          <w:noProof/>
          <w:vertAlign w:val="superscript"/>
        </w:rPr>
        <w:t>6</w:t>
      </w:r>
      <w:r>
        <w:t xml:space="preserve"> A similar analysis of complex SVs using genome sequencing data as a first-line test would likely result in a lower incidence of such SVs, as the cohort would still contain many cases with non-cryptic variants in strong candidate genes. Such an ascertainment bias might be particularly strong for familial cancer syndromes where there are well-established lists of candidate genes and the current standard of care testing is typically extensive. The wider clinical impact of inversions across the full complement of human genes is also unknown (see Discussion).</w:t>
      </w:r>
    </w:p>
    <w:p w14:paraId="7533214D" w14:textId="77777777" w:rsidR="0054637A" w:rsidRDefault="0054637A" w:rsidP="00DD05AD">
      <w:pPr>
        <w:jc w:val="both"/>
        <w:rPr>
          <w:b/>
          <w:i/>
        </w:rPr>
      </w:pPr>
      <w:r>
        <w:rPr>
          <w:b/>
          <w:i/>
        </w:rPr>
        <w:t>Clinical impacts</w:t>
      </w:r>
    </w:p>
    <w:p w14:paraId="459189B9" w14:textId="4C1B9A68" w:rsidR="0054637A" w:rsidRPr="00C43224" w:rsidRDefault="007E0821" w:rsidP="00DD05AD">
      <w:pPr>
        <w:pStyle w:val="ListParagraph"/>
        <w:numPr>
          <w:ilvl w:val="0"/>
          <w:numId w:val="9"/>
        </w:numPr>
        <w:jc w:val="both"/>
        <w:rPr>
          <w:b/>
        </w:rPr>
      </w:pPr>
      <w:r>
        <w:rPr>
          <w:b/>
        </w:rPr>
        <w:t>100kGP participants</w:t>
      </w:r>
      <w:r w:rsidRPr="00C43224">
        <w:rPr>
          <w:b/>
        </w:rPr>
        <w:t xml:space="preserve"> </w:t>
      </w:r>
      <w:r w:rsidR="0054637A" w:rsidRPr="00C43224">
        <w:rPr>
          <w:b/>
        </w:rPr>
        <w:t>with blended phenotype</w:t>
      </w:r>
      <w:r>
        <w:rPr>
          <w:b/>
        </w:rPr>
        <w:t>s</w:t>
      </w:r>
    </w:p>
    <w:p w14:paraId="7B5D56B2" w14:textId="376BDA39" w:rsidR="0054637A" w:rsidRPr="00C3138D" w:rsidRDefault="0054637A" w:rsidP="00DD05AD">
      <w:pPr>
        <w:jc w:val="both"/>
      </w:pPr>
      <w:r>
        <w:t xml:space="preserve">Several </w:t>
      </w:r>
      <w:r w:rsidRPr="00C3138D">
        <w:t xml:space="preserve">clinical exome sequencing studies have </w:t>
      </w:r>
      <w:r>
        <w:t xml:space="preserve">highlighted </w:t>
      </w:r>
      <w:r w:rsidRPr="00C3138D">
        <w:t>that 4.6-4.9% of d</w:t>
      </w:r>
      <w:r>
        <w:t>iagnose</w:t>
      </w:r>
      <w:r w:rsidRPr="00C3138D">
        <w:t>s represent blended phenotypes</w:t>
      </w:r>
      <w:r>
        <w:t xml:space="preserve"> due to variants in more than one gene.</w:t>
      </w:r>
      <w:r w:rsidRPr="00053445">
        <w:rPr>
          <w:noProof/>
          <w:vertAlign w:val="superscript"/>
        </w:rPr>
        <w:t>41; 42</w:t>
      </w:r>
      <w:r>
        <w:t xml:space="preserve"> </w:t>
      </w:r>
      <w:proofErr w:type="gramStart"/>
      <w:r>
        <w:t>In</w:t>
      </w:r>
      <w:proofErr w:type="gramEnd"/>
      <w:r>
        <w:t xml:space="preserve"> the cohort described here, there were four families where we propose that individuals express complex phenotypes due to involvement of two different genes. In two </w:t>
      </w:r>
      <w:r w:rsidR="007E0821">
        <w:t>individuals</w:t>
      </w:r>
      <w:r>
        <w:t xml:space="preserve">, the genes involved lie at each end of the inversion, whereas the other two </w:t>
      </w:r>
      <w:r w:rsidR="007E0821">
        <w:t xml:space="preserve">affected individuals </w:t>
      </w:r>
      <w:r>
        <w:t xml:space="preserve">harbour a </w:t>
      </w:r>
      <w:r w:rsidRPr="005C1E3A">
        <w:t xml:space="preserve">second independent pathogenic </w:t>
      </w:r>
      <w:r>
        <w:t>SNV, unrelated to the inversion.</w:t>
      </w:r>
    </w:p>
    <w:p w14:paraId="46D3D85C" w14:textId="3F4A7F21" w:rsidR="0054637A" w:rsidRDefault="0054637A" w:rsidP="00DD05AD">
      <w:pPr>
        <w:jc w:val="both"/>
        <w:rPr>
          <w:i/>
        </w:rPr>
      </w:pPr>
      <w:r w:rsidRPr="007D49DD">
        <w:t xml:space="preserve">The first </w:t>
      </w:r>
      <w:r w:rsidR="007E0821">
        <w:t xml:space="preserve">participant with a suspected </w:t>
      </w:r>
      <w:r w:rsidRPr="007D49DD">
        <w:t xml:space="preserve">blended </w:t>
      </w:r>
      <w:r w:rsidR="007E0821">
        <w:t xml:space="preserve">phenotype </w:t>
      </w:r>
      <w:r w:rsidRPr="007D49DD">
        <w:t xml:space="preserve">involves </w:t>
      </w:r>
      <w:r w:rsidRPr="007D49DD">
        <w:rPr>
          <w:i/>
        </w:rPr>
        <w:t xml:space="preserve">GLI3 </w:t>
      </w:r>
      <w:r w:rsidRPr="007D49DD">
        <w:t>and</w:t>
      </w:r>
      <w:r w:rsidRPr="007D49DD">
        <w:rPr>
          <w:i/>
        </w:rPr>
        <w:t xml:space="preserve"> HOXA13 </w:t>
      </w:r>
      <w:r w:rsidR="007630EF" w:rsidRPr="007630EF">
        <w:t>(</w:t>
      </w:r>
      <w:r w:rsidR="007630EF">
        <w:t xml:space="preserve">MIM </w:t>
      </w:r>
      <w:r w:rsidR="007630EF" w:rsidRPr="007630EF">
        <w:t>*142959</w:t>
      </w:r>
      <w:r w:rsidR="0047328E">
        <w:t xml:space="preserve">; </w:t>
      </w:r>
      <w:r w:rsidRPr="007D49DD">
        <w:t>Family 22</w:t>
      </w:r>
      <w:r w:rsidR="0047328E">
        <w:t>,</w:t>
      </w:r>
      <w:r w:rsidR="0047328E" w:rsidRPr="007D49DD">
        <w:t xml:space="preserve"> </w:t>
      </w:r>
      <w:r w:rsidRPr="007D49DD">
        <w:t>described previously</w:t>
      </w:r>
      <w:r w:rsidRPr="00053445">
        <w:rPr>
          <w:noProof/>
          <w:vertAlign w:val="superscript"/>
        </w:rPr>
        <w:t>16</w:t>
      </w:r>
      <w:r w:rsidRPr="007D49DD">
        <w:t xml:space="preserve">). The 14.8Mb inversion disrupts </w:t>
      </w:r>
      <w:r w:rsidRPr="007D49DD">
        <w:rPr>
          <w:i/>
        </w:rPr>
        <w:t>GLI3</w:t>
      </w:r>
      <w:r w:rsidRPr="007D49DD">
        <w:t xml:space="preserve"> and the affected individuals had features consistent with Greig </w:t>
      </w:r>
      <w:r w:rsidR="00497727" w:rsidRPr="001F01EA">
        <w:t>cephalopolysyndactyly</w:t>
      </w:r>
      <w:r w:rsidR="00497727" w:rsidRPr="007D49DD">
        <w:t xml:space="preserve"> </w:t>
      </w:r>
      <w:r w:rsidRPr="007D49DD">
        <w:t xml:space="preserve">syndrome. However, several other features were more in keeping </w:t>
      </w:r>
      <w:r>
        <w:t>with hand-foot-</w:t>
      </w:r>
      <w:r w:rsidR="005B7092">
        <w:t xml:space="preserve">genital </w:t>
      </w:r>
      <w:r>
        <w:t>syndrome [MIM #140000]</w:t>
      </w:r>
      <w:r w:rsidRPr="007D49DD">
        <w:t xml:space="preserve"> and prior testing had focussed on </w:t>
      </w:r>
      <w:r w:rsidRPr="007D49DD">
        <w:rPr>
          <w:i/>
        </w:rPr>
        <w:t>HOXA13</w:t>
      </w:r>
      <w:r w:rsidRPr="007D49DD">
        <w:t xml:space="preserve">. The distal breakpoint of the inversion lay ~45kb upstream of </w:t>
      </w:r>
      <w:r w:rsidRPr="007D49DD">
        <w:rPr>
          <w:i/>
        </w:rPr>
        <w:t>HOXA13</w:t>
      </w:r>
      <w:r w:rsidRPr="007D49DD">
        <w:t xml:space="preserve">. Positional effects </w:t>
      </w:r>
      <w:r>
        <w:t>for</w:t>
      </w:r>
      <w:r w:rsidRPr="007D49DD">
        <w:t xml:space="preserve"> </w:t>
      </w:r>
      <w:r w:rsidRPr="007D49DD">
        <w:rPr>
          <w:i/>
        </w:rPr>
        <w:t>HOXA13</w:t>
      </w:r>
      <w:r w:rsidRPr="007D49DD">
        <w:t xml:space="preserve"> have been proposed to act over much longer distances.</w:t>
      </w:r>
      <w:r w:rsidRPr="00053445">
        <w:rPr>
          <w:noProof/>
          <w:vertAlign w:val="superscript"/>
        </w:rPr>
        <w:t>43</w:t>
      </w:r>
    </w:p>
    <w:p w14:paraId="48201843" w14:textId="1D35ACE8" w:rsidR="0054637A" w:rsidRPr="00D15E1E" w:rsidRDefault="0054637A" w:rsidP="00DD05AD">
      <w:pPr>
        <w:jc w:val="both"/>
      </w:pPr>
      <w:r w:rsidRPr="006C3101">
        <w:t>A</w:t>
      </w:r>
      <w:r w:rsidR="007E0821">
        <w:t>nother</w:t>
      </w:r>
      <w:r>
        <w:rPr>
          <w:i/>
        </w:rPr>
        <w:t xml:space="preserve"> </w:t>
      </w:r>
      <w:r w:rsidR="007E0821">
        <w:t xml:space="preserve">participant with a suspected </w:t>
      </w:r>
      <w:r>
        <w:t xml:space="preserve">blended </w:t>
      </w:r>
      <w:r w:rsidR="007E0821">
        <w:t xml:space="preserve">phenotype </w:t>
      </w:r>
      <w:r>
        <w:t xml:space="preserve">was identified </w:t>
      </w:r>
      <w:r w:rsidR="007E0821">
        <w:t xml:space="preserve">and this </w:t>
      </w:r>
      <w:r>
        <w:t>involv</w:t>
      </w:r>
      <w:r w:rsidR="007E0821">
        <w:t>ed</w:t>
      </w:r>
      <w:r>
        <w:t xml:space="preserve"> a </w:t>
      </w:r>
      <w:r w:rsidRPr="00DE26E5">
        <w:rPr>
          <w:i/>
        </w:rPr>
        <w:t>de novo</w:t>
      </w:r>
      <w:r>
        <w:t xml:space="preserve"> inversion on 22q13.2 in a girl (Family 18) recruited to 100kGP due to o</w:t>
      </w:r>
      <w:r w:rsidRPr="006C3101">
        <w:t>cular coloboma</w:t>
      </w:r>
      <w:r w:rsidRPr="00DE26E5">
        <w:t xml:space="preserve"> and </w:t>
      </w:r>
      <w:r>
        <w:t xml:space="preserve">an </w:t>
      </w:r>
      <w:r w:rsidRPr="00DE26E5">
        <w:t>ab</w:t>
      </w:r>
      <w:r>
        <w:t xml:space="preserve">normality of ocular abduction. </w:t>
      </w:r>
      <w:r w:rsidRPr="00DE26E5">
        <w:t>As well as visual impairment</w:t>
      </w:r>
      <w:r>
        <w:t>,</w:t>
      </w:r>
      <w:r w:rsidRPr="00DE26E5">
        <w:t xml:space="preserve"> the </w:t>
      </w:r>
      <w:r>
        <w:t>participant</w:t>
      </w:r>
      <w:r w:rsidRPr="00DE26E5">
        <w:t xml:space="preserve"> had mild global developmental delay, kyphoscoliosis, morphological abnormality of the semi</w:t>
      </w:r>
      <w:r>
        <w:t>-</w:t>
      </w:r>
      <w:r w:rsidRPr="00DE26E5">
        <w:t>circular canal and syndactyly</w:t>
      </w:r>
      <w:r>
        <w:t>. T</w:t>
      </w:r>
      <w:r w:rsidRPr="00031FF6">
        <w:t xml:space="preserve">he proximal and distal breakpoints </w:t>
      </w:r>
      <w:r>
        <w:t xml:space="preserve">of this </w:t>
      </w:r>
      <w:r w:rsidRPr="00031FF6">
        <w:t>1</w:t>
      </w:r>
      <w:r>
        <w:t>.0</w:t>
      </w:r>
      <w:r w:rsidRPr="00031FF6">
        <w:t xml:space="preserve">Mb inversion </w:t>
      </w:r>
      <w:r>
        <w:t xml:space="preserve">disrupt </w:t>
      </w:r>
      <w:r>
        <w:rPr>
          <w:i/>
        </w:rPr>
        <w:t xml:space="preserve">EP300 </w:t>
      </w:r>
      <w:r w:rsidR="005342FE" w:rsidRPr="005342FE">
        <w:rPr>
          <w:iCs/>
        </w:rPr>
        <w:t>(</w:t>
      </w:r>
      <w:r w:rsidR="005342FE">
        <w:rPr>
          <w:iCs/>
        </w:rPr>
        <w:t xml:space="preserve">MIM </w:t>
      </w:r>
      <w:r w:rsidR="005342FE" w:rsidRPr="005342FE">
        <w:rPr>
          <w:iCs/>
        </w:rPr>
        <w:t xml:space="preserve">*602700) </w:t>
      </w:r>
      <w:r w:rsidRPr="00031FF6">
        <w:t>and</w:t>
      </w:r>
      <w:r>
        <w:rPr>
          <w:i/>
        </w:rPr>
        <w:t xml:space="preserve"> </w:t>
      </w:r>
      <w:r w:rsidRPr="00214A82">
        <w:rPr>
          <w:i/>
        </w:rPr>
        <w:t>TCF20</w:t>
      </w:r>
      <w:r>
        <w:rPr>
          <w:i/>
        </w:rPr>
        <w:t xml:space="preserve"> </w:t>
      </w:r>
      <w:r w:rsidR="005342FE" w:rsidRPr="005342FE">
        <w:rPr>
          <w:iCs/>
        </w:rPr>
        <w:t>(</w:t>
      </w:r>
      <w:r w:rsidR="005342FE">
        <w:rPr>
          <w:iCs/>
        </w:rPr>
        <w:t xml:space="preserve">MIM </w:t>
      </w:r>
      <w:r w:rsidR="005342FE" w:rsidRPr="005342FE">
        <w:rPr>
          <w:iCs/>
        </w:rPr>
        <w:t xml:space="preserve">*603107) </w:t>
      </w:r>
      <w:r w:rsidRPr="00031FF6">
        <w:t>respectively</w:t>
      </w:r>
      <w:r>
        <w:t xml:space="preserve"> (Figure S18). As these are both well-established OMIM morbidity genes and both are intolerant to loss of function variations (</w:t>
      </w:r>
      <w:proofErr w:type="spellStart"/>
      <w:r>
        <w:t>pLI</w:t>
      </w:r>
      <w:proofErr w:type="spellEnd"/>
      <w:r>
        <w:t xml:space="preserve">=1), we considered that the individual’s phenotype could be due to HI of both genes. </w:t>
      </w:r>
      <w:r w:rsidRPr="00840A83">
        <w:t xml:space="preserve">At the time </w:t>
      </w:r>
      <w:r w:rsidRPr="00E0762B">
        <w:t xml:space="preserve">of entry into the 100kGP, the </w:t>
      </w:r>
      <w:r>
        <w:t>individual</w:t>
      </w:r>
      <w:r w:rsidRPr="00E0762B">
        <w:t xml:space="preserve"> was too young for it to be clear whether typ</w:t>
      </w:r>
      <w:r>
        <w:t>ical features of Rubinstein-</w:t>
      </w:r>
      <w:proofErr w:type="spellStart"/>
      <w:r>
        <w:t>Taybi</w:t>
      </w:r>
      <w:proofErr w:type="spellEnd"/>
      <w:r>
        <w:t xml:space="preserve"> syndrome 2 [MIM #613684]</w:t>
      </w:r>
      <w:r w:rsidRPr="00E0762B">
        <w:t xml:space="preserve"> were present</w:t>
      </w:r>
      <w:r w:rsidR="00E97614">
        <w:t>,</w:t>
      </w:r>
      <w:r w:rsidRPr="00E0762B">
        <w:t xml:space="preserve"> but subsequent assessment has confirmed typical facial features and broad hallux.</w:t>
      </w:r>
    </w:p>
    <w:p w14:paraId="124FB030" w14:textId="0FCD873F" w:rsidR="0054637A" w:rsidRPr="00497100" w:rsidRDefault="0054637A" w:rsidP="00DD05AD">
      <w:pPr>
        <w:jc w:val="both"/>
      </w:pPr>
      <w:r>
        <w:t>F</w:t>
      </w:r>
      <w:r w:rsidRPr="00497100">
        <w:t>amily 4</w:t>
      </w:r>
      <w:r>
        <w:t xml:space="preserve"> was recruited to the 100kGP as a parent-child trio, the proband and father with a diagnosis of e</w:t>
      </w:r>
      <w:r w:rsidRPr="00F04CC4">
        <w:t xml:space="preserve">ar malformations </w:t>
      </w:r>
      <w:r>
        <w:t xml:space="preserve">and </w:t>
      </w:r>
      <w:r w:rsidRPr="00F04CC4">
        <w:t>hearing impairment</w:t>
      </w:r>
      <w:r>
        <w:t>.</w:t>
      </w:r>
      <w:r w:rsidRPr="00497100">
        <w:t xml:space="preserve"> </w:t>
      </w:r>
      <w:r>
        <w:t>This f</w:t>
      </w:r>
      <w:r w:rsidRPr="00497100">
        <w:t xml:space="preserve">amily </w:t>
      </w:r>
      <w:proofErr w:type="gramStart"/>
      <w:r>
        <w:t xml:space="preserve">were </w:t>
      </w:r>
      <w:r w:rsidRPr="00497100">
        <w:t xml:space="preserve">already </w:t>
      </w:r>
      <w:r>
        <w:t>considered to be</w:t>
      </w:r>
      <w:r w:rsidRPr="00497100">
        <w:t xml:space="preserve"> solved</w:t>
      </w:r>
      <w:proofErr w:type="gramEnd"/>
      <w:r>
        <w:t>,</w:t>
      </w:r>
      <w:r w:rsidRPr="00497100">
        <w:t xml:space="preserve"> due to a</w:t>
      </w:r>
      <w:r>
        <w:t>n inherited</w:t>
      </w:r>
      <w:r w:rsidRPr="00497100">
        <w:t xml:space="preserve"> </w:t>
      </w:r>
      <w:r>
        <w:t xml:space="preserve">likely pathogenic </w:t>
      </w:r>
      <w:r w:rsidRPr="00F04CC4">
        <w:t xml:space="preserve">NM_000248.4:c.662A&gt;G, p.Asn221Ser </w:t>
      </w:r>
      <w:r w:rsidRPr="00497100">
        <w:t xml:space="preserve">variant in </w:t>
      </w:r>
      <w:r w:rsidRPr="004102E8">
        <w:rPr>
          <w:i/>
        </w:rPr>
        <w:t>MITF</w:t>
      </w:r>
      <w:r w:rsidR="00A87433">
        <w:rPr>
          <w:i/>
        </w:rPr>
        <w:t xml:space="preserve"> </w:t>
      </w:r>
      <w:r w:rsidR="00A87433" w:rsidRPr="00A87433">
        <w:rPr>
          <w:iCs/>
        </w:rPr>
        <w:t>(MIM *156845)</w:t>
      </w:r>
      <w:r>
        <w:t xml:space="preserve">, a gene associated with </w:t>
      </w:r>
      <w:r w:rsidRPr="00497100">
        <w:t>Waardenburg syndrome, type 2A</w:t>
      </w:r>
      <w:r>
        <w:t xml:space="preserve"> [MIM </w:t>
      </w:r>
      <w:r w:rsidRPr="00F04CC4">
        <w:t>#193510</w:t>
      </w:r>
      <w:r>
        <w:t xml:space="preserve">]. However, </w:t>
      </w:r>
      <w:r w:rsidRPr="00497100">
        <w:t>bone exostoses</w:t>
      </w:r>
      <w:r>
        <w:t xml:space="preserve"> were an additional complication in both affected individuals and this feature is not typically observed in individuals with </w:t>
      </w:r>
      <w:r w:rsidRPr="00497100">
        <w:t>Waardenburg syndrome</w:t>
      </w:r>
      <w:r>
        <w:t xml:space="preserve">. Both individuals shared a </w:t>
      </w:r>
      <w:r w:rsidRPr="00497100">
        <w:t xml:space="preserve">106kb inversion </w:t>
      </w:r>
      <w:r>
        <w:t xml:space="preserve">(Figure S19) </w:t>
      </w:r>
      <w:r w:rsidRPr="00497100">
        <w:t xml:space="preserve">that </w:t>
      </w:r>
      <w:r>
        <w:t xml:space="preserve">involves </w:t>
      </w:r>
      <w:r w:rsidRPr="00F04CC4">
        <w:t xml:space="preserve">exons 2-10 </w:t>
      </w:r>
      <w:r>
        <w:t xml:space="preserve">of the 14 exon </w:t>
      </w:r>
      <w:r w:rsidRPr="00207FA7">
        <w:rPr>
          <w:i/>
        </w:rPr>
        <w:t>EXT2</w:t>
      </w:r>
      <w:r>
        <w:t xml:space="preserve"> gene </w:t>
      </w:r>
      <w:r w:rsidRPr="00F04CC4">
        <w:t>(</w:t>
      </w:r>
      <w:r w:rsidR="00BA477E">
        <w:t>MIM</w:t>
      </w:r>
      <w:r w:rsidR="00BA477E" w:rsidRPr="00BA477E">
        <w:t xml:space="preserve"> </w:t>
      </w:r>
      <w:r w:rsidR="00BA477E">
        <w:t>*</w:t>
      </w:r>
      <w:r w:rsidR="00BA477E" w:rsidRPr="00BA477E">
        <w:t>608210</w:t>
      </w:r>
      <w:r w:rsidR="00BA477E">
        <w:t xml:space="preserve">; </w:t>
      </w:r>
      <w:r w:rsidRPr="00F04CC4">
        <w:t>NM_207122.2)</w:t>
      </w:r>
      <w:r>
        <w:t xml:space="preserve"> and hence is highly likely to disrupt gene function and result in the bone phenotype</w:t>
      </w:r>
      <w:r w:rsidRPr="00F04CC4">
        <w:t xml:space="preserve">. </w:t>
      </w:r>
      <w:r>
        <w:t>This finding will f</w:t>
      </w:r>
      <w:r w:rsidRPr="009640FC">
        <w:t xml:space="preserve">acilitate genetic testing of </w:t>
      </w:r>
      <w:r>
        <w:t xml:space="preserve">an </w:t>
      </w:r>
      <w:r w:rsidRPr="009640FC">
        <w:t xml:space="preserve">affected brother </w:t>
      </w:r>
      <w:r>
        <w:t>(</w:t>
      </w:r>
      <w:r w:rsidRPr="009640FC">
        <w:t xml:space="preserve">not in </w:t>
      </w:r>
      <w:r>
        <w:t xml:space="preserve">the </w:t>
      </w:r>
      <w:r w:rsidRPr="009640FC">
        <w:t>100</w:t>
      </w:r>
      <w:r>
        <w:t>k</w:t>
      </w:r>
      <w:r w:rsidRPr="009640FC">
        <w:t>GP</w:t>
      </w:r>
      <w:r>
        <w:t>)</w:t>
      </w:r>
      <w:r w:rsidRPr="009640FC">
        <w:t xml:space="preserve"> who has </w:t>
      </w:r>
      <w:r>
        <w:t xml:space="preserve">multiple </w:t>
      </w:r>
      <w:r w:rsidRPr="009640FC">
        <w:t>exostoses</w:t>
      </w:r>
      <w:r>
        <w:t xml:space="preserve">, </w:t>
      </w:r>
      <w:r w:rsidRPr="009640FC">
        <w:t>but no</w:t>
      </w:r>
      <w:r>
        <w:t>t</w:t>
      </w:r>
      <w:r w:rsidRPr="009640FC">
        <w:t xml:space="preserve"> deafness</w:t>
      </w:r>
      <w:r>
        <w:t>.</w:t>
      </w:r>
      <w:r w:rsidRPr="009640FC">
        <w:t xml:space="preserve"> </w:t>
      </w:r>
      <w:r>
        <w:t xml:space="preserve">Confirmation of the inversion in this individual would help delineate the components of this blended phenotype. An additional </w:t>
      </w:r>
      <w:r w:rsidR="007E0821">
        <w:t xml:space="preserve">example of a </w:t>
      </w:r>
      <w:r>
        <w:t xml:space="preserve">blended </w:t>
      </w:r>
      <w:r w:rsidR="007E0821">
        <w:t xml:space="preserve">phenotype </w:t>
      </w:r>
      <w:r>
        <w:t xml:space="preserve">involving </w:t>
      </w:r>
      <w:r w:rsidRPr="00A07011">
        <w:rPr>
          <w:i/>
        </w:rPr>
        <w:t>EFTUD2</w:t>
      </w:r>
      <w:r>
        <w:t xml:space="preserve"> (Figure S12) and an inherited missense variant in </w:t>
      </w:r>
      <w:r w:rsidRPr="00A07011">
        <w:rPr>
          <w:i/>
        </w:rPr>
        <w:t>FGFR3</w:t>
      </w:r>
      <w:r>
        <w:t xml:space="preserve"> </w:t>
      </w:r>
      <w:r w:rsidR="002838F9">
        <w:t xml:space="preserve">(MIM </w:t>
      </w:r>
      <w:r w:rsidR="002838F9" w:rsidRPr="002838F9">
        <w:t>*134934</w:t>
      </w:r>
      <w:r w:rsidR="002838F9">
        <w:t xml:space="preserve">) </w:t>
      </w:r>
      <w:r>
        <w:t>is described in Note S3.</w:t>
      </w:r>
    </w:p>
    <w:p w14:paraId="1626DFDB" w14:textId="77777777" w:rsidR="0054637A" w:rsidRPr="00C43224" w:rsidRDefault="0054637A" w:rsidP="00DD05AD">
      <w:pPr>
        <w:pStyle w:val="ListParagraph"/>
        <w:numPr>
          <w:ilvl w:val="0"/>
          <w:numId w:val="9"/>
        </w:numPr>
        <w:jc w:val="both"/>
        <w:rPr>
          <w:b/>
        </w:rPr>
      </w:pPr>
      <w:r>
        <w:rPr>
          <w:b/>
        </w:rPr>
        <w:lastRenderedPageBreak/>
        <w:t>I</w:t>
      </w:r>
      <w:r w:rsidRPr="00C43224">
        <w:rPr>
          <w:b/>
        </w:rPr>
        <w:t>nversions disrupting tumour suppressor genes</w:t>
      </w:r>
    </w:p>
    <w:p w14:paraId="6C6693CC" w14:textId="77777777" w:rsidR="0054637A" w:rsidRDefault="0054637A" w:rsidP="00DD05AD">
      <w:pPr>
        <w:jc w:val="both"/>
      </w:pPr>
      <w:r w:rsidRPr="00C15CE9">
        <w:t xml:space="preserve">A notable subset of the cohort </w:t>
      </w:r>
      <w:r>
        <w:t>(10</w:t>
      </w:r>
      <w:r w:rsidRPr="00C15CE9">
        <w:t>/47 families)</w:t>
      </w:r>
      <w:r>
        <w:t xml:space="preserve"> harboured germline inversions that disrupted tumour suppressor genes and resulted in well-known cancer susceptibility type conditions.</w:t>
      </w:r>
    </w:p>
    <w:p w14:paraId="3640DEA3" w14:textId="1A497C1A" w:rsidR="0054637A" w:rsidRDefault="0054637A" w:rsidP="00DD05AD">
      <w:pPr>
        <w:jc w:val="both"/>
      </w:pPr>
      <w:r>
        <w:t xml:space="preserve">The 30.7Mb inversion disrupting </w:t>
      </w:r>
      <w:r w:rsidRPr="005F5105">
        <w:rPr>
          <w:i/>
        </w:rPr>
        <w:t>MLH1</w:t>
      </w:r>
      <w:r>
        <w:t xml:space="preserve"> (described above) will facilitate cascade testing in the 100kGP participant’s son and other at-risk family members in this large kindred. Positive history for cancer had gone back at least three generations and included an a</w:t>
      </w:r>
      <w:r w:rsidRPr="009E1B06">
        <w:t>ffected brother (CRC 28y</w:t>
      </w:r>
      <w:r>
        <w:t>o) and paternal uncle (CRC 42yo, Figure S1). M</w:t>
      </w:r>
      <w:r w:rsidRPr="009E1B06">
        <w:t xml:space="preserve">icrosatellite instability </w:t>
      </w:r>
      <w:r>
        <w:t xml:space="preserve">had also been </w:t>
      </w:r>
      <w:r w:rsidRPr="009E1B06">
        <w:t xml:space="preserve">confirmed in </w:t>
      </w:r>
      <w:r>
        <w:t>two</w:t>
      </w:r>
      <w:r w:rsidRPr="009E1B06">
        <w:t xml:space="preserve"> family members</w:t>
      </w:r>
      <w:r>
        <w:t>. Although immunohistochemistry</w:t>
      </w:r>
      <w:r w:rsidRPr="009E1B06">
        <w:t xml:space="preserve"> </w:t>
      </w:r>
      <w:r>
        <w:t xml:space="preserve">indicated </w:t>
      </w:r>
      <w:r w:rsidRPr="009E1B06">
        <w:t>loss of MLH1</w:t>
      </w:r>
      <w:r>
        <w:t>, previous germline testing had not yielded a pathogenic variant.</w:t>
      </w:r>
      <w:r w:rsidRPr="00AF1E65">
        <w:t xml:space="preserve"> Original </w:t>
      </w:r>
      <w:r>
        <w:t>genome sequence</w:t>
      </w:r>
      <w:r w:rsidRPr="00AF1E65">
        <w:t xml:space="preserve"> </w:t>
      </w:r>
      <w:r>
        <w:t xml:space="preserve">data, generated in </w:t>
      </w:r>
      <w:r w:rsidRPr="00AF1E65">
        <w:t>March 2016</w:t>
      </w:r>
      <w:r>
        <w:t>,</w:t>
      </w:r>
      <w:r w:rsidRPr="00AF1E65">
        <w:t xml:space="preserve"> </w:t>
      </w:r>
      <w:r>
        <w:t xml:space="preserve">was initially </w:t>
      </w:r>
      <w:r w:rsidRPr="00AF1E65">
        <w:t xml:space="preserve">analysed </w:t>
      </w:r>
      <w:r>
        <w:t>using</w:t>
      </w:r>
      <w:r w:rsidRPr="00AF1E65">
        <w:t xml:space="preserve"> </w:t>
      </w:r>
      <w:r>
        <w:t xml:space="preserve">build </w:t>
      </w:r>
      <w:r w:rsidRPr="00AF1E65">
        <w:t>GRCh37</w:t>
      </w:r>
      <w:r>
        <w:t xml:space="preserve"> and the 100kGP c</w:t>
      </w:r>
      <w:r w:rsidRPr="00AF1E65">
        <w:t xml:space="preserve">linical pipeline </w:t>
      </w:r>
      <w:r>
        <w:t xml:space="preserve">had flagged only </w:t>
      </w:r>
      <w:r w:rsidRPr="00AF1E65">
        <w:t xml:space="preserve">NM_000535.7:c.86G&gt;C (p.Gly29Ala) in </w:t>
      </w:r>
      <w:r w:rsidRPr="00AF1E65">
        <w:rPr>
          <w:i/>
        </w:rPr>
        <w:t>PMS2</w:t>
      </w:r>
      <w:r w:rsidR="009453BC">
        <w:rPr>
          <w:i/>
        </w:rPr>
        <w:t xml:space="preserve"> </w:t>
      </w:r>
      <w:r w:rsidR="009453BC" w:rsidRPr="00F97B8B">
        <w:rPr>
          <w:iCs/>
        </w:rPr>
        <w:t>(</w:t>
      </w:r>
      <w:r w:rsidR="009453BC">
        <w:rPr>
          <w:iCs/>
        </w:rPr>
        <w:t xml:space="preserve">MIM </w:t>
      </w:r>
      <w:r w:rsidR="009453BC" w:rsidRPr="009453BC">
        <w:rPr>
          <w:iCs/>
        </w:rPr>
        <w:t>*600259</w:t>
      </w:r>
      <w:r w:rsidR="009453BC" w:rsidRPr="00F97B8B">
        <w:rPr>
          <w:iCs/>
        </w:rPr>
        <w:t>)</w:t>
      </w:r>
      <w:r>
        <w:rPr>
          <w:i/>
        </w:rPr>
        <w:t>,</w:t>
      </w:r>
      <w:r w:rsidRPr="00AF1E65">
        <w:t xml:space="preserve"> which </w:t>
      </w:r>
      <w:r>
        <w:t xml:space="preserve">is </w:t>
      </w:r>
      <w:r w:rsidRPr="00AF1E65">
        <w:t xml:space="preserve">likely </w:t>
      </w:r>
      <w:r>
        <w:t>benign (VCV000041721.</w:t>
      </w:r>
      <w:r w:rsidR="002D568B">
        <w:t>56</w:t>
      </w:r>
      <w:r w:rsidRPr="00AF1E65">
        <w:t>).</w:t>
      </w:r>
    </w:p>
    <w:p w14:paraId="71A9F1D9" w14:textId="0AE765E8" w:rsidR="0054637A" w:rsidRDefault="0054637A" w:rsidP="00DD05AD">
      <w:pPr>
        <w:jc w:val="both"/>
      </w:pPr>
      <w:r>
        <w:t>The proband in Family 1 was a y</w:t>
      </w:r>
      <w:r w:rsidRPr="00143930">
        <w:t xml:space="preserve">oung </w:t>
      </w:r>
      <w:r w:rsidR="002D0AD6">
        <w:t xml:space="preserve">female </w:t>
      </w:r>
      <w:r w:rsidRPr="00143930">
        <w:t xml:space="preserve">with </w:t>
      </w:r>
      <w:r>
        <w:t xml:space="preserve">a </w:t>
      </w:r>
      <w:r w:rsidRPr="00143930">
        <w:t>classical juvenile polyposis phenotype</w:t>
      </w:r>
      <w:r>
        <w:t xml:space="preserve"> [MIM #</w:t>
      </w:r>
      <w:r w:rsidRPr="003746D0">
        <w:t>174900</w:t>
      </w:r>
      <w:r>
        <w:t xml:space="preserve">] who </w:t>
      </w:r>
      <w:r w:rsidRPr="00143930">
        <w:t>first presented with intussusception at 7 years. Recent colonoscopies demonstrate</w:t>
      </w:r>
      <w:r>
        <w:t>d</w:t>
      </w:r>
      <w:r w:rsidRPr="00143930">
        <w:t xml:space="preserve"> juvenile polyps.</w:t>
      </w:r>
      <w:r>
        <w:t xml:space="preserve"> Targeted testing of </w:t>
      </w:r>
      <w:r w:rsidRPr="00143930">
        <w:rPr>
          <w:i/>
        </w:rPr>
        <w:t>SMAD4</w:t>
      </w:r>
      <w:r w:rsidRPr="00143930">
        <w:t xml:space="preserve"> </w:t>
      </w:r>
      <w:r w:rsidR="00755421">
        <w:t xml:space="preserve">(MIM </w:t>
      </w:r>
      <w:r w:rsidR="00755421" w:rsidRPr="00755421">
        <w:t>*600993</w:t>
      </w:r>
      <w:r w:rsidR="00755421">
        <w:t xml:space="preserve">) </w:t>
      </w:r>
      <w:r w:rsidRPr="00143930">
        <w:t xml:space="preserve">and </w:t>
      </w:r>
      <w:r w:rsidRPr="00143930">
        <w:rPr>
          <w:i/>
        </w:rPr>
        <w:t>BMPR1A</w:t>
      </w:r>
      <w:r w:rsidRPr="00143930">
        <w:t xml:space="preserve"> </w:t>
      </w:r>
      <w:r w:rsidR="00755421">
        <w:t xml:space="preserve">(MIM </w:t>
      </w:r>
      <w:r w:rsidR="00755421" w:rsidRPr="00755421">
        <w:t>*601299</w:t>
      </w:r>
      <w:r w:rsidR="00755421">
        <w:t xml:space="preserve">) </w:t>
      </w:r>
      <w:r>
        <w:t xml:space="preserve">had not identified any candidate germline susceptibility variants and therefore the individual was recruited to the 100kGP together with her similarly affected mother. A 1.4Mb inversion on 10q23 was identified in both affected individuals (Figure S20) for which the proximal breakpoint lies in intron 1 of </w:t>
      </w:r>
      <w:r w:rsidRPr="00501D48">
        <w:rPr>
          <w:i/>
        </w:rPr>
        <w:t>BMPR1A</w:t>
      </w:r>
      <w:r>
        <w:t xml:space="preserve"> (NM_004329.3). As the first exon is 5’-UTR we intend to perform follow up studies using informative </w:t>
      </w:r>
      <w:proofErr w:type="spellStart"/>
      <w:r>
        <w:t>exonic</w:t>
      </w:r>
      <w:proofErr w:type="spellEnd"/>
      <w:r>
        <w:t xml:space="preserve"> SNPs (</w:t>
      </w:r>
      <w:r w:rsidRPr="008E783F">
        <w:t>rs35572415</w:t>
      </w:r>
      <w:r>
        <w:t xml:space="preserve"> and </w:t>
      </w:r>
      <w:r w:rsidRPr="008E783F">
        <w:t>rs7078571</w:t>
      </w:r>
      <w:r>
        <w:t>)</w:t>
      </w:r>
      <w:r w:rsidRPr="00501D48">
        <w:t xml:space="preserve"> for allelic imbalance </w:t>
      </w:r>
      <w:r>
        <w:t xml:space="preserve">experiments </w:t>
      </w:r>
      <w:r w:rsidRPr="00501D48">
        <w:t xml:space="preserve">to confirm effect </w:t>
      </w:r>
      <w:r>
        <w:t xml:space="preserve">of this SV </w:t>
      </w:r>
      <w:r w:rsidRPr="00501D48">
        <w:t>on transcription</w:t>
      </w:r>
      <w:r>
        <w:t>. The inversion has been validated using a t</w:t>
      </w:r>
      <w:r w:rsidRPr="00143930">
        <w:t>riple-primer multiplex PCR assay</w:t>
      </w:r>
      <w:r>
        <w:t xml:space="preserve"> and thus</w:t>
      </w:r>
      <w:r w:rsidRPr="00143930">
        <w:t xml:space="preserve"> cascade testing </w:t>
      </w:r>
      <w:r>
        <w:t xml:space="preserve">can now </w:t>
      </w:r>
      <w:r w:rsidRPr="00143930">
        <w:t>be offered to at risk family members</w:t>
      </w:r>
      <w:r>
        <w:t>.</w:t>
      </w:r>
    </w:p>
    <w:p w14:paraId="1FAFFB7C" w14:textId="77777777" w:rsidR="0054637A" w:rsidRDefault="0054637A" w:rsidP="00DD05AD">
      <w:pPr>
        <w:jc w:val="both"/>
      </w:pPr>
      <w:r>
        <w:t>Family 2 comprised a proband and her daughter both recruited to the 100kGP due to c</w:t>
      </w:r>
      <w:r w:rsidRPr="00066B66">
        <w:t>utaneous</w:t>
      </w:r>
      <w:r>
        <w:t xml:space="preserve"> and </w:t>
      </w:r>
      <w:r w:rsidRPr="00066B66">
        <w:t>uterine leiomyomas</w:t>
      </w:r>
      <w:r>
        <w:t xml:space="preserve">. Although no renal cancer had been reported in this family, there was a strong suspicion of an underlying germline variant in </w:t>
      </w:r>
      <w:r w:rsidRPr="00F576BD">
        <w:rPr>
          <w:i/>
        </w:rPr>
        <w:t>FH</w:t>
      </w:r>
      <w:r>
        <w:t xml:space="preserve">. Prior testing with targeted sequencing and MLPA did not uncover any likely diagnostic variants. We detected a complex SV with a breakpoint in the in the final intron of </w:t>
      </w:r>
      <w:r w:rsidRPr="00E7177C">
        <w:rPr>
          <w:i/>
        </w:rPr>
        <w:t>FH</w:t>
      </w:r>
      <w:r>
        <w:t xml:space="preserve"> (Figure S21A), consistent with </w:t>
      </w:r>
      <w:proofErr w:type="spellStart"/>
      <w:r w:rsidRPr="00293C1B">
        <w:t>Leiomyomatosis</w:t>
      </w:r>
      <w:proofErr w:type="spellEnd"/>
      <w:r w:rsidRPr="00293C1B">
        <w:t xml:space="preserve"> and renal cell cancer </w:t>
      </w:r>
      <w:r>
        <w:t>[MIM #</w:t>
      </w:r>
      <w:r w:rsidRPr="00293C1B">
        <w:t>150800</w:t>
      </w:r>
      <w:r>
        <w:t xml:space="preserve">]. Although our prioritisation was due to the Manta algorithm which called this SV as a 3.6Mb inversion, the actual structure was an intrachromosomal translocation of a 193kb segment, in combination with a 188kb deletion (Figure S21B-C). The consequence of the insertion on the </w:t>
      </w:r>
      <w:r w:rsidRPr="001554E6">
        <w:rPr>
          <w:i/>
        </w:rPr>
        <w:t>FH</w:t>
      </w:r>
      <w:r>
        <w:t xml:space="preserve"> transcript would require RNA studies. However, the inserted sequence contains one +</w:t>
      </w:r>
      <w:proofErr w:type="spellStart"/>
      <w:r>
        <w:t>ve</w:t>
      </w:r>
      <w:proofErr w:type="spellEnd"/>
      <w:r>
        <w:t xml:space="preserve"> strand </w:t>
      </w:r>
      <w:proofErr w:type="spellStart"/>
      <w:r>
        <w:t>RefSeq</w:t>
      </w:r>
      <w:proofErr w:type="spellEnd"/>
      <w:r>
        <w:t xml:space="preserve"> annotation for “POTE ankyrin domain family, member F pseudogene” (NR_027247.2) and so we speculate that the SV may result in a fusion transcript. As the variant was also detected in the proband’s affected daughter, there is support from co-segregation. Cascade testing is now being extended to include other affected family members. We anticipate </w:t>
      </w:r>
      <w:r w:rsidRPr="00FE71C8">
        <w:t>that this finding will b</w:t>
      </w:r>
      <w:r>
        <w:t>e important for prioritising renal cancer surveillance, especially for male relatives where the endometrial phenotype cannot act as a give-away clue about whether individuals are likely carriers and thus at risk of the more aggressive cancer type.</w:t>
      </w:r>
    </w:p>
    <w:p w14:paraId="3D4F7C05" w14:textId="77777777" w:rsidR="0054637A" w:rsidRDefault="0054637A" w:rsidP="00DD05AD">
      <w:pPr>
        <w:jc w:val="both"/>
      </w:pPr>
      <w:r w:rsidRPr="007C4EA6">
        <w:t>Family 3 comprise</w:t>
      </w:r>
      <w:r>
        <w:t>d</w:t>
      </w:r>
      <w:r w:rsidRPr="007C4EA6">
        <w:t xml:space="preserve"> an individual </w:t>
      </w:r>
      <w:r>
        <w:t xml:space="preserve">entered into the </w:t>
      </w:r>
      <w:r w:rsidRPr="007C4EA6">
        <w:t xml:space="preserve">100kGP </w:t>
      </w:r>
      <w:r>
        <w:t>as a singleton</w:t>
      </w:r>
      <w:r w:rsidRPr="007C4EA6">
        <w:t xml:space="preserve"> with </w:t>
      </w:r>
      <w:r>
        <w:t xml:space="preserve">a </w:t>
      </w:r>
      <w:r w:rsidRPr="007C4EA6">
        <w:t xml:space="preserve">diagnosis of </w:t>
      </w:r>
      <w:r>
        <w:t>“</w:t>
      </w:r>
      <w:proofErr w:type="spellStart"/>
      <w:r>
        <w:t>g</w:t>
      </w:r>
      <w:r w:rsidRPr="007C4EA6">
        <w:t>enodermatoses</w:t>
      </w:r>
      <w:proofErr w:type="spellEnd"/>
      <w:r w:rsidRPr="007C4EA6">
        <w:t xml:space="preserve"> with malignancies</w:t>
      </w:r>
      <w:r>
        <w:t>”.</w:t>
      </w:r>
      <w:r w:rsidRPr="007C4EA6">
        <w:t xml:space="preserve"> </w:t>
      </w:r>
      <w:r>
        <w:t>Other features included p</w:t>
      </w:r>
      <w:r w:rsidRPr="00F0511B">
        <w:t>unctate palmoplantar hyperkeratosis, thyroid adenoma, macrocephaly</w:t>
      </w:r>
      <w:r>
        <w:t xml:space="preserve"> and</w:t>
      </w:r>
      <w:r w:rsidRPr="00F0511B">
        <w:t xml:space="preserve"> tongue nodules</w:t>
      </w:r>
      <w:r>
        <w:t>.</w:t>
      </w:r>
      <w:r w:rsidRPr="00F0511B">
        <w:t xml:space="preserve"> </w:t>
      </w:r>
      <w:r>
        <w:t xml:space="preserve">Although the </w:t>
      </w:r>
      <w:r w:rsidRPr="007C4EA6">
        <w:t xml:space="preserve">phenotype </w:t>
      </w:r>
      <w:r>
        <w:t xml:space="preserve">was considered </w:t>
      </w:r>
      <w:r w:rsidRPr="007C4EA6">
        <w:t>classic for Cowden syndrome</w:t>
      </w:r>
      <w:r>
        <w:t xml:space="preserve"> [MIM #</w:t>
      </w:r>
      <w:r w:rsidRPr="003746D0">
        <w:t>158350</w:t>
      </w:r>
      <w:r>
        <w:t xml:space="preserve">], previous testing of </w:t>
      </w:r>
      <w:r w:rsidRPr="00F0511B">
        <w:rPr>
          <w:i/>
        </w:rPr>
        <w:t>PTEN</w:t>
      </w:r>
      <w:r>
        <w:t xml:space="preserve"> using targeted sequencing and MLPA approaches had not picked up any variants of significance. We identified a balanced 14kb i</w:t>
      </w:r>
      <w:r w:rsidRPr="007C4EA6">
        <w:t xml:space="preserve">nversion </w:t>
      </w:r>
      <w:r>
        <w:t xml:space="preserve">involving </w:t>
      </w:r>
      <w:r w:rsidRPr="007C4EA6">
        <w:t xml:space="preserve">exons 6-8 </w:t>
      </w:r>
      <w:r>
        <w:t xml:space="preserve">of </w:t>
      </w:r>
      <w:r w:rsidRPr="007C4EA6">
        <w:rPr>
          <w:i/>
        </w:rPr>
        <w:t>PTEN</w:t>
      </w:r>
      <w:r w:rsidRPr="007C4EA6">
        <w:t xml:space="preserve"> </w:t>
      </w:r>
      <w:r>
        <w:t xml:space="preserve">(Figure S22) </w:t>
      </w:r>
      <w:r w:rsidRPr="007C4EA6">
        <w:t>(NM_000314.8)</w:t>
      </w:r>
      <w:r>
        <w:t xml:space="preserve">. As above, it </w:t>
      </w:r>
      <w:proofErr w:type="gramStart"/>
      <w:r>
        <w:t>is anticipated</w:t>
      </w:r>
      <w:proofErr w:type="gramEnd"/>
      <w:r>
        <w:t xml:space="preserve"> that this finding will facilitate </w:t>
      </w:r>
      <w:r w:rsidRPr="00F0511B">
        <w:t xml:space="preserve">cascade </w:t>
      </w:r>
      <w:r>
        <w:t xml:space="preserve">testing </w:t>
      </w:r>
      <w:r w:rsidRPr="00F0511B">
        <w:t xml:space="preserve">for </w:t>
      </w:r>
      <w:r>
        <w:t xml:space="preserve">other </w:t>
      </w:r>
      <w:r w:rsidRPr="00F0511B">
        <w:t>at</w:t>
      </w:r>
      <w:r>
        <w:t xml:space="preserve"> </w:t>
      </w:r>
      <w:r w:rsidRPr="00F0511B">
        <w:t>risk family members.</w:t>
      </w:r>
    </w:p>
    <w:p w14:paraId="2D559998" w14:textId="38607ADC" w:rsidR="0054637A" w:rsidRPr="00AE1590" w:rsidRDefault="0054637A" w:rsidP="00DD05AD">
      <w:pPr>
        <w:jc w:val="both"/>
      </w:pPr>
      <w:r>
        <w:lastRenderedPageBreak/>
        <w:t xml:space="preserve">Family 8 comprised an individual with multiple tumours recruited to the 100kGP as a singleton. She was </w:t>
      </w:r>
      <w:r w:rsidRPr="0091084F">
        <w:t xml:space="preserve">diagnosed </w:t>
      </w:r>
      <w:r>
        <w:t>with u</w:t>
      </w:r>
      <w:r w:rsidRPr="0091084F">
        <w:t xml:space="preserve">nilateral retinoblastoma </w:t>
      </w:r>
      <w:r>
        <w:t>[MIM #</w:t>
      </w:r>
      <w:r w:rsidRPr="00DC70CF">
        <w:t>180200</w:t>
      </w:r>
      <w:r>
        <w:t xml:space="preserve">] </w:t>
      </w:r>
      <w:r w:rsidRPr="0091084F">
        <w:t>in 1971</w:t>
      </w:r>
      <w:r>
        <w:t xml:space="preserve"> and subsequently</w:t>
      </w:r>
      <w:r w:rsidRPr="0091084F">
        <w:t xml:space="preserve"> osteogenic sarcoma </w:t>
      </w:r>
      <w:r>
        <w:t xml:space="preserve">of the </w:t>
      </w:r>
      <w:r w:rsidRPr="0091084F">
        <w:t xml:space="preserve">left tibia </w:t>
      </w:r>
      <w:r>
        <w:t xml:space="preserve">in </w:t>
      </w:r>
      <w:r w:rsidRPr="0091084F">
        <w:t>1981</w:t>
      </w:r>
      <w:r>
        <w:t>.</w:t>
      </w:r>
      <w:r w:rsidRPr="0091084F">
        <w:t xml:space="preserve"> </w:t>
      </w:r>
      <w:r>
        <w:t>M</w:t>
      </w:r>
      <w:r w:rsidRPr="0091084F">
        <w:t xml:space="preserve">alignant melanoma </w:t>
      </w:r>
      <w:r>
        <w:t xml:space="preserve">and </w:t>
      </w:r>
      <w:r w:rsidRPr="0091084F">
        <w:t xml:space="preserve">uterine leiomyosarcoma </w:t>
      </w:r>
      <w:r>
        <w:t>were also reported more recently.</w:t>
      </w:r>
      <w:r w:rsidRPr="0091084F">
        <w:t xml:space="preserve"> </w:t>
      </w:r>
      <w:r>
        <w:t xml:space="preserve">Although the pedigree was not available to review, </w:t>
      </w:r>
      <w:r w:rsidRPr="0091084F">
        <w:t>extensive family history of osteosarcoma, retinoblastoma and breast cancer</w:t>
      </w:r>
      <w:r>
        <w:t xml:space="preserve"> was noted. Several m</w:t>
      </w:r>
      <w:r w:rsidRPr="0091084F">
        <w:t xml:space="preserve">alignancies </w:t>
      </w:r>
      <w:r>
        <w:t>were r</w:t>
      </w:r>
      <w:r w:rsidRPr="0091084F">
        <w:t xml:space="preserve">eported </w:t>
      </w:r>
      <w:r>
        <w:t xml:space="preserve">to have somatic </w:t>
      </w:r>
      <w:r w:rsidRPr="0091084F">
        <w:t>mutation</w:t>
      </w:r>
      <w:r>
        <w:t>s</w:t>
      </w:r>
      <w:r w:rsidRPr="0091084F">
        <w:t xml:space="preserve"> </w:t>
      </w:r>
      <w:r>
        <w:t xml:space="preserve">in </w:t>
      </w:r>
      <w:r w:rsidRPr="0091084F">
        <w:rPr>
          <w:i/>
        </w:rPr>
        <w:t>RB1</w:t>
      </w:r>
      <w:r w:rsidR="0065614B">
        <w:rPr>
          <w:i/>
        </w:rPr>
        <w:t xml:space="preserve"> </w:t>
      </w:r>
      <w:r w:rsidR="0065614B" w:rsidRPr="0065614B">
        <w:rPr>
          <w:iCs/>
        </w:rPr>
        <w:t>(</w:t>
      </w:r>
      <w:r w:rsidR="0065614B">
        <w:rPr>
          <w:iCs/>
        </w:rPr>
        <w:t xml:space="preserve">MIM </w:t>
      </w:r>
      <w:r w:rsidR="0065614B" w:rsidRPr="0065614B">
        <w:rPr>
          <w:iCs/>
        </w:rPr>
        <w:t>*614041)</w:t>
      </w:r>
      <w:r>
        <w:t>,</w:t>
      </w:r>
      <w:r w:rsidRPr="0091084F">
        <w:t xml:space="preserve"> </w:t>
      </w:r>
      <w:r>
        <w:t xml:space="preserve">but targeted sequencing of </w:t>
      </w:r>
      <w:r w:rsidRPr="0091084F">
        <w:rPr>
          <w:i/>
        </w:rPr>
        <w:t>RB1</w:t>
      </w:r>
      <w:r>
        <w:t xml:space="preserve"> in constitutional DNA did not pick up any pathogenic variants. Our analysis identified an 18.1kb inversion, with the distal breakpoint lying in intron 2 of </w:t>
      </w:r>
      <w:r w:rsidRPr="00411FC2">
        <w:rPr>
          <w:i/>
        </w:rPr>
        <w:t>RB1</w:t>
      </w:r>
      <w:r>
        <w:t xml:space="preserve"> (</w:t>
      </w:r>
      <w:r w:rsidRPr="00411FC2">
        <w:t>NM_000321.3</w:t>
      </w:r>
      <w:r>
        <w:t>)</w:t>
      </w:r>
      <w:r w:rsidRPr="00411FC2">
        <w:t xml:space="preserve"> </w:t>
      </w:r>
      <w:r>
        <w:t xml:space="preserve">and a </w:t>
      </w:r>
      <w:r w:rsidRPr="0091084F">
        <w:t>2</w:t>
      </w:r>
      <w:r>
        <w:t>,</w:t>
      </w:r>
      <w:r w:rsidRPr="0091084F">
        <w:t xml:space="preserve">246bp loss at </w:t>
      </w:r>
      <w:r>
        <w:t xml:space="preserve">the </w:t>
      </w:r>
      <w:r w:rsidRPr="0091084F">
        <w:t>proximal end</w:t>
      </w:r>
      <w:r>
        <w:t xml:space="preserve"> (Figure S23).</w:t>
      </w:r>
      <w:r w:rsidRPr="00411FC2">
        <w:t xml:space="preserve"> </w:t>
      </w:r>
      <w:r>
        <w:t>Unfortunately, the individual</w:t>
      </w:r>
      <w:r w:rsidRPr="00411FC2">
        <w:t xml:space="preserve"> </w:t>
      </w:r>
      <w:r>
        <w:t xml:space="preserve">is </w:t>
      </w:r>
      <w:r w:rsidRPr="00411FC2">
        <w:t>now deceased</w:t>
      </w:r>
      <w:r>
        <w:t>,</w:t>
      </w:r>
      <w:r w:rsidRPr="00411FC2">
        <w:t xml:space="preserve"> </w:t>
      </w:r>
      <w:r>
        <w:t xml:space="preserve">which makes it </w:t>
      </w:r>
      <w:r w:rsidRPr="00411FC2">
        <w:t>difficult to re</w:t>
      </w:r>
      <w:r>
        <w:t>-</w:t>
      </w:r>
      <w:r w:rsidRPr="00411FC2">
        <w:t xml:space="preserve">contact </w:t>
      </w:r>
      <w:r>
        <w:t xml:space="preserve">this </w:t>
      </w:r>
      <w:r w:rsidRPr="00411FC2">
        <w:t>family</w:t>
      </w:r>
      <w:r>
        <w:t xml:space="preserve"> to offer validation/cascade testing.</w:t>
      </w:r>
    </w:p>
    <w:p w14:paraId="47F22486" w14:textId="77777777" w:rsidR="0054637A" w:rsidRPr="00DA2099" w:rsidRDefault="0054637A" w:rsidP="00DD05AD">
      <w:pPr>
        <w:shd w:val="clear" w:color="auto" w:fill="FFFFFF" w:themeFill="background1"/>
        <w:jc w:val="both"/>
      </w:pPr>
      <w:r w:rsidRPr="00DA2099">
        <w:t>Family 40 comprised a male recruited as singleton to 100kGP under a diagnosis of familial tumour syndromes of the central and peripheral nervous system.</w:t>
      </w:r>
      <w:r>
        <w:t xml:space="preserve"> </w:t>
      </w:r>
      <w:proofErr w:type="spellStart"/>
      <w:r>
        <w:t>SVRare</w:t>
      </w:r>
      <w:proofErr w:type="spellEnd"/>
      <w:r>
        <w:t xml:space="preserve"> had prioritised a 15.1Mb inversion call that involved </w:t>
      </w:r>
      <w:r w:rsidRPr="006437F4">
        <w:rPr>
          <w:i/>
        </w:rPr>
        <w:t>NF2</w:t>
      </w:r>
      <w:r>
        <w:t xml:space="preserve">. Closer scrutiny of the </w:t>
      </w:r>
      <w:proofErr w:type="spellStart"/>
      <w:r>
        <w:t>MantaINV</w:t>
      </w:r>
      <w:proofErr w:type="spellEnd"/>
      <w:r>
        <w:t xml:space="preserve"> call and read alignments around this locus indicated that the SV comprised three interlinked duplications of </w:t>
      </w:r>
      <w:r w:rsidRPr="00DA2099">
        <w:t xml:space="preserve">19.5kb, 10.1kb </w:t>
      </w:r>
      <w:r>
        <w:t>and</w:t>
      </w:r>
      <w:r w:rsidRPr="00DA2099">
        <w:t xml:space="preserve"> 1</w:t>
      </w:r>
      <w:r>
        <w:t>,</w:t>
      </w:r>
      <w:r w:rsidRPr="00DA2099">
        <w:t xml:space="preserve">329bp </w:t>
      </w:r>
      <w:r>
        <w:t xml:space="preserve">in size (Figure S24). Although linkage analysis had already revealed a risk haplotype for markers around </w:t>
      </w:r>
      <w:r w:rsidRPr="00377B2A">
        <w:rPr>
          <w:i/>
        </w:rPr>
        <w:t>NF2</w:t>
      </w:r>
      <w:r>
        <w:t xml:space="preserve">, detection of this SV will facilitate cascade testing in other at-risk family members. </w:t>
      </w:r>
      <w:r w:rsidRPr="00DA2099">
        <w:t xml:space="preserve">This </w:t>
      </w:r>
      <w:r>
        <w:t xml:space="preserve">rearrangement had already been uncovered independently by the clinical team responsible for this individual, following discussions at an MDT meeting, and has been </w:t>
      </w:r>
      <w:r w:rsidRPr="00DA2099">
        <w:t>be described in more detail elsewhere.</w:t>
      </w:r>
      <w:r w:rsidRPr="003F6879">
        <w:rPr>
          <w:noProof/>
          <w:vertAlign w:val="superscript"/>
        </w:rPr>
        <w:t>44</w:t>
      </w:r>
    </w:p>
    <w:p w14:paraId="2F700D62" w14:textId="68561FCA" w:rsidR="0054637A" w:rsidRDefault="0054637A" w:rsidP="00DD05AD">
      <w:pPr>
        <w:jc w:val="both"/>
      </w:pPr>
      <w:r>
        <w:t xml:space="preserve">As described above, Family 4 harboured an inversion that disrupts </w:t>
      </w:r>
      <w:r w:rsidRPr="00B54C65">
        <w:rPr>
          <w:i/>
        </w:rPr>
        <w:t>EXT2</w:t>
      </w:r>
      <w:r>
        <w:rPr>
          <w:i/>
        </w:rPr>
        <w:t xml:space="preserve">, </w:t>
      </w:r>
      <w:r>
        <w:t>likely resulting in multiple bone exostoses described in 3 family members</w:t>
      </w:r>
      <w:r>
        <w:rPr>
          <w:i/>
        </w:rPr>
        <w:t>.</w:t>
      </w:r>
      <w:r>
        <w:t xml:space="preserve"> Although multiple bone exostoses [MIM #</w:t>
      </w:r>
      <w:r w:rsidRPr="00D14CC4">
        <w:t>133701</w:t>
      </w:r>
      <w:r>
        <w:t xml:space="preserve">] are typically benign and often asymptomatic, in some </w:t>
      </w:r>
      <w:r w:rsidR="00205CEC">
        <w:t xml:space="preserve">affected individuals </w:t>
      </w:r>
      <w:r>
        <w:t xml:space="preserve">they can result in pain/deformities and can be surgically removed. One </w:t>
      </w:r>
      <w:r w:rsidRPr="00B54C65">
        <w:t xml:space="preserve">important complication is </w:t>
      </w:r>
      <w:r>
        <w:t xml:space="preserve">the increased risk of </w:t>
      </w:r>
      <w:r w:rsidRPr="00B54C65">
        <w:t xml:space="preserve">malignant transformation </w:t>
      </w:r>
      <w:r>
        <w:t xml:space="preserve">to a </w:t>
      </w:r>
      <w:r w:rsidRPr="00B54C65">
        <w:t>secondary chondrosarcoma</w:t>
      </w:r>
      <w:r w:rsidRPr="003F6879">
        <w:rPr>
          <w:noProof/>
          <w:vertAlign w:val="superscript"/>
        </w:rPr>
        <w:t>45</w:t>
      </w:r>
      <w:r>
        <w:t xml:space="preserve"> and so our findings could help inform surveillance. </w:t>
      </w:r>
      <w:r w:rsidRPr="00840B80">
        <w:t xml:space="preserve">One such (unrelated) </w:t>
      </w:r>
      <w:r>
        <w:t>participant</w:t>
      </w:r>
      <w:r w:rsidRPr="00840B80">
        <w:t xml:space="preserve"> </w:t>
      </w:r>
      <w:r>
        <w:t xml:space="preserve">with a germline deletion-inversion in </w:t>
      </w:r>
      <w:r w:rsidRPr="002839F7">
        <w:rPr>
          <w:i/>
        </w:rPr>
        <w:t>EXT2</w:t>
      </w:r>
      <w:r>
        <w:t xml:space="preserve"> </w:t>
      </w:r>
      <w:r w:rsidRPr="00840B80">
        <w:t xml:space="preserve">from the cancer arm </w:t>
      </w:r>
      <w:r>
        <w:t>of the 100kGP is shown in Figure S25</w:t>
      </w:r>
      <w:r w:rsidRPr="00840B80">
        <w:t>.</w:t>
      </w:r>
    </w:p>
    <w:p w14:paraId="78BE473C" w14:textId="02C6ABC7" w:rsidR="0054637A" w:rsidRDefault="0054637A" w:rsidP="00DD05AD">
      <w:pPr>
        <w:jc w:val="both"/>
      </w:pPr>
      <w:r>
        <w:t xml:space="preserve">The last 3 families with inversions disrupting tumour suppressor genes include a founder inversion involving exons 2-6 of </w:t>
      </w:r>
      <w:r w:rsidRPr="007C4EA6">
        <w:rPr>
          <w:i/>
        </w:rPr>
        <w:t>MSH2</w:t>
      </w:r>
      <w:r>
        <w:t xml:space="preserve"> in two apparently unrelated individuals (Families 16 and 17) and the complex translocation disrupting </w:t>
      </w:r>
      <w:r w:rsidRPr="004102E8">
        <w:rPr>
          <w:i/>
        </w:rPr>
        <w:t>APC</w:t>
      </w:r>
      <w:r>
        <w:rPr>
          <w:i/>
        </w:rPr>
        <w:t xml:space="preserve"> </w:t>
      </w:r>
      <w:r w:rsidRPr="00171DBD">
        <w:t>(Family 43)</w:t>
      </w:r>
      <w:r>
        <w:t>. These are described in more detail</w:t>
      </w:r>
      <w:r w:rsidR="00205CEC">
        <w:t xml:space="preserve"> below</w:t>
      </w:r>
      <w:r>
        <w:t>.</w:t>
      </w:r>
    </w:p>
    <w:p w14:paraId="36BFB272" w14:textId="77777777" w:rsidR="00E74E56" w:rsidRDefault="00E74E56" w:rsidP="00DD05AD">
      <w:pPr>
        <w:jc w:val="both"/>
      </w:pPr>
    </w:p>
    <w:p w14:paraId="732D9DBF" w14:textId="77777777" w:rsidR="00E74E56" w:rsidRPr="00E74E56" w:rsidRDefault="00E74E56" w:rsidP="00DD05AD">
      <w:pPr>
        <w:jc w:val="both"/>
        <w:rPr>
          <w:b/>
          <w:i/>
        </w:rPr>
      </w:pPr>
      <w:r w:rsidRPr="00E74E56">
        <w:rPr>
          <w:b/>
          <w:i/>
        </w:rPr>
        <w:t xml:space="preserve">Selection of illustrative exemplars </w:t>
      </w:r>
    </w:p>
    <w:p w14:paraId="38099C87" w14:textId="77777777" w:rsidR="0054637A" w:rsidRPr="00E74E56" w:rsidRDefault="0054637A" w:rsidP="00E74E56">
      <w:pPr>
        <w:pStyle w:val="ListParagraph"/>
        <w:numPr>
          <w:ilvl w:val="0"/>
          <w:numId w:val="9"/>
        </w:numPr>
        <w:jc w:val="both"/>
        <w:rPr>
          <w:b/>
        </w:rPr>
      </w:pPr>
      <w:r w:rsidRPr="00E74E56">
        <w:rPr>
          <w:b/>
        </w:rPr>
        <w:t xml:space="preserve">Exemplar 1: An intragenic </w:t>
      </w:r>
      <w:r w:rsidRPr="00E74E56">
        <w:rPr>
          <w:b/>
          <w:i/>
        </w:rPr>
        <w:t>MSH2</w:t>
      </w:r>
      <w:r w:rsidRPr="00E74E56">
        <w:rPr>
          <w:b/>
        </w:rPr>
        <w:t xml:space="preserve"> founder inversion</w:t>
      </w:r>
    </w:p>
    <w:p w14:paraId="63C6AF7F" w14:textId="6A3D3604" w:rsidR="0054637A" w:rsidRDefault="0054637A" w:rsidP="00DD05AD">
      <w:pPr>
        <w:jc w:val="both"/>
      </w:pPr>
      <w:r>
        <w:t xml:space="preserve">We identified two apparently unrelated </w:t>
      </w:r>
      <w:r w:rsidR="008256DD">
        <w:t xml:space="preserve">individuals </w:t>
      </w:r>
      <w:r>
        <w:t xml:space="preserve">from the 100kGP harbouring a 19.1kb inversion that involves exons 2-6 of </w:t>
      </w:r>
      <w:r w:rsidRPr="00A44D5D">
        <w:rPr>
          <w:i/>
        </w:rPr>
        <w:t>MSH2</w:t>
      </w:r>
      <w:r w:rsidRPr="00433BC4">
        <w:t>,</w:t>
      </w:r>
      <w:r>
        <w:t xml:space="preserve"> with a 1.2kb loss at the distal end (Figure 3A). The first individual (Family 16) is a male recruited to the 100kGP with reported t</w:t>
      </w:r>
      <w:r w:rsidRPr="00C82591">
        <w:t xml:space="preserve">ransitional cell cancer of bladder at 42 </w:t>
      </w:r>
      <w:r>
        <w:t xml:space="preserve">years </w:t>
      </w:r>
      <w:r w:rsidRPr="00C82591">
        <w:t xml:space="preserve">and </w:t>
      </w:r>
      <w:proofErr w:type="spellStart"/>
      <w:r w:rsidRPr="00C82591">
        <w:t>cecal</w:t>
      </w:r>
      <w:proofErr w:type="spellEnd"/>
      <w:r w:rsidRPr="00C82591">
        <w:t xml:space="preserve"> cancer at 45</w:t>
      </w:r>
      <w:r>
        <w:t xml:space="preserve"> years. Positive family history of early onset cancer stretched back at least three generations (Figure 3B) and led to a strong clinical suspicion for Lynch syndrome. </w:t>
      </w:r>
      <w:r w:rsidRPr="00172F3E">
        <w:t xml:space="preserve">Microsatellite instability </w:t>
      </w:r>
      <w:r>
        <w:t xml:space="preserve">was demonstrated in DNA from </w:t>
      </w:r>
      <w:proofErr w:type="spellStart"/>
      <w:r>
        <w:t>cecal</w:t>
      </w:r>
      <w:proofErr w:type="spellEnd"/>
      <w:r>
        <w:t xml:space="preserve"> tumour (5/</w:t>
      </w:r>
      <w:r w:rsidRPr="00172F3E">
        <w:t>5 markers</w:t>
      </w:r>
      <w:r>
        <w:t xml:space="preserve">). </w:t>
      </w:r>
      <w:r w:rsidRPr="00172F3E">
        <w:t xml:space="preserve">Immunohistochemistry </w:t>
      </w:r>
      <w:r>
        <w:t>highlighted a</w:t>
      </w:r>
      <w:r w:rsidRPr="00172F3E">
        <w:t xml:space="preserve"> complete loss of </w:t>
      </w:r>
      <w:r w:rsidRPr="00100175">
        <w:t>MSH2</w:t>
      </w:r>
      <w:r w:rsidRPr="00172F3E">
        <w:t xml:space="preserve"> expression and reduced MSH6 expression in both bladder TCC and </w:t>
      </w:r>
      <w:proofErr w:type="spellStart"/>
      <w:r w:rsidRPr="00172F3E">
        <w:t>cecal</w:t>
      </w:r>
      <w:proofErr w:type="spellEnd"/>
      <w:r w:rsidRPr="00172F3E">
        <w:t xml:space="preserve"> tumours</w:t>
      </w:r>
      <w:r>
        <w:t xml:space="preserve">. </w:t>
      </w:r>
      <w:r w:rsidRPr="00172F3E">
        <w:t>Germline testing</w:t>
      </w:r>
      <w:r>
        <w:t xml:space="preserve"> using both targeted </w:t>
      </w:r>
      <w:r w:rsidRPr="00172F3E">
        <w:t>sequencing and MLPA</w:t>
      </w:r>
      <w:r>
        <w:t xml:space="preserve"> approaches</w:t>
      </w:r>
      <w:r w:rsidRPr="00100175">
        <w:t xml:space="preserve"> </w:t>
      </w:r>
      <w:r>
        <w:t>was unrevealing. Karyotyping (</w:t>
      </w:r>
      <w:r w:rsidRPr="00172F3E">
        <w:t>46XY</w:t>
      </w:r>
      <w:r>
        <w:t>) and array-CGH had also returned</w:t>
      </w:r>
      <w:r w:rsidRPr="00172F3E">
        <w:t xml:space="preserve"> normal</w:t>
      </w:r>
      <w:r>
        <w:t xml:space="preserve"> results.</w:t>
      </w:r>
      <w:r>
        <w:rPr>
          <w:bCs/>
        </w:rPr>
        <w:t xml:space="preserve"> </w:t>
      </w:r>
      <w:r>
        <w:t>There was n</w:t>
      </w:r>
      <w:r w:rsidRPr="00172F3E">
        <w:t xml:space="preserve">o evidence for </w:t>
      </w:r>
      <w:r>
        <w:t xml:space="preserve">loss of heterozygosity at any of the </w:t>
      </w:r>
      <w:r w:rsidRPr="00172F3E">
        <w:rPr>
          <w:i/>
          <w:iCs/>
        </w:rPr>
        <w:t>MSH2</w:t>
      </w:r>
      <w:r w:rsidRPr="00172F3E">
        <w:t xml:space="preserve">, </w:t>
      </w:r>
      <w:r w:rsidRPr="00172F3E">
        <w:rPr>
          <w:i/>
          <w:iCs/>
        </w:rPr>
        <w:t xml:space="preserve">MLH1 </w:t>
      </w:r>
      <w:r w:rsidRPr="00172F3E">
        <w:t xml:space="preserve">or </w:t>
      </w:r>
      <w:r w:rsidRPr="00172F3E">
        <w:rPr>
          <w:i/>
          <w:iCs/>
        </w:rPr>
        <w:t>MSH6</w:t>
      </w:r>
      <w:r>
        <w:rPr>
          <w:i/>
          <w:iCs/>
        </w:rPr>
        <w:t xml:space="preserve"> </w:t>
      </w:r>
      <w:r w:rsidRPr="00100175">
        <w:rPr>
          <w:iCs/>
        </w:rPr>
        <w:t>loci</w:t>
      </w:r>
      <w:r>
        <w:t>. However, s</w:t>
      </w:r>
      <w:r w:rsidRPr="00172F3E">
        <w:t xml:space="preserve">omatic testing </w:t>
      </w:r>
      <w:r>
        <w:t>identified a</w:t>
      </w:r>
      <w:r w:rsidRPr="00172F3E">
        <w:t xml:space="preserve"> single </w:t>
      </w:r>
      <w:r w:rsidRPr="00536DE0">
        <w:rPr>
          <w:i/>
          <w:iCs/>
        </w:rPr>
        <w:t>MSH2</w:t>
      </w:r>
      <w:r w:rsidRPr="00172F3E">
        <w:t xml:space="preserve"> variant in 20% of reads</w:t>
      </w:r>
      <w:r>
        <w:t xml:space="preserve">. This </w:t>
      </w:r>
      <w:r w:rsidR="00E74E56" w:rsidRPr="00E74E56">
        <w:t>NM_000251.3</w:t>
      </w:r>
      <w:r w:rsidR="00E74E56">
        <w:t>:</w:t>
      </w:r>
      <w:r w:rsidRPr="00172F3E">
        <w:t>c.508C&gt;T</w:t>
      </w:r>
      <w:r>
        <w:t xml:space="preserve"> transition</w:t>
      </w:r>
      <w:r w:rsidRPr="00172F3E">
        <w:t xml:space="preserve"> </w:t>
      </w:r>
      <w:r>
        <w:t xml:space="preserve">predicts a nonsense allele </w:t>
      </w:r>
      <w:r w:rsidRPr="00172F3E">
        <w:t>p</w:t>
      </w:r>
      <w:proofErr w:type="gramStart"/>
      <w:r w:rsidRPr="00172F3E">
        <w:t>.(</w:t>
      </w:r>
      <w:proofErr w:type="gramEnd"/>
      <w:r>
        <w:t>Gln</w:t>
      </w:r>
      <w:r w:rsidRPr="00172F3E">
        <w:t xml:space="preserve">170*) </w:t>
      </w:r>
      <w:r>
        <w:t xml:space="preserve">and has been </w:t>
      </w:r>
      <w:r w:rsidRPr="00172F3E">
        <w:t xml:space="preserve">reported multiple times in </w:t>
      </w:r>
      <w:proofErr w:type="spellStart"/>
      <w:r w:rsidRPr="00172F3E">
        <w:t>ClinVar</w:t>
      </w:r>
      <w:proofErr w:type="spellEnd"/>
      <w:r w:rsidRPr="00172F3E">
        <w:t xml:space="preserve"> (VCV000091117.</w:t>
      </w:r>
      <w:r w:rsidR="00E74E56">
        <w:t>20</w:t>
      </w:r>
      <w:r w:rsidRPr="00172F3E">
        <w:t>)</w:t>
      </w:r>
      <w:r>
        <w:t xml:space="preserve">. In summary, despite the strong clinical suspicion for a germline variant in </w:t>
      </w:r>
      <w:r w:rsidRPr="00100175">
        <w:rPr>
          <w:i/>
        </w:rPr>
        <w:t>MSH2</w:t>
      </w:r>
      <w:r>
        <w:t xml:space="preserve">, i.e. </w:t>
      </w:r>
      <w:r w:rsidRPr="00EA654B">
        <w:t>Lynch syndrome 1</w:t>
      </w:r>
      <w:r>
        <w:t xml:space="preserve"> </w:t>
      </w:r>
      <w:r>
        <w:lastRenderedPageBreak/>
        <w:t>[MIM #</w:t>
      </w:r>
      <w:r w:rsidRPr="00EA654B">
        <w:t>120435</w:t>
      </w:r>
      <w:r>
        <w:t>], both prior testing and the initial report from the 100kGP had not identified any variants of significance.</w:t>
      </w:r>
    </w:p>
    <w:p w14:paraId="58478DC7" w14:textId="494E3542" w:rsidR="0054637A" w:rsidRPr="0009551A" w:rsidRDefault="0054637A" w:rsidP="00DD05AD">
      <w:pPr>
        <w:jc w:val="both"/>
      </w:pPr>
      <w:r>
        <w:t xml:space="preserve">The second 100kGP participant who carried the same inversion (Family 17) was a </w:t>
      </w:r>
      <w:r w:rsidR="002D0AD6">
        <w:t xml:space="preserve">female </w:t>
      </w:r>
      <w:r>
        <w:t>with l</w:t>
      </w:r>
      <w:r w:rsidRPr="00A44D5D">
        <w:t>eg sarcoma at 44</w:t>
      </w:r>
      <w:r>
        <w:t xml:space="preserve"> years</w:t>
      </w:r>
      <w:r w:rsidRPr="00A44D5D">
        <w:t>, endometrial cancer at 55</w:t>
      </w:r>
      <w:r>
        <w:t xml:space="preserve"> years and</w:t>
      </w:r>
      <w:r w:rsidRPr="00A44D5D">
        <w:t xml:space="preserve"> renal pelvis cancer at 60</w:t>
      </w:r>
      <w:r>
        <w:t xml:space="preserve"> years</w:t>
      </w:r>
      <w:r w:rsidRPr="00A44D5D">
        <w:t xml:space="preserve">. Bowel cancer </w:t>
      </w:r>
      <w:r>
        <w:t xml:space="preserve">was also reported in her now deceased </w:t>
      </w:r>
      <w:r w:rsidRPr="00A44D5D">
        <w:t>father</w:t>
      </w:r>
      <w:r>
        <w:t xml:space="preserve"> and </w:t>
      </w:r>
      <w:r w:rsidRPr="00A44D5D">
        <w:t xml:space="preserve">brother </w:t>
      </w:r>
      <w:r>
        <w:t xml:space="preserve">(Figure 3B) and so the family background was again </w:t>
      </w:r>
      <w:r w:rsidRPr="00A44D5D">
        <w:t xml:space="preserve">considered </w:t>
      </w:r>
      <w:r>
        <w:t xml:space="preserve">to be </w:t>
      </w:r>
      <w:r w:rsidRPr="00A44D5D">
        <w:t xml:space="preserve">classic </w:t>
      </w:r>
      <w:r>
        <w:t xml:space="preserve">for </w:t>
      </w:r>
      <w:r w:rsidRPr="00A44D5D">
        <w:t>Lynch syndrome.</w:t>
      </w:r>
      <w:r>
        <w:t xml:space="preserve"> Given the complexity of the rearrangement and the identical breakpoints shared between both individuals, we speculated that the variant was a founder variant. Although haplotype analysis was limited by the fact that genome sequencing in each family was performed on just the proband, a 3.2Mb region where there is absence of conflicting homozygosity (Figure 3C) was identified, supporting a founder origin. The maximal coordinates of this shared region are defined by A&gt;C transversions at </w:t>
      </w:r>
      <w:r w:rsidRPr="004D54F8">
        <w:t>rs115321698</w:t>
      </w:r>
      <w:r>
        <w:t xml:space="preserve"> and </w:t>
      </w:r>
      <w:r w:rsidRPr="005D676F">
        <w:t>rs13420048</w:t>
      </w:r>
      <w:r>
        <w:t>, where the alternate allele was homozygous in F</w:t>
      </w:r>
      <w:r w:rsidR="00E912BF">
        <w:t xml:space="preserve">amily </w:t>
      </w:r>
      <w:r>
        <w:t>16 but not detected in F</w:t>
      </w:r>
      <w:r w:rsidR="00E912BF">
        <w:t xml:space="preserve">amily </w:t>
      </w:r>
      <w:r>
        <w:t xml:space="preserve">17 (Figure S26). Analysis of ultra-rare variants further supported the founder origin hypothesis and the 13 shared SNVs identified (Table S4) may be useful to screen for other </w:t>
      </w:r>
      <w:r w:rsidR="006662CB">
        <w:t xml:space="preserve">individuals carrying this </w:t>
      </w:r>
      <w:r w:rsidR="00331638">
        <w:t>inversion</w:t>
      </w:r>
      <w:r>
        <w:t xml:space="preserve">. </w:t>
      </w:r>
      <w:r w:rsidRPr="009A4078">
        <w:t xml:space="preserve">Assuming a 'correlated' genealogy, </w:t>
      </w:r>
      <w:r>
        <w:t>we estimate that the</w:t>
      </w:r>
      <w:r w:rsidRPr="009A4078">
        <w:t xml:space="preserve"> mutation arose 29.9 generations ago</w:t>
      </w:r>
      <w:r>
        <w:t xml:space="preserve"> (95% CI: </w:t>
      </w:r>
      <w:r w:rsidRPr="009A4078">
        <w:t>9 - 112.7</w:t>
      </w:r>
      <w:r>
        <w:t xml:space="preserve">). Neither the founder </w:t>
      </w:r>
      <w:r w:rsidRPr="00144AB8">
        <w:rPr>
          <w:i/>
        </w:rPr>
        <w:t>MSH2</w:t>
      </w:r>
      <w:r>
        <w:t xml:space="preserve"> inversion, nor any of the inherited SVs reported here were detected in the </w:t>
      </w:r>
      <w:proofErr w:type="spellStart"/>
      <w:r>
        <w:t>gnomAD</w:t>
      </w:r>
      <w:proofErr w:type="spellEnd"/>
      <w:r>
        <w:t xml:space="preserve"> SV v4 database.</w:t>
      </w:r>
    </w:p>
    <w:p w14:paraId="4C16E1AF" w14:textId="77777777" w:rsidR="0054637A" w:rsidRPr="00E74E56" w:rsidRDefault="0054637A" w:rsidP="00E74E56">
      <w:pPr>
        <w:pStyle w:val="ListParagraph"/>
        <w:numPr>
          <w:ilvl w:val="0"/>
          <w:numId w:val="9"/>
        </w:numPr>
        <w:jc w:val="both"/>
        <w:rPr>
          <w:rFonts w:ascii="Calibri" w:hAnsi="Calibri" w:cs="Calibri"/>
          <w:b/>
          <w:color w:val="000000"/>
          <w:shd w:val="clear" w:color="auto" w:fill="FFFFFF"/>
        </w:rPr>
      </w:pPr>
      <w:r w:rsidRPr="00E74E56">
        <w:rPr>
          <w:b/>
          <w:bCs/>
        </w:rPr>
        <w:t xml:space="preserve">Exemplar 2: </w:t>
      </w:r>
      <w:r w:rsidRPr="00E74E56">
        <w:rPr>
          <w:rFonts w:ascii="Calibri" w:hAnsi="Calibri" w:cs="Calibri"/>
          <w:b/>
          <w:color w:val="000000"/>
          <w:shd w:val="clear" w:color="auto" w:fill="FFFFFF"/>
        </w:rPr>
        <w:t xml:space="preserve">Complex </w:t>
      </w:r>
      <w:r w:rsidRPr="00E74E56">
        <w:rPr>
          <w:rFonts w:ascii="Calibri" w:hAnsi="Calibri" w:cs="Calibri"/>
          <w:b/>
          <w:i/>
          <w:color w:val="000000"/>
          <w:shd w:val="clear" w:color="auto" w:fill="FFFFFF"/>
        </w:rPr>
        <w:t>MECP2</w:t>
      </w:r>
      <w:r w:rsidRPr="00E74E56">
        <w:rPr>
          <w:rFonts w:ascii="Calibri" w:hAnsi="Calibri" w:cs="Calibri"/>
          <w:b/>
          <w:color w:val="000000"/>
          <w:shd w:val="clear" w:color="auto" w:fill="FFFFFF"/>
        </w:rPr>
        <w:t xml:space="preserve"> rearrangements resolved by PacBio sequencing</w:t>
      </w:r>
    </w:p>
    <w:p w14:paraId="24DCE0F9" w14:textId="77777777" w:rsidR="0054637A" w:rsidRDefault="0054637A" w:rsidP="00DD05AD">
      <w:pPr>
        <w:jc w:val="both"/>
        <w:rPr>
          <w:rStyle w:val="Hyperlink"/>
          <w:rFonts w:ascii="Calibri" w:hAnsi="Calibri" w:cs="Calibri"/>
          <w:color w:val="0563C1"/>
          <w:bdr w:val="none" w:sz="0" w:space="0" w:color="auto" w:frame="1"/>
          <w:shd w:val="clear" w:color="auto" w:fill="FFFFFF"/>
        </w:rPr>
      </w:pPr>
      <w:r>
        <w:t xml:space="preserve">Rett syndrome [MIM </w:t>
      </w:r>
      <w:r w:rsidRPr="00F01776">
        <w:t>#312750</w:t>
      </w:r>
      <w:r>
        <w:t xml:space="preserve">] is a neurodevelopmental disorder caused by </w:t>
      </w:r>
      <w:r w:rsidRPr="00F01776">
        <w:rPr>
          <w:i/>
        </w:rPr>
        <w:t>MECP2</w:t>
      </w:r>
      <w:r>
        <w:t xml:space="preserve"> variants</w:t>
      </w:r>
      <w:r w:rsidRPr="006D1A34">
        <w:t xml:space="preserve"> </w:t>
      </w:r>
      <w:r>
        <w:t xml:space="preserve">that mainly affects females. After a period of normal or slow development (7-18 months), individuals show </w:t>
      </w:r>
      <w:r w:rsidRPr="00F01776">
        <w:t>arrested development, regression of acquired skills</w:t>
      </w:r>
      <w:r>
        <w:t xml:space="preserve"> and</w:t>
      </w:r>
      <w:r w:rsidRPr="00F01776">
        <w:t xml:space="preserve"> loss of speech</w:t>
      </w:r>
      <w:r>
        <w:t>.</w:t>
      </w:r>
      <w:r w:rsidRPr="00F01776">
        <w:t xml:space="preserve"> </w:t>
      </w:r>
      <w:r>
        <w:t>A</w:t>
      </w:r>
      <w:r w:rsidRPr="00A803ED">
        <w:t>taxia</w:t>
      </w:r>
      <w:r>
        <w:t xml:space="preserve">, </w:t>
      </w:r>
      <w:r w:rsidRPr="00F01776">
        <w:t>stereotypic movements</w:t>
      </w:r>
      <w:r>
        <w:t xml:space="preserve"> (e.g. </w:t>
      </w:r>
      <w:r w:rsidRPr="00A803ED">
        <w:t>distinctive uncontrolled hand clapping</w:t>
      </w:r>
      <w:r>
        <w:t>/</w:t>
      </w:r>
      <w:r w:rsidRPr="00A803ED">
        <w:t>rubbing</w:t>
      </w:r>
      <w:r>
        <w:t>)</w:t>
      </w:r>
      <w:r w:rsidRPr="00F01776">
        <w:t xml:space="preserve">, </w:t>
      </w:r>
      <w:r>
        <w:t>a</w:t>
      </w:r>
      <w:r w:rsidRPr="00A803ED">
        <w:t xml:space="preserve">cquired </w:t>
      </w:r>
      <w:r w:rsidRPr="00F01776">
        <w:t>microcephaly, seizures</w:t>
      </w:r>
      <w:r>
        <w:t xml:space="preserve">, </w:t>
      </w:r>
      <w:r w:rsidRPr="009F33D6">
        <w:t>intellectual disability</w:t>
      </w:r>
      <w:r>
        <w:t xml:space="preserve"> and </w:t>
      </w:r>
      <w:r w:rsidRPr="00A803ED">
        <w:t>autistic-like behaviours</w:t>
      </w:r>
      <w:r w:rsidRPr="00A7661A">
        <w:t xml:space="preserve"> </w:t>
      </w:r>
      <w:proofErr w:type="gramStart"/>
      <w:r>
        <w:t>are often reported</w:t>
      </w:r>
      <w:proofErr w:type="gramEnd"/>
      <w:r w:rsidRPr="00F01776">
        <w:t>.</w:t>
      </w:r>
      <w:r w:rsidRPr="00A803ED">
        <w:t xml:space="preserve"> </w:t>
      </w:r>
      <w:r>
        <w:t>The same variants that cause Rett syndrome in females are considered lethal or else result in a much more severe presentation in males. Classically affected males have been described harbouring mosaic variants or in individuals with an extra X chromosome (i.e. Klinefelter</w:t>
      </w:r>
      <w:r w:rsidR="00530F32">
        <w:t xml:space="preserve"> </w:t>
      </w:r>
      <w:r>
        <w:t>s</w:t>
      </w:r>
      <w:r w:rsidR="00530F32">
        <w:t>yndrome</w:t>
      </w:r>
      <w:r>
        <w:t>, 47</w:t>
      </w:r>
      <w:proofErr w:type="gramStart"/>
      <w:r>
        <w:t>,XXY</w:t>
      </w:r>
      <w:proofErr w:type="gramEnd"/>
      <w:r>
        <w:t xml:space="preserve">). In this study, two 100kGP participants with </w:t>
      </w:r>
      <w:proofErr w:type="spellStart"/>
      <w:r>
        <w:t>MantaINV</w:t>
      </w:r>
      <w:proofErr w:type="spellEnd"/>
      <w:r>
        <w:t xml:space="preserve"> calls were identified in which small inverted segments were part of more complex rearrangements and both involved the final coding exon of </w:t>
      </w:r>
      <w:r w:rsidRPr="00A7661A">
        <w:rPr>
          <w:i/>
        </w:rPr>
        <w:t>MECP2</w:t>
      </w:r>
      <w:r>
        <w:t>.</w:t>
      </w:r>
    </w:p>
    <w:p w14:paraId="48AF8799" w14:textId="77777777" w:rsidR="0054637A" w:rsidRDefault="0054637A" w:rsidP="00DD05AD">
      <w:pPr>
        <w:jc w:val="both"/>
        <w:rPr>
          <w:rFonts w:ascii="Calibri" w:hAnsi="Calibri" w:cs="Calibri"/>
          <w:color w:val="000000"/>
          <w:shd w:val="clear" w:color="auto" w:fill="FFFFFF"/>
        </w:rPr>
      </w:pPr>
      <w:r>
        <w:rPr>
          <w:rFonts w:ascii="Calibri" w:hAnsi="Calibri" w:cs="Calibri"/>
          <w:color w:val="000000"/>
          <w:shd w:val="clear" w:color="auto" w:fill="FFFFFF"/>
        </w:rPr>
        <w:t xml:space="preserve">For </w:t>
      </w:r>
      <w:r w:rsidRPr="0009551A">
        <w:rPr>
          <w:rFonts w:ascii="Calibri" w:hAnsi="Calibri" w:cs="Calibri"/>
          <w:color w:val="000000"/>
          <w:shd w:val="clear" w:color="auto" w:fill="FFFFFF"/>
        </w:rPr>
        <w:t>Family 33</w:t>
      </w:r>
      <w:r>
        <w:rPr>
          <w:rFonts w:ascii="Calibri" w:hAnsi="Calibri" w:cs="Calibri"/>
          <w:color w:val="000000"/>
          <w:shd w:val="clear" w:color="auto" w:fill="FFFFFF"/>
        </w:rPr>
        <w:t xml:space="preserve">, the male proband was recruited to the 100kGP with a diagnosis of </w:t>
      </w:r>
      <w:r w:rsidRPr="00BC4520">
        <w:rPr>
          <w:rFonts w:ascii="Calibri" w:hAnsi="Calibri" w:cs="Calibri"/>
          <w:color w:val="000000"/>
          <w:shd w:val="clear" w:color="auto" w:fill="FFFFFF"/>
        </w:rPr>
        <w:t>intellectual disability</w:t>
      </w:r>
      <w:r>
        <w:rPr>
          <w:rFonts w:ascii="Calibri" w:hAnsi="Calibri" w:cs="Calibri"/>
          <w:color w:val="000000"/>
          <w:shd w:val="clear" w:color="auto" w:fill="FFFFFF"/>
        </w:rPr>
        <w:t>. Other features included</w:t>
      </w:r>
      <w:r w:rsidRPr="00BC4520">
        <w:rPr>
          <w:rFonts w:ascii="Calibri" w:hAnsi="Calibri" w:cs="Calibri"/>
          <w:color w:val="000000"/>
          <w:shd w:val="clear" w:color="auto" w:fill="FFFFFF"/>
        </w:rPr>
        <w:t xml:space="preserve"> microcephaly, seizures, delaye</w:t>
      </w:r>
      <w:r>
        <w:rPr>
          <w:rFonts w:ascii="Calibri" w:hAnsi="Calibri" w:cs="Calibri"/>
          <w:color w:val="000000"/>
          <w:shd w:val="clear" w:color="auto" w:fill="FFFFFF"/>
        </w:rPr>
        <w:t>d motor development and ataxia.</w:t>
      </w:r>
      <w:r w:rsidRPr="00BC4520">
        <w:rPr>
          <w:rFonts w:ascii="Calibri" w:hAnsi="Calibri" w:cs="Calibri"/>
          <w:color w:val="000000"/>
          <w:shd w:val="clear" w:color="auto" w:fill="FFFFFF"/>
        </w:rPr>
        <w:t xml:space="preserve"> Autistic behaviour, recurrent hand flapping and inappropriate laughter were </w:t>
      </w:r>
      <w:r>
        <w:rPr>
          <w:rFonts w:ascii="Calibri" w:hAnsi="Calibri" w:cs="Calibri"/>
          <w:color w:val="000000"/>
          <w:shd w:val="clear" w:color="auto" w:fill="FFFFFF"/>
        </w:rPr>
        <w:t>also noted.</w:t>
      </w:r>
      <w:r w:rsidRPr="00BC4520">
        <w:rPr>
          <w:rFonts w:ascii="Calibri" w:hAnsi="Calibri" w:cs="Calibri"/>
          <w:color w:val="000000"/>
          <w:shd w:val="clear" w:color="auto" w:fill="FFFFFF"/>
        </w:rPr>
        <w:t xml:space="preserve"> </w:t>
      </w:r>
      <w:r>
        <w:rPr>
          <w:rFonts w:ascii="Calibri" w:hAnsi="Calibri" w:cs="Calibri"/>
          <w:color w:val="000000"/>
          <w:shd w:val="clear" w:color="auto" w:fill="FFFFFF"/>
        </w:rPr>
        <w:t xml:space="preserve">Although Manta detected two overlapping inversions, closer scrutiny of the locus suggested a complex maternally inherited SV involving a 1,130bp deletion and a 681bp duplication (Figure 4A). Due to the size of the duplication, which could not be spanned using short paired-read data, the configuration of this SV was ambiguous. Using HiFi long-read genome sequencing data, we showed that the correct configuration was the one that led to the later truncation, </w:t>
      </w:r>
      <w:r w:rsidRPr="00FE3C19">
        <w:rPr>
          <w:rFonts w:ascii="Calibri" w:hAnsi="Calibri" w:cs="Calibri"/>
          <w:color w:val="000000"/>
          <w:shd w:val="clear" w:color="auto" w:fill="FFFFFF"/>
        </w:rPr>
        <w:t>p</w:t>
      </w:r>
      <w:proofErr w:type="gramStart"/>
      <w:r w:rsidRPr="00FE3C19">
        <w:rPr>
          <w:rFonts w:ascii="Calibri" w:hAnsi="Calibri" w:cs="Calibri"/>
          <w:color w:val="000000"/>
          <w:shd w:val="clear" w:color="auto" w:fill="FFFFFF"/>
        </w:rPr>
        <w:t>.</w:t>
      </w:r>
      <w:r>
        <w:rPr>
          <w:rFonts w:ascii="Calibri" w:hAnsi="Calibri" w:cs="Calibri"/>
          <w:color w:val="000000"/>
          <w:shd w:val="clear" w:color="auto" w:fill="FFFFFF"/>
        </w:rPr>
        <w:t>(</w:t>
      </w:r>
      <w:proofErr w:type="gramEnd"/>
      <w:r w:rsidRPr="00FE3C19">
        <w:rPr>
          <w:rFonts w:ascii="Calibri" w:hAnsi="Calibri" w:cs="Calibri"/>
          <w:color w:val="000000"/>
          <w:shd w:val="clear" w:color="auto" w:fill="FFFFFF"/>
        </w:rPr>
        <w:t>Leu336Profs*18)</w:t>
      </w:r>
      <w:r>
        <w:rPr>
          <w:rFonts w:ascii="Calibri" w:hAnsi="Calibri" w:cs="Calibri"/>
          <w:color w:val="000000"/>
          <w:shd w:val="clear" w:color="auto" w:fill="FFFFFF"/>
        </w:rPr>
        <w:t xml:space="preserve">. A </w:t>
      </w:r>
      <w:proofErr w:type="spellStart"/>
      <w:r>
        <w:rPr>
          <w:rFonts w:ascii="Calibri" w:hAnsi="Calibri" w:cs="Calibri"/>
          <w:color w:val="000000"/>
          <w:shd w:val="clear" w:color="auto" w:fill="FFFFFF"/>
        </w:rPr>
        <w:t>dotplot</w:t>
      </w:r>
      <w:proofErr w:type="spellEnd"/>
      <w:r>
        <w:rPr>
          <w:rFonts w:ascii="Calibri" w:hAnsi="Calibri" w:cs="Calibri"/>
          <w:color w:val="000000"/>
          <w:shd w:val="clear" w:color="auto" w:fill="FFFFFF"/>
        </w:rPr>
        <w:t xml:space="preserve"> showing a representative 22kb read is shown in Figure 4B. A similar </w:t>
      </w:r>
      <w:proofErr w:type="spellStart"/>
      <w:r>
        <w:rPr>
          <w:rFonts w:ascii="Calibri" w:hAnsi="Calibri" w:cs="Calibri"/>
          <w:color w:val="000000"/>
          <w:shd w:val="clear" w:color="auto" w:fill="FFFFFF"/>
        </w:rPr>
        <w:t>dotplot</w:t>
      </w:r>
      <w:proofErr w:type="spellEnd"/>
      <w:r>
        <w:rPr>
          <w:rFonts w:ascii="Calibri" w:hAnsi="Calibri" w:cs="Calibri"/>
          <w:color w:val="000000"/>
          <w:shd w:val="clear" w:color="auto" w:fill="FFFFFF"/>
        </w:rPr>
        <w:t xml:space="preserve"> (using hypothetical sequence) shows the alternative structure that would also have been a potential solution to the short-read data (Figure 4C) and this would have led to much earlier truncation of </w:t>
      </w:r>
      <w:r w:rsidRPr="00366A1C">
        <w:rPr>
          <w:rFonts w:ascii="Calibri" w:hAnsi="Calibri" w:cs="Calibri"/>
          <w:i/>
          <w:color w:val="000000"/>
          <w:shd w:val="clear" w:color="auto" w:fill="FFFFFF"/>
        </w:rPr>
        <w:t>MECP2</w:t>
      </w:r>
      <w:r>
        <w:rPr>
          <w:rFonts w:ascii="Calibri" w:hAnsi="Calibri" w:cs="Calibri"/>
          <w:color w:val="000000"/>
          <w:shd w:val="clear" w:color="auto" w:fill="FFFFFF"/>
        </w:rPr>
        <w:t xml:space="preserve"> at codon 137, within the Methyl-CpG binding domain.</w:t>
      </w:r>
    </w:p>
    <w:p w14:paraId="10F1DBF1" w14:textId="42F98145" w:rsidR="0054637A" w:rsidRPr="004224F7" w:rsidRDefault="0054637A" w:rsidP="00DD05AD">
      <w:pPr>
        <w:jc w:val="both"/>
        <w:rPr>
          <w:rFonts w:ascii="Calibri" w:hAnsi="Calibri" w:cs="Calibri"/>
          <w:color w:val="000000"/>
          <w:shd w:val="clear" w:color="auto" w:fill="FFFFFF"/>
        </w:rPr>
      </w:pPr>
      <w:r>
        <w:rPr>
          <w:rFonts w:ascii="Calibri" w:hAnsi="Calibri" w:cs="Calibri"/>
          <w:color w:val="000000"/>
          <w:shd w:val="clear" w:color="auto" w:fill="FFFFFF"/>
        </w:rPr>
        <w:t xml:space="preserve">In contrast, Family 47 comprises a female with whom underwent </w:t>
      </w:r>
      <w:r w:rsidRPr="001203E7">
        <w:rPr>
          <w:rFonts w:ascii="Calibri" w:hAnsi="Calibri" w:cs="Calibri"/>
          <w:color w:val="000000"/>
          <w:shd w:val="clear" w:color="auto" w:fill="FFFFFF"/>
        </w:rPr>
        <w:t>an initial period of normal development followed by</w:t>
      </w:r>
      <w:r>
        <w:rPr>
          <w:rFonts w:ascii="Calibri" w:hAnsi="Calibri" w:cs="Calibri"/>
          <w:color w:val="000000"/>
          <w:shd w:val="clear" w:color="auto" w:fill="FFFFFF"/>
        </w:rPr>
        <w:t xml:space="preserve"> </w:t>
      </w:r>
      <w:r w:rsidRPr="001203E7">
        <w:rPr>
          <w:rFonts w:ascii="Calibri" w:hAnsi="Calibri" w:cs="Calibri"/>
          <w:color w:val="000000"/>
          <w:shd w:val="clear" w:color="auto" w:fill="FFFFFF"/>
        </w:rPr>
        <w:t>regression</w:t>
      </w:r>
      <w:r>
        <w:rPr>
          <w:rFonts w:ascii="Calibri" w:hAnsi="Calibri" w:cs="Calibri"/>
          <w:color w:val="000000"/>
          <w:shd w:val="clear" w:color="auto" w:fill="FFFFFF"/>
        </w:rPr>
        <w:t>,</w:t>
      </w:r>
      <w:r w:rsidRPr="001203E7">
        <w:rPr>
          <w:rFonts w:ascii="Calibri" w:hAnsi="Calibri" w:cs="Calibri"/>
          <w:color w:val="000000"/>
          <w:shd w:val="clear" w:color="auto" w:fill="FFFFFF"/>
        </w:rPr>
        <w:t xml:space="preserve"> especially of speech</w:t>
      </w:r>
      <w:r>
        <w:rPr>
          <w:rFonts w:ascii="Calibri" w:hAnsi="Calibri" w:cs="Calibri"/>
          <w:color w:val="000000"/>
          <w:shd w:val="clear" w:color="auto" w:fill="FFFFFF"/>
        </w:rPr>
        <w:t>, f</w:t>
      </w:r>
      <w:r w:rsidRPr="001203E7">
        <w:rPr>
          <w:rFonts w:ascii="Calibri" w:hAnsi="Calibri" w:cs="Calibri"/>
          <w:color w:val="000000"/>
          <w:shd w:val="clear" w:color="auto" w:fill="FFFFFF"/>
        </w:rPr>
        <w:t xml:space="preserve">rom age 3 onwards. There was significant global development delay and microcephaly. She demonstrated periods of fast irregular breathing and </w:t>
      </w:r>
      <w:r>
        <w:rPr>
          <w:rFonts w:ascii="Calibri" w:hAnsi="Calibri" w:cs="Calibri"/>
          <w:color w:val="000000"/>
          <w:shd w:val="clear" w:color="auto" w:fill="FFFFFF"/>
        </w:rPr>
        <w:t xml:space="preserve">there </w:t>
      </w:r>
      <w:r w:rsidRPr="001203E7">
        <w:rPr>
          <w:rFonts w:ascii="Calibri" w:hAnsi="Calibri" w:cs="Calibri"/>
          <w:color w:val="000000"/>
          <w:shd w:val="clear" w:color="auto" w:fill="FFFFFF"/>
        </w:rPr>
        <w:t>were no purposeful hand movements. At the time of last review age 8 she was able to walk a few steps aided</w:t>
      </w:r>
      <w:r>
        <w:rPr>
          <w:rFonts w:ascii="Calibri" w:hAnsi="Calibri" w:cs="Calibri"/>
          <w:color w:val="000000"/>
          <w:shd w:val="clear" w:color="auto" w:fill="FFFFFF"/>
        </w:rPr>
        <w:t>. S</w:t>
      </w:r>
      <w:r w:rsidRPr="001203E7">
        <w:rPr>
          <w:rFonts w:ascii="Calibri" w:hAnsi="Calibri" w:cs="Calibri"/>
          <w:color w:val="000000"/>
          <w:shd w:val="clear" w:color="auto" w:fill="FFFFFF"/>
        </w:rPr>
        <w:t>he had no meaningful words and communicates through pictur</w:t>
      </w:r>
      <w:r>
        <w:rPr>
          <w:rFonts w:ascii="Calibri" w:hAnsi="Calibri" w:cs="Calibri"/>
          <w:color w:val="000000"/>
          <w:shd w:val="clear" w:color="auto" w:fill="FFFFFF"/>
        </w:rPr>
        <w:t xml:space="preserve">e exchange. She </w:t>
      </w:r>
      <w:r>
        <w:rPr>
          <w:rFonts w:ascii="Calibri" w:hAnsi="Calibri" w:cs="Calibri"/>
          <w:color w:val="000000"/>
          <w:shd w:val="clear" w:color="auto" w:fill="FFFFFF"/>
        </w:rPr>
        <w:lastRenderedPageBreak/>
        <w:t>developed multi-</w:t>
      </w:r>
      <w:r w:rsidRPr="001203E7">
        <w:rPr>
          <w:rFonts w:ascii="Calibri" w:hAnsi="Calibri" w:cs="Calibri"/>
          <w:color w:val="000000"/>
          <w:shd w:val="clear" w:color="auto" w:fill="FFFFFF"/>
        </w:rPr>
        <w:t>focal seizures from 5 years.</w:t>
      </w:r>
      <w:r>
        <w:rPr>
          <w:rFonts w:ascii="Calibri" w:hAnsi="Calibri" w:cs="Calibri"/>
          <w:color w:val="000000"/>
          <w:shd w:val="clear" w:color="auto" w:fill="FFFFFF"/>
        </w:rPr>
        <w:t xml:space="preserve"> Array testing in </w:t>
      </w:r>
      <w:r w:rsidRPr="001203E7">
        <w:rPr>
          <w:rFonts w:ascii="Calibri" w:hAnsi="Calibri" w:cs="Calibri"/>
          <w:color w:val="000000"/>
          <w:shd w:val="clear" w:color="auto" w:fill="FFFFFF"/>
        </w:rPr>
        <w:t>2013</w:t>
      </w:r>
      <w:r>
        <w:rPr>
          <w:rFonts w:ascii="Calibri" w:hAnsi="Calibri" w:cs="Calibri"/>
          <w:color w:val="000000"/>
          <w:shd w:val="clear" w:color="auto" w:fill="FFFFFF"/>
        </w:rPr>
        <w:t xml:space="preserve"> (</w:t>
      </w:r>
      <w:r w:rsidRPr="001203E7">
        <w:rPr>
          <w:rFonts w:ascii="Calibri" w:hAnsi="Calibri" w:cs="Calibri"/>
          <w:color w:val="000000"/>
          <w:shd w:val="clear" w:color="auto" w:fill="FFFFFF"/>
        </w:rPr>
        <w:t>80x60K v2.0</w:t>
      </w:r>
      <w:r>
        <w:rPr>
          <w:rFonts w:ascii="Calibri" w:hAnsi="Calibri" w:cs="Calibri"/>
          <w:color w:val="000000"/>
          <w:shd w:val="clear" w:color="auto" w:fill="FFFFFF"/>
        </w:rPr>
        <w:t>,</w:t>
      </w:r>
      <w:r w:rsidRPr="001203E7">
        <w:rPr>
          <w:rFonts w:ascii="Calibri" w:hAnsi="Calibri" w:cs="Calibri"/>
          <w:color w:val="000000"/>
          <w:shd w:val="clear" w:color="auto" w:fill="FFFFFF"/>
        </w:rPr>
        <w:t xml:space="preserve"> ISCA platform</w:t>
      </w:r>
      <w:r>
        <w:rPr>
          <w:rFonts w:ascii="Calibri" w:hAnsi="Calibri" w:cs="Calibri"/>
          <w:color w:val="000000"/>
          <w:shd w:val="clear" w:color="auto" w:fill="FFFFFF"/>
        </w:rPr>
        <w:t>) had</w:t>
      </w:r>
      <w:r w:rsidRPr="001203E7">
        <w:rPr>
          <w:rFonts w:ascii="Calibri" w:hAnsi="Calibri" w:cs="Calibri"/>
          <w:color w:val="000000"/>
          <w:shd w:val="clear" w:color="auto" w:fill="FFFFFF"/>
        </w:rPr>
        <w:t xml:space="preserve"> </w:t>
      </w:r>
      <w:r>
        <w:rPr>
          <w:rFonts w:ascii="Calibri" w:hAnsi="Calibri" w:cs="Calibri"/>
          <w:color w:val="000000"/>
          <w:shd w:val="clear" w:color="auto" w:fill="FFFFFF"/>
        </w:rPr>
        <w:t xml:space="preserve">identified a </w:t>
      </w:r>
      <w:r w:rsidRPr="001203E7">
        <w:rPr>
          <w:rFonts w:ascii="Calibri" w:hAnsi="Calibri" w:cs="Calibri"/>
          <w:color w:val="000000"/>
          <w:shd w:val="clear" w:color="auto" w:fill="FFFFFF"/>
        </w:rPr>
        <w:t>maternally inherited microdu</w:t>
      </w:r>
      <w:r>
        <w:rPr>
          <w:rFonts w:ascii="Calibri" w:hAnsi="Calibri" w:cs="Calibri"/>
          <w:color w:val="000000"/>
          <w:shd w:val="clear" w:color="auto" w:fill="FFFFFF"/>
        </w:rPr>
        <w:t>p</w:t>
      </w:r>
      <w:r w:rsidRPr="001203E7">
        <w:rPr>
          <w:rFonts w:ascii="Calibri" w:hAnsi="Calibri" w:cs="Calibri"/>
          <w:color w:val="000000"/>
          <w:shd w:val="clear" w:color="auto" w:fill="FFFFFF"/>
        </w:rPr>
        <w:t>lication at 7q36 considered not to be significant</w:t>
      </w:r>
      <w:r>
        <w:rPr>
          <w:rFonts w:ascii="Calibri" w:hAnsi="Calibri" w:cs="Calibri"/>
          <w:color w:val="000000"/>
          <w:shd w:val="clear" w:color="auto" w:fill="FFFFFF"/>
        </w:rPr>
        <w:t xml:space="preserve">. </w:t>
      </w:r>
      <w:r w:rsidRPr="001203E7">
        <w:rPr>
          <w:rFonts w:ascii="Calibri" w:hAnsi="Calibri" w:cs="Calibri"/>
          <w:color w:val="000000"/>
          <w:shd w:val="clear" w:color="auto" w:fill="FFFFFF"/>
        </w:rPr>
        <w:t xml:space="preserve">Sequence analysis and MLPA of </w:t>
      </w:r>
      <w:r w:rsidRPr="00445F69">
        <w:rPr>
          <w:rFonts w:ascii="Calibri" w:hAnsi="Calibri" w:cs="Calibri"/>
          <w:i/>
          <w:color w:val="000000"/>
          <w:shd w:val="clear" w:color="auto" w:fill="FFFFFF"/>
        </w:rPr>
        <w:t>MECP2</w:t>
      </w:r>
      <w:r w:rsidRPr="001203E7">
        <w:rPr>
          <w:rFonts w:ascii="Calibri" w:hAnsi="Calibri" w:cs="Calibri"/>
          <w:color w:val="000000"/>
          <w:shd w:val="clear" w:color="auto" w:fill="FFFFFF"/>
        </w:rPr>
        <w:t xml:space="preserve"> </w:t>
      </w:r>
      <w:r>
        <w:rPr>
          <w:rFonts w:ascii="Calibri" w:hAnsi="Calibri" w:cs="Calibri"/>
          <w:color w:val="000000"/>
          <w:shd w:val="clear" w:color="auto" w:fill="FFFFFF"/>
        </w:rPr>
        <w:t xml:space="preserve">a year later identified </w:t>
      </w:r>
      <w:r w:rsidRPr="001203E7">
        <w:rPr>
          <w:rFonts w:ascii="Calibri" w:hAnsi="Calibri" w:cs="Calibri"/>
          <w:color w:val="000000"/>
          <w:shd w:val="clear" w:color="auto" w:fill="FFFFFF"/>
        </w:rPr>
        <w:t>no pathogenic variants</w:t>
      </w:r>
      <w:r>
        <w:rPr>
          <w:rFonts w:ascii="Calibri" w:hAnsi="Calibri" w:cs="Calibri"/>
          <w:color w:val="000000"/>
          <w:shd w:val="clear" w:color="auto" w:fill="FFFFFF"/>
        </w:rPr>
        <w:t xml:space="preserve">. In </w:t>
      </w:r>
      <w:r w:rsidRPr="001203E7">
        <w:rPr>
          <w:rFonts w:ascii="Calibri" w:hAnsi="Calibri" w:cs="Calibri"/>
          <w:color w:val="000000"/>
          <w:shd w:val="clear" w:color="auto" w:fill="FFFFFF"/>
        </w:rPr>
        <w:t>2015</w:t>
      </w:r>
      <w:r>
        <w:rPr>
          <w:rFonts w:ascii="Calibri" w:hAnsi="Calibri" w:cs="Calibri"/>
          <w:color w:val="000000"/>
          <w:shd w:val="clear" w:color="auto" w:fill="FFFFFF"/>
        </w:rPr>
        <w:t xml:space="preserve"> a differential diagnosis of A</w:t>
      </w:r>
      <w:r w:rsidRPr="001203E7">
        <w:rPr>
          <w:rFonts w:ascii="Calibri" w:hAnsi="Calibri" w:cs="Calibri"/>
          <w:color w:val="000000"/>
          <w:shd w:val="clear" w:color="auto" w:fill="FFFFFF"/>
        </w:rPr>
        <w:t xml:space="preserve">ngelman </w:t>
      </w:r>
      <w:r w:rsidR="00376516">
        <w:rPr>
          <w:rFonts w:ascii="Calibri" w:hAnsi="Calibri" w:cs="Calibri"/>
          <w:color w:val="000000"/>
          <w:shd w:val="clear" w:color="auto" w:fill="FFFFFF"/>
        </w:rPr>
        <w:t xml:space="preserve">syndrome </w:t>
      </w:r>
      <w:r>
        <w:rPr>
          <w:rFonts w:ascii="Calibri" w:hAnsi="Calibri" w:cs="Calibri"/>
          <w:color w:val="000000"/>
          <w:shd w:val="clear" w:color="auto" w:fill="FFFFFF"/>
        </w:rPr>
        <w:t xml:space="preserve">was pursued, which included testing with </w:t>
      </w:r>
      <w:r w:rsidRPr="001203E7">
        <w:rPr>
          <w:rFonts w:ascii="Calibri" w:hAnsi="Calibri" w:cs="Calibri"/>
          <w:color w:val="000000"/>
          <w:shd w:val="clear" w:color="auto" w:fill="FFFFFF"/>
        </w:rPr>
        <w:t xml:space="preserve">methylation specific PCR </w:t>
      </w:r>
      <w:r>
        <w:rPr>
          <w:rFonts w:ascii="Calibri" w:hAnsi="Calibri" w:cs="Calibri"/>
          <w:color w:val="000000"/>
          <w:shd w:val="clear" w:color="auto" w:fill="FFFFFF"/>
        </w:rPr>
        <w:t>methods. However, there was</w:t>
      </w:r>
      <w:r w:rsidRPr="001203E7">
        <w:rPr>
          <w:rFonts w:ascii="Calibri" w:hAnsi="Calibri" w:cs="Calibri"/>
          <w:color w:val="000000"/>
          <w:shd w:val="clear" w:color="auto" w:fill="FFFFFF"/>
        </w:rPr>
        <w:t xml:space="preserve"> no evidence of </w:t>
      </w:r>
      <w:r>
        <w:rPr>
          <w:rFonts w:ascii="Calibri" w:hAnsi="Calibri" w:cs="Calibri"/>
          <w:color w:val="000000"/>
          <w:shd w:val="clear" w:color="auto" w:fill="FFFFFF"/>
        </w:rPr>
        <w:t xml:space="preserve">a </w:t>
      </w:r>
      <w:r w:rsidRPr="001203E7">
        <w:rPr>
          <w:rFonts w:ascii="Calibri" w:hAnsi="Calibri" w:cs="Calibri"/>
          <w:color w:val="000000"/>
          <w:shd w:val="clear" w:color="auto" w:fill="FFFFFF"/>
        </w:rPr>
        <w:t xml:space="preserve">deletion, </w:t>
      </w:r>
      <w:r>
        <w:rPr>
          <w:rFonts w:ascii="Calibri" w:hAnsi="Calibri" w:cs="Calibri"/>
          <w:color w:val="000000"/>
          <w:shd w:val="clear" w:color="auto" w:fill="FFFFFF"/>
        </w:rPr>
        <w:t xml:space="preserve">uniparental </w:t>
      </w:r>
      <w:proofErr w:type="spellStart"/>
      <w:r w:rsidRPr="001203E7">
        <w:rPr>
          <w:rFonts w:ascii="Calibri" w:hAnsi="Calibri" w:cs="Calibri"/>
          <w:color w:val="000000"/>
          <w:shd w:val="clear" w:color="auto" w:fill="FFFFFF"/>
        </w:rPr>
        <w:t>disomy</w:t>
      </w:r>
      <w:proofErr w:type="spellEnd"/>
      <w:r w:rsidRPr="001203E7">
        <w:rPr>
          <w:rFonts w:ascii="Calibri" w:hAnsi="Calibri" w:cs="Calibri"/>
          <w:color w:val="000000"/>
          <w:shd w:val="clear" w:color="auto" w:fill="FFFFFF"/>
        </w:rPr>
        <w:t xml:space="preserve"> or </w:t>
      </w:r>
      <w:r>
        <w:rPr>
          <w:rFonts w:ascii="Calibri" w:hAnsi="Calibri" w:cs="Calibri"/>
          <w:color w:val="000000"/>
          <w:shd w:val="clear" w:color="auto" w:fill="FFFFFF"/>
        </w:rPr>
        <w:t xml:space="preserve">of an </w:t>
      </w:r>
      <w:r w:rsidRPr="001203E7">
        <w:rPr>
          <w:rFonts w:ascii="Calibri" w:hAnsi="Calibri" w:cs="Calibri"/>
          <w:color w:val="000000"/>
          <w:shd w:val="clear" w:color="auto" w:fill="FFFFFF"/>
        </w:rPr>
        <w:t>imprinting defect</w:t>
      </w:r>
      <w:r>
        <w:rPr>
          <w:rFonts w:ascii="Calibri" w:hAnsi="Calibri" w:cs="Calibri"/>
          <w:color w:val="000000"/>
          <w:shd w:val="clear" w:color="auto" w:fill="FFFFFF"/>
        </w:rPr>
        <w:t xml:space="preserve"> at the </w:t>
      </w:r>
      <w:r w:rsidRPr="0069139A">
        <w:rPr>
          <w:rFonts w:ascii="Calibri" w:hAnsi="Calibri" w:cs="Calibri"/>
          <w:i/>
          <w:color w:val="000000"/>
          <w:shd w:val="clear" w:color="auto" w:fill="FFFFFF"/>
        </w:rPr>
        <w:t>UBE3A</w:t>
      </w:r>
      <w:r>
        <w:rPr>
          <w:rFonts w:ascii="Calibri" w:hAnsi="Calibri" w:cs="Calibri"/>
          <w:color w:val="000000"/>
          <w:shd w:val="clear" w:color="auto" w:fill="FFFFFF"/>
        </w:rPr>
        <w:t xml:space="preserve"> locus. The family was then recruited to the 100kGP as a parent-child trio and genome sequencing performed in </w:t>
      </w:r>
      <w:r w:rsidRPr="001203E7">
        <w:rPr>
          <w:rFonts w:ascii="Calibri" w:hAnsi="Calibri" w:cs="Calibri"/>
          <w:color w:val="000000"/>
          <w:shd w:val="clear" w:color="auto" w:fill="FFFFFF"/>
        </w:rPr>
        <w:t>2017</w:t>
      </w:r>
      <w:r>
        <w:rPr>
          <w:rFonts w:ascii="Calibri" w:hAnsi="Calibri" w:cs="Calibri"/>
          <w:color w:val="000000"/>
          <w:shd w:val="clear" w:color="auto" w:fill="FFFFFF"/>
        </w:rPr>
        <w:t xml:space="preserve">. The 100kGP clinical pipeline picked up a </w:t>
      </w:r>
      <w:r w:rsidRPr="001203E7">
        <w:rPr>
          <w:rFonts w:ascii="Calibri" w:hAnsi="Calibri" w:cs="Calibri"/>
          <w:color w:val="000000"/>
          <w:shd w:val="clear" w:color="auto" w:fill="FFFFFF"/>
        </w:rPr>
        <w:t>mater</w:t>
      </w:r>
      <w:r>
        <w:rPr>
          <w:rFonts w:ascii="Calibri" w:hAnsi="Calibri" w:cs="Calibri"/>
          <w:color w:val="000000"/>
          <w:shd w:val="clear" w:color="auto" w:fill="FFFFFF"/>
        </w:rPr>
        <w:t>na</w:t>
      </w:r>
      <w:r w:rsidRPr="001203E7">
        <w:rPr>
          <w:rFonts w:ascii="Calibri" w:hAnsi="Calibri" w:cs="Calibri"/>
          <w:color w:val="000000"/>
          <w:shd w:val="clear" w:color="auto" w:fill="FFFFFF"/>
        </w:rPr>
        <w:t xml:space="preserve">lly inherited </w:t>
      </w:r>
      <w:r w:rsidRPr="0069139A">
        <w:rPr>
          <w:rFonts w:ascii="Calibri" w:hAnsi="Calibri" w:cs="Calibri"/>
          <w:color w:val="000000"/>
          <w:shd w:val="clear" w:color="auto" w:fill="FFFFFF"/>
        </w:rPr>
        <w:t xml:space="preserve">NM_001099922.3:c.1210G&gt;A (p.Glu404Lys) </w:t>
      </w:r>
      <w:r>
        <w:rPr>
          <w:rFonts w:ascii="Calibri" w:hAnsi="Calibri" w:cs="Calibri"/>
          <w:color w:val="000000"/>
          <w:shd w:val="clear" w:color="auto" w:fill="FFFFFF"/>
        </w:rPr>
        <w:t xml:space="preserve">in </w:t>
      </w:r>
      <w:r w:rsidRPr="001203E7">
        <w:rPr>
          <w:rFonts w:ascii="Calibri" w:hAnsi="Calibri" w:cs="Calibri"/>
          <w:i/>
          <w:color w:val="000000"/>
          <w:shd w:val="clear" w:color="auto" w:fill="FFFFFF"/>
        </w:rPr>
        <w:t>ALG13</w:t>
      </w:r>
      <w:r w:rsidRPr="001203E7">
        <w:rPr>
          <w:rFonts w:ascii="Calibri" w:hAnsi="Calibri" w:cs="Calibri"/>
          <w:color w:val="000000"/>
          <w:shd w:val="clear" w:color="auto" w:fill="FFFFFF"/>
        </w:rPr>
        <w:t xml:space="preserve"> </w:t>
      </w:r>
      <w:r w:rsidR="00591F50">
        <w:rPr>
          <w:rFonts w:ascii="Calibri" w:hAnsi="Calibri" w:cs="Calibri"/>
          <w:color w:val="000000"/>
          <w:shd w:val="clear" w:color="auto" w:fill="FFFFFF"/>
        </w:rPr>
        <w:t xml:space="preserve">(MIM </w:t>
      </w:r>
      <w:r w:rsidR="00591F50" w:rsidRPr="00591F50">
        <w:rPr>
          <w:rFonts w:ascii="Calibri" w:hAnsi="Calibri" w:cs="Calibri"/>
          <w:color w:val="000000"/>
          <w:shd w:val="clear" w:color="auto" w:fill="FFFFFF"/>
        </w:rPr>
        <w:t>*300776</w:t>
      </w:r>
      <w:r w:rsidR="00591F50">
        <w:rPr>
          <w:rFonts w:ascii="Calibri" w:hAnsi="Calibri" w:cs="Calibri"/>
          <w:color w:val="000000"/>
          <w:shd w:val="clear" w:color="auto" w:fill="FFFFFF"/>
        </w:rPr>
        <w:t xml:space="preserve">) </w:t>
      </w:r>
      <w:r w:rsidRPr="001203E7">
        <w:rPr>
          <w:rFonts w:ascii="Calibri" w:hAnsi="Calibri" w:cs="Calibri"/>
          <w:color w:val="000000"/>
          <w:shd w:val="clear" w:color="auto" w:fill="FFFFFF"/>
        </w:rPr>
        <w:t xml:space="preserve">of uncertain significance </w:t>
      </w:r>
      <w:r>
        <w:rPr>
          <w:rFonts w:ascii="Calibri" w:hAnsi="Calibri" w:cs="Calibri"/>
          <w:color w:val="000000"/>
          <w:shd w:val="clear" w:color="auto" w:fill="FFFFFF"/>
        </w:rPr>
        <w:t>(VCV000982621.</w:t>
      </w:r>
      <w:r w:rsidR="002D568B">
        <w:rPr>
          <w:rFonts w:ascii="Calibri" w:hAnsi="Calibri" w:cs="Calibri"/>
          <w:color w:val="000000"/>
          <w:shd w:val="clear" w:color="auto" w:fill="FFFFFF"/>
        </w:rPr>
        <w:t>4</w:t>
      </w:r>
      <w:r>
        <w:rPr>
          <w:rFonts w:ascii="Calibri" w:hAnsi="Calibri" w:cs="Calibri"/>
          <w:color w:val="000000"/>
          <w:shd w:val="clear" w:color="auto" w:fill="FFFFFF"/>
        </w:rPr>
        <w:t xml:space="preserve">) for which further co-segregation/glycosylation studies </w:t>
      </w:r>
      <w:proofErr w:type="gramStart"/>
      <w:r>
        <w:rPr>
          <w:rFonts w:ascii="Calibri" w:hAnsi="Calibri" w:cs="Calibri"/>
          <w:color w:val="000000"/>
          <w:shd w:val="clear" w:color="auto" w:fill="FFFFFF"/>
        </w:rPr>
        <w:t>had been considered</w:t>
      </w:r>
      <w:proofErr w:type="gramEnd"/>
      <w:r>
        <w:rPr>
          <w:rFonts w:ascii="Calibri" w:hAnsi="Calibri" w:cs="Calibri"/>
          <w:color w:val="000000"/>
          <w:shd w:val="clear" w:color="auto" w:fill="FFFFFF"/>
        </w:rPr>
        <w:t xml:space="preserve">. Although the </w:t>
      </w:r>
      <w:proofErr w:type="spellStart"/>
      <w:r>
        <w:rPr>
          <w:rFonts w:ascii="Calibri" w:hAnsi="Calibri" w:cs="Calibri"/>
          <w:color w:val="000000"/>
          <w:shd w:val="clear" w:color="auto" w:fill="FFFFFF"/>
        </w:rPr>
        <w:t>MantaINV</w:t>
      </w:r>
      <w:proofErr w:type="spellEnd"/>
      <w:r>
        <w:rPr>
          <w:rFonts w:ascii="Calibri" w:hAnsi="Calibri" w:cs="Calibri"/>
          <w:color w:val="000000"/>
          <w:shd w:val="clear" w:color="auto" w:fill="FFFFFF"/>
        </w:rPr>
        <w:t xml:space="preserve"> call in </w:t>
      </w:r>
      <w:r w:rsidRPr="00531661">
        <w:rPr>
          <w:rFonts w:ascii="Calibri" w:hAnsi="Calibri" w:cs="Calibri"/>
          <w:i/>
          <w:color w:val="000000"/>
          <w:shd w:val="clear" w:color="auto" w:fill="FFFFFF"/>
        </w:rPr>
        <w:t>MECP2</w:t>
      </w:r>
      <w:r>
        <w:rPr>
          <w:rFonts w:ascii="Calibri" w:hAnsi="Calibri" w:cs="Calibri"/>
          <w:color w:val="000000"/>
          <w:shd w:val="clear" w:color="auto" w:fill="FFFFFF"/>
        </w:rPr>
        <w:t xml:space="preserve"> prioritised by </w:t>
      </w:r>
      <w:proofErr w:type="spellStart"/>
      <w:r>
        <w:rPr>
          <w:rFonts w:ascii="Calibri" w:hAnsi="Calibri" w:cs="Calibri"/>
          <w:color w:val="000000"/>
          <w:shd w:val="clear" w:color="auto" w:fill="FFFFFF"/>
        </w:rPr>
        <w:t>SVRare</w:t>
      </w:r>
      <w:proofErr w:type="spellEnd"/>
      <w:r>
        <w:rPr>
          <w:rFonts w:ascii="Calibri" w:hAnsi="Calibri" w:cs="Calibri"/>
          <w:color w:val="000000"/>
          <w:shd w:val="clear" w:color="auto" w:fill="FFFFFF"/>
        </w:rPr>
        <w:t xml:space="preserve"> suggested an inversion of 209bp, close scrutiny of the locus with short and long-read data available suggested a complex rearrangement comprising a 76bp inverted duplication close to a similar sized deletion. However, </w:t>
      </w:r>
      <w:proofErr w:type="spellStart"/>
      <w:r>
        <w:rPr>
          <w:rFonts w:ascii="Calibri" w:hAnsi="Calibri" w:cs="Calibri"/>
          <w:color w:val="000000"/>
          <w:shd w:val="clear" w:color="auto" w:fill="FFFFFF"/>
        </w:rPr>
        <w:t>MantaBND</w:t>
      </w:r>
      <w:proofErr w:type="spellEnd"/>
      <w:r>
        <w:rPr>
          <w:rFonts w:ascii="Calibri" w:hAnsi="Calibri" w:cs="Calibri"/>
          <w:color w:val="000000"/>
          <w:shd w:val="clear" w:color="auto" w:fill="FFFFFF"/>
        </w:rPr>
        <w:t xml:space="preserve"> calls also showed the presence of a 14.5kb duplicated segment from 19qter had inserted into the middle of the SV (Figure S27A-B). Similar to the situation for F</w:t>
      </w:r>
      <w:r w:rsidR="005804A6">
        <w:rPr>
          <w:rFonts w:ascii="Calibri" w:hAnsi="Calibri" w:cs="Calibri"/>
          <w:color w:val="000000"/>
          <w:shd w:val="clear" w:color="auto" w:fill="FFFFFF"/>
        </w:rPr>
        <w:t xml:space="preserve">amily </w:t>
      </w:r>
      <w:r>
        <w:rPr>
          <w:rFonts w:ascii="Calibri" w:hAnsi="Calibri" w:cs="Calibri"/>
          <w:color w:val="000000"/>
          <w:shd w:val="clear" w:color="auto" w:fill="FFFFFF"/>
        </w:rPr>
        <w:t xml:space="preserve">33, this complex SV was ambiguous with short-read genome sequencing data alone (Figure S27C) as the rearrangement could also be a result of a translocation (i.e. two derivatives chromosomes with a duplication at the site of the breakpoint). The presence of 2 PacBio reads of &gt;20kb spanning the 14.5kb duplicated region (Figure S27A, Figure S28) confirmed the structure to be an inter-chromosomal duplication and not a translocation. This finding helps confirm the disruption to </w:t>
      </w:r>
      <w:r w:rsidRPr="00545EF5">
        <w:rPr>
          <w:rFonts w:ascii="Calibri" w:hAnsi="Calibri" w:cs="Calibri"/>
          <w:i/>
          <w:color w:val="000000"/>
          <w:shd w:val="clear" w:color="auto" w:fill="FFFFFF"/>
        </w:rPr>
        <w:t>MECP2</w:t>
      </w:r>
      <w:r>
        <w:rPr>
          <w:rFonts w:ascii="Calibri" w:hAnsi="Calibri" w:cs="Calibri"/>
          <w:color w:val="000000"/>
          <w:shd w:val="clear" w:color="auto" w:fill="FFFFFF"/>
        </w:rPr>
        <w:t xml:space="preserve"> and alters the clinical interpretation of this variant.</w:t>
      </w:r>
    </w:p>
    <w:p w14:paraId="298F5A7C" w14:textId="77777777" w:rsidR="0054637A" w:rsidRDefault="0054637A" w:rsidP="00DD05AD">
      <w:pPr>
        <w:jc w:val="both"/>
        <w:rPr>
          <w:b/>
          <w:bCs/>
          <w:i/>
        </w:rPr>
      </w:pPr>
      <w:r w:rsidRPr="0009551A">
        <w:rPr>
          <w:b/>
          <w:bCs/>
          <w:i/>
        </w:rPr>
        <w:t xml:space="preserve">Exemplar 3: Resolving </w:t>
      </w:r>
      <w:r>
        <w:rPr>
          <w:b/>
          <w:bCs/>
          <w:i/>
        </w:rPr>
        <w:t xml:space="preserve">a long </w:t>
      </w:r>
      <w:r w:rsidRPr="0009551A">
        <w:rPr>
          <w:b/>
          <w:bCs/>
          <w:i/>
        </w:rPr>
        <w:t xml:space="preserve">diagnostic odyssey </w:t>
      </w:r>
      <w:r>
        <w:rPr>
          <w:b/>
          <w:bCs/>
          <w:i/>
        </w:rPr>
        <w:t xml:space="preserve">- </w:t>
      </w:r>
      <w:r w:rsidRPr="0009551A">
        <w:rPr>
          <w:b/>
          <w:bCs/>
          <w:i/>
        </w:rPr>
        <w:t xml:space="preserve">regulatory inversion in </w:t>
      </w:r>
      <w:r>
        <w:rPr>
          <w:b/>
          <w:bCs/>
          <w:i/>
        </w:rPr>
        <w:t xml:space="preserve">the </w:t>
      </w:r>
      <w:r w:rsidRPr="0009551A">
        <w:rPr>
          <w:b/>
          <w:bCs/>
          <w:i/>
        </w:rPr>
        <w:t>HOXD</w:t>
      </w:r>
      <w:r>
        <w:rPr>
          <w:b/>
          <w:bCs/>
          <w:i/>
        </w:rPr>
        <w:t xml:space="preserve"> cluster</w:t>
      </w:r>
    </w:p>
    <w:p w14:paraId="7B8F07C8" w14:textId="0D2DD733" w:rsidR="0054637A" w:rsidRPr="006C08BF" w:rsidRDefault="0054637A" w:rsidP="00DD05AD">
      <w:pPr>
        <w:jc w:val="both"/>
        <w:rPr>
          <w:rFonts w:ascii="Calibri" w:hAnsi="Calibri" w:cs="Calibri"/>
          <w:color w:val="000000"/>
          <w:highlight w:val="yellow"/>
          <w:shd w:val="clear" w:color="auto" w:fill="FFFFFF"/>
        </w:rPr>
      </w:pPr>
      <w:r>
        <w:rPr>
          <w:rFonts w:ascii="Calibri" w:hAnsi="Calibri" w:cs="Calibri"/>
          <w:color w:val="000000"/>
          <w:shd w:val="clear" w:color="auto" w:fill="FFFFFF"/>
        </w:rPr>
        <w:t xml:space="preserve">Family 42 were recruited to the 100kGP due to </w:t>
      </w:r>
      <w:proofErr w:type="spellStart"/>
      <w:r>
        <w:rPr>
          <w:rFonts w:ascii="Calibri" w:hAnsi="Calibri" w:cs="Calibri"/>
          <w:color w:val="000000"/>
          <w:shd w:val="clear" w:color="auto" w:fill="FFFFFF"/>
        </w:rPr>
        <w:t>m</w:t>
      </w:r>
      <w:r w:rsidRPr="00E91149">
        <w:rPr>
          <w:rFonts w:ascii="Calibri" w:hAnsi="Calibri" w:cs="Calibri"/>
          <w:color w:val="000000"/>
          <w:shd w:val="clear" w:color="auto" w:fill="FFFFFF"/>
        </w:rPr>
        <w:t>esomelic</w:t>
      </w:r>
      <w:proofErr w:type="spellEnd"/>
      <w:r w:rsidRPr="00E91149">
        <w:rPr>
          <w:rFonts w:ascii="Calibri" w:hAnsi="Calibri" w:cs="Calibri"/>
          <w:color w:val="000000"/>
          <w:shd w:val="clear" w:color="auto" w:fill="FFFFFF"/>
        </w:rPr>
        <w:t xml:space="preserve"> limb shortening</w:t>
      </w:r>
      <w:r>
        <w:rPr>
          <w:rFonts w:ascii="Calibri" w:hAnsi="Calibri" w:cs="Calibri"/>
          <w:color w:val="000000"/>
          <w:shd w:val="clear" w:color="auto" w:fill="FFFFFF"/>
        </w:rPr>
        <w:t>,</w:t>
      </w:r>
      <w:r w:rsidRPr="00E91149">
        <w:rPr>
          <w:rFonts w:ascii="Calibri" w:hAnsi="Calibri" w:cs="Calibri"/>
          <w:color w:val="000000"/>
          <w:shd w:val="clear" w:color="auto" w:fill="FFFFFF"/>
        </w:rPr>
        <w:t xml:space="preserve"> most pronounced in </w:t>
      </w:r>
      <w:r>
        <w:rPr>
          <w:rFonts w:ascii="Calibri" w:hAnsi="Calibri" w:cs="Calibri"/>
          <w:color w:val="000000"/>
          <w:shd w:val="clear" w:color="auto" w:fill="FFFFFF"/>
        </w:rPr>
        <w:t xml:space="preserve">the </w:t>
      </w:r>
      <w:r w:rsidRPr="00E91149">
        <w:rPr>
          <w:rFonts w:ascii="Calibri" w:hAnsi="Calibri" w:cs="Calibri"/>
          <w:color w:val="000000"/>
          <w:shd w:val="clear" w:color="auto" w:fill="FFFFFF"/>
        </w:rPr>
        <w:t>upper limbs</w:t>
      </w:r>
      <w:r>
        <w:rPr>
          <w:rFonts w:ascii="Calibri" w:hAnsi="Calibri" w:cs="Calibri"/>
          <w:color w:val="000000"/>
          <w:shd w:val="clear" w:color="auto" w:fill="FFFFFF"/>
        </w:rPr>
        <w:t xml:space="preserve">. </w:t>
      </w:r>
      <w:r w:rsidRPr="00E91149">
        <w:rPr>
          <w:rFonts w:ascii="Calibri" w:hAnsi="Calibri" w:cs="Calibri"/>
          <w:color w:val="000000"/>
          <w:shd w:val="clear" w:color="auto" w:fill="FFFFFF"/>
        </w:rPr>
        <w:t>Radiological findings included severe shorting of radius/ulna with bowing of the radius and dislocation of radial head</w:t>
      </w:r>
      <w:r>
        <w:rPr>
          <w:rFonts w:ascii="Calibri" w:hAnsi="Calibri" w:cs="Calibri"/>
          <w:color w:val="000000"/>
          <w:shd w:val="clear" w:color="auto" w:fill="FFFFFF"/>
        </w:rPr>
        <w:t xml:space="preserve">. </w:t>
      </w:r>
      <w:proofErr w:type="gramStart"/>
      <w:r>
        <w:rPr>
          <w:rFonts w:ascii="Calibri" w:hAnsi="Calibri" w:cs="Calibri"/>
          <w:color w:val="000000"/>
          <w:shd w:val="clear" w:color="auto" w:fill="FFFFFF"/>
        </w:rPr>
        <w:t xml:space="preserve">Detailed clinical information for this family was reported </w:t>
      </w:r>
      <w:r w:rsidRPr="006D7F1B">
        <w:rPr>
          <w:rFonts w:ascii="Calibri" w:hAnsi="Calibri" w:cs="Calibri"/>
          <w:color w:val="000000"/>
          <w:shd w:val="clear" w:color="auto" w:fill="FFFFFF"/>
        </w:rPr>
        <w:t>in 2004</w:t>
      </w:r>
      <w:r>
        <w:rPr>
          <w:rFonts w:ascii="Calibri" w:hAnsi="Calibri" w:cs="Calibri"/>
          <w:color w:val="000000"/>
          <w:shd w:val="clear" w:color="auto" w:fill="FFFFFF"/>
        </w:rPr>
        <w:t xml:space="preserve"> and at that time </w:t>
      </w:r>
      <w:r w:rsidRPr="00534A8D">
        <w:rPr>
          <w:rFonts w:ascii="Calibri" w:hAnsi="Calibri" w:cs="Calibri"/>
          <w:color w:val="000000"/>
          <w:shd w:val="clear" w:color="auto" w:fill="FFFFFF"/>
        </w:rPr>
        <w:t xml:space="preserve">the authors suggested this to be only the second family ever described with </w:t>
      </w:r>
      <w:proofErr w:type="spellStart"/>
      <w:r w:rsidRPr="00534A8D">
        <w:rPr>
          <w:rFonts w:ascii="Calibri" w:hAnsi="Calibri" w:cs="Calibri"/>
          <w:color w:val="000000"/>
          <w:shd w:val="clear" w:color="auto" w:fill="FFFFFF"/>
        </w:rPr>
        <w:t>Mesomelic</w:t>
      </w:r>
      <w:proofErr w:type="spellEnd"/>
      <w:r w:rsidRPr="00534A8D">
        <w:rPr>
          <w:rFonts w:ascii="Calibri" w:hAnsi="Calibri" w:cs="Calibri"/>
          <w:color w:val="000000"/>
          <w:shd w:val="clear" w:color="auto" w:fill="FFFFFF"/>
        </w:rPr>
        <w:t xml:space="preserve"> dysplasia, </w:t>
      </w:r>
      <w:proofErr w:type="spellStart"/>
      <w:r w:rsidRPr="00534A8D">
        <w:rPr>
          <w:rFonts w:ascii="Calibri" w:hAnsi="Calibri" w:cs="Calibri"/>
          <w:color w:val="000000"/>
          <w:shd w:val="clear" w:color="auto" w:fill="FFFFFF"/>
        </w:rPr>
        <w:t>Kantaputra</w:t>
      </w:r>
      <w:proofErr w:type="spellEnd"/>
      <w:r w:rsidRPr="00534A8D">
        <w:rPr>
          <w:rFonts w:ascii="Calibri" w:hAnsi="Calibri" w:cs="Calibri"/>
          <w:color w:val="000000"/>
          <w:shd w:val="clear" w:color="auto" w:fill="FFFFFF"/>
        </w:rPr>
        <w:t xml:space="preserve"> type</w:t>
      </w:r>
      <w:r w:rsidR="00F92A8B">
        <w:rPr>
          <w:rFonts w:ascii="Calibri" w:hAnsi="Calibri" w:cs="Calibri"/>
          <w:color w:val="000000"/>
          <w:shd w:val="clear" w:color="auto" w:fill="FFFFFF"/>
        </w:rPr>
        <w:t xml:space="preserve"> [</w:t>
      </w:r>
      <w:r w:rsidR="00F92A8B" w:rsidRPr="006D7F1B">
        <w:rPr>
          <w:rFonts w:ascii="Calibri" w:hAnsi="Calibri" w:cs="Calibri"/>
          <w:color w:val="000000"/>
          <w:shd w:val="clear" w:color="auto" w:fill="FFFFFF"/>
        </w:rPr>
        <w:t>MIM %156232</w:t>
      </w:r>
      <w:r w:rsidR="00F92A8B">
        <w:rPr>
          <w:rFonts w:ascii="Calibri" w:hAnsi="Calibri" w:cs="Calibri"/>
          <w:color w:val="000000"/>
          <w:shd w:val="clear" w:color="auto" w:fill="FFFFFF"/>
        </w:rPr>
        <w:t>]</w:t>
      </w:r>
      <w:r>
        <w:rPr>
          <w:rFonts w:ascii="Calibri" w:hAnsi="Calibri" w:cs="Calibri"/>
          <w:color w:val="000000"/>
          <w:shd w:val="clear" w:color="auto" w:fill="FFFFFF"/>
        </w:rPr>
        <w:t>.</w:t>
      </w:r>
      <w:r w:rsidRPr="003F6879">
        <w:rPr>
          <w:rFonts w:ascii="Calibri" w:hAnsi="Calibri" w:cs="Calibri"/>
          <w:noProof/>
          <w:color w:val="000000"/>
          <w:shd w:val="clear" w:color="auto" w:fill="FFFFFF"/>
          <w:vertAlign w:val="superscript"/>
        </w:rPr>
        <w:t>46</w:t>
      </w:r>
      <w:r>
        <w:rPr>
          <w:rFonts w:ascii="Calibri" w:hAnsi="Calibri" w:cs="Calibri"/>
          <w:color w:val="000000"/>
          <w:shd w:val="clear" w:color="auto" w:fill="FFFFFF"/>
        </w:rPr>
        <w:t xml:space="preserve"> The m</w:t>
      </w:r>
      <w:r w:rsidRPr="00CB4C6D">
        <w:rPr>
          <w:rFonts w:ascii="Calibri" w:hAnsi="Calibri" w:cs="Calibri"/>
          <w:color w:val="000000"/>
          <w:shd w:val="clear" w:color="auto" w:fill="FFFFFF"/>
        </w:rPr>
        <w:t>olecular bas</w:t>
      </w:r>
      <w:r>
        <w:rPr>
          <w:rFonts w:ascii="Calibri" w:hAnsi="Calibri" w:cs="Calibri"/>
          <w:color w:val="000000"/>
          <w:shd w:val="clear" w:color="auto" w:fill="FFFFFF"/>
        </w:rPr>
        <w:t>i</w:t>
      </w:r>
      <w:r w:rsidRPr="00CB4C6D">
        <w:rPr>
          <w:rFonts w:ascii="Calibri" w:hAnsi="Calibri" w:cs="Calibri"/>
          <w:color w:val="000000"/>
          <w:shd w:val="clear" w:color="auto" w:fill="FFFFFF"/>
        </w:rPr>
        <w:t xml:space="preserve">s for the </w:t>
      </w:r>
      <w:proofErr w:type="spellStart"/>
      <w:r w:rsidRPr="00CB4C6D">
        <w:rPr>
          <w:rFonts w:ascii="Calibri" w:hAnsi="Calibri" w:cs="Calibri"/>
          <w:i/>
          <w:color w:val="000000"/>
          <w:shd w:val="clear" w:color="auto" w:fill="FFFFFF"/>
        </w:rPr>
        <w:t>ulnaless</w:t>
      </w:r>
      <w:proofErr w:type="spellEnd"/>
      <w:r w:rsidRPr="00CB4C6D">
        <w:rPr>
          <w:rFonts w:ascii="Calibri" w:hAnsi="Calibri" w:cs="Calibri"/>
          <w:color w:val="000000"/>
          <w:shd w:val="clear" w:color="auto" w:fill="FFFFFF"/>
        </w:rPr>
        <w:t xml:space="preserve"> mouse model was shown in 2003 to be a 770kb inversion of the </w:t>
      </w:r>
      <w:r w:rsidRPr="00CB4C6D">
        <w:rPr>
          <w:rFonts w:ascii="Calibri" w:hAnsi="Calibri" w:cs="Calibri"/>
          <w:i/>
          <w:color w:val="000000"/>
          <w:shd w:val="clear" w:color="auto" w:fill="FFFFFF"/>
        </w:rPr>
        <w:t>HOXD</w:t>
      </w:r>
      <w:r w:rsidRPr="00CB4C6D">
        <w:rPr>
          <w:rFonts w:ascii="Calibri" w:hAnsi="Calibri" w:cs="Calibri"/>
          <w:color w:val="000000"/>
          <w:shd w:val="clear" w:color="auto" w:fill="FFFFFF"/>
        </w:rPr>
        <w:t xml:space="preserve"> gene cluster</w:t>
      </w:r>
      <w:r>
        <w:rPr>
          <w:rFonts w:ascii="Calibri" w:hAnsi="Calibri" w:cs="Calibri"/>
          <w:color w:val="000000"/>
          <w:shd w:val="clear" w:color="auto" w:fill="FFFFFF"/>
        </w:rPr>
        <w:t>.</w:t>
      </w:r>
      <w:r w:rsidRPr="003F6879">
        <w:rPr>
          <w:rFonts w:ascii="Calibri" w:hAnsi="Calibri" w:cs="Calibri"/>
          <w:noProof/>
          <w:color w:val="000000"/>
          <w:shd w:val="clear" w:color="auto" w:fill="FFFFFF"/>
          <w:vertAlign w:val="superscript"/>
        </w:rPr>
        <w:t>47</w:t>
      </w:r>
      <w:r>
        <w:rPr>
          <w:rFonts w:ascii="Calibri" w:hAnsi="Calibri" w:cs="Calibri"/>
          <w:color w:val="000000"/>
          <w:shd w:val="clear" w:color="auto" w:fill="FFFFFF"/>
        </w:rPr>
        <w:t xml:space="preserve"> These mice show s</w:t>
      </w:r>
      <w:r w:rsidRPr="00357358">
        <w:rPr>
          <w:rFonts w:ascii="Calibri" w:hAnsi="Calibri" w:cs="Calibri"/>
          <w:color w:val="000000"/>
          <w:shd w:val="clear" w:color="auto" w:fill="FFFFFF"/>
        </w:rPr>
        <w:t xml:space="preserve">triking </w:t>
      </w:r>
      <w:proofErr w:type="spellStart"/>
      <w:r w:rsidRPr="00357358">
        <w:rPr>
          <w:rFonts w:ascii="Calibri" w:hAnsi="Calibri" w:cs="Calibri"/>
          <w:color w:val="000000"/>
          <w:shd w:val="clear" w:color="auto" w:fill="FFFFFF"/>
        </w:rPr>
        <w:t>mesomelic</w:t>
      </w:r>
      <w:proofErr w:type="spellEnd"/>
      <w:r w:rsidRPr="00357358">
        <w:rPr>
          <w:rFonts w:ascii="Calibri" w:hAnsi="Calibri" w:cs="Calibri"/>
          <w:color w:val="000000"/>
          <w:shd w:val="clear" w:color="auto" w:fill="FFFFFF"/>
        </w:rPr>
        <w:t xml:space="preserve"> shortening, </w:t>
      </w:r>
      <w:r>
        <w:rPr>
          <w:rFonts w:ascii="Calibri" w:hAnsi="Calibri" w:cs="Calibri"/>
          <w:color w:val="000000"/>
          <w:shd w:val="clear" w:color="auto" w:fill="FFFFFF"/>
        </w:rPr>
        <w:t xml:space="preserve">especially </w:t>
      </w:r>
      <w:r w:rsidRPr="00357358">
        <w:rPr>
          <w:rFonts w:ascii="Calibri" w:hAnsi="Calibri" w:cs="Calibri"/>
          <w:color w:val="000000"/>
          <w:shd w:val="clear" w:color="auto" w:fill="FFFFFF"/>
        </w:rPr>
        <w:t>in the forelimbs</w:t>
      </w:r>
      <w:r>
        <w:rPr>
          <w:rFonts w:ascii="Calibri" w:hAnsi="Calibri" w:cs="Calibri"/>
          <w:color w:val="000000"/>
          <w:shd w:val="clear" w:color="auto" w:fill="FFFFFF"/>
        </w:rPr>
        <w:t>,</w:t>
      </w:r>
      <w:r w:rsidRPr="00357358">
        <w:rPr>
          <w:rFonts w:ascii="Calibri" w:hAnsi="Calibri" w:cs="Calibri"/>
          <w:color w:val="000000"/>
          <w:shd w:val="clear" w:color="auto" w:fill="FFFFFF"/>
        </w:rPr>
        <w:t xml:space="preserve"> </w:t>
      </w:r>
      <w:r>
        <w:rPr>
          <w:rFonts w:ascii="Calibri" w:hAnsi="Calibri" w:cs="Calibri"/>
          <w:color w:val="000000"/>
          <w:shd w:val="clear" w:color="auto" w:fill="FFFFFF"/>
        </w:rPr>
        <w:t xml:space="preserve">and this prompted </w:t>
      </w:r>
      <w:r w:rsidRPr="00E91149">
        <w:rPr>
          <w:rFonts w:ascii="Calibri" w:hAnsi="Calibri" w:cs="Calibri"/>
          <w:color w:val="000000"/>
          <w:shd w:val="clear" w:color="auto" w:fill="FFFFFF"/>
        </w:rPr>
        <w:t xml:space="preserve">Sanger sequencing of </w:t>
      </w:r>
      <w:r w:rsidRPr="00E91149">
        <w:rPr>
          <w:rFonts w:ascii="Calibri" w:hAnsi="Calibri" w:cs="Calibri"/>
          <w:i/>
          <w:color w:val="000000"/>
          <w:shd w:val="clear" w:color="auto" w:fill="FFFFFF"/>
        </w:rPr>
        <w:t>HOXD11</w:t>
      </w:r>
      <w:r w:rsidRPr="00E91149">
        <w:rPr>
          <w:rFonts w:ascii="Calibri" w:hAnsi="Calibri" w:cs="Calibri"/>
          <w:color w:val="000000"/>
          <w:shd w:val="clear" w:color="auto" w:fill="FFFFFF"/>
        </w:rPr>
        <w:t xml:space="preserve"> </w:t>
      </w:r>
      <w:r w:rsidR="00E0315E">
        <w:rPr>
          <w:rFonts w:ascii="Calibri" w:hAnsi="Calibri" w:cs="Calibri"/>
          <w:color w:val="000000"/>
          <w:shd w:val="clear" w:color="auto" w:fill="FFFFFF"/>
        </w:rPr>
        <w:t>(</w:t>
      </w:r>
      <w:r w:rsidR="00E0315E" w:rsidRPr="00E0315E">
        <w:rPr>
          <w:rFonts w:ascii="Calibri" w:hAnsi="Calibri" w:cs="Calibri"/>
          <w:color w:val="000000"/>
          <w:shd w:val="clear" w:color="auto" w:fill="FFFFFF"/>
        </w:rPr>
        <w:t>MIM *142986</w:t>
      </w:r>
      <w:r w:rsidR="00E0315E">
        <w:rPr>
          <w:rFonts w:ascii="Calibri" w:hAnsi="Calibri" w:cs="Calibri"/>
          <w:color w:val="000000"/>
          <w:shd w:val="clear" w:color="auto" w:fill="FFFFFF"/>
        </w:rPr>
        <w:t xml:space="preserve">) </w:t>
      </w:r>
      <w:r>
        <w:rPr>
          <w:rFonts w:ascii="Calibri" w:hAnsi="Calibri" w:cs="Calibri"/>
          <w:color w:val="000000"/>
          <w:shd w:val="clear" w:color="auto" w:fill="FFFFFF"/>
        </w:rPr>
        <w:t>in Family 42 which (along with k</w:t>
      </w:r>
      <w:r w:rsidRPr="00E91149">
        <w:rPr>
          <w:rFonts w:ascii="Calibri" w:hAnsi="Calibri" w:cs="Calibri"/>
          <w:color w:val="000000"/>
          <w:shd w:val="clear" w:color="auto" w:fill="FFFFFF"/>
        </w:rPr>
        <w:t>aryotyp</w:t>
      </w:r>
      <w:r>
        <w:rPr>
          <w:rFonts w:ascii="Calibri" w:hAnsi="Calibri" w:cs="Calibri"/>
          <w:color w:val="000000"/>
          <w:shd w:val="clear" w:color="auto" w:fill="FFFFFF"/>
        </w:rPr>
        <w:t>e</w:t>
      </w:r>
      <w:r w:rsidRPr="00E91149">
        <w:rPr>
          <w:rFonts w:ascii="Calibri" w:hAnsi="Calibri" w:cs="Calibri"/>
          <w:color w:val="000000"/>
          <w:shd w:val="clear" w:color="auto" w:fill="FFFFFF"/>
        </w:rPr>
        <w:t xml:space="preserve"> </w:t>
      </w:r>
      <w:r>
        <w:rPr>
          <w:rFonts w:ascii="Calibri" w:hAnsi="Calibri" w:cs="Calibri"/>
          <w:color w:val="000000"/>
          <w:shd w:val="clear" w:color="auto" w:fill="FFFFFF"/>
        </w:rPr>
        <w:t>testing) had not detected any variants of significance.</w:t>
      </w:r>
      <w:r w:rsidRPr="003F6879">
        <w:rPr>
          <w:rFonts w:ascii="Calibri" w:hAnsi="Calibri" w:cs="Calibri"/>
          <w:noProof/>
          <w:color w:val="000000"/>
          <w:shd w:val="clear" w:color="auto" w:fill="FFFFFF"/>
          <w:vertAlign w:val="superscript"/>
        </w:rPr>
        <w:t>46</w:t>
      </w:r>
      <w:r>
        <w:rPr>
          <w:rFonts w:ascii="Calibri" w:hAnsi="Calibri" w:cs="Calibri"/>
          <w:color w:val="000000"/>
          <w:shd w:val="clear" w:color="auto" w:fill="FFFFFF"/>
        </w:rPr>
        <w:t xml:space="preserve"> In addition, </w:t>
      </w:r>
      <w:r w:rsidRPr="00E91149">
        <w:rPr>
          <w:rFonts w:ascii="Calibri" w:hAnsi="Calibri" w:cs="Calibri"/>
          <w:color w:val="000000"/>
          <w:shd w:val="clear" w:color="auto" w:fill="FFFFFF"/>
        </w:rPr>
        <w:t>244k Agilent a</w:t>
      </w:r>
      <w:r>
        <w:rPr>
          <w:rFonts w:ascii="Calibri" w:hAnsi="Calibri" w:cs="Calibri"/>
          <w:color w:val="000000"/>
          <w:shd w:val="clear" w:color="auto" w:fill="FFFFFF"/>
        </w:rPr>
        <w:t>rray-</w:t>
      </w:r>
      <w:r w:rsidRPr="00E91149">
        <w:rPr>
          <w:rFonts w:ascii="Calibri" w:hAnsi="Calibri" w:cs="Calibri"/>
          <w:color w:val="000000"/>
          <w:shd w:val="clear" w:color="auto" w:fill="FFFFFF"/>
        </w:rPr>
        <w:t>CGH</w:t>
      </w:r>
      <w:r>
        <w:rPr>
          <w:rFonts w:ascii="Calibri" w:hAnsi="Calibri" w:cs="Calibri"/>
          <w:color w:val="000000"/>
          <w:shd w:val="clear" w:color="auto" w:fill="FFFFFF"/>
        </w:rPr>
        <w:t xml:space="preserve"> had not detected any gross structural changes.</w:t>
      </w:r>
      <w:r w:rsidRPr="003F6879">
        <w:rPr>
          <w:rFonts w:ascii="Calibri" w:hAnsi="Calibri" w:cs="Calibri"/>
          <w:noProof/>
          <w:color w:val="000000"/>
          <w:shd w:val="clear" w:color="auto" w:fill="FFFFFF"/>
          <w:vertAlign w:val="superscript"/>
        </w:rPr>
        <w:t>48</w:t>
      </w:r>
      <w:r>
        <w:rPr>
          <w:rFonts w:ascii="Calibri" w:hAnsi="Calibri" w:cs="Calibri"/>
          <w:color w:val="000000"/>
          <w:shd w:val="clear" w:color="auto" w:fill="FFFFFF"/>
        </w:rPr>
        <w:t xml:space="preserve"> We identified a 22.9kb inversion involving the </w:t>
      </w:r>
      <w:r w:rsidRPr="00E91149">
        <w:rPr>
          <w:rFonts w:ascii="Calibri" w:hAnsi="Calibri" w:cs="Calibri"/>
          <w:i/>
          <w:color w:val="000000"/>
          <w:shd w:val="clear" w:color="auto" w:fill="FFFFFF"/>
        </w:rPr>
        <w:t>HOXD</w:t>
      </w:r>
      <w:r>
        <w:rPr>
          <w:rFonts w:ascii="Calibri" w:hAnsi="Calibri" w:cs="Calibri"/>
          <w:color w:val="000000"/>
          <w:shd w:val="clear" w:color="auto" w:fill="FFFFFF"/>
        </w:rPr>
        <w:t xml:space="preserve"> gene cluster (</w:t>
      </w:r>
      <w:r>
        <w:rPr>
          <w:rFonts w:ascii="Calibri" w:hAnsi="Calibri" w:cs="Calibri"/>
          <w:i/>
          <w:color w:val="000000"/>
          <w:shd w:val="clear" w:color="auto" w:fill="FFFFFF"/>
        </w:rPr>
        <w:t>HOXD11-</w:t>
      </w:r>
      <w:r w:rsidRPr="00E91149">
        <w:rPr>
          <w:rFonts w:ascii="Calibri" w:hAnsi="Calibri" w:cs="Calibri"/>
          <w:i/>
          <w:color w:val="000000"/>
          <w:shd w:val="clear" w:color="auto" w:fill="FFFFFF"/>
        </w:rPr>
        <w:t>13</w:t>
      </w:r>
      <w:r>
        <w:rPr>
          <w:rFonts w:ascii="Calibri" w:hAnsi="Calibri" w:cs="Calibri"/>
          <w:color w:val="000000"/>
          <w:shd w:val="clear" w:color="auto" w:fill="FFFFFF"/>
        </w:rPr>
        <w:t xml:space="preserve">) that had arisen </w:t>
      </w:r>
      <w:r w:rsidRPr="00DD4A55">
        <w:rPr>
          <w:rFonts w:ascii="Calibri" w:hAnsi="Calibri" w:cs="Calibri"/>
          <w:i/>
          <w:color w:val="000000"/>
          <w:shd w:val="clear" w:color="auto" w:fill="FFFFFF"/>
        </w:rPr>
        <w:t>de novo</w:t>
      </w:r>
      <w:r>
        <w:rPr>
          <w:rFonts w:ascii="Calibri" w:hAnsi="Calibri" w:cs="Calibri"/>
          <w:color w:val="000000"/>
          <w:shd w:val="clear" w:color="auto" w:fill="FFFFFF"/>
        </w:rPr>
        <w:t xml:space="preserve"> in the proband and had been transmitted to the proband’s similarly affected son (Figure 5A).</w:t>
      </w:r>
      <w:proofErr w:type="gramEnd"/>
      <w:r>
        <w:rPr>
          <w:rFonts w:ascii="Calibri" w:hAnsi="Calibri" w:cs="Calibri"/>
          <w:color w:val="000000"/>
          <w:shd w:val="clear" w:color="auto" w:fill="FFFFFF"/>
        </w:rPr>
        <w:t xml:space="preserve"> </w:t>
      </w:r>
      <w:r w:rsidRPr="00DD4A55">
        <w:rPr>
          <w:rFonts w:ascii="Calibri" w:hAnsi="Calibri" w:cs="Calibri"/>
          <w:color w:val="000000"/>
          <w:shd w:val="clear" w:color="auto" w:fill="FFFFFF"/>
        </w:rPr>
        <w:t xml:space="preserve">It is notable that twice in the literature </w:t>
      </w:r>
      <w:r>
        <w:rPr>
          <w:rFonts w:ascii="Calibri" w:hAnsi="Calibri" w:cs="Calibri"/>
          <w:color w:val="000000"/>
          <w:shd w:val="clear" w:color="auto" w:fill="FFFFFF"/>
        </w:rPr>
        <w:t xml:space="preserve">it has been suggested that this family may harbour a </w:t>
      </w:r>
      <w:r w:rsidRPr="00DD4A55">
        <w:rPr>
          <w:rFonts w:ascii="Calibri" w:hAnsi="Calibri" w:cs="Calibri"/>
          <w:color w:val="000000"/>
          <w:shd w:val="clear" w:color="auto" w:fill="FFFFFF"/>
        </w:rPr>
        <w:t>regulatory SV in</w:t>
      </w:r>
      <w:r>
        <w:rPr>
          <w:rFonts w:ascii="Calibri" w:hAnsi="Calibri" w:cs="Calibri"/>
          <w:color w:val="000000"/>
          <w:shd w:val="clear" w:color="auto" w:fill="FFFFFF"/>
        </w:rPr>
        <w:t>volving</w:t>
      </w:r>
      <w:r w:rsidRPr="00DD4A55">
        <w:rPr>
          <w:rFonts w:ascii="Calibri" w:hAnsi="Calibri" w:cs="Calibri"/>
          <w:color w:val="000000"/>
          <w:shd w:val="clear" w:color="auto" w:fill="FFFFFF"/>
        </w:rPr>
        <w:t xml:space="preserve"> the </w:t>
      </w:r>
      <w:r w:rsidRPr="00DD4A55">
        <w:rPr>
          <w:rFonts w:ascii="Calibri" w:hAnsi="Calibri" w:cs="Calibri"/>
          <w:i/>
          <w:color w:val="000000"/>
          <w:shd w:val="clear" w:color="auto" w:fill="FFFFFF"/>
        </w:rPr>
        <w:t>HOXD</w:t>
      </w:r>
      <w:r w:rsidRPr="00DD4A55">
        <w:rPr>
          <w:rFonts w:ascii="Calibri" w:hAnsi="Calibri" w:cs="Calibri"/>
          <w:color w:val="000000"/>
          <w:shd w:val="clear" w:color="auto" w:fill="FFFFFF"/>
        </w:rPr>
        <w:t xml:space="preserve"> cluster</w:t>
      </w:r>
      <w:r>
        <w:rPr>
          <w:rFonts w:ascii="Calibri" w:hAnsi="Calibri" w:cs="Calibri"/>
          <w:color w:val="000000"/>
          <w:shd w:val="clear" w:color="auto" w:fill="FFFFFF"/>
        </w:rPr>
        <w:t>,</w:t>
      </w:r>
      <w:r w:rsidRPr="003F6879">
        <w:rPr>
          <w:rFonts w:ascii="Calibri" w:hAnsi="Calibri" w:cs="Calibri"/>
          <w:noProof/>
          <w:color w:val="000000"/>
          <w:shd w:val="clear" w:color="auto" w:fill="FFFFFF"/>
          <w:vertAlign w:val="superscript"/>
        </w:rPr>
        <w:t>46; 48</w:t>
      </w:r>
      <w:r>
        <w:rPr>
          <w:rFonts w:ascii="Calibri" w:hAnsi="Calibri" w:cs="Calibri"/>
          <w:color w:val="000000"/>
          <w:shd w:val="clear" w:color="auto" w:fill="FFFFFF"/>
        </w:rPr>
        <w:t xml:space="preserve"> but at those times, genome sequencing technologies were not available. Even once the genome sequencing data became available in 2018 it has taken another 3 years before this inversion was uncovered </w:t>
      </w:r>
      <w:r w:rsidRPr="00DD4A55">
        <w:rPr>
          <w:rFonts w:ascii="Calibri" w:hAnsi="Calibri" w:cs="Calibri"/>
          <w:color w:val="000000"/>
          <w:shd w:val="clear" w:color="auto" w:fill="FFFFFF"/>
        </w:rPr>
        <w:t xml:space="preserve">(Figure </w:t>
      </w:r>
      <w:r>
        <w:rPr>
          <w:rFonts w:ascii="Calibri" w:hAnsi="Calibri" w:cs="Calibri"/>
          <w:color w:val="000000"/>
          <w:shd w:val="clear" w:color="auto" w:fill="FFFFFF"/>
        </w:rPr>
        <w:t>5</w:t>
      </w:r>
      <w:r w:rsidRPr="00DD4A55">
        <w:rPr>
          <w:rFonts w:ascii="Calibri" w:hAnsi="Calibri" w:cs="Calibri"/>
          <w:color w:val="000000"/>
          <w:shd w:val="clear" w:color="auto" w:fill="FFFFFF"/>
        </w:rPr>
        <w:t>B)</w:t>
      </w:r>
      <w:r>
        <w:rPr>
          <w:rFonts w:ascii="Calibri" w:hAnsi="Calibri" w:cs="Calibri"/>
          <w:color w:val="000000"/>
          <w:shd w:val="clear" w:color="auto" w:fill="FFFFFF"/>
        </w:rPr>
        <w:t>. In addition</w:t>
      </w:r>
      <w:r w:rsidRPr="006C08BF">
        <w:rPr>
          <w:rFonts w:ascii="Calibri" w:hAnsi="Calibri" w:cs="Calibri"/>
          <w:color w:val="000000"/>
          <w:shd w:val="clear" w:color="auto" w:fill="FFFFFF"/>
        </w:rPr>
        <w:t xml:space="preserve"> to the resolution of a long diagnostic odyssey, this finding could be of direct clinical utility for the son in terms of family planning.</w:t>
      </w:r>
    </w:p>
    <w:p w14:paraId="392A8176" w14:textId="0C996F24" w:rsidR="0054637A" w:rsidRPr="00893EFD" w:rsidRDefault="0054637A" w:rsidP="00DD05AD">
      <w:pPr>
        <w:jc w:val="both"/>
        <w:rPr>
          <w:rFonts w:ascii="Calibri" w:hAnsi="Calibri" w:cs="Calibri"/>
          <w:color w:val="000000"/>
          <w:shd w:val="clear" w:color="auto" w:fill="FFFFFF"/>
        </w:rPr>
      </w:pPr>
      <w:r>
        <w:rPr>
          <w:rFonts w:ascii="Calibri" w:hAnsi="Calibri" w:cs="Calibri"/>
          <w:color w:val="000000"/>
          <w:shd w:val="clear" w:color="auto" w:fill="FFFFFF"/>
        </w:rPr>
        <w:t xml:space="preserve">In contrast to Family 42, the original family with </w:t>
      </w:r>
      <w:proofErr w:type="spellStart"/>
      <w:r w:rsidRPr="00F07C8B">
        <w:rPr>
          <w:rFonts w:ascii="Calibri" w:hAnsi="Calibri" w:cs="Calibri"/>
          <w:color w:val="000000"/>
          <w:shd w:val="clear" w:color="auto" w:fill="FFFFFF"/>
        </w:rPr>
        <w:t>Mesomelic</w:t>
      </w:r>
      <w:proofErr w:type="spellEnd"/>
      <w:r w:rsidRPr="00F07C8B">
        <w:rPr>
          <w:rFonts w:ascii="Calibri" w:hAnsi="Calibri" w:cs="Calibri"/>
          <w:color w:val="000000"/>
          <w:shd w:val="clear" w:color="auto" w:fill="FFFFFF"/>
        </w:rPr>
        <w:t xml:space="preserve"> dysplasi</w:t>
      </w:r>
      <w:bookmarkStart w:id="1" w:name="_GoBack"/>
      <w:bookmarkEnd w:id="1"/>
      <w:r w:rsidRPr="00F07C8B">
        <w:rPr>
          <w:rFonts w:ascii="Calibri" w:hAnsi="Calibri" w:cs="Calibri"/>
          <w:color w:val="000000"/>
          <w:shd w:val="clear" w:color="auto" w:fill="FFFFFF"/>
        </w:rPr>
        <w:t xml:space="preserve">a, </w:t>
      </w:r>
      <w:proofErr w:type="spellStart"/>
      <w:r w:rsidRPr="00F07C8B">
        <w:rPr>
          <w:rFonts w:ascii="Calibri" w:hAnsi="Calibri" w:cs="Calibri"/>
          <w:color w:val="000000"/>
          <w:shd w:val="clear" w:color="auto" w:fill="FFFFFF"/>
        </w:rPr>
        <w:t>Kantaputra</w:t>
      </w:r>
      <w:proofErr w:type="spellEnd"/>
      <w:r w:rsidRPr="00F07C8B">
        <w:rPr>
          <w:rFonts w:ascii="Calibri" w:hAnsi="Calibri" w:cs="Calibri"/>
          <w:color w:val="000000"/>
          <w:shd w:val="clear" w:color="auto" w:fill="FFFFFF"/>
        </w:rPr>
        <w:t xml:space="preserve"> type</w:t>
      </w:r>
      <w:r>
        <w:rPr>
          <w:rFonts w:ascii="Calibri" w:hAnsi="Calibri" w:cs="Calibri"/>
          <w:color w:val="000000"/>
          <w:shd w:val="clear" w:color="auto" w:fill="FFFFFF"/>
        </w:rPr>
        <w:t>, first described in 1992,</w:t>
      </w:r>
      <w:r w:rsidRPr="003F6879">
        <w:rPr>
          <w:rFonts w:ascii="Calibri" w:hAnsi="Calibri" w:cs="Calibri"/>
          <w:noProof/>
          <w:color w:val="000000"/>
          <w:shd w:val="clear" w:color="auto" w:fill="FFFFFF"/>
          <w:vertAlign w:val="superscript"/>
        </w:rPr>
        <w:t>49</w:t>
      </w:r>
      <w:r>
        <w:rPr>
          <w:rFonts w:ascii="Calibri" w:hAnsi="Calibri" w:cs="Calibri"/>
          <w:color w:val="000000"/>
          <w:shd w:val="clear" w:color="auto" w:fill="FFFFFF"/>
        </w:rPr>
        <w:t xml:space="preserve"> was a much larger kindred and linkage to 2q24-32 was demonstrated in 1998.</w:t>
      </w:r>
      <w:r w:rsidRPr="003F6879">
        <w:rPr>
          <w:rFonts w:ascii="Calibri" w:hAnsi="Calibri" w:cs="Calibri"/>
          <w:noProof/>
          <w:color w:val="000000"/>
          <w:shd w:val="clear" w:color="auto" w:fill="FFFFFF"/>
          <w:vertAlign w:val="superscript"/>
        </w:rPr>
        <w:t>50</w:t>
      </w:r>
      <w:r>
        <w:rPr>
          <w:rFonts w:ascii="Calibri" w:hAnsi="Calibri" w:cs="Calibri"/>
          <w:color w:val="000000"/>
          <w:shd w:val="clear" w:color="auto" w:fill="FFFFFF"/>
        </w:rPr>
        <w:t xml:space="preserve"> In 2010, two rare </w:t>
      </w:r>
      <w:r>
        <w:t xml:space="preserve">duplications </w:t>
      </w:r>
      <w:r>
        <w:rPr>
          <w:rFonts w:ascii="Calibri" w:hAnsi="Calibri" w:cs="Calibri"/>
          <w:color w:val="000000"/>
          <w:shd w:val="clear" w:color="auto" w:fill="FFFFFF"/>
        </w:rPr>
        <w:t xml:space="preserve">involving </w:t>
      </w:r>
      <w:r w:rsidRPr="00F0294E">
        <w:rPr>
          <w:rFonts w:ascii="Calibri" w:hAnsi="Calibri" w:cs="Calibri"/>
          <w:color w:val="000000"/>
          <w:shd w:val="clear" w:color="auto" w:fill="FFFFFF"/>
        </w:rPr>
        <w:t xml:space="preserve">2q31.1-q31.2 </w:t>
      </w:r>
      <w:r>
        <w:rPr>
          <w:rFonts w:ascii="Calibri" w:hAnsi="Calibri" w:cs="Calibri"/>
          <w:color w:val="000000"/>
          <w:shd w:val="clear" w:color="auto" w:fill="FFFFFF"/>
        </w:rPr>
        <w:t xml:space="preserve">and </w:t>
      </w:r>
      <w:r w:rsidRPr="00F0294E">
        <w:rPr>
          <w:rFonts w:ascii="Calibri" w:hAnsi="Calibri" w:cs="Calibri"/>
          <w:color w:val="000000"/>
          <w:shd w:val="clear" w:color="auto" w:fill="FFFFFF"/>
        </w:rPr>
        <w:t xml:space="preserve">encompassing approximately 481kb and 507kb </w:t>
      </w:r>
      <w:r>
        <w:rPr>
          <w:rFonts w:ascii="Calibri" w:hAnsi="Calibri" w:cs="Calibri"/>
          <w:color w:val="000000"/>
          <w:shd w:val="clear" w:color="auto" w:fill="FFFFFF"/>
        </w:rPr>
        <w:t xml:space="preserve">were identified. Without genome sequencing data or another method for breakpoint characterisation, it is impossible to assess whether these two duplications are independent direct-tandem repeats or whether the two segments are </w:t>
      </w:r>
      <w:r w:rsidRPr="00F0294E">
        <w:rPr>
          <w:rFonts w:ascii="Calibri" w:hAnsi="Calibri" w:cs="Calibri"/>
          <w:color w:val="000000"/>
          <w:shd w:val="clear" w:color="auto" w:fill="FFFFFF"/>
        </w:rPr>
        <w:t>interlinked</w:t>
      </w:r>
      <w:r>
        <w:rPr>
          <w:rFonts w:ascii="Calibri" w:hAnsi="Calibri" w:cs="Calibri"/>
          <w:color w:val="000000"/>
          <w:shd w:val="clear" w:color="auto" w:fill="FFFFFF"/>
        </w:rPr>
        <w:t>.</w:t>
      </w:r>
      <w:r w:rsidRPr="00893EFD">
        <w:rPr>
          <w:rFonts w:ascii="Calibri" w:hAnsi="Calibri" w:cs="Calibri"/>
          <w:color w:val="000000"/>
          <w:shd w:val="clear" w:color="auto" w:fill="FFFFFF"/>
        </w:rPr>
        <w:t xml:space="preserve"> </w:t>
      </w:r>
      <w:r>
        <w:rPr>
          <w:rFonts w:ascii="Calibri" w:hAnsi="Calibri" w:cs="Calibri"/>
          <w:color w:val="000000"/>
          <w:shd w:val="clear" w:color="auto" w:fill="FFFFFF"/>
        </w:rPr>
        <w:t xml:space="preserve">Nevertheless, we note that the 22.9kb inversion described here overlaps the smaller of the two duplications in the </w:t>
      </w:r>
      <w:r w:rsidR="00F332EE">
        <w:rPr>
          <w:rFonts w:ascii="Calibri" w:hAnsi="Calibri" w:cs="Calibri"/>
          <w:color w:val="000000"/>
          <w:shd w:val="clear" w:color="auto" w:fill="FFFFFF"/>
        </w:rPr>
        <w:t xml:space="preserve">earlier </w:t>
      </w:r>
      <w:r>
        <w:rPr>
          <w:rFonts w:ascii="Calibri" w:hAnsi="Calibri" w:cs="Calibri"/>
          <w:color w:val="000000"/>
          <w:shd w:val="clear" w:color="auto" w:fill="FFFFFF"/>
        </w:rPr>
        <w:t>family.</w:t>
      </w:r>
    </w:p>
    <w:p w14:paraId="2EB564CF" w14:textId="585DFDD7" w:rsidR="0054637A" w:rsidRPr="00722EBE" w:rsidRDefault="0054637A" w:rsidP="00DD05AD">
      <w:pPr>
        <w:jc w:val="both"/>
        <w:rPr>
          <w:rFonts w:ascii="Calibri" w:hAnsi="Calibri" w:cs="Calibri"/>
          <w:color w:val="000000"/>
          <w:shd w:val="clear" w:color="auto" w:fill="FFFFFF"/>
        </w:rPr>
      </w:pPr>
      <w:r w:rsidRPr="00722EBE">
        <w:rPr>
          <w:rFonts w:ascii="Calibri" w:hAnsi="Calibri" w:cs="Calibri"/>
          <w:color w:val="000000"/>
          <w:shd w:val="clear" w:color="auto" w:fill="FFFFFF"/>
        </w:rPr>
        <w:t xml:space="preserve">Although the proximal breakpoint of the 22.9kb inversion disrupts the 5’-UTR region of non-canonical </w:t>
      </w:r>
      <w:r w:rsidRPr="00722EBE">
        <w:rPr>
          <w:rFonts w:ascii="Calibri" w:hAnsi="Calibri" w:cs="Calibri"/>
          <w:i/>
          <w:color w:val="000000"/>
          <w:shd w:val="clear" w:color="auto" w:fill="FFFFFF"/>
        </w:rPr>
        <w:t>HOXD13</w:t>
      </w:r>
      <w:r w:rsidRPr="00722EBE">
        <w:rPr>
          <w:rFonts w:ascii="Calibri" w:hAnsi="Calibri" w:cs="Calibri"/>
          <w:color w:val="000000"/>
          <w:shd w:val="clear" w:color="auto" w:fill="FFFFFF"/>
        </w:rPr>
        <w:t xml:space="preserve"> transcript</w:t>
      </w:r>
      <w:r>
        <w:rPr>
          <w:rFonts w:ascii="Calibri" w:hAnsi="Calibri" w:cs="Calibri"/>
          <w:color w:val="000000"/>
          <w:shd w:val="clear" w:color="auto" w:fill="FFFFFF"/>
        </w:rPr>
        <w:t>s</w:t>
      </w:r>
      <w:r w:rsidRPr="00722EBE">
        <w:rPr>
          <w:rFonts w:ascii="Calibri" w:hAnsi="Calibri" w:cs="Calibri"/>
          <w:color w:val="000000"/>
          <w:shd w:val="clear" w:color="auto" w:fill="FFFFFF"/>
        </w:rPr>
        <w:t xml:space="preserve"> (XM_011511068.2 and XM_011511069.2), the canonical transcript </w:t>
      </w:r>
      <w:r w:rsidRPr="00722EBE">
        <w:rPr>
          <w:rFonts w:ascii="Calibri" w:hAnsi="Calibri" w:cs="Calibri"/>
          <w:color w:val="000000"/>
          <w:shd w:val="clear" w:color="auto" w:fill="FFFFFF"/>
        </w:rPr>
        <w:lastRenderedPageBreak/>
        <w:t xml:space="preserve">(NM_000523.4) remains intact, as does </w:t>
      </w:r>
      <w:r w:rsidRPr="00722EBE">
        <w:rPr>
          <w:rFonts w:ascii="Calibri" w:hAnsi="Calibri" w:cs="Calibri"/>
          <w:i/>
          <w:color w:val="000000"/>
          <w:shd w:val="clear" w:color="auto" w:fill="FFFFFF"/>
        </w:rPr>
        <w:t>HOXD11</w:t>
      </w:r>
      <w:r w:rsidRPr="00722EBE">
        <w:rPr>
          <w:rFonts w:ascii="Calibri" w:hAnsi="Calibri" w:cs="Calibri"/>
          <w:color w:val="000000"/>
          <w:shd w:val="clear" w:color="auto" w:fill="FFFFFF"/>
        </w:rPr>
        <w:t xml:space="preserve"> (NM_021192.3) and </w:t>
      </w:r>
      <w:r w:rsidRPr="00722EBE">
        <w:rPr>
          <w:rFonts w:ascii="Calibri" w:hAnsi="Calibri" w:cs="Calibri"/>
          <w:i/>
          <w:color w:val="000000"/>
          <w:shd w:val="clear" w:color="auto" w:fill="FFFFFF"/>
        </w:rPr>
        <w:t>HOXD12</w:t>
      </w:r>
      <w:r w:rsidRPr="00722EBE">
        <w:rPr>
          <w:rFonts w:ascii="Calibri" w:hAnsi="Calibri" w:cs="Calibri"/>
          <w:color w:val="000000"/>
          <w:shd w:val="clear" w:color="auto" w:fill="FFFFFF"/>
        </w:rPr>
        <w:t xml:space="preserve"> (</w:t>
      </w:r>
      <w:r w:rsidR="00E0315E">
        <w:rPr>
          <w:rFonts w:ascii="Calibri" w:hAnsi="Calibri" w:cs="Calibri"/>
          <w:color w:val="000000"/>
          <w:shd w:val="clear" w:color="auto" w:fill="FFFFFF"/>
        </w:rPr>
        <w:t>MIM</w:t>
      </w:r>
      <w:r w:rsidR="00E0315E" w:rsidRPr="00E0315E">
        <w:rPr>
          <w:rFonts w:ascii="Calibri" w:hAnsi="Calibri" w:cs="Calibri"/>
          <w:color w:val="000000"/>
          <w:shd w:val="clear" w:color="auto" w:fill="FFFFFF"/>
        </w:rPr>
        <w:t xml:space="preserve"> *142988, </w:t>
      </w:r>
      <w:r w:rsidRPr="00722EBE">
        <w:rPr>
          <w:rFonts w:ascii="Calibri" w:hAnsi="Calibri" w:cs="Calibri"/>
          <w:color w:val="000000"/>
          <w:shd w:val="clear" w:color="auto" w:fill="FFFFFF"/>
        </w:rPr>
        <w:t xml:space="preserve">NM_021193.4). We therefore hypothesise that the biological mechanism leading to the </w:t>
      </w:r>
      <w:proofErr w:type="spellStart"/>
      <w:r w:rsidRPr="00722EBE">
        <w:rPr>
          <w:rFonts w:ascii="Calibri" w:hAnsi="Calibri" w:cs="Calibri"/>
          <w:color w:val="000000"/>
          <w:shd w:val="clear" w:color="auto" w:fill="FFFFFF"/>
        </w:rPr>
        <w:t>mesomelia</w:t>
      </w:r>
      <w:proofErr w:type="spellEnd"/>
      <w:r w:rsidRPr="00722EBE">
        <w:rPr>
          <w:rFonts w:ascii="Calibri" w:hAnsi="Calibri" w:cs="Calibri"/>
          <w:color w:val="000000"/>
          <w:shd w:val="clear" w:color="auto" w:fill="FFFFFF"/>
        </w:rPr>
        <w:t xml:space="preserve"> dysplasia is due to a positional effect. The new chromosome structure would mean </w:t>
      </w:r>
      <w:r w:rsidRPr="00722EBE">
        <w:rPr>
          <w:rFonts w:ascii="Calibri" w:hAnsi="Calibri" w:cs="Calibri"/>
          <w:i/>
          <w:color w:val="000000"/>
          <w:shd w:val="clear" w:color="auto" w:fill="FFFFFF"/>
        </w:rPr>
        <w:t>HOXD13</w:t>
      </w:r>
      <w:r w:rsidRPr="00722EBE">
        <w:rPr>
          <w:rFonts w:ascii="Calibri" w:hAnsi="Calibri" w:cs="Calibri"/>
          <w:color w:val="000000"/>
          <w:shd w:val="clear" w:color="auto" w:fill="FFFFFF"/>
        </w:rPr>
        <w:t xml:space="preserve"> </w:t>
      </w:r>
      <w:r w:rsidR="00A70825">
        <w:rPr>
          <w:rFonts w:ascii="Calibri" w:hAnsi="Calibri" w:cs="Calibri"/>
          <w:color w:val="000000"/>
          <w:shd w:val="clear" w:color="auto" w:fill="FFFFFF"/>
        </w:rPr>
        <w:t xml:space="preserve">(MIM </w:t>
      </w:r>
      <w:r w:rsidR="00A70825" w:rsidRPr="00A70825">
        <w:rPr>
          <w:rFonts w:ascii="Calibri" w:hAnsi="Calibri" w:cs="Calibri"/>
          <w:color w:val="000000"/>
          <w:shd w:val="clear" w:color="auto" w:fill="FFFFFF"/>
        </w:rPr>
        <w:t>*142989</w:t>
      </w:r>
      <w:r w:rsidR="00A70825">
        <w:rPr>
          <w:rFonts w:ascii="Calibri" w:hAnsi="Calibri" w:cs="Calibri"/>
          <w:color w:val="000000"/>
          <w:shd w:val="clear" w:color="auto" w:fill="FFFFFF"/>
        </w:rPr>
        <w:t xml:space="preserve">) </w:t>
      </w:r>
      <w:r w:rsidRPr="00722EBE">
        <w:rPr>
          <w:rFonts w:ascii="Calibri" w:hAnsi="Calibri" w:cs="Calibri"/>
          <w:color w:val="000000"/>
          <w:shd w:val="clear" w:color="auto" w:fill="FFFFFF"/>
        </w:rPr>
        <w:t xml:space="preserve">is under the control of more proximal promoters, i.e. those that normally control </w:t>
      </w:r>
      <w:r w:rsidRPr="00722EBE">
        <w:rPr>
          <w:rFonts w:ascii="Calibri" w:hAnsi="Calibri" w:cs="Calibri"/>
          <w:i/>
          <w:color w:val="000000"/>
          <w:shd w:val="clear" w:color="auto" w:fill="FFFFFF"/>
        </w:rPr>
        <w:t>HOXD11</w:t>
      </w:r>
      <w:r w:rsidRPr="00722EBE">
        <w:rPr>
          <w:rFonts w:ascii="Calibri" w:hAnsi="Calibri" w:cs="Calibri"/>
          <w:color w:val="000000"/>
          <w:shd w:val="clear" w:color="auto" w:fill="FFFFFF"/>
        </w:rPr>
        <w:t xml:space="preserve"> and </w:t>
      </w:r>
      <w:r w:rsidRPr="00722EBE">
        <w:rPr>
          <w:rFonts w:ascii="Calibri" w:hAnsi="Calibri" w:cs="Calibri"/>
          <w:i/>
          <w:color w:val="000000"/>
          <w:shd w:val="clear" w:color="auto" w:fill="FFFFFF"/>
        </w:rPr>
        <w:t>HOXD10</w:t>
      </w:r>
      <w:r w:rsidR="00A70825">
        <w:rPr>
          <w:rFonts w:ascii="Calibri" w:hAnsi="Calibri" w:cs="Calibri"/>
          <w:i/>
          <w:color w:val="000000"/>
          <w:shd w:val="clear" w:color="auto" w:fill="FFFFFF"/>
        </w:rPr>
        <w:t xml:space="preserve"> </w:t>
      </w:r>
      <w:r w:rsidR="00A70825" w:rsidRPr="00A70825">
        <w:rPr>
          <w:rFonts w:ascii="Calibri" w:hAnsi="Calibri" w:cs="Calibri"/>
          <w:iCs/>
          <w:color w:val="000000"/>
          <w:shd w:val="clear" w:color="auto" w:fill="FFFFFF"/>
        </w:rPr>
        <w:t>(</w:t>
      </w:r>
      <w:r w:rsidR="00A70825">
        <w:rPr>
          <w:rFonts w:ascii="Calibri" w:hAnsi="Calibri" w:cs="Calibri"/>
          <w:iCs/>
          <w:color w:val="000000"/>
          <w:shd w:val="clear" w:color="auto" w:fill="FFFFFF"/>
        </w:rPr>
        <w:t xml:space="preserve">MIM </w:t>
      </w:r>
      <w:r w:rsidR="00A70825" w:rsidRPr="00A70825">
        <w:rPr>
          <w:rFonts w:ascii="Calibri" w:hAnsi="Calibri" w:cs="Calibri"/>
          <w:iCs/>
          <w:color w:val="000000"/>
          <w:shd w:val="clear" w:color="auto" w:fill="FFFFFF"/>
        </w:rPr>
        <w:t>*142984)</w:t>
      </w:r>
      <w:r w:rsidRPr="00722EBE">
        <w:rPr>
          <w:rFonts w:ascii="Calibri" w:hAnsi="Calibri" w:cs="Calibri"/>
          <w:color w:val="000000"/>
          <w:shd w:val="clear" w:color="auto" w:fill="FFFFFF"/>
        </w:rPr>
        <w:t xml:space="preserve">. This could result in the aberrant expression of </w:t>
      </w:r>
      <w:r w:rsidRPr="00722EBE">
        <w:rPr>
          <w:rFonts w:ascii="Calibri" w:hAnsi="Calibri" w:cs="Calibri"/>
          <w:i/>
          <w:color w:val="000000"/>
          <w:shd w:val="clear" w:color="auto" w:fill="FFFFFF"/>
        </w:rPr>
        <w:t>HOXD13</w:t>
      </w:r>
      <w:r w:rsidRPr="00722EBE">
        <w:rPr>
          <w:rFonts w:ascii="Calibri" w:hAnsi="Calibri" w:cs="Calibri"/>
          <w:color w:val="000000"/>
          <w:shd w:val="clear" w:color="auto" w:fill="FFFFFF"/>
        </w:rPr>
        <w:t>. It has been shown in the chick</w:t>
      </w:r>
      <w:r w:rsidRPr="003F6879">
        <w:rPr>
          <w:rFonts w:ascii="Calibri" w:hAnsi="Calibri" w:cs="Calibri"/>
          <w:noProof/>
          <w:color w:val="000000"/>
          <w:shd w:val="clear" w:color="auto" w:fill="FFFFFF"/>
          <w:vertAlign w:val="superscript"/>
        </w:rPr>
        <w:t>51</w:t>
      </w:r>
      <w:r>
        <w:rPr>
          <w:rFonts w:ascii="Calibri" w:hAnsi="Calibri" w:cs="Calibri"/>
          <w:color w:val="000000"/>
          <w:shd w:val="clear" w:color="auto" w:fill="FFFFFF"/>
        </w:rPr>
        <w:t xml:space="preserve"> </w:t>
      </w:r>
      <w:r w:rsidRPr="00722EBE">
        <w:rPr>
          <w:rFonts w:ascii="Calibri" w:hAnsi="Calibri" w:cs="Calibri"/>
          <w:color w:val="000000"/>
          <w:shd w:val="clear" w:color="auto" w:fill="FFFFFF"/>
        </w:rPr>
        <w:t xml:space="preserve">and other models that </w:t>
      </w:r>
      <w:r w:rsidR="003B7268" w:rsidRPr="00722EBE">
        <w:rPr>
          <w:rFonts w:ascii="Calibri" w:hAnsi="Calibri" w:cs="Calibri"/>
          <w:color w:val="000000"/>
          <w:shd w:val="clear" w:color="auto" w:fill="FFFFFF"/>
        </w:rPr>
        <w:t>mis</w:t>
      </w:r>
      <w:r w:rsidR="003B7268">
        <w:rPr>
          <w:rFonts w:ascii="Calibri" w:hAnsi="Calibri" w:cs="Calibri"/>
          <w:color w:val="000000"/>
          <w:shd w:val="clear" w:color="auto" w:fill="FFFFFF"/>
        </w:rPr>
        <w:t>-</w:t>
      </w:r>
      <w:r w:rsidRPr="00722EBE">
        <w:rPr>
          <w:rFonts w:ascii="Calibri" w:hAnsi="Calibri" w:cs="Calibri"/>
          <w:color w:val="000000"/>
          <w:shd w:val="clear" w:color="auto" w:fill="FFFFFF"/>
        </w:rPr>
        <w:t xml:space="preserve">expression of </w:t>
      </w:r>
      <w:r w:rsidRPr="00722EBE">
        <w:rPr>
          <w:rFonts w:ascii="Calibri" w:hAnsi="Calibri" w:cs="Calibri"/>
          <w:i/>
          <w:color w:val="000000"/>
          <w:shd w:val="clear" w:color="auto" w:fill="FFFFFF"/>
        </w:rPr>
        <w:t>HOXD13</w:t>
      </w:r>
      <w:r w:rsidRPr="00722EBE">
        <w:rPr>
          <w:rFonts w:ascii="Calibri" w:hAnsi="Calibri" w:cs="Calibri"/>
          <w:color w:val="000000"/>
          <w:shd w:val="clear" w:color="auto" w:fill="FFFFFF"/>
        </w:rPr>
        <w:t xml:space="preserve"> </w:t>
      </w:r>
      <w:r>
        <w:rPr>
          <w:rFonts w:ascii="Calibri" w:hAnsi="Calibri" w:cs="Calibri"/>
          <w:color w:val="000000"/>
          <w:shd w:val="clear" w:color="auto" w:fill="FFFFFF"/>
        </w:rPr>
        <w:t xml:space="preserve">orthologs </w:t>
      </w:r>
      <w:r w:rsidRPr="00722EBE">
        <w:rPr>
          <w:rFonts w:ascii="Calibri" w:hAnsi="Calibri" w:cs="Calibri"/>
          <w:color w:val="000000"/>
          <w:shd w:val="clear" w:color="auto" w:fill="FFFFFF"/>
        </w:rPr>
        <w:t xml:space="preserve">can result in shortening of the </w:t>
      </w:r>
      <w:r>
        <w:rPr>
          <w:rFonts w:ascii="Calibri" w:hAnsi="Calibri" w:cs="Calibri"/>
          <w:color w:val="000000"/>
          <w:shd w:val="clear" w:color="auto" w:fill="FFFFFF"/>
        </w:rPr>
        <w:t>long bones.</w:t>
      </w:r>
    </w:p>
    <w:p w14:paraId="7FE923F9" w14:textId="77777777" w:rsidR="0054637A" w:rsidRPr="0009551A" w:rsidRDefault="0054637A" w:rsidP="00DD05AD">
      <w:pPr>
        <w:jc w:val="both"/>
        <w:rPr>
          <w:b/>
          <w:i/>
        </w:rPr>
      </w:pPr>
      <w:r w:rsidRPr="0009551A">
        <w:rPr>
          <w:b/>
          <w:i/>
        </w:rPr>
        <w:t xml:space="preserve">Exemplar 4: </w:t>
      </w:r>
      <w:r>
        <w:rPr>
          <w:b/>
          <w:i/>
        </w:rPr>
        <w:t>A c</w:t>
      </w:r>
      <w:r w:rsidRPr="0009551A">
        <w:rPr>
          <w:b/>
          <w:i/>
        </w:rPr>
        <w:t xml:space="preserve">omplex translocation </w:t>
      </w:r>
      <w:r>
        <w:rPr>
          <w:b/>
          <w:i/>
        </w:rPr>
        <w:t xml:space="preserve">disrupting </w:t>
      </w:r>
      <w:r w:rsidRPr="0009551A">
        <w:rPr>
          <w:b/>
          <w:i/>
        </w:rPr>
        <w:t xml:space="preserve">APC </w:t>
      </w:r>
      <w:r>
        <w:rPr>
          <w:b/>
          <w:i/>
        </w:rPr>
        <w:t xml:space="preserve">helps </w:t>
      </w:r>
      <w:r w:rsidRPr="0009551A">
        <w:rPr>
          <w:b/>
          <w:i/>
        </w:rPr>
        <w:t>resolv</w:t>
      </w:r>
      <w:r>
        <w:rPr>
          <w:b/>
          <w:i/>
        </w:rPr>
        <w:t>e</w:t>
      </w:r>
      <w:r w:rsidRPr="0009551A">
        <w:rPr>
          <w:b/>
          <w:i/>
        </w:rPr>
        <w:t xml:space="preserve"> </w:t>
      </w:r>
      <w:r>
        <w:rPr>
          <w:b/>
          <w:i/>
        </w:rPr>
        <w:t xml:space="preserve">a </w:t>
      </w:r>
      <w:r w:rsidRPr="0009551A">
        <w:rPr>
          <w:b/>
          <w:i/>
        </w:rPr>
        <w:t>clinical conundrum</w:t>
      </w:r>
    </w:p>
    <w:p w14:paraId="2E16124D" w14:textId="28E00B48" w:rsidR="0054637A" w:rsidRPr="00D305E4" w:rsidRDefault="0054637A" w:rsidP="00DD05AD">
      <w:pPr>
        <w:jc w:val="both"/>
      </w:pPr>
      <w:r w:rsidRPr="00D305E4">
        <w:t xml:space="preserve">The </w:t>
      </w:r>
      <w:r>
        <w:t>proband</w:t>
      </w:r>
      <w:r w:rsidRPr="00D305E4">
        <w:t xml:space="preserve"> </w:t>
      </w:r>
      <w:r>
        <w:t xml:space="preserve">in Family 43 (I-1; Figure 6A) first presented with tiredness and shortness of breath aged </w:t>
      </w:r>
      <w:r w:rsidRPr="00D305E4">
        <w:t xml:space="preserve">25 </w:t>
      </w:r>
      <w:r>
        <w:t xml:space="preserve">and over the next 5 years </w:t>
      </w:r>
      <w:r w:rsidRPr="00D305E4">
        <w:t>lost considerable weight. He had stomach cramps and was diagnosed later with hundreds of polyps and colorectal cancer</w:t>
      </w:r>
      <w:r>
        <w:t>,</w:t>
      </w:r>
      <w:r w:rsidRPr="00D305E4">
        <w:t xml:space="preserve"> requiring colectomy. Th</w:t>
      </w:r>
      <w:r>
        <w:t xml:space="preserve">is </w:t>
      </w:r>
      <w:r w:rsidRPr="00D305E4">
        <w:t xml:space="preserve">presentation </w:t>
      </w:r>
      <w:r>
        <w:t xml:space="preserve">was thought to </w:t>
      </w:r>
      <w:r w:rsidRPr="00D305E4">
        <w:t xml:space="preserve">be in alignment with familial </w:t>
      </w:r>
      <w:r>
        <w:t xml:space="preserve">adenomatous </w:t>
      </w:r>
      <w:r w:rsidRPr="00D305E4">
        <w:t>polyposis syndrome</w:t>
      </w:r>
      <w:r>
        <w:t xml:space="preserve"> (FAP, [MIM #175100])</w:t>
      </w:r>
      <w:r w:rsidRPr="00D305E4">
        <w:t xml:space="preserve">. </w:t>
      </w:r>
      <w:r>
        <w:t xml:space="preserve">This was </w:t>
      </w:r>
      <w:r w:rsidRPr="00D305E4">
        <w:t xml:space="preserve">investigated </w:t>
      </w:r>
      <w:r>
        <w:t xml:space="preserve">using MLPA and an 18 gene bowel panel test, </w:t>
      </w:r>
      <w:r w:rsidRPr="00D305E4">
        <w:t xml:space="preserve">but no </w:t>
      </w:r>
      <w:r>
        <w:t>likely-pathogenic variants were</w:t>
      </w:r>
      <w:r w:rsidRPr="00D305E4">
        <w:t xml:space="preserve"> found. </w:t>
      </w:r>
      <w:r>
        <w:t xml:space="preserve">Although the proband’s </w:t>
      </w:r>
      <w:r w:rsidRPr="00D305E4">
        <w:t xml:space="preserve">oldest son </w:t>
      </w:r>
      <w:r>
        <w:t>(II-1) wa</w:t>
      </w:r>
      <w:r w:rsidRPr="00D305E4">
        <w:t>s asymptomatic</w:t>
      </w:r>
      <w:r>
        <w:t>, at a</w:t>
      </w:r>
      <w:r w:rsidRPr="00D305E4">
        <w:t>ge 15</w:t>
      </w:r>
      <w:r>
        <w:t xml:space="preserve"> </w:t>
      </w:r>
      <w:r w:rsidRPr="00D305E4">
        <w:t>year</w:t>
      </w:r>
      <w:r>
        <w:t>s</w:t>
      </w:r>
      <w:r w:rsidRPr="00D305E4">
        <w:t xml:space="preserve"> an endoscopy was performed to exclude any polyposis similarly </w:t>
      </w:r>
      <w:r>
        <w:t>to his father</w:t>
      </w:r>
      <w:r w:rsidRPr="00D305E4">
        <w:t xml:space="preserve">. At the hepatic </w:t>
      </w:r>
      <w:proofErr w:type="spellStart"/>
      <w:r w:rsidRPr="00D305E4">
        <w:t>flexture</w:t>
      </w:r>
      <w:proofErr w:type="spellEnd"/>
      <w:r>
        <w:t>,</w:t>
      </w:r>
      <w:r w:rsidRPr="00D305E4">
        <w:t xml:space="preserve"> a single sessile serrated polyp</w:t>
      </w:r>
      <w:r>
        <w:t xml:space="preserve"> was detected</w:t>
      </w:r>
      <w:r w:rsidRPr="00D305E4">
        <w:t>. No other polyps were identified</w:t>
      </w:r>
      <w:r>
        <w:t xml:space="preserve"> and so the significance of this single polyp was unclear. </w:t>
      </w:r>
      <w:r w:rsidRPr="00D305E4">
        <w:t xml:space="preserve">The second oldest son </w:t>
      </w:r>
      <w:r>
        <w:t xml:space="preserve">(II-2) </w:t>
      </w:r>
      <w:r w:rsidRPr="00D305E4">
        <w:t xml:space="preserve">was diagnosed with Type 1 diabetes </w:t>
      </w:r>
      <w:r w:rsidR="00B958B8">
        <w:t xml:space="preserve">mellitus (MIM </w:t>
      </w:r>
      <w:r w:rsidR="00B958B8" w:rsidRPr="00B958B8">
        <w:t>%222100</w:t>
      </w:r>
      <w:r w:rsidR="00B958B8">
        <w:t xml:space="preserve">) </w:t>
      </w:r>
      <w:r>
        <w:t xml:space="preserve">aged </w:t>
      </w:r>
      <w:r w:rsidRPr="00D305E4">
        <w:t xml:space="preserve">3 years and </w:t>
      </w:r>
      <w:r>
        <w:t>a</w:t>
      </w:r>
      <w:r w:rsidRPr="00D305E4">
        <w:t xml:space="preserve">utism spectrum </w:t>
      </w:r>
      <w:r>
        <w:t xml:space="preserve">disorder </w:t>
      </w:r>
      <w:r w:rsidRPr="00D305E4">
        <w:t>age</w:t>
      </w:r>
      <w:r>
        <w:t>d</w:t>
      </w:r>
      <w:r w:rsidRPr="00D305E4">
        <w:t xml:space="preserve"> 11. </w:t>
      </w:r>
      <w:r>
        <w:t xml:space="preserve">At </w:t>
      </w:r>
      <w:r w:rsidRPr="00D305E4">
        <w:t xml:space="preserve">13, he experienced </w:t>
      </w:r>
      <w:r>
        <w:t xml:space="preserve">intermittent bouts of </w:t>
      </w:r>
      <w:r w:rsidRPr="00D305E4">
        <w:t xml:space="preserve">diarrhoea </w:t>
      </w:r>
      <w:r>
        <w:t>(</w:t>
      </w:r>
      <w:r w:rsidRPr="00D305E4">
        <w:t>no blood and no mucus</w:t>
      </w:r>
      <w:r>
        <w:t>)</w:t>
      </w:r>
      <w:r w:rsidRPr="00D305E4">
        <w:t xml:space="preserve"> and sometimes </w:t>
      </w:r>
      <w:r>
        <w:t xml:space="preserve">reported stomach </w:t>
      </w:r>
      <w:r w:rsidRPr="00D305E4">
        <w:t>pain. Gastroscopy and colonoscopy were performed to investigate a polyposis syndrome as well as celiac disease for the diarrhoea. The colonoscopy show</w:t>
      </w:r>
      <w:r>
        <w:t>ed</w:t>
      </w:r>
      <w:r w:rsidRPr="00D305E4">
        <w:t xml:space="preserve"> multiple small polyps. The microscopic pictures show some lymphoid tissue from the Peyer’s Patch in the terminal ileum as well as several large colon mucosa focal tubular adenoma and low-grade dysplasia identified in several biopsies. </w:t>
      </w:r>
      <w:r>
        <w:t xml:space="preserve">Over </w:t>
      </w:r>
      <w:r w:rsidRPr="00D305E4">
        <w:t>100 adenomas were identified</w:t>
      </w:r>
      <w:r>
        <w:t xml:space="preserve"> </w:t>
      </w:r>
      <w:r w:rsidRPr="00D305E4">
        <w:t>aged 15</w:t>
      </w:r>
      <w:r>
        <w:t xml:space="preserve"> years (including </w:t>
      </w:r>
      <w:r w:rsidRPr="00D305E4">
        <w:t>focal tubular adenoma</w:t>
      </w:r>
      <w:r>
        <w:t>)</w:t>
      </w:r>
      <w:r w:rsidRPr="00D305E4">
        <w:t>. Follow up endoscopies confirmed polyposis and tubular adenoma and low-grade dysplasia.</w:t>
      </w:r>
      <w:r>
        <w:t xml:space="preserve"> </w:t>
      </w:r>
      <w:r w:rsidRPr="006B5200">
        <w:t xml:space="preserve">A number of investigations to identify a genetic cause </w:t>
      </w:r>
      <w:r>
        <w:t>(</w:t>
      </w:r>
      <w:r w:rsidRPr="006B5200">
        <w:t xml:space="preserve">in particular </w:t>
      </w:r>
      <w:r w:rsidRPr="006B5200">
        <w:rPr>
          <w:i/>
        </w:rPr>
        <w:t>APC</w:t>
      </w:r>
      <w:r w:rsidRPr="006B5200">
        <w:t xml:space="preserve"> variants</w:t>
      </w:r>
      <w:r>
        <w:t>)</w:t>
      </w:r>
      <w:r w:rsidRPr="006B5200">
        <w:t xml:space="preserve"> </w:t>
      </w:r>
      <w:r>
        <w:t>were unrevealing</w:t>
      </w:r>
      <w:r w:rsidRPr="006B5200">
        <w:t xml:space="preserve">. </w:t>
      </w:r>
      <w:r w:rsidRPr="00D305E4">
        <w:t xml:space="preserve">The youngest son </w:t>
      </w:r>
      <w:r>
        <w:t xml:space="preserve">(II-3) also underwent a </w:t>
      </w:r>
      <w:r w:rsidRPr="00D305E4">
        <w:t>colonoscopy aged 10 and &gt;100 adenomas were identified</w:t>
      </w:r>
      <w:r>
        <w:t>,</w:t>
      </w:r>
      <w:r w:rsidRPr="00D305E4">
        <w:t xml:space="preserve"> confirming polyposis with histology tubular a</w:t>
      </w:r>
      <w:r>
        <w:t>denoma and low-grade dysplasia.</w:t>
      </w:r>
    </w:p>
    <w:p w14:paraId="1FC8DDC8" w14:textId="77777777" w:rsidR="0054637A" w:rsidRPr="00D305E4" w:rsidRDefault="0054637A" w:rsidP="00DD05AD">
      <w:pPr>
        <w:jc w:val="both"/>
      </w:pPr>
      <w:r>
        <w:t xml:space="preserve">In summary, the </w:t>
      </w:r>
      <w:r w:rsidRPr="00D305E4">
        <w:t xml:space="preserve">family </w:t>
      </w:r>
      <w:r>
        <w:t xml:space="preserve">pedigree (Figure 6A) </w:t>
      </w:r>
      <w:r w:rsidRPr="00D305E4">
        <w:t xml:space="preserve">strongly suggested a dominant </w:t>
      </w:r>
      <w:r>
        <w:t xml:space="preserve">genetic </w:t>
      </w:r>
      <w:r w:rsidRPr="00D305E4">
        <w:t xml:space="preserve">cause </w:t>
      </w:r>
      <w:r>
        <w:t>and family history was consistent with a clinical diagnosis of FAP</w:t>
      </w:r>
      <w:r w:rsidRPr="00D305E4">
        <w:t xml:space="preserve">. The endoscopic </w:t>
      </w:r>
      <w:r>
        <w:t xml:space="preserve">(Figure 6B) </w:t>
      </w:r>
      <w:r w:rsidRPr="00D305E4">
        <w:t xml:space="preserve">and histological features </w:t>
      </w:r>
      <w:r>
        <w:t xml:space="preserve">(Figure 6C) were also </w:t>
      </w:r>
      <w:r w:rsidRPr="00D305E4">
        <w:t xml:space="preserve">consistent with FAP but multiple </w:t>
      </w:r>
      <w:r>
        <w:t xml:space="preserve">genetic </w:t>
      </w:r>
      <w:r w:rsidRPr="00D305E4">
        <w:t xml:space="preserve">investigations including </w:t>
      </w:r>
      <w:r>
        <w:t>the targeted</w:t>
      </w:r>
      <w:r w:rsidRPr="00D305E4">
        <w:t xml:space="preserve"> </w:t>
      </w:r>
      <w:r>
        <w:t xml:space="preserve">testing described above, </w:t>
      </w:r>
      <w:r w:rsidRPr="00D305E4">
        <w:t xml:space="preserve">as well as </w:t>
      </w:r>
      <w:r>
        <w:t xml:space="preserve">the </w:t>
      </w:r>
      <w:r w:rsidRPr="00D305E4">
        <w:t>initia</w:t>
      </w:r>
      <w:r>
        <w:t>l analysis of</w:t>
      </w:r>
      <w:r w:rsidRPr="00D305E4">
        <w:t xml:space="preserve"> genome sequencing </w:t>
      </w:r>
      <w:r>
        <w:t>data from the 100kGP, did</w:t>
      </w:r>
      <w:r w:rsidRPr="00D305E4">
        <w:t xml:space="preserve"> not reveal a genetic cause. </w:t>
      </w:r>
      <w:r>
        <w:t xml:space="preserve">A further complication was </w:t>
      </w:r>
      <w:r w:rsidRPr="00D305E4">
        <w:t xml:space="preserve">the fact that the oldest son </w:t>
      </w:r>
      <w:r>
        <w:t xml:space="preserve">had just a </w:t>
      </w:r>
      <w:r w:rsidRPr="00D305E4">
        <w:t xml:space="preserve">single polyp and </w:t>
      </w:r>
      <w:r>
        <w:t xml:space="preserve">so </w:t>
      </w:r>
      <w:r w:rsidRPr="00D305E4">
        <w:t xml:space="preserve">it was </w:t>
      </w:r>
      <w:r>
        <w:t>un</w:t>
      </w:r>
      <w:r w:rsidRPr="00D305E4">
        <w:t xml:space="preserve">clear whether this </w:t>
      </w:r>
      <w:r>
        <w:t xml:space="preserve">was </w:t>
      </w:r>
      <w:r w:rsidRPr="00D305E4">
        <w:t>a chance finding</w:t>
      </w:r>
      <w:r>
        <w:t>,</w:t>
      </w:r>
      <w:r w:rsidRPr="00D305E4">
        <w:t xml:space="preserve"> or </w:t>
      </w:r>
      <w:r>
        <w:t xml:space="preserve">represented </w:t>
      </w:r>
      <w:r w:rsidRPr="00D305E4">
        <w:t xml:space="preserve">delayed progression of a </w:t>
      </w:r>
      <w:r>
        <w:t xml:space="preserve">genetic </w:t>
      </w:r>
      <w:r w:rsidRPr="00D305E4">
        <w:t>polyposis syndrome.</w:t>
      </w:r>
      <w:r>
        <w:t xml:space="preserve"> Given this uncertainty, this elder brother had not been recruited to the 100kGP.</w:t>
      </w:r>
    </w:p>
    <w:p w14:paraId="77F0F1E8" w14:textId="77777777" w:rsidR="0054637A" w:rsidRDefault="0054637A" w:rsidP="00DD05AD">
      <w:pPr>
        <w:jc w:val="both"/>
      </w:pPr>
      <w:r>
        <w:t>R</w:t>
      </w:r>
      <w:r w:rsidRPr="00D305E4">
        <w:t xml:space="preserve">e-analysis of genome sequencing </w:t>
      </w:r>
      <w:r>
        <w:t xml:space="preserve">data using </w:t>
      </w:r>
      <w:proofErr w:type="spellStart"/>
      <w:r>
        <w:t>SVRare</w:t>
      </w:r>
      <w:proofErr w:type="spellEnd"/>
      <w:r>
        <w:t xml:space="preserve"> </w:t>
      </w:r>
      <w:r w:rsidRPr="00D305E4">
        <w:t xml:space="preserve">revealed </w:t>
      </w:r>
      <w:r>
        <w:t xml:space="preserve">a 4.2Mb </w:t>
      </w:r>
      <w:proofErr w:type="spellStart"/>
      <w:r>
        <w:t>MantaINV</w:t>
      </w:r>
      <w:proofErr w:type="spellEnd"/>
      <w:r>
        <w:t xml:space="preserve"> call with a breakpoint in intron 4 of </w:t>
      </w:r>
      <w:r w:rsidRPr="009B457B">
        <w:rPr>
          <w:i/>
        </w:rPr>
        <w:t>APC</w:t>
      </w:r>
      <w:r w:rsidRPr="00A67D1A">
        <w:t xml:space="preserve"> </w:t>
      </w:r>
      <w:r>
        <w:t xml:space="preserve">that was predicted to disrupt gene function. However, manual assessment of read-level data detected additional split read-pairs mapping to </w:t>
      </w:r>
      <w:r w:rsidRPr="00D305E4">
        <w:t>multiple junction sites</w:t>
      </w:r>
      <w:r>
        <w:t xml:space="preserve"> (Figure 6D).</w:t>
      </w:r>
      <w:r w:rsidRPr="00D305E4">
        <w:t xml:space="preserve"> </w:t>
      </w:r>
      <w:r>
        <w:t xml:space="preserve">Overall, the pattern of 9 rearranged genomic segments was suggestive of a </w:t>
      </w:r>
      <w:r w:rsidRPr="00D305E4">
        <w:t xml:space="preserve">complex chromosomal </w:t>
      </w:r>
      <w:r>
        <w:t xml:space="preserve">translocation (Figure 6E). A translocation involving </w:t>
      </w:r>
      <w:r w:rsidRPr="00D305E4">
        <w:t>chromosome</w:t>
      </w:r>
      <w:r>
        <w:t>s</w:t>
      </w:r>
      <w:r w:rsidRPr="00D305E4">
        <w:t xml:space="preserve"> 5 and 7 was </w:t>
      </w:r>
      <w:r>
        <w:t xml:space="preserve">subsequently </w:t>
      </w:r>
      <w:r w:rsidRPr="00D305E4">
        <w:t>confirmed by FISH.</w:t>
      </w:r>
      <w:r>
        <w:t xml:space="preserve"> </w:t>
      </w:r>
      <w:r w:rsidRPr="00D305E4">
        <w:t>Long</w:t>
      </w:r>
      <w:r>
        <w:t xml:space="preserve">-read genome </w:t>
      </w:r>
      <w:r w:rsidRPr="00D305E4">
        <w:t xml:space="preserve">sequencing using PacBio </w:t>
      </w:r>
      <w:r>
        <w:t xml:space="preserve">HiFi reads helped validate all respective breakpoints (Figure 6F). </w:t>
      </w:r>
      <w:r w:rsidRPr="00D305E4">
        <w:t xml:space="preserve">Finally, PCR analysis </w:t>
      </w:r>
      <w:r>
        <w:t xml:space="preserve">using </w:t>
      </w:r>
      <w:r w:rsidRPr="00D305E4">
        <w:t>two sets of primers</w:t>
      </w:r>
      <w:r>
        <w:t>,</w:t>
      </w:r>
      <w:r w:rsidRPr="00D305E4">
        <w:t xml:space="preserve"> </w:t>
      </w:r>
      <w:r>
        <w:t xml:space="preserve">followed by nanopore sequencing, </w:t>
      </w:r>
      <w:r w:rsidRPr="00D305E4">
        <w:t xml:space="preserve">confirmed </w:t>
      </w:r>
      <w:r>
        <w:t xml:space="preserve">the two clinically-relevant breakpoint </w:t>
      </w:r>
      <w:r w:rsidRPr="00D305E4">
        <w:t>junction</w:t>
      </w:r>
      <w:r>
        <w:t>s (Figure 6G)</w:t>
      </w:r>
      <w:r w:rsidRPr="00D305E4">
        <w:t xml:space="preserve">. </w:t>
      </w:r>
    </w:p>
    <w:p w14:paraId="717D5095" w14:textId="1DC0ED84" w:rsidR="0054637A" w:rsidRPr="00D305E4" w:rsidRDefault="0054637A" w:rsidP="00DD05AD">
      <w:pPr>
        <w:jc w:val="both"/>
      </w:pPr>
      <w:proofErr w:type="spellStart"/>
      <w:r>
        <w:lastRenderedPageBreak/>
        <w:t>RNAseq</w:t>
      </w:r>
      <w:proofErr w:type="spellEnd"/>
      <w:r>
        <w:t xml:space="preserve"> data available for the proband (II-2) indicated </w:t>
      </w:r>
      <w:r w:rsidRPr="00983BA0">
        <w:rPr>
          <w:rFonts w:ascii="Calibri" w:hAnsi="Calibri" w:cs="Calibri"/>
          <w:i/>
          <w:color w:val="000000"/>
          <w:shd w:val="clear" w:color="auto" w:fill="FFFFFF"/>
        </w:rPr>
        <w:t>APC</w:t>
      </w:r>
      <w:r>
        <w:rPr>
          <w:rFonts w:ascii="Calibri" w:hAnsi="Calibri" w:cs="Calibri"/>
          <w:color w:val="000000"/>
          <w:shd w:val="clear" w:color="auto" w:fill="FFFFFF"/>
        </w:rPr>
        <w:t xml:space="preserve"> to have a 0.65 fold change in expression (adjusted p-</w:t>
      </w:r>
      <w:proofErr w:type="spellStart"/>
      <w:r>
        <w:rPr>
          <w:rFonts w:ascii="Calibri" w:hAnsi="Calibri" w:cs="Calibri"/>
          <w:color w:val="000000"/>
          <w:shd w:val="clear" w:color="auto" w:fill="FFFFFF"/>
        </w:rPr>
        <w:t>val</w:t>
      </w:r>
      <w:proofErr w:type="spellEnd"/>
      <w:r>
        <w:rPr>
          <w:rFonts w:ascii="Calibri" w:hAnsi="Calibri" w:cs="Calibri"/>
          <w:color w:val="000000"/>
          <w:shd w:val="clear" w:color="auto" w:fill="FFFFFF"/>
        </w:rPr>
        <w:t xml:space="preserve"> 1.51e-10). Other genes disrupted or lying to close to breakpoints were also downregulated (Table 1). The presence of </w:t>
      </w:r>
      <w:r w:rsidRPr="00983BA0">
        <w:rPr>
          <w:rFonts w:ascii="Calibri" w:hAnsi="Calibri" w:cs="Calibri"/>
          <w:color w:val="000000"/>
          <w:shd w:val="clear" w:color="auto" w:fill="FFFFFF"/>
        </w:rPr>
        <w:t>a common 6 SNP haplotype (rs2229992-rs351771-rs41115-rs42427-rs866006-rs465899)</w:t>
      </w:r>
      <w:r>
        <w:rPr>
          <w:rFonts w:ascii="Calibri" w:hAnsi="Calibri" w:cs="Calibri"/>
          <w:color w:val="000000"/>
          <w:shd w:val="clear" w:color="auto" w:fill="FFFFFF"/>
        </w:rPr>
        <w:t xml:space="preserve"> in the coding region of </w:t>
      </w:r>
      <w:r w:rsidRPr="00983BA0">
        <w:rPr>
          <w:rFonts w:ascii="Calibri" w:hAnsi="Calibri" w:cs="Calibri"/>
          <w:i/>
          <w:color w:val="000000"/>
          <w:shd w:val="clear" w:color="auto" w:fill="FFFFFF"/>
        </w:rPr>
        <w:t>APC</w:t>
      </w:r>
      <w:r>
        <w:rPr>
          <w:rFonts w:ascii="Calibri" w:hAnsi="Calibri" w:cs="Calibri"/>
          <w:color w:val="000000"/>
          <w:shd w:val="clear" w:color="auto" w:fill="FFFFFF"/>
        </w:rPr>
        <w:t xml:space="preserve"> allowed us to assess allelic imbalance.</w:t>
      </w:r>
      <w:r w:rsidRPr="00983BA0">
        <w:rPr>
          <w:rFonts w:ascii="Calibri" w:hAnsi="Calibri" w:cs="Calibri"/>
          <w:color w:val="000000"/>
          <w:shd w:val="clear" w:color="auto" w:fill="FFFFFF"/>
        </w:rPr>
        <w:t xml:space="preserve"> </w:t>
      </w:r>
      <w:proofErr w:type="spellStart"/>
      <w:r w:rsidRPr="00983BA0">
        <w:rPr>
          <w:rFonts w:ascii="Calibri" w:hAnsi="Calibri" w:cs="Calibri"/>
          <w:color w:val="000000"/>
          <w:shd w:val="clear" w:color="auto" w:fill="FFFFFF"/>
        </w:rPr>
        <w:t>RNAseq</w:t>
      </w:r>
      <w:proofErr w:type="spellEnd"/>
      <w:r w:rsidRPr="00983BA0">
        <w:rPr>
          <w:rFonts w:ascii="Calibri" w:hAnsi="Calibri" w:cs="Calibri"/>
          <w:color w:val="000000"/>
          <w:shd w:val="clear" w:color="auto" w:fill="FFFFFF"/>
        </w:rPr>
        <w:t xml:space="preserve"> for the </w:t>
      </w:r>
      <w:proofErr w:type="spellStart"/>
      <w:r w:rsidRPr="00983BA0">
        <w:rPr>
          <w:rFonts w:ascii="Calibri" w:hAnsi="Calibri" w:cs="Calibri"/>
          <w:color w:val="000000"/>
          <w:shd w:val="clear" w:color="auto" w:fill="FFFFFF"/>
        </w:rPr>
        <w:t>proband</w:t>
      </w:r>
      <w:proofErr w:type="spellEnd"/>
      <w:r w:rsidRPr="00983BA0">
        <w:rPr>
          <w:rFonts w:ascii="Calibri" w:hAnsi="Calibri" w:cs="Calibri"/>
          <w:color w:val="000000"/>
          <w:shd w:val="clear" w:color="auto" w:fill="FFFFFF"/>
        </w:rPr>
        <w:t xml:space="preserve"> (II-2) </w:t>
      </w:r>
      <w:r>
        <w:rPr>
          <w:rFonts w:ascii="Calibri" w:hAnsi="Calibri" w:cs="Calibri"/>
          <w:color w:val="000000"/>
          <w:shd w:val="clear" w:color="auto" w:fill="FFFFFF"/>
        </w:rPr>
        <w:t xml:space="preserve">indicated </w:t>
      </w:r>
      <w:r w:rsidRPr="00983BA0">
        <w:rPr>
          <w:rFonts w:ascii="Calibri" w:hAnsi="Calibri" w:cs="Calibri"/>
          <w:color w:val="000000"/>
          <w:shd w:val="clear" w:color="auto" w:fill="FFFFFF"/>
        </w:rPr>
        <w:t>that only the non-reference alleles were expressed (Figure S</w:t>
      </w:r>
      <w:r>
        <w:rPr>
          <w:rFonts w:ascii="Calibri" w:hAnsi="Calibri" w:cs="Calibri"/>
          <w:color w:val="000000"/>
          <w:shd w:val="clear" w:color="auto" w:fill="FFFFFF"/>
        </w:rPr>
        <w:t>16</w:t>
      </w:r>
      <w:r w:rsidRPr="00983BA0">
        <w:rPr>
          <w:rFonts w:ascii="Calibri" w:hAnsi="Calibri" w:cs="Calibri"/>
          <w:color w:val="000000"/>
          <w:shd w:val="clear" w:color="auto" w:fill="FFFFFF"/>
        </w:rPr>
        <w:t xml:space="preserve">). </w:t>
      </w:r>
      <w:r>
        <w:rPr>
          <w:rFonts w:ascii="Calibri" w:hAnsi="Calibri" w:cs="Calibri"/>
          <w:color w:val="000000"/>
          <w:shd w:val="clear" w:color="auto" w:fill="FFFFFF"/>
        </w:rPr>
        <w:t xml:space="preserve">Phasing was not possible by inheritance as the haplotype was </w:t>
      </w:r>
      <w:r w:rsidRPr="00983BA0">
        <w:rPr>
          <w:rFonts w:ascii="Calibri" w:hAnsi="Calibri" w:cs="Calibri"/>
          <w:color w:val="000000"/>
          <w:shd w:val="clear" w:color="auto" w:fill="FFFFFF"/>
        </w:rPr>
        <w:t>heterozygous in all genome sequenced family members</w:t>
      </w:r>
      <w:r>
        <w:rPr>
          <w:rFonts w:ascii="Calibri" w:hAnsi="Calibri" w:cs="Calibri"/>
          <w:color w:val="000000"/>
          <w:shd w:val="clear" w:color="auto" w:fill="FFFFFF"/>
        </w:rPr>
        <w:t xml:space="preserve">. However, </w:t>
      </w:r>
      <w:r w:rsidRPr="00983BA0">
        <w:rPr>
          <w:rFonts w:ascii="Calibri" w:hAnsi="Calibri" w:cs="Calibri"/>
          <w:color w:val="000000"/>
          <w:shd w:val="clear" w:color="auto" w:fill="FFFFFF"/>
        </w:rPr>
        <w:t xml:space="preserve">PacBio data (available for I-1) confirmed that this non-reference </w:t>
      </w:r>
      <w:r>
        <w:rPr>
          <w:rFonts w:ascii="Calibri" w:hAnsi="Calibri" w:cs="Calibri"/>
          <w:color w:val="000000"/>
          <w:shd w:val="clear" w:color="auto" w:fill="FFFFFF"/>
        </w:rPr>
        <w:t xml:space="preserve">SNP </w:t>
      </w:r>
      <w:r w:rsidRPr="00983BA0">
        <w:rPr>
          <w:rFonts w:ascii="Calibri" w:hAnsi="Calibri" w:cs="Calibri"/>
          <w:color w:val="000000"/>
          <w:shd w:val="clear" w:color="auto" w:fill="FFFFFF"/>
        </w:rPr>
        <w:t xml:space="preserve">haplotype involved the </w:t>
      </w:r>
      <w:r>
        <w:rPr>
          <w:rFonts w:ascii="Calibri" w:hAnsi="Calibri" w:cs="Calibri"/>
          <w:color w:val="000000"/>
          <w:shd w:val="clear" w:color="auto" w:fill="FFFFFF"/>
        </w:rPr>
        <w:t xml:space="preserve">non-rearranged </w:t>
      </w:r>
      <w:r w:rsidRPr="00983BA0">
        <w:rPr>
          <w:rFonts w:ascii="Calibri" w:hAnsi="Calibri" w:cs="Calibri"/>
          <w:color w:val="000000"/>
          <w:shd w:val="clear" w:color="auto" w:fill="FFFFFF"/>
        </w:rPr>
        <w:t xml:space="preserve">copy of </w:t>
      </w:r>
      <w:r w:rsidRPr="002B1905">
        <w:rPr>
          <w:rFonts w:ascii="Calibri" w:hAnsi="Calibri" w:cs="Calibri"/>
          <w:i/>
          <w:color w:val="000000"/>
          <w:shd w:val="clear" w:color="auto" w:fill="FFFFFF"/>
        </w:rPr>
        <w:t>APC</w:t>
      </w:r>
      <w:r w:rsidRPr="00983BA0">
        <w:rPr>
          <w:rFonts w:ascii="Calibri" w:hAnsi="Calibri" w:cs="Calibri"/>
          <w:color w:val="000000"/>
          <w:shd w:val="clear" w:color="auto" w:fill="FFFFFF"/>
        </w:rPr>
        <w:t xml:space="preserve">, </w:t>
      </w:r>
      <w:r>
        <w:rPr>
          <w:rFonts w:ascii="Calibri" w:hAnsi="Calibri" w:cs="Calibri"/>
          <w:color w:val="000000"/>
          <w:shd w:val="clear" w:color="auto" w:fill="FFFFFF"/>
        </w:rPr>
        <w:t xml:space="preserve">i.e. </w:t>
      </w:r>
      <w:r w:rsidRPr="00983BA0">
        <w:rPr>
          <w:rFonts w:ascii="Calibri" w:hAnsi="Calibri" w:cs="Calibri"/>
          <w:color w:val="000000"/>
          <w:shd w:val="clear" w:color="auto" w:fill="FFFFFF"/>
        </w:rPr>
        <w:t xml:space="preserve">with the complex translocation lying </w:t>
      </w:r>
      <w:r w:rsidRPr="00983BA0">
        <w:rPr>
          <w:rFonts w:ascii="Calibri" w:hAnsi="Calibri" w:cs="Calibri"/>
          <w:i/>
          <w:color w:val="000000"/>
          <w:shd w:val="clear" w:color="auto" w:fill="FFFFFF"/>
        </w:rPr>
        <w:t xml:space="preserve">in </w:t>
      </w:r>
      <w:proofErr w:type="gramStart"/>
      <w:r w:rsidRPr="00983BA0">
        <w:rPr>
          <w:rFonts w:ascii="Calibri" w:hAnsi="Calibri" w:cs="Calibri"/>
          <w:i/>
          <w:color w:val="000000"/>
          <w:shd w:val="clear" w:color="auto" w:fill="FFFFFF"/>
        </w:rPr>
        <w:t>trans</w:t>
      </w:r>
      <w:proofErr w:type="gramEnd"/>
      <w:r w:rsidRPr="00983BA0">
        <w:rPr>
          <w:rFonts w:ascii="Calibri" w:hAnsi="Calibri" w:cs="Calibri"/>
          <w:color w:val="000000"/>
          <w:shd w:val="clear" w:color="auto" w:fill="FFFFFF"/>
        </w:rPr>
        <w:t>.</w:t>
      </w:r>
    </w:p>
    <w:p w14:paraId="6F895558" w14:textId="0D649F99" w:rsidR="0054637A" w:rsidRPr="00D305E4" w:rsidRDefault="0054637A" w:rsidP="00DD05AD">
      <w:pPr>
        <w:jc w:val="both"/>
      </w:pPr>
      <w:r w:rsidRPr="00D305E4">
        <w:t xml:space="preserve">The finding </w:t>
      </w:r>
      <w:r>
        <w:t xml:space="preserve">of a complex translocation, now validated using multiple methods, </w:t>
      </w:r>
      <w:r w:rsidRPr="00D305E4">
        <w:t xml:space="preserve">allowed </w:t>
      </w:r>
      <w:r>
        <w:t xml:space="preserve">us </w:t>
      </w:r>
      <w:r w:rsidRPr="00D305E4">
        <w:t xml:space="preserve">to make a definitive genetic diagnosis in </w:t>
      </w:r>
      <w:r>
        <w:t xml:space="preserve">the </w:t>
      </w:r>
      <w:r w:rsidRPr="00D305E4">
        <w:t xml:space="preserve">3 </w:t>
      </w:r>
      <w:r>
        <w:t xml:space="preserve">affected individuals from Family 43. Furthermore, the diagnosis facilitated accurate genetic </w:t>
      </w:r>
      <w:r w:rsidRPr="00D305E4">
        <w:t xml:space="preserve">counselling of the family and </w:t>
      </w:r>
      <w:r>
        <w:t xml:space="preserve">the initiation of </w:t>
      </w:r>
      <w:r w:rsidRPr="00D305E4">
        <w:t>screening</w:t>
      </w:r>
      <w:r>
        <w:t>,</w:t>
      </w:r>
      <w:r w:rsidRPr="00D305E4">
        <w:t xml:space="preserve"> </w:t>
      </w:r>
      <w:r>
        <w:t xml:space="preserve">which then </w:t>
      </w:r>
      <w:r w:rsidRPr="00D305E4">
        <w:t>exclude</w:t>
      </w:r>
      <w:r>
        <w:t>d</w:t>
      </w:r>
      <w:r w:rsidRPr="00D305E4">
        <w:t xml:space="preserve"> </w:t>
      </w:r>
      <w:r>
        <w:t>this</w:t>
      </w:r>
      <w:r w:rsidRPr="00D305E4">
        <w:t xml:space="preserve"> </w:t>
      </w:r>
      <w:r>
        <w:t xml:space="preserve">genetic </w:t>
      </w:r>
      <w:r w:rsidRPr="00D305E4">
        <w:t xml:space="preserve">polyposis condition in </w:t>
      </w:r>
      <w:r>
        <w:t xml:space="preserve">the </w:t>
      </w:r>
      <w:r w:rsidRPr="00D305E4">
        <w:t xml:space="preserve">family member </w:t>
      </w:r>
      <w:r>
        <w:t xml:space="preserve">(II-1) </w:t>
      </w:r>
      <w:r w:rsidRPr="00D305E4">
        <w:t xml:space="preserve">who </w:t>
      </w:r>
      <w:r>
        <w:t xml:space="preserve">had </w:t>
      </w:r>
      <w:r w:rsidRPr="00D305E4">
        <w:t>presented with a single polyp.</w:t>
      </w:r>
      <w:r>
        <w:t xml:space="preserve"> This finding will inform clinical management in terms of the regularity/necessity for ongoing colorectal cancer surveillance.</w:t>
      </w:r>
    </w:p>
    <w:p w14:paraId="029BFC7F" w14:textId="77777777" w:rsidR="0054637A" w:rsidRDefault="0054637A" w:rsidP="00DD05AD">
      <w:pPr>
        <w:jc w:val="both"/>
        <w:rPr>
          <w:b/>
          <w:sz w:val="26"/>
        </w:rPr>
      </w:pPr>
      <w:r w:rsidRPr="0049721E">
        <w:rPr>
          <w:b/>
          <w:sz w:val="26"/>
        </w:rPr>
        <w:t>Discussion</w:t>
      </w:r>
    </w:p>
    <w:p w14:paraId="35323A6D" w14:textId="361D8B65" w:rsidR="0054637A" w:rsidRDefault="0054637A" w:rsidP="00DD05AD">
      <w:pPr>
        <w:jc w:val="both"/>
      </w:pPr>
      <w:r w:rsidRPr="00687955">
        <w:t>In this study</w:t>
      </w:r>
      <w:r>
        <w:t>,</w:t>
      </w:r>
      <w:r w:rsidRPr="00687955">
        <w:t xml:space="preserve"> </w:t>
      </w:r>
      <w:r>
        <w:t xml:space="preserve">we utilised data from 33,924 families in the RD programme of the 100kGP with the aim of investigating the role of inversions in genetic disease via HI. Our study also included complex SVs that were detected due to an inversion call. Although 62 </w:t>
      </w:r>
      <w:r w:rsidR="009522C0">
        <w:t xml:space="preserve">individuals </w:t>
      </w:r>
      <w:r>
        <w:t xml:space="preserve">from 47 families were nominated for inclusion into the diagnostic discovery </w:t>
      </w:r>
      <w:r w:rsidRPr="008F3C9F">
        <w:rPr>
          <w:rFonts w:cstheme="minorHAnsi"/>
        </w:rPr>
        <w:t xml:space="preserve">pathway for follow up, 2 were subsequently refuted and so the final yield was 45/33,924 families. This represents only 1-2% of </w:t>
      </w:r>
      <w:r w:rsidRPr="008F3C9F">
        <w:rPr>
          <w:rFonts w:cstheme="minorHAnsi"/>
          <w:bdr w:val="none" w:sz="0" w:space="0" w:color="auto" w:frame="1"/>
        </w:rPr>
        <w:t xml:space="preserve">the total </w:t>
      </w:r>
      <w:r w:rsidRPr="008F3C9F">
        <w:rPr>
          <w:rFonts w:cstheme="minorHAnsi"/>
        </w:rPr>
        <w:t>diagnoses across the 351 genes assessed. A notable finding was that for the vast majority (87%) of SVs, the inversion was below 10Mb in size</w:t>
      </w:r>
      <w:r w:rsidRPr="00654C8A">
        <w:rPr>
          <w:rFonts w:cstheme="minorHAnsi"/>
        </w:rPr>
        <w:t xml:space="preserve"> and thus would be too small to be detected</w:t>
      </w:r>
      <w:r w:rsidRPr="00654C8A">
        <w:t xml:space="preserve"> </w:t>
      </w:r>
      <w:r>
        <w:t xml:space="preserve">by karyotyping (Figure 1A). We also found that 20/47 of the SVs reported here were confirmed to have arisen </w:t>
      </w:r>
      <w:r w:rsidRPr="00E81CDF">
        <w:rPr>
          <w:i/>
        </w:rPr>
        <w:t>de novo</w:t>
      </w:r>
      <w:r>
        <w:t>. This was not a requirement for the initial SV prioritisation steps (which only needed an allele count of 5 or lower), so this is strong evidence supporting pathogenicity for this collection of variants.</w:t>
      </w:r>
    </w:p>
    <w:p w14:paraId="62F83A78" w14:textId="029EE384" w:rsidR="0054637A" w:rsidRDefault="0054637A" w:rsidP="00DD05AD">
      <w:pPr>
        <w:jc w:val="both"/>
      </w:pPr>
      <w:r>
        <w:t xml:space="preserve">Our reported incidence (~1/750 families) likely represents an underestimate of the overall impact of inversions in RD for several reasons. Firstly, our analysis was limited to inversions that disrupted known HI genes. </w:t>
      </w:r>
      <w:r w:rsidRPr="00D94295">
        <w:t xml:space="preserve">Our list of 351 genes (Table S1) represents &lt;10% of the 4,836 genes known to harbour phenotype-causing mutations listed in OMIM (31st August 2023) and was taken from the Clinical Genome Resource, whose curations are conservative and do not include </w:t>
      </w:r>
      <w:bookmarkStart w:id="2" w:name="_Hlk161346308"/>
      <w:r w:rsidRPr="00D94295">
        <w:t>disease gene</w:t>
      </w:r>
      <w:r>
        <w:t xml:space="preserve"> association</w:t>
      </w:r>
      <w:r w:rsidRPr="00D94295">
        <w:t>s</w:t>
      </w:r>
      <w:bookmarkEnd w:id="2"/>
      <w:r w:rsidRPr="00D94295">
        <w:t xml:space="preserve"> described recently. </w:t>
      </w:r>
      <w:r>
        <w:t xml:space="preserve">For instance, </w:t>
      </w:r>
      <w:r w:rsidRPr="001B7320">
        <w:rPr>
          <w:i/>
        </w:rPr>
        <w:t>SRRM2</w:t>
      </w:r>
      <w:r>
        <w:t xml:space="preserve"> </w:t>
      </w:r>
      <w:r w:rsidR="008D2706">
        <w:t xml:space="preserve">(MIM </w:t>
      </w:r>
      <w:r w:rsidR="008D2706" w:rsidRPr="008D2706">
        <w:t>*606032</w:t>
      </w:r>
      <w:r w:rsidR="008D2706">
        <w:t xml:space="preserve">) was </w:t>
      </w:r>
      <w:r>
        <w:t>not included in this list despite good evidence for a role in intellectual disability via HI</w:t>
      </w:r>
      <w:r w:rsidRPr="003F6879">
        <w:rPr>
          <w:noProof/>
          <w:vertAlign w:val="superscript"/>
        </w:rPr>
        <w:t>52; 53</w:t>
      </w:r>
      <w:r>
        <w:t xml:space="preserve"> and we note three </w:t>
      </w:r>
      <w:r w:rsidR="009522C0">
        <w:t xml:space="preserve">participants </w:t>
      </w:r>
      <w:r>
        <w:t>with deletion-inversions (</w:t>
      </w:r>
      <w:bookmarkStart w:id="3" w:name="_Hlk158319889"/>
      <w:r>
        <w:t>likely palindrome-mediated</w:t>
      </w:r>
      <w:bookmarkEnd w:id="3"/>
      <w:r>
        <w:t>) involving this gene were identified recently in the 100kGP</w:t>
      </w:r>
      <w:r w:rsidRPr="001B7320">
        <w:t>.</w:t>
      </w:r>
      <w:r w:rsidRPr="003F6879">
        <w:rPr>
          <w:noProof/>
          <w:vertAlign w:val="superscript"/>
        </w:rPr>
        <w:t>54</w:t>
      </w:r>
      <w:r>
        <w:t xml:space="preserve"> </w:t>
      </w:r>
    </w:p>
    <w:p w14:paraId="67E7FA63" w14:textId="77777777" w:rsidR="0054637A" w:rsidRDefault="0054637A" w:rsidP="00DD05AD">
      <w:pPr>
        <w:jc w:val="both"/>
      </w:pPr>
      <w:r>
        <w:t xml:space="preserve">Secondly, this study did not scrutinise SVs that disrupt genes linked to autosomal recessive </w:t>
      </w:r>
      <w:r w:rsidRPr="00C2014C">
        <w:t xml:space="preserve">conditions. </w:t>
      </w:r>
      <w:r>
        <w:t xml:space="preserve">Two such examples from the 100kGP are described in Note S5. Performing a systematic analysis of inversions across the entire 100kGP for genes linked to recessive conditions is confounded by several factors: </w:t>
      </w:r>
      <w:proofErr w:type="spellStart"/>
      <w:r>
        <w:t>i</w:t>
      </w:r>
      <w:proofErr w:type="spellEnd"/>
      <w:r>
        <w:t>) unless the SV is homozygous, one has to identify a second hit variant and assess pathogenicity for both variants in tandem, ii) even if one finds a strong second hit, not all families from 100kGP are parent-child trios, so with limited access to long-read sequencing data, phasing information is incomplete and iii) allele frequency filtering would need a less stringent cut-off.</w:t>
      </w:r>
      <w:r w:rsidRPr="002D3CFD">
        <w:t xml:space="preserve"> </w:t>
      </w:r>
      <w:r>
        <w:t>In the future, long-read genome sequencing will largely solve the problem of phasing rare variants and may also help identify additional SVs where breakpoints lie in repetitive regions. The 150bp reads used here could potentially have missed inversions where the breakpoints lie in Alu/LINE1 elements, pseudogenes or any region where there is high sequence homology.</w:t>
      </w:r>
    </w:p>
    <w:p w14:paraId="497D9E47" w14:textId="77777777" w:rsidR="0054637A" w:rsidRPr="003A3786" w:rsidRDefault="0054637A" w:rsidP="00DD05AD">
      <w:pPr>
        <w:jc w:val="both"/>
      </w:pPr>
      <w:r w:rsidRPr="003A3786">
        <w:lastRenderedPageBreak/>
        <w:t>Several genes were recurrently impacted by inversion</w:t>
      </w:r>
      <w:r>
        <w:t>s</w:t>
      </w:r>
      <w:r w:rsidRPr="003A3786">
        <w:t xml:space="preserve"> in this cohort. Families 37 and 38</w:t>
      </w:r>
      <w:r>
        <w:t xml:space="preserve"> both harboured </w:t>
      </w:r>
      <w:r w:rsidRPr="003A3786">
        <w:t xml:space="preserve">inversions disrupting </w:t>
      </w:r>
      <w:r w:rsidRPr="003A3786">
        <w:rPr>
          <w:i/>
        </w:rPr>
        <w:t>AUTS2</w:t>
      </w:r>
      <w:r w:rsidRPr="003A3786">
        <w:t xml:space="preserve"> (NM_015570.4</w:t>
      </w:r>
      <w:r>
        <w:t>)</w:t>
      </w:r>
      <w:r w:rsidRPr="003A3786">
        <w:t>. The respective breakpoints in intron 2 and 5 are not nearby and so there is no indication of a mutational hotspot (Figure S</w:t>
      </w:r>
      <w:r>
        <w:t>29</w:t>
      </w:r>
      <w:r w:rsidRPr="003A3786">
        <w:t xml:space="preserve">). </w:t>
      </w:r>
      <w:r w:rsidRPr="003A3786">
        <w:rPr>
          <w:i/>
        </w:rPr>
        <w:t>AUTS2</w:t>
      </w:r>
      <w:r w:rsidRPr="003A3786">
        <w:t xml:space="preserve"> </w:t>
      </w:r>
      <w:r>
        <w:t>ha</w:t>
      </w:r>
      <w:r w:rsidRPr="003A3786">
        <w:t xml:space="preserve">s a large genomic </w:t>
      </w:r>
      <w:r>
        <w:t>foot</w:t>
      </w:r>
      <w:r w:rsidRPr="003A3786">
        <w:t xml:space="preserve">print of 1.2Mb so simply represents a </w:t>
      </w:r>
      <w:r>
        <w:t xml:space="preserve">greater </w:t>
      </w:r>
      <w:r w:rsidRPr="003A3786">
        <w:t xml:space="preserve">mutational target for rearrangements to occur. Several structural rearrangements in this gene </w:t>
      </w:r>
      <w:r>
        <w:t xml:space="preserve">linked to </w:t>
      </w:r>
      <w:r w:rsidRPr="005975A6">
        <w:t xml:space="preserve">Intellectual developmental disorder, autosomal dominant 26 </w:t>
      </w:r>
      <w:r>
        <w:t>[MIM #</w:t>
      </w:r>
      <w:r w:rsidRPr="005975A6">
        <w:t xml:space="preserve"> 615834</w:t>
      </w:r>
      <w:r>
        <w:t xml:space="preserve">] </w:t>
      </w:r>
      <w:r w:rsidRPr="003A3786">
        <w:t>have been reported previously</w:t>
      </w:r>
      <w:r>
        <w:t>.</w:t>
      </w:r>
      <w:r w:rsidRPr="003F6879">
        <w:rPr>
          <w:noProof/>
          <w:vertAlign w:val="superscript"/>
        </w:rPr>
        <w:t>15; 55</w:t>
      </w:r>
      <w:r w:rsidRPr="003A3786">
        <w:t xml:space="preserve"> </w:t>
      </w:r>
    </w:p>
    <w:p w14:paraId="732DDC5C" w14:textId="381A8710" w:rsidR="0054637A" w:rsidRPr="00901C28" w:rsidRDefault="0054637A" w:rsidP="00DD05AD">
      <w:pPr>
        <w:jc w:val="both"/>
        <w:rPr>
          <w:rFonts w:ascii="Calibri" w:hAnsi="Calibri" w:cs="Calibri"/>
          <w:shd w:val="clear" w:color="auto" w:fill="FEFEFE"/>
        </w:rPr>
      </w:pPr>
      <w:r w:rsidRPr="00901C28">
        <w:t xml:space="preserve">In </w:t>
      </w:r>
      <w:r w:rsidR="003B146D">
        <w:t>contrast</w:t>
      </w:r>
      <w:r w:rsidRPr="00901C28">
        <w:t xml:space="preserve">, the recurrent disruption of </w:t>
      </w:r>
      <w:r w:rsidRPr="00901C28">
        <w:rPr>
          <w:i/>
        </w:rPr>
        <w:t>MSH2</w:t>
      </w:r>
      <w:r w:rsidRPr="00901C28">
        <w:t xml:space="preserve"> was due to the same founder variant being detected in two independent families</w:t>
      </w:r>
      <w:r>
        <w:t xml:space="preserve"> from the UK</w:t>
      </w:r>
      <w:r w:rsidRPr="00901C28">
        <w:t xml:space="preserve">. An identical </w:t>
      </w:r>
      <w:r w:rsidRPr="00901C28">
        <w:rPr>
          <w:i/>
        </w:rPr>
        <w:t>MSH2</w:t>
      </w:r>
      <w:r w:rsidRPr="00901C28">
        <w:t xml:space="preserve"> rearrangement was identified in an Australian </w:t>
      </w:r>
      <w:r w:rsidR="00F304D9">
        <w:t>proband</w:t>
      </w:r>
      <w:r w:rsidR="00F304D9" w:rsidRPr="00901C28">
        <w:t xml:space="preserve"> </w:t>
      </w:r>
      <w:r w:rsidR="00F304D9">
        <w:t xml:space="preserve">by cDNA sequencing and inversion PCR </w:t>
      </w:r>
      <w:r w:rsidRPr="00901C28">
        <w:t>in 2016</w:t>
      </w:r>
      <w:r>
        <w:t xml:space="preserve">, with an </w:t>
      </w:r>
      <w:proofErr w:type="spellStart"/>
      <w:r w:rsidRPr="003B74AD">
        <w:t>Alu</w:t>
      </w:r>
      <w:r>
        <w:t>Y</w:t>
      </w:r>
      <w:proofErr w:type="spellEnd"/>
      <w:r w:rsidRPr="003B74AD">
        <w:t xml:space="preserve">-mediated recombination model </w:t>
      </w:r>
      <w:r>
        <w:t xml:space="preserve">being hypothesized to </w:t>
      </w:r>
      <w:r w:rsidRPr="003B74AD">
        <w:t xml:space="preserve">explain </w:t>
      </w:r>
      <w:r>
        <w:t xml:space="preserve">its </w:t>
      </w:r>
      <w:r w:rsidRPr="003B74AD">
        <w:t>origin</w:t>
      </w:r>
      <w:r>
        <w:t>.</w:t>
      </w:r>
      <w:r w:rsidRPr="003F6879">
        <w:rPr>
          <w:noProof/>
          <w:vertAlign w:val="superscript"/>
        </w:rPr>
        <w:t>56</w:t>
      </w:r>
      <w:r w:rsidRPr="003B74AD">
        <w:t xml:space="preserve"> </w:t>
      </w:r>
      <w:r w:rsidR="00B73A4E" w:rsidRPr="00901C28">
        <w:t xml:space="preserve">The same primers used in that study were used for validation </w:t>
      </w:r>
      <w:r w:rsidR="00B73A4E">
        <w:t xml:space="preserve">for </w:t>
      </w:r>
      <w:r w:rsidR="00B73A4E" w:rsidRPr="00901C28">
        <w:t xml:space="preserve">the </w:t>
      </w:r>
      <w:r w:rsidR="00B73A4E">
        <w:t xml:space="preserve">individuals </w:t>
      </w:r>
      <w:r w:rsidR="00B73A4E" w:rsidRPr="00901C28">
        <w:t xml:space="preserve">identified </w:t>
      </w:r>
      <w:r w:rsidR="00B73A4E" w:rsidRPr="00A103DD">
        <w:t>here</w:t>
      </w:r>
      <w:r w:rsidR="00B73A4E" w:rsidRPr="000A1E71">
        <w:t xml:space="preserve">. </w:t>
      </w:r>
      <w:r w:rsidRPr="00901C28">
        <w:t xml:space="preserve">A second </w:t>
      </w:r>
      <w:r w:rsidR="00B73A4E">
        <w:t>proband</w:t>
      </w:r>
      <w:r w:rsidR="00B73A4E" w:rsidRPr="00901C28">
        <w:t xml:space="preserve"> </w:t>
      </w:r>
      <w:r w:rsidRPr="00901C28">
        <w:t xml:space="preserve">was subsequently detected as part of a replication effort that tested 55 </w:t>
      </w:r>
      <w:r w:rsidR="00C3777A">
        <w:t xml:space="preserve">individuals with </w:t>
      </w:r>
      <w:r w:rsidRPr="00901C28">
        <w:t>unsolved Lynch syndrome</w:t>
      </w:r>
      <w:r w:rsidR="00B73A4E" w:rsidRPr="00416DB2">
        <w:rPr>
          <w:vertAlign w:val="superscript"/>
        </w:rPr>
        <w:t>56</w:t>
      </w:r>
      <w:r>
        <w:t xml:space="preserve"> and </w:t>
      </w:r>
      <w:r w:rsidR="00B73A4E">
        <w:t>th</w:t>
      </w:r>
      <w:r w:rsidR="00DC3577">
        <w:t>at</w:t>
      </w:r>
      <w:r w:rsidR="00B73A4E">
        <w:t xml:space="preserve"> individual was </w:t>
      </w:r>
      <w:r>
        <w:t xml:space="preserve">re-reported by Brennan </w:t>
      </w:r>
      <w:r w:rsidRPr="009566F2">
        <w:rPr>
          <w:i/>
        </w:rPr>
        <w:t>et al</w:t>
      </w:r>
      <w:r w:rsidRPr="00901C28">
        <w:t>.</w:t>
      </w:r>
      <w:r w:rsidRPr="003F6879">
        <w:rPr>
          <w:noProof/>
          <w:vertAlign w:val="superscript"/>
        </w:rPr>
        <w:t>57</w:t>
      </w:r>
      <w:r w:rsidRPr="00901C28">
        <w:t xml:space="preserve"> </w:t>
      </w:r>
      <w:r w:rsidR="00592AF5">
        <w:rPr>
          <w:rFonts w:ascii="Calibri" w:hAnsi="Calibri" w:cs="Calibri"/>
          <w:shd w:val="clear" w:color="auto" w:fill="FEFEFE"/>
        </w:rPr>
        <w:t>T</w:t>
      </w:r>
      <w:r w:rsidRPr="00901C28">
        <w:rPr>
          <w:rFonts w:ascii="Calibri" w:hAnsi="Calibri" w:cs="Calibri"/>
          <w:shd w:val="clear" w:color="auto" w:fill="FEFEFE"/>
        </w:rPr>
        <w:t>he 3.2Mb haplotype shared between F</w:t>
      </w:r>
      <w:r w:rsidR="00E912BF">
        <w:rPr>
          <w:rFonts w:ascii="Calibri" w:hAnsi="Calibri" w:cs="Calibri"/>
          <w:shd w:val="clear" w:color="auto" w:fill="FEFEFE"/>
        </w:rPr>
        <w:t xml:space="preserve">amily </w:t>
      </w:r>
      <w:r w:rsidRPr="00901C28">
        <w:rPr>
          <w:rFonts w:ascii="Calibri" w:hAnsi="Calibri" w:cs="Calibri"/>
          <w:shd w:val="clear" w:color="auto" w:fill="FEFEFE"/>
        </w:rPr>
        <w:t>16 and F</w:t>
      </w:r>
      <w:r w:rsidR="00E912BF">
        <w:rPr>
          <w:rFonts w:ascii="Calibri" w:hAnsi="Calibri" w:cs="Calibri"/>
          <w:shd w:val="clear" w:color="auto" w:fill="FEFEFE"/>
        </w:rPr>
        <w:t xml:space="preserve">amily </w:t>
      </w:r>
      <w:r w:rsidRPr="00901C28">
        <w:rPr>
          <w:rFonts w:ascii="Calibri" w:hAnsi="Calibri" w:cs="Calibri"/>
          <w:shd w:val="clear" w:color="auto" w:fill="FEFEFE"/>
        </w:rPr>
        <w:t xml:space="preserve">17 described here (Figure </w:t>
      </w:r>
      <w:r>
        <w:rPr>
          <w:rFonts w:ascii="Calibri" w:hAnsi="Calibri" w:cs="Calibri"/>
          <w:shd w:val="clear" w:color="auto" w:fill="FEFEFE"/>
        </w:rPr>
        <w:t>3</w:t>
      </w:r>
      <w:r w:rsidRPr="00901C28">
        <w:rPr>
          <w:rFonts w:ascii="Calibri" w:hAnsi="Calibri" w:cs="Calibri"/>
          <w:shd w:val="clear" w:color="auto" w:fill="FEFEFE"/>
        </w:rPr>
        <w:t>C</w:t>
      </w:r>
      <w:r>
        <w:rPr>
          <w:rFonts w:ascii="Calibri" w:hAnsi="Calibri" w:cs="Calibri"/>
          <w:shd w:val="clear" w:color="auto" w:fill="FEFEFE"/>
        </w:rPr>
        <w:t>, Table S4</w:t>
      </w:r>
      <w:r w:rsidRPr="00901C28">
        <w:rPr>
          <w:rFonts w:ascii="Calibri" w:hAnsi="Calibri" w:cs="Calibri"/>
          <w:shd w:val="clear" w:color="auto" w:fill="FEFEFE"/>
        </w:rPr>
        <w:t>) represents formal confirmation of a founder origin.</w:t>
      </w:r>
      <w:r w:rsidRPr="00901C28">
        <w:t xml:space="preserve"> </w:t>
      </w:r>
      <w:r w:rsidR="00592AF5">
        <w:t xml:space="preserve">Recent genome sequencing of the </w:t>
      </w:r>
      <w:r w:rsidR="00B73A4E">
        <w:t xml:space="preserve">second proband </w:t>
      </w:r>
      <w:r w:rsidR="00592AF5">
        <w:t xml:space="preserve">described by </w:t>
      </w:r>
      <w:r w:rsidR="00B73A4E">
        <w:t>L</w:t>
      </w:r>
      <w:r w:rsidR="00DC3577">
        <w:t xml:space="preserve">iu </w:t>
      </w:r>
      <w:r w:rsidR="00592AF5" w:rsidRPr="00592AF5">
        <w:rPr>
          <w:i/>
          <w:iCs/>
        </w:rPr>
        <w:t>et al</w:t>
      </w:r>
      <w:r w:rsidR="00592AF5" w:rsidRPr="00592AF5">
        <w:rPr>
          <w:vertAlign w:val="superscript"/>
        </w:rPr>
        <w:t>57</w:t>
      </w:r>
      <w:r w:rsidR="00592AF5" w:rsidRPr="00592AF5">
        <w:t xml:space="preserve"> </w:t>
      </w:r>
      <w:r w:rsidR="00592AF5">
        <w:t xml:space="preserve">has confirmed </w:t>
      </w:r>
      <w:r w:rsidR="00B73A4E">
        <w:t xml:space="preserve">that </w:t>
      </w:r>
      <w:r w:rsidR="00592AF5">
        <w:t xml:space="preserve">the inversion </w:t>
      </w:r>
      <w:r w:rsidR="00B73A4E">
        <w:t>in th</w:t>
      </w:r>
      <w:r w:rsidR="006A3E2B">
        <w:t>at</w:t>
      </w:r>
      <w:r w:rsidR="00B73A4E">
        <w:t xml:space="preserve"> individual </w:t>
      </w:r>
      <w:r w:rsidR="00D86722">
        <w:t xml:space="preserve">lies </w:t>
      </w:r>
      <w:r w:rsidR="00592AF5">
        <w:t xml:space="preserve">on the same founder haplotype (Table S4). </w:t>
      </w:r>
      <w:r w:rsidR="008F16B0" w:rsidRPr="00901C28">
        <w:t>Th</w:t>
      </w:r>
      <w:r w:rsidR="008F16B0">
        <w:t>is</w:t>
      </w:r>
      <w:r w:rsidR="008F16B0" w:rsidRPr="00901C28">
        <w:t xml:space="preserve"> </w:t>
      </w:r>
      <w:r w:rsidRPr="00901C28">
        <w:t xml:space="preserve">exon 2-6 </w:t>
      </w:r>
      <w:r w:rsidRPr="002732D1">
        <w:rPr>
          <w:i/>
        </w:rPr>
        <w:t>MSH2</w:t>
      </w:r>
      <w:r w:rsidRPr="00901C28">
        <w:t xml:space="preserve"> inversion was estimated to have arisen around 30 generations ago. As a rule of thumb, shared segments of 2-5Mb are most likely inherited from </w:t>
      </w:r>
      <w:r>
        <w:t xml:space="preserve">a </w:t>
      </w:r>
      <w:r w:rsidRPr="00901C28">
        <w:t xml:space="preserve">common ancestor &gt;20 generations </w:t>
      </w:r>
      <w:r>
        <w:t>ago</w:t>
      </w:r>
      <w:r w:rsidRPr="003F6879">
        <w:rPr>
          <w:noProof/>
          <w:vertAlign w:val="superscript"/>
        </w:rPr>
        <w:t>58</w:t>
      </w:r>
      <w:r w:rsidRPr="00901C28">
        <w:t xml:space="preserve">, but this depends on local recombination rates. </w:t>
      </w:r>
      <w:r>
        <w:t xml:space="preserve">The two families reported here and the </w:t>
      </w:r>
      <w:r w:rsidR="006A3E2B">
        <w:t xml:space="preserve">second </w:t>
      </w:r>
      <w:r>
        <w:t xml:space="preserve">individual reported by </w:t>
      </w:r>
      <w:r w:rsidR="006A3E2B">
        <w:t xml:space="preserve">Liu </w:t>
      </w:r>
      <w:proofErr w:type="gramStart"/>
      <w:r w:rsidRPr="00CE5369">
        <w:rPr>
          <w:i/>
        </w:rPr>
        <w:t>et</w:t>
      </w:r>
      <w:proofErr w:type="gramEnd"/>
      <w:r w:rsidRPr="00CE5369">
        <w:rPr>
          <w:i/>
        </w:rPr>
        <w:t xml:space="preserve"> al</w:t>
      </w:r>
      <w:r w:rsidRPr="003F6879">
        <w:rPr>
          <w:i/>
          <w:noProof/>
          <w:vertAlign w:val="superscript"/>
        </w:rPr>
        <w:t>5</w:t>
      </w:r>
      <w:r w:rsidR="006A3E2B">
        <w:rPr>
          <w:i/>
          <w:noProof/>
          <w:vertAlign w:val="superscript"/>
        </w:rPr>
        <w:t>6</w:t>
      </w:r>
      <w:r>
        <w:t xml:space="preserve"> all have recent ancestors from the same </w:t>
      </w:r>
      <w:r w:rsidR="00590F49">
        <w:t>region in northern England</w:t>
      </w:r>
      <w:r>
        <w:t xml:space="preserve">. </w:t>
      </w:r>
      <w:r w:rsidRPr="00901C28">
        <w:t xml:space="preserve">Further genealogy studies linking the two UK families with </w:t>
      </w:r>
      <w:r>
        <w:t xml:space="preserve">both </w:t>
      </w:r>
      <w:r w:rsidRPr="00901C28">
        <w:t xml:space="preserve">Australian families or else performing additional analyses of identity-by-descent would give a more precise estimate. </w:t>
      </w:r>
      <w:r w:rsidRPr="00901C28">
        <w:rPr>
          <w:rFonts w:ascii="Calibri" w:hAnsi="Calibri" w:cs="Calibri"/>
          <w:shd w:val="clear" w:color="auto" w:fill="FEFEFE"/>
        </w:rPr>
        <w:t xml:space="preserve">Given the founder origin and cryptic nature of this rearrangement, it is important that the prevalence of this inversion is assessed in other suitable populations where </w:t>
      </w:r>
      <w:proofErr w:type="spellStart"/>
      <w:r w:rsidRPr="00901C28">
        <w:rPr>
          <w:rFonts w:ascii="Calibri" w:hAnsi="Calibri" w:cs="Calibri"/>
          <w:shd w:val="clear" w:color="auto" w:fill="FEFEFE"/>
        </w:rPr>
        <w:t>i</w:t>
      </w:r>
      <w:proofErr w:type="spellEnd"/>
      <w:r w:rsidRPr="00901C28">
        <w:rPr>
          <w:rFonts w:ascii="Calibri" w:hAnsi="Calibri" w:cs="Calibri"/>
          <w:shd w:val="clear" w:color="auto" w:fill="FEFEFE"/>
        </w:rPr>
        <w:t xml:space="preserve">) Lynch syndrome is suspected and ii) loss of MSH2 has been confirmed at the protein level. In one follow up study, </w:t>
      </w:r>
      <w:proofErr w:type="spellStart"/>
      <w:r w:rsidRPr="00901C28">
        <w:t>Morak</w:t>
      </w:r>
      <w:proofErr w:type="spellEnd"/>
      <w:r w:rsidRPr="00901C28">
        <w:t xml:space="preserve"> </w:t>
      </w:r>
      <w:r w:rsidRPr="00901C28">
        <w:rPr>
          <w:i/>
        </w:rPr>
        <w:t>et al</w:t>
      </w:r>
      <w:r w:rsidRPr="00901C28">
        <w:t xml:space="preserve"> screened 48 MSH2-deficient </w:t>
      </w:r>
      <w:r>
        <w:t>affected individuals</w:t>
      </w:r>
      <w:r w:rsidRPr="00901C28">
        <w:t xml:space="preserve"> from a German population but did not find this exon 2-6 inversion</w:t>
      </w:r>
      <w:r w:rsidRPr="003F6879">
        <w:rPr>
          <w:noProof/>
          <w:vertAlign w:val="superscript"/>
        </w:rPr>
        <w:t>59</w:t>
      </w:r>
      <w:r w:rsidRPr="00901C28">
        <w:t xml:space="preserve"> </w:t>
      </w:r>
      <w:r>
        <w:t xml:space="preserve">suggesting </w:t>
      </w:r>
      <w:r w:rsidRPr="00901C28">
        <w:t xml:space="preserve">this founder variant </w:t>
      </w:r>
      <w:r>
        <w:t xml:space="preserve">to be </w:t>
      </w:r>
      <w:r w:rsidRPr="00901C28">
        <w:t xml:space="preserve">of </w:t>
      </w:r>
      <w:r>
        <w:t>more w</w:t>
      </w:r>
      <w:r w:rsidRPr="00901C28">
        <w:t>est</w:t>
      </w:r>
      <w:r>
        <w:t>erly</w:t>
      </w:r>
      <w:r w:rsidRPr="00901C28">
        <w:t xml:space="preserve"> European origin. </w:t>
      </w:r>
      <w:r w:rsidRPr="00515403">
        <w:rPr>
          <w:rFonts w:ascii="Calibri" w:hAnsi="Calibri" w:cs="Calibri"/>
          <w:shd w:val="clear" w:color="auto" w:fill="FEFEFE"/>
        </w:rPr>
        <w:t>MRC Holland are investigating whether probes for this inversion can be incorporated into one of their probe-mixes in future</w:t>
      </w:r>
      <w:r w:rsidRPr="00515403">
        <w:t xml:space="preserve"> (pers. comm. </w:t>
      </w:r>
      <w:proofErr w:type="spellStart"/>
      <w:r w:rsidRPr="00515403">
        <w:t>Jelger</w:t>
      </w:r>
      <w:proofErr w:type="spellEnd"/>
      <w:r w:rsidRPr="00515403">
        <w:t xml:space="preserve"> van der Meer). A larger overlapping 10Mb inversion</w:t>
      </w:r>
      <w:r w:rsidRPr="003F6879">
        <w:rPr>
          <w:noProof/>
          <w:vertAlign w:val="superscript"/>
        </w:rPr>
        <w:t>60</w:t>
      </w:r>
      <w:r>
        <w:t xml:space="preserve"> </w:t>
      </w:r>
      <w:r w:rsidRPr="00515403">
        <w:t xml:space="preserve">involving </w:t>
      </w:r>
      <w:r w:rsidRPr="00515403">
        <w:rPr>
          <w:i/>
        </w:rPr>
        <w:t>MSH2</w:t>
      </w:r>
      <w:r w:rsidRPr="00515403">
        <w:t xml:space="preserve"> exons 1-7, explained 60% of </w:t>
      </w:r>
      <w:r w:rsidR="003B146D">
        <w:t>affected individuals</w:t>
      </w:r>
      <w:r w:rsidR="003B146D" w:rsidRPr="00515403">
        <w:t xml:space="preserve"> </w:t>
      </w:r>
      <w:r w:rsidRPr="00515403">
        <w:t>in a cohort of suspected cryptic Lynch syndrome</w:t>
      </w:r>
      <w:r w:rsidRPr="003F6879">
        <w:rPr>
          <w:noProof/>
          <w:vertAlign w:val="superscript"/>
        </w:rPr>
        <w:t>61</w:t>
      </w:r>
      <w:r w:rsidRPr="00515403">
        <w:t xml:space="preserve"> and consequently that inversion is now being captured by MLPA testing (Note S1).</w:t>
      </w:r>
    </w:p>
    <w:p w14:paraId="416BBC11" w14:textId="0E8A4F28" w:rsidR="0054637A" w:rsidRPr="00EC4693" w:rsidRDefault="0054637A" w:rsidP="00DD05AD">
      <w:pPr>
        <w:jc w:val="both"/>
      </w:pPr>
      <w:r>
        <w:t>The proband in Family 33, where a complex deletion and duplicated inversion was inherited from an unaffected mother</w:t>
      </w:r>
      <w:r w:rsidRPr="009D54B8">
        <w:t xml:space="preserve"> </w:t>
      </w:r>
      <w:r>
        <w:t xml:space="preserve">represents atypical (male) Rett syndrome. In contrast, the second </w:t>
      </w:r>
      <w:r w:rsidRPr="00A13372">
        <w:rPr>
          <w:i/>
        </w:rPr>
        <w:t>MECP2</w:t>
      </w:r>
      <w:r>
        <w:t xml:space="preserve"> family </w:t>
      </w:r>
      <w:r w:rsidR="003B146D">
        <w:t xml:space="preserve">comprised an affected </w:t>
      </w:r>
      <w:r>
        <w:t xml:space="preserve">female, where </w:t>
      </w:r>
      <w:r w:rsidR="003B146D">
        <w:t xml:space="preserve">classical </w:t>
      </w:r>
      <w:r>
        <w:t xml:space="preserve">Rett syndrome had long-been suspected. In the second participant (Family 47), we found a duplicated segment from 19qter had inserted into </w:t>
      </w:r>
      <w:r w:rsidRPr="009D0C54">
        <w:rPr>
          <w:i/>
        </w:rPr>
        <w:t>MECP2</w:t>
      </w:r>
      <w:r>
        <w:t xml:space="preserve">. Both SVs occurred at a similar position within the last exon of </w:t>
      </w:r>
      <w:r w:rsidRPr="00A13372">
        <w:rPr>
          <w:i/>
        </w:rPr>
        <w:t>MECP2</w:t>
      </w:r>
      <w:r>
        <w:t xml:space="preserve"> (Figure 4A and Figure S27), a known mutational hotspot for complex SVs.</w:t>
      </w:r>
      <w:r w:rsidRPr="003F6879">
        <w:rPr>
          <w:noProof/>
          <w:vertAlign w:val="superscript"/>
        </w:rPr>
        <w:t>62</w:t>
      </w:r>
      <w:r>
        <w:t xml:space="preserve"> The structural ambiguities for both of these SVs from the short-read data could be resolved with long-read PacBio data (Figure 4B and Figure S28) and determining the precise nature of these rearrangements influenced the respective clinical interpretations. </w:t>
      </w:r>
      <w:r>
        <w:rPr>
          <w:rFonts w:ascii="Calibri" w:hAnsi="Calibri" w:cs="Calibri"/>
          <w:bdr w:val="none" w:sz="0" w:space="0" w:color="auto" w:frame="1"/>
          <w:shd w:val="clear" w:color="auto" w:fill="FFFFFF"/>
        </w:rPr>
        <w:t xml:space="preserve">The major functional domain encoded by </w:t>
      </w:r>
      <w:r w:rsidRPr="008A6FB2">
        <w:rPr>
          <w:rFonts w:ascii="Calibri" w:hAnsi="Calibri" w:cs="Calibri"/>
          <w:i/>
          <w:bdr w:val="none" w:sz="0" w:space="0" w:color="auto" w:frame="1"/>
          <w:shd w:val="clear" w:color="auto" w:fill="FFFFFF"/>
        </w:rPr>
        <w:t>MECP2</w:t>
      </w:r>
      <w:r>
        <w:rPr>
          <w:rFonts w:ascii="Calibri" w:hAnsi="Calibri" w:cs="Calibri"/>
          <w:bdr w:val="none" w:sz="0" w:space="0" w:color="auto" w:frame="1"/>
          <w:shd w:val="clear" w:color="auto" w:fill="FFFFFF"/>
        </w:rPr>
        <w:t xml:space="preserve"> is the m</w:t>
      </w:r>
      <w:r w:rsidRPr="00A13372">
        <w:rPr>
          <w:rFonts w:ascii="Calibri" w:hAnsi="Calibri" w:cs="Calibri"/>
          <w:bdr w:val="none" w:sz="0" w:space="0" w:color="auto" w:frame="1"/>
          <w:shd w:val="clear" w:color="auto" w:fill="FFFFFF"/>
        </w:rPr>
        <w:t xml:space="preserve">ethyl-CpG-binding domain (MBD) </w:t>
      </w:r>
      <w:r>
        <w:rPr>
          <w:rFonts w:ascii="Calibri" w:hAnsi="Calibri" w:cs="Calibri"/>
          <w:bdr w:val="none" w:sz="0" w:space="0" w:color="auto" w:frame="1"/>
          <w:shd w:val="clear" w:color="auto" w:fill="FFFFFF"/>
        </w:rPr>
        <w:t xml:space="preserve">which </w:t>
      </w:r>
      <w:r w:rsidRPr="00A13372">
        <w:rPr>
          <w:rFonts w:ascii="Calibri" w:hAnsi="Calibri" w:cs="Calibri"/>
          <w:bdr w:val="none" w:sz="0" w:space="0" w:color="auto" w:frame="1"/>
          <w:shd w:val="clear" w:color="auto" w:fill="FFFFFF"/>
        </w:rPr>
        <w:t xml:space="preserve">involves residues 102-174 (NM_001110792.2; or 90-162 on </w:t>
      </w:r>
      <w:proofErr w:type="spellStart"/>
      <w:r w:rsidRPr="00A13372">
        <w:rPr>
          <w:rFonts w:ascii="Calibri" w:hAnsi="Calibri" w:cs="Calibri"/>
          <w:bdr w:val="none" w:sz="0" w:space="0" w:color="auto" w:frame="1"/>
          <w:shd w:val="clear" w:color="auto" w:fill="FFFFFF"/>
        </w:rPr>
        <w:t>UniProt</w:t>
      </w:r>
      <w:proofErr w:type="spellEnd"/>
      <w:r w:rsidRPr="00A13372">
        <w:rPr>
          <w:rFonts w:ascii="Calibri" w:hAnsi="Calibri" w:cs="Calibri"/>
          <w:bdr w:val="none" w:sz="0" w:space="0" w:color="auto" w:frame="1"/>
          <w:shd w:val="clear" w:color="auto" w:fill="FFFFFF"/>
        </w:rPr>
        <w:t xml:space="preserve"> accession P51608)</w:t>
      </w:r>
      <w:r>
        <w:rPr>
          <w:rFonts w:ascii="Calibri" w:hAnsi="Calibri" w:cs="Calibri"/>
          <w:bdr w:val="none" w:sz="0" w:space="0" w:color="auto" w:frame="1"/>
          <w:shd w:val="clear" w:color="auto" w:fill="FFFFFF"/>
        </w:rPr>
        <w:t>.</w:t>
      </w:r>
      <w:r w:rsidRPr="00A13372">
        <w:rPr>
          <w:rFonts w:ascii="Calibri" w:hAnsi="Calibri" w:cs="Calibri"/>
          <w:bdr w:val="none" w:sz="0" w:space="0" w:color="auto" w:frame="1"/>
          <w:shd w:val="clear" w:color="auto" w:fill="FFFFFF"/>
        </w:rPr>
        <w:t xml:space="preserve"> </w:t>
      </w:r>
      <w:r>
        <w:rPr>
          <w:rFonts w:ascii="Calibri" w:hAnsi="Calibri" w:cs="Calibri"/>
          <w:bdr w:val="none" w:sz="0" w:space="0" w:color="auto" w:frame="1"/>
          <w:shd w:val="clear" w:color="auto" w:fill="FFFFFF"/>
        </w:rPr>
        <w:t>To date, t</w:t>
      </w:r>
      <w:r w:rsidRPr="00A13372">
        <w:rPr>
          <w:rFonts w:ascii="Calibri" w:hAnsi="Calibri" w:cs="Calibri"/>
          <w:bdr w:val="none" w:sz="0" w:space="0" w:color="auto" w:frame="1"/>
          <w:shd w:val="clear" w:color="auto" w:fill="FFFFFF"/>
        </w:rPr>
        <w:t xml:space="preserve">he reported truncating variants in </w:t>
      </w:r>
      <w:r w:rsidR="003B146D">
        <w:rPr>
          <w:rFonts w:ascii="Calibri" w:hAnsi="Calibri" w:cs="Calibri"/>
          <w:bdr w:val="none" w:sz="0" w:space="0" w:color="auto" w:frame="1"/>
          <w:shd w:val="clear" w:color="auto" w:fill="FFFFFF"/>
        </w:rPr>
        <w:t xml:space="preserve">affected </w:t>
      </w:r>
      <w:r w:rsidRPr="00A13372">
        <w:rPr>
          <w:rFonts w:ascii="Calibri" w:hAnsi="Calibri" w:cs="Calibri"/>
          <w:bdr w:val="none" w:sz="0" w:space="0" w:color="auto" w:frame="1"/>
          <w:shd w:val="clear" w:color="auto" w:fill="FFFFFF"/>
        </w:rPr>
        <w:t>male</w:t>
      </w:r>
      <w:r w:rsidR="003B146D">
        <w:rPr>
          <w:rFonts w:ascii="Calibri" w:hAnsi="Calibri" w:cs="Calibri"/>
          <w:bdr w:val="none" w:sz="0" w:space="0" w:color="auto" w:frame="1"/>
          <w:shd w:val="clear" w:color="auto" w:fill="FFFFFF"/>
        </w:rPr>
        <w:t>s</w:t>
      </w:r>
      <w:r w:rsidRPr="00A13372">
        <w:rPr>
          <w:rFonts w:ascii="Calibri" w:hAnsi="Calibri" w:cs="Calibri"/>
          <w:bdr w:val="none" w:sz="0" w:space="0" w:color="auto" w:frame="1"/>
          <w:shd w:val="clear" w:color="auto" w:fill="FFFFFF"/>
        </w:rPr>
        <w:t xml:space="preserve"> (non-mosaic) always </w:t>
      </w:r>
      <w:r>
        <w:rPr>
          <w:rFonts w:ascii="Calibri" w:hAnsi="Calibri" w:cs="Calibri"/>
          <w:bdr w:val="none" w:sz="0" w:space="0" w:color="auto" w:frame="1"/>
          <w:shd w:val="clear" w:color="auto" w:fill="FFFFFF"/>
        </w:rPr>
        <w:t xml:space="preserve">lie </w:t>
      </w:r>
      <w:r w:rsidRPr="00A13372">
        <w:rPr>
          <w:rFonts w:ascii="Calibri" w:hAnsi="Calibri" w:cs="Calibri"/>
          <w:bdr w:val="none" w:sz="0" w:space="0" w:color="auto" w:frame="1"/>
          <w:shd w:val="clear" w:color="auto" w:fill="FFFFFF"/>
        </w:rPr>
        <w:t xml:space="preserve">after this </w:t>
      </w:r>
      <w:r>
        <w:rPr>
          <w:rFonts w:ascii="Calibri" w:hAnsi="Calibri" w:cs="Calibri"/>
          <w:bdr w:val="none" w:sz="0" w:space="0" w:color="auto" w:frame="1"/>
          <w:shd w:val="clear" w:color="auto" w:fill="FFFFFF"/>
        </w:rPr>
        <w:t xml:space="preserve">domain. </w:t>
      </w:r>
      <w:proofErr w:type="gramStart"/>
      <w:r>
        <w:rPr>
          <w:rFonts w:ascii="Calibri" w:hAnsi="Calibri" w:cs="Calibri"/>
          <w:bdr w:val="none" w:sz="0" w:space="0" w:color="auto" w:frame="1"/>
          <w:shd w:val="clear" w:color="auto" w:fill="FFFFFF"/>
        </w:rPr>
        <w:t>T</w:t>
      </w:r>
      <w:r w:rsidRPr="00A13372">
        <w:rPr>
          <w:rFonts w:ascii="Calibri" w:hAnsi="Calibri" w:cs="Calibri"/>
          <w:bdr w:val="none" w:sz="0" w:space="0" w:color="auto" w:frame="1"/>
          <w:shd w:val="clear" w:color="auto" w:fill="FFFFFF"/>
        </w:rPr>
        <w:t xml:space="preserve">he earliest non-mosaic truncation to be described in a male </w:t>
      </w:r>
      <w:r>
        <w:rPr>
          <w:rFonts w:ascii="Calibri" w:hAnsi="Calibri" w:cs="Calibri"/>
          <w:bdr w:val="none" w:sz="0" w:space="0" w:color="auto" w:frame="1"/>
          <w:shd w:val="clear" w:color="auto" w:fill="FFFFFF"/>
        </w:rPr>
        <w:t xml:space="preserve">individual that we are aware of is </w:t>
      </w:r>
      <w:r w:rsidRPr="00A13372">
        <w:rPr>
          <w:rFonts w:ascii="Calibri" w:hAnsi="Calibri" w:cs="Calibri"/>
          <w:bdr w:val="none" w:sz="0" w:space="0" w:color="auto" w:frame="1"/>
          <w:shd w:val="clear" w:color="auto" w:fill="FFFFFF"/>
        </w:rPr>
        <w:t>NM_001110792.2:c.524_525del (p.G</w:t>
      </w:r>
      <w:r>
        <w:rPr>
          <w:rFonts w:ascii="Calibri" w:hAnsi="Calibri" w:cs="Calibri"/>
          <w:bdr w:val="none" w:sz="0" w:space="0" w:color="auto" w:frame="1"/>
          <w:shd w:val="clear" w:color="auto" w:fill="FFFFFF"/>
        </w:rPr>
        <w:t>ly</w:t>
      </w:r>
      <w:r w:rsidRPr="00A13372">
        <w:rPr>
          <w:rFonts w:ascii="Calibri" w:hAnsi="Calibri" w:cs="Calibri"/>
          <w:bdr w:val="none" w:sz="0" w:space="0" w:color="auto" w:frame="1"/>
          <w:shd w:val="clear" w:color="auto" w:fill="FFFFFF"/>
        </w:rPr>
        <w:t>175</w:t>
      </w:r>
      <w:r>
        <w:rPr>
          <w:rFonts w:ascii="Calibri" w:hAnsi="Calibri" w:cs="Calibri"/>
          <w:bdr w:val="none" w:sz="0" w:space="0" w:color="auto" w:frame="1"/>
          <w:shd w:val="clear" w:color="auto" w:fill="FFFFFF"/>
        </w:rPr>
        <w:t>Glu</w:t>
      </w:r>
      <w:r w:rsidRPr="00A13372">
        <w:rPr>
          <w:rFonts w:ascii="Calibri" w:hAnsi="Calibri" w:cs="Calibri"/>
          <w:bdr w:val="none" w:sz="0" w:space="0" w:color="auto" w:frame="1"/>
          <w:shd w:val="clear" w:color="auto" w:fill="FFFFFF"/>
        </w:rPr>
        <w:t xml:space="preserve">fs*11) and </w:t>
      </w:r>
      <w:r>
        <w:rPr>
          <w:rFonts w:ascii="Calibri" w:hAnsi="Calibri" w:cs="Calibri"/>
          <w:bdr w:val="none" w:sz="0" w:space="0" w:color="auto" w:frame="1"/>
          <w:shd w:val="clear" w:color="auto" w:fill="FFFFFF"/>
        </w:rPr>
        <w:t xml:space="preserve">that </w:t>
      </w:r>
      <w:r w:rsidRPr="00A13372">
        <w:rPr>
          <w:rFonts w:ascii="Calibri" w:hAnsi="Calibri" w:cs="Calibri"/>
          <w:bdr w:val="none" w:sz="0" w:space="0" w:color="auto" w:frame="1"/>
          <w:shd w:val="clear" w:color="auto" w:fill="FFFFFF"/>
        </w:rPr>
        <w:t>was associated with a very severe presentation</w:t>
      </w:r>
      <w:r>
        <w:rPr>
          <w:rFonts w:ascii="Calibri" w:hAnsi="Calibri" w:cs="Calibri"/>
          <w:bdr w:val="none" w:sz="0" w:space="0" w:color="auto" w:frame="1"/>
          <w:shd w:val="clear" w:color="auto" w:fill="FFFFFF"/>
        </w:rPr>
        <w:t>,</w:t>
      </w:r>
      <w:r w:rsidRPr="00A13372">
        <w:rPr>
          <w:rFonts w:ascii="Calibri" w:hAnsi="Calibri" w:cs="Calibri"/>
          <w:bdr w:val="none" w:sz="0" w:space="0" w:color="auto" w:frame="1"/>
          <w:shd w:val="clear" w:color="auto" w:fill="FFFFFF"/>
        </w:rPr>
        <w:t xml:space="preserve"> involving neonatal encephalopathy, bilateral polymicrogyria and the </w:t>
      </w:r>
      <w:r>
        <w:rPr>
          <w:rFonts w:ascii="Calibri" w:hAnsi="Calibri" w:cs="Calibri"/>
          <w:bdr w:val="none" w:sz="0" w:space="0" w:color="auto" w:frame="1"/>
          <w:shd w:val="clear" w:color="auto" w:fill="FFFFFF"/>
        </w:rPr>
        <w:t xml:space="preserve">individual </w:t>
      </w:r>
      <w:r w:rsidRPr="00A13372">
        <w:rPr>
          <w:rFonts w:ascii="Calibri" w:hAnsi="Calibri" w:cs="Calibri"/>
          <w:bdr w:val="none" w:sz="0" w:space="0" w:color="auto" w:frame="1"/>
          <w:shd w:val="clear" w:color="auto" w:fill="FFFFFF"/>
        </w:rPr>
        <w:t>died at 13 months.</w:t>
      </w:r>
      <w:r w:rsidRPr="003F6879">
        <w:rPr>
          <w:rFonts w:ascii="Calibri" w:hAnsi="Calibri" w:cs="Calibri"/>
          <w:noProof/>
          <w:bdr w:val="none" w:sz="0" w:space="0" w:color="auto" w:frame="1"/>
          <w:shd w:val="clear" w:color="auto" w:fill="FFFFFF"/>
          <w:vertAlign w:val="superscript"/>
        </w:rPr>
        <w:t>63; 64</w:t>
      </w:r>
      <w:r>
        <w:rPr>
          <w:rFonts w:ascii="Calibri" w:hAnsi="Calibri" w:cs="Calibri"/>
          <w:bdr w:val="none" w:sz="0" w:space="0" w:color="auto" w:frame="1"/>
          <w:shd w:val="clear" w:color="auto" w:fill="FFFFFF"/>
        </w:rPr>
        <w:t xml:space="preserve"> </w:t>
      </w:r>
      <w:r>
        <w:t xml:space="preserve">For Family 33, the alternative SV configuration would have led to an earlier truncation </w:t>
      </w:r>
      <w:r>
        <w:lastRenderedPageBreak/>
        <w:t>at codon 137 (Figure 4C) and hence would be expected to result in lethality for males.</w:t>
      </w:r>
      <w:proofErr w:type="gramEnd"/>
      <w:r>
        <w:t xml:space="preserve"> </w:t>
      </w:r>
      <w:proofErr w:type="gramStart"/>
      <w:r w:rsidRPr="00A13372">
        <w:rPr>
          <w:rFonts w:ascii="Calibri" w:hAnsi="Calibri" w:cs="Calibri"/>
          <w:bdr w:val="none" w:sz="0" w:space="0" w:color="auto" w:frame="1"/>
          <w:shd w:val="clear" w:color="auto" w:fill="FFFFFF"/>
        </w:rPr>
        <w:t>So</w:t>
      </w:r>
      <w:proofErr w:type="gramEnd"/>
      <w:r w:rsidRPr="00A13372">
        <w:rPr>
          <w:rFonts w:ascii="Calibri" w:hAnsi="Calibri" w:cs="Calibri"/>
          <w:bdr w:val="none" w:sz="0" w:space="0" w:color="auto" w:frame="1"/>
          <w:shd w:val="clear" w:color="auto" w:fill="FFFFFF"/>
        </w:rPr>
        <w:t xml:space="preserve"> </w:t>
      </w:r>
      <w:r>
        <w:rPr>
          <w:rFonts w:ascii="Calibri" w:hAnsi="Calibri" w:cs="Calibri"/>
          <w:bdr w:val="none" w:sz="0" w:space="0" w:color="auto" w:frame="1"/>
          <w:shd w:val="clear" w:color="auto" w:fill="FFFFFF"/>
        </w:rPr>
        <w:t xml:space="preserve">a genuine germline </w:t>
      </w:r>
      <w:r w:rsidRPr="00A13372">
        <w:rPr>
          <w:rFonts w:ascii="Calibri" w:hAnsi="Calibri" w:cs="Calibri"/>
          <w:bdr w:val="none" w:sz="0" w:space="0" w:color="auto" w:frame="1"/>
          <w:shd w:val="clear" w:color="auto" w:fill="FFFFFF"/>
        </w:rPr>
        <w:t>truncation at p.I</w:t>
      </w:r>
      <w:r>
        <w:rPr>
          <w:rFonts w:ascii="Calibri" w:hAnsi="Calibri" w:cs="Calibri"/>
          <w:bdr w:val="none" w:sz="0" w:space="0" w:color="auto" w:frame="1"/>
          <w:shd w:val="clear" w:color="auto" w:fill="FFFFFF"/>
        </w:rPr>
        <w:t>le</w:t>
      </w:r>
      <w:r w:rsidRPr="00A13372">
        <w:rPr>
          <w:rFonts w:ascii="Calibri" w:hAnsi="Calibri" w:cs="Calibri"/>
          <w:bdr w:val="none" w:sz="0" w:space="0" w:color="auto" w:frame="1"/>
          <w:shd w:val="clear" w:color="auto" w:fill="FFFFFF"/>
        </w:rPr>
        <w:t xml:space="preserve">137 seems unlikely and </w:t>
      </w:r>
      <w:r>
        <w:rPr>
          <w:rFonts w:ascii="Calibri" w:hAnsi="Calibri" w:cs="Calibri"/>
          <w:bdr w:val="none" w:sz="0" w:space="0" w:color="auto" w:frame="1"/>
          <w:shd w:val="clear" w:color="auto" w:fill="FFFFFF"/>
        </w:rPr>
        <w:t xml:space="preserve">may have led to a suspicion of mosaicism. </w:t>
      </w:r>
      <w:r>
        <w:t>In Family 47, the presence of a classical translocation would have altered how the family was counselled and determined which methods would be viable options for validation/cascade testing. Together with a similar case report,</w:t>
      </w:r>
      <w:r w:rsidRPr="003F6879">
        <w:rPr>
          <w:noProof/>
          <w:vertAlign w:val="superscript"/>
        </w:rPr>
        <w:t>65</w:t>
      </w:r>
      <w:r>
        <w:t xml:space="preserve"> our work poses the question of whether other unsolved </w:t>
      </w:r>
      <w:r w:rsidR="003B146D">
        <w:t xml:space="preserve">individuals with </w:t>
      </w:r>
      <w:r>
        <w:t xml:space="preserve">Rett syndrome might be explained by cryptic SVs involving </w:t>
      </w:r>
      <w:r w:rsidRPr="00962825">
        <w:rPr>
          <w:i/>
        </w:rPr>
        <w:t>MECP2.</w:t>
      </w:r>
    </w:p>
    <w:p w14:paraId="5D1AC1C0" w14:textId="684B5E5C" w:rsidR="0054637A" w:rsidRDefault="0054637A" w:rsidP="00DD05AD">
      <w:pPr>
        <w:jc w:val="both"/>
      </w:pPr>
      <w:r>
        <w:t>Although the present study only aimed to identify inversions that disrupt the coding sequence of genes known to cause disease through HI, large SVs can also alter chromatin structure, which in turn can lead to changes in gene expression. A good example of this phenomenon from the 100kGP include several families with complex duplication-inversions on chromosome 17 that create new Topological-Associated Domains and result in a dominant form of Retinitis Pigmentosa.</w:t>
      </w:r>
      <w:r w:rsidRPr="003F6879">
        <w:rPr>
          <w:noProof/>
          <w:vertAlign w:val="superscript"/>
        </w:rPr>
        <w:t>66</w:t>
      </w:r>
      <w:r>
        <w:t xml:space="preserve"> The bioinformatic filtering steps performed in our study meant that for most </w:t>
      </w:r>
      <w:r w:rsidR="00D32FCE">
        <w:t>participants</w:t>
      </w:r>
      <w:r>
        <w:t>,</w:t>
      </w:r>
      <w:r w:rsidRPr="008B63AE">
        <w:t xml:space="preserve"> </w:t>
      </w:r>
      <w:r>
        <w:t xml:space="preserve">the </w:t>
      </w:r>
      <w:r w:rsidRPr="008B63AE">
        <w:t>inversion breakpoint</w:t>
      </w:r>
      <w:r>
        <w:t>s</w:t>
      </w:r>
      <w:r w:rsidRPr="008B63AE">
        <w:t xml:space="preserve"> lay between coding exons</w:t>
      </w:r>
      <w:r>
        <w:t xml:space="preserve">. For this class of balanced inversion, </w:t>
      </w:r>
      <w:r w:rsidRPr="008B63AE">
        <w:t>the ACMG criteria PVS1</w:t>
      </w:r>
      <w:r w:rsidRPr="003F6879">
        <w:rPr>
          <w:noProof/>
          <w:vertAlign w:val="superscript"/>
        </w:rPr>
        <w:t>67</w:t>
      </w:r>
      <w:r w:rsidRPr="008B63AE">
        <w:t xml:space="preserve"> can </w:t>
      </w:r>
      <w:r>
        <w:t xml:space="preserve">typically </w:t>
      </w:r>
      <w:r w:rsidRPr="008B63AE">
        <w:t>be applied.</w:t>
      </w:r>
      <w:r>
        <w:t xml:space="preserve"> However, there were notable exceptions to this rule. For the individual with craniosynostosis 1 [MIM #</w:t>
      </w:r>
      <w:r w:rsidRPr="00F7531C">
        <w:t>123100</w:t>
      </w:r>
      <w:r>
        <w:t xml:space="preserve">] and an inversion involving </w:t>
      </w:r>
      <w:r>
        <w:rPr>
          <w:i/>
        </w:rPr>
        <w:t xml:space="preserve">TWIST1 </w:t>
      </w:r>
      <w:r>
        <w:t>(Family 24</w:t>
      </w:r>
      <w:r w:rsidRPr="002F28B1">
        <w:t xml:space="preserve">), the </w:t>
      </w:r>
      <w:r>
        <w:t xml:space="preserve">closest </w:t>
      </w:r>
      <w:r w:rsidRPr="002F28B1">
        <w:t xml:space="preserve">breakpoint lay 18kb downstream of </w:t>
      </w:r>
      <w:r>
        <w:t xml:space="preserve">the disease-relevant </w:t>
      </w:r>
      <w:r w:rsidRPr="002F28B1">
        <w:t xml:space="preserve">gene </w:t>
      </w:r>
      <w:r>
        <w:t xml:space="preserve">and </w:t>
      </w:r>
      <w:r w:rsidRPr="002F28B1">
        <w:t xml:space="preserve">so </w:t>
      </w:r>
      <w:r>
        <w:t xml:space="preserve">a </w:t>
      </w:r>
      <w:r w:rsidRPr="002F28B1">
        <w:t>position effect</w:t>
      </w:r>
      <w:r>
        <w:t xml:space="preserve"> needs to be invoked. P</w:t>
      </w:r>
      <w:r w:rsidRPr="002B58B7">
        <w:t xml:space="preserve">athogenicity </w:t>
      </w:r>
      <w:r>
        <w:t>wa</w:t>
      </w:r>
      <w:r w:rsidRPr="002B58B7">
        <w:t xml:space="preserve">s supported from </w:t>
      </w:r>
      <w:r>
        <w:t>a combination of co-</w:t>
      </w:r>
      <w:r w:rsidRPr="002B58B7">
        <w:t xml:space="preserve">segregation </w:t>
      </w:r>
      <w:r>
        <w:t xml:space="preserve">together with </w:t>
      </w:r>
      <w:r w:rsidRPr="002B58B7">
        <w:t>clinical specificity.</w:t>
      </w:r>
      <w:r w:rsidRPr="00053445">
        <w:rPr>
          <w:noProof/>
          <w:vertAlign w:val="superscript"/>
        </w:rPr>
        <w:t>32</w:t>
      </w:r>
      <w:r>
        <w:t xml:space="preserve"> In the present study, t</w:t>
      </w:r>
      <w:r w:rsidRPr="002B58B7">
        <w:t xml:space="preserve">his </w:t>
      </w:r>
      <w:r>
        <w:t>inversion was identified due a longer overlapping transcript isoform (</w:t>
      </w:r>
      <w:r w:rsidRPr="002B58B7">
        <w:t>ENST00000443687.5</w:t>
      </w:r>
      <w:r>
        <w:t>) in the ENSEMBL v105 annotation set</w:t>
      </w:r>
      <w:r w:rsidRPr="002B58B7">
        <w:t>.</w:t>
      </w:r>
      <w:r>
        <w:t xml:space="preserve"> Similarly, the proximal breakpoint for the i</w:t>
      </w:r>
      <w:r w:rsidRPr="00171DBD">
        <w:t xml:space="preserve">nversion </w:t>
      </w:r>
      <w:r>
        <w:t xml:space="preserve">involving </w:t>
      </w:r>
      <w:r w:rsidRPr="007206D1">
        <w:rPr>
          <w:i/>
        </w:rPr>
        <w:t xml:space="preserve">HOXD11-13 </w:t>
      </w:r>
      <w:r>
        <w:t>(Family 42) wa</w:t>
      </w:r>
      <w:r w:rsidRPr="0046169D">
        <w:t xml:space="preserve">s </w:t>
      </w:r>
      <w:proofErr w:type="spellStart"/>
      <w:r w:rsidRPr="0046169D">
        <w:t>exonic</w:t>
      </w:r>
      <w:proofErr w:type="spellEnd"/>
      <w:r w:rsidRPr="0046169D">
        <w:t xml:space="preserve"> only </w:t>
      </w:r>
      <w:r>
        <w:t xml:space="preserve">for non-canonical </w:t>
      </w:r>
      <w:r w:rsidRPr="007206D1">
        <w:rPr>
          <w:i/>
        </w:rPr>
        <w:t>HOXD13</w:t>
      </w:r>
      <w:r>
        <w:t xml:space="preserve"> isoforms</w:t>
      </w:r>
      <w:r w:rsidRPr="0046169D">
        <w:t>.</w:t>
      </w:r>
      <w:r>
        <w:t xml:space="preserve"> This variant was supported by </w:t>
      </w:r>
      <w:r w:rsidRPr="008B3AB8">
        <w:rPr>
          <w:i/>
        </w:rPr>
        <w:t>de novo</w:t>
      </w:r>
      <w:r>
        <w:t xml:space="preserve"> occurrence, onward transmission to an affected son and by a high degree of clinical specificity. Several studies have investigated the chromatin domain boundaries at the </w:t>
      </w:r>
      <w:r w:rsidRPr="00870B4F">
        <w:rPr>
          <w:i/>
        </w:rPr>
        <w:t>HOXD</w:t>
      </w:r>
      <w:r>
        <w:t xml:space="preserve"> locus</w:t>
      </w:r>
      <w:r>
        <w:rPr>
          <w:rFonts w:ascii="Calibri" w:hAnsi="Calibri" w:cs="Calibri"/>
          <w:color w:val="000000"/>
          <w:shd w:val="clear" w:color="auto" w:fill="FFFFFF"/>
        </w:rPr>
        <w:t xml:space="preserve">. Detailed characterisation of </w:t>
      </w:r>
      <w:r w:rsidRPr="007206D1">
        <w:rPr>
          <w:rFonts w:ascii="Calibri" w:hAnsi="Calibri" w:cs="Calibri"/>
          <w:color w:val="000000"/>
          <w:shd w:val="clear" w:color="auto" w:fill="FFFFFF"/>
        </w:rPr>
        <w:t xml:space="preserve">CTCF </w:t>
      </w:r>
      <w:r>
        <w:rPr>
          <w:rFonts w:ascii="Calibri" w:hAnsi="Calibri" w:cs="Calibri"/>
          <w:color w:val="000000"/>
          <w:shd w:val="clear" w:color="auto" w:fill="FFFFFF"/>
        </w:rPr>
        <w:t xml:space="preserve">sites suggests this </w:t>
      </w:r>
      <w:r w:rsidRPr="007206D1">
        <w:rPr>
          <w:rFonts w:ascii="Calibri" w:hAnsi="Calibri" w:cs="Calibri"/>
          <w:color w:val="000000"/>
          <w:shd w:val="clear" w:color="auto" w:fill="FFFFFF"/>
        </w:rPr>
        <w:t xml:space="preserve">locus </w:t>
      </w:r>
      <w:r>
        <w:rPr>
          <w:rFonts w:ascii="Calibri" w:hAnsi="Calibri" w:cs="Calibri"/>
          <w:color w:val="000000"/>
          <w:shd w:val="clear" w:color="auto" w:fill="FFFFFF"/>
        </w:rPr>
        <w:t xml:space="preserve">is </w:t>
      </w:r>
      <w:r w:rsidRPr="007206D1">
        <w:rPr>
          <w:rFonts w:ascii="Calibri" w:hAnsi="Calibri" w:cs="Calibri"/>
          <w:color w:val="000000"/>
          <w:shd w:val="clear" w:color="auto" w:fill="FFFFFF"/>
        </w:rPr>
        <w:t>divide</w:t>
      </w:r>
      <w:r>
        <w:rPr>
          <w:rFonts w:ascii="Calibri" w:hAnsi="Calibri" w:cs="Calibri"/>
          <w:color w:val="000000"/>
          <w:shd w:val="clear" w:color="auto" w:fill="FFFFFF"/>
        </w:rPr>
        <w:t>d</w:t>
      </w:r>
      <w:r w:rsidRPr="007206D1">
        <w:rPr>
          <w:rFonts w:ascii="Calibri" w:hAnsi="Calibri" w:cs="Calibri"/>
          <w:color w:val="000000"/>
          <w:shd w:val="clear" w:color="auto" w:fill="FFFFFF"/>
        </w:rPr>
        <w:t xml:space="preserve"> into two, a proximal </w:t>
      </w:r>
      <w:r>
        <w:rPr>
          <w:rFonts w:ascii="Calibri" w:hAnsi="Calibri" w:cs="Calibri"/>
          <w:color w:val="000000"/>
          <w:shd w:val="clear" w:color="auto" w:fill="FFFFFF"/>
        </w:rPr>
        <w:t>domain</w:t>
      </w:r>
      <w:r w:rsidRPr="007206D1">
        <w:rPr>
          <w:rFonts w:ascii="Calibri" w:hAnsi="Calibri" w:cs="Calibri"/>
          <w:color w:val="000000"/>
          <w:shd w:val="clear" w:color="auto" w:fill="FFFFFF"/>
        </w:rPr>
        <w:t xml:space="preserve"> and a distal</w:t>
      </w:r>
      <w:r w:rsidRPr="008B3AB8">
        <w:rPr>
          <w:rFonts w:ascii="Calibri" w:hAnsi="Calibri" w:cs="Calibri"/>
          <w:color w:val="000000"/>
          <w:shd w:val="clear" w:color="auto" w:fill="FFFFFF"/>
        </w:rPr>
        <w:t xml:space="preserve"> </w:t>
      </w:r>
      <w:r w:rsidRPr="007206D1">
        <w:rPr>
          <w:rFonts w:ascii="Calibri" w:hAnsi="Calibri" w:cs="Calibri"/>
          <w:color w:val="000000"/>
          <w:shd w:val="clear" w:color="auto" w:fill="FFFFFF"/>
        </w:rPr>
        <w:t xml:space="preserve">domain. </w:t>
      </w:r>
      <w:r>
        <w:rPr>
          <w:rFonts w:ascii="Calibri" w:hAnsi="Calibri" w:cs="Calibri"/>
          <w:color w:val="000000"/>
          <w:shd w:val="clear" w:color="auto" w:fill="FFFFFF"/>
        </w:rPr>
        <w:t>D</w:t>
      </w:r>
      <w:r w:rsidRPr="007206D1">
        <w:rPr>
          <w:rFonts w:ascii="Calibri" w:hAnsi="Calibri" w:cs="Calibri"/>
          <w:color w:val="000000"/>
          <w:shd w:val="clear" w:color="auto" w:fill="FFFFFF"/>
        </w:rPr>
        <w:t xml:space="preserve">ivision between both </w:t>
      </w:r>
      <w:r>
        <w:rPr>
          <w:rFonts w:ascii="Calibri" w:hAnsi="Calibri" w:cs="Calibri"/>
          <w:color w:val="000000"/>
          <w:shd w:val="clear" w:color="auto" w:fill="FFFFFF"/>
        </w:rPr>
        <w:t xml:space="preserve">likely occurs </w:t>
      </w:r>
      <w:r w:rsidRPr="007206D1">
        <w:rPr>
          <w:rFonts w:ascii="Calibri" w:hAnsi="Calibri" w:cs="Calibri"/>
          <w:color w:val="000000"/>
          <w:shd w:val="clear" w:color="auto" w:fill="FFFFFF"/>
        </w:rPr>
        <w:t xml:space="preserve">between </w:t>
      </w:r>
      <w:r w:rsidRPr="008B3AB8">
        <w:rPr>
          <w:rFonts w:ascii="Calibri" w:hAnsi="Calibri" w:cs="Calibri"/>
          <w:i/>
          <w:color w:val="000000"/>
          <w:shd w:val="clear" w:color="auto" w:fill="FFFFFF"/>
        </w:rPr>
        <w:t>HOXD13</w:t>
      </w:r>
      <w:r>
        <w:rPr>
          <w:rFonts w:ascii="Calibri" w:hAnsi="Calibri" w:cs="Calibri"/>
          <w:color w:val="000000"/>
          <w:shd w:val="clear" w:color="auto" w:fill="FFFFFF"/>
        </w:rPr>
        <w:t xml:space="preserve"> </w:t>
      </w:r>
      <w:r w:rsidRPr="007206D1">
        <w:rPr>
          <w:rFonts w:ascii="Calibri" w:hAnsi="Calibri" w:cs="Calibri"/>
          <w:color w:val="000000"/>
          <w:shd w:val="clear" w:color="auto" w:fill="FFFFFF"/>
        </w:rPr>
        <w:t xml:space="preserve">and </w:t>
      </w:r>
      <w:r w:rsidRPr="008B3AB8">
        <w:rPr>
          <w:rFonts w:ascii="Calibri" w:hAnsi="Calibri" w:cs="Calibri"/>
          <w:i/>
          <w:color w:val="000000"/>
          <w:shd w:val="clear" w:color="auto" w:fill="FFFFFF"/>
        </w:rPr>
        <w:t>HOXD11</w:t>
      </w:r>
      <w:r w:rsidR="00D619F4">
        <w:rPr>
          <w:rFonts w:ascii="Calibri" w:hAnsi="Calibri" w:cs="Calibri"/>
          <w:color w:val="000000"/>
          <w:shd w:val="clear" w:color="auto" w:fill="FFFFFF"/>
        </w:rPr>
        <w:t>.</w:t>
      </w:r>
      <w:r w:rsidRPr="003F6879">
        <w:rPr>
          <w:rFonts w:ascii="Calibri" w:hAnsi="Calibri" w:cs="Calibri"/>
          <w:noProof/>
          <w:color w:val="000000"/>
          <w:shd w:val="clear" w:color="auto" w:fill="FFFFFF"/>
          <w:vertAlign w:val="superscript"/>
        </w:rPr>
        <w:t>68</w:t>
      </w:r>
      <w:r>
        <w:rPr>
          <w:rFonts w:ascii="Calibri" w:hAnsi="Calibri" w:cs="Calibri"/>
          <w:color w:val="000000"/>
          <w:shd w:val="clear" w:color="auto" w:fill="FFFFFF"/>
        </w:rPr>
        <w:t xml:space="preserve"> T</w:t>
      </w:r>
      <w:r w:rsidRPr="007206D1">
        <w:rPr>
          <w:rFonts w:ascii="Calibri" w:hAnsi="Calibri" w:cs="Calibri"/>
          <w:color w:val="000000"/>
          <w:shd w:val="clear" w:color="auto" w:fill="FFFFFF"/>
        </w:rPr>
        <w:t xml:space="preserve">he inversion </w:t>
      </w:r>
      <w:r>
        <w:rPr>
          <w:rFonts w:ascii="Calibri" w:hAnsi="Calibri" w:cs="Calibri"/>
          <w:color w:val="000000"/>
          <w:shd w:val="clear" w:color="auto" w:fill="FFFFFF"/>
        </w:rPr>
        <w:t>described here would turn</w:t>
      </w:r>
      <w:r w:rsidRPr="007206D1">
        <w:rPr>
          <w:rFonts w:ascii="Calibri" w:hAnsi="Calibri" w:cs="Calibri"/>
          <w:color w:val="000000"/>
          <w:shd w:val="clear" w:color="auto" w:fill="FFFFFF"/>
        </w:rPr>
        <w:t xml:space="preserve"> the CTCF sites around </w:t>
      </w:r>
      <w:r>
        <w:rPr>
          <w:rFonts w:ascii="Calibri" w:hAnsi="Calibri" w:cs="Calibri"/>
          <w:color w:val="000000"/>
          <w:shd w:val="clear" w:color="auto" w:fill="FFFFFF"/>
        </w:rPr>
        <w:t xml:space="preserve">and would likely have an impact on gene expression during critical stages of limb development. </w:t>
      </w:r>
      <w:r>
        <w:t>A</w:t>
      </w:r>
      <w:r w:rsidRPr="00145E54">
        <w:t xml:space="preserve"> </w:t>
      </w:r>
      <w:r>
        <w:t xml:space="preserve">third exception was the </w:t>
      </w:r>
      <w:r w:rsidRPr="00145E54">
        <w:t>complex</w:t>
      </w:r>
      <w:r>
        <w:rPr>
          <w:i/>
        </w:rPr>
        <w:t xml:space="preserve"> </w:t>
      </w:r>
      <w:r>
        <w:t xml:space="preserve">SV in Family 44 </w:t>
      </w:r>
      <w:r w:rsidRPr="00214A82">
        <w:t>in</w:t>
      </w:r>
      <w:r>
        <w:t>volving</w:t>
      </w:r>
      <w:r w:rsidRPr="00214A82">
        <w:t xml:space="preserve"> </w:t>
      </w:r>
      <w:r>
        <w:t xml:space="preserve">interlinked duplications on 11p15.4. </w:t>
      </w:r>
      <w:r w:rsidRPr="00870B4F">
        <w:rPr>
          <w:i/>
        </w:rPr>
        <w:t>CDKN1C</w:t>
      </w:r>
      <w:r w:rsidRPr="00870B4F">
        <w:t xml:space="preserve"> is a well-known locus for </w:t>
      </w:r>
      <w:r w:rsidRPr="00BA4BD8">
        <w:t>Beckwith</w:t>
      </w:r>
      <w:r w:rsidR="005B7092">
        <w:t>-</w:t>
      </w:r>
      <w:r w:rsidRPr="00BA4BD8">
        <w:t xml:space="preserve">Wiedemann syndrome </w:t>
      </w:r>
      <w:r w:rsidRPr="00870B4F">
        <w:t xml:space="preserve">associated rearrangements - the first balanced rearrangements clustering 100kb from </w:t>
      </w:r>
      <w:r w:rsidRPr="00710770">
        <w:rPr>
          <w:i/>
        </w:rPr>
        <w:t>CDKN1C</w:t>
      </w:r>
      <w:r w:rsidRPr="00870B4F">
        <w:t xml:space="preserve"> </w:t>
      </w:r>
      <w:r>
        <w:t xml:space="preserve">were described </w:t>
      </w:r>
      <w:r w:rsidRPr="00870B4F">
        <w:t>nearly 30 years ago</w:t>
      </w:r>
      <w:r>
        <w:t>.</w:t>
      </w:r>
      <w:r w:rsidRPr="003F6879">
        <w:rPr>
          <w:noProof/>
          <w:vertAlign w:val="superscript"/>
        </w:rPr>
        <w:t>69</w:t>
      </w:r>
      <w:r>
        <w:t xml:space="preserve"> Our hypothesis is that this SV disrupts the maternal methylation status of the IC2 region, upregulating expression of </w:t>
      </w:r>
      <w:r w:rsidRPr="0082624E">
        <w:rPr>
          <w:i/>
        </w:rPr>
        <w:t>KCNQ1OT1</w:t>
      </w:r>
      <w:r>
        <w:t xml:space="preserve"> (</w:t>
      </w:r>
      <w:r w:rsidR="008D2706">
        <w:t xml:space="preserve">MIM </w:t>
      </w:r>
      <w:r w:rsidR="008D2706" w:rsidRPr="008D2706">
        <w:t>*604115</w:t>
      </w:r>
      <w:r w:rsidR="008D2706">
        <w:t xml:space="preserve">; </w:t>
      </w:r>
      <w:r>
        <w:t xml:space="preserve">KCNQ1 opposite strand/antisense transcript 1), and consequential repression of </w:t>
      </w:r>
      <w:r w:rsidRPr="00145E54">
        <w:rPr>
          <w:i/>
        </w:rPr>
        <w:t>CDKN1C</w:t>
      </w:r>
      <w:r>
        <w:t>. Although no epigenetic data was available for this individual, studies have shown that methylation signatures can be critical for helping confirm or propose new diagnoses for a range of genetic conditions.</w:t>
      </w:r>
      <w:r w:rsidRPr="003F6879">
        <w:rPr>
          <w:noProof/>
          <w:vertAlign w:val="superscript"/>
        </w:rPr>
        <w:t>70</w:t>
      </w:r>
      <w:r>
        <w:t xml:space="preserve"> In general, the effect of complex SVs on methylation status is poorly understood. However, a recent study used array and nanopore technologies to confirm that a </w:t>
      </w:r>
      <w:r w:rsidRPr="005158BF">
        <w:t xml:space="preserve">DUP-TRP/INV-DUP on chromosome 14 </w:t>
      </w:r>
      <w:r>
        <w:t xml:space="preserve">resulted in a </w:t>
      </w:r>
      <w:r w:rsidRPr="005158BF">
        <w:t xml:space="preserve">methylation pattern </w:t>
      </w:r>
      <w:r>
        <w:t xml:space="preserve">consistent with UPD(14)mat [Temple syndrome, MIM </w:t>
      </w:r>
      <w:r w:rsidRPr="005158BF">
        <w:t>#616222</w:t>
      </w:r>
      <w:r>
        <w:t>].</w:t>
      </w:r>
      <w:r w:rsidRPr="003F6879">
        <w:rPr>
          <w:noProof/>
          <w:vertAlign w:val="superscript"/>
        </w:rPr>
        <w:t>71</w:t>
      </w:r>
      <w:r>
        <w:t xml:space="preserve"> For our last two </w:t>
      </w:r>
      <w:r w:rsidR="00D32FCE">
        <w:t xml:space="preserve">families </w:t>
      </w:r>
      <w:r>
        <w:t>(F</w:t>
      </w:r>
      <w:r w:rsidR="00E912BF">
        <w:t xml:space="preserve">amilies </w:t>
      </w:r>
      <w:r>
        <w:t xml:space="preserve">42 and 44), the target </w:t>
      </w:r>
      <w:r w:rsidRPr="002F28B1">
        <w:t>gene</w:t>
      </w:r>
      <w:r>
        <w:t>s</w:t>
      </w:r>
      <w:r w:rsidRPr="002F28B1">
        <w:t xml:space="preserve"> </w:t>
      </w:r>
      <w:r>
        <w:t xml:space="preserve">are small and so there were far </w:t>
      </w:r>
      <w:r w:rsidRPr="002F28B1">
        <w:t xml:space="preserve">fewer SVs </w:t>
      </w:r>
      <w:r>
        <w:t xml:space="preserve">listed in the </w:t>
      </w:r>
      <w:proofErr w:type="spellStart"/>
      <w:r>
        <w:t>SVRare</w:t>
      </w:r>
      <w:proofErr w:type="spellEnd"/>
      <w:r>
        <w:t xml:space="preserve"> report. In combination with the highly </w:t>
      </w:r>
      <w:r w:rsidRPr="002F28B1">
        <w:t>specific phenotype</w:t>
      </w:r>
      <w:r>
        <w:t>s,</w:t>
      </w:r>
      <w:r w:rsidRPr="002F28B1">
        <w:t xml:space="preserve"> the</w:t>
      </w:r>
      <w:r>
        <w:t>se</w:t>
      </w:r>
      <w:r w:rsidRPr="002F28B1">
        <w:t xml:space="preserve"> SV</w:t>
      </w:r>
      <w:r>
        <w:t>s</w:t>
      </w:r>
      <w:r w:rsidRPr="002F28B1">
        <w:t xml:space="preserve"> w</w:t>
      </w:r>
      <w:r>
        <w:t>ere</w:t>
      </w:r>
      <w:r w:rsidRPr="002F28B1">
        <w:t xml:space="preserve"> </w:t>
      </w:r>
      <w:r>
        <w:t xml:space="preserve">able to be detected </w:t>
      </w:r>
      <w:r w:rsidRPr="002F28B1">
        <w:t>prior to the final filter</w:t>
      </w:r>
      <w:r>
        <w:t>ing</w:t>
      </w:r>
      <w:r w:rsidRPr="002F28B1">
        <w:t xml:space="preserve"> step</w:t>
      </w:r>
      <w:r>
        <w:t>,</w:t>
      </w:r>
      <w:r w:rsidRPr="002F28B1">
        <w:t xml:space="preserve"> </w:t>
      </w:r>
      <w:r>
        <w:t xml:space="preserve">in which unequivocal </w:t>
      </w:r>
      <w:r w:rsidRPr="002F28B1">
        <w:t>gene disruption</w:t>
      </w:r>
      <w:r>
        <w:t xml:space="preserve"> was a requirement</w:t>
      </w:r>
      <w:r w:rsidRPr="002F28B1">
        <w:t>.</w:t>
      </w:r>
      <w:r>
        <w:t xml:space="preserve"> These highlight the importance of future work towards prioritising SVs with </w:t>
      </w:r>
      <w:r w:rsidRPr="002F28B1">
        <w:t>position effects in a more systematic fashion.</w:t>
      </w:r>
    </w:p>
    <w:p w14:paraId="6687B9F7" w14:textId="3B62E6C3" w:rsidR="0054637A" w:rsidRPr="00BA0D50" w:rsidRDefault="0054637A" w:rsidP="00DD05AD">
      <w:pPr>
        <w:jc w:val="both"/>
      </w:pPr>
      <w:r w:rsidRPr="00D70711">
        <w:t>The</w:t>
      </w:r>
      <w:r>
        <w:t xml:space="preserve"> balanced rearrangement involving</w:t>
      </w:r>
      <w:r w:rsidRPr="00D15725">
        <w:rPr>
          <w:i/>
        </w:rPr>
        <w:t xml:space="preserve"> APC</w:t>
      </w:r>
      <w:r>
        <w:t xml:space="preserve"> (Family 43</w:t>
      </w:r>
      <w:r w:rsidR="00270E66">
        <w:t>, Figure 6A</w:t>
      </w:r>
      <w:r>
        <w:t xml:space="preserve">) resolved a long-standing clinical conundrum and allowed us to determine that the single </w:t>
      </w:r>
      <w:r w:rsidRPr="00D305E4">
        <w:t xml:space="preserve">polyp </w:t>
      </w:r>
      <w:r>
        <w:t xml:space="preserve">seen in the elder brother was simply </w:t>
      </w:r>
      <w:r w:rsidRPr="00D305E4">
        <w:t>a chance finding</w:t>
      </w:r>
      <w:r>
        <w:t>. In addition to impacting disease surveillance decisions, the finding may be useful in future for family planning. We note a recent study describes a</w:t>
      </w:r>
      <w:r w:rsidRPr="00D305E4">
        <w:t xml:space="preserve"> </w:t>
      </w:r>
      <w:r>
        <w:t xml:space="preserve">largely balanced </w:t>
      </w:r>
      <w:proofErr w:type="spellStart"/>
      <w:r w:rsidRPr="00D305E4">
        <w:t>chromothripsis</w:t>
      </w:r>
      <w:proofErr w:type="spellEnd"/>
      <w:r w:rsidRPr="00D305E4">
        <w:t xml:space="preserve"> </w:t>
      </w:r>
      <w:r>
        <w:t xml:space="preserve">event involving </w:t>
      </w:r>
      <w:r w:rsidRPr="00D305E4">
        <w:t xml:space="preserve">the </w:t>
      </w:r>
      <w:r w:rsidRPr="00D15725">
        <w:rPr>
          <w:i/>
        </w:rPr>
        <w:t>APC</w:t>
      </w:r>
      <w:r w:rsidRPr="00D305E4">
        <w:t xml:space="preserve"> locus as a </w:t>
      </w:r>
      <w:r>
        <w:t xml:space="preserve">germline </w:t>
      </w:r>
      <w:r w:rsidRPr="00D305E4">
        <w:t xml:space="preserve">cause of </w:t>
      </w:r>
      <w:r>
        <w:t xml:space="preserve">a </w:t>
      </w:r>
      <w:r w:rsidRPr="00D305E4">
        <w:t>colon cancer predisposition.</w:t>
      </w:r>
      <w:r w:rsidRPr="003F6879">
        <w:rPr>
          <w:noProof/>
          <w:vertAlign w:val="superscript"/>
        </w:rPr>
        <w:t>72</w:t>
      </w:r>
      <w:r>
        <w:t xml:space="preserve"> Although that </w:t>
      </w:r>
      <w:r>
        <w:lastRenderedPageBreak/>
        <w:t xml:space="preserve">rearrangement involved the translocation of 10 fragments from </w:t>
      </w:r>
      <w:r w:rsidRPr="00545C2F">
        <w:t>5q22.1q22.3</w:t>
      </w:r>
      <w:r>
        <w:t xml:space="preserve"> into 10q21.3 and showed similar level of complexity to the rearrangement seen here, it was not a translocation in the classical sense and so would not have been identified by karyotyping. Other examples of cryptic </w:t>
      </w:r>
      <w:r w:rsidRPr="003430AB">
        <w:rPr>
          <w:i/>
        </w:rPr>
        <w:t>APC</w:t>
      </w:r>
      <w:r>
        <w:t xml:space="preserve"> variants are provided in Note S6. Our results therefore strengthen the rationale that individuals with a strong clinical suspicion for a germline </w:t>
      </w:r>
      <w:r w:rsidRPr="00D15725">
        <w:rPr>
          <w:i/>
        </w:rPr>
        <w:t>APC</w:t>
      </w:r>
      <w:r>
        <w:t xml:space="preserve"> variant that remain unsolved following standard testing approaches should be considered for genome sequencing to uncover potential cryptic variants. </w:t>
      </w:r>
      <w:r w:rsidRPr="00305A4F">
        <w:t>Th</w:t>
      </w:r>
      <w:r>
        <w:t xml:space="preserve">e complex translocation identified here poses the related question of, how often translocations uncovered by karyotyping have this degree of complexity. An earlier study found that 26% of balanced SVs detected by karyotyping </w:t>
      </w:r>
      <w:r w:rsidRPr="00C32BC6">
        <w:t>involv</w:t>
      </w:r>
      <w:r>
        <w:t>ed</w:t>
      </w:r>
      <w:r w:rsidRPr="00C32BC6">
        <w:t xml:space="preserve"> three or more breakpoints</w:t>
      </w:r>
      <w:r>
        <w:t>.</w:t>
      </w:r>
      <w:r w:rsidRPr="00053445">
        <w:rPr>
          <w:noProof/>
          <w:vertAlign w:val="superscript"/>
        </w:rPr>
        <w:t>15</w:t>
      </w:r>
    </w:p>
    <w:p w14:paraId="7FF6230D" w14:textId="5A3E14FC" w:rsidR="0054637A" w:rsidRDefault="0054637A" w:rsidP="00DD05AD">
      <w:pPr>
        <w:jc w:val="both"/>
      </w:pPr>
      <w:r>
        <w:t xml:space="preserve">For 8/47 </w:t>
      </w:r>
      <w:r w:rsidR="004A37C7">
        <w:t xml:space="preserve">families </w:t>
      </w:r>
      <w:r>
        <w:t xml:space="preserve">we are still not in touch with the recruiting clinician, despite repeated attempts to make contact over </w:t>
      </w:r>
      <w:proofErr w:type="gramStart"/>
      <w:r>
        <w:t>an</w:t>
      </w:r>
      <w:proofErr w:type="gramEnd"/>
      <w:r>
        <w:t xml:space="preserve"> ~18 month period. Similar difficulties were also noted in a recent commentary where a response rate of 20% was noted.</w:t>
      </w:r>
      <w:r w:rsidRPr="003F6879">
        <w:rPr>
          <w:noProof/>
          <w:vertAlign w:val="superscript"/>
        </w:rPr>
        <w:t>73</w:t>
      </w:r>
      <w:r>
        <w:t xml:space="preserve"> The reasons for this are often due to the time gap between recruitment and the research finding being uncovered (&gt;5 years </w:t>
      </w:r>
      <w:r w:rsidR="004A37C7">
        <w:t xml:space="preserve">for </w:t>
      </w:r>
      <w:r>
        <w:t xml:space="preserve">several </w:t>
      </w:r>
      <w:r w:rsidR="004A37C7">
        <w:t>participants</w:t>
      </w:r>
      <w:r>
        <w:t>). In that time an appreciable turnover of clinicians is to be expected. At the time of writing, 60%</w:t>
      </w:r>
      <w:r w:rsidRPr="00BA0D50">
        <w:t xml:space="preserve"> of </w:t>
      </w:r>
      <w:r>
        <w:t xml:space="preserve">these </w:t>
      </w:r>
      <w:r w:rsidRPr="00BA0D50">
        <w:t xml:space="preserve">SVs </w:t>
      </w:r>
      <w:r>
        <w:t xml:space="preserve">reported here have been </w:t>
      </w:r>
      <w:r w:rsidRPr="00BA0D50">
        <w:t xml:space="preserve">confirmed </w:t>
      </w:r>
      <w:r>
        <w:t xml:space="preserve">by </w:t>
      </w:r>
      <w:r w:rsidRPr="00BA0D50">
        <w:t>an orthogonal approach</w:t>
      </w:r>
      <w:r>
        <w:t>. The validation results summarised in Table S2 are intended to give a snapshot of an ongoing process. Our experience highlights variable levels of expertise and resources across different GLHs to perform validation, with many clinical laboratories having significant backlogs for validation of 100kGP findings considered non-urgent.</w:t>
      </w:r>
      <w:r w:rsidRPr="00BA0D50">
        <w:t xml:space="preserve"> </w:t>
      </w:r>
      <w:r>
        <w:t>Overall, validation efforts were split across research and clinical settings and involved a range of approaches. Once a complex SV</w:t>
      </w:r>
      <w:r w:rsidRPr="00871DA6">
        <w:t xml:space="preserve"> </w:t>
      </w:r>
      <w:r>
        <w:t xml:space="preserve">is validated, interpretation also comes with difficulties. Whilst the </w:t>
      </w:r>
      <w:r w:rsidRPr="00871DA6">
        <w:t xml:space="preserve">ACMG/AMP variant classification guidelines </w:t>
      </w:r>
      <w:r>
        <w:t xml:space="preserve">have been adapted </w:t>
      </w:r>
      <w:r w:rsidRPr="00871DA6">
        <w:t xml:space="preserve">for single-gene </w:t>
      </w:r>
      <w:r>
        <w:t>CNVs,</w:t>
      </w:r>
      <w:r w:rsidRPr="003F6879">
        <w:rPr>
          <w:noProof/>
          <w:vertAlign w:val="superscript"/>
        </w:rPr>
        <w:t>74</w:t>
      </w:r>
      <w:r>
        <w:t xml:space="preserve"> </w:t>
      </w:r>
      <w:r w:rsidRPr="00871DA6">
        <w:t xml:space="preserve">clinical reporting guidelines </w:t>
      </w:r>
      <w:r>
        <w:t xml:space="preserve">currently </w:t>
      </w:r>
      <w:r w:rsidRPr="00871DA6">
        <w:t>do</w:t>
      </w:r>
      <w:r>
        <w:t xml:space="preserve"> </w:t>
      </w:r>
      <w:r w:rsidRPr="00871DA6">
        <w:t>n</w:t>
      </w:r>
      <w:r>
        <w:t>o</w:t>
      </w:r>
      <w:r w:rsidRPr="00871DA6">
        <w:t xml:space="preserve">t cover complex SVs </w:t>
      </w:r>
      <w:r>
        <w:t>in detail</w:t>
      </w:r>
      <w:r w:rsidRPr="00871DA6">
        <w:t>.</w:t>
      </w:r>
    </w:p>
    <w:p w14:paraId="20ABA043" w14:textId="1AB7ECB4" w:rsidR="0054637A" w:rsidRDefault="0054637A" w:rsidP="00DD05AD">
      <w:pPr>
        <w:jc w:val="both"/>
      </w:pPr>
      <w:r>
        <w:t xml:space="preserve">Although exome sequencing can detect SVs in a small fraction of </w:t>
      </w:r>
      <w:r w:rsidR="00FE688C">
        <w:t>affected individuals</w:t>
      </w:r>
      <w:r>
        <w:t>,</w:t>
      </w:r>
      <w:r w:rsidRPr="003F6879">
        <w:rPr>
          <w:noProof/>
          <w:vertAlign w:val="superscript"/>
        </w:rPr>
        <w:t>75</w:t>
      </w:r>
      <w:r>
        <w:t xml:space="preserve"> the non-uniform coverage makes this approach non-optimal. For 100kGP participants who had previously been entered into the DDD study, retrospective analysis was only able to confirm SV breakpoints for 2/6 of these. We note that for the </w:t>
      </w:r>
      <w:r w:rsidRPr="00BD27F3">
        <w:rPr>
          <w:i/>
        </w:rPr>
        <w:t>SOX5</w:t>
      </w:r>
      <w:r>
        <w:t xml:space="preserve"> rearrangement (Family 6), exome data only captured the breakpoint for 1/6 reads and so the SV would not have been called robustly</w:t>
      </w:r>
      <w:r w:rsidRPr="00630818">
        <w:t xml:space="preserve"> </w:t>
      </w:r>
      <w:r>
        <w:t xml:space="preserve">without prior knowledge. Although the inversion disrupting </w:t>
      </w:r>
      <w:r w:rsidRPr="00630818">
        <w:rPr>
          <w:i/>
        </w:rPr>
        <w:t>DYRK1A</w:t>
      </w:r>
      <w:r>
        <w:t xml:space="preserve"> (Family 36) was not captured by exome data due to breakpoints lying in intronic regions, a different inversion disrupting the same gene was identified in another individual from the DDD Study as both breakpoints happened to lie in </w:t>
      </w:r>
      <w:proofErr w:type="spellStart"/>
      <w:r>
        <w:t>exonic</w:t>
      </w:r>
      <w:proofErr w:type="spellEnd"/>
      <w:r>
        <w:t xml:space="preserve"> regions.</w:t>
      </w:r>
      <w:r w:rsidRPr="003F6879">
        <w:rPr>
          <w:noProof/>
          <w:vertAlign w:val="superscript"/>
        </w:rPr>
        <w:t>76</w:t>
      </w:r>
    </w:p>
    <w:p w14:paraId="732FEB99" w14:textId="4C5F2BF7" w:rsidR="0054637A" w:rsidRDefault="0054637A" w:rsidP="00DD05AD">
      <w:pPr>
        <w:jc w:val="both"/>
      </w:pPr>
      <w:r w:rsidRPr="00C7462D">
        <w:t>For one of the two families with SVs involving</w:t>
      </w:r>
      <w:r>
        <w:rPr>
          <w:i/>
        </w:rPr>
        <w:t xml:space="preserve"> ARID2</w:t>
      </w:r>
      <w:r w:rsidRPr="002D45C2">
        <w:rPr>
          <w:i/>
        </w:rPr>
        <w:t>,</w:t>
      </w:r>
      <w:r>
        <w:t xml:space="preserve"> the SV was interpreted as an inversion at the time of initial review, but was later considered more likely to be an integration of an S group subfamily Alu element. The pattern of read alignments </w:t>
      </w:r>
      <w:r w:rsidR="00FE688C">
        <w:t xml:space="preserve">was </w:t>
      </w:r>
      <w:r>
        <w:t xml:space="preserve">very similar to that seen for a putative inversion involving </w:t>
      </w:r>
      <w:r w:rsidRPr="002D45C2">
        <w:rPr>
          <w:i/>
        </w:rPr>
        <w:t>CASK</w:t>
      </w:r>
      <w:r w:rsidR="008D2706">
        <w:rPr>
          <w:i/>
        </w:rPr>
        <w:t xml:space="preserve"> </w:t>
      </w:r>
      <w:r w:rsidR="008D2706" w:rsidRPr="00F97B8B">
        <w:rPr>
          <w:iCs/>
        </w:rPr>
        <w:t>(</w:t>
      </w:r>
      <w:r w:rsidR="008D2706">
        <w:rPr>
          <w:iCs/>
        </w:rPr>
        <w:t>MIM</w:t>
      </w:r>
      <w:r w:rsidR="008D2706" w:rsidRPr="008D2706">
        <w:t xml:space="preserve"> </w:t>
      </w:r>
      <w:r w:rsidR="008D2706" w:rsidRPr="008D2706">
        <w:rPr>
          <w:iCs/>
        </w:rPr>
        <w:t>*300172</w:t>
      </w:r>
      <w:r w:rsidR="008D2706" w:rsidRPr="00F97B8B">
        <w:rPr>
          <w:iCs/>
        </w:rPr>
        <w:t>)</w:t>
      </w:r>
      <w:r w:rsidRPr="002D45C2">
        <w:rPr>
          <w:i/>
        </w:rPr>
        <w:t>,</w:t>
      </w:r>
      <w:r>
        <w:t xml:space="preserve"> from a recent study using genome sequencing on 465 families with neurodevelopmental short-read data.</w:t>
      </w:r>
      <w:r w:rsidRPr="003F6879">
        <w:rPr>
          <w:noProof/>
          <w:vertAlign w:val="superscript"/>
        </w:rPr>
        <w:t>77</w:t>
      </w:r>
      <w:r>
        <w:t xml:space="preserve"> In that study, the SV could not be confirmed by long-range PCR or by long-read genome sequencing, suggesting it to be a false positive. Other examples of complex SVs with incomplete interpretation are provided in Note S7. In combination, these </w:t>
      </w:r>
      <w:r w:rsidR="00FE688C">
        <w:t xml:space="preserve">reports </w:t>
      </w:r>
      <w:r>
        <w:t xml:space="preserve">highlight that even with full genome sequencing data, careful scrutiny of read alignments is critical. Together with the initially ambiguous SVs involving </w:t>
      </w:r>
      <w:r w:rsidRPr="002D45C2">
        <w:rPr>
          <w:i/>
        </w:rPr>
        <w:t>MECP2</w:t>
      </w:r>
      <w:r>
        <w:t xml:space="preserve"> described in Families 33 and 47, these data highlight that, where duplicated segments are involved, genome analysts should always consider whether other potential SV configurations could explain the short-read data. In </w:t>
      </w:r>
      <w:r w:rsidR="00FE688C">
        <w:t xml:space="preserve">situations </w:t>
      </w:r>
      <w:r>
        <w:t xml:space="preserve">where gene disruption (i.e. PVS1) cannot conclusively </w:t>
      </w:r>
      <w:proofErr w:type="gramStart"/>
      <w:r>
        <w:t>be</w:t>
      </w:r>
      <w:proofErr w:type="gramEnd"/>
      <w:r>
        <w:t xml:space="preserve"> inferred, additional testing is often needed to achieve diagnostic levels of certainty. The 681bp duplicated segment found in Family 33, was not spanned by Illumina read-pairs and so clinical interpretation was uncertain until PacBio data was obtained (Figure 4B). In contrast, a similar complex SV involving a 406bp duplication in </w:t>
      </w:r>
      <w:r w:rsidRPr="001D55D3">
        <w:rPr>
          <w:i/>
        </w:rPr>
        <w:t>SCN5A</w:t>
      </w:r>
      <w:r w:rsidR="008D2706">
        <w:rPr>
          <w:i/>
        </w:rPr>
        <w:t xml:space="preserve"> </w:t>
      </w:r>
      <w:r w:rsidR="008D2706" w:rsidRPr="008D2706">
        <w:rPr>
          <w:iCs/>
        </w:rPr>
        <w:t>(MIM *600163)</w:t>
      </w:r>
      <w:r>
        <w:rPr>
          <w:i/>
        </w:rPr>
        <w:t>,</w:t>
      </w:r>
      <w:r>
        <w:t xml:space="preserve"> found in a participant from the 100kGP pilot study with suspected </w:t>
      </w:r>
      <w:proofErr w:type="spellStart"/>
      <w:r>
        <w:t>Brugada</w:t>
      </w:r>
      <w:proofErr w:type="spellEnd"/>
      <w:r>
        <w:t xml:space="preserve"> syndrome and who had remained </w:t>
      </w:r>
      <w:r>
        <w:lastRenderedPageBreak/>
        <w:t>unsolved from initial analysis,</w:t>
      </w:r>
      <w:r w:rsidRPr="00053445">
        <w:rPr>
          <w:noProof/>
          <w:vertAlign w:val="superscript"/>
        </w:rPr>
        <w:t>6</w:t>
      </w:r>
      <w:r>
        <w:t xml:space="preserve"> was resolved</w:t>
      </w:r>
      <w:r w:rsidRPr="004F7414">
        <w:t xml:space="preserve"> </w:t>
      </w:r>
      <w:r>
        <w:t xml:space="preserve">(Figure S30). The threshold for resolving duplicated segments in complex SVs using current Illumina 150bp genome sequencing data is likely around 500bp. In contrast, we showed that for a proportion of </w:t>
      </w:r>
      <w:r w:rsidR="00FE688C">
        <w:t>individuals</w:t>
      </w:r>
      <w:r>
        <w:t xml:space="preserve">, the ability of long-read genome sequencing to span larger segments can help resolve complex SVs. The duplicated segment of 14.5kb in Family 47 was able to be spanned using PacBio HiFi data and this influenced how the SV was interpreted clinically. Due to limitations of current HiFi technology, segments of &gt;20kb would be difficult to resolve and other methods </w:t>
      </w:r>
      <w:r w:rsidR="00FE688C">
        <w:t xml:space="preserve">may </w:t>
      </w:r>
      <w:r>
        <w:t>need to be employed.</w:t>
      </w:r>
      <w:r w:rsidRPr="00F52ABC">
        <w:t xml:space="preserve"> </w:t>
      </w:r>
      <w:r>
        <w:t xml:space="preserve">We recently resolved a complex SV using a combination of simple RNA methods and </w:t>
      </w:r>
      <w:proofErr w:type="spellStart"/>
      <w:r>
        <w:t>Bionano</w:t>
      </w:r>
      <w:proofErr w:type="spellEnd"/>
      <w:r>
        <w:t xml:space="preserve"> optical genome mapping, the latter in which a high fraction of molecules &gt;500kb were obtained.</w:t>
      </w:r>
      <w:r w:rsidRPr="003F6879">
        <w:rPr>
          <w:noProof/>
          <w:vertAlign w:val="superscript"/>
        </w:rPr>
        <w:t>78</w:t>
      </w:r>
    </w:p>
    <w:p w14:paraId="106E54CE" w14:textId="7A2673CD" w:rsidR="0054637A" w:rsidRDefault="0054637A" w:rsidP="00DD05AD">
      <w:pPr>
        <w:jc w:val="both"/>
      </w:pPr>
      <w:r w:rsidRPr="00242AE7">
        <w:t xml:space="preserve">Although the majority of variants described here were identified </w:t>
      </w:r>
      <w:r>
        <w:t xml:space="preserve">via bioinformatics </w:t>
      </w:r>
      <w:r w:rsidRPr="00242AE7">
        <w:t>prioritisation</w:t>
      </w:r>
      <w:r>
        <w:t xml:space="preserve"> steps, Families 23 and 40 were initially identified as a consequence of MDT review meetings which led to manual scrutiny of read alignment data. In clinical laboratories with limited bioinformatics capabilities, this can be a fruitful way to reanalyse </w:t>
      </w:r>
      <w:r w:rsidR="00B27974">
        <w:t xml:space="preserve">data from affected individuals </w:t>
      </w:r>
      <w:r>
        <w:t xml:space="preserve">where there is a strong clinical suspicion pointing to a specific gene. </w:t>
      </w:r>
      <w:r>
        <w:rPr>
          <w:color w:val="000000"/>
        </w:rPr>
        <w:t>It is important that clinical laboratories gain extensive experience with complex variants to maximise the utility of WGS data and some useful tips are provided in Note S8.</w:t>
      </w:r>
    </w:p>
    <w:p w14:paraId="73B81F00" w14:textId="30356DD8" w:rsidR="0054637A" w:rsidRDefault="0054637A" w:rsidP="00DD05AD">
      <w:pPr>
        <w:jc w:val="both"/>
      </w:pPr>
      <w:r>
        <w:t>In clinically accredited NGS laboratories, studies have shown that some classes of SNV/indel have such high accuracy that validation using an orthogonal approach is not essential for the variant to be reported.</w:t>
      </w:r>
      <w:r w:rsidRPr="003F6879">
        <w:rPr>
          <w:noProof/>
          <w:vertAlign w:val="superscript"/>
        </w:rPr>
        <w:t>79-81</w:t>
      </w:r>
      <w:r>
        <w:t xml:space="preserve"> We speculate that the same will soon be true for SVs.</w:t>
      </w:r>
      <w:r w:rsidRPr="00C2355A">
        <w:t xml:space="preserve"> </w:t>
      </w:r>
      <w:r>
        <w:t xml:space="preserve">Genome sequencing is the </w:t>
      </w:r>
      <w:r w:rsidR="000B2606">
        <w:t xml:space="preserve">optimal </w:t>
      </w:r>
      <w:r>
        <w:t>approach to detect complex rearrangements and so in our view, the failure of a poorly-designed PCR-Sanger assay (or the inability to design suitable primers due to repeats) should ideally not delay reporting. A</w:t>
      </w:r>
      <w:r w:rsidRPr="00B21A7F">
        <w:t xml:space="preserve">t least </w:t>
      </w:r>
      <w:r>
        <w:t xml:space="preserve">two 100kGP participants were </w:t>
      </w:r>
      <w:r w:rsidRPr="00B21A7F">
        <w:t xml:space="preserve">deceased before </w:t>
      </w:r>
      <w:r>
        <w:t xml:space="preserve">the </w:t>
      </w:r>
      <w:r w:rsidRPr="00B21A7F">
        <w:t xml:space="preserve">results </w:t>
      </w:r>
      <w:r>
        <w:t>were able to be reported, making</w:t>
      </w:r>
      <w:r w:rsidRPr="00B21A7F">
        <w:t xml:space="preserve"> </w:t>
      </w:r>
      <w:r>
        <w:t xml:space="preserve">it </w:t>
      </w:r>
      <w:r w:rsidRPr="00B21A7F">
        <w:t>hard to recontact families</w:t>
      </w:r>
      <w:r>
        <w:t xml:space="preserve"> for appropriate follow up</w:t>
      </w:r>
      <w:r w:rsidRPr="00B21A7F">
        <w:t>.</w:t>
      </w:r>
      <w:r>
        <w:t xml:space="preserve"> Also relevant to this discussion is </w:t>
      </w:r>
      <w:r w:rsidRPr="002B2AA8">
        <w:t xml:space="preserve">one </w:t>
      </w:r>
      <w:r>
        <w:t>100kGP participant</w:t>
      </w:r>
      <w:r w:rsidRPr="002B2AA8">
        <w:t xml:space="preserve"> (Family 15) </w:t>
      </w:r>
      <w:r>
        <w:t xml:space="preserve">harbouring </w:t>
      </w:r>
      <w:r w:rsidRPr="002B2AA8">
        <w:t xml:space="preserve">a </w:t>
      </w:r>
      <w:r w:rsidRPr="002B2AA8">
        <w:rPr>
          <w:i/>
        </w:rPr>
        <w:t>de novo</w:t>
      </w:r>
      <w:r w:rsidRPr="002B2AA8">
        <w:t xml:space="preserve"> 1.22Mb inversion that disrupts </w:t>
      </w:r>
      <w:r w:rsidRPr="002B2AA8">
        <w:rPr>
          <w:i/>
        </w:rPr>
        <w:t>SATB2</w:t>
      </w:r>
      <w:r w:rsidRPr="002B2AA8">
        <w:t xml:space="preserve"> (</w:t>
      </w:r>
      <w:r w:rsidR="002214B4">
        <w:t>MIM *</w:t>
      </w:r>
      <w:r w:rsidR="002214B4" w:rsidRPr="002214B4">
        <w:t>608148</w:t>
      </w:r>
      <w:r w:rsidR="002214B4">
        <w:t xml:space="preserve">; </w:t>
      </w:r>
      <w:r w:rsidRPr="002B2AA8">
        <w:t>NM_001172509.2) in intron 2</w:t>
      </w:r>
      <w:r>
        <w:t xml:space="preserve">. This </w:t>
      </w:r>
      <w:r w:rsidRPr="002B2AA8">
        <w:t>result was returned to the family before validation</w:t>
      </w:r>
      <w:r>
        <w:t>,</w:t>
      </w:r>
      <w:r w:rsidRPr="002B2AA8">
        <w:t xml:space="preserve"> on the basis of inspection in IGV (Figure S</w:t>
      </w:r>
      <w:r>
        <w:t>31A-B</w:t>
      </w:r>
      <w:r w:rsidRPr="002B2AA8">
        <w:t xml:space="preserve">) and </w:t>
      </w:r>
      <w:r>
        <w:t>a phenotype (</w:t>
      </w:r>
      <w:r w:rsidRPr="00C473A6">
        <w:t xml:space="preserve">absent speech, history of persistent drooling and dental abnormalities </w:t>
      </w:r>
      <w:r>
        <w:t xml:space="preserve">that include </w:t>
      </w:r>
      <w:r w:rsidRPr="00C473A6">
        <w:t>a gap between the maxillary central incisors</w:t>
      </w:r>
      <w:r>
        <w:t>)</w:t>
      </w:r>
      <w:r w:rsidRPr="00C473A6">
        <w:t xml:space="preserve"> </w:t>
      </w:r>
      <w:r>
        <w:t>which was felt to be a strong match with published cohorts of individuals with Glass syndrome [MIM #</w:t>
      </w:r>
      <w:r w:rsidRPr="00EA654B">
        <w:t>612313</w:t>
      </w:r>
      <w:r>
        <w:t>]</w:t>
      </w:r>
      <w:r w:rsidRPr="00C473A6">
        <w:t>.</w:t>
      </w:r>
      <w:r w:rsidRPr="003F6879">
        <w:rPr>
          <w:noProof/>
          <w:vertAlign w:val="superscript"/>
        </w:rPr>
        <w:t>82</w:t>
      </w:r>
      <w:r>
        <w:t xml:space="preserve"> Future studies measuring specificity and sensitivity of SVs across large cohorts such as the one described here will shed light on whether validation is always necessary.</w:t>
      </w:r>
    </w:p>
    <w:p w14:paraId="798A3DBB" w14:textId="0758010D" w:rsidR="0054637A" w:rsidRDefault="0054637A" w:rsidP="00DD05AD">
      <w:pPr>
        <w:jc w:val="both"/>
      </w:pPr>
      <w:r w:rsidRPr="002259BC">
        <w:t>In conclusion, our study demonstrates that</w:t>
      </w:r>
      <w:r>
        <w:t>, although relatively rare in comparison with other classes of variant,</w:t>
      </w:r>
      <w:r w:rsidRPr="002259BC">
        <w:t xml:space="preserve"> </w:t>
      </w:r>
      <w:r>
        <w:t xml:space="preserve">genomic inversions play an important role across a range of </w:t>
      </w:r>
      <w:proofErr w:type="spellStart"/>
      <w:r>
        <w:t>RDs.</w:t>
      </w:r>
      <w:proofErr w:type="spellEnd"/>
      <w:r>
        <w:t xml:space="preserve"> As well as many instances where our findings end long diagnostic odysseys, several results impact immediately on clinical management. This is most notable for the subset of </w:t>
      </w:r>
      <w:r w:rsidR="00B27974">
        <w:t xml:space="preserve">diagnoses </w:t>
      </w:r>
      <w:r>
        <w:t xml:space="preserve">involving tumour suppressor genes, where cascade testing and disease surveillance is now being implemented. In 30% of </w:t>
      </w:r>
      <w:r w:rsidR="00B27974">
        <w:t>families</w:t>
      </w:r>
      <w:r>
        <w:t>, the disrupted gene had previously been nominated as a strong candidate gene, as evidenced by prior testing using targeted methods. The lengthy delays in obtaining a diagnosis (even after genome sequencing became available) is therefore notable, given that detection of complex SVs is a significant raison d’</w:t>
      </w:r>
      <w:r w:rsidRPr="00E81CDF">
        <w:rPr>
          <w:rFonts w:cstheme="minorHAnsi"/>
        </w:rPr>
        <w:t>ê</w:t>
      </w:r>
      <w:r>
        <w:t xml:space="preserve">tre for genome sequencing. Consequently, it is important that future clinical analysis pipelines in the NHS and in similar programmes worldwide are adapted to prioritise these types of variant (in combination with </w:t>
      </w:r>
      <w:r w:rsidRPr="00025345">
        <w:t>better workflows for confirmation and reporting</w:t>
      </w:r>
      <w:r>
        <w:t>) as genome sequencing becomes commonplace.</w:t>
      </w:r>
      <w:r>
        <w:rPr>
          <w:b/>
        </w:rPr>
        <w:t xml:space="preserve"> </w:t>
      </w:r>
      <w:r>
        <w:t xml:space="preserve">Critical to the success of this project was the development of the </w:t>
      </w:r>
      <w:proofErr w:type="spellStart"/>
      <w:r>
        <w:t>SVRare</w:t>
      </w:r>
      <w:proofErr w:type="spellEnd"/>
      <w:r>
        <w:t xml:space="preserve"> and a large database of SVs called in a consistent way that facilitated the aggregation and subsequent filtering steps to minimise the number of candidate variants that required manual review.</w:t>
      </w:r>
    </w:p>
    <w:p w14:paraId="476F1D27" w14:textId="77777777" w:rsidR="0054637A" w:rsidRDefault="0054637A" w:rsidP="00DD05AD">
      <w:pPr>
        <w:jc w:val="both"/>
        <w:rPr>
          <w:b/>
        </w:rPr>
      </w:pPr>
      <w:r>
        <w:rPr>
          <w:b/>
        </w:rPr>
        <w:t>Data and code availability</w:t>
      </w:r>
    </w:p>
    <w:p w14:paraId="0CBE4281" w14:textId="2E6FEEF4" w:rsidR="0054637A" w:rsidRPr="006E2975" w:rsidRDefault="0054637A" w:rsidP="00930DEF">
      <w:pPr>
        <w:jc w:val="both"/>
      </w:pPr>
      <w:r>
        <w:lastRenderedPageBreak/>
        <w:t xml:space="preserve">Illumina and PacBio (HiFi) genome sequencing </w:t>
      </w:r>
      <w:r w:rsidR="00930DEF">
        <w:t xml:space="preserve">and </w:t>
      </w:r>
      <w:proofErr w:type="spellStart"/>
      <w:r w:rsidR="00930DEF">
        <w:t>RNAseq</w:t>
      </w:r>
      <w:proofErr w:type="spellEnd"/>
      <w:r w:rsidR="00930DEF">
        <w:t xml:space="preserve"> </w:t>
      </w:r>
      <w:r>
        <w:t>d</w:t>
      </w:r>
      <w:r w:rsidRPr="006E2975">
        <w:t>ata relat</w:t>
      </w:r>
      <w:r>
        <w:t>ing</w:t>
      </w:r>
      <w:r w:rsidRPr="006E2975">
        <w:t xml:space="preserve"> to this study is held in </w:t>
      </w:r>
      <w:r>
        <w:t>t</w:t>
      </w:r>
      <w:r w:rsidRPr="006E2975">
        <w:t xml:space="preserve">he </w:t>
      </w:r>
      <w:bookmarkStart w:id="4" w:name="_Hlk141799493"/>
      <w:r w:rsidRPr="006E2975">
        <w:t xml:space="preserve">National Genomic Research </w:t>
      </w:r>
      <w:r>
        <w:t xml:space="preserve">Library </w:t>
      </w:r>
      <w:bookmarkEnd w:id="4"/>
      <w:r w:rsidRPr="00F32233">
        <w:t>(</w:t>
      </w:r>
      <w:hyperlink r:id="rId7" w:history="1">
        <w:r w:rsidRPr="001E3921">
          <w:rPr>
            <w:rStyle w:val="Hyperlink"/>
          </w:rPr>
          <w:t>https://doi.org/10.6084/m9.figshare.4530893.v7</w:t>
        </w:r>
      </w:hyperlink>
      <w:r w:rsidRPr="00F32233">
        <w:t>)</w:t>
      </w:r>
      <w:r w:rsidR="00930DEF">
        <w:t>. Details of how to access this data are available at www.genomicsengland.co.uk/research/academic/join-gecip</w:t>
      </w:r>
      <w:r>
        <w:t xml:space="preserve">. </w:t>
      </w:r>
      <w:r w:rsidR="00142C76">
        <w:t xml:space="preserve">Access is currently provided </w:t>
      </w:r>
      <w:r>
        <w:t xml:space="preserve">via </w:t>
      </w:r>
      <w:r w:rsidRPr="003B79BB">
        <w:t xml:space="preserve">Amazon </w:t>
      </w:r>
      <w:proofErr w:type="spellStart"/>
      <w:r w:rsidRPr="003B79BB">
        <w:t>WorkSpaces</w:t>
      </w:r>
      <w:proofErr w:type="spellEnd"/>
      <w:r w:rsidRPr="003B79BB">
        <w:t>.</w:t>
      </w:r>
      <w:r>
        <w:t xml:space="preserve"> For academic researchers, host institutions also need to sign a formal agreement. </w:t>
      </w:r>
      <w:proofErr w:type="spellStart"/>
      <w:r>
        <w:t>SVRare</w:t>
      </w:r>
      <w:proofErr w:type="spellEnd"/>
      <w:r>
        <w:t xml:space="preserve"> code is available on </w:t>
      </w:r>
      <w:proofErr w:type="spellStart"/>
      <w:r>
        <w:t>github</w:t>
      </w:r>
      <w:proofErr w:type="spellEnd"/>
      <w:r>
        <w:t xml:space="preserve"> (see Web resources).</w:t>
      </w:r>
    </w:p>
    <w:p w14:paraId="7A0A0076" w14:textId="77777777" w:rsidR="0054637A" w:rsidRDefault="0054637A" w:rsidP="00DD05AD">
      <w:pPr>
        <w:jc w:val="both"/>
        <w:rPr>
          <w:b/>
        </w:rPr>
      </w:pPr>
      <w:r>
        <w:rPr>
          <w:b/>
        </w:rPr>
        <w:t>Acknowledgements</w:t>
      </w:r>
    </w:p>
    <w:p w14:paraId="6CC0B882" w14:textId="4A8FCE1C" w:rsidR="0054637A" w:rsidRDefault="0054637A" w:rsidP="00DD05AD">
      <w:pPr>
        <w:jc w:val="both"/>
      </w:pPr>
      <w:r w:rsidRPr="005B1BC7">
        <w:t xml:space="preserve">We thank </w:t>
      </w:r>
      <w:r>
        <w:t xml:space="preserve">all </w:t>
      </w:r>
      <w:r w:rsidRPr="005B1BC7">
        <w:t xml:space="preserve">100kGP participants for their </w:t>
      </w:r>
      <w:r>
        <w:t xml:space="preserve">involvement </w:t>
      </w:r>
      <w:r w:rsidRPr="005B1BC7">
        <w:t>in this study</w:t>
      </w:r>
      <w:r>
        <w:t xml:space="preserve">. This manuscript is dedicated to Maria </w:t>
      </w:r>
      <w:proofErr w:type="spellStart"/>
      <w:r>
        <w:t>Bitner-</w:t>
      </w:r>
      <w:r w:rsidRPr="00026995">
        <w:t>Glindzicz</w:t>
      </w:r>
      <w:proofErr w:type="spellEnd"/>
      <w:r>
        <w:t xml:space="preserve"> who recruited several of the families reported here. We also thank Stefan </w:t>
      </w:r>
      <w:proofErr w:type="spellStart"/>
      <w:r>
        <w:t>Mundlos</w:t>
      </w:r>
      <w:proofErr w:type="spellEnd"/>
      <w:r>
        <w:t xml:space="preserve"> for reviewing the </w:t>
      </w:r>
      <w:r w:rsidRPr="001E1AA6">
        <w:rPr>
          <w:i/>
        </w:rPr>
        <w:t>HOXD11-13</w:t>
      </w:r>
      <w:r>
        <w:t xml:space="preserve"> inversion. </w:t>
      </w:r>
      <w:r w:rsidRPr="006E2975">
        <w:t>This research was made possible through access to the data and findings generated by the 100,000 Genomes Project. The 100,000 Genomes Project is managed by Genomics England Limited.</w:t>
      </w:r>
      <w:r>
        <w:t xml:space="preserve"> The 100,000 Genomes Project is </w:t>
      </w:r>
      <w:r w:rsidRPr="006E2975">
        <w:t xml:space="preserve">funded by the National Institute for Health Research and NHS England. The </w:t>
      </w:r>
      <w:proofErr w:type="spellStart"/>
      <w:r w:rsidRPr="006E2975">
        <w:t>Wellcome</w:t>
      </w:r>
      <w:proofErr w:type="spellEnd"/>
      <w:r w:rsidRPr="006E2975">
        <w:t xml:space="preserve"> Trust, Cancer Research UK and the Medical Research Council have also funded research infrastructure. The 100,000 Genomes Project uses data provided by </w:t>
      </w:r>
      <w:r>
        <w:t>participants</w:t>
      </w:r>
      <w:r w:rsidRPr="006E2975">
        <w:t xml:space="preserve"> and collected by the </w:t>
      </w:r>
      <w:r>
        <w:t>NHS</w:t>
      </w:r>
      <w:r w:rsidRPr="006E2975">
        <w:t xml:space="preserve"> as part of their care and support.</w:t>
      </w:r>
      <w:r>
        <w:t xml:space="preserve"> Additional funding was from </w:t>
      </w:r>
      <w:r w:rsidRPr="00D055F9">
        <w:t>the MRC (MR/W01761X/1) and the Oxford</w:t>
      </w:r>
      <w:r>
        <w:t xml:space="preserve"> and Manchester</w:t>
      </w:r>
      <w:r w:rsidRPr="00D055F9">
        <w:t xml:space="preserve"> NIHR Biomedical Research Centre</w:t>
      </w:r>
      <w:r>
        <w:t>s (NIHR203308). H</w:t>
      </w:r>
      <w:r w:rsidRPr="008E50E1">
        <w:rPr>
          <w:lang w:val="en-US"/>
        </w:rPr>
        <w:t xml:space="preserve">HU </w:t>
      </w:r>
      <w:r>
        <w:rPr>
          <w:lang w:val="en-US"/>
        </w:rPr>
        <w:t xml:space="preserve">is supported </w:t>
      </w:r>
      <w:r w:rsidRPr="008E50E1">
        <w:rPr>
          <w:lang w:val="en-US"/>
        </w:rPr>
        <w:t>by The Leona M. and Harry B. Helmsley Charitable Trust</w:t>
      </w:r>
      <w:r>
        <w:rPr>
          <w:lang w:val="en-US"/>
        </w:rPr>
        <w:t xml:space="preserve"> and support for MJS is from </w:t>
      </w:r>
      <w:r w:rsidRPr="0021292E">
        <w:t>USAMRAA CDMRP Neurofibromatosis Research Program, Investigator-Initiated Research Award (W81XWH1910334).</w:t>
      </w:r>
      <w:r>
        <w:t xml:space="preserve"> </w:t>
      </w:r>
      <w:r w:rsidRPr="008E50E1">
        <w:t>We acknowledge the contributions of the Oxford GI biobank and the Oxford IBD cohort investigators.</w:t>
      </w:r>
      <w:r w:rsidRPr="004B498D">
        <w:t xml:space="preserve"> DGE is supported by the Manchester National Institute for Health Research (NIHR) Biomedical Research Centre (IS-BRC-1215-20007).</w:t>
      </w:r>
      <w:r w:rsidRPr="00E11C3B">
        <w:t xml:space="preserve"> DB and JL are supported by </w:t>
      </w:r>
      <w:r>
        <w:t xml:space="preserve">an </w:t>
      </w:r>
      <w:r w:rsidRPr="00E11C3B">
        <w:t>NIHR Research Professorship to DB</w:t>
      </w:r>
      <w:r>
        <w:t xml:space="preserve"> (</w:t>
      </w:r>
      <w:r w:rsidRPr="00E11C3B">
        <w:t>RP-2016-07-011</w:t>
      </w:r>
      <w:r>
        <w:t>). JL is also supported by an Anniversary Fellowship awarded by the University of Southampton. AJ and SB</w:t>
      </w:r>
      <w:r w:rsidRPr="00F26DE3">
        <w:t xml:space="preserve"> acknowledge the support of Solve-RD. The Solve-RD project received funding from the European Union's Horizon 2020 research and innovation program </w:t>
      </w:r>
      <w:r>
        <w:t>(779257)</w:t>
      </w:r>
      <w:r w:rsidRPr="00F26DE3">
        <w:t>.</w:t>
      </w:r>
    </w:p>
    <w:p w14:paraId="387346FE" w14:textId="5F5EA643" w:rsidR="0054637A" w:rsidRDefault="0054637A" w:rsidP="00DD05AD">
      <w:pPr>
        <w:jc w:val="both"/>
        <w:rPr>
          <w:b/>
        </w:rPr>
      </w:pPr>
      <w:r>
        <w:rPr>
          <w:b/>
        </w:rPr>
        <w:t>Declaration of Interests</w:t>
      </w:r>
    </w:p>
    <w:p w14:paraId="39774A2D" w14:textId="77777777" w:rsidR="0054637A" w:rsidRDefault="0054637A" w:rsidP="00DD05AD">
      <w:pPr>
        <w:jc w:val="both"/>
      </w:pPr>
      <w:r>
        <w:t>HHU declares</w:t>
      </w:r>
      <w:r w:rsidRPr="00E4743F">
        <w:t xml:space="preserve"> </w:t>
      </w:r>
      <w:r>
        <w:t>r</w:t>
      </w:r>
      <w:r w:rsidRPr="00E4743F">
        <w:t>esearch support or consultancy fees from Janssen, UCB Pharma, GSK, Eli Lilly, Bristol Myers</w:t>
      </w:r>
      <w:r>
        <w:t xml:space="preserve"> Squibb BMS, </w:t>
      </w:r>
      <w:proofErr w:type="spellStart"/>
      <w:r>
        <w:t>OMass</w:t>
      </w:r>
      <w:proofErr w:type="spellEnd"/>
      <w:r>
        <w:t xml:space="preserve"> and </w:t>
      </w:r>
      <w:proofErr w:type="spellStart"/>
      <w:r>
        <w:t>Mestag</w:t>
      </w:r>
      <w:proofErr w:type="spellEnd"/>
      <w:r w:rsidRPr="00E4743F">
        <w:t>.</w:t>
      </w:r>
      <w:r>
        <w:t xml:space="preserve"> JY is now employed by Novo Nordisk. Other</w:t>
      </w:r>
      <w:r w:rsidRPr="005B1BC7">
        <w:t xml:space="preserve"> authors declare no conflict</w:t>
      </w:r>
      <w:r>
        <w:t>ing</w:t>
      </w:r>
      <w:r w:rsidRPr="005B1BC7">
        <w:t xml:space="preserve"> interest</w:t>
      </w:r>
      <w:r>
        <w:t>s</w:t>
      </w:r>
      <w:r w:rsidRPr="005B1BC7">
        <w:t>.</w:t>
      </w:r>
      <w:r>
        <w:t xml:space="preserve"> </w:t>
      </w:r>
    </w:p>
    <w:p w14:paraId="30657A43" w14:textId="77777777" w:rsidR="0054637A" w:rsidRDefault="0054637A" w:rsidP="00DD05AD">
      <w:pPr>
        <w:jc w:val="both"/>
        <w:rPr>
          <w:b/>
        </w:rPr>
      </w:pPr>
      <w:r w:rsidRPr="003538CB">
        <w:rPr>
          <w:b/>
        </w:rPr>
        <w:t>Web resources</w:t>
      </w:r>
    </w:p>
    <w:p w14:paraId="401034FB" w14:textId="77777777" w:rsidR="0054637A" w:rsidRPr="00D4135D" w:rsidRDefault="00C25314" w:rsidP="00DD05AD">
      <w:pPr>
        <w:jc w:val="both"/>
      </w:pPr>
      <w:hyperlink r:id="rId8" w:history="1">
        <w:r w:rsidR="0054637A" w:rsidRPr="00E83745">
          <w:rPr>
            <w:rStyle w:val="Hyperlink"/>
          </w:rPr>
          <w:t>https://clinicalgenome.org</w:t>
        </w:r>
      </w:hyperlink>
      <w:r w:rsidR="0054637A">
        <w:t xml:space="preserve"> - </w:t>
      </w:r>
      <w:r w:rsidR="0054637A" w:rsidRPr="00081C1C">
        <w:t>Clinical Genome Resource</w:t>
      </w:r>
    </w:p>
    <w:p w14:paraId="48CD5674" w14:textId="77777777" w:rsidR="0054637A" w:rsidRDefault="00C25314" w:rsidP="00DD05AD">
      <w:pPr>
        <w:jc w:val="both"/>
      </w:pPr>
      <w:hyperlink r:id="rId9" w:history="1">
        <w:r w:rsidR="0054637A" w:rsidRPr="00354885">
          <w:rPr>
            <w:rStyle w:val="Hyperlink"/>
          </w:rPr>
          <w:t>https://www.uniprot.org</w:t>
        </w:r>
      </w:hyperlink>
      <w:r w:rsidR="0054637A">
        <w:t xml:space="preserve"> - </w:t>
      </w:r>
      <w:proofErr w:type="spellStart"/>
      <w:r w:rsidR="0054637A">
        <w:t>UniProt</w:t>
      </w:r>
      <w:proofErr w:type="spellEnd"/>
    </w:p>
    <w:p w14:paraId="087A6EBE" w14:textId="77777777" w:rsidR="0054637A" w:rsidRDefault="00C25314" w:rsidP="00DD05AD">
      <w:pPr>
        <w:jc w:val="both"/>
      </w:pPr>
      <w:hyperlink r:id="rId10" w:history="1">
        <w:r w:rsidR="0054637A" w:rsidRPr="009C0431">
          <w:rPr>
            <w:rStyle w:val="Hyperlink"/>
          </w:rPr>
          <w:t>https://genome.ucsc.edu/cgi-bin/hgLiftOver</w:t>
        </w:r>
      </w:hyperlink>
      <w:r w:rsidR="0054637A">
        <w:t xml:space="preserve"> - </w:t>
      </w:r>
      <w:proofErr w:type="spellStart"/>
      <w:r w:rsidR="0054637A">
        <w:t>LiftOver</w:t>
      </w:r>
      <w:proofErr w:type="spellEnd"/>
      <w:r w:rsidR="0054637A">
        <w:t xml:space="preserve"> tool</w:t>
      </w:r>
    </w:p>
    <w:p w14:paraId="5BF73741" w14:textId="77777777" w:rsidR="0054637A" w:rsidRDefault="00C25314" w:rsidP="00DD05AD">
      <w:pPr>
        <w:jc w:val="both"/>
      </w:pPr>
      <w:hyperlink r:id="rId11" w:history="1">
        <w:r w:rsidR="0054637A" w:rsidRPr="009C0431">
          <w:rPr>
            <w:rStyle w:val="Hyperlink"/>
          </w:rPr>
          <w:t>https://shiny.wehi.edu.au/rafehi.h/mutation-dating</w:t>
        </w:r>
      </w:hyperlink>
      <w:r w:rsidR="0054637A">
        <w:t xml:space="preserve"> - Genetic Mutation Age Estimator</w:t>
      </w:r>
    </w:p>
    <w:p w14:paraId="360F9659" w14:textId="77777777" w:rsidR="0054637A" w:rsidRDefault="00C25314" w:rsidP="00DD05AD">
      <w:pPr>
        <w:jc w:val="both"/>
      </w:pPr>
      <w:hyperlink r:id="rId12" w:history="1">
        <w:r w:rsidR="0054637A" w:rsidRPr="001E3921">
          <w:rPr>
            <w:rStyle w:val="Hyperlink"/>
          </w:rPr>
          <w:t>https://www.omim.org</w:t>
        </w:r>
      </w:hyperlink>
      <w:r w:rsidR="0054637A">
        <w:t xml:space="preserve"> - OMIM</w:t>
      </w:r>
    </w:p>
    <w:p w14:paraId="0F07B717" w14:textId="77777777" w:rsidR="0054637A" w:rsidRDefault="00C25314" w:rsidP="00DD05AD">
      <w:pPr>
        <w:jc w:val="both"/>
      </w:pPr>
      <w:hyperlink r:id="rId13" w:history="1">
        <w:r w:rsidR="0054637A" w:rsidRPr="00E04E36">
          <w:rPr>
            <w:rStyle w:val="Hyperlink"/>
          </w:rPr>
          <w:t>https://panelapp.genomicsengland.co.uk</w:t>
        </w:r>
      </w:hyperlink>
      <w:r w:rsidR="0054637A">
        <w:t xml:space="preserve"> - </w:t>
      </w:r>
      <w:proofErr w:type="spellStart"/>
      <w:r w:rsidR="0054637A">
        <w:t>PanelApp</w:t>
      </w:r>
      <w:proofErr w:type="spellEnd"/>
    </w:p>
    <w:p w14:paraId="3607B044" w14:textId="77777777" w:rsidR="0054637A" w:rsidRPr="00DE1726" w:rsidRDefault="00C25314" w:rsidP="00DD05AD">
      <w:pPr>
        <w:shd w:val="clear" w:color="auto" w:fill="FFFFFF"/>
        <w:jc w:val="both"/>
        <w:textAlignment w:val="baseline"/>
        <w:rPr>
          <w:rFonts w:ascii="Calibri" w:hAnsi="Calibri" w:cs="Calibri"/>
          <w:color w:val="000000"/>
          <w:bdr w:val="none" w:sz="0" w:space="0" w:color="auto" w:frame="1"/>
          <w:shd w:val="clear" w:color="auto" w:fill="FFFFFF"/>
        </w:rPr>
      </w:pPr>
      <w:hyperlink r:id="rId14" w:anchor="t=13m40s" w:history="1">
        <w:r w:rsidR="0054637A" w:rsidRPr="00EE153D">
          <w:rPr>
            <w:rStyle w:val="Hyperlink"/>
            <w:rFonts w:ascii="Calibri" w:hAnsi="Calibri" w:cs="Calibri"/>
            <w:bdr w:val="none" w:sz="0" w:space="0" w:color="auto" w:frame="1"/>
            <w:shd w:val="clear" w:color="auto" w:fill="FFFFFF"/>
          </w:rPr>
          <w:t>https://vimeo.com/709549654#t=13m40s</w:t>
        </w:r>
      </w:hyperlink>
      <w:r w:rsidR="0054637A">
        <w:rPr>
          <w:rStyle w:val="xcontentpasted0"/>
          <w:rFonts w:ascii="Calibri" w:hAnsi="Calibri" w:cs="Calibri"/>
          <w:color w:val="000000"/>
          <w:bdr w:val="none" w:sz="0" w:space="0" w:color="auto" w:frame="1"/>
          <w:shd w:val="clear" w:color="auto" w:fill="FFFFFF"/>
        </w:rPr>
        <w:t xml:space="preserve"> - participant perspective for Family 16 (Genomics England Research Summit, May 2022)</w:t>
      </w:r>
    </w:p>
    <w:p w14:paraId="60020268" w14:textId="77777777" w:rsidR="0054637A" w:rsidRDefault="00C25314" w:rsidP="00DD05AD">
      <w:pPr>
        <w:shd w:val="clear" w:color="auto" w:fill="FFFFFF"/>
        <w:jc w:val="both"/>
        <w:textAlignment w:val="baseline"/>
        <w:rPr>
          <w:rStyle w:val="xcontentpasted0"/>
          <w:rFonts w:ascii="Calibri" w:hAnsi="Calibri" w:cs="Calibri"/>
          <w:color w:val="000000"/>
          <w:bdr w:val="none" w:sz="0" w:space="0" w:color="auto" w:frame="1"/>
          <w:shd w:val="clear" w:color="auto" w:fill="FFFFFF"/>
        </w:rPr>
      </w:pPr>
      <w:hyperlink r:id="rId15" w:history="1">
        <w:r w:rsidR="0054637A" w:rsidRPr="001E3921">
          <w:rPr>
            <w:rStyle w:val="Hyperlink"/>
            <w:rFonts w:ascii="Calibri" w:hAnsi="Calibri" w:cs="Calibri"/>
            <w:bdr w:val="none" w:sz="0" w:space="0" w:color="auto" w:frame="1"/>
            <w:shd w:val="clear" w:color="auto" w:fill="FFFFFF"/>
          </w:rPr>
          <w:t>https://www.genomicsengland.co.uk/research/members/research-registry</w:t>
        </w:r>
      </w:hyperlink>
      <w:r w:rsidR="0054637A">
        <w:rPr>
          <w:rStyle w:val="xcontentpasted0"/>
          <w:rFonts w:ascii="Calibri" w:hAnsi="Calibri" w:cs="Calibri"/>
          <w:color w:val="000000"/>
          <w:bdr w:val="none" w:sz="0" w:space="0" w:color="auto" w:frame="1"/>
          <w:shd w:val="clear" w:color="auto" w:fill="FFFFFF"/>
        </w:rPr>
        <w:t xml:space="preserve"> - Research registry</w:t>
      </w:r>
    </w:p>
    <w:p w14:paraId="48234A97" w14:textId="77777777" w:rsidR="0054637A" w:rsidRDefault="00C25314" w:rsidP="00DD05AD">
      <w:pPr>
        <w:shd w:val="clear" w:color="auto" w:fill="FFFFFF"/>
        <w:jc w:val="both"/>
        <w:textAlignment w:val="baseline"/>
        <w:rPr>
          <w:rStyle w:val="xcontentpasted0"/>
          <w:rFonts w:ascii="Calibri" w:hAnsi="Calibri" w:cs="Calibri"/>
          <w:color w:val="000000"/>
          <w:bdr w:val="none" w:sz="0" w:space="0" w:color="auto" w:frame="1"/>
          <w:shd w:val="clear" w:color="auto" w:fill="FFFFFF"/>
        </w:rPr>
      </w:pPr>
      <w:hyperlink r:id="rId16" w:history="1">
        <w:r w:rsidR="0054637A" w:rsidRPr="00F4599F">
          <w:rPr>
            <w:rStyle w:val="Hyperlink"/>
            <w:rFonts w:ascii="Calibri" w:hAnsi="Calibri" w:cs="Calibri"/>
            <w:bdr w:val="none" w:sz="0" w:space="0" w:color="auto" w:frame="1"/>
            <w:shd w:val="clear" w:color="auto" w:fill="FFFFFF"/>
          </w:rPr>
          <w:t>https://gtexportal.org</w:t>
        </w:r>
      </w:hyperlink>
      <w:r w:rsidR="0054637A">
        <w:rPr>
          <w:rStyle w:val="xcontentpasted0"/>
          <w:rFonts w:ascii="Calibri" w:hAnsi="Calibri" w:cs="Calibri"/>
          <w:color w:val="000000"/>
          <w:bdr w:val="none" w:sz="0" w:space="0" w:color="auto" w:frame="1"/>
          <w:shd w:val="clear" w:color="auto" w:fill="FFFFFF"/>
        </w:rPr>
        <w:t xml:space="preserve"> - </w:t>
      </w:r>
      <w:r w:rsidR="0054637A" w:rsidRPr="00E54C6D">
        <w:rPr>
          <w:rStyle w:val="xcontentpasted0"/>
          <w:rFonts w:ascii="Calibri" w:hAnsi="Calibri" w:cs="Calibri"/>
          <w:color w:val="000000"/>
          <w:bdr w:val="none" w:sz="0" w:space="0" w:color="auto" w:frame="1"/>
          <w:shd w:val="clear" w:color="auto" w:fill="FFFFFF"/>
        </w:rPr>
        <w:t>The Genotype-Tissue Expression (</w:t>
      </w:r>
      <w:proofErr w:type="spellStart"/>
      <w:r w:rsidR="0054637A" w:rsidRPr="00E54C6D">
        <w:rPr>
          <w:rStyle w:val="xcontentpasted0"/>
          <w:rFonts w:ascii="Calibri" w:hAnsi="Calibri" w:cs="Calibri"/>
          <w:color w:val="000000"/>
          <w:bdr w:val="none" w:sz="0" w:space="0" w:color="auto" w:frame="1"/>
          <w:shd w:val="clear" w:color="auto" w:fill="FFFFFF"/>
        </w:rPr>
        <w:t>GTEx</w:t>
      </w:r>
      <w:proofErr w:type="spellEnd"/>
      <w:r w:rsidR="0054637A" w:rsidRPr="00E54C6D">
        <w:rPr>
          <w:rStyle w:val="xcontentpasted0"/>
          <w:rFonts w:ascii="Calibri" w:hAnsi="Calibri" w:cs="Calibri"/>
          <w:color w:val="000000"/>
          <w:bdr w:val="none" w:sz="0" w:space="0" w:color="auto" w:frame="1"/>
          <w:shd w:val="clear" w:color="auto" w:fill="FFFFFF"/>
        </w:rPr>
        <w:t>) Project</w:t>
      </w:r>
    </w:p>
    <w:p w14:paraId="0CF15189" w14:textId="77777777" w:rsidR="0054637A" w:rsidRDefault="00C25314" w:rsidP="00DD05AD">
      <w:pPr>
        <w:shd w:val="clear" w:color="auto" w:fill="FFFFFF"/>
        <w:jc w:val="both"/>
        <w:textAlignment w:val="baseline"/>
        <w:rPr>
          <w:rStyle w:val="xcontentpasted0"/>
          <w:rFonts w:ascii="Calibri" w:hAnsi="Calibri" w:cs="Calibri"/>
          <w:color w:val="000000"/>
          <w:bdr w:val="none" w:sz="0" w:space="0" w:color="auto" w:frame="1"/>
          <w:shd w:val="clear" w:color="auto" w:fill="FFFFFF"/>
        </w:rPr>
      </w:pPr>
      <w:hyperlink r:id="rId17" w:history="1">
        <w:r w:rsidR="0054637A" w:rsidRPr="001E2B8D">
          <w:rPr>
            <w:rStyle w:val="Hyperlink"/>
            <w:rFonts w:ascii="Calibri" w:hAnsi="Calibri" w:cs="Calibri"/>
            <w:bdr w:val="none" w:sz="0" w:space="0" w:color="auto" w:frame="1"/>
            <w:shd w:val="clear" w:color="auto" w:fill="FFFFFF"/>
          </w:rPr>
          <w:t>https://www.england.nhs.uk/genomics/genomic-laboratory-hubs</w:t>
        </w:r>
      </w:hyperlink>
      <w:r w:rsidR="0054637A">
        <w:rPr>
          <w:rStyle w:val="xcontentpasted0"/>
          <w:rFonts w:ascii="Calibri" w:hAnsi="Calibri" w:cs="Calibri"/>
          <w:color w:val="000000"/>
          <w:bdr w:val="none" w:sz="0" w:space="0" w:color="auto" w:frame="1"/>
          <w:shd w:val="clear" w:color="auto" w:fill="FFFFFF"/>
        </w:rPr>
        <w:t xml:space="preserve"> - Genomic Laboratory H</w:t>
      </w:r>
      <w:r w:rsidR="0054637A" w:rsidRPr="002B4316">
        <w:rPr>
          <w:rStyle w:val="xcontentpasted0"/>
          <w:rFonts w:ascii="Calibri" w:hAnsi="Calibri" w:cs="Calibri"/>
          <w:color w:val="000000"/>
          <w:bdr w:val="none" w:sz="0" w:space="0" w:color="auto" w:frame="1"/>
          <w:shd w:val="clear" w:color="auto" w:fill="FFFFFF"/>
        </w:rPr>
        <w:t>ubs</w:t>
      </w:r>
    </w:p>
    <w:p w14:paraId="20D19D9C" w14:textId="77777777" w:rsidR="0054637A" w:rsidRDefault="00C25314" w:rsidP="00DD05AD">
      <w:pPr>
        <w:jc w:val="both"/>
      </w:pPr>
      <w:hyperlink r:id="rId18" w:history="1">
        <w:r w:rsidR="0054637A" w:rsidRPr="001E2B8D">
          <w:rPr>
            <w:rStyle w:val="Hyperlink"/>
          </w:rPr>
          <w:t>https://emea.illumina.com/products/by-type/informatics-products/basespace-sequence-hub/apps/edico-genome-inc-dragen-rna-pipeline.html</w:t>
        </w:r>
      </w:hyperlink>
      <w:r w:rsidR="0054637A">
        <w:t xml:space="preserve"> - DRAGEN pipeline</w:t>
      </w:r>
    </w:p>
    <w:p w14:paraId="24981CED" w14:textId="77777777" w:rsidR="0054637A" w:rsidRDefault="00C25314" w:rsidP="00DD05AD">
      <w:pPr>
        <w:jc w:val="both"/>
      </w:pPr>
      <w:hyperlink r:id="rId19" w:history="1">
        <w:r w:rsidR="0054637A" w:rsidRPr="001E3921">
          <w:rPr>
            <w:rStyle w:val="Hyperlink"/>
          </w:rPr>
          <w:t>https://github.com/Illumina/manta</w:t>
        </w:r>
      </w:hyperlink>
      <w:r w:rsidR="0054637A">
        <w:t xml:space="preserve"> - Manta</w:t>
      </w:r>
    </w:p>
    <w:p w14:paraId="7A9A6CDC" w14:textId="77777777" w:rsidR="0054637A" w:rsidRDefault="00C25314" w:rsidP="00DD05AD">
      <w:pPr>
        <w:jc w:val="both"/>
      </w:pPr>
      <w:hyperlink r:id="rId20" w:history="1">
        <w:r w:rsidR="0054637A" w:rsidRPr="003D6429">
          <w:rPr>
            <w:rStyle w:val="Hyperlink"/>
          </w:rPr>
          <w:t>https://github.com/Oxford-Eye/SVRare-GEL</w:t>
        </w:r>
      </w:hyperlink>
      <w:r w:rsidR="0054637A" w:rsidRPr="009E59F9">
        <w:t xml:space="preserve"> </w:t>
      </w:r>
      <w:r w:rsidR="0054637A">
        <w:t xml:space="preserve">- </w:t>
      </w:r>
      <w:proofErr w:type="spellStart"/>
      <w:r w:rsidR="0054637A">
        <w:t>SVRare</w:t>
      </w:r>
      <w:proofErr w:type="spellEnd"/>
    </w:p>
    <w:p w14:paraId="114F400A" w14:textId="77777777" w:rsidR="0054637A" w:rsidRPr="00B24AF6" w:rsidRDefault="00C25314" w:rsidP="00DD05AD">
      <w:pPr>
        <w:jc w:val="both"/>
      </w:pPr>
      <w:hyperlink r:id="rId21" w:history="1">
        <w:r w:rsidR="0054637A" w:rsidRPr="001A350D">
          <w:rPr>
            <w:rStyle w:val="Hyperlink"/>
          </w:rPr>
          <w:t>https://www.r-project.org</w:t>
        </w:r>
      </w:hyperlink>
      <w:r w:rsidR="0054637A">
        <w:t xml:space="preserve"> – the R Project</w:t>
      </w:r>
      <w:r w:rsidR="0054637A" w:rsidRPr="009E59F9">
        <w:fldChar w:fldCharType="begin"/>
      </w:r>
      <w:r w:rsidR="0054637A" w:rsidRPr="009E59F9">
        <w:instrText xml:space="preserve"> ADDIN </w:instrText>
      </w:r>
      <w:r w:rsidR="0054637A" w:rsidRPr="009E59F9">
        <w:fldChar w:fldCharType="end"/>
      </w:r>
      <w:r w:rsidR="0054637A" w:rsidRPr="009E59F9">
        <w:fldChar w:fldCharType="begin"/>
      </w:r>
      <w:r w:rsidR="0054637A" w:rsidRPr="009E59F9">
        <w:instrText xml:space="preserve"> ADDIN </w:instrText>
      </w:r>
      <w:r w:rsidR="0054637A" w:rsidRPr="009E59F9">
        <w:fldChar w:fldCharType="end"/>
      </w:r>
      <w:r w:rsidR="0054637A" w:rsidRPr="009E59F9">
        <w:fldChar w:fldCharType="begin"/>
      </w:r>
      <w:r w:rsidR="0054637A" w:rsidRPr="009E59F9">
        <w:instrText xml:space="preserve"> ADDIN </w:instrText>
      </w:r>
      <w:r w:rsidR="0054637A" w:rsidRPr="009E59F9">
        <w:fldChar w:fldCharType="end"/>
      </w:r>
    </w:p>
    <w:p w14:paraId="28588CE3" w14:textId="77777777" w:rsidR="0054637A" w:rsidRDefault="0054637A" w:rsidP="00DD05AD">
      <w:pPr>
        <w:jc w:val="both"/>
        <w:rPr>
          <w:b/>
          <w:sz w:val="28"/>
        </w:rPr>
      </w:pPr>
    </w:p>
    <w:p w14:paraId="68219E5A" w14:textId="77777777" w:rsidR="0054637A" w:rsidRDefault="0054637A" w:rsidP="00DD05AD">
      <w:pPr>
        <w:jc w:val="both"/>
        <w:rPr>
          <w:b/>
          <w:sz w:val="28"/>
        </w:rPr>
        <w:sectPr w:rsidR="0054637A" w:rsidSect="000F534A">
          <w:headerReference w:type="default" r:id="rId22"/>
          <w:footerReference w:type="default" r:id="rId23"/>
          <w:type w:val="continuous"/>
          <w:pgSz w:w="11906" w:h="16838"/>
          <w:pgMar w:top="1440" w:right="1440" w:bottom="1440" w:left="1440" w:header="708" w:footer="708" w:gutter="0"/>
          <w:cols w:space="708"/>
          <w:docGrid w:linePitch="360"/>
        </w:sectPr>
      </w:pPr>
    </w:p>
    <w:p w14:paraId="6CC4E43E" w14:textId="7787187B" w:rsidR="0054637A" w:rsidRDefault="0054637A" w:rsidP="00DD05AD">
      <w:pPr>
        <w:jc w:val="both"/>
        <w:rPr>
          <w:rFonts w:cstheme="minorHAnsi"/>
        </w:rPr>
      </w:pPr>
      <w:r w:rsidRPr="006A18DD">
        <w:rPr>
          <w:b/>
        </w:rPr>
        <w:lastRenderedPageBreak/>
        <w:t xml:space="preserve">Table 1: Summary of </w:t>
      </w:r>
      <w:r>
        <w:rPr>
          <w:b/>
        </w:rPr>
        <w:t xml:space="preserve">six 100kGP </w:t>
      </w:r>
      <w:r w:rsidR="00B27974">
        <w:rPr>
          <w:b/>
        </w:rPr>
        <w:t xml:space="preserve">participants </w:t>
      </w:r>
      <w:r>
        <w:rPr>
          <w:b/>
        </w:rPr>
        <w:t xml:space="preserve">with inversions that are </w:t>
      </w:r>
      <w:r w:rsidRPr="006A18DD">
        <w:rPr>
          <w:b/>
        </w:rPr>
        <w:t xml:space="preserve">supported by </w:t>
      </w:r>
      <w:proofErr w:type="spellStart"/>
      <w:r w:rsidRPr="006A18DD">
        <w:rPr>
          <w:b/>
        </w:rPr>
        <w:t>RNAseq</w:t>
      </w:r>
      <w:proofErr w:type="spellEnd"/>
      <w:r w:rsidRPr="006A18DD">
        <w:rPr>
          <w:b/>
        </w:rPr>
        <w:t xml:space="preserve"> data.</w:t>
      </w:r>
      <w:r>
        <w:rPr>
          <w:b/>
        </w:rPr>
        <w:t xml:space="preserve"> </w:t>
      </w:r>
      <w:proofErr w:type="spellStart"/>
      <w:r w:rsidR="00784CD8" w:rsidRPr="00784CD8">
        <w:rPr>
          <w:rFonts w:cstheme="minorHAnsi"/>
          <w:vertAlign w:val="superscript"/>
        </w:rPr>
        <w:t>a</w:t>
      </w:r>
      <w:r>
        <w:t>Comparison</w:t>
      </w:r>
      <w:proofErr w:type="spellEnd"/>
      <w:r>
        <w:t xml:space="preserve"> of genomic and fusion transcript breakpoint available in UCSC session </w:t>
      </w:r>
      <w:r w:rsidRPr="0032709B">
        <w:rPr>
          <w:rFonts w:cstheme="minorHAnsi"/>
        </w:rPr>
        <w:t>https://genome.ucsc.edu/s/AlistairP/PHEX_INV_RNA_coords</w:t>
      </w:r>
      <w:r>
        <w:rPr>
          <w:rFonts w:cstheme="minorHAnsi"/>
        </w:rPr>
        <w:t xml:space="preserve">. TPM, transcript per million (data obtained from </w:t>
      </w:r>
      <w:proofErr w:type="spellStart"/>
      <w:r w:rsidRPr="00D65ED4">
        <w:rPr>
          <w:rFonts w:cstheme="minorHAnsi"/>
        </w:rPr>
        <w:t>GTEx</w:t>
      </w:r>
      <w:proofErr w:type="spellEnd"/>
      <w:r w:rsidRPr="00D65ED4">
        <w:rPr>
          <w:rFonts w:cstheme="minorHAnsi"/>
        </w:rPr>
        <w:t xml:space="preserve"> v8</w:t>
      </w:r>
      <w:r>
        <w:rPr>
          <w:rFonts w:cstheme="minorHAnsi"/>
        </w:rPr>
        <w:t>). DDD, Deciphering Developmental Disorders Study (</w:t>
      </w:r>
      <w:hyperlink r:id="rId24" w:history="1">
        <w:r w:rsidRPr="00E47A00">
          <w:rPr>
            <w:rStyle w:val="Hyperlink"/>
            <w:rFonts w:cstheme="minorHAnsi"/>
          </w:rPr>
          <w:t>www.ddduk.org</w:t>
        </w:r>
      </w:hyperlink>
      <w:r>
        <w:rPr>
          <w:rFonts w:cstheme="minorHAnsi"/>
        </w:rPr>
        <w:t>). FC, fold change.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124"/>
        <w:gridCol w:w="817"/>
        <w:gridCol w:w="1810"/>
        <w:gridCol w:w="1126"/>
        <w:gridCol w:w="697"/>
        <w:gridCol w:w="2675"/>
        <w:gridCol w:w="2436"/>
        <w:gridCol w:w="2752"/>
      </w:tblGrid>
      <w:tr w:rsidR="0054637A" w:rsidRPr="00CF6E71" w14:paraId="40F0EF49" w14:textId="77777777" w:rsidTr="00DD05AD">
        <w:trPr>
          <w:trHeight w:val="519"/>
        </w:trPr>
        <w:tc>
          <w:tcPr>
            <w:tcW w:w="597" w:type="dxa"/>
            <w:shd w:val="clear" w:color="auto" w:fill="auto"/>
            <w:vAlign w:val="center"/>
            <w:hideMark/>
          </w:tcPr>
          <w:p w14:paraId="587520E6"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Family</w:t>
            </w:r>
          </w:p>
        </w:tc>
        <w:tc>
          <w:tcPr>
            <w:tcW w:w="1124" w:type="dxa"/>
            <w:shd w:val="clear" w:color="auto" w:fill="auto"/>
            <w:vAlign w:val="center"/>
            <w:hideMark/>
          </w:tcPr>
          <w:p w14:paraId="207BF37E"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GRCh38 coordinates of inversion</w:t>
            </w:r>
          </w:p>
        </w:tc>
        <w:tc>
          <w:tcPr>
            <w:tcW w:w="817" w:type="dxa"/>
            <w:shd w:val="clear" w:color="auto" w:fill="auto"/>
            <w:vAlign w:val="center"/>
            <w:hideMark/>
          </w:tcPr>
          <w:p w14:paraId="4E38FDBE"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Segment size (bp)</w:t>
            </w:r>
          </w:p>
        </w:tc>
        <w:tc>
          <w:tcPr>
            <w:tcW w:w="1810" w:type="dxa"/>
            <w:shd w:val="clear" w:color="auto" w:fill="auto"/>
            <w:vAlign w:val="center"/>
            <w:hideMark/>
          </w:tcPr>
          <w:p w14:paraId="7B6B3B1C"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Imbalance/complexity</w:t>
            </w:r>
          </w:p>
        </w:tc>
        <w:tc>
          <w:tcPr>
            <w:tcW w:w="1126" w:type="dxa"/>
            <w:shd w:val="clear" w:color="auto" w:fill="auto"/>
            <w:vAlign w:val="center"/>
            <w:hideMark/>
          </w:tcPr>
          <w:p w14:paraId="5BC7A040"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Affected family members (structure, inheritance)</w:t>
            </w:r>
          </w:p>
        </w:tc>
        <w:tc>
          <w:tcPr>
            <w:tcW w:w="697" w:type="dxa"/>
            <w:shd w:val="clear" w:color="auto" w:fill="auto"/>
            <w:vAlign w:val="center"/>
            <w:hideMark/>
          </w:tcPr>
          <w:p w14:paraId="145B937D"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Gene (median blood TPM)</w:t>
            </w:r>
          </w:p>
        </w:tc>
        <w:tc>
          <w:tcPr>
            <w:tcW w:w="2675" w:type="dxa"/>
            <w:shd w:val="clear" w:color="auto" w:fill="auto"/>
            <w:vAlign w:val="center"/>
            <w:hideMark/>
          </w:tcPr>
          <w:p w14:paraId="1835ECE4"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 xml:space="preserve">Recruitment diagnosis </w:t>
            </w:r>
          </w:p>
        </w:tc>
        <w:tc>
          <w:tcPr>
            <w:tcW w:w="2436" w:type="dxa"/>
            <w:shd w:val="clear" w:color="auto" w:fill="auto"/>
            <w:vAlign w:val="center"/>
            <w:hideMark/>
          </w:tcPr>
          <w:p w14:paraId="67CDAF6E"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proofErr w:type="spellStart"/>
            <w:r w:rsidRPr="00256FB6">
              <w:rPr>
                <w:rFonts w:ascii="Liberation Sans" w:eastAsia="Times New Roman" w:hAnsi="Liberation Sans" w:cs="Times New Roman"/>
                <w:sz w:val="12"/>
                <w:lang w:eastAsia="en-GB"/>
              </w:rPr>
              <w:t>RNAseq</w:t>
            </w:r>
            <w:proofErr w:type="spellEnd"/>
            <w:r w:rsidRPr="00256FB6">
              <w:rPr>
                <w:rFonts w:ascii="Liberation Sans" w:eastAsia="Times New Roman" w:hAnsi="Liberation Sans" w:cs="Times New Roman"/>
                <w:sz w:val="12"/>
                <w:lang w:eastAsia="en-GB"/>
              </w:rPr>
              <w:t xml:space="preserve"> result</w:t>
            </w:r>
          </w:p>
        </w:tc>
        <w:tc>
          <w:tcPr>
            <w:tcW w:w="2752" w:type="dxa"/>
            <w:shd w:val="clear" w:color="auto" w:fill="auto"/>
            <w:vAlign w:val="center"/>
            <w:hideMark/>
          </w:tcPr>
          <w:p w14:paraId="58D00F89" w14:textId="77777777" w:rsidR="0054637A" w:rsidRPr="00256FB6" w:rsidRDefault="0054637A" w:rsidP="00DD05AD">
            <w:pPr>
              <w:spacing w:after="0" w:line="240" w:lineRule="auto"/>
              <w:jc w:val="center"/>
              <w:rPr>
                <w:rFonts w:ascii="Liberation Sans" w:eastAsia="Times New Roman" w:hAnsi="Liberation Sans" w:cs="Times New Roman"/>
                <w:sz w:val="12"/>
                <w:lang w:eastAsia="en-GB"/>
              </w:rPr>
            </w:pPr>
            <w:r w:rsidRPr="00256FB6">
              <w:rPr>
                <w:rFonts w:ascii="Liberation Sans" w:eastAsia="Times New Roman" w:hAnsi="Liberation Sans" w:cs="Times New Roman"/>
                <w:sz w:val="12"/>
                <w:lang w:eastAsia="en-GB"/>
              </w:rPr>
              <w:t>Additional comments</w:t>
            </w:r>
          </w:p>
        </w:tc>
      </w:tr>
      <w:tr w:rsidR="0054637A" w:rsidRPr="00CF6E71" w14:paraId="28520602" w14:textId="77777777" w:rsidTr="00DD05AD">
        <w:trPr>
          <w:trHeight w:val="844"/>
        </w:trPr>
        <w:tc>
          <w:tcPr>
            <w:tcW w:w="597" w:type="dxa"/>
            <w:shd w:val="clear" w:color="auto" w:fill="auto"/>
            <w:noWrap/>
            <w:vAlign w:val="center"/>
            <w:hideMark/>
          </w:tcPr>
          <w:p w14:paraId="7618884D"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3</w:t>
            </w:r>
          </w:p>
        </w:tc>
        <w:tc>
          <w:tcPr>
            <w:tcW w:w="1124" w:type="dxa"/>
            <w:shd w:val="clear" w:color="auto" w:fill="auto"/>
            <w:noWrap/>
            <w:vAlign w:val="center"/>
            <w:hideMark/>
          </w:tcPr>
          <w:p w14:paraId="2631E870"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chr10:87949156-87963156</w:t>
            </w:r>
          </w:p>
        </w:tc>
        <w:tc>
          <w:tcPr>
            <w:tcW w:w="817" w:type="dxa"/>
            <w:shd w:val="clear" w:color="auto" w:fill="auto"/>
            <w:noWrap/>
            <w:vAlign w:val="center"/>
            <w:hideMark/>
          </w:tcPr>
          <w:p w14:paraId="63AECAE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14,000</w:t>
            </w:r>
          </w:p>
        </w:tc>
        <w:tc>
          <w:tcPr>
            <w:tcW w:w="1810" w:type="dxa"/>
            <w:shd w:val="clear" w:color="auto" w:fill="auto"/>
            <w:vAlign w:val="center"/>
            <w:hideMark/>
          </w:tcPr>
          <w:p w14:paraId="43AB054A"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NA</w:t>
            </w:r>
          </w:p>
        </w:tc>
        <w:tc>
          <w:tcPr>
            <w:tcW w:w="1126" w:type="dxa"/>
            <w:shd w:val="clear" w:color="auto" w:fill="auto"/>
            <w:vAlign w:val="center"/>
            <w:hideMark/>
          </w:tcPr>
          <w:p w14:paraId="12F6CE0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 (singleton, unknown)</w:t>
            </w:r>
          </w:p>
        </w:tc>
        <w:tc>
          <w:tcPr>
            <w:tcW w:w="697" w:type="dxa"/>
            <w:shd w:val="clear" w:color="auto" w:fill="auto"/>
            <w:noWrap/>
            <w:vAlign w:val="center"/>
            <w:hideMark/>
          </w:tcPr>
          <w:p w14:paraId="214A12AC"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 xml:space="preserve">PTEN </w:t>
            </w:r>
            <w:r w:rsidRPr="00CF6E71">
              <w:rPr>
                <w:rFonts w:ascii="Liberation Sans" w:eastAsia="Times New Roman" w:hAnsi="Liberation Sans" w:cs="Times New Roman"/>
                <w:sz w:val="12"/>
                <w:lang w:eastAsia="en-GB"/>
              </w:rPr>
              <w:t>(40.27)</w:t>
            </w:r>
          </w:p>
        </w:tc>
        <w:tc>
          <w:tcPr>
            <w:tcW w:w="2675" w:type="dxa"/>
            <w:shd w:val="clear" w:color="auto" w:fill="auto"/>
            <w:vAlign w:val="center"/>
            <w:hideMark/>
          </w:tcPr>
          <w:p w14:paraId="31BB123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proofErr w:type="spellStart"/>
            <w:r w:rsidRPr="00CF6E71">
              <w:rPr>
                <w:rFonts w:ascii="Liberation Sans" w:eastAsia="Times New Roman" w:hAnsi="Liberation Sans" w:cs="Times New Roman"/>
                <w:sz w:val="12"/>
                <w:lang w:eastAsia="en-GB"/>
              </w:rPr>
              <w:t>Genodermatoses</w:t>
            </w:r>
            <w:proofErr w:type="spellEnd"/>
            <w:r w:rsidRPr="00CF6E71">
              <w:rPr>
                <w:rFonts w:ascii="Liberation Sans" w:eastAsia="Times New Roman" w:hAnsi="Liberation Sans" w:cs="Times New Roman"/>
                <w:sz w:val="12"/>
                <w:lang w:eastAsia="en-GB"/>
              </w:rPr>
              <w:t xml:space="preserve"> with malignancies </w:t>
            </w:r>
          </w:p>
        </w:tc>
        <w:tc>
          <w:tcPr>
            <w:tcW w:w="2436" w:type="dxa"/>
            <w:shd w:val="clear" w:color="auto" w:fill="auto"/>
            <w:vAlign w:val="center"/>
            <w:hideMark/>
          </w:tcPr>
          <w:p w14:paraId="70B5ED77"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Skipping of exons 6-8 supported by 38 reads/read-pairs (Fig 2B). OUTRIDER expression not an outlier.</w:t>
            </w:r>
          </w:p>
        </w:tc>
        <w:tc>
          <w:tcPr>
            <w:tcW w:w="2752" w:type="dxa"/>
            <w:shd w:val="clear" w:color="auto" w:fill="auto"/>
            <w:vAlign w:val="center"/>
            <w:hideMark/>
          </w:tcPr>
          <w:p w14:paraId="0E63DE40"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Consistent with the inversion of exons 6-8 of this </w:t>
            </w:r>
            <w:proofErr w:type="gramStart"/>
            <w:r w:rsidRPr="00CF6E71">
              <w:rPr>
                <w:rFonts w:ascii="Liberation Sans" w:eastAsia="Times New Roman" w:hAnsi="Liberation Sans" w:cs="Times New Roman"/>
                <w:sz w:val="12"/>
                <w:lang w:eastAsia="en-GB"/>
              </w:rPr>
              <w:t>9 exon</w:t>
            </w:r>
            <w:proofErr w:type="gramEnd"/>
            <w:r w:rsidRPr="00CF6E71">
              <w:rPr>
                <w:rFonts w:ascii="Liberation Sans" w:eastAsia="Times New Roman" w:hAnsi="Liberation Sans" w:cs="Times New Roman"/>
                <w:sz w:val="12"/>
                <w:lang w:eastAsia="en-GB"/>
              </w:rPr>
              <w:t xml:space="preserve"> gene (NM_000314.8, Fig S22). NMD not expected as reading-frame maintained and prediction is of 178 deleted amino-acids p</w:t>
            </w:r>
            <w:proofErr w:type="gramStart"/>
            <w:r w:rsidRPr="00CF6E71">
              <w:rPr>
                <w:rFonts w:ascii="Liberation Sans" w:eastAsia="Times New Roman" w:hAnsi="Liberation Sans" w:cs="Times New Roman"/>
                <w:sz w:val="12"/>
                <w:lang w:eastAsia="en-GB"/>
              </w:rPr>
              <w:t>.(</w:t>
            </w:r>
            <w:proofErr w:type="gramEnd"/>
            <w:r w:rsidRPr="00CF6E71">
              <w:rPr>
                <w:rFonts w:ascii="Liberation Sans" w:eastAsia="Times New Roman" w:hAnsi="Liberation Sans" w:cs="Times New Roman"/>
                <w:sz w:val="12"/>
                <w:lang w:eastAsia="en-GB"/>
              </w:rPr>
              <w:t>Gly165_Lys342del).</w:t>
            </w:r>
          </w:p>
        </w:tc>
      </w:tr>
      <w:tr w:rsidR="0054637A" w:rsidRPr="00CF6E71" w14:paraId="60CEA046" w14:textId="77777777" w:rsidTr="00DD05AD">
        <w:trPr>
          <w:trHeight w:val="699"/>
        </w:trPr>
        <w:tc>
          <w:tcPr>
            <w:tcW w:w="597" w:type="dxa"/>
            <w:shd w:val="clear" w:color="auto" w:fill="auto"/>
            <w:noWrap/>
            <w:vAlign w:val="center"/>
            <w:hideMark/>
          </w:tcPr>
          <w:p w14:paraId="6DBD3C8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14</w:t>
            </w:r>
          </w:p>
        </w:tc>
        <w:tc>
          <w:tcPr>
            <w:tcW w:w="1124" w:type="dxa"/>
            <w:shd w:val="clear" w:color="auto" w:fill="auto"/>
            <w:noWrap/>
            <w:vAlign w:val="center"/>
            <w:hideMark/>
          </w:tcPr>
          <w:p w14:paraId="0FC759DD"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chr19:35717452-35725612</w:t>
            </w:r>
          </w:p>
        </w:tc>
        <w:tc>
          <w:tcPr>
            <w:tcW w:w="817" w:type="dxa"/>
            <w:shd w:val="clear" w:color="auto" w:fill="auto"/>
            <w:noWrap/>
            <w:vAlign w:val="center"/>
            <w:hideMark/>
          </w:tcPr>
          <w:p w14:paraId="6DCF38E4"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8,160</w:t>
            </w:r>
          </w:p>
        </w:tc>
        <w:tc>
          <w:tcPr>
            <w:tcW w:w="1810" w:type="dxa"/>
            <w:shd w:val="clear" w:color="auto" w:fill="auto"/>
            <w:vAlign w:val="center"/>
            <w:hideMark/>
          </w:tcPr>
          <w:p w14:paraId="41C67937"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Deletion of 8185bp (chr19:35717427-35725612) and 1 retained/inverted internal segment of 94bp at proximal end (chr19:35717452-35717546)</w:t>
            </w:r>
          </w:p>
        </w:tc>
        <w:tc>
          <w:tcPr>
            <w:tcW w:w="1126" w:type="dxa"/>
            <w:shd w:val="clear" w:color="auto" w:fill="auto"/>
            <w:vAlign w:val="center"/>
            <w:hideMark/>
          </w:tcPr>
          <w:p w14:paraId="76250C84"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1 (trio, </w:t>
            </w:r>
            <w:r w:rsidRPr="00CF6E71">
              <w:rPr>
                <w:rFonts w:ascii="Liberation Sans" w:eastAsia="Times New Roman" w:hAnsi="Liberation Sans" w:cs="Times New Roman"/>
                <w:i/>
                <w:iCs/>
                <w:sz w:val="12"/>
                <w:lang w:eastAsia="en-GB"/>
              </w:rPr>
              <w:t>de novo</w:t>
            </w:r>
            <w:r w:rsidRPr="00CF6E71">
              <w:rPr>
                <w:rFonts w:ascii="Liberation Sans" w:eastAsia="Times New Roman" w:hAnsi="Liberation Sans" w:cs="Times New Roman"/>
                <w:sz w:val="12"/>
                <w:lang w:eastAsia="en-GB"/>
              </w:rPr>
              <w:t>)</w:t>
            </w:r>
          </w:p>
        </w:tc>
        <w:tc>
          <w:tcPr>
            <w:tcW w:w="697" w:type="dxa"/>
            <w:shd w:val="clear" w:color="auto" w:fill="auto"/>
            <w:noWrap/>
            <w:vAlign w:val="center"/>
            <w:hideMark/>
          </w:tcPr>
          <w:p w14:paraId="065E267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 xml:space="preserve">KMT2B </w:t>
            </w:r>
            <w:r w:rsidRPr="00CF6E71">
              <w:rPr>
                <w:rFonts w:ascii="Liberation Sans" w:eastAsia="Times New Roman" w:hAnsi="Liberation Sans" w:cs="Times New Roman"/>
                <w:sz w:val="12"/>
                <w:lang w:eastAsia="en-GB"/>
              </w:rPr>
              <w:t>(21.37)</w:t>
            </w:r>
          </w:p>
        </w:tc>
        <w:tc>
          <w:tcPr>
            <w:tcW w:w="2675" w:type="dxa"/>
            <w:shd w:val="clear" w:color="auto" w:fill="auto"/>
            <w:vAlign w:val="center"/>
            <w:hideMark/>
          </w:tcPr>
          <w:p w14:paraId="64F7005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Intellectual disability </w:t>
            </w:r>
          </w:p>
        </w:tc>
        <w:tc>
          <w:tcPr>
            <w:tcW w:w="2436" w:type="dxa"/>
            <w:shd w:val="clear" w:color="auto" w:fill="auto"/>
            <w:vAlign w:val="center"/>
            <w:hideMark/>
          </w:tcPr>
          <w:p w14:paraId="72D50AA1"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Monoallelic expression for rs11670414 (T-maternal) and rs231591 (G - unphased). SV occurred on paternal chromosome. Variant read support in RNA data is 47T/0C and 13G/0A (Fig 2A).</w:t>
            </w:r>
          </w:p>
        </w:tc>
        <w:tc>
          <w:tcPr>
            <w:tcW w:w="2752" w:type="dxa"/>
            <w:shd w:val="clear" w:color="auto" w:fill="auto"/>
            <w:vAlign w:val="center"/>
            <w:hideMark/>
          </w:tcPr>
          <w:p w14:paraId="7205BA72"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Breakpoint delineating end of deleted region in exon 12 of this </w:t>
            </w:r>
            <w:proofErr w:type="gramStart"/>
            <w:r w:rsidRPr="00CF6E71">
              <w:rPr>
                <w:rFonts w:ascii="Liberation Sans" w:eastAsia="Times New Roman" w:hAnsi="Liberation Sans" w:cs="Times New Roman"/>
                <w:sz w:val="12"/>
                <w:lang w:eastAsia="en-GB"/>
              </w:rPr>
              <w:t>37 exon</w:t>
            </w:r>
            <w:proofErr w:type="gramEnd"/>
            <w:r w:rsidRPr="00CF6E71">
              <w:rPr>
                <w:rFonts w:ascii="Liberation Sans" w:eastAsia="Times New Roman" w:hAnsi="Liberation Sans" w:cs="Times New Roman"/>
                <w:sz w:val="12"/>
                <w:lang w:eastAsia="en-GB"/>
              </w:rPr>
              <w:t xml:space="preserve"> gene (NM_014727.3). Coding SNPs in exons 16 and 30 respectively. OUTRIDER expression data unavailable.</w:t>
            </w:r>
          </w:p>
        </w:tc>
      </w:tr>
      <w:tr w:rsidR="0054637A" w:rsidRPr="00CF6E71" w14:paraId="548A7E41" w14:textId="77777777" w:rsidTr="00DD05AD">
        <w:trPr>
          <w:trHeight w:val="999"/>
        </w:trPr>
        <w:tc>
          <w:tcPr>
            <w:tcW w:w="597" w:type="dxa"/>
            <w:shd w:val="clear" w:color="auto" w:fill="auto"/>
            <w:noWrap/>
            <w:vAlign w:val="center"/>
            <w:hideMark/>
          </w:tcPr>
          <w:p w14:paraId="71E776D1"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19</w:t>
            </w:r>
          </w:p>
        </w:tc>
        <w:tc>
          <w:tcPr>
            <w:tcW w:w="1124" w:type="dxa"/>
            <w:shd w:val="clear" w:color="auto" w:fill="auto"/>
            <w:noWrap/>
            <w:vAlign w:val="center"/>
            <w:hideMark/>
          </w:tcPr>
          <w:p w14:paraId="57C6248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chr3:6352714-37035341</w:t>
            </w:r>
          </w:p>
        </w:tc>
        <w:tc>
          <w:tcPr>
            <w:tcW w:w="817" w:type="dxa"/>
            <w:shd w:val="clear" w:color="auto" w:fill="auto"/>
            <w:noWrap/>
            <w:vAlign w:val="center"/>
            <w:hideMark/>
          </w:tcPr>
          <w:p w14:paraId="6773A7B4"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30,682,627</w:t>
            </w:r>
          </w:p>
        </w:tc>
        <w:tc>
          <w:tcPr>
            <w:tcW w:w="1810" w:type="dxa"/>
            <w:shd w:val="clear" w:color="auto" w:fill="auto"/>
            <w:vAlign w:val="center"/>
            <w:hideMark/>
          </w:tcPr>
          <w:p w14:paraId="5AF596B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NA</w:t>
            </w:r>
          </w:p>
        </w:tc>
        <w:tc>
          <w:tcPr>
            <w:tcW w:w="1126" w:type="dxa"/>
            <w:shd w:val="clear" w:color="auto" w:fill="auto"/>
            <w:vAlign w:val="center"/>
            <w:hideMark/>
          </w:tcPr>
          <w:p w14:paraId="1AA464D2"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 (singleton, unknown)</w:t>
            </w:r>
          </w:p>
        </w:tc>
        <w:tc>
          <w:tcPr>
            <w:tcW w:w="697" w:type="dxa"/>
            <w:shd w:val="clear" w:color="auto" w:fill="auto"/>
            <w:noWrap/>
            <w:vAlign w:val="center"/>
            <w:hideMark/>
          </w:tcPr>
          <w:p w14:paraId="2FBC7A72"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MLH1</w:t>
            </w:r>
            <w:r w:rsidRPr="00CF6E71">
              <w:rPr>
                <w:rFonts w:ascii="Liberation Sans" w:eastAsia="Times New Roman" w:hAnsi="Liberation Sans" w:cs="Times New Roman"/>
                <w:sz w:val="12"/>
                <w:lang w:eastAsia="en-GB"/>
              </w:rPr>
              <w:t xml:space="preserve"> (6.61)</w:t>
            </w:r>
          </w:p>
        </w:tc>
        <w:tc>
          <w:tcPr>
            <w:tcW w:w="2675" w:type="dxa"/>
            <w:shd w:val="clear" w:color="auto" w:fill="auto"/>
            <w:vAlign w:val="center"/>
            <w:hideMark/>
          </w:tcPr>
          <w:p w14:paraId="6CB23D0E"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Familial colon cancer (Fig S1)</w:t>
            </w:r>
          </w:p>
        </w:tc>
        <w:tc>
          <w:tcPr>
            <w:tcW w:w="2436" w:type="dxa"/>
            <w:shd w:val="clear" w:color="auto" w:fill="auto"/>
            <w:vAlign w:val="center"/>
            <w:hideMark/>
          </w:tcPr>
          <w:p w14:paraId="0CDD338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Although OUTRIDER expression is not an outlier, manual review indicates reduced expression after exon 13 (breakpoint in intron 13).</w:t>
            </w:r>
          </w:p>
        </w:tc>
        <w:tc>
          <w:tcPr>
            <w:tcW w:w="2752" w:type="dxa"/>
            <w:shd w:val="clear" w:color="auto" w:fill="auto"/>
            <w:vAlign w:val="center"/>
            <w:hideMark/>
          </w:tcPr>
          <w:p w14:paraId="1D0E9C2F"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There is transcript annotation ending in </w:t>
            </w:r>
            <w:r w:rsidRPr="00CF6E71">
              <w:rPr>
                <w:rFonts w:ascii="Liberation Sans" w:eastAsia="Times New Roman" w:hAnsi="Liberation Sans" w:cs="Times New Roman"/>
                <w:i/>
                <w:iCs/>
                <w:sz w:val="12"/>
                <w:lang w:eastAsia="en-GB"/>
              </w:rPr>
              <w:t xml:space="preserve">MLH1 </w:t>
            </w:r>
            <w:r w:rsidRPr="00CF6E71">
              <w:rPr>
                <w:rFonts w:ascii="Liberation Sans" w:eastAsia="Times New Roman" w:hAnsi="Liberation Sans" w:cs="Times New Roman"/>
                <w:sz w:val="12"/>
                <w:lang w:eastAsia="en-GB"/>
              </w:rPr>
              <w:t>exon 13 (ENST00000674107.1), potentially explaining the stability of this truncated transcript. Manual review suggests fusion transcript.</w:t>
            </w:r>
          </w:p>
        </w:tc>
      </w:tr>
      <w:tr w:rsidR="0054637A" w:rsidRPr="00CF6E71" w14:paraId="67ADF47E" w14:textId="77777777" w:rsidTr="00DD05AD">
        <w:trPr>
          <w:trHeight w:val="702"/>
        </w:trPr>
        <w:tc>
          <w:tcPr>
            <w:tcW w:w="597" w:type="dxa"/>
            <w:shd w:val="clear" w:color="auto" w:fill="auto"/>
            <w:noWrap/>
            <w:vAlign w:val="center"/>
            <w:hideMark/>
          </w:tcPr>
          <w:p w14:paraId="601A72E1"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26</w:t>
            </w:r>
          </w:p>
        </w:tc>
        <w:tc>
          <w:tcPr>
            <w:tcW w:w="1124" w:type="dxa"/>
            <w:shd w:val="clear" w:color="auto" w:fill="auto"/>
            <w:noWrap/>
            <w:vAlign w:val="center"/>
            <w:hideMark/>
          </w:tcPr>
          <w:p w14:paraId="71B617D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chrX:19564733-22210246</w:t>
            </w:r>
          </w:p>
        </w:tc>
        <w:tc>
          <w:tcPr>
            <w:tcW w:w="817" w:type="dxa"/>
            <w:shd w:val="clear" w:color="auto" w:fill="auto"/>
            <w:noWrap/>
            <w:vAlign w:val="center"/>
            <w:hideMark/>
          </w:tcPr>
          <w:p w14:paraId="71BCDDAE"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2,645,513</w:t>
            </w:r>
          </w:p>
        </w:tc>
        <w:tc>
          <w:tcPr>
            <w:tcW w:w="1810" w:type="dxa"/>
            <w:shd w:val="clear" w:color="auto" w:fill="auto"/>
            <w:vAlign w:val="center"/>
            <w:hideMark/>
          </w:tcPr>
          <w:p w14:paraId="759148EE"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11/12bp lost at each end.</w:t>
            </w:r>
          </w:p>
        </w:tc>
        <w:tc>
          <w:tcPr>
            <w:tcW w:w="1126" w:type="dxa"/>
            <w:shd w:val="clear" w:color="auto" w:fill="auto"/>
            <w:vAlign w:val="center"/>
            <w:hideMark/>
          </w:tcPr>
          <w:p w14:paraId="61A7C1E1"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1 (trio, </w:t>
            </w:r>
            <w:r w:rsidRPr="00CF6E71">
              <w:rPr>
                <w:rFonts w:ascii="Liberation Sans" w:eastAsia="Times New Roman" w:hAnsi="Liberation Sans" w:cs="Times New Roman"/>
                <w:i/>
                <w:iCs/>
                <w:sz w:val="12"/>
                <w:lang w:eastAsia="en-GB"/>
              </w:rPr>
              <w:t>de novo</w:t>
            </w:r>
            <w:r w:rsidRPr="00CF6E71">
              <w:rPr>
                <w:rFonts w:ascii="Liberation Sans" w:eastAsia="Times New Roman" w:hAnsi="Liberation Sans" w:cs="Times New Roman"/>
                <w:sz w:val="12"/>
                <w:lang w:eastAsia="en-GB"/>
              </w:rPr>
              <w:t>)</w:t>
            </w:r>
          </w:p>
        </w:tc>
        <w:tc>
          <w:tcPr>
            <w:tcW w:w="697" w:type="dxa"/>
            <w:shd w:val="clear" w:color="auto" w:fill="auto"/>
            <w:noWrap/>
            <w:vAlign w:val="center"/>
            <w:hideMark/>
          </w:tcPr>
          <w:p w14:paraId="7BC5B27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PHEX</w:t>
            </w:r>
            <w:r w:rsidRPr="00CF6E71">
              <w:rPr>
                <w:rFonts w:ascii="Liberation Sans" w:eastAsia="Times New Roman" w:hAnsi="Liberation Sans" w:cs="Times New Roman"/>
                <w:sz w:val="12"/>
                <w:lang w:eastAsia="en-GB"/>
              </w:rPr>
              <w:t xml:space="preserve"> (0.03)</w:t>
            </w:r>
          </w:p>
        </w:tc>
        <w:tc>
          <w:tcPr>
            <w:tcW w:w="2675" w:type="dxa"/>
            <w:shd w:val="clear" w:color="auto" w:fill="auto"/>
            <w:vAlign w:val="center"/>
            <w:hideMark/>
          </w:tcPr>
          <w:p w14:paraId="6A5CAEB6"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Renal tract calcification</w:t>
            </w:r>
          </w:p>
        </w:tc>
        <w:tc>
          <w:tcPr>
            <w:tcW w:w="2436" w:type="dxa"/>
            <w:shd w:val="clear" w:color="auto" w:fill="auto"/>
            <w:vAlign w:val="center"/>
            <w:hideMark/>
          </w:tcPr>
          <w:p w14:paraId="00A7658C"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OUTRIDER expression uninformative for </w:t>
            </w:r>
            <w:r w:rsidRPr="00CF6E71">
              <w:rPr>
                <w:rFonts w:ascii="Liberation Sans" w:eastAsia="Times New Roman" w:hAnsi="Liberation Sans" w:cs="Times New Roman"/>
                <w:i/>
                <w:iCs/>
                <w:sz w:val="12"/>
                <w:lang w:eastAsia="en-GB"/>
              </w:rPr>
              <w:t>PHEX</w:t>
            </w:r>
            <w:r w:rsidRPr="00CF6E71">
              <w:rPr>
                <w:rFonts w:ascii="Liberation Sans" w:eastAsia="Times New Roman" w:hAnsi="Liberation Sans" w:cs="Times New Roman"/>
                <w:sz w:val="12"/>
                <w:lang w:eastAsia="en-GB"/>
              </w:rPr>
              <w:t xml:space="preserve">. Distal breakpoint disrupts </w:t>
            </w:r>
            <w:r w:rsidRPr="00CF6E71">
              <w:rPr>
                <w:rFonts w:ascii="Liberation Sans" w:eastAsia="Times New Roman" w:hAnsi="Liberation Sans" w:cs="Times New Roman"/>
                <w:i/>
                <w:iCs/>
                <w:sz w:val="12"/>
                <w:lang w:eastAsia="en-GB"/>
              </w:rPr>
              <w:t>SH3KBP1</w:t>
            </w:r>
            <w:r w:rsidRPr="00CF6E71">
              <w:rPr>
                <w:rFonts w:ascii="Liberation Sans" w:eastAsia="Times New Roman" w:hAnsi="Liberation Sans" w:cs="Times New Roman"/>
                <w:sz w:val="12"/>
                <w:lang w:eastAsia="en-GB"/>
              </w:rPr>
              <w:t xml:space="preserve"> (</w:t>
            </w:r>
            <w:proofErr w:type="spellStart"/>
            <w:r w:rsidRPr="00CF6E71">
              <w:rPr>
                <w:rFonts w:ascii="Liberation Sans" w:eastAsia="Times New Roman" w:hAnsi="Liberation Sans" w:cs="Times New Roman"/>
                <w:sz w:val="12"/>
                <w:lang w:eastAsia="en-GB"/>
              </w:rPr>
              <w:t>GTEx</w:t>
            </w:r>
            <w:proofErr w:type="spellEnd"/>
            <w:r w:rsidRPr="00CF6E71">
              <w:rPr>
                <w:rFonts w:ascii="Liberation Sans" w:eastAsia="Times New Roman" w:hAnsi="Liberation Sans" w:cs="Times New Roman"/>
                <w:sz w:val="12"/>
                <w:lang w:eastAsia="en-GB"/>
              </w:rPr>
              <w:t xml:space="preserve"> TPM = 49.34), for which OUTRIDER did detect a decrease of expression (0.46FC, adjusted p-value 6.6x10</w:t>
            </w:r>
            <w:r w:rsidRPr="00CF6E71">
              <w:rPr>
                <w:rFonts w:ascii="Liberation Sans" w:eastAsia="Times New Roman" w:hAnsi="Liberation Sans" w:cs="Times New Roman"/>
                <w:sz w:val="12"/>
                <w:vertAlign w:val="superscript"/>
                <w:lang w:eastAsia="en-GB"/>
              </w:rPr>
              <w:t>-21</w:t>
            </w:r>
            <w:r w:rsidRPr="00CF6E71">
              <w:rPr>
                <w:rFonts w:ascii="Liberation Sans" w:eastAsia="Times New Roman" w:hAnsi="Liberation Sans" w:cs="Times New Roman"/>
                <w:sz w:val="12"/>
                <w:lang w:eastAsia="en-GB"/>
              </w:rPr>
              <w:t>)</w:t>
            </w:r>
          </w:p>
        </w:tc>
        <w:tc>
          <w:tcPr>
            <w:tcW w:w="2752" w:type="dxa"/>
            <w:shd w:val="clear" w:color="auto" w:fill="auto"/>
            <w:vAlign w:val="center"/>
            <w:hideMark/>
          </w:tcPr>
          <w:p w14:paraId="30EF4EC7" w14:textId="14C317E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 xml:space="preserve">SH3KBP1-PHEX </w:t>
            </w:r>
            <w:r w:rsidRPr="00CF6E71">
              <w:rPr>
                <w:rFonts w:ascii="Liberation Sans" w:eastAsia="Times New Roman" w:hAnsi="Liberation Sans" w:cs="Times New Roman"/>
                <w:sz w:val="12"/>
                <w:lang w:eastAsia="en-GB"/>
              </w:rPr>
              <w:t>fusion transcript detected by DRAGEN (Fig S15</w:t>
            </w:r>
            <w:proofErr w:type="gramStart"/>
            <w:r w:rsidRPr="00CF6E71">
              <w:rPr>
                <w:rFonts w:ascii="Liberation Sans" w:eastAsia="Times New Roman" w:hAnsi="Liberation Sans" w:cs="Times New Roman"/>
                <w:sz w:val="12"/>
                <w:lang w:eastAsia="en-GB"/>
              </w:rPr>
              <w:t>)</w:t>
            </w:r>
            <w:r w:rsidR="00784CD8" w:rsidRPr="00784CD8">
              <w:rPr>
                <w:rFonts w:ascii="Liberation Sans" w:eastAsia="Times New Roman" w:hAnsi="Liberation Sans" w:cs="Times New Roman"/>
                <w:sz w:val="12"/>
                <w:vertAlign w:val="superscript"/>
                <w:lang w:eastAsia="en-GB"/>
              </w:rPr>
              <w:t>a</w:t>
            </w:r>
            <w:proofErr w:type="gramEnd"/>
            <w:r w:rsidRPr="00CF6E71">
              <w:rPr>
                <w:rFonts w:ascii="Liberation Sans" w:eastAsia="Times New Roman" w:hAnsi="Liberation Sans" w:cs="Times New Roman"/>
                <w:sz w:val="12"/>
                <w:lang w:eastAsia="en-GB"/>
              </w:rPr>
              <w:t xml:space="preserve">. </w:t>
            </w:r>
            <w:r w:rsidRPr="00CF6E71">
              <w:rPr>
                <w:rFonts w:ascii="Liberation Sans" w:eastAsia="Times New Roman" w:hAnsi="Liberation Sans" w:cs="Times New Roman"/>
                <w:i/>
                <w:sz w:val="12"/>
                <w:lang w:eastAsia="en-GB"/>
              </w:rPr>
              <w:t>PHEX</w:t>
            </w:r>
            <w:r w:rsidRPr="00CF6E71">
              <w:rPr>
                <w:rFonts w:ascii="Liberation Sans" w:eastAsia="Times New Roman" w:hAnsi="Liberation Sans" w:cs="Times New Roman"/>
                <w:sz w:val="12"/>
                <w:lang w:eastAsia="en-GB"/>
              </w:rPr>
              <w:t xml:space="preserve"> expression elevated at 3</w:t>
            </w:r>
            <w:r w:rsidRPr="00CF6E71">
              <w:rPr>
                <w:rFonts w:ascii="Liberation Sans" w:eastAsia="Times New Roman" w:hAnsi="Liberation Sans" w:cs="Times New Roman" w:hint="eastAsia"/>
                <w:sz w:val="12"/>
                <w:lang w:eastAsia="en-GB"/>
              </w:rPr>
              <w:t>’</w:t>
            </w:r>
            <w:r w:rsidRPr="00CF6E71">
              <w:rPr>
                <w:rFonts w:ascii="Liberation Sans" w:eastAsia="Times New Roman" w:hAnsi="Liberation Sans" w:cs="Times New Roman"/>
                <w:sz w:val="12"/>
                <w:lang w:eastAsia="en-GB"/>
              </w:rPr>
              <w:t xml:space="preserve"> end after breakpoint.</w:t>
            </w:r>
          </w:p>
        </w:tc>
      </w:tr>
      <w:tr w:rsidR="0054637A" w:rsidRPr="00CF6E71" w14:paraId="7D6C7225" w14:textId="77777777" w:rsidTr="00DD05AD">
        <w:trPr>
          <w:trHeight w:val="713"/>
        </w:trPr>
        <w:tc>
          <w:tcPr>
            <w:tcW w:w="597" w:type="dxa"/>
            <w:shd w:val="clear" w:color="auto" w:fill="auto"/>
            <w:noWrap/>
            <w:vAlign w:val="center"/>
            <w:hideMark/>
          </w:tcPr>
          <w:p w14:paraId="17898711"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36</w:t>
            </w:r>
          </w:p>
        </w:tc>
        <w:tc>
          <w:tcPr>
            <w:tcW w:w="1124" w:type="dxa"/>
            <w:shd w:val="clear" w:color="auto" w:fill="auto"/>
            <w:noWrap/>
            <w:vAlign w:val="center"/>
            <w:hideMark/>
          </w:tcPr>
          <w:p w14:paraId="120F4795"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chr21:37377983-38142066</w:t>
            </w:r>
          </w:p>
        </w:tc>
        <w:tc>
          <w:tcPr>
            <w:tcW w:w="817" w:type="dxa"/>
            <w:shd w:val="clear" w:color="auto" w:fill="auto"/>
            <w:noWrap/>
            <w:vAlign w:val="center"/>
            <w:hideMark/>
          </w:tcPr>
          <w:p w14:paraId="6F39DFA4"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764,083</w:t>
            </w:r>
          </w:p>
        </w:tc>
        <w:tc>
          <w:tcPr>
            <w:tcW w:w="1810" w:type="dxa"/>
            <w:shd w:val="clear" w:color="auto" w:fill="auto"/>
            <w:vAlign w:val="center"/>
            <w:hideMark/>
          </w:tcPr>
          <w:p w14:paraId="1A457F7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NA</w:t>
            </w:r>
          </w:p>
        </w:tc>
        <w:tc>
          <w:tcPr>
            <w:tcW w:w="1126" w:type="dxa"/>
            <w:shd w:val="clear" w:color="auto" w:fill="auto"/>
            <w:vAlign w:val="center"/>
            <w:hideMark/>
          </w:tcPr>
          <w:p w14:paraId="7738508C"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1 (trio, </w:t>
            </w:r>
            <w:r w:rsidRPr="00CF6E71">
              <w:rPr>
                <w:rFonts w:ascii="Liberation Sans" w:eastAsia="Times New Roman" w:hAnsi="Liberation Sans" w:cs="Times New Roman"/>
                <w:i/>
                <w:iCs/>
                <w:sz w:val="12"/>
                <w:lang w:eastAsia="en-GB"/>
              </w:rPr>
              <w:t>de novo</w:t>
            </w:r>
            <w:r w:rsidRPr="00CF6E71">
              <w:rPr>
                <w:rFonts w:ascii="Liberation Sans" w:eastAsia="Times New Roman" w:hAnsi="Liberation Sans" w:cs="Times New Roman"/>
                <w:sz w:val="12"/>
                <w:lang w:eastAsia="en-GB"/>
              </w:rPr>
              <w:t>)</w:t>
            </w:r>
          </w:p>
        </w:tc>
        <w:tc>
          <w:tcPr>
            <w:tcW w:w="697" w:type="dxa"/>
            <w:shd w:val="clear" w:color="auto" w:fill="auto"/>
            <w:noWrap/>
            <w:vAlign w:val="center"/>
            <w:hideMark/>
          </w:tcPr>
          <w:p w14:paraId="4676F3E9"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DYRK1A</w:t>
            </w:r>
            <w:r w:rsidRPr="00CF6E71">
              <w:rPr>
                <w:rFonts w:ascii="Liberation Sans" w:eastAsia="Times New Roman" w:hAnsi="Liberation Sans" w:cs="Times New Roman"/>
                <w:sz w:val="12"/>
                <w:lang w:eastAsia="en-GB"/>
              </w:rPr>
              <w:t xml:space="preserve"> (7.42)</w:t>
            </w:r>
          </w:p>
        </w:tc>
        <w:tc>
          <w:tcPr>
            <w:tcW w:w="2675" w:type="dxa"/>
            <w:shd w:val="clear" w:color="auto" w:fill="auto"/>
            <w:vAlign w:val="center"/>
            <w:hideMark/>
          </w:tcPr>
          <w:p w14:paraId="5C77FE9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Intellectual disability</w:t>
            </w:r>
          </w:p>
        </w:tc>
        <w:tc>
          <w:tcPr>
            <w:tcW w:w="2436" w:type="dxa"/>
            <w:shd w:val="clear" w:color="auto" w:fill="auto"/>
            <w:vAlign w:val="center"/>
            <w:hideMark/>
          </w:tcPr>
          <w:p w14:paraId="026EFBF8"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OUTRIDER expression analysis shows a 0.57 FC, with adjusted p-value 3.7x10</w:t>
            </w:r>
            <w:r w:rsidRPr="00CF6E71">
              <w:rPr>
                <w:rFonts w:ascii="Liberation Sans" w:eastAsia="Times New Roman" w:hAnsi="Liberation Sans" w:cs="Times New Roman"/>
                <w:sz w:val="12"/>
                <w:vertAlign w:val="superscript"/>
                <w:lang w:eastAsia="en-GB"/>
              </w:rPr>
              <w:t>-27</w:t>
            </w:r>
          </w:p>
        </w:tc>
        <w:tc>
          <w:tcPr>
            <w:tcW w:w="2752" w:type="dxa"/>
            <w:shd w:val="clear" w:color="auto" w:fill="auto"/>
            <w:vAlign w:val="center"/>
            <w:hideMark/>
          </w:tcPr>
          <w:p w14:paraId="76C4F809"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Breakpoint is in intron 1 and exon 1 is non coding 5'-UTR therefore impact confirmed only with RNA data; however truncation in this intron was reported previously in case with translocation.</w:t>
            </w:r>
            <w:r w:rsidRPr="00CF6E71">
              <w:rPr>
                <w:rFonts w:ascii="Liberation Sans" w:eastAsia="Times New Roman" w:hAnsi="Liberation Sans" w:cs="Times New Roman"/>
                <w:noProof/>
                <w:sz w:val="12"/>
                <w:vertAlign w:val="superscript"/>
                <w:lang w:eastAsia="en-GB"/>
              </w:rPr>
              <w:t>83</w:t>
            </w:r>
          </w:p>
        </w:tc>
      </w:tr>
      <w:tr w:rsidR="0054637A" w:rsidRPr="00CF6E71" w14:paraId="02AEFCA8" w14:textId="77777777" w:rsidTr="00DD05AD">
        <w:trPr>
          <w:trHeight w:val="867"/>
        </w:trPr>
        <w:tc>
          <w:tcPr>
            <w:tcW w:w="597" w:type="dxa"/>
            <w:shd w:val="clear" w:color="auto" w:fill="auto"/>
            <w:noWrap/>
            <w:vAlign w:val="center"/>
            <w:hideMark/>
          </w:tcPr>
          <w:p w14:paraId="4463F68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43</w:t>
            </w:r>
          </w:p>
        </w:tc>
        <w:tc>
          <w:tcPr>
            <w:tcW w:w="1124" w:type="dxa"/>
            <w:shd w:val="clear" w:color="auto" w:fill="auto"/>
            <w:noWrap/>
            <w:vAlign w:val="center"/>
            <w:hideMark/>
          </w:tcPr>
          <w:p w14:paraId="49F60B2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chr5:112769977-116946042</w:t>
            </w:r>
          </w:p>
        </w:tc>
        <w:tc>
          <w:tcPr>
            <w:tcW w:w="817" w:type="dxa"/>
            <w:shd w:val="clear" w:color="auto" w:fill="auto"/>
            <w:noWrap/>
            <w:vAlign w:val="center"/>
            <w:hideMark/>
          </w:tcPr>
          <w:p w14:paraId="7F1612F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4,176,065</w:t>
            </w:r>
          </w:p>
        </w:tc>
        <w:tc>
          <w:tcPr>
            <w:tcW w:w="1810" w:type="dxa"/>
            <w:shd w:val="clear" w:color="auto" w:fill="auto"/>
            <w:vAlign w:val="center"/>
            <w:hideMark/>
          </w:tcPr>
          <w:p w14:paraId="0CE31C26"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11.9kb deletion (chr5:111440257-111452111) but otherwise this complex translocation involving 9 rearranged segments is balanced (Fig 6E).</w:t>
            </w:r>
          </w:p>
        </w:tc>
        <w:tc>
          <w:tcPr>
            <w:tcW w:w="1126" w:type="dxa"/>
            <w:shd w:val="clear" w:color="auto" w:fill="auto"/>
            <w:vAlign w:val="center"/>
            <w:hideMark/>
          </w:tcPr>
          <w:p w14:paraId="7FBBA61B"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3 (father and 2 sons, from affected parent)</w:t>
            </w:r>
          </w:p>
        </w:tc>
        <w:tc>
          <w:tcPr>
            <w:tcW w:w="697" w:type="dxa"/>
            <w:shd w:val="clear" w:color="auto" w:fill="auto"/>
            <w:noWrap/>
            <w:vAlign w:val="center"/>
            <w:hideMark/>
          </w:tcPr>
          <w:p w14:paraId="5CE064E0"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i/>
                <w:iCs/>
                <w:sz w:val="12"/>
                <w:lang w:eastAsia="en-GB"/>
              </w:rPr>
              <w:t>APC</w:t>
            </w:r>
            <w:r w:rsidRPr="00CF6E71">
              <w:rPr>
                <w:rFonts w:ascii="Liberation Sans" w:eastAsia="Times New Roman" w:hAnsi="Liberation Sans" w:cs="Times New Roman"/>
                <w:sz w:val="12"/>
                <w:lang w:eastAsia="en-GB"/>
              </w:rPr>
              <w:t xml:space="preserve"> (1.82)</w:t>
            </w:r>
          </w:p>
        </w:tc>
        <w:tc>
          <w:tcPr>
            <w:tcW w:w="2675" w:type="dxa"/>
            <w:shd w:val="clear" w:color="auto" w:fill="auto"/>
            <w:vAlign w:val="center"/>
            <w:hideMark/>
          </w:tcPr>
          <w:p w14:paraId="278AC403"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Multiple bowel polyps (Fig 6B-C)</w:t>
            </w:r>
          </w:p>
        </w:tc>
        <w:tc>
          <w:tcPr>
            <w:tcW w:w="2436" w:type="dxa"/>
            <w:shd w:val="clear" w:color="auto" w:fill="auto"/>
            <w:vAlign w:val="center"/>
            <w:hideMark/>
          </w:tcPr>
          <w:p w14:paraId="118E6A61" w14:textId="1C403D49"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OUTRIDER expression analysis shows a 0.65 FC, with adjusted p-value 1.5x10</w:t>
            </w:r>
            <w:r w:rsidRPr="00CF6E71">
              <w:rPr>
                <w:rFonts w:ascii="Liberation Sans" w:eastAsia="Times New Roman" w:hAnsi="Liberation Sans" w:cs="Times New Roman"/>
                <w:sz w:val="12"/>
                <w:vertAlign w:val="superscript"/>
                <w:lang w:eastAsia="en-GB"/>
              </w:rPr>
              <w:t>-10</w:t>
            </w:r>
            <w:r w:rsidRPr="00CF6E71">
              <w:rPr>
                <w:rFonts w:ascii="Liberation Sans" w:eastAsia="Times New Roman" w:hAnsi="Liberation Sans" w:cs="Times New Roman"/>
                <w:sz w:val="12"/>
                <w:lang w:eastAsia="en-GB"/>
              </w:rPr>
              <w:t>. Monoallelic expression confirmed using 6 SNP haplotype (rs2229992-rs351771-rs41115-rs42427-rs866006-rs465899; C-A-A-A-G-A; Fig S16). Haplotype phasing with PacBio.</w:t>
            </w:r>
          </w:p>
        </w:tc>
        <w:tc>
          <w:tcPr>
            <w:tcW w:w="2752" w:type="dxa"/>
            <w:shd w:val="clear" w:color="auto" w:fill="auto"/>
            <w:vAlign w:val="center"/>
            <w:hideMark/>
          </w:tcPr>
          <w:p w14:paraId="1F93C310" w14:textId="77777777" w:rsidR="0054637A" w:rsidRPr="00CF6E71" w:rsidRDefault="0054637A" w:rsidP="00DD05AD">
            <w:pPr>
              <w:spacing w:after="0" w:line="240" w:lineRule="auto"/>
              <w:jc w:val="center"/>
              <w:rPr>
                <w:rFonts w:ascii="Liberation Sans" w:eastAsia="Times New Roman" w:hAnsi="Liberation Sans" w:cs="Times New Roman"/>
                <w:sz w:val="12"/>
                <w:lang w:eastAsia="en-GB"/>
              </w:rPr>
            </w:pPr>
            <w:r w:rsidRPr="00CF6E71">
              <w:rPr>
                <w:rFonts w:ascii="Liberation Sans" w:eastAsia="Times New Roman" w:hAnsi="Liberation Sans" w:cs="Times New Roman"/>
                <w:sz w:val="12"/>
                <w:lang w:eastAsia="en-GB"/>
              </w:rPr>
              <w:t xml:space="preserve">OUTRIDER also detected significant downregulation of </w:t>
            </w:r>
            <w:r w:rsidRPr="00CF6E71">
              <w:rPr>
                <w:rFonts w:ascii="Liberation Sans" w:eastAsia="Times New Roman" w:hAnsi="Liberation Sans" w:cs="Times New Roman"/>
                <w:i/>
                <w:iCs/>
                <w:sz w:val="12"/>
                <w:lang w:eastAsia="en-GB"/>
              </w:rPr>
              <w:t>CAMK4</w:t>
            </w:r>
            <w:r w:rsidRPr="00CF6E71">
              <w:rPr>
                <w:rFonts w:ascii="Liberation Sans" w:eastAsia="Times New Roman" w:hAnsi="Liberation Sans" w:cs="Times New Roman"/>
                <w:sz w:val="12"/>
                <w:lang w:eastAsia="en-GB"/>
              </w:rPr>
              <w:t xml:space="preserve"> (FC = 0.53, </w:t>
            </w:r>
            <w:proofErr w:type="spellStart"/>
            <w:r w:rsidRPr="00CF6E71">
              <w:rPr>
                <w:rFonts w:ascii="Liberation Sans" w:eastAsia="Times New Roman" w:hAnsi="Liberation Sans" w:cs="Times New Roman"/>
                <w:sz w:val="12"/>
                <w:lang w:eastAsia="en-GB"/>
              </w:rPr>
              <w:t>padj</w:t>
            </w:r>
            <w:proofErr w:type="spellEnd"/>
            <w:r w:rsidRPr="00CF6E71">
              <w:rPr>
                <w:rFonts w:ascii="Liberation Sans" w:eastAsia="Times New Roman" w:hAnsi="Liberation Sans" w:cs="Times New Roman"/>
                <w:sz w:val="12"/>
                <w:lang w:eastAsia="en-GB"/>
              </w:rPr>
              <w:t xml:space="preserve"> = 2.0x10</w:t>
            </w:r>
            <w:r w:rsidRPr="00CF6E71">
              <w:rPr>
                <w:rFonts w:ascii="Liberation Sans" w:eastAsia="Times New Roman" w:hAnsi="Liberation Sans" w:cs="Times New Roman"/>
                <w:sz w:val="12"/>
                <w:vertAlign w:val="superscript"/>
                <w:lang w:eastAsia="en-GB"/>
              </w:rPr>
              <w:t>-3</w:t>
            </w:r>
            <w:r w:rsidRPr="00CF6E71">
              <w:rPr>
                <w:rFonts w:ascii="Liberation Sans" w:eastAsia="Times New Roman" w:hAnsi="Liberation Sans" w:cs="Times New Roman"/>
                <w:sz w:val="12"/>
                <w:lang w:eastAsia="en-GB"/>
              </w:rPr>
              <w:t xml:space="preserve">) which is disrupted directly (Fig 6D). Downregulation of </w:t>
            </w:r>
            <w:r w:rsidRPr="00CF6E71">
              <w:rPr>
                <w:rFonts w:ascii="Liberation Sans" w:eastAsia="Times New Roman" w:hAnsi="Liberation Sans" w:cs="Times New Roman"/>
                <w:i/>
                <w:iCs/>
                <w:sz w:val="12"/>
                <w:lang w:eastAsia="en-GB"/>
              </w:rPr>
              <w:t xml:space="preserve">DCP2 </w:t>
            </w:r>
            <w:r w:rsidRPr="00CF6E71">
              <w:rPr>
                <w:rFonts w:ascii="Liberation Sans" w:eastAsia="Times New Roman" w:hAnsi="Liberation Sans" w:cs="Times New Roman"/>
                <w:sz w:val="12"/>
                <w:lang w:eastAsia="en-GB"/>
              </w:rPr>
              <w:t xml:space="preserve">(FC = 0.75, </w:t>
            </w:r>
            <w:proofErr w:type="spellStart"/>
            <w:r w:rsidRPr="00CF6E71">
              <w:rPr>
                <w:rFonts w:ascii="Liberation Sans" w:eastAsia="Times New Roman" w:hAnsi="Liberation Sans" w:cs="Times New Roman"/>
                <w:sz w:val="12"/>
                <w:lang w:eastAsia="en-GB"/>
              </w:rPr>
              <w:t>padj</w:t>
            </w:r>
            <w:proofErr w:type="spellEnd"/>
            <w:r w:rsidRPr="00CF6E71">
              <w:rPr>
                <w:rFonts w:ascii="Liberation Sans" w:eastAsia="Times New Roman" w:hAnsi="Liberation Sans" w:cs="Times New Roman"/>
                <w:sz w:val="12"/>
                <w:lang w:eastAsia="en-GB"/>
              </w:rPr>
              <w:t xml:space="preserve"> =2.7x10</w:t>
            </w:r>
            <w:r w:rsidRPr="00CF6E71">
              <w:rPr>
                <w:rFonts w:ascii="Liberation Sans" w:eastAsia="Times New Roman" w:hAnsi="Liberation Sans" w:cs="Times New Roman"/>
                <w:sz w:val="12"/>
                <w:vertAlign w:val="superscript"/>
                <w:lang w:eastAsia="en-GB"/>
              </w:rPr>
              <w:t>-5</w:t>
            </w:r>
            <w:r w:rsidRPr="00CF6E71">
              <w:rPr>
                <w:rFonts w:ascii="Liberation Sans" w:eastAsia="Times New Roman" w:hAnsi="Liberation Sans" w:cs="Times New Roman"/>
                <w:sz w:val="12"/>
                <w:lang w:eastAsia="en-GB"/>
              </w:rPr>
              <w:t xml:space="preserve">), which lies 207kb from the </w:t>
            </w:r>
            <w:r w:rsidRPr="00CF6E71">
              <w:rPr>
                <w:rFonts w:ascii="Liberation Sans" w:eastAsia="Times New Roman" w:hAnsi="Liberation Sans" w:cs="Times New Roman"/>
                <w:i/>
                <w:iCs/>
                <w:sz w:val="12"/>
                <w:lang w:eastAsia="en-GB"/>
              </w:rPr>
              <w:t>APC</w:t>
            </w:r>
            <w:r w:rsidRPr="00CF6E71">
              <w:rPr>
                <w:rFonts w:ascii="Liberation Sans" w:eastAsia="Times New Roman" w:hAnsi="Liberation Sans" w:cs="Times New Roman"/>
                <w:sz w:val="12"/>
                <w:lang w:eastAsia="en-GB"/>
              </w:rPr>
              <w:t xml:space="preserve"> breakpoint, highlights potential for complex SVs to result in long-distance position effects.</w:t>
            </w:r>
          </w:p>
        </w:tc>
      </w:tr>
    </w:tbl>
    <w:p w14:paraId="0E1F6338" w14:textId="77777777" w:rsidR="0054637A" w:rsidRPr="006A18DD" w:rsidRDefault="0054637A" w:rsidP="00DD05AD">
      <w:pPr>
        <w:jc w:val="both"/>
        <w:rPr>
          <w:b/>
        </w:rPr>
        <w:sectPr w:rsidR="0054637A" w:rsidRPr="006A18DD" w:rsidSect="000F534A">
          <w:type w:val="continuous"/>
          <w:pgSz w:w="16838" w:h="11906" w:orient="landscape"/>
          <w:pgMar w:top="1440" w:right="1440" w:bottom="1440" w:left="1440" w:header="708" w:footer="708" w:gutter="0"/>
          <w:cols w:space="708"/>
          <w:docGrid w:linePitch="360"/>
        </w:sectPr>
      </w:pPr>
    </w:p>
    <w:p w14:paraId="652E18EF" w14:textId="77777777" w:rsidR="0054637A" w:rsidRPr="00455F67" w:rsidRDefault="0054637A" w:rsidP="00DD05AD">
      <w:pPr>
        <w:jc w:val="both"/>
        <w:rPr>
          <w:b/>
          <w:sz w:val="28"/>
        </w:rPr>
      </w:pPr>
      <w:r w:rsidRPr="00455F67">
        <w:rPr>
          <w:b/>
          <w:sz w:val="28"/>
        </w:rPr>
        <w:lastRenderedPageBreak/>
        <w:t>FIGURE LEGENDS</w:t>
      </w:r>
    </w:p>
    <w:p w14:paraId="347F8582" w14:textId="0220D1D9" w:rsidR="0054637A" w:rsidRDefault="0054637A" w:rsidP="00DD05AD">
      <w:pPr>
        <w:jc w:val="both"/>
      </w:pPr>
      <w:r>
        <w:rPr>
          <w:b/>
        </w:rPr>
        <w:t xml:space="preserve">Figure 1: Size range and summary of detected inversions. </w:t>
      </w:r>
      <w:r w:rsidRPr="00925F96">
        <w:t xml:space="preserve">A) </w:t>
      </w:r>
      <w:r>
        <w:t>S</w:t>
      </w:r>
      <w:r w:rsidRPr="00925F96">
        <w:t>ize distribution</w:t>
      </w:r>
      <w:r>
        <w:t xml:space="preserve"> of inverted genomic segments in 47 </w:t>
      </w:r>
      <w:r w:rsidR="00B27974">
        <w:t xml:space="preserve">families </w:t>
      </w:r>
      <w:r>
        <w:t>from the 100k Genomes Project</w:t>
      </w:r>
      <w:r w:rsidRPr="00925F96">
        <w:t xml:space="preserve">. For complex </w:t>
      </w:r>
      <w:r>
        <w:t>SVs,</w:t>
      </w:r>
      <w:r w:rsidRPr="00925F96">
        <w:t xml:space="preserve"> the largest of the </w:t>
      </w:r>
      <w:proofErr w:type="spellStart"/>
      <w:r w:rsidRPr="00925F96">
        <w:t>MantaINV</w:t>
      </w:r>
      <w:proofErr w:type="spellEnd"/>
      <w:r w:rsidRPr="00925F96">
        <w:t xml:space="preserve"> calls is plotted.</w:t>
      </w:r>
      <w:r>
        <w:t xml:space="preserve"> Family ID and gene symbols are shown in X-axis labels. The dotted red line represents a size threshold of 10Mb which is the typical limit below which karyotyping is unlikely to detect an inversion. Exemplar</w:t>
      </w:r>
      <w:r w:rsidR="00B27974">
        <w:t>s</w:t>
      </w:r>
      <w:r>
        <w:t xml:space="preserve"> are highlighted in orange (</w:t>
      </w:r>
      <w:r w:rsidRPr="00790CDA">
        <w:rPr>
          <w:i/>
        </w:rPr>
        <w:t>MSH2</w:t>
      </w:r>
      <w:r>
        <w:t>), salmon (</w:t>
      </w:r>
      <w:r w:rsidRPr="00790CDA">
        <w:rPr>
          <w:i/>
        </w:rPr>
        <w:t>MECP2</w:t>
      </w:r>
      <w:r>
        <w:t>), blue (</w:t>
      </w:r>
      <w:r w:rsidRPr="00790CDA">
        <w:rPr>
          <w:i/>
        </w:rPr>
        <w:t>HOXD</w:t>
      </w:r>
      <w:r>
        <w:t>11-13 cluster) and green (</w:t>
      </w:r>
      <w:r w:rsidRPr="00790CDA">
        <w:rPr>
          <w:i/>
        </w:rPr>
        <w:t>APC</w:t>
      </w:r>
      <w:r>
        <w:t xml:space="preserve">). B) FISH images for metaphase spread showing normal and inverted chromosome 3, where commercial </w:t>
      </w:r>
      <w:proofErr w:type="spellStart"/>
      <w:r>
        <w:t>breakapart</w:t>
      </w:r>
      <w:proofErr w:type="spellEnd"/>
      <w:r>
        <w:t xml:space="preserve"> probes confirm disruption of </w:t>
      </w:r>
      <w:r w:rsidRPr="00057267">
        <w:rPr>
          <w:i/>
        </w:rPr>
        <w:t>MLH1</w:t>
      </w:r>
      <w:r>
        <w:t xml:space="preserve"> in the proband from Family 19. </w:t>
      </w:r>
      <w:r w:rsidRPr="00D1714D">
        <w:t xml:space="preserve">Red and green probes hybridise adjacent to the 5’ and 3’ </w:t>
      </w:r>
      <w:r>
        <w:t xml:space="preserve">ends </w:t>
      </w:r>
      <w:r w:rsidRPr="00D1714D">
        <w:t xml:space="preserve">of </w:t>
      </w:r>
      <w:r w:rsidRPr="00D1714D">
        <w:rPr>
          <w:i/>
        </w:rPr>
        <w:t>MLH1</w:t>
      </w:r>
      <w:r>
        <w:t>,</w:t>
      </w:r>
      <w:r w:rsidRPr="00D1714D">
        <w:t xml:space="preserve"> respectively.</w:t>
      </w:r>
      <w:r>
        <w:t xml:space="preserve"> C) </w:t>
      </w:r>
      <w:r w:rsidRPr="0056760D">
        <w:t xml:space="preserve">Data supporting 24bp inversion </w:t>
      </w:r>
      <w:r>
        <w:t>(</w:t>
      </w:r>
      <w:r w:rsidRPr="0056760D">
        <w:t>NM_138459.5:c.542-13_552inv</w:t>
      </w:r>
      <w:r>
        <w:t xml:space="preserve">) </w:t>
      </w:r>
      <w:r w:rsidRPr="0056760D">
        <w:t xml:space="preserve">involving exon 3 of </w:t>
      </w:r>
      <w:r w:rsidRPr="0056760D">
        <w:rPr>
          <w:i/>
          <w:iCs/>
        </w:rPr>
        <w:t>NUS1</w:t>
      </w:r>
      <w:r w:rsidRPr="0056760D">
        <w:t xml:space="preserve"> seen in a</w:t>
      </w:r>
      <w:r>
        <w:t>n individual</w:t>
      </w:r>
      <w:r w:rsidRPr="0056760D">
        <w:t xml:space="preserve"> with epilepsy. GRCh38</w:t>
      </w:r>
      <w:r>
        <w:t xml:space="preserve"> </w:t>
      </w:r>
      <w:r w:rsidRPr="0056760D">
        <w:t>coordinates are chr6:117</w:t>
      </w:r>
      <w:r>
        <w:t>,</w:t>
      </w:r>
      <w:r w:rsidRPr="0056760D">
        <w:t>694</w:t>
      </w:r>
      <w:r>
        <w:t>,</w:t>
      </w:r>
      <w:r w:rsidRPr="0056760D">
        <w:t>018-117</w:t>
      </w:r>
      <w:r>
        <w:t>,</w:t>
      </w:r>
      <w:r w:rsidRPr="0056760D">
        <w:t>694</w:t>
      </w:r>
      <w:r>
        <w:t>,041</w:t>
      </w:r>
      <w:r w:rsidRPr="0056760D">
        <w:t>. Upper track shows 20 “SNVs” called by Platypus, of which 15</w:t>
      </w:r>
      <w:r>
        <w:t xml:space="preserve"> </w:t>
      </w:r>
      <w:r w:rsidRPr="00552D82">
        <w:t xml:space="preserve">had a predicted consequence type </w:t>
      </w:r>
      <w:r>
        <w:t xml:space="preserve">prioritised </w:t>
      </w:r>
      <w:r w:rsidRPr="00552D82">
        <w:t>by the interpretation pipelin</w:t>
      </w:r>
      <w:r>
        <w:t>e</w:t>
      </w:r>
      <w:r w:rsidRPr="0056760D">
        <w:t xml:space="preserve"> (</w:t>
      </w:r>
      <w:proofErr w:type="gramStart"/>
      <w:r w:rsidRPr="0056760D">
        <w:t>2</w:t>
      </w:r>
      <w:proofErr w:type="gramEnd"/>
      <w:r w:rsidRPr="0056760D">
        <w:t xml:space="preserve"> stop-gain:</w:t>
      </w:r>
      <w:r>
        <w:t xml:space="preserve"> </w:t>
      </w:r>
      <w:r w:rsidRPr="0056760D">
        <w:t>RED, 2 splice acceptor</w:t>
      </w:r>
      <w:r>
        <w:t>, 5 missense, 6 splice region).</w:t>
      </w:r>
      <w:r w:rsidRPr="0056760D">
        <w:t xml:space="preserve"> </w:t>
      </w:r>
      <w:r w:rsidRPr="00415898">
        <w:rPr>
          <w:i/>
        </w:rPr>
        <w:t>NUS1</w:t>
      </w:r>
      <w:r w:rsidRPr="0056760D">
        <w:t xml:space="preserve"> was not on Genetic Epilepsy syndromes (v.1.13) or Intellectual disability (2.597) panels applied at initial analysis and so these variants were flagged as TIER3. Middle track shows alignments from </w:t>
      </w:r>
      <w:r>
        <w:t xml:space="preserve">the proband </w:t>
      </w:r>
      <w:r w:rsidRPr="0056760D">
        <w:t xml:space="preserve">in </w:t>
      </w:r>
      <w:r>
        <w:t>F</w:t>
      </w:r>
      <w:r w:rsidRPr="0056760D">
        <w:t xml:space="preserve">amily 45 and lower track are alignments for </w:t>
      </w:r>
      <w:r>
        <w:t xml:space="preserve">a </w:t>
      </w:r>
      <w:r w:rsidRPr="0056760D">
        <w:t xml:space="preserve">control subject sequenced in </w:t>
      </w:r>
      <w:r>
        <w:t xml:space="preserve">the </w:t>
      </w:r>
      <w:r w:rsidRPr="0056760D">
        <w:t>same batch. This variant was not detected by Manta or by using the Illumina small variant caller.</w:t>
      </w:r>
      <w:r>
        <w:t xml:space="preserve"> D) Summary of SV type, i</w:t>
      </w:r>
      <w:r w:rsidRPr="00C50B96">
        <w:t>nheritance pattern</w:t>
      </w:r>
      <w:r>
        <w:t xml:space="preserve">, validation status, structural ambiguity, </w:t>
      </w:r>
      <w:proofErr w:type="spellStart"/>
      <w:r>
        <w:t>RNAseq</w:t>
      </w:r>
      <w:proofErr w:type="spellEnd"/>
      <w:r>
        <w:t xml:space="preserve"> data availability and final assessment, </w:t>
      </w:r>
      <w:r w:rsidRPr="00C50B96">
        <w:t xml:space="preserve">across </w:t>
      </w:r>
      <w:r>
        <w:t xml:space="preserve">all </w:t>
      </w:r>
      <w:r w:rsidRPr="00C50B96">
        <w:t xml:space="preserve">47 families. </w:t>
      </w:r>
      <w:r>
        <w:rPr>
          <w:rFonts w:ascii="Calibri" w:hAnsi="Calibri" w:cs="Calibri"/>
          <w:color w:val="000000"/>
          <w:shd w:val="clear" w:color="auto" w:fill="FFFFFF"/>
        </w:rPr>
        <w:t xml:space="preserve">Order of </w:t>
      </w:r>
      <w:r w:rsidR="00B27974">
        <w:rPr>
          <w:rFonts w:ascii="Calibri" w:hAnsi="Calibri" w:cs="Calibri"/>
          <w:color w:val="000000"/>
          <w:shd w:val="clear" w:color="auto" w:fill="FFFFFF"/>
        </w:rPr>
        <w:t xml:space="preserve">families </w:t>
      </w:r>
      <w:r>
        <w:rPr>
          <w:rFonts w:ascii="Calibri" w:hAnsi="Calibri" w:cs="Calibri"/>
          <w:color w:val="000000"/>
          <w:shd w:val="clear" w:color="auto" w:fill="FFFFFF"/>
        </w:rPr>
        <w:t>is identical to Table S2. </w:t>
      </w:r>
      <w:r w:rsidRPr="00C50B96">
        <w:t>*For 2/10 families (F</w:t>
      </w:r>
      <w:r w:rsidR="00E912BF">
        <w:t xml:space="preserve">amilies </w:t>
      </w:r>
      <w:r w:rsidRPr="00C50B96">
        <w:t>16 and 7)</w:t>
      </w:r>
      <w:r>
        <w:t xml:space="preserve">, </w:t>
      </w:r>
      <w:r w:rsidRPr="00C50B96">
        <w:t xml:space="preserve">inheritance is inferred from haplotype studies due to the </w:t>
      </w:r>
      <w:r w:rsidRPr="004C2C25">
        <w:rPr>
          <w:i/>
        </w:rPr>
        <w:t>MSH2</w:t>
      </w:r>
      <w:r w:rsidRPr="00C50B96">
        <w:t xml:space="preserve"> inv</w:t>
      </w:r>
      <w:r>
        <w:t xml:space="preserve">ersion being a founder variant. †PacBio </w:t>
      </w:r>
      <w:r w:rsidRPr="00C50B96">
        <w:t xml:space="preserve">analysis </w:t>
      </w:r>
      <w:r>
        <w:t xml:space="preserve">for Family 40 is </w:t>
      </w:r>
      <w:r w:rsidRPr="00C50B96">
        <w:t>ongoing</w:t>
      </w:r>
      <w:r>
        <w:t>.</w:t>
      </w:r>
    </w:p>
    <w:p w14:paraId="1B31894C" w14:textId="4CB7F299" w:rsidR="0054637A" w:rsidRDefault="0054637A" w:rsidP="00DD05AD">
      <w:pPr>
        <w:jc w:val="both"/>
        <w:rPr>
          <w:b/>
        </w:rPr>
      </w:pPr>
      <w:r w:rsidRPr="00395607">
        <w:rPr>
          <w:b/>
        </w:rPr>
        <w:t xml:space="preserve">Figure 2: </w:t>
      </w:r>
      <w:proofErr w:type="spellStart"/>
      <w:r w:rsidRPr="00395607">
        <w:rPr>
          <w:b/>
        </w:rPr>
        <w:t>RNAseq</w:t>
      </w:r>
      <w:proofErr w:type="spellEnd"/>
      <w:r w:rsidRPr="00395607">
        <w:rPr>
          <w:b/>
        </w:rPr>
        <w:t xml:space="preserve"> data for Families 14</w:t>
      </w:r>
      <w:r w:rsidR="007B70B8">
        <w:rPr>
          <w:b/>
        </w:rPr>
        <w:t xml:space="preserve"> and </w:t>
      </w:r>
      <w:r w:rsidRPr="00395607">
        <w:rPr>
          <w:b/>
        </w:rPr>
        <w:t xml:space="preserve">3 showing examples of allele imbalance and exon skipping. </w:t>
      </w:r>
      <w:r w:rsidRPr="00395607">
        <w:rPr>
          <w:bCs/>
        </w:rPr>
        <w:t xml:space="preserve">A) </w:t>
      </w:r>
      <w:r w:rsidRPr="00395607">
        <w:rPr>
          <w:bCs/>
          <w:i/>
          <w:iCs/>
        </w:rPr>
        <w:t>De novo</w:t>
      </w:r>
      <w:r w:rsidRPr="00395607">
        <w:rPr>
          <w:bCs/>
        </w:rPr>
        <w:t xml:space="preserve"> deletion/inversion in Family 14 results in monoallelic expression of </w:t>
      </w:r>
      <w:r w:rsidRPr="00395607">
        <w:rPr>
          <w:bCs/>
          <w:i/>
          <w:iCs/>
        </w:rPr>
        <w:t>KMT2B</w:t>
      </w:r>
      <w:r w:rsidRPr="00395607">
        <w:rPr>
          <w:bCs/>
        </w:rPr>
        <w:t xml:space="preserve"> (NM_014727.3). </w:t>
      </w:r>
      <w:proofErr w:type="spellStart"/>
      <w:r w:rsidRPr="00395607">
        <w:rPr>
          <w:bCs/>
        </w:rPr>
        <w:t>RNAseq</w:t>
      </w:r>
      <w:proofErr w:type="spellEnd"/>
      <w:r w:rsidRPr="00395607">
        <w:rPr>
          <w:bCs/>
        </w:rPr>
        <w:t xml:space="preserve"> data for the proband (upper track) is compared to the genome sequencing data (lower). Monoallelic expression is apparent for 2 common SNPs in exons 16 and 30; rs11670414 (T allele, phased as maternal by inheritance) and rs231591 (G allele; not possible to phase by inheritance as both parents are heterozygous). Both c.4257C&gt;T (p.Gly1419=) and c.7091A&gt;G (p.Asp2364Gly) are common SNPs and have been assessed as benign in multiple submissions to </w:t>
      </w:r>
      <w:proofErr w:type="spellStart"/>
      <w:r w:rsidRPr="00395607">
        <w:rPr>
          <w:bCs/>
        </w:rPr>
        <w:t>ClinVar</w:t>
      </w:r>
      <w:proofErr w:type="spellEnd"/>
      <w:r w:rsidRPr="00395607">
        <w:rPr>
          <w:bCs/>
        </w:rPr>
        <w:t xml:space="preserve"> (VCV001230475.</w:t>
      </w:r>
      <w:r w:rsidR="002D568B">
        <w:rPr>
          <w:bCs/>
        </w:rPr>
        <w:t>12</w:t>
      </w:r>
      <w:r w:rsidRPr="00395607">
        <w:rPr>
          <w:bCs/>
        </w:rPr>
        <w:t>; VCV001262833.</w:t>
      </w:r>
      <w:r w:rsidR="002D568B">
        <w:rPr>
          <w:bCs/>
        </w:rPr>
        <w:t>10</w:t>
      </w:r>
      <w:r w:rsidRPr="00395607">
        <w:rPr>
          <w:bCs/>
        </w:rPr>
        <w:t xml:space="preserve">). B) Sashimi plot showing that the inversion in Family 3 leads to skipping of </w:t>
      </w:r>
      <w:r w:rsidRPr="00395607">
        <w:rPr>
          <w:bCs/>
          <w:i/>
          <w:iCs/>
        </w:rPr>
        <w:t>PTEN</w:t>
      </w:r>
      <w:r w:rsidRPr="00395607">
        <w:rPr>
          <w:bCs/>
        </w:rPr>
        <w:t xml:space="preserve"> exons 6-8. Viewing settings are minimum 10 reads and only junctions in the forward direction are shown. There are 38 reads/read-pairs which support the exon 5-9 junction and this pattern is not seen in two other representative control </w:t>
      </w:r>
      <w:proofErr w:type="spellStart"/>
      <w:r w:rsidRPr="00395607">
        <w:rPr>
          <w:bCs/>
        </w:rPr>
        <w:t>RNAseq</w:t>
      </w:r>
      <w:proofErr w:type="spellEnd"/>
      <w:r w:rsidRPr="00395607">
        <w:rPr>
          <w:bCs/>
        </w:rPr>
        <w:t xml:space="preserve"> datasets analysed using an identical pipeline. Genome sequencing data for this proband is shown in Figure S22 and the inversion involves the same three exons. The HGVS annotation and predicted consequence of this change is therefore NM_000314.8:c.493_1026del, p</w:t>
      </w:r>
      <w:proofErr w:type="gramStart"/>
      <w:r w:rsidRPr="00395607">
        <w:rPr>
          <w:bCs/>
        </w:rPr>
        <w:t>.(</w:t>
      </w:r>
      <w:proofErr w:type="gramEnd"/>
      <w:r w:rsidRPr="00395607">
        <w:rPr>
          <w:bCs/>
        </w:rPr>
        <w:t>Gly165_Lys342del). In frame skipping would not be expected to activate the NMD process and explains the normal OUTRIDER expression results seen for this gene in this individual.</w:t>
      </w:r>
    </w:p>
    <w:p w14:paraId="566CDD82" w14:textId="476F39AD" w:rsidR="0054637A" w:rsidRDefault="0054637A" w:rsidP="00DD05AD">
      <w:pPr>
        <w:jc w:val="both"/>
        <w:rPr>
          <w:bCs/>
        </w:rPr>
      </w:pPr>
      <w:r>
        <w:rPr>
          <w:b/>
          <w:bCs/>
        </w:rPr>
        <w:t xml:space="preserve">Figure 3: Identification and haplotype analysis of founder </w:t>
      </w:r>
      <w:r w:rsidRPr="00150A51">
        <w:rPr>
          <w:b/>
          <w:bCs/>
          <w:i/>
        </w:rPr>
        <w:t>MSH2</w:t>
      </w:r>
      <w:r>
        <w:rPr>
          <w:b/>
          <w:bCs/>
        </w:rPr>
        <w:t xml:space="preserve"> inversion. </w:t>
      </w:r>
      <w:r w:rsidRPr="00150A51">
        <w:rPr>
          <w:bCs/>
        </w:rPr>
        <w:t xml:space="preserve">A) </w:t>
      </w:r>
      <w:r>
        <w:rPr>
          <w:bCs/>
        </w:rPr>
        <w:t xml:space="preserve">IGV screenshot showing read alignments supporting inversion of </w:t>
      </w:r>
      <w:r w:rsidRPr="00C45A75">
        <w:rPr>
          <w:bCs/>
          <w:i/>
        </w:rPr>
        <w:t>MSH2</w:t>
      </w:r>
      <w:r>
        <w:rPr>
          <w:bCs/>
        </w:rPr>
        <w:t xml:space="preserve"> exons 2-6 in Family 16 (upper) and 17 (lower). Viewed using the “view as pairs” and “collapsed” options and reads are sorted by insert size. Coordinates for two </w:t>
      </w:r>
      <w:proofErr w:type="spellStart"/>
      <w:r>
        <w:rPr>
          <w:bCs/>
        </w:rPr>
        <w:t>MantaINV</w:t>
      </w:r>
      <w:proofErr w:type="spellEnd"/>
      <w:r>
        <w:rPr>
          <w:bCs/>
        </w:rPr>
        <w:t xml:space="preserve"> calls (blue) are </w:t>
      </w:r>
      <w:r w:rsidRPr="00C45A75">
        <w:rPr>
          <w:bCs/>
        </w:rPr>
        <w:t>chr2:47</w:t>
      </w:r>
      <w:r w:rsidR="00335517">
        <w:rPr>
          <w:bCs/>
        </w:rPr>
        <w:t>,</w:t>
      </w:r>
      <w:r w:rsidRPr="00C45A75">
        <w:rPr>
          <w:bCs/>
        </w:rPr>
        <w:t>406</w:t>
      </w:r>
      <w:r w:rsidR="00335517">
        <w:rPr>
          <w:bCs/>
        </w:rPr>
        <w:t>,</w:t>
      </w:r>
      <w:r w:rsidRPr="00C45A75">
        <w:rPr>
          <w:bCs/>
        </w:rPr>
        <w:t>871-47</w:t>
      </w:r>
      <w:r w:rsidR="00335517">
        <w:rPr>
          <w:bCs/>
        </w:rPr>
        <w:t>,</w:t>
      </w:r>
      <w:r w:rsidRPr="00C45A75">
        <w:rPr>
          <w:bCs/>
        </w:rPr>
        <w:t>425</w:t>
      </w:r>
      <w:r w:rsidR="00335517">
        <w:rPr>
          <w:bCs/>
        </w:rPr>
        <w:t>,</w:t>
      </w:r>
      <w:r w:rsidRPr="00C45A75">
        <w:rPr>
          <w:bCs/>
        </w:rPr>
        <w:t>914</w:t>
      </w:r>
      <w:r>
        <w:rPr>
          <w:bCs/>
        </w:rPr>
        <w:t xml:space="preserve"> and </w:t>
      </w:r>
      <w:r w:rsidRPr="00C45A75">
        <w:rPr>
          <w:bCs/>
        </w:rPr>
        <w:t>chr2:47</w:t>
      </w:r>
      <w:r w:rsidR="00335517">
        <w:rPr>
          <w:bCs/>
        </w:rPr>
        <w:t>,</w:t>
      </w:r>
      <w:r w:rsidRPr="00C45A75">
        <w:rPr>
          <w:bCs/>
        </w:rPr>
        <w:t>408</w:t>
      </w:r>
      <w:r w:rsidR="00335517">
        <w:rPr>
          <w:bCs/>
        </w:rPr>
        <w:t>,</w:t>
      </w:r>
      <w:r w:rsidRPr="00C45A75">
        <w:rPr>
          <w:bCs/>
        </w:rPr>
        <w:t>111-47</w:t>
      </w:r>
      <w:r w:rsidR="00335517">
        <w:rPr>
          <w:bCs/>
        </w:rPr>
        <w:t>,</w:t>
      </w:r>
      <w:r w:rsidRPr="00C45A75">
        <w:rPr>
          <w:bCs/>
        </w:rPr>
        <w:t>425</w:t>
      </w:r>
      <w:r w:rsidR="00335517">
        <w:rPr>
          <w:bCs/>
        </w:rPr>
        <w:t>,</w:t>
      </w:r>
      <w:r w:rsidRPr="00C45A75">
        <w:rPr>
          <w:bCs/>
        </w:rPr>
        <w:t>934</w:t>
      </w:r>
      <w:r>
        <w:rPr>
          <w:bCs/>
        </w:rPr>
        <w:t xml:space="preserve"> (GRCh38). A drop in coverage at the distal end reflects a 1.2kb deletion which was not called by CANVAS. Transcript shown is NM_00251.3. </w:t>
      </w:r>
      <w:r w:rsidRPr="00150A51">
        <w:rPr>
          <w:bCs/>
        </w:rPr>
        <w:t xml:space="preserve">B) </w:t>
      </w:r>
      <w:r>
        <w:rPr>
          <w:bCs/>
        </w:rPr>
        <w:t xml:space="preserve">Pedigree and clinical information for Families 16 and 17. Symbol shading is only for cancer onset under the age of 70. Cascade testing not possible for deceased individuals. </w:t>
      </w:r>
      <w:r w:rsidRPr="00150A51">
        <w:rPr>
          <w:bCs/>
        </w:rPr>
        <w:t>C)</w:t>
      </w:r>
      <w:r>
        <w:rPr>
          <w:b/>
          <w:bCs/>
        </w:rPr>
        <w:t xml:space="preserve"> </w:t>
      </w:r>
      <w:r>
        <w:rPr>
          <w:bCs/>
        </w:rPr>
        <w:t xml:space="preserve">Conflicting homozygosity analysis for high confidence SNVs shows </w:t>
      </w:r>
      <w:r>
        <w:rPr>
          <w:bCs/>
        </w:rPr>
        <w:lastRenderedPageBreak/>
        <w:t xml:space="preserve">evidence for a shared ~3Mb haplotype (blue shading) surrounding the </w:t>
      </w:r>
      <w:r w:rsidRPr="00C45A75">
        <w:rPr>
          <w:bCs/>
          <w:i/>
        </w:rPr>
        <w:t>MSH2</w:t>
      </w:r>
      <w:r>
        <w:rPr>
          <w:bCs/>
        </w:rPr>
        <w:t xml:space="preserve"> locus. </w:t>
      </w:r>
      <w:r w:rsidRPr="00683C0C">
        <w:t xml:space="preserve">The region shown corresponds to the </w:t>
      </w:r>
      <w:r w:rsidRPr="00683C0C">
        <w:rPr>
          <w:i/>
        </w:rPr>
        <w:t>MSH2</w:t>
      </w:r>
      <w:r w:rsidRPr="00683C0C">
        <w:t xml:space="preserve"> locus, wi</w:t>
      </w:r>
      <w:r>
        <w:t>th 10Mb added at each end (</w:t>
      </w:r>
      <w:r w:rsidRPr="00683C0C">
        <w:t>chr2:37,401,067-57,485,228).</w:t>
      </w:r>
    </w:p>
    <w:p w14:paraId="297AA735" w14:textId="77777777" w:rsidR="0054637A" w:rsidRDefault="0054637A" w:rsidP="00DD05AD">
      <w:pPr>
        <w:jc w:val="both"/>
      </w:pPr>
      <w:r>
        <w:rPr>
          <w:b/>
        </w:rPr>
        <w:t xml:space="preserve">Figure 4: </w:t>
      </w:r>
      <w:r w:rsidRPr="00552D29">
        <w:t>Complex rearrangement involving</w:t>
      </w:r>
      <w:r>
        <w:rPr>
          <w:b/>
        </w:rPr>
        <w:t xml:space="preserve"> </w:t>
      </w:r>
      <w:r w:rsidRPr="00552D29">
        <w:rPr>
          <w:i/>
        </w:rPr>
        <w:t>MECP2</w:t>
      </w:r>
      <w:r>
        <w:t xml:space="preserve"> solved by long-read sequencing</w:t>
      </w:r>
      <w:r w:rsidRPr="00276EF4">
        <w:t xml:space="preserve">. A) </w:t>
      </w:r>
      <w:r>
        <w:t xml:space="preserve">Read alignments from short-read (150bp pared-end, upper) and long-read (PacBio, lower) analysis supporting complex </w:t>
      </w:r>
      <w:r w:rsidRPr="00552D29">
        <w:t xml:space="preserve">DEL-INV-DUP </w:t>
      </w:r>
      <w:r>
        <w:t xml:space="preserve">involving </w:t>
      </w:r>
      <w:r w:rsidRPr="00552D29">
        <w:rPr>
          <w:i/>
        </w:rPr>
        <w:t>MECP2</w:t>
      </w:r>
      <w:r>
        <w:rPr>
          <w:i/>
        </w:rPr>
        <w:t xml:space="preserve"> </w:t>
      </w:r>
      <w:r>
        <w:t xml:space="preserve">in Family 33. </w:t>
      </w:r>
      <w:r w:rsidRPr="00EC3D8F">
        <w:t>Reads are</w:t>
      </w:r>
      <w:r>
        <w:rPr>
          <w:i/>
        </w:rPr>
        <w:t xml:space="preserve"> </w:t>
      </w:r>
      <w:r w:rsidRPr="00552D29">
        <w:t>shown in IGV using the collapsed setting</w:t>
      </w:r>
      <w:r>
        <w:t>. Illumina data is shown using the “view as pairs” option, whilst PacBio reads are shown using the “link supplementary alignments” option. The SV was called by Manta as deletion and two overlapping inversion but was missed by Canvas. The transcript shown is NM_001110792.2.</w:t>
      </w:r>
      <w:r w:rsidRPr="00552D29">
        <w:t xml:space="preserve"> </w:t>
      </w:r>
      <w:r w:rsidRPr="00276EF4">
        <w:t xml:space="preserve">B) </w:t>
      </w:r>
      <w:proofErr w:type="spellStart"/>
      <w:r>
        <w:t>Dotplot</w:t>
      </w:r>
      <w:proofErr w:type="spellEnd"/>
      <w:r>
        <w:t xml:space="preserve"> constructed using single representative +</w:t>
      </w:r>
      <w:proofErr w:type="spellStart"/>
      <w:r>
        <w:t>ve</w:t>
      </w:r>
      <w:proofErr w:type="spellEnd"/>
      <w:r>
        <w:t xml:space="preserve"> strand </w:t>
      </w:r>
      <w:proofErr w:type="spellStart"/>
      <w:r>
        <w:t>PacBio</w:t>
      </w:r>
      <w:proofErr w:type="spellEnd"/>
      <w:r>
        <w:t xml:space="preserve"> read sequence 21,614bp read shown in panel A, compared to the GRCh38 reference. Red shading represents deleted regions whilst blue shading indicates a duplicated region. </w:t>
      </w:r>
      <w:r w:rsidRPr="00276EF4">
        <w:t>C)</w:t>
      </w:r>
      <w:r>
        <w:t xml:space="preserve"> Dot-plot (as above) showing a hypothetical rearrangement which highlights the alternative structure that would have been possible from the short-read data alone. The X-axis in all panels </w:t>
      </w:r>
      <w:r w:rsidRPr="00276EF4">
        <w:t>corresponds to chrX:154</w:t>
      </w:r>
      <w:r>
        <w:t>,</w:t>
      </w:r>
      <w:r w:rsidRPr="00276EF4">
        <w:t>028</w:t>
      </w:r>
      <w:r>
        <w:t>,</w:t>
      </w:r>
      <w:r w:rsidRPr="00276EF4">
        <w:t>301-154</w:t>
      </w:r>
      <w:r>
        <w:t>,</w:t>
      </w:r>
      <w:r w:rsidRPr="00276EF4">
        <w:t>034</w:t>
      </w:r>
      <w:r>
        <w:t>,</w:t>
      </w:r>
      <w:r w:rsidRPr="00276EF4">
        <w:t>315 (GRCh38)</w:t>
      </w:r>
      <w:r>
        <w:t>. Grey and green lines indicate sense/antisense matches to the reference, whilst the blue arrows (sequence present) and orange lines (junctions) help explain how these segments are connected. BP, breakpoint.</w:t>
      </w:r>
    </w:p>
    <w:p w14:paraId="616D7411" w14:textId="40051DE6" w:rsidR="0054637A" w:rsidRDefault="0054637A" w:rsidP="00DD05AD">
      <w:pPr>
        <w:jc w:val="both"/>
        <w:rPr>
          <w:b/>
        </w:rPr>
      </w:pPr>
      <w:r>
        <w:rPr>
          <w:b/>
        </w:rPr>
        <w:t xml:space="preserve">Figure 5: </w:t>
      </w:r>
      <w:r w:rsidRPr="000153E1">
        <w:t>A</w:t>
      </w:r>
      <w:r w:rsidRPr="000153E1">
        <w:rPr>
          <w:i/>
        </w:rPr>
        <w:t xml:space="preserve"> de novo</w:t>
      </w:r>
      <w:r>
        <w:rPr>
          <w:b/>
        </w:rPr>
        <w:t xml:space="preserve"> </w:t>
      </w:r>
      <w:r>
        <w:t xml:space="preserve">inversion of the </w:t>
      </w:r>
      <w:r w:rsidRPr="000153E1">
        <w:rPr>
          <w:i/>
        </w:rPr>
        <w:t>HOXD</w:t>
      </w:r>
      <w:r>
        <w:t xml:space="preserve"> cluster linked to a historical </w:t>
      </w:r>
      <w:r w:rsidR="00B27974">
        <w:t xml:space="preserve">description </w:t>
      </w:r>
      <w:r>
        <w:t xml:space="preserve">of </w:t>
      </w:r>
      <w:proofErr w:type="spellStart"/>
      <w:r w:rsidRPr="000153E1">
        <w:t>Mesomelic</w:t>
      </w:r>
      <w:proofErr w:type="spellEnd"/>
      <w:r w:rsidRPr="000153E1">
        <w:t xml:space="preserve"> dysplasia, </w:t>
      </w:r>
      <w:proofErr w:type="spellStart"/>
      <w:r w:rsidRPr="000153E1">
        <w:t>Kantaputra</w:t>
      </w:r>
      <w:proofErr w:type="spellEnd"/>
      <w:r w:rsidRPr="000153E1">
        <w:t xml:space="preserve"> type</w:t>
      </w:r>
      <w:r>
        <w:t xml:space="preserve">. A) Read alignments supporting an inversion of </w:t>
      </w:r>
      <w:r w:rsidRPr="00E3490F">
        <w:rPr>
          <w:i/>
        </w:rPr>
        <w:t>HOXD</w:t>
      </w:r>
      <w:r>
        <w:t xml:space="preserve"> gene cluster present in the proband and her son but not in the proband’s parents. </w:t>
      </w:r>
      <w:r>
        <w:rPr>
          <w:bCs/>
        </w:rPr>
        <w:t xml:space="preserve">Coordinates for two </w:t>
      </w:r>
      <w:proofErr w:type="spellStart"/>
      <w:r>
        <w:rPr>
          <w:bCs/>
        </w:rPr>
        <w:t>MantaINV</w:t>
      </w:r>
      <w:proofErr w:type="spellEnd"/>
      <w:r>
        <w:rPr>
          <w:bCs/>
        </w:rPr>
        <w:t xml:space="preserve"> calls (blue) are chr2:176</w:t>
      </w:r>
      <w:r w:rsidR="00335517">
        <w:rPr>
          <w:bCs/>
        </w:rPr>
        <w:t>,</w:t>
      </w:r>
      <w:r>
        <w:rPr>
          <w:bCs/>
        </w:rPr>
        <w:t>087</w:t>
      </w:r>
      <w:r w:rsidR="00335517">
        <w:rPr>
          <w:bCs/>
        </w:rPr>
        <w:t>,</w:t>
      </w:r>
      <w:r>
        <w:rPr>
          <w:bCs/>
        </w:rPr>
        <w:t>987-176</w:t>
      </w:r>
      <w:r w:rsidR="00335517">
        <w:rPr>
          <w:bCs/>
        </w:rPr>
        <w:t>,</w:t>
      </w:r>
      <w:r>
        <w:rPr>
          <w:bCs/>
        </w:rPr>
        <w:t>110</w:t>
      </w:r>
      <w:r w:rsidR="00335517">
        <w:rPr>
          <w:bCs/>
        </w:rPr>
        <w:t>,</w:t>
      </w:r>
      <w:r>
        <w:rPr>
          <w:bCs/>
        </w:rPr>
        <w:t>607 and chr2:176</w:t>
      </w:r>
      <w:r w:rsidR="00335517">
        <w:rPr>
          <w:bCs/>
        </w:rPr>
        <w:t>,</w:t>
      </w:r>
      <w:r>
        <w:rPr>
          <w:bCs/>
        </w:rPr>
        <w:t>087</w:t>
      </w:r>
      <w:r w:rsidR="00335517">
        <w:rPr>
          <w:bCs/>
        </w:rPr>
        <w:t>,</w:t>
      </w:r>
      <w:r>
        <w:rPr>
          <w:bCs/>
        </w:rPr>
        <w:t>748-176</w:t>
      </w:r>
      <w:r w:rsidR="00335517">
        <w:rPr>
          <w:bCs/>
        </w:rPr>
        <w:t>,</w:t>
      </w:r>
      <w:r>
        <w:rPr>
          <w:bCs/>
        </w:rPr>
        <w:t>110</w:t>
      </w:r>
      <w:r w:rsidR="00335517">
        <w:rPr>
          <w:bCs/>
        </w:rPr>
        <w:t>,</w:t>
      </w:r>
      <w:r>
        <w:rPr>
          <w:bCs/>
        </w:rPr>
        <w:t xml:space="preserve">599. </w:t>
      </w:r>
      <w:r>
        <w:t xml:space="preserve">Although the rearrangement does not disrupt the </w:t>
      </w:r>
      <w:r w:rsidRPr="00D1253B">
        <w:t xml:space="preserve">MANE transcript </w:t>
      </w:r>
      <w:r>
        <w:t xml:space="preserve">for </w:t>
      </w:r>
      <w:r w:rsidRPr="00E3490F">
        <w:rPr>
          <w:i/>
        </w:rPr>
        <w:t>HOXD13</w:t>
      </w:r>
      <w:r>
        <w:t xml:space="preserve"> (</w:t>
      </w:r>
      <w:r w:rsidRPr="00D1253B">
        <w:t>ENST00000392539.4 / NM_000523.4</w:t>
      </w:r>
      <w:r>
        <w:t xml:space="preserve">), the other annotated transcripts displayed (XM_011511069.2 and XM_011511068.2) are disrupted. The inversion overlaps one of the duplicated segments identified in the original family, see </w:t>
      </w:r>
      <w:hyperlink r:id="rId25" w:history="1">
        <w:r w:rsidRPr="00EE153D">
          <w:rPr>
            <w:rStyle w:val="Hyperlink"/>
          </w:rPr>
          <w:t>https://genome.ucsc.edu/s/AlistairP/HOXD_cluster_SVs</w:t>
        </w:r>
      </w:hyperlink>
      <w:r>
        <w:t>. B) Timelines relating to Family 42 (blue) and the original family (green) are shown alongside relevant mouse studies (red). Speech bubble</w:t>
      </w:r>
      <w:r w:rsidR="00B21243">
        <w:t>s</w:t>
      </w:r>
      <w:r>
        <w:t xml:space="preserve"> show quotes from Shears </w:t>
      </w:r>
      <w:r w:rsidRPr="001E1AA6">
        <w:rPr>
          <w:i/>
        </w:rPr>
        <w:t>et al</w:t>
      </w:r>
      <w:r>
        <w:t xml:space="preserve"> 2004 and </w:t>
      </w:r>
      <w:proofErr w:type="spellStart"/>
      <w:r>
        <w:t>Kantaputra</w:t>
      </w:r>
      <w:proofErr w:type="spellEnd"/>
      <w:r>
        <w:t xml:space="preserve"> </w:t>
      </w:r>
      <w:r w:rsidRPr="005A3778">
        <w:rPr>
          <w:i/>
        </w:rPr>
        <w:t>et al</w:t>
      </w:r>
      <w:r>
        <w:t xml:space="preserve"> 2010.</w:t>
      </w:r>
      <w:r w:rsidRPr="003F6879">
        <w:rPr>
          <w:noProof/>
          <w:vertAlign w:val="superscript"/>
        </w:rPr>
        <w:t>46; 48</w:t>
      </w:r>
    </w:p>
    <w:p w14:paraId="3F0AABE2" w14:textId="3D717ABE" w:rsidR="0054637A" w:rsidRDefault="0054637A" w:rsidP="00DD05AD">
      <w:pPr>
        <w:jc w:val="both"/>
      </w:pPr>
      <w:bookmarkStart w:id="5" w:name="_Hlk136415358"/>
      <w:r w:rsidRPr="003538CB">
        <w:rPr>
          <w:b/>
        </w:rPr>
        <w:t xml:space="preserve">Figure </w:t>
      </w:r>
      <w:r>
        <w:rPr>
          <w:b/>
        </w:rPr>
        <w:t>6</w:t>
      </w:r>
      <w:r w:rsidRPr="003538CB">
        <w:rPr>
          <w:b/>
        </w:rPr>
        <w:t xml:space="preserve">: </w:t>
      </w:r>
      <w:r w:rsidRPr="003538CB">
        <w:t xml:space="preserve">Clinical and genetic characteristics of </w:t>
      </w:r>
      <w:r>
        <w:t>F</w:t>
      </w:r>
      <w:r w:rsidRPr="003538CB">
        <w:t>amily 4</w:t>
      </w:r>
      <w:r>
        <w:t>3</w:t>
      </w:r>
      <w:r w:rsidRPr="003538CB">
        <w:t xml:space="preserve"> with a complex translo</w:t>
      </w:r>
      <w:r>
        <w:t xml:space="preserve">cation involving the </w:t>
      </w:r>
      <w:r w:rsidRPr="007C0F20">
        <w:rPr>
          <w:i/>
        </w:rPr>
        <w:t>APC</w:t>
      </w:r>
      <w:r>
        <w:t xml:space="preserve"> locus. </w:t>
      </w:r>
      <w:r w:rsidRPr="003538CB">
        <w:t xml:space="preserve">A) </w:t>
      </w:r>
      <w:r>
        <w:t xml:space="preserve">Pedigree </w:t>
      </w:r>
      <w:r w:rsidRPr="003538CB">
        <w:t xml:space="preserve">including </w:t>
      </w:r>
      <w:r>
        <w:t xml:space="preserve">proband </w:t>
      </w:r>
      <w:r w:rsidRPr="003538CB">
        <w:t>and the three male offspring of whom two share the complex translocation (INV). NA, not te</w:t>
      </w:r>
      <w:r>
        <w:t xml:space="preserve">sted. WT, wild-type. </w:t>
      </w:r>
      <w:r w:rsidRPr="003538CB">
        <w:t>B) Endoscopy images showing polyps in all three siblings</w:t>
      </w:r>
      <w:r>
        <w:t xml:space="preserve"> II-1, II-2 and II-3. </w:t>
      </w:r>
      <w:r w:rsidRPr="003538CB">
        <w:t>For individual II-1 endoscopy detected just single sessile serrated polyp and so affection s</w:t>
      </w:r>
      <w:r>
        <w:t>tatus was clinically uncertain. For II-2 and II-3</w:t>
      </w:r>
      <w:r w:rsidR="00B21243">
        <w:t>,</w:t>
      </w:r>
      <w:r>
        <w:t xml:space="preserve"> a single representative </w:t>
      </w:r>
      <w:proofErr w:type="gramStart"/>
      <w:r>
        <w:t>polyps</w:t>
      </w:r>
      <w:proofErr w:type="gramEnd"/>
      <w:r>
        <w:t xml:space="preserve"> is shown. </w:t>
      </w:r>
      <w:r w:rsidRPr="003538CB">
        <w:t xml:space="preserve">C) </w:t>
      </w:r>
      <w:r w:rsidRPr="00E73C67">
        <w:t>Histological images showing H&amp;E staining of a solitary polyp without dysplastic changes in II-1 and an example of APC</w:t>
      </w:r>
      <w:r>
        <w:t>-</w:t>
      </w:r>
      <w:r w:rsidRPr="00E73C67">
        <w:t xml:space="preserve">like polyps II-2 and II-3. </w:t>
      </w:r>
      <w:r w:rsidRPr="003538CB">
        <w:t xml:space="preserve">D) Subway plot showing the complex structure of the translocation. The rearrangement involves 9 segments and is largely balanced, with the exception of 11kb and 25bp deletions. </w:t>
      </w:r>
      <w:r>
        <w:t>B</w:t>
      </w:r>
      <w:r w:rsidRPr="003538CB">
        <w:t>reakpoint positions on chromosomes 5 and 11 are labelled using hg19 coordinates</w:t>
      </w:r>
      <w:r>
        <w:t xml:space="preserve"> (GRCh38 coordinates are in Table S2)</w:t>
      </w:r>
      <w:r w:rsidRPr="003538CB">
        <w:t>. S</w:t>
      </w:r>
      <w:r>
        <w:t xml:space="preserve">egment sizes are not to scale. </w:t>
      </w:r>
      <w:r w:rsidRPr="003538CB">
        <w:t>Segment “F” was called as a 4.18Mb inversion by Manta which is how the SV was first identified. Approximate positions of PCR primers used to validate the clinically relevant breakpoints BP1 (EF-CR) and BP2 (X</w:t>
      </w:r>
      <w:r>
        <w:t xml:space="preserve">R-FR) are shown by red arrows. </w:t>
      </w:r>
      <w:r w:rsidRPr="003538CB">
        <w:t>Genes disrupted by breakpoints are highlighted.</w:t>
      </w:r>
      <w:r>
        <w:t xml:space="preserve"> </w:t>
      </w:r>
      <w:r w:rsidRPr="003538CB">
        <w:t>E) Schematic diagram of the deriv</w:t>
      </w:r>
      <w:r>
        <w:t xml:space="preserve">ative chromosome structures. </w:t>
      </w:r>
      <w:r w:rsidRPr="003538CB">
        <w:t xml:space="preserve">The position of the </w:t>
      </w:r>
      <w:r w:rsidRPr="00CA09C7">
        <w:rPr>
          <w:i/>
        </w:rPr>
        <w:t>APC</w:t>
      </w:r>
      <w:r w:rsidRPr="003538CB">
        <w:t xml:space="preserve"> disrupt</w:t>
      </w:r>
      <w:r>
        <w:t>ion</w:t>
      </w:r>
      <w:r w:rsidRPr="003538CB">
        <w:t xml:space="preserve"> is indicated. F) Comparison of Illumina and PacBio read alignments shown using IGV and the </w:t>
      </w:r>
      <w:r>
        <w:t>“</w:t>
      </w:r>
      <w:r w:rsidRPr="003538CB">
        <w:t>s</w:t>
      </w:r>
      <w:r>
        <w:t>how soft-clipped reads” option. The b</w:t>
      </w:r>
      <w:r w:rsidRPr="003538CB">
        <w:t xml:space="preserve">reakpoint in intron 4 of </w:t>
      </w:r>
      <w:r w:rsidRPr="008A2D5D">
        <w:rPr>
          <w:i/>
        </w:rPr>
        <w:t>APC</w:t>
      </w:r>
      <w:r w:rsidRPr="003538CB">
        <w:t xml:space="preserve"> (NM_000038.6) is </w:t>
      </w:r>
      <w:r>
        <w:t>indicated</w:t>
      </w:r>
      <w:r w:rsidRPr="003538CB">
        <w:t>.</w:t>
      </w:r>
      <w:r>
        <w:t xml:space="preserve"> </w:t>
      </w:r>
      <w:r w:rsidRPr="003538CB">
        <w:t xml:space="preserve">G) Read alignments from nanopore sequencing of PCRs product using two junction specific primers and DNA from individual II-3. Sequence was generated for both breakpoint 1 (406bp) and breakpoint 2 (361bp) and reads were </w:t>
      </w:r>
      <w:r>
        <w:t xml:space="preserve">merged into a single BAM file. </w:t>
      </w:r>
      <w:r w:rsidRPr="003538CB">
        <w:t xml:space="preserve">Results were consistent with Illumina/PacBio data. </w:t>
      </w:r>
      <w:bookmarkEnd w:id="5"/>
    </w:p>
    <w:p w14:paraId="1770D2AC" w14:textId="77777777" w:rsidR="0054637A" w:rsidRDefault="0054637A" w:rsidP="00DD05AD">
      <w:pPr>
        <w:jc w:val="both"/>
      </w:pPr>
    </w:p>
    <w:p w14:paraId="5E4ED498" w14:textId="77777777" w:rsidR="0054637A" w:rsidRPr="008E4FAC" w:rsidRDefault="0054637A" w:rsidP="00DD05AD">
      <w:pPr>
        <w:pStyle w:val="EndNoteBibliographyTitle"/>
        <w:rPr>
          <w:b/>
        </w:rPr>
      </w:pPr>
      <w:r w:rsidRPr="008E4FAC">
        <w:rPr>
          <w:b/>
        </w:rPr>
        <w:t>References</w:t>
      </w:r>
    </w:p>
    <w:p w14:paraId="113EA955" w14:textId="77777777" w:rsidR="0054637A" w:rsidRPr="003F6879" w:rsidRDefault="0054637A" w:rsidP="00DD05AD">
      <w:pPr>
        <w:pStyle w:val="EndNoteBibliographyTitle"/>
      </w:pPr>
    </w:p>
    <w:p w14:paraId="2BF2DAC0" w14:textId="77777777" w:rsidR="0054637A" w:rsidRPr="003F6879" w:rsidRDefault="0054637A" w:rsidP="00DD05AD">
      <w:pPr>
        <w:pStyle w:val="EndNoteBibliography"/>
        <w:spacing w:after="0"/>
        <w:ind w:left="720" w:hanging="720"/>
      </w:pPr>
      <w:r w:rsidRPr="003F6879">
        <w:t>1. Feuk, L., Carson, A.R., and Scherer, S.W. (2006). Structural variation in the human genome. Nat Rev Genet 7, 85-97.</w:t>
      </w:r>
    </w:p>
    <w:p w14:paraId="1EBECC6C" w14:textId="77777777" w:rsidR="0054637A" w:rsidRPr="003F6879" w:rsidRDefault="0054637A" w:rsidP="00DD05AD">
      <w:pPr>
        <w:pStyle w:val="EndNoteBibliography"/>
        <w:spacing w:after="0"/>
        <w:ind w:left="720" w:hanging="720"/>
      </w:pPr>
      <w:r w:rsidRPr="003F6879">
        <w:t>2. Pettersson, M., Grochowski, C.M., Wincent, J., Eisfeldt, J., Breman, A.M., Cheung, S.W., Krepischi, A.C.V., Rosenberg, C., Lupski, J.R., Ottosson, J., et al. (2020). Cytogenetically visible inversions are formed by multiple molecular mechanisms. Hum Mutat 41, 1979-1998.</w:t>
      </w:r>
    </w:p>
    <w:p w14:paraId="18B50874" w14:textId="77777777" w:rsidR="0054637A" w:rsidRPr="003F6879" w:rsidRDefault="0054637A" w:rsidP="00DD05AD">
      <w:pPr>
        <w:pStyle w:val="EndNoteBibliography"/>
        <w:spacing w:after="0"/>
        <w:ind w:left="720" w:hanging="720"/>
      </w:pPr>
      <w:r w:rsidRPr="003F6879">
        <w:t>3. Burssed, B., Zamariolli, M., Bellucco, F.T., and Melaragno, M.I. (2022). Mechanisms of structural chromosomal rearrangement formation. Mol Cytogenet 15, 23.</w:t>
      </w:r>
    </w:p>
    <w:p w14:paraId="74120CF9" w14:textId="77777777" w:rsidR="0054637A" w:rsidRPr="003F6879" w:rsidRDefault="0054637A" w:rsidP="00DD05AD">
      <w:pPr>
        <w:pStyle w:val="EndNoteBibliography"/>
        <w:spacing w:after="0"/>
        <w:ind w:left="720" w:hanging="720"/>
      </w:pPr>
      <w:r w:rsidRPr="003F6879">
        <w:t>4. Jacquemont, M.L., Sanlaville, D., Redon, R., Raoul, O., Cormier-Daire, V., Lyonnet, S., Amiel, J., Le Merrer, M., Heron, D., de Blois, M.C., et al. (2006). Array-based comparative genomic hybridisation identifies high frequency of cryptic chromosomal rearrangements in patients with syndromic autism spectrum disorders. J Med Genet 43, 843-849.</w:t>
      </w:r>
    </w:p>
    <w:p w14:paraId="7388AD8E" w14:textId="77777777" w:rsidR="0054637A" w:rsidRPr="003F6879" w:rsidRDefault="0054637A" w:rsidP="00DD05AD">
      <w:pPr>
        <w:pStyle w:val="EndNoteBibliography"/>
        <w:spacing w:after="0"/>
        <w:ind w:left="720" w:hanging="720"/>
      </w:pPr>
      <w:r w:rsidRPr="003F6879">
        <w:t>5. Miller, D.T., Adam, M.P., Aradhya, S., Biesecker, L.G., Brothman, A.R., Carter, N.P., Church, D.M., Crolla, J.A., Eichler, E.E., Epstein, C.J., et al. (2010). Consensus statement: chromosomal microarray is a first-tier clinical diagnostic test for individuals with developmental disabilities or congenital anomalies. Am J Hum Genet 86, 749-764.</w:t>
      </w:r>
    </w:p>
    <w:p w14:paraId="5D771F97" w14:textId="77777777" w:rsidR="0054637A" w:rsidRPr="003F6879" w:rsidRDefault="0054637A" w:rsidP="00DD05AD">
      <w:pPr>
        <w:pStyle w:val="EndNoteBibliography"/>
        <w:spacing w:after="0"/>
        <w:ind w:left="720" w:hanging="720"/>
      </w:pPr>
      <w:r w:rsidRPr="003F6879">
        <w:t>6. Smedley, D., Smith, K.R., Martin, A., Thomas, E.A., McDonagh, E.M., Cipriani, V., Ellingford, J.M., Arno, G., Tucci, A., Vandrovcova, J., et al. (2021). 100,000 Genomes Pilot on Rare-Disease Diagnosis in Health Care - Preliminary Report. N Engl J Med 385, 1868-1880.</w:t>
      </w:r>
    </w:p>
    <w:p w14:paraId="3E03B933" w14:textId="77777777" w:rsidR="0054637A" w:rsidRPr="003F6879" w:rsidRDefault="0054637A" w:rsidP="00DD05AD">
      <w:pPr>
        <w:pStyle w:val="EndNoteBibliography"/>
        <w:spacing w:after="0"/>
        <w:ind w:left="720" w:hanging="720"/>
      </w:pPr>
      <w:r w:rsidRPr="003F6879">
        <w:t>7. Turnbull, C., Scott, R.H., Thomas, E., Jones, L., Murugaesu, N., Pretty, F.B., Halai, D., Baple, E., Craig, C., Hamblin, A., et al. (2018). The 100 000 Genomes Project: bringing whole genome sequencing to the NHS. BMJ 361, k1687.</w:t>
      </w:r>
    </w:p>
    <w:p w14:paraId="2FE4AF19" w14:textId="77777777" w:rsidR="0054637A" w:rsidRPr="003F6879" w:rsidRDefault="0054637A" w:rsidP="00DD05AD">
      <w:pPr>
        <w:pStyle w:val="EndNoteBibliography"/>
        <w:spacing w:after="0"/>
        <w:ind w:left="720" w:hanging="720"/>
      </w:pPr>
      <w:r w:rsidRPr="003F6879">
        <w:t>8. Taylor, J.C., Martin, H.C., Lise, S., Broxholme, J., Cazier, J.B., Rimmer, A., Kanapin, A., Lunter, G., Fiddy, S., Allan, C., et al. (2015). Factors influencing success of clinical genome sequencing across a broad spectrum of disorders. Nat Genet 47, 717-726.</w:t>
      </w:r>
    </w:p>
    <w:p w14:paraId="731E1630" w14:textId="77777777" w:rsidR="0054637A" w:rsidRPr="003F6879" w:rsidRDefault="0054637A" w:rsidP="00DD05AD">
      <w:pPr>
        <w:pStyle w:val="EndNoteBibliography"/>
        <w:spacing w:after="0"/>
        <w:ind w:left="720" w:hanging="720"/>
      </w:pPr>
      <w:r w:rsidRPr="003F6879">
        <w:t>9. Chen, X., Schulz-Trieglaff, O., Shaw, R., Barnes, B., Schlesinger, F., Kallberg, M., Cox, A.J., Kruglyak, S., and Saunders, C.T. (2016). Manta: rapid detection of structural variants and indels for germline and cancer sequencing applications. Bioinformatics 32, 1220-1222.</w:t>
      </w:r>
    </w:p>
    <w:p w14:paraId="644633E9" w14:textId="77777777" w:rsidR="0054637A" w:rsidRPr="003F6879" w:rsidRDefault="0054637A" w:rsidP="00DD05AD">
      <w:pPr>
        <w:pStyle w:val="EndNoteBibliography"/>
        <w:spacing w:after="0"/>
        <w:ind w:left="720" w:hanging="720"/>
      </w:pPr>
      <w:r w:rsidRPr="003F6879">
        <w:t>10. Newman, S., Hermetz, K.E., Weckselblatt, B., and Rudd, M.K. (2015). Next-generation sequencing of duplication CNVs reveals that most are tandem and some create fusion genes at breakpoints. Am J Hum Genet 96, 208-220.</w:t>
      </w:r>
    </w:p>
    <w:p w14:paraId="744250E0" w14:textId="77777777" w:rsidR="0054637A" w:rsidRPr="003F6879" w:rsidRDefault="0054637A" w:rsidP="00DD05AD">
      <w:pPr>
        <w:pStyle w:val="EndNoteBibliography"/>
        <w:spacing w:after="0"/>
        <w:ind w:left="720" w:hanging="720"/>
      </w:pPr>
      <w:r w:rsidRPr="003F6879">
        <w:t>11. Chandrasekhar, A., Mroczkowski, H.J., Urraca, N., Gross, A., Bluske, K., Thorpe, E., Hagelstrom, R.T., Schonberg, S.A., Perry, D.L., Taft, R.J., et al. (2023). Genome sequencing detects a balanced pericentric inversion with breakpoints that impact the DMD and upstream region of POU3F4 genes. Am J Med Genet A.</w:t>
      </w:r>
    </w:p>
    <w:p w14:paraId="2F259C69" w14:textId="77777777" w:rsidR="0054637A" w:rsidRPr="003F6879" w:rsidRDefault="0054637A" w:rsidP="00DD05AD">
      <w:pPr>
        <w:pStyle w:val="EndNoteBibliography"/>
        <w:spacing w:after="0"/>
        <w:ind w:left="720" w:hanging="720"/>
      </w:pPr>
      <w:r w:rsidRPr="003F6879">
        <w:t>12. Geng, C., Zhang, C., Li, P., Tong, Y., Zhu, B., He, J., Zhao, Y., Yao, F., Cui, L.Y., Liang, F., et al. (2023). Identification and characterization of two DMD pedigrees with large inversion mutations based on a long-read sequencing pipeline. Eur J Hum Genet 31, 504-511.</w:t>
      </w:r>
    </w:p>
    <w:p w14:paraId="50EE2583" w14:textId="77777777" w:rsidR="0054637A" w:rsidRPr="003F6879" w:rsidRDefault="0054637A" w:rsidP="00DD05AD">
      <w:pPr>
        <w:pStyle w:val="EndNoteBibliography"/>
        <w:spacing w:after="0"/>
        <w:ind w:left="720" w:hanging="720"/>
      </w:pPr>
      <w:r w:rsidRPr="003F6879">
        <w:t>13. Horton, A.E., Lunke, S., Sadedin, S., Fennell, A.P., and Stark, Z. (2023). Elusive variants in autosomal recessive disease: how can we improve timely diagnosis? Eur J Hum Genet 31, 371-374.</w:t>
      </w:r>
    </w:p>
    <w:p w14:paraId="5B21E35C" w14:textId="77777777" w:rsidR="0054637A" w:rsidRPr="003F6879" w:rsidRDefault="0054637A" w:rsidP="00DD05AD">
      <w:pPr>
        <w:pStyle w:val="EndNoteBibliography"/>
        <w:spacing w:after="0"/>
        <w:ind w:left="720" w:hanging="720"/>
      </w:pPr>
      <w:r w:rsidRPr="003F6879">
        <w:t>14. Zaum, A.K., Nanda, I., Kress, W., and Rost, S. (2022). Detection of pericentric inversion with breakpoint in DMD by whole genome sequencing. Mol Genet Genomic Med 10, e2028.</w:t>
      </w:r>
    </w:p>
    <w:p w14:paraId="3E1C3948" w14:textId="77777777" w:rsidR="0054637A" w:rsidRPr="003F6879" w:rsidRDefault="0054637A" w:rsidP="00DD05AD">
      <w:pPr>
        <w:pStyle w:val="EndNoteBibliography"/>
        <w:spacing w:after="0"/>
        <w:ind w:left="720" w:hanging="720"/>
      </w:pPr>
      <w:r w:rsidRPr="003F6879">
        <w:t>15. Redin, C., Brand, H., Collins, R.L., Kammin, T., Mitchell, E., Hodge, J.C., Hanscom, C., Pillalamarri, V., Seabra, C.M., Abbott, M.A., et al. (2017). The genomic landscape of balanced cytogenetic abnormalities associated with human congenital anomalies. Nat Genet 49, 36-45.</w:t>
      </w:r>
    </w:p>
    <w:p w14:paraId="5BCE5878" w14:textId="77777777" w:rsidR="0054637A" w:rsidRPr="003F6879" w:rsidRDefault="0054637A" w:rsidP="00DD05AD">
      <w:pPr>
        <w:pStyle w:val="EndNoteBibliography"/>
        <w:spacing w:after="0"/>
        <w:ind w:left="720" w:hanging="720"/>
      </w:pPr>
      <w:r w:rsidRPr="003F6879">
        <w:t>16. Pagnamenta, A.T., Yu, J., Evans, J., Twiss, P., Genomics England Research, C., Musculoskeletal Ge, C.M., Offiah, A.C., Wafik, M., Mehta, S.G., Javaid, M.K., et al. (2023). Conclusion of diagnostic odysseys due to inversions disrupting GLI3 and FBN1. J Med Genet 60, 505-510.</w:t>
      </w:r>
    </w:p>
    <w:p w14:paraId="1624E137" w14:textId="77777777" w:rsidR="0054637A" w:rsidRPr="003F6879" w:rsidRDefault="0054637A" w:rsidP="00DD05AD">
      <w:pPr>
        <w:pStyle w:val="EndNoteBibliography"/>
        <w:spacing w:after="0"/>
        <w:ind w:left="720" w:hanging="720"/>
      </w:pPr>
      <w:r w:rsidRPr="003F6879">
        <w:lastRenderedPageBreak/>
        <w:t>17. Rimmer, A., Phan, H., Mathieson, I., Iqbal, Z., Twigg, S.R.F., Consortium, W.G.S., Wilkie, A.O.M., McVean, G., and Lunter, G. (2014). Integrating mapping-, assembly- and haplotype-based approaches for calling variants in clinical sequencing applications. Nat Genet 46, 912-918.</w:t>
      </w:r>
    </w:p>
    <w:p w14:paraId="1FE0CADB" w14:textId="77777777" w:rsidR="0054637A" w:rsidRPr="003F6879" w:rsidRDefault="0054637A" w:rsidP="00DD05AD">
      <w:pPr>
        <w:pStyle w:val="EndNoteBibliography"/>
        <w:spacing w:after="0"/>
        <w:ind w:left="720" w:hanging="720"/>
      </w:pPr>
      <w:r w:rsidRPr="003F6879">
        <w:t>18. Martin, A.R., Williams, E., Foulger, R.E., Leigh, S., Daugherty, L.C., Niblock, O., Leong, I.U.S., Smith, K.R., Gerasimenko, O., Haraldsdottir, E., et al. (2019). PanelApp crowdsources expert knowledge to establish consensus diagnostic gene panels. Nat Genet 51, 1560-1565.</w:t>
      </w:r>
    </w:p>
    <w:p w14:paraId="0DD2FF2A" w14:textId="77777777" w:rsidR="0054637A" w:rsidRPr="003F6879" w:rsidRDefault="0054637A" w:rsidP="00DD05AD">
      <w:pPr>
        <w:pStyle w:val="EndNoteBibliography"/>
        <w:spacing w:after="0"/>
        <w:ind w:left="720" w:hanging="720"/>
      </w:pPr>
      <w:r w:rsidRPr="003F6879">
        <w:t>19. Roller, E., Ivakhno, S., Lee, S., Royce, T., and Tanner, S. (2016). Canvas: versatile and scalable detection of copy number variants. Bioinformatics 32, 2375-2377.</w:t>
      </w:r>
    </w:p>
    <w:p w14:paraId="7293AC4C" w14:textId="77777777" w:rsidR="0054637A" w:rsidRPr="003F6879" w:rsidRDefault="0054637A" w:rsidP="00DD05AD">
      <w:pPr>
        <w:pStyle w:val="EndNoteBibliography"/>
        <w:spacing w:after="0"/>
        <w:ind w:left="720" w:hanging="720"/>
      </w:pPr>
      <w:r w:rsidRPr="003F6879">
        <w:t xml:space="preserve">20. Yu, J., Szabo, A., Pagnamenta, A.T., Shalaby, A., Giacopuzzi, E., Taylor, J., Shears, D., Pontikos, N., Wright, G., Michaelides, M., et al. (2022). SVRare: discovering disease-causing structural variants in the 100K Genomes Project. medRxiv, </w:t>
      </w:r>
      <w:r w:rsidRPr="0054637A">
        <w:t>https://doi.org/10.1101/2021.10.15.21265069</w:t>
      </w:r>
      <w:r w:rsidRPr="003F6879">
        <w:t>.</w:t>
      </w:r>
    </w:p>
    <w:p w14:paraId="2645C8BC" w14:textId="77777777" w:rsidR="0054637A" w:rsidRPr="003F6879" w:rsidRDefault="0054637A" w:rsidP="00DD05AD">
      <w:pPr>
        <w:pStyle w:val="EndNoteBibliography"/>
        <w:spacing w:after="0"/>
        <w:ind w:left="720" w:hanging="720"/>
      </w:pPr>
      <w:r w:rsidRPr="003F6879">
        <w:t>21. Robinson, J.T., Thorvaldsdottir, H., Winckler, W., Guttman, M., Lander, E.S., Getz, G., and Mesirov, J.P. (2011). Integrative genomics viewer. Nat Biotechnol 29, 24-26.</w:t>
      </w:r>
    </w:p>
    <w:p w14:paraId="5E32A824" w14:textId="77777777" w:rsidR="0054637A" w:rsidRPr="003F6879" w:rsidRDefault="0054637A" w:rsidP="00DD05AD">
      <w:pPr>
        <w:pStyle w:val="EndNoteBibliography"/>
        <w:spacing w:after="0"/>
        <w:ind w:left="720" w:hanging="720"/>
      </w:pPr>
      <w:r w:rsidRPr="003F6879">
        <w:t>22. Patterson, M., Marschall, T., Pisanti, N., van Iersel, L., Stougie, L., Klau, G.W., and Schonhuth, A. (2015). WhatsHap: Weighted Haplotype Assembly for Future-Generation Sequencing Reads. J Comput Biol 22, 498-509.</w:t>
      </w:r>
    </w:p>
    <w:p w14:paraId="586950BB" w14:textId="77777777" w:rsidR="0054637A" w:rsidRPr="003F6879" w:rsidRDefault="0054637A" w:rsidP="00DD05AD">
      <w:pPr>
        <w:pStyle w:val="EndNoteBibliography"/>
        <w:spacing w:after="0"/>
        <w:ind w:left="720" w:hanging="720"/>
      </w:pPr>
      <w:r w:rsidRPr="003F6879">
        <w:t>23. Seibt, K.M., Schmidt, T., and Heitkam, T. (2018). FlexiDot: highly customizable, ambiguity-aware dotplots for visual sequence analyses. Bioinformatics 34, 3575-3577.</w:t>
      </w:r>
    </w:p>
    <w:p w14:paraId="5B4B061A" w14:textId="77777777" w:rsidR="0054637A" w:rsidRPr="003F6879" w:rsidRDefault="0054637A" w:rsidP="00DD05AD">
      <w:pPr>
        <w:pStyle w:val="EndNoteBibliography"/>
        <w:spacing w:after="0"/>
        <w:ind w:left="720" w:hanging="720"/>
      </w:pPr>
      <w:r w:rsidRPr="003F6879">
        <w:t>24. Brechtmann, F., Mertes, C., Matuseviciute, A., Yepez, V.A., Avsec, Z., Herzog, M., Bader, D.M., Prokisch, H., and Gagneur, J. (2018). OUTRIDER: A Statistical Method for Detecting Aberrantly Expressed Genes in RNA Sequencing Data. Am J Hum Genet 103, 907-917.</w:t>
      </w:r>
    </w:p>
    <w:p w14:paraId="6835EA0F" w14:textId="77777777" w:rsidR="0054637A" w:rsidRPr="003F6879" w:rsidRDefault="0054637A" w:rsidP="00DD05AD">
      <w:pPr>
        <w:pStyle w:val="EndNoteBibliography"/>
        <w:spacing w:after="0"/>
        <w:ind w:left="720" w:hanging="720"/>
      </w:pPr>
      <w:r w:rsidRPr="003F6879">
        <w:t>25. Yepez, V.A., Mertes, C., Muller, M.F., Klaproth-Andrade, D., Wachutka, L., Fresard, L., Gusic, M., Scheller, I.F., Goldberg, P.F., Prokisch, H., et al. (2021). Detection of aberrant gene expression events in RNA sequencing data. Nat Protoc 16, 1276-1296.</w:t>
      </w:r>
    </w:p>
    <w:p w14:paraId="776140C0" w14:textId="3477E883" w:rsidR="0054637A" w:rsidRPr="003F6879" w:rsidRDefault="0054637A" w:rsidP="00DD05AD">
      <w:pPr>
        <w:pStyle w:val="EndNoteBibliography"/>
        <w:spacing w:after="0"/>
        <w:ind w:left="720" w:hanging="720"/>
      </w:pPr>
      <w:r w:rsidRPr="003F6879">
        <w:t>26. Wickham, H. (2016). ggplot2: Elegant Graphics for Data Analysis, Springer-Verlag New York.</w:t>
      </w:r>
    </w:p>
    <w:p w14:paraId="68FDF6E4" w14:textId="77777777" w:rsidR="0054637A" w:rsidRPr="003F6879" w:rsidRDefault="0054637A" w:rsidP="00DD05AD">
      <w:pPr>
        <w:pStyle w:val="EndNoteBibliography"/>
        <w:spacing w:after="0"/>
        <w:ind w:left="720" w:hanging="720"/>
      </w:pPr>
      <w:r w:rsidRPr="003F6879">
        <w:t>27. Grinton, B.E., Robertson, E., Fearnley, L.G., Scheffer, I.E., Marson, A.G., O'Brien, T.J., Pickrell, W.O., Rees, M.I., Sisodiya, S.M., Balding, D.J., et al. (2022). A founder event causing a dominant childhood epilepsy survives 800 years through weak selective pressure. Am J Hum Genet 109, 2080-2087.</w:t>
      </w:r>
    </w:p>
    <w:p w14:paraId="71F56D74" w14:textId="77777777" w:rsidR="0054637A" w:rsidRPr="003F6879" w:rsidRDefault="0054637A" w:rsidP="00DD05AD">
      <w:pPr>
        <w:pStyle w:val="EndNoteBibliography"/>
        <w:spacing w:after="0"/>
        <w:ind w:left="720" w:hanging="720"/>
      </w:pPr>
      <w:r w:rsidRPr="003F6879">
        <w:t>28. Pagnamenta, A.T., Kaiyrzhanov, R., Zou, Y., Da'as, S.I., Maroofian, R., Donkervoort, S., Dominik, N., Lauffer, M., Ferla, M.P., Orioli, A., et al. (2021). An ancestral 10-bp repeat expansion in VWA1 causes recessive hereditary motor neuropathy. Brain 144, 584-600.</w:t>
      </w:r>
    </w:p>
    <w:p w14:paraId="6F74F92B" w14:textId="77777777" w:rsidR="0054637A" w:rsidRPr="003F6879" w:rsidRDefault="0054637A" w:rsidP="00DD05AD">
      <w:pPr>
        <w:pStyle w:val="EndNoteBibliography"/>
        <w:spacing w:after="0"/>
        <w:ind w:left="720" w:hanging="720"/>
      </w:pPr>
      <w:r w:rsidRPr="003F6879">
        <w:t>29. Gandolfo, L.C., Bahlo, M., and Speed, T.P. (2014). Dating rare mutations from small samples with dense marker data. Genetics 197, 1315-1327.</w:t>
      </w:r>
    </w:p>
    <w:p w14:paraId="7587D48A" w14:textId="77777777" w:rsidR="0054637A" w:rsidRPr="003F6879" w:rsidRDefault="0054637A" w:rsidP="00DD05AD">
      <w:pPr>
        <w:pStyle w:val="EndNoteBibliography"/>
        <w:spacing w:after="0"/>
        <w:ind w:left="720" w:hanging="720"/>
      </w:pPr>
      <w:r w:rsidRPr="003F6879">
        <w:t>30. Hamdan, F.F., Myers, C.T., Cossette, P., Lemay, P., Spiegelman, D., Laporte, A.D., Nassif, C., Diallo, O., Monlong, J., Cadieux-Dion, M., et al. (2017). High Rate of Recurrent De Novo Mutations in Developmental and Epileptic Encephalopathies. Am J Hum Genet 101, 664-685.</w:t>
      </w:r>
    </w:p>
    <w:p w14:paraId="76F19DF4" w14:textId="77777777" w:rsidR="0054637A" w:rsidRPr="003F6879" w:rsidRDefault="0054637A" w:rsidP="00DD05AD">
      <w:pPr>
        <w:pStyle w:val="EndNoteBibliography"/>
        <w:spacing w:after="0"/>
        <w:ind w:left="720" w:hanging="720"/>
      </w:pPr>
      <w:r w:rsidRPr="003F6879">
        <w:t>31. Hashim, M., Stewart, H., Yu, J., Banos-Pinero, B., Genomics England Research, C., Pagnamenta, A.T., and Taylor, J.C. (2023). Genome sequencing identifies KMT2E-disrupting cryptic structural variant in a female with O'Donnell-Luria-Rodan syndrome. Clin Genet 104, 390-392.</w:t>
      </w:r>
    </w:p>
    <w:p w14:paraId="2E45822B" w14:textId="77777777" w:rsidR="0054637A" w:rsidRPr="003F6879" w:rsidRDefault="0054637A" w:rsidP="00DD05AD">
      <w:pPr>
        <w:pStyle w:val="EndNoteBibliography"/>
        <w:spacing w:after="0"/>
        <w:ind w:left="720" w:hanging="720"/>
      </w:pPr>
      <w:r w:rsidRPr="003F6879">
        <w:t>32. Hyder, Z., Calpena, E., Pei, Y., Tooze, R.S., Brittain, H., Twigg, S.R.F., Cilliers, D., Morton, J.E.V., McCann, E., Weber, A., et al. (2021). Evaluating the performance of a clinical genome sequencing program for diagnosis of rare genetic disease, seen through the lens of craniosynostosis. Genet Med 23, 2360-2368.</w:t>
      </w:r>
    </w:p>
    <w:p w14:paraId="3B9F6E15" w14:textId="77777777" w:rsidR="0054637A" w:rsidRPr="003F6879" w:rsidRDefault="0054637A" w:rsidP="00DD05AD">
      <w:pPr>
        <w:pStyle w:val="EndNoteBibliography"/>
        <w:spacing w:after="0"/>
        <w:ind w:left="720" w:hanging="720"/>
      </w:pPr>
      <w:r w:rsidRPr="003F6879">
        <w:t>33. Carvalho, C.M., Ramocki, M.B., Pehlivan, D., Franco, L.M., Gonzaga-Jauregui, C., Fang, P., McCall, A., Pivnick, E.K., Hines-Dowell, S., Seaver, L.H., et al. (2011). Inverted genomic segments and complex triplication rearrangements are mediated by inverted repeats in the human genome. Nat Genet 43, 1074-1081.</w:t>
      </w:r>
    </w:p>
    <w:p w14:paraId="6E4EF9E3" w14:textId="77777777" w:rsidR="0054637A" w:rsidRPr="003F6879" w:rsidRDefault="0054637A" w:rsidP="00DD05AD">
      <w:pPr>
        <w:pStyle w:val="EndNoteBibliography"/>
        <w:spacing w:after="0"/>
        <w:ind w:left="720" w:hanging="720"/>
      </w:pPr>
      <w:r w:rsidRPr="003F6879">
        <w:t xml:space="preserve">34. Grochowski, C.M., Bengtsson, J.D., Du, H., Gandhi, M., Lun, M.Y., Mehaffey, M.G., Park, K., Hops, W., Benito-Garagorri, E., Hasenfeld, P., et al. (2023). Break-induced replication underlies </w:t>
      </w:r>
      <w:r w:rsidRPr="003F6879">
        <w:lastRenderedPageBreak/>
        <w:t>formation of inverted triplications and generates unexpected diversity in haplotype structures. bioRxiv</w:t>
      </w:r>
      <w:r>
        <w:t>,</w:t>
      </w:r>
      <w:r w:rsidRPr="0054637A">
        <w:t xml:space="preserve"> https://doi.org/10.1101/2023.10.02.560172</w:t>
      </w:r>
      <w:r>
        <w:t>.</w:t>
      </w:r>
    </w:p>
    <w:p w14:paraId="66D566A2" w14:textId="77777777" w:rsidR="0054637A" w:rsidRPr="003F6879" w:rsidRDefault="0054637A" w:rsidP="00DD05AD">
      <w:pPr>
        <w:pStyle w:val="EndNoteBibliography"/>
        <w:spacing w:after="0"/>
        <w:ind w:left="720" w:hanging="720"/>
      </w:pPr>
      <w:r w:rsidRPr="003F6879">
        <w:t>35. Fontana, L., Tabano, S., Maitz, S., Colapietro, P., Garzia, E., Gerli, A.G., Sirchia, S.M., and Miozzo, M. (2021). Clinical and Molecular Diagnosis of Beckwith-Wiedemann Syndrome with Single- or Multi-Locus Imprinting Disturbance. Int J Mol Sci 22.</w:t>
      </w:r>
    </w:p>
    <w:p w14:paraId="23CF47B8" w14:textId="77777777" w:rsidR="0054637A" w:rsidRPr="003F6879" w:rsidRDefault="0054637A" w:rsidP="00DD05AD">
      <w:pPr>
        <w:pStyle w:val="EndNoteBibliography"/>
        <w:spacing w:after="0"/>
        <w:ind w:left="720" w:hanging="720"/>
      </w:pPr>
      <w:r w:rsidRPr="003F6879">
        <w:t>36. Kay, A.C., Wells, J., Hallowell, N., and Goriely, A. (2023). Providing recurrence risk counselling for parents after diagnosis of a serious genetic condition caused by an apparently de novo mutation in their child: a qualitative investigation of the PREGCARE strategy with UK clinical genetics practitioners. J Med Genet 60, 925-931.</w:t>
      </w:r>
    </w:p>
    <w:p w14:paraId="61FF22C7" w14:textId="77777777" w:rsidR="0054637A" w:rsidRPr="003F6879" w:rsidRDefault="0054637A" w:rsidP="00DD05AD">
      <w:pPr>
        <w:pStyle w:val="EndNoteBibliography"/>
        <w:spacing w:after="0"/>
        <w:ind w:left="720" w:hanging="720"/>
      </w:pPr>
      <w:r w:rsidRPr="003F6879">
        <w:t>37. Wright, C.F., Campbell, P., Eberhardt, R.Y., Aitken, S., Perrett, D., Brent, S., Danecek, P., Gardner, E.J., Chundru, V.K., Lindsay, S.J., et al. (2023). Genomic Diagnosis of Rare Pediatric Disease in the United Kingdom and Ireland. N Engl J Med 388, 1559-1571.</w:t>
      </w:r>
    </w:p>
    <w:p w14:paraId="13E60A55" w14:textId="77777777" w:rsidR="0054637A" w:rsidRPr="003F6879" w:rsidRDefault="0054637A" w:rsidP="00DD05AD">
      <w:pPr>
        <w:pStyle w:val="EndNoteBibliography"/>
        <w:spacing w:after="0"/>
        <w:ind w:left="720" w:hanging="720"/>
      </w:pPr>
      <w:r w:rsidRPr="003F6879">
        <w:t>38. Tenorio-Castano, J., Gomez, A.S., Coronado, M., Rodriguez-Martin, P., Parra, A., Pascual, P., Cazalla, M., Gallego, N., Arias, P., Morales, A.V., et al. (2023). Lamb-Shaffer syndrome: 20 Spanish patients and literature review expands the view of neurodevelopmental disorders caused by SOX5 haploinsufficiency. Clin Genet.</w:t>
      </w:r>
    </w:p>
    <w:p w14:paraId="7B2710C7" w14:textId="77777777" w:rsidR="0054637A" w:rsidRPr="003F6879" w:rsidRDefault="0054637A" w:rsidP="00DD05AD">
      <w:pPr>
        <w:pStyle w:val="EndNoteBibliography"/>
        <w:spacing w:after="0"/>
        <w:ind w:left="720" w:hanging="720"/>
      </w:pPr>
      <w:r w:rsidRPr="003F6879">
        <w:t>39. Hocking, L.J., Andrews, C., Armstrong, C., Ansari, M., Baty, D., Berg, J., Bradley, T., Clark, C., Diamond, A., Doherty, J., et al. (2023). Genome sequencing with gene panel-based analysis for rare inherited conditions in a publicly funded healthcare system: implications for future testing. Eur J Hum Genet 31, 231-238.</w:t>
      </w:r>
    </w:p>
    <w:p w14:paraId="24BBA173" w14:textId="77777777" w:rsidR="0054637A" w:rsidRPr="003F6879" w:rsidRDefault="0054637A" w:rsidP="00DD05AD">
      <w:pPr>
        <w:pStyle w:val="EndNoteBibliography"/>
        <w:spacing w:after="0"/>
        <w:ind w:left="720" w:hanging="720"/>
      </w:pPr>
      <w:r w:rsidRPr="003F6879">
        <w:t>40. Wang, X., Wu, H., Sun, H., Wang, L., and Chen, L. (2022). ARID2, a Rare Cause of Coffin-Siris Syndrome: A Clinical Description of Two Cases. Front Pediatr 10, 911954.</w:t>
      </w:r>
    </w:p>
    <w:p w14:paraId="4D2D75B2" w14:textId="77777777" w:rsidR="0054637A" w:rsidRPr="003F6879" w:rsidRDefault="0054637A" w:rsidP="00DD05AD">
      <w:pPr>
        <w:pStyle w:val="EndNoteBibliography"/>
        <w:spacing w:after="0"/>
        <w:ind w:left="720" w:hanging="720"/>
      </w:pPr>
      <w:r w:rsidRPr="003F6879">
        <w:t>41. Posey, J.E., Harel, T., Liu, P., Rosenfeld, J.A., James, R.A., Coban Akdemir, Z.H., Walkiewicz, M., Bi, W., Xiao, R., Ding, Y., et al. (2017). Resolution of Disease Phenotypes Resulting from Multilocus Genomic Variation. N Engl J Med 376, 21-31.</w:t>
      </w:r>
    </w:p>
    <w:p w14:paraId="6408FAFD" w14:textId="77777777" w:rsidR="0054637A" w:rsidRPr="003F6879" w:rsidRDefault="0054637A" w:rsidP="00DD05AD">
      <w:pPr>
        <w:pStyle w:val="EndNoteBibliography"/>
        <w:spacing w:after="0"/>
        <w:ind w:left="720" w:hanging="720"/>
      </w:pPr>
      <w:r w:rsidRPr="003F6879">
        <w:t>42. Yang, Y., Muzny, D.M., Xia, F., Niu, Z., Person, R., Ding, Y., Ward, P., Braxton, A., Wang, M., Buhay, C., et al. (2014). Molecular findings among patients referred for clinical whole-exome sequencing. JAMA 312, 1870-1879.</w:t>
      </w:r>
    </w:p>
    <w:p w14:paraId="4791A722" w14:textId="77777777" w:rsidR="0054637A" w:rsidRPr="003F6879" w:rsidRDefault="0054637A" w:rsidP="00DD05AD">
      <w:pPr>
        <w:pStyle w:val="EndNoteBibliography"/>
        <w:spacing w:after="0"/>
        <w:ind w:left="720" w:hanging="720"/>
      </w:pPr>
      <w:r w:rsidRPr="003F6879">
        <w:t>43. Watson, C.M., Crinnion, L.A., Harrison, S.M., Lascelles, C., Antanaviciute, A., Carr, I.M., Bonthron, D.T., and Sheridan, E. (2016). A Chromosome 7 Pericentric Inversion Defined at Single-Nucleotide Resolution Using Diagnostic Whole Genome Sequencing in a Patient with Hand-Foot-Genital Syndrome. PLoS One 11, e0157075.</w:t>
      </w:r>
    </w:p>
    <w:p w14:paraId="39C59A6B" w14:textId="77777777" w:rsidR="0054637A" w:rsidRPr="003F6879" w:rsidRDefault="0054637A" w:rsidP="00DD05AD">
      <w:pPr>
        <w:pStyle w:val="EndNoteBibliography"/>
        <w:spacing w:after="0"/>
        <w:ind w:left="720" w:hanging="720"/>
      </w:pPr>
      <w:r w:rsidRPr="003F6879">
        <w:t>44. Perez-Becerril, C., Burghel, G.J., Hartley, C., Rowlands, C.F., Evans, D.G., and Smith, M.J. (2024). Improved sensitivity for detection of pathogenic variants in familial NF2-related schwannomatosis. J Med Genet.</w:t>
      </w:r>
    </w:p>
    <w:p w14:paraId="6CC1D741" w14:textId="77777777" w:rsidR="0054637A" w:rsidRPr="003F6879" w:rsidRDefault="0054637A" w:rsidP="00DD05AD">
      <w:pPr>
        <w:pStyle w:val="EndNoteBibliography"/>
        <w:spacing w:after="0"/>
        <w:ind w:left="720" w:hanging="720"/>
      </w:pPr>
      <w:r w:rsidRPr="003F6879">
        <w:t>45. Bovee, J.V. (2008). Multiple osteochondromas. Orphanet J Rare Dis 3, 3.</w:t>
      </w:r>
    </w:p>
    <w:p w14:paraId="636BD764" w14:textId="77777777" w:rsidR="0054637A" w:rsidRPr="003F6879" w:rsidRDefault="0054637A" w:rsidP="00DD05AD">
      <w:pPr>
        <w:pStyle w:val="EndNoteBibliography"/>
        <w:spacing w:after="0"/>
        <w:ind w:left="720" w:hanging="720"/>
      </w:pPr>
      <w:r w:rsidRPr="003F6879">
        <w:t>46. Shears, D.J., Offiah, A., Rutland, P., Sirimanna, T., Bitner-Glindzicz, M., and Hall, C. (2004). Kantaputra mesomelic dysplasia: a second reported family. Am J Med Genet A 128A, 6-11.</w:t>
      </w:r>
    </w:p>
    <w:p w14:paraId="3B32FE0E" w14:textId="77777777" w:rsidR="0054637A" w:rsidRPr="003F6879" w:rsidRDefault="0054637A" w:rsidP="00DD05AD">
      <w:pPr>
        <w:pStyle w:val="EndNoteBibliography"/>
        <w:spacing w:after="0"/>
        <w:ind w:left="720" w:hanging="720"/>
      </w:pPr>
      <w:r w:rsidRPr="003F6879">
        <w:t>47. Spitz, F., Gonzalez, F., and Duboule, D. (2003). A global control region defines a chromosomal regulatory landscape containing the HoxD cluster. Cell 113, 405-417.</w:t>
      </w:r>
    </w:p>
    <w:p w14:paraId="2E493A0D" w14:textId="77777777" w:rsidR="0054637A" w:rsidRPr="003F6879" w:rsidRDefault="0054637A" w:rsidP="00DD05AD">
      <w:pPr>
        <w:pStyle w:val="EndNoteBibliography"/>
        <w:spacing w:after="0"/>
        <w:ind w:left="720" w:hanging="720"/>
      </w:pPr>
      <w:r w:rsidRPr="003F6879">
        <w:t>48. Kantaputra, P.N., Klopocki, E., Hennig, B.P., Praphanphoj, V., Le Caignec, C., Isidor, B., Kwee, M.L., Shears, D.J., and Mundlos, S. (2010). Mesomelic dysplasia Kantaputra type is associated with duplications of the HOXD locus on chromosome 2q. Eur J Hum Genet 18, 1310-1314.</w:t>
      </w:r>
    </w:p>
    <w:p w14:paraId="4A44CBD4" w14:textId="77777777" w:rsidR="0054637A" w:rsidRPr="003F6879" w:rsidRDefault="0054637A" w:rsidP="00DD05AD">
      <w:pPr>
        <w:pStyle w:val="EndNoteBibliography"/>
        <w:spacing w:after="0"/>
        <w:ind w:left="720" w:hanging="720"/>
      </w:pPr>
      <w:r w:rsidRPr="003F6879">
        <w:t>49. Kantaputra, P.N., Gorlin, R.J., and Langer, L.O., Jr. (1992). Dominant mesomelic dysplasia, ankle, carpal, and tarsal synostosis type: a new autosomal dominant bone disorder. Am J Med Genet 44, 730-737.</w:t>
      </w:r>
    </w:p>
    <w:p w14:paraId="4C4C6C51" w14:textId="77777777" w:rsidR="0054637A" w:rsidRPr="003F6879" w:rsidRDefault="0054637A" w:rsidP="00DD05AD">
      <w:pPr>
        <w:pStyle w:val="EndNoteBibliography"/>
        <w:spacing w:after="0"/>
        <w:ind w:left="720" w:hanging="720"/>
      </w:pPr>
      <w:r w:rsidRPr="003F6879">
        <w:t>50. Fujimoto, M., Kantaputra, P.N., Ikegawa, S., Fukushima, Y., Sonta, S., Matsuo, M., Ishida, T., Matsumoto, T., Kondo, S., Tomita, H., et al. (1998). The gene for mesomelic dysplasia Kantaputra type is mapped to chromosome 2q24-q32. J Hum Genet 43, 32-36.</w:t>
      </w:r>
    </w:p>
    <w:p w14:paraId="2AE43346" w14:textId="77777777" w:rsidR="0054637A" w:rsidRPr="003F6879" w:rsidRDefault="0054637A" w:rsidP="00DD05AD">
      <w:pPr>
        <w:pStyle w:val="EndNoteBibliography"/>
        <w:spacing w:after="0"/>
        <w:ind w:left="720" w:hanging="720"/>
      </w:pPr>
      <w:r w:rsidRPr="003F6879">
        <w:lastRenderedPageBreak/>
        <w:t>51. Goff, D.J., and Tabin, C.J. (1997). Analysis of Hoxd-13 and Hoxd-11 misexpression in chick limb buds reveals that Hox genes affect both bone condensation and growth. Development 124, 627-636.</w:t>
      </w:r>
    </w:p>
    <w:p w14:paraId="0F8FC1B9" w14:textId="77777777" w:rsidR="0054637A" w:rsidRPr="003F6879" w:rsidRDefault="0054637A" w:rsidP="00DD05AD">
      <w:pPr>
        <w:pStyle w:val="EndNoteBibliography"/>
        <w:spacing w:after="0"/>
        <w:ind w:left="720" w:hanging="720"/>
      </w:pPr>
      <w:r w:rsidRPr="003F6879">
        <w:t>52. Cuinat, S., Nizon, M., Isidor, B., Stegmann, A., van Jaarsveld, R.H., van Gassen, K.L., van der Smagt, J.J., Volker-Touw, C.M.L., Holwerda, S.J.B., Terhal, P.A., et al. (2022). Loss-of-function variants in SRRM2 cause a neurodevelopmental disorder. Genet Med 24, 1774-1780.</w:t>
      </w:r>
    </w:p>
    <w:p w14:paraId="1907A004" w14:textId="77777777" w:rsidR="0054637A" w:rsidRPr="003F6879" w:rsidRDefault="0054637A" w:rsidP="00DD05AD">
      <w:pPr>
        <w:pStyle w:val="EndNoteBibliography"/>
        <w:spacing w:after="0"/>
        <w:ind w:left="720" w:hanging="720"/>
      </w:pPr>
      <w:r w:rsidRPr="003F6879">
        <w:t>53. Kaplanis, J., Samocha, K.E., Wiel, L., Zhang, Z., Arvai, K.J., Eberhardt, R.Y., Gallone, G., Lelieveld, S.H., Martin, H.C., McRae, J.F., et al. (2020). Evidence for 28 genetic disorders discovered by combining healthcare and research data. Nature 586, 757-762.</w:t>
      </w:r>
    </w:p>
    <w:p w14:paraId="549269B5" w14:textId="77777777" w:rsidR="0054637A" w:rsidRPr="003F6879" w:rsidRDefault="0054637A" w:rsidP="00DD05AD">
      <w:pPr>
        <w:pStyle w:val="EndNoteBibliography"/>
        <w:spacing w:after="0"/>
        <w:ind w:left="720" w:hanging="720"/>
      </w:pPr>
      <w:r w:rsidRPr="003F6879">
        <w:t>54. Pagnamenta, A.T., Yu, J., Willis, T.A., Hashim, M., Seaby, E.G., Walker, S., Xian, J., Cheng, E.W.Y., Tavares, A.L.T., Forzano, F., et al. (2023). A Palindrome-Like Structure on 16p13.3 Is Associated with the Formation of Complex Structural Variations and SRRM2 Haploinsufficiency. Human Mutation 2023, 6633248.</w:t>
      </w:r>
    </w:p>
    <w:p w14:paraId="0FEE1DB2" w14:textId="77777777" w:rsidR="0054637A" w:rsidRPr="003F6879" w:rsidRDefault="0054637A" w:rsidP="00DD05AD">
      <w:pPr>
        <w:pStyle w:val="EndNoteBibliography"/>
        <w:spacing w:after="0"/>
        <w:ind w:left="720" w:hanging="720"/>
      </w:pPr>
      <w:r w:rsidRPr="003F6879">
        <w:t>55. Brand, H., Collins, R.L., Hanscom, C., Rosenfeld, J.A., Pillalamarri, V., Stone, M.R., Kelley, F., Mason, T., Margolin, L., Eggert, S., et al. (2015). Paired-Duplication Signatures Mark Cryptic Inversions and Other Complex Structural Variation. Am J Hum Genet 97, 170-176.</w:t>
      </w:r>
    </w:p>
    <w:p w14:paraId="3CF60071" w14:textId="77777777" w:rsidR="0054637A" w:rsidRPr="003F6879" w:rsidRDefault="0054637A" w:rsidP="00DD05AD">
      <w:pPr>
        <w:pStyle w:val="EndNoteBibliography"/>
        <w:spacing w:after="0"/>
        <w:ind w:left="720" w:hanging="720"/>
      </w:pPr>
      <w:r w:rsidRPr="003F6879">
        <w:t>56. Liu, Q., Hesson, L.B., Nunez, A.C., Packham, D., Williams, R., Ward, R.L., and Sloane, M.A. (2016). A cryptic paracentric inversion of MSH2 exons 2-6 causes Lynch syndrome. Carcinogenesis 37, 10-17.</w:t>
      </w:r>
    </w:p>
    <w:p w14:paraId="447BD388" w14:textId="77777777" w:rsidR="0054637A" w:rsidRPr="003F6879" w:rsidRDefault="0054637A" w:rsidP="00DD05AD">
      <w:pPr>
        <w:pStyle w:val="EndNoteBibliography"/>
        <w:spacing w:after="0"/>
        <w:ind w:left="720" w:hanging="720"/>
      </w:pPr>
      <w:r w:rsidRPr="003F6879">
        <w:t>57. Brennan, B., Hemmings, C.T., Clark, I., Yip, D., Fadia, M., and Taupin, D.R. (2017). Universal molecular screening does not effectively detect Lynch syndrome in clinical practice. Therap Adv Gastroenterol 10, 361-371.</w:t>
      </w:r>
    </w:p>
    <w:p w14:paraId="5D6ED222" w14:textId="77777777" w:rsidR="0054637A" w:rsidRPr="003F6879" w:rsidRDefault="0054637A" w:rsidP="00DD05AD">
      <w:pPr>
        <w:pStyle w:val="EndNoteBibliography"/>
        <w:spacing w:after="0"/>
        <w:ind w:left="720" w:hanging="720"/>
      </w:pPr>
      <w:r w:rsidRPr="003F6879">
        <w:t>58. Speed, D., and Balding, D.J. (2015). Relatedness in the post-genomic era: is it still useful? Nat Rev Genet 16, 33-44.</w:t>
      </w:r>
    </w:p>
    <w:p w14:paraId="7F80585C" w14:textId="77777777" w:rsidR="0054637A" w:rsidRPr="003F6879" w:rsidRDefault="0054637A" w:rsidP="00DD05AD">
      <w:pPr>
        <w:pStyle w:val="EndNoteBibliography"/>
        <w:spacing w:after="0"/>
        <w:ind w:left="720" w:hanging="720"/>
      </w:pPr>
      <w:r w:rsidRPr="003F6879">
        <w:t>59. Morak, M., Steinke-Lange, V., Massdorf, T., Benet-Pages, A., Locher, M., Laner, A., Kayser, K., Aretz, S., and Holinski-Feder, E. (2020). Prevalence of CNV-neutral structural genomic rearrangements in MLH1, MSH2, and PMS2 not detectable in routine NGS diagnostics. Fam Cancer 19, 161-167.</w:t>
      </w:r>
    </w:p>
    <w:p w14:paraId="79CAC4D8" w14:textId="77777777" w:rsidR="0054637A" w:rsidRPr="003F6879" w:rsidRDefault="0054637A" w:rsidP="00DD05AD">
      <w:pPr>
        <w:pStyle w:val="EndNoteBibliography"/>
        <w:spacing w:after="0"/>
        <w:ind w:left="720" w:hanging="720"/>
      </w:pPr>
      <w:r w:rsidRPr="003F6879">
        <w:t>60. Wagner, A., van der Klift, H., Franken, P., Wijnen, J., Breukel, C., Bezrookove, V., Smits, R., Kinarsky, Y., Barrows, A., Franklin, B., et al. (2002). A 10-Mb paracentric inversion of chromosome arm 2p inactivates MSH2 and is responsible for hereditary nonpolyposis colorectal cancer in a North-American kindred. Genes Chromosomes Cancer 35, 49-57.</w:t>
      </w:r>
    </w:p>
    <w:p w14:paraId="72EE8362" w14:textId="77777777" w:rsidR="0054637A" w:rsidRPr="003F6879" w:rsidRDefault="0054637A" w:rsidP="00DD05AD">
      <w:pPr>
        <w:pStyle w:val="EndNoteBibliography"/>
        <w:spacing w:after="0"/>
        <w:ind w:left="720" w:hanging="720"/>
      </w:pPr>
      <w:r w:rsidRPr="003F6879">
        <w:t>61. Rhees, J., Arnold, M., and Boland, C.R. (2014). Inversion of exons 1-7 of the MSH2 gene is a frequent cause of unexplained Lynch syndrome in one local population. Fam Cancer 13, 219-225.</w:t>
      </w:r>
    </w:p>
    <w:p w14:paraId="43333C9D" w14:textId="77777777" w:rsidR="0054637A" w:rsidRPr="003F6879" w:rsidRDefault="0054637A" w:rsidP="00DD05AD">
      <w:pPr>
        <w:pStyle w:val="EndNoteBibliography"/>
        <w:spacing w:after="0"/>
        <w:ind w:left="720" w:hanging="720"/>
      </w:pPr>
      <w:r w:rsidRPr="003F6879">
        <w:t>62. Lebo, R.V., Ikuta, T., Milunsky, J.M., and Milunsky, A. (2001). Rett syndrome from quintuple and triple deletions within the MECP2 deletion hotspot region. Clin Genet 59, 406-417.</w:t>
      </w:r>
    </w:p>
    <w:p w14:paraId="1FA9302C" w14:textId="77777777" w:rsidR="0054637A" w:rsidRPr="003F6879" w:rsidRDefault="0054637A" w:rsidP="00DD05AD">
      <w:pPr>
        <w:pStyle w:val="EndNoteBibliography"/>
        <w:spacing w:after="0"/>
        <w:ind w:left="720" w:hanging="720"/>
      </w:pPr>
      <w:r w:rsidRPr="003F6879">
        <w:t>63. Villard, L. (2007). MECP2 mutations in males. J Med Genet 44, 417-423.</w:t>
      </w:r>
    </w:p>
    <w:p w14:paraId="38A9D95B" w14:textId="77777777" w:rsidR="0054637A" w:rsidRPr="003F6879" w:rsidRDefault="0054637A" w:rsidP="00DD05AD">
      <w:pPr>
        <w:pStyle w:val="EndNoteBibliography"/>
        <w:spacing w:after="0"/>
        <w:ind w:left="720" w:hanging="720"/>
      </w:pPr>
      <w:r w:rsidRPr="003F6879">
        <w:t>64. Geerdink, N., Rotteveel, J.J., Lammens, M., Sistermans, E.A., Heikens, G.T., Gabreels, F.J., Mullaart, R.A., and Hamel, B.C. (2002). MECP2 mutation in a boy with severe neonatal encephalopathy: clinical, neuropathological and molecular findings. Neuropediatrics 33, 33-36.</w:t>
      </w:r>
    </w:p>
    <w:p w14:paraId="67045BF0" w14:textId="77777777" w:rsidR="0054637A" w:rsidRPr="003F6879" w:rsidRDefault="0054637A" w:rsidP="00DD05AD">
      <w:pPr>
        <w:pStyle w:val="EndNoteBibliography"/>
        <w:spacing w:after="0"/>
        <w:ind w:left="720" w:hanging="720"/>
      </w:pPr>
      <w:r w:rsidRPr="003F6879">
        <w:t>65. Beskorovainaya, T., Konovalov, F., Demina, N., Shchagina, O., Pashchenko, M., Kanivets, I., Pyankov, D., Ryzhkova, O., and Polyakov, A. (2021). Case Report: Complicated Molecular Diagnosis of MECP2 Gene Structural Rearrangement in a Proband with Rett Syndrome. J Autism Dev Disord 51, 2159-2163.</w:t>
      </w:r>
    </w:p>
    <w:p w14:paraId="2D47E4E6" w14:textId="77777777" w:rsidR="0054637A" w:rsidRPr="003F6879" w:rsidRDefault="0054637A" w:rsidP="00DD05AD">
      <w:pPr>
        <w:pStyle w:val="EndNoteBibliography"/>
        <w:spacing w:after="0"/>
        <w:ind w:left="720" w:hanging="720"/>
      </w:pPr>
      <w:r w:rsidRPr="003F6879">
        <w:t>66. de Bruijn, S.E., Fiorentino, A., Ottaviani, D., Fanucchi, S., Melo, U.S., Corral-Serrano, J.C., Mulders, T., Georgiou, M., Rivolta, C., Pontikos, N., et al. (2020). Structural Variants Create New Topological-Associated Domains and Ectopic Retinal Enhancer-Gene Contact in Dominant Retinitis Pigmentosa. Am J Hum Genet 107, 802-814.</w:t>
      </w:r>
    </w:p>
    <w:p w14:paraId="3A2515CF" w14:textId="77777777" w:rsidR="0054637A" w:rsidRPr="003F6879" w:rsidRDefault="0054637A" w:rsidP="00DD05AD">
      <w:pPr>
        <w:pStyle w:val="EndNoteBibliography"/>
        <w:spacing w:after="0"/>
        <w:ind w:left="720" w:hanging="720"/>
      </w:pPr>
      <w:r w:rsidRPr="003F6879">
        <w:t xml:space="preserve">67. Richards, S., Aziz, N., Bale, S., Bick, D., Das, S., Gastier-Foster, J., Grody, W.W., Hegde, M., Lyon, E., Spector, E., et al. (2015). Standards and guidelines for the interpretation of sequence variants: </w:t>
      </w:r>
      <w:r w:rsidRPr="003F6879">
        <w:lastRenderedPageBreak/>
        <w:t>a joint consensus recommendation of the American College of Medical Genetics and Genomics and the Association for Molecular Pathology. Genet Med 17, 405-424.</w:t>
      </w:r>
    </w:p>
    <w:p w14:paraId="3BC28043" w14:textId="77777777" w:rsidR="0054637A" w:rsidRPr="003F6879" w:rsidRDefault="0054637A" w:rsidP="00DD05AD">
      <w:pPr>
        <w:pStyle w:val="EndNoteBibliography"/>
        <w:spacing w:after="0"/>
        <w:ind w:left="720" w:hanging="720"/>
      </w:pPr>
      <w:r w:rsidRPr="003F6879">
        <w:t>68. Amandio, A.R., Beccari, L., Lopez-Delisle, L., Mascrez, B., Zakany, J., Gitto, S., and Duboule, D. (2021). Sequential in cis mutagenesis in vivo reveals various functions for CTCF sites at the mouse HoxD cluster. Genes Dev 35, 1490-1509.</w:t>
      </w:r>
    </w:p>
    <w:p w14:paraId="2FBF70EB" w14:textId="77777777" w:rsidR="0054637A" w:rsidRPr="003F6879" w:rsidRDefault="0054637A" w:rsidP="00DD05AD">
      <w:pPr>
        <w:pStyle w:val="EndNoteBibliography"/>
        <w:spacing w:after="0"/>
        <w:ind w:left="720" w:hanging="720"/>
      </w:pPr>
      <w:r w:rsidRPr="003F6879">
        <w:t>69. Hoovers, J.M., Kalikin, L.M., Johnson, L.A., Alders, M., Redeker, B., Law, D.J., Bliek, J., Steenman, M., Benedict, M., Wiegant, J., et al. (1995). Multiple genetic loci within 11p15 defined by Beckwith-Wiedemann syndrome rearrangement breakpoints and subchromosomal transferable fragments. Proc Natl Acad Sci U S A 92, 12456-12460.</w:t>
      </w:r>
    </w:p>
    <w:p w14:paraId="5E5BB465" w14:textId="77777777" w:rsidR="0054637A" w:rsidRPr="003F6879" w:rsidRDefault="0054637A" w:rsidP="00DD05AD">
      <w:pPr>
        <w:pStyle w:val="EndNoteBibliography"/>
        <w:spacing w:after="0"/>
        <w:ind w:left="720" w:hanging="720"/>
      </w:pPr>
      <w:r w:rsidRPr="003F6879">
        <w:t>70. Aref-Eshghi, E., Bend, E.G., Colaiacovo, S., Caudle, M., Chakrabarti, R., Napier, M., Brick, L., Brady, L., Carere, D.A., Levy, M.A., et al. (2019). Diagnostic Utility of Genome-wide DNA Methylation Testing in Genetically Unsolved Individuals with Suspected Hereditary Conditions. Am J Hum Genet 104, 685-700.</w:t>
      </w:r>
    </w:p>
    <w:p w14:paraId="7F247C66" w14:textId="77777777" w:rsidR="0054637A" w:rsidRPr="003F6879" w:rsidRDefault="0054637A" w:rsidP="00DD05AD">
      <w:pPr>
        <w:pStyle w:val="EndNoteBibliography"/>
        <w:spacing w:after="0"/>
        <w:ind w:left="720" w:hanging="720"/>
      </w:pPr>
      <w:r w:rsidRPr="003F6879">
        <w:t>71. Carvalho, C.M.B., Coban-Akdemir, Z., Hijazi, H., Yuan, B., Pendleton, M., Harrington, E., Beaulaurier, J., Juul, S., Turner, D.J., Kanchi, R.S., et al. (2019). Interchromosomal template-switching as a novel molecular mechanism for imprinting perturbations associated with Temple syndrome. Genome Med 11, 25.</w:t>
      </w:r>
    </w:p>
    <w:p w14:paraId="35C562F8" w14:textId="77777777" w:rsidR="0054637A" w:rsidRPr="003F6879" w:rsidRDefault="0054637A" w:rsidP="00DD05AD">
      <w:pPr>
        <w:pStyle w:val="EndNoteBibliography"/>
        <w:spacing w:after="0"/>
        <w:ind w:left="720" w:hanging="720"/>
      </w:pPr>
      <w:r w:rsidRPr="003F6879">
        <w:t>72. Scharf, F., Leal Silva, R.M., Morak, M., Hastie, A., Pickl, J.M.A., Sendelbach, K., Gebhard, C., Locher, M., Laner, A., Steinke-Lange, V., et al. (2022). Constitutional chromothripsis of the APC locus as a cause of genetic predisposition to colon cancer. J Med Genet 59, 976-983.</w:t>
      </w:r>
    </w:p>
    <w:p w14:paraId="70729F21" w14:textId="77777777" w:rsidR="0054637A" w:rsidRPr="003F6879" w:rsidRDefault="0054637A" w:rsidP="00DD05AD">
      <w:pPr>
        <w:pStyle w:val="EndNoteBibliography"/>
        <w:spacing w:after="0"/>
        <w:ind w:left="720" w:hanging="720"/>
      </w:pPr>
      <w:r w:rsidRPr="003F6879">
        <w:t>73. Best, S., Inglehearn, C.F., Watson, C.M., Toomes, C., Wheway, G., and Johnson, C.A. (2022). Unlocking the potential of the UK 100,000 Genomes Project-lessons learned from analysis of the "Congenital Malformations caused by Ciliopathies" cohort. Am J Med Genet C Semin Med Genet 190, 5-8.</w:t>
      </w:r>
    </w:p>
    <w:p w14:paraId="784FA96C" w14:textId="77777777" w:rsidR="0054637A" w:rsidRPr="003F6879" w:rsidRDefault="0054637A" w:rsidP="00DD05AD">
      <w:pPr>
        <w:pStyle w:val="EndNoteBibliography"/>
        <w:spacing w:after="0"/>
        <w:ind w:left="720" w:hanging="720"/>
      </w:pPr>
      <w:r w:rsidRPr="003F6879">
        <w:t>74. Brandt, T., Sack, L.M., Arjona, D., Tan, D., Mei, H., Cui, H., Gao, H., Bean, L.J.H., Ankala, A., Del Gaudio, D., et al. (2020). Adapting ACMG/AMP sequence variant classification guidelines for single-gene copy number variants. Genet Med 22, 336-344.</w:t>
      </w:r>
    </w:p>
    <w:p w14:paraId="23239EEE" w14:textId="77777777" w:rsidR="0054637A" w:rsidRPr="003F6879" w:rsidRDefault="0054637A" w:rsidP="00DD05AD">
      <w:pPr>
        <w:pStyle w:val="EndNoteBibliography"/>
        <w:spacing w:after="0"/>
        <w:ind w:left="720" w:hanging="720"/>
      </w:pPr>
      <w:r w:rsidRPr="003F6879">
        <w:t>75. Gardner, E.J., Sifrim, A., Lindsay, S.J., Prigmore, E., Rajan, D., Danecek, P., Gallone, G., Eberhardt, R.Y., Martin, H.C., Wright, C.F., et al. (2021). Detecting cryptic clinically relevant structural variation in exome-sequencing data increases diagnostic yield for developmental disorders. Am J Hum Genet 108, 2186-2194.</w:t>
      </w:r>
    </w:p>
    <w:p w14:paraId="2894CC55" w14:textId="77777777" w:rsidR="0054637A" w:rsidRPr="003F6879" w:rsidRDefault="0054637A" w:rsidP="00DD05AD">
      <w:pPr>
        <w:pStyle w:val="EndNoteBibliography"/>
        <w:spacing w:after="0"/>
        <w:ind w:left="720" w:hanging="720"/>
      </w:pPr>
      <w:r w:rsidRPr="003F6879">
        <w:t>76. Evers, J.M., Laskowski, R.A., Bertolli, M., Clayton-Smith, J., Deshpande, C., Eason, J., Elmslie, F., Flinter, F., Gardiner, C., Hurst, J.A., et al. (2017). Structural analysis of pathogenic mutations in the DYRK1A gene in patients with developmental disorders. Hum Mol Genet 26, 519-526.</w:t>
      </w:r>
    </w:p>
    <w:p w14:paraId="6F6F915F" w14:textId="77777777" w:rsidR="0054637A" w:rsidRPr="003F6879" w:rsidRDefault="0054637A" w:rsidP="00DD05AD">
      <w:pPr>
        <w:pStyle w:val="EndNoteBibliography"/>
        <w:spacing w:after="0"/>
        <w:ind w:left="720" w:hanging="720"/>
      </w:pPr>
      <w:r w:rsidRPr="003F6879">
        <w:t>77. Sanchis-Juan, A., Megy, K., Stephens, J., Armirola Ricaurte, C., Dewhurst, E., Low, K., French, C.E., Grozeva, D., Stirrups, K., Erwood, M., et al. (2023). Genome sequencing and comprehensive rare-variant analysis of 465 families with neurodevelopmental disorders. Am J Hum Genet 110, 1343-1355.</w:t>
      </w:r>
    </w:p>
    <w:p w14:paraId="2628E811" w14:textId="77777777" w:rsidR="0054637A" w:rsidRPr="003F6879" w:rsidRDefault="0054637A" w:rsidP="00DD05AD">
      <w:pPr>
        <w:pStyle w:val="EndNoteBibliography"/>
        <w:spacing w:after="0"/>
        <w:ind w:left="720" w:hanging="720"/>
      </w:pPr>
      <w:r w:rsidRPr="003F6879">
        <w:t>78. Moore, A.R., Yu, J., Pei, Y., Cheng, E.W.Y., Taylor Tavares, A.L., Walker, W.T., Thomas, N.S., Kamath, A., Ibitoye, R., Josifova, D., et al. (2023). Use of genome sequencing to hunt for cryptic second-hit variants: analysis of 31 cases recruited to the 100 000 Genomes Project. J Med Genet.</w:t>
      </w:r>
    </w:p>
    <w:p w14:paraId="0A5BA613" w14:textId="77777777" w:rsidR="0054637A" w:rsidRPr="003F6879" w:rsidRDefault="0054637A" w:rsidP="00DD05AD">
      <w:pPr>
        <w:pStyle w:val="EndNoteBibliography"/>
        <w:spacing w:after="0"/>
        <w:ind w:left="720" w:hanging="720"/>
      </w:pPr>
      <w:r w:rsidRPr="003F6879">
        <w:t>79. Lincoln, S.E., Truty, R., Lin, C.F., Zook, J.M., Paul, J., Ramey, V.H., Salit, M., Rehm, H.L., Nussbaum, R.L., and Lebo, M.S. (2019). A Rigorous Interlaboratory Examination of the Need to Confirm Next-Generation Sequencing-Detected Variants with an Orthogonal Method in Clinical Genetic Testing. J Mol Diagn 21, 318-329.</w:t>
      </w:r>
    </w:p>
    <w:p w14:paraId="78FEEED5" w14:textId="77777777" w:rsidR="0054637A" w:rsidRPr="003F6879" w:rsidRDefault="0054637A" w:rsidP="00DD05AD">
      <w:pPr>
        <w:pStyle w:val="EndNoteBibliography"/>
        <w:spacing w:after="0"/>
        <w:ind w:left="720" w:hanging="720"/>
      </w:pPr>
      <w:r w:rsidRPr="003F6879">
        <w:t>80. Bauer, P., Kandaswamy, K.K., Weiss, M.E.R., Paknia, O., Werber, M., Bertoli-Avella, A.M., Yuksel, Z., Bochinska, M., Oprea, G.E., Kishore, S., et al. (2019). Development of an evidence-based algorithm that optimizes sensitivity and specificity in ES-based diagnostics of a clinically heterogeneous patient population. Genet Med 21, 53-61.</w:t>
      </w:r>
    </w:p>
    <w:p w14:paraId="671D499A" w14:textId="77777777" w:rsidR="0054637A" w:rsidRPr="003F6879" w:rsidRDefault="0054637A" w:rsidP="00DD05AD">
      <w:pPr>
        <w:pStyle w:val="EndNoteBibliography"/>
        <w:spacing w:after="0"/>
        <w:ind w:left="720" w:hanging="720"/>
      </w:pPr>
      <w:r w:rsidRPr="003F6879">
        <w:t>81. Beck, T.F., Mullikin, J.C., Program, N.C.S., and Biesecker, L.G. (2016). Systematic Evaluation of Sanger Validation of Next-Generation Sequencing Variants. Clin Chem 62, 647-654.</w:t>
      </w:r>
    </w:p>
    <w:p w14:paraId="699D8C42" w14:textId="77777777" w:rsidR="0054637A" w:rsidRPr="003F6879" w:rsidRDefault="0054637A" w:rsidP="00DD05AD">
      <w:pPr>
        <w:pStyle w:val="EndNoteBibliography"/>
        <w:spacing w:after="0"/>
        <w:ind w:left="720" w:hanging="720"/>
      </w:pPr>
      <w:r w:rsidRPr="003F6879">
        <w:lastRenderedPageBreak/>
        <w:t>82. Zarate, Y.A., Smith-Hicks, C.L., Greene, C., Abbott, M.A., Siu, V.M., Calhoun, A., Pandya, A., Li, C., Sellars, E.A., Kaylor, J., et al. (2018). Natural history and genotype-phenotype correlations in 72 individuals with SATB2-associated syndrome. Am J Med Genet A 176, 925-935.</w:t>
      </w:r>
    </w:p>
    <w:p w14:paraId="5C1AAEB8" w14:textId="77777777" w:rsidR="0054637A" w:rsidRPr="003F6879" w:rsidRDefault="0054637A" w:rsidP="00DD05AD">
      <w:pPr>
        <w:pStyle w:val="EndNoteBibliography"/>
        <w:ind w:left="720" w:hanging="720"/>
      </w:pPr>
      <w:r w:rsidRPr="003F6879">
        <w:t>83. Moller, R.S., Kubart, S., Hoeltzenbein, M., Heye, B., Vogel, I., Hansen, C.P., Menzel, C., Ullmann, R., Tommerup, N., Ropers, H.H., et al. (2008). Truncation of the Down syndrome candidate gene DYRK1A in two unrelated patients with microcephaly. Am J Hum Genet 82, 1165-1170.</w:t>
      </w:r>
    </w:p>
    <w:p w14:paraId="06ADB485" w14:textId="77777777" w:rsidR="0054637A" w:rsidRPr="001E1AA6" w:rsidRDefault="0054637A" w:rsidP="00DD05AD">
      <w:pPr>
        <w:jc w:val="both"/>
      </w:pPr>
    </w:p>
    <w:p w14:paraId="50F30677" w14:textId="77777777" w:rsidR="002F1823" w:rsidRDefault="002F1823"/>
    <w:sectPr w:rsidR="002F1823" w:rsidSect="000F534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9FF7" w14:textId="77777777" w:rsidR="00B27974" w:rsidRDefault="00B27974">
      <w:pPr>
        <w:spacing w:after="0" w:line="240" w:lineRule="auto"/>
      </w:pPr>
      <w:r>
        <w:separator/>
      </w:r>
    </w:p>
  </w:endnote>
  <w:endnote w:type="continuationSeparator" w:id="0">
    <w:p w14:paraId="0C02B093" w14:textId="77777777" w:rsidR="00B27974" w:rsidRDefault="00B2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072101"/>
      <w:docPartObj>
        <w:docPartGallery w:val="Page Numbers (Bottom of Page)"/>
        <w:docPartUnique/>
      </w:docPartObj>
    </w:sdtPr>
    <w:sdtEndPr>
      <w:rPr>
        <w:noProof/>
      </w:rPr>
    </w:sdtEndPr>
    <w:sdtContent>
      <w:p w14:paraId="03ABD379" w14:textId="77777777" w:rsidR="00B27974" w:rsidRDefault="00B27974">
        <w:pPr>
          <w:pStyle w:val="Footer"/>
          <w:jc w:val="center"/>
        </w:pPr>
      </w:p>
      <w:p w14:paraId="71DC7F47" w14:textId="59DA8ED4" w:rsidR="00B27974" w:rsidRDefault="00B27974">
        <w:pPr>
          <w:pStyle w:val="Footer"/>
          <w:jc w:val="center"/>
        </w:pPr>
        <w:r>
          <w:fldChar w:fldCharType="begin"/>
        </w:r>
        <w:r>
          <w:instrText xml:space="preserve"> PAGE   \* MERGEFORMAT </w:instrText>
        </w:r>
        <w:r>
          <w:fldChar w:fldCharType="separate"/>
        </w:r>
        <w:r w:rsidR="00C25314">
          <w:rPr>
            <w:noProof/>
          </w:rPr>
          <w:t>30</w:t>
        </w:r>
        <w:r>
          <w:rPr>
            <w:noProof/>
          </w:rPr>
          <w:fldChar w:fldCharType="end"/>
        </w:r>
      </w:p>
    </w:sdtContent>
  </w:sdt>
  <w:p w14:paraId="330BBB15" w14:textId="77777777" w:rsidR="00B27974" w:rsidRDefault="00B2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ED42" w14:textId="77777777" w:rsidR="00B27974" w:rsidRDefault="00B27974">
      <w:pPr>
        <w:spacing w:after="0" w:line="240" w:lineRule="auto"/>
      </w:pPr>
      <w:r>
        <w:separator/>
      </w:r>
    </w:p>
  </w:footnote>
  <w:footnote w:type="continuationSeparator" w:id="0">
    <w:p w14:paraId="2F72C264" w14:textId="77777777" w:rsidR="00B27974" w:rsidRDefault="00B2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23FB" w14:textId="77777777" w:rsidR="00B27974" w:rsidRDefault="00B27974" w:rsidP="00DD05AD">
    <w:pPr>
      <w:pStyle w:val="Header"/>
      <w:jc w:val="right"/>
    </w:pPr>
    <w:r>
      <w:t>Inversions in 100kGP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419"/>
    <w:multiLevelType w:val="hybridMultilevel"/>
    <w:tmpl w:val="8640C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5B84"/>
    <w:multiLevelType w:val="hybridMultilevel"/>
    <w:tmpl w:val="F3EA14D4"/>
    <w:lvl w:ilvl="0" w:tplc="10D06E04">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953574"/>
    <w:multiLevelType w:val="hybridMultilevel"/>
    <w:tmpl w:val="D1A64656"/>
    <w:lvl w:ilvl="0" w:tplc="A1C20252">
      <w:start w:val="1"/>
      <w:numFmt w:val="lowerRoman"/>
      <w:lvlText w:val="%1."/>
      <w:lvlJc w:val="right"/>
      <w:pPr>
        <w:tabs>
          <w:tab w:val="num" w:pos="720"/>
        </w:tabs>
        <w:ind w:left="720" w:hanging="360"/>
      </w:pPr>
    </w:lvl>
    <w:lvl w:ilvl="1" w:tplc="45E01A0A" w:tentative="1">
      <w:start w:val="1"/>
      <w:numFmt w:val="lowerRoman"/>
      <w:lvlText w:val="%2."/>
      <w:lvlJc w:val="right"/>
      <w:pPr>
        <w:tabs>
          <w:tab w:val="num" w:pos="1440"/>
        </w:tabs>
        <w:ind w:left="1440" w:hanging="360"/>
      </w:pPr>
    </w:lvl>
    <w:lvl w:ilvl="2" w:tplc="5E4AACBC" w:tentative="1">
      <w:start w:val="1"/>
      <w:numFmt w:val="lowerRoman"/>
      <w:lvlText w:val="%3."/>
      <w:lvlJc w:val="right"/>
      <w:pPr>
        <w:tabs>
          <w:tab w:val="num" w:pos="2160"/>
        </w:tabs>
        <w:ind w:left="2160" w:hanging="360"/>
      </w:pPr>
    </w:lvl>
    <w:lvl w:ilvl="3" w:tplc="2B2E07BC" w:tentative="1">
      <w:start w:val="1"/>
      <w:numFmt w:val="lowerRoman"/>
      <w:lvlText w:val="%4."/>
      <w:lvlJc w:val="right"/>
      <w:pPr>
        <w:tabs>
          <w:tab w:val="num" w:pos="2880"/>
        </w:tabs>
        <w:ind w:left="2880" w:hanging="360"/>
      </w:pPr>
    </w:lvl>
    <w:lvl w:ilvl="4" w:tplc="07883B42" w:tentative="1">
      <w:start w:val="1"/>
      <w:numFmt w:val="lowerRoman"/>
      <w:lvlText w:val="%5."/>
      <w:lvlJc w:val="right"/>
      <w:pPr>
        <w:tabs>
          <w:tab w:val="num" w:pos="3600"/>
        </w:tabs>
        <w:ind w:left="3600" w:hanging="360"/>
      </w:pPr>
    </w:lvl>
    <w:lvl w:ilvl="5" w:tplc="DD988A16" w:tentative="1">
      <w:start w:val="1"/>
      <w:numFmt w:val="lowerRoman"/>
      <w:lvlText w:val="%6."/>
      <w:lvlJc w:val="right"/>
      <w:pPr>
        <w:tabs>
          <w:tab w:val="num" w:pos="4320"/>
        </w:tabs>
        <w:ind w:left="4320" w:hanging="360"/>
      </w:pPr>
    </w:lvl>
    <w:lvl w:ilvl="6" w:tplc="18C81338" w:tentative="1">
      <w:start w:val="1"/>
      <w:numFmt w:val="lowerRoman"/>
      <w:lvlText w:val="%7."/>
      <w:lvlJc w:val="right"/>
      <w:pPr>
        <w:tabs>
          <w:tab w:val="num" w:pos="5040"/>
        </w:tabs>
        <w:ind w:left="5040" w:hanging="360"/>
      </w:pPr>
    </w:lvl>
    <w:lvl w:ilvl="7" w:tplc="8CB0D942" w:tentative="1">
      <w:start w:val="1"/>
      <w:numFmt w:val="lowerRoman"/>
      <w:lvlText w:val="%8."/>
      <w:lvlJc w:val="right"/>
      <w:pPr>
        <w:tabs>
          <w:tab w:val="num" w:pos="5760"/>
        </w:tabs>
        <w:ind w:left="5760" w:hanging="360"/>
      </w:pPr>
    </w:lvl>
    <w:lvl w:ilvl="8" w:tplc="556206DC" w:tentative="1">
      <w:start w:val="1"/>
      <w:numFmt w:val="lowerRoman"/>
      <w:lvlText w:val="%9."/>
      <w:lvlJc w:val="right"/>
      <w:pPr>
        <w:tabs>
          <w:tab w:val="num" w:pos="6480"/>
        </w:tabs>
        <w:ind w:left="6480" w:hanging="360"/>
      </w:pPr>
    </w:lvl>
  </w:abstractNum>
  <w:abstractNum w:abstractNumId="3" w15:restartNumberingAfterBreak="0">
    <w:nsid w:val="20522792"/>
    <w:multiLevelType w:val="hybridMultilevel"/>
    <w:tmpl w:val="941456A8"/>
    <w:lvl w:ilvl="0" w:tplc="D3B2DF52">
      <w:start w:val="1"/>
      <w:numFmt w:val="bullet"/>
      <w:lvlText w:val="•"/>
      <w:lvlJc w:val="left"/>
      <w:pPr>
        <w:tabs>
          <w:tab w:val="num" w:pos="720"/>
        </w:tabs>
        <w:ind w:left="720" w:hanging="360"/>
      </w:pPr>
      <w:rPr>
        <w:rFonts w:ascii="Arial" w:hAnsi="Arial" w:hint="default"/>
      </w:rPr>
    </w:lvl>
    <w:lvl w:ilvl="1" w:tplc="EFF062DE" w:tentative="1">
      <w:start w:val="1"/>
      <w:numFmt w:val="bullet"/>
      <w:lvlText w:val="•"/>
      <w:lvlJc w:val="left"/>
      <w:pPr>
        <w:tabs>
          <w:tab w:val="num" w:pos="1440"/>
        </w:tabs>
        <w:ind w:left="1440" w:hanging="360"/>
      </w:pPr>
      <w:rPr>
        <w:rFonts w:ascii="Arial" w:hAnsi="Arial" w:hint="default"/>
      </w:rPr>
    </w:lvl>
    <w:lvl w:ilvl="2" w:tplc="6776A7B2" w:tentative="1">
      <w:start w:val="1"/>
      <w:numFmt w:val="bullet"/>
      <w:lvlText w:val="•"/>
      <w:lvlJc w:val="left"/>
      <w:pPr>
        <w:tabs>
          <w:tab w:val="num" w:pos="2160"/>
        </w:tabs>
        <w:ind w:left="2160" w:hanging="360"/>
      </w:pPr>
      <w:rPr>
        <w:rFonts w:ascii="Arial" w:hAnsi="Arial" w:hint="default"/>
      </w:rPr>
    </w:lvl>
    <w:lvl w:ilvl="3" w:tplc="DC8A5796" w:tentative="1">
      <w:start w:val="1"/>
      <w:numFmt w:val="bullet"/>
      <w:lvlText w:val="•"/>
      <w:lvlJc w:val="left"/>
      <w:pPr>
        <w:tabs>
          <w:tab w:val="num" w:pos="2880"/>
        </w:tabs>
        <w:ind w:left="2880" w:hanging="360"/>
      </w:pPr>
      <w:rPr>
        <w:rFonts w:ascii="Arial" w:hAnsi="Arial" w:hint="default"/>
      </w:rPr>
    </w:lvl>
    <w:lvl w:ilvl="4" w:tplc="7A2E989C" w:tentative="1">
      <w:start w:val="1"/>
      <w:numFmt w:val="bullet"/>
      <w:lvlText w:val="•"/>
      <w:lvlJc w:val="left"/>
      <w:pPr>
        <w:tabs>
          <w:tab w:val="num" w:pos="3600"/>
        </w:tabs>
        <w:ind w:left="3600" w:hanging="360"/>
      </w:pPr>
      <w:rPr>
        <w:rFonts w:ascii="Arial" w:hAnsi="Arial" w:hint="default"/>
      </w:rPr>
    </w:lvl>
    <w:lvl w:ilvl="5" w:tplc="4330F36A" w:tentative="1">
      <w:start w:val="1"/>
      <w:numFmt w:val="bullet"/>
      <w:lvlText w:val="•"/>
      <w:lvlJc w:val="left"/>
      <w:pPr>
        <w:tabs>
          <w:tab w:val="num" w:pos="4320"/>
        </w:tabs>
        <w:ind w:left="4320" w:hanging="360"/>
      </w:pPr>
      <w:rPr>
        <w:rFonts w:ascii="Arial" w:hAnsi="Arial" w:hint="default"/>
      </w:rPr>
    </w:lvl>
    <w:lvl w:ilvl="6" w:tplc="B54E1C54" w:tentative="1">
      <w:start w:val="1"/>
      <w:numFmt w:val="bullet"/>
      <w:lvlText w:val="•"/>
      <w:lvlJc w:val="left"/>
      <w:pPr>
        <w:tabs>
          <w:tab w:val="num" w:pos="5040"/>
        </w:tabs>
        <w:ind w:left="5040" w:hanging="360"/>
      </w:pPr>
      <w:rPr>
        <w:rFonts w:ascii="Arial" w:hAnsi="Arial" w:hint="default"/>
      </w:rPr>
    </w:lvl>
    <w:lvl w:ilvl="7" w:tplc="487ACAD0" w:tentative="1">
      <w:start w:val="1"/>
      <w:numFmt w:val="bullet"/>
      <w:lvlText w:val="•"/>
      <w:lvlJc w:val="left"/>
      <w:pPr>
        <w:tabs>
          <w:tab w:val="num" w:pos="5760"/>
        </w:tabs>
        <w:ind w:left="5760" w:hanging="360"/>
      </w:pPr>
      <w:rPr>
        <w:rFonts w:ascii="Arial" w:hAnsi="Arial" w:hint="default"/>
      </w:rPr>
    </w:lvl>
    <w:lvl w:ilvl="8" w:tplc="27041C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417C74"/>
    <w:multiLevelType w:val="hybridMultilevel"/>
    <w:tmpl w:val="2F60C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11924"/>
    <w:multiLevelType w:val="hybridMultilevel"/>
    <w:tmpl w:val="3E5E1EAC"/>
    <w:lvl w:ilvl="0" w:tplc="2A101322">
      <w:start w:val="5"/>
      <w:numFmt w:val="lowerRoman"/>
      <w:lvlText w:val="%1."/>
      <w:lvlJc w:val="right"/>
      <w:pPr>
        <w:tabs>
          <w:tab w:val="num" w:pos="720"/>
        </w:tabs>
        <w:ind w:left="720" w:hanging="360"/>
      </w:pPr>
    </w:lvl>
    <w:lvl w:ilvl="1" w:tplc="71A2CF4C" w:tentative="1">
      <w:start w:val="1"/>
      <w:numFmt w:val="lowerRoman"/>
      <w:lvlText w:val="%2."/>
      <w:lvlJc w:val="right"/>
      <w:pPr>
        <w:tabs>
          <w:tab w:val="num" w:pos="1440"/>
        </w:tabs>
        <w:ind w:left="1440" w:hanging="360"/>
      </w:pPr>
    </w:lvl>
    <w:lvl w:ilvl="2" w:tplc="166EF4B8" w:tentative="1">
      <w:start w:val="1"/>
      <w:numFmt w:val="lowerRoman"/>
      <w:lvlText w:val="%3."/>
      <w:lvlJc w:val="right"/>
      <w:pPr>
        <w:tabs>
          <w:tab w:val="num" w:pos="2160"/>
        </w:tabs>
        <w:ind w:left="2160" w:hanging="360"/>
      </w:pPr>
    </w:lvl>
    <w:lvl w:ilvl="3" w:tplc="E5E2B600" w:tentative="1">
      <w:start w:val="1"/>
      <w:numFmt w:val="lowerRoman"/>
      <w:lvlText w:val="%4."/>
      <w:lvlJc w:val="right"/>
      <w:pPr>
        <w:tabs>
          <w:tab w:val="num" w:pos="2880"/>
        </w:tabs>
        <w:ind w:left="2880" w:hanging="360"/>
      </w:pPr>
    </w:lvl>
    <w:lvl w:ilvl="4" w:tplc="C0E493A6" w:tentative="1">
      <w:start w:val="1"/>
      <w:numFmt w:val="lowerRoman"/>
      <w:lvlText w:val="%5."/>
      <w:lvlJc w:val="right"/>
      <w:pPr>
        <w:tabs>
          <w:tab w:val="num" w:pos="3600"/>
        </w:tabs>
        <w:ind w:left="3600" w:hanging="360"/>
      </w:pPr>
    </w:lvl>
    <w:lvl w:ilvl="5" w:tplc="E0EE9F34" w:tentative="1">
      <w:start w:val="1"/>
      <w:numFmt w:val="lowerRoman"/>
      <w:lvlText w:val="%6."/>
      <w:lvlJc w:val="right"/>
      <w:pPr>
        <w:tabs>
          <w:tab w:val="num" w:pos="4320"/>
        </w:tabs>
        <w:ind w:left="4320" w:hanging="360"/>
      </w:pPr>
    </w:lvl>
    <w:lvl w:ilvl="6" w:tplc="39549FA8" w:tentative="1">
      <w:start w:val="1"/>
      <w:numFmt w:val="lowerRoman"/>
      <w:lvlText w:val="%7."/>
      <w:lvlJc w:val="right"/>
      <w:pPr>
        <w:tabs>
          <w:tab w:val="num" w:pos="5040"/>
        </w:tabs>
        <w:ind w:left="5040" w:hanging="360"/>
      </w:pPr>
    </w:lvl>
    <w:lvl w:ilvl="7" w:tplc="83386684" w:tentative="1">
      <w:start w:val="1"/>
      <w:numFmt w:val="lowerRoman"/>
      <w:lvlText w:val="%8."/>
      <w:lvlJc w:val="right"/>
      <w:pPr>
        <w:tabs>
          <w:tab w:val="num" w:pos="5760"/>
        </w:tabs>
        <w:ind w:left="5760" w:hanging="360"/>
      </w:pPr>
    </w:lvl>
    <w:lvl w:ilvl="8" w:tplc="53C4F11E" w:tentative="1">
      <w:start w:val="1"/>
      <w:numFmt w:val="lowerRoman"/>
      <w:lvlText w:val="%9."/>
      <w:lvlJc w:val="right"/>
      <w:pPr>
        <w:tabs>
          <w:tab w:val="num" w:pos="6480"/>
        </w:tabs>
        <w:ind w:left="6480" w:hanging="360"/>
      </w:pPr>
    </w:lvl>
  </w:abstractNum>
  <w:abstractNum w:abstractNumId="6" w15:restartNumberingAfterBreak="0">
    <w:nsid w:val="5A6E7150"/>
    <w:multiLevelType w:val="multilevel"/>
    <w:tmpl w:val="94FA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97733"/>
    <w:multiLevelType w:val="hybridMultilevel"/>
    <w:tmpl w:val="7A56D16A"/>
    <w:lvl w:ilvl="0" w:tplc="5DCCB794">
      <w:start w:val="1"/>
      <w:numFmt w:val="bullet"/>
      <w:lvlText w:val="•"/>
      <w:lvlJc w:val="left"/>
      <w:pPr>
        <w:tabs>
          <w:tab w:val="num" w:pos="720"/>
        </w:tabs>
        <w:ind w:left="720" w:hanging="360"/>
      </w:pPr>
      <w:rPr>
        <w:rFonts w:ascii="Arial" w:hAnsi="Arial" w:hint="default"/>
      </w:rPr>
    </w:lvl>
    <w:lvl w:ilvl="1" w:tplc="45A2C2BC" w:tentative="1">
      <w:start w:val="1"/>
      <w:numFmt w:val="bullet"/>
      <w:lvlText w:val="•"/>
      <w:lvlJc w:val="left"/>
      <w:pPr>
        <w:tabs>
          <w:tab w:val="num" w:pos="1440"/>
        </w:tabs>
        <w:ind w:left="1440" w:hanging="360"/>
      </w:pPr>
      <w:rPr>
        <w:rFonts w:ascii="Arial" w:hAnsi="Arial" w:hint="default"/>
      </w:rPr>
    </w:lvl>
    <w:lvl w:ilvl="2" w:tplc="2D92939E" w:tentative="1">
      <w:start w:val="1"/>
      <w:numFmt w:val="bullet"/>
      <w:lvlText w:val="•"/>
      <w:lvlJc w:val="left"/>
      <w:pPr>
        <w:tabs>
          <w:tab w:val="num" w:pos="2160"/>
        </w:tabs>
        <w:ind w:left="2160" w:hanging="360"/>
      </w:pPr>
      <w:rPr>
        <w:rFonts w:ascii="Arial" w:hAnsi="Arial" w:hint="default"/>
      </w:rPr>
    </w:lvl>
    <w:lvl w:ilvl="3" w:tplc="8B9661C2" w:tentative="1">
      <w:start w:val="1"/>
      <w:numFmt w:val="bullet"/>
      <w:lvlText w:val="•"/>
      <w:lvlJc w:val="left"/>
      <w:pPr>
        <w:tabs>
          <w:tab w:val="num" w:pos="2880"/>
        </w:tabs>
        <w:ind w:left="2880" w:hanging="360"/>
      </w:pPr>
      <w:rPr>
        <w:rFonts w:ascii="Arial" w:hAnsi="Arial" w:hint="default"/>
      </w:rPr>
    </w:lvl>
    <w:lvl w:ilvl="4" w:tplc="D960C344" w:tentative="1">
      <w:start w:val="1"/>
      <w:numFmt w:val="bullet"/>
      <w:lvlText w:val="•"/>
      <w:lvlJc w:val="left"/>
      <w:pPr>
        <w:tabs>
          <w:tab w:val="num" w:pos="3600"/>
        </w:tabs>
        <w:ind w:left="3600" w:hanging="360"/>
      </w:pPr>
      <w:rPr>
        <w:rFonts w:ascii="Arial" w:hAnsi="Arial" w:hint="default"/>
      </w:rPr>
    </w:lvl>
    <w:lvl w:ilvl="5" w:tplc="A10607C6" w:tentative="1">
      <w:start w:val="1"/>
      <w:numFmt w:val="bullet"/>
      <w:lvlText w:val="•"/>
      <w:lvlJc w:val="left"/>
      <w:pPr>
        <w:tabs>
          <w:tab w:val="num" w:pos="4320"/>
        </w:tabs>
        <w:ind w:left="4320" w:hanging="360"/>
      </w:pPr>
      <w:rPr>
        <w:rFonts w:ascii="Arial" w:hAnsi="Arial" w:hint="default"/>
      </w:rPr>
    </w:lvl>
    <w:lvl w:ilvl="6" w:tplc="7F30F062" w:tentative="1">
      <w:start w:val="1"/>
      <w:numFmt w:val="bullet"/>
      <w:lvlText w:val="•"/>
      <w:lvlJc w:val="left"/>
      <w:pPr>
        <w:tabs>
          <w:tab w:val="num" w:pos="5040"/>
        </w:tabs>
        <w:ind w:left="5040" w:hanging="360"/>
      </w:pPr>
      <w:rPr>
        <w:rFonts w:ascii="Arial" w:hAnsi="Arial" w:hint="default"/>
      </w:rPr>
    </w:lvl>
    <w:lvl w:ilvl="7" w:tplc="6AC0DDB8" w:tentative="1">
      <w:start w:val="1"/>
      <w:numFmt w:val="bullet"/>
      <w:lvlText w:val="•"/>
      <w:lvlJc w:val="left"/>
      <w:pPr>
        <w:tabs>
          <w:tab w:val="num" w:pos="5760"/>
        </w:tabs>
        <w:ind w:left="5760" w:hanging="360"/>
      </w:pPr>
      <w:rPr>
        <w:rFonts w:ascii="Arial" w:hAnsi="Arial" w:hint="default"/>
      </w:rPr>
    </w:lvl>
    <w:lvl w:ilvl="8" w:tplc="605032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5A727B"/>
    <w:multiLevelType w:val="hybridMultilevel"/>
    <w:tmpl w:val="35D4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7"/>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4637A"/>
    <w:rsid w:val="00094B76"/>
    <w:rsid w:val="000B2606"/>
    <w:rsid w:val="000E1AD6"/>
    <w:rsid w:val="000F534A"/>
    <w:rsid w:val="00103D12"/>
    <w:rsid w:val="0011150E"/>
    <w:rsid w:val="00142C76"/>
    <w:rsid w:val="001801AF"/>
    <w:rsid w:val="001D3B41"/>
    <w:rsid w:val="001D7F92"/>
    <w:rsid w:val="001F01F3"/>
    <w:rsid w:val="00205CEC"/>
    <w:rsid w:val="002214B4"/>
    <w:rsid w:val="0023260F"/>
    <w:rsid w:val="00247419"/>
    <w:rsid w:val="00247F53"/>
    <w:rsid w:val="00250BB9"/>
    <w:rsid w:val="00270E66"/>
    <w:rsid w:val="002838F9"/>
    <w:rsid w:val="00290111"/>
    <w:rsid w:val="002D0AD6"/>
    <w:rsid w:val="002D568B"/>
    <w:rsid w:val="002F1823"/>
    <w:rsid w:val="00320486"/>
    <w:rsid w:val="00331638"/>
    <w:rsid w:val="00335517"/>
    <w:rsid w:val="00376516"/>
    <w:rsid w:val="00380B88"/>
    <w:rsid w:val="003B146D"/>
    <w:rsid w:val="003B7268"/>
    <w:rsid w:val="00416DB2"/>
    <w:rsid w:val="00431550"/>
    <w:rsid w:val="00456355"/>
    <w:rsid w:val="00460529"/>
    <w:rsid w:val="0047328E"/>
    <w:rsid w:val="00497727"/>
    <w:rsid w:val="004A37C7"/>
    <w:rsid w:val="004D529F"/>
    <w:rsid w:val="00530F32"/>
    <w:rsid w:val="005342FE"/>
    <w:rsid w:val="0054637A"/>
    <w:rsid w:val="005804A6"/>
    <w:rsid w:val="00590F49"/>
    <w:rsid w:val="00591F50"/>
    <w:rsid w:val="00592AF5"/>
    <w:rsid w:val="005B7092"/>
    <w:rsid w:val="005F2535"/>
    <w:rsid w:val="005F4B04"/>
    <w:rsid w:val="00635361"/>
    <w:rsid w:val="0065614B"/>
    <w:rsid w:val="006659BF"/>
    <w:rsid w:val="006662CB"/>
    <w:rsid w:val="006A3E2B"/>
    <w:rsid w:val="006A416E"/>
    <w:rsid w:val="00755421"/>
    <w:rsid w:val="007630EF"/>
    <w:rsid w:val="00784CD8"/>
    <w:rsid w:val="007B70B8"/>
    <w:rsid w:val="007C0DF1"/>
    <w:rsid w:val="007C5E7E"/>
    <w:rsid w:val="007E0821"/>
    <w:rsid w:val="007F0D39"/>
    <w:rsid w:val="00815697"/>
    <w:rsid w:val="008256DD"/>
    <w:rsid w:val="00866197"/>
    <w:rsid w:val="00874A02"/>
    <w:rsid w:val="008776B4"/>
    <w:rsid w:val="008B529D"/>
    <w:rsid w:val="008D0DA8"/>
    <w:rsid w:val="008D2706"/>
    <w:rsid w:val="008D2DED"/>
    <w:rsid w:val="008F16B0"/>
    <w:rsid w:val="00930DEF"/>
    <w:rsid w:val="009453BC"/>
    <w:rsid w:val="009522C0"/>
    <w:rsid w:val="00A70825"/>
    <w:rsid w:val="00A87433"/>
    <w:rsid w:val="00B120B8"/>
    <w:rsid w:val="00B17AD8"/>
    <w:rsid w:val="00B21243"/>
    <w:rsid w:val="00B27974"/>
    <w:rsid w:val="00B27BDA"/>
    <w:rsid w:val="00B73A4E"/>
    <w:rsid w:val="00B958B8"/>
    <w:rsid w:val="00BA477E"/>
    <w:rsid w:val="00BD3258"/>
    <w:rsid w:val="00BE002E"/>
    <w:rsid w:val="00C01C03"/>
    <w:rsid w:val="00C140F9"/>
    <w:rsid w:val="00C16A1E"/>
    <w:rsid w:val="00C25314"/>
    <w:rsid w:val="00C3777A"/>
    <w:rsid w:val="00C64774"/>
    <w:rsid w:val="00CD6BD2"/>
    <w:rsid w:val="00D023A8"/>
    <w:rsid w:val="00D26212"/>
    <w:rsid w:val="00D32FCE"/>
    <w:rsid w:val="00D46276"/>
    <w:rsid w:val="00D619F4"/>
    <w:rsid w:val="00D75B27"/>
    <w:rsid w:val="00D86722"/>
    <w:rsid w:val="00DC3577"/>
    <w:rsid w:val="00DD05AD"/>
    <w:rsid w:val="00E01974"/>
    <w:rsid w:val="00E0315E"/>
    <w:rsid w:val="00E13A32"/>
    <w:rsid w:val="00E3778C"/>
    <w:rsid w:val="00E470BE"/>
    <w:rsid w:val="00E55216"/>
    <w:rsid w:val="00E74E56"/>
    <w:rsid w:val="00E912BF"/>
    <w:rsid w:val="00E97614"/>
    <w:rsid w:val="00EC7120"/>
    <w:rsid w:val="00EF558B"/>
    <w:rsid w:val="00F304D9"/>
    <w:rsid w:val="00F332EE"/>
    <w:rsid w:val="00F41CD0"/>
    <w:rsid w:val="00F92A8B"/>
    <w:rsid w:val="00F97B8B"/>
    <w:rsid w:val="00FE688C"/>
    <w:rsid w:val="00FE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A36"/>
  <w15:chartTrackingRefBased/>
  <w15:docId w15:val="{96BE3C94-3236-4BA5-A9A2-C1CB1909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37A"/>
  </w:style>
  <w:style w:type="paragraph" w:styleId="Footer">
    <w:name w:val="footer"/>
    <w:basedOn w:val="Normal"/>
    <w:link w:val="FooterChar"/>
    <w:uiPriority w:val="99"/>
    <w:unhideWhenUsed/>
    <w:rsid w:val="00546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37A"/>
  </w:style>
  <w:style w:type="table" w:styleId="TableGrid">
    <w:name w:val="Table Grid"/>
    <w:basedOn w:val="TableNormal"/>
    <w:uiPriority w:val="39"/>
    <w:rsid w:val="00546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37A"/>
    <w:pPr>
      <w:ind w:left="720"/>
      <w:contextualSpacing/>
    </w:pPr>
  </w:style>
  <w:style w:type="character" w:styleId="Hyperlink">
    <w:name w:val="Hyperlink"/>
    <w:basedOn w:val="DefaultParagraphFont"/>
    <w:uiPriority w:val="99"/>
    <w:unhideWhenUsed/>
    <w:rsid w:val="0054637A"/>
    <w:rPr>
      <w:color w:val="0563C1" w:themeColor="hyperlink"/>
      <w:u w:val="single"/>
    </w:rPr>
  </w:style>
  <w:style w:type="paragraph" w:customStyle="1" w:styleId="xmsonormal">
    <w:name w:val="x_msonormal"/>
    <w:basedOn w:val="Normal"/>
    <w:rsid w:val="00546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4637A"/>
    <w:rPr>
      <w:sz w:val="16"/>
      <w:szCs w:val="16"/>
    </w:rPr>
  </w:style>
  <w:style w:type="paragraph" w:styleId="CommentText">
    <w:name w:val="annotation text"/>
    <w:basedOn w:val="Normal"/>
    <w:link w:val="CommentTextChar"/>
    <w:uiPriority w:val="99"/>
    <w:semiHidden/>
    <w:unhideWhenUsed/>
    <w:rsid w:val="0054637A"/>
    <w:pPr>
      <w:spacing w:line="240" w:lineRule="auto"/>
    </w:pPr>
    <w:rPr>
      <w:sz w:val="20"/>
      <w:szCs w:val="20"/>
    </w:rPr>
  </w:style>
  <w:style w:type="character" w:customStyle="1" w:styleId="CommentTextChar">
    <w:name w:val="Comment Text Char"/>
    <w:basedOn w:val="DefaultParagraphFont"/>
    <w:link w:val="CommentText"/>
    <w:uiPriority w:val="99"/>
    <w:semiHidden/>
    <w:rsid w:val="0054637A"/>
    <w:rPr>
      <w:sz w:val="20"/>
      <w:szCs w:val="20"/>
    </w:rPr>
  </w:style>
  <w:style w:type="paragraph" w:styleId="CommentSubject">
    <w:name w:val="annotation subject"/>
    <w:basedOn w:val="CommentText"/>
    <w:next w:val="CommentText"/>
    <w:link w:val="CommentSubjectChar"/>
    <w:uiPriority w:val="99"/>
    <w:semiHidden/>
    <w:unhideWhenUsed/>
    <w:rsid w:val="0054637A"/>
    <w:rPr>
      <w:b/>
      <w:bCs/>
    </w:rPr>
  </w:style>
  <w:style w:type="character" w:customStyle="1" w:styleId="CommentSubjectChar">
    <w:name w:val="Comment Subject Char"/>
    <w:basedOn w:val="CommentTextChar"/>
    <w:link w:val="CommentSubject"/>
    <w:uiPriority w:val="99"/>
    <w:semiHidden/>
    <w:rsid w:val="0054637A"/>
    <w:rPr>
      <w:b/>
      <w:bCs/>
      <w:sz w:val="20"/>
      <w:szCs w:val="20"/>
    </w:rPr>
  </w:style>
  <w:style w:type="paragraph" w:styleId="BalloonText">
    <w:name w:val="Balloon Text"/>
    <w:basedOn w:val="Normal"/>
    <w:link w:val="BalloonTextChar"/>
    <w:uiPriority w:val="99"/>
    <w:semiHidden/>
    <w:unhideWhenUsed/>
    <w:rsid w:val="0054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7A"/>
    <w:rPr>
      <w:rFonts w:ascii="Segoe UI" w:hAnsi="Segoe UI" w:cs="Segoe UI"/>
      <w:sz w:val="18"/>
      <w:szCs w:val="18"/>
    </w:rPr>
  </w:style>
  <w:style w:type="paragraph" w:styleId="NormalWeb">
    <w:name w:val="Normal (Web)"/>
    <w:basedOn w:val="Normal"/>
    <w:uiPriority w:val="99"/>
    <w:semiHidden/>
    <w:unhideWhenUsed/>
    <w:rsid w:val="00546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4637A"/>
    <w:rPr>
      <w:color w:val="605E5C"/>
      <w:shd w:val="clear" w:color="auto" w:fill="E1DFDD"/>
    </w:rPr>
  </w:style>
  <w:style w:type="paragraph" w:customStyle="1" w:styleId="EndNoteBibliographyTitle">
    <w:name w:val="EndNote Bibliography Title"/>
    <w:basedOn w:val="Normal"/>
    <w:link w:val="EndNoteBibliographyTitleChar"/>
    <w:rsid w:val="0054637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4637A"/>
    <w:rPr>
      <w:rFonts w:ascii="Calibri" w:hAnsi="Calibri" w:cs="Calibri"/>
      <w:noProof/>
      <w:lang w:val="en-US"/>
    </w:rPr>
  </w:style>
  <w:style w:type="paragraph" w:customStyle="1" w:styleId="EndNoteBibliography">
    <w:name w:val="EndNote Bibliography"/>
    <w:basedOn w:val="Normal"/>
    <w:link w:val="EndNoteBibliographyChar"/>
    <w:rsid w:val="0054637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4637A"/>
    <w:rPr>
      <w:rFonts w:ascii="Calibri" w:hAnsi="Calibri" w:cs="Calibri"/>
      <w:noProof/>
      <w:lang w:val="en-US"/>
    </w:rPr>
  </w:style>
  <w:style w:type="character" w:customStyle="1" w:styleId="xcontentpasted4">
    <w:name w:val="x_contentpasted4"/>
    <w:basedOn w:val="DefaultParagraphFont"/>
    <w:rsid w:val="0054637A"/>
  </w:style>
  <w:style w:type="character" w:customStyle="1" w:styleId="xcontentpasted0">
    <w:name w:val="x_contentpasted0"/>
    <w:basedOn w:val="DefaultParagraphFont"/>
    <w:rsid w:val="0054637A"/>
  </w:style>
  <w:style w:type="character" w:customStyle="1" w:styleId="xcontentpasted5">
    <w:name w:val="x_contentpasted5"/>
    <w:basedOn w:val="DefaultParagraphFont"/>
    <w:rsid w:val="0054637A"/>
  </w:style>
  <w:style w:type="character" w:customStyle="1" w:styleId="xcontentpasted7">
    <w:name w:val="x_contentpasted7"/>
    <w:basedOn w:val="DefaultParagraphFont"/>
    <w:rsid w:val="0054637A"/>
  </w:style>
  <w:style w:type="character" w:customStyle="1" w:styleId="xcontentpasted11">
    <w:name w:val="x_contentpasted11"/>
    <w:basedOn w:val="DefaultParagraphFont"/>
    <w:rsid w:val="0054637A"/>
  </w:style>
  <w:style w:type="character" w:customStyle="1" w:styleId="xcontentpasted13">
    <w:name w:val="x_contentpasted13"/>
    <w:basedOn w:val="DefaultParagraphFont"/>
    <w:rsid w:val="0054637A"/>
  </w:style>
  <w:style w:type="character" w:customStyle="1" w:styleId="mark8ywelcw0s">
    <w:name w:val="mark8ywelcw0s"/>
    <w:basedOn w:val="DefaultParagraphFont"/>
    <w:rsid w:val="0054637A"/>
  </w:style>
  <w:style w:type="character" w:customStyle="1" w:styleId="xcontentpasted14">
    <w:name w:val="x_contentpasted14"/>
    <w:basedOn w:val="DefaultParagraphFont"/>
    <w:rsid w:val="0054637A"/>
  </w:style>
  <w:style w:type="character" w:customStyle="1" w:styleId="xcontentpasted12">
    <w:name w:val="x_contentpasted12"/>
    <w:basedOn w:val="DefaultParagraphFont"/>
    <w:rsid w:val="0054637A"/>
  </w:style>
  <w:style w:type="character" w:customStyle="1" w:styleId="xcontentpasted15">
    <w:name w:val="x_contentpasted15"/>
    <w:basedOn w:val="DefaultParagraphFont"/>
    <w:rsid w:val="0054637A"/>
  </w:style>
  <w:style w:type="character" w:customStyle="1" w:styleId="xcontentpasted16">
    <w:name w:val="x_contentpasted16"/>
    <w:basedOn w:val="DefaultParagraphFont"/>
    <w:rsid w:val="0054637A"/>
  </w:style>
  <w:style w:type="character" w:styleId="FollowedHyperlink">
    <w:name w:val="FollowedHyperlink"/>
    <w:basedOn w:val="DefaultParagraphFont"/>
    <w:uiPriority w:val="99"/>
    <w:semiHidden/>
    <w:unhideWhenUsed/>
    <w:rsid w:val="0054637A"/>
    <w:rPr>
      <w:color w:val="954F72" w:themeColor="followedHyperlink"/>
      <w:u w:val="single"/>
    </w:rPr>
  </w:style>
  <w:style w:type="paragraph" w:styleId="FootnoteText">
    <w:name w:val="footnote text"/>
    <w:basedOn w:val="Normal"/>
    <w:link w:val="FootnoteTextChar"/>
    <w:uiPriority w:val="99"/>
    <w:semiHidden/>
    <w:unhideWhenUsed/>
    <w:rsid w:val="00546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37A"/>
    <w:rPr>
      <w:sz w:val="20"/>
      <w:szCs w:val="20"/>
    </w:rPr>
  </w:style>
  <w:style w:type="character" w:styleId="FootnoteReference">
    <w:name w:val="footnote reference"/>
    <w:basedOn w:val="DefaultParagraphFont"/>
    <w:uiPriority w:val="99"/>
    <w:semiHidden/>
    <w:unhideWhenUsed/>
    <w:rsid w:val="0054637A"/>
    <w:rPr>
      <w:vertAlign w:val="superscript"/>
    </w:rPr>
  </w:style>
  <w:style w:type="character" w:customStyle="1" w:styleId="marknl1btcq62">
    <w:name w:val="marknl1btcq62"/>
    <w:basedOn w:val="DefaultParagraphFont"/>
    <w:rsid w:val="0054637A"/>
  </w:style>
  <w:style w:type="character" w:customStyle="1" w:styleId="id-label">
    <w:name w:val="id-label"/>
    <w:basedOn w:val="DefaultParagraphFont"/>
    <w:rsid w:val="0054637A"/>
  </w:style>
  <w:style w:type="character" w:styleId="Strong">
    <w:name w:val="Strong"/>
    <w:basedOn w:val="DefaultParagraphFont"/>
    <w:uiPriority w:val="22"/>
    <w:qFormat/>
    <w:rsid w:val="0054637A"/>
    <w:rPr>
      <w:b/>
      <w:bCs/>
    </w:rPr>
  </w:style>
  <w:style w:type="character" w:customStyle="1" w:styleId="UnresolvedMention2">
    <w:name w:val="Unresolved Mention2"/>
    <w:basedOn w:val="DefaultParagraphFont"/>
    <w:uiPriority w:val="99"/>
    <w:semiHidden/>
    <w:unhideWhenUsed/>
    <w:rsid w:val="0054637A"/>
    <w:rPr>
      <w:color w:val="605E5C"/>
      <w:shd w:val="clear" w:color="auto" w:fill="E1DFDD"/>
    </w:rPr>
  </w:style>
  <w:style w:type="character" w:styleId="LineNumber">
    <w:name w:val="line number"/>
    <w:basedOn w:val="DefaultParagraphFont"/>
    <w:uiPriority w:val="99"/>
    <w:semiHidden/>
    <w:unhideWhenUsed/>
    <w:rsid w:val="0054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genome.org/" TargetMode="External"/><Relationship Id="rId13" Type="http://schemas.openxmlformats.org/officeDocument/2006/relationships/hyperlink" Target="https://panelapp.genomicsengland.co.uk" TargetMode="External"/><Relationship Id="rId18" Type="http://schemas.openxmlformats.org/officeDocument/2006/relationships/hyperlink" Target="https://emea.illumina.com/products/by-type/informatics-products/basespace-sequence-hub/apps/edico-genome-inc-dragen-rna-pipeline.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project.org" TargetMode="External"/><Relationship Id="rId7" Type="http://schemas.openxmlformats.org/officeDocument/2006/relationships/hyperlink" Target="https://doi.org/10.6084/m9.figshare.4530893.v7" TargetMode="External"/><Relationship Id="rId12" Type="http://schemas.openxmlformats.org/officeDocument/2006/relationships/hyperlink" Target="https://www.omim.org" TargetMode="External"/><Relationship Id="rId17" Type="http://schemas.openxmlformats.org/officeDocument/2006/relationships/hyperlink" Target="https://www.england.nhs.uk/genomics/genomic-laboratory-hubs" TargetMode="External"/><Relationship Id="rId25" Type="http://schemas.openxmlformats.org/officeDocument/2006/relationships/hyperlink" Target="https://genome.ucsc.edu/s/AlistairP/HOXD_cluster_SVs" TargetMode="External"/><Relationship Id="rId2" Type="http://schemas.openxmlformats.org/officeDocument/2006/relationships/styles" Target="styles.xml"/><Relationship Id="rId16" Type="http://schemas.openxmlformats.org/officeDocument/2006/relationships/hyperlink" Target="https://gtexportal.org/" TargetMode="External"/><Relationship Id="rId20" Type="http://schemas.openxmlformats.org/officeDocument/2006/relationships/hyperlink" Target="https://github.com/Oxford-Eye/SVRare-GEL"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iny.wehi.edu.au/rafehi.h/mutation-dating/" TargetMode="External"/><Relationship Id="rId24" Type="http://schemas.openxmlformats.org/officeDocument/2006/relationships/hyperlink" Target="http://www.ddduk.org" TargetMode="External"/><Relationship Id="rId5" Type="http://schemas.openxmlformats.org/officeDocument/2006/relationships/footnotes" Target="footnotes.xml"/><Relationship Id="rId15" Type="http://schemas.openxmlformats.org/officeDocument/2006/relationships/hyperlink" Target="https://www.genomicsengland.co.uk/research/members/research-registry" TargetMode="External"/><Relationship Id="rId23" Type="http://schemas.openxmlformats.org/officeDocument/2006/relationships/footer" Target="footer1.xml"/><Relationship Id="rId28" Type="http://schemas.openxmlformats.org/officeDocument/2006/relationships/customXml" Target="../customXml/item1.xml"/><Relationship Id="rId10" Type="http://schemas.openxmlformats.org/officeDocument/2006/relationships/hyperlink" Target="https://genome.ucsc.edu/cgi-bin/hgLiftOver" TargetMode="External"/><Relationship Id="rId19" Type="http://schemas.openxmlformats.org/officeDocument/2006/relationships/hyperlink" Target="https://github.com/Illumina/manta" TargetMode="External"/><Relationship Id="rId4" Type="http://schemas.openxmlformats.org/officeDocument/2006/relationships/webSettings" Target="webSettings.xml"/><Relationship Id="rId9" Type="http://schemas.openxmlformats.org/officeDocument/2006/relationships/hyperlink" Target="https://www.uniprot.org" TargetMode="External"/><Relationship Id="rId14" Type="http://schemas.openxmlformats.org/officeDocument/2006/relationships/hyperlink" Target="https://vimeo.com/709549654"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1" ma:contentTypeDescription="Create a new document." ma:contentTypeScope="" ma:versionID="53a0766de777e55a27cf379be550758a">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19c28a1310f948d088f2deb8191252f5"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E6B50-6D10-4850-AABF-6248F4282037}"/>
</file>

<file path=customXml/itemProps2.xml><?xml version="1.0" encoding="utf-8"?>
<ds:datastoreItem xmlns:ds="http://schemas.openxmlformats.org/officeDocument/2006/customXml" ds:itemID="{7171F476-C35A-4D34-AE95-7A734880C040}"/>
</file>

<file path=customXml/itemProps3.xml><?xml version="1.0" encoding="utf-8"?>
<ds:datastoreItem xmlns:ds="http://schemas.openxmlformats.org/officeDocument/2006/customXml" ds:itemID="{9E054D76-6107-4EF4-B823-D52B0E4F4404}"/>
</file>

<file path=docProps/app.xml><?xml version="1.0" encoding="utf-8"?>
<Properties xmlns="http://schemas.openxmlformats.org/officeDocument/2006/extended-properties" xmlns:vt="http://schemas.openxmlformats.org/officeDocument/2006/docPropsVTypes">
  <Template>Normal</Template>
  <TotalTime>13</TotalTime>
  <Pages>32</Pages>
  <Words>18377</Words>
  <Characters>104755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Pagnamenta</dc:creator>
  <cp:keywords/>
  <dc:description/>
  <cp:lastModifiedBy>Alistair Pagnamenta</cp:lastModifiedBy>
  <cp:revision>5</cp:revision>
  <dcterms:created xsi:type="dcterms:W3CDTF">2024-04-22T21:56:00Z</dcterms:created>
  <dcterms:modified xsi:type="dcterms:W3CDTF">2024-04-23T14:49:00Z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0x010100ED48402B0DB6D4459362069AD1AF6467</vt:lpwstr>
  </property>
</Properties>
</file>