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D253" w14:textId="77777777" w:rsidR="008A6630" w:rsidRPr="005A5AC7" w:rsidRDefault="008A6630" w:rsidP="008A6630">
      <w:pPr>
        <w:contextualSpacing/>
        <w:jc w:val="center"/>
        <w:outlineLvl w:val="0"/>
        <w:rPr>
          <w:rFonts w:cs="Times New Roman"/>
          <w:b/>
          <w:bCs/>
          <w:szCs w:val="24"/>
        </w:rPr>
      </w:pPr>
      <w:bookmarkStart w:id="0" w:name="_Hlk149301455"/>
      <w:bookmarkStart w:id="1" w:name="_Toc78332683"/>
      <w:bookmarkStart w:id="2" w:name="_Toc79716651"/>
      <w:bookmarkStart w:id="3" w:name="_Toc39478764"/>
      <w:bookmarkStart w:id="4" w:name="_Hlk149478588"/>
      <w:r w:rsidRPr="005A5AC7">
        <w:rPr>
          <w:rFonts w:cs="Times New Roman"/>
          <w:b/>
          <w:bCs/>
          <w:szCs w:val="24"/>
        </w:rPr>
        <w:t>SUSTAINABILITY PERFORMANCE REPORTING IN GHANA: THE VIEWS OF SMEs</w:t>
      </w:r>
    </w:p>
    <w:p w14:paraId="24B3B9AF" w14:textId="77777777" w:rsidR="008A6630" w:rsidRDefault="008A6630" w:rsidP="008A6630">
      <w:pPr>
        <w:spacing w:after="0" w:line="240" w:lineRule="auto"/>
        <w:jc w:val="center"/>
        <w:rPr>
          <w:rFonts w:cs="Times New Roman"/>
          <w:b/>
          <w:bCs/>
          <w:color w:val="000000" w:themeColor="text1"/>
          <w:szCs w:val="24"/>
        </w:rPr>
      </w:pPr>
    </w:p>
    <w:p w14:paraId="1DE7280C" w14:textId="77777777" w:rsidR="008A6630" w:rsidRDefault="008A6630" w:rsidP="008A6630">
      <w:pPr>
        <w:spacing w:after="0" w:line="240" w:lineRule="auto"/>
        <w:jc w:val="center"/>
        <w:rPr>
          <w:rFonts w:cs="Times New Roman"/>
          <w:b/>
          <w:bCs/>
          <w:color w:val="000000" w:themeColor="text1"/>
          <w:szCs w:val="24"/>
        </w:rPr>
      </w:pPr>
    </w:p>
    <w:p w14:paraId="47F8140C" w14:textId="77777777" w:rsidR="008A6630" w:rsidRDefault="008A6630" w:rsidP="008A6630">
      <w:pPr>
        <w:spacing w:after="0" w:line="240" w:lineRule="auto"/>
        <w:jc w:val="center"/>
        <w:rPr>
          <w:rFonts w:cs="Times New Roman"/>
          <w:b/>
          <w:bCs/>
          <w:color w:val="000000" w:themeColor="text1"/>
          <w:szCs w:val="24"/>
        </w:rPr>
      </w:pPr>
    </w:p>
    <w:p w14:paraId="1325F956" w14:textId="77777777" w:rsidR="008A6630" w:rsidRDefault="008A6630" w:rsidP="008A6630">
      <w:pPr>
        <w:spacing w:after="0" w:line="240" w:lineRule="auto"/>
        <w:jc w:val="center"/>
        <w:rPr>
          <w:rFonts w:cs="Times New Roman"/>
          <w:b/>
          <w:bCs/>
          <w:color w:val="000000" w:themeColor="text1"/>
          <w:szCs w:val="24"/>
        </w:rPr>
      </w:pPr>
    </w:p>
    <w:p w14:paraId="32DB1E14" w14:textId="77777777" w:rsidR="008A6630" w:rsidRDefault="008A6630" w:rsidP="008A6630">
      <w:pPr>
        <w:spacing w:after="0" w:line="240" w:lineRule="auto"/>
        <w:jc w:val="center"/>
        <w:rPr>
          <w:rFonts w:cs="Times New Roman"/>
          <w:b/>
          <w:bCs/>
          <w:color w:val="000000" w:themeColor="text1"/>
          <w:szCs w:val="24"/>
        </w:rPr>
      </w:pPr>
      <w:r>
        <w:rPr>
          <w:rFonts w:cs="Times New Roman"/>
          <w:b/>
          <w:bCs/>
          <w:color w:val="000000" w:themeColor="text1"/>
          <w:szCs w:val="24"/>
        </w:rPr>
        <w:t>Owusu Acheampong (Corresponding Author)</w:t>
      </w:r>
    </w:p>
    <w:p w14:paraId="1B1DA3D5"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 xml:space="preserve">Finance Department, </w:t>
      </w:r>
    </w:p>
    <w:p w14:paraId="5B22EF8E"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College of Humanities and Social Sciences,</w:t>
      </w:r>
    </w:p>
    <w:p w14:paraId="664CF7DF"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Kwame Nkrumah University of Science and Technology, Kumasi, Ghana</w:t>
      </w:r>
    </w:p>
    <w:p w14:paraId="31CE0552" w14:textId="77777777" w:rsidR="008A6630" w:rsidRDefault="008A6630" w:rsidP="008A6630">
      <w:pPr>
        <w:spacing w:after="0" w:line="240" w:lineRule="auto"/>
        <w:jc w:val="center"/>
        <w:rPr>
          <w:rFonts w:cs="Times New Roman"/>
          <w:color w:val="000000" w:themeColor="text1"/>
          <w:szCs w:val="24"/>
        </w:rPr>
      </w:pPr>
      <w:hyperlink r:id="rId8" w:history="1">
        <w:r>
          <w:rPr>
            <w:rStyle w:val="Hyperlink"/>
            <w:rFonts w:cs="Times New Roman"/>
            <w:szCs w:val="24"/>
          </w:rPr>
          <w:t>oacheampong.fin@knust.edu.gh</w:t>
        </w:r>
      </w:hyperlink>
      <w:r>
        <w:rPr>
          <w:rFonts w:cs="Times New Roman"/>
          <w:szCs w:val="24"/>
        </w:rPr>
        <w:t xml:space="preserve"> </w:t>
      </w:r>
      <w:r>
        <w:rPr>
          <w:rFonts w:cs="Times New Roman"/>
          <w:color w:val="000000" w:themeColor="text1"/>
          <w:szCs w:val="24"/>
        </w:rPr>
        <w:t xml:space="preserve"> </w:t>
      </w:r>
    </w:p>
    <w:p w14:paraId="47AEF66D" w14:textId="77777777" w:rsidR="008A6630" w:rsidRPr="00DC21A0" w:rsidRDefault="008A6630" w:rsidP="008A6630">
      <w:pPr>
        <w:spacing w:after="0" w:line="240" w:lineRule="auto"/>
        <w:jc w:val="center"/>
        <w:rPr>
          <w:color w:val="3333FF"/>
          <w:u w:val="single"/>
        </w:rPr>
      </w:pPr>
      <w:r w:rsidRPr="00DC21A0">
        <w:rPr>
          <w:rFonts w:cs="Times New Roman"/>
          <w:color w:val="3333FF"/>
          <w:szCs w:val="24"/>
          <w:u w:val="single"/>
        </w:rPr>
        <w:t>ORCID: </w:t>
      </w:r>
      <w:r w:rsidRPr="00DC21A0">
        <w:rPr>
          <w:color w:val="3333FF"/>
          <w:u w:val="single"/>
        </w:rPr>
        <w:t>https://orcid.org/0000-0001-8969-9281</w:t>
      </w:r>
    </w:p>
    <w:p w14:paraId="1E30930F" w14:textId="77777777" w:rsidR="008A6630" w:rsidRDefault="008A6630" w:rsidP="008A6630"/>
    <w:p w14:paraId="488669A9" w14:textId="77777777" w:rsidR="008A6630" w:rsidRDefault="008A6630" w:rsidP="008A6630"/>
    <w:p w14:paraId="67904F9C" w14:textId="77777777" w:rsidR="008A6630" w:rsidRDefault="008A6630" w:rsidP="008A6630">
      <w:pPr>
        <w:spacing w:after="0" w:line="240" w:lineRule="auto"/>
        <w:jc w:val="center"/>
        <w:rPr>
          <w:rFonts w:cs="Times New Roman"/>
          <w:b/>
          <w:bCs/>
          <w:color w:val="000000" w:themeColor="text1"/>
          <w:szCs w:val="24"/>
        </w:rPr>
      </w:pPr>
      <w:r>
        <w:rPr>
          <w:rFonts w:cs="Times New Roman"/>
          <w:b/>
          <w:bCs/>
          <w:color w:val="000000" w:themeColor="text1"/>
          <w:szCs w:val="24"/>
        </w:rPr>
        <w:t>Venancio Tauringana</w:t>
      </w:r>
    </w:p>
    <w:p w14:paraId="264AFDFF" w14:textId="77777777" w:rsidR="008A6630" w:rsidRPr="002D494A" w:rsidRDefault="008A6630" w:rsidP="008A6630">
      <w:pPr>
        <w:spacing w:after="0" w:line="240" w:lineRule="auto"/>
        <w:jc w:val="center"/>
        <w:rPr>
          <w:rStyle w:val="accordion-tabbedtab-mobile"/>
          <w:i/>
        </w:rPr>
      </w:pPr>
      <w:r w:rsidRPr="002D494A">
        <w:rPr>
          <w:rStyle w:val="accordion-tabbedtab-mobile"/>
          <w:i/>
        </w:rPr>
        <w:t xml:space="preserve">Department of Accounting, </w:t>
      </w:r>
    </w:p>
    <w:p w14:paraId="25FEEFD0" w14:textId="77777777" w:rsidR="008A6630" w:rsidRPr="002D494A" w:rsidRDefault="008A6630" w:rsidP="008A6630">
      <w:pPr>
        <w:spacing w:after="0" w:line="240" w:lineRule="auto"/>
        <w:jc w:val="center"/>
        <w:rPr>
          <w:rStyle w:val="accordion-tabbedtab-mobile"/>
          <w:i/>
        </w:rPr>
      </w:pPr>
      <w:r w:rsidRPr="002D494A">
        <w:rPr>
          <w:rStyle w:val="accordion-tabbedtab-mobile"/>
          <w:i/>
        </w:rPr>
        <w:t xml:space="preserve">Southampton Business School, </w:t>
      </w:r>
    </w:p>
    <w:p w14:paraId="4042BFAD" w14:textId="77777777" w:rsidR="008A6630" w:rsidRPr="002D494A" w:rsidRDefault="008A6630" w:rsidP="008A6630">
      <w:pPr>
        <w:spacing w:after="0" w:line="240" w:lineRule="auto"/>
        <w:jc w:val="center"/>
        <w:rPr>
          <w:rFonts w:cs="Times New Roman"/>
          <w:bCs/>
          <w:i/>
          <w:color w:val="000000" w:themeColor="text1"/>
          <w:szCs w:val="24"/>
        </w:rPr>
      </w:pPr>
      <w:r w:rsidRPr="002D494A">
        <w:rPr>
          <w:rStyle w:val="accordion-tabbedtab-mobile"/>
          <w:i/>
        </w:rPr>
        <w:t>University of Southampton, Southampton, UK</w:t>
      </w:r>
    </w:p>
    <w:p w14:paraId="5BC023C4" w14:textId="50C0F3F5" w:rsidR="008A6630" w:rsidRDefault="008A7588" w:rsidP="008A6630">
      <w:pPr>
        <w:spacing w:after="0" w:line="240" w:lineRule="auto"/>
        <w:jc w:val="center"/>
        <w:rPr>
          <w:rFonts w:cs="Times New Roman"/>
          <w:b/>
          <w:bCs/>
          <w:color w:val="000000" w:themeColor="text1"/>
          <w:szCs w:val="24"/>
        </w:rPr>
      </w:pPr>
      <w:hyperlink r:id="rId9" w:history="1">
        <w:r w:rsidRPr="009705A5">
          <w:rPr>
            <w:rStyle w:val="Hyperlink"/>
            <w:rFonts w:cs="Times New Roman"/>
            <w:szCs w:val="24"/>
          </w:rPr>
          <w:t>v</w:t>
        </w:r>
        <w:r w:rsidRPr="009705A5">
          <w:rPr>
            <w:rStyle w:val="Hyperlink"/>
            <w:rFonts w:cs="Times New Roman"/>
            <w:szCs w:val="24"/>
          </w:rPr>
          <w:t>.</w:t>
        </w:r>
        <w:r w:rsidRPr="009705A5">
          <w:rPr>
            <w:rStyle w:val="Hyperlink"/>
            <w:rFonts w:cs="Times New Roman"/>
            <w:szCs w:val="24"/>
          </w:rPr>
          <w:t>tauringana@soton.ac.uk</w:t>
        </w:r>
      </w:hyperlink>
    </w:p>
    <w:p w14:paraId="752900D3" w14:textId="77777777" w:rsidR="008A6630" w:rsidRDefault="008A6630" w:rsidP="008A6630">
      <w:pPr>
        <w:spacing w:after="0" w:line="240" w:lineRule="auto"/>
        <w:jc w:val="center"/>
        <w:rPr>
          <w:rFonts w:cs="Times New Roman"/>
          <w:b/>
          <w:bCs/>
          <w:color w:val="000000" w:themeColor="text1"/>
          <w:szCs w:val="24"/>
        </w:rPr>
      </w:pPr>
    </w:p>
    <w:p w14:paraId="41118AB3" w14:textId="77777777" w:rsidR="008A6630" w:rsidRDefault="008A6630" w:rsidP="008A6630">
      <w:pPr>
        <w:spacing w:after="0" w:line="240" w:lineRule="auto"/>
        <w:jc w:val="center"/>
        <w:rPr>
          <w:rFonts w:cs="Times New Roman"/>
          <w:b/>
          <w:bCs/>
          <w:color w:val="000000" w:themeColor="text1"/>
          <w:szCs w:val="24"/>
        </w:rPr>
      </w:pPr>
    </w:p>
    <w:p w14:paraId="5902CC2B" w14:textId="77777777" w:rsidR="008A6630" w:rsidRDefault="008A6630" w:rsidP="008A6630">
      <w:pPr>
        <w:spacing w:after="0" w:line="240" w:lineRule="auto"/>
        <w:jc w:val="center"/>
        <w:rPr>
          <w:rFonts w:cs="Times New Roman"/>
          <w:b/>
          <w:bCs/>
          <w:color w:val="000000" w:themeColor="text1"/>
          <w:szCs w:val="24"/>
        </w:rPr>
      </w:pPr>
    </w:p>
    <w:p w14:paraId="5B5F70FA" w14:textId="77777777" w:rsidR="008A6630" w:rsidRDefault="008A6630" w:rsidP="008A6630">
      <w:pPr>
        <w:spacing w:after="0" w:line="240" w:lineRule="auto"/>
        <w:jc w:val="center"/>
        <w:rPr>
          <w:rFonts w:cs="Times New Roman"/>
          <w:b/>
          <w:bCs/>
          <w:color w:val="000000" w:themeColor="text1"/>
          <w:szCs w:val="24"/>
        </w:rPr>
      </w:pPr>
      <w:r>
        <w:rPr>
          <w:rFonts w:cs="Times New Roman"/>
          <w:b/>
          <w:bCs/>
          <w:color w:val="000000" w:themeColor="text1"/>
          <w:szCs w:val="24"/>
        </w:rPr>
        <w:t>Nicholas Asare</w:t>
      </w:r>
    </w:p>
    <w:p w14:paraId="777DFB1D"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Department of Accounting and Finance,</w:t>
      </w:r>
    </w:p>
    <w:p w14:paraId="37176EA3"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 xml:space="preserve">School of Business, </w:t>
      </w:r>
    </w:p>
    <w:p w14:paraId="18FC3AA9" w14:textId="77777777" w:rsidR="008A6630" w:rsidRDefault="008A6630" w:rsidP="008A6630">
      <w:pPr>
        <w:spacing w:after="0" w:line="240" w:lineRule="auto"/>
        <w:jc w:val="center"/>
        <w:rPr>
          <w:rFonts w:cs="Times New Roman"/>
          <w:i/>
          <w:iCs/>
          <w:color w:val="000000" w:themeColor="text1"/>
          <w:szCs w:val="24"/>
        </w:rPr>
      </w:pPr>
      <w:r>
        <w:rPr>
          <w:rFonts w:cs="Times New Roman"/>
          <w:i/>
          <w:iCs/>
          <w:color w:val="000000" w:themeColor="text1"/>
          <w:szCs w:val="24"/>
        </w:rPr>
        <w:t>Kwame Nkrumah University of Science and Technology, Kumasi, Ghana</w:t>
      </w:r>
    </w:p>
    <w:p w14:paraId="1F6317E6" w14:textId="77777777" w:rsidR="008A6630" w:rsidRDefault="008A6630" w:rsidP="008A6630">
      <w:pPr>
        <w:spacing w:after="0" w:line="240" w:lineRule="auto"/>
        <w:jc w:val="center"/>
        <w:rPr>
          <w:rFonts w:cs="Times New Roman"/>
          <w:color w:val="000000" w:themeColor="text1"/>
          <w:szCs w:val="24"/>
        </w:rPr>
      </w:pPr>
      <w:hyperlink r:id="rId10" w:history="1">
        <w:r w:rsidRPr="00FD2683">
          <w:rPr>
            <w:rStyle w:val="Hyperlink"/>
            <w:rFonts w:cs="Times New Roman"/>
            <w:szCs w:val="24"/>
          </w:rPr>
          <w:t>nicholas.asare@knust.edu.gh</w:t>
        </w:r>
      </w:hyperlink>
      <w:r>
        <w:rPr>
          <w:rFonts w:cs="Times New Roman"/>
          <w:szCs w:val="24"/>
        </w:rPr>
        <w:t xml:space="preserve"> </w:t>
      </w:r>
      <w:r>
        <w:rPr>
          <w:rFonts w:cs="Times New Roman"/>
          <w:color w:val="000000" w:themeColor="text1"/>
          <w:szCs w:val="24"/>
        </w:rPr>
        <w:t xml:space="preserve"> </w:t>
      </w:r>
    </w:p>
    <w:bookmarkEnd w:id="4"/>
    <w:p w14:paraId="3C9C8AA3" w14:textId="77777777" w:rsidR="008A6630" w:rsidRDefault="008A6630" w:rsidP="008D4F31">
      <w:pPr>
        <w:pStyle w:val="Heading1"/>
        <w:rPr>
          <w:rFonts w:cs="Times New Roman"/>
          <w:bCs/>
        </w:rPr>
      </w:pPr>
    </w:p>
    <w:p w14:paraId="4A5B1078" w14:textId="77777777" w:rsidR="008A6630" w:rsidRDefault="008A6630" w:rsidP="008A6630"/>
    <w:p w14:paraId="151BE68D" w14:textId="77777777" w:rsidR="008A6630" w:rsidRDefault="008A6630" w:rsidP="008A6630"/>
    <w:p w14:paraId="43376C56" w14:textId="77777777" w:rsidR="008A6630" w:rsidRDefault="008A6630" w:rsidP="008A6630"/>
    <w:p w14:paraId="6DBA564A" w14:textId="77777777" w:rsidR="008A6630" w:rsidRDefault="008A6630" w:rsidP="008A6630"/>
    <w:p w14:paraId="6BEBB04B" w14:textId="77777777" w:rsidR="008A6630" w:rsidRDefault="008A6630" w:rsidP="008A6630"/>
    <w:p w14:paraId="64E9EE12" w14:textId="77777777" w:rsidR="008A6630" w:rsidRDefault="008A6630" w:rsidP="008A6630"/>
    <w:p w14:paraId="2A322BA9" w14:textId="77777777" w:rsidR="008A6630" w:rsidRDefault="008A6630" w:rsidP="008A6630"/>
    <w:p w14:paraId="76B0A569" w14:textId="77777777" w:rsidR="008A6630" w:rsidRPr="008A6630" w:rsidRDefault="008A6630" w:rsidP="008A6630"/>
    <w:bookmarkEnd w:id="0"/>
    <w:p w14:paraId="29F4EC7F" w14:textId="77777777" w:rsidR="00990D5F" w:rsidRPr="005D6854" w:rsidRDefault="00990D5F" w:rsidP="00990D5F"/>
    <w:p w14:paraId="1D0A6547" w14:textId="3632FDBA" w:rsidR="0017123D" w:rsidRPr="005D6854" w:rsidRDefault="00990D5F" w:rsidP="00990D5F">
      <w:pPr>
        <w:pStyle w:val="Heading1"/>
        <w:spacing w:before="240" w:line="276" w:lineRule="auto"/>
        <w:rPr>
          <w:rFonts w:cs="Times New Roman"/>
        </w:rPr>
      </w:pPr>
      <w:r w:rsidRPr="005D6854">
        <w:rPr>
          <w:rFonts w:cs="Times New Roman"/>
        </w:rPr>
        <w:lastRenderedPageBreak/>
        <w:t>Abstract</w:t>
      </w:r>
    </w:p>
    <w:p w14:paraId="7266C130" w14:textId="77777777" w:rsidR="003939A9" w:rsidRPr="0001752F" w:rsidRDefault="003939A9" w:rsidP="003939A9">
      <w:pPr>
        <w:rPr>
          <w:rFonts w:cs="Times New Roman"/>
          <w:bCs/>
          <w:szCs w:val="24"/>
        </w:rPr>
      </w:pPr>
      <w:r w:rsidRPr="0001752F">
        <w:rPr>
          <w:rFonts w:cs="Times New Roman"/>
          <w:bCs/>
        </w:rPr>
        <w:t>The study examines the perspectives of small and medium-scale enterprises (SMEs) on sustainability performance reporting in Ghana and also determine the impact of the barriers and motivations on SMEs’ decisions to engage in sustainability performance reporting. The study is based on cross-sectional data from 183 SMEs using a structured questionnaire as the research instrument. The study reveals that the extent of sustainability performance reporting of SMEs in Ghana is 38.3%. The results also show that financial constraints, lack of knowledge and awareness, lack of expertise, absence of legal/regulatory requirements and lack of motivation are some of the main barriers perceived as impeding SMEs from engaging in sustainability performance reporting. The study validates the propositions of the resource-based view theory. The findings of the study have important implications for considerations by the key stakeholders in trying to encourage SMEs to adopt or improve sustainability performance reporting behaviour in Ghana.</w:t>
      </w:r>
    </w:p>
    <w:p w14:paraId="22C66221" w14:textId="77777777" w:rsidR="003939A9" w:rsidRPr="0001752F" w:rsidRDefault="003939A9" w:rsidP="00CA5B6E">
      <w:pPr>
        <w:spacing w:after="0"/>
      </w:pPr>
    </w:p>
    <w:p w14:paraId="30434E7A" w14:textId="77777777" w:rsidR="00527DDD" w:rsidRPr="0001752F" w:rsidRDefault="00527DDD" w:rsidP="00527DDD">
      <w:pPr>
        <w:spacing w:after="0" w:line="240" w:lineRule="auto"/>
        <w:rPr>
          <w:rFonts w:cs="Times New Roman"/>
          <w:szCs w:val="24"/>
        </w:rPr>
      </w:pPr>
      <w:r w:rsidRPr="0001752F">
        <w:rPr>
          <w:b/>
        </w:rPr>
        <w:t xml:space="preserve">Keywords </w:t>
      </w:r>
      <w:r w:rsidRPr="0001752F">
        <w:rPr>
          <w:rFonts w:cs="Times New Roman"/>
          <w:b/>
          <w:szCs w:val="24"/>
        </w:rPr>
        <w:t xml:space="preserve">– </w:t>
      </w:r>
      <w:r w:rsidRPr="0001752F">
        <w:rPr>
          <w:rFonts w:cs="Times New Roman"/>
          <w:szCs w:val="24"/>
        </w:rPr>
        <w:t>Sustainability reporting, Motivation, Barriers, SMEs, Resource-based view</w:t>
      </w:r>
    </w:p>
    <w:p w14:paraId="05774DA8" w14:textId="77777777" w:rsidR="003939A9" w:rsidRPr="0001752F" w:rsidRDefault="003939A9" w:rsidP="00CD1D54">
      <w:pPr>
        <w:spacing w:after="0" w:line="240" w:lineRule="auto"/>
        <w:rPr>
          <w:rFonts w:cs="Times New Roman"/>
          <w:szCs w:val="24"/>
        </w:rPr>
      </w:pPr>
    </w:p>
    <w:p w14:paraId="4347DF89" w14:textId="77777777" w:rsidR="003939A9" w:rsidRPr="0001752F" w:rsidRDefault="003939A9" w:rsidP="00CD1D54">
      <w:pPr>
        <w:spacing w:after="0" w:line="240" w:lineRule="auto"/>
        <w:rPr>
          <w:rFonts w:cs="Times New Roman"/>
          <w:szCs w:val="24"/>
        </w:rPr>
      </w:pPr>
    </w:p>
    <w:p w14:paraId="2F7C1DAE" w14:textId="77777777" w:rsidR="003939A9" w:rsidRPr="0001752F" w:rsidRDefault="003939A9" w:rsidP="00CD1D54">
      <w:pPr>
        <w:spacing w:after="0" w:line="240" w:lineRule="auto"/>
        <w:rPr>
          <w:rFonts w:cs="Times New Roman"/>
          <w:szCs w:val="24"/>
        </w:rPr>
      </w:pPr>
    </w:p>
    <w:p w14:paraId="4B09103B" w14:textId="77777777" w:rsidR="003939A9" w:rsidRPr="0001752F" w:rsidRDefault="003939A9" w:rsidP="00CD1D54">
      <w:pPr>
        <w:spacing w:after="0" w:line="240" w:lineRule="auto"/>
        <w:rPr>
          <w:rFonts w:cs="Times New Roman"/>
          <w:szCs w:val="24"/>
        </w:rPr>
      </w:pPr>
    </w:p>
    <w:p w14:paraId="37F22C29" w14:textId="77777777" w:rsidR="003939A9" w:rsidRPr="0001752F" w:rsidRDefault="003939A9" w:rsidP="00CD1D54">
      <w:pPr>
        <w:spacing w:after="0" w:line="240" w:lineRule="auto"/>
        <w:rPr>
          <w:rFonts w:cs="Times New Roman"/>
          <w:szCs w:val="24"/>
        </w:rPr>
      </w:pPr>
    </w:p>
    <w:p w14:paraId="4B41D40D" w14:textId="77777777" w:rsidR="003939A9" w:rsidRPr="0001752F" w:rsidRDefault="003939A9" w:rsidP="00CD1D54">
      <w:pPr>
        <w:spacing w:after="0" w:line="240" w:lineRule="auto"/>
        <w:rPr>
          <w:rFonts w:cs="Times New Roman"/>
          <w:szCs w:val="24"/>
        </w:rPr>
      </w:pPr>
    </w:p>
    <w:p w14:paraId="7DC198B2" w14:textId="77777777" w:rsidR="003939A9" w:rsidRPr="0001752F" w:rsidRDefault="003939A9" w:rsidP="00CD1D54">
      <w:pPr>
        <w:spacing w:after="0" w:line="240" w:lineRule="auto"/>
        <w:rPr>
          <w:rFonts w:cs="Times New Roman"/>
          <w:szCs w:val="24"/>
        </w:rPr>
      </w:pPr>
    </w:p>
    <w:p w14:paraId="6FBF3A27" w14:textId="77777777" w:rsidR="003939A9" w:rsidRPr="0001752F" w:rsidRDefault="003939A9" w:rsidP="00CD1D54">
      <w:pPr>
        <w:spacing w:after="0" w:line="240" w:lineRule="auto"/>
        <w:rPr>
          <w:rFonts w:cs="Times New Roman"/>
          <w:szCs w:val="24"/>
        </w:rPr>
      </w:pPr>
    </w:p>
    <w:p w14:paraId="6B734D6E" w14:textId="77777777" w:rsidR="003939A9" w:rsidRPr="0001752F" w:rsidRDefault="003939A9" w:rsidP="00CD1D54">
      <w:pPr>
        <w:spacing w:after="0" w:line="240" w:lineRule="auto"/>
        <w:rPr>
          <w:rFonts w:cs="Times New Roman"/>
          <w:szCs w:val="24"/>
        </w:rPr>
      </w:pPr>
    </w:p>
    <w:p w14:paraId="68EC1ECB" w14:textId="77777777" w:rsidR="003939A9" w:rsidRPr="0001752F" w:rsidRDefault="003939A9" w:rsidP="00CD1D54">
      <w:pPr>
        <w:spacing w:after="0" w:line="240" w:lineRule="auto"/>
        <w:rPr>
          <w:rFonts w:cs="Times New Roman"/>
          <w:szCs w:val="24"/>
        </w:rPr>
      </w:pPr>
    </w:p>
    <w:p w14:paraId="7DFE9001" w14:textId="77777777" w:rsidR="003939A9" w:rsidRPr="0001752F" w:rsidRDefault="003939A9" w:rsidP="00CD1D54">
      <w:pPr>
        <w:spacing w:after="0" w:line="240" w:lineRule="auto"/>
        <w:rPr>
          <w:rFonts w:cs="Times New Roman"/>
          <w:szCs w:val="24"/>
        </w:rPr>
      </w:pPr>
    </w:p>
    <w:p w14:paraId="2C751030" w14:textId="77777777" w:rsidR="003939A9" w:rsidRPr="0001752F" w:rsidRDefault="003939A9" w:rsidP="00CD1D54">
      <w:pPr>
        <w:spacing w:after="0" w:line="240" w:lineRule="auto"/>
        <w:rPr>
          <w:rFonts w:cs="Times New Roman"/>
          <w:szCs w:val="24"/>
        </w:rPr>
      </w:pPr>
    </w:p>
    <w:p w14:paraId="2D11C31E" w14:textId="77777777" w:rsidR="003939A9" w:rsidRPr="0001752F" w:rsidRDefault="003939A9" w:rsidP="00CD1D54">
      <w:pPr>
        <w:spacing w:after="0" w:line="240" w:lineRule="auto"/>
        <w:rPr>
          <w:rFonts w:cs="Times New Roman"/>
          <w:szCs w:val="24"/>
        </w:rPr>
      </w:pPr>
    </w:p>
    <w:p w14:paraId="7D41BBEE" w14:textId="77777777" w:rsidR="003939A9" w:rsidRPr="0001752F" w:rsidRDefault="003939A9" w:rsidP="00CD1D54">
      <w:pPr>
        <w:spacing w:after="0" w:line="240" w:lineRule="auto"/>
        <w:rPr>
          <w:rFonts w:cs="Times New Roman"/>
          <w:szCs w:val="24"/>
        </w:rPr>
      </w:pPr>
    </w:p>
    <w:p w14:paraId="16372910" w14:textId="77777777" w:rsidR="003939A9" w:rsidRPr="0001752F" w:rsidRDefault="003939A9" w:rsidP="00CD1D54">
      <w:pPr>
        <w:spacing w:after="0" w:line="240" w:lineRule="auto"/>
        <w:rPr>
          <w:rFonts w:cs="Times New Roman"/>
          <w:szCs w:val="24"/>
        </w:rPr>
      </w:pPr>
    </w:p>
    <w:p w14:paraId="6EB8D03C" w14:textId="77777777" w:rsidR="003939A9" w:rsidRPr="0001752F" w:rsidRDefault="003939A9" w:rsidP="00CD1D54">
      <w:pPr>
        <w:spacing w:after="0" w:line="240" w:lineRule="auto"/>
        <w:rPr>
          <w:rFonts w:cs="Times New Roman"/>
          <w:szCs w:val="24"/>
        </w:rPr>
      </w:pPr>
    </w:p>
    <w:p w14:paraId="42DFF069" w14:textId="77777777" w:rsidR="003939A9" w:rsidRPr="0001752F" w:rsidRDefault="003939A9" w:rsidP="00CD1D54">
      <w:pPr>
        <w:spacing w:after="0" w:line="240" w:lineRule="auto"/>
        <w:rPr>
          <w:rFonts w:cs="Times New Roman"/>
          <w:szCs w:val="24"/>
        </w:rPr>
      </w:pPr>
    </w:p>
    <w:p w14:paraId="17B651BB" w14:textId="77777777" w:rsidR="003939A9" w:rsidRPr="0001752F" w:rsidRDefault="003939A9" w:rsidP="00CD1D54">
      <w:pPr>
        <w:spacing w:after="0" w:line="240" w:lineRule="auto"/>
        <w:rPr>
          <w:rFonts w:cs="Times New Roman"/>
          <w:szCs w:val="24"/>
        </w:rPr>
      </w:pPr>
    </w:p>
    <w:p w14:paraId="187410ED" w14:textId="77777777" w:rsidR="003939A9" w:rsidRPr="0001752F" w:rsidRDefault="003939A9" w:rsidP="00CD1D54">
      <w:pPr>
        <w:spacing w:after="0" w:line="240" w:lineRule="auto"/>
        <w:rPr>
          <w:rFonts w:cs="Times New Roman"/>
          <w:szCs w:val="24"/>
        </w:rPr>
      </w:pPr>
    </w:p>
    <w:p w14:paraId="76348A68" w14:textId="77777777" w:rsidR="003939A9" w:rsidRPr="0001752F" w:rsidRDefault="003939A9" w:rsidP="00CD1D54">
      <w:pPr>
        <w:spacing w:after="0" w:line="240" w:lineRule="auto"/>
        <w:rPr>
          <w:rFonts w:cs="Times New Roman"/>
          <w:szCs w:val="24"/>
        </w:rPr>
      </w:pPr>
    </w:p>
    <w:p w14:paraId="0163AA13" w14:textId="77777777" w:rsidR="00435A4C" w:rsidRPr="0001752F" w:rsidRDefault="00435A4C" w:rsidP="00CD1D54">
      <w:pPr>
        <w:spacing w:after="0"/>
      </w:pPr>
    </w:p>
    <w:p w14:paraId="1E046C00" w14:textId="4AD302B5" w:rsidR="00BB7818" w:rsidRPr="0001752F" w:rsidRDefault="00563A64" w:rsidP="00CD1D54">
      <w:pPr>
        <w:spacing w:after="0"/>
        <w:rPr>
          <w:rFonts w:cs="Times New Roman"/>
          <w:b/>
          <w:szCs w:val="24"/>
        </w:rPr>
      </w:pPr>
      <w:bookmarkStart w:id="5" w:name="_Toc78332688"/>
      <w:bookmarkStart w:id="6" w:name="_Toc79716657"/>
      <w:bookmarkEnd w:id="1"/>
      <w:bookmarkEnd w:id="2"/>
      <w:r w:rsidRPr="0001752F">
        <w:rPr>
          <w:rFonts w:cs="Times New Roman"/>
          <w:b/>
        </w:rPr>
        <w:t xml:space="preserve">1.0 </w:t>
      </w:r>
      <w:r w:rsidR="001C2BDC" w:rsidRPr="0001752F">
        <w:rPr>
          <w:rFonts w:cs="Times New Roman"/>
          <w:b/>
        </w:rPr>
        <w:t>Introduction</w:t>
      </w:r>
      <w:bookmarkEnd w:id="3"/>
      <w:bookmarkEnd w:id="5"/>
      <w:bookmarkEnd w:id="6"/>
    </w:p>
    <w:p w14:paraId="6859CB4A" w14:textId="77777777" w:rsidR="006F34C5" w:rsidRPr="0001752F" w:rsidRDefault="006D6F96" w:rsidP="00CD1D54">
      <w:pPr>
        <w:spacing w:after="0"/>
      </w:pPr>
      <w:r w:rsidRPr="0001752F">
        <w:t>S</w:t>
      </w:r>
      <w:r w:rsidR="00901580" w:rsidRPr="0001752F">
        <w:t>ustainable development</w:t>
      </w:r>
      <w:r w:rsidR="00D17109" w:rsidRPr="0001752F">
        <w:t xml:space="preserve"> (SD)</w:t>
      </w:r>
      <w:r w:rsidR="00901580" w:rsidRPr="0001752F">
        <w:t xml:space="preserve"> remains an important agenda in the last decade and will continue to be viewed as </w:t>
      </w:r>
      <w:r w:rsidR="004A470B" w:rsidRPr="0001752F">
        <w:t xml:space="preserve">a </w:t>
      </w:r>
      <w:r w:rsidR="00901580" w:rsidRPr="0001752F">
        <w:t xml:space="preserve">critical issue in </w:t>
      </w:r>
      <w:r w:rsidR="004A470B" w:rsidRPr="0001752F">
        <w:t xml:space="preserve">the </w:t>
      </w:r>
      <w:r w:rsidR="00901580" w:rsidRPr="0001752F">
        <w:t>foreseeable future (</w:t>
      </w:r>
      <w:r w:rsidR="00C96E25" w:rsidRPr="0001752F">
        <w:t xml:space="preserve">Holden et al., 2014; </w:t>
      </w:r>
      <w:bookmarkStart w:id="7" w:name="_Hlk149397263"/>
      <w:r w:rsidR="00C96E25" w:rsidRPr="0001752F">
        <w:t>Cristian</w:t>
      </w:r>
      <w:r w:rsidR="00901580" w:rsidRPr="0001752F">
        <w:t xml:space="preserve"> et al., 2015)</w:t>
      </w:r>
      <w:r w:rsidR="00FF66BB" w:rsidRPr="0001752F">
        <w:t>.</w:t>
      </w:r>
      <w:r w:rsidR="00901580" w:rsidRPr="0001752F">
        <w:t xml:space="preserve"> </w:t>
      </w:r>
      <w:bookmarkEnd w:id="7"/>
      <w:r w:rsidR="00901580" w:rsidRPr="0001752F">
        <w:t xml:space="preserve">Given the extent of the </w:t>
      </w:r>
      <w:r w:rsidR="00B92614" w:rsidRPr="0001752F">
        <w:t xml:space="preserve">sustainable development </w:t>
      </w:r>
      <w:r w:rsidR="00901580" w:rsidRPr="0001752F">
        <w:t xml:space="preserve">agenda, the concept </w:t>
      </w:r>
      <w:r w:rsidR="00901580" w:rsidRPr="0001752F">
        <w:lastRenderedPageBreak/>
        <w:t xml:space="preserve">has become an increasingly relevant issue in business fields as well as in academia and </w:t>
      </w:r>
      <w:r w:rsidR="00B92614" w:rsidRPr="0001752F">
        <w:t xml:space="preserve">is </w:t>
      </w:r>
      <w:r w:rsidR="00901580" w:rsidRPr="0001752F">
        <w:t xml:space="preserve">attracting more media and political attention, reflecting greater public awareness (Parnell, 2016; Goyal et al., 2013; </w:t>
      </w:r>
      <w:bookmarkStart w:id="8" w:name="_Hlk149397274"/>
      <w:r w:rsidR="00901580" w:rsidRPr="0001752F">
        <w:t>Jones et al., 2005</w:t>
      </w:r>
      <w:bookmarkEnd w:id="8"/>
      <w:r w:rsidR="00901580" w:rsidRPr="0001752F">
        <w:t xml:space="preserve">). Sustainable development </w:t>
      </w:r>
      <w:r w:rsidR="00B92614" w:rsidRPr="0001752F">
        <w:t xml:space="preserve">generally </w:t>
      </w:r>
      <w:r w:rsidR="00901580" w:rsidRPr="0001752F">
        <w:t>addresses the issue of how the present generation satisfies their needs without jeopardizing the ability of future generations to meet the</w:t>
      </w:r>
      <w:r w:rsidR="00000B3F" w:rsidRPr="0001752F">
        <w:t>ir needs as well (WCED</w:t>
      </w:r>
      <w:r w:rsidR="00901580" w:rsidRPr="0001752F">
        <w:t xml:space="preserve">, 1987). </w:t>
      </w:r>
    </w:p>
    <w:p w14:paraId="2F9AB537" w14:textId="77777777" w:rsidR="006F34C5" w:rsidRPr="0001752F" w:rsidRDefault="006F34C5" w:rsidP="00CD1D54">
      <w:pPr>
        <w:spacing w:after="0"/>
      </w:pPr>
    </w:p>
    <w:p w14:paraId="0415EA2D" w14:textId="57D8B4BE" w:rsidR="00B96517" w:rsidRPr="0001752F" w:rsidRDefault="00B92614" w:rsidP="00CD1D54">
      <w:pPr>
        <w:spacing w:after="0"/>
      </w:pPr>
      <w:r w:rsidRPr="0001752F">
        <w:rPr>
          <w:rFonts w:cs="Times New Roman"/>
          <w:szCs w:val="24"/>
        </w:rPr>
        <w:t xml:space="preserve">Sustainability reporting (SR) as an offshoot of the </w:t>
      </w:r>
      <w:r w:rsidRPr="0001752F">
        <w:t xml:space="preserve">sustainable development agenda </w:t>
      </w:r>
      <w:r w:rsidRPr="0001752F">
        <w:rPr>
          <w:rFonts w:cs="Times New Roman"/>
          <w:szCs w:val="24"/>
        </w:rPr>
        <w:t xml:space="preserve">is perceived as a fundamental component of a firm’s strategy, aligning societies need for information with internal organization processes to minimize information asymmetries </w:t>
      </w:r>
      <w:bookmarkStart w:id="9" w:name="_Hlk149397289"/>
      <w:r w:rsidRPr="0001752F">
        <w:rPr>
          <w:rFonts w:cs="Times New Roman"/>
          <w:szCs w:val="24"/>
        </w:rPr>
        <w:fldChar w:fldCharType="begin" w:fldLock="1"/>
      </w:r>
      <w:r w:rsidRPr="0001752F">
        <w:rPr>
          <w:rFonts w:cs="Times New Roman"/>
          <w:szCs w:val="24"/>
        </w:rPr>
        <w:instrText>ADDIN CSL_CITATION {"citationItems":[{"id":"ITEM-1","itemData":{"DOI":"10.1080/09640568.2021.1876003","ISSN":"13600559","abstract":"This paper proposes a novel methodological approach to help decision-makers in SMEs evaluate and prioritize sustainability reporting (SR) standards. It can thus help SMEs to overcome some of the problems they encounter when initiating SR. In order to explore this decision in more depth, a set of decision criteria are identified, reflecting the costs and benefits that could be derived from SR adoption. The methodological approach proposed is based on the best-worst multi-criteria decision-making method and is tested on a sample of Spanish SMEs. The results highlight the relevance of SR for the legitimacy and reputation of the firm, with GRI ranking first among the SR alternatives. This research helps to strengthen the link between academia and business, by developing a tool with which firms can select a reporting standard. This is especially relevant for SMEs given their relevant role in national economies and their general failure to disclose such information.","author":[{"dropping-particle":"","family":"Rodríguez-Gutiérrez","given":"Pablo","non-dropping-particle":"","parse-names":false,"suffix":""},{"dropping-particle":"","family":"Guerrero-Baena","given":"M. Dolores","non-dropping-particle":"","parse-names":false,"suffix":""},{"dropping-particle":"","family":"Luque-Vílchez","given":"Mercedes","non-dropping-particle":"","parse-names":false,"suffix":""},{"dropping-particle":"","family":"Castilla-Polo","given":"Francisca","non-dropping-particle":"","parse-names":false,"suffix":""}],"container-title":"Journal of Environmental Planning and Management","id":"ITEM-1","issue":"14","issued":{"date-parts":[["2021"]]},"page":"2618-2640","publisher":"Routledge","title":"An approach to using the best-worst method for supporting sustainability reporting decision-making in SMEs","type":"article-journal","volume":"64"},"uris":["http://www.mendeley.com/documents/?uuid=79142997-be9d-410b-a676-a0b059d7409f"]},{"id":"ITEM-2","itemData":{"DOI":"10.1016/j.spc.2022.11.015","ISSN":"23525509","abstract":"Sustainability, Corporate Social Responsibility (CSR), and non-financial reporting and their relationships with company performance are burning topics. Although all these terms are familiar to companies, specifically large ones, most European companies are small and medium-sized enterprises (SMEs), and studies explicitly addressing SMEs are limited. For this reason, this paper aims to fill the existent gap in the literature concerning SMEs by analyzing the relationship between sustainability, CSR, non-financial information, and performance. The objective of this study is to analyze several aspects: (1) The influence of pressures, incentives, and barriers on sustainability, (2) The influence of sustainability, CSR, and non-financial disclosure on performance, and (3) The mediating effect of CSR and non-financial disclosure. For this purpose, there has been an e-mail survey to managers, financial directors, or administration managers of Spanish SMEs. In addition, a Partial Least Squares Structural Equation Modelling (PLS-SEM) model has been used on a final sample of 126 Spanish SMEs. The study's main outcome is that sustainability positively influences CSR and non-financial reporting in the case of SMEs. Therefore, regardless of the specific characteristics derived from the size of the company and the possible lack of resources, the results for SMEs align with those of large companies obtained by previous studies. This study has important academic/theoretical implications for SME managers and policymakers because implementing policies encouraging CSR practices and sustainability strategies will create a better society and positively impact SMEs' performance.","author":[{"dropping-particle":"","family":"Ortiz-Martínez","given":"Esther","non-dropping-particle":"","parse-names":false,"suffix":""},{"dropping-particle":"","family":"Marín-Hernández","given":"Salvador","non-dropping-particle":"","parse-names":false,"suffix":""},{"dropping-particle":"","family":"Santos-Jaén","given":"Jose Manuel","non-dropping-particle":"","parse-names":false,"suffix":""}],"container-title":"Sustainable Production and Consumption","id":"ITEM-2","issued":{"date-parts":[["2023"]]},"page":"349-364","title":"Sustainability, corporate social responsibility, non-financial reporting and company performance: Relationships and mediating effects in Spanish small and medium sized enterprises","type":"article-journal","volume":"35"},"uris":["http://www.mendeley.com/documents/?uuid=b31632a6-e075-4107-a3e9-4c90d81d515b"]}],"mendeley":{"formattedCitation":"(Ortiz-Martínez et al., 2023; Rodríguez-Gutiérrez et al., 2021)","plainTextFormattedCitation":"(Ortiz-Martínez et al., 2023; Rodríguez-Gutiérrez et al., 2021)","previouslyFormattedCitation":"(Ortiz-Martínez et al., 2023; Rodríguez-Gutiérrez et al., 2021)"},"properties":{"noteIndex":0},"schema":"https://github.com/citation-style-language/schema/raw/master/csl-citation.json"}</w:instrText>
      </w:r>
      <w:r w:rsidRPr="0001752F">
        <w:rPr>
          <w:rFonts w:cs="Times New Roman"/>
          <w:szCs w:val="24"/>
        </w:rPr>
        <w:fldChar w:fldCharType="separate"/>
      </w:r>
      <w:r w:rsidRPr="0001752F">
        <w:rPr>
          <w:rFonts w:cs="Times New Roman"/>
          <w:noProof/>
          <w:szCs w:val="24"/>
        </w:rPr>
        <w:t>(Ortiz-Martínez et al., 2023; Rodríguez-Gutiérrez et al., 2021)</w:t>
      </w:r>
      <w:r w:rsidRPr="0001752F">
        <w:rPr>
          <w:rFonts w:cs="Times New Roman"/>
          <w:szCs w:val="24"/>
        </w:rPr>
        <w:fldChar w:fldCharType="end"/>
      </w:r>
      <w:bookmarkEnd w:id="9"/>
      <w:r w:rsidRPr="0001752F">
        <w:rPr>
          <w:rFonts w:cs="Times New Roman"/>
          <w:szCs w:val="24"/>
        </w:rPr>
        <w:t xml:space="preserve">. Corporations, both large and small, are expected to embrace sustainable practices to meet regulatory requirements and to align with the changing expectations of shareholders and other stakeholders </w:t>
      </w:r>
      <w:bookmarkStart w:id="10" w:name="_Hlk149397310"/>
      <w:r w:rsidRPr="0001752F">
        <w:rPr>
          <w:rFonts w:cs="Times New Roman"/>
          <w:szCs w:val="24"/>
        </w:rPr>
        <w:fldChar w:fldCharType="begin" w:fldLock="1"/>
      </w:r>
      <w:r w:rsidRPr="0001752F">
        <w:rPr>
          <w:rFonts w:cs="Times New Roman"/>
          <w:szCs w:val="24"/>
        </w:rPr>
        <w:instrText>ADDIN CSL_CITATION {"citationItems":[{"id":"ITEM-1","itemData":{"DOI":"10.1108/JAAR-09-2022-0252","ISSN":"09675426","abstract":"Purpose: The authors explore the behaviour and perspectives of SMEs' owners towards a greener economy and its implications for net zero carbon emissions target. Design/methodology/approach: The authors draw on the mirroring concept and 26 semi-structured interviews with SMEs' owners and managers to provide insights and explore the misalignment between SMEs' actions and perceptions and the technical architecture (and requirements) of achieving net zero carbon emissions in the UK. Findings: The authors find that SMEs lack trust and are sceptical about the government's net zero emissions agenda. The authors also find that lack of understanding and perceived benefits, and supply chain complexities (end-to-end emissions) are the key factors hindering SMEs interests in engaging with better carbon emissions management and environmental management system (EMS). Moreover, pressure from external stakeholders, particularly banks and customers, is a strong driver to draw SMEs more effectively with sustainability and environmental impact disclosure. Research limitations/implications: The sample is limited to 26 SMEs' owners operating in seven industries. Future research could explore the result in other industries. Further research could also investigate how the sustainability reports produced by SMEs are useful for different user groups' decision-making. This study reinforces the social constructionist approach to advance our understanding of SMEs' actions towards carbon emission management and EMS. Practical implications: This study shows how government policies and SMEs' interests can be aligned to achieve the net zero carbon emissions target. Originality/value: This is the first study to examine the perceptions and behaviour of SMEs towards the ongoing pursuit of a greener economy in the UK, including the key factors driving their actions and reasoning.","author":[{"dropping-particle":"","family":"Afolabi","given":"Hammed","non-dropping-particle":"","parse-names":false,"suffix":""},{"dropping-particle":"","family":"Ram","given":"Ronita","non-dropping-particle":"","parse-names":false,"suffix":""},{"dropping-particle":"","family":"Hussainey","given":"Khaled","non-dropping-particle":"","parse-names":false,"suffix":""},{"dropping-particle":"","family":"Nandy","given":"Monomita","non-dropping-particle":"","parse-names":false,"suffix":""},{"dropping-particle":"","family":"Lodh","given":"Suman","non-dropping-particle":"","parse-names":false,"suffix":""}],"container-title":"Journal of Applied Accounting Research","id":"ITEM-1","issue":"4","issued":{"date-parts":[["2023"]]},"page":"655-681","title":"Exploration of small and medium entities' actions on sustainability practices and their implications for a greener economy","type":"article-journal","volume":"24"},"uris":["http://www.mendeley.com/documents/?uuid=586937d6-1fc4-48b1-a6a4-3c7ba371fc29"]},{"id":"ITEM-2","itemData":{"DOI":"10.1016/j.jclepro.2020.124034","ISSN":"09596526","abstract":"This paper examines the relationship between environmental management and SMEs performance. The study adopts General Methods of Moments (GMM) on a sample of 201 quoted Small and Medium Enterprises (SMEs) on the United Kingdom (UK) Alternative Investment Market (AIM) from 2011 to 2016. Consistent with our prediction based on contradictory results of existing studies, the study documents that corporate investment channelled through efficient environmental management translates into superior SME performance. In particular, we find a non-monotonic (inverted U-shaped) relationship between environmental management and financial performance, which suggests that SMEs have an optimal environmental management level that maximises their performance. We find the predictability to be stronger among medium and larger firms, where both ROA and Tobin's q revealed a significant relationship with environmental performance. The implication of the findings and recommendations are discussed.","author":[{"dropping-particle":"","family":"Boakye","given":"Danquah Jeff","non-dropping-particle":"","parse-names":false,"suffix":""},{"dropping-particle":"","family":"Tingbani","given":"Ishmael","non-dropping-particle":"","parse-names":false,"suffix":""},{"dropping-particle":"","family":"Ahinful","given":"Gabriel Sam","non-dropping-particle":"","parse-names":false,"suffix":""},{"dropping-particle":"","family":"Nsor-Ambala","given":"Randolph","non-dropping-particle":"","parse-names":false,"suffix":""}],"container-title":"Journal of Cleaner Production","id":"ITEM-2","issued":{"date-parts":[["2021"]]},"page":"124034","publisher":"Elsevier Ltd","title":"The relationship between environmental management performance and financial performance of firms listed in the Alternative Investment Market (AIM) in the UK","type":"article-journal","volume":"278"},"uris":["http://www.mendeley.com/documents/?uuid=eb1b354a-bd15-4a79-9f56-66a07a207813"]},{"id":"ITEM-3","itemData":{"DOI":"10.1108/JAAR-02-2021-0036","ISSN":"09675426","abstract":"Purpose: The paper aims to examine if corporate characteristics, general contextual factors and the internal context differentiate the quality and quantity of the disclosed non-financial Key Performance Indicators (KPIs). Design/methodology/approach: The study is based on content analysis of the disclosures provided by large public interest entities operating in Poland after the introduction of the Directive 2014/95/EU. The quality of the KPIs disclosures is measured with the disclosure index. Regression analysis and selected statistical tests are used to examine the influence of the selected factors on the differences in the index value and corporate disclosure choices as regards the KPIs. Findings: The study findings indicate that the sample companies provide a variety of non-financial KPIs in a manner that makes their effective comparison difficult. The research confirms that mainly industry, ecologists and the reporting standard determine the significant differences in the quality of the KPIs disclosures and the quantity of presented KPIs. Research limitations/implications: The paper adds to the understanding of the differences in the quality of KPIs presentation and the choice of disclosed KPIs. Practical implications: The paper includes suggestions on how to change corporate practice with regard to the non-financial KPIs disclosures. Originality/value: We shed additional light on the importance of internal contextual factors such as the reporting standard and the reporters' experience in providing non-financial KPIs disclosures.","author":[{"dropping-particle":"","family":"Zarzycka","given":"Ewelina","non-dropping-particle":"","parse-names":false,"suffix":""},{"dropping-particle":"","family":"Krasodomska","given":"Joanna","non-dropping-particle":"","parse-names":false,"suffix":""}],"container-title":"Journal of Applied Accounting Research","id":"ITEM-3","issue":"1","issued":{"date-parts":[["2022"]]},"page":"139-162","title":"Non-financial key performance indicators: what determines the differences in the quality and quantity of the disclosures?","type":"article-journal","volume":"23"},"uris":["http://www.mendeley.com/documents/?uuid=c3a4b976-f527-4a77-b9c3-63b4cc7a995a"]}],"mendeley":{"formattedCitation":"(Afolabi et al., 2023; Boakye et al., 2021; Zarzycka &amp; Krasodomska, 2022)","manualFormatting":"(Afolabi et al., 2023; Boakye et al., 2021)","plainTextFormattedCitation":"(Afolabi et al., 2023; Boakye et al., 2021; Zarzycka &amp; Krasodomska, 2022)","previouslyFormattedCitation":"(Afolabi et al., 2023; Boakye et al., 2021; Zarzycka &amp; Krasodomska, 2022)"},"properties":{"noteIndex":0},"schema":"https://github.com/citation-style-language/schema/raw/master/csl-citation.json"}</w:instrText>
      </w:r>
      <w:r w:rsidRPr="0001752F">
        <w:rPr>
          <w:rFonts w:cs="Times New Roman"/>
          <w:szCs w:val="24"/>
        </w:rPr>
        <w:fldChar w:fldCharType="separate"/>
      </w:r>
      <w:r w:rsidRPr="0001752F">
        <w:rPr>
          <w:rFonts w:cs="Times New Roman"/>
          <w:noProof/>
          <w:szCs w:val="24"/>
        </w:rPr>
        <w:t>(Afolabi et al., 2023; Boakye et al., 2021)</w:t>
      </w:r>
      <w:r w:rsidRPr="0001752F">
        <w:rPr>
          <w:rFonts w:cs="Times New Roman"/>
          <w:szCs w:val="24"/>
        </w:rPr>
        <w:fldChar w:fldCharType="end"/>
      </w:r>
      <w:bookmarkEnd w:id="10"/>
      <w:r w:rsidRPr="0001752F">
        <w:rPr>
          <w:rFonts w:cs="Times New Roman"/>
          <w:szCs w:val="24"/>
        </w:rPr>
        <w:t>. Small and medium</w:t>
      </w:r>
      <w:r w:rsidR="009D21AA" w:rsidRPr="0001752F">
        <w:rPr>
          <w:rFonts w:cs="Times New Roman"/>
          <w:szCs w:val="24"/>
        </w:rPr>
        <w:t>-sized</w:t>
      </w:r>
      <w:r w:rsidRPr="0001752F">
        <w:rPr>
          <w:rFonts w:cs="Times New Roman"/>
          <w:szCs w:val="24"/>
        </w:rPr>
        <w:t xml:space="preserve"> enterprises (SMEs) </w:t>
      </w:r>
      <w:r w:rsidR="006521A8" w:rsidRPr="0001752F">
        <w:rPr>
          <w:rFonts w:cs="Times New Roman"/>
          <w:szCs w:val="24"/>
        </w:rPr>
        <w:t xml:space="preserve">individually have, by deﬁnition, very limited operations, resources, expertise and therefore </w:t>
      </w:r>
      <w:r w:rsidR="00D17109" w:rsidRPr="0001752F">
        <w:rPr>
          <w:rFonts w:cs="Times New Roman"/>
          <w:szCs w:val="24"/>
        </w:rPr>
        <w:t>might</w:t>
      </w:r>
      <w:r w:rsidR="006521A8" w:rsidRPr="0001752F">
        <w:rPr>
          <w:rFonts w:cs="Times New Roman"/>
          <w:szCs w:val="24"/>
        </w:rPr>
        <w:t xml:space="preserve"> not have the technical capability to report sustainability, to the same degree, as compare</w:t>
      </w:r>
      <w:r w:rsidR="004A470B" w:rsidRPr="0001752F">
        <w:rPr>
          <w:rFonts w:cs="Times New Roman"/>
          <w:szCs w:val="24"/>
        </w:rPr>
        <w:t>d</w:t>
      </w:r>
      <w:r w:rsidR="006521A8" w:rsidRPr="0001752F">
        <w:rPr>
          <w:rFonts w:cs="Times New Roman"/>
          <w:szCs w:val="24"/>
        </w:rPr>
        <w:t xml:space="preserve"> to large firms </w:t>
      </w:r>
      <w:r w:rsidR="006521A8" w:rsidRPr="0001752F">
        <w:rPr>
          <w:rFonts w:cs="Times New Roman"/>
          <w:szCs w:val="24"/>
        </w:rPr>
        <w:fldChar w:fldCharType="begin" w:fldLock="1"/>
      </w:r>
      <w:r w:rsidR="006521A8" w:rsidRPr="0001752F">
        <w:rPr>
          <w:rFonts w:cs="Times New Roman"/>
          <w:szCs w:val="24"/>
        </w:rPr>
        <w:instrText>ADDIN CSL_CITATION {"citationItems":[{"id":"ITEM-1","itemData":{"DOI":"10.1068/c0859b","ISSN":"0263774X","abstract":"Small and medium-sized enterprises (SMEs) are an important part of the world economy but they are thought to be responsible for around 60% of all carbon dioxide emissions and 70% of all pollution. SMEs often have major problems with limited resources, limited knowledge, and limited technical capabilities to deal with their own negative environmental impact. SMEs exhibit widely differing characteristics and commitment where environmental issues are concerned. Yet under these conditions they are all expected to engage in environmental improvement. Interventions that encourage environmental improvement are often polarised between regulation and legislation at one extreme and voluntary environmental agreement at the other. It is clear that a holistic mixture of interventions is necessary to achieve maximum engagement and environmental improvement by all SMEs. In this paper we categorise the different levels of environmental commitment observed in SMEs and develop a selection or 'toolkit' of intervention strategies that might be deployed within each category of SME. © 2008 Pion Ltd and its Licensors.","author":[{"dropping-particle":"","family":"Parker","given":"Craig M.","non-dropping-particle":"","parse-names":false,"suffix":""},{"dropping-particle":"","family":"Redmond","given":"Janice","non-dropping-particle":"","parse-names":false,"suffix":""},{"dropping-particle":"","family":"Simpson","given":"Mike","non-dropping-particle":"","parse-names":false,"suffix":""}],"container-title":"Environment and Planning C: Government and Policy","id":"ITEM-1","issue":"2","issued":{"date-parts":[["2009"]]},"page":"279-301","title":"A review of interventions to encourage SMEs to make environmental improvements","type":"article-journal","volume":"27"},"uris":["http://www.mendeley.com/documents/?uuid=130c1988-8530-4612-a997-db6b25bc78b9"]}],"mendeley":{"formattedCitation":"(Parker et al., 2009)","plainTextFormattedCitation":"(Parker et al., 2009)","previouslyFormattedCitation":"(Parker et al., 2009)"},"properties":{"noteIndex":0},"schema":"https://github.com/citation-style-language/schema/raw/master/csl-citation.json"}</w:instrText>
      </w:r>
      <w:r w:rsidR="006521A8" w:rsidRPr="0001752F">
        <w:rPr>
          <w:rFonts w:cs="Times New Roman"/>
          <w:szCs w:val="24"/>
        </w:rPr>
        <w:fldChar w:fldCharType="separate"/>
      </w:r>
      <w:r w:rsidR="006521A8" w:rsidRPr="0001752F">
        <w:rPr>
          <w:rFonts w:cs="Times New Roman"/>
          <w:noProof/>
          <w:szCs w:val="24"/>
        </w:rPr>
        <w:t>(Parker et al.,  2009)</w:t>
      </w:r>
      <w:r w:rsidR="006521A8" w:rsidRPr="0001752F">
        <w:rPr>
          <w:rFonts w:cs="Times New Roman"/>
          <w:szCs w:val="24"/>
        </w:rPr>
        <w:fldChar w:fldCharType="end"/>
      </w:r>
      <w:r w:rsidR="006521A8" w:rsidRPr="0001752F">
        <w:rPr>
          <w:rFonts w:cs="Times New Roman"/>
          <w:szCs w:val="24"/>
        </w:rPr>
        <w:t xml:space="preserve">. </w:t>
      </w:r>
      <w:r w:rsidR="00B96517" w:rsidRPr="0001752F">
        <w:t>SMEs engaging in reporting of non-financial activities give a signal to the public about the firms’ readiness to give information about how it deals with societal issues and this may enhance an enduring cordial relationship between the firm and its stakeholders leading to a cont</w:t>
      </w:r>
      <w:r w:rsidR="00970C9F" w:rsidRPr="0001752F">
        <w:t xml:space="preserve">inuing sustainable development </w:t>
      </w:r>
      <w:r w:rsidR="00B96517" w:rsidRPr="0001752F">
        <w:fldChar w:fldCharType="begin" w:fldLock="1"/>
      </w:r>
      <w:r w:rsidR="00B96517" w:rsidRPr="0001752F">
        <w:instrText>ADDIN CSL_CITATION {"citationItems":[{"id":"ITEM-1","itemData":{"DOI":"10.1016/j.jclepro.2020.121739","ISSN":"0959-6526","author":[{"dropping-particle":"","family":"Khan","given":"Majid","non-dropping-particle":"","parse-names":false,"suffix":""},{"dropping-particle":"","family":"Lockhart","given":"James","non-dropping-particle":"","parse-names":false,"suffix":""},{"dropping-particle":"","family":"Bathurst","given":"Ralph","non-dropping-particle":"","parse-names":false,"suffix":""}],"container-title":"Journal of Cleaner Production","id":"ITEM-1","issued":{"date-parts":[["2020"]]},"page":"121739","publisher":"Elsevier Ltd","title":"A multi-level institutional perspective of corporate social responsibility reporting : A mixed-method study","type":"article-journal","volume":"265"},"uris":["http://www.mendeley.com/documents/?uuid=79393ef8-e9da-466c-a2fe-f70760439079"]}],"mendeley":{"formattedCitation":"(M. Khan et al., 2020)","manualFormatting":"(Khan et al., 2020","plainTextFormattedCitation":"(M. Khan et al., 2020)","previouslyFormattedCitation":"(M. Khan et al., 2020)"},"properties":{"noteIndex":0},"schema":"https://github.com/citation-style-language/schema/raw/master/csl-citation.json"}</w:instrText>
      </w:r>
      <w:r w:rsidR="00B96517" w:rsidRPr="0001752F">
        <w:fldChar w:fldCharType="separate"/>
      </w:r>
      <w:r w:rsidR="00B96517" w:rsidRPr="0001752F">
        <w:t>(Khan et al., 2020</w:t>
      </w:r>
      <w:r w:rsidR="00B96517" w:rsidRPr="0001752F">
        <w:fldChar w:fldCharType="end"/>
      </w:r>
      <w:r w:rsidR="00B96517" w:rsidRPr="0001752F">
        <w:t>; Said et al., 2009).</w:t>
      </w:r>
    </w:p>
    <w:p w14:paraId="3DB9F9CA" w14:textId="77777777" w:rsidR="00CD1D54" w:rsidRPr="0001752F" w:rsidRDefault="00CD1D54" w:rsidP="00CD1D54">
      <w:pPr>
        <w:spacing w:after="0"/>
      </w:pPr>
    </w:p>
    <w:p w14:paraId="3F2DEBE8" w14:textId="7BB46B13" w:rsidR="00154E49" w:rsidRPr="0001752F" w:rsidRDefault="00681D8C" w:rsidP="00CD1D54">
      <w:pPr>
        <w:spacing w:after="0"/>
        <w:rPr>
          <w:rFonts w:cs="Times New Roman"/>
          <w:szCs w:val="24"/>
        </w:rPr>
      </w:pPr>
      <w:r w:rsidRPr="0001752F">
        <w:rPr>
          <w:rFonts w:cs="Times New Roman"/>
          <w:szCs w:val="24"/>
        </w:rPr>
        <w:t>SR</w:t>
      </w:r>
      <w:r w:rsidR="00545E94" w:rsidRPr="0001752F">
        <w:rPr>
          <w:rFonts w:cs="Times New Roman"/>
          <w:iCs/>
          <w:szCs w:val="24"/>
          <w:lang w:val="en-GB"/>
        </w:rPr>
        <w:t>is</w:t>
      </w:r>
      <w:r w:rsidR="00D17109" w:rsidRPr="0001752F">
        <w:rPr>
          <w:rFonts w:cs="Times New Roman"/>
          <w:iCs/>
          <w:szCs w:val="24"/>
          <w:lang w:val="en-GB"/>
        </w:rPr>
        <w:t xml:space="preserve"> thus</w:t>
      </w:r>
      <w:r w:rsidR="00984987" w:rsidRPr="0001752F">
        <w:rPr>
          <w:rFonts w:cs="Times New Roman"/>
          <w:iCs/>
          <w:szCs w:val="24"/>
          <w:lang w:val="en-GB"/>
        </w:rPr>
        <w:t xml:space="preserve"> a</w:t>
      </w:r>
      <w:r w:rsidR="00545E94" w:rsidRPr="0001752F">
        <w:rPr>
          <w:rFonts w:cs="Times New Roman"/>
          <w:iCs/>
          <w:szCs w:val="24"/>
          <w:lang w:val="en-GB"/>
        </w:rPr>
        <w:t xml:space="preserve"> channel through which firms communicate to their diverse stakeholders the measures </w:t>
      </w:r>
      <w:r w:rsidR="007D5B7C" w:rsidRPr="0001752F">
        <w:rPr>
          <w:rFonts w:cs="Times New Roman"/>
          <w:iCs/>
          <w:szCs w:val="24"/>
          <w:lang w:val="en-GB"/>
        </w:rPr>
        <w:t>taken</w:t>
      </w:r>
      <w:r w:rsidR="00545E94" w:rsidRPr="0001752F">
        <w:rPr>
          <w:rFonts w:cs="Times New Roman"/>
          <w:iCs/>
          <w:szCs w:val="24"/>
          <w:lang w:val="en-GB"/>
        </w:rPr>
        <w:t xml:space="preserve"> to address their economic, environmental</w:t>
      </w:r>
      <w:r w:rsidR="00DC49FB" w:rsidRPr="0001752F">
        <w:rPr>
          <w:rFonts w:cs="Times New Roman"/>
          <w:iCs/>
          <w:szCs w:val="24"/>
          <w:lang w:val="en-GB"/>
        </w:rPr>
        <w:t>,</w:t>
      </w:r>
      <w:r w:rsidR="00545E94" w:rsidRPr="0001752F">
        <w:rPr>
          <w:rFonts w:cs="Times New Roman"/>
          <w:iCs/>
          <w:szCs w:val="24"/>
          <w:lang w:val="en-GB"/>
        </w:rPr>
        <w:t xml:space="preserve"> and s</w:t>
      </w:r>
      <w:r w:rsidR="0065034A" w:rsidRPr="0001752F">
        <w:rPr>
          <w:rFonts w:cs="Times New Roman"/>
          <w:iCs/>
          <w:szCs w:val="24"/>
          <w:lang w:val="en-GB"/>
        </w:rPr>
        <w:t>ocial concerns (</w:t>
      </w:r>
      <w:r w:rsidR="00545E94" w:rsidRPr="0001752F">
        <w:rPr>
          <w:rFonts w:cs="Times New Roman"/>
          <w:iCs/>
          <w:szCs w:val="24"/>
          <w:lang w:val="en-GB"/>
        </w:rPr>
        <w:t xml:space="preserve">Hahn &amp; Kühnen, 2013). </w:t>
      </w:r>
      <w:r w:rsidR="005F5C94" w:rsidRPr="0001752F">
        <w:rPr>
          <w:rFonts w:cs="Times New Roman"/>
          <w:szCs w:val="24"/>
        </w:rPr>
        <w:t xml:space="preserve">The social dimension aspect of sustainability evaluates a firm's </w:t>
      </w:r>
      <w:r w:rsidR="00DC49FB" w:rsidRPr="0001752F">
        <w:rPr>
          <w:rFonts w:cs="Times New Roman"/>
          <w:szCs w:val="24"/>
        </w:rPr>
        <w:t>impact</w:t>
      </w:r>
      <w:r w:rsidR="005F5C94" w:rsidRPr="0001752F">
        <w:rPr>
          <w:rFonts w:cs="Times New Roman"/>
          <w:szCs w:val="24"/>
        </w:rPr>
        <w:t xml:space="preserve"> on </w:t>
      </w:r>
      <w:r w:rsidR="004A470B" w:rsidRPr="0001752F">
        <w:rPr>
          <w:rFonts w:cs="Times New Roman"/>
          <w:szCs w:val="24"/>
        </w:rPr>
        <w:t xml:space="preserve">the </w:t>
      </w:r>
      <w:r w:rsidR="005F5C94" w:rsidRPr="0001752F">
        <w:rPr>
          <w:rFonts w:cs="Times New Roman"/>
          <w:szCs w:val="24"/>
        </w:rPr>
        <w:t xml:space="preserve">social systems within which the firm operates. It has 48 indicators that are classified into four sub-categories </w:t>
      </w:r>
      <w:r w:rsidR="007D5B7C" w:rsidRPr="0001752F">
        <w:rPr>
          <w:rFonts w:cs="Times New Roman"/>
          <w:szCs w:val="24"/>
        </w:rPr>
        <w:t>namely,</w:t>
      </w:r>
      <w:r w:rsidR="005F5C94" w:rsidRPr="0001752F">
        <w:rPr>
          <w:rFonts w:cs="Times New Roman"/>
          <w:szCs w:val="24"/>
        </w:rPr>
        <w:t xml:space="preserve"> decent work and </w:t>
      </w:r>
      <w:r w:rsidR="004A470B" w:rsidRPr="0001752F">
        <w:rPr>
          <w:rFonts w:cs="Times New Roman"/>
          <w:szCs w:val="24"/>
        </w:rPr>
        <w:t>labo</w:t>
      </w:r>
      <w:r w:rsidR="005F5C94" w:rsidRPr="0001752F">
        <w:rPr>
          <w:rFonts w:cs="Times New Roman"/>
          <w:szCs w:val="24"/>
        </w:rPr>
        <w:t xml:space="preserve">r practices, society, human </w:t>
      </w:r>
      <w:r w:rsidR="009D21AA" w:rsidRPr="0001752F">
        <w:rPr>
          <w:rFonts w:cs="Times New Roman"/>
          <w:szCs w:val="24"/>
        </w:rPr>
        <w:t>rights,</w:t>
      </w:r>
      <w:r w:rsidR="005F5C94" w:rsidRPr="0001752F">
        <w:rPr>
          <w:rFonts w:cs="Times New Roman"/>
          <w:szCs w:val="24"/>
        </w:rPr>
        <w:t xml:space="preserve"> and product responsibility </w:t>
      </w:r>
      <w:r w:rsidR="005F5C94" w:rsidRPr="0001752F">
        <w:rPr>
          <w:rFonts w:cs="Times New Roman"/>
          <w:noProof/>
          <w:szCs w:val="24"/>
        </w:rPr>
        <w:t xml:space="preserve">(Ebiringa et al., 2013; Roca &amp; Searcy, 2012; </w:t>
      </w:r>
      <w:bookmarkStart w:id="11" w:name="_Hlk149397329"/>
      <w:r w:rsidR="00D17109" w:rsidRPr="0001752F">
        <w:rPr>
          <w:rFonts w:cs="Times New Roman"/>
          <w:noProof/>
          <w:szCs w:val="24"/>
        </w:rPr>
        <w:t xml:space="preserve">Khasharmeh, 2010; </w:t>
      </w:r>
      <w:bookmarkEnd w:id="11"/>
      <w:r w:rsidR="005F5C94" w:rsidRPr="0001752F">
        <w:rPr>
          <w:rFonts w:cs="Times New Roman"/>
          <w:noProof/>
          <w:szCs w:val="24"/>
        </w:rPr>
        <w:t>Sotorrío &amp; Sánc</w:t>
      </w:r>
      <w:r w:rsidR="0065034A" w:rsidRPr="0001752F">
        <w:rPr>
          <w:rFonts w:cs="Times New Roman"/>
          <w:noProof/>
          <w:szCs w:val="24"/>
        </w:rPr>
        <w:t>hez, 2010</w:t>
      </w:r>
      <w:r w:rsidR="005F5C94" w:rsidRPr="0001752F">
        <w:rPr>
          <w:rFonts w:cs="Times New Roman"/>
          <w:noProof/>
          <w:szCs w:val="24"/>
        </w:rPr>
        <w:t>)</w:t>
      </w:r>
      <w:r w:rsidR="005F5C94" w:rsidRPr="0001752F">
        <w:rPr>
          <w:rFonts w:cs="Times New Roman"/>
          <w:szCs w:val="24"/>
        </w:rPr>
        <w:t xml:space="preserve">. </w:t>
      </w:r>
      <w:r w:rsidR="00771362" w:rsidRPr="0001752F">
        <w:rPr>
          <w:rFonts w:cs="Times New Roman"/>
          <w:szCs w:val="24"/>
        </w:rPr>
        <w:t>The environmental dimension measures a firm’s impacts on natural and artificial systems covering inputs (e.g., water and energy) and outputs (e.g., waste, emissions and effluents)</w:t>
      </w:r>
      <w:r w:rsidR="009D21AA" w:rsidRPr="0001752F">
        <w:rPr>
          <w:rFonts w:cs="Times New Roman"/>
          <w:szCs w:val="24"/>
        </w:rPr>
        <w:t>,</w:t>
      </w:r>
      <w:r w:rsidR="00FF53D9" w:rsidRPr="0001752F">
        <w:rPr>
          <w:rFonts w:cs="Times New Roman"/>
          <w:szCs w:val="24"/>
        </w:rPr>
        <w:t xml:space="preserve"> (Dragomir, 2012; Mazzi et al., 2012; Mikkilä &amp; Toppinen, 2008; Veleva e</w:t>
      </w:r>
      <w:r w:rsidR="00FB57F2" w:rsidRPr="0001752F">
        <w:rPr>
          <w:rFonts w:cs="Times New Roman"/>
          <w:szCs w:val="24"/>
        </w:rPr>
        <w:t>t al., 2003</w:t>
      </w:r>
      <w:r w:rsidR="00FF53D9" w:rsidRPr="0001752F">
        <w:rPr>
          <w:rFonts w:cs="Times New Roman"/>
          <w:szCs w:val="24"/>
        </w:rPr>
        <w:t>)</w:t>
      </w:r>
      <w:r w:rsidR="00771362" w:rsidRPr="0001752F">
        <w:rPr>
          <w:rFonts w:cs="Times New Roman"/>
          <w:szCs w:val="24"/>
        </w:rPr>
        <w:t>. This dimension covers 34 indicators that are grouped into twelve sub-categories</w:t>
      </w:r>
      <w:r w:rsidR="00271BF6" w:rsidRPr="0001752F">
        <w:rPr>
          <w:rFonts w:cs="Times New Roman"/>
          <w:szCs w:val="24"/>
        </w:rPr>
        <w:t xml:space="preserve"> while t</w:t>
      </w:r>
      <w:r w:rsidR="00984987" w:rsidRPr="0001752F">
        <w:rPr>
          <w:rFonts w:cs="Times New Roman"/>
          <w:szCs w:val="24"/>
        </w:rPr>
        <w:t>he economic dimension</w:t>
      </w:r>
      <w:r w:rsidR="00271BF6" w:rsidRPr="0001752F">
        <w:rPr>
          <w:rFonts w:cs="Times New Roman"/>
          <w:szCs w:val="24"/>
        </w:rPr>
        <w:t xml:space="preserve"> relates to firms’ ability to create value and improve financial </w:t>
      </w:r>
      <w:bookmarkStart w:id="12" w:name="_Hlk149397340"/>
      <w:r w:rsidR="00271BF6" w:rsidRPr="0001752F">
        <w:rPr>
          <w:rFonts w:cs="Times New Roman"/>
          <w:szCs w:val="24"/>
        </w:rPr>
        <w:t>performance</w:t>
      </w:r>
      <w:r w:rsidR="001C2F01" w:rsidRPr="0001752F">
        <w:rPr>
          <w:rFonts w:cs="Times New Roman"/>
          <w:szCs w:val="24"/>
        </w:rPr>
        <w:t xml:space="preserve"> (</w:t>
      </w:r>
      <w:r w:rsidR="00D17109" w:rsidRPr="0001752F">
        <w:rPr>
          <w:rFonts w:cs="Times New Roman"/>
          <w:szCs w:val="24"/>
        </w:rPr>
        <w:t xml:space="preserve">Orazalin &amp; Mahmood, 2018; </w:t>
      </w:r>
      <w:r w:rsidR="001C2F01" w:rsidRPr="0001752F">
        <w:rPr>
          <w:rFonts w:cs="Times New Roman"/>
          <w:szCs w:val="24"/>
        </w:rPr>
        <w:t xml:space="preserve">Amran et al., 2014; </w:t>
      </w:r>
      <w:r w:rsidR="00D17109" w:rsidRPr="0001752F">
        <w:rPr>
          <w:rFonts w:cs="Times New Roman"/>
          <w:szCs w:val="24"/>
        </w:rPr>
        <w:t xml:space="preserve">Lozano &amp; Huisingh, 2011; </w:t>
      </w:r>
      <w:r w:rsidR="001C2F01" w:rsidRPr="0001752F">
        <w:rPr>
          <w:rFonts w:cs="Times New Roman"/>
          <w:szCs w:val="24"/>
        </w:rPr>
        <w:t>Kent &amp; Monem, 2008;</w:t>
      </w:r>
      <w:r w:rsidR="00D17109" w:rsidRPr="0001752F">
        <w:rPr>
          <w:rFonts w:cs="Times New Roman"/>
          <w:szCs w:val="24"/>
        </w:rPr>
        <w:t xml:space="preserve"> Ho &amp; Taylor, 2007</w:t>
      </w:r>
      <w:r w:rsidR="001C2F01" w:rsidRPr="0001752F">
        <w:rPr>
          <w:rFonts w:cs="Times New Roman"/>
          <w:szCs w:val="24"/>
        </w:rPr>
        <w:t>)</w:t>
      </w:r>
      <w:r w:rsidR="00271BF6" w:rsidRPr="0001752F">
        <w:rPr>
          <w:rFonts w:cs="Times New Roman"/>
          <w:szCs w:val="24"/>
        </w:rPr>
        <w:t xml:space="preserve"> </w:t>
      </w:r>
      <w:bookmarkEnd w:id="12"/>
      <w:r w:rsidR="00271BF6" w:rsidRPr="0001752F">
        <w:rPr>
          <w:rFonts w:cs="Times New Roman"/>
          <w:szCs w:val="24"/>
        </w:rPr>
        <w:t xml:space="preserve">with nine indicators under four </w:t>
      </w:r>
      <w:r w:rsidR="00271BF6" w:rsidRPr="0001752F">
        <w:rPr>
          <w:rFonts w:cs="Times New Roman"/>
          <w:szCs w:val="24"/>
        </w:rPr>
        <w:lastRenderedPageBreak/>
        <w:t>sub-categories.</w:t>
      </w:r>
      <w:r w:rsidR="009A41E6" w:rsidRPr="0001752F">
        <w:rPr>
          <w:rFonts w:cs="Times New Roman"/>
          <w:iCs/>
          <w:szCs w:val="24"/>
          <w:lang w:val="en-GB"/>
        </w:rPr>
        <w:t xml:space="preserve"> </w:t>
      </w:r>
      <w:r w:rsidR="00C57A34" w:rsidRPr="0001752F">
        <w:rPr>
          <w:rFonts w:cs="Times New Roman"/>
          <w:szCs w:val="24"/>
        </w:rPr>
        <w:t xml:space="preserve">Elkington (1997) </w:t>
      </w:r>
      <w:r w:rsidR="00DC49FB" w:rsidRPr="0001752F">
        <w:rPr>
          <w:rFonts w:cs="Times New Roman"/>
          <w:szCs w:val="24"/>
        </w:rPr>
        <w:t>notes</w:t>
      </w:r>
      <w:r w:rsidR="00C57A34" w:rsidRPr="0001752F">
        <w:rPr>
          <w:rFonts w:cs="Times New Roman"/>
          <w:szCs w:val="24"/>
        </w:rPr>
        <w:t xml:space="preserve"> that the combination of all the three dimensions (social, environmental</w:t>
      </w:r>
      <w:r w:rsidR="00DC49FB" w:rsidRPr="0001752F">
        <w:rPr>
          <w:rFonts w:cs="Times New Roman"/>
          <w:szCs w:val="24"/>
        </w:rPr>
        <w:t xml:space="preserve">, </w:t>
      </w:r>
      <w:r w:rsidR="00C57A34" w:rsidRPr="0001752F">
        <w:rPr>
          <w:rFonts w:cs="Times New Roman"/>
          <w:szCs w:val="24"/>
        </w:rPr>
        <w:t>and economic) is termed as the Triple B</w:t>
      </w:r>
      <w:r w:rsidR="00920D5A" w:rsidRPr="0001752F">
        <w:rPr>
          <w:rFonts w:cs="Times New Roman"/>
          <w:szCs w:val="24"/>
        </w:rPr>
        <w:t xml:space="preserve">ottom Line approach. </w:t>
      </w:r>
      <w:r w:rsidR="00C57A34" w:rsidRPr="0001752F">
        <w:rPr>
          <w:rFonts w:cs="Times New Roman"/>
          <w:szCs w:val="24"/>
        </w:rPr>
        <w:t xml:space="preserve">Hahn </w:t>
      </w:r>
      <w:r w:rsidR="009D21AA" w:rsidRPr="0001752F">
        <w:rPr>
          <w:rFonts w:cs="Times New Roman"/>
          <w:szCs w:val="24"/>
        </w:rPr>
        <w:t>and</w:t>
      </w:r>
      <w:r w:rsidR="00C57A34" w:rsidRPr="0001752F">
        <w:rPr>
          <w:rFonts w:cs="Times New Roman"/>
          <w:szCs w:val="24"/>
        </w:rPr>
        <w:t xml:space="preserve"> Kuhnen, (2013)</w:t>
      </w:r>
      <w:r w:rsidR="00920D5A" w:rsidRPr="0001752F">
        <w:rPr>
          <w:rFonts w:cs="Times New Roman"/>
          <w:szCs w:val="24"/>
        </w:rPr>
        <w:t xml:space="preserve"> reiterate that</w:t>
      </w:r>
      <w:r w:rsidR="00C57A34" w:rsidRPr="0001752F">
        <w:rPr>
          <w:rFonts w:cs="Times New Roman"/>
          <w:szCs w:val="24"/>
        </w:rPr>
        <w:t xml:space="preserve"> only one or two-dimensional report(s) that cover(s) only a portion of sustainability concept cannot be regarded as </w:t>
      </w:r>
      <w:r w:rsidRPr="0001752F">
        <w:rPr>
          <w:rFonts w:cs="Times New Roman"/>
          <w:szCs w:val="24"/>
        </w:rPr>
        <w:t xml:space="preserve">SR </w:t>
      </w:r>
      <w:r w:rsidR="00C57A34" w:rsidRPr="0001752F">
        <w:rPr>
          <w:rFonts w:cs="Times New Roman"/>
          <w:szCs w:val="24"/>
        </w:rPr>
        <w:t xml:space="preserve">but simply sustainability-related report </w:t>
      </w:r>
      <w:r w:rsidR="00CD1D54" w:rsidRPr="0001752F">
        <w:rPr>
          <w:rFonts w:cs="Times New Roman"/>
          <w:szCs w:val="24"/>
        </w:rPr>
        <w:t>e.g.,</w:t>
      </w:r>
      <w:r w:rsidR="00C57A34" w:rsidRPr="0001752F">
        <w:rPr>
          <w:rFonts w:cs="Times New Roman"/>
          <w:szCs w:val="24"/>
        </w:rPr>
        <w:t xml:space="preserve"> environmental reports, social reports, CSR reports, sustainability reports and corporate citizenship reports.</w:t>
      </w:r>
      <w:r w:rsidR="00ED5E8E" w:rsidRPr="0001752F">
        <w:rPr>
          <w:rFonts w:cs="Times New Roman"/>
          <w:szCs w:val="24"/>
        </w:rPr>
        <w:t xml:space="preserve"> Therefore, </w:t>
      </w:r>
      <w:r w:rsidRPr="0001752F">
        <w:rPr>
          <w:rFonts w:cs="Times New Roman"/>
          <w:szCs w:val="24"/>
        </w:rPr>
        <w:t xml:space="preserve">SR  </w:t>
      </w:r>
      <w:r w:rsidR="00ED5E8E" w:rsidRPr="0001752F">
        <w:rPr>
          <w:rFonts w:cs="Times New Roman"/>
          <w:szCs w:val="24"/>
        </w:rPr>
        <w:t>should cover all the three pillars of social, environmental</w:t>
      </w:r>
      <w:r w:rsidR="00DC49FB" w:rsidRPr="0001752F">
        <w:rPr>
          <w:rFonts w:cs="Times New Roman"/>
          <w:szCs w:val="24"/>
        </w:rPr>
        <w:t xml:space="preserve">, </w:t>
      </w:r>
      <w:r w:rsidR="00ED5E8E" w:rsidRPr="0001752F">
        <w:rPr>
          <w:rFonts w:cs="Times New Roman"/>
          <w:szCs w:val="24"/>
        </w:rPr>
        <w:t>and economic dimensions (Dienes et al., 2016).</w:t>
      </w:r>
      <w:r w:rsidR="009D21AA" w:rsidRPr="0001752F">
        <w:rPr>
          <w:rFonts w:cs="Times New Roman"/>
          <w:szCs w:val="24"/>
        </w:rPr>
        <w:t xml:space="preserve"> </w:t>
      </w:r>
      <w:r w:rsidR="003356D6" w:rsidRPr="0001752F">
        <w:rPr>
          <w:rFonts w:cs="Times New Roman"/>
          <w:szCs w:val="24"/>
        </w:rPr>
        <w:t xml:space="preserve">Some SMEs are proactively striving to set themselves apart from their competitors and recognizes </w:t>
      </w:r>
      <w:r w:rsidRPr="0001752F">
        <w:rPr>
          <w:rFonts w:cs="Times New Roman"/>
          <w:szCs w:val="24"/>
        </w:rPr>
        <w:t xml:space="preserve">SR </w:t>
      </w:r>
      <w:r w:rsidR="003356D6" w:rsidRPr="0001752F">
        <w:rPr>
          <w:rFonts w:cs="Times New Roman"/>
          <w:szCs w:val="24"/>
        </w:rPr>
        <w:t xml:space="preserve">as a highly influential and essential marketing tool </w:t>
      </w:r>
      <w:bookmarkStart w:id="13" w:name="_Hlk149397364"/>
      <w:r w:rsidR="003356D6" w:rsidRPr="0001752F">
        <w:rPr>
          <w:rFonts w:cs="Times New Roman"/>
          <w:szCs w:val="24"/>
        </w:rPr>
        <w:fldChar w:fldCharType="begin" w:fldLock="1"/>
      </w:r>
      <w:r w:rsidR="003356D6" w:rsidRPr="0001752F">
        <w:rPr>
          <w:rFonts w:cs="Times New Roman"/>
          <w:szCs w:val="24"/>
        </w:rPr>
        <w:instrText>ADDIN CSL_CITATION {"citationItems":[{"id":"ITEM-1","itemData":{"DOI":"10.1002/bse.2837","ISSN":"10990836","abstract":"The aim of this paper is to identify and gain insights into small and medium-sized enterprises' (SMEs) rationales (why) for engaging in sustainable social and environmental practices (SEPs) that influence social and environmental policy and sustainability changes. Specifically, we depart from the predominately quantitative-orientated SEPs literature by conducting in-depth interviews and analysis of owners and managers of SMEs in the United Kingdom within a legitimacy theoretical framework. Our findings from a comprehensive number of interviewees show that SMEs employ a complex mix of both symbolic and substantive SEPs with the aim of enhancing the legitimacy and sustainability of their operations. The results emphasise the strengths of social engagement, reputation and image, environmental embeddedness, industry differentiation and education facilitators. In particular, the paper shows that legitimating strategies can have a dual purpose of being symbolic in nature but also inferring a substantive legitimacy claim. Evidence of SMEs maintaining their legitimacy position stretches further via either a moral and/or a pragmatic standpoint.","author":[{"dropping-particle":"","family":"Crossley","given":"Richard M.","non-dropping-particle":"","parse-names":false,"suffix":""},{"dropping-particle":"","family":"Elmagrhi","given":"Mohamed H.","non-dropping-particle":"","parse-names":false,"suffix":""},{"dropping-particle":"","family":"Ntim","given":"Collins G.","non-dropping-particle":"","parse-names":false,"suffix":""}],"container-title":"Business Strategy and the Environment","id":"ITEM-1","issue":"8","issued":{"date-parts":[["2021"]]},"page":"3740-3762","title":"Sustainability and legitimacy theory: The case of sustainable social and environmental practices of small and medium-sized enterprises","type":"article-journal","volume":"30"},"uris":["http://www.mendeley.com/documents/?uuid=a8b13438-34b4-4a8d-be36-721538e692c1"]},{"id":"ITEM-2","itemData":{"DOI":"10.3390/su14127365","ISSN":"20711050","abstract":"The aim of this study is to investigate the reasons for the voluntary preparation of a sustainability report and to identify sustainability disclosure practices in the context of non-listed companies. For this purpose, a multiple case study methodology involving five manufacturing Portuguese companies was employed. Data collection consisted of a mixed approach involving interviews with the sustainability report preparers, and content analysis of sustainability reports and company webpages. The results show two main reasons to initiating voluntary sustainability reporting: requirements from specific customers and the parent company, and the need to communicate with stakeholders, in particular customers, the local community, and suppliers. Companies reveal knowledge of sustainability-related concepts and apply frameworks such as GRI Standards and SDG in preparing their sustainability reports. Several departments are involved in preparing the sustainability report (sustainability, quality, environment, human resources, marketing, and/or communication departments), but no company mentioned the financial department. Moreover, on the webpages, sustainability reports and annual reports tend to be presented in separate sections, suggesting that companies still have a way to go in integrating sustainability information with financial information. Overall, the results show that institutional, stakeholder, legitimacy, and signaling theories can provide explanations for the motives and practices adopted by non-listed companies in voluntarily disclosing sustainability information.","author":[{"dropping-particle":"","family":"Carmo","given":"Cecília","non-dropping-particle":"","parse-names":false,"suffix":""},{"dropping-particle":"","family":"Miguéis","given":"Mercedes","non-dropping-particle":"","parse-names":false,"suffix":""}],"container-title":"Sustainability (Switzerland)","id":"ITEM-2","issue":"12","issued":{"date-parts":[["2022"]]},"page":"1-22","title":"Voluntary Sustainability Disclosures in Non-Listed Companies: An Exploratory Study on Motives and Practices","type":"article-journal","volume":"14"},"uris":["http://www.mendeley.com/documents/?uuid=6cf3fba6-921f-4fd0-aa6e-0c85c371cbfe"]}],"mendeley":{"formattedCitation":"(Carmo &amp; Miguéis, 2022; Crossley et al., 2021)","plainTextFormattedCitation":"(Carmo &amp; Miguéis, 2022; Crossley et al., 2021)","previouslyFormattedCitation":"(Carmo &amp; Miguéis, 2022; Crossley et al., 2021)"},"properties":{"noteIndex":0},"schema":"https://github.com/citation-style-language/schema/raw/master/csl-citation.json"}</w:instrText>
      </w:r>
      <w:r w:rsidR="003356D6" w:rsidRPr="0001752F">
        <w:rPr>
          <w:rFonts w:cs="Times New Roman"/>
          <w:szCs w:val="24"/>
        </w:rPr>
        <w:fldChar w:fldCharType="separate"/>
      </w:r>
      <w:r w:rsidR="003356D6" w:rsidRPr="0001752F">
        <w:rPr>
          <w:rFonts w:cs="Times New Roman"/>
          <w:noProof/>
          <w:szCs w:val="24"/>
        </w:rPr>
        <w:t>(Carmo &amp; Miguéis, 2022; Crossley et al., 2021)</w:t>
      </w:r>
      <w:r w:rsidR="003356D6" w:rsidRPr="0001752F">
        <w:rPr>
          <w:rFonts w:cs="Times New Roman"/>
          <w:szCs w:val="24"/>
        </w:rPr>
        <w:fldChar w:fldCharType="end"/>
      </w:r>
      <w:bookmarkEnd w:id="13"/>
      <w:r w:rsidR="003356D6" w:rsidRPr="0001752F">
        <w:rPr>
          <w:rFonts w:cs="Times New Roman"/>
          <w:szCs w:val="24"/>
        </w:rPr>
        <w:t xml:space="preserve">. </w:t>
      </w:r>
      <w:r w:rsidR="003356D6" w:rsidRPr="0001752F">
        <w:rPr>
          <w:rFonts w:cs="Times New Roman"/>
          <w:szCs w:val="24"/>
          <w:lang w:val="en-GB"/>
        </w:rPr>
        <w:t xml:space="preserve">However, </w:t>
      </w:r>
      <w:r w:rsidR="00721D3E" w:rsidRPr="0001752F">
        <w:rPr>
          <w:rFonts w:cs="Times New Roman"/>
          <w:szCs w:val="24"/>
        </w:rPr>
        <w:t>several</w:t>
      </w:r>
      <w:r w:rsidR="009D21AA" w:rsidRPr="0001752F">
        <w:rPr>
          <w:rFonts w:cs="Times New Roman"/>
          <w:szCs w:val="24"/>
        </w:rPr>
        <w:t xml:space="preserve"> </w:t>
      </w:r>
      <w:r w:rsidR="00B5290F" w:rsidRPr="0001752F">
        <w:rPr>
          <w:rFonts w:cs="Times New Roman"/>
          <w:szCs w:val="24"/>
        </w:rPr>
        <w:t xml:space="preserve">documented research findings show a </w:t>
      </w:r>
      <w:r w:rsidR="00695F6A" w:rsidRPr="0001752F">
        <w:rPr>
          <w:rFonts w:cs="Times New Roman"/>
          <w:szCs w:val="24"/>
        </w:rPr>
        <w:t xml:space="preserve">strong focus on large and multinational firms and </w:t>
      </w:r>
      <w:r w:rsidR="004A470B" w:rsidRPr="0001752F">
        <w:rPr>
          <w:rFonts w:cs="Times New Roman"/>
          <w:szCs w:val="24"/>
        </w:rPr>
        <w:t xml:space="preserve">a </w:t>
      </w:r>
      <w:r w:rsidR="00695F6A" w:rsidRPr="0001752F">
        <w:rPr>
          <w:rFonts w:cs="Times New Roman"/>
          <w:szCs w:val="24"/>
        </w:rPr>
        <w:t>dearth of research on SMEs.</w:t>
      </w:r>
      <w:r w:rsidR="005E653F" w:rsidRPr="0001752F">
        <w:rPr>
          <w:rFonts w:cs="Times New Roman"/>
          <w:szCs w:val="24"/>
        </w:rPr>
        <w:t xml:space="preserve"> </w:t>
      </w:r>
      <w:r w:rsidR="00F223A4" w:rsidRPr="0001752F">
        <w:rPr>
          <w:rFonts w:cs="Times New Roman"/>
          <w:szCs w:val="24"/>
        </w:rPr>
        <w:t>Moreover, little is known about the</w:t>
      </w:r>
      <w:r w:rsidR="003356D6" w:rsidRPr="0001752F">
        <w:rPr>
          <w:rFonts w:cs="Times New Roman"/>
          <w:szCs w:val="24"/>
        </w:rPr>
        <w:t xml:space="preserve"> </w:t>
      </w:r>
      <w:r w:rsidR="003356D6" w:rsidRPr="0001752F">
        <w:rPr>
          <w:rFonts w:cs="Times New Roman"/>
          <w:b/>
          <w:bCs/>
          <w:szCs w:val="24"/>
        </w:rPr>
        <w:t>SME</w:t>
      </w:r>
      <w:r w:rsidR="003356D6" w:rsidRPr="0001752F">
        <w:rPr>
          <w:rFonts w:cs="Times New Roman"/>
          <w:szCs w:val="24"/>
        </w:rPr>
        <w:t xml:space="preserve"> </w:t>
      </w:r>
      <w:r w:rsidR="00BD6411" w:rsidRPr="0001752F">
        <w:rPr>
          <w:rFonts w:cs="Times New Roman"/>
          <w:szCs w:val="24"/>
        </w:rPr>
        <w:t>preparers</w:t>
      </w:r>
      <w:r w:rsidR="00201CBC" w:rsidRPr="0001752F">
        <w:rPr>
          <w:rFonts w:cs="Times New Roman"/>
          <w:szCs w:val="24"/>
        </w:rPr>
        <w:t>’</w:t>
      </w:r>
      <w:r w:rsidR="00BD6411" w:rsidRPr="0001752F">
        <w:rPr>
          <w:rFonts w:cs="Times New Roman"/>
          <w:szCs w:val="24"/>
        </w:rPr>
        <w:t xml:space="preserve"> </w:t>
      </w:r>
      <w:r w:rsidR="00F223A4" w:rsidRPr="0001752F">
        <w:rPr>
          <w:rFonts w:cs="Times New Roman"/>
          <w:szCs w:val="24"/>
        </w:rPr>
        <w:t xml:space="preserve"> barriers a</w:t>
      </w:r>
      <w:r w:rsidR="00BD6411" w:rsidRPr="0001752F">
        <w:rPr>
          <w:rFonts w:cs="Times New Roman"/>
          <w:szCs w:val="24"/>
        </w:rPr>
        <w:t>nd motivations for engaging in</w:t>
      </w:r>
      <w:r w:rsidR="00F223A4" w:rsidRPr="0001752F">
        <w:rPr>
          <w:rFonts w:cs="Times New Roman"/>
          <w:szCs w:val="24"/>
        </w:rPr>
        <w:t xml:space="preserve"> </w:t>
      </w:r>
      <w:r w:rsidRPr="0001752F">
        <w:rPr>
          <w:rFonts w:cs="Times New Roman"/>
          <w:szCs w:val="24"/>
        </w:rPr>
        <w:t xml:space="preserve">SR </w:t>
      </w:r>
      <w:r w:rsidR="00F223A4" w:rsidRPr="0001752F">
        <w:rPr>
          <w:rFonts w:cs="Times New Roman"/>
          <w:szCs w:val="24"/>
        </w:rPr>
        <w:t>and one of the possible ways to overcome this</w:t>
      </w:r>
      <w:r w:rsidR="00BD6411" w:rsidRPr="0001752F">
        <w:rPr>
          <w:rFonts w:cs="Times New Roman"/>
          <w:szCs w:val="24"/>
        </w:rPr>
        <w:t xml:space="preserve"> gap</w:t>
      </w:r>
      <w:r w:rsidR="00F223A4" w:rsidRPr="0001752F">
        <w:rPr>
          <w:rFonts w:cs="Times New Roman"/>
          <w:szCs w:val="24"/>
        </w:rPr>
        <w:t xml:space="preserve"> will be by soliciting their views, philosophies and perceptions (</w:t>
      </w:r>
      <w:r w:rsidR="00F223A4" w:rsidRPr="0001752F">
        <w:rPr>
          <w:rFonts w:cs="Times New Roman"/>
          <w:szCs w:val="24"/>
        </w:rPr>
        <w:fldChar w:fldCharType="begin" w:fldLock="1"/>
      </w:r>
      <w:r w:rsidR="00F223A4" w:rsidRPr="0001752F">
        <w:rPr>
          <w:rFonts w:cs="Times New Roman"/>
          <w:szCs w:val="24"/>
        </w:rPr>
        <w:instrText>ADDIN CSL_CITATION {"citationItems":[{"id":"ITEM-1","itemData":{"author":[{"dropping-particle":"","family":"Amran","given":"Azlan","non-dropping-particle":"","parse-names":false,"suffix":""},{"dropping-particle":"","family":"Haniffa","given":"Roszaini","non-dropping-particle":"","parse-names":false,"suffix":""}],"container-title":"Business Strategy and the Environment","id":"ITEM-1","issue":"3","issued":{"date-parts":[["2011"]]},"page":"141-156","title":"Evidence in development of sustainability reporting: a case of a developing...: UMUC Library OneSearch: Business &amp; Management","type":"article-journal","volume":"20"},"uris":["http://www.mendeley.com/documents/?uuid=bbfed54c-6189-4859-b0c9-a50ee365c4bf"]}],"mendeley":{"formattedCitation":"(Amran &amp; Haniffa, 2011)","manualFormatting":"Amran &amp; Haniffa (2011)","plainTextFormattedCitation":"(Amran &amp; Haniffa, 2011)","previouslyFormattedCitation":"(Amran &amp; Haniffa, 2011)"},"properties":{"noteIndex":0},"schema":"https://github.com/citation-style-language/schema/raw/master/csl-citation.json"}</w:instrText>
      </w:r>
      <w:r w:rsidR="00F223A4" w:rsidRPr="0001752F">
        <w:rPr>
          <w:rFonts w:cs="Times New Roman"/>
          <w:szCs w:val="24"/>
        </w:rPr>
        <w:fldChar w:fldCharType="separate"/>
      </w:r>
      <w:r w:rsidR="00F223A4" w:rsidRPr="0001752F">
        <w:rPr>
          <w:rFonts w:cs="Times New Roman"/>
          <w:noProof/>
          <w:szCs w:val="24"/>
        </w:rPr>
        <w:t>Amran &amp; Haniffa, 2011)</w:t>
      </w:r>
      <w:r w:rsidR="00F223A4" w:rsidRPr="0001752F">
        <w:rPr>
          <w:rFonts w:cs="Times New Roman"/>
          <w:szCs w:val="24"/>
        </w:rPr>
        <w:fldChar w:fldCharType="end"/>
      </w:r>
      <w:r w:rsidR="00F223A4" w:rsidRPr="0001752F">
        <w:rPr>
          <w:rFonts w:cs="Times New Roman"/>
          <w:szCs w:val="24"/>
        </w:rPr>
        <w:t xml:space="preserve">. </w:t>
      </w:r>
      <w:r w:rsidR="00D41EE9" w:rsidRPr="0001752F">
        <w:rPr>
          <w:rFonts w:cs="Times New Roman"/>
          <w:szCs w:val="24"/>
        </w:rPr>
        <w:t>Although</w:t>
      </w:r>
      <w:r w:rsidR="00942799" w:rsidRPr="0001752F">
        <w:rPr>
          <w:rFonts w:cs="Times New Roman"/>
          <w:szCs w:val="24"/>
        </w:rPr>
        <w:t xml:space="preserve"> few</w:t>
      </w:r>
      <w:r w:rsidR="00D41EE9" w:rsidRPr="0001752F">
        <w:rPr>
          <w:rFonts w:cs="Times New Roman"/>
          <w:szCs w:val="24"/>
        </w:rPr>
        <w:t xml:space="preserve"> of the studies are based on </w:t>
      </w:r>
      <w:r w:rsidR="004A470B" w:rsidRPr="0001752F">
        <w:rPr>
          <w:rFonts w:cs="Times New Roman"/>
          <w:szCs w:val="24"/>
        </w:rPr>
        <w:t xml:space="preserve">the </w:t>
      </w:r>
      <w:r w:rsidR="00D41EE9" w:rsidRPr="0001752F">
        <w:rPr>
          <w:rFonts w:cs="Times New Roman"/>
          <w:szCs w:val="24"/>
        </w:rPr>
        <w:t>Africa continent; for example</w:t>
      </w:r>
      <w:r w:rsidR="00B80D9D" w:rsidRPr="0001752F">
        <w:rPr>
          <w:rFonts w:cs="Times New Roman"/>
          <w:szCs w:val="24"/>
        </w:rPr>
        <w:t>,</w:t>
      </w:r>
      <w:r w:rsidR="00942799" w:rsidRPr="0001752F">
        <w:rPr>
          <w:rFonts w:cs="Times New Roman"/>
          <w:szCs w:val="24"/>
        </w:rPr>
        <w:t xml:space="preserve"> Egypt (Rizk et al., 2008), Ghana (Rahaman, 2000), South Africa (Mitchell &amp; Hill, 2009; Villiers, 2003) and Uganda (Tauringana, 2021), </w:t>
      </w:r>
      <w:r w:rsidR="006D0BC1" w:rsidRPr="0001752F">
        <w:rPr>
          <w:rFonts w:cs="Times New Roman"/>
          <w:szCs w:val="24"/>
        </w:rPr>
        <w:t>most</w:t>
      </w:r>
      <w:r w:rsidR="00942799" w:rsidRPr="0001752F">
        <w:rPr>
          <w:rFonts w:cs="Times New Roman"/>
          <w:szCs w:val="24"/>
        </w:rPr>
        <w:t xml:space="preserve"> of the docum</w:t>
      </w:r>
      <w:r w:rsidR="00B80D9D" w:rsidRPr="0001752F">
        <w:rPr>
          <w:rFonts w:cs="Times New Roman"/>
          <w:szCs w:val="24"/>
        </w:rPr>
        <w:t>ented evidence</w:t>
      </w:r>
      <w:r w:rsidR="006D0BC1" w:rsidRPr="0001752F">
        <w:rPr>
          <w:rFonts w:cs="Times New Roman"/>
          <w:szCs w:val="24"/>
        </w:rPr>
        <w:t xml:space="preserve"> predominantly focus on developed countries while little attenti</w:t>
      </w:r>
      <w:r w:rsidR="00B80D9D" w:rsidRPr="0001752F">
        <w:rPr>
          <w:rFonts w:cs="Times New Roman"/>
          <w:szCs w:val="24"/>
        </w:rPr>
        <w:t>on is paid to developing countries context</w:t>
      </w:r>
      <w:r w:rsidR="006D0BC1" w:rsidRPr="0001752F">
        <w:rPr>
          <w:rFonts w:cs="Times New Roman"/>
          <w:szCs w:val="24"/>
        </w:rPr>
        <w:t xml:space="preserve">. </w:t>
      </w:r>
      <w:bookmarkStart w:id="14" w:name="_Hlk94295223"/>
      <w:r w:rsidR="003123A6" w:rsidRPr="0001752F">
        <w:rPr>
          <w:rFonts w:cs="Times New Roman"/>
          <w:szCs w:val="24"/>
        </w:rPr>
        <w:t xml:space="preserve">Therefore, the objectives of this study are to investigate the extent of </w:t>
      </w:r>
      <w:r w:rsidRPr="0001752F">
        <w:rPr>
          <w:rFonts w:cs="Times New Roman"/>
          <w:szCs w:val="24"/>
        </w:rPr>
        <w:t xml:space="preserve">SR </w:t>
      </w:r>
      <w:r w:rsidR="003123A6" w:rsidRPr="0001752F">
        <w:rPr>
          <w:rFonts w:cs="Times New Roman"/>
          <w:szCs w:val="24"/>
        </w:rPr>
        <w:t xml:space="preserve">among SMEs in Ghana </w:t>
      </w:r>
      <w:r w:rsidR="00721D3E" w:rsidRPr="0001752F">
        <w:rPr>
          <w:rFonts w:cs="Times New Roman"/>
          <w:szCs w:val="24"/>
        </w:rPr>
        <w:t>and</w:t>
      </w:r>
      <w:r w:rsidR="003123A6" w:rsidRPr="0001752F">
        <w:rPr>
          <w:rFonts w:cs="Times New Roman"/>
          <w:szCs w:val="24"/>
        </w:rPr>
        <w:t xml:space="preserve"> determine the impact of the barriers and motivations on managers' decision to engage in</w:t>
      </w:r>
      <w:r w:rsidR="00D17109" w:rsidRPr="0001752F">
        <w:rPr>
          <w:rFonts w:cs="Times New Roman"/>
          <w:szCs w:val="24"/>
        </w:rPr>
        <w:t xml:space="preserve"> SR</w:t>
      </w:r>
      <w:r w:rsidR="003123A6" w:rsidRPr="0001752F">
        <w:rPr>
          <w:rFonts w:cs="Times New Roman"/>
          <w:szCs w:val="24"/>
        </w:rPr>
        <w:t xml:space="preserve">. </w:t>
      </w:r>
      <w:bookmarkEnd w:id="14"/>
      <w:r w:rsidR="005407FA" w:rsidRPr="0001752F">
        <w:rPr>
          <w:rFonts w:cs="Times New Roman"/>
          <w:szCs w:val="24"/>
        </w:rPr>
        <w:t>The study make</w:t>
      </w:r>
      <w:r w:rsidR="004A470B" w:rsidRPr="0001752F">
        <w:rPr>
          <w:rFonts w:cs="Times New Roman"/>
          <w:szCs w:val="24"/>
        </w:rPr>
        <w:t>s</w:t>
      </w:r>
      <w:r w:rsidR="00441CDF" w:rsidRPr="0001752F">
        <w:rPr>
          <w:rFonts w:cs="Times New Roman"/>
          <w:szCs w:val="24"/>
        </w:rPr>
        <w:t xml:space="preserve"> significant contributions </w:t>
      </w:r>
      <w:r w:rsidR="005407FA" w:rsidRPr="0001752F">
        <w:rPr>
          <w:rFonts w:cs="Times New Roman"/>
          <w:szCs w:val="24"/>
        </w:rPr>
        <w:t xml:space="preserve">by providing new evidence </w:t>
      </w:r>
      <w:r w:rsidR="00441CDF" w:rsidRPr="0001752F">
        <w:rPr>
          <w:rFonts w:cs="Times New Roman"/>
          <w:szCs w:val="24"/>
        </w:rPr>
        <w:t xml:space="preserve">to </w:t>
      </w:r>
      <w:r w:rsidR="00D17109" w:rsidRPr="0001752F">
        <w:rPr>
          <w:rFonts w:cs="Times New Roman"/>
          <w:szCs w:val="24"/>
        </w:rPr>
        <w:t xml:space="preserve">the </w:t>
      </w:r>
      <w:r w:rsidR="00441CDF" w:rsidRPr="0001752F">
        <w:rPr>
          <w:rFonts w:cs="Times New Roman"/>
          <w:szCs w:val="24"/>
        </w:rPr>
        <w:t>existing literature</w:t>
      </w:r>
      <w:r w:rsidR="005407FA" w:rsidRPr="0001752F">
        <w:rPr>
          <w:rFonts w:cs="Times New Roman"/>
          <w:szCs w:val="24"/>
        </w:rPr>
        <w:t xml:space="preserve"> based on SMEs that will</w:t>
      </w:r>
      <w:r w:rsidR="00195015" w:rsidRPr="0001752F">
        <w:rPr>
          <w:rFonts w:cs="Times New Roman"/>
          <w:szCs w:val="24"/>
        </w:rPr>
        <w:t xml:space="preserve"> help </w:t>
      </w:r>
      <w:r w:rsidR="005407FA" w:rsidRPr="0001752F">
        <w:rPr>
          <w:rFonts w:cs="Times New Roman"/>
          <w:szCs w:val="24"/>
        </w:rPr>
        <w:t xml:space="preserve">policymakers to </w:t>
      </w:r>
      <w:r w:rsidR="00195015" w:rsidRPr="0001752F">
        <w:rPr>
          <w:rFonts w:cs="Times New Roman"/>
          <w:szCs w:val="24"/>
        </w:rPr>
        <w:t>develop applicable policies suitable for this unique group other than generalizing evidence and findings of larger and multinational firms to them.</w:t>
      </w:r>
    </w:p>
    <w:p w14:paraId="08A2DE89" w14:textId="4D513368" w:rsidR="00503901" w:rsidRPr="0001752F" w:rsidRDefault="00195015" w:rsidP="00CD1D54">
      <w:pPr>
        <w:spacing w:after="0"/>
        <w:rPr>
          <w:rFonts w:cs="Times New Roman"/>
          <w:szCs w:val="24"/>
        </w:rPr>
      </w:pPr>
      <w:r w:rsidRPr="0001752F">
        <w:rPr>
          <w:rFonts w:cs="Times New Roman"/>
          <w:szCs w:val="24"/>
        </w:rPr>
        <w:t xml:space="preserve"> </w:t>
      </w:r>
    </w:p>
    <w:p w14:paraId="43EF5DA4" w14:textId="1459484B" w:rsidR="007C676D" w:rsidRPr="0001752F" w:rsidRDefault="007C676D" w:rsidP="007C676D">
      <w:pPr>
        <w:pStyle w:val="Heading2"/>
        <w:spacing w:after="0"/>
        <w:rPr>
          <w:rFonts w:cs="Times New Roman"/>
        </w:rPr>
      </w:pPr>
      <w:r w:rsidRPr="0001752F">
        <w:rPr>
          <w:rFonts w:cs="Times New Roman"/>
        </w:rPr>
        <w:t>1.</w:t>
      </w:r>
      <w:r w:rsidR="00937AA9" w:rsidRPr="0001752F">
        <w:rPr>
          <w:rFonts w:cs="Times New Roman"/>
        </w:rPr>
        <w:t>1</w:t>
      </w:r>
      <w:r w:rsidRPr="0001752F">
        <w:rPr>
          <w:rFonts w:cs="Times New Roman"/>
        </w:rPr>
        <w:t xml:space="preserve"> Sustainability Reporting in Developing Countries</w:t>
      </w:r>
    </w:p>
    <w:p w14:paraId="50E82BA0" w14:textId="727BF7E1" w:rsidR="007C676D" w:rsidRPr="0001752F" w:rsidRDefault="007C676D" w:rsidP="007C676D">
      <w:pPr>
        <w:spacing w:after="0"/>
        <w:rPr>
          <w:rFonts w:cs="Times New Roman"/>
          <w:szCs w:val="24"/>
        </w:rPr>
      </w:pPr>
      <w:r w:rsidRPr="0001752F">
        <w:rPr>
          <w:rFonts w:cs="Times New Roman"/>
          <w:szCs w:val="24"/>
        </w:rPr>
        <w:t xml:space="preserve">Sustainability disclosure concepts and related theories have been predominantly developed based on firms in mature market environments in developed countries. These markets are efficient, formalized with strong systems, legislation, and enforcement mechanisms. These characteristics are in sharp contrast with the infant market environment found in developing countries, which are characterized by weak systems, loose regulation, and poor institutional governance structures coupled with corruption, poverty, and weak stakeholder power. Moreover, developing economies lack institutional mechanisms that regulate the reporting dimensions of SMEs; therefore, such published information is hardly produced by SMEs in the context especially where there is limited regulatory enforcement and a more </w:t>
      </w:r>
      <w:r w:rsidRPr="0001752F">
        <w:rPr>
          <w:rFonts w:cs="Times New Roman"/>
          <w:szCs w:val="24"/>
        </w:rPr>
        <w:lastRenderedPageBreak/>
        <w:t xml:space="preserve">concentrated ownership structure. Again,  few studies done in developing countries have been criticized for applying theories, for example, legitimacy and stakeholder that is developed on the basis of evidence from firms in developed economies and are not always valid in the specific context </w:t>
      </w:r>
      <w:r w:rsidRPr="0001752F">
        <w:rPr>
          <w:rFonts w:cs="Times New Roman"/>
          <w:szCs w:val="24"/>
        </w:rPr>
        <w:fldChar w:fldCharType="begin" w:fldLock="1"/>
      </w:r>
      <w:r w:rsidRPr="0001752F">
        <w:rPr>
          <w:rFonts w:cs="Times New Roman"/>
          <w:szCs w:val="24"/>
        </w:rPr>
        <w:instrText>ADDIN CSL_CITATION {"citationItems":[{"id":"ITEM-1","itemData":{"DOI":"10.1016/j.jclepro.2016.04.086","ISSN":"09596526","abstract":"While many studies have investigated sustainability reporting in developed countries there is a dearth of research in developing countries. This is of particular concern, as the majority of the world's population lives in these countries, which experience their own social, political and environmental issues. One of these countries, Sri Lanka, has a population of 20.3 million and is presently experiencing post-conflict economic growth. Sri Lanka faces a number of environmental problems including land degradation, pollution, poor management of water resources, loss of bio-diversity, coastal erosion and poor industrial waste management. This study empirically examines sustainability reporting in publicly listed companies in Sri Lanka, its extent, nature and possible drivers, specifically considering the use of key performance indicators. Results indicate that there is a major focus on social indicators, despite the poor environmental record in the country. The economic context therefore appears to be a significant factor influencing how sustainability reporting develops in Sri Lanka. The findings have implications for policy makers in Sri Lanka as the trend towards foreign investment is likely to increase pressure on firms to comply with global environmental standards and guidelines.","author":[{"dropping-particle":"","family":"Dissanayake","given":"Dinithi","non-dropping-particle":"","parse-names":false,"suffix":""},{"dropping-particle":"","family":"Tilt","given":"Carol","non-dropping-particle":"","parse-names":false,"suffix":""},{"dropping-particle":"","family":"Xydias-Lobo","given":"Maria","non-dropping-particle":"","parse-names":false,"suffix":""}],"container-title":"Journal of Cleaner Production","id":"ITEM-1","issued":{"date-parts":[["2016"]]},"page":"169-182","publisher":"Elsevier Ltd","title":"Sustainability reporting by publicly listed companies in Sri Lanka","type":"article-journal","volume":"129"},"uris":["http://www.mendeley.com/documents/?uuid=b18f2cf4-f6b0-4e29-8ee5-56c5265441d0"]}],"mendeley":{"formattedCitation":"(Dissanayake et al., 2016)","plainTextFormattedCitation":"(Dissanayake et al., 2016)","previouslyFormattedCitation":"(Dissanayake et al., 2016)"},"properties":{"noteIndex":0},"schema":"https://github.com/citation-style-language/schema/raw/master/csl-citation.json"}</w:instrText>
      </w:r>
      <w:r w:rsidRPr="0001752F">
        <w:rPr>
          <w:rFonts w:cs="Times New Roman"/>
          <w:szCs w:val="24"/>
        </w:rPr>
        <w:fldChar w:fldCharType="separate"/>
      </w:r>
      <w:r w:rsidRPr="0001752F">
        <w:rPr>
          <w:rFonts w:cs="Times New Roman"/>
          <w:szCs w:val="24"/>
        </w:rPr>
        <w:t>(Dissanayake et al., 2016)</w:t>
      </w:r>
      <w:r w:rsidRPr="0001752F">
        <w:rPr>
          <w:rFonts w:cs="Times New Roman"/>
          <w:szCs w:val="24"/>
        </w:rPr>
        <w:fldChar w:fldCharType="end"/>
      </w:r>
      <w:r w:rsidRPr="0001752F">
        <w:rPr>
          <w:rFonts w:cs="Times New Roman"/>
          <w:szCs w:val="24"/>
        </w:rPr>
        <w:t xml:space="preserve">. Country contexts with varied environmental, economic, social and institutional dynamics may probably affect firm </w:t>
      </w:r>
      <w:r w:rsidR="00681D8C" w:rsidRPr="0001752F">
        <w:rPr>
          <w:rFonts w:cs="Times New Roman"/>
          <w:szCs w:val="24"/>
        </w:rPr>
        <w:t xml:space="preserve">SR </w:t>
      </w:r>
      <w:r w:rsidRPr="0001752F">
        <w:rPr>
          <w:rFonts w:cs="Times New Roman"/>
          <w:szCs w:val="24"/>
        </w:rPr>
        <w:t xml:space="preserve">practices </w:t>
      </w:r>
      <w:r w:rsidRPr="0001752F">
        <w:rPr>
          <w:rFonts w:cs="Times New Roman"/>
          <w:szCs w:val="24"/>
        </w:rPr>
        <w:fldChar w:fldCharType="begin" w:fldLock="1"/>
      </w:r>
      <w:r w:rsidRPr="0001752F">
        <w:rPr>
          <w:rFonts w:cs="Times New Roman"/>
          <w:szCs w:val="24"/>
        </w:rPr>
        <w:instrText>ADDIN CSL_CITATION {"citationItems":[{"id":"ITEM-1","itemData":{"DOI":"10.1016/j.jclepro.2013.03.002","ISSN":"09596526","abstract":"This paper assesses how sustainability reporting practices have been adopted in organizations which operate in a Southern European country, Portugal, and how those practices are related with environmental management and evaluation systems. A questionnaire survey was carried out in 2006, involving a statistical population of 69 firms, specifically the member companies of the Business Council for Sustainable Development Portugal, the Portuguese branch of the World Business Council for Sustainable Development. The questionnaire survey was designed to assess: (i) the use of environmental management systems (EMS) and environmental performance evaluation (EPE) frameworks and (ii) practices connected with environmental and sustainability performance reporting, namely: report formats; regularity; key target audiences; reporting driving forces; guidelines; and future intentions. The results indicate that the environmental management system was a well-accepted environmental management tool. More than half of the companies surveyed had adopted environmental performance evaluation related frameworks. Corporate sustainability reporting was found to be a growing issue in a high number of organizations. Those companies that produce a sustainability/environmental report have an EMS and EPE in place. Most organizations in the study produced annual reports, in accordance with Global Reporting Initiative guidelines. Despite the increasing interest among organizations in the adoption of environmental and sustainability measurement and reporting practices, this issue was mainly confined to larger companies. The six Portuguese Small and Medium Enterprises analyzed show a poor environmental management and environmental performance evaluation and sustainability reporting profile. The findings show that they needed to be more engaged with these practices. Specific drivers must be used to enable these directions, including environmental education and raising awareness, since that is the first step toward improving the current scenario of reaching a better sustainable profile. © 2013 Elsevier Ltd. All rights reserved.","author":[{"dropping-particle":"","family":"Ramos","given":"Tomás B.","non-dropping-particle":"","parse-names":false,"suffix":""},{"dropping-particle":"","family":"Cecílio","given":"Teresa","non-dropping-particle":"","parse-names":false,"suffix":""},{"dropping-particle":"","family":"Douglas","given":"Calbert H.","non-dropping-particle":"","parse-names":false,"suffix":""},{"dropping-particle":"","family":"Caeiro","given":"Sandra","non-dropping-particle":"","parse-names":false,"suffix":""}],"container-title":"Journal of Cleaner Production","id":"ITEM-1","issued":{"date-parts":[["2013"]]},"page":"317-328","publisher":"Elsevier Ltd","title":"Corporate sustainability reporting and the relations with evaluation and management frameworks: The Portuguese case","type":"article-journal","volume":"52"},"uris":["http://www.mendeley.com/documents/?uuid=2f3c5753-79f4-4d68-8aae-8fbea7c4eb0a"]}],"mendeley":{"formattedCitation":"(Ramos et al., 2013)","plainTextFormattedCitation":"(Ramos et al., 2013)","previouslyFormattedCitation":"(Ramos et al., 2013)"},"properties":{"noteIndex":0},"schema":"https://github.com/citation-style-language/schema/raw/master/csl-citation.json"}</w:instrText>
      </w:r>
      <w:r w:rsidRPr="0001752F">
        <w:rPr>
          <w:rFonts w:cs="Times New Roman"/>
          <w:szCs w:val="24"/>
        </w:rPr>
        <w:fldChar w:fldCharType="separate"/>
      </w:r>
      <w:r w:rsidRPr="0001752F">
        <w:rPr>
          <w:rFonts w:cs="Times New Roman"/>
          <w:szCs w:val="24"/>
        </w:rPr>
        <w:t>(Ramos et al., 2013)</w:t>
      </w:r>
      <w:r w:rsidRPr="0001752F">
        <w:rPr>
          <w:rFonts w:cs="Times New Roman"/>
          <w:szCs w:val="24"/>
        </w:rPr>
        <w:fldChar w:fldCharType="end"/>
      </w:r>
      <w:r w:rsidRPr="0001752F">
        <w:rPr>
          <w:rFonts w:cs="Times New Roman"/>
          <w:szCs w:val="24"/>
        </w:rPr>
        <w:t xml:space="preserve">. </w:t>
      </w:r>
    </w:p>
    <w:p w14:paraId="75DE8B2A" w14:textId="77777777" w:rsidR="007C676D" w:rsidRPr="0001752F" w:rsidRDefault="007C676D" w:rsidP="007C676D">
      <w:pPr>
        <w:spacing w:after="0"/>
        <w:rPr>
          <w:rFonts w:cs="Times New Roman"/>
          <w:szCs w:val="24"/>
        </w:rPr>
      </w:pPr>
    </w:p>
    <w:p w14:paraId="758DB5A1" w14:textId="1C9BB25F" w:rsidR="007C676D" w:rsidRPr="0001752F" w:rsidRDefault="007C676D" w:rsidP="007C676D">
      <w:pPr>
        <w:spacing w:after="0"/>
        <w:rPr>
          <w:rFonts w:cs="Times New Roman"/>
          <w:szCs w:val="24"/>
        </w:rPr>
      </w:pPr>
      <w:r w:rsidRPr="0001752F">
        <w:rPr>
          <w:rFonts w:cs="Times New Roman"/>
          <w:szCs w:val="24"/>
        </w:rPr>
        <w:t xml:space="preserve">Corporate social responsibility (CSR) in developed countries is significantly different from its distinctive manifestation in developing countries (Dartey-Baah &amp; Amponsah-Tawiah, 2011). The study by Visser (2003) on CSR in African countries revealed that CSR is mostly connected with charity or philanthropy through firms’ social investment in health, development, education, sports, community services and the environment. Again, the practice and spirit of CSR in developing countries are often intensely resonant with religious concepts and traditional communitarian values (e.g., African Renaissance, Ubuntu and Omoluwabi), (Dartey-Baah &amp; Amponsah-Tawiah, 2011). Different countries or societies will respond differently to the concept of CSR and the extent of a country’s development may be a key indicator of CSR orientations (Burton et al., 2000). Carroll’s (1991) Pyramid of CSR is one of the cited models in the literature. The model views CSR concept to be outlined in such a manner that the full range of firms’ responsibilities are embraced and also CSR comprises of four social responsibilities: philanthropic, ethical, legal and economic, in order of increasing importance (Dartey-Baah &amp; Amponsah-Tawiah, 2011). Visser (2006) asserts that the relative significance ascribed to the responsibility features of Carroll’s pyramid differs in Africa since philanthropy responsibilities precede legal and ethical responsibilities at the base of the pyramid. Philanthropy responsibility in Africa often is viewed as discretionary acts of successful firms and socio-economic needs account for high prominence of philanthropic responsibilities. Economic priority in African settings is consequential to the prevalence of higher rate of unemployment and widespread poverty. Inadequate legal systems ensuing from the lack of pressure for good conduct, limited resources and administrative inefficiencies account for lower priority for legal responsibilities. Ethical responsibility, despite its importance, appears to have the least effect on the </w:t>
      </w:r>
      <w:r w:rsidR="00681D8C" w:rsidRPr="0001752F">
        <w:rPr>
          <w:rFonts w:cs="Times New Roman"/>
          <w:szCs w:val="24"/>
        </w:rPr>
        <w:t xml:space="preserve">SR </w:t>
      </w:r>
      <w:r w:rsidRPr="0001752F">
        <w:rPr>
          <w:rFonts w:cs="Times New Roman"/>
          <w:szCs w:val="24"/>
        </w:rPr>
        <w:t xml:space="preserve">agenda in Africa and continues to remain the exception rather than the rule. In the context of Ghana, Ofori (2007) assert that corporate managers perceive their societal role as one that involves offering support to the public through social performance that extends </w:t>
      </w:r>
      <w:r w:rsidRPr="0001752F">
        <w:rPr>
          <w:rFonts w:cs="Times New Roman"/>
          <w:szCs w:val="24"/>
        </w:rPr>
        <w:lastRenderedPageBreak/>
        <w:t xml:space="preserve">beyond traditional corporate philanthropy. They strategically engage in actions that support the expectations of diverse stakeholders within the environment in which the firm operates. </w:t>
      </w:r>
    </w:p>
    <w:p w14:paraId="587DC691" w14:textId="77777777" w:rsidR="007C676D" w:rsidRPr="0001752F" w:rsidRDefault="007C676D" w:rsidP="007C676D">
      <w:pPr>
        <w:spacing w:after="0"/>
        <w:rPr>
          <w:rFonts w:cs="Times New Roman"/>
          <w:szCs w:val="24"/>
        </w:rPr>
      </w:pPr>
    </w:p>
    <w:p w14:paraId="6C3783DC" w14:textId="30409BFB" w:rsidR="007C676D" w:rsidRPr="0001752F" w:rsidRDefault="007C676D" w:rsidP="007C676D">
      <w:pPr>
        <w:spacing w:after="0"/>
        <w:rPr>
          <w:rFonts w:cs="Times New Roman"/>
          <w:szCs w:val="24"/>
        </w:rPr>
      </w:pPr>
      <w:r w:rsidRPr="0001752F">
        <w:rPr>
          <w:rFonts w:cs="Times New Roman"/>
          <w:szCs w:val="24"/>
        </w:rPr>
        <w:t xml:space="preserve">CEOs actively embrace and demonstrate a proactive commitment to the </w:t>
      </w:r>
      <w:r w:rsidR="00681D8C" w:rsidRPr="0001752F">
        <w:rPr>
          <w:rFonts w:cs="Times New Roman"/>
          <w:szCs w:val="24"/>
        </w:rPr>
        <w:t xml:space="preserve">SR </w:t>
      </w:r>
      <w:r w:rsidRPr="0001752F">
        <w:rPr>
          <w:rFonts w:cs="Times New Roman"/>
          <w:szCs w:val="24"/>
        </w:rPr>
        <w:t xml:space="preserve">concept, and this is driven by societal and individual ethical norms and values. In Ghana, top executives undertake sustainability activities purposely to enhance their corporate image, gain legitimacy and competitive advantage to remain relevant (Ofori, 2007). The author further affirms that </w:t>
      </w:r>
      <w:r w:rsidR="00681D8C" w:rsidRPr="0001752F">
        <w:rPr>
          <w:rFonts w:cs="Times New Roman"/>
          <w:szCs w:val="24"/>
        </w:rPr>
        <w:t xml:space="preserve">SR </w:t>
      </w:r>
      <w:r w:rsidRPr="0001752F">
        <w:rPr>
          <w:rFonts w:cs="Times New Roman"/>
          <w:szCs w:val="24"/>
        </w:rPr>
        <w:t xml:space="preserve">strategies in Ghana (e.g., societal idiosyncrasies and cultural complexities) appear to influence sustainability practices which cast significant doubt about the applicability of foreign sustainability disclosure strategies. This is a clear manifestation of the difficulty encountered by foreign businesses operating in Ghana to implement </w:t>
      </w:r>
      <w:r w:rsidR="00681D8C" w:rsidRPr="0001752F">
        <w:rPr>
          <w:rFonts w:cs="Times New Roman"/>
          <w:szCs w:val="24"/>
        </w:rPr>
        <w:t xml:space="preserve">SR </w:t>
      </w:r>
      <w:r w:rsidRPr="0001752F">
        <w:rPr>
          <w:rFonts w:cs="Times New Roman"/>
          <w:szCs w:val="24"/>
        </w:rPr>
        <w:t xml:space="preserve">policies formulated by their parent companies. In Ghana, the driving force of </w:t>
      </w:r>
      <w:r w:rsidR="00681D8C" w:rsidRPr="0001752F">
        <w:rPr>
          <w:rFonts w:cs="Times New Roman"/>
          <w:szCs w:val="24"/>
        </w:rPr>
        <w:t xml:space="preserve">SR </w:t>
      </w:r>
      <w:r w:rsidRPr="0001752F">
        <w:rPr>
          <w:rFonts w:cs="Times New Roman"/>
          <w:szCs w:val="24"/>
        </w:rPr>
        <w:t xml:space="preserve">is the firms’ proactive involvement in areas where the government faces challenges, alongside their commitment to charitable and philanthropic endeavors. In contrast to advanced countries where </w:t>
      </w:r>
      <w:r w:rsidR="00681D8C" w:rsidRPr="0001752F">
        <w:rPr>
          <w:rFonts w:cs="Times New Roman"/>
          <w:szCs w:val="24"/>
        </w:rPr>
        <w:t xml:space="preserve">SR </w:t>
      </w:r>
      <w:r w:rsidRPr="0001752F">
        <w:rPr>
          <w:rFonts w:cs="Times New Roman"/>
          <w:szCs w:val="24"/>
        </w:rPr>
        <w:t>is shaped by ethical considerations, formal regulations, and active stakeholder involvement, in developing countries, ethical concerns and brand image seem to have less prominence (Dartey-Baah &amp; Amponsah-Tawiah, 2011). Due to the differences in the contexts of developed and developing countries in culture, political, socio-economic, corporate governance, market access, internationalization and stakeholder activism, there are reasons to confirm whether strategies and theories developed based on practices of advanced economies may be relevant to SMEs in the context of a developing country.</w:t>
      </w:r>
      <w:bookmarkStart w:id="15" w:name="_Toc38937990"/>
    </w:p>
    <w:p w14:paraId="28CA914D" w14:textId="77777777" w:rsidR="007C676D" w:rsidRPr="0001752F" w:rsidRDefault="007C676D" w:rsidP="007C676D">
      <w:pPr>
        <w:spacing w:after="0"/>
        <w:rPr>
          <w:rFonts w:cs="Times New Roman"/>
          <w:szCs w:val="24"/>
        </w:rPr>
      </w:pPr>
    </w:p>
    <w:p w14:paraId="7E34EC8B" w14:textId="77777777" w:rsidR="007C676D" w:rsidRPr="0001752F" w:rsidRDefault="007C676D" w:rsidP="007C676D">
      <w:pPr>
        <w:spacing w:after="0"/>
        <w:rPr>
          <w:rFonts w:cs="Times New Roman"/>
          <w:b/>
          <w:szCs w:val="24"/>
        </w:rPr>
      </w:pPr>
      <w:r w:rsidRPr="0001752F">
        <w:rPr>
          <w:rFonts w:cs="Times New Roman"/>
          <w:b/>
          <w:szCs w:val="24"/>
        </w:rPr>
        <w:t>2.0 Literature review</w:t>
      </w:r>
    </w:p>
    <w:p w14:paraId="4F638BD4" w14:textId="752E58B7" w:rsidR="007C676D" w:rsidRPr="0001752F" w:rsidRDefault="007C676D" w:rsidP="007C676D">
      <w:pPr>
        <w:spacing w:after="0"/>
        <w:rPr>
          <w:rFonts w:cs="Times New Roman"/>
          <w:szCs w:val="24"/>
        </w:rPr>
      </w:pPr>
      <w:r w:rsidRPr="0001752F">
        <w:rPr>
          <w:rFonts w:cs="Times New Roman"/>
          <w:szCs w:val="24"/>
        </w:rPr>
        <w:t>Sustainability reporting</w:t>
      </w:r>
      <w:r w:rsidR="00681D8C" w:rsidRPr="0001752F">
        <w:rPr>
          <w:rFonts w:cs="Times New Roman"/>
          <w:szCs w:val="24"/>
        </w:rPr>
        <w:t xml:space="preserve"> (SR)</w:t>
      </w:r>
      <w:r w:rsidRPr="0001752F">
        <w:rPr>
          <w:rFonts w:cs="Times New Roman"/>
          <w:szCs w:val="24"/>
        </w:rPr>
        <w:t xml:space="preserve"> has become a trending issue in the contemporary business environment </w:t>
      </w:r>
      <w:r w:rsidRPr="0001752F">
        <w:rPr>
          <w:rFonts w:cs="Times New Roman"/>
          <w:szCs w:val="24"/>
        </w:rPr>
        <w:fldChar w:fldCharType="begin" w:fldLock="1"/>
      </w:r>
      <w:r w:rsidRPr="0001752F">
        <w:rPr>
          <w:rFonts w:cs="Times New Roman"/>
          <w:szCs w:val="24"/>
        </w:rPr>
        <w:instrText>ADDIN CSL_CITATION {"citationItems":[{"id":"ITEM-1","itemData":{"DOI":"10.1017/jmo.2023.40","ISSN":"18333672","abstract":"This research aims to analyse the links and potential limiting and supporting factors between sustainability actions and sustainability reporting. Comparing companies involved in sustainability actions and those whose reporting practices lack a formal reporting system, this analysis focuses on Italian small and medium-sized enterprises (SMEs) in the meat and cured meat industry, identifying the perspective (formative) that links sustainability action to communication in these SMEs. The qualitative interpretative approach, based on semistructured interviews, highlights the relevant strengths and weaknesses concerning substantive sustainability actions and the effect of communication on them, providing implications for international and sectoral policies and management choices. Filling a gap in the SME literature concerning their approaches to sustainability reporting and action (and the relationship thereof), this study also introduces, as a widely used practice, 'greenhushing', i.e., the deliberate absence of or limited communication on effectively implemented sustainability practices or their salient results.","author":[{"dropping-particle":"","family":"Galli","given":"Davide","non-dropping-particle":"","parse-names":false,"suffix":""},{"dropping-particle":"","family":"Torelli","given":"Riccardo","non-dropping-particle":"","parse-names":false,"suffix":""},{"dropping-particle":"","family":"Caccialanza","given":"Andrea","non-dropping-particle":"","parse-names":false,"suffix":""}],"container-title":"Journal of Management and Organization","id":"ITEM-1","issued":{"date-parts":[["2023"]]},"title":"Sustainability performance and sustainability reporting in SMEs: A love affair or a fight?","type":"article-journal"},"uris":["http://www.mendeley.com/documents/?uuid=da0d7a93-e0c4-485a-ba37-6390c7e3559c"]}],"mendeley":{"formattedCitation":"(Galli et al., 2023)","plainTextFormattedCitation":"(Galli et al., 2023)","previouslyFormattedCitation":"(Galli et al., 2023)"},"properties":{"noteIndex":0},"schema":"https://github.com/citation-style-language/schema/raw/master/csl-citation.json"}</w:instrText>
      </w:r>
      <w:r w:rsidRPr="0001752F">
        <w:rPr>
          <w:rFonts w:cs="Times New Roman"/>
          <w:szCs w:val="24"/>
        </w:rPr>
        <w:fldChar w:fldCharType="separate"/>
      </w:r>
      <w:r w:rsidRPr="0001752F">
        <w:rPr>
          <w:rFonts w:cs="Times New Roman"/>
          <w:noProof/>
          <w:szCs w:val="24"/>
        </w:rPr>
        <w:t>(Galli et al., 2023)</w:t>
      </w:r>
      <w:r w:rsidRPr="0001752F">
        <w:rPr>
          <w:rFonts w:cs="Times New Roman"/>
          <w:szCs w:val="24"/>
        </w:rPr>
        <w:fldChar w:fldCharType="end"/>
      </w:r>
      <w:r w:rsidRPr="0001752F">
        <w:rPr>
          <w:rFonts w:cs="Times New Roman"/>
          <w:szCs w:val="24"/>
        </w:rPr>
        <w:t xml:space="preserve"> with SMEs increasingly recognizing its significance. Small and medium enterprises often initiate </w:t>
      </w:r>
      <w:r w:rsidR="00681D8C" w:rsidRPr="0001752F">
        <w:rPr>
          <w:rFonts w:cs="Times New Roman"/>
          <w:szCs w:val="24"/>
        </w:rPr>
        <w:t xml:space="preserve">SR </w:t>
      </w:r>
      <w:r w:rsidRPr="0001752F">
        <w:rPr>
          <w:rFonts w:cs="Times New Roman"/>
          <w:szCs w:val="24"/>
        </w:rPr>
        <w:t xml:space="preserve">in response to stakeholder pressures </w:t>
      </w:r>
      <w:r w:rsidRPr="0001752F">
        <w:rPr>
          <w:rFonts w:cs="Times New Roman"/>
          <w:szCs w:val="24"/>
        </w:rPr>
        <w:fldChar w:fldCharType="begin" w:fldLock="1"/>
      </w:r>
      <w:r w:rsidRPr="0001752F">
        <w:rPr>
          <w:rFonts w:cs="Times New Roman"/>
          <w:szCs w:val="24"/>
        </w:rPr>
        <w:instrText>ADDIN CSL_CITATION {"citationItems":[{"id":"ITEM-1","itemData":{"DOI":"10.1108/JAAR-02-2021-0036","ISSN":"09675426","abstract":"Purpose: The paper aims to examine if corporate characteristics, general contextual factors and the internal context differentiate the quality and quantity of the disclosed non-financial Key Performance Indicators (KPIs). Design/methodology/approach: The study is based on content analysis of the disclosures provided by large public interest entities operating in Poland after the introduction of the Directive 2014/95/EU. The quality of the KPIs disclosures is measured with the disclosure index. Regression analysis and selected statistical tests are used to examine the influence of the selected factors on the differences in the index value and corporate disclosure choices as regards the KPIs. Findings: The study findings indicate that the sample companies provide a variety of non-financial KPIs in a manner that makes their effective comparison difficult. The research confirms that mainly industry, ecologists and the reporting standard determine the significant differences in the quality of the KPIs disclosures and the quantity of presented KPIs. Research limitations/implications: The paper adds to the understanding of the differences in the quality of KPIs presentation and the choice of disclosed KPIs. Practical implications: The paper includes suggestions on how to change corporate practice with regard to the non-financial KPIs disclosures. Originality/value: We shed additional light on the importance of internal contextual factors such as the reporting standard and the reporters' experience in providing non-financial KPIs disclosures.","author":[{"dropping-particle":"","family":"Zarzycka","given":"Ewelina","non-dropping-particle":"","parse-names":false,"suffix":""},{"dropping-particle":"","family":"Krasodomska","given":"Joanna","non-dropping-particle":"","parse-names":false,"suffix":""}],"container-title":"Journal of Applied Accounting Research","id":"ITEM-1","issue":"1","issued":{"date-parts":[["2022"]]},"page":"139-162","title":"Non-financial key performance indicators: what determines the differences in the quality and quantity of the disclosures?","type":"article-journal","volume":"23"},"uris":["http://www.mendeley.com/documents/?uuid=c3a4b976-f527-4a77-b9c3-63b4cc7a995a"]},{"id":"ITEM-2","itemData":{"DOI":"10.3390/su14127365","ISSN":"20711050","abstract":"The aim of this study is to investigate the reasons for the voluntary preparation of a sustainability report and to identify sustainability disclosure practices in the context of non-listed companies. For this purpose, a multiple case study methodology involving five manufacturing Portuguese companies was employed. Data collection consisted of a mixed approach involving interviews with the sustainability report preparers, and content analysis of sustainability reports and company webpages. The results show two main reasons to initiating voluntary sustainability reporting: requirements from specific customers and the parent company, and the need to communicate with stakeholders, in particular customers, the local community, and suppliers. Companies reveal knowledge of sustainability-related concepts and apply frameworks such as GRI Standards and SDG in preparing their sustainability reports. Several departments are involved in preparing the sustainability report (sustainability, quality, environment, human resources, marketing, and/or communication departments), but no company mentioned the financial department. Moreover, on the webpages, sustainability reports and annual reports tend to be presented in separate sections, suggesting that companies still have a way to go in integrating sustainability information with financial information. Overall, the results show that institutional, stakeholder, legitimacy, and signaling theories can provide explanations for the motives and practices adopted by non-listed companies in voluntarily disclosing sustainability information.","author":[{"dropping-particle":"","family":"Carmo","given":"Cecília","non-dropping-particle":"","parse-names":false,"suffix":""},{"dropping-particle":"","family":"Miguéis","given":"Mercedes","non-dropping-particle":"","parse-names":false,"suffix":""}],"container-title":"Sustainability (Switzerland)","id":"ITEM-2","issue":"12","issued":{"date-parts":[["2022"]]},"page":"1-22","title":"Voluntary Sustainability Disclosures in Non-Listed Companies: An Exploratory Study on Motives and Practices","type":"article-journal","volume":"14"},"uris":["http://www.mendeley.com/documents/?uuid=6cf3fba6-921f-4fd0-aa6e-0c85c371cbfe"]}],"mendeley":{"formattedCitation":"(Carmo &amp; Miguéis, 2022; Zarzycka &amp; Krasodomska, 2022)","plainTextFormattedCitation":"(Carmo &amp; Miguéis, 2022; Zarzycka &amp; Krasodomska, 2022)","previouslyFormattedCitation":"(Carmo &amp; Miguéis, 2022; Zarzycka &amp; Krasodomska, 2022)"},"properties":{"noteIndex":0},"schema":"https://github.com/citation-style-language/schema/raw/master/csl-citation.json"}</w:instrText>
      </w:r>
      <w:r w:rsidRPr="0001752F">
        <w:rPr>
          <w:rFonts w:cs="Times New Roman"/>
          <w:szCs w:val="24"/>
        </w:rPr>
        <w:fldChar w:fldCharType="separate"/>
      </w:r>
      <w:r w:rsidRPr="0001752F">
        <w:rPr>
          <w:rFonts w:cs="Times New Roman"/>
          <w:noProof/>
          <w:szCs w:val="24"/>
        </w:rPr>
        <w:t>(Carmo &amp; Miguéis, 2022; Zarzycka &amp; Krasodomska, 2022)</w:t>
      </w:r>
      <w:r w:rsidRPr="0001752F">
        <w:rPr>
          <w:rFonts w:cs="Times New Roman"/>
          <w:szCs w:val="24"/>
        </w:rPr>
        <w:fldChar w:fldCharType="end"/>
      </w:r>
      <w:r w:rsidRPr="0001752F">
        <w:rPr>
          <w:rFonts w:cs="Times New Roman"/>
          <w:szCs w:val="24"/>
        </w:rPr>
        <w:t xml:space="preserve">. Hasan (2016) provides insights into how managers of SMEs in Bangladesh perceive the concept of sustainability reporting, by examining the extent to which manufacturing SMEs sustainability issues are incorporated into their normal business activities. Using a survey approach by interviewing 13 managers, the results of the study reveal that, manufacturing SMEs in Bangladesh implement </w:t>
      </w:r>
      <w:r w:rsidR="00681D8C" w:rsidRPr="0001752F">
        <w:rPr>
          <w:rFonts w:cs="Times New Roman"/>
          <w:szCs w:val="24"/>
        </w:rPr>
        <w:t xml:space="preserve">SR </w:t>
      </w:r>
      <w:r w:rsidRPr="0001752F">
        <w:rPr>
          <w:rFonts w:cs="Times New Roman"/>
          <w:szCs w:val="24"/>
        </w:rPr>
        <w:t xml:space="preserve">to a certain extent, however, managers address only those issues that suit their personal motives while many other critical issues such as environmental issues are totally neglected. Also, a study by Dias et al. (2018) examines CSR disclosure practices of 13 Portuguese SMEs and </w:t>
      </w:r>
      <w:r w:rsidRPr="0001752F">
        <w:rPr>
          <w:rFonts w:cs="Times New Roman"/>
          <w:szCs w:val="24"/>
        </w:rPr>
        <w:lastRenderedPageBreak/>
        <w:t>44 Portuguese large, listed firms. Drawing on the stakeholder theory, the study analyzes the firm’s annual reports for 2011 based on content analysis techniques. The findings of the study indicate that firms give priority to sustainability issues that are directly associated with sustaining business and achieving economic results (</w:t>
      </w:r>
      <w:hyperlink r:id="rId11" w:tooltip="Kwame Oduro Amoako" w:history="1">
        <w:r w:rsidRPr="0001752F">
          <w:rPr>
            <w:rStyle w:val="Hyperlink"/>
            <w:rFonts w:cs="Times New Roman"/>
            <w:color w:val="auto"/>
            <w:szCs w:val="24"/>
            <w:u w:val="none"/>
            <w:shd w:val="clear" w:color="auto" w:fill="FFFFFF"/>
          </w:rPr>
          <w:t>Amoako</w:t>
        </w:r>
      </w:hyperlink>
      <w:r w:rsidRPr="0001752F">
        <w:rPr>
          <w:rFonts w:cs="Times New Roman"/>
          <w:szCs w:val="24"/>
        </w:rPr>
        <w:t xml:space="preserve"> et al, 2021; </w:t>
      </w:r>
      <w:hyperlink r:id="rId12" w:tgtFrame="_blank" w:tooltip="View other papers by this author" w:history="1">
        <w:r w:rsidRPr="0001752F">
          <w:rPr>
            <w:rStyle w:val="Hyperlink"/>
            <w:rFonts w:cs="Times New Roman"/>
            <w:color w:val="auto"/>
            <w:szCs w:val="24"/>
            <w:u w:val="none"/>
          </w:rPr>
          <w:t>Pobbi</w:t>
        </w:r>
      </w:hyperlink>
      <w:r w:rsidRPr="0001752F">
        <w:rPr>
          <w:rFonts w:cs="Times New Roman"/>
          <w:szCs w:val="24"/>
        </w:rPr>
        <w:t xml:space="preserve"> et al, 2020; </w:t>
      </w:r>
      <w:hyperlink r:id="rId13" w:tooltip="Clement Lamboi Arthur" w:history="1">
        <w:r w:rsidRPr="0001752F">
          <w:rPr>
            <w:rStyle w:val="Hyperlink"/>
            <w:rFonts w:cs="Times New Roman"/>
            <w:color w:val="auto"/>
            <w:szCs w:val="24"/>
            <w:u w:val="none"/>
            <w:shd w:val="clear" w:color="auto" w:fill="FFFFFF"/>
          </w:rPr>
          <w:t>Arthur</w:t>
        </w:r>
      </w:hyperlink>
      <w:r w:rsidRPr="0001752F">
        <w:rPr>
          <w:rFonts w:cs="Times New Roman"/>
          <w:szCs w:val="24"/>
        </w:rPr>
        <w:t xml:space="preserve"> et al. 2017). Although large firms report more information on society and the environment, sustainability disclosure practices do not differ significantly between SMEs and large firms. Steinhöfel et al. (2019) investigate how SMEs from German manufacturing firms deal with sustainability issues through </w:t>
      </w:r>
      <w:r w:rsidR="00681D8C" w:rsidRPr="0001752F">
        <w:rPr>
          <w:rFonts w:cs="Times New Roman"/>
          <w:szCs w:val="24"/>
        </w:rPr>
        <w:t xml:space="preserve">SR </w:t>
      </w:r>
      <w:r w:rsidRPr="0001752F">
        <w:rPr>
          <w:rFonts w:cs="Times New Roman"/>
          <w:szCs w:val="24"/>
        </w:rPr>
        <w:t xml:space="preserve">implementations. The authors analyzed 14 sustainability reports to determine the extent of applying the framework issued by GRI as well as the disparities between firms that apply the GRI guidelines and firms that do not apply. Content analysis of each of the 14 reports is analyzed in line with the compliance to GRI G4 indicators. The empirical results of the study indicate that the extent of </w:t>
      </w:r>
      <w:r w:rsidR="00681D8C" w:rsidRPr="0001752F">
        <w:rPr>
          <w:rFonts w:cs="Times New Roman"/>
          <w:szCs w:val="24"/>
        </w:rPr>
        <w:t xml:space="preserve">SR </w:t>
      </w:r>
      <w:r w:rsidRPr="0001752F">
        <w:rPr>
          <w:rFonts w:cs="Times New Roman"/>
          <w:szCs w:val="24"/>
        </w:rPr>
        <w:t xml:space="preserve">among German SMEs amounts to 30% while the various sustainability dimensions; Economic, Environmental and Social have reporting rates of 28%, 40% and 24% respectively. Bunclark and Barcellos-Paula (2021) employ a case study method to examine </w:t>
      </w:r>
      <w:r w:rsidR="00681D8C" w:rsidRPr="0001752F">
        <w:rPr>
          <w:rFonts w:cs="Times New Roman"/>
          <w:szCs w:val="24"/>
        </w:rPr>
        <w:t xml:space="preserve">SR </w:t>
      </w:r>
      <w:r w:rsidRPr="0001752F">
        <w:rPr>
          <w:rFonts w:cs="Times New Roman"/>
          <w:szCs w:val="24"/>
        </w:rPr>
        <w:t xml:space="preserve">for the Competitive Business program in Peru by analyzing data of a sample of 72 SMEs from over 20 industrial sectors. The empirical results of the study indicate that social issues are highly reported with 52%, followed by environmental issues with 27% and economic issues with 21%. The findings also show that 78% of SMEs in Peru partially or fully meet sustainability disclosure requirements. Mondal et al. (2021) present a study to determine to what extent </w:t>
      </w:r>
      <w:r w:rsidR="00681D8C" w:rsidRPr="0001752F">
        <w:rPr>
          <w:rFonts w:cs="Times New Roman"/>
          <w:szCs w:val="24"/>
        </w:rPr>
        <w:t xml:space="preserve">SR </w:t>
      </w:r>
      <w:r w:rsidRPr="0001752F">
        <w:rPr>
          <w:rFonts w:cs="Times New Roman"/>
          <w:szCs w:val="24"/>
        </w:rPr>
        <w:t xml:space="preserve">guidelines for both national and international are complied with by the SMEs in India. The study uses the content analysis technique to analyze the annual reports for the period 2018 to 2019 of the sample of 25 listed SMEs across five industrial sectors on the Bursa Stock Exchange. The study’s result reveals that the overall extent of sustainability disclosure level is moderate among Indian SMEs.  </w:t>
      </w:r>
      <w:r w:rsidRPr="0001752F">
        <w:rPr>
          <w:rFonts w:cs="Times New Roman"/>
        </w:rPr>
        <w:t xml:space="preserve">Most of the research gleaned from the literature above shows that the research focuses on developed countries with no particular focus on SMEs. In the specific context of Ghana the literature on </w:t>
      </w:r>
      <w:r w:rsidR="00681D8C" w:rsidRPr="0001752F">
        <w:rPr>
          <w:rFonts w:cs="Times New Roman"/>
        </w:rPr>
        <w:t xml:space="preserve">SR </w:t>
      </w:r>
      <w:r w:rsidRPr="0001752F">
        <w:rPr>
          <w:rFonts w:cs="Times New Roman"/>
        </w:rPr>
        <w:t xml:space="preserve">has focused on mining or the extractive sector even though SMEs across various industries abound (see </w:t>
      </w:r>
      <w:hyperlink r:id="rId14" w:tooltip="Kwame Oduro Amoako" w:history="1">
        <w:r w:rsidRPr="0001752F">
          <w:rPr>
            <w:rStyle w:val="Hyperlink"/>
            <w:rFonts w:cs="Times New Roman"/>
            <w:color w:val="auto"/>
            <w:szCs w:val="24"/>
            <w:u w:val="none"/>
            <w:shd w:val="clear" w:color="auto" w:fill="FFFFFF"/>
          </w:rPr>
          <w:t>Amoako</w:t>
        </w:r>
      </w:hyperlink>
      <w:r w:rsidRPr="0001752F">
        <w:rPr>
          <w:rFonts w:cs="Times New Roman"/>
        </w:rPr>
        <w:t xml:space="preserve"> et al, 2021; </w:t>
      </w:r>
      <w:hyperlink r:id="rId15" w:tgtFrame="_blank" w:tooltip="View other papers by this author" w:history="1">
        <w:r w:rsidRPr="0001752F">
          <w:rPr>
            <w:rStyle w:val="Hyperlink"/>
            <w:rFonts w:cs="Times New Roman"/>
            <w:color w:val="auto"/>
            <w:szCs w:val="24"/>
            <w:u w:val="none"/>
          </w:rPr>
          <w:t>Pobbi</w:t>
        </w:r>
      </w:hyperlink>
      <w:r w:rsidRPr="0001752F">
        <w:rPr>
          <w:rFonts w:cs="Times New Roman"/>
          <w:szCs w:val="24"/>
        </w:rPr>
        <w:t xml:space="preserve"> et al, 2020</w:t>
      </w:r>
      <w:r w:rsidRPr="0001752F">
        <w:rPr>
          <w:rFonts w:cs="Times New Roman"/>
        </w:rPr>
        <w:t xml:space="preserve">; </w:t>
      </w:r>
      <w:hyperlink r:id="rId16" w:tooltip="Clement Lamboi Arthur" w:history="1">
        <w:r w:rsidRPr="0001752F">
          <w:rPr>
            <w:rStyle w:val="Hyperlink"/>
            <w:rFonts w:cs="Times New Roman"/>
            <w:color w:val="auto"/>
            <w:szCs w:val="24"/>
            <w:u w:val="none"/>
            <w:shd w:val="clear" w:color="auto" w:fill="FFFFFF"/>
          </w:rPr>
          <w:t>Arthur</w:t>
        </w:r>
      </w:hyperlink>
      <w:r w:rsidRPr="0001752F">
        <w:rPr>
          <w:rFonts w:cs="Times New Roman"/>
        </w:rPr>
        <w:t xml:space="preserve"> et al. 2017). These studies mostly apply the content analysis method to analyze the sustainability reports of firms (</w:t>
      </w:r>
      <w:hyperlink r:id="rId17" w:tooltip="Clement Lamboi Arthur" w:history="1">
        <w:r w:rsidRPr="0001752F">
          <w:rPr>
            <w:rStyle w:val="Hyperlink"/>
            <w:rFonts w:cs="Times New Roman"/>
            <w:color w:val="auto"/>
            <w:u w:val="none"/>
            <w:shd w:val="clear" w:color="auto" w:fill="FFFFFF"/>
          </w:rPr>
          <w:t>Arthur</w:t>
        </w:r>
      </w:hyperlink>
      <w:r w:rsidRPr="0001752F">
        <w:rPr>
          <w:rFonts w:cs="Times New Roman"/>
        </w:rPr>
        <w:t xml:space="preserve"> et al. 2017).</w:t>
      </w:r>
    </w:p>
    <w:p w14:paraId="38F81D42" w14:textId="77777777" w:rsidR="007C676D" w:rsidRPr="0001752F" w:rsidRDefault="007C676D" w:rsidP="007C676D">
      <w:pPr>
        <w:spacing w:after="0"/>
        <w:rPr>
          <w:rFonts w:cs="Times New Roman"/>
        </w:rPr>
      </w:pPr>
    </w:p>
    <w:p w14:paraId="59E05DB2" w14:textId="77777777" w:rsidR="007C676D" w:rsidRPr="0001752F" w:rsidRDefault="007C676D" w:rsidP="007C676D">
      <w:pPr>
        <w:spacing w:after="0"/>
        <w:rPr>
          <w:rFonts w:cs="Times New Roman"/>
          <w:szCs w:val="24"/>
        </w:rPr>
      </w:pPr>
      <w:r w:rsidRPr="0001752F">
        <w:rPr>
          <w:rFonts w:cs="Times New Roman"/>
          <w:szCs w:val="24"/>
        </w:rPr>
        <w:t xml:space="preserve">Wilmshurst and Frost (2000) analyze the connection between the actual reporting practices and the perceived importance of specific factors leading to the decision to report environmental information in Australia. The authors use a mail survey of financial officers </w:t>
      </w:r>
      <w:r w:rsidRPr="0001752F">
        <w:rPr>
          <w:rFonts w:cs="Times New Roman"/>
          <w:szCs w:val="24"/>
        </w:rPr>
        <w:lastRenderedPageBreak/>
        <w:t>to establish specific factors that influence their decision to engage in environmental reporting contained in the annual report and also analyze the extent of environmental disclosures in the sampled firms’ annual reports. Belal and Owen (2007) also seek to investigate the views of senior corporate managers’ perceptions on the emerging phenomenon of CSR reporting by interviewing twenty-three (23) Bangladeshi nationals who are corporate managers during the period of December 2001 to March 2002. Employing qualitative research method, the key findings of the study reveal that, the main motivation contributing to current disclosure practice emanates from a desire on the part of senior corporate managers to manage powerful stakeholder groups, whilst forces such as demand for foreign buyers and parent companies’ instructions are perceived as pressure from external forces that drive the process forward. Belal and Cooper (2011) focus on the lack of CSR disclosure on three pillars of eco-justice issues: equal opportunities, poverty alleviation and child labor to investigate why this is the case and thereby discussing the causal motives behind corporate management reluctance to address these issues. In the light of this, the authors conduct twenty-three (23) semi-structured interviews with top corporate managers in Bangladesh. The results suggest that the key reasons for CSR non-disclosure include fear of bad publicity, lack of resources, low-profit levels, absence of legal requirements, poor corporate performance, and low awareness/knowledge of CSR reporting issues. Hossain et al. (2015) provide empirical evidence by examining senior managers’ perception and motivations of CSR disclosure in the context of a developing country, Bangladesh. Employing legitimacy and accountability theoretical framework as a lens for CSR disclosure, to achieve the objective of the study, a qualitative research method is adopted by conducting interviews with twenty-five (25) managers from the top 100 listed firms on the Dhaka Stock Exchange. The authors document that senior managers perceive CSR disclosure as a social obligation. It is further revealed that lack of a regulatory framework along with religious factors and socio-cultural are accounting for the low level of CSR disclosures.</w:t>
      </w:r>
    </w:p>
    <w:p w14:paraId="0F776742" w14:textId="77777777" w:rsidR="007C676D" w:rsidRPr="0001752F" w:rsidRDefault="007C676D" w:rsidP="007C676D">
      <w:pPr>
        <w:spacing w:after="0"/>
        <w:rPr>
          <w:rFonts w:cs="Times New Roman"/>
          <w:szCs w:val="24"/>
        </w:rPr>
      </w:pPr>
    </w:p>
    <w:p w14:paraId="72C11089" w14:textId="16DB277E" w:rsidR="007C676D" w:rsidRPr="0001752F" w:rsidRDefault="007C676D" w:rsidP="007C676D">
      <w:pPr>
        <w:spacing w:after="0"/>
        <w:rPr>
          <w:rFonts w:cs="Times New Roman"/>
          <w:szCs w:val="24"/>
        </w:rPr>
      </w:pPr>
      <w:r w:rsidRPr="0001752F">
        <w:rPr>
          <w:rFonts w:cs="Times New Roman"/>
          <w:szCs w:val="24"/>
        </w:rPr>
        <w:t xml:space="preserve">Zhao and Patten (2016) aim to examine the perceptions of top managers in China </w:t>
      </w:r>
      <w:r w:rsidR="005D00F6" w:rsidRPr="0001752F">
        <w:rPr>
          <w:rFonts w:cs="Times New Roman"/>
          <w:szCs w:val="24"/>
        </w:rPr>
        <w:t>regarding</w:t>
      </w:r>
      <w:r w:rsidRPr="0001752F">
        <w:rPr>
          <w:rFonts w:cs="Times New Roman"/>
          <w:szCs w:val="24"/>
        </w:rPr>
        <w:t xml:space="preserve"> the purpose of, and pressures for, CSR reporting in the Chinese context. The study draws on the neo-institutional theory perspective to assess the perceptions of the managers. Conducting an interview for 14 top managers from 9 different state-owned enterprises, the authors document similar findings as in the case of most of the western economies, managers perceive that diversity of normative, </w:t>
      </w:r>
      <w:r w:rsidR="005D00F6" w:rsidRPr="0001752F">
        <w:rPr>
          <w:rFonts w:cs="Times New Roman"/>
          <w:szCs w:val="24"/>
        </w:rPr>
        <w:t>coercive,</w:t>
      </w:r>
      <w:r w:rsidRPr="0001752F">
        <w:rPr>
          <w:rFonts w:cs="Times New Roman"/>
          <w:szCs w:val="24"/>
        </w:rPr>
        <w:t xml:space="preserve"> and mimetic pressures that interplay connects </w:t>
      </w:r>
      <w:r w:rsidRPr="0001752F">
        <w:rPr>
          <w:rFonts w:cs="Times New Roman"/>
          <w:szCs w:val="24"/>
        </w:rPr>
        <w:lastRenderedPageBreak/>
        <w:t xml:space="preserve">to impact CSR reporting in the Chinese context. They further note that managers almost equally see the aim of CSR reporting as a tool to enhance corporate reputation, particularly in the face of the public. Nwobu et al. (2018) examines managerial perceptions of the factors influencing </w:t>
      </w:r>
      <w:r w:rsidR="00681D8C" w:rsidRPr="0001752F">
        <w:rPr>
          <w:rFonts w:cs="Times New Roman"/>
          <w:szCs w:val="24"/>
        </w:rPr>
        <w:t xml:space="preserve">SR </w:t>
      </w:r>
      <w:r w:rsidRPr="0001752F">
        <w:rPr>
          <w:rFonts w:cs="Times New Roman"/>
          <w:szCs w:val="24"/>
        </w:rPr>
        <w:t xml:space="preserve">among banking, consumer goods, industrial goods, oil and gas firms in Nigeria.  Using a sample of 81 firms, a questionnaire is employed as the main data collection tool. The findings of the study show that a mix of perceived factors including mimetic, normative and coercive are factors that appear to influence the </w:t>
      </w:r>
      <w:r w:rsidR="00681D8C" w:rsidRPr="0001752F">
        <w:rPr>
          <w:rFonts w:cs="Times New Roman"/>
          <w:szCs w:val="24"/>
        </w:rPr>
        <w:t xml:space="preserve">SR </w:t>
      </w:r>
      <w:r w:rsidRPr="0001752F">
        <w:rPr>
          <w:rFonts w:cs="Times New Roman"/>
          <w:szCs w:val="24"/>
        </w:rPr>
        <w:t xml:space="preserve">of firms.  </w:t>
      </w:r>
    </w:p>
    <w:p w14:paraId="73A4557F" w14:textId="77777777" w:rsidR="007C676D" w:rsidRPr="0001752F" w:rsidRDefault="007C676D" w:rsidP="007C676D">
      <w:pPr>
        <w:spacing w:after="0"/>
        <w:rPr>
          <w:rFonts w:cs="Times New Roman"/>
          <w:szCs w:val="24"/>
        </w:rPr>
      </w:pPr>
    </w:p>
    <w:p w14:paraId="0270E18D" w14:textId="7DB7FB57" w:rsidR="007C676D" w:rsidRPr="0001752F" w:rsidRDefault="007C676D" w:rsidP="007C676D">
      <w:pPr>
        <w:spacing w:after="0"/>
        <w:rPr>
          <w:rFonts w:cs="Times New Roman"/>
          <w:szCs w:val="24"/>
        </w:rPr>
      </w:pPr>
      <w:r w:rsidRPr="0001752F">
        <w:rPr>
          <w:rFonts w:cs="Times New Roman"/>
          <w:szCs w:val="24"/>
        </w:rPr>
        <w:t xml:space="preserve">Matta et al. (2019) investigate the environmental management practices and determine the perception of top corporate managers on environmental reporting using a structured questionnaire survey to identify the factors influencing firms in the decision to disclose environmental information. Responses indicate that the ultimate perceived reasons for environmental disclosures are long-term survival, improved efficiency, reduction in waste and acknowledging social responsibility. However, no legal requirement to disclose, avoidance of issuing of confidential and sensitive information to avoid potential damage to firm’s image are major perceived reasons for not reporting corporate environmental information. Ismaeel and Zakaria (2020) examine the preparers’ perceptions of corporate </w:t>
      </w:r>
      <w:r w:rsidR="00681D8C" w:rsidRPr="0001752F">
        <w:rPr>
          <w:rFonts w:cs="Times New Roman"/>
          <w:szCs w:val="24"/>
        </w:rPr>
        <w:t xml:space="preserve">SR </w:t>
      </w:r>
      <w:r w:rsidRPr="0001752F">
        <w:rPr>
          <w:rFonts w:cs="Times New Roman"/>
          <w:szCs w:val="24"/>
        </w:rPr>
        <w:t>as a separate voluntary reporting practice among firms in the Middle East Countries. The authors interview seven (7) business executives to ascertain their perception of corporate sustainability reporting. Drawing on the institutional theory, the authors document that sustainability is not perceived and understood in the same way among reporting firms in the Middle East and the difference in business executives’ perception is connected to the scope of firms’ operations, whether it is local or globa</w:t>
      </w:r>
      <w:bookmarkStart w:id="16" w:name="_Toc44465094"/>
      <w:bookmarkStart w:id="17" w:name="_Toc44671106"/>
      <w:bookmarkEnd w:id="15"/>
      <w:r w:rsidRPr="0001752F">
        <w:rPr>
          <w:rFonts w:cs="Times New Roman"/>
          <w:szCs w:val="24"/>
        </w:rPr>
        <w:t xml:space="preserve">l. </w:t>
      </w:r>
      <w:bookmarkStart w:id="18" w:name="_Toc48419429"/>
      <w:bookmarkStart w:id="19" w:name="_Toc78332739"/>
      <w:bookmarkStart w:id="20" w:name="_Toc79716705"/>
      <w:bookmarkEnd w:id="16"/>
      <w:bookmarkEnd w:id="17"/>
    </w:p>
    <w:bookmarkEnd w:id="18"/>
    <w:bookmarkEnd w:id="19"/>
    <w:bookmarkEnd w:id="20"/>
    <w:p w14:paraId="144AFCD7" w14:textId="77777777" w:rsidR="00FF7CE5" w:rsidRPr="0001752F" w:rsidRDefault="00FF7CE5" w:rsidP="007C676D">
      <w:pPr>
        <w:spacing w:after="0"/>
        <w:rPr>
          <w:rFonts w:cs="Times New Roman"/>
          <w:b/>
          <w:szCs w:val="24"/>
        </w:rPr>
      </w:pPr>
    </w:p>
    <w:p w14:paraId="07566586" w14:textId="02B8508C" w:rsidR="00EC5563" w:rsidRPr="0001752F" w:rsidRDefault="00EC5563" w:rsidP="007C676D">
      <w:pPr>
        <w:spacing w:after="0"/>
        <w:rPr>
          <w:rFonts w:cs="Times New Roman"/>
          <w:b/>
          <w:bCs/>
          <w:szCs w:val="24"/>
        </w:rPr>
      </w:pPr>
      <w:r w:rsidRPr="0001752F">
        <w:rPr>
          <w:rFonts w:cs="Times New Roman"/>
          <w:b/>
          <w:bCs/>
          <w:szCs w:val="24"/>
        </w:rPr>
        <w:t>2.1. The Resource-Based View (RBV)</w:t>
      </w:r>
    </w:p>
    <w:p w14:paraId="602C19D9" w14:textId="482539F9" w:rsidR="007C676D" w:rsidRPr="0001752F" w:rsidRDefault="007C676D" w:rsidP="007C676D">
      <w:pPr>
        <w:spacing w:after="0"/>
        <w:rPr>
          <w:rFonts w:cs="Times New Roman"/>
          <w:szCs w:val="24"/>
        </w:rPr>
      </w:pPr>
      <w:r w:rsidRPr="0001752F">
        <w:rPr>
          <w:rFonts w:cs="Times New Roman"/>
          <w:szCs w:val="24"/>
        </w:rPr>
        <w:t xml:space="preserve">The resource-based view, as propounded by Wernerfelt (1984) and Barney (1991) stresses that firms’ resources are divergently distributed and enduring over time. Wernerfelt (1984) and Barney (1991) note that resources are both tangible and intangible assets of the business which include machinery, brand name, trade contacts, customized technology, production efficiency, hire of skilled labor, organizational processes, capabilities, information, firm attributes, knowledge, information etc. and are stable over time or tied semi-permanently to the business. Darcy et al. (2013) adopt RBV as a theoretical lens to espouse the connection between internal capabilities and human resources as a possible source of SMEs' competitive advantage and the long-term sustainability of the firm. The authors debate that the unique </w:t>
      </w:r>
      <w:r w:rsidRPr="0001752F">
        <w:rPr>
          <w:rFonts w:cs="Times New Roman"/>
          <w:szCs w:val="24"/>
        </w:rPr>
        <w:lastRenderedPageBreak/>
        <w:t>attributes of SMEs signify that sustainability disclosure is more likely to be extensive in firms that pay considerable attention to the employee behaviors and talent pool. The authors develop a composite model from the perspective of SMEs, the human resource of the firms’ sustainability and its relevance to the SMEs’ context. The RBV of the firm and the concept of sustained competitive advantage need to become the philosophy of SMEs who are usually identified in the desperate attempt for business survival and growth (Darcy et al., 2013). Thus, the firm that possesses an environmental reputation is thought to be capable of retaining its shareholders and customers in the long run (Sulaiman et al., 2014) and this has the potency to improve its sustainability performance and stability over time. Firms that are extensively visible to media and highly subjected to governmental scrutiny appear to respond to powerful stakeholder demands and adopt sustainability management tools (Uhlaner et al., 2011). Lack of financial and human resources can impede the adoption of sustainability management tools in SMEs (Hillary, 2004) and are therefore most important in the acquisition of relevant knowledge. Since knowledge influences the application of sustainability management tools, considerable attention is needed to increase awareness in SMEs. Managers of SMEs need to be better informed on issues about the relevance of sustainability management tools; so that they can find pathways and opportunities to collect information about these tools (Hörisch et al., 2014</w:t>
      </w:r>
      <w:bookmarkStart w:id="21" w:name="_Hlk149397431"/>
      <w:r w:rsidRPr="0001752F">
        <w:rPr>
          <w:rFonts w:cs="Times New Roman"/>
          <w:szCs w:val="24"/>
        </w:rPr>
        <w:t xml:space="preserve">; </w:t>
      </w:r>
      <w:r w:rsidRPr="0001752F">
        <w:rPr>
          <w:rFonts w:cs="Times New Roman"/>
          <w:noProof/>
          <w:szCs w:val="24"/>
        </w:rPr>
        <w:t>Talbot et al., 2021</w:t>
      </w:r>
      <w:bookmarkEnd w:id="21"/>
      <w:r w:rsidRPr="0001752F">
        <w:rPr>
          <w:rFonts w:cs="Times New Roman"/>
          <w:szCs w:val="24"/>
        </w:rPr>
        <w:t xml:space="preserve">). Small and medium enterprises do not have adequate internal resources to survive hostility that emanates from external forces and are less likely to have access to media visibility. Aragon-Correa et al. (2008) explain that SMEs’ potential to implement proactive environmental practices is related to specific firms’ capabilities based on the unique strategic attributes of SMEs. These characteristics include shorter communication channels and closer interaction within the firm, better personal connections, flexibility in external associations, the presence of owner’s vision, a more focused culture and stronger identity and entrepreneurial orientation. Firms’ competitive advantage from these attributes lies in the managers’ vision and their ability to extend these views to the entire employees. As the theory of RBV posits that societal expectations and demands are part of the external forces that drive a firm to develop unique resources (tangible and intangible) to remain relevant to achieve its objective. Small and medium enterprises individually have, by deﬁnition, very limited operations, limited resources, limited expertise and therefore would not have the technical capability to report sustainability, to the same degree, as compared to very large firms (Parker et al., 2009; Aragon-Correa et al., 2008; </w:t>
      </w:r>
      <w:bookmarkStart w:id="22" w:name="_Hlk149397450"/>
      <w:r w:rsidRPr="0001752F">
        <w:rPr>
          <w:rFonts w:cs="Times New Roman"/>
          <w:szCs w:val="24"/>
        </w:rPr>
        <w:fldChar w:fldCharType="begin" w:fldLock="1"/>
      </w:r>
      <w:r w:rsidRPr="0001752F">
        <w:rPr>
          <w:rFonts w:cs="Times New Roman"/>
          <w:szCs w:val="24"/>
        </w:rPr>
        <w:instrText>ADDIN CSL_CITATION {"citationItems":[{"id":"ITEM-1","itemData":{"DOI":"10.1007/s12652-022-04157-5","ISBN":"0123456789","ISSN":"18685145","abstract":"There has been a growing social commerce adoption trend among SMEs for few years. However, it is often a challenging strategic task for SMEs to choose the right type of social commerce. SMEs usually have a limited budget, technical skills and resources and want to maximise productivity with those limited resources. There is much literature that discusses the social commerce adoption strategy for SMEs. However, there is no work to enable SMEs to choose social commerce—onsite/offsite or hybrid strategy. Moreover, very few studies allow the decision-makers to handle uncertain, complex nonlinear relationships of social commerce adoption factors. The paper proposes a fuzzy linguistic multi-criteria group decision-making in a complex framework for onsite, offsite social commerce adoption to address the problem. The proposed approach uses a novel hybrid approach by combining FAHP, FOWA and selection criteria of the technological–organisation–environment (TOE) framework. Unlike previous methods, the proposed approach uses the decision maker's attitudinal characteristics and recommends intelligently using the OWA operator. The approach further demonstrates the decision behaviour of the decision-makers with Fuzzy Minimum (FMin), Fuzzy Maximum (FMax), Laplace criteria, Hurwicz criteria, FWA, FOWA and FPOWA. The framework enables the SMEs to choose the right type of social commerce considering TOE factors that help them build a stronger relationship with current and potential customers. The approach's applicability is demonstrated using a case study of three SMEs seeking to adopt a social commerce type. The analysis results indicate the proposed approach's effectiveness in handling uncertain, complex nonlinear decisions in social commerce adoption.","author":[{"dropping-particle":"","family":"Hussain","given":"Walayat","non-dropping-particle":"","parse-names":false,"suffix":""},{"dropping-particle":"","family":"Merigo","given":"Jose M.","non-dropping-particle":"","parse-names":false,"suffix":""}],"container-title":"Journal of Ambient Intelligence and Humanized Computing","id":"ITEM-1","issue":"9","issued":{"date-parts":[["2023"]]},"page":"12875-12894","publisher":"Springer Berlin Heidelberg","title":"Onsite/offsite social commerce adoption for SMEs using fuzzy linguistic decision making in complex framework","type":"article-journal","volume":"14"},"uris":["http://www.mendeley.com/documents/?uuid=046913fc-3c46-42d7-9d24-f4f7c702bc82"]}],"mendeley":{"formattedCitation":"(Hussain &amp; Merigo, 2023)","plainTextFormattedCitation":"(Hussain &amp; Merigo, 2023)","previouslyFormattedCitation":"(Hussain &amp; Merigo, 2023)"},"properties":{"noteIndex":0},"schema":"https://github.com/citation-style-language/schema/raw/master/csl-citation.json"}</w:instrText>
      </w:r>
      <w:r w:rsidRPr="0001752F">
        <w:rPr>
          <w:rFonts w:cs="Times New Roman"/>
          <w:szCs w:val="24"/>
        </w:rPr>
        <w:fldChar w:fldCharType="separate"/>
      </w:r>
      <w:r w:rsidRPr="0001752F">
        <w:rPr>
          <w:rFonts w:cs="Times New Roman"/>
          <w:noProof/>
          <w:szCs w:val="24"/>
        </w:rPr>
        <w:t>Hussain &amp; Merigo, 2023</w:t>
      </w:r>
      <w:r w:rsidRPr="0001752F">
        <w:rPr>
          <w:rFonts w:cs="Times New Roman"/>
          <w:szCs w:val="24"/>
        </w:rPr>
        <w:fldChar w:fldCharType="end"/>
      </w:r>
      <w:bookmarkEnd w:id="22"/>
      <w:r w:rsidRPr="0001752F">
        <w:rPr>
          <w:rFonts w:cs="Times New Roman"/>
          <w:szCs w:val="24"/>
        </w:rPr>
        <w:t xml:space="preserve">). Therefore, the extent of </w:t>
      </w:r>
      <w:r w:rsidR="00681D8C" w:rsidRPr="0001752F">
        <w:rPr>
          <w:rFonts w:cs="Times New Roman"/>
          <w:szCs w:val="24"/>
        </w:rPr>
        <w:t xml:space="preserve">SR </w:t>
      </w:r>
      <w:r w:rsidRPr="0001752F">
        <w:rPr>
          <w:rFonts w:cs="Times New Roman"/>
          <w:szCs w:val="24"/>
        </w:rPr>
        <w:t xml:space="preserve">among </w:t>
      </w:r>
      <w:r w:rsidRPr="0001752F">
        <w:rPr>
          <w:rFonts w:cs="Times New Roman"/>
          <w:szCs w:val="24"/>
        </w:rPr>
        <w:lastRenderedPageBreak/>
        <w:t xml:space="preserve">other factors is determined by the firms’ resource capacity. Hence, RBV is a suitable theory to draw upon to espouse </w:t>
      </w:r>
      <w:r w:rsidR="00681D8C" w:rsidRPr="0001752F">
        <w:rPr>
          <w:rFonts w:cs="Times New Roman"/>
          <w:szCs w:val="24"/>
        </w:rPr>
        <w:t xml:space="preserve">SR </w:t>
      </w:r>
      <w:r w:rsidRPr="0001752F">
        <w:rPr>
          <w:rFonts w:cs="Times New Roman"/>
          <w:szCs w:val="24"/>
        </w:rPr>
        <w:t>practices among SMEs.</w:t>
      </w:r>
    </w:p>
    <w:p w14:paraId="35252FCD" w14:textId="77777777" w:rsidR="006F34C5" w:rsidRPr="0001752F" w:rsidRDefault="006F34C5" w:rsidP="007C676D">
      <w:pPr>
        <w:spacing w:after="0"/>
        <w:rPr>
          <w:rFonts w:cs="Times New Roman"/>
          <w:szCs w:val="24"/>
        </w:rPr>
      </w:pPr>
    </w:p>
    <w:p w14:paraId="5BA4B884" w14:textId="1B6BF203" w:rsidR="00F6677A" w:rsidRPr="0001752F" w:rsidRDefault="00937AA9" w:rsidP="005F1240">
      <w:pPr>
        <w:pStyle w:val="Heading2"/>
        <w:spacing w:after="0"/>
        <w:rPr>
          <w:rFonts w:cs="Times New Roman"/>
        </w:rPr>
      </w:pPr>
      <w:r w:rsidRPr="0001752F">
        <w:rPr>
          <w:rFonts w:cs="Times New Roman"/>
        </w:rPr>
        <w:t>3</w:t>
      </w:r>
      <w:r w:rsidR="00BB08C3" w:rsidRPr="0001752F">
        <w:rPr>
          <w:rFonts w:cs="Times New Roman"/>
        </w:rPr>
        <w:t>.0 Data and method</w:t>
      </w:r>
      <w:r w:rsidR="00E56033" w:rsidRPr="0001752F">
        <w:rPr>
          <w:rFonts w:cs="Times New Roman"/>
        </w:rPr>
        <w:t>s</w:t>
      </w:r>
    </w:p>
    <w:p w14:paraId="206F6602" w14:textId="77522C64" w:rsidR="00E02062" w:rsidRPr="0001752F" w:rsidRDefault="0054355F" w:rsidP="00662A1E">
      <w:pPr>
        <w:rPr>
          <w:rFonts w:cs="Times New Roman"/>
          <w:szCs w:val="24"/>
        </w:rPr>
      </w:pPr>
      <w:r w:rsidRPr="0001752F">
        <w:rPr>
          <w:rFonts w:cs="Times New Roman"/>
          <w:szCs w:val="24"/>
        </w:rPr>
        <w:t>The data for this study w</w:t>
      </w:r>
      <w:r w:rsidR="00721D3E" w:rsidRPr="0001752F">
        <w:rPr>
          <w:rFonts w:cs="Times New Roman"/>
          <w:szCs w:val="24"/>
        </w:rPr>
        <w:t>as</w:t>
      </w:r>
      <w:r w:rsidRPr="0001752F">
        <w:rPr>
          <w:rFonts w:cs="Times New Roman"/>
          <w:szCs w:val="24"/>
        </w:rPr>
        <w:t xml:space="preserve"> collected</w:t>
      </w:r>
      <w:r w:rsidR="00C8344D" w:rsidRPr="0001752F">
        <w:rPr>
          <w:rFonts w:cs="Times New Roman"/>
          <w:szCs w:val="24"/>
        </w:rPr>
        <w:t xml:space="preserve"> through a</w:t>
      </w:r>
      <w:r w:rsidRPr="0001752F">
        <w:rPr>
          <w:rFonts w:cs="Times New Roman"/>
          <w:szCs w:val="24"/>
        </w:rPr>
        <w:t xml:space="preserve"> cross</w:t>
      </w:r>
      <w:r w:rsidR="00C8344D" w:rsidRPr="0001752F">
        <w:rPr>
          <w:rFonts w:cs="Times New Roman"/>
          <w:szCs w:val="24"/>
        </w:rPr>
        <w:t>-</w:t>
      </w:r>
      <w:r w:rsidRPr="0001752F">
        <w:rPr>
          <w:rFonts w:cs="Times New Roman"/>
          <w:szCs w:val="24"/>
        </w:rPr>
        <w:t>sectional</w:t>
      </w:r>
      <w:r w:rsidR="00C8344D" w:rsidRPr="0001752F">
        <w:rPr>
          <w:rFonts w:cs="Times New Roman"/>
          <w:szCs w:val="24"/>
        </w:rPr>
        <w:t xml:space="preserve"> survey with </w:t>
      </w:r>
      <w:r w:rsidRPr="0001752F">
        <w:rPr>
          <w:rFonts w:cs="Times New Roman"/>
          <w:szCs w:val="24"/>
        </w:rPr>
        <w:t xml:space="preserve">the administration of a fully standardized and structured questionnaire. </w:t>
      </w:r>
      <w:r w:rsidR="00154E9B" w:rsidRPr="0001752F">
        <w:rPr>
          <w:rFonts w:cs="Times New Roman"/>
          <w:szCs w:val="24"/>
        </w:rPr>
        <w:t>This approach was adopted as i</w:t>
      </w:r>
      <w:r w:rsidR="00721D3E" w:rsidRPr="0001752F">
        <w:rPr>
          <w:rFonts w:cs="Times New Roman"/>
          <w:szCs w:val="24"/>
        </w:rPr>
        <w:t>t</w:t>
      </w:r>
      <w:r w:rsidR="00154E9B" w:rsidRPr="0001752F">
        <w:rPr>
          <w:rFonts w:cs="Times New Roman"/>
          <w:szCs w:val="24"/>
        </w:rPr>
        <w:t xml:space="preserve"> allows the collection of data from multiple SMEs at a single point in time, prov</w:t>
      </w:r>
      <w:r w:rsidR="00927ABB" w:rsidRPr="0001752F">
        <w:rPr>
          <w:rFonts w:cs="Times New Roman"/>
          <w:szCs w:val="24"/>
        </w:rPr>
        <w:t xml:space="preserve">iding a notion on their views on sustainability reporting. The study focused on the primary data collection method to ensure the relevance and specificity of the findings to the SMEs context. </w:t>
      </w:r>
      <w:bookmarkStart w:id="23" w:name="_Hlk102707160"/>
      <w:r w:rsidR="00662A1E" w:rsidRPr="0001752F">
        <w:rPr>
          <w:rFonts w:cs="Times New Roman"/>
          <w:szCs w:val="24"/>
        </w:rPr>
        <w:t>The total population of the study consists of 592 firms belonging to the manufacturing and service industries. For the purpose of fair representation of the target population and minimization of sampling error or sampling bias, firms are sampled based on industrial affiliation using a simple random sampling technique (Ezeah and Roberts 2012). Yamane’s (1973) formula is employed to establish an adequate sample size. The formula is n=N/1+N(e)2 where: n = the sample size, N = the population, and e = the degree of error estimated at 5% for this study. The final sample consists of 239 firms belonging to manufacturing (98) and service (141).</w:t>
      </w:r>
      <w:bookmarkEnd w:id="23"/>
      <w:r w:rsidR="00662A1E" w:rsidRPr="0001752F">
        <w:rPr>
          <w:rFonts w:cs="Times New Roman"/>
          <w:szCs w:val="24"/>
        </w:rPr>
        <w:t xml:space="preserve"> </w:t>
      </w:r>
      <w:r w:rsidR="00CA5B6E" w:rsidRPr="0001752F">
        <w:rPr>
          <w:rFonts w:cs="Times New Roman"/>
          <w:szCs w:val="24"/>
        </w:rPr>
        <w:t xml:space="preserve">A </w:t>
      </w:r>
      <w:r w:rsidR="00927ABB" w:rsidRPr="0001752F">
        <w:rPr>
          <w:rFonts w:cs="Times New Roman"/>
          <w:szCs w:val="24"/>
        </w:rPr>
        <w:t>face-to-face approach was chosen to establish a personal connection with the respondents and ensure clarity of questions</w:t>
      </w:r>
      <w:r w:rsidR="0091146A" w:rsidRPr="0001752F">
        <w:rPr>
          <w:rFonts w:cs="Times New Roman"/>
          <w:szCs w:val="24"/>
        </w:rPr>
        <w:t>. Out of the 239 questionnaires administered, only 188 were received</w:t>
      </w:r>
      <w:r w:rsidR="00E6275C" w:rsidRPr="0001752F">
        <w:rPr>
          <w:rFonts w:cs="Times New Roman"/>
          <w:szCs w:val="24"/>
        </w:rPr>
        <w:t>. Five (</w:t>
      </w:r>
      <w:r w:rsidR="0091146A" w:rsidRPr="0001752F">
        <w:rPr>
          <w:rFonts w:cs="Times New Roman"/>
          <w:szCs w:val="24"/>
        </w:rPr>
        <w:t>5</w:t>
      </w:r>
      <w:r w:rsidR="00E6275C" w:rsidRPr="0001752F">
        <w:rPr>
          <w:rFonts w:cs="Times New Roman"/>
          <w:szCs w:val="24"/>
        </w:rPr>
        <w:t>)</w:t>
      </w:r>
      <w:r w:rsidR="0091146A" w:rsidRPr="0001752F">
        <w:rPr>
          <w:rFonts w:cs="Times New Roman"/>
          <w:szCs w:val="24"/>
        </w:rPr>
        <w:t xml:space="preserve"> were partially answered and thus deemed unusable. The final data set consisted</w:t>
      </w:r>
      <w:r w:rsidR="00E6275C" w:rsidRPr="0001752F">
        <w:rPr>
          <w:rFonts w:cs="Times New Roman"/>
          <w:szCs w:val="24"/>
        </w:rPr>
        <w:t xml:space="preserve"> of </w:t>
      </w:r>
      <w:r w:rsidR="0091146A" w:rsidRPr="0001752F">
        <w:rPr>
          <w:rFonts w:cs="Times New Roman"/>
          <w:szCs w:val="24"/>
        </w:rPr>
        <w:t xml:space="preserve">183 fully answered questionnaires, representing a response rate of approximately 76%. </w:t>
      </w:r>
      <w:r w:rsidR="008A6301" w:rsidRPr="0001752F">
        <w:rPr>
          <w:rFonts w:cs="Times New Roman"/>
          <w:szCs w:val="24"/>
        </w:rPr>
        <w:t>Th</w:t>
      </w:r>
      <w:r w:rsidR="000F0B6F" w:rsidRPr="0001752F">
        <w:rPr>
          <w:rFonts w:cs="Times New Roman"/>
          <w:szCs w:val="24"/>
        </w:rPr>
        <w:t>is</w:t>
      </w:r>
      <w:r w:rsidR="008A6301" w:rsidRPr="0001752F">
        <w:rPr>
          <w:rFonts w:cs="Times New Roman"/>
          <w:szCs w:val="24"/>
        </w:rPr>
        <w:t xml:space="preserve"> sample o</w:t>
      </w:r>
      <w:r w:rsidR="000F0B6F" w:rsidRPr="0001752F">
        <w:rPr>
          <w:rFonts w:cs="Times New Roman"/>
          <w:szCs w:val="24"/>
        </w:rPr>
        <w:t xml:space="preserve">f </w:t>
      </w:r>
      <w:r w:rsidR="008A6301" w:rsidRPr="0001752F">
        <w:rPr>
          <w:rFonts w:cs="Times New Roman"/>
          <w:szCs w:val="24"/>
        </w:rPr>
        <w:t>SMEs is considered statistically significant, as it provides a representative subset of the target population. The response rate of approximately 76%</w:t>
      </w:r>
      <w:r w:rsidR="002A7100" w:rsidRPr="0001752F">
        <w:rPr>
          <w:rFonts w:cs="Times New Roman"/>
          <w:szCs w:val="24"/>
        </w:rPr>
        <w:t xml:space="preserve"> of 239 SMEs</w:t>
      </w:r>
      <w:r w:rsidR="008A6301" w:rsidRPr="0001752F">
        <w:rPr>
          <w:rFonts w:cs="Times New Roman"/>
          <w:szCs w:val="24"/>
        </w:rPr>
        <w:t xml:space="preserve"> is strong, indicating a high level of interest and engagement from the SMEs and this improves the reliability of the data collected. </w:t>
      </w:r>
    </w:p>
    <w:p w14:paraId="2E673D7C" w14:textId="77777777" w:rsidR="00E02062" w:rsidRPr="0001752F" w:rsidRDefault="00E02062" w:rsidP="005F1240">
      <w:pPr>
        <w:spacing w:after="0"/>
        <w:rPr>
          <w:rFonts w:cs="Times New Roman"/>
          <w:szCs w:val="24"/>
        </w:rPr>
      </w:pPr>
    </w:p>
    <w:p w14:paraId="6950361A" w14:textId="464C6422" w:rsidR="00CD1D54" w:rsidRPr="0001752F" w:rsidRDefault="00E02062" w:rsidP="005F1240">
      <w:pPr>
        <w:spacing w:after="0"/>
        <w:rPr>
          <w:rFonts w:cs="Times New Roman"/>
          <w:szCs w:val="24"/>
        </w:rPr>
      </w:pPr>
      <w:r w:rsidRPr="0001752F">
        <w:rPr>
          <w:rFonts w:cs="Times New Roman"/>
          <w:szCs w:val="24"/>
        </w:rPr>
        <w:t>The statistical software STATA was used to analyze the data into descriptive statistics, percentages</w:t>
      </w:r>
      <w:r w:rsidR="00FF7CE5" w:rsidRPr="0001752F">
        <w:rPr>
          <w:rFonts w:cs="Times New Roman"/>
          <w:szCs w:val="24"/>
        </w:rPr>
        <w:t>,</w:t>
      </w:r>
      <w:r w:rsidRPr="0001752F">
        <w:rPr>
          <w:rFonts w:cs="Times New Roman"/>
          <w:szCs w:val="24"/>
        </w:rPr>
        <w:t xml:space="preserve"> and frequencies and to generate relevant output tables. Measurement items within the questionnaire were designed with binary ‘Yes’ and ‘No’ responses, facilitating a clear </w:t>
      </w:r>
      <w:r w:rsidR="00FF7CE5" w:rsidRPr="0001752F">
        <w:rPr>
          <w:rFonts w:cs="Times New Roman"/>
          <w:szCs w:val="24"/>
        </w:rPr>
        <w:t>understanding of</w:t>
      </w:r>
      <w:r w:rsidRPr="0001752F">
        <w:rPr>
          <w:rFonts w:cs="Times New Roman"/>
          <w:szCs w:val="24"/>
        </w:rPr>
        <w:t xml:space="preserve"> SMEs’ </w:t>
      </w:r>
      <w:r w:rsidR="00681D8C" w:rsidRPr="0001752F">
        <w:rPr>
          <w:rFonts w:cs="Times New Roman"/>
          <w:szCs w:val="24"/>
        </w:rPr>
        <w:t xml:space="preserve">SR </w:t>
      </w:r>
      <w:r w:rsidRPr="0001752F">
        <w:rPr>
          <w:rFonts w:cs="Times New Roman"/>
          <w:szCs w:val="24"/>
        </w:rPr>
        <w:t xml:space="preserve">practices. The extent of </w:t>
      </w:r>
      <w:r w:rsidR="00681D8C" w:rsidRPr="0001752F">
        <w:rPr>
          <w:rFonts w:cs="Times New Roman"/>
          <w:szCs w:val="24"/>
        </w:rPr>
        <w:t xml:space="preserve">SR </w:t>
      </w:r>
      <w:r w:rsidRPr="0001752F">
        <w:rPr>
          <w:rFonts w:cs="Times New Roman"/>
          <w:szCs w:val="24"/>
        </w:rPr>
        <w:t xml:space="preserve">was evaluated through the computation of percentages. Motivations and barriers to </w:t>
      </w:r>
      <w:r w:rsidR="00681D8C" w:rsidRPr="0001752F">
        <w:rPr>
          <w:rFonts w:cs="Times New Roman"/>
          <w:szCs w:val="24"/>
        </w:rPr>
        <w:t xml:space="preserve">SR </w:t>
      </w:r>
      <w:r w:rsidRPr="0001752F">
        <w:rPr>
          <w:rFonts w:cs="Times New Roman"/>
          <w:szCs w:val="24"/>
        </w:rPr>
        <w:t>were subjected through descriptive statistics, specifically, the minimum, maximum</w:t>
      </w:r>
      <w:r w:rsidR="002A7100" w:rsidRPr="0001752F">
        <w:rPr>
          <w:rFonts w:cs="Times New Roman"/>
          <w:szCs w:val="24"/>
        </w:rPr>
        <w:t>, mean</w:t>
      </w:r>
      <w:r w:rsidRPr="0001752F">
        <w:rPr>
          <w:rFonts w:cs="Times New Roman"/>
          <w:szCs w:val="24"/>
        </w:rPr>
        <w:t xml:space="preserve"> and standard deviation. A t-test was applied to examine the mean significance. This allowed for the assessment of potential variations in motivations and barriers. </w:t>
      </w:r>
      <w:r w:rsidR="00CA5B6E" w:rsidRPr="0001752F">
        <w:rPr>
          <w:rFonts w:cs="Times New Roman"/>
          <w:szCs w:val="24"/>
        </w:rPr>
        <w:t xml:space="preserve">The sample for the study was categorized </w:t>
      </w:r>
      <w:r w:rsidR="00CA5B6E" w:rsidRPr="0001752F">
        <w:rPr>
          <w:rFonts w:cs="Times New Roman"/>
          <w:szCs w:val="24"/>
        </w:rPr>
        <w:lastRenderedPageBreak/>
        <w:t>according to the predominant business activities conducted by the Ghanaian SMEs.</w:t>
      </w:r>
      <w:r w:rsidR="00AF7412" w:rsidRPr="0001752F">
        <w:rPr>
          <w:rFonts w:cs="Times New Roman"/>
          <w:szCs w:val="24"/>
        </w:rPr>
        <w:t xml:space="preserve"> The peculiarity of the service and manufacturing sectors to national development agenda has been extolled in recent times in the context of Ghana.</w:t>
      </w:r>
      <w:r w:rsidR="00CA5B6E" w:rsidRPr="0001752F">
        <w:rPr>
          <w:rFonts w:cs="Times New Roman"/>
          <w:szCs w:val="24"/>
        </w:rPr>
        <w:t xml:space="preserve"> </w:t>
      </w:r>
      <w:r w:rsidR="005C43F2" w:rsidRPr="0001752F">
        <w:rPr>
          <w:rFonts w:cs="Times New Roman"/>
          <w:szCs w:val="24"/>
        </w:rPr>
        <w:t xml:space="preserve">Table </w:t>
      </w:r>
      <w:r w:rsidR="002A7100" w:rsidRPr="0001752F">
        <w:rPr>
          <w:rFonts w:cs="Times New Roman"/>
          <w:szCs w:val="24"/>
        </w:rPr>
        <w:t>3</w:t>
      </w:r>
      <w:r w:rsidR="005C43F2" w:rsidRPr="0001752F">
        <w:rPr>
          <w:rFonts w:cs="Times New Roman"/>
          <w:szCs w:val="24"/>
        </w:rPr>
        <w:t>.1</w:t>
      </w:r>
      <w:r w:rsidR="002F482E" w:rsidRPr="0001752F">
        <w:rPr>
          <w:rFonts w:cs="Times New Roman"/>
          <w:szCs w:val="24"/>
        </w:rPr>
        <w:t xml:space="preserve"> provides an overview of the sample composition based on business type. </w:t>
      </w:r>
    </w:p>
    <w:p w14:paraId="5DD46E08" w14:textId="2D2B977E" w:rsidR="000329C8" w:rsidRPr="0001752F" w:rsidRDefault="00A06038" w:rsidP="000329C8">
      <w:pPr>
        <w:pStyle w:val="t"/>
      </w:pPr>
      <w:bookmarkStart w:id="24" w:name="_Toc83279937"/>
      <w:r w:rsidRPr="0001752F">
        <w:t xml:space="preserve">Table </w:t>
      </w:r>
      <w:r w:rsidR="00937AA9" w:rsidRPr="0001752F">
        <w:t>3</w:t>
      </w:r>
      <w:r w:rsidR="000329C8" w:rsidRPr="0001752F">
        <w:t>.1 Industrial affiliation of sampled firms.</w:t>
      </w:r>
      <w:bookmarkEnd w:id="24"/>
    </w:p>
    <w:tbl>
      <w:tblPr>
        <w:tblStyle w:val="TableGrid"/>
        <w:tblW w:w="0" w:type="auto"/>
        <w:tblLook w:val="04A0" w:firstRow="1" w:lastRow="0" w:firstColumn="1" w:lastColumn="0" w:noHBand="0" w:noVBand="1"/>
      </w:tblPr>
      <w:tblGrid>
        <w:gridCol w:w="2132"/>
        <w:gridCol w:w="3045"/>
        <w:gridCol w:w="1526"/>
        <w:gridCol w:w="1596"/>
      </w:tblGrid>
      <w:tr w:rsidR="0001752F" w:rsidRPr="0001752F" w14:paraId="2C0B0CE3" w14:textId="77777777" w:rsidTr="00254D30">
        <w:tc>
          <w:tcPr>
            <w:tcW w:w="2132" w:type="dxa"/>
            <w:tcBorders>
              <w:bottom w:val="single" w:sz="4" w:space="0" w:color="auto"/>
            </w:tcBorders>
          </w:tcPr>
          <w:p w14:paraId="398E0F2F" w14:textId="77777777" w:rsidR="000329C8" w:rsidRPr="0001752F" w:rsidRDefault="000329C8" w:rsidP="0043268A">
            <w:pPr>
              <w:spacing w:line="240" w:lineRule="auto"/>
              <w:rPr>
                <w:rFonts w:cs="Times New Roman"/>
                <w:b/>
                <w:szCs w:val="24"/>
              </w:rPr>
            </w:pPr>
            <w:r w:rsidRPr="0001752F">
              <w:rPr>
                <w:rFonts w:cs="Times New Roman"/>
                <w:b/>
                <w:szCs w:val="24"/>
              </w:rPr>
              <w:t>Industry affiliation</w:t>
            </w:r>
          </w:p>
        </w:tc>
        <w:tc>
          <w:tcPr>
            <w:tcW w:w="3045" w:type="dxa"/>
          </w:tcPr>
          <w:p w14:paraId="19E95598" w14:textId="77777777" w:rsidR="000329C8" w:rsidRPr="0001752F" w:rsidRDefault="000329C8" w:rsidP="0043268A">
            <w:pPr>
              <w:spacing w:line="240" w:lineRule="auto"/>
              <w:rPr>
                <w:rFonts w:cs="Times New Roman"/>
                <w:b/>
                <w:szCs w:val="24"/>
              </w:rPr>
            </w:pPr>
            <w:r w:rsidRPr="0001752F">
              <w:rPr>
                <w:rFonts w:cs="Times New Roman"/>
                <w:b/>
                <w:szCs w:val="24"/>
              </w:rPr>
              <w:t>Business type</w:t>
            </w:r>
          </w:p>
        </w:tc>
        <w:tc>
          <w:tcPr>
            <w:tcW w:w="1526" w:type="dxa"/>
          </w:tcPr>
          <w:p w14:paraId="278561B1" w14:textId="77777777" w:rsidR="000329C8" w:rsidRPr="0001752F" w:rsidRDefault="000329C8" w:rsidP="0043268A">
            <w:pPr>
              <w:spacing w:line="240" w:lineRule="auto"/>
              <w:rPr>
                <w:rFonts w:cs="Times New Roman"/>
                <w:b/>
                <w:szCs w:val="24"/>
              </w:rPr>
            </w:pPr>
            <w:r w:rsidRPr="0001752F">
              <w:rPr>
                <w:rFonts w:cs="Times New Roman"/>
                <w:b/>
                <w:szCs w:val="24"/>
              </w:rPr>
              <w:t>Sampled firms</w:t>
            </w:r>
          </w:p>
        </w:tc>
        <w:tc>
          <w:tcPr>
            <w:tcW w:w="1596" w:type="dxa"/>
          </w:tcPr>
          <w:p w14:paraId="430182FD" w14:textId="77777777" w:rsidR="000329C8" w:rsidRPr="0001752F" w:rsidRDefault="000329C8" w:rsidP="0043268A">
            <w:pPr>
              <w:spacing w:line="240" w:lineRule="auto"/>
              <w:rPr>
                <w:rFonts w:cs="Times New Roman"/>
                <w:b/>
                <w:szCs w:val="24"/>
              </w:rPr>
            </w:pPr>
            <w:r w:rsidRPr="0001752F">
              <w:rPr>
                <w:rFonts w:cs="Times New Roman"/>
                <w:b/>
                <w:szCs w:val="24"/>
              </w:rPr>
              <w:t>Percentage (%) of the sampled firms</w:t>
            </w:r>
          </w:p>
        </w:tc>
      </w:tr>
      <w:tr w:rsidR="0001752F" w:rsidRPr="0001752F" w14:paraId="0F12AADC" w14:textId="77777777" w:rsidTr="00254D30">
        <w:tc>
          <w:tcPr>
            <w:tcW w:w="2132" w:type="dxa"/>
            <w:tcBorders>
              <w:bottom w:val="nil"/>
            </w:tcBorders>
          </w:tcPr>
          <w:p w14:paraId="3EFA264C" w14:textId="77777777" w:rsidR="000329C8" w:rsidRPr="0001752F" w:rsidRDefault="000329C8" w:rsidP="0043268A">
            <w:pPr>
              <w:spacing w:line="240" w:lineRule="auto"/>
              <w:rPr>
                <w:rFonts w:cs="Times New Roman"/>
                <w:szCs w:val="24"/>
              </w:rPr>
            </w:pPr>
          </w:p>
        </w:tc>
        <w:tc>
          <w:tcPr>
            <w:tcW w:w="3045" w:type="dxa"/>
          </w:tcPr>
          <w:p w14:paraId="1D9C168A" w14:textId="77777777" w:rsidR="000329C8" w:rsidRPr="0001752F" w:rsidRDefault="000329C8" w:rsidP="0043268A">
            <w:pPr>
              <w:spacing w:line="240" w:lineRule="auto"/>
              <w:rPr>
                <w:rFonts w:cs="Times New Roman"/>
                <w:szCs w:val="24"/>
              </w:rPr>
            </w:pPr>
            <w:r w:rsidRPr="0001752F">
              <w:rPr>
                <w:rFonts w:cs="Times New Roman"/>
                <w:szCs w:val="24"/>
              </w:rPr>
              <w:t>Hotels</w:t>
            </w:r>
          </w:p>
        </w:tc>
        <w:tc>
          <w:tcPr>
            <w:tcW w:w="1526" w:type="dxa"/>
          </w:tcPr>
          <w:p w14:paraId="08197950" w14:textId="77777777" w:rsidR="000329C8" w:rsidRPr="0001752F" w:rsidRDefault="000329C8" w:rsidP="0043268A">
            <w:pPr>
              <w:spacing w:line="240" w:lineRule="auto"/>
              <w:jc w:val="center"/>
              <w:rPr>
                <w:rFonts w:cs="Times New Roman"/>
                <w:szCs w:val="24"/>
              </w:rPr>
            </w:pPr>
            <w:r w:rsidRPr="0001752F">
              <w:rPr>
                <w:rFonts w:cs="Times New Roman"/>
                <w:szCs w:val="24"/>
              </w:rPr>
              <w:t>35</w:t>
            </w:r>
          </w:p>
        </w:tc>
        <w:tc>
          <w:tcPr>
            <w:tcW w:w="1596" w:type="dxa"/>
          </w:tcPr>
          <w:p w14:paraId="544FA8FC" w14:textId="77777777" w:rsidR="000329C8" w:rsidRPr="0001752F" w:rsidRDefault="000329C8" w:rsidP="0043268A">
            <w:pPr>
              <w:spacing w:line="240" w:lineRule="auto"/>
              <w:jc w:val="center"/>
              <w:rPr>
                <w:rFonts w:cs="Times New Roman"/>
                <w:szCs w:val="24"/>
              </w:rPr>
            </w:pPr>
            <w:r w:rsidRPr="0001752F">
              <w:rPr>
                <w:rFonts w:cs="Times New Roman"/>
                <w:szCs w:val="24"/>
              </w:rPr>
              <w:t>19.13%</w:t>
            </w:r>
          </w:p>
        </w:tc>
      </w:tr>
      <w:tr w:rsidR="0001752F" w:rsidRPr="0001752F" w14:paraId="3486D9D4" w14:textId="77777777" w:rsidTr="00254D30">
        <w:tc>
          <w:tcPr>
            <w:tcW w:w="2132" w:type="dxa"/>
            <w:tcBorders>
              <w:top w:val="nil"/>
              <w:bottom w:val="nil"/>
            </w:tcBorders>
          </w:tcPr>
          <w:p w14:paraId="5A316F32" w14:textId="77777777" w:rsidR="000329C8" w:rsidRPr="0001752F" w:rsidRDefault="000329C8" w:rsidP="0043268A">
            <w:pPr>
              <w:spacing w:line="240" w:lineRule="auto"/>
              <w:rPr>
                <w:rFonts w:cs="Times New Roman"/>
                <w:szCs w:val="24"/>
              </w:rPr>
            </w:pPr>
          </w:p>
        </w:tc>
        <w:tc>
          <w:tcPr>
            <w:tcW w:w="3045" w:type="dxa"/>
          </w:tcPr>
          <w:p w14:paraId="3583B0A0" w14:textId="77777777" w:rsidR="000329C8" w:rsidRPr="0001752F" w:rsidRDefault="000329C8" w:rsidP="0043268A">
            <w:pPr>
              <w:spacing w:line="240" w:lineRule="auto"/>
              <w:rPr>
                <w:rFonts w:cs="Times New Roman"/>
                <w:szCs w:val="24"/>
              </w:rPr>
            </w:pPr>
            <w:r w:rsidRPr="0001752F">
              <w:rPr>
                <w:rFonts w:cs="Times New Roman"/>
                <w:szCs w:val="24"/>
              </w:rPr>
              <w:t>Guesthouse</w:t>
            </w:r>
          </w:p>
        </w:tc>
        <w:tc>
          <w:tcPr>
            <w:tcW w:w="1526" w:type="dxa"/>
          </w:tcPr>
          <w:p w14:paraId="181BAD57" w14:textId="77777777" w:rsidR="000329C8" w:rsidRPr="0001752F" w:rsidRDefault="000329C8" w:rsidP="0043268A">
            <w:pPr>
              <w:spacing w:line="240" w:lineRule="auto"/>
              <w:jc w:val="center"/>
              <w:rPr>
                <w:rFonts w:cs="Times New Roman"/>
                <w:szCs w:val="24"/>
              </w:rPr>
            </w:pPr>
            <w:r w:rsidRPr="0001752F">
              <w:rPr>
                <w:rFonts w:cs="Times New Roman"/>
                <w:szCs w:val="24"/>
              </w:rPr>
              <w:t>20</w:t>
            </w:r>
          </w:p>
        </w:tc>
        <w:tc>
          <w:tcPr>
            <w:tcW w:w="1596" w:type="dxa"/>
          </w:tcPr>
          <w:p w14:paraId="78D59375" w14:textId="77777777" w:rsidR="000329C8" w:rsidRPr="0001752F" w:rsidRDefault="000329C8" w:rsidP="0043268A">
            <w:pPr>
              <w:spacing w:line="240" w:lineRule="auto"/>
              <w:jc w:val="center"/>
              <w:rPr>
                <w:rFonts w:cs="Times New Roman"/>
                <w:szCs w:val="24"/>
              </w:rPr>
            </w:pPr>
            <w:r w:rsidRPr="0001752F">
              <w:rPr>
                <w:rFonts w:cs="Times New Roman"/>
                <w:szCs w:val="24"/>
              </w:rPr>
              <w:t>10.92%</w:t>
            </w:r>
          </w:p>
        </w:tc>
      </w:tr>
      <w:tr w:rsidR="0001752F" w:rsidRPr="0001752F" w14:paraId="6A535242" w14:textId="77777777" w:rsidTr="00254D30">
        <w:tc>
          <w:tcPr>
            <w:tcW w:w="2132" w:type="dxa"/>
            <w:tcBorders>
              <w:top w:val="nil"/>
              <w:bottom w:val="nil"/>
            </w:tcBorders>
          </w:tcPr>
          <w:p w14:paraId="345F6A44" w14:textId="77777777" w:rsidR="000329C8" w:rsidRPr="0001752F" w:rsidRDefault="000329C8" w:rsidP="0043268A">
            <w:pPr>
              <w:spacing w:line="240" w:lineRule="auto"/>
              <w:rPr>
                <w:rFonts w:cs="Times New Roman"/>
                <w:szCs w:val="24"/>
              </w:rPr>
            </w:pPr>
            <w:r w:rsidRPr="0001752F">
              <w:rPr>
                <w:rFonts w:cs="Times New Roman"/>
                <w:szCs w:val="24"/>
              </w:rPr>
              <w:t>Service</w:t>
            </w:r>
          </w:p>
        </w:tc>
        <w:tc>
          <w:tcPr>
            <w:tcW w:w="3045" w:type="dxa"/>
          </w:tcPr>
          <w:p w14:paraId="4B7C7AC9" w14:textId="77777777" w:rsidR="000329C8" w:rsidRPr="0001752F" w:rsidRDefault="000329C8" w:rsidP="0043268A">
            <w:pPr>
              <w:spacing w:line="240" w:lineRule="auto"/>
              <w:rPr>
                <w:rFonts w:cs="Times New Roman"/>
                <w:szCs w:val="24"/>
              </w:rPr>
            </w:pPr>
            <w:r w:rsidRPr="0001752F">
              <w:rPr>
                <w:rFonts w:cs="Times New Roman"/>
                <w:szCs w:val="24"/>
              </w:rPr>
              <w:t>Fuel and gas filling stations</w:t>
            </w:r>
          </w:p>
        </w:tc>
        <w:tc>
          <w:tcPr>
            <w:tcW w:w="1526" w:type="dxa"/>
          </w:tcPr>
          <w:p w14:paraId="017F40D3" w14:textId="77777777" w:rsidR="000329C8" w:rsidRPr="0001752F" w:rsidRDefault="000329C8" w:rsidP="0043268A">
            <w:pPr>
              <w:spacing w:line="240" w:lineRule="auto"/>
              <w:jc w:val="center"/>
              <w:rPr>
                <w:rFonts w:cs="Times New Roman"/>
                <w:szCs w:val="24"/>
              </w:rPr>
            </w:pPr>
            <w:r w:rsidRPr="0001752F">
              <w:rPr>
                <w:rFonts w:cs="Times New Roman"/>
                <w:szCs w:val="24"/>
              </w:rPr>
              <w:t>15</w:t>
            </w:r>
          </w:p>
        </w:tc>
        <w:tc>
          <w:tcPr>
            <w:tcW w:w="1596" w:type="dxa"/>
          </w:tcPr>
          <w:p w14:paraId="09E67CED" w14:textId="77777777" w:rsidR="000329C8" w:rsidRPr="0001752F" w:rsidRDefault="000329C8" w:rsidP="0043268A">
            <w:pPr>
              <w:spacing w:line="240" w:lineRule="auto"/>
              <w:jc w:val="center"/>
              <w:rPr>
                <w:rFonts w:cs="Times New Roman"/>
                <w:szCs w:val="24"/>
              </w:rPr>
            </w:pPr>
            <w:r w:rsidRPr="0001752F">
              <w:rPr>
                <w:rFonts w:cs="Times New Roman"/>
                <w:szCs w:val="24"/>
              </w:rPr>
              <w:t>8.20%</w:t>
            </w:r>
          </w:p>
        </w:tc>
      </w:tr>
      <w:tr w:rsidR="0001752F" w:rsidRPr="0001752F" w14:paraId="5911ACCC" w14:textId="77777777" w:rsidTr="00254D30">
        <w:tc>
          <w:tcPr>
            <w:tcW w:w="2132" w:type="dxa"/>
            <w:tcBorders>
              <w:top w:val="nil"/>
              <w:bottom w:val="nil"/>
            </w:tcBorders>
          </w:tcPr>
          <w:p w14:paraId="1987A23B" w14:textId="77777777" w:rsidR="000329C8" w:rsidRPr="0001752F" w:rsidRDefault="000329C8" w:rsidP="0043268A">
            <w:pPr>
              <w:spacing w:line="240" w:lineRule="auto"/>
              <w:rPr>
                <w:rFonts w:cs="Times New Roman"/>
                <w:szCs w:val="24"/>
              </w:rPr>
            </w:pPr>
          </w:p>
        </w:tc>
        <w:tc>
          <w:tcPr>
            <w:tcW w:w="3045" w:type="dxa"/>
          </w:tcPr>
          <w:p w14:paraId="036770FA" w14:textId="77777777" w:rsidR="000329C8" w:rsidRPr="0001752F" w:rsidRDefault="000329C8" w:rsidP="0043268A">
            <w:pPr>
              <w:spacing w:line="240" w:lineRule="auto"/>
              <w:rPr>
                <w:rFonts w:cs="Times New Roman"/>
                <w:szCs w:val="24"/>
              </w:rPr>
            </w:pPr>
            <w:r w:rsidRPr="0001752F">
              <w:rPr>
                <w:rFonts w:cs="Times New Roman"/>
                <w:szCs w:val="24"/>
              </w:rPr>
              <w:t>Restaurant</w:t>
            </w:r>
          </w:p>
        </w:tc>
        <w:tc>
          <w:tcPr>
            <w:tcW w:w="1526" w:type="dxa"/>
          </w:tcPr>
          <w:p w14:paraId="3265DB7F" w14:textId="77777777" w:rsidR="000329C8" w:rsidRPr="0001752F" w:rsidRDefault="000329C8" w:rsidP="0043268A">
            <w:pPr>
              <w:spacing w:line="240" w:lineRule="auto"/>
              <w:jc w:val="center"/>
              <w:rPr>
                <w:rFonts w:cs="Times New Roman"/>
                <w:szCs w:val="24"/>
              </w:rPr>
            </w:pPr>
            <w:r w:rsidRPr="0001752F">
              <w:rPr>
                <w:rFonts w:cs="Times New Roman"/>
                <w:szCs w:val="24"/>
              </w:rPr>
              <w:t>10</w:t>
            </w:r>
          </w:p>
        </w:tc>
        <w:tc>
          <w:tcPr>
            <w:tcW w:w="1596" w:type="dxa"/>
          </w:tcPr>
          <w:p w14:paraId="08A26537" w14:textId="77777777" w:rsidR="000329C8" w:rsidRPr="0001752F" w:rsidRDefault="000329C8" w:rsidP="0043268A">
            <w:pPr>
              <w:spacing w:line="240" w:lineRule="auto"/>
              <w:jc w:val="center"/>
              <w:rPr>
                <w:rFonts w:cs="Times New Roman"/>
                <w:szCs w:val="24"/>
              </w:rPr>
            </w:pPr>
            <w:r w:rsidRPr="0001752F">
              <w:rPr>
                <w:rFonts w:cs="Times New Roman"/>
                <w:szCs w:val="24"/>
              </w:rPr>
              <w:t>5.46%</w:t>
            </w:r>
          </w:p>
        </w:tc>
      </w:tr>
      <w:tr w:rsidR="0001752F" w:rsidRPr="0001752F" w14:paraId="6DA35868" w14:textId="77777777" w:rsidTr="00254D30">
        <w:tc>
          <w:tcPr>
            <w:tcW w:w="2132" w:type="dxa"/>
            <w:tcBorders>
              <w:top w:val="nil"/>
              <w:bottom w:val="nil"/>
            </w:tcBorders>
          </w:tcPr>
          <w:p w14:paraId="161EE255" w14:textId="77777777" w:rsidR="000329C8" w:rsidRPr="0001752F" w:rsidRDefault="000329C8" w:rsidP="0043268A">
            <w:pPr>
              <w:spacing w:line="240" w:lineRule="auto"/>
              <w:rPr>
                <w:rFonts w:cs="Times New Roman"/>
                <w:szCs w:val="24"/>
              </w:rPr>
            </w:pPr>
          </w:p>
        </w:tc>
        <w:tc>
          <w:tcPr>
            <w:tcW w:w="3045" w:type="dxa"/>
          </w:tcPr>
          <w:p w14:paraId="39DD90A6" w14:textId="77777777" w:rsidR="000329C8" w:rsidRPr="0001752F" w:rsidRDefault="000329C8" w:rsidP="0043268A">
            <w:pPr>
              <w:spacing w:line="240" w:lineRule="auto"/>
              <w:rPr>
                <w:rFonts w:cs="Times New Roman"/>
                <w:szCs w:val="24"/>
              </w:rPr>
            </w:pPr>
            <w:r w:rsidRPr="0001752F">
              <w:rPr>
                <w:rFonts w:cs="Times New Roman"/>
                <w:szCs w:val="24"/>
              </w:rPr>
              <w:t xml:space="preserve">Printing and publication </w:t>
            </w:r>
          </w:p>
        </w:tc>
        <w:tc>
          <w:tcPr>
            <w:tcW w:w="1526" w:type="dxa"/>
          </w:tcPr>
          <w:p w14:paraId="04030BDF" w14:textId="77777777" w:rsidR="000329C8" w:rsidRPr="0001752F" w:rsidRDefault="000329C8" w:rsidP="0043268A">
            <w:pPr>
              <w:spacing w:line="240" w:lineRule="auto"/>
              <w:jc w:val="center"/>
              <w:rPr>
                <w:rFonts w:cs="Times New Roman"/>
                <w:szCs w:val="24"/>
              </w:rPr>
            </w:pPr>
            <w:r w:rsidRPr="0001752F">
              <w:rPr>
                <w:rFonts w:cs="Times New Roman"/>
                <w:szCs w:val="24"/>
              </w:rPr>
              <w:t>25</w:t>
            </w:r>
          </w:p>
        </w:tc>
        <w:tc>
          <w:tcPr>
            <w:tcW w:w="1596" w:type="dxa"/>
          </w:tcPr>
          <w:p w14:paraId="03EB1C25" w14:textId="77777777" w:rsidR="000329C8" w:rsidRPr="0001752F" w:rsidRDefault="000329C8" w:rsidP="0043268A">
            <w:pPr>
              <w:spacing w:line="240" w:lineRule="auto"/>
              <w:jc w:val="center"/>
              <w:rPr>
                <w:rFonts w:cs="Times New Roman"/>
                <w:szCs w:val="24"/>
              </w:rPr>
            </w:pPr>
            <w:r w:rsidRPr="0001752F">
              <w:rPr>
                <w:rFonts w:cs="Times New Roman"/>
                <w:szCs w:val="24"/>
              </w:rPr>
              <w:t>13.66%</w:t>
            </w:r>
          </w:p>
        </w:tc>
      </w:tr>
      <w:tr w:rsidR="0001752F" w:rsidRPr="0001752F" w14:paraId="5F8646E0" w14:textId="77777777" w:rsidTr="00254D30">
        <w:tc>
          <w:tcPr>
            <w:tcW w:w="2132" w:type="dxa"/>
            <w:tcBorders>
              <w:top w:val="nil"/>
              <w:bottom w:val="single" w:sz="4" w:space="0" w:color="auto"/>
            </w:tcBorders>
          </w:tcPr>
          <w:p w14:paraId="2E838AFD" w14:textId="77777777" w:rsidR="000329C8" w:rsidRPr="0001752F" w:rsidRDefault="000329C8" w:rsidP="0043268A">
            <w:pPr>
              <w:spacing w:line="240" w:lineRule="auto"/>
              <w:rPr>
                <w:rFonts w:cs="Times New Roman"/>
                <w:szCs w:val="24"/>
              </w:rPr>
            </w:pPr>
          </w:p>
        </w:tc>
        <w:tc>
          <w:tcPr>
            <w:tcW w:w="3045" w:type="dxa"/>
          </w:tcPr>
          <w:p w14:paraId="0777D378" w14:textId="77777777" w:rsidR="000329C8" w:rsidRPr="0001752F" w:rsidRDefault="000329C8" w:rsidP="0043268A">
            <w:pPr>
              <w:spacing w:line="240" w:lineRule="auto"/>
              <w:rPr>
                <w:rFonts w:cs="Times New Roman"/>
                <w:szCs w:val="24"/>
              </w:rPr>
            </w:pPr>
            <w:r w:rsidRPr="0001752F">
              <w:rPr>
                <w:rFonts w:cs="Times New Roman"/>
                <w:szCs w:val="24"/>
              </w:rPr>
              <w:t>Transportation</w:t>
            </w:r>
          </w:p>
        </w:tc>
        <w:tc>
          <w:tcPr>
            <w:tcW w:w="1526" w:type="dxa"/>
          </w:tcPr>
          <w:p w14:paraId="1AF867FB" w14:textId="77777777" w:rsidR="000329C8" w:rsidRPr="0001752F" w:rsidRDefault="000329C8" w:rsidP="0043268A">
            <w:pPr>
              <w:spacing w:line="240" w:lineRule="auto"/>
              <w:jc w:val="center"/>
              <w:rPr>
                <w:rFonts w:cs="Times New Roman"/>
                <w:szCs w:val="24"/>
              </w:rPr>
            </w:pPr>
            <w:r w:rsidRPr="0001752F">
              <w:rPr>
                <w:rFonts w:cs="Times New Roman"/>
                <w:szCs w:val="24"/>
              </w:rPr>
              <w:t>4</w:t>
            </w:r>
          </w:p>
        </w:tc>
        <w:tc>
          <w:tcPr>
            <w:tcW w:w="1596" w:type="dxa"/>
          </w:tcPr>
          <w:p w14:paraId="46B9C34D" w14:textId="77777777" w:rsidR="000329C8" w:rsidRPr="0001752F" w:rsidRDefault="000329C8" w:rsidP="0043268A">
            <w:pPr>
              <w:spacing w:line="240" w:lineRule="auto"/>
              <w:jc w:val="center"/>
              <w:rPr>
                <w:rFonts w:cs="Times New Roman"/>
                <w:szCs w:val="24"/>
              </w:rPr>
            </w:pPr>
            <w:r w:rsidRPr="0001752F">
              <w:rPr>
                <w:rFonts w:cs="Times New Roman"/>
                <w:szCs w:val="24"/>
              </w:rPr>
              <w:t>2.19%</w:t>
            </w:r>
          </w:p>
        </w:tc>
      </w:tr>
      <w:tr w:rsidR="0001752F" w:rsidRPr="0001752F" w14:paraId="31813B81" w14:textId="77777777" w:rsidTr="00254D30">
        <w:tc>
          <w:tcPr>
            <w:tcW w:w="2132" w:type="dxa"/>
            <w:tcBorders>
              <w:bottom w:val="nil"/>
            </w:tcBorders>
          </w:tcPr>
          <w:p w14:paraId="3D59DA6A" w14:textId="77777777" w:rsidR="000329C8" w:rsidRPr="0001752F" w:rsidRDefault="000329C8" w:rsidP="0043268A">
            <w:pPr>
              <w:spacing w:line="240" w:lineRule="auto"/>
              <w:rPr>
                <w:rFonts w:cs="Times New Roman"/>
                <w:szCs w:val="24"/>
              </w:rPr>
            </w:pPr>
          </w:p>
        </w:tc>
        <w:tc>
          <w:tcPr>
            <w:tcW w:w="3045" w:type="dxa"/>
          </w:tcPr>
          <w:p w14:paraId="3B1CE295" w14:textId="77777777" w:rsidR="000329C8" w:rsidRPr="0001752F" w:rsidRDefault="000329C8" w:rsidP="0043268A">
            <w:pPr>
              <w:spacing w:line="240" w:lineRule="auto"/>
              <w:rPr>
                <w:rFonts w:cs="Times New Roman"/>
                <w:szCs w:val="24"/>
              </w:rPr>
            </w:pPr>
            <w:r w:rsidRPr="0001752F">
              <w:rPr>
                <w:rFonts w:cs="Times New Roman"/>
                <w:szCs w:val="24"/>
              </w:rPr>
              <w:t>Mineral water</w:t>
            </w:r>
          </w:p>
        </w:tc>
        <w:tc>
          <w:tcPr>
            <w:tcW w:w="1526" w:type="dxa"/>
          </w:tcPr>
          <w:p w14:paraId="5E2D524E" w14:textId="77777777" w:rsidR="000329C8" w:rsidRPr="0001752F" w:rsidRDefault="000329C8" w:rsidP="0043268A">
            <w:pPr>
              <w:spacing w:line="240" w:lineRule="auto"/>
              <w:jc w:val="center"/>
              <w:rPr>
                <w:rFonts w:cs="Times New Roman"/>
                <w:szCs w:val="24"/>
              </w:rPr>
            </w:pPr>
            <w:r w:rsidRPr="0001752F">
              <w:rPr>
                <w:rFonts w:cs="Times New Roman"/>
                <w:szCs w:val="24"/>
              </w:rPr>
              <w:t>15</w:t>
            </w:r>
          </w:p>
        </w:tc>
        <w:tc>
          <w:tcPr>
            <w:tcW w:w="1596" w:type="dxa"/>
          </w:tcPr>
          <w:p w14:paraId="0BBB74EC" w14:textId="77777777" w:rsidR="000329C8" w:rsidRPr="0001752F" w:rsidRDefault="000329C8" w:rsidP="0043268A">
            <w:pPr>
              <w:spacing w:line="240" w:lineRule="auto"/>
              <w:jc w:val="center"/>
              <w:rPr>
                <w:rFonts w:cs="Times New Roman"/>
                <w:szCs w:val="24"/>
              </w:rPr>
            </w:pPr>
            <w:r w:rsidRPr="0001752F">
              <w:rPr>
                <w:rFonts w:cs="Times New Roman"/>
                <w:szCs w:val="24"/>
              </w:rPr>
              <w:t>8.20%</w:t>
            </w:r>
          </w:p>
        </w:tc>
      </w:tr>
      <w:tr w:rsidR="0001752F" w:rsidRPr="0001752F" w14:paraId="374FD424" w14:textId="77777777" w:rsidTr="00254D30">
        <w:tc>
          <w:tcPr>
            <w:tcW w:w="2132" w:type="dxa"/>
            <w:tcBorders>
              <w:top w:val="nil"/>
              <w:bottom w:val="nil"/>
            </w:tcBorders>
          </w:tcPr>
          <w:p w14:paraId="45D49F6D" w14:textId="77777777" w:rsidR="000329C8" w:rsidRPr="0001752F" w:rsidRDefault="000329C8" w:rsidP="0043268A">
            <w:pPr>
              <w:spacing w:line="240" w:lineRule="auto"/>
              <w:rPr>
                <w:rFonts w:cs="Times New Roman"/>
                <w:szCs w:val="24"/>
              </w:rPr>
            </w:pPr>
          </w:p>
        </w:tc>
        <w:tc>
          <w:tcPr>
            <w:tcW w:w="3045" w:type="dxa"/>
          </w:tcPr>
          <w:p w14:paraId="08F4F117" w14:textId="77777777" w:rsidR="000329C8" w:rsidRPr="0001752F" w:rsidRDefault="000329C8" w:rsidP="0043268A">
            <w:pPr>
              <w:spacing w:line="240" w:lineRule="auto"/>
              <w:rPr>
                <w:rFonts w:cs="Times New Roman"/>
                <w:szCs w:val="24"/>
              </w:rPr>
            </w:pPr>
            <w:r w:rsidRPr="0001752F">
              <w:rPr>
                <w:rFonts w:cs="Times New Roman"/>
                <w:szCs w:val="24"/>
              </w:rPr>
              <w:t xml:space="preserve">Alcoholic and Soft drinks </w:t>
            </w:r>
          </w:p>
        </w:tc>
        <w:tc>
          <w:tcPr>
            <w:tcW w:w="1526" w:type="dxa"/>
          </w:tcPr>
          <w:p w14:paraId="37D1C6B0" w14:textId="77777777" w:rsidR="000329C8" w:rsidRPr="0001752F" w:rsidRDefault="000329C8" w:rsidP="0043268A">
            <w:pPr>
              <w:spacing w:line="240" w:lineRule="auto"/>
              <w:jc w:val="center"/>
              <w:rPr>
                <w:rFonts w:cs="Times New Roman"/>
                <w:szCs w:val="24"/>
              </w:rPr>
            </w:pPr>
            <w:r w:rsidRPr="0001752F">
              <w:rPr>
                <w:rFonts w:cs="Times New Roman"/>
                <w:szCs w:val="24"/>
              </w:rPr>
              <w:t>10</w:t>
            </w:r>
          </w:p>
        </w:tc>
        <w:tc>
          <w:tcPr>
            <w:tcW w:w="1596" w:type="dxa"/>
          </w:tcPr>
          <w:p w14:paraId="05C024C9" w14:textId="77777777" w:rsidR="000329C8" w:rsidRPr="0001752F" w:rsidRDefault="000329C8" w:rsidP="0043268A">
            <w:pPr>
              <w:spacing w:line="240" w:lineRule="auto"/>
              <w:jc w:val="center"/>
              <w:rPr>
                <w:rFonts w:cs="Times New Roman"/>
                <w:szCs w:val="24"/>
              </w:rPr>
            </w:pPr>
            <w:r w:rsidRPr="0001752F">
              <w:rPr>
                <w:rFonts w:cs="Times New Roman"/>
                <w:szCs w:val="24"/>
              </w:rPr>
              <w:t>5.46%</w:t>
            </w:r>
          </w:p>
        </w:tc>
      </w:tr>
      <w:tr w:rsidR="0001752F" w:rsidRPr="0001752F" w14:paraId="5F0D9480" w14:textId="77777777" w:rsidTr="00254D30">
        <w:tc>
          <w:tcPr>
            <w:tcW w:w="2132" w:type="dxa"/>
            <w:tcBorders>
              <w:top w:val="nil"/>
              <w:bottom w:val="nil"/>
            </w:tcBorders>
          </w:tcPr>
          <w:p w14:paraId="0C8A277F" w14:textId="77777777" w:rsidR="000329C8" w:rsidRPr="0001752F" w:rsidRDefault="000329C8" w:rsidP="0043268A">
            <w:pPr>
              <w:spacing w:line="240" w:lineRule="auto"/>
              <w:rPr>
                <w:rFonts w:cs="Times New Roman"/>
                <w:szCs w:val="24"/>
              </w:rPr>
            </w:pPr>
          </w:p>
        </w:tc>
        <w:tc>
          <w:tcPr>
            <w:tcW w:w="3045" w:type="dxa"/>
          </w:tcPr>
          <w:p w14:paraId="2B19F261" w14:textId="77777777" w:rsidR="000329C8" w:rsidRPr="0001752F" w:rsidRDefault="000329C8" w:rsidP="0043268A">
            <w:pPr>
              <w:spacing w:line="240" w:lineRule="auto"/>
              <w:rPr>
                <w:rFonts w:cs="Times New Roman"/>
                <w:szCs w:val="24"/>
              </w:rPr>
            </w:pPr>
            <w:r w:rsidRPr="0001752F">
              <w:rPr>
                <w:rFonts w:cs="Times New Roman"/>
                <w:szCs w:val="24"/>
              </w:rPr>
              <w:t>Food products processing</w:t>
            </w:r>
          </w:p>
        </w:tc>
        <w:tc>
          <w:tcPr>
            <w:tcW w:w="1526" w:type="dxa"/>
          </w:tcPr>
          <w:p w14:paraId="1D743268" w14:textId="77777777" w:rsidR="000329C8" w:rsidRPr="0001752F" w:rsidRDefault="000329C8" w:rsidP="0043268A">
            <w:pPr>
              <w:spacing w:line="240" w:lineRule="auto"/>
              <w:jc w:val="center"/>
              <w:rPr>
                <w:rFonts w:cs="Times New Roman"/>
                <w:szCs w:val="24"/>
              </w:rPr>
            </w:pPr>
            <w:r w:rsidRPr="0001752F">
              <w:rPr>
                <w:rFonts w:cs="Times New Roman"/>
                <w:szCs w:val="24"/>
              </w:rPr>
              <w:t>15</w:t>
            </w:r>
          </w:p>
        </w:tc>
        <w:tc>
          <w:tcPr>
            <w:tcW w:w="1596" w:type="dxa"/>
          </w:tcPr>
          <w:p w14:paraId="0DBE77FB" w14:textId="77777777" w:rsidR="000329C8" w:rsidRPr="0001752F" w:rsidRDefault="000329C8" w:rsidP="0043268A">
            <w:pPr>
              <w:spacing w:line="240" w:lineRule="auto"/>
              <w:jc w:val="center"/>
              <w:rPr>
                <w:rFonts w:cs="Times New Roman"/>
                <w:szCs w:val="24"/>
              </w:rPr>
            </w:pPr>
            <w:r w:rsidRPr="0001752F">
              <w:rPr>
                <w:rFonts w:cs="Times New Roman"/>
                <w:szCs w:val="24"/>
              </w:rPr>
              <w:t>8.20%</w:t>
            </w:r>
          </w:p>
        </w:tc>
      </w:tr>
      <w:tr w:rsidR="0001752F" w:rsidRPr="0001752F" w14:paraId="0477336D" w14:textId="77777777" w:rsidTr="00254D30">
        <w:tc>
          <w:tcPr>
            <w:tcW w:w="2132" w:type="dxa"/>
            <w:tcBorders>
              <w:top w:val="nil"/>
              <w:bottom w:val="nil"/>
            </w:tcBorders>
          </w:tcPr>
          <w:p w14:paraId="2706D4CF" w14:textId="77777777" w:rsidR="000329C8" w:rsidRPr="0001752F" w:rsidRDefault="000329C8" w:rsidP="0043268A">
            <w:pPr>
              <w:spacing w:line="240" w:lineRule="auto"/>
              <w:rPr>
                <w:rFonts w:cs="Times New Roman"/>
                <w:szCs w:val="24"/>
              </w:rPr>
            </w:pPr>
            <w:r w:rsidRPr="0001752F">
              <w:rPr>
                <w:rFonts w:cs="Times New Roman"/>
                <w:szCs w:val="24"/>
              </w:rPr>
              <w:t>Manufacturing</w:t>
            </w:r>
          </w:p>
        </w:tc>
        <w:tc>
          <w:tcPr>
            <w:tcW w:w="3045" w:type="dxa"/>
          </w:tcPr>
          <w:p w14:paraId="4C1EC8AA" w14:textId="77777777" w:rsidR="000329C8" w:rsidRPr="0001752F" w:rsidRDefault="000329C8" w:rsidP="0043268A">
            <w:pPr>
              <w:spacing w:line="240" w:lineRule="auto"/>
              <w:rPr>
                <w:rFonts w:cs="Times New Roman"/>
                <w:szCs w:val="24"/>
              </w:rPr>
            </w:pPr>
            <w:r w:rsidRPr="0001752F">
              <w:rPr>
                <w:rFonts w:cs="Times New Roman"/>
                <w:szCs w:val="24"/>
              </w:rPr>
              <w:t>Pharmaceutical products</w:t>
            </w:r>
          </w:p>
        </w:tc>
        <w:tc>
          <w:tcPr>
            <w:tcW w:w="1526" w:type="dxa"/>
          </w:tcPr>
          <w:p w14:paraId="5404F5D4" w14:textId="77777777" w:rsidR="000329C8" w:rsidRPr="0001752F" w:rsidRDefault="000329C8" w:rsidP="0043268A">
            <w:pPr>
              <w:spacing w:line="240" w:lineRule="auto"/>
              <w:jc w:val="center"/>
              <w:rPr>
                <w:rFonts w:cs="Times New Roman"/>
                <w:szCs w:val="24"/>
              </w:rPr>
            </w:pPr>
            <w:r w:rsidRPr="0001752F">
              <w:rPr>
                <w:rFonts w:cs="Times New Roman"/>
                <w:szCs w:val="24"/>
              </w:rPr>
              <w:t>4</w:t>
            </w:r>
          </w:p>
        </w:tc>
        <w:tc>
          <w:tcPr>
            <w:tcW w:w="1596" w:type="dxa"/>
          </w:tcPr>
          <w:p w14:paraId="5D579836" w14:textId="77777777" w:rsidR="000329C8" w:rsidRPr="0001752F" w:rsidRDefault="000329C8" w:rsidP="0043268A">
            <w:pPr>
              <w:spacing w:line="240" w:lineRule="auto"/>
              <w:jc w:val="center"/>
              <w:rPr>
                <w:rFonts w:cs="Times New Roman"/>
                <w:szCs w:val="24"/>
              </w:rPr>
            </w:pPr>
            <w:r w:rsidRPr="0001752F">
              <w:rPr>
                <w:rFonts w:cs="Times New Roman"/>
                <w:szCs w:val="24"/>
              </w:rPr>
              <w:t>2.19%</w:t>
            </w:r>
          </w:p>
        </w:tc>
      </w:tr>
      <w:tr w:rsidR="0001752F" w:rsidRPr="0001752F" w14:paraId="5E52D8A8" w14:textId="77777777" w:rsidTr="00254D30">
        <w:tc>
          <w:tcPr>
            <w:tcW w:w="2132" w:type="dxa"/>
            <w:tcBorders>
              <w:top w:val="nil"/>
              <w:bottom w:val="nil"/>
            </w:tcBorders>
          </w:tcPr>
          <w:p w14:paraId="6BFC8DF9" w14:textId="77777777" w:rsidR="000329C8" w:rsidRPr="0001752F" w:rsidRDefault="000329C8" w:rsidP="0043268A">
            <w:pPr>
              <w:spacing w:line="240" w:lineRule="auto"/>
              <w:rPr>
                <w:rFonts w:cs="Times New Roman"/>
                <w:szCs w:val="24"/>
              </w:rPr>
            </w:pPr>
          </w:p>
        </w:tc>
        <w:tc>
          <w:tcPr>
            <w:tcW w:w="3045" w:type="dxa"/>
          </w:tcPr>
          <w:p w14:paraId="52DF7E32" w14:textId="77777777" w:rsidR="000329C8" w:rsidRPr="0001752F" w:rsidRDefault="000329C8" w:rsidP="0043268A">
            <w:pPr>
              <w:spacing w:line="240" w:lineRule="auto"/>
              <w:rPr>
                <w:rFonts w:cs="Times New Roman"/>
                <w:szCs w:val="24"/>
              </w:rPr>
            </w:pPr>
            <w:r w:rsidRPr="0001752F">
              <w:rPr>
                <w:rFonts w:cs="Times New Roman"/>
                <w:szCs w:val="24"/>
              </w:rPr>
              <w:t>Herbal products</w:t>
            </w:r>
          </w:p>
        </w:tc>
        <w:tc>
          <w:tcPr>
            <w:tcW w:w="1526" w:type="dxa"/>
          </w:tcPr>
          <w:p w14:paraId="62F91E00" w14:textId="77777777" w:rsidR="000329C8" w:rsidRPr="0001752F" w:rsidRDefault="000329C8" w:rsidP="0043268A">
            <w:pPr>
              <w:spacing w:line="240" w:lineRule="auto"/>
              <w:jc w:val="center"/>
              <w:rPr>
                <w:rFonts w:cs="Times New Roman"/>
                <w:szCs w:val="24"/>
              </w:rPr>
            </w:pPr>
            <w:r w:rsidRPr="0001752F">
              <w:rPr>
                <w:rFonts w:cs="Times New Roman"/>
                <w:szCs w:val="24"/>
              </w:rPr>
              <w:t>12</w:t>
            </w:r>
          </w:p>
        </w:tc>
        <w:tc>
          <w:tcPr>
            <w:tcW w:w="1596" w:type="dxa"/>
          </w:tcPr>
          <w:p w14:paraId="0A00DE0A" w14:textId="77777777" w:rsidR="000329C8" w:rsidRPr="0001752F" w:rsidRDefault="000329C8" w:rsidP="0043268A">
            <w:pPr>
              <w:spacing w:line="240" w:lineRule="auto"/>
              <w:jc w:val="center"/>
              <w:rPr>
                <w:rFonts w:cs="Times New Roman"/>
                <w:szCs w:val="24"/>
              </w:rPr>
            </w:pPr>
            <w:r w:rsidRPr="0001752F">
              <w:rPr>
                <w:rFonts w:cs="Times New Roman"/>
                <w:szCs w:val="24"/>
              </w:rPr>
              <w:t>6.56%</w:t>
            </w:r>
          </w:p>
        </w:tc>
      </w:tr>
      <w:tr w:rsidR="0001752F" w:rsidRPr="0001752F" w14:paraId="0221FDFE" w14:textId="77777777" w:rsidTr="00254D30">
        <w:trPr>
          <w:trHeight w:val="109"/>
        </w:trPr>
        <w:tc>
          <w:tcPr>
            <w:tcW w:w="2132" w:type="dxa"/>
            <w:tcBorders>
              <w:top w:val="nil"/>
              <w:bottom w:val="nil"/>
            </w:tcBorders>
          </w:tcPr>
          <w:p w14:paraId="2B4E999F" w14:textId="77777777" w:rsidR="000329C8" w:rsidRPr="0001752F" w:rsidRDefault="000329C8" w:rsidP="0043268A">
            <w:pPr>
              <w:spacing w:line="240" w:lineRule="auto"/>
              <w:rPr>
                <w:rFonts w:cs="Times New Roman"/>
                <w:szCs w:val="24"/>
              </w:rPr>
            </w:pPr>
          </w:p>
        </w:tc>
        <w:tc>
          <w:tcPr>
            <w:tcW w:w="3045" w:type="dxa"/>
          </w:tcPr>
          <w:p w14:paraId="01683485" w14:textId="77777777" w:rsidR="000329C8" w:rsidRPr="0001752F" w:rsidRDefault="000329C8" w:rsidP="0043268A">
            <w:pPr>
              <w:spacing w:line="240" w:lineRule="auto"/>
              <w:rPr>
                <w:rFonts w:cs="Times New Roman"/>
                <w:szCs w:val="24"/>
              </w:rPr>
            </w:pPr>
            <w:r w:rsidRPr="0001752F">
              <w:rPr>
                <w:rFonts w:cs="Times New Roman"/>
                <w:szCs w:val="24"/>
              </w:rPr>
              <w:t xml:space="preserve">Cleaning &amp; detergents </w:t>
            </w:r>
          </w:p>
        </w:tc>
        <w:tc>
          <w:tcPr>
            <w:tcW w:w="1526" w:type="dxa"/>
          </w:tcPr>
          <w:p w14:paraId="15B377EF" w14:textId="77777777" w:rsidR="000329C8" w:rsidRPr="0001752F" w:rsidRDefault="000329C8" w:rsidP="0043268A">
            <w:pPr>
              <w:spacing w:line="240" w:lineRule="auto"/>
              <w:jc w:val="center"/>
              <w:rPr>
                <w:rFonts w:cs="Times New Roman"/>
                <w:szCs w:val="24"/>
              </w:rPr>
            </w:pPr>
            <w:r w:rsidRPr="0001752F">
              <w:rPr>
                <w:rFonts w:cs="Times New Roman"/>
                <w:szCs w:val="24"/>
              </w:rPr>
              <w:t>6</w:t>
            </w:r>
          </w:p>
        </w:tc>
        <w:tc>
          <w:tcPr>
            <w:tcW w:w="1596" w:type="dxa"/>
          </w:tcPr>
          <w:p w14:paraId="210CC659" w14:textId="77777777" w:rsidR="000329C8" w:rsidRPr="0001752F" w:rsidRDefault="000329C8" w:rsidP="0043268A">
            <w:pPr>
              <w:spacing w:line="240" w:lineRule="auto"/>
              <w:jc w:val="center"/>
              <w:rPr>
                <w:rFonts w:cs="Times New Roman"/>
                <w:szCs w:val="24"/>
              </w:rPr>
            </w:pPr>
            <w:r w:rsidRPr="0001752F">
              <w:rPr>
                <w:rFonts w:cs="Times New Roman"/>
                <w:szCs w:val="24"/>
              </w:rPr>
              <w:t>3.27%</w:t>
            </w:r>
          </w:p>
        </w:tc>
      </w:tr>
      <w:tr w:rsidR="0001752F" w:rsidRPr="0001752F" w14:paraId="7F4B8EB0" w14:textId="77777777" w:rsidTr="00254D30">
        <w:tc>
          <w:tcPr>
            <w:tcW w:w="2132" w:type="dxa"/>
            <w:tcBorders>
              <w:top w:val="nil"/>
            </w:tcBorders>
          </w:tcPr>
          <w:p w14:paraId="6D19B733" w14:textId="77777777" w:rsidR="000329C8" w:rsidRPr="0001752F" w:rsidRDefault="000329C8" w:rsidP="0043268A">
            <w:pPr>
              <w:spacing w:line="240" w:lineRule="auto"/>
              <w:rPr>
                <w:rFonts w:cs="Times New Roman"/>
                <w:szCs w:val="24"/>
              </w:rPr>
            </w:pPr>
          </w:p>
        </w:tc>
        <w:tc>
          <w:tcPr>
            <w:tcW w:w="3045" w:type="dxa"/>
          </w:tcPr>
          <w:p w14:paraId="0E961163" w14:textId="77777777" w:rsidR="000329C8" w:rsidRPr="0001752F" w:rsidRDefault="000329C8" w:rsidP="0043268A">
            <w:pPr>
              <w:spacing w:line="240" w:lineRule="auto"/>
              <w:rPr>
                <w:rFonts w:cs="Times New Roman"/>
                <w:szCs w:val="24"/>
              </w:rPr>
            </w:pPr>
            <w:r w:rsidRPr="0001752F">
              <w:rPr>
                <w:rFonts w:cs="Times New Roman"/>
                <w:szCs w:val="24"/>
              </w:rPr>
              <w:t>Building materials</w:t>
            </w:r>
          </w:p>
        </w:tc>
        <w:tc>
          <w:tcPr>
            <w:tcW w:w="1526" w:type="dxa"/>
          </w:tcPr>
          <w:p w14:paraId="2E25BA7D" w14:textId="77777777" w:rsidR="000329C8" w:rsidRPr="0001752F" w:rsidRDefault="000329C8" w:rsidP="0043268A">
            <w:pPr>
              <w:spacing w:line="240" w:lineRule="auto"/>
              <w:jc w:val="center"/>
              <w:rPr>
                <w:rFonts w:cs="Times New Roman"/>
                <w:szCs w:val="24"/>
              </w:rPr>
            </w:pPr>
            <w:r w:rsidRPr="0001752F">
              <w:rPr>
                <w:rFonts w:cs="Times New Roman"/>
                <w:szCs w:val="24"/>
              </w:rPr>
              <w:t>12</w:t>
            </w:r>
          </w:p>
        </w:tc>
        <w:tc>
          <w:tcPr>
            <w:tcW w:w="1596" w:type="dxa"/>
          </w:tcPr>
          <w:p w14:paraId="787017BC" w14:textId="77777777" w:rsidR="000329C8" w:rsidRPr="0001752F" w:rsidRDefault="000329C8" w:rsidP="0043268A">
            <w:pPr>
              <w:spacing w:line="240" w:lineRule="auto"/>
              <w:jc w:val="center"/>
              <w:rPr>
                <w:rFonts w:cs="Times New Roman"/>
                <w:szCs w:val="24"/>
              </w:rPr>
            </w:pPr>
            <w:r w:rsidRPr="0001752F">
              <w:rPr>
                <w:rFonts w:cs="Times New Roman"/>
                <w:szCs w:val="24"/>
              </w:rPr>
              <w:t>6.56%</w:t>
            </w:r>
          </w:p>
        </w:tc>
      </w:tr>
      <w:tr w:rsidR="0001752F" w:rsidRPr="0001752F" w14:paraId="771664D5" w14:textId="77777777" w:rsidTr="00254D30">
        <w:tc>
          <w:tcPr>
            <w:tcW w:w="2132" w:type="dxa"/>
          </w:tcPr>
          <w:p w14:paraId="10ADFED6" w14:textId="77777777" w:rsidR="000329C8" w:rsidRPr="0001752F" w:rsidRDefault="000329C8" w:rsidP="0043268A">
            <w:pPr>
              <w:spacing w:line="240" w:lineRule="auto"/>
              <w:rPr>
                <w:rFonts w:cs="Times New Roman"/>
                <w:szCs w:val="24"/>
              </w:rPr>
            </w:pPr>
            <w:r w:rsidRPr="0001752F">
              <w:rPr>
                <w:rFonts w:cs="Times New Roman"/>
                <w:szCs w:val="24"/>
              </w:rPr>
              <w:t>Total</w:t>
            </w:r>
          </w:p>
        </w:tc>
        <w:tc>
          <w:tcPr>
            <w:tcW w:w="3045" w:type="dxa"/>
          </w:tcPr>
          <w:p w14:paraId="7E1605D2" w14:textId="77777777" w:rsidR="000329C8" w:rsidRPr="0001752F" w:rsidRDefault="000329C8" w:rsidP="0043268A">
            <w:pPr>
              <w:spacing w:line="240" w:lineRule="auto"/>
              <w:rPr>
                <w:rFonts w:cs="Times New Roman"/>
                <w:szCs w:val="24"/>
              </w:rPr>
            </w:pPr>
          </w:p>
        </w:tc>
        <w:tc>
          <w:tcPr>
            <w:tcW w:w="1526" w:type="dxa"/>
          </w:tcPr>
          <w:p w14:paraId="2DEA3E54" w14:textId="77777777" w:rsidR="000329C8" w:rsidRPr="0001752F" w:rsidRDefault="000329C8" w:rsidP="0043268A">
            <w:pPr>
              <w:spacing w:line="240" w:lineRule="auto"/>
              <w:jc w:val="center"/>
              <w:rPr>
                <w:rFonts w:cs="Times New Roman"/>
                <w:b/>
                <w:szCs w:val="24"/>
              </w:rPr>
            </w:pPr>
            <w:r w:rsidRPr="0001752F">
              <w:rPr>
                <w:rFonts w:cs="Times New Roman"/>
                <w:b/>
                <w:szCs w:val="24"/>
              </w:rPr>
              <w:t>183</w:t>
            </w:r>
          </w:p>
        </w:tc>
        <w:tc>
          <w:tcPr>
            <w:tcW w:w="1596" w:type="dxa"/>
          </w:tcPr>
          <w:p w14:paraId="0E65EBDE" w14:textId="77777777" w:rsidR="000329C8" w:rsidRPr="0001752F" w:rsidRDefault="000329C8" w:rsidP="0043268A">
            <w:pPr>
              <w:spacing w:line="240" w:lineRule="auto"/>
              <w:jc w:val="center"/>
              <w:rPr>
                <w:rFonts w:cs="Times New Roman"/>
                <w:b/>
                <w:szCs w:val="24"/>
              </w:rPr>
            </w:pPr>
            <w:r w:rsidRPr="0001752F">
              <w:rPr>
                <w:rFonts w:cs="Times New Roman"/>
                <w:b/>
                <w:szCs w:val="24"/>
              </w:rPr>
              <w:t>100</w:t>
            </w:r>
          </w:p>
        </w:tc>
      </w:tr>
    </w:tbl>
    <w:p w14:paraId="0606F1A9" w14:textId="41A00579" w:rsidR="00777A40" w:rsidRPr="0001752F" w:rsidRDefault="00254D30" w:rsidP="009B6D66">
      <w:pPr>
        <w:pStyle w:val="Heading3"/>
        <w:spacing w:before="0" w:after="0"/>
        <w:rPr>
          <w:rFonts w:eastAsia="SimSun"/>
          <w:lang w:bidi="en-US"/>
        </w:rPr>
      </w:pPr>
      <w:r w:rsidRPr="0001752F">
        <w:rPr>
          <w:rFonts w:eastAsia="SimSun"/>
          <w:lang w:bidi="en-US"/>
        </w:rPr>
        <w:t>Source: Authors’ computations from field data, 2021</w:t>
      </w:r>
    </w:p>
    <w:p w14:paraId="72C18E43" w14:textId="77777777" w:rsidR="009B6D66" w:rsidRPr="0001752F" w:rsidRDefault="009B6D66" w:rsidP="009B6D66">
      <w:pPr>
        <w:rPr>
          <w:lang w:bidi="en-US"/>
        </w:rPr>
      </w:pPr>
    </w:p>
    <w:p w14:paraId="2D34E43A" w14:textId="4E6F2386" w:rsidR="000F08B5" w:rsidRPr="0001752F" w:rsidRDefault="00937AA9" w:rsidP="00F6677A">
      <w:pPr>
        <w:spacing w:before="240" w:after="240"/>
        <w:rPr>
          <w:rFonts w:eastAsia="SimSun" w:cs="Times New Roman"/>
          <w:b/>
          <w:szCs w:val="24"/>
          <w:lang w:bidi="en-US"/>
        </w:rPr>
      </w:pPr>
      <w:r w:rsidRPr="0001752F">
        <w:rPr>
          <w:rFonts w:eastAsia="SimSun" w:cs="Times New Roman"/>
          <w:b/>
          <w:szCs w:val="24"/>
          <w:lang w:bidi="en-US"/>
        </w:rPr>
        <w:t>4</w:t>
      </w:r>
      <w:r w:rsidR="000F08B5" w:rsidRPr="0001752F">
        <w:rPr>
          <w:rFonts w:eastAsia="SimSun" w:cs="Times New Roman"/>
          <w:b/>
          <w:szCs w:val="24"/>
          <w:lang w:bidi="en-US"/>
        </w:rPr>
        <w:t xml:space="preserve">.0 Analysis of </w:t>
      </w:r>
      <w:r w:rsidR="00E56033" w:rsidRPr="0001752F">
        <w:rPr>
          <w:rFonts w:eastAsia="SimSun" w:cs="Times New Roman"/>
          <w:b/>
          <w:szCs w:val="24"/>
          <w:lang w:bidi="en-US"/>
        </w:rPr>
        <w:t>R</w:t>
      </w:r>
      <w:r w:rsidR="000F08B5" w:rsidRPr="0001752F">
        <w:rPr>
          <w:rFonts w:eastAsia="SimSun" w:cs="Times New Roman"/>
          <w:b/>
          <w:szCs w:val="24"/>
          <w:lang w:bidi="en-US"/>
        </w:rPr>
        <w:t>esults</w:t>
      </w:r>
    </w:p>
    <w:p w14:paraId="60BD41DC" w14:textId="6ACCDE32" w:rsidR="006F34C5" w:rsidRPr="0001752F" w:rsidRDefault="00F6677A" w:rsidP="00005880">
      <w:pPr>
        <w:spacing w:after="0"/>
        <w:rPr>
          <w:rFonts w:eastAsia="SimSun" w:cs="Times New Roman"/>
          <w:bCs/>
          <w:szCs w:val="24"/>
          <w:lang w:bidi="en-US"/>
        </w:rPr>
      </w:pPr>
      <w:r w:rsidRPr="0001752F">
        <w:rPr>
          <w:rFonts w:eastAsia="SimSun" w:cs="Times New Roman"/>
          <w:szCs w:val="24"/>
          <w:lang w:bidi="en-US"/>
        </w:rPr>
        <w:t xml:space="preserve">This subsection dwells on the economic dimension of SR. Overall, the respondents are asked if their firms reported </w:t>
      </w:r>
      <w:r w:rsidR="004A470B" w:rsidRPr="0001752F">
        <w:rPr>
          <w:rFonts w:eastAsia="SimSun" w:cs="Times New Roman"/>
          <w:szCs w:val="24"/>
          <w:lang w:bidi="en-US"/>
        </w:rPr>
        <w:t>their</w:t>
      </w:r>
      <w:r w:rsidRPr="0001752F">
        <w:rPr>
          <w:rFonts w:eastAsia="SimSun" w:cs="Times New Roman"/>
          <w:szCs w:val="24"/>
          <w:lang w:bidi="en-US"/>
        </w:rPr>
        <w:t xml:space="preserve"> economic impacts, of which 66.7% indicate they do, while 33.3% indicate they do not. This is an indication that SMEs largely report on </w:t>
      </w:r>
      <w:r w:rsidR="004A470B" w:rsidRPr="0001752F">
        <w:rPr>
          <w:rFonts w:eastAsia="SimSun" w:cs="Times New Roman"/>
          <w:szCs w:val="24"/>
          <w:lang w:bidi="en-US"/>
        </w:rPr>
        <w:t xml:space="preserve">the </w:t>
      </w:r>
      <w:r w:rsidRPr="0001752F">
        <w:rPr>
          <w:rFonts w:eastAsia="SimSun" w:cs="Times New Roman"/>
          <w:szCs w:val="24"/>
          <w:lang w:bidi="en-US"/>
        </w:rPr>
        <w:t>economic issue</w:t>
      </w:r>
      <w:r w:rsidR="00E56033" w:rsidRPr="0001752F">
        <w:rPr>
          <w:rFonts w:eastAsia="SimSun" w:cs="Times New Roman"/>
          <w:szCs w:val="24"/>
          <w:lang w:bidi="en-US"/>
        </w:rPr>
        <w:t>s</w:t>
      </w:r>
      <w:r w:rsidRPr="0001752F">
        <w:rPr>
          <w:rFonts w:eastAsia="SimSun" w:cs="Times New Roman"/>
          <w:szCs w:val="24"/>
          <w:lang w:bidi="en-US"/>
        </w:rPr>
        <w:t xml:space="preserve"> of their firms. This </w:t>
      </w:r>
      <w:r w:rsidR="00DC49FB" w:rsidRPr="0001752F">
        <w:rPr>
          <w:rFonts w:eastAsia="SimSun" w:cs="Times New Roman"/>
          <w:szCs w:val="24"/>
          <w:lang w:bidi="en-US"/>
        </w:rPr>
        <w:t>is reflected</w:t>
      </w:r>
      <w:r w:rsidRPr="0001752F">
        <w:rPr>
          <w:rFonts w:eastAsia="SimSun" w:cs="Times New Roman"/>
          <w:szCs w:val="24"/>
          <w:lang w:bidi="en-US"/>
        </w:rPr>
        <w:t xml:space="preserve"> in the response to the other measurement items</w:t>
      </w:r>
      <w:r w:rsidR="00E56033" w:rsidRPr="0001752F">
        <w:rPr>
          <w:rFonts w:eastAsia="SimSun" w:cs="Times New Roman"/>
          <w:szCs w:val="24"/>
          <w:lang w:bidi="en-US"/>
        </w:rPr>
        <w:t xml:space="preserve"> of the study</w:t>
      </w:r>
      <w:r w:rsidRPr="0001752F">
        <w:rPr>
          <w:rFonts w:eastAsia="SimSun" w:cs="Times New Roman"/>
          <w:szCs w:val="24"/>
          <w:lang w:bidi="en-US"/>
        </w:rPr>
        <w:t xml:space="preserve">. </w:t>
      </w:r>
      <w:r w:rsidR="006F34C5" w:rsidRPr="0001752F">
        <w:rPr>
          <w:rFonts w:eastAsia="SimSun" w:cs="Times New Roman"/>
          <w:szCs w:val="24"/>
          <w:lang w:bidi="en-US"/>
        </w:rPr>
        <w:t>Most of</w:t>
      </w:r>
      <w:r w:rsidRPr="0001752F">
        <w:rPr>
          <w:rFonts w:eastAsia="SimSun" w:cs="Times New Roman"/>
          <w:szCs w:val="24"/>
          <w:lang w:bidi="en-US"/>
        </w:rPr>
        <w:t xml:space="preserve"> the respondents agree that their firms report </w:t>
      </w:r>
      <w:r w:rsidR="004A470B" w:rsidRPr="0001752F">
        <w:rPr>
          <w:rFonts w:eastAsia="SimSun" w:cs="Times New Roman"/>
          <w:szCs w:val="24"/>
          <w:lang w:bidi="en-US"/>
        </w:rPr>
        <w:t>their</w:t>
      </w:r>
      <w:r w:rsidRPr="0001752F">
        <w:rPr>
          <w:rFonts w:eastAsia="SimSun" w:cs="Times New Roman"/>
          <w:szCs w:val="24"/>
          <w:lang w:bidi="en-US"/>
        </w:rPr>
        <w:t xml:space="preserve"> r</w:t>
      </w:r>
      <w:r w:rsidRPr="0001752F">
        <w:rPr>
          <w:rFonts w:eastAsia="SimSun" w:cs="Times New Roman"/>
          <w:bCs/>
          <w:szCs w:val="24"/>
          <w:lang w:bidi="en-US"/>
        </w:rPr>
        <w:t>evenue</w:t>
      </w:r>
      <w:r w:rsidR="00E56033" w:rsidRPr="0001752F">
        <w:rPr>
          <w:rFonts w:eastAsia="SimSun" w:cs="Times New Roman"/>
          <w:bCs/>
          <w:szCs w:val="24"/>
          <w:lang w:bidi="en-US"/>
        </w:rPr>
        <w:t>s</w:t>
      </w:r>
      <w:r w:rsidRPr="0001752F">
        <w:rPr>
          <w:rFonts w:eastAsia="SimSun" w:cs="Times New Roman"/>
          <w:bCs/>
          <w:szCs w:val="24"/>
          <w:lang w:bidi="en-US"/>
        </w:rPr>
        <w:t xml:space="preserve">, operating costs, employee wages and benefits, and payments to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government. For community investments and financial assistance received from </w:t>
      </w:r>
      <w:r w:rsidR="004A470B" w:rsidRPr="0001752F">
        <w:rPr>
          <w:rFonts w:eastAsia="SimSun" w:cs="Times New Roman"/>
          <w:bCs/>
          <w:szCs w:val="24"/>
          <w:lang w:bidi="en-US"/>
        </w:rPr>
        <w:t xml:space="preserve">the </w:t>
      </w:r>
      <w:r w:rsidRPr="0001752F">
        <w:rPr>
          <w:rFonts w:eastAsia="SimSun" w:cs="Times New Roman"/>
          <w:bCs/>
          <w:szCs w:val="24"/>
          <w:lang w:bidi="en-US"/>
        </w:rPr>
        <w:t>government</w:t>
      </w:r>
      <w:r w:rsidR="004A470B" w:rsidRPr="0001752F">
        <w:rPr>
          <w:rFonts w:eastAsia="SimSun" w:cs="Times New Roman"/>
          <w:bCs/>
          <w:szCs w:val="24"/>
          <w:lang w:bidi="en-US"/>
        </w:rPr>
        <w:t>,</w:t>
      </w:r>
      <w:r w:rsidRPr="0001752F">
        <w:rPr>
          <w:rFonts w:eastAsia="SimSun" w:cs="Times New Roman"/>
          <w:bCs/>
          <w:szCs w:val="24"/>
          <w:lang w:bidi="en-US"/>
        </w:rPr>
        <w:t xml:space="preserve"> however, only 48.6% and 47.5% (respectively) of the SMEs report on these. The extent of reporting on economic dimension</w:t>
      </w:r>
      <w:r w:rsidR="00E56033" w:rsidRPr="0001752F">
        <w:rPr>
          <w:rFonts w:eastAsia="SimSun" w:cs="Times New Roman"/>
          <w:bCs/>
          <w:szCs w:val="24"/>
          <w:lang w:bidi="en-US"/>
        </w:rPr>
        <w:t>s</w:t>
      </w:r>
      <w:r w:rsidRPr="0001752F">
        <w:rPr>
          <w:rFonts w:eastAsia="SimSun" w:cs="Times New Roman"/>
          <w:bCs/>
          <w:szCs w:val="24"/>
          <w:lang w:bidi="en-US"/>
        </w:rPr>
        <w:t xml:space="preserve"> base</w:t>
      </w:r>
      <w:r w:rsidR="00E56033" w:rsidRPr="0001752F">
        <w:rPr>
          <w:rFonts w:eastAsia="SimSun" w:cs="Times New Roman"/>
          <w:bCs/>
          <w:szCs w:val="24"/>
          <w:lang w:bidi="en-US"/>
        </w:rPr>
        <w:t>d</w:t>
      </w:r>
      <w:r w:rsidRPr="0001752F">
        <w:rPr>
          <w:rFonts w:eastAsia="SimSun" w:cs="Times New Roman"/>
          <w:bCs/>
          <w:szCs w:val="24"/>
          <w:lang w:bidi="en-US"/>
        </w:rPr>
        <w:t xml:space="preserve"> on individual economic indicators is 65% which is very high. </w:t>
      </w:r>
    </w:p>
    <w:p w14:paraId="3890E0DD" w14:textId="77777777" w:rsidR="00FF7CE5" w:rsidRPr="0001752F" w:rsidRDefault="00FF7CE5" w:rsidP="00005880">
      <w:pPr>
        <w:spacing w:after="0"/>
        <w:rPr>
          <w:rFonts w:eastAsia="SimSun" w:cs="Times New Roman"/>
          <w:bCs/>
          <w:szCs w:val="24"/>
          <w:lang w:bidi="en-US"/>
        </w:rPr>
      </w:pPr>
    </w:p>
    <w:p w14:paraId="482543F5" w14:textId="3121413F" w:rsidR="00F6677A" w:rsidRPr="0001752F" w:rsidRDefault="00A06038" w:rsidP="00EC5A3C">
      <w:pPr>
        <w:pStyle w:val="t"/>
        <w:rPr>
          <w:lang w:bidi="en-US"/>
        </w:rPr>
      </w:pPr>
      <w:bookmarkStart w:id="25" w:name="_Toc78262922"/>
      <w:bookmarkStart w:id="26" w:name="_Toc79645867"/>
      <w:r w:rsidRPr="0001752F">
        <w:rPr>
          <w:lang w:bidi="en-US"/>
        </w:rPr>
        <w:t xml:space="preserve">Table </w:t>
      </w:r>
      <w:r w:rsidR="00937AA9" w:rsidRPr="0001752F">
        <w:rPr>
          <w:lang w:bidi="en-US"/>
        </w:rPr>
        <w:t>4</w:t>
      </w:r>
      <w:r w:rsidRPr="0001752F">
        <w:rPr>
          <w:lang w:bidi="en-US"/>
        </w:rPr>
        <w:t>.1</w:t>
      </w:r>
      <w:r w:rsidR="00F6677A" w:rsidRPr="0001752F">
        <w:rPr>
          <w:lang w:bidi="en-US"/>
        </w:rPr>
        <w:t xml:space="preserve"> Economic Dimension</w:t>
      </w:r>
      <w:bookmarkEnd w:id="25"/>
      <w:bookmarkEnd w:id="26"/>
    </w:p>
    <w:tbl>
      <w:tblPr>
        <w:tblStyle w:val="TableGrid"/>
        <w:tblW w:w="6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710"/>
        <w:gridCol w:w="1620"/>
      </w:tblGrid>
      <w:tr w:rsidR="0001752F" w:rsidRPr="0001752F" w14:paraId="0643B372" w14:textId="77777777" w:rsidTr="00555952">
        <w:tc>
          <w:tcPr>
            <w:tcW w:w="3348" w:type="dxa"/>
            <w:tcBorders>
              <w:top w:val="single" w:sz="4" w:space="0" w:color="auto"/>
              <w:bottom w:val="single" w:sz="4" w:space="0" w:color="auto"/>
            </w:tcBorders>
          </w:tcPr>
          <w:p w14:paraId="58ACE452" w14:textId="77777777" w:rsidR="00555952" w:rsidRPr="0001752F" w:rsidRDefault="00555952" w:rsidP="00EC5A3C">
            <w:pPr>
              <w:spacing w:line="240" w:lineRule="auto"/>
              <w:rPr>
                <w:rFonts w:eastAsia="SimSun" w:cs="Times New Roman"/>
                <w:szCs w:val="24"/>
                <w:lang w:bidi="en-US"/>
              </w:rPr>
            </w:pPr>
            <w:bookmarkStart w:id="27" w:name="_Hlk66210637"/>
            <w:r w:rsidRPr="0001752F">
              <w:rPr>
                <w:rFonts w:eastAsia="SimSun" w:cs="Times New Roman"/>
                <w:b/>
                <w:bCs/>
                <w:szCs w:val="24"/>
                <w:lang w:bidi="en-US"/>
              </w:rPr>
              <w:t>Economic Indicators</w:t>
            </w:r>
          </w:p>
        </w:tc>
        <w:tc>
          <w:tcPr>
            <w:tcW w:w="1710" w:type="dxa"/>
            <w:tcBorders>
              <w:top w:val="single" w:sz="4" w:space="0" w:color="auto"/>
              <w:bottom w:val="single" w:sz="4" w:space="0" w:color="auto"/>
            </w:tcBorders>
          </w:tcPr>
          <w:p w14:paraId="7BC00137" w14:textId="77777777" w:rsidR="00555952" w:rsidRPr="0001752F" w:rsidRDefault="00555952" w:rsidP="00EC5A3C">
            <w:pPr>
              <w:spacing w:line="240" w:lineRule="auto"/>
              <w:rPr>
                <w:rFonts w:eastAsia="SimSun" w:cs="Times New Roman"/>
                <w:b/>
                <w:bCs/>
                <w:szCs w:val="24"/>
                <w:lang w:bidi="en-US"/>
              </w:rPr>
            </w:pPr>
            <w:r w:rsidRPr="0001752F">
              <w:rPr>
                <w:rFonts w:eastAsia="SimSun" w:cs="Times New Roman"/>
                <w:b/>
                <w:bCs/>
                <w:szCs w:val="24"/>
                <w:lang w:bidi="en-US"/>
              </w:rPr>
              <w:t>Yes (%)</w:t>
            </w:r>
          </w:p>
        </w:tc>
        <w:tc>
          <w:tcPr>
            <w:tcW w:w="1620" w:type="dxa"/>
            <w:tcBorders>
              <w:top w:val="single" w:sz="4" w:space="0" w:color="auto"/>
              <w:bottom w:val="single" w:sz="4" w:space="0" w:color="auto"/>
            </w:tcBorders>
          </w:tcPr>
          <w:p w14:paraId="0FFB9C9C" w14:textId="77777777" w:rsidR="00555952" w:rsidRPr="0001752F" w:rsidRDefault="00555952" w:rsidP="00EC5A3C">
            <w:pPr>
              <w:spacing w:line="240" w:lineRule="auto"/>
              <w:rPr>
                <w:rFonts w:eastAsia="SimSun" w:cs="Times New Roman"/>
                <w:b/>
                <w:bCs/>
                <w:szCs w:val="24"/>
                <w:lang w:bidi="en-US"/>
              </w:rPr>
            </w:pPr>
            <w:r w:rsidRPr="0001752F">
              <w:rPr>
                <w:rFonts w:eastAsia="SimSun" w:cs="Times New Roman"/>
                <w:b/>
                <w:bCs/>
                <w:szCs w:val="24"/>
                <w:lang w:bidi="en-US"/>
              </w:rPr>
              <w:t>No (%)</w:t>
            </w:r>
          </w:p>
        </w:tc>
      </w:tr>
      <w:tr w:rsidR="0001752F" w:rsidRPr="0001752F" w14:paraId="754ABF1B" w14:textId="77777777" w:rsidTr="00555952">
        <w:tc>
          <w:tcPr>
            <w:tcW w:w="3348" w:type="dxa"/>
            <w:tcBorders>
              <w:top w:val="single" w:sz="4" w:space="0" w:color="auto"/>
            </w:tcBorders>
          </w:tcPr>
          <w:p w14:paraId="6E47C326" w14:textId="209BE824"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t>Revenue</w:t>
            </w:r>
            <w:r w:rsidR="00E56033" w:rsidRPr="0001752F">
              <w:rPr>
                <w:rFonts w:eastAsia="SimSun" w:cs="Times New Roman"/>
                <w:bCs/>
                <w:szCs w:val="24"/>
                <w:lang w:bidi="en-US"/>
              </w:rPr>
              <w:t>s</w:t>
            </w:r>
            <w:r w:rsidRPr="0001752F">
              <w:rPr>
                <w:rFonts w:eastAsia="SimSun" w:cs="Times New Roman"/>
                <w:bCs/>
                <w:szCs w:val="24"/>
                <w:lang w:bidi="en-US"/>
              </w:rPr>
              <w:t xml:space="preserve"> </w:t>
            </w:r>
          </w:p>
        </w:tc>
        <w:tc>
          <w:tcPr>
            <w:tcW w:w="1710" w:type="dxa"/>
            <w:tcBorders>
              <w:top w:val="single" w:sz="4" w:space="0" w:color="auto"/>
            </w:tcBorders>
          </w:tcPr>
          <w:p w14:paraId="5216857C"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142 (77.6%)</w:t>
            </w:r>
          </w:p>
        </w:tc>
        <w:tc>
          <w:tcPr>
            <w:tcW w:w="1620" w:type="dxa"/>
            <w:tcBorders>
              <w:top w:val="single" w:sz="4" w:space="0" w:color="auto"/>
            </w:tcBorders>
          </w:tcPr>
          <w:p w14:paraId="450BC97A"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41 (22.4%)</w:t>
            </w:r>
          </w:p>
        </w:tc>
      </w:tr>
      <w:tr w:rsidR="0001752F" w:rsidRPr="0001752F" w14:paraId="026195C3" w14:textId="77777777" w:rsidTr="00555952">
        <w:tc>
          <w:tcPr>
            <w:tcW w:w="3348" w:type="dxa"/>
          </w:tcPr>
          <w:p w14:paraId="4F926D10"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lastRenderedPageBreak/>
              <w:t>Operating costs</w:t>
            </w:r>
            <w:r w:rsidRPr="0001752F">
              <w:rPr>
                <w:rFonts w:eastAsia="SimSun" w:cs="Times New Roman"/>
                <w:bCs/>
                <w:szCs w:val="24"/>
                <w:lang w:bidi="en-US"/>
              </w:rPr>
              <w:tab/>
            </w:r>
          </w:p>
        </w:tc>
        <w:tc>
          <w:tcPr>
            <w:tcW w:w="1710" w:type="dxa"/>
          </w:tcPr>
          <w:p w14:paraId="3F6EDB33"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141 (77.0%)</w:t>
            </w:r>
          </w:p>
        </w:tc>
        <w:tc>
          <w:tcPr>
            <w:tcW w:w="1620" w:type="dxa"/>
          </w:tcPr>
          <w:p w14:paraId="1ADC0BF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42 (23.0%)</w:t>
            </w:r>
          </w:p>
        </w:tc>
      </w:tr>
      <w:tr w:rsidR="0001752F" w:rsidRPr="0001752F" w14:paraId="4DAAD8E7" w14:textId="77777777" w:rsidTr="00555952">
        <w:tc>
          <w:tcPr>
            <w:tcW w:w="3348" w:type="dxa"/>
          </w:tcPr>
          <w:p w14:paraId="74BAFA95"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t>Employee wages and benefits</w:t>
            </w:r>
          </w:p>
        </w:tc>
        <w:tc>
          <w:tcPr>
            <w:tcW w:w="1710" w:type="dxa"/>
          </w:tcPr>
          <w:p w14:paraId="442C0E6E"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129 (70.5%)</w:t>
            </w:r>
          </w:p>
        </w:tc>
        <w:tc>
          <w:tcPr>
            <w:tcW w:w="1620" w:type="dxa"/>
          </w:tcPr>
          <w:p w14:paraId="69327CE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54 (29.5%)</w:t>
            </w:r>
          </w:p>
        </w:tc>
      </w:tr>
      <w:tr w:rsidR="0001752F" w:rsidRPr="0001752F" w14:paraId="1FCD4AB1" w14:textId="77777777" w:rsidTr="00555952">
        <w:tc>
          <w:tcPr>
            <w:tcW w:w="3348" w:type="dxa"/>
          </w:tcPr>
          <w:p w14:paraId="2E4FECD6"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t>Payments to Government</w:t>
            </w:r>
          </w:p>
        </w:tc>
        <w:tc>
          <w:tcPr>
            <w:tcW w:w="1710" w:type="dxa"/>
          </w:tcPr>
          <w:p w14:paraId="4B3D9C31"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123 (67.2%)</w:t>
            </w:r>
          </w:p>
        </w:tc>
        <w:tc>
          <w:tcPr>
            <w:tcW w:w="1620" w:type="dxa"/>
          </w:tcPr>
          <w:p w14:paraId="159DE476"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60 (32.8%)</w:t>
            </w:r>
          </w:p>
        </w:tc>
      </w:tr>
      <w:tr w:rsidR="0001752F" w:rsidRPr="0001752F" w14:paraId="1BDB6FDD" w14:textId="77777777" w:rsidTr="00555952">
        <w:tc>
          <w:tcPr>
            <w:tcW w:w="3348" w:type="dxa"/>
          </w:tcPr>
          <w:p w14:paraId="21B7324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t>Community Investments</w:t>
            </w:r>
          </w:p>
        </w:tc>
        <w:tc>
          <w:tcPr>
            <w:tcW w:w="1710" w:type="dxa"/>
          </w:tcPr>
          <w:p w14:paraId="0C0FCC2C"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89 (48.6%)</w:t>
            </w:r>
          </w:p>
        </w:tc>
        <w:tc>
          <w:tcPr>
            <w:tcW w:w="1620" w:type="dxa"/>
          </w:tcPr>
          <w:p w14:paraId="55185E51"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94 (51.4%)</w:t>
            </w:r>
          </w:p>
        </w:tc>
      </w:tr>
      <w:tr w:rsidR="0001752F" w:rsidRPr="0001752F" w14:paraId="3865AB78" w14:textId="77777777" w:rsidTr="00555952">
        <w:tc>
          <w:tcPr>
            <w:tcW w:w="3348" w:type="dxa"/>
          </w:tcPr>
          <w:p w14:paraId="4C5F382B"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Cs/>
                <w:szCs w:val="24"/>
                <w:lang w:bidi="en-US"/>
              </w:rPr>
              <w:t>Financial Assistance received from government</w:t>
            </w:r>
          </w:p>
        </w:tc>
        <w:tc>
          <w:tcPr>
            <w:tcW w:w="1710" w:type="dxa"/>
          </w:tcPr>
          <w:p w14:paraId="7BFA9D03"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87 (47.5%)</w:t>
            </w:r>
          </w:p>
        </w:tc>
        <w:tc>
          <w:tcPr>
            <w:tcW w:w="1620" w:type="dxa"/>
          </w:tcPr>
          <w:p w14:paraId="586682A9"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96 (52.5%)</w:t>
            </w:r>
          </w:p>
        </w:tc>
      </w:tr>
      <w:tr w:rsidR="0001752F" w:rsidRPr="0001752F" w14:paraId="5CAC7DA1" w14:textId="77777777" w:rsidTr="00555952">
        <w:tc>
          <w:tcPr>
            <w:tcW w:w="3348" w:type="dxa"/>
            <w:tcBorders>
              <w:bottom w:val="single" w:sz="4" w:space="0" w:color="auto"/>
            </w:tcBorders>
          </w:tcPr>
          <w:p w14:paraId="2F6FE274"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szCs w:val="24"/>
                <w:lang w:bidi="en-US"/>
              </w:rPr>
              <w:t>Does your firm currently report its economic impacts?</w:t>
            </w:r>
          </w:p>
        </w:tc>
        <w:tc>
          <w:tcPr>
            <w:tcW w:w="1710" w:type="dxa"/>
            <w:tcBorders>
              <w:bottom w:val="single" w:sz="4" w:space="0" w:color="auto"/>
            </w:tcBorders>
          </w:tcPr>
          <w:p w14:paraId="724F3708"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122 (66.7%)</w:t>
            </w:r>
          </w:p>
        </w:tc>
        <w:tc>
          <w:tcPr>
            <w:tcW w:w="1620" w:type="dxa"/>
            <w:tcBorders>
              <w:bottom w:val="single" w:sz="4" w:space="0" w:color="auto"/>
            </w:tcBorders>
          </w:tcPr>
          <w:p w14:paraId="63FF2544"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61 (33.3%)</w:t>
            </w:r>
          </w:p>
        </w:tc>
      </w:tr>
      <w:tr w:rsidR="0001752F" w:rsidRPr="0001752F" w14:paraId="38F4A4EF" w14:textId="77777777" w:rsidTr="00555952">
        <w:tc>
          <w:tcPr>
            <w:tcW w:w="3348" w:type="dxa"/>
            <w:tcBorders>
              <w:top w:val="single" w:sz="4" w:space="0" w:color="auto"/>
              <w:bottom w:val="single" w:sz="4" w:space="0" w:color="auto"/>
            </w:tcBorders>
          </w:tcPr>
          <w:p w14:paraId="605C741C"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Extent of economic reporting</w:t>
            </w:r>
          </w:p>
        </w:tc>
        <w:tc>
          <w:tcPr>
            <w:tcW w:w="1710" w:type="dxa"/>
            <w:tcBorders>
              <w:top w:val="single" w:sz="4" w:space="0" w:color="auto"/>
              <w:bottom w:val="single" w:sz="4" w:space="0" w:color="auto"/>
            </w:tcBorders>
          </w:tcPr>
          <w:p w14:paraId="55DF4238" w14:textId="77777777"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833 (65.0%)</w:t>
            </w:r>
          </w:p>
        </w:tc>
        <w:tc>
          <w:tcPr>
            <w:tcW w:w="1620" w:type="dxa"/>
            <w:tcBorders>
              <w:top w:val="single" w:sz="4" w:space="0" w:color="auto"/>
              <w:bottom w:val="single" w:sz="4" w:space="0" w:color="auto"/>
            </w:tcBorders>
          </w:tcPr>
          <w:p w14:paraId="70FC3555" w14:textId="77777777"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448 (35.0%)</w:t>
            </w:r>
          </w:p>
        </w:tc>
      </w:tr>
    </w:tbl>
    <w:p w14:paraId="38D01727" w14:textId="36E850DC" w:rsidR="00C30F80" w:rsidRPr="0001752F" w:rsidRDefault="00E56033" w:rsidP="00C46626">
      <w:pPr>
        <w:pStyle w:val="Heading3"/>
        <w:spacing w:before="0" w:after="0"/>
        <w:rPr>
          <w:rFonts w:eastAsia="SimSun"/>
          <w:lang w:bidi="en-US"/>
        </w:rPr>
      </w:pPr>
      <w:bookmarkStart w:id="28" w:name="_Toc78332789"/>
      <w:bookmarkStart w:id="29" w:name="_Toc79716756"/>
      <w:bookmarkEnd w:id="27"/>
      <w:r w:rsidRPr="0001752F">
        <w:rPr>
          <w:rFonts w:eastAsia="SimSun"/>
          <w:lang w:bidi="en-US"/>
        </w:rPr>
        <w:t>Source: Authors’ computations from field data, 2021</w:t>
      </w:r>
    </w:p>
    <w:p w14:paraId="7E8A88A1" w14:textId="77777777" w:rsidR="00716538" w:rsidRPr="0001752F" w:rsidRDefault="00716538" w:rsidP="00C46626">
      <w:pPr>
        <w:pStyle w:val="Heading3"/>
        <w:spacing w:before="0" w:after="0"/>
        <w:rPr>
          <w:rFonts w:eastAsia="SimSun"/>
          <w:sz w:val="6"/>
          <w:szCs w:val="6"/>
          <w:lang w:bidi="en-US"/>
        </w:rPr>
      </w:pPr>
    </w:p>
    <w:bookmarkEnd w:id="28"/>
    <w:bookmarkEnd w:id="29"/>
    <w:p w14:paraId="0FA7A6DE" w14:textId="484F9F4A" w:rsidR="004B465A" w:rsidRPr="0001752F" w:rsidRDefault="00F6677A" w:rsidP="00C46626">
      <w:pPr>
        <w:spacing w:after="0"/>
        <w:rPr>
          <w:rFonts w:cs="Times New Roman"/>
          <w:bCs/>
          <w:szCs w:val="24"/>
          <w:lang w:bidi="en-US"/>
        </w:rPr>
      </w:pPr>
      <w:r w:rsidRPr="0001752F">
        <w:rPr>
          <w:rFonts w:cs="Times New Roman"/>
          <w:szCs w:val="24"/>
          <w:lang w:bidi="en-US"/>
        </w:rPr>
        <w:t>For this subsection, the environmental dimension of sustainability is reported. From the r</w:t>
      </w:r>
      <w:r w:rsidR="00C46626" w:rsidRPr="0001752F">
        <w:rPr>
          <w:rFonts w:cs="Times New Roman"/>
          <w:szCs w:val="24"/>
          <w:lang w:bidi="en-US"/>
        </w:rPr>
        <w:t>esults as presented in Table 5.2</w:t>
      </w:r>
      <w:r w:rsidRPr="0001752F">
        <w:rPr>
          <w:rFonts w:cs="Times New Roman"/>
          <w:szCs w:val="24"/>
          <w:lang w:bidi="en-US"/>
        </w:rPr>
        <w:t xml:space="preserve">, it is clear that the majority of the SMEs do not report environmental issues. The respondents are specifically asked if they report on environmental impacts of their operations, and only 29.5% of </w:t>
      </w:r>
      <w:r w:rsidR="00E56033" w:rsidRPr="0001752F">
        <w:rPr>
          <w:rFonts w:cs="Times New Roman"/>
          <w:szCs w:val="24"/>
          <w:lang w:bidi="en-US"/>
        </w:rPr>
        <w:t xml:space="preserve">the </w:t>
      </w:r>
      <w:r w:rsidRPr="0001752F">
        <w:rPr>
          <w:rFonts w:cs="Times New Roman"/>
          <w:szCs w:val="24"/>
          <w:lang w:bidi="en-US"/>
        </w:rPr>
        <w:t xml:space="preserve">SMEs indicate they report their environmental impacts whiles </w:t>
      </w:r>
      <w:r w:rsidR="004A470B" w:rsidRPr="0001752F">
        <w:rPr>
          <w:rFonts w:cs="Times New Roman"/>
          <w:szCs w:val="24"/>
          <w:lang w:bidi="en-US"/>
        </w:rPr>
        <w:t xml:space="preserve">a </w:t>
      </w:r>
      <w:r w:rsidRPr="0001752F">
        <w:rPr>
          <w:rFonts w:cs="Times New Roman"/>
          <w:szCs w:val="24"/>
          <w:lang w:bidi="en-US"/>
        </w:rPr>
        <w:t>significant majority of 70.5% do not report. On the specific dimensions, 37.2% indicate they report on the details of f</w:t>
      </w:r>
      <w:r w:rsidRPr="0001752F">
        <w:rPr>
          <w:rFonts w:cs="Times New Roman"/>
          <w:bCs/>
          <w:szCs w:val="24"/>
          <w:lang w:bidi="en-US"/>
        </w:rPr>
        <w:t>uel, electricity, heating, cooling, and steam consumptions. There are 29% of the SMEs which report on environmental protection expenditures, 27.3% report on waste and method of disposal, 24.6% report on renewable and non-renewable materials used, 19.7% report on electricity, heating, cooling, and steam sold, while 18.6% also report on reduction in energy consumption due to conservation. The extent of environmental reporting base</w:t>
      </w:r>
      <w:r w:rsidR="004B465A" w:rsidRPr="0001752F">
        <w:rPr>
          <w:rFonts w:cs="Times New Roman"/>
          <w:bCs/>
          <w:szCs w:val="24"/>
          <w:lang w:bidi="en-US"/>
        </w:rPr>
        <w:t>d</w:t>
      </w:r>
      <w:r w:rsidRPr="0001752F">
        <w:rPr>
          <w:rFonts w:cs="Times New Roman"/>
          <w:bCs/>
          <w:szCs w:val="24"/>
          <w:lang w:bidi="en-US"/>
        </w:rPr>
        <w:t xml:space="preserve"> on the individual environmental indicators is 26.5% which is </w:t>
      </w:r>
      <w:r w:rsidR="00CC1487" w:rsidRPr="0001752F">
        <w:rPr>
          <w:rFonts w:cs="Times New Roman"/>
          <w:bCs/>
          <w:szCs w:val="24"/>
          <w:lang w:bidi="en-US"/>
        </w:rPr>
        <w:t>relatively</w:t>
      </w:r>
      <w:r w:rsidRPr="0001752F">
        <w:rPr>
          <w:rFonts w:cs="Times New Roman"/>
          <w:bCs/>
          <w:szCs w:val="24"/>
          <w:lang w:bidi="en-US"/>
        </w:rPr>
        <w:t xml:space="preserve"> low.</w:t>
      </w:r>
    </w:p>
    <w:p w14:paraId="770D4CA6" w14:textId="77777777" w:rsidR="00937AA9" w:rsidRPr="0001752F" w:rsidRDefault="00937AA9" w:rsidP="00C46626">
      <w:pPr>
        <w:spacing w:after="0"/>
        <w:rPr>
          <w:rFonts w:cs="Times New Roman"/>
          <w:bCs/>
          <w:szCs w:val="24"/>
          <w:lang w:bidi="en-US"/>
        </w:rPr>
      </w:pPr>
    </w:p>
    <w:p w14:paraId="01712EF8" w14:textId="24814291" w:rsidR="00F6677A" w:rsidRPr="0001752F" w:rsidRDefault="00A06038" w:rsidP="00EC5A3C">
      <w:pPr>
        <w:pStyle w:val="t"/>
        <w:rPr>
          <w:lang w:bidi="en-US"/>
        </w:rPr>
      </w:pPr>
      <w:bookmarkStart w:id="30" w:name="_Toc78262923"/>
      <w:bookmarkStart w:id="31" w:name="_Toc79645868"/>
      <w:r w:rsidRPr="0001752F">
        <w:rPr>
          <w:lang w:bidi="en-US"/>
        </w:rPr>
        <w:t xml:space="preserve">Table </w:t>
      </w:r>
      <w:r w:rsidR="00937AA9" w:rsidRPr="0001752F">
        <w:rPr>
          <w:lang w:bidi="en-US"/>
        </w:rPr>
        <w:t>4</w:t>
      </w:r>
      <w:r w:rsidRPr="0001752F">
        <w:rPr>
          <w:lang w:bidi="en-US"/>
        </w:rPr>
        <w:t>.2</w:t>
      </w:r>
      <w:r w:rsidR="00F6677A" w:rsidRPr="0001752F">
        <w:rPr>
          <w:lang w:bidi="en-US"/>
        </w:rPr>
        <w:t xml:space="preserve"> Environmental Dimension</w:t>
      </w:r>
      <w:bookmarkEnd w:id="30"/>
      <w:bookmarkEnd w:id="31"/>
    </w:p>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1440"/>
        <w:gridCol w:w="1620"/>
      </w:tblGrid>
      <w:tr w:rsidR="0001752F" w:rsidRPr="0001752F" w14:paraId="0F040A25" w14:textId="77777777" w:rsidTr="00555952">
        <w:tc>
          <w:tcPr>
            <w:tcW w:w="4158" w:type="dxa"/>
            <w:tcBorders>
              <w:top w:val="single" w:sz="4" w:space="0" w:color="auto"/>
              <w:bottom w:val="single" w:sz="4" w:space="0" w:color="auto"/>
            </w:tcBorders>
          </w:tcPr>
          <w:p w14:paraId="6E239F2E"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
                <w:bCs/>
                <w:szCs w:val="24"/>
                <w:lang w:bidi="en-US"/>
              </w:rPr>
              <w:t>Environmental Indicators</w:t>
            </w:r>
          </w:p>
        </w:tc>
        <w:tc>
          <w:tcPr>
            <w:tcW w:w="1440" w:type="dxa"/>
            <w:tcBorders>
              <w:top w:val="single" w:sz="4" w:space="0" w:color="auto"/>
              <w:bottom w:val="single" w:sz="4" w:space="0" w:color="auto"/>
            </w:tcBorders>
          </w:tcPr>
          <w:p w14:paraId="679EA5AA"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
                <w:bCs/>
                <w:szCs w:val="24"/>
                <w:lang w:bidi="en-US"/>
              </w:rPr>
              <w:t>Yes (%)</w:t>
            </w:r>
          </w:p>
        </w:tc>
        <w:tc>
          <w:tcPr>
            <w:tcW w:w="1620" w:type="dxa"/>
            <w:tcBorders>
              <w:top w:val="single" w:sz="4" w:space="0" w:color="auto"/>
              <w:bottom w:val="single" w:sz="4" w:space="0" w:color="auto"/>
            </w:tcBorders>
          </w:tcPr>
          <w:p w14:paraId="4C465D2C"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b/>
                <w:bCs/>
                <w:szCs w:val="24"/>
                <w:lang w:bidi="en-US"/>
              </w:rPr>
              <w:t>No (%)</w:t>
            </w:r>
          </w:p>
        </w:tc>
      </w:tr>
      <w:tr w:rsidR="0001752F" w:rsidRPr="0001752F" w14:paraId="447493BC" w14:textId="77777777" w:rsidTr="00555952">
        <w:tc>
          <w:tcPr>
            <w:tcW w:w="4158" w:type="dxa"/>
            <w:tcBorders>
              <w:top w:val="single" w:sz="4" w:space="0" w:color="auto"/>
            </w:tcBorders>
          </w:tcPr>
          <w:p w14:paraId="2905DD19"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Fuel/electricity/heating/cooling/steam consumption</w:t>
            </w:r>
          </w:p>
        </w:tc>
        <w:tc>
          <w:tcPr>
            <w:tcW w:w="1440" w:type="dxa"/>
            <w:tcBorders>
              <w:top w:val="single" w:sz="4" w:space="0" w:color="auto"/>
            </w:tcBorders>
          </w:tcPr>
          <w:p w14:paraId="60FFCFA3"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68 (37.2%)</w:t>
            </w:r>
          </w:p>
        </w:tc>
        <w:tc>
          <w:tcPr>
            <w:tcW w:w="1620" w:type="dxa"/>
            <w:tcBorders>
              <w:top w:val="single" w:sz="4" w:space="0" w:color="auto"/>
            </w:tcBorders>
          </w:tcPr>
          <w:p w14:paraId="50CD8BF6"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115 (62.8%)</w:t>
            </w:r>
          </w:p>
        </w:tc>
      </w:tr>
      <w:tr w:rsidR="0001752F" w:rsidRPr="0001752F" w14:paraId="3C17F32D" w14:textId="77777777" w:rsidTr="00555952">
        <w:tc>
          <w:tcPr>
            <w:tcW w:w="4158" w:type="dxa"/>
          </w:tcPr>
          <w:p w14:paraId="47546E56"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Environmental protection expenditures</w:t>
            </w:r>
          </w:p>
        </w:tc>
        <w:tc>
          <w:tcPr>
            <w:tcW w:w="1440" w:type="dxa"/>
          </w:tcPr>
          <w:p w14:paraId="0D19A75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53 (29.0%)</w:t>
            </w:r>
          </w:p>
        </w:tc>
        <w:tc>
          <w:tcPr>
            <w:tcW w:w="1620" w:type="dxa"/>
          </w:tcPr>
          <w:p w14:paraId="2C34B29B"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130 (71.0%)</w:t>
            </w:r>
          </w:p>
        </w:tc>
      </w:tr>
      <w:tr w:rsidR="0001752F" w:rsidRPr="0001752F" w14:paraId="19CFD986" w14:textId="77777777" w:rsidTr="00555952">
        <w:tc>
          <w:tcPr>
            <w:tcW w:w="4158" w:type="dxa"/>
          </w:tcPr>
          <w:p w14:paraId="7DD8E0FB"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Waste and method of disposal </w:t>
            </w:r>
          </w:p>
        </w:tc>
        <w:tc>
          <w:tcPr>
            <w:tcW w:w="1440" w:type="dxa"/>
          </w:tcPr>
          <w:p w14:paraId="043C030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50 (27.3%)</w:t>
            </w:r>
          </w:p>
        </w:tc>
        <w:tc>
          <w:tcPr>
            <w:tcW w:w="1620" w:type="dxa"/>
          </w:tcPr>
          <w:p w14:paraId="0D4C2717"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133 (72.7%)</w:t>
            </w:r>
          </w:p>
        </w:tc>
      </w:tr>
      <w:tr w:rsidR="0001752F" w:rsidRPr="0001752F" w14:paraId="03581431" w14:textId="77777777" w:rsidTr="00555952">
        <w:tc>
          <w:tcPr>
            <w:tcW w:w="4158" w:type="dxa"/>
          </w:tcPr>
          <w:p w14:paraId="55D8BA9A" w14:textId="77777777" w:rsidR="00555952" w:rsidRPr="0001752F" w:rsidRDefault="00555952" w:rsidP="00EC5A3C">
            <w:pPr>
              <w:spacing w:line="240" w:lineRule="auto"/>
              <w:rPr>
                <w:rFonts w:eastAsia="SimSun" w:cs="Times New Roman"/>
                <w:b/>
                <w:bCs/>
                <w:szCs w:val="24"/>
                <w:lang w:bidi="en-US"/>
              </w:rPr>
            </w:pPr>
            <w:r w:rsidRPr="0001752F">
              <w:rPr>
                <w:rFonts w:eastAsia="SimSun" w:cs="Times New Roman"/>
                <w:bCs/>
                <w:szCs w:val="24"/>
                <w:lang w:bidi="en-US"/>
              </w:rPr>
              <w:t xml:space="preserve">Renewable and non-renewable materials used </w:t>
            </w:r>
          </w:p>
        </w:tc>
        <w:tc>
          <w:tcPr>
            <w:tcW w:w="1440" w:type="dxa"/>
          </w:tcPr>
          <w:p w14:paraId="767B8660"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45 (24.6%)</w:t>
            </w:r>
          </w:p>
        </w:tc>
        <w:tc>
          <w:tcPr>
            <w:tcW w:w="1620" w:type="dxa"/>
          </w:tcPr>
          <w:p w14:paraId="7BDF084F"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138 (75.4%)</w:t>
            </w:r>
          </w:p>
        </w:tc>
      </w:tr>
      <w:tr w:rsidR="0001752F" w:rsidRPr="0001752F" w14:paraId="07E77B43" w14:textId="77777777" w:rsidTr="00555952">
        <w:tc>
          <w:tcPr>
            <w:tcW w:w="4158" w:type="dxa"/>
          </w:tcPr>
          <w:p w14:paraId="650B3CEB"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Electricity/heating/cooling/steam sold</w:t>
            </w:r>
          </w:p>
        </w:tc>
        <w:tc>
          <w:tcPr>
            <w:tcW w:w="1440" w:type="dxa"/>
          </w:tcPr>
          <w:p w14:paraId="7B2CE825"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36 (19.7%)</w:t>
            </w:r>
          </w:p>
        </w:tc>
        <w:tc>
          <w:tcPr>
            <w:tcW w:w="1620" w:type="dxa"/>
          </w:tcPr>
          <w:p w14:paraId="04D2DF69"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147 (80.3%)</w:t>
            </w:r>
          </w:p>
        </w:tc>
      </w:tr>
      <w:tr w:rsidR="0001752F" w:rsidRPr="0001752F" w14:paraId="16A881DF" w14:textId="77777777" w:rsidTr="00555952">
        <w:tc>
          <w:tcPr>
            <w:tcW w:w="4158" w:type="dxa"/>
          </w:tcPr>
          <w:p w14:paraId="567075A8"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Reduction in energy consumption due to conservation </w:t>
            </w:r>
          </w:p>
        </w:tc>
        <w:tc>
          <w:tcPr>
            <w:tcW w:w="1440" w:type="dxa"/>
          </w:tcPr>
          <w:p w14:paraId="335E9057"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34 (18.6%)</w:t>
            </w:r>
          </w:p>
        </w:tc>
        <w:tc>
          <w:tcPr>
            <w:tcW w:w="1620" w:type="dxa"/>
          </w:tcPr>
          <w:p w14:paraId="4DD4191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149 (81.4%)</w:t>
            </w:r>
          </w:p>
        </w:tc>
      </w:tr>
      <w:tr w:rsidR="0001752F" w:rsidRPr="0001752F" w14:paraId="7DAACED2" w14:textId="77777777" w:rsidTr="00555952">
        <w:tc>
          <w:tcPr>
            <w:tcW w:w="4158" w:type="dxa"/>
            <w:tcBorders>
              <w:bottom w:val="single" w:sz="4" w:space="0" w:color="auto"/>
            </w:tcBorders>
          </w:tcPr>
          <w:p w14:paraId="598B0574"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szCs w:val="24"/>
                <w:lang w:bidi="en-US"/>
              </w:rPr>
              <w:t>Does your firm currently report its environmental impacts?</w:t>
            </w:r>
          </w:p>
        </w:tc>
        <w:tc>
          <w:tcPr>
            <w:tcW w:w="1440" w:type="dxa"/>
            <w:tcBorders>
              <w:bottom w:val="single" w:sz="4" w:space="0" w:color="auto"/>
            </w:tcBorders>
          </w:tcPr>
          <w:p w14:paraId="455D0AE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54 (29.5%)</w:t>
            </w:r>
          </w:p>
        </w:tc>
        <w:tc>
          <w:tcPr>
            <w:tcW w:w="1620" w:type="dxa"/>
            <w:tcBorders>
              <w:bottom w:val="single" w:sz="4" w:space="0" w:color="auto"/>
            </w:tcBorders>
          </w:tcPr>
          <w:p w14:paraId="1D774E7B"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129 (70.5%)</w:t>
            </w:r>
          </w:p>
        </w:tc>
      </w:tr>
      <w:tr w:rsidR="0001752F" w:rsidRPr="0001752F" w14:paraId="51E9E424" w14:textId="77777777" w:rsidTr="00555952">
        <w:tc>
          <w:tcPr>
            <w:tcW w:w="4158" w:type="dxa"/>
            <w:tcBorders>
              <w:top w:val="single" w:sz="4" w:space="0" w:color="auto"/>
              <w:bottom w:val="single" w:sz="4" w:space="0" w:color="auto"/>
            </w:tcBorders>
          </w:tcPr>
          <w:p w14:paraId="1CCD5649"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Extent of environmental reporting</w:t>
            </w:r>
          </w:p>
        </w:tc>
        <w:tc>
          <w:tcPr>
            <w:tcW w:w="1440" w:type="dxa"/>
            <w:tcBorders>
              <w:top w:val="single" w:sz="4" w:space="0" w:color="auto"/>
              <w:bottom w:val="single" w:sz="4" w:space="0" w:color="auto"/>
            </w:tcBorders>
          </w:tcPr>
          <w:p w14:paraId="0C73FC13" w14:textId="13D5ED89"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340(26.5%)</w:t>
            </w:r>
          </w:p>
        </w:tc>
        <w:tc>
          <w:tcPr>
            <w:tcW w:w="1620" w:type="dxa"/>
            <w:tcBorders>
              <w:top w:val="single" w:sz="4" w:space="0" w:color="auto"/>
              <w:bottom w:val="single" w:sz="4" w:space="0" w:color="auto"/>
            </w:tcBorders>
          </w:tcPr>
          <w:p w14:paraId="589A184D" w14:textId="77777777"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941 (73.5%)</w:t>
            </w:r>
          </w:p>
        </w:tc>
      </w:tr>
    </w:tbl>
    <w:p w14:paraId="2248370F" w14:textId="77777777" w:rsidR="00716538" w:rsidRPr="0001752F" w:rsidRDefault="00716538" w:rsidP="00CD1D54">
      <w:pPr>
        <w:pStyle w:val="Heading3"/>
        <w:spacing w:before="0" w:after="0"/>
        <w:rPr>
          <w:rFonts w:eastAsia="SimSun"/>
          <w:lang w:bidi="en-US"/>
        </w:rPr>
      </w:pPr>
      <w:bookmarkStart w:id="32" w:name="_Toc78332790"/>
      <w:bookmarkStart w:id="33" w:name="_Toc79716757"/>
      <w:r w:rsidRPr="0001752F">
        <w:rPr>
          <w:rFonts w:eastAsia="SimSun"/>
          <w:lang w:bidi="en-US"/>
        </w:rPr>
        <w:t>Source: Authors’ computations from field data, 2021</w:t>
      </w:r>
    </w:p>
    <w:p w14:paraId="27F6361B" w14:textId="77777777" w:rsidR="00C30F80" w:rsidRPr="0001752F" w:rsidRDefault="00C30F80" w:rsidP="00C46626">
      <w:pPr>
        <w:pStyle w:val="Heading3"/>
        <w:spacing w:before="0" w:after="0"/>
        <w:rPr>
          <w:rFonts w:eastAsia="SimSun"/>
          <w:sz w:val="14"/>
          <w:szCs w:val="14"/>
          <w:lang w:bidi="en-US"/>
        </w:rPr>
      </w:pPr>
    </w:p>
    <w:bookmarkEnd w:id="32"/>
    <w:bookmarkEnd w:id="33"/>
    <w:p w14:paraId="121A21E1" w14:textId="06884423" w:rsidR="00B33B3A" w:rsidRPr="0001752F" w:rsidRDefault="00F6677A" w:rsidP="00C46626">
      <w:pPr>
        <w:spacing w:after="0"/>
        <w:rPr>
          <w:rFonts w:eastAsia="SimSun" w:cs="Times New Roman"/>
          <w:bCs/>
          <w:szCs w:val="24"/>
          <w:lang w:bidi="en-US"/>
        </w:rPr>
      </w:pPr>
      <w:r w:rsidRPr="0001752F">
        <w:rPr>
          <w:rFonts w:eastAsia="SimSun" w:cs="Times New Roman"/>
          <w:szCs w:val="24"/>
          <w:lang w:bidi="en-US"/>
        </w:rPr>
        <w:t>The last dimension of SR is the social dimension. Overall, th</w:t>
      </w:r>
      <w:r w:rsidR="00154E49" w:rsidRPr="0001752F">
        <w:rPr>
          <w:rFonts w:eastAsia="SimSun" w:cs="Times New Roman"/>
          <w:szCs w:val="24"/>
          <w:lang w:bidi="en-US"/>
        </w:rPr>
        <w:t>e results presented in Table 5.3</w:t>
      </w:r>
      <w:r w:rsidRPr="0001752F">
        <w:rPr>
          <w:rFonts w:eastAsia="SimSun" w:cs="Times New Roman"/>
          <w:szCs w:val="24"/>
          <w:lang w:bidi="en-US"/>
        </w:rPr>
        <w:t xml:space="preserve"> indicate that only 26.2% of the SMEs report on the social impacts of their operations whiles </w:t>
      </w:r>
      <w:r w:rsidRPr="0001752F">
        <w:rPr>
          <w:rFonts w:eastAsia="SimSun" w:cs="Times New Roman"/>
          <w:szCs w:val="24"/>
          <w:lang w:bidi="en-US"/>
        </w:rPr>
        <w:lastRenderedPageBreak/>
        <w:t>a significant majority of 73.8% indicate that they do not report their social impact. Individually, it is established that 27.3% of the SMEs report on the b</w:t>
      </w:r>
      <w:r w:rsidRPr="0001752F">
        <w:rPr>
          <w:rFonts w:eastAsia="SimSun" w:cs="Times New Roman"/>
          <w:bCs/>
          <w:szCs w:val="24"/>
          <w:lang w:bidi="en-US"/>
        </w:rPr>
        <w:t>enefits to full-time employees, 25.7% report on the health and safety employee training, 23.5% report on the equal remuneration of men and women, 22.4% report on the local community development programmes, 20.2% report on the stakeholder engagement plans, while only 18% report on the injury, injury rate, and occupational diseases rate within the firm. The extent of social reporting base</w:t>
      </w:r>
      <w:r w:rsidR="00814B31" w:rsidRPr="0001752F">
        <w:rPr>
          <w:rFonts w:eastAsia="SimSun" w:cs="Times New Roman"/>
          <w:bCs/>
          <w:szCs w:val="24"/>
          <w:lang w:bidi="en-US"/>
        </w:rPr>
        <w:t>d</w:t>
      </w:r>
      <w:r w:rsidRPr="0001752F">
        <w:rPr>
          <w:rFonts w:eastAsia="SimSun" w:cs="Times New Roman"/>
          <w:bCs/>
          <w:szCs w:val="24"/>
          <w:lang w:bidi="en-US"/>
        </w:rPr>
        <w:t xml:space="preserve"> on individual social indicators is 23.3% indicating a</w:t>
      </w:r>
      <w:bookmarkStart w:id="34" w:name="_Toc78262924"/>
      <w:r w:rsidR="00A06038" w:rsidRPr="0001752F">
        <w:rPr>
          <w:rFonts w:eastAsia="SimSun" w:cs="Times New Roman"/>
          <w:bCs/>
          <w:szCs w:val="24"/>
          <w:lang w:bidi="en-US"/>
        </w:rPr>
        <w:t xml:space="preserve"> low level of social reporting.</w:t>
      </w:r>
      <w:bookmarkStart w:id="35" w:name="_Toc79645869"/>
    </w:p>
    <w:p w14:paraId="25022B77" w14:textId="77777777" w:rsidR="00644C0A" w:rsidRPr="0001752F" w:rsidRDefault="00644C0A" w:rsidP="00C46626">
      <w:pPr>
        <w:spacing w:after="0"/>
        <w:rPr>
          <w:rFonts w:eastAsia="SimSun" w:cs="Times New Roman"/>
          <w:bCs/>
          <w:szCs w:val="24"/>
          <w:lang w:bidi="en-US"/>
        </w:rPr>
      </w:pPr>
    </w:p>
    <w:p w14:paraId="5BFCC219" w14:textId="77777777" w:rsidR="00287AB1" w:rsidRPr="0001752F" w:rsidRDefault="00287AB1" w:rsidP="00C46626">
      <w:pPr>
        <w:spacing w:after="0"/>
        <w:rPr>
          <w:rFonts w:eastAsia="SimSun" w:cs="Times New Roman"/>
          <w:bCs/>
          <w:sz w:val="14"/>
          <w:szCs w:val="14"/>
          <w:lang w:bidi="en-US"/>
        </w:rPr>
      </w:pPr>
    </w:p>
    <w:p w14:paraId="1A8A6F71" w14:textId="7F5084DE" w:rsidR="00F6677A" w:rsidRPr="0001752F" w:rsidRDefault="00513622" w:rsidP="00B33B3A">
      <w:pPr>
        <w:spacing w:after="0"/>
        <w:rPr>
          <w:rFonts w:eastAsia="SimSun" w:cs="Times New Roman"/>
          <w:b/>
          <w:bCs/>
          <w:szCs w:val="24"/>
          <w:lang w:bidi="en-US"/>
        </w:rPr>
      </w:pPr>
      <w:r w:rsidRPr="0001752F">
        <w:rPr>
          <w:b/>
          <w:lang w:bidi="en-US"/>
        </w:rPr>
        <w:t xml:space="preserve">Table </w:t>
      </w:r>
      <w:r w:rsidR="00937AA9" w:rsidRPr="0001752F">
        <w:rPr>
          <w:b/>
          <w:lang w:bidi="en-US"/>
        </w:rPr>
        <w:t>4</w:t>
      </w:r>
      <w:r w:rsidRPr="0001752F">
        <w:rPr>
          <w:b/>
          <w:lang w:bidi="en-US"/>
        </w:rPr>
        <w:t>.3</w:t>
      </w:r>
      <w:r w:rsidR="00F6677A" w:rsidRPr="0001752F">
        <w:rPr>
          <w:b/>
          <w:lang w:bidi="en-US"/>
        </w:rPr>
        <w:t xml:space="preserve"> Social Dimension</w:t>
      </w:r>
      <w:bookmarkEnd w:id="34"/>
      <w:bookmarkEnd w:id="35"/>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701"/>
        <w:gridCol w:w="1701"/>
      </w:tblGrid>
      <w:tr w:rsidR="0001752F" w:rsidRPr="0001752F" w14:paraId="31D36F04" w14:textId="77777777" w:rsidTr="00645409">
        <w:tc>
          <w:tcPr>
            <w:tcW w:w="4820" w:type="dxa"/>
            <w:tcBorders>
              <w:top w:val="single" w:sz="4" w:space="0" w:color="auto"/>
              <w:bottom w:val="single" w:sz="4" w:space="0" w:color="auto"/>
            </w:tcBorders>
          </w:tcPr>
          <w:p w14:paraId="4BE20BA2" w14:textId="77777777" w:rsidR="00555952" w:rsidRPr="0001752F" w:rsidRDefault="00555952" w:rsidP="00B33B3A">
            <w:pPr>
              <w:spacing w:line="240" w:lineRule="auto"/>
              <w:rPr>
                <w:rFonts w:eastAsia="SimSun" w:cs="Times New Roman"/>
                <w:bCs/>
                <w:szCs w:val="24"/>
                <w:lang w:bidi="en-US"/>
              </w:rPr>
            </w:pPr>
            <w:r w:rsidRPr="0001752F">
              <w:rPr>
                <w:rFonts w:eastAsia="SimSun" w:cs="Times New Roman"/>
                <w:b/>
                <w:bCs/>
                <w:szCs w:val="24"/>
                <w:lang w:bidi="en-US"/>
              </w:rPr>
              <w:t>Social Indicators</w:t>
            </w:r>
          </w:p>
        </w:tc>
        <w:tc>
          <w:tcPr>
            <w:tcW w:w="1701" w:type="dxa"/>
            <w:tcBorders>
              <w:top w:val="single" w:sz="4" w:space="0" w:color="auto"/>
              <w:bottom w:val="single" w:sz="4" w:space="0" w:color="auto"/>
            </w:tcBorders>
          </w:tcPr>
          <w:p w14:paraId="39E51E91" w14:textId="77777777" w:rsidR="00555952" w:rsidRPr="0001752F" w:rsidRDefault="00555952" w:rsidP="00B33B3A">
            <w:pPr>
              <w:spacing w:line="240" w:lineRule="auto"/>
              <w:rPr>
                <w:rFonts w:eastAsia="SimSun" w:cs="Times New Roman"/>
                <w:szCs w:val="24"/>
                <w:lang w:bidi="en-US"/>
              </w:rPr>
            </w:pPr>
            <w:r w:rsidRPr="0001752F">
              <w:rPr>
                <w:rFonts w:eastAsia="SimSun" w:cs="Times New Roman"/>
                <w:b/>
                <w:bCs/>
                <w:szCs w:val="24"/>
                <w:lang w:bidi="en-US"/>
              </w:rPr>
              <w:t>Yes (%)</w:t>
            </w:r>
          </w:p>
        </w:tc>
        <w:tc>
          <w:tcPr>
            <w:tcW w:w="1701" w:type="dxa"/>
            <w:tcBorders>
              <w:top w:val="single" w:sz="4" w:space="0" w:color="auto"/>
              <w:bottom w:val="single" w:sz="4" w:space="0" w:color="auto"/>
            </w:tcBorders>
          </w:tcPr>
          <w:p w14:paraId="25D27CEA" w14:textId="77777777" w:rsidR="00555952" w:rsidRPr="0001752F" w:rsidRDefault="00555952" w:rsidP="00B33B3A">
            <w:pPr>
              <w:spacing w:line="240" w:lineRule="auto"/>
              <w:rPr>
                <w:rFonts w:eastAsia="SimSun" w:cs="Times New Roman"/>
                <w:szCs w:val="24"/>
                <w:lang w:bidi="en-US"/>
              </w:rPr>
            </w:pPr>
            <w:r w:rsidRPr="0001752F">
              <w:rPr>
                <w:rFonts w:eastAsia="SimSun" w:cs="Times New Roman"/>
                <w:b/>
                <w:bCs/>
                <w:szCs w:val="24"/>
                <w:lang w:bidi="en-US"/>
              </w:rPr>
              <w:t>No (%)</w:t>
            </w:r>
          </w:p>
        </w:tc>
      </w:tr>
      <w:tr w:rsidR="0001752F" w:rsidRPr="0001752F" w14:paraId="2FFE5384" w14:textId="77777777" w:rsidTr="00645409">
        <w:trPr>
          <w:trHeight w:val="96"/>
        </w:trPr>
        <w:tc>
          <w:tcPr>
            <w:tcW w:w="4820" w:type="dxa"/>
            <w:tcBorders>
              <w:top w:val="single" w:sz="4" w:space="0" w:color="auto"/>
            </w:tcBorders>
          </w:tcPr>
          <w:p w14:paraId="1756C6AB" w14:textId="77777777" w:rsidR="00555952" w:rsidRPr="0001752F" w:rsidRDefault="00555952" w:rsidP="00EC5A3C">
            <w:pPr>
              <w:spacing w:line="240" w:lineRule="auto"/>
              <w:rPr>
                <w:rFonts w:eastAsia="SimSun" w:cs="Times New Roman"/>
                <w:b/>
                <w:bCs/>
                <w:szCs w:val="24"/>
                <w:lang w:bidi="en-US"/>
              </w:rPr>
            </w:pPr>
            <w:r w:rsidRPr="0001752F">
              <w:rPr>
                <w:rFonts w:eastAsia="SimSun" w:cs="Times New Roman"/>
                <w:bCs/>
                <w:szCs w:val="24"/>
                <w:lang w:bidi="en-US"/>
              </w:rPr>
              <w:t xml:space="preserve">Benefits to full-time employees </w:t>
            </w:r>
          </w:p>
        </w:tc>
        <w:tc>
          <w:tcPr>
            <w:tcW w:w="1701" w:type="dxa"/>
            <w:tcBorders>
              <w:top w:val="single" w:sz="4" w:space="0" w:color="auto"/>
            </w:tcBorders>
          </w:tcPr>
          <w:p w14:paraId="77105C45"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50 (27.3%)</w:t>
            </w:r>
          </w:p>
        </w:tc>
        <w:tc>
          <w:tcPr>
            <w:tcW w:w="1701" w:type="dxa"/>
            <w:tcBorders>
              <w:top w:val="single" w:sz="4" w:space="0" w:color="auto"/>
            </w:tcBorders>
          </w:tcPr>
          <w:p w14:paraId="49B0AE37"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133 (72.7%)</w:t>
            </w:r>
          </w:p>
        </w:tc>
      </w:tr>
      <w:tr w:rsidR="0001752F" w:rsidRPr="0001752F" w14:paraId="33272DFC" w14:textId="77777777" w:rsidTr="00645409">
        <w:tc>
          <w:tcPr>
            <w:tcW w:w="4820" w:type="dxa"/>
          </w:tcPr>
          <w:p w14:paraId="4AD6BEC0"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Health and Safety employee training </w:t>
            </w:r>
          </w:p>
        </w:tc>
        <w:tc>
          <w:tcPr>
            <w:tcW w:w="1701" w:type="dxa"/>
          </w:tcPr>
          <w:p w14:paraId="2B60B6C0"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47 (25.7%)</w:t>
            </w:r>
          </w:p>
        </w:tc>
        <w:tc>
          <w:tcPr>
            <w:tcW w:w="1701" w:type="dxa"/>
          </w:tcPr>
          <w:p w14:paraId="384FA5EA"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136 (74.3%)</w:t>
            </w:r>
          </w:p>
        </w:tc>
      </w:tr>
      <w:tr w:rsidR="0001752F" w:rsidRPr="0001752F" w14:paraId="68DC1C47" w14:textId="77777777" w:rsidTr="00645409">
        <w:tc>
          <w:tcPr>
            <w:tcW w:w="4820" w:type="dxa"/>
          </w:tcPr>
          <w:p w14:paraId="011BE77B"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Equal remuneration of men and women </w:t>
            </w:r>
          </w:p>
        </w:tc>
        <w:tc>
          <w:tcPr>
            <w:tcW w:w="1701" w:type="dxa"/>
          </w:tcPr>
          <w:p w14:paraId="268BFF60"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43 (23.5%)</w:t>
            </w:r>
          </w:p>
        </w:tc>
        <w:tc>
          <w:tcPr>
            <w:tcW w:w="1701" w:type="dxa"/>
          </w:tcPr>
          <w:p w14:paraId="63D0C75D"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140 (76.5%)</w:t>
            </w:r>
          </w:p>
        </w:tc>
      </w:tr>
      <w:tr w:rsidR="0001752F" w:rsidRPr="0001752F" w14:paraId="4FD9D192" w14:textId="77777777" w:rsidTr="00645409">
        <w:tc>
          <w:tcPr>
            <w:tcW w:w="4820" w:type="dxa"/>
          </w:tcPr>
          <w:p w14:paraId="5F35AE6D"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Local community development programmes </w:t>
            </w:r>
          </w:p>
        </w:tc>
        <w:tc>
          <w:tcPr>
            <w:tcW w:w="1701" w:type="dxa"/>
          </w:tcPr>
          <w:p w14:paraId="29717540"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41 (22.4%)</w:t>
            </w:r>
          </w:p>
        </w:tc>
        <w:tc>
          <w:tcPr>
            <w:tcW w:w="1701" w:type="dxa"/>
          </w:tcPr>
          <w:p w14:paraId="00ABD013"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142 (77.6%)</w:t>
            </w:r>
          </w:p>
        </w:tc>
      </w:tr>
      <w:tr w:rsidR="0001752F" w:rsidRPr="0001752F" w14:paraId="67210270" w14:textId="77777777" w:rsidTr="00645409">
        <w:tc>
          <w:tcPr>
            <w:tcW w:w="4820" w:type="dxa"/>
          </w:tcPr>
          <w:p w14:paraId="7249BD74"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Stakeholder engagement plans </w:t>
            </w:r>
          </w:p>
        </w:tc>
        <w:tc>
          <w:tcPr>
            <w:tcW w:w="1701" w:type="dxa"/>
          </w:tcPr>
          <w:p w14:paraId="11F60F2B"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37 (20.2%)</w:t>
            </w:r>
          </w:p>
        </w:tc>
        <w:tc>
          <w:tcPr>
            <w:tcW w:w="1701" w:type="dxa"/>
          </w:tcPr>
          <w:p w14:paraId="27B09A32"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146 (79.8%)</w:t>
            </w:r>
          </w:p>
        </w:tc>
      </w:tr>
      <w:tr w:rsidR="0001752F" w:rsidRPr="0001752F" w14:paraId="4BD9B258" w14:textId="77777777" w:rsidTr="00645409">
        <w:tc>
          <w:tcPr>
            <w:tcW w:w="4820" w:type="dxa"/>
          </w:tcPr>
          <w:p w14:paraId="786781C3"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bCs/>
                <w:szCs w:val="24"/>
                <w:lang w:bidi="en-US"/>
              </w:rPr>
              <w:t xml:space="preserve">Injury/injury rate/occupational diseases rate </w:t>
            </w:r>
          </w:p>
        </w:tc>
        <w:tc>
          <w:tcPr>
            <w:tcW w:w="1701" w:type="dxa"/>
          </w:tcPr>
          <w:p w14:paraId="35EA1871"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33 (18.0%)</w:t>
            </w:r>
          </w:p>
        </w:tc>
        <w:tc>
          <w:tcPr>
            <w:tcW w:w="1701" w:type="dxa"/>
          </w:tcPr>
          <w:p w14:paraId="70B8719A"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150 (82.0%)</w:t>
            </w:r>
          </w:p>
        </w:tc>
      </w:tr>
      <w:tr w:rsidR="0001752F" w:rsidRPr="0001752F" w14:paraId="453F386C" w14:textId="77777777" w:rsidTr="00645409">
        <w:tc>
          <w:tcPr>
            <w:tcW w:w="4820" w:type="dxa"/>
            <w:tcBorders>
              <w:bottom w:val="single" w:sz="4" w:space="0" w:color="auto"/>
            </w:tcBorders>
          </w:tcPr>
          <w:p w14:paraId="799BB681" w14:textId="77777777" w:rsidR="00555952" w:rsidRPr="0001752F" w:rsidRDefault="00555952" w:rsidP="00EC5A3C">
            <w:pPr>
              <w:spacing w:line="240" w:lineRule="auto"/>
              <w:rPr>
                <w:rFonts w:eastAsia="SimSun" w:cs="Times New Roman"/>
                <w:bCs/>
                <w:szCs w:val="24"/>
                <w:lang w:bidi="en-US"/>
              </w:rPr>
            </w:pPr>
            <w:r w:rsidRPr="0001752F">
              <w:rPr>
                <w:rFonts w:eastAsia="SimSun" w:cs="Times New Roman"/>
                <w:szCs w:val="24"/>
                <w:lang w:bidi="en-US"/>
              </w:rPr>
              <w:t>Does your firm currently report its social impacts?</w:t>
            </w:r>
          </w:p>
        </w:tc>
        <w:tc>
          <w:tcPr>
            <w:tcW w:w="1701" w:type="dxa"/>
            <w:tcBorders>
              <w:bottom w:val="single" w:sz="4" w:space="0" w:color="auto"/>
            </w:tcBorders>
          </w:tcPr>
          <w:p w14:paraId="65B55937"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48 (26.2%)</w:t>
            </w:r>
          </w:p>
        </w:tc>
        <w:tc>
          <w:tcPr>
            <w:tcW w:w="1701" w:type="dxa"/>
            <w:tcBorders>
              <w:bottom w:val="single" w:sz="4" w:space="0" w:color="auto"/>
            </w:tcBorders>
          </w:tcPr>
          <w:p w14:paraId="792C719D"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135 (73.8%)</w:t>
            </w:r>
          </w:p>
        </w:tc>
      </w:tr>
      <w:tr w:rsidR="0001752F" w:rsidRPr="0001752F" w14:paraId="6F3157DD" w14:textId="77777777" w:rsidTr="00645409">
        <w:tc>
          <w:tcPr>
            <w:tcW w:w="4820" w:type="dxa"/>
            <w:tcBorders>
              <w:top w:val="single" w:sz="4" w:space="0" w:color="auto"/>
              <w:bottom w:val="single" w:sz="4" w:space="0" w:color="auto"/>
            </w:tcBorders>
          </w:tcPr>
          <w:p w14:paraId="25644F8B" w14:textId="77777777" w:rsidR="00555952" w:rsidRPr="0001752F" w:rsidRDefault="00555952" w:rsidP="00EC5A3C">
            <w:pPr>
              <w:spacing w:line="240" w:lineRule="auto"/>
              <w:rPr>
                <w:rFonts w:eastAsia="SimSun" w:cs="Times New Roman"/>
                <w:szCs w:val="24"/>
                <w:lang w:bidi="en-US"/>
              </w:rPr>
            </w:pPr>
            <w:r w:rsidRPr="0001752F">
              <w:rPr>
                <w:rFonts w:eastAsia="SimSun" w:cs="Times New Roman"/>
                <w:szCs w:val="24"/>
                <w:lang w:bidi="en-US"/>
              </w:rPr>
              <w:t>Extent of social reporting</w:t>
            </w:r>
          </w:p>
        </w:tc>
        <w:tc>
          <w:tcPr>
            <w:tcW w:w="1701" w:type="dxa"/>
            <w:tcBorders>
              <w:top w:val="single" w:sz="4" w:space="0" w:color="auto"/>
              <w:bottom w:val="single" w:sz="4" w:space="0" w:color="auto"/>
            </w:tcBorders>
          </w:tcPr>
          <w:p w14:paraId="144C45D7" w14:textId="77777777"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299 (23.3%)</w:t>
            </w:r>
          </w:p>
        </w:tc>
        <w:tc>
          <w:tcPr>
            <w:tcW w:w="1701" w:type="dxa"/>
            <w:tcBorders>
              <w:top w:val="single" w:sz="4" w:space="0" w:color="auto"/>
              <w:bottom w:val="single" w:sz="4" w:space="0" w:color="auto"/>
            </w:tcBorders>
          </w:tcPr>
          <w:p w14:paraId="4D200160" w14:textId="77777777" w:rsidR="00555952" w:rsidRPr="0001752F" w:rsidRDefault="00555952" w:rsidP="00EC5A3C">
            <w:pPr>
              <w:spacing w:line="240" w:lineRule="auto"/>
              <w:rPr>
                <w:rFonts w:eastAsia="SimSun" w:cs="Times New Roman"/>
                <w:b/>
                <w:szCs w:val="24"/>
                <w:lang w:bidi="en-US"/>
              </w:rPr>
            </w:pPr>
            <w:r w:rsidRPr="0001752F">
              <w:rPr>
                <w:rFonts w:eastAsia="SimSun" w:cs="Times New Roman"/>
                <w:b/>
                <w:szCs w:val="24"/>
                <w:lang w:bidi="en-US"/>
              </w:rPr>
              <w:t>982 (76.7%)</w:t>
            </w:r>
          </w:p>
        </w:tc>
      </w:tr>
    </w:tbl>
    <w:p w14:paraId="150DB646" w14:textId="77777777" w:rsidR="00716538" w:rsidRPr="0001752F" w:rsidRDefault="00716538" w:rsidP="00716538">
      <w:pPr>
        <w:pStyle w:val="Heading3"/>
        <w:spacing w:before="0" w:after="0"/>
        <w:rPr>
          <w:rFonts w:eastAsia="SimSun"/>
          <w:lang w:bidi="en-US"/>
        </w:rPr>
      </w:pPr>
      <w:r w:rsidRPr="0001752F">
        <w:rPr>
          <w:rFonts w:eastAsia="SimSun"/>
          <w:lang w:bidi="en-US"/>
        </w:rPr>
        <w:t>Source: Authors’ computations from field data, 2021</w:t>
      </w:r>
    </w:p>
    <w:p w14:paraId="6ED376AD" w14:textId="77777777" w:rsidR="00FF7CE5" w:rsidRPr="0001752F" w:rsidRDefault="00FF7CE5" w:rsidP="00C46626">
      <w:pPr>
        <w:spacing w:after="0"/>
        <w:rPr>
          <w:rFonts w:eastAsia="SimSun" w:cs="Times New Roman"/>
          <w:b/>
          <w:bCs/>
          <w:szCs w:val="24"/>
          <w:lang w:bidi="en-US"/>
        </w:rPr>
      </w:pPr>
    </w:p>
    <w:p w14:paraId="53049F7D" w14:textId="3C70CC52" w:rsidR="00F6677A" w:rsidRPr="0001752F" w:rsidRDefault="00F6677A" w:rsidP="00C46626">
      <w:pPr>
        <w:spacing w:after="0"/>
        <w:rPr>
          <w:rFonts w:eastAsia="SimSun" w:cs="Times New Roman"/>
          <w:bCs/>
          <w:szCs w:val="24"/>
          <w:lang w:bidi="en-US"/>
        </w:rPr>
      </w:pPr>
      <w:r w:rsidRPr="0001752F">
        <w:rPr>
          <w:rFonts w:eastAsia="SimSun" w:cs="Times New Roman"/>
          <w:bCs/>
          <w:szCs w:val="24"/>
          <w:lang w:bidi="en-US"/>
        </w:rPr>
        <w:t>Based on the specific relevant SR indicators on all the three dimensions, the overal</w:t>
      </w:r>
      <w:r w:rsidR="00C46626" w:rsidRPr="0001752F">
        <w:rPr>
          <w:rFonts w:eastAsia="SimSun" w:cs="Times New Roman"/>
          <w:bCs/>
          <w:szCs w:val="24"/>
          <w:lang w:bidi="en-US"/>
        </w:rPr>
        <w:t>l results presented in Table 5.4</w:t>
      </w:r>
      <w:r w:rsidRPr="0001752F">
        <w:rPr>
          <w:rFonts w:eastAsia="SimSun" w:cs="Times New Roman"/>
          <w:bCs/>
          <w:szCs w:val="24"/>
          <w:lang w:bidi="en-US"/>
        </w:rPr>
        <w:t xml:space="preserve"> indicate that the extent of economic reporting among SMEs in Ghana is 65.0%, environmental reporting is 26.5% and social reporting is 23.3%. Furtherm</w:t>
      </w:r>
      <w:r w:rsidR="00FC503F" w:rsidRPr="0001752F">
        <w:rPr>
          <w:rFonts w:eastAsia="SimSun" w:cs="Times New Roman"/>
          <w:bCs/>
          <w:szCs w:val="24"/>
          <w:lang w:bidi="en-US"/>
        </w:rPr>
        <w:t xml:space="preserve">ore, the overall extent of </w:t>
      </w:r>
      <w:r w:rsidR="00681D8C" w:rsidRPr="0001752F">
        <w:rPr>
          <w:rFonts w:eastAsia="SimSun" w:cs="Times New Roman"/>
          <w:bCs/>
          <w:szCs w:val="24"/>
          <w:lang w:bidi="en-US"/>
        </w:rPr>
        <w:t xml:space="preserve">SR </w:t>
      </w:r>
      <w:r w:rsidRPr="0001752F">
        <w:rPr>
          <w:rFonts w:eastAsia="SimSun" w:cs="Times New Roman"/>
          <w:bCs/>
          <w:szCs w:val="24"/>
          <w:lang w:bidi="en-US"/>
        </w:rPr>
        <w:t xml:space="preserve">(economic, environmental and social) is 38.3%. </w:t>
      </w:r>
    </w:p>
    <w:p w14:paraId="73674EF5" w14:textId="3A247997" w:rsidR="00F6677A" w:rsidRPr="0001752F" w:rsidRDefault="00513622" w:rsidP="00EC5A3C">
      <w:pPr>
        <w:pStyle w:val="t"/>
        <w:rPr>
          <w:lang w:bidi="en-US"/>
        </w:rPr>
      </w:pPr>
      <w:bookmarkStart w:id="36" w:name="_Toc78262925"/>
      <w:bookmarkStart w:id="37" w:name="_Toc79645870"/>
      <w:r w:rsidRPr="0001752F">
        <w:rPr>
          <w:lang w:bidi="en-US"/>
        </w:rPr>
        <w:t xml:space="preserve">Table </w:t>
      </w:r>
      <w:r w:rsidR="00BB2B6B" w:rsidRPr="0001752F">
        <w:rPr>
          <w:lang w:bidi="en-US"/>
        </w:rPr>
        <w:t>4</w:t>
      </w:r>
      <w:r w:rsidRPr="0001752F">
        <w:rPr>
          <w:lang w:bidi="en-US"/>
        </w:rPr>
        <w:t>.4</w:t>
      </w:r>
      <w:r w:rsidR="00F6677A" w:rsidRPr="0001752F">
        <w:rPr>
          <w:lang w:bidi="en-US"/>
        </w:rPr>
        <w:t xml:space="preserve"> Extent of Sustainability Reporting</w:t>
      </w:r>
      <w:bookmarkEnd w:id="36"/>
      <w:bookmarkEnd w:id="37"/>
    </w:p>
    <w:tbl>
      <w:tblPr>
        <w:tblStyle w:val="TableGrid"/>
        <w:tblW w:w="6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680"/>
        <w:gridCol w:w="1680"/>
      </w:tblGrid>
      <w:tr w:rsidR="0001752F" w:rsidRPr="0001752F" w14:paraId="496DA014" w14:textId="77777777" w:rsidTr="00555952">
        <w:tc>
          <w:tcPr>
            <w:tcW w:w="2718" w:type="dxa"/>
            <w:tcBorders>
              <w:top w:val="single" w:sz="4" w:space="0" w:color="auto"/>
              <w:bottom w:val="single" w:sz="4" w:space="0" w:color="auto"/>
            </w:tcBorders>
          </w:tcPr>
          <w:p w14:paraId="5D4CF0F5" w14:textId="77777777" w:rsidR="00555952" w:rsidRPr="0001752F" w:rsidRDefault="00555952" w:rsidP="00F6677A">
            <w:pPr>
              <w:rPr>
                <w:rFonts w:eastAsia="SimSun" w:cs="Times New Roman"/>
                <w:bCs/>
                <w:szCs w:val="24"/>
                <w:lang w:bidi="en-US"/>
              </w:rPr>
            </w:pPr>
            <w:r w:rsidRPr="0001752F">
              <w:rPr>
                <w:rFonts w:eastAsia="SimSun" w:cs="Times New Roman"/>
                <w:b/>
                <w:bCs/>
                <w:szCs w:val="24"/>
                <w:lang w:bidi="en-US"/>
              </w:rPr>
              <w:t>Dimension</w:t>
            </w:r>
          </w:p>
        </w:tc>
        <w:tc>
          <w:tcPr>
            <w:tcW w:w="1680" w:type="dxa"/>
            <w:tcBorders>
              <w:top w:val="single" w:sz="4" w:space="0" w:color="auto"/>
              <w:bottom w:val="single" w:sz="4" w:space="0" w:color="auto"/>
            </w:tcBorders>
          </w:tcPr>
          <w:p w14:paraId="6BC4CCD4" w14:textId="77777777" w:rsidR="00555952" w:rsidRPr="0001752F" w:rsidRDefault="00555952" w:rsidP="00F6677A">
            <w:pPr>
              <w:rPr>
                <w:rFonts w:eastAsia="SimSun" w:cs="Times New Roman"/>
                <w:szCs w:val="24"/>
                <w:lang w:bidi="en-US"/>
              </w:rPr>
            </w:pPr>
            <w:r w:rsidRPr="0001752F">
              <w:rPr>
                <w:rFonts w:eastAsia="SimSun" w:cs="Times New Roman"/>
                <w:b/>
                <w:bCs/>
                <w:szCs w:val="24"/>
                <w:lang w:bidi="en-US"/>
              </w:rPr>
              <w:t>Yes (%)</w:t>
            </w:r>
          </w:p>
        </w:tc>
        <w:tc>
          <w:tcPr>
            <w:tcW w:w="1680" w:type="dxa"/>
            <w:tcBorders>
              <w:top w:val="single" w:sz="4" w:space="0" w:color="auto"/>
              <w:bottom w:val="single" w:sz="4" w:space="0" w:color="auto"/>
            </w:tcBorders>
          </w:tcPr>
          <w:p w14:paraId="77F2DB72" w14:textId="77777777" w:rsidR="00555952" w:rsidRPr="0001752F" w:rsidRDefault="00555952" w:rsidP="00F6677A">
            <w:pPr>
              <w:rPr>
                <w:rFonts w:eastAsia="SimSun" w:cs="Times New Roman"/>
                <w:szCs w:val="24"/>
                <w:lang w:bidi="en-US"/>
              </w:rPr>
            </w:pPr>
            <w:r w:rsidRPr="0001752F">
              <w:rPr>
                <w:rFonts w:eastAsia="SimSun" w:cs="Times New Roman"/>
                <w:b/>
                <w:bCs/>
                <w:szCs w:val="24"/>
                <w:lang w:bidi="en-US"/>
              </w:rPr>
              <w:t>No (%)</w:t>
            </w:r>
          </w:p>
        </w:tc>
      </w:tr>
      <w:tr w:rsidR="0001752F" w:rsidRPr="0001752F" w14:paraId="6335AF22" w14:textId="77777777" w:rsidTr="00555952">
        <w:tc>
          <w:tcPr>
            <w:tcW w:w="2718" w:type="dxa"/>
            <w:tcBorders>
              <w:top w:val="single" w:sz="4" w:space="0" w:color="auto"/>
            </w:tcBorders>
          </w:tcPr>
          <w:p w14:paraId="0DA2F5BC" w14:textId="77777777" w:rsidR="00555952" w:rsidRPr="0001752F" w:rsidRDefault="00555952" w:rsidP="00F6677A">
            <w:pPr>
              <w:spacing w:line="276" w:lineRule="auto"/>
              <w:rPr>
                <w:rFonts w:eastAsia="SimSun" w:cs="Times New Roman"/>
                <w:b/>
                <w:bCs/>
                <w:szCs w:val="24"/>
                <w:lang w:bidi="en-US"/>
              </w:rPr>
            </w:pPr>
            <w:r w:rsidRPr="0001752F">
              <w:rPr>
                <w:rFonts w:eastAsia="SimSun" w:cs="Times New Roman"/>
                <w:bCs/>
                <w:szCs w:val="24"/>
                <w:lang w:bidi="en-US"/>
              </w:rPr>
              <w:t>Economic</w:t>
            </w:r>
          </w:p>
        </w:tc>
        <w:tc>
          <w:tcPr>
            <w:tcW w:w="1680" w:type="dxa"/>
            <w:tcBorders>
              <w:top w:val="single" w:sz="4" w:space="0" w:color="auto"/>
            </w:tcBorders>
          </w:tcPr>
          <w:p w14:paraId="3FB9F84D"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833 (65.0%)</w:t>
            </w:r>
          </w:p>
        </w:tc>
        <w:tc>
          <w:tcPr>
            <w:tcW w:w="1680" w:type="dxa"/>
            <w:tcBorders>
              <w:top w:val="single" w:sz="4" w:space="0" w:color="auto"/>
            </w:tcBorders>
          </w:tcPr>
          <w:p w14:paraId="5C7774FE"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448 (35.0%)</w:t>
            </w:r>
          </w:p>
        </w:tc>
      </w:tr>
      <w:tr w:rsidR="0001752F" w:rsidRPr="0001752F" w14:paraId="65A1BC34" w14:textId="77777777" w:rsidTr="00555952">
        <w:tc>
          <w:tcPr>
            <w:tcW w:w="2718" w:type="dxa"/>
          </w:tcPr>
          <w:p w14:paraId="1D8CA45D" w14:textId="77777777" w:rsidR="00555952" w:rsidRPr="0001752F" w:rsidRDefault="00555952" w:rsidP="00F6677A">
            <w:pPr>
              <w:spacing w:line="276" w:lineRule="auto"/>
              <w:rPr>
                <w:rFonts w:eastAsia="SimSun" w:cs="Times New Roman"/>
                <w:bCs/>
                <w:szCs w:val="24"/>
                <w:lang w:bidi="en-US"/>
              </w:rPr>
            </w:pPr>
            <w:r w:rsidRPr="0001752F">
              <w:rPr>
                <w:rFonts w:eastAsia="SimSun" w:cs="Times New Roman"/>
                <w:bCs/>
                <w:szCs w:val="24"/>
                <w:lang w:bidi="en-US"/>
              </w:rPr>
              <w:t>Environmental</w:t>
            </w:r>
          </w:p>
        </w:tc>
        <w:tc>
          <w:tcPr>
            <w:tcW w:w="1680" w:type="dxa"/>
          </w:tcPr>
          <w:p w14:paraId="378A44AD"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340 (26.5%)</w:t>
            </w:r>
          </w:p>
        </w:tc>
        <w:tc>
          <w:tcPr>
            <w:tcW w:w="1680" w:type="dxa"/>
          </w:tcPr>
          <w:p w14:paraId="4E795FDD"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941 (73.5%)</w:t>
            </w:r>
          </w:p>
        </w:tc>
      </w:tr>
      <w:tr w:rsidR="0001752F" w:rsidRPr="0001752F" w14:paraId="56D7BB5F" w14:textId="77777777" w:rsidTr="00555952">
        <w:tc>
          <w:tcPr>
            <w:tcW w:w="2718" w:type="dxa"/>
            <w:tcBorders>
              <w:bottom w:val="single" w:sz="4" w:space="0" w:color="auto"/>
            </w:tcBorders>
          </w:tcPr>
          <w:p w14:paraId="08BDF873"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Social</w:t>
            </w:r>
          </w:p>
        </w:tc>
        <w:tc>
          <w:tcPr>
            <w:tcW w:w="1680" w:type="dxa"/>
            <w:tcBorders>
              <w:bottom w:val="single" w:sz="4" w:space="0" w:color="auto"/>
            </w:tcBorders>
          </w:tcPr>
          <w:p w14:paraId="7AF11A48"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299 (23.3%)</w:t>
            </w:r>
          </w:p>
        </w:tc>
        <w:tc>
          <w:tcPr>
            <w:tcW w:w="1680" w:type="dxa"/>
            <w:tcBorders>
              <w:bottom w:val="single" w:sz="4" w:space="0" w:color="auto"/>
            </w:tcBorders>
          </w:tcPr>
          <w:p w14:paraId="0E8A3971" w14:textId="77777777" w:rsidR="00555952" w:rsidRPr="0001752F" w:rsidRDefault="00555952" w:rsidP="00F6677A">
            <w:pPr>
              <w:spacing w:line="276" w:lineRule="auto"/>
              <w:rPr>
                <w:rFonts w:eastAsia="SimSun" w:cs="Times New Roman"/>
                <w:szCs w:val="24"/>
                <w:lang w:bidi="en-US"/>
              </w:rPr>
            </w:pPr>
            <w:r w:rsidRPr="0001752F">
              <w:rPr>
                <w:rFonts w:eastAsia="SimSun" w:cs="Times New Roman"/>
                <w:szCs w:val="24"/>
                <w:lang w:bidi="en-US"/>
              </w:rPr>
              <w:t>982 (76.7%)</w:t>
            </w:r>
          </w:p>
        </w:tc>
      </w:tr>
      <w:tr w:rsidR="0001752F" w:rsidRPr="0001752F" w14:paraId="2E870CD3" w14:textId="77777777" w:rsidTr="00555952">
        <w:tc>
          <w:tcPr>
            <w:tcW w:w="2718" w:type="dxa"/>
            <w:tcBorders>
              <w:top w:val="single" w:sz="4" w:space="0" w:color="auto"/>
              <w:bottom w:val="single" w:sz="4" w:space="0" w:color="auto"/>
            </w:tcBorders>
          </w:tcPr>
          <w:p w14:paraId="2D3C117E" w14:textId="77777777" w:rsidR="00555952" w:rsidRPr="0001752F" w:rsidRDefault="00555952" w:rsidP="00F6677A">
            <w:pPr>
              <w:spacing w:line="276" w:lineRule="auto"/>
              <w:rPr>
                <w:rFonts w:eastAsia="SimSun" w:cs="Times New Roman"/>
                <w:b/>
                <w:bCs/>
                <w:i/>
                <w:iCs/>
                <w:szCs w:val="24"/>
                <w:lang w:bidi="en-US"/>
              </w:rPr>
            </w:pPr>
            <w:r w:rsidRPr="0001752F">
              <w:rPr>
                <w:rFonts w:eastAsia="SimSun" w:cs="Times New Roman"/>
                <w:b/>
                <w:bCs/>
                <w:i/>
                <w:iCs/>
                <w:szCs w:val="24"/>
                <w:lang w:bidi="en-US"/>
              </w:rPr>
              <w:t>Overall extent of SR</w:t>
            </w:r>
          </w:p>
        </w:tc>
        <w:tc>
          <w:tcPr>
            <w:tcW w:w="1680" w:type="dxa"/>
            <w:tcBorders>
              <w:top w:val="single" w:sz="4" w:space="0" w:color="auto"/>
              <w:bottom w:val="single" w:sz="4" w:space="0" w:color="auto"/>
            </w:tcBorders>
          </w:tcPr>
          <w:p w14:paraId="7477CA6A" w14:textId="77777777" w:rsidR="00555952" w:rsidRPr="0001752F" w:rsidRDefault="00555952" w:rsidP="00F6677A">
            <w:pPr>
              <w:spacing w:line="276" w:lineRule="auto"/>
              <w:rPr>
                <w:rFonts w:eastAsia="SimSun" w:cs="Times New Roman"/>
                <w:b/>
                <w:bCs/>
                <w:i/>
                <w:iCs/>
                <w:szCs w:val="24"/>
                <w:lang w:bidi="en-US"/>
              </w:rPr>
            </w:pPr>
            <w:r w:rsidRPr="0001752F">
              <w:rPr>
                <w:rFonts w:eastAsia="SimSun" w:cs="Times New Roman"/>
                <w:b/>
                <w:bCs/>
                <w:i/>
                <w:iCs/>
                <w:szCs w:val="24"/>
                <w:lang w:bidi="en-US"/>
              </w:rPr>
              <w:t>1,472 (38.3%)</w:t>
            </w:r>
          </w:p>
        </w:tc>
        <w:tc>
          <w:tcPr>
            <w:tcW w:w="1680" w:type="dxa"/>
            <w:tcBorders>
              <w:top w:val="single" w:sz="4" w:space="0" w:color="auto"/>
              <w:bottom w:val="single" w:sz="4" w:space="0" w:color="auto"/>
            </w:tcBorders>
          </w:tcPr>
          <w:p w14:paraId="329D34D4" w14:textId="77777777" w:rsidR="00555952" w:rsidRPr="0001752F" w:rsidRDefault="00555952" w:rsidP="00F6677A">
            <w:pPr>
              <w:spacing w:line="276" w:lineRule="auto"/>
              <w:rPr>
                <w:rFonts w:eastAsia="SimSun" w:cs="Times New Roman"/>
                <w:b/>
                <w:bCs/>
                <w:i/>
                <w:iCs/>
                <w:szCs w:val="24"/>
                <w:lang w:bidi="en-US"/>
              </w:rPr>
            </w:pPr>
            <w:r w:rsidRPr="0001752F">
              <w:rPr>
                <w:rFonts w:eastAsia="SimSun" w:cs="Times New Roman"/>
                <w:b/>
                <w:bCs/>
                <w:i/>
                <w:iCs/>
                <w:szCs w:val="24"/>
                <w:lang w:bidi="en-US"/>
              </w:rPr>
              <w:t>2,371 (61.7%)</w:t>
            </w:r>
          </w:p>
        </w:tc>
      </w:tr>
    </w:tbl>
    <w:p w14:paraId="366D1468" w14:textId="77777777" w:rsidR="00716538" w:rsidRPr="0001752F" w:rsidRDefault="00716538" w:rsidP="00716538">
      <w:pPr>
        <w:pStyle w:val="Heading3"/>
        <w:spacing w:before="0" w:after="0"/>
        <w:rPr>
          <w:rFonts w:eastAsia="SimSun"/>
          <w:lang w:bidi="en-US"/>
        </w:rPr>
      </w:pPr>
      <w:r w:rsidRPr="0001752F">
        <w:rPr>
          <w:rFonts w:eastAsia="SimSun"/>
          <w:lang w:bidi="en-US"/>
        </w:rPr>
        <w:t>Source: Authors’ computations from field data, 2021</w:t>
      </w:r>
    </w:p>
    <w:p w14:paraId="372DBA74" w14:textId="77777777" w:rsidR="00C30F80" w:rsidRPr="0001752F" w:rsidRDefault="00C30F80" w:rsidP="00C46626">
      <w:pPr>
        <w:spacing w:after="0"/>
        <w:rPr>
          <w:rFonts w:eastAsia="SimSun" w:cs="Times New Roman"/>
          <w:b/>
          <w:szCs w:val="24"/>
          <w:lang w:val="en-GB" w:bidi="en-US"/>
        </w:rPr>
      </w:pPr>
    </w:p>
    <w:p w14:paraId="5C2486CA" w14:textId="1F682AA2" w:rsidR="00F6677A" w:rsidRPr="0001752F" w:rsidRDefault="00F6677A" w:rsidP="00C46626">
      <w:pPr>
        <w:spacing w:after="0"/>
        <w:rPr>
          <w:rFonts w:eastAsia="SimSun" w:cs="Times New Roman"/>
          <w:szCs w:val="24"/>
          <w:lang w:val="en-GB" w:bidi="en-US"/>
        </w:rPr>
      </w:pPr>
      <w:r w:rsidRPr="0001752F">
        <w:rPr>
          <w:rFonts w:eastAsia="SimSun" w:cs="Times New Roman"/>
          <w:szCs w:val="24"/>
          <w:lang w:val="en-GB" w:bidi="en-US"/>
        </w:rPr>
        <w:t>From the</w:t>
      </w:r>
      <w:r w:rsidR="00C46626" w:rsidRPr="0001752F">
        <w:rPr>
          <w:rFonts w:eastAsia="SimSun" w:cs="Times New Roman"/>
          <w:szCs w:val="24"/>
          <w:lang w:val="en-GB" w:bidi="en-US"/>
        </w:rPr>
        <w:t xml:space="preserve"> results as present in Table 5.5</w:t>
      </w:r>
      <w:r w:rsidRPr="0001752F">
        <w:rPr>
          <w:rFonts w:eastAsia="SimSun" w:cs="Times New Roman"/>
          <w:szCs w:val="24"/>
          <w:lang w:val="en-GB" w:bidi="en-US"/>
        </w:rPr>
        <w:t xml:space="preserve">, the overall mean score for </w:t>
      </w:r>
      <w:r w:rsidR="00785B77" w:rsidRPr="0001752F">
        <w:rPr>
          <w:rFonts w:eastAsia="SimSun" w:cs="Times New Roman"/>
          <w:szCs w:val="24"/>
          <w:lang w:val="en-GB" w:bidi="en-US"/>
        </w:rPr>
        <w:t>managers</w:t>
      </w:r>
      <w:r w:rsidRPr="0001752F">
        <w:rPr>
          <w:rFonts w:eastAsia="SimSun" w:cs="Times New Roman"/>
          <w:szCs w:val="24"/>
          <w:lang w:val="en-GB" w:bidi="en-US"/>
        </w:rPr>
        <w:t xml:space="preserve"> knowledge on </w:t>
      </w:r>
      <w:r w:rsidR="00681D8C" w:rsidRPr="0001752F">
        <w:rPr>
          <w:rFonts w:eastAsia="SimSun" w:cs="Times New Roman"/>
          <w:szCs w:val="24"/>
          <w:lang w:val="en-GB" w:bidi="en-US"/>
        </w:rPr>
        <w:t xml:space="preserve">SR </w:t>
      </w:r>
      <w:r w:rsidRPr="0001752F">
        <w:rPr>
          <w:rFonts w:eastAsia="SimSun" w:cs="Times New Roman"/>
          <w:szCs w:val="24"/>
          <w:lang w:val="en-GB" w:bidi="en-US"/>
        </w:rPr>
        <w:t xml:space="preserve">is 2.41, which is less than 3. This means that overall, the </w:t>
      </w:r>
      <w:r w:rsidR="00785B77" w:rsidRPr="0001752F">
        <w:rPr>
          <w:rFonts w:eastAsia="SimSun" w:cs="Times New Roman"/>
          <w:szCs w:val="24"/>
          <w:lang w:val="en-GB" w:bidi="en-US"/>
        </w:rPr>
        <w:t>managers</w:t>
      </w:r>
      <w:r w:rsidRPr="0001752F">
        <w:rPr>
          <w:rFonts w:eastAsia="SimSun" w:cs="Times New Roman"/>
          <w:szCs w:val="24"/>
          <w:lang w:val="en-GB" w:bidi="en-US"/>
        </w:rPr>
        <w:t xml:space="preserve"> of the SMEs have poor knowledge o</w:t>
      </w:r>
      <w:r w:rsidR="004A470B" w:rsidRPr="0001752F">
        <w:rPr>
          <w:rFonts w:eastAsia="SimSun" w:cs="Times New Roman"/>
          <w:szCs w:val="24"/>
          <w:lang w:val="en-GB" w:bidi="en-US"/>
        </w:rPr>
        <w:t>f</w:t>
      </w:r>
      <w:r w:rsidRPr="0001752F">
        <w:rPr>
          <w:rFonts w:eastAsia="SimSun" w:cs="Times New Roman"/>
          <w:szCs w:val="24"/>
          <w:lang w:val="en-GB" w:bidi="en-US"/>
        </w:rPr>
        <w:t xml:space="preserve"> </w:t>
      </w:r>
      <w:r w:rsidR="005977DE" w:rsidRPr="0001752F">
        <w:rPr>
          <w:rFonts w:eastAsia="SimSun" w:cs="Times New Roman"/>
          <w:szCs w:val="24"/>
          <w:lang w:val="en-GB" w:bidi="en-US"/>
        </w:rPr>
        <w:t>sustainability reporting</w:t>
      </w:r>
      <w:r w:rsidRPr="0001752F">
        <w:rPr>
          <w:rFonts w:eastAsia="SimSun" w:cs="Times New Roman"/>
          <w:szCs w:val="24"/>
          <w:lang w:val="en-GB" w:bidi="en-US"/>
        </w:rPr>
        <w:t xml:space="preserve">. This implies that all six measurement items </w:t>
      </w:r>
      <w:r w:rsidRPr="0001752F">
        <w:rPr>
          <w:rFonts w:eastAsia="SimSun" w:cs="Times New Roman"/>
          <w:szCs w:val="24"/>
          <w:lang w:val="en-GB" w:bidi="en-US"/>
        </w:rPr>
        <w:lastRenderedPageBreak/>
        <w:t xml:space="preserve">under this section are less favorably responded to. Results indicate that the owners/managers of the SMEs are not </w:t>
      </w:r>
      <w:r w:rsidRPr="0001752F">
        <w:rPr>
          <w:rFonts w:eastAsia="SimSun" w:cs="Times New Roman"/>
          <w:bCs/>
          <w:szCs w:val="24"/>
          <w:lang w:bidi="en-US"/>
        </w:rPr>
        <w:t xml:space="preserve">familiar with </w:t>
      </w:r>
      <w:r w:rsidR="00681D8C" w:rsidRPr="0001752F">
        <w:rPr>
          <w:rFonts w:eastAsia="SimSun" w:cs="Times New Roman"/>
          <w:bCs/>
          <w:szCs w:val="24"/>
          <w:lang w:bidi="en-US"/>
        </w:rPr>
        <w:t xml:space="preserve">SR </w:t>
      </w:r>
      <w:r w:rsidR="005977DE" w:rsidRPr="0001752F">
        <w:rPr>
          <w:rFonts w:eastAsia="SimSun" w:cs="Times New Roman"/>
          <w:bCs/>
          <w:szCs w:val="24"/>
          <w:lang w:bidi="en-US"/>
        </w:rPr>
        <w:t>(economic dimension), not familiar with the term sustainability reporting, their firms have no sustainability poli</w:t>
      </w:r>
      <w:r w:rsidRPr="0001752F">
        <w:rPr>
          <w:rFonts w:eastAsia="SimSun" w:cs="Times New Roman"/>
          <w:bCs/>
          <w:szCs w:val="24"/>
          <w:lang w:bidi="en-US"/>
        </w:rPr>
        <w:t xml:space="preserve">cy, not familiar with </w:t>
      </w:r>
      <w:r w:rsidR="00681D8C" w:rsidRPr="0001752F">
        <w:rPr>
          <w:rFonts w:eastAsia="SimSun" w:cs="Times New Roman"/>
          <w:bCs/>
          <w:szCs w:val="24"/>
          <w:lang w:bidi="en-US"/>
        </w:rPr>
        <w:t xml:space="preserve">SR </w:t>
      </w:r>
      <w:r w:rsidR="005977DE" w:rsidRPr="0001752F">
        <w:rPr>
          <w:rFonts w:eastAsia="SimSun" w:cs="Times New Roman"/>
          <w:bCs/>
          <w:szCs w:val="24"/>
          <w:lang w:bidi="en-US"/>
        </w:rPr>
        <w:t xml:space="preserve">(environmental dimension), education and training </w:t>
      </w:r>
      <w:r w:rsidRPr="0001752F">
        <w:rPr>
          <w:rFonts w:eastAsia="SimSun" w:cs="Times New Roman"/>
          <w:bCs/>
          <w:szCs w:val="24"/>
          <w:lang w:bidi="en-US"/>
        </w:rPr>
        <w:t xml:space="preserve">on sustainability concept are not regularly offered by the regulators, and they are not also familiar with </w:t>
      </w:r>
      <w:r w:rsidR="00681D8C" w:rsidRPr="0001752F">
        <w:rPr>
          <w:rFonts w:eastAsia="SimSun" w:cs="Times New Roman"/>
          <w:bCs/>
          <w:szCs w:val="24"/>
          <w:lang w:bidi="en-US"/>
        </w:rPr>
        <w:t xml:space="preserve">SR </w:t>
      </w:r>
      <w:r w:rsidR="005977DE" w:rsidRPr="0001752F">
        <w:rPr>
          <w:rFonts w:eastAsia="SimSun" w:cs="Times New Roman"/>
          <w:bCs/>
          <w:szCs w:val="24"/>
          <w:lang w:bidi="en-US"/>
        </w:rPr>
        <w:t>(</w:t>
      </w:r>
      <w:r w:rsidRPr="0001752F">
        <w:rPr>
          <w:rFonts w:eastAsia="SimSun" w:cs="Times New Roman"/>
          <w:bCs/>
          <w:szCs w:val="24"/>
          <w:lang w:bidi="en-US"/>
        </w:rPr>
        <w:t>social dimension).</w:t>
      </w:r>
    </w:p>
    <w:p w14:paraId="325351D8" w14:textId="799BCC61" w:rsidR="00B33B3A" w:rsidRPr="0001752F" w:rsidRDefault="00B00527" w:rsidP="00F6677A">
      <w:pPr>
        <w:spacing w:before="240" w:after="240"/>
        <w:rPr>
          <w:rFonts w:eastAsia="SimSun" w:cs="Times New Roman"/>
          <w:szCs w:val="24"/>
          <w:lang w:bidi="en-US"/>
        </w:rPr>
      </w:pPr>
      <w:r w:rsidRPr="0001752F">
        <w:rPr>
          <w:rFonts w:eastAsia="SimSun" w:cs="Times New Roman"/>
          <w:szCs w:val="24"/>
          <w:lang w:bidi="en-US"/>
        </w:rPr>
        <w:t>The</w:t>
      </w:r>
      <w:r w:rsidR="00F6677A" w:rsidRPr="0001752F">
        <w:rPr>
          <w:rFonts w:eastAsia="SimSun" w:cs="Times New Roman"/>
          <w:szCs w:val="24"/>
          <w:lang w:bidi="en-US"/>
        </w:rPr>
        <w:t xml:space="preserve"> t-test for the overall mean score of owner/manager knowledge and awareness on </w:t>
      </w:r>
      <w:r w:rsidR="00681D8C" w:rsidRPr="0001752F">
        <w:rPr>
          <w:rFonts w:eastAsia="SimSun" w:cs="Times New Roman"/>
          <w:szCs w:val="24"/>
          <w:lang w:bidi="en-US"/>
        </w:rPr>
        <w:t xml:space="preserve">SR </w:t>
      </w:r>
      <w:r w:rsidR="005977DE" w:rsidRPr="0001752F">
        <w:rPr>
          <w:rFonts w:eastAsia="SimSun" w:cs="Times New Roman"/>
          <w:szCs w:val="24"/>
          <w:lang w:bidi="en-US"/>
        </w:rPr>
        <w:t>is significantly ne</w:t>
      </w:r>
      <w:r w:rsidR="00F6677A" w:rsidRPr="0001752F">
        <w:rPr>
          <w:rFonts w:eastAsia="SimSun" w:cs="Times New Roman"/>
          <w:szCs w:val="24"/>
          <w:lang w:bidi="en-US"/>
        </w:rPr>
        <w:t>gative. This implies that, on the whole, manager’s knowledge o</w:t>
      </w:r>
      <w:r w:rsidR="004A470B" w:rsidRPr="0001752F">
        <w:rPr>
          <w:rFonts w:eastAsia="SimSun" w:cs="Times New Roman"/>
          <w:szCs w:val="24"/>
          <w:lang w:bidi="en-US"/>
        </w:rPr>
        <w:t>f</w:t>
      </w:r>
      <w:r w:rsidR="00F6677A" w:rsidRPr="0001752F">
        <w:rPr>
          <w:rFonts w:eastAsia="SimSun" w:cs="Times New Roman"/>
          <w:szCs w:val="24"/>
          <w:lang w:bidi="en-US"/>
        </w:rPr>
        <w:t xml:space="preserve"> </w:t>
      </w:r>
      <w:r w:rsidR="00681D8C" w:rsidRPr="0001752F">
        <w:rPr>
          <w:rFonts w:eastAsia="SimSun" w:cs="Times New Roman"/>
          <w:szCs w:val="24"/>
          <w:lang w:bidi="en-US"/>
        </w:rPr>
        <w:t xml:space="preserve">SR </w:t>
      </w:r>
      <w:r w:rsidR="005977DE" w:rsidRPr="0001752F">
        <w:rPr>
          <w:rFonts w:eastAsia="SimSun" w:cs="Times New Roman"/>
          <w:szCs w:val="24"/>
          <w:lang w:bidi="en-US"/>
        </w:rPr>
        <w:t>is</w:t>
      </w:r>
      <w:r w:rsidR="00F6677A" w:rsidRPr="0001752F">
        <w:rPr>
          <w:rFonts w:eastAsia="SimSun" w:cs="Times New Roman"/>
          <w:szCs w:val="24"/>
          <w:lang w:bidi="en-US"/>
        </w:rPr>
        <w:t xml:space="preserve"> very poor. Four out of the six measurement items under this section also have </w:t>
      </w:r>
      <w:r w:rsidR="004A470B" w:rsidRPr="0001752F">
        <w:rPr>
          <w:rFonts w:eastAsia="SimSun" w:cs="Times New Roman"/>
          <w:szCs w:val="24"/>
          <w:lang w:bidi="en-US"/>
        </w:rPr>
        <w:t xml:space="preserve">a </w:t>
      </w:r>
      <w:r w:rsidR="00F6677A" w:rsidRPr="0001752F">
        <w:rPr>
          <w:rFonts w:eastAsia="SimSun" w:cs="Times New Roman"/>
          <w:szCs w:val="24"/>
          <w:lang w:bidi="en-US"/>
        </w:rPr>
        <w:t xml:space="preserve">negative significant t-test score, implying they are poorly rated. Although the other two measurement items also have a negative t-test score, this is not shown to be significant. </w:t>
      </w:r>
    </w:p>
    <w:p w14:paraId="2E61626D" w14:textId="5F0F7EE7" w:rsidR="00F6677A" w:rsidRPr="0001752F" w:rsidRDefault="00B00527" w:rsidP="00EC5A3C">
      <w:pPr>
        <w:pStyle w:val="t"/>
        <w:rPr>
          <w:lang w:bidi="en-US"/>
        </w:rPr>
      </w:pPr>
      <w:bookmarkStart w:id="38" w:name="_Toc78262926"/>
      <w:bookmarkStart w:id="39" w:name="_Toc79645871"/>
      <w:r w:rsidRPr="0001752F">
        <w:rPr>
          <w:lang w:bidi="en-US"/>
        </w:rPr>
        <w:t xml:space="preserve">Table </w:t>
      </w:r>
      <w:r w:rsidR="00BB2B6B" w:rsidRPr="0001752F">
        <w:rPr>
          <w:lang w:bidi="en-US"/>
        </w:rPr>
        <w:t>4</w:t>
      </w:r>
      <w:r w:rsidRPr="0001752F">
        <w:rPr>
          <w:lang w:bidi="en-US"/>
        </w:rPr>
        <w:t>.5</w:t>
      </w:r>
      <w:r w:rsidR="00F6677A" w:rsidRPr="0001752F">
        <w:rPr>
          <w:lang w:bidi="en-US"/>
        </w:rPr>
        <w:t xml:space="preserve"> </w:t>
      </w:r>
      <w:r w:rsidR="00785B77" w:rsidRPr="0001752F">
        <w:rPr>
          <w:lang w:bidi="en-US"/>
        </w:rPr>
        <w:t>Managers</w:t>
      </w:r>
      <w:r w:rsidR="00F6677A" w:rsidRPr="0001752F">
        <w:rPr>
          <w:lang w:bidi="en-US"/>
        </w:rPr>
        <w:t xml:space="preserve"> Knowledge and awareness</w:t>
      </w:r>
      <w:bookmarkEnd w:id="38"/>
      <w:bookmarkEnd w:id="39"/>
    </w:p>
    <w:tbl>
      <w:tblPr>
        <w:tblW w:w="9112" w:type="dxa"/>
        <w:tblLook w:val="04A0" w:firstRow="1" w:lastRow="0" w:firstColumn="1" w:lastColumn="0" w:noHBand="0" w:noVBand="1"/>
      </w:tblPr>
      <w:tblGrid>
        <w:gridCol w:w="4158"/>
        <w:gridCol w:w="576"/>
        <w:gridCol w:w="743"/>
        <w:gridCol w:w="756"/>
        <w:gridCol w:w="843"/>
        <w:gridCol w:w="900"/>
        <w:gridCol w:w="1136"/>
      </w:tblGrid>
      <w:tr w:rsidR="0001752F" w:rsidRPr="0001752F" w14:paraId="05EF328E" w14:textId="77777777" w:rsidTr="00EC5A3C">
        <w:trPr>
          <w:trHeight w:val="525"/>
        </w:trPr>
        <w:tc>
          <w:tcPr>
            <w:tcW w:w="4158" w:type="dxa"/>
            <w:tcBorders>
              <w:top w:val="single" w:sz="4" w:space="0" w:color="auto"/>
              <w:bottom w:val="single" w:sz="4" w:space="0" w:color="auto"/>
            </w:tcBorders>
            <w:shd w:val="clear" w:color="auto" w:fill="auto"/>
            <w:vAlign w:val="bottom"/>
            <w:hideMark/>
          </w:tcPr>
          <w:p w14:paraId="6909BC8C" w14:textId="207ADC86" w:rsidR="00F6677A" w:rsidRPr="0001752F" w:rsidRDefault="00F6677A" w:rsidP="00EC5A3C">
            <w:pPr>
              <w:spacing w:after="0" w:line="240" w:lineRule="auto"/>
              <w:jc w:val="left"/>
              <w:rPr>
                <w:rFonts w:eastAsia="Times New Roman" w:cs="Times New Roman"/>
                <w:b/>
                <w:bCs/>
                <w:szCs w:val="24"/>
              </w:rPr>
            </w:pPr>
            <w:bookmarkStart w:id="40" w:name="_Hlk66187984"/>
            <w:r w:rsidRPr="0001752F">
              <w:rPr>
                <w:rFonts w:eastAsia="Times New Roman" w:cs="Times New Roman"/>
                <w:b/>
                <w:bCs/>
                <w:szCs w:val="24"/>
              </w:rPr>
              <w:t> </w:t>
            </w:r>
            <w:r w:rsidR="00785B77" w:rsidRPr="0001752F">
              <w:rPr>
                <w:rFonts w:eastAsia="SimSun" w:cs="Times New Roman"/>
                <w:b/>
                <w:bCs/>
                <w:szCs w:val="24"/>
                <w:lang w:bidi="en-US"/>
              </w:rPr>
              <w:t>Managers</w:t>
            </w:r>
            <w:r w:rsidRPr="0001752F">
              <w:rPr>
                <w:rFonts w:eastAsia="SimSun" w:cs="Times New Roman"/>
                <w:b/>
                <w:bCs/>
                <w:szCs w:val="24"/>
                <w:lang w:bidi="en-US"/>
              </w:rPr>
              <w:t xml:space="preserve"> Knowledge and awareness</w:t>
            </w:r>
          </w:p>
        </w:tc>
        <w:tc>
          <w:tcPr>
            <w:tcW w:w="576" w:type="dxa"/>
            <w:tcBorders>
              <w:top w:val="single" w:sz="4" w:space="0" w:color="auto"/>
              <w:bottom w:val="single" w:sz="4" w:space="0" w:color="auto"/>
            </w:tcBorders>
            <w:shd w:val="clear" w:color="auto" w:fill="auto"/>
            <w:vAlign w:val="bottom"/>
            <w:hideMark/>
          </w:tcPr>
          <w:p w14:paraId="359343FE"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N</w:t>
            </w:r>
          </w:p>
        </w:tc>
        <w:tc>
          <w:tcPr>
            <w:tcW w:w="743" w:type="dxa"/>
            <w:tcBorders>
              <w:top w:val="single" w:sz="4" w:space="0" w:color="auto"/>
              <w:bottom w:val="single" w:sz="4" w:space="0" w:color="auto"/>
            </w:tcBorders>
            <w:shd w:val="clear" w:color="auto" w:fill="auto"/>
            <w:vAlign w:val="bottom"/>
            <w:hideMark/>
          </w:tcPr>
          <w:p w14:paraId="6DA427C9"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Min.</w:t>
            </w:r>
          </w:p>
        </w:tc>
        <w:tc>
          <w:tcPr>
            <w:tcW w:w="756" w:type="dxa"/>
            <w:tcBorders>
              <w:top w:val="single" w:sz="4" w:space="0" w:color="auto"/>
              <w:bottom w:val="single" w:sz="4" w:space="0" w:color="auto"/>
            </w:tcBorders>
            <w:shd w:val="clear" w:color="auto" w:fill="auto"/>
            <w:vAlign w:val="bottom"/>
            <w:hideMark/>
          </w:tcPr>
          <w:p w14:paraId="4D9732EB"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Max.</w:t>
            </w:r>
          </w:p>
        </w:tc>
        <w:tc>
          <w:tcPr>
            <w:tcW w:w="843" w:type="dxa"/>
            <w:tcBorders>
              <w:top w:val="single" w:sz="4" w:space="0" w:color="auto"/>
              <w:bottom w:val="single" w:sz="4" w:space="0" w:color="auto"/>
            </w:tcBorders>
            <w:shd w:val="clear" w:color="auto" w:fill="auto"/>
            <w:vAlign w:val="bottom"/>
            <w:hideMark/>
          </w:tcPr>
          <w:p w14:paraId="3C89469A"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Mean</w:t>
            </w:r>
          </w:p>
        </w:tc>
        <w:tc>
          <w:tcPr>
            <w:tcW w:w="900" w:type="dxa"/>
            <w:tcBorders>
              <w:top w:val="single" w:sz="4" w:space="0" w:color="auto"/>
              <w:bottom w:val="single" w:sz="4" w:space="0" w:color="auto"/>
            </w:tcBorders>
            <w:shd w:val="clear" w:color="auto" w:fill="auto"/>
            <w:vAlign w:val="bottom"/>
            <w:hideMark/>
          </w:tcPr>
          <w:p w14:paraId="796644A1"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Std. Dev.</w:t>
            </w:r>
          </w:p>
        </w:tc>
        <w:tc>
          <w:tcPr>
            <w:tcW w:w="1136" w:type="dxa"/>
            <w:tcBorders>
              <w:top w:val="single" w:sz="4" w:space="0" w:color="auto"/>
              <w:bottom w:val="single" w:sz="4" w:space="0" w:color="auto"/>
            </w:tcBorders>
          </w:tcPr>
          <w:p w14:paraId="6363C7A7"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t-test (test value=3)</w:t>
            </w:r>
          </w:p>
        </w:tc>
      </w:tr>
      <w:tr w:rsidR="0001752F" w:rsidRPr="0001752F" w14:paraId="49C58275" w14:textId="77777777" w:rsidTr="00EC5A3C">
        <w:trPr>
          <w:trHeight w:val="300"/>
        </w:trPr>
        <w:tc>
          <w:tcPr>
            <w:tcW w:w="4158" w:type="dxa"/>
            <w:shd w:val="clear" w:color="auto" w:fill="auto"/>
            <w:hideMark/>
          </w:tcPr>
          <w:p w14:paraId="44731FBE" w14:textId="77777777" w:rsidR="00F6677A" w:rsidRPr="0001752F" w:rsidRDefault="00F6677A" w:rsidP="00EC5A3C">
            <w:pPr>
              <w:spacing w:after="0" w:line="240" w:lineRule="auto"/>
              <w:jc w:val="left"/>
              <w:rPr>
                <w:rFonts w:eastAsia="Times New Roman" w:cs="Times New Roman"/>
                <w:szCs w:val="24"/>
              </w:rPr>
            </w:pPr>
            <w:bookmarkStart w:id="41" w:name="_Hlk66733002"/>
            <w:r w:rsidRPr="0001752F">
              <w:rPr>
                <w:rFonts w:eastAsia="SimSun" w:cs="Times New Roman"/>
                <w:bCs/>
                <w:szCs w:val="24"/>
                <w:lang w:bidi="en-US"/>
              </w:rPr>
              <w:t>I am familiar with SR (Economic dimension)</w:t>
            </w:r>
          </w:p>
        </w:tc>
        <w:tc>
          <w:tcPr>
            <w:tcW w:w="576" w:type="dxa"/>
            <w:shd w:val="clear" w:color="auto" w:fill="auto"/>
            <w:noWrap/>
            <w:vAlign w:val="center"/>
            <w:hideMark/>
          </w:tcPr>
          <w:p w14:paraId="0F9591A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7802183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03673685"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29A345A3"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2.91</w:t>
            </w:r>
          </w:p>
        </w:tc>
        <w:tc>
          <w:tcPr>
            <w:tcW w:w="900" w:type="dxa"/>
            <w:shd w:val="clear" w:color="auto" w:fill="auto"/>
            <w:noWrap/>
            <w:vAlign w:val="center"/>
            <w:hideMark/>
          </w:tcPr>
          <w:p w14:paraId="77B35654"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1.62</w:t>
            </w:r>
          </w:p>
        </w:tc>
        <w:tc>
          <w:tcPr>
            <w:tcW w:w="1136" w:type="dxa"/>
            <w:vAlign w:val="center"/>
          </w:tcPr>
          <w:p w14:paraId="3603C5BC"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-0.78</w:t>
            </w:r>
          </w:p>
        </w:tc>
      </w:tr>
      <w:tr w:rsidR="0001752F" w:rsidRPr="0001752F" w14:paraId="6B646D04" w14:textId="77777777" w:rsidTr="00EC5A3C">
        <w:trPr>
          <w:trHeight w:val="315"/>
        </w:trPr>
        <w:tc>
          <w:tcPr>
            <w:tcW w:w="4158" w:type="dxa"/>
            <w:shd w:val="clear" w:color="auto" w:fill="auto"/>
            <w:hideMark/>
          </w:tcPr>
          <w:p w14:paraId="392A8F15"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I am familiar with the term sustainable development</w:t>
            </w:r>
          </w:p>
        </w:tc>
        <w:tc>
          <w:tcPr>
            <w:tcW w:w="576" w:type="dxa"/>
            <w:shd w:val="clear" w:color="auto" w:fill="auto"/>
            <w:noWrap/>
            <w:vAlign w:val="center"/>
            <w:hideMark/>
          </w:tcPr>
          <w:p w14:paraId="30BFE48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4CAF0F5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72EB956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52D0723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2.86</w:t>
            </w:r>
          </w:p>
        </w:tc>
        <w:tc>
          <w:tcPr>
            <w:tcW w:w="900" w:type="dxa"/>
            <w:shd w:val="clear" w:color="auto" w:fill="auto"/>
            <w:noWrap/>
            <w:vAlign w:val="center"/>
            <w:hideMark/>
          </w:tcPr>
          <w:p w14:paraId="21BB102F"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1.26</w:t>
            </w:r>
          </w:p>
        </w:tc>
        <w:tc>
          <w:tcPr>
            <w:tcW w:w="1136" w:type="dxa"/>
            <w:vAlign w:val="center"/>
          </w:tcPr>
          <w:p w14:paraId="2068B13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-1.53</w:t>
            </w:r>
          </w:p>
        </w:tc>
      </w:tr>
      <w:tr w:rsidR="0001752F" w:rsidRPr="0001752F" w14:paraId="6271C7D7" w14:textId="77777777" w:rsidTr="00EC5A3C">
        <w:trPr>
          <w:trHeight w:val="300"/>
        </w:trPr>
        <w:tc>
          <w:tcPr>
            <w:tcW w:w="4158" w:type="dxa"/>
            <w:shd w:val="clear" w:color="auto" w:fill="auto"/>
            <w:hideMark/>
          </w:tcPr>
          <w:p w14:paraId="06B715F6" w14:textId="3CDE2550"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 xml:space="preserve">My organization has </w:t>
            </w:r>
            <w:r w:rsidR="004A470B" w:rsidRPr="0001752F">
              <w:rPr>
                <w:rFonts w:eastAsia="SimSun" w:cs="Times New Roman"/>
                <w:bCs/>
                <w:szCs w:val="24"/>
                <w:lang w:bidi="en-US"/>
              </w:rPr>
              <w:t xml:space="preserve">a </w:t>
            </w:r>
            <w:r w:rsidRPr="0001752F">
              <w:rPr>
                <w:rFonts w:eastAsia="SimSun" w:cs="Times New Roman"/>
                <w:bCs/>
                <w:szCs w:val="24"/>
                <w:lang w:bidi="en-US"/>
              </w:rPr>
              <w:t>sustainability policy.</w:t>
            </w:r>
          </w:p>
        </w:tc>
        <w:tc>
          <w:tcPr>
            <w:tcW w:w="576" w:type="dxa"/>
            <w:shd w:val="clear" w:color="auto" w:fill="auto"/>
            <w:noWrap/>
            <w:vAlign w:val="center"/>
            <w:hideMark/>
          </w:tcPr>
          <w:p w14:paraId="38D23A3C"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7410EEA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48A07B39"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4FA40B9A"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2.29</w:t>
            </w:r>
          </w:p>
        </w:tc>
        <w:tc>
          <w:tcPr>
            <w:tcW w:w="900" w:type="dxa"/>
            <w:shd w:val="clear" w:color="auto" w:fill="auto"/>
            <w:noWrap/>
            <w:vAlign w:val="center"/>
            <w:hideMark/>
          </w:tcPr>
          <w:p w14:paraId="635E013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1.36</w:t>
            </w:r>
          </w:p>
        </w:tc>
        <w:tc>
          <w:tcPr>
            <w:tcW w:w="1136" w:type="dxa"/>
            <w:vAlign w:val="center"/>
          </w:tcPr>
          <w:p w14:paraId="28626963" w14:textId="77777777" w:rsidR="00F6677A" w:rsidRPr="0001752F" w:rsidRDefault="00F6677A" w:rsidP="00F6677A">
            <w:pPr>
              <w:spacing w:after="0" w:line="240" w:lineRule="auto"/>
              <w:rPr>
                <w:rFonts w:eastAsia="Times New Roman" w:cs="Times New Roman"/>
                <w:szCs w:val="24"/>
                <w:vertAlign w:val="superscript"/>
              </w:rPr>
            </w:pPr>
            <w:r w:rsidRPr="0001752F">
              <w:rPr>
                <w:rFonts w:eastAsia="Times New Roman" w:cs="Times New Roman"/>
                <w:szCs w:val="24"/>
              </w:rPr>
              <w:t>-7.06</w:t>
            </w:r>
            <w:r w:rsidRPr="0001752F">
              <w:rPr>
                <w:rFonts w:eastAsia="Times New Roman" w:cs="Times New Roman"/>
                <w:szCs w:val="24"/>
                <w:vertAlign w:val="superscript"/>
              </w:rPr>
              <w:t>***</w:t>
            </w:r>
          </w:p>
        </w:tc>
      </w:tr>
      <w:tr w:rsidR="0001752F" w:rsidRPr="0001752F" w14:paraId="60A6F652" w14:textId="77777777" w:rsidTr="00EC5A3C">
        <w:trPr>
          <w:trHeight w:val="300"/>
        </w:trPr>
        <w:tc>
          <w:tcPr>
            <w:tcW w:w="4158" w:type="dxa"/>
            <w:shd w:val="clear" w:color="auto" w:fill="auto"/>
            <w:hideMark/>
          </w:tcPr>
          <w:p w14:paraId="420C6AE2"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 xml:space="preserve">I am familiar with SR (Environmental dimension) </w:t>
            </w:r>
          </w:p>
        </w:tc>
        <w:tc>
          <w:tcPr>
            <w:tcW w:w="576" w:type="dxa"/>
            <w:shd w:val="clear" w:color="auto" w:fill="auto"/>
            <w:noWrap/>
            <w:vAlign w:val="center"/>
            <w:hideMark/>
          </w:tcPr>
          <w:p w14:paraId="716D298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03DF208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21F0621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1DF0E8C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2.24</w:t>
            </w:r>
          </w:p>
        </w:tc>
        <w:tc>
          <w:tcPr>
            <w:tcW w:w="900" w:type="dxa"/>
            <w:shd w:val="clear" w:color="auto" w:fill="auto"/>
            <w:noWrap/>
            <w:vAlign w:val="center"/>
            <w:hideMark/>
          </w:tcPr>
          <w:p w14:paraId="3E1EBF8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1.51</w:t>
            </w:r>
          </w:p>
        </w:tc>
        <w:tc>
          <w:tcPr>
            <w:tcW w:w="1136" w:type="dxa"/>
            <w:vAlign w:val="center"/>
          </w:tcPr>
          <w:p w14:paraId="3CA6A8D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-6.773</w:t>
            </w:r>
            <w:r w:rsidRPr="0001752F">
              <w:rPr>
                <w:rFonts w:eastAsia="Times New Roman" w:cs="Times New Roman"/>
                <w:szCs w:val="24"/>
                <w:vertAlign w:val="superscript"/>
              </w:rPr>
              <w:t>***</w:t>
            </w:r>
          </w:p>
        </w:tc>
      </w:tr>
      <w:tr w:rsidR="0001752F" w:rsidRPr="0001752F" w14:paraId="75152751" w14:textId="77777777" w:rsidTr="00EC5A3C">
        <w:trPr>
          <w:trHeight w:val="300"/>
        </w:trPr>
        <w:tc>
          <w:tcPr>
            <w:tcW w:w="4158" w:type="dxa"/>
            <w:shd w:val="clear" w:color="auto" w:fill="auto"/>
            <w:hideMark/>
          </w:tcPr>
          <w:p w14:paraId="0044A1ED"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Education and training on Sustainability concept are regularly offered by the Regulator</w:t>
            </w:r>
          </w:p>
        </w:tc>
        <w:tc>
          <w:tcPr>
            <w:tcW w:w="576" w:type="dxa"/>
            <w:shd w:val="clear" w:color="auto" w:fill="auto"/>
            <w:noWrap/>
            <w:vAlign w:val="center"/>
            <w:hideMark/>
          </w:tcPr>
          <w:p w14:paraId="6404B76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23FD782A"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4DF7A18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2FFC6959"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2.10</w:t>
            </w:r>
          </w:p>
        </w:tc>
        <w:tc>
          <w:tcPr>
            <w:tcW w:w="900" w:type="dxa"/>
            <w:shd w:val="clear" w:color="auto" w:fill="auto"/>
            <w:noWrap/>
            <w:vAlign w:val="center"/>
            <w:hideMark/>
          </w:tcPr>
          <w:p w14:paraId="016242B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1.12</w:t>
            </w:r>
          </w:p>
        </w:tc>
        <w:tc>
          <w:tcPr>
            <w:tcW w:w="1136" w:type="dxa"/>
            <w:vAlign w:val="center"/>
          </w:tcPr>
          <w:p w14:paraId="31A72A79"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-10.85</w:t>
            </w:r>
            <w:r w:rsidRPr="0001752F">
              <w:rPr>
                <w:rFonts w:eastAsia="Times New Roman" w:cs="Times New Roman"/>
                <w:szCs w:val="24"/>
                <w:vertAlign w:val="superscript"/>
              </w:rPr>
              <w:t>***</w:t>
            </w:r>
          </w:p>
        </w:tc>
      </w:tr>
      <w:tr w:rsidR="0001752F" w:rsidRPr="0001752F" w14:paraId="2256565A" w14:textId="77777777" w:rsidTr="00EC5A3C">
        <w:trPr>
          <w:trHeight w:val="300"/>
        </w:trPr>
        <w:tc>
          <w:tcPr>
            <w:tcW w:w="4158" w:type="dxa"/>
            <w:shd w:val="clear" w:color="auto" w:fill="auto"/>
            <w:hideMark/>
          </w:tcPr>
          <w:p w14:paraId="47923F15"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 xml:space="preserve">I am familiar with SR (Social dimension) </w:t>
            </w:r>
          </w:p>
        </w:tc>
        <w:tc>
          <w:tcPr>
            <w:tcW w:w="576" w:type="dxa"/>
            <w:shd w:val="clear" w:color="auto" w:fill="auto"/>
            <w:noWrap/>
            <w:vAlign w:val="center"/>
            <w:hideMark/>
          </w:tcPr>
          <w:p w14:paraId="508AD30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183</w:t>
            </w:r>
          </w:p>
        </w:tc>
        <w:tc>
          <w:tcPr>
            <w:tcW w:w="743" w:type="dxa"/>
            <w:shd w:val="clear" w:color="auto" w:fill="auto"/>
            <w:noWrap/>
            <w:vAlign w:val="center"/>
            <w:hideMark/>
          </w:tcPr>
          <w:p w14:paraId="78CEC1E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1.00</w:t>
            </w:r>
          </w:p>
        </w:tc>
        <w:tc>
          <w:tcPr>
            <w:tcW w:w="756" w:type="dxa"/>
            <w:shd w:val="clear" w:color="auto" w:fill="auto"/>
            <w:noWrap/>
            <w:vAlign w:val="center"/>
            <w:hideMark/>
          </w:tcPr>
          <w:p w14:paraId="2EF1BF9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5.00</w:t>
            </w:r>
          </w:p>
        </w:tc>
        <w:tc>
          <w:tcPr>
            <w:tcW w:w="843" w:type="dxa"/>
            <w:shd w:val="clear" w:color="auto" w:fill="auto"/>
            <w:noWrap/>
            <w:vAlign w:val="center"/>
            <w:hideMark/>
          </w:tcPr>
          <w:p w14:paraId="0B50DE41"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2.07</w:t>
            </w:r>
          </w:p>
        </w:tc>
        <w:tc>
          <w:tcPr>
            <w:tcW w:w="900" w:type="dxa"/>
            <w:shd w:val="clear" w:color="auto" w:fill="auto"/>
            <w:noWrap/>
            <w:vAlign w:val="center"/>
            <w:hideMark/>
          </w:tcPr>
          <w:p w14:paraId="386B0C8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1.33</w:t>
            </w:r>
          </w:p>
        </w:tc>
        <w:tc>
          <w:tcPr>
            <w:tcW w:w="1136" w:type="dxa"/>
            <w:vAlign w:val="center"/>
          </w:tcPr>
          <w:p w14:paraId="7DCC514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rPr>
              <w:t>-9.44</w:t>
            </w:r>
            <w:r w:rsidRPr="0001752F">
              <w:rPr>
                <w:rFonts w:eastAsia="Times New Roman" w:cs="Times New Roman"/>
                <w:szCs w:val="24"/>
                <w:vertAlign w:val="superscript"/>
              </w:rPr>
              <w:t>***</w:t>
            </w:r>
          </w:p>
        </w:tc>
      </w:tr>
      <w:bookmarkEnd w:id="41"/>
      <w:tr w:rsidR="0001752F" w:rsidRPr="0001752F" w14:paraId="36DA9268" w14:textId="77777777" w:rsidTr="00EC5A3C">
        <w:trPr>
          <w:trHeight w:val="300"/>
        </w:trPr>
        <w:tc>
          <w:tcPr>
            <w:tcW w:w="4158" w:type="dxa"/>
            <w:tcBorders>
              <w:top w:val="single" w:sz="4" w:space="0" w:color="auto"/>
              <w:bottom w:val="single" w:sz="4" w:space="0" w:color="auto"/>
            </w:tcBorders>
            <w:shd w:val="clear" w:color="auto" w:fill="auto"/>
            <w:hideMark/>
          </w:tcPr>
          <w:p w14:paraId="653B7A75" w14:textId="77777777" w:rsidR="00F6677A" w:rsidRPr="0001752F" w:rsidRDefault="00F6677A" w:rsidP="00EC5A3C">
            <w:pPr>
              <w:spacing w:after="0" w:line="240" w:lineRule="auto"/>
              <w:jc w:val="left"/>
              <w:rPr>
                <w:rFonts w:eastAsia="Times New Roman" w:cs="Times New Roman"/>
                <w:b/>
                <w:bCs/>
                <w:i/>
                <w:iCs/>
                <w:szCs w:val="24"/>
              </w:rPr>
            </w:pPr>
            <w:r w:rsidRPr="0001752F">
              <w:rPr>
                <w:rFonts w:eastAsia="Times New Roman" w:cs="Times New Roman"/>
                <w:b/>
                <w:bCs/>
                <w:i/>
                <w:iCs/>
                <w:szCs w:val="24"/>
              </w:rPr>
              <w:t>Overall</w:t>
            </w:r>
          </w:p>
        </w:tc>
        <w:tc>
          <w:tcPr>
            <w:tcW w:w="576" w:type="dxa"/>
            <w:tcBorders>
              <w:top w:val="single" w:sz="4" w:space="0" w:color="auto"/>
              <w:bottom w:val="single" w:sz="4" w:space="0" w:color="auto"/>
            </w:tcBorders>
            <w:shd w:val="clear" w:color="auto" w:fill="auto"/>
            <w:noWrap/>
            <w:vAlign w:val="center"/>
            <w:hideMark/>
          </w:tcPr>
          <w:p w14:paraId="35D5CA73"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183</w:t>
            </w:r>
          </w:p>
        </w:tc>
        <w:tc>
          <w:tcPr>
            <w:tcW w:w="743" w:type="dxa"/>
            <w:tcBorders>
              <w:top w:val="single" w:sz="4" w:space="0" w:color="auto"/>
              <w:bottom w:val="single" w:sz="4" w:space="0" w:color="auto"/>
            </w:tcBorders>
            <w:shd w:val="clear" w:color="auto" w:fill="auto"/>
            <w:noWrap/>
            <w:vAlign w:val="center"/>
            <w:hideMark/>
          </w:tcPr>
          <w:p w14:paraId="65C45F7D"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1.00</w:t>
            </w:r>
          </w:p>
        </w:tc>
        <w:tc>
          <w:tcPr>
            <w:tcW w:w="756" w:type="dxa"/>
            <w:tcBorders>
              <w:top w:val="single" w:sz="4" w:space="0" w:color="auto"/>
              <w:bottom w:val="single" w:sz="4" w:space="0" w:color="auto"/>
            </w:tcBorders>
            <w:shd w:val="clear" w:color="auto" w:fill="auto"/>
            <w:noWrap/>
            <w:vAlign w:val="center"/>
            <w:hideMark/>
          </w:tcPr>
          <w:p w14:paraId="399023B7"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5.00</w:t>
            </w:r>
          </w:p>
        </w:tc>
        <w:tc>
          <w:tcPr>
            <w:tcW w:w="843" w:type="dxa"/>
            <w:tcBorders>
              <w:top w:val="single" w:sz="4" w:space="0" w:color="auto"/>
              <w:bottom w:val="single" w:sz="4" w:space="0" w:color="auto"/>
            </w:tcBorders>
            <w:shd w:val="clear" w:color="auto" w:fill="auto"/>
            <w:noWrap/>
            <w:vAlign w:val="center"/>
            <w:hideMark/>
          </w:tcPr>
          <w:p w14:paraId="69B6ED22"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2.41</w:t>
            </w:r>
          </w:p>
        </w:tc>
        <w:tc>
          <w:tcPr>
            <w:tcW w:w="900" w:type="dxa"/>
            <w:tcBorders>
              <w:top w:val="single" w:sz="4" w:space="0" w:color="auto"/>
              <w:bottom w:val="single" w:sz="4" w:space="0" w:color="auto"/>
            </w:tcBorders>
            <w:shd w:val="clear" w:color="auto" w:fill="auto"/>
            <w:noWrap/>
            <w:vAlign w:val="center"/>
            <w:hideMark/>
          </w:tcPr>
          <w:p w14:paraId="29B42066"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1.15</w:t>
            </w:r>
          </w:p>
        </w:tc>
        <w:tc>
          <w:tcPr>
            <w:tcW w:w="1136" w:type="dxa"/>
            <w:tcBorders>
              <w:top w:val="single" w:sz="4" w:space="0" w:color="auto"/>
              <w:bottom w:val="single" w:sz="4" w:space="0" w:color="auto"/>
            </w:tcBorders>
          </w:tcPr>
          <w:p w14:paraId="7E4BA3DF" w14:textId="77777777" w:rsidR="00F6677A" w:rsidRPr="0001752F" w:rsidRDefault="00F6677A" w:rsidP="00F6677A">
            <w:pPr>
              <w:spacing w:after="0" w:line="240" w:lineRule="auto"/>
              <w:rPr>
                <w:rFonts w:eastAsia="Times New Roman" w:cs="Times New Roman"/>
                <w:b/>
                <w:bCs/>
                <w:i/>
                <w:iCs/>
                <w:szCs w:val="24"/>
              </w:rPr>
            </w:pPr>
            <w:r w:rsidRPr="0001752F">
              <w:rPr>
                <w:rFonts w:eastAsia="Times New Roman" w:cs="Times New Roman"/>
                <w:b/>
                <w:bCs/>
                <w:i/>
                <w:iCs/>
                <w:szCs w:val="24"/>
              </w:rPr>
              <w:t>-6.94</w:t>
            </w:r>
            <w:r w:rsidRPr="0001752F">
              <w:rPr>
                <w:rFonts w:eastAsia="Times New Roman" w:cs="Times New Roman"/>
                <w:szCs w:val="24"/>
                <w:vertAlign w:val="superscript"/>
              </w:rPr>
              <w:t>***</w:t>
            </w:r>
          </w:p>
        </w:tc>
      </w:tr>
    </w:tbl>
    <w:bookmarkEnd w:id="40"/>
    <w:p w14:paraId="48A08DB6" w14:textId="0724B023" w:rsidR="00B8314F" w:rsidRPr="0001752F" w:rsidRDefault="00F6677A" w:rsidP="00C30F80">
      <w:pPr>
        <w:spacing w:after="0"/>
        <w:rPr>
          <w:rFonts w:eastAsia="SimSun" w:cs="Times New Roman"/>
          <w:b/>
          <w:i/>
          <w:szCs w:val="24"/>
          <w:lang w:bidi="en-US"/>
        </w:rPr>
      </w:pPr>
      <w:r w:rsidRPr="0001752F">
        <w:rPr>
          <w:rFonts w:eastAsia="Times New Roman" w:cs="Times New Roman"/>
          <w:szCs w:val="24"/>
          <w:vertAlign w:val="superscript"/>
          <w:lang w:bidi="en-US"/>
        </w:rPr>
        <w:t>***</w:t>
      </w:r>
      <w:r w:rsidRPr="0001752F">
        <w:rPr>
          <w:rFonts w:eastAsia="Times New Roman" w:cs="Times New Roman"/>
          <w:szCs w:val="24"/>
          <w:lang w:bidi="en-US"/>
        </w:rPr>
        <w:t xml:space="preserve">Sig. at 1%; </w:t>
      </w:r>
      <w:r w:rsidRPr="0001752F">
        <w:rPr>
          <w:rFonts w:eastAsia="Times New Roman" w:cs="Times New Roman"/>
          <w:szCs w:val="24"/>
          <w:vertAlign w:val="superscript"/>
          <w:lang w:bidi="en-US"/>
        </w:rPr>
        <w:t>**</w:t>
      </w:r>
      <w:r w:rsidRPr="0001752F">
        <w:rPr>
          <w:rFonts w:eastAsia="Times New Roman" w:cs="Times New Roman"/>
          <w:szCs w:val="24"/>
          <w:lang w:bidi="en-US"/>
        </w:rPr>
        <w:t>Sig. at 5%</w:t>
      </w:r>
      <w:bookmarkStart w:id="42" w:name="_Toc78332795"/>
      <w:bookmarkStart w:id="43" w:name="_Toc79716762"/>
    </w:p>
    <w:p w14:paraId="0D67E44D" w14:textId="77777777" w:rsidR="00716538" w:rsidRPr="0001752F" w:rsidRDefault="00716538" w:rsidP="00716538">
      <w:pPr>
        <w:pStyle w:val="Heading3"/>
        <w:spacing w:before="0" w:after="0"/>
        <w:rPr>
          <w:rFonts w:eastAsia="SimSun"/>
          <w:lang w:bidi="en-US"/>
        </w:rPr>
      </w:pPr>
      <w:r w:rsidRPr="0001752F">
        <w:rPr>
          <w:rFonts w:eastAsia="SimSun"/>
          <w:lang w:bidi="en-US"/>
        </w:rPr>
        <w:t>Source: Authors’ computations from field data, 2021</w:t>
      </w:r>
    </w:p>
    <w:bookmarkEnd w:id="42"/>
    <w:bookmarkEnd w:id="43"/>
    <w:p w14:paraId="691F07B9" w14:textId="77777777" w:rsidR="00FF7CE5" w:rsidRPr="0001752F" w:rsidRDefault="00FF7CE5" w:rsidP="00C46626">
      <w:pPr>
        <w:spacing w:after="0"/>
        <w:rPr>
          <w:rFonts w:eastAsia="SimSun"/>
          <w:b/>
          <w:lang w:bidi="en-US"/>
        </w:rPr>
      </w:pPr>
    </w:p>
    <w:p w14:paraId="3240C8A9" w14:textId="44897A20" w:rsidR="00C46626" w:rsidRPr="0001752F" w:rsidRDefault="00C46626" w:rsidP="00C46626">
      <w:pPr>
        <w:spacing w:after="0"/>
        <w:rPr>
          <w:rFonts w:eastAsia="SimSun" w:cs="Times New Roman"/>
          <w:bCs/>
          <w:szCs w:val="24"/>
          <w:lang w:bidi="en-US"/>
        </w:rPr>
      </w:pPr>
      <w:r w:rsidRPr="0001752F">
        <w:rPr>
          <w:rFonts w:eastAsia="SimSun" w:cs="Times New Roman"/>
          <w:szCs w:val="24"/>
          <w:lang w:bidi="en-US"/>
        </w:rPr>
        <w:t>Table 5.6</w:t>
      </w:r>
      <w:r w:rsidR="00F6677A" w:rsidRPr="0001752F">
        <w:rPr>
          <w:rFonts w:eastAsia="SimSun" w:cs="Times New Roman"/>
          <w:szCs w:val="24"/>
          <w:lang w:bidi="en-US"/>
        </w:rPr>
        <w:t xml:space="preserve"> indicate</w:t>
      </w:r>
      <w:r w:rsidR="004A470B" w:rsidRPr="0001752F">
        <w:rPr>
          <w:rFonts w:eastAsia="SimSun" w:cs="Times New Roman"/>
          <w:szCs w:val="24"/>
          <w:lang w:bidi="en-US"/>
        </w:rPr>
        <w:t>s</w:t>
      </w:r>
      <w:r w:rsidR="00F6677A" w:rsidRPr="0001752F">
        <w:rPr>
          <w:rFonts w:eastAsia="SimSun" w:cs="Times New Roman"/>
          <w:szCs w:val="24"/>
          <w:lang w:bidi="en-US"/>
        </w:rPr>
        <w:t xml:space="preserve"> that there are significant or major barriers hindering SR among SMEs in Ghana. Five out of the eight measurement items under this section also show positive and significant t-test score</w:t>
      </w:r>
      <w:r w:rsidR="004A470B" w:rsidRPr="0001752F">
        <w:rPr>
          <w:rFonts w:eastAsia="SimSun" w:cs="Times New Roman"/>
          <w:szCs w:val="24"/>
          <w:lang w:bidi="en-US"/>
        </w:rPr>
        <w:t>s</w:t>
      </w:r>
      <w:r w:rsidR="00F6677A" w:rsidRPr="0001752F">
        <w:rPr>
          <w:rFonts w:eastAsia="SimSun" w:cs="Times New Roman"/>
          <w:szCs w:val="24"/>
          <w:lang w:bidi="en-US"/>
        </w:rPr>
        <w:t>, two measurement items</w:t>
      </w:r>
      <w:r w:rsidR="00F6677A" w:rsidRPr="0001752F">
        <w:rPr>
          <w:rFonts w:eastAsia="SimSun" w:cs="Times New Roman"/>
          <w:bCs/>
          <w:szCs w:val="24"/>
          <w:lang w:bidi="en-US"/>
        </w:rPr>
        <w:t xml:space="preserve"> have a positive but statistically insignificant t-test score while one item has a negative t-test but statistically insignificant.</w:t>
      </w:r>
    </w:p>
    <w:p w14:paraId="376386D0" w14:textId="77777777" w:rsidR="00287AB1" w:rsidRPr="0001752F" w:rsidRDefault="00287AB1" w:rsidP="00C46626">
      <w:pPr>
        <w:spacing w:after="0"/>
        <w:rPr>
          <w:rFonts w:eastAsia="SimSun" w:cs="Times New Roman"/>
          <w:bCs/>
          <w:szCs w:val="24"/>
          <w:lang w:bidi="en-US"/>
        </w:rPr>
      </w:pPr>
    </w:p>
    <w:p w14:paraId="488A4213" w14:textId="762BDD5A" w:rsidR="00F6677A" w:rsidRPr="0001752F" w:rsidRDefault="00B00527" w:rsidP="00EC5A3C">
      <w:pPr>
        <w:pStyle w:val="t"/>
        <w:rPr>
          <w:lang w:bidi="en-US"/>
        </w:rPr>
      </w:pPr>
      <w:bookmarkStart w:id="44" w:name="_Toc78262927"/>
      <w:bookmarkStart w:id="45" w:name="_Toc79645872"/>
      <w:r w:rsidRPr="0001752F">
        <w:rPr>
          <w:lang w:bidi="en-US"/>
        </w:rPr>
        <w:t xml:space="preserve">Table </w:t>
      </w:r>
      <w:r w:rsidR="00BB2B6B" w:rsidRPr="0001752F">
        <w:rPr>
          <w:lang w:bidi="en-US"/>
        </w:rPr>
        <w:t>4</w:t>
      </w:r>
      <w:r w:rsidRPr="0001752F">
        <w:rPr>
          <w:lang w:bidi="en-US"/>
        </w:rPr>
        <w:t>.6</w:t>
      </w:r>
      <w:r w:rsidR="00F6677A" w:rsidRPr="0001752F">
        <w:rPr>
          <w:lang w:bidi="en-US"/>
        </w:rPr>
        <w:t xml:space="preserve"> Barriers of Sustainability Reporting</w:t>
      </w:r>
      <w:bookmarkEnd w:id="44"/>
      <w:bookmarkEnd w:id="45"/>
    </w:p>
    <w:tbl>
      <w:tblPr>
        <w:tblW w:w="8870" w:type="dxa"/>
        <w:tblLook w:val="04A0" w:firstRow="1" w:lastRow="0" w:firstColumn="1" w:lastColumn="0" w:noHBand="0" w:noVBand="1"/>
      </w:tblPr>
      <w:tblGrid>
        <w:gridCol w:w="3888"/>
        <w:gridCol w:w="576"/>
        <w:gridCol w:w="743"/>
        <w:gridCol w:w="756"/>
        <w:gridCol w:w="843"/>
        <w:gridCol w:w="810"/>
        <w:gridCol w:w="1254"/>
      </w:tblGrid>
      <w:tr w:rsidR="0001752F" w:rsidRPr="0001752F" w14:paraId="48013BE1" w14:textId="77777777" w:rsidTr="00EC5A3C">
        <w:trPr>
          <w:trHeight w:val="525"/>
        </w:trPr>
        <w:tc>
          <w:tcPr>
            <w:tcW w:w="3888" w:type="dxa"/>
            <w:tcBorders>
              <w:top w:val="single" w:sz="4" w:space="0" w:color="auto"/>
              <w:bottom w:val="single" w:sz="4" w:space="0" w:color="auto"/>
            </w:tcBorders>
            <w:shd w:val="clear" w:color="auto" w:fill="auto"/>
            <w:vAlign w:val="bottom"/>
            <w:hideMark/>
          </w:tcPr>
          <w:p w14:paraId="7B15A1F3" w14:textId="77777777" w:rsidR="00F6677A" w:rsidRPr="0001752F" w:rsidRDefault="00F6677A" w:rsidP="00EC5A3C">
            <w:pPr>
              <w:spacing w:after="0" w:line="240" w:lineRule="auto"/>
              <w:jc w:val="left"/>
              <w:rPr>
                <w:rFonts w:eastAsia="Times New Roman" w:cs="Times New Roman"/>
                <w:b/>
                <w:bCs/>
                <w:szCs w:val="24"/>
              </w:rPr>
            </w:pPr>
            <w:bookmarkStart w:id="46" w:name="_Hlk66269893"/>
            <w:r w:rsidRPr="0001752F">
              <w:rPr>
                <w:rFonts w:eastAsia="Times New Roman" w:cs="Times New Roman"/>
                <w:b/>
                <w:bCs/>
                <w:szCs w:val="24"/>
              </w:rPr>
              <w:t xml:space="preserve"> Barriers </w:t>
            </w:r>
          </w:p>
        </w:tc>
        <w:tc>
          <w:tcPr>
            <w:tcW w:w="576" w:type="dxa"/>
            <w:tcBorders>
              <w:top w:val="single" w:sz="4" w:space="0" w:color="auto"/>
              <w:bottom w:val="single" w:sz="4" w:space="0" w:color="auto"/>
            </w:tcBorders>
            <w:shd w:val="clear" w:color="auto" w:fill="auto"/>
            <w:vAlign w:val="bottom"/>
            <w:hideMark/>
          </w:tcPr>
          <w:p w14:paraId="07F2D952"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N</w:t>
            </w:r>
          </w:p>
        </w:tc>
        <w:tc>
          <w:tcPr>
            <w:tcW w:w="743" w:type="dxa"/>
            <w:tcBorders>
              <w:top w:val="single" w:sz="4" w:space="0" w:color="auto"/>
              <w:bottom w:val="single" w:sz="4" w:space="0" w:color="auto"/>
            </w:tcBorders>
            <w:shd w:val="clear" w:color="auto" w:fill="auto"/>
            <w:vAlign w:val="bottom"/>
            <w:hideMark/>
          </w:tcPr>
          <w:p w14:paraId="0A87E3F4"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Min.</w:t>
            </w:r>
          </w:p>
        </w:tc>
        <w:tc>
          <w:tcPr>
            <w:tcW w:w="756" w:type="dxa"/>
            <w:tcBorders>
              <w:top w:val="single" w:sz="4" w:space="0" w:color="auto"/>
              <w:bottom w:val="single" w:sz="4" w:space="0" w:color="auto"/>
            </w:tcBorders>
            <w:shd w:val="clear" w:color="auto" w:fill="auto"/>
            <w:vAlign w:val="bottom"/>
            <w:hideMark/>
          </w:tcPr>
          <w:p w14:paraId="1A40ADDB"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Max.</w:t>
            </w:r>
          </w:p>
        </w:tc>
        <w:tc>
          <w:tcPr>
            <w:tcW w:w="843" w:type="dxa"/>
            <w:tcBorders>
              <w:top w:val="single" w:sz="4" w:space="0" w:color="auto"/>
              <w:bottom w:val="single" w:sz="4" w:space="0" w:color="auto"/>
            </w:tcBorders>
            <w:shd w:val="clear" w:color="auto" w:fill="auto"/>
            <w:vAlign w:val="bottom"/>
            <w:hideMark/>
          </w:tcPr>
          <w:p w14:paraId="3E5A7676"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Mean</w:t>
            </w:r>
          </w:p>
        </w:tc>
        <w:tc>
          <w:tcPr>
            <w:tcW w:w="810" w:type="dxa"/>
            <w:tcBorders>
              <w:top w:val="single" w:sz="4" w:space="0" w:color="auto"/>
              <w:bottom w:val="single" w:sz="4" w:space="0" w:color="auto"/>
            </w:tcBorders>
            <w:shd w:val="clear" w:color="auto" w:fill="auto"/>
            <w:vAlign w:val="bottom"/>
            <w:hideMark/>
          </w:tcPr>
          <w:p w14:paraId="2F7F66C8"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Std. Dev.</w:t>
            </w:r>
          </w:p>
        </w:tc>
        <w:tc>
          <w:tcPr>
            <w:tcW w:w="1254" w:type="dxa"/>
            <w:tcBorders>
              <w:top w:val="single" w:sz="4" w:space="0" w:color="auto"/>
              <w:bottom w:val="single" w:sz="4" w:space="0" w:color="auto"/>
            </w:tcBorders>
          </w:tcPr>
          <w:p w14:paraId="4596DF4C"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t-test (test value=3)</w:t>
            </w:r>
          </w:p>
        </w:tc>
      </w:tr>
      <w:tr w:rsidR="0001752F" w:rsidRPr="0001752F" w14:paraId="52A6337C" w14:textId="77777777" w:rsidTr="00EC5A3C">
        <w:trPr>
          <w:trHeight w:val="300"/>
        </w:trPr>
        <w:tc>
          <w:tcPr>
            <w:tcW w:w="3888" w:type="dxa"/>
            <w:tcBorders>
              <w:top w:val="single" w:sz="4" w:space="0" w:color="auto"/>
            </w:tcBorders>
            <w:shd w:val="clear" w:color="auto" w:fill="auto"/>
          </w:tcPr>
          <w:p w14:paraId="7262F556"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lastRenderedPageBreak/>
              <w:t>Resources constraints (finance and time)</w:t>
            </w:r>
          </w:p>
        </w:tc>
        <w:tc>
          <w:tcPr>
            <w:tcW w:w="576" w:type="dxa"/>
            <w:tcBorders>
              <w:top w:val="single" w:sz="4" w:space="0" w:color="auto"/>
            </w:tcBorders>
            <w:shd w:val="clear" w:color="auto" w:fill="auto"/>
            <w:noWrap/>
            <w:vAlign w:val="center"/>
          </w:tcPr>
          <w:p w14:paraId="596AD2D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tcBorders>
              <w:top w:val="single" w:sz="4" w:space="0" w:color="auto"/>
            </w:tcBorders>
            <w:shd w:val="clear" w:color="auto" w:fill="auto"/>
            <w:noWrap/>
            <w:vAlign w:val="center"/>
          </w:tcPr>
          <w:p w14:paraId="7227397A"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tcBorders>
              <w:top w:val="single" w:sz="4" w:space="0" w:color="auto"/>
            </w:tcBorders>
            <w:shd w:val="clear" w:color="auto" w:fill="auto"/>
            <w:noWrap/>
            <w:vAlign w:val="center"/>
          </w:tcPr>
          <w:p w14:paraId="65D4E013"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tcBorders>
              <w:top w:val="single" w:sz="4" w:space="0" w:color="auto"/>
            </w:tcBorders>
            <w:shd w:val="clear" w:color="auto" w:fill="auto"/>
            <w:noWrap/>
            <w:vAlign w:val="center"/>
          </w:tcPr>
          <w:p w14:paraId="32A52254"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4.09</w:t>
            </w:r>
          </w:p>
        </w:tc>
        <w:tc>
          <w:tcPr>
            <w:tcW w:w="810" w:type="dxa"/>
            <w:tcBorders>
              <w:top w:val="single" w:sz="4" w:space="0" w:color="auto"/>
            </w:tcBorders>
            <w:shd w:val="clear" w:color="auto" w:fill="auto"/>
            <w:noWrap/>
            <w:vAlign w:val="center"/>
          </w:tcPr>
          <w:p w14:paraId="0422B9C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1.36</w:t>
            </w:r>
          </w:p>
        </w:tc>
        <w:tc>
          <w:tcPr>
            <w:tcW w:w="1254" w:type="dxa"/>
            <w:tcBorders>
              <w:top w:val="single" w:sz="4" w:space="0" w:color="auto"/>
            </w:tcBorders>
            <w:vAlign w:val="center"/>
          </w:tcPr>
          <w:p w14:paraId="433E9350"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10.82</w:t>
            </w:r>
            <w:r w:rsidRPr="0001752F">
              <w:rPr>
                <w:rFonts w:eastAsia="Times New Roman" w:cs="Times New Roman"/>
                <w:szCs w:val="24"/>
                <w:vertAlign w:val="superscript"/>
              </w:rPr>
              <w:t>***</w:t>
            </w:r>
          </w:p>
        </w:tc>
      </w:tr>
      <w:tr w:rsidR="0001752F" w:rsidRPr="0001752F" w14:paraId="70B0D4CD" w14:textId="77777777" w:rsidTr="00EC5A3C">
        <w:trPr>
          <w:trHeight w:val="315"/>
        </w:trPr>
        <w:tc>
          <w:tcPr>
            <w:tcW w:w="3888" w:type="dxa"/>
            <w:shd w:val="clear" w:color="auto" w:fill="auto"/>
          </w:tcPr>
          <w:p w14:paraId="4D120A91"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Lack of awareness and understanding</w:t>
            </w:r>
          </w:p>
        </w:tc>
        <w:tc>
          <w:tcPr>
            <w:tcW w:w="576" w:type="dxa"/>
            <w:shd w:val="clear" w:color="auto" w:fill="auto"/>
            <w:noWrap/>
            <w:vAlign w:val="center"/>
          </w:tcPr>
          <w:p w14:paraId="482C3371"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62BE5CE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3BFFD8FF"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shd w:val="clear" w:color="auto" w:fill="auto"/>
            <w:noWrap/>
            <w:vAlign w:val="center"/>
          </w:tcPr>
          <w:p w14:paraId="613493D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3.77</w:t>
            </w:r>
          </w:p>
        </w:tc>
        <w:tc>
          <w:tcPr>
            <w:tcW w:w="810" w:type="dxa"/>
            <w:shd w:val="clear" w:color="auto" w:fill="auto"/>
            <w:noWrap/>
            <w:vAlign w:val="center"/>
          </w:tcPr>
          <w:p w14:paraId="39196E5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1.38</w:t>
            </w:r>
          </w:p>
        </w:tc>
        <w:tc>
          <w:tcPr>
            <w:tcW w:w="1254" w:type="dxa"/>
            <w:vAlign w:val="center"/>
          </w:tcPr>
          <w:p w14:paraId="1FAAA60C"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7.56</w:t>
            </w:r>
            <w:r w:rsidRPr="0001752F">
              <w:rPr>
                <w:rFonts w:eastAsia="Times New Roman" w:cs="Times New Roman"/>
                <w:szCs w:val="24"/>
                <w:vertAlign w:val="superscript"/>
              </w:rPr>
              <w:t>***</w:t>
            </w:r>
          </w:p>
        </w:tc>
      </w:tr>
      <w:tr w:rsidR="0001752F" w:rsidRPr="0001752F" w14:paraId="4923035D" w14:textId="77777777" w:rsidTr="00EC5A3C">
        <w:trPr>
          <w:trHeight w:val="300"/>
        </w:trPr>
        <w:tc>
          <w:tcPr>
            <w:tcW w:w="3888" w:type="dxa"/>
            <w:shd w:val="clear" w:color="auto" w:fill="auto"/>
          </w:tcPr>
          <w:p w14:paraId="4AE0B063"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 xml:space="preserve">Lack of expertise </w:t>
            </w:r>
          </w:p>
        </w:tc>
        <w:tc>
          <w:tcPr>
            <w:tcW w:w="576" w:type="dxa"/>
            <w:shd w:val="clear" w:color="auto" w:fill="auto"/>
            <w:noWrap/>
            <w:vAlign w:val="center"/>
          </w:tcPr>
          <w:p w14:paraId="28DB9FC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0C8E7383"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4FF21B9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shd w:val="clear" w:color="auto" w:fill="auto"/>
            <w:noWrap/>
            <w:vAlign w:val="center"/>
          </w:tcPr>
          <w:p w14:paraId="161A4AA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3.69</w:t>
            </w:r>
          </w:p>
        </w:tc>
        <w:tc>
          <w:tcPr>
            <w:tcW w:w="810" w:type="dxa"/>
            <w:shd w:val="clear" w:color="auto" w:fill="auto"/>
            <w:noWrap/>
            <w:vAlign w:val="center"/>
          </w:tcPr>
          <w:p w14:paraId="09ADA7E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1.41</w:t>
            </w:r>
          </w:p>
        </w:tc>
        <w:tc>
          <w:tcPr>
            <w:tcW w:w="1254" w:type="dxa"/>
            <w:vAlign w:val="center"/>
          </w:tcPr>
          <w:p w14:paraId="660E2EB7"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6.65</w:t>
            </w:r>
            <w:r w:rsidRPr="0001752F">
              <w:rPr>
                <w:rFonts w:eastAsia="Times New Roman" w:cs="Times New Roman"/>
                <w:szCs w:val="24"/>
                <w:vertAlign w:val="superscript"/>
              </w:rPr>
              <w:t>***</w:t>
            </w:r>
          </w:p>
        </w:tc>
      </w:tr>
      <w:tr w:rsidR="0001752F" w:rsidRPr="0001752F" w14:paraId="17D0B3BB" w14:textId="77777777" w:rsidTr="00EC5A3C">
        <w:trPr>
          <w:trHeight w:val="300"/>
        </w:trPr>
        <w:tc>
          <w:tcPr>
            <w:tcW w:w="3888" w:type="dxa"/>
            <w:shd w:val="clear" w:color="auto" w:fill="auto"/>
          </w:tcPr>
          <w:p w14:paraId="5F44DB4D"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Absence of legal requirements</w:t>
            </w:r>
          </w:p>
        </w:tc>
        <w:tc>
          <w:tcPr>
            <w:tcW w:w="576" w:type="dxa"/>
            <w:shd w:val="clear" w:color="auto" w:fill="auto"/>
            <w:noWrap/>
            <w:vAlign w:val="center"/>
          </w:tcPr>
          <w:p w14:paraId="6F9E14FA"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182</w:t>
            </w:r>
          </w:p>
        </w:tc>
        <w:tc>
          <w:tcPr>
            <w:tcW w:w="743" w:type="dxa"/>
            <w:shd w:val="clear" w:color="auto" w:fill="auto"/>
            <w:noWrap/>
            <w:vAlign w:val="center"/>
          </w:tcPr>
          <w:p w14:paraId="1E97AC44"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3BB8607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shd w:val="clear" w:color="auto" w:fill="auto"/>
            <w:noWrap/>
            <w:vAlign w:val="center"/>
          </w:tcPr>
          <w:p w14:paraId="2B5A15D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3.54</w:t>
            </w:r>
          </w:p>
        </w:tc>
        <w:tc>
          <w:tcPr>
            <w:tcW w:w="810" w:type="dxa"/>
            <w:shd w:val="clear" w:color="auto" w:fill="auto"/>
            <w:noWrap/>
            <w:vAlign w:val="center"/>
          </w:tcPr>
          <w:p w14:paraId="3A05AE8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1.49</w:t>
            </w:r>
          </w:p>
        </w:tc>
        <w:tc>
          <w:tcPr>
            <w:tcW w:w="1254" w:type="dxa"/>
            <w:vAlign w:val="center"/>
          </w:tcPr>
          <w:p w14:paraId="07064D50"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4.89</w:t>
            </w:r>
            <w:r w:rsidRPr="0001752F">
              <w:rPr>
                <w:rFonts w:eastAsia="Times New Roman" w:cs="Times New Roman"/>
                <w:szCs w:val="24"/>
                <w:vertAlign w:val="superscript"/>
              </w:rPr>
              <w:t>***</w:t>
            </w:r>
          </w:p>
        </w:tc>
      </w:tr>
      <w:tr w:rsidR="0001752F" w:rsidRPr="0001752F" w14:paraId="6C32BCA6" w14:textId="77777777" w:rsidTr="00EC5A3C">
        <w:trPr>
          <w:trHeight w:val="300"/>
        </w:trPr>
        <w:tc>
          <w:tcPr>
            <w:tcW w:w="3888" w:type="dxa"/>
            <w:shd w:val="clear" w:color="auto" w:fill="auto"/>
          </w:tcPr>
          <w:p w14:paraId="3C8BD338"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 xml:space="preserve">Lack of formal SR education and training </w:t>
            </w:r>
          </w:p>
        </w:tc>
        <w:tc>
          <w:tcPr>
            <w:tcW w:w="576" w:type="dxa"/>
            <w:shd w:val="clear" w:color="auto" w:fill="auto"/>
            <w:noWrap/>
            <w:vAlign w:val="center"/>
          </w:tcPr>
          <w:p w14:paraId="5B32CD5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46FCF6DF"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7197A88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shd w:val="clear" w:color="auto" w:fill="auto"/>
            <w:noWrap/>
            <w:vAlign w:val="center"/>
          </w:tcPr>
          <w:p w14:paraId="6229CD09"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3.45</w:t>
            </w:r>
          </w:p>
        </w:tc>
        <w:tc>
          <w:tcPr>
            <w:tcW w:w="810" w:type="dxa"/>
            <w:shd w:val="clear" w:color="auto" w:fill="auto"/>
            <w:noWrap/>
            <w:vAlign w:val="center"/>
          </w:tcPr>
          <w:p w14:paraId="78ABCBE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1.57</w:t>
            </w:r>
          </w:p>
        </w:tc>
        <w:tc>
          <w:tcPr>
            <w:tcW w:w="1254" w:type="dxa"/>
            <w:vAlign w:val="center"/>
          </w:tcPr>
          <w:p w14:paraId="71B94902"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3.85</w:t>
            </w:r>
            <w:r w:rsidRPr="0001752F">
              <w:rPr>
                <w:rFonts w:eastAsia="Times New Roman" w:cs="Times New Roman"/>
                <w:szCs w:val="24"/>
                <w:vertAlign w:val="superscript"/>
              </w:rPr>
              <w:t>***</w:t>
            </w:r>
          </w:p>
        </w:tc>
      </w:tr>
      <w:tr w:rsidR="0001752F" w:rsidRPr="0001752F" w14:paraId="305B5C82" w14:textId="77777777" w:rsidTr="00EC5A3C">
        <w:trPr>
          <w:trHeight w:val="300"/>
        </w:trPr>
        <w:tc>
          <w:tcPr>
            <w:tcW w:w="3888" w:type="dxa"/>
            <w:shd w:val="clear" w:color="auto" w:fill="auto"/>
          </w:tcPr>
          <w:p w14:paraId="717C0DEF" w14:textId="77777777" w:rsidR="00F6677A" w:rsidRPr="0001752F" w:rsidRDefault="00F6677A" w:rsidP="00EC5A3C">
            <w:pPr>
              <w:spacing w:after="0" w:line="240" w:lineRule="auto"/>
              <w:jc w:val="left"/>
              <w:rPr>
                <w:rFonts w:eastAsia="Times New Roman" w:cs="Times New Roman"/>
                <w:szCs w:val="24"/>
              </w:rPr>
            </w:pPr>
            <w:r w:rsidRPr="0001752F">
              <w:rPr>
                <w:rFonts w:eastAsia="SimSun" w:cs="Times New Roman"/>
                <w:bCs/>
                <w:szCs w:val="24"/>
                <w:lang w:bidi="en-US"/>
              </w:rPr>
              <w:t>Negative ownership/managerial attitude</w:t>
            </w:r>
          </w:p>
        </w:tc>
        <w:tc>
          <w:tcPr>
            <w:tcW w:w="576" w:type="dxa"/>
            <w:shd w:val="clear" w:color="auto" w:fill="auto"/>
            <w:noWrap/>
            <w:vAlign w:val="center"/>
          </w:tcPr>
          <w:p w14:paraId="3F2F7DB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1BF7958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042F212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843" w:type="dxa"/>
            <w:shd w:val="clear" w:color="auto" w:fill="auto"/>
            <w:noWrap/>
            <w:vAlign w:val="center"/>
          </w:tcPr>
          <w:p w14:paraId="1F186E6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3.07</w:t>
            </w:r>
          </w:p>
        </w:tc>
        <w:tc>
          <w:tcPr>
            <w:tcW w:w="810" w:type="dxa"/>
            <w:shd w:val="clear" w:color="auto" w:fill="auto"/>
            <w:noWrap/>
            <w:vAlign w:val="center"/>
          </w:tcPr>
          <w:p w14:paraId="074F271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1.48</w:t>
            </w:r>
          </w:p>
        </w:tc>
        <w:tc>
          <w:tcPr>
            <w:tcW w:w="1254" w:type="dxa"/>
            <w:vAlign w:val="center"/>
          </w:tcPr>
          <w:p w14:paraId="029BDC34"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0.60</w:t>
            </w:r>
          </w:p>
        </w:tc>
      </w:tr>
      <w:tr w:rsidR="0001752F" w:rsidRPr="0001752F" w14:paraId="54B6585C" w14:textId="77777777" w:rsidTr="00EC5A3C">
        <w:trPr>
          <w:trHeight w:val="300"/>
        </w:trPr>
        <w:tc>
          <w:tcPr>
            <w:tcW w:w="3888" w:type="dxa"/>
            <w:shd w:val="clear" w:color="auto" w:fill="auto"/>
          </w:tcPr>
          <w:p w14:paraId="3BF8A1C0" w14:textId="77777777" w:rsidR="00F6677A" w:rsidRPr="0001752F" w:rsidRDefault="00F6677A" w:rsidP="00EC5A3C">
            <w:pPr>
              <w:spacing w:after="0" w:line="240" w:lineRule="auto"/>
              <w:jc w:val="left"/>
              <w:rPr>
                <w:rFonts w:eastAsia="Times New Roman" w:cs="Times New Roman"/>
                <w:szCs w:val="24"/>
                <w:lang w:bidi="en-US"/>
              </w:rPr>
            </w:pPr>
            <w:r w:rsidRPr="0001752F">
              <w:rPr>
                <w:rFonts w:eastAsia="SimSun" w:cs="Times New Roman"/>
                <w:bCs/>
                <w:szCs w:val="24"/>
                <w:lang w:bidi="en-US"/>
              </w:rPr>
              <w:t>Lack of SR strategy</w:t>
            </w:r>
          </w:p>
        </w:tc>
        <w:tc>
          <w:tcPr>
            <w:tcW w:w="576" w:type="dxa"/>
            <w:shd w:val="clear" w:color="auto" w:fill="auto"/>
            <w:noWrap/>
            <w:vAlign w:val="center"/>
          </w:tcPr>
          <w:p w14:paraId="4C6207E9"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183</w:t>
            </w:r>
          </w:p>
        </w:tc>
        <w:tc>
          <w:tcPr>
            <w:tcW w:w="743" w:type="dxa"/>
            <w:shd w:val="clear" w:color="auto" w:fill="auto"/>
            <w:noWrap/>
            <w:vAlign w:val="center"/>
          </w:tcPr>
          <w:p w14:paraId="67D64238"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w:t>
            </w:r>
          </w:p>
        </w:tc>
        <w:tc>
          <w:tcPr>
            <w:tcW w:w="756" w:type="dxa"/>
            <w:shd w:val="clear" w:color="auto" w:fill="auto"/>
            <w:noWrap/>
            <w:vAlign w:val="center"/>
          </w:tcPr>
          <w:p w14:paraId="21B7509D"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5</w:t>
            </w:r>
          </w:p>
        </w:tc>
        <w:tc>
          <w:tcPr>
            <w:tcW w:w="843" w:type="dxa"/>
            <w:shd w:val="clear" w:color="auto" w:fill="auto"/>
            <w:noWrap/>
            <w:vAlign w:val="center"/>
          </w:tcPr>
          <w:p w14:paraId="109C4A97"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3.04</w:t>
            </w:r>
          </w:p>
        </w:tc>
        <w:tc>
          <w:tcPr>
            <w:tcW w:w="810" w:type="dxa"/>
            <w:shd w:val="clear" w:color="auto" w:fill="auto"/>
            <w:noWrap/>
            <w:vAlign w:val="center"/>
          </w:tcPr>
          <w:p w14:paraId="56E63522"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1.50</w:t>
            </w:r>
          </w:p>
        </w:tc>
        <w:tc>
          <w:tcPr>
            <w:tcW w:w="1254" w:type="dxa"/>
            <w:vAlign w:val="center"/>
          </w:tcPr>
          <w:p w14:paraId="58912E9E"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0.39</w:t>
            </w:r>
          </w:p>
        </w:tc>
      </w:tr>
      <w:tr w:rsidR="0001752F" w:rsidRPr="0001752F" w14:paraId="4F915F66" w14:textId="77777777" w:rsidTr="00EC5A3C">
        <w:trPr>
          <w:trHeight w:val="300"/>
        </w:trPr>
        <w:tc>
          <w:tcPr>
            <w:tcW w:w="3888" w:type="dxa"/>
            <w:tcBorders>
              <w:bottom w:val="single" w:sz="4" w:space="0" w:color="auto"/>
            </w:tcBorders>
            <w:shd w:val="clear" w:color="auto" w:fill="auto"/>
            <w:hideMark/>
          </w:tcPr>
          <w:p w14:paraId="7268B003" w14:textId="4992E103" w:rsidR="00F6677A" w:rsidRPr="0001752F" w:rsidRDefault="00F6677A" w:rsidP="00EC5A3C">
            <w:pPr>
              <w:spacing w:after="0" w:line="240" w:lineRule="auto"/>
              <w:jc w:val="left"/>
              <w:rPr>
                <w:rFonts w:eastAsia="Times New Roman" w:cs="Times New Roman"/>
                <w:b/>
                <w:bCs/>
                <w:szCs w:val="24"/>
              </w:rPr>
            </w:pPr>
            <w:r w:rsidRPr="0001752F">
              <w:rPr>
                <w:rFonts w:eastAsia="SimSun" w:cs="Times New Roman"/>
                <w:bCs/>
                <w:szCs w:val="24"/>
                <w:lang w:bidi="en-US"/>
              </w:rPr>
              <w:t xml:space="preserve">Lack of </w:t>
            </w:r>
            <w:r w:rsidR="007D5B7C" w:rsidRPr="0001752F">
              <w:rPr>
                <w:rFonts w:eastAsia="SimSun" w:cs="Times New Roman"/>
                <w:bCs/>
                <w:szCs w:val="24"/>
                <w:lang w:bidi="en-US"/>
              </w:rPr>
              <w:t>stakeholders’</w:t>
            </w:r>
            <w:r w:rsidRPr="0001752F">
              <w:rPr>
                <w:rFonts w:eastAsia="SimSun" w:cs="Times New Roman"/>
                <w:bCs/>
                <w:szCs w:val="24"/>
                <w:lang w:bidi="en-US"/>
              </w:rPr>
              <w:t xml:space="preserve"> pressure</w:t>
            </w:r>
          </w:p>
        </w:tc>
        <w:tc>
          <w:tcPr>
            <w:tcW w:w="576" w:type="dxa"/>
            <w:tcBorders>
              <w:bottom w:val="single" w:sz="4" w:space="0" w:color="auto"/>
            </w:tcBorders>
            <w:shd w:val="clear" w:color="auto" w:fill="auto"/>
            <w:noWrap/>
            <w:vAlign w:val="center"/>
            <w:hideMark/>
          </w:tcPr>
          <w:p w14:paraId="35356730"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183</w:t>
            </w:r>
          </w:p>
        </w:tc>
        <w:tc>
          <w:tcPr>
            <w:tcW w:w="743" w:type="dxa"/>
            <w:tcBorders>
              <w:bottom w:val="single" w:sz="4" w:space="0" w:color="auto"/>
            </w:tcBorders>
            <w:shd w:val="clear" w:color="auto" w:fill="auto"/>
            <w:noWrap/>
            <w:vAlign w:val="center"/>
            <w:hideMark/>
          </w:tcPr>
          <w:p w14:paraId="5CC47F44"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w:t>
            </w:r>
          </w:p>
        </w:tc>
        <w:tc>
          <w:tcPr>
            <w:tcW w:w="756" w:type="dxa"/>
            <w:tcBorders>
              <w:bottom w:val="single" w:sz="4" w:space="0" w:color="auto"/>
            </w:tcBorders>
            <w:shd w:val="clear" w:color="auto" w:fill="auto"/>
            <w:noWrap/>
            <w:vAlign w:val="center"/>
            <w:hideMark/>
          </w:tcPr>
          <w:p w14:paraId="795343F1"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5</w:t>
            </w:r>
          </w:p>
        </w:tc>
        <w:tc>
          <w:tcPr>
            <w:tcW w:w="843" w:type="dxa"/>
            <w:tcBorders>
              <w:bottom w:val="single" w:sz="4" w:space="0" w:color="auto"/>
            </w:tcBorders>
            <w:shd w:val="clear" w:color="auto" w:fill="auto"/>
            <w:noWrap/>
            <w:vAlign w:val="center"/>
            <w:hideMark/>
          </w:tcPr>
          <w:p w14:paraId="0A627881"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2.90</w:t>
            </w:r>
          </w:p>
        </w:tc>
        <w:tc>
          <w:tcPr>
            <w:tcW w:w="810" w:type="dxa"/>
            <w:tcBorders>
              <w:bottom w:val="single" w:sz="4" w:space="0" w:color="auto"/>
            </w:tcBorders>
            <w:shd w:val="clear" w:color="auto" w:fill="auto"/>
            <w:noWrap/>
            <w:vAlign w:val="center"/>
            <w:hideMark/>
          </w:tcPr>
          <w:p w14:paraId="7EB59B64"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1.50</w:t>
            </w:r>
          </w:p>
        </w:tc>
        <w:tc>
          <w:tcPr>
            <w:tcW w:w="1254" w:type="dxa"/>
            <w:tcBorders>
              <w:bottom w:val="single" w:sz="4" w:space="0" w:color="auto"/>
            </w:tcBorders>
            <w:vAlign w:val="center"/>
          </w:tcPr>
          <w:p w14:paraId="181743D1"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-0.89</w:t>
            </w:r>
          </w:p>
        </w:tc>
      </w:tr>
      <w:tr w:rsidR="0001752F" w:rsidRPr="0001752F" w14:paraId="090C0152" w14:textId="77777777" w:rsidTr="00EC5A3C">
        <w:trPr>
          <w:trHeight w:val="300"/>
        </w:trPr>
        <w:tc>
          <w:tcPr>
            <w:tcW w:w="3888" w:type="dxa"/>
            <w:tcBorders>
              <w:top w:val="single" w:sz="4" w:space="0" w:color="auto"/>
              <w:bottom w:val="single" w:sz="4" w:space="0" w:color="auto"/>
            </w:tcBorders>
            <w:shd w:val="clear" w:color="auto" w:fill="auto"/>
            <w:vAlign w:val="center"/>
          </w:tcPr>
          <w:p w14:paraId="1705A7EB" w14:textId="77777777" w:rsidR="00F6677A" w:rsidRPr="0001752F" w:rsidRDefault="00F6677A" w:rsidP="00EC5A3C">
            <w:pPr>
              <w:spacing w:after="0" w:line="240" w:lineRule="auto"/>
              <w:jc w:val="left"/>
              <w:rPr>
                <w:rFonts w:eastAsia="Times New Roman" w:cs="Times New Roman"/>
                <w:b/>
                <w:bCs/>
                <w:i/>
                <w:iCs/>
                <w:szCs w:val="24"/>
                <w:lang w:bidi="en-US"/>
              </w:rPr>
            </w:pPr>
            <w:r w:rsidRPr="0001752F">
              <w:rPr>
                <w:rFonts w:eastAsia="Times New Roman" w:cs="Times New Roman"/>
                <w:b/>
                <w:bCs/>
                <w:i/>
                <w:iCs/>
                <w:szCs w:val="24"/>
                <w:lang w:bidi="en-US"/>
              </w:rPr>
              <w:t xml:space="preserve">Overall </w:t>
            </w:r>
          </w:p>
        </w:tc>
        <w:tc>
          <w:tcPr>
            <w:tcW w:w="576" w:type="dxa"/>
            <w:tcBorders>
              <w:top w:val="single" w:sz="4" w:space="0" w:color="auto"/>
              <w:bottom w:val="single" w:sz="4" w:space="0" w:color="auto"/>
            </w:tcBorders>
            <w:shd w:val="clear" w:color="auto" w:fill="auto"/>
            <w:noWrap/>
            <w:vAlign w:val="center"/>
          </w:tcPr>
          <w:p w14:paraId="4F07B05F"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183</w:t>
            </w:r>
          </w:p>
        </w:tc>
        <w:tc>
          <w:tcPr>
            <w:tcW w:w="743" w:type="dxa"/>
            <w:tcBorders>
              <w:top w:val="single" w:sz="4" w:space="0" w:color="auto"/>
              <w:bottom w:val="single" w:sz="4" w:space="0" w:color="auto"/>
            </w:tcBorders>
            <w:shd w:val="clear" w:color="auto" w:fill="auto"/>
            <w:noWrap/>
            <w:vAlign w:val="center"/>
          </w:tcPr>
          <w:p w14:paraId="750609B8"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w:t>
            </w:r>
          </w:p>
        </w:tc>
        <w:tc>
          <w:tcPr>
            <w:tcW w:w="756" w:type="dxa"/>
            <w:tcBorders>
              <w:top w:val="single" w:sz="4" w:space="0" w:color="auto"/>
              <w:bottom w:val="single" w:sz="4" w:space="0" w:color="auto"/>
            </w:tcBorders>
            <w:shd w:val="clear" w:color="auto" w:fill="auto"/>
            <w:noWrap/>
            <w:vAlign w:val="center"/>
          </w:tcPr>
          <w:p w14:paraId="03AFD68D"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5</w:t>
            </w:r>
          </w:p>
        </w:tc>
        <w:tc>
          <w:tcPr>
            <w:tcW w:w="843" w:type="dxa"/>
            <w:tcBorders>
              <w:top w:val="single" w:sz="4" w:space="0" w:color="auto"/>
              <w:bottom w:val="single" w:sz="4" w:space="0" w:color="auto"/>
            </w:tcBorders>
            <w:shd w:val="clear" w:color="auto" w:fill="auto"/>
            <w:noWrap/>
            <w:vAlign w:val="center"/>
          </w:tcPr>
          <w:p w14:paraId="0BC698B2"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3.44</w:t>
            </w:r>
          </w:p>
        </w:tc>
        <w:tc>
          <w:tcPr>
            <w:tcW w:w="810" w:type="dxa"/>
            <w:tcBorders>
              <w:top w:val="single" w:sz="4" w:space="0" w:color="auto"/>
              <w:bottom w:val="single" w:sz="4" w:space="0" w:color="auto"/>
            </w:tcBorders>
            <w:shd w:val="clear" w:color="auto" w:fill="auto"/>
            <w:noWrap/>
            <w:vAlign w:val="center"/>
          </w:tcPr>
          <w:p w14:paraId="5CDCA45A"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1.11</w:t>
            </w:r>
          </w:p>
        </w:tc>
        <w:tc>
          <w:tcPr>
            <w:tcW w:w="1254" w:type="dxa"/>
            <w:tcBorders>
              <w:top w:val="single" w:sz="4" w:space="0" w:color="auto"/>
              <w:bottom w:val="single" w:sz="4" w:space="0" w:color="auto"/>
            </w:tcBorders>
          </w:tcPr>
          <w:p w14:paraId="1799F9AC"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5.39</w:t>
            </w:r>
            <w:r w:rsidRPr="0001752F">
              <w:rPr>
                <w:rFonts w:eastAsia="Times New Roman" w:cs="Times New Roman"/>
                <w:szCs w:val="24"/>
                <w:vertAlign w:val="superscript"/>
              </w:rPr>
              <w:t>***</w:t>
            </w:r>
          </w:p>
        </w:tc>
      </w:tr>
    </w:tbl>
    <w:bookmarkEnd w:id="46"/>
    <w:p w14:paraId="502E9675" w14:textId="5BC60E30" w:rsidR="00154E49" w:rsidRPr="0001752F" w:rsidRDefault="00F6677A" w:rsidP="00012258">
      <w:pPr>
        <w:spacing w:after="0"/>
        <w:rPr>
          <w:rFonts w:eastAsia="SimSun" w:cs="Times New Roman"/>
          <w:b/>
          <w:bCs/>
          <w:szCs w:val="24"/>
          <w:lang w:bidi="en-US"/>
        </w:rPr>
      </w:pPr>
      <w:r w:rsidRPr="0001752F">
        <w:rPr>
          <w:rFonts w:eastAsia="Times New Roman" w:cs="Times New Roman"/>
          <w:szCs w:val="24"/>
          <w:vertAlign w:val="superscript"/>
          <w:lang w:bidi="en-US"/>
        </w:rPr>
        <w:t>***</w:t>
      </w:r>
      <w:r w:rsidRPr="0001752F">
        <w:rPr>
          <w:rFonts w:eastAsia="Times New Roman" w:cs="Times New Roman"/>
          <w:szCs w:val="24"/>
          <w:lang w:bidi="en-US"/>
        </w:rPr>
        <w:t xml:space="preserve">Sig. at 1%; </w:t>
      </w:r>
      <w:r w:rsidRPr="0001752F">
        <w:rPr>
          <w:rFonts w:eastAsia="Times New Roman" w:cs="Times New Roman"/>
          <w:szCs w:val="24"/>
          <w:vertAlign w:val="superscript"/>
          <w:lang w:bidi="en-US"/>
        </w:rPr>
        <w:t>**</w:t>
      </w:r>
      <w:r w:rsidRPr="0001752F">
        <w:rPr>
          <w:rFonts w:eastAsia="Times New Roman" w:cs="Times New Roman"/>
          <w:szCs w:val="24"/>
          <w:lang w:bidi="en-US"/>
        </w:rPr>
        <w:t>Sig. at 5%</w:t>
      </w:r>
      <w:bookmarkStart w:id="47" w:name="_Toc78332797"/>
      <w:bookmarkStart w:id="48" w:name="_Toc79716764"/>
    </w:p>
    <w:p w14:paraId="038C24FA" w14:textId="77777777" w:rsidR="00716538" w:rsidRPr="0001752F" w:rsidRDefault="00716538" w:rsidP="00716538">
      <w:pPr>
        <w:pStyle w:val="Heading3"/>
        <w:spacing w:before="0" w:after="0"/>
        <w:rPr>
          <w:rFonts w:eastAsia="SimSun"/>
          <w:lang w:bidi="en-US"/>
        </w:rPr>
      </w:pPr>
      <w:r w:rsidRPr="0001752F">
        <w:rPr>
          <w:rFonts w:eastAsia="SimSun"/>
          <w:lang w:bidi="en-US"/>
        </w:rPr>
        <w:t>Source: Authors’ computations from field data, 2021</w:t>
      </w:r>
    </w:p>
    <w:p w14:paraId="649BBD49" w14:textId="77777777" w:rsidR="00716538" w:rsidRPr="0001752F" w:rsidRDefault="00716538" w:rsidP="00C46626">
      <w:pPr>
        <w:pStyle w:val="Heading3"/>
        <w:spacing w:before="0" w:after="0"/>
        <w:rPr>
          <w:rFonts w:eastAsia="SimSun"/>
          <w:lang w:bidi="en-US"/>
        </w:rPr>
      </w:pPr>
    </w:p>
    <w:bookmarkEnd w:id="47"/>
    <w:bookmarkEnd w:id="48"/>
    <w:p w14:paraId="03DFCE38" w14:textId="667825D6" w:rsidR="007D5B7C" w:rsidRPr="0001752F" w:rsidRDefault="00F6677A" w:rsidP="00C46626">
      <w:pPr>
        <w:spacing w:after="0"/>
        <w:rPr>
          <w:rFonts w:eastAsia="SimSun" w:cs="Times New Roman"/>
          <w:szCs w:val="24"/>
          <w:lang w:bidi="en-US"/>
        </w:rPr>
      </w:pPr>
      <w:r w:rsidRPr="0001752F">
        <w:rPr>
          <w:rFonts w:eastAsia="SimSun" w:cs="Times New Roman"/>
          <w:szCs w:val="24"/>
          <w:lang w:bidi="en-US"/>
        </w:rPr>
        <w:t>The r</w:t>
      </w:r>
      <w:r w:rsidR="00AF606A" w:rsidRPr="0001752F">
        <w:rPr>
          <w:rFonts w:eastAsia="SimSun" w:cs="Times New Roman"/>
          <w:szCs w:val="24"/>
          <w:lang w:bidi="en-US"/>
        </w:rPr>
        <w:t>esults as presented in Table 5.7</w:t>
      </w:r>
      <w:r w:rsidRPr="0001752F">
        <w:rPr>
          <w:rFonts w:eastAsia="SimSun" w:cs="Times New Roman"/>
          <w:szCs w:val="24"/>
          <w:lang w:bidi="en-US"/>
        </w:rPr>
        <w:t xml:space="preserve">, only one measurement item has a mean score of above 3. Respondents agree that their firms sometimes report on sustainability issues just to </w:t>
      </w:r>
      <w:r w:rsidRPr="0001752F">
        <w:rPr>
          <w:rFonts w:eastAsia="SimSun" w:cs="Times New Roman"/>
          <w:bCs/>
          <w:szCs w:val="24"/>
          <w:lang w:bidi="en-US"/>
        </w:rPr>
        <w:t xml:space="preserve">meet legal obligations. The respondents disagree </w:t>
      </w:r>
      <w:r w:rsidR="004A470B" w:rsidRPr="0001752F">
        <w:rPr>
          <w:rFonts w:eastAsia="SimSun" w:cs="Times New Roman"/>
          <w:bCs/>
          <w:szCs w:val="24"/>
          <w:lang w:bidi="en-US"/>
        </w:rPr>
        <w:t>with</w:t>
      </w:r>
      <w:r w:rsidRPr="0001752F">
        <w:rPr>
          <w:rFonts w:eastAsia="SimSun" w:cs="Times New Roman"/>
          <w:bCs/>
          <w:szCs w:val="24"/>
          <w:lang w:bidi="en-US"/>
        </w:rPr>
        <w:t xml:space="preserve"> the other seven measurement items as motivational factors for SR. </w:t>
      </w:r>
      <w:r w:rsidR="002C5842" w:rsidRPr="0001752F">
        <w:rPr>
          <w:rFonts w:eastAsia="SimSun" w:cs="Times New Roman"/>
          <w:szCs w:val="24"/>
          <w:lang w:bidi="en-US"/>
        </w:rPr>
        <w:t>I</w:t>
      </w:r>
      <w:r w:rsidRPr="0001752F">
        <w:rPr>
          <w:rFonts w:eastAsia="SimSun" w:cs="Times New Roman"/>
          <w:szCs w:val="24"/>
          <w:lang w:bidi="en-US"/>
        </w:rPr>
        <w:t>t is established that the overall mean score for SR motivation ha</w:t>
      </w:r>
      <w:r w:rsidR="004A470B" w:rsidRPr="0001752F">
        <w:rPr>
          <w:rFonts w:eastAsia="SimSun" w:cs="Times New Roman"/>
          <w:szCs w:val="24"/>
          <w:lang w:bidi="en-US"/>
        </w:rPr>
        <w:t>s</w:t>
      </w:r>
      <w:r w:rsidRPr="0001752F">
        <w:rPr>
          <w:rFonts w:eastAsia="SimSun" w:cs="Times New Roman"/>
          <w:szCs w:val="24"/>
          <w:lang w:bidi="en-US"/>
        </w:rPr>
        <w:t xml:space="preserve"> a significant negative t-test score. Implying there is no motivation for SR among SMEs in Ghana. One measurement item (t</w:t>
      </w:r>
      <w:r w:rsidRPr="0001752F">
        <w:rPr>
          <w:rFonts w:eastAsia="SimSun" w:cs="Times New Roman"/>
          <w:bCs/>
          <w:szCs w:val="24"/>
          <w:lang w:bidi="en-US"/>
        </w:rPr>
        <w:t>o meet legal obligations</w:t>
      </w:r>
      <w:r w:rsidRPr="0001752F">
        <w:rPr>
          <w:rFonts w:eastAsia="SimSun" w:cs="Times New Roman"/>
          <w:szCs w:val="24"/>
          <w:lang w:bidi="en-US"/>
        </w:rPr>
        <w:t>) ha</w:t>
      </w:r>
      <w:r w:rsidR="004A470B" w:rsidRPr="0001752F">
        <w:rPr>
          <w:rFonts w:eastAsia="SimSun" w:cs="Times New Roman"/>
          <w:szCs w:val="24"/>
          <w:lang w:bidi="en-US"/>
        </w:rPr>
        <w:t>s</w:t>
      </w:r>
      <w:r w:rsidRPr="0001752F">
        <w:rPr>
          <w:rFonts w:eastAsia="SimSun" w:cs="Times New Roman"/>
          <w:szCs w:val="24"/>
          <w:lang w:bidi="en-US"/>
        </w:rPr>
        <w:t xml:space="preserve"> a positive t-test score but this is statistically insignificant. </w:t>
      </w:r>
    </w:p>
    <w:p w14:paraId="6BE204EC" w14:textId="77777777" w:rsidR="00FF7CE5" w:rsidRPr="0001752F" w:rsidRDefault="00FF7CE5" w:rsidP="00C46626">
      <w:pPr>
        <w:spacing w:after="0"/>
        <w:rPr>
          <w:rFonts w:eastAsia="SimSun" w:cs="Times New Roman"/>
          <w:szCs w:val="24"/>
          <w:lang w:bidi="en-US"/>
        </w:rPr>
      </w:pPr>
    </w:p>
    <w:p w14:paraId="268FFE3E" w14:textId="4C985841" w:rsidR="00F6677A" w:rsidRPr="0001752F" w:rsidRDefault="00AF606A" w:rsidP="00AF606A">
      <w:pPr>
        <w:spacing w:line="259" w:lineRule="auto"/>
        <w:jc w:val="left"/>
        <w:rPr>
          <w:rFonts w:eastAsia="SimSun" w:cs="Times New Roman"/>
          <w:b/>
          <w:bCs/>
          <w:szCs w:val="24"/>
          <w:lang w:bidi="en-US"/>
        </w:rPr>
      </w:pPr>
      <w:bookmarkStart w:id="49" w:name="_Toc78262928"/>
      <w:bookmarkStart w:id="50" w:name="_Toc79645873"/>
      <w:r w:rsidRPr="0001752F">
        <w:rPr>
          <w:b/>
          <w:lang w:bidi="en-US"/>
        </w:rPr>
        <w:t xml:space="preserve">Table </w:t>
      </w:r>
      <w:r w:rsidR="00BB2B6B" w:rsidRPr="0001752F">
        <w:rPr>
          <w:b/>
          <w:lang w:bidi="en-US"/>
        </w:rPr>
        <w:t>4</w:t>
      </w:r>
      <w:r w:rsidRPr="0001752F">
        <w:rPr>
          <w:b/>
          <w:lang w:bidi="en-US"/>
        </w:rPr>
        <w:t>.7</w:t>
      </w:r>
      <w:r w:rsidR="00F6677A" w:rsidRPr="0001752F">
        <w:rPr>
          <w:b/>
          <w:lang w:bidi="en-US"/>
        </w:rPr>
        <w:t xml:space="preserve"> Motivations for Sustainability Reporting</w:t>
      </w:r>
      <w:bookmarkEnd w:id="49"/>
      <w:bookmarkEnd w:id="50"/>
    </w:p>
    <w:tbl>
      <w:tblPr>
        <w:tblW w:w="8962" w:type="dxa"/>
        <w:tblLook w:val="04A0" w:firstRow="1" w:lastRow="0" w:firstColumn="1" w:lastColumn="0" w:noHBand="0" w:noVBand="1"/>
      </w:tblPr>
      <w:tblGrid>
        <w:gridCol w:w="3888"/>
        <w:gridCol w:w="720"/>
        <w:gridCol w:w="743"/>
        <w:gridCol w:w="756"/>
        <w:gridCol w:w="990"/>
        <w:gridCol w:w="729"/>
        <w:gridCol w:w="1136"/>
      </w:tblGrid>
      <w:tr w:rsidR="0001752F" w:rsidRPr="0001752F" w14:paraId="4623B17C" w14:textId="77777777" w:rsidTr="00EC5A3C">
        <w:trPr>
          <w:trHeight w:val="525"/>
        </w:trPr>
        <w:tc>
          <w:tcPr>
            <w:tcW w:w="3888" w:type="dxa"/>
            <w:tcBorders>
              <w:top w:val="single" w:sz="4" w:space="0" w:color="auto"/>
              <w:bottom w:val="single" w:sz="4" w:space="0" w:color="auto"/>
            </w:tcBorders>
            <w:shd w:val="clear" w:color="auto" w:fill="auto"/>
            <w:vAlign w:val="bottom"/>
            <w:hideMark/>
          </w:tcPr>
          <w:p w14:paraId="7D1951A2" w14:textId="77777777" w:rsidR="00F6677A" w:rsidRPr="0001752F" w:rsidRDefault="00F6677A" w:rsidP="00F6677A">
            <w:pPr>
              <w:spacing w:after="0" w:line="240" w:lineRule="auto"/>
              <w:rPr>
                <w:rFonts w:eastAsia="Times New Roman" w:cs="Times New Roman"/>
                <w:b/>
                <w:bCs/>
                <w:szCs w:val="24"/>
              </w:rPr>
            </w:pPr>
            <w:bookmarkStart w:id="51" w:name="_Hlk66270902"/>
            <w:r w:rsidRPr="0001752F">
              <w:rPr>
                <w:rFonts w:eastAsia="Times New Roman" w:cs="Times New Roman"/>
                <w:b/>
                <w:bCs/>
                <w:szCs w:val="24"/>
              </w:rPr>
              <w:t xml:space="preserve">Motivations  </w:t>
            </w:r>
          </w:p>
        </w:tc>
        <w:tc>
          <w:tcPr>
            <w:tcW w:w="720" w:type="dxa"/>
            <w:tcBorders>
              <w:top w:val="single" w:sz="4" w:space="0" w:color="auto"/>
              <w:bottom w:val="single" w:sz="4" w:space="0" w:color="auto"/>
            </w:tcBorders>
            <w:shd w:val="clear" w:color="auto" w:fill="auto"/>
            <w:vAlign w:val="bottom"/>
            <w:hideMark/>
          </w:tcPr>
          <w:p w14:paraId="4F5DAE22"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N</w:t>
            </w:r>
          </w:p>
        </w:tc>
        <w:tc>
          <w:tcPr>
            <w:tcW w:w="743" w:type="dxa"/>
            <w:tcBorders>
              <w:top w:val="single" w:sz="4" w:space="0" w:color="auto"/>
              <w:bottom w:val="single" w:sz="4" w:space="0" w:color="auto"/>
            </w:tcBorders>
            <w:shd w:val="clear" w:color="auto" w:fill="auto"/>
            <w:vAlign w:val="bottom"/>
            <w:hideMark/>
          </w:tcPr>
          <w:p w14:paraId="57EE38F9"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Min.</w:t>
            </w:r>
          </w:p>
        </w:tc>
        <w:tc>
          <w:tcPr>
            <w:tcW w:w="756" w:type="dxa"/>
            <w:tcBorders>
              <w:top w:val="single" w:sz="4" w:space="0" w:color="auto"/>
              <w:bottom w:val="single" w:sz="4" w:space="0" w:color="auto"/>
            </w:tcBorders>
            <w:shd w:val="clear" w:color="auto" w:fill="auto"/>
            <w:vAlign w:val="bottom"/>
            <w:hideMark/>
          </w:tcPr>
          <w:p w14:paraId="690C9480"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Max.</w:t>
            </w:r>
          </w:p>
        </w:tc>
        <w:tc>
          <w:tcPr>
            <w:tcW w:w="990" w:type="dxa"/>
            <w:tcBorders>
              <w:top w:val="single" w:sz="4" w:space="0" w:color="auto"/>
              <w:bottom w:val="single" w:sz="4" w:space="0" w:color="auto"/>
            </w:tcBorders>
            <w:shd w:val="clear" w:color="auto" w:fill="auto"/>
            <w:vAlign w:val="bottom"/>
            <w:hideMark/>
          </w:tcPr>
          <w:p w14:paraId="22A9EFDB"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Mean</w:t>
            </w:r>
          </w:p>
        </w:tc>
        <w:tc>
          <w:tcPr>
            <w:tcW w:w="729" w:type="dxa"/>
            <w:tcBorders>
              <w:top w:val="single" w:sz="4" w:space="0" w:color="auto"/>
              <w:bottom w:val="single" w:sz="4" w:space="0" w:color="auto"/>
            </w:tcBorders>
            <w:shd w:val="clear" w:color="auto" w:fill="auto"/>
            <w:vAlign w:val="bottom"/>
            <w:hideMark/>
          </w:tcPr>
          <w:p w14:paraId="6C6379F9"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Std. Dev.</w:t>
            </w:r>
          </w:p>
        </w:tc>
        <w:tc>
          <w:tcPr>
            <w:tcW w:w="1136" w:type="dxa"/>
            <w:tcBorders>
              <w:top w:val="single" w:sz="4" w:space="0" w:color="auto"/>
              <w:bottom w:val="single" w:sz="4" w:space="0" w:color="auto"/>
            </w:tcBorders>
          </w:tcPr>
          <w:p w14:paraId="3F4B485B"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b/>
                <w:bCs/>
                <w:szCs w:val="24"/>
              </w:rPr>
              <w:t>t-test (test value=3)</w:t>
            </w:r>
          </w:p>
        </w:tc>
      </w:tr>
      <w:tr w:rsidR="0001752F" w:rsidRPr="0001752F" w14:paraId="488736FA" w14:textId="77777777" w:rsidTr="00EC5A3C">
        <w:trPr>
          <w:trHeight w:val="315"/>
        </w:trPr>
        <w:tc>
          <w:tcPr>
            <w:tcW w:w="3888" w:type="dxa"/>
            <w:tcBorders>
              <w:top w:val="single" w:sz="4" w:space="0" w:color="auto"/>
            </w:tcBorders>
            <w:shd w:val="clear" w:color="auto" w:fill="auto"/>
          </w:tcPr>
          <w:p w14:paraId="625CC77F"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To meet legal obligations</w:t>
            </w:r>
          </w:p>
        </w:tc>
        <w:tc>
          <w:tcPr>
            <w:tcW w:w="720" w:type="dxa"/>
            <w:tcBorders>
              <w:top w:val="single" w:sz="4" w:space="0" w:color="auto"/>
            </w:tcBorders>
            <w:shd w:val="clear" w:color="auto" w:fill="auto"/>
            <w:noWrap/>
            <w:vAlign w:val="center"/>
          </w:tcPr>
          <w:p w14:paraId="1C5E511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tcBorders>
              <w:top w:val="single" w:sz="4" w:space="0" w:color="auto"/>
            </w:tcBorders>
            <w:shd w:val="clear" w:color="auto" w:fill="auto"/>
            <w:noWrap/>
            <w:vAlign w:val="center"/>
          </w:tcPr>
          <w:p w14:paraId="6959C62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tcBorders>
              <w:top w:val="single" w:sz="4" w:space="0" w:color="auto"/>
            </w:tcBorders>
            <w:shd w:val="clear" w:color="auto" w:fill="auto"/>
            <w:noWrap/>
            <w:vAlign w:val="center"/>
          </w:tcPr>
          <w:p w14:paraId="3413CE7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tcBorders>
              <w:top w:val="single" w:sz="4" w:space="0" w:color="auto"/>
            </w:tcBorders>
            <w:shd w:val="clear" w:color="auto" w:fill="auto"/>
            <w:noWrap/>
            <w:vAlign w:val="center"/>
          </w:tcPr>
          <w:p w14:paraId="76E46E3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3.16</w:t>
            </w:r>
          </w:p>
        </w:tc>
        <w:tc>
          <w:tcPr>
            <w:tcW w:w="729" w:type="dxa"/>
            <w:tcBorders>
              <w:top w:val="single" w:sz="4" w:space="0" w:color="auto"/>
            </w:tcBorders>
            <w:shd w:val="clear" w:color="auto" w:fill="auto"/>
            <w:noWrap/>
            <w:vAlign w:val="center"/>
          </w:tcPr>
          <w:p w14:paraId="34651CA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1.56</w:t>
            </w:r>
          </w:p>
        </w:tc>
        <w:tc>
          <w:tcPr>
            <w:tcW w:w="1136" w:type="dxa"/>
            <w:tcBorders>
              <w:top w:val="single" w:sz="4" w:space="0" w:color="auto"/>
            </w:tcBorders>
            <w:vAlign w:val="center"/>
          </w:tcPr>
          <w:p w14:paraId="2609296E"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1.37</w:t>
            </w:r>
          </w:p>
        </w:tc>
      </w:tr>
      <w:tr w:rsidR="0001752F" w:rsidRPr="0001752F" w14:paraId="0E76EFAA" w14:textId="77777777" w:rsidTr="00EC5A3C">
        <w:trPr>
          <w:trHeight w:val="300"/>
        </w:trPr>
        <w:tc>
          <w:tcPr>
            <w:tcW w:w="3888" w:type="dxa"/>
            <w:shd w:val="clear" w:color="auto" w:fill="auto"/>
          </w:tcPr>
          <w:p w14:paraId="065502BE"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Desire to improve firms’ image and reputation</w:t>
            </w:r>
          </w:p>
        </w:tc>
        <w:tc>
          <w:tcPr>
            <w:tcW w:w="720" w:type="dxa"/>
            <w:shd w:val="clear" w:color="auto" w:fill="auto"/>
            <w:noWrap/>
            <w:vAlign w:val="center"/>
          </w:tcPr>
          <w:p w14:paraId="0656F869"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182</w:t>
            </w:r>
          </w:p>
        </w:tc>
        <w:tc>
          <w:tcPr>
            <w:tcW w:w="743" w:type="dxa"/>
            <w:shd w:val="clear" w:color="auto" w:fill="auto"/>
            <w:noWrap/>
            <w:vAlign w:val="center"/>
          </w:tcPr>
          <w:p w14:paraId="51848F43"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6578E33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shd w:val="clear" w:color="auto" w:fill="auto"/>
            <w:noWrap/>
            <w:vAlign w:val="center"/>
          </w:tcPr>
          <w:p w14:paraId="69B29C8F"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2.77</w:t>
            </w:r>
          </w:p>
        </w:tc>
        <w:tc>
          <w:tcPr>
            <w:tcW w:w="729" w:type="dxa"/>
            <w:shd w:val="clear" w:color="auto" w:fill="auto"/>
            <w:noWrap/>
            <w:vAlign w:val="center"/>
          </w:tcPr>
          <w:p w14:paraId="042D0E64"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1.31</w:t>
            </w:r>
          </w:p>
        </w:tc>
        <w:tc>
          <w:tcPr>
            <w:tcW w:w="1136" w:type="dxa"/>
            <w:vAlign w:val="center"/>
          </w:tcPr>
          <w:p w14:paraId="4F8DD025"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-2.38</w:t>
            </w:r>
            <w:r w:rsidRPr="0001752F">
              <w:rPr>
                <w:rFonts w:eastAsia="Times New Roman" w:cs="Times New Roman"/>
                <w:szCs w:val="24"/>
                <w:vertAlign w:val="superscript"/>
              </w:rPr>
              <w:t>**</w:t>
            </w:r>
          </w:p>
        </w:tc>
      </w:tr>
      <w:tr w:rsidR="0001752F" w:rsidRPr="0001752F" w14:paraId="40A073F2" w14:textId="77777777" w:rsidTr="00EC5A3C">
        <w:trPr>
          <w:trHeight w:val="300"/>
        </w:trPr>
        <w:tc>
          <w:tcPr>
            <w:tcW w:w="3888" w:type="dxa"/>
            <w:shd w:val="clear" w:color="auto" w:fill="auto"/>
          </w:tcPr>
          <w:p w14:paraId="03D50688"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To satisfy stakeholders expectations</w:t>
            </w:r>
          </w:p>
        </w:tc>
        <w:tc>
          <w:tcPr>
            <w:tcW w:w="720" w:type="dxa"/>
            <w:shd w:val="clear" w:color="auto" w:fill="auto"/>
            <w:noWrap/>
            <w:vAlign w:val="center"/>
          </w:tcPr>
          <w:p w14:paraId="1E68449C"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211CC6C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68036DC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shd w:val="clear" w:color="auto" w:fill="auto"/>
            <w:noWrap/>
            <w:vAlign w:val="center"/>
          </w:tcPr>
          <w:p w14:paraId="66984EAD"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2.57</w:t>
            </w:r>
          </w:p>
        </w:tc>
        <w:tc>
          <w:tcPr>
            <w:tcW w:w="729" w:type="dxa"/>
            <w:shd w:val="clear" w:color="auto" w:fill="auto"/>
            <w:noWrap/>
            <w:vAlign w:val="center"/>
          </w:tcPr>
          <w:p w14:paraId="7C0F30B0"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1.28</w:t>
            </w:r>
          </w:p>
        </w:tc>
        <w:tc>
          <w:tcPr>
            <w:tcW w:w="1136" w:type="dxa"/>
            <w:vAlign w:val="center"/>
          </w:tcPr>
          <w:p w14:paraId="6DCBDB14"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-4.52</w:t>
            </w:r>
            <w:r w:rsidRPr="0001752F">
              <w:rPr>
                <w:rFonts w:eastAsia="Times New Roman" w:cs="Times New Roman"/>
                <w:szCs w:val="24"/>
                <w:vertAlign w:val="superscript"/>
              </w:rPr>
              <w:t>***</w:t>
            </w:r>
          </w:p>
        </w:tc>
      </w:tr>
      <w:tr w:rsidR="0001752F" w:rsidRPr="0001752F" w14:paraId="3C2426CA" w14:textId="77777777" w:rsidTr="00EC5A3C">
        <w:trPr>
          <w:trHeight w:val="300"/>
        </w:trPr>
        <w:tc>
          <w:tcPr>
            <w:tcW w:w="3888" w:type="dxa"/>
            <w:shd w:val="clear" w:color="auto" w:fill="auto"/>
          </w:tcPr>
          <w:p w14:paraId="668CD11F" w14:textId="77777777" w:rsidR="00F6677A" w:rsidRPr="0001752F" w:rsidRDefault="00F6677A" w:rsidP="00F6677A">
            <w:pPr>
              <w:spacing w:after="0" w:line="240" w:lineRule="auto"/>
              <w:rPr>
                <w:rFonts w:eastAsia="Times New Roman" w:cs="Times New Roman"/>
                <w:szCs w:val="24"/>
                <w:lang w:bidi="en-US"/>
              </w:rPr>
            </w:pPr>
            <w:r w:rsidRPr="0001752F">
              <w:rPr>
                <w:rFonts w:eastAsia="SimSun" w:cs="Times New Roman"/>
                <w:bCs/>
                <w:szCs w:val="24"/>
                <w:lang w:bidi="en-US"/>
              </w:rPr>
              <w:t>To survive and remain competitive</w:t>
            </w:r>
          </w:p>
        </w:tc>
        <w:tc>
          <w:tcPr>
            <w:tcW w:w="720" w:type="dxa"/>
            <w:shd w:val="clear" w:color="auto" w:fill="auto"/>
            <w:noWrap/>
            <w:vAlign w:val="center"/>
          </w:tcPr>
          <w:p w14:paraId="433F73AB"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183</w:t>
            </w:r>
          </w:p>
        </w:tc>
        <w:tc>
          <w:tcPr>
            <w:tcW w:w="743" w:type="dxa"/>
            <w:shd w:val="clear" w:color="auto" w:fill="auto"/>
            <w:noWrap/>
            <w:vAlign w:val="center"/>
          </w:tcPr>
          <w:p w14:paraId="7445460D"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w:t>
            </w:r>
          </w:p>
        </w:tc>
        <w:tc>
          <w:tcPr>
            <w:tcW w:w="756" w:type="dxa"/>
            <w:shd w:val="clear" w:color="auto" w:fill="auto"/>
            <w:noWrap/>
            <w:vAlign w:val="center"/>
          </w:tcPr>
          <w:p w14:paraId="209D663F"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5</w:t>
            </w:r>
          </w:p>
        </w:tc>
        <w:tc>
          <w:tcPr>
            <w:tcW w:w="990" w:type="dxa"/>
            <w:shd w:val="clear" w:color="auto" w:fill="auto"/>
            <w:noWrap/>
            <w:vAlign w:val="center"/>
          </w:tcPr>
          <w:p w14:paraId="51684CBD"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2.52</w:t>
            </w:r>
          </w:p>
        </w:tc>
        <w:tc>
          <w:tcPr>
            <w:tcW w:w="729" w:type="dxa"/>
            <w:shd w:val="clear" w:color="auto" w:fill="auto"/>
            <w:noWrap/>
            <w:vAlign w:val="center"/>
          </w:tcPr>
          <w:p w14:paraId="2954BDF0"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lang w:bidi="en-US"/>
              </w:rPr>
              <w:t>1.28</w:t>
            </w:r>
          </w:p>
        </w:tc>
        <w:tc>
          <w:tcPr>
            <w:tcW w:w="1136" w:type="dxa"/>
            <w:vAlign w:val="center"/>
          </w:tcPr>
          <w:p w14:paraId="33075A68"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-5.07</w:t>
            </w:r>
            <w:r w:rsidRPr="0001752F">
              <w:rPr>
                <w:rFonts w:eastAsia="Times New Roman" w:cs="Times New Roman"/>
                <w:szCs w:val="24"/>
                <w:vertAlign w:val="superscript"/>
              </w:rPr>
              <w:t>***</w:t>
            </w:r>
          </w:p>
        </w:tc>
      </w:tr>
      <w:tr w:rsidR="0001752F" w:rsidRPr="0001752F" w14:paraId="2DB96B5D" w14:textId="77777777" w:rsidTr="00EC5A3C">
        <w:trPr>
          <w:trHeight w:val="300"/>
        </w:trPr>
        <w:tc>
          <w:tcPr>
            <w:tcW w:w="3888" w:type="dxa"/>
            <w:shd w:val="clear" w:color="auto" w:fill="auto"/>
            <w:hideMark/>
          </w:tcPr>
          <w:p w14:paraId="51F0F982" w14:textId="77777777" w:rsidR="00F6677A" w:rsidRPr="0001752F" w:rsidRDefault="00F6677A" w:rsidP="00F6677A">
            <w:pPr>
              <w:spacing w:after="0" w:line="240" w:lineRule="auto"/>
              <w:rPr>
                <w:rFonts w:eastAsia="Times New Roman" w:cs="Times New Roman"/>
                <w:b/>
                <w:bCs/>
                <w:szCs w:val="24"/>
              </w:rPr>
            </w:pPr>
            <w:r w:rsidRPr="0001752F">
              <w:rPr>
                <w:rFonts w:eastAsia="SimSun" w:cs="Times New Roman"/>
                <w:bCs/>
                <w:szCs w:val="24"/>
                <w:lang w:bidi="en-US"/>
              </w:rPr>
              <w:t>To give back to the community</w:t>
            </w:r>
          </w:p>
        </w:tc>
        <w:tc>
          <w:tcPr>
            <w:tcW w:w="720" w:type="dxa"/>
            <w:shd w:val="clear" w:color="auto" w:fill="auto"/>
            <w:noWrap/>
            <w:vAlign w:val="center"/>
            <w:hideMark/>
          </w:tcPr>
          <w:p w14:paraId="24A0E02C"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183</w:t>
            </w:r>
          </w:p>
        </w:tc>
        <w:tc>
          <w:tcPr>
            <w:tcW w:w="743" w:type="dxa"/>
            <w:shd w:val="clear" w:color="auto" w:fill="auto"/>
            <w:noWrap/>
            <w:vAlign w:val="center"/>
            <w:hideMark/>
          </w:tcPr>
          <w:p w14:paraId="4AC4B9B2"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w:t>
            </w:r>
          </w:p>
        </w:tc>
        <w:tc>
          <w:tcPr>
            <w:tcW w:w="756" w:type="dxa"/>
            <w:shd w:val="clear" w:color="auto" w:fill="auto"/>
            <w:noWrap/>
            <w:vAlign w:val="center"/>
            <w:hideMark/>
          </w:tcPr>
          <w:p w14:paraId="7814C6F7"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5</w:t>
            </w:r>
          </w:p>
        </w:tc>
        <w:tc>
          <w:tcPr>
            <w:tcW w:w="990" w:type="dxa"/>
            <w:shd w:val="clear" w:color="auto" w:fill="auto"/>
            <w:noWrap/>
            <w:vAlign w:val="center"/>
            <w:hideMark/>
          </w:tcPr>
          <w:p w14:paraId="5021E1BF"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2.43</w:t>
            </w:r>
          </w:p>
        </w:tc>
        <w:tc>
          <w:tcPr>
            <w:tcW w:w="729" w:type="dxa"/>
            <w:shd w:val="clear" w:color="auto" w:fill="auto"/>
            <w:noWrap/>
            <w:vAlign w:val="center"/>
            <w:hideMark/>
          </w:tcPr>
          <w:p w14:paraId="3EDE4B81" w14:textId="77777777" w:rsidR="00F6677A" w:rsidRPr="0001752F" w:rsidRDefault="00F6677A" w:rsidP="00F6677A">
            <w:pPr>
              <w:spacing w:after="0" w:line="240" w:lineRule="auto"/>
              <w:rPr>
                <w:rFonts w:eastAsia="Times New Roman" w:cs="Times New Roman"/>
                <w:b/>
                <w:bCs/>
                <w:szCs w:val="24"/>
              </w:rPr>
            </w:pPr>
            <w:r w:rsidRPr="0001752F">
              <w:rPr>
                <w:rFonts w:eastAsia="Times New Roman" w:cs="Times New Roman"/>
                <w:szCs w:val="24"/>
                <w:lang w:bidi="en-US"/>
              </w:rPr>
              <w:t>1.17</w:t>
            </w:r>
          </w:p>
        </w:tc>
        <w:tc>
          <w:tcPr>
            <w:tcW w:w="1136" w:type="dxa"/>
            <w:vAlign w:val="center"/>
          </w:tcPr>
          <w:p w14:paraId="71037C03"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-6.61</w:t>
            </w:r>
            <w:r w:rsidRPr="0001752F">
              <w:rPr>
                <w:rFonts w:eastAsia="Times New Roman" w:cs="Times New Roman"/>
                <w:szCs w:val="24"/>
                <w:vertAlign w:val="superscript"/>
              </w:rPr>
              <w:t>***</w:t>
            </w:r>
          </w:p>
        </w:tc>
      </w:tr>
      <w:tr w:rsidR="0001752F" w:rsidRPr="0001752F" w14:paraId="03B7014C" w14:textId="77777777" w:rsidTr="00EC5A3C">
        <w:trPr>
          <w:trHeight w:val="300"/>
        </w:trPr>
        <w:tc>
          <w:tcPr>
            <w:tcW w:w="3888" w:type="dxa"/>
            <w:shd w:val="clear" w:color="auto" w:fill="auto"/>
          </w:tcPr>
          <w:p w14:paraId="3D589465"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To promote sustainability and good corporate citizenship</w:t>
            </w:r>
          </w:p>
        </w:tc>
        <w:tc>
          <w:tcPr>
            <w:tcW w:w="720" w:type="dxa"/>
            <w:shd w:val="clear" w:color="auto" w:fill="auto"/>
            <w:noWrap/>
            <w:vAlign w:val="center"/>
          </w:tcPr>
          <w:p w14:paraId="0A41B6B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shd w:val="clear" w:color="auto" w:fill="auto"/>
            <w:noWrap/>
            <w:vAlign w:val="center"/>
          </w:tcPr>
          <w:p w14:paraId="160B640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4E08EFFA"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shd w:val="clear" w:color="auto" w:fill="auto"/>
            <w:noWrap/>
            <w:vAlign w:val="center"/>
          </w:tcPr>
          <w:p w14:paraId="47EB33B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2.39</w:t>
            </w:r>
          </w:p>
        </w:tc>
        <w:tc>
          <w:tcPr>
            <w:tcW w:w="729" w:type="dxa"/>
            <w:shd w:val="clear" w:color="auto" w:fill="auto"/>
            <w:noWrap/>
            <w:vAlign w:val="center"/>
          </w:tcPr>
          <w:p w14:paraId="252B0065"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1.17</w:t>
            </w:r>
          </w:p>
        </w:tc>
        <w:tc>
          <w:tcPr>
            <w:tcW w:w="1136" w:type="dxa"/>
            <w:vAlign w:val="center"/>
          </w:tcPr>
          <w:p w14:paraId="7DBAD62A"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-7.03</w:t>
            </w:r>
            <w:r w:rsidRPr="0001752F">
              <w:rPr>
                <w:rFonts w:eastAsia="Times New Roman" w:cs="Times New Roman"/>
                <w:szCs w:val="24"/>
                <w:vertAlign w:val="superscript"/>
              </w:rPr>
              <w:t>***</w:t>
            </w:r>
          </w:p>
        </w:tc>
      </w:tr>
      <w:tr w:rsidR="0001752F" w:rsidRPr="0001752F" w14:paraId="6D013368" w14:textId="77777777" w:rsidTr="00EC5A3C">
        <w:trPr>
          <w:trHeight w:val="300"/>
        </w:trPr>
        <w:tc>
          <w:tcPr>
            <w:tcW w:w="3888" w:type="dxa"/>
            <w:shd w:val="clear" w:color="auto" w:fill="auto"/>
          </w:tcPr>
          <w:p w14:paraId="1EB973CA"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Our competitors respond to social and environmental issues</w:t>
            </w:r>
          </w:p>
        </w:tc>
        <w:tc>
          <w:tcPr>
            <w:tcW w:w="720" w:type="dxa"/>
            <w:shd w:val="clear" w:color="auto" w:fill="auto"/>
            <w:noWrap/>
            <w:vAlign w:val="center"/>
          </w:tcPr>
          <w:p w14:paraId="4B9BC22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182</w:t>
            </w:r>
          </w:p>
        </w:tc>
        <w:tc>
          <w:tcPr>
            <w:tcW w:w="743" w:type="dxa"/>
            <w:shd w:val="clear" w:color="auto" w:fill="auto"/>
            <w:noWrap/>
            <w:vAlign w:val="center"/>
          </w:tcPr>
          <w:p w14:paraId="31754896"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shd w:val="clear" w:color="auto" w:fill="auto"/>
            <w:noWrap/>
            <w:vAlign w:val="center"/>
          </w:tcPr>
          <w:p w14:paraId="7B6E6F37"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shd w:val="clear" w:color="auto" w:fill="auto"/>
            <w:noWrap/>
            <w:vAlign w:val="center"/>
          </w:tcPr>
          <w:p w14:paraId="56AD912F"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2.37</w:t>
            </w:r>
          </w:p>
        </w:tc>
        <w:tc>
          <w:tcPr>
            <w:tcW w:w="729" w:type="dxa"/>
            <w:shd w:val="clear" w:color="auto" w:fill="auto"/>
            <w:noWrap/>
            <w:vAlign w:val="center"/>
          </w:tcPr>
          <w:p w14:paraId="5BA789D2"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1.31</w:t>
            </w:r>
          </w:p>
        </w:tc>
        <w:tc>
          <w:tcPr>
            <w:tcW w:w="1136" w:type="dxa"/>
            <w:vAlign w:val="center"/>
          </w:tcPr>
          <w:p w14:paraId="455F1DA6"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-6.55</w:t>
            </w:r>
            <w:r w:rsidRPr="0001752F">
              <w:rPr>
                <w:rFonts w:eastAsia="Times New Roman" w:cs="Times New Roman"/>
                <w:szCs w:val="24"/>
                <w:vertAlign w:val="superscript"/>
              </w:rPr>
              <w:t>***</w:t>
            </w:r>
          </w:p>
        </w:tc>
      </w:tr>
      <w:tr w:rsidR="0001752F" w:rsidRPr="0001752F" w14:paraId="6325B526" w14:textId="77777777" w:rsidTr="00EC5A3C">
        <w:trPr>
          <w:trHeight w:val="300"/>
        </w:trPr>
        <w:tc>
          <w:tcPr>
            <w:tcW w:w="3888" w:type="dxa"/>
            <w:tcBorders>
              <w:bottom w:val="single" w:sz="4" w:space="0" w:color="auto"/>
            </w:tcBorders>
            <w:shd w:val="clear" w:color="auto" w:fill="auto"/>
          </w:tcPr>
          <w:p w14:paraId="621E0F45" w14:textId="77777777" w:rsidR="00F6677A" w:rsidRPr="0001752F" w:rsidRDefault="00F6677A" w:rsidP="00F6677A">
            <w:pPr>
              <w:spacing w:after="0" w:line="240" w:lineRule="auto"/>
              <w:rPr>
                <w:rFonts w:eastAsia="Times New Roman" w:cs="Times New Roman"/>
                <w:szCs w:val="24"/>
              </w:rPr>
            </w:pPr>
            <w:r w:rsidRPr="0001752F">
              <w:rPr>
                <w:rFonts w:eastAsia="SimSun" w:cs="Times New Roman"/>
                <w:bCs/>
                <w:szCs w:val="24"/>
                <w:lang w:bidi="en-US"/>
              </w:rPr>
              <w:t>To promote employee loyalty and staff retention</w:t>
            </w:r>
          </w:p>
        </w:tc>
        <w:tc>
          <w:tcPr>
            <w:tcW w:w="720" w:type="dxa"/>
            <w:tcBorders>
              <w:bottom w:val="single" w:sz="4" w:space="0" w:color="auto"/>
            </w:tcBorders>
            <w:shd w:val="clear" w:color="auto" w:fill="auto"/>
            <w:noWrap/>
            <w:vAlign w:val="center"/>
          </w:tcPr>
          <w:p w14:paraId="363CB8E3"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183</w:t>
            </w:r>
          </w:p>
        </w:tc>
        <w:tc>
          <w:tcPr>
            <w:tcW w:w="743" w:type="dxa"/>
            <w:tcBorders>
              <w:bottom w:val="single" w:sz="4" w:space="0" w:color="auto"/>
            </w:tcBorders>
            <w:shd w:val="clear" w:color="auto" w:fill="auto"/>
            <w:noWrap/>
            <w:vAlign w:val="center"/>
          </w:tcPr>
          <w:p w14:paraId="528DA8BE"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w:t>
            </w:r>
          </w:p>
        </w:tc>
        <w:tc>
          <w:tcPr>
            <w:tcW w:w="756" w:type="dxa"/>
            <w:tcBorders>
              <w:bottom w:val="single" w:sz="4" w:space="0" w:color="auto"/>
            </w:tcBorders>
            <w:shd w:val="clear" w:color="auto" w:fill="auto"/>
            <w:noWrap/>
            <w:vAlign w:val="center"/>
          </w:tcPr>
          <w:p w14:paraId="1F8F576B"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5</w:t>
            </w:r>
          </w:p>
        </w:tc>
        <w:tc>
          <w:tcPr>
            <w:tcW w:w="990" w:type="dxa"/>
            <w:tcBorders>
              <w:bottom w:val="single" w:sz="4" w:space="0" w:color="auto"/>
            </w:tcBorders>
            <w:shd w:val="clear" w:color="auto" w:fill="auto"/>
            <w:noWrap/>
            <w:vAlign w:val="center"/>
          </w:tcPr>
          <w:p w14:paraId="591967E8"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2.33</w:t>
            </w:r>
          </w:p>
        </w:tc>
        <w:tc>
          <w:tcPr>
            <w:tcW w:w="729" w:type="dxa"/>
            <w:tcBorders>
              <w:bottom w:val="single" w:sz="4" w:space="0" w:color="auto"/>
            </w:tcBorders>
            <w:shd w:val="clear" w:color="auto" w:fill="auto"/>
            <w:noWrap/>
            <w:vAlign w:val="center"/>
          </w:tcPr>
          <w:p w14:paraId="3EB4066C" w14:textId="77777777" w:rsidR="00F6677A" w:rsidRPr="0001752F" w:rsidRDefault="00F6677A" w:rsidP="00F6677A">
            <w:pPr>
              <w:spacing w:after="0" w:line="240" w:lineRule="auto"/>
              <w:rPr>
                <w:rFonts w:eastAsia="Times New Roman" w:cs="Times New Roman"/>
                <w:szCs w:val="24"/>
              </w:rPr>
            </w:pPr>
            <w:r w:rsidRPr="0001752F">
              <w:rPr>
                <w:rFonts w:eastAsia="Times New Roman" w:cs="Times New Roman"/>
                <w:szCs w:val="24"/>
                <w:lang w:bidi="en-US"/>
              </w:rPr>
              <w:t>1.13</w:t>
            </w:r>
          </w:p>
        </w:tc>
        <w:tc>
          <w:tcPr>
            <w:tcW w:w="1136" w:type="dxa"/>
            <w:tcBorders>
              <w:bottom w:val="single" w:sz="4" w:space="0" w:color="auto"/>
            </w:tcBorders>
            <w:vAlign w:val="center"/>
          </w:tcPr>
          <w:p w14:paraId="1B674098" w14:textId="77777777" w:rsidR="00F6677A" w:rsidRPr="0001752F" w:rsidRDefault="00F6677A" w:rsidP="00F6677A">
            <w:pPr>
              <w:spacing w:after="0" w:line="240" w:lineRule="auto"/>
              <w:rPr>
                <w:rFonts w:eastAsia="Times New Roman" w:cs="Times New Roman"/>
                <w:szCs w:val="24"/>
                <w:lang w:bidi="en-US"/>
              </w:rPr>
            </w:pPr>
            <w:r w:rsidRPr="0001752F">
              <w:rPr>
                <w:rFonts w:eastAsia="Times New Roman" w:cs="Times New Roman"/>
                <w:szCs w:val="24"/>
              </w:rPr>
              <w:t>-8.01</w:t>
            </w:r>
            <w:r w:rsidRPr="0001752F">
              <w:rPr>
                <w:rFonts w:eastAsia="Times New Roman" w:cs="Times New Roman"/>
                <w:szCs w:val="24"/>
                <w:vertAlign w:val="superscript"/>
              </w:rPr>
              <w:t>***</w:t>
            </w:r>
          </w:p>
        </w:tc>
      </w:tr>
      <w:tr w:rsidR="0001752F" w:rsidRPr="0001752F" w14:paraId="1694A012" w14:textId="77777777" w:rsidTr="00EC5A3C">
        <w:trPr>
          <w:trHeight w:val="300"/>
        </w:trPr>
        <w:tc>
          <w:tcPr>
            <w:tcW w:w="3888" w:type="dxa"/>
            <w:tcBorders>
              <w:top w:val="single" w:sz="4" w:space="0" w:color="auto"/>
              <w:bottom w:val="single" w:sz="4" w:space="0" w:color="auto"/>
            </w:tcBorders>
            <w:shd w:val="clear" w:color="auto" w:fill="auto"/>
            <w:vAlign w:val="center"/>
          </w:tcPr>
          <w:p w14:paraId="38A359E8"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 xml:space="preserve">Overall </w:t>
            </w:r>
          </w:p>
        </w:tc>
        <w:tc>
          <w:tcPr>
            <w:tcW w:w="720" w:type="dxa"/>
            <w:tcBorders>
              <w:top w:val="single" w:sz="4" w:space="0" w:color="auto"/>
              <w:bottom w:val="single" w:sz="4" w:space="0" w:color="auto"/>
            </w:tcBorders>
            <w:shd w:val="clear" w:color="auto" w:fill="auto"/>
            <w:noWrap/>
            <w:vAlign w:val="center"/>
          </w:tcPr>
          <w:p w14:paraId="6DBCF0B8"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183</w:t>
            </w:r>
          </w:p>
        </w:tc>
        <w:tc>
          <w:tcPr>
            <w:tcW w:w="743" w:type="dxa"/>
            <w:tcBorders>
              <w:top w:val="single" w:sz="4" w:space="0" w:color="auto"/>
              <w:bottom w:val="single" w:sz="4" w:space="0" w:color="auto"/>
            </w:tcBorders>
            <w:shd w:val="clear" w:color="auto" w:fill="auto"/>
            <w:noWrap/>
            <w:vAlign w:val="center"/>
          </w:tcPr>
          <w:p w14:paraId="046BC213"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w:t>
            </w:r>
          </w:p>
        </w:tc>
        <w:tc>
          <w:tcPr>
            <w:tcW w:w="756" w:type="dxa"/>
            <w:tcBorders>
              <w:top w:val="single" w:sz="4" w:space="0" w:color="auto"/>
              <w:bottom w:val="single" w:sz="4" w:space="0" w:color="auto"/>
            </w:tcBorders>
            <w:shd w:val="clear" w:color="auto" w:fill="auto"/>
            <w:noWrap/>
            <w:vAlign w:val="center"/>
          </w:tcPr>
          <w:p w14:paraId="350116DD"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5</w:t>
            </w:r>
          </w:p>
        </w:tc>
        <w:tc>
          <w:tcPr>
            <w:tcW w:w="990" w:type="dxa"/>
            <w:tcBorders>
              <w:top w:val="single" w:sz="4" w:space="0" w:color="auto"/>
              <w:bottom w:val="single" w:sz="4" w:space="0" w:color="auto"/>
            </w:tcBorders>
            <w:shd w:val="clear" w:color="auto" w:fill="auto"/>
            <w:noWrap/>
            <w:vAlign w:val="center"/>
          </w:tcPr>
          <w:p w14:paraId="05D6EC76"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2.57</w:t>
            </w:r>
          </w:p>
        </w:tc>
        <w:tc>
          <w:tcPr>
            <w:tcW w:w="729" w:type="dxa"/>
            <w:tcBorders>
              <w:top w:val="single" w:sz="4" w:space="0" w:color="auto"/>
              <w:bottom w:val="single" w:sz="4" w:space="0" w:color="auto"/>
            </w:tcBorders>
            <w:shd w:val="clear" w:color="auto" w:fill="auto"/>
            <w:noWrap/>
            <w:vAlign w:val="center"/>
          </w:tcPr>
          <w:p w14:paraId="213A2BFB"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1.12</w:t>
            </w:r>
          </w:p>
        </w:tc>
        <w:tc>
          <w:tcPr>
            <w:tcW w:w="1136" w:type="dxa"/>
            <w:tcBorders>
              <w:top w:val="single" w:sz="4" w:space="0" w:color="auto"/>
              <w:bottom w:val="single" w:sz="4" w:space="0" w:color="auto"/>
            </w:tcBorders>
          </w:tcPr>
          <w:p w14:paraId="4FB6101A" w14:textId="77777777" w:rsidR="00F6677A" w:rsidRPr="0001752F" w:rsidRDefault="00F6677A" w:rsidP="00F6677A">
            <w:pPr>
              <w:spacing w:after="0" w:line="240" w:lineRule="auto"/>
              <w:rPr>
                <w:rFonts w:eastAsia="Times New Roman" w:cs="Times New Roman"/>
                <w:b/>
                <w:bCs/>
                <w:i/>
                <w:iCs/>
                <w:szCs w:val="24"/>
                <w:lang w:bidi="en-US"/>
              </w:rPr>
            </w:pPr>
            <w:r w:rsidRPr="0001752F">
              <w:rPr>
                <w:rFonts w:eastAsia="Times New Roman" w:cs="Times New Roman"/>
                <w:b/>
                <w:bCs/>
                <w:i/>
                <w:iCs/>
                <w:szCs w:val="24"/>
                <w:lang w:bidi="en-US"/>
              </w:rPr>
              <w:t>-5.24</w:t>
            </w:r>
            <w:r w:rsidRPr="0001752F">
              <w:rPr>
                <w:rFonts w:eastAsia="Times New Roman" w:cs="Times New Roman"/>
                <w:szCs w:val="24"/>
                <w:vertAlign w:val="superscript"/>
              </w:rPr>
              <w:t>***</w:t>
            </w:r>
          </w:p>
        </w:tc>
      </w:tr>
    </w:tbl>
    <w:bookmarkEnd w:id="51"/>
    <w:p w14:paraId="5ECD9839" w14:textId="725AD991" w:rsidR="00F6677A" w:rsidRPr="0001752F" w:rsidRDefault="00F6677A" w:rsidP="00F6677A">
      <w:pPr>
        <w:spacing w:after="0"/>
        <w:rPr>
          <w:rFonts w:eastAsia="Times New Roman" w:cs="Times New Roman"/>
          <w:szCs w:val="24"/>
          <w:lang w:bidi="en-US"/>
        </w:rPr>
      </w:pPr>
      <w:r w:rsidRPr="0001752F">
        <w:rPr>
          <w:rFonts w:eastAsia="Times New Roman" w:cs="Times New Roman"/>
          <w:szCs w:val="24"/>
          <w:vertAlign w:val="superscript"/>
          <w:lang w:bidi="en-US"/>
        </w:rPr>
        <w:t>***</w:t>
      </w:r>
      <w:r w:rsidRPr="0001752F">
        <w:rPr>
          <w:rFonts w:eastAsia="Times New Roman" w:cs="Times New Roman"/>
          <w:szCs w:val="24"/>
          <w:lang w:bidi="en-US"/>
        </w:rPr>
        <w:t xml:space="preserve">Sig. at 1%; </w:t>
      </w:r>
      <w:r w:rsidRPr="0001752F">
        <w:rPr>
          <w:rFonts w:eastAsia="Times New Roman" w:cs="Times New Roman"/>
          <w:szCs w:val="24"/>
          <w:vertAlign w:val="superscript"/>
          <w:lang w:bidi="en-US"/>
        </w:rPr>
        <w:t>**</w:t>
      </w:r>
      <w:r w:rsidRPr="0001752F">
        <w:rPr>
          <w:rFonts w:eastAsia="Times New Roman" w:cs="Times New Roman"/>
          <w:szCs w:val="24"/>
          <w:lang w:bidi="en-US"/>
        </w:rPr>
        <w:t>Sig. at 5%</w:t>
      </w:r>
    </w:p>
    <w:p w14:paraId="289E5EAB" w14:textId="18EBAFFE" w:rsidR="00AF606A" w:rsidRPr="0001752F" w:rsidRDefault="00254D30" w:rsidP="00990D5F">
      <w:pPr>
        <w:pStyle w:val="Heading3"/>
        <w:spacing w:before="0" w:after="0"/>
        <w:rPr>
          <w:rFonts w:eastAsia="SimSun"/>
          <w:lang w:bidi="en-US"/>
        </w:rPr>
      </w:pPr>
      <w:r w:rsidRPr="0001752F">
        <w:rPr>
          <w:rFonts w:eastAsia="SimSun"/>
          <w:lang w:bidi="en-US"/>
        </w:rPr>
        <w:lastRenderedPageBreak/>
        <w:t>Source: Authors’ computations from field data, 2021</w:t>
      </w:r>
      <w:bookmarkStart w:id="52" w:name="_Toc78332798"/>
      <w:bookmarkStart w:id="53" w:name="_Toc79716765"/>
    </w:p>
    <w:p w14:paraId="277B590B" w14:textId="77777777" w:rsidR="00990D5F" w:rsidRPr="0001752F" w:rsidRDefault="00990D5F" w:rsidP="00990D5F">
      <w:pPr>
        <w:rPr>
          <w:lang w:bidi="en-US"/>
        </w:rPr>
      </w:pPr>
    </w:p>
    <w:p w14:paraId="7CBDFA45" w14:textId="58E3C6EC" w:rsidR="00AF606A" w:rsidRPr="0001752F" w:rsidRDefault="00BB2B6B" w:rsidP="00EC5A3C">
      <w:pPr>
        <w:pStyle w:val="Heading3"/>
        <w:rPr>
          <w:rFonts w:eastAsia="SimSun"/>
          <w:lang w:bidi="en-US"/>
        </w:rPr>
      </w:pPr>
      <w:r w:rsidRPr="0001752F">
        <w:rPr>
          <w:rFonts w:eastAsia="SimSun"/>
          <w:lang w:bidi="en-US"/>
        </w:rPr>
        <w:t>5</w:t>
      </w:r>
      <w:r w:rsidR="00AF606A" w:rsidRPr="0001752F">
        <w:rPr>
          <w:rFonts w:eastAsia="SimSun"/>
          <w:lang w:bidi="en-US"/>
        </w:rPr>
        <w:t>.0 Discussion</w:t>
      </w:r>
      <w:r w:rsidR="00FF7CE5" w:rsidRPr="0001752F">
        <w:rPr>
          <w:rFonts w:eastAsia="SimSun"/>
          <w:lang w:bidi="en-US"/>
        </w:rPr>
        <w:t>s</w:t>
      </w:r>
    </w:p>
    <w:p w14:paraId="77792CF6" w14:textId="2B02E87A" w:rsidR="000C0DA4" w:rsidRPr="0001752F" w:rsidRDefault="000C0DA4" w:rsidP="00C46626">
      <w:pPr>
        <w:spacing w:after="0"/>
        <w:rPr>
          <w:rFonts w:eastAsia="SimSun" w:cs="Times New Roman"/>
          <w:bCs/>
          <w:szCs w:val="24"/>
          <w:lang w:bidi="en-US"/>
        </w:rPr>
      </w:pPr>
      <w:r w:rsidRPr="0001752F">
        <w:rPr>
          <w:rFonts w:eastAsia="SimSun" w:cs="Times New Roman"/>
          <w:bCs/>
          <w:szCs w:val="24"/>
          <w:lang w:bidi="en-US"/>
        </w:rPr>
        <w:t>The first objective seeks to examine the extent of SR among SMEs in Ghana using a survey. Using the extent of disclosure rating approach adopted by Arthur et al. (2017), the findings suggest that the economic dimension has the highest disclosure rate (65.0%), follow</w:t>
      </w:r>
      <w:r w:rsidR="00814B31" w:rsidRPr="0001752F">
        <w:rPr>
          <w:rFonts w:eastAsia="SimSun" w:cs="Times New Roman"/>
          <w:bCs/>
          <w:szCs w:val="24"/>
          <w:lang w:bidi="en-US"/>
        </w:rPr>
        <w:t>ed</w:t>
      </w:r>
      <w:r w:rsidRPr="0001752F">
        <w:rPr>
          <w:rFonts w:eastAsia="SimSun" w:cs="Times New Roman"/>
          <w:bCs/>
          <w:szCs w:val="24"/>
          <w:lang w:bidi="en-US"/>
        </w:rPr>
        <w:t xml:space="preserve"> by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environmental dimension (26.5%) and social dimension (23.3%). The evidence also shows that it is only </w:t>
      </w:r>
      <w:r w:rsidR="004A470B" w:rsidRPr="0001752F">
        <w:rPr>
          <w:rFonts w:eastAsia="SimSun" w:cs="Times New Roman"/>
          <w:bCs/>
          <w:szCs w:val="24"/>
          <w:lang w:bidi="en-US"/>
        </w:rPr>
        <w:t xml:space="preserve">the </w:t>
      </w:r>
      <w:r w:rsidRPr="0001752F">
        <w:rPr>
          <w:rFonts w:eastAsia="SimSun" w:cs="Times New Roman"/>
          <w:bCs/>
          <w:szCs w:val="24"/>
          <w:lang w:bidi="en-US"/>
        </w:rPr>
        <w:t>economic reporting of the sampled firms that meet the critical threshold of 50%, the two other dimensions (environmental and social) are far below. The overall SR rating among SMEs in Ghana is 38.3% which is below the critical expected threshold.</w:t>
      </w:r>
      <w:r w:rsidRPr="0001752F">
        <w:rPr>
          <w:rFonts w:eastAsia="SimSun" w:cs="Times New Roman"/>
          <w:szCs w:val="24"/>
          <w:lang w:bidi="en-US"/>
        </w:rPr>
        <w:t xml:space="preserve"> </w:t>
      </w:r>
      <w:r w:rsidRPr="0001752F">
        <w:rPr>
          <w:rFonts w:eastAsia="SimSun" w:cs="Times New Roman"/>
          <w:bCs/>
          <w:szCs w:val="24"/>
          <w:lang w:bidi="en-US"/>
        </w:rPr>
        <w:t xml:space="preserve">With the exception of </w:t>
      </w:r>
      <w:r w:rsidR="004A470B" w:rsidRPr="0001752F">
        <w:rPr>
          <w:rFonts w:eastAsia="SimSun" w:cs="Times New Roman"/>
          <w:bCs/>
          <w:szCs w:val="24"/>
          <w:lang w:bidi="en-US"/>
        </w:rPr>
        <w:t xml:space="preserve">the </w:t>
      </w:r>
      <w:r w:rsidRPr="0001752F">
        <w:rPr>
          <w:rFonts w:eastAsia="SimSun" w:cs="Times New Roman"/>
          <w:bCs/>
          <w:szCs w:val="24"/>
          <w:lang w:bidi="en-US"/>
        </w:rPr>
        <w:t>economic dimension, Arthur et al. (2017) find contrary evidence among large Ghanaian mining firms. The significant differences in findings may be a result of variation in the data.  These results are not surprising since evidence from the study suggests that there is actually no motivation for SMEs in Ghana to engage in SR and few firms that do report are also confronted with obstacles such as resources constraints, lack of awareness and understanding, lack of expertise, absence of legal requirements, and lack of formal SR education and training. Th</w:t>
      </w:r>
      <w:r w:rsidR="004A470B" w:rsidRPr="0001752F">
        <w:rPr>
          <w:rFonts w:eastAsia="SimSun" w:cs="Times New Roman"/>
          <w:bCs/>
          <w:szCs w:val="24"/>
          <w:lang w:bidi="en-US"/>
        </w:rPr>
        <w:t>is</w:t>
      </w:r>
      <w:r w:rsidRPr="0001752F">
        <w:rPr>
          <w:rFonts w:eastAsia="SimSun" w:cs="Times New Roman"/>
          <w:bCs/>
          <w:szCs w:val="24"/>
          <w:lang w:bidi="en-US"/>
        </w:rPr>
        <w:t xml:space="preserve"> evidence contradict</w:t>
      </w:r>
      <w:r w:rsidR="004A470B" w:rsidRPr="0001752F">
        <w:rPr>
          <w:rFonts w:eastAsia="SimSun" w:cs="Times New Roman"/>
          <w:bCs/>
          <w:szCs w:val="24"/>
          <w:lang w:bidi="en-US"/>
        </w:rPr>
        <w:t>s</w:t>
      </w:r>
      <w:r w:rsidRPr="0001752F">
        <w:rPr>
          <w:rFonts w:eastAsia="SimSun" w:cs="Times New Roman"/>
          <w:bCs/>
          <w:szCs w:val="24"/>
          <w:lang w:bidi="en-US"/>
        </w:rPr>
        <w:t xml:space="preserve"> the findings of Arthur et al. (2017) who reveal a significant high SR rating and therefore conclude that the environment in Ghana which supports and favors sustainability disclosure practices ha</w:t>
      </w:r>
      <w:r w:rsidR="004A470B" w:rsidRPr="0001752F">
        <w:rPr>
          <w:rFonts w:eastAsia="SimSun" w:cs="Times New Roman"/>
          <w:bCs/>
          <w:szCs w:val="24"/>
          <w:lang w:bidi="en-US"/>
        </w:rPr>
        <w:t>s</w:t>
      </w:r>
      <w:r w:rsidRPr="0001752F">
        <w:rPr>
          <w:rFonts w:eastAsia="SimSun" w:cs="Times New Roman"/>
          <w:bCs/>
          <w:szCs w:val="24"/>
          <w:lang w:bidi="en-US"/>
        </w:rPr>
        <w:t xml:space="preserve"> seen a remarkable improvement in recent years.</w:t>
      </w:r>
      <w:r w:rsidRPr="0001752F">
        <w:rPr>
          <w:rFonts w:eastAsia="SimSun" w:cs="Times New Roman"/>
          <w:szCs w:val="24"/>
          <w:lang w:bidi="en-US"/>
        </w:rPr>
        <w:t xml:space="preserve"> </w:t>
      </w:r>
      <w:r w:rsidRPr="0001752F">
        <w:rPr>
          <w:rFonts w:eastAsia="SimSun" w:cs="Times New Roman"/>
          <w:bCs/>
          <w:szCs w:val="24"/>
          <w:lang w:bidi="en-US"/>
        </w:rPr>
        <w:t xml:space="preserve">This dissimilarity in findings may be as a result of the differences in </w:t>
      </w:r>
      <w:r w:rsidR="004A470B" w:rsidRPr="0001752F">
        <w:rPr>
          <w:rFonts w:eastAsia="SimSun" w:cs="Times New Roman"/>
          <w:bCs/>
          <w:szCs w:val="24"/>
          <w:lang w:bidi="en-US"/>
        </w:rPr>
        <w:t xml:space="preserve">the </w:t>
      </w:r>
      <w:r w:rsidRPr="0001752F">
        <w:rPr>
          <w:rFonts w:eastAsia="SimSun" w:cs="Times New Roman"/>
          <w:bCs/>
          <w:szCs w:val="24"/>
          <w:lang w:bidi="en-US"/>
        </w:rPr>
        <w:t>sample as the authors focus on large commercial mining firms while the current study focuses on SMEs.</w:t>
      </w:r>
    </w:p>
    <w:p w14:paraId="7B56E22D" w14:textId="77777777" w:rsidR="00C30F80" w:rsidRPr="0001752F" w:rsidRDefault="00C30F80" w:rsidP="00C46626">
      <w:pPr>
        <w:spacing w:after="0"/>
        <w:rPr>
          <w:rFonts w:eastAsia="SimSun" w:cs="Times New Roman"/>
          <w:bCs/>
          <w:szCs w:val="24"/>
          <w:lang w:bidi="en-US"/>
        </w:rPr>
      </w:pPr>
    </w:p>
    <w:p w14:paraId="0B253348" w14:textId="094EF2FF" w:rsidR="00632B00" w:rsidRPr="0001752F" w:rsidRDefault="00632B00" w:rsidP="00154E49">
      <w:pPr>
        <w:spacing w:after="0"/>
        <w:rPr>
          <w:rFonts w:cs="Times New Roman"/>
          <w:szCs w:val="24"/>
          <w:lang w:bidi="en-US"/>
        </w:rPr>
      </w:pPr>
      <w:r w:rsidRPr="0001752F">
        <w:rPr>
          <w:rFonts w:cs="Times New Roman"/>
          <w:szCs w:val="24"/>
          <w:lang w:bidi="en-US"/>
        </w:rPr>
        <w:t>An unanswered question whether manager</w:t>
      </w:r>
      <w:r w:rsidR="004A470B" w:rsidRPr="0001752F">
        <w:rPr>
          <w:rFonts w:cs="Times New Roman"/>
          <w:szCs w:val="24"/>
          <w:lang w:bidi="en-US"/>
        </w:rPr>
        <w:t>s</w:t>
      </w:r>
      <w:r w:rsidRPr="0001752F">
        <w:rPr>
          <w:rFonts w:cs="Times New Roman"/>
          <w:szCs w:val="24"/>
          <w:lang w:bidi="en-US"/>
        </w:rPr>
        <w:t xml:space="preserve"> of SMEs who </w:t>
      </w:r>
      <w:r w:rsidR="00DC31E1" w:rsidRPr="0001752F">
        <w:rPr>
          <w:rFonts w:cs="Times New Roman"/>
          <w:szCs w:val="24"/>
          <w:lang w:bidi="en-US"/>
        </w:rPr>
        <w:t>the implementers of sustainability development are</w:t>
      </w:r>
      <w:r w:rsidRPr="0001752F">
        <w:rPr>
          <w:rFonts w:cs="Times New Roman"/>
          <w:szCs w:val="24"/>
          <w:lang w:bidi="en-US"/>
        </w:rPr>
        <w:t xml:space="preserve"> and reporting actually have knowledge or awareness of the sustainability concept continue to baffle the mind of many people. Knowledge and awareness have been identified in </w:t>
      </w:r>
      <w:r w:rsidR="004A470B" w:rsidRPr="0001752F">
        <w:rPr>
          <w:rFonts w:cs="Times New Roman"/>
          <w:szCs w:val="24"/>
          <w:lang w:bidi="en-US"/>
        </w:rPr>
        <w:t xml:space="preserve">the </w:t>
      </w:r>
      <w:r w:rsidRPr="0001752F">
        <w:rPr>
          <w:rFonts w:cs="Times New Roman"/>
          <w:szCs w:val="24"/>
          <w:lang w:bidi="en-US"/>
        </w:rPr>
        <w:t>literature as one of the critical resources that hinder SMEs from engaging in sustainability act</w:t>
      </w:r>
      <w:r w:rsidR="00154E49" w:rsidRPr="0001752F">
        <w:rPr>
          <w:rFonts w:cs="Times New Roman"/>
          <w:szCs w:val="24"/>
          <w:lang w:bidi="en-US"/>
        </w:rPr>
        <w:t>ivities (Tauringana, 2020</w:t>
      </w:r>
      <w:r w:rsidRPr="0001752F">
        <w:rPr>
          <w:rFonts w:cs="Times New Roman"/>
          <w:szCs w:val="24"/>
          <w:lang w:bidi="en-US"/>
        </w:rPr>
        <w:t>; Belal &amp; Cooper, 2011</w:t>
      </w:r>
      <w:r w:rsidR="007D5B7C" w:rsidRPr="0001752F">
        <w:rPr>
          <w:rFonts w:cs="Times New Roman"/>
          <w:szCs w:val="24"/>
          <w:lang w:bidi="en-US"/>
        </w:rPr>
        <w:t>). The</w:t>
      </w:r>
      <w:r w:rsidRPr="0001752F">
        <w:rPr>
          <w:rFonts w:cs="Times New Roman"/>
          <w:szCs w:val="24"/>
          <w:lang w:bidi="en-US"/>
        </w:rPr>
        <w:t xml:space="preserve"> results relating to this objective that specifically seeks to determine </w:t>
      </w:r>
      <w:r w:rsidR="00785B77" w:rsidRPr="0001752F">
        <w:rPr>
          <w:rFonts w:cs="Times New Roman"/>
          <w:szCs w:val="24"/>
          <w:lang w:bidi="en-US"/>
        </w:rPr>
        <w:t>managers</w:t>
      </w:r>
      <w:r w:rsidRPr="0001752F">
        <w:rPr>
          <w:rFonts w:cs="Times New Roman"/>
          <w:szCs w:val="24"/>
          <w:lang w:bidi="en-US"/>
        </w:rPr>
        <w:t xml:space="preserve"> knowledge of SR show that lack of knowledge is a critical challenge in SMEs’ SR. </w:t>
      </w:r>
      <w:r w:rsidR="004A470B" w:rsidRPr="0001752F">
        <w:rPr>
          <w:rFonts w:cs="Times New Roman"/>
          <w:szCs w:val="24"/>
          <w:lang w:bidi="en-US"/>
        </w:rPr>
        <w:t>This</w:t>
      </w:r>
      <w:r w:rsidRPr="0001752F">
        <w:rPr>
          <w:rFonts w:cs="Times New Roman"/>
          <w:szCs w:val="24"/>
          <w:lang w:bidi="en-US"/>
        </w:rPr>
        <w:t xml:space="preserve"> evidence </w:t>
      </w:r>
      <w:r w:rsidR="004A470B" w:rsidRPr="0001752F">
        <w:rPr>
          <w:rFonts w:cs="Times New Roman"/>
          <w:szCs w:val="24"/>
          <w:lang w:bidi="en-US"/>
        </w:rPr>
        <w:t>is</w:t>
      </w:r>
      <w:r w:rsidRPr="0001752F">
        <w:rPr>
          <w:rFonts w:cs="Times New Roman"/>
          <w:szCs w:val="24"/>
          <w:lang w:bidi="en-US"/>
        </w:rPr>
        <w:t xml:space="preserve"> in line with the assertion of Bevan &amp; Yung (2014) that awareness and knowledge level </w:t>
      </w:r>
      <w:r w:rsidR="004A470B" w:rsidRPr="0001752F">
        <w:rPr>
          <w:rFonts w:cs="Times New Roman"/>
          <w:szCs w:val="24"/>
          <w:lang w:bidi="en-US"/>
        </w:rPr>
        <w:t>are</w:t>
      </w:r>
      <w:r w:rsidRPr="0001752F">
        <w:rPr>
          <w:rFonts w:cs="Times New Roman"/>
          <w:szCs w:val="24"/>
          <w:lang w:bidi="en-US"/>
        </w:rPr>
        <w:t xml:space="preserve"> positively related </w:t>
      </w:r>
      <w:r w:rsidR="004A470B" w:rsidRPr="0001752F">
        <w:rPr>
          <w:rFonts w:cs="Times New Roman"/>
          <w:szCs w:val="24"/>
          <w:lang w:bidi="en-US"/>
        </w:rPr>
        <w:t>to</w:t>
      </w:r>
      <w:r w:rsidRPr="0001752F">
        <w:rPr>
          <w:rFonts w:cs="Times New Roman"/>
          <w:szCs w:val="24"/>
          <w:lang w:bidi="en-US"/>
        </w:rPr>
        <w:t xml:space="preserve"> environmental reporting. Lack of education and training on the sustainability concept has created an overwhelming lack of awareness among </w:t>
      </w:r>
      <w:r w:rsidR="00785B77" w:rsidRPr="0001752F">
        <w:rPr>
          <w:rFonts w:cs="Times New Roman"/>
          <w:szCs w:val="24"/>
          <w:lang w:bidi="en-US"/>
        </w:rPr>
        <w:t>managers</w:t>
      </w:r>
      <w:r w:rsidRPr="0001752F">
        <w:rPr>
          <w:rFonts w:cs="Times New Roman"/>
          <w:szCs w:val="24"/>
          <w:lang w:bidi="en-US"/>
        </w:rPr>
        <w:t xml:space="preserve"> of Ghanaian SMEs about the </w:t>
      </w:r>
      <w:r w:rsidRPr="0001752F">
        <w:rPr>
          <w:rFonts w:cs="Times New Roman"/>
          <w:szCs w:val="24"/>
          <w:lang w:bidi="en-US"/>
        </w:rPr>
        <w:lastRenderedPageBreak/>
        <w:t xml:space="preserve">practices involved in the </w:t>
      </w:r>
      <w:r w:rsidR="00B00DB1" w:rsidRPr="0001752F">
        <w:rPr>
          <w:rFonts w:cs="Times New Roman"/>
          <w:szCs w:val="24"/>
          <w:lang w:bidi="en-US"/>
        </w:rPr>
        <w:t xml:space="preserve">concept of </w:t>
      </w:r>
      <w:r w:rsidRPr="0001752F">
        <w:rPr>
          <w:rFonts w:cs="Times New Roman"/>
          <w:szCs w:val="24"/>
          <w:lang w:bidi="en-US"/>
        </w:rPr>
        <w:t>sustainability. Knowledge and awareness are the antecedent to persuasion, decision, implementation</w:t>
      </w:r>
      <w:r w:rsidR="00DC31E1" w:rsidRPr="0001752F">
        <w:rPr>
          <w:rFonts w:cs="Times New Roman"/>
          <w:szCs w:val="24"/>
          <w:lang w:bidi="en-US"/>
        </w:rPr>
        <w:t xml:space="preserve">, </w:t>
      </w:r>
      <w:r w:rsidRPr="0001752F">
        <w:rPr>
          <w:rFonts w:cs="Times New Roman"/>
          <w:szCs w:val="24"/>
          <w:lang w:bidi="en-US"/>
        </w:rPr>
        <w:t xml:space="preserve">and confirmation (Bevan &amp; Yung, 2014). </w:t>
      </w:r>
      <w:r w:rsidR="00785B77" w:rsidRPr="0001752F">
        <w:rPr>
          <w:rFonts w:cs="Times New Roman"/>
          <w:szCs w:val="24"/>
          <w:lang w:bidi="en-US"/>
        </w:rPr>
        <w:t>Managers</w:t>
      </w:r>
      <w:r w:rsidRPr="0001752F">
        <w:rPr>
          <w:rFonts w:cs="Times New Roman"/>
          <w:szCs w:val="24"/>
          <w:lang w:bidi="en-US"/>
        </w:rPr>
        <w:t xml:space="preserve"> need to systematically acquire and develop knowledge, attitude and skills to be able to implement </w:t>
      </w:r>
      <w:r w:rsidR="00DC31E1" w:rsidRPr="0001752F">
        <w:rPr>
          <w:rFonts w:cs="Times New Roman"/>
          <w:szCs w:val="24"/>
          <w:lang w:bidi="en-US"/>
        </w:rPr>
        <w:t>the concept</w:t>
      </w:r>
      <w:r w:rsidR="00B72361" w:rsidRPr="0001752F">
        <w:rPr>
          <w:rFonts w:cs="Times New Roman"/>
          <w:szCs w:val="24"/>
          <w:lang w:bidi="en-US"/>
        </w:rPr>
        <w:t xml:space="preserve"> of </w:t>
      </w:r>
      <w:r w:rsidRPr="0001752F">
        <w:rPr>
          <w:rFonts w:cs="Times New Roman"/>
          <w:szCs w:val="24"/>
          <w:lang w:bidi="en-US"/>
        </w:rPr>
        <w:t xml:space="preserve">sustainability. It is noted that a significant factor that could positively impact on knowledge is education and training (Aragon et al., 2014), however, this study reveals that </w:t>
      </w:r>
      <w:r w:rsidR="004A470B" w:rsidRPr="0001752F">
        <w:rPr>
          <w:rFonts w:cs="Times New Roman"/>
          <w:szCs w:val="24"/>
          <w:lang w:bidi="en-US"/>
        </w:rPr>
        <w:t xml:space="preserve">the </w:t>
      </w:r>
      <w:r w:rsidRPr="0001752F">
        <w:rPr>
          <w:rFonts w:cs="Times New Roman"/>
          <w:szCs w:val="24"/>
          <w:lang w:bidi="en-US"/>
        </w:rPr>
        <w:t xml:space="preserve">majority of the </w:t>
      </w:r>
      <w:r w:rsidR="00785B77" w:rsidRPr="0001752F">
        <w:rPr>
          <w:rFonts w:cs="Times New Roman"/>
          <w:szCs w:val="24"/>
          <w:lang w:bidi="en-US"/>
        </w:rPr>
        <w:t>managers</w:t>
      </w:r>
      <w:r w:rsidRPr="0001752F">
        <w:rPr>
          <w:rFonts w:cs="Times New Roman"/>
          <w:szCs w:val="24"/>
          <w:lang w:bidi="en-US"/>
        </w:rPr>
        <w:t xml:space="preserve"> do not receive both education and training which have </w:t>
      </w:r>
      <w:r w:rsidR="004A470B" w:rsidRPr="0001752F">
        <w:rPr>
          <w:rFonts w:cs="Times New Roman"/>
          <w:szCs w:val="24"/>
          <w:lang w:bidi="en-US"/>
        </w:rPr>
        <w:t xml:space="preserve">the </w:t>
      </w:r>
      <w:r w:rsidRPr="0001752F">
        <w:rPr>
          <w:rFonts w:cs="Times New Roman"/>
          <w:szCs w:val="24"/>
          <w:lang w:bidi="en-US"/>
        </w:rPr>
        <w:t xml:space="preserve">efficacy of enhancing their knowledge for sustainability activities. These findings are consistent with similar results which are documented about SMEs’ sustainability knowledge and attitude in developed economies (Jabbour and Puppim-de-Oliveira 2012; Battisti and Perry 2011). </w:t>
      </w:r>
    </w:p>
    <w:p w14:paraId="0DD327AD" w14:textId="77777777" w:rsidR="00990D5F" w:rsidRPr="0001752F" w:rsidRDefault="00990D5F" w:rsidP="00154E49">
      <w:pPr>
        <w:spacing w:after="0"/>
        <w:rPr>
          <w:rFonts w:cs="Times New Roman"/>
          <w:szCs w:val="24"/>
          <w:lang w:bidi="en-US"/>
        </w:rPr>
      </w:pPr>
    </w:p>
    <w:p w14:paraId="2D2D0096" w14:textId="395A0EA2" w:rsidR="00632B00" w:rsidRPr="0001752F" w:rsidRDefault="00632B00" w:rsidP="006F34C5">
      <w:pPr>
        <w:spacing w:after="0"/>
        <w:rPr>
          <w:rFonts w:cs="Times New Roman"/>
          <w:szCs w:val="24"/>
          <w:lang w:bidi="en-US"/>
        </w:rPr>
      </w:pPr>
      <w:r w:rsidRPr="0001752F">
        <w:rPr>
          <w:rFonts w:cs="Times New Roman"/>
          <w:szCs w:val="24"/>
          <w:lang w:bidi="en-US"/>
        </w:rPr>
        <w:t xml:space="preserve">In this regard, it is expected that regulators in Ghana such as Environmental Protection Agency (EPA) would collaborate with trade associations and Metropolitan, Municipal and District Assemblies (MMDAs) to organize workshops and seminars on sustainability practices in order to improve </w:t>
      </w:r>
      <w:r w:rsidR="00785B77" w:rsidRPr="0001752F">
        <w:rPr>
          <w:rFonts w:cs="Times New Roman"/>
          <w:szCs w:val="24"/>
          <w:lang w:bidi="en-US"/>
        </w:rPr>
        <w:t>managers</w:t>
      </w:r>
      <w:r w:rsidRPr="0001752F">
        <w:rPr>
          <w:rFonts w:cs="Times New Roman"/>
          <w:szCs w:val="24"/>
          <w:lang w:bidi="en-US"/>
        </w:rPr>
        <w:t xml:space="preserve">’ SR knowledge. However, these regulators themselves </w:t>
      </w:r>
      <w:r w:rsidR="004A470B" w:rsidRPr="0001752F">
        <w:rPr>
          <w:rFonts w:cs="Times New Roman"/>
          <w:szCs w:val="24"/>
          <w:lang w:bidi="en-US"/>
        </w:rPr>
        <w:t xml:space="preserve">are </w:t>
      </w:r>
      <w:r w:rsidRPr="0001752F">
        <w:rPr>
          <w:rFonts w:cs="Times New Roman"/>
          <w:szCs w:val="24"/>
          <w:lang w:bidi="en-US"/>
        </w:rPr>
        <w:t>confront</w:t>
      </w:r>
      <w:r w:rsidR="004A470B" w:rsidRPr="0001752F">
        <w:rPr>
          <w:rFonts w:cs="Times New Roman"/>
          <w:szCs w:val="24"/>
          <w:lang w:bidi="en-US"/>
        </w:rPr>
        <w:t>ed</w:t>
      </w:r>
      <w:r w:rsidRPr="0001752F">
        <w:rPr>
          <w:rFonts w:cs="Times New Roman"/>
          <w:szCs w:val="24"/>
          <w:lang w:bidi="en-US"/>
        </w:rPr>
        <w:t xml:space="preserve"> with human resources challenges that hinder them to discharge their mandatory roles which include education and training, thus, contributing to the current situation. </w:t>
      </w:r>
      <w:r w:rsidR="003123A6" w:rsidRPr="0001752F">
        <w:rPr>
          <w:rFonts w:cs="Times New Roman"/>
          <w:szCs w:val="24"/>
          <w:lang w:bidi="en-US"/>
        </w:rPr>
        <w:t xml:space="preserve">These findings may be viewed in the light of the doctrine of institutional theory, underlying institutional weakness appears to be a contributing factor for abysmal knowledge in SR practices among firms. </w:t>
      </w:r>
      <w:r w:rsidRPr="0001752F">
        <w:rPr>
          <w:rFonts w:cs="Times New Roman"/>
          <w:szCs w:val="24"/>
          <w:lang w:bidi="en-US"/>
        </w:rPr>
        <w:t xml:space="preserve">Again, in line with the principle of RBV theory, which posits that </w:t>
      </w:r>
      <w:r w:rsidRPr="0001752F">
        <w:rPr>
          <w:rFonts w:eastAsia="Calibri" w:cs="Times New Roman"/>
          <w:szCs w:val="24"/>
        </w:rPr>
        <w:t>SMEs individually have, by deﬁnition, very limited operations, limited resources and lack management resources to finance education and training programmes that could enhance their knowledge in the implementation of SR concept (Parker at al., 2009 and Aragon-Correa et al., 2008). Consistent with other emp</w:t>
      </w:r>
      <w:r w:rsidR="00CC3265" w:rsidRPr="0001752F">
        <w:rPr>
          <w:rFonts w:eastAsia="Calibri" w:cs="Times New Roman"/>
          <w:szCs w:val="24"/>
        </w:rPr>
        <w:t>irical studies (Tauringana, 2020</w:t>
      </w:r>
      <w:r w:rsidRPr="0001752F">
        <w:rPr>
          <w:rFonts w:eastAsia="Calibri" w:cs="Times New Roman"/>
          <w:szCs w:val="24"/>
        </w:rPr>
        <w:t xml:space="preserve">; Abor &amp; Quartey, 2010) lack of education and training breed </w:t>
      </w:r>
      <w:r w:rsidR="004A470B" w:rsidRPr="0001752F">
        <w:rPr>
          <w:rFonts w:eastAsia="Calibri" w:cs="Times New Roman"/>
          <w:szCs w:val="24"/>
        </w:rPr>
        <w:t xml:space="preserve">a </w:t>
      </w:r>
      <w:r w:rsidRPr="0001752F">
        <w:rPr>
          <w:rFonts w:eastAsia="Calibri" w:cs="Times New Roman"/>
          <w:szCs w:val="24"/>
        </w:rPr>
        <w:t xml:space="preserve">lack of knowledge to adopt SR practices and </w:t>
      </w:r>
      <w:r w:rsidRPr="0001752F">
        <w:rPr>
          <w:rFonts w:cs="Times New Roman"/>
          <w:szCs w:val="24"/>
          <w:lang w:bidi="en-US"/>
        </w:rPr>
        <w:t xml:space="preserve">improving SMEs’ knowledge in sustainability activities is potentially capable of contributing to how well SMEs embrace </w:t>
      </w:r>
      <w:r w:rsidR="004A470B" w:rsidRPr="0001752F">
        <w:rPr>
          <w:rFonts w:cs="Times New Roman"/>
          <w:szCs w:val="24"/>
          <w:lang w:bidi="en-US"/>
        </w:rPr>
        <w:t xml:space="preserve">the </w:t>
      </w:r>
      <w:r w:rsidRPr="0001752F">
        <w:rPr>
          <w:rFonts w:cs="Times New Roman"/>
          <w:szCs w:val="24"/>
          <w:lang w:bidi="en-US"/>
        </w:rPr>
        <w:t xml:space="preserve">SR concept in the future because knowledge significantly influences performance (Bryan, 2006; Yahya et al., 2012). </w:t>
      </w:r>
    </w:p>
    <w:p w14:paraId="4E7CEE1E" w14:textId="77777777" w:rsidR="006F34C5" w:rsidRPr="0001752F" w:rsidRDefault="006F34C5" w:rsidP="006F34C5">
      <w:pPr>
        <w:spacing w:after="0"/>
        <w:rPr>
          <w:rFonts w:cs="Times New Roman"/>
          <w:szCs w:val="24"/>
          <w:lang w:bidi="en-US"/>
        </w:rPr>
      </w:pPr>
    </w:p>
    <w:p w14:paraId="327C5382" w14:textId="71662AD9" w:rsidR="00632B00" w:rsidRPr="0001752F" w:rsidRDefault="00632B00" w:rsidP="00235612">
      <w:pPr>
        <w:spacing w:after="0"/>
        <w:rPr>
          <w:rFonts w:cs="Times New Roman"/>
          <w:szCs w:val="24"/>
          <w:lang w:bidi="en-US"/>
        </w:rPr>
      </w:pPr>
      <w:r w:rsidRPr="0001752F">
        <w:rPr>
          <w:rFonts w:cs="Times New Roman"/>
          <w:szCs w:val="24"/>
          <w:lang w:bidi="en-US"/>
        </w:rPr>
        <w:t>Stakeholder pressure</w:t>
      </w:r>
      <w:r w:rsidR="004A470B" w:rsidRPr="0001752F">
        <w:rPr>
          <w:rFonts w:cs="Times New Roman"/>
          <w:szCs w:val="24"/>
          <w:lang w:bidi="en-US"/>
        </w:rPr>
        <w:t>, as well as the demand for sustainability disclosure,</w:t>
      </w:r>
      <w:r w:rsidRPr="0001752F">
        <w:rPr>
          <w:rFonts w:cs="Times New Roman"/>
          <w:szCs w:val="24"/>
          <w:lang w:bidi="en-US"/>
        </w:rPr>
        <w:t xml:space="preserve"> is missing in the context of SMEs in Ghana. </w:t>
      </w:r>
      <w:r w:rsidR="003123A6" w:rsidRPr="0001752F">
        <w:rPr>
          <w:rFonts w:cs="Times New Roman"/>
          <w:szCs w:val="24"/>
          <w:lang w:bidi="en-US"/>
        </w:rPr>
        <w:t xml:space="preserve">The absence of these external pressures coupled with the presence of limited </w:t>
      </w:r>
      <w:r w:rsidR="007D5B7C" w:rsidRPr="0001752F">
        <w:rPr>
          <w:rFonts w:cs="Times New Roman"/>
          <w:szCs w:val="24"/>
          <w:lang w:bidi="en-US"/>
        </w:rPr>
        <w:t>resources;</w:t>
      </w:r>
      <w:r w:rsidR="003123A6" w:rsidRPr="0001752F">
        <w:rPr>
          <w:rFonts w:cs="Times New Roman"/>
          <w:szCs w:val="24"/>
          <w:lang w:bidi="en-US"/>
        </w:rPr>
        <w:t xml:space="preserve"> </w:t>
      </w:r>
      <w:r w:rsidR="00785B77" w:rsidRPr="0001752F">
        <w:rPr>
          <w:rFonts w:cs="Times New Roman"/>
          <w:szCs w:val="24"/>
          <w:lang w:bidi="en-US"/>
        </w:rPr>
        <w:t>managers</w:t>
      </w:r>
      <w:r w:rsidR="003123A6" w:rsidRPr="0001752F">
        <w:rPr>
          <w:rFonts w:cs="Times New Roman"/>
          <w:szCs w:val="24"/>
          <w:lang w:bidi="en-US"/>
        </w:rPr>
        <w:t xml:space="preserve"> of SMEs is highly uninterested in sustainability practices as they assume that the perceived costs far outweigh the perceived benefits. </w:t>
      </w:r>
      <w:r w:rsidRPr="0001752F">
        <w:rPr>
          <w:rFonts w:cs="Times New Roman"/>
          <w:szCs w:val="24"/>
          <w:lang w:bidi="en-US"/>
        </w:rPr>
        <w:t xml:space="preserve">These findings are inconsistent with empirical evidence which posits that corporate entities are </w:t>
      </w:r>
      <w:r w:rsidRPr="0001752F">
        <w:rPr>
          <w:rFonts w:cs="Times New Roman"/>
          <w:szCs w:val="24"/>
          <w:lang w:bidi="en-US"/>
        </w:rPr>
        <w:lastRenderedPageBreak/>
        <w:t xml:space="preserve">now facing increasing pressure to engage in SR to legitimize their existence in a society, gain reputation and avoid negative impacts of future demands of diverse stakeholders (Arthur et al., 2017). </w:t>
      </w:r>
    </w:p>
    <w:p w14:paraId="5253C462" w14:textId="77777777" w:rsidR="00FF7CE5" w:rsidRPr="0001752F" w:rsidRDefault="00FF7CE5" w:rsidP="00C46626">
      <w:pPr>
        <w:spacing w:after="0"/>
        <w:rPr>
          <w:rFonts w:eastAsia="SimSun" w:cs="Times New Roman"/>
          <w:b/>
          <w:bCs/>
          <w:szCs w:val="24"/>
          <w:lang w:bidi="en-US"/>
        </w:rPr>
      </w:pPr>
    </w:p>
    <w:p w14:paraId="5877A981" w14:textId="071E8693" w:rsidR="000D0C4D" w:rsidRPr="0001752F" w:rsidRDefault="000D0C4D" w:rsidP="00C46626">
      <w:pPr>
        <w:spacing w:after="0"/>
        <w:rPr>
          <w:rFonts w:eastAsia="SimSun" w:cs="Times New Roman"/>
          <w:bCs/>
          <w:szCs w:val="24"/>
          <w:lang w:bidi="en-US"/>
        </w:rPr>
      </w:pPr>
      <w:r w:rsidRPr="0001752F">
        <w:rPr>
          <w:rFonts w:eastAsia="SimSun" w:cs="Times New Roman"/>
          <w:bCs/>
          <w:szCs w:val="24"/>
          <w:lang w:bidi="en-US"/>
        </w:rPr>
        <w:t xml:space="preserve">The findings relating to barriers of SR reveal resources constraint acts as a significant barrier in SMEs’ sustainability uptake. Study respondents perceive limited resources, both finance and human as </w:t>
      </w:r>
      <w:r w:rsidR="004A470B" w:rsidRPr="0001752F">
        <w:rPr>
          <w:rFonts w:eastAsia="SimSun" w:cs="Times New Roman"/>
          <w:bCs/>
          <w:szCs w:val="24"/>
          <w:lang w:bidi="en-US"/>
        </w:rPr>
        <w:t xml:space="preserve">the </w:t>
      </w:r>
      <w:r w:rsidRPr="0001752F">
        <w:rPr>
          <w:rFonts w:eastAsia="SimSun" w:cs="Times New Roman"/>
          <w:bCs/>
          <w:szCs w:val="24"/>
          <w:lang w:bidi="en-US"/>
        </w:rPr>
        <w:t>main operational constraint impeding Ghanaian SMEs</w:t>
      </w:r>
      <w:r w:rsidR="004A470B" w:rsidRPr="0001752F">
        <w:rPr>
          <w:rFonts w:eastAsia="SimSun" w:cs="Times New Roman"/>
          <w:bCs/>
          <w:szCs w:val="24"/>
          <w:lang w:bidi="en-US"/>
        </w:rPr>
        <w:t>'</w:t>
      </w:r>
      <w:r w:rsidRPr="0001752F">
        <w:rPr>
          <w:rFonts w:eastAsia="SimSun" w:cs="Times New Roman"/>
          <w:bCs/>
          <w:szCs w:val="24"/>
          <w:lang w:bidi="en-US"/>
        </w:rPr>
        <w:t xml:space="preserve"> sustainability initiatives. The general economic condition in Ghana coupled with high borrowing cost, high inflation, </w:t>
      </w:r>
      <w:r w:rsidR="00DC1964" w:rsidRPr="0001752F">
        <w:rPr>
          <w:rFonts w:eastAsia="SimSun" w:cs="Times New Roman"/>
          <w:bCs/>
          <w:szCs w:val="24"/>
          <w:lang w:bidi="en-US"/>
        </w:rPr>
        <w:t xml:space="preserve">high </w:t>
      </w:r>
      <w:r w:rsidRPr="0001752F">
        <w:rPr>
          <w:rFonts w:eastAsia="SimSun" w:cs="Times New Roman"/>
          <w:bCs/>
          <w:szCs w:val="24"/>
          <w:lang w:bidi="en-US"/>
        </w:rPr>
        <w:t xml:space="preserve">fiscal deficit, government dependence on short-term finance from </w:t>
      </w:r>
      <w:r w:rsidR="004A470B" w:rsidRPr="0001752F">
        <w:rPr>
          <w:rFonts w:eastAsia="SimSun" w:cs="Times New Roman"/>
          <w:bCs/>
          <w:szCs w:val="24"/>
          <w:lang w:bidi="en-US"/>
        </w:rPr>
        <w:t xml:space="preserve">the </w:t>
      </w:r>
      <w:r w:rsidRPr="0001752F">
        <w:rPr>
          <w:rFonts w:eastAsia="SimSun" w:cs="Times New Roman"/>
          <w:bCs/>
          <w:szCs w:val="24"/>
          <w:lang w:bidi="en-US"/>
        </w:rPr>
        <w:t>local market are some of the critical factors which limit SMEs</w:t>
      </w:r>
      <w:r w:rsidR="00237B9E" w:rsidRPr="0001752F">
        <w:rPr>
          <w:rFonts w:eastAsia="SimSun" w:cs="Times New Roman"/>
          <w:bCs/>
          <w:szCs w:val="24"/>
          <w:lang w:bidi="en-US"/>
        </w:rPr>
        <w:t xml:space="preserve"> </w:t>
      </w:r>
      <w:r w:rsidRPr="0001752F">
        <w:rPr>
          <w:rFonts w:eastAsia="SimSun" w:cs="Times New Roman"/>
          <w:bCs/>
          <w:szCs w:val="24"/>
          <w:lang w:bidi="en-US"/>
        </w:rPr>
        <w:t>in accessing affordable finance. In other words,</w:t>
      </w:r>
      <w:r w:rsidRPr="0001752F">
        <w:rPr>
          <w:rFonts w:eastAsia="SimSun" w:cs="Times New Roman"/>
          <w:szCs w:val="24"/>
          <w:lang w:bidi="en-US"/>
        </w:rPr>
        <w:t xml:space="preserve"> </w:t>
      </w:r>
      <w:r w:rsidRPr="0001752F">
        <w:rPr>
          <w:rFonts w:eastAsia="SimSun" w:cs="Times New Roman"/>
          <w:bCs/>
          <w:szCs w:val="24"/>
          <w:lang w:bidi="en-US"/>
        </w:rPr>
        <w:t>SMEs face the challenge of limited access to capital markets due to the perception of higher risk (Perez-Sanchez et al., 2003).  In view of this, most of the SMEs resort to very high</w:t>
      </w:r>
      <w:r w:rsidR="004A470B" w:rsidRPr="0001752F">
        <w:rPr>
          <w:rFonts w:eastAsia="SimSun" w:cs="Times New Roman"/>
          <w:bCs/>
          <w:szCs w:val="24"/>
          <w:lang w:bidi="en-US"/>
        </w:rPr>
        <w:t>-</w:t>
      </w:r>
      <w:r w:rsidRPr="0001752F">
        <w:rPr>
          <w:rFonts w:eastAsia="SimSun" w:cs="Times New Roman"/>
          <w:bCs/>
          <w:szCs w:val="24"/>
          <w:lang w:bidi="en-US"/>
        </w:rPr>
        <w:t>interest rate funds from family and friends, and other microfinance institutions (Oppong-boakye et al. 2012) for their business operations. Ghanaian SMEs operating under these conditions may prioritize firms’ survival and profitability ahead of SR. Lack of financial resources as a constraint that plague</w:t>
      </w:r>
      <w:r w:rsidR="004A470B" w:rsidRPr="0001752F">
        <w:rPr>
          <w:rFonts w:eastAsia="SimSun" w:cs="Times New Roman"/>
          <w:bCs/>
          <w:szCs w:val="24"/>
          <w:lang w:bidi="en-US"/>
        </w:rPr>
        <w:t>s</w:t>
      </w:r>
      <w:r w:rsidRPr="0001752F">
        <w:rPr>
          <w:rFonts w:eastAsia="SimSun" w:cs="Times New Roman"/>
          <w:bCs/>
          <w:szCs w:val="24"/>
          <w:lang w:bidi="en-US"/>
        </w:rPr>
        <w:t xml:space="preserve"> SMEs for engaging in SR is found by Seidel et al. (2008).</w:t>
      </w:r>
      <w:r w:rsidRPr="0001752F">
        <w:rPr>
          <w:rFonts w:eastAsia="SimSun" w:cs="Times New Roman"/>
          <w:szCs w:val="24"/>
          <w:lang w:bidi="en-US"/>
        </w:rPr>
        <w:t xml:space="preserve"> </w:t>
      </w:r>
      <w:r w:rsidRPr="0001752F">
        <w:rPr>
          <w:rFonts w:eastAsia="SimSun" w:cs="Times New Roman"/>
          <w:bCs/>
          <w:szCs w:val="24"/>
          <w:lang w:bidi="en-US"/>
        </w:rPr>
        <w:t xml:space="preserve">According to Biondi &amp; Iraldo (2002), </w:t>
      </w:r>
      <w:r w:rsidR="00785B77" w:rsidRPr="0001752F">
        <w:rPr>
          <w:rFonts w:eastAsia="SimSun" w:cs="Times New Roman"/>
          <w:bCs/>
          <w:szCs w:val="24"/>
          <w:lang w:bidi="en-US"/>
        </w:rPr>
        <w:t>managers</w:t>
      </w:r>
      <w:r w:rsidRPr="0001752F">
        <w:rPr>
          <w:rFonts w:eastAsia="SimSun" w:cs="Times New Roman"/>
          <w:bCs/>
          <w:szCs w:val="24"/>
          <w:lang w:bidi="en-US"/>
        </w:rPr>
        <w:t xml:space="preserve"> will generally not consider embarking on investments that do not generate a substantial short-term financial benefit. </w:t>
      </w:r>
    </w:p>
    <w:p w14:paraId="01AE9EB9" w14:textId="0088D575" w:rsidR="000D0C4D" w:rsidRPr="0001752F" w:rsidRDefault="000D0C4D" w:rsidP="000D0C4D">
      <w:pPr>
        <w:spacing w:before="240" w:after="240"/>
        <w:rPr>
          <w:rFonts w:eastAsia="SimSun" w:cs="Times New Roman"/>
          <w:bCs/>
          <w:szCs w:val="24"/>
          <w:lang w:bidi="en-US"/>
        </w:rPr>
      </w:pPr>
      <w:r w:rsidRPr="0001752F">
        <w:rPr>
          <w:rFonts w:eastAsia="SimSun" w:cs="Times New Roman"/>
          <w:bCs/>
          <w:szCs w:val="24"/>
          <w:lang w:bidi="en-US"/>
        </w:rPr>
        <w:t xml:space="preserve">The results on the barriers to SR indicate that majority of respondents are unaware of </w:t>
      </w:r>
      <w:r w:rsidR="004A470B" w:rsidRPr="0001752F">
        <w:rPr>
          <w:rFonts w:eastAsia="SimSun" w:cs="Times New Roman"/>
          <w:bCs/>
          <w:szCs w:val="24"/>
          <w:lang w:bidi="en-US"/>
        </w:rPr>
        <w:t xml:space="preserve">the </w:t>
      </w:r>
      <w:r w:rsidRPr="0001752F">
        <w:rPr>
          <w:rFonts w:eastAsia="SimSun" w:cs="Times New Roman"/>
          <w:bCs/>
          <w:szCs w:val="24"/>
          <w:lang w:bidi="en-US"/>
        </w:rPr>
        <w:t>SR concept. Lack of awareness as a constraint that obstruct</w:t>
      </w:r>
      <w:r w:rsidR="004A470B" w:rsidRPr="0001752F">
        <w:rPr>
          <w:rFonts w:eastAsia="SimSun" w:cs="Times New Roman"/>
          <w:bCs/>
          <w:szCs w:val="24"/>
          <w:lang w:bidi="en-US"/>
        </w:rPr>
        <w:t>s</w:t>
      </w:r>
      <w:r w:rsidRPr="0001752F">
        <w:rPr>
          <w:rFonts w:eastAsia="SimSun" w:cs="Times New Roman"/>
          <w:bCs/>
          <w:szCs w:val="24"/>
          <w:lang w:bidi="en-US"/>
        </w:rPr>
        <w:t xml:space="preserve"> SMEs from engaging in SR is</w:t>
      </w:r>
      <w:r w:rsidR="00C46626" w:rsidRPr="0001752F">
        <w:rPr>
          <w:rFonts w:eastAsia="SimSun" w:cs="Times New Roman"/>
          <w:bCs/>
          <w:szCs w:val="24"/>
          <w:lang w:bidi="en-US"/>
        </w:rPr>
        <w:t xml:space="preserve"> established by Tauringana (2020</w:t>
      </w:r>
      <w:r w:rsidRPr="0001752F">
        <w:rPr>
          <w:rFonts w:eastAsia="SimSun" w:cs="Times New Roman"/>
          <w:bCs/>
          <w:szCs w:val="24"/>
          <w:lang w:bidi="en-US"/>
        </w:rPr>
        <w:t xml:space="preserve">). </w:t>
      </w:r>
      <w:r w:rsidR="00113642" w:rsidRPr="0001752F">
        <w:rPr>
          <w:rFonts w:eastAsia="SimSun" w:cs="Times New Roman"/>
          <w:bCs/>
          <w:szCs w:val="24"/>
          <w:lang w:bidi="en-US"/>
        </w:rPr>
        <w:t>For</w:t>
      </w:r>
      <w:r w:rsidRPr="0001752F">
        <w:rPr>
          <w:rFonts w:eastAsia="SimSun" w:cs="Times New Roman"/>
          <w:bCs/>
          <w:szCs w:val="24"/>
          <w:lang w:bidi="en-US"/>
        </w:rPr>
        <w:t xml:space="preserve"> SMEs to successfully implement efficient SR initiatives, it is crucial for members of the firm to understand the policies and impacts of sustainability concept through participation in social and environmental awareness training aiming at producing enduring knowledge and commitment (Perron et al., 2006). These findings are consistent with the study by Johnson (2013). </w:t>
      </w:r>
    </w:p>
    <w:p w14:paraId="230BBF0E" w14:textId="72EC4084" w:rsidR="000D0C4D" w:rsidRPr="0001752F" w:rsidRDefault="000D0C4D" w:rsidP="000D0C4D">
      <w:pPr>
        <w:spacing w:before="240" w:after="240"/>
        <w:rPr>
          <w:rFonts w:eastAsia="SimSun" w:cs="Times New Roman"/>
          <w:szCs w:val="24"/>
          <w:lang w:bidi="en-US"/>
        </w:rPr>
      </w:pPr>
      <w:r w:rsidRPr="0001752F">
        <w:rPr>
          <w:rFonts w:eastAsia="SimSun" w:cs="Times New Roman"/>
          <w:bCs/>
          <w:szCs w:val="24"/>
          <w:lang w:bidi="en-US"/>
        </w:rPr>
        <w:t>Another challenge that serve</w:t>
      </w:r>
      <w:r w:rsidR="004A470B" w:rsidRPr="0001752F">
        <w:rPr>
          <w:rFonts w:eastAsia="SimSun" w:cs="Times New Roman"/>
          <w:bCs/>
          <w:szCs w:val="24"/>
          <w:lang w:bidi="en-US"/>
        </w:rPr>
        <w:t>s</w:t>
      </w:r>
      <w:r w:rsidRPr="0001752F">
        <w:rPr>
          <w:rFonts w:eastAsia="SimSun" w:cs="Times New Roman"/>
          <w:bCs/>
          <w:szCs w:val="24"/>
          <w:lang w:bidi="en-US"/>
        </w:rPr>
        <w:t xml:space="preserve"> as a barrier for SMEs SR is lack of expertise according to respondents. SMEs are likely to encounter peculiar difficulties in attracting and retaining qualified or skilled employees as they </w:t>
      </w:r>
      <w:r w:rsidR="00DC49FB" w:rsidRPr="0001752F">
        <w:rPr>
          <w:rFonts w:eastAsia="SimSun" w:cs="Times New Roman"/>
          <w:bCs/>
          <w:szCs w:val="24"/>
          <w:lang w:bidi="en-US"/>
        </w:rPr>
        <w:t>are inclined</w:t>
      </w:r>
      <w:r w:rsidRPr="0001752F">
        <w:rPr>
          <w:rFonts w:eastAsia="SimSun" w:cs="Times New Roman"/>
          <w:bCs/>
          <w:szCs w:val="24"/>
          <w:lang w:bidi="en-US"/>
        </w:rPr>
        <w:t xml:space="preserve"> to engage </w:t>
      </w:r>
      <w:r w:rsidR="00DC49FB" w:rsidRPr="0001752F">
        <w:rPr>
          <w:rFonts w:eastAsia="SimSun" w:cs="Times New Roman"/>
          <w:bCs/>
          <w:szCs w:val="24"/>
          <w:lang w:bidi="en-US"/>
        </w:rPr>
        <w:t>less</w:t>
      </w:r>
      <w:r w:rsidRPr="0001752F">
        <w:rPr>
          <w:rFonts w:eastAsia="SimSun" w:cs="Times New Roman"/>
          <w:bCs/>
          <w:szCs w:val="24"/>
          <w:lang w:bidi="en-US"/>
        </w:rPr>
        <w:t xml:space="preserve"> qualified workers (Perez-Sanchez et al., 2002) due to financial resource constraint</w:t>
      </w:r>
      <w:r w:rsidR="004A470B" w:rsidRPr="0001752F">
        <w:rPr>
          <w:rFonts w:eastAsia="SimSun" w:cs="Times New Roman"/>
          <w:bCs/>
          <w:szCs w:val="24"/>
          <w:lang w:bidi="en-US"/>
        </w:rPr>
        <w:t>s</w:t>
      </w:r>
      <w:r w:rsidRPr="0001752F">
        <w:rPr>
          <w:rFonts w:eastAsia="SimSun" w:cs="Times New Roman"/>
          <w:bCs/>
          <w:szCs w:val="24"/>
          <w:lang w:bidi="en-US"/>
        </w:rPr>
        <w:t xml:space="preserve"> as already noted. This evidence is similar </w:t>
      </w:r>
      <w:r w:rsidR="004A470B" w:rsidRPr="0001752F">
        <w:rPr>
          <w:rFonts w:eastAsia="SimSun" w:cs="Times New Roman"/>
          <w:bCs/>
          <w:szCs w:val="24"/>
          <w:lang w:bidi="en-US"/>
        </w:rPr>
        <w:t>to</w:t>
      </w:r>
      <w:r w:rsidR="00C46626" w:rsidRPr="0001752F">
        <w:rPr>
          <w:rFonts w:eastAsia="SimSun" w:cs="Times New Roman"/>
          <w:bCs/>
          <w:szCs w:val="24"/>
          <w:lang w:bidi="en-US"/>
        </w:rPr>
        <w:t xml:space="preserve"> the results by Tauringana (2020</w:t>
      </w:r>
      <w:r w:rsidRPr="0001752F">
        <w:rPr>
          <w:rFonts w:eastAsia="SimSun" w:cs="Times New Roman"/>
          <w:bCs/>
          <w:szCs w:val="24"/>
          <w:lang w:bidi="en-US"/>
        </w:rPr>
        <w:t xml:space="preserve">) who identify lack of expertise as one of the key barriers for firms adopting SR in Uganda. </w:t>
      </w:r>
      <w:r w:rsidR="004A470B" w:rsidRPr="0001752F">
        <w:rPr>
          <w:rFonts w:eastAsia="SimSun" w:cs="Times New Roman"/>
          <w:bCs/>
          <w:szCs w:val="24"/>
          <w:lang w:bidi="en-US"/>
        </w:rPr>
        <w:t>A s</w:t>
      </w:r>
      <w:r w:rsidRPr="0001752F">
        <w:rPr>
          <w:rFonts w:eastAsia="SimSun" w:cs="Times New Roman"/>
          <w:bCs/>
          <w:szCs w:val="24"/>
          <w:lang w:bidi="en-US"/>
        </w:rPr>
        <w:t xml:space="preserve">imilar conclusion is drawn by Barber et al. </w:t>
      </w:r>
      <w:r w:rsidRPr="0001752F">
        <w:rPr>
          <w:rFonts w:eastAsia="SimSun" w:cs="Times New Roman"/>
          <w:bCs/>
          <w:szCs w:val="24"/>
          <w:lang w:bidi="en-US"/>
        </w:rPr>
        <w:lastRenderedPageBreak/>
        <w:t>(1989) who observe consistent evidence of lack of managerial training, relatively low</w:t>
      </w:r>
      <w:r w:rsidR="004A470B" w:rsidRPr="0001752F">
        <w:rPr>
          <w:rFonts w:eastAsia="SimSun" w:cs="Times New Roman"/>
          <w:bCs/>
          <w:szCs w:val="24"/>
          <w:lang w:bidi="en-US"/>
        </w:rPr>
        <w:t>-</w:t>
      </w:r>
      <w:r w:rsidRPr="0001752F">
        <w:rPr>
          <w:rFonts w:eastAsia="SimSun" w:cs="Times New Roman"/>
          <w:bCs/>
          <w:szCs w:val="24"/>
          <w:lang w:bidi="en-US"/>
        </w:rPr>
        <w:t xml:space="preserve">level credentials and poor competence associated with SMEs SR. </w:t>
      </w:r>
      <w:r w:rsidR="003123A6" w:rsidRPr="0001752F">
        <w:rPr>
          <w:rFonts w:eastAsia="SimSun" w:cs="Times New Roman"/>
          <w:bCs/>
          <w:szCs w:val="24"/>
          <w:lang w:bidi="en-US"/>
        </w:rPr>
        <w:t xml:space="preserve">In the view of respondents, the absence of legal requirements is another significant barrier that obstructs SMEs from engaging in the SR. </w:t>
      </w:r>
      <w:r w:rsidRPr="0001752F">
        <w:rPr>
          <w:rFonts w:eastAsia="SimSun" w:cs="Times New Roman"/>
          <w:bCs/>
          <w:szCs w:val="24"/>
          <w:lang w:bidi="en-US"/>
        </w:rPr>
        <w:t>These findings are consistent with t</w:t>
      </w:r>
      <w:r w:rsidR="00C46626" w:rsidRPr="0001752F">
        <w:rPr>
          <w:rFonts w:eastAsia="SimSun" w:cs="Times New Roman"/>
          <w:bCs/>
          <w:szCs w:val="24"/>
          <w:lang w:bidi="en-US"/>
        </w:rPr>
        <w:t>he evidence of Tauringana (2020</w:t>
      </w:r>
      <w:r w:rsidRPr="0001752F">
        <w:rPr>
          <w:rFonts w:eastAsia="SimSun" w:cs="Times New Roman"/>
          <w:bCs/>
          <w:szCs w:val="24"/>
          <w:lang w:bidi="en-US"/>
        </w:rPr>
        <w:t xml:space="preserve">) identifying lack of legal requirement as a key barrier for non-adopting of SR among Ugandan firms. Ghana is noted for </w:t>
      </w:r>
      <w:r w:rsidR="004A470B" w:rsidRPr="0001752F">
        <w:rPr>
          <w:rFonts w:eastAsia="SimSun" w:cs="Times New Roman"/>
          <w:bCs/>
          <w:szCs w:val="24"/>
          <w:lang w:bidi="en-US"/>
        </w:rPr>
        <w:t xml:space="preserve">the </w:t>
      </w:r>
      <w:r w:rsidRPr="0001752F">
        <w:rPr>
          <w:rFonts w:eastAsia="SimSun" w:cs="Times New Roman"/>
          <w:bCs/>
          <w:szCs w:val="24"/>
          <w:lang w:bidi="en-US"/>
        </w:rPr>
        <w:t>weak and poor legal structure that lead</w:t>
      </w:r>
      <w:r w:rsidR="004A470B" w:rsidRPr="0001752F">
        <w:rPr>
          <w:rFonts w:eastAsia="SimSun" w:cs="Times New Roman"/>
          <w:bCs/>
          <w:szCs w:val="24"/>
          <w:lang w:bidi="en-US"/>
        </w:rPr>
        <w:t>s</w:t>
      </w:r>
      <w:r w:rsidRPr="0001752F">
        <w:rPr>
          <w:rFonts w:eastAsia="SimSun" w:cs="Times New Roman"/>
          <w:bCs/>
          <w:szCs w:val="24"/>
          <w:lang w:bidi="en-US"/>
        </w:rPr>
        <w:t xml:space="preserve"> to </w:t>
      </w:r>
      <w:r w:rsidR="004A470B" w:rsidRPr="0001752F">
        <w:rPr>
          <w:rFonts w:eastAsia="SimSun" w:cs="Times New Roman"/>
          <w:bCs/>
          <w:szCs w:val="24"/>
          <w:lang w:bidi="en-US"/>
        </w:rPr>
        <w:t xml:space="preserve">a </w:t>
      </w:r>
      <w:r w:rsidRPr="0001752F">
        <w:rPr>
          <w:rFonts w:eastAsia="SimSun" w:cs="Times New Roman"/>
          <w:bCs/>
          <w:szCs w:val="24"/>
          <w:lang w:bidi="en-US"/>
        </w:rPr>
        <w:t>lower priority for legal responsibility. For instance, emitting pollution firms may not incur regulatory fines, sanctions and legal fees which may affect their performance and compel them to engage or improve their sustainability activities (Christmann 2000; Earnhart and Lizal 2010).</w:t>
      </w:r>
      <w:r w:rsidRPr="0001752F">
        <w:rPr>
          <w:rFonts w:eastAsia="SimSun" w:cs="Times New Roman"/>
          <w:szCs w:val="24"/>
          <w:lang w:bidi="en-US"/>
        </w:rPr>
        <w:t xml:space="preserve"> </w:t>
      </w:r>
    </w:p>
    <w:p w14:paraId="10E5964C" w14:textId="4CD12D5D" w:rsidR="00AF606A" w:rsidRPr="0001752F" w:rsidRDefault="000D0C4D" w:rsidP="00E55C95">
      <w:pPr>
        <w:spacing w:before="240" w:after="240"/>
        <w:rPr>
          <w:rFonts w:eastAsia="SimSun" w:cs="Times New Roman"/>
          <w:bCs/>
          <w:szCs w:val="24"/>
          <w:lang w:bidi="en-US"/>
        </w:rPr>
      </w:pPr>
      <w:r w:rsidRPr="0001752F">
        <w:rPr>
          <w:rFonts w:eastAsia="SimSun" w:cs="Times New Roman"/>
          <w:bCs/>
          <w:szCs w:val="24"/>
          <w:lang w:bidi="en-US"/>
        </w:rPr>
        <w:t xml:space="preserve">To achieve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high commitment of SMEs to engage in best sustainability practices, regulators in Ghana such as MMDAs and EPA should prescribe acceptable standards and guidelines which are in line with internationally accepted best practices and also embark on extensive public awareness creation about the socio-economic benefits of firms’ sustainability activities through formal and informal education, training, workshops and seminars since lack of SR education and training prove to be a significant barrier to SMEs to fully comprehend sustainability practices. In this regard, SMEs will have to legitimize their existence and survival in accordance with legitimacy theory. However,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lack of stakeholders’ pressure is not considered as a barrier to SR. The explanation </w:t>
      </w:r>
      <w:r w:rsidR="004A470B" w:rsidRPr="0001752F">
        <w:rPr>
          <w:rFonts w:eastAsia="SimSun" w:cs="Times New Roman"/>
          <w:bCs/>
          <w:szCs w:val="24"/>
          <w:lang w:bidi="en-US"/>
        </w:rPr>
        <w:t>for</w:t>
      </w:r>
      <w:r w:rsidRPr="0001752F">
        <w:rPr>
          <w:rFonts w:eastAsia="SimSun" w:cs="Times New Roman"/>
          <w:bCs/>
          <w:szCs w:val="24"/>
          <w:lang w:bidi="en-US"/>
        </w:rPr>
        <w:t xml:space="preserve"> this may be that, unlike the western world where there exist</w:t>
      </w:r>
      <w:r w:rsidR="004A470B" w:rsidRPr="0001752F">
        <w:rPr>
          <w:rFonts w:eastAsia="SimSun" w:cs="Times New Roman"/>
          <w:bCs/>
          <w:szCs w:val="24"/>
          <w:lang w:bidi="en-US"/>
        </w:rPr>
        <w:t>s</w:t>
      </w:r>
      <w:r w:rsidRPr="0001752F">
        <w:rPr>
          <w:rFonts w:eastAsia="SimSun" w:cs="Times New Roman"/>
          <w:bCs/>
          <w:szCs w:val="24"/>
          <w:lang w:bidi="en-US"/>
        </w:rPr>
        <w:t xml:space="preserve"> stronger </w:t>
      </w:r>
      <w:r w:rsidR="004A1A33" w:rsidRPr="0001752F">
        <w:rPr>
          <w:rFonts w:eastAsia="SimSun" w:cs="Times New Roman"/>
          <w:bCs/>
          <w:szCs w:val="24"/>
          <w:lang w:bidi="en-US"/>
        </w:rPr>
        <w:t>stakeholders’</w:t>
      </w:r>
      <w:r w:rsidRPr="0001752F">
        <w:rPr>
          <w:rFonts w:eastAsia="SimSun" w:cs="Times New Roman"/>
          <w:bCs/>
          <w:szCs w:val="24"/>
          <w:lang w:bidi="en-US"/>
        </w:rPr>
        <w:t xml:space="preserve"> protection, developing countr</w:t>
      </w:r>
      <w:r w:rsidR="004A470B" w:rsidRPr="0001752F">
        <w:rPr>
          <w:rFonts w:eastAsia="SimSun" w:cs="Times New Roman"/>
          <w:bCs/>
          <w:szCs w:val="24"/>
          <w:lang w:bidi="en-US"/>
        </w:rPr>
        <w:t>ies</w:t>
      </w:r>
      <w:r w:rsidRPr="0001752F">
        <w:rPr>
          <w:rFonts w:eastAsia="SimSun" w:cs="Times New Roman"/>
          <w:bCs/>
          <w:szCs w:val="24"/>
          <w:lang w:bidi="en-US"/>
        </w:rPr>
        <w:t xml:space="preserve"> like Ghana’s environment is characterized with weak stakeholders’ protection where the satisfaction of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majority of stakeholders become a secondary consideration by the firm. </w:t>
      </w:r>
    </w:p>
    <w:bookmarkEnd w:id="52"/>
    <w:bookmarkEnd w:id="53"/>
    <w:p w14:paraId="3EF63D72" w14:textId="385B4311" w:rsidR="00F6677A" w:rsidRPr="0001752F" w:rsidRDefault="00F6677A" w:rsidP="00C46626">
      <w:pPr>
        <w:spacing w:after="0"/>
        <w:rPr>
          <w:rFonts w:eastAsia="SimSun" w:cs="Times New Roman"/>
          <w:bCs/>
          <w:szCs w:val="24"/>
          <w:lang w:bidi="en-US"/>
        </w:rPr>
      </w:pPr>
      <w:r w:rsidRPr="0001752F">
        <w:rPr>
          <w:rFonts w:eastAsia="SimSun" w:cs="Times New Roman"/>
          <w:bCs/>
          <w:szCs w:val="24"/>
          <w:lang w:bidi="en-US"/>
        </w:rPr>
        <w:t>The results relating to motivation for SR indicates that meeting legal obligation is a factor that influence</w:t>
      </w:r>
      <w:r w:rsidR="004A470B" w:rsidRPr="0001752F">
        <w:rPr>
          <w:rFonts w:eastAsia="SimSun" w:cs="Times New Roman"/>
          <w:bCs/>
          <w:szCs w:val="24"/>
          <w:lang w:bidi="en-US"/>
        </w:rPr>
        <w:t>s</w:t>
      </w:r>
      <w:r w:rsidRPr="0001752F">
        <w:rPr>
          <w:rFonts w:eastAsia="SimSun" w:cs="Times New Roman"/>
          <w:bCs/>
          <w:szCs w:val="24"/>
          <w:lang w:bidi="en-US"/>
        </w:rPr>
        <w:t xml:space="preserve"> SMEs </w:t>
      </w:r>
      <w:r w:rsidR="00785B77" w:rsidRPr="0001752F">
        <w:rPr>
          <w:rFonts w:eastAsia="SimSun" w:cs="Times New Roman"/>
          <w:bCs/>
          <w:szCs w:val="24"/>
          <w:lang w:bidi="en-US"/>
        </w:rPr>
        <w:t>managers</w:t>
      </w:r>
      <w:r w:rsidRPr="0001752F">
        <w:rPr>
          <w:rFonts w:eastAsia="SimSun" w:cs="Times New Roman"/>
          <w:bCs/>
          <w:szCs w:val="24"/>
          <w:lang w:bidi="en-US"/>
        </w:rPr>
        <w:t xml:space="preserve"> decision to engage in SR. Interestingly, this is a surprising revelation given that sustainability disclosures are not mandatory in Ghana. Th</w:t>
      </w:r>
      <w:r w:rsidR="004A470B" w:rsidRPr="0001752F">
        <w:rPr>
          <w:rFonts w:eastAsia="SimSun" w:cs="Times New Roman"/>
          <w:bCs/>
          <w:szCs w:val="24"/>
          <w:lang w:bidi="en-US"/>
        </w:rPr>
        <w:t>ese</w:t>
      </w:r>
      <w:r w:rsidRPr="0001752F">
        <w:rPr>
          <w:rFonts w:eastAsia="SimSun" w:cs="Times New Roman"/>
          <w:bCs/>
          <w:szCs w:val="24"/>
          <w:lang w:bidi="en-US"/>
        </w:rPr>
        <w:t xml:space="preserve"> unexpected results may be due to the fact that SMEs in the manufacturing sector are sometimes forced by the regulators (EPA and MMDAs) in accordance with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EPA Act (Act 490) to follow standards and guidelines to minimize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impact of their operations on the environment. For manufacturing SMEs failure to take measures against environmental pollution and degradation including the control of toxic substances and discharge of waste </w:t>
      </w:r>
      <w:r w:rsidRPr="0001752F">
        <w:rPr>
          <w:rFonts w:eastAsia="SimSun" w:cs="Times New Roman"/>
          <w:bCs/>
          <w:szCs w:val="24"/>
          <w:lang w:bidi="en-US"/>
        </w:rPr>
        <w:lastRenderedPageBreak/>
        <w:t xml:space="preserve">sometimes lead to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payment of penalties and fines as well as forced closure of business premises by these regulators. </w:t>
      </w:r>
    </w:p>
    <w:p w14:paraId="66EDFFCB" w14:textId="51DB48FF" w:rsidR="00FE39FB" w:rsidRPr="0001752F" w:rsidRDefault="00F6677A" w:rsidP="00154E49">
      <w:pPr>
        <w:spacing w:before="240" w:after="240"/>
        <w:rPr>
          <w:rFonts w:eastAsia="Calibri" w:cs="Times New Roman"/>
          <w:szCs w:val="24"/>
        </w:rPr>
      </w:pPr>
      <w:r w:rsidRPr="0001752F">
        <w:rPr>
          <w:rFonts w:eastAsia="SimSun" w:cs="Times New Roman"/>
          <w:bCs/>
          <w:szCs w:val="24"/>
          <w:lang w:bidi="en-US"/>
        </w:rPr>
        <w:t>Findings suggest that owner</w:t>
      </w:r>
      <w:r w:rsidR="00DC1964" w:rsidRPr="0001752F">
        <w:rPr>
          <w:rFonts w:eastAsia="SimSun" w:cs="Times New Roman"/>
          <w:bCs/>
          <w:szCs w:val="24"/>
          <w:lang w:bidi="en-US"/>
        </w:rPr>
        <w:t>s</w:t>
      </w:r>
      <w:r w:rsidRPr="0001752F">
        <w:rPr>
          <w:rFonts w:eastAsia="SimSun" w:cs="Times New Roman"/>
          <w:bCs/>
          <w:szCs w:val="24"/>
          <w:lang w:bidi="en-US"/>
        </w:rPr>
        <w:t xml:space="preserve">/managers do not perceive other factors to influence their SR. </w:t>
      </w:r>
      <w:r w:rsidR="003123A6" w:rsidRPr="0001752F">
        <w:rPr>
          <w:rFonts w:eastAsia="SimSun" w:cs="Times New Roman"/>
          <w:bCs/>
          <w:szCs w:val="24"/>
          <w:lang w:bidi="en-US"/>
        </w:rPr>
        <w:t>It is interesting to note that in developing countries like Ghana, unlike the western world where</w:t>
      </w:r>
      <w:r w:rsidR="003123A6" w:rsidRPr="0001752F">
        <w:rPr>
          <w:rFonts w:eastAsia="Calibri" w:cs="Times New Roman"/>
          <w:szCs w:val="24"/>
        </w:rPr>
        <w:t xml:space="preserve"> markets environment </w:t>
      </w:r>
      <w:r w:rsidR="004A1A33" w:rsidRPr="0001752F">
        <w:rPr>
          <w:rFonts w:eastAsia="Calibri" w:cs="Times New Roman"/>
          <w:szCs w:val="24"/>
        </w:rPr>
        <w:t>is</w:t>
      </w:r>
      <w:r w:rsidR="003123A6" w:rsidRPr="0001752F">
        <w:rPr>
          <w:rFonts w:eastAsia="Calibri" w:cs="Times New Roman"/>
          <w:szCs w:val="24"/>
        </w:rPr>
        <w:t xml:space="preserve"> efficient, formalized with strong systems, legislation and enforcement mechanisms, there exist infant market environment of developing countries, which are characterized by weak systems, loose regulation, and poor institutional governance structures coupled with corruption, poverty, and weak stakeholder power. </w:t>
      </w:r>
      <w:r w:rsidRPr="0001752F">
        <w:rPr>
          <w:rFonts w:eastAsia="SimSun" w:cs="Times New Roman"/>
          <w:bCs/>
          <w:szCs w:val="24"/>
          <w:lang w:bidi="en-US"/>
        </w:rPr>
        <w:t xml:space="preserve">It is documented that </w:t>
      </w:r>
      <w:r w:rsidRPr="0001752F">
        <w:rPr>
          <w:rFonts w:eastAsia="Calibri" w:cs="Times New Roman"/>
          <w:szCs w:val="24"/>
        </w:rPr>
        <w:t xml:space="preserve">country contexts with varied environmental, economic, social and institutional dimensions may probably affect firm SR practices </w:t>
      </w:r>
      <w:r w:rsidRPr="0001752F">
        <w:rPr>
          <w:rFonts w:eastAsia="Calibri" w:cs="Times New Roman"/>
          <w:szCs w:val="24"/>
        </w:rPr>
        <w:fldChar w:fldCharType="begin" w:fldLock="1"/>
      </w:r>
      <w:r w:rsidRPr="0001752F">
        <w:rPr>
          <w:rFonts w:eastAsia="Calibri" w:cs="Times New Roman"/>
          <w:szCs w:val="24"/>
        </w:rPr>
        <w:instrText>ADDIN CSL_CITATION {"citationItems":[{"id":"ITEM-1","itemData":{"DOI":"10.1016/j.jclepro.2013.03.002","ISSN":"09596526","abstract":"This paper assesses how sustainability reporting practices have been adopted in organizations which operate in a Southern European country, Portugal, and how those practices are related with environmental management and evaluation systems. A questionnaire survey was carried out in 2006, involving a statistical population of 69 firms, specifically the member companies of the Business Council for Sustainable Development Portugal, the Portuguese branch of the World Business Council for Sustainable Development. The questionnaire survey was designed to assess: (i) the use of environmental management systems (EMS) and environmental performance evaluation (EPE) frameworks and (ii) practices connected with environmental and sustainability performance reporting, namely: report formats; regularity; key target audiences; reporting driving forces; guidelines; and future intentions. The results indicate that the environmental management system was a well-accepted environmental management tool. More than half of the companies surveyed had adopted environmental performance evaluation related frameworks. Corporate sustainability reporting was found to be a growing issue in a high number of organizations. Those companies that produce a sustainability/environmental report have an EMS and EPE in place. Most organizations in the study produced annual reports, in accordance with Global Reporting Initiative guidelines. Despite the increasing interest among organizations in the adoption of environmental and sustainability measurement and reporting practices, this issue was mainly confined to larger companies. The six Portuguese Small and Medium Enterprises analyzed show a poor environmental management and environmental performance evaluation and sustainability reporting profile. The findings show that they needed to be more engaged with these practices. Specific drivers must be used to enable these directions, including environmental education and raising awareness, since that is the first step toward improving the current scenario of reaching a better sustainable profile. © 2013 Elsevier Ltd. All rights reserved.","author":[{"dropping-particle":"","family":"Ramos","given":"Tomás B.","non-dropping-particle":"","parse-names":false,"suffix":""},{"dropping-particle":"","family":"Cecílio","given":"Teresa","non-dropping-particle":"","parse-names":false,"suffix":""},{"dropping-particle":"","family":"Douglas","given":"Calbert H.","non-dropping-particle":"","parse-names":false,"suffix":""},{"dropping-particle":"","family":"Caeiro","given":"Sandra","non-dropping-particle":"","parse-names":false,"suffix":""}],"container-title":"Journal of Cleaner Production","id":"ITEM-1","issued":{"date-parts":[["2013"]]},"page":"317-328","publisher":"Elsevier Ltd","title":"Corporate sustainability reporting and the relations with evaluation and management frameworks: The Portuguese case","type":"article-journal","volume":"52"},"uris":["http://www.mendeley.com/documents/?uuid=2f3c5753-79f4-4d68-8aae-8fbea7c4eb0a"]}],"mendeley":{"formattedCitation":"(Ramos et al., 2013)","plainTextFormattedCitation":"(Ramos et al., 2013)","previouslyFormattedCitation":"(Ramos et al., 2013)"},"properties":{"noteIndex":0},"schema":"https://github.com/citation-style-language/schema/raw/master/csl-citation.json"}</w:instrText>
      </w:r>
      <w:r w:rsidRPr="0001752F">
        <w:rPr>
          <w:rFonts w:eastAsia="Calibri" w:cs="Times New Roman"/>
          <w:szCs w:val="24"/>
        </w:rPr>
        <w:fldChar w:fldCharType="separate"/>
      </w:r>
      <w:r w:rsidRPr="0001752F">
        <w:rPr>
          <w:rFonts w:eastAsia="Calibri" w:cs="Times New Roman"/>
          <w:szCs w:val="24"/>
        </w:rPr>
        <w:t>(Ramos et al., 2013)</w:t>
      </w:r>
      <w:r w:rsidRPr="0001752F">
        <w:rPr>
          <w:rFonts w:eastAsia="Calibri" w:cs="Times New Roman"/>
          <w:szCs w:val="24"/>
        </w:rPr>
        <w:fldChar w:fldCharType="end"/>
      </w:r>
      <w:r w:rsidRPr="0001752F">
        <w:rPr>
          <w:rFonts w:eastAsia="Calibri" w:cs="Times New Roman"/>
          <w:szCs w:val="24"/>
        </w:rPr>
        <w:t>. Findings show that SMEs in Ghana have no motivation to engage in SR. It is noted that the activities of owner</w:t>
      </w:r>
      <w:r w:rsidR="00DC1964" w:rsidRPr="0001752F">
        <w:rPr>
          <w:rFonts w:eastAsia="Calibri" w:cs="Times New Roman"/>
          <w:szCs w:val="24"/>
        </w:rPr>
        <w:t>s</w:t>
      </w:r>
      <w:r w:rsidRPr="0001752F">
        <w:rPr>
          <w:rFonts w:eastAsia="Calibri" w:cs="Times New Roman"/>
          <w:szCs w:val="24"/>
        </w:rPr>
        <w:t>/manager</w:t>
      </w:r>
      <w:r w:rsidR="00DC1964" w:rsidRPr="0001752F">
        <w:rPr>
          <w:rFonts w:eastAsia="Calibri" w:cs="Times New Roman"/>
          <w:szCs w:val="24"/>
        </w:rPr>
        <w:t>s</w:t>
      </w:r>
      <w:r w:rsidRPr="0001752F">
        <w:rPr>
          <w:rFonts w:eastAsia="Calibri" w:cs="Times New Roman"/>
          <w:szCs w:val="24"/>
        </w:rPr>
        <w:t xml:space="preserve"> of SMEs related to financial and other business issues are shielded in much secrecy and engaging in sustainability disclosures will expose them to public scrutiny. According to the doctrines of RBV, the decision to adopt SR depends on the resources capacity and SMEs’ potential to implement proactive sustainability practices is related </w:t>
      </w:r>
      <w:r w:rsidR="004A470B" w:rsidRPr="0001752F">
        <w:rPr>
          <w:rFonts w:eastAsia="Calibri" w:cs="Times New Roman"/>
          <w:szCs w:val="24"/>
        </w:rPr>
        <w:t>to</w:t>
      </w:r>
      <w:r w:rsidRPr="0001752F">
        <w:rPr>
          <w:rFonts w:eastAsia="Calibri" w:cs="Times New Roman"/>
          <w:szCs w:val="24"/>
        </w:rPr>
        <w:t xml:space="preserve"> specific firms’ capabilities based on the unique strategic attributes of SMEs (Aragon-Correa et al., 2008). However, SMEs have very limited operations, limited resources, limited expertise and technically incapacitated and therefore would not have any motivation to adopt sustainability practices despite the seemly benefits associated with the disclosures (Parker at al., 2009 a</w:t>
      </w:r>
      <w:r w:rsidR="00E55C95" w:rsidRPr="0001752F">
        <w:rPr>
          <w:rFonts w:eastAsia="Calibri" w:cs="Times New Roman"/>
          <w:szCs w:val="24"/>
        </w:rPr>
        <w:t>nd Aragon-Correa et al., 2008</w:t>
      </w:r>
      <w:r w:rsidR="00A10423" w:rsidRPr="0001752F">
        <w:rPr>
          <w:rFonts w:eastAsia="Calibri" w:cs="Times New Roman"/>
          <w:szCs w:val="24"/>
        </w:rPr>
        <w:t>.</w:t>
      </w:r>
    </w:p>
    <w:p w14:paraId="5CA9AFBC" w14:textId="207D47AE" w:rsidR="00F6677A" w:rsidRPr="0001752F" w:rsidRDefault="00BB2B6B" w:rsidP="00C46626">
      <w:pPr>
        <w:pStyle w:val="Heading2"/>
        <w:spacing w:after="0"/>
        <w:rPr>
          <w:rFonts w:cs="Times New Roman"/>
          <w:lang w:bidi="en-US"/>
        </w:rPr>
      </w:pPr>
      <w:r w:rsidRPr="0001752F">
        <w:rPr>
          <w:rFonts w:cs="Times New Roman"/>
          <w:lang w:bidi="en-US"/>
        </w:rPr>
        <w:t>6</w:t>
      </w:r>
      <w:r w:rsidR="00E04182" w:rsidRPr="0001752F">
        <w:rPr>
          <w:rFonts w:cs="Times New Roman"/>
          <w:lang w:bidi="en-US"/>
        </w:rPr>
        <w:t>.0</w:t>
      </w:r>
      <w:r w:rsidR="00357ECC" w:rsidRPr="0001752F">
        <w:rPr>
          <w:rFonts w:cs="Times New Roman"/>
          <w:lang w:bidi="en-US"/>
        </w:rPr>
        <w:t xml:space="preserve"> </w:t>
      </w:r>
      <w:r w:rsidR="00E04182" w:rsidRPr="0001752F">
        <w:rPr>
          <w:rFonts w:cs="Times New Roman"/>
          <w:lang w:bidi="en-US"/>
        </w:rPr>
        <w:t>C</w:t>
      </w:r>
      <w:r w:rsidR="00357ECC" w:rsidRPr="0001752F">
        <w:rPr>
          <w:rFonts w:cs="Times New Roman"/>
          <w:lang w:bidi="en-US"/>
        </w:rPr>
        <w:t>onclusion</w:t>
      </w:r>
    </w:p>
    <w:p w14:paraId="0EA07F61" w14:textId="39BCF555" w:rsidR="00983F44" w:rsidRPr="0001752F" w:rsidRDefault="00983F44" w:rsidP="006F34C5">
      <w:pPr>
        <w:spacing w:after="0"/>
        <w:rPr>
          <w:rFonts w:cs="Times New Roman"/>
          <w:bCs/>
          <w:szCs w:val="24"/>
          <w:lang w:bidi="en-US"/>
        </w:rPr>
      </w:pPr>
      <w:r w:rsidRPr="0001752F">
        <w:rPr>
          <w:rFonts w:cs="Times New Roman"/>
          <w:szCs w:val="24"/>
        </w:rPr>
        <w:t xml:space="preserve">This </w:t>
      </w:r>
      <w:r w:rsidR="00555952" w:rsidRPr="0001752F">
        <w:rPr>
          <w:rFonts w:cs="Times New Roman"/>
          <w:szCs w:val="24"/>
        </w:rPr>
        <w:t>paper examine</w:t>
      </w:r>
      <w:r w:rsidR="00FE39FB" w:rsidRPr="0001752F">
        <w:rPr>
          <w:rFonts w:cs="Times New Roman"/>
          <w:szCs w:val="24"/>
        </w:rPr>
        <w:t>s</w:t>
      </w:r>
      <w:r w:rsidR="00555952" w:rsidRPr="0001752F">
        <w:rPr>
          <w:rFonts w:cs="Times New Roman"/>
          <w:szCs w:val="24"/>
        </w:rPr>
        <w:t xml:space="preserve"> </w:t>
      </w:r>
      <w:r w:rsidRPr="0001752F">
        <w:rPr>
          <w:rFonts w:cs="Times New Roman"/>
          <w:szCs w:val="24"/>
        </w:rPr>
        <w:t xml:space="preserve">the impact of </w:t>
      </w:r>
      <w:r w:rsidR="00681D8C" w:rsidRPr="0001752F">
        <w:rPr>
          <w:rFonts w:cs="Times New Roman"/>
          <w:szCs w:val="24"/>
        </w:rPr>
        <w:t xml:space="preserve">SME </w:t>
      </w:r>
      <w:r w:rsidRPr="0001752F">
        <w:rPr>
          <w:rFonts w:cs="Times New Roman"/>
          <w:szCs w:val="24"/>
        </w:rPr>
        <w:t xml:space="preserve">managers attributes on sustainability reporting </w:t>
      </w:r>
      <w:r w:rsidR="00681D8C" w:rsidRPr="0001752F">
        <w:rPr>
          <w:rFonts w:cs="Times New Roman"/>
          <w:szCs w:val="24"/>
        </w:rPr>
        <w:t xml:space="preserve">(SR) </w:t>
      </w:r>
      <w:r w:rsidRPr="0001752F">
        <w:rPr>
          <w:rFonts w:cs="Times New Roman"/>
          <w:szCs w:val="24"/>
        </w:rPr>
        <w:t xml:space="preserve">among SMEs in Ghana. The results of the extent of </w:t>
      </w:r>
      <w:r w:rsidR="00681D8C" w:rsidRPr="0001752F">
        <w:rPr>
          <w:rFonts w:cs="Times New Roman"/>
          <w:szCs w:val="24"/>
        </w:rPr>
        <w:t xml:space="preserve">SR </w:t>
      </w:r>
      <w:r w:rsidRPr="0001752F">
        <w:rPr>
          <w:rFonts w:cs="Times New Roman"/>
          <w:szCs w:val="24"/>
        </w:rPr>
        <w:t xml:space="preserve">among SMEs in Ghana </w:t>
      </w:r>
      <w:r w:rsidRPr="0001752F">
        <w:rPr>
          <w:rFonts w:cs="Times New Roman"/>
          <w:bCs/>
          <w:szCs w:val="24"/>
          <w:lang w:bidi="en-US"/>
        </w:rPr>
        <w:t>suggest that the economic dimension has the highest disclosure</w:t>
      </w:r>
      <w:r w:rsidR="00681D8C" w:rsidRPr="0001752F">
        <w:rPr>
          <w:rFonts w:cs="Times New Roman"/>
          <w:bCs/>
          <w:szCs w:val="24"/>
          <w:lang w:bidi="en-US"/>
        </w:rPr>
        <w:t>s</w:t>
      </w:r>
      <w:r w:rsidRPr="0001752F">
        <w:rPr>
          <w:rFonts w:cs="Times New Roman"/>
          <w:bCs/>
          <w:szCs w:val="24"/>
          <w:lang w:bidi="en-US"/>
        </w:rPr>
        <w:t xml:space="preserve">, followed by </w:t>
      </w:r>
      <w:r w:rsidR="004A470B" w:rsidRPr="0001752F">
        <w:rPr>
          <w:rFonts w:cs="Times New Roman"/>
          <w:bCs/>
          <w:szCs w:val="24"/>
          <w:lang w:bidi="en-US"/>
        </w:rPr>
        <w:t xml:space="preserve">the </w:t>
      </w:r>
      <w:r w:rsidRPr="0001752F">
        <w:rPr>
          <w:rFonts w:cs="Times New Roman"/>
          <w:bCs/>
          <w:szCs w:val="24"/>
          <w:lang w:bidi="en-US"/>
        </w:rPr>
        <w:t xml:space="preserve">environmental dimension and social dimension. The evidence also shows that it is only </w:t>
      </w:r>
      <w:r w:rsidR="004A470B" w:rsidRPr="0001752F">
        <w:rPr>
          <w:rFonts w:cs="Times New Roman"/>
          <w:bCs/>
          <w:szCs w:val="24"/>
          <w:lang w:bidi="en-US"/>
        </w:rPr>
        <w:t xml:space="preserve">the </w:t>
      </w:r>
      <w:r w:rsidRPr="0001752F">
        <w:rPr>
          <w:rFonts w:cs="Times New Roman"/>
          <w:bCs/>
          <w:szCs w:val="24"/>
          <w:lang w:bidi="en-US"/>
        </w:rPr>
        <w:t xml:space="preserve">economic reporting of the sampled firms that meet the critical threshold of 50%, the two other dimensions (environmental and social) are far below. The overall </w:t>
      </w:r>
      <w:r w:rsidR="00681D8C" w:rsidRPr="0001752F">
        <w:rPr>
          <w:rFonts w:cs="Times New Roman"/>
          <w:bCs/>
          <w:szCs w:val="24"/>
          <w:lang w:bidi="en-US"/>
        </w:rPr>
        <w:t>SR</w:t>
      </w:r>
      <w:r w:rsidRPr="0001752F">
        <w:rPr>
          <w:rFonts w:cs="Times New Roman"/>
          <w:bCs/>
          <w:szCs w:val="24"/>
          <w:lang w:bidi="en-US"/>
        </w:rPr>
        <w:t xml:space="preserve"> rating among SMEs in Ghana is 38.3% which is below the critical expected threshold.</w:t>
      </w:r>
    </w:p>
    <w:p w14:paraId="730F66E6" w14:textId="77777777" w:rsidR="00DC1964" w:rsidRPr="0001752F" w:rsidRDefault="00DC1964" w:rsidP="006F34C5">
      <w:pPr>
        <w:spacing w:after="0"/>
        <w:rPr>
          <w:rFonts w:cs="Times New Roman"/>
          <w:szCs w:val="24"/>
        </w:rPr>
      </w:pPr>
    </w:p>
    <w:p w14:paraId="3E4375E5" w14:textId="5D716A4C" w:rsidR="00983F44" w:rsidRPr="0001752F" w:rsidRDefault="00983F44" w:rsidP="006F34C5">
      <w:pPr>
        <w:spacing w:after="0"/>
        <w:rPr>
          <w:rFonts w:cs="Times New Roman"/>
          <w:bCs/>
          <w:szCs w:val="24"/>
          <w:lang w:bidi="en-US"/>
        </w:rPr>
      </w:pPr>
      <w:r w:rsidRPr="0001752F">
        <w:rPr>
          <w:rFonts w:cs="Times New Roman"/>
          <w:bCs/>
          <w:szCs w:val="24"/>
          <w:lang w:bidi="en-US"/>
        </w:rPr>
        <w:t xml:space="preserve">The findings relating to barriers of </w:t>
      </w:r>
      <w:r w:rsidR="00681D8C" w:rsidRPr="0001752F">
        <w:rPr>
          <w:rFonts w:cs="Times New Roman"/>
          <w:bCs/>
          <w:szCs w:val="24"/>
          <w:lang w:bidi="en-US"/>
        </w:rPr>
        <w:t xml:space="preserve">SR </w:t>
      </w:r>
      <w:r w:rsidRPr="0001752F">
        <w:rPr>
          <w:rFonts w:cs="Times New Roman"/>
          <w:bCs/>
          <w:szCs w:val="24"/>
          <w:lang w:bidi="en-US"/>
        </w:rPr>
        <w:t xml:space="preserve">reveal that resources constraint acts as a significant barrier in SMEs’ sustainability uptake.  Limited resources, both finance and human are </w:t>
      </w:r>
      <w:r w:rsidR="004A470B" w:rsidRPr="0001752F">
        <w:rPr>
          <w:rFonts w:cs="Times New Roman"/>
          <w:bCs/>
          <w:szCs w:val="24"/>
          <w:lang w:bidi="en-US"/>
        </w:rPr>
        <w:t xml:space="preserve">the </w:t>
      </w:r>
      <w:r w:rsidRPr="0001752F">
        <w:rPr>
          <w:rFonts w:cs="Times New Roman"/>
          <w:bCs/>
          <w:szCs w:val="24"/>
          <w:lang w:bidi="en-US"/>
        </w:rPr>
        <w:t>main operational constraint impeding Ghanaian SMEs</w:t>
      </w:r>
      <w:r w:rsidR="004A470B" w:rsidRPr="0001752F">
        <w:rPr>
          <w:rFonts w:cs="Times New Roman"/>
          <w:bCs/>
          <w:szCs w:val="24"/>
          <w:lang w:bidi="en-US"/>
        </w:rPr>
        <w:t>'</w:t>
      </w:r>
      <w:r w:rsidRPr="0001752F">
        <w:rPr>
          <w:rFonts w:cs="Times New Roman"/>
          <w:bCs/>
          <w:szCs w:val="24"/>
          <w:lang w:bidi="en-US"/>
        </w:rPr>
        <w:t xml:space="preserve"> sustainability initiatives</w:t>
      </w:r>
      <w:r w:rsidR="00FE39FB" w:rsidRPr="0001752F">
        <w:rPr>
          <w:rFonts w:cs="Times New Roman"/>
          <w:bCs/>
          <w:szCs w:val="24"/>
          <w:lang w:bidi="en-US"/>
        </w:rPr>
        <w:t xml:space="preserve"> and </w:t>
      </w:r>
      <w:r w:rsidR="00FE39FB" w:rsidRPr="0001752F">
        <w:rPr>
          <w:rFonts w:cs="Times New Roman"/>
          <w:bCs/>
          <w:szCs w:val="24"/>
          <w:lang w:bidi="en-US"/>
        </w:rPr>
        <w:lastRenderedPageBreak/>
        <w:t>reportage</w:t>
      </w:r>
      <w:r w:rsidRPr="0001752F">
        <w:rPr>
          <w:rFonts w:cs="Times New Roman"/>
          <w:bCs/>
          <w:szCs w:val="24"/>
          <w:lang w:bidi="en-US"/>
        </w:rPr>
        <w:t>. The general economic condition in Ghana coupled with high borrowing cost</w:t>
      </w:r>
      <w:r w:rsidR="00681D8C" w:rsidRPr="0001752F">
        <w:rPr>
          <w:rFonts w:cs="Times New Roman"/>
          <w:bCs/>
          <w:szCs w:val="24"/>
          <w:lang w:bidi="en-US"/>
        </w:rPr>
        <w:t>s</w:t>
      </w:r>
      <w:r w:rsidRPr="0001752F">
        <w:rPr>
          <w:rFonts w:cs="Times New Roman"/>
          <w:bCs/>
          <w:szCs w:val="24"/>
          <w:lang w:bidi="en-US"/>
        </w:rPr>
        <w:t xml:space="preserve">, high inflation, </w:t>
      </w:r>
      <w:r w:rsidR="00681D8C" w:rsidRPr="0001752F">
        <w:rPr>
          <w:rFonts w:cs="Times New Roman"/>
          <w:bCs/>
          <w:szCs w:val="24"/>
          <w:lang w:bidi="en-US"/>
        </w:rPr>
        <w:t xml:space="preserve">government </w:t>
      </w:r>
      <w:r w:rsidRPr="0001752F">
        <w:rPr>
          <w:rFonts w:cs="Times New Roman"/>
          <w:bCs/>
          <w:szCs w:val="24"/>
          <w:lang w:bidi="en-US"/>
        </w:rPr>
        <w:t xml:space="preserve">fiscal deficit, government dependence on short-term finance from </w:t>
      </w:r>
      <w:r w:rsidR="004A470B" w:rsidRPr="0001752F">
        <w:rPr>
          <w:rFonts w:cs="Times New Roman"/>
          <w:bCs/>
          <w:szCs w:val="24"/>
          <w:lang w:bidi="en-US"/>
        </w:rPr>
        <w:t xml:space="preserve">the </w:t>
      </w:r>
      <w:r w:rsidRPr="0001752F">
        <w:rPr>
          <w:rFonts w:cs="Times New Roman"/>
          <w:bCs/>
          <w:szCs w:val="24"/>
          <w:lang w:bidi="en-US"/>
        </w:rPr>
        <w:t>local market are some of the critical factors which limit SMEs in accessing affordable f</w:t>
      </w:r>
      <w:r w:rsidR="00681D8C" w:rsidRPr="0001752F">
        <w:rPr>
          <w:rFonts w:cs="Times New Roman"/>
          <w:bCs/>
          <w:szCs w:val="24"/>
          <w:lang w:bidi="en-US"/>
        </w:rPr>
        <w:t>unds</w:t>
      </w:r>
      <w:r w:rsidRPr="0001752F">
        <w:rPr>
          <w:rFonts w:cs="Times New Roman"/>
          <w:bCs/>
          <w:szCs w:val="24"/>
          <w:lang w:bidi="en-US"/>
        </w:rPr>
        <w:t xml:space="preserve"> which negatively affect their sustainability initiatives as they perceive that to be capital intensive. </w:t>
      </w:r>
      <w:r w:rsidR="003123A6" w:rsidRPr="0001752F">
        <w:rPr>
          <w:rFonts w:cs="Times New Roman"/>
          <w:bCs/>
          <w:szCs w:val="24"/>
          <w:lang w:bidi="en-US"/>
        </w:rPr>
        <w:t xml:space="preserve">Lack of awareness and understanding, lack of expertise and absence of legal requirements are all viewed as significant barriers to </w:t>
      </w:r>
      <w:r w:rsidR="00681D8C" w:rsidRPr="0001752F">
        <w:rPr>
          <w:rFonts w:cs="Times New Roman"/>
          <w:bCs/>
          <w:szCs w:val="24"/>
          <w:lang w:bidi="en-US"/>
        </w:rPr>
        <w:t>SR</w:t>
      </w:r>
      <w:r w:rsidR="003123A6" w:rsidRPr="0001752F">
        <w:rPr>
          <w:rFonts w:cs="Times New Roman"/>
          <w:bCs/>
          <w:szCs w:val="24"/>
          <w:lang w:bidi="en-US"/>
        </w:rPr>
        <w:t xml:space="preserve">. </w:t>
      </w:r>
      <w:r w:rsidRPr="0001752F">
        <w:rPr>
          <w:rFonts w:cs="Times New Roman"/>
          <w:bCs/>
          <w:szCs w:val="24"/>
          <w:lang w:bidi="en-US"/>
        </w:rPr>
        <w:t xml:space="preserve">However, lack of stakeholders’ pressure is not found to be a major barrier. The study further reveals that SMEs in Ghana have no motivation to engage in </w:t>
      </w:r>
      <w:r w:rsidR="00681D8C" w:rsidRPr="0001752F">
        <w:rPr>
          <w:rFonts w:cs="Times New Roman"/>
          <w:bCs/>
          <w:szCs w:val="24"/>
          <w:lang w:bidi="en-US"/>
        </w:rPr>
        <w:t>SR</w:t>
      </w:r>
      <w:r w:rsidRPr="0001752F">
        <w:rPr>
          <w:rFonts w:cs="Times New Roman"/>
          <w:bCs/>
          <w:szCs w:val="24"/>
          <w:lang w:bidi="en-US"/>
        </w:rPr>
        <w:t xml:space="preserve">. </w:t>
      </w:r>
      <w:r w:rsidR="003123A6" w:rsidRPr="0001752F">
        <w:rPr>
          <w:rFonts w:cs="Times New Roman"/>
          <w:bCs/>
          <w:szCs w:val="24"/>
          <w:lang w:bidi="en-US"/>
        </w:rPr>
        <w:t>It is an open revelation that Ghanaian SMEs have very limited operations, limited resources, limited expertise and technically incapacitated and therefore would not have any motivation to adopt sustainability practices despite the seemly benefits associated with the disclosures</w:t>
      </w:r>
      <w:r w:rsidRPr="0001752F">
        <w:rPr>
          <w:rFonts w:cs="Times New Roman"/>
          <w:bCs/>
          <w:szCs w:val="24"/>
          <w:lang w:bidi="en-US"/>
        </w:rPr>
        <w:t>.</w:t>
      </w:r>
    </w:p>
    <w:p w14:paraId="3CAA008B" w14:textId="77777777" w:rsidR="00681D8C" w:rsidRPr="0001752F" w:rsidRDefault="00681D8C" w:rsidP="006F34C5">
      <w:pPr>
        <w:spacing w:after="0"/>
        <w:rPr>
          <w:rFonts w:cs="Times New Roman"/>
          <w:bCs/>
          <w:szCs w:val="24"/>
          <w:lang w:bidi="en-US"/>
        </w:rPr>
      </w:pPr>
    </w:p>
    <w:p w14:paraId="66D17CB0" w14:textId="7E9D7C22" w:rsidR="00221F14" w:rsidRPr="0001752F" w:rsidRDefault="00983F44" w:rsidP="006F34C5">
      <w:pPr>
        <w:spacing w:after="0"/>
        <w:rPr>
          <w:rFonts w:eastAsia="SimSun" w:cs="Times New Roman"/>
          <w:bCs/>
          <w:szCs w:val="24"/>
          <w:lang w:bidi="en-US"/>
        </w:rPr>
      </w:pPr>
      <w:r w:rsidRPr="0001752F">
        <w:rPr>
          <w:rFonts w:eastAsia="SimSun" w:cs="Times New Roman"/>
          <w:bCs/>
          <w:szCs w:val="24"/>
          <w:lang w:bidi="en-US"/>
        </w:rPr>
        <w:t xml:space="preserve">With regards to </w:t>
      </w:r>
      <w:r w:rsidR="00681D8C" w:rsidRPr="0001752F">
        <w:rPr>
          <w:rFonts w:eastAsia="SimSun" w:cs="Times New Roman"/>
          <w:bCs/>
          <w:szCs w:val="24"/>
          <w:lang w:bidi="en-US"/>
        </w:rPr>
        <w:t xml:space="preserve">SME </w:t>
      </w:r>
      <w:r w:rsidRPr="0001752F">
        <w:rPr>
          <w:rFonts w:eastAsia="SimSun" w:cs="Times New Roman"/>
          <w:bCs/>
          <w:szCs w:val="24"/>
          <w:lang w:bidi="en-US"/>
        </w:rPr>
        <w:t>managers</w:t>
      </w:r>
      <w:r w:rsidR="004A470B" w:rsidRPr="0001752F">
        <w:rPr>
          <w:rFonts w:eastAsia="SimSun" w:cs="Times New Roman"/>
          <w:bCs/>
          <w:szCs w:val="24"/>
          <w:lang w:bidi="en-US"/>
        </w:rPr>
        <w:t>'</w:t>
      </w:r>
      <w:r w:rsidRPr="0001752F">
        <w:rPr>
          <w:rFonts w:eastAsia="SimSun" w:cs="Times New Roman"/>
          <w:bCs/>
          <w:szCs w:val="24"/>
          <w:lang w:bidi="en-US"/>
        </w:rPr>
        <w:t xml:space="preserve"> knowledge and awareness, </w:t>
      </w:r>
      <w:r w:rsidR="00225B92" w:rsidRPr="0001752F">
        <w:rPr>
          <w:rFonts w:eastAsia="SimSun" w:cs="Times New Roman"/>
          <w:bCs/>
          <w:szCs w:val="24"/>
          <w:lang w:bidi="en-US"/>
        </w:rPr>
        <w:t>la</w:t>
      </w:r>
      <w:r w:rsidRPr="0001752F">
        <w:rPr>
          <w:rFonts w:eastAsia="SimSun" w:cs="Times New Roman"/>
          <w:bCs/>
          <w:szCs w:val="24"/>
          <w:lang w:bidi="en-US"/>
        </w:rPr>
        <w:t xml:space="preserve">ck of education and training on the sustainability concept has created an overwhelming lack of awareness among managers of Ghanaian SMEs about the practices involved in </w:t>
      </w:r>
      <w:r w:rsidR="003D0565" w:rsidRPr="0001752F">
        <w:rPr>
          <w:rFonts w:eastAsia="SimSun" w:cs="Times New Roman"/>
          <w:bCs/>
          <w:szCs w:val="24"/>
          <w:lang w:bidi="en-US"/>
        </w:rPr>
        <w:t xml:space="preserve">accounting for </w:t>
      </w:r>
      <w:r w:rsidRPr="0001752F">
        <w:rPr>
          <w:rFonts w:eastAsia="SimSun" w:cs="Times New Roman"/>
          <w:bCs/>
          <w:szCs w:val="24"/>
          <w:lang w:bidi="en-US"/>
        </w:rPr>
        <w:t>sustainability. Management</w:t>
      </w:r>
      <w:r w:rsidR="00681D8C" w:rsidRPr="0001752F">
        <w:rPr>
          <w:rFonts w:eastAsia="SimSun" w:cs="Times New Roman"/>
          <w:bCs/>
          <w:szCs w:val="24"/>
          <w:lang w:bidi="en-US"/>
        </w:rPr>
        <w:t>s</w:t>
      </w:r>
      <w:r w:rsidRPr="0001752F">
        <w:rPr>
          <w:rFonts w:eastAsia="SimSun" w:cs="Times New Roman"/>
          <w:bCs/>
          <w:szCs w:val="24"/>
          <w:lang w:bidi="en-US"/>
        </w:rPr>
        <w:t xml:space="preserve"> of SMEs ha</w:t>
      </w:r>
      <w:r w:rsidR="00681D8C" w:rsidRPr="0001752F">
        <w:rPr>
          <w:rFonts w:eastAsia="SimSun" w:cs="Times New Roman"/>
          <w:bCs/>
          <w:szCs w:val="24"/>
          <w:lang w:bidi="en-US"/>
        </w:rPr>
        <w:t>ve</w:t>
      </w:r>
      <w:r w:rsidRPr="0001752F">
        <w:rPr>
          <w:rFonts w:eastAsia="SimSun" w:cs="Times New Roman"/>
          <w:bCs/>
          <w:szCs w:val="24"/>
          <w:lang w:bidi="en-US"/>
        </w:rPr>
        <w:t xml:space="preserve"> insufficient knowledge about the data collection processes and guidelines for </w:t>
      </w:r>
      <w:r w:rsidR="00681D8C" w:rsidRPr="0001752F">
        <w:rPr>
          <w:rFonts w:eastAsia="SimSun" w:cs="Times New Roman"/>
          <w:bCs/>
          <w:szCs w:val="24"/>
          <w:lang w:bidi="en-US"/>
        </w:rPr>
        <w:t>SR</w:t>
      </w:r>
      <w:r w:rsidRPr="0001752F">
        <w:rPr>
          <w:rFonts w:eastAsia="SimSun" w:cs="Times New Roman"/>
          <w:bCs/>
          <w:szCs w:val="24"/>
          <w:lang w:bidi="en-US"/>
        </w:rPr>
        <w:t xml:space="preserve">. </w:t>
      </w:r>
      <w:r w:rsidR="00681D8C" w:rsidRPr="0001752F">
        <w:rPr>
          <w:rFonts w:eastAsia="SimSun" w:cs="Times New Roman"/>
          <w:bCs/>
          <w:szCs w:val="24"/>
          <w:lang w:bidi="en-US"/>
        </w:rPr>
        <w:t>M</w:t>
      </w:r>
      <w:r w:rsidRPr="0001752F">
        <w:rPr>
          <w:rFonts w:eastAsia="SimSun" w:cs="Times New Roman"/>
          <w:bCs/>
          <w:szCs w:val="24"/>
          <w:lang w:bidi="en-US"/>
        </w:rPr>
        <w:t>anagers</w:t>
      </w:r>
      <w:r w:rsidR="004A470B" w:rsidRPr="0001752F">
        <w:rPr>
          <w:rFonts w:eastAsia="SimSun" w:cs="Times New Roman"/>
          <w:bCs/>
          <w:szCs w:val="24"/>
          <w:lang w:bidi="en-US"/>
        </w:rPr>
        <w:t>'</w:t>
      </w:r>
      <w:r w:rsidRPr="0001752F">
        <w:rPr>
          <w:rFonts w:eastAsia="SimSun" w:cs="Times New Roman"/>
          <w:bCs/>
          <w:szCs w:val="24"/>
          <w:lang w:bidi="en-US"/>
        </w:rPr>
        <w:t xml:space="preserve"> inability to systematically acquire and develop knowledge, attitude</w:t>
      </w:r>
      <w:r w:rsidR="003D0565" w:rsidRPr="0001752F">
        <w:rPr>
          <w:rFonts w:eastAsia="SimSun" w:cs="Times New Roman"/>
          <w:bCs/>
          <w:szCs w:val="24"/>
          <w:lang w:bidi="en-US"/>
        </w:rPr>
        <w:t>s</w:t>
      </w:r>
      <w:r w:rsidRPr="0001752F">
        <w:rPr>
          <w:rFonts w:eastAsia="SimSun" w:cs="Times New Roman"/>
          <w:bCs/>
          <w:szCs w:val="24"/>
          <w:lang w:bidi="en-US"/>
        </w:rPr>
        <w:t xml:space="preserve"> and skills lead to </w:t>
      </w:r>
      <w:r w:rsidR="004A470B" w:rsidRPr="0001752F">
        <w:rPr>
          <w:rFonts w:eastAsia="SimSun" w:cs="Times New Roman"/>
          <w:bCs/>
          <w:szCs w:val="24"/>
          <w:lang w:bidi="en-US"/>
        </w:rPr>
        <w:t xml:space="preserve">a </w:t>
      </w:r>
      <w:r w:rsidRPr="0001752F">
        <w:rPr>
          <w:rFonts w:eastAsia="SimSun" w:cs="Times New Roman"/>
          <w:bCs/>
          <w:szCs w:val="24"/>
          <w:lang w:bidi="en-US"/>
        </w:rPr>
        <w:t xml:space="preserve">poor level of implementation of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sustainability concept. Evidence suggests that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majority of the managers do not have </w:t>
      </w:r>
      <w:r w:rsidR="00DC49FB" w:rsidRPr="0001752F">
        <w:rPr>
          <w:rFonts w:eastAsia="SimSun" w:cs="Times New Roman"/>
          <w:bCs/>
          <w:szCs w:val="24"/>
          <w:lang w:bidi="en-US"/>
        </w:rPr>
        <w:t>either</w:t>
      </w:r>
      <w:r w:rsidRPr="0001752F">
        <w:rPr>
          <w:rFonts w:eastAsia="SimSun" w:cs="Times New Roman"/>
          <w:bCs/>
          <w:szCs w:val="24"/>
          <w:lang w:bidi="en-US"/>
        </w:rPr>
        <w:t xml:space="preserve"> education </w:t>
      </w:r>
      <w:r w:rsidR="00DC49FB" w:rsidRPr="0001752F">
        <w:rPr>
          <w:rFonts w:eastAsia="SimSun" w:cs="Times New Roman"/>
          <w:bCs/>
          <w:szCs w:val="24"/>
          <w:lang w:bidi="en-US"/>
        </w:rPr>
        <w:t>or</w:t>
      </w:r>
      <w:r w:rsidRPr="0001752F">
        <w:rPr>
          <w:rFonts w:eastAsia="SimSun" w:cs="Times New Roman"/>
          <w:bCs/>
          <w:szCs w:val="24"/>
          <w:lang w:bidi="en-US"/>
        </w:rPr>
        <w:t xml:space="preserve"> training which </w:t>
      </w:r>
      <w:r w:rsidR="00681D8C" w:rsidRPr="0001752F">
        <w:rPr>
          <w:rFonts w:eastAsia="SimSun" w:cs="Times New Roman"/>
          <w:bCs/>
          <w:szCs w:val="24"/>
          <w:lang w:bidi="en-US"/>
        </w:rPr>
        <w:t>has</w:t>
      </w:r>
      <w:r w:rsidRPr="0001752F">
        <w:rPr>
          <w:rFonts w:eastAsia="SimSun" w:cs="Times New Roman"/>
          <w:bCs/>
          <w:szCs w:val="24"/>
          <w:lang w:bidi="en-US"/>
        </w:rPr>
        <w:t xml:space="preserve"> </w:t>
      </w:r>
      <w:r w:rsidR="004A470B" w:rsidRPr="0001752F">
        <w:rPr>
          <w:rFonts w:eastAsia="SimSun" w:cs="Times New Roman"/>
          <w:bCs/>
          <w:szCs w:val="24"/>
          <w:lang w:bidi="en-US"/>
        </w:rPr>
        <w:t xml:space="preserve">the </w:t>
      </w:r>
      <w:r w:rsidRPr="0001752F">
        <w:rPr>
          <w:rFonts w:eastAsia="SimSun" w:cs="Times New Roman"/>
          <w:bCs/>
          <w:szCs w:val="24"/>
          <w:lang w:bidi="en-US"/>
        </w:rPr>
        <w:t xml:space="preserve">efficacy of enhancing their knowledge for sustainability activities. Education and training improve knowledge and </w:t>
      </w:r>
      <w:r w:rsidR="004A470B" w:rsidRPr="0001752F">
        <w:rPr>
          <w:rFonts w:eastAsia="SimSun" w:cs="Times New Roman"/>
          <w:bCs/>
          <w:szCs w:val="24"/>
          <w:lang w:bidi="en-US"/>
        </w:rPr>
        <w:t xml:space="preserve">are </w:t>
      </w:r>
      <w:r w:rsidRPr="0001752F">
        <w:rPr>
          <w:rFonts w:eastAsia="SimSun" w:cs="Times New Roman"/>
          <w:bCs/>
          <w:szCs w:val="24"/>
          <w:lang w:bidi="en-US"/>
        </w:rPr>
        <w:t xml:space="preserve">consequently associated positively with </w:t>
      </w:r>
      <w:r w:rsidR="003D0565" w:rsidRPr="0001752F">
        <w:rPr>
          <w:rFonts w:eastAsia="SimSun" w:cs="Times New Roman"/>
          <w:bCs/>
          <w:szCs w:val="24"/>
          <w:lang w:bidi="en-US"/>
        </w:rPr>
        <w:t xml:space="preserve">firm </w:t>
      </w:r>
      <w:r w:rsidRPr="0001752F">
        <w:rPr>
          <w:rFonts w:eastAsia="SimSun" w:cs="Times New Roman"/>
          <w:bCs/>
          <w:szCs w:val="24"/>
          <w:lang w:bidi="en-US"/>
        </w:rPr>
        <w:t>performance. It is evidenced that, knowledge about incorporation and managing sustainability practices in the business of SMEs is poor with low seminars and workshops in Ghana.</w:t>
      </w:r>
    </w:p>
    <w:p w14:paraId="5DA91BDD" w14:textId="77777777" w:rsidR="006F34C5" w:rsidRPr="0001752F" w:rsidRDefault="006F34C5" w:rsidP="006F34C5">
      <w:pPr>
        <w:spacing w:after="0"/>
        <w:rPr>
          <w:rFonts w:eastAsia="SimSun" w:cs="Times New Roman"/>
          <w:bCs/>
          <w:szCs w:val="24"/>
          <w:lang w:bidi="en-US"/>
        </w:rPr>
      </w:pPr>
    </w:p>
    <w:p w14:paraId="55ED84FE" w14:textId="2345C1A5" w:rsidR="00C46626" w:rsidRPr="0001752F" w:rsidRDefault="00983F44" w:rsidP="006F34C5">
      <w:pPr>
        <w:spacing w:after="0"/>
        <w:rPr>
          <w:rFonts w:cs="Times New Roman"/>
          <w:szCs w:val="24"/>
        </w:rPr>
      </w:pPr>
      <w:r w:rsidRPr="0001752F">
        <w:rPr>
          <w:rFonts w:cs="Times New Roman"/>
          <w:szCs w:val="24"/>
        </w:rPr>
        <w:t>This study is not free from</w:t>
      </w:r>
      <w:r w:rsidR="00785B77" w:rsidRPr="0001752F">
        <w:rPr>
          <w:rFonts w:cs="Times New Roman"/>
          <w:szCs w:val="24"/>
        </w:rPr>
        <w:t xml:space="preserve"> some</w:t>
      </w:r>
      <w:r w:rsidR="00DC1964" w:rsidRPr="0001752F">
        <w:rPr>
          <w:rFonts w:cs="Times New Roman"/>
          <w:szCs w:val="24"/>
        </w:rPr>
        <w:t xml:space="preserve"> latent</w:t>
      </w:r>
      <w:r w:rsidRPr="0001752F">
        <w:rPr>
          <w:rFonts w:cs="Times New Roman"/>
          <w:szCs w:val="24"/>
        </w:rPr>
        <w:t xml:space="preserve"> limitations despite </w:t>
      </w:r>
      <w:r w:rsidR="00DC1964" w:rsidRPr="0001752F">
        <w:rPr>
          <w:rFonts w:cs="Times New Roman"/>
          <w:szCs w:val="24"/>
        </w:rPr>
        <w:t xml:space="preserve">its </w:t>
      </w:r>
      <w:r w:rsidRPr="0001752F">
        <w:rPr>
          <w:rFonts w:cs="Times New Roman"/>
          <w:szCs w:val="24"/>
        </w:rPr>
        <w:t xml:space="preserve">new contributions for policy and managerial directions. First, the study uses </w:t>
      </w:r>
      <w:r w:rsidR="004A470B" w:rsidRPr="0001752F">
        <w:rPr>
          <w:rFonts w:cs="Times New Roman"/>
          <w:szCs w:val="24"/>
        </w:rPr>
        <w:t xml:space="preserve">a </w:t>
      </w:r>
      <w:r w:rsidRPr="0001752F">
        <w:rPr>
          <w:rFonts w:cs="Times New Roman"/>
          <w:szCs w:val="24"/>
        </w:rPr>
        <w:t xml:space="preserve">closed-ended questionnaire to solicit responses from respondents for data analysis. Such </w:t>
      </w:r>
      <w:r w:rsidR="004A470B" w:rsidRPr="0001752F">
        <w:rPr>
          <w:rFonts w:cs="Times New Roman"/>
          <w:szCs w:val="24"/>
        </w:rPr>
        <w:t xml:space="preserve">a </w:t>
      </w:r>
      <w:r w:rsidR="00785B77" w:rsidRPr="0001752F">
        <w:rPr>
          <w:rFonts w:cs="Times New Roman"/>
          <w:szCs w:val="24"/>
        </w:rPr>
        <w:t xml:space="preserve">method </w:t>
      </w:r>
      <w:r w:rsidRPr="0001752F">
        <w:rPr>
          <w:rFonts w:cs="Times New Roman"/>
          <w:szCs w:val="24"/>
        </w:rPr>
        <w:t>acknowledges the presence of inherent problems of not permitting respondents to explicitly express their own views as they may want (Griffith et al., 1999). Another limitation is that the questionnaire is answered by a single individual (Yusuf &amp; Saffu, 2005) either owner-manager or employee manager in each firm. Therefore, the information provided may reflect the knowledge and perception of such individual</w:t>
      </w:r>
      <w:r w:rsidR="004A470B" w:rsidRPr="0001752F">
        <w:rPr>
          <w:rFonts w:cs="Times New Roman"/>
          <w:szCs w:val="24"/>
        </w:rPr>
        <w:t>s</w:t>
      </w:r>
      <w:r w:rsidRPr="0001752F">
        <w:rPr>
          <w:rFonts w:cs="Times New Roman"/>
          <w:szCs w:val="24"/>
        </w:rPr>
        <w:t xml:space="preserve"> (Tauringana, 202</w:t>
      </w:r>
      <w:r w:rsidR="00C46626" w:rsidRPr="0001752F">
        <w:rPr>
          <w:rFonts w:cs="Times New Roman"/>
          <w:szCs w:val="24"/>
        </w:rPr>
        <w:t>0</w:t>
      </w:r>
      <w:r w:rsidRPr="0001752F">
        <w:rPr>
          <w:rFonts w:cs="Times New Roman"/>
          <w:szCs w:val="24"/>
        </w:rPr>
        <w:t xml:space="preserve">) which may differ from reality and there is no alternative source such as financial and other stand-alone reports for verification and </w:t>
      </w:r>
      <w:r w:rsidRPr="0001752F">
        <w:rPr>
          <w:rFonts w:cs="Times New Roman"/>
          <w:szCs w:val="24"/>
        </w:rPr>
        <w:lastRenderedPageBreak/>
        <w:t xml:space="preserve">confirmation. However, it is argued that sustainability practices are discretionary strategic choices of the top management, hence, they are well placed to provide needed responses. Also, </w:t>
      </w:r>
      <w:r w:rsidR="00287AB1" w:rsidRPr="0001752F">
        <w:rPr>
          <w:rFonts w:cs="Times New Roman"/>
          <w:szCs w:val="24"/>
        </w:rPr>
        <w:t>to</w:t>
      </w:r>
      <w:r w:rsidRPr="0001752F">
        <w:rPr>
          <w:rFonts w:cs="Times New Roman"/>
          <w:szCs w:val="24"/>
        </w:rPr>
        <w:t xml:space="preserve"> increase the depth of information, future research should consider </w:t>
      </w:r>
      <w:r w:rsidR="00B033A1" w:rsidRPr="0001752F">
        <w:rPr>
          <w:rFonts w:cs="Times New Roman"/>
          <w:szCs w:val="24"/>
        </w:rPr>
        <w:t>employing semi</w:t>
      </w:r>
      <w:r w:rsidRPr="0001752F">
        <w:rPr>
          <w:rFonts w:cs="Times New Roman"/>
          <w:szCs w:val="24"/>
        </w:rPr>
        <w:t xml:space="preserve">-structured </w:t>
      </w:r>
      <w:r w:rsidR="00287AB1" w:rsidRPr="0001752F">
        <w:rPr>
          <w:rFonts w:cs="Times New Roman"/>
          <w:szCs w:val="24"/>
        </w:rPr>
        <w:t>questionnaires</w:t>
      </w:r>
      <w:r w:rsidRPr="0001752F">
        <w:rPr>
          <w:rFonts w:cs="Times New Roman"/>
          <w:szCs w:val="24"/>
        </w:rPr>
        <w:t xml:space="preserve"> instead of </w:t>
      </w:r>
      <w:r w:rsidR="004A470B" w:rsidRPr="0001752F">
        <w:rPr>
          <w:rFonts w:cs="Times New Roman"/>
          <w:szCs w:val="24"/>
        </w:rPr>
        <w:t>a</w:t>
      </w:r>
      <w:r w:rsidRPr="0001752F">
        <w:rPr>
          <w:rFonts w:cs="Times New Roman"/>
          <w:szCs w:val="24"/>
        </w:rPr>
        <w:t xml:space="preserve"> close-ended questionnaire to solicit </w:t>
      </w:r>
      <w:r w:rsidR="00DC1964" w:rsidRPr="0001752F">
        <w:rPr>
          <w:rFonts w:cs="Times New Roman"/>
          <w:szCs w:val="24"/>
        </w:rPr>
        <w:t>views</w:t>
      </w:r>
      <w:r w:rsidRPr="0001752F">
        <w:rPr>
          <w:rFonts w:cs="Times New Roman"/>
          <w:szCs w:val="24"/>
        </w:rPr>
        <w:t xml:space="preserve"> from respondents. Further, to deduce an alternative approach to verify and confirm the validity and reliability of the answers provided by </w:t>
      </w:r>
      <w:r w:rsidR="004A470B" w:rsidRPr="0001752F">
        <w:rPr>
          <w:rFonts w:cs="Times New Roman"/>
          <w:szCs w:val="24"/>
        </w:rPr>
        <w:t xml:space="preserve">a </w:t>
      </w:r>
      <w:r w:rsidRPr="0001752F">
        <w:rPr>
          <w:rFonts w:cs="Times New Roman"/>
          <w:szCs w:val="24"/>
        </w:rPr>
        <w:t xml:space="preserve">single individual of each firm, for example, </w:t>
      </w:r>
      <w:r w:rsidR="004A470B" w:rsidRPr="0001752F">
        <w:rPr>
          <w:rFonts w:cs="Times New Roman"/>
          <w:szCs w:val="24"/>
        </w:rPr>
        <w:t xml:space="preserve">an </w:t>
      </w:r>
      <w:r w:rsidRPr="0001752F">
        <w:rPr>
          <w:rFonts w:cs="Times New Roman"/>
          <w:szCs w:val="24"/>
        </w:rPr>
        <w:t>interview can be conducted to solicit experts’ opinion</w:t>
      </w:r>
      <w:r w:rsidR="004A470B" w:rsidRPr="0001752F">
        <w:rPr>
          <w:rFonts w:cs="Times New Roman"/>
          <w:szCs w:val="24"/>
        </w:rPr>
        <w:t>s</w:t>
      </w:r>
      <w:r w:rsidRPr="0001752F">
        <w:rPr>
          <w:rFonts w:cs="Times New Roman"/>
          <w:szCs w:val="24"/>
        </w:rPr>
        <w:t xml:space="preserve"> on the subject matter and results compare</w:t>
      </w:r>
      <w:r w:rsidR="00DC1964" w:rsidRPr="0001752F">
        <w:rPr>
          <w:rFonts w:cs="Times New Roman"/>
          <w:szCs w:val="24"/>
        </w:rPr>
        <w:t>d</w:t>
      </w:r>
      <w:r w:rsidRPr="0001752F">
        <w:rPr>
          <w:rFonts w:cs="Times New Roman"/>
          <w:szCs w:val="24"/>
        </w:rPr>
        <w:t xml:space="preserve"> with responses obtained from the firms.</w:t>
      </w:r>
    </w:p>
    <w:p w14:paraId="7CD7F188" w14:textId="77777777" w:rsidR="00221F14" w:rsidRPr="0001752F" w:rsidRDefault="00221F14" w:rsidP="006F34C5">
      <w:pPr>
        <w:spacing w:after="0"/>
        <w:rPr>
          <w:rFonts w:cs="Times New Roman"/>
          <w:szCs w:val="24"/>
        </w:rPr>
      </w:pPr>
    </w:p>
    <w:p w14:paraId="756136B3" w14:textId="24564665" w:rsidR="00C558C7" w:rsidRPr="0001752F" w:rsidRDefault="00E55C95" w:rsidP="006F34C5">
      <w:pPr>
        <w:spacing w:after="0"/>
        <w:rPr>
          <w:rFonts w:cs="Times New Roman"/>
          <w:szCs w:val="24"/>
        </w:rPr>
      </w:pPr>
      <w:r w:rsidRPr="0001752F">
        <w:rPr>
          <w:rFonts w:cs="Times New Roman"/>
          <w:szCs w:val="24"/>
        </w:rPr>
        <w:t>Second,</w:t>
      </w:r>
      <w:r w:rsidR="00983F44" w:rsidRPr="0001752F">
        <w:rPr>
          <w:rFonts w:cs="Times New Roman"/>
          <w:szCs w:val="24"/>
        </w:rPr>
        <w:t xml:space="preserve"> the analys</w:t>
      </w:r>
      <w:r w:rsidR="00BE1C4C" w:rsidRPr="0001752F">
        <w:rPr>
          <w:rFonts w:cs="Times New Roman"/>
          <w:szCs w:val="24"/>
        </w:rPr>
        <w:t>i</w:t>
      </w:r>
      <w:r w:rsidR="00983F44" w:rsidRPr="0001752F">
        <w:rPr>
          <w:rFonts w:cs="Times New Roman"/>
          <w:szCs w:val="24"/>
        </w:rPr>
        <w:t>s</w:t>
      </w:r>
      <w:r w:rsidR="00BE1C4C" w:rsidRPr="0001752F">
        <w:rPr>
          <w:rFonts w:cs="Times New Roman"/>
          <w:szCs w:val="24"/>
        </w:rPr>
        <w:t xml:space="preserve"> </w:t>
      </w:r>
      <w:r w:rsidR="00983F44" w:rsidRPr="0001752F">
        <w:rPr>
          <w:rFonts w:cs="Times New Roman"/>
          <w:szCs w:val="24"/>
        </w:rPr>
        <w:t>is constrained to the context of firms in Ghana. It is acknowledged that, the small sample size, time and limited geographical (Haniffa &amp; Cooke, 2005; De</w:t>
      </w:r>
      <w:r w:rsidR="00C46626" w:rsidRPr="0001752F">
        <w:rPr>
          <w:rFonts w:cs="Times New Roman"/>
          <w:szCs w:val="24"/>
        </w:rPr>
        <w:t>y et al., 2018; Tauringana, 2020</w:t>
      </w:r>
      <w:r w:rsidR="00983F44" w:rsidRPr="0001752F">
        <w:rPr>
          <w:rFonts w:cs="Times New Roman"/>
          <w:szCs w:val="24"/>
        </w:rPr>
        <w:t>) place a challenge on the empirical generalizability of the results to SMEs in general. It is therefore recommended that future research should expand the scope to other countries to permit generalization of research findings.</w:t>
      </w:r>
    </w:p>
    <w:p w14:paraId="35E7B9E6" w14:textId="77777777" w:rsidR="00DC49FB" w:rsidRPr="0001752F" w:rsidRDefault="00DC49FB" w:rsidP="006F34C5">
      <w:pPr>
        <w:spacing w:after="0"/>
        <w:rPr>
          <w:rFonts w:cs="Times New Roman"/>
          <w:szCs w:val="24"/>
        </w:rPr>
      </w:pPr>
    </w:p>
    <w:p w14:paraId="38ADE642" w14:textId="465F1A5F" w:rsidR="002427A3" w:rsidRPr="0001752F" w:rsidRDefault="00681D8C" w:rsidP="002427A3">
      <w:pPr>
        <w:spacing w:line="259" w:lineRule="auto"/>
        <w:jc w:val="left"/>
        <w:rPr>
          <w:rFonts w:cs="Times New Roman"/>
          <w:b/>
          <w:szCs w:val="24"/>
        </w:rPr>
      </w:pPr>
      <w:r w:rsidRPr="0001752F">
        <w:rPr>
          <w:rFonts w:cs="Times New Roman"/>
          <w:b/>
          <w:szCs w:val="24"/>
        </w:rPr>
        <w:t>References</w:t>
      </w:r>
    </w:p>
    <w:p w14:paraId="6A85805E" w14:textId="589486D4" w:rsidR="002427A3" w:rsidRPr="0001752F" w:rsidRDefault="002427A3" w:rsidP="00397172">
      <w:pPr>
        <w:spacing w:after="0" w:line="240" w:lineRule="auto"/>
        <w:ind w:left="567" w:hanging="567"/>
        <w:rPr>
          <w:rFonts w:cs="Times New Roman"/>
          <w:szCs w:val="24"/>
        </w:rPr>
      </w:pPr>
      <w:r w:rsidRPr="0001752F">
        <w:rPr>
          <w:rFonts w:cs="Times New Roman"/>
          <w:szCs w:val="24"/>
        </w:rPr>
        <w:t>Abor, J., &amp; Quartey, P. (2010). Issues in SME development in Ghana and South Africa. International Research Journal of Finance and Economics, 39(39), 218–228.</w:t>
      </w:r>
    </w:p>
    <w:p w14:paraId="6A83A333" w14:textId="6EE92FA8"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Afolabi, H., Ram, R., Hussainey, K., Nandy, M., &amp; Lodh, S. (2023). Exploration of small and medium entities’ actions on sustainability practices and their implications for a greener economy. </w:t>
      </w:r>
      <w:r w:rsidRPr="0001752F">
        <w:rPr>
          <w:rFonts w:cs="Times New Roman"/>
          <w:i/>
          <w:iCs/>
          <w:noProof/>
          <w:szCs w:val="24"/>
        </w:rPr>
        <w:t>Journal of Applied Accounting Research</w:t>
      </w:r>
      <w:r w:rsidRPr="0001752F">
        <w:rPr>
          <w:rFonts w:cs="Times New Roman"/>
          <w:noProof/>
          <w:szCs w:val="24"/>
        </w:rPr>
        <w:t xml:space="preserve">, </w:t>
      </w:r>
      <w:r w:rsidRPr="0001752F">
        <w:rPr>
          <w:rFonts w:cs="Times New Roman"/>
          <w:i/>
          <w:iCs/>
          <w:noProof/>
          <w:szCs w:val="24"/>
        </w:rPr>
        <w:t>24</w:t>
      </w:r>
      <w:r w:rsidRPr="0001752F">
        <w:rPr>
          <w:rFonts w:cs="Times New Roman"/>
          <w:noProof/>
          <w:szCs w:val="24"/>
        </w:rPr>
        <w:t>(4), 655–681. https://doi.org/10.1108/JAAR-09-2022-0252</w:t>
      </w:r>
    </w:p>
    <w:p w14:paraId="3C5D9E13" w14:textId="25F7E6E7" w:rsidR="00517433" w:rsidRPr="0001752F" w:rsidRDefault="00517433" w:rsidP="00397172">
      <w:pPr>
        <w:widowControl w:val="0"/>
        <w:autoSpaceDE w:val="0"/>
        <w:autoSpaceDN w:val="0"/>
        <w:adjustRightInd w:val="0"/>
        <w:spacing w:after="0" w:line="240" w:lineRule="auto"/>
        <w:ind w:left="567" w:hanging="567"/>
        <w:rPr>
          <w:rFonts w:cs="Times New Roman"/>
          <w:szCs w:val="24"/>
        </w:rPr>
      </w:pPr>
      <w:r w:rsidRPr="0001752F">
        <w:rPr>
          <w:rFonts w:cs="Times New Roman"/>
          <w:szCs w:val="24"/>
          <w:shd w:val="clear" w:color="auto" w:fill="FFFFFF"/>
        </w:rPr>
        <w:t>Amoako, K.O., Amoako, I.O., Tuffour, J. &amp; Marfo, E.O. (2021). Formal and informal sustainability reporting: an insight from a mining company’s subsidiary in Ghana. </w:t>
      </w:r>
      <w:r w:rsidRPr="0001752F">
        <w:rPr>
          <w:rFonts w:cs="Times New Roman"/>
          <w:i/>
          <w:iCs/>
          <w:szCs w:val="24"/>
        </w:rPr>
        <w:t>Journal of Financial Reporting and Accounting</w:t>
      </w:r>
      <w:r w:rsidRPr="0001752F">
        <w:rPr>
          <w:rFonts w:cs="Times New Roman"/>
          <w:szCs w:val="24"/>
          <w:shd w:val="clear" w:color="auto" w:fill="FFFFFF"/>
        </w:rPr>
        <w:t>, Vol. ahead-of-print No. ahead-of-print. https://doi.org/10.1108/JFRA-12-2020-0368</w:t>
      </w:r>
    </w:p>
    <w:p w14:paraId="1E9A795B" w14:textId="310588CB"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Amran, A., &amp; Haniffa, R. (2011). Evidence in development of sustainability reporting: a case of a developing...: UMUC Library OneSearch: Business &amp; Management. </w:t>
      </w:r>
      <w:r w:rsidRPr="0001752F">
        <w:rPr>
          <w:rFonts w:cs="Times New Roman"/>
          <w:i/>
          <w:iCs/>
          <w:noProof/>
          <w:szCs w:val="24"/>
        </w:rPr>
        <w:t>Business Strategy and the Environment</w:t>
      </w:r>
      <w:r w:rsidRPr="0001752F">
        <w:rPr>
          <w:rFonts w:cs="Times New Roman"/>
          <w:noProof/>
          <w:szCs w:val="24"/>
        </w:rPr>
        <w:t xml:space="preserve">, </w:t>
      </w:r>
      <w:r w:rsidRPr="0001752F">
        <w:rPr>
          <w:rFonts w:cs="Times New Roman"/>
          <w:i/>
          <w:iCs/>
          <w:noProof/>
          <w:szCs w:val="24"/>
        </w:rPr>
        <w:t>20</w:t>
      </w:r>
      <w:r w:rsidRPr="0001752F">
        <w:rPr>
          <w:rFonts w:cs="Times New Roman"/>
          <w:noProof/>
          <w:szCs w:val="24"/>
        </w:rPr>
        <w:t>(3), 141–156. http://eds.a.ebscohost.com.ezproxy.umuc.edu/eds/pdfviewer/pdfviewer?vid=25</w:t>
      </w:r>
    </w:p>
    <w:p w14:paraId="272E5E6B"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Amran, A., Lee, S. P., &amp; Devi, S. S. (2014). The influence of governance structure and strategic corporate social responsibility toward sustainability reporting quality. </w:t>
      </w:r>
      <w:r w:rsidRPr="0001752F">
        <w:rPr>
          <w:rFonts w:cs="Times New Roman"/>
          <w:i/>
          <w:iCs/>
          <w:noProof/>
          <w:szCs w:val="24"/>
        </w:rPr>
        <w:t>Business Strategy and the Environment</w:t>
      </w:r>
      <w:r w:rsidRPr="0001752F">
        <w:rPr>
          <w:rFonts w:cs="Times New Roman"/>
          <w:noProof/>
          <w:szCs w:val="24"/>
        </w:rPr>
        <w:t xml:space="preserve">, </w:t>
      </w:r>
      <w:r w:rsidRPr="0001752F">
        <w:rPr>
          <w:rFonts w:cs="Times New Roman"/>
          <w:i/>
          <w:iCs/>
          <w:noProof/>
          <w:szCs w:val="24"/>
        </w:rPr>
        <w:t>23</w:t>
      </w:r>
      <w:r w:rsidRPr="0001752F">
        <w:rPr>
          <w:rFonts w:cs="Times New Roman"/>
          <w:noProof/>
          <w:szCs w:val="24"/>
        </w:rPr>
        <w:t>(4), 217–235. https://doi.org/10.1002/bse.1767</w:t>
      </w:r>
    </w:p>
    <w:p w14:paraId="38E8F7DA"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Amran, A., Ooi, S. K., Mydin, R. T., &amp; Devi, S. S. (2015). The Impact of Business Strategies on Online Sustainability Disclosures. 564(December 2013), 551–564. https://doi.org/10.1002/bse.1837</w:t>
      </w:r>
    </w:p>
    <w:p w14:paraId="5C793CE3"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Aragón-Correa, J. A., Hurtado-Torres, N., Sharma, S., &amp; García-Morales, V. J. (2008). Environmental strategy and performance in small firms: A resource-based perspective. </w:t>
      </w:r>
      <w:r w:rsidRPr="0001752F">
        <w:rPr>
          <w:rFonts w:cs="Times New Roman"/>
          <w:i/>
          <w:iCs/>
          <w:noProof/>
          <w:szCs w:val="24"/>
        </w:rPr>
        <w:t>Journal of Environmental Management</w:t>
      </w:r>
      <w:r w:rsidRPr="0001752F">
        <w:rPr>
          <w:rFonts w:cs="Times New Roman"/>
          <w:noProof/>
          <w:szCs w:val="24"/>
        </w:rPr>
        <w:t xml:space="preserve">, </w:t>
      </w:r>
      <w:r w:rsidRPr="0001752F">
        <w:rPr>
          <w:rFonts w:cs="Times New Roman"/>
          <w:i/>
          <w:iCs/>
          <w:noProof/>
          <w:szCs w:val="24"/>
        </w:rPr>
        <w:t>86</w:t>
      </w:r>
      <w:r w:rsidRPr="0001752F">
        <w:rPr>
          <w:rFonts w:cs="Times New Roman"/>
          <w:noProof/>
          <w:szCs w:val="24"/>
        </w:rPr>
        <w:t>(1), 88–103. https://doi.org/10.1016/j.jenvman.2006.11.022</w:t>
      </w:r>
    </w:p>
    <w:p w14:paraId="3221B060"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lastRenderedPageBreak/>
        <w:t>Arthur C. L, Wu J, Yago M, Zhang J. (2017). "Investigating performance indicators disclosure in sustainability reports of large mining companies in Ghana", Corporate Governance: The International Journal of Business in Society.</w:t>
      </w:r>
    </w:p>
    <w:p w14:paraId="51781988"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Barba-Aragón, M.I., Jiménez-Jiménez, D. and Sanz-Valle, R. (2014), “Training and performance: the mediating role of organizational learning”, BRQ Business Research Quarterly, Vol. 17 No. 3, pp. 161-173.</w:t>
      </w:r>
    </w:p>
    <w:p w14:paraId="07785B43"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Barney, J. (1991). Firm Reources ad Sustained Competitive Advantege. In </w:t>
      </w:r>
      <w:r w:rsidRPr="0001752F">
        <w:rPr>
          <w:rFonts w:cs="Times New Roman"/>
          <w:i/>
          <w:iCs/>
          <w:noProof/>
          <w:szCs w:val="24"/>
        </w:rPr>
        <w:t>Journal of Management</w:t>
      </w:r>
      <w:r w:rsidRPr="0001752F">
        <w:rPr>
          <w:rFonts w:cs="Times New Roman"/>
          <w:noProof/>
          <w:szCs w:val="24"/>
        </w:rPr>
        <w:t xml:space="preserve"> (Vol. 17, Issue 1, pp. 99–120).</w:t>
      </w:r>
    </w:p>
    <w:p w14:paraId="2F51DF8D"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Battisti, M., Perry, M. 2011. Walking the talk? Environmental responsibility from the perspective of small-business owners. Corporate Social Responsibility and Environmental Management. 18 (3): 172-185</w:t>
      </w:r>
    </w:p>
    <w:p w14:paraId="72F9DF43"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Belal, A. R., &amp; Cooper, S. (2011). The absence of corporate social responsibility reporting in Bangladesh. Critical Perspectives on Accounting, 22(7), 654–667. https://doi.org/10.1016/j.cpa.2010.06.020</w:t>
      </w:r>
    </w:p>
    <w:p w14:paraId="76F712A2"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Belal, A. R., &amp; Owen, D. L. (2007). The views of corporate managers on the current state of, and future prospects for, social reporting in Bangladesh: An engagement-based study. </w:t>
      </w:r>
      <w:r w:rsidRPr="0001752F">
        <w:rPr>
          <w:rFonts w:cs="Times New Roman"/>
          <w:i/>
          <w:iCs/>
          <w:noProof/>
          <w:szCs w:val="24"/>
        </w:rPr>
        <w:t>Accounting, Auditing and Accountability Journal</w:t>
      </w:r>
      <w:r w:rsidRPr="0001752F">
        <w:rPr>
          <w:rFonts w:cs="Times New Roman"/>
          <w:noProof/>
          <w:szCs w:val="24"/>
        </w:rPr>
        <w:t xml:space="preserve">, </w:t>
      </w:r>
      <w:r w:rsidRPr="0001752F">
        <w:rPr>
          <w:rFonts w:cs="Times New Roman"/>
          <w:i/>
          <w:iCs/>
          <w:noProof/>
          <w:szCs w:val="24"/>
        </w:rPr>
        <w:t>20</w:t>
      </w:r>
      <w:r w:rsidRPr="0001752F">
        <w:rPr>
          <w:rFonts w:cs="Times New Roman"/>
          <w:noProof/>
          <w:szCs w:val="24"/>
        </w:rPr>
        <w:t>(3), 472–494. https://doi.org/10.1108/09513570710748599</w:t>
      </w:r>
    </w:p>
    <w:p w14:paraId="5DFC552E" w14:textId="4FACCD4A" w:rsidR="00517A7B" w:rsidRPr="0001752F" w:rsidRDefault="00517A7B" w:rsidP="00397172">
      <w:pPr>
        <w:spacing w:after="0" w:line="240" w:lineRule="auto"/>
        <w:ind w:left="567" w:hanging="567"/>
        <w:rPr>
          <w:rStyle w:val="markedcontent"/>
          <w:sz w:val="23"/>
          <w:szCs w:val="23"/>
        </w:rPr>
      </w:pPr>
      <w:r w:rsidRPr="0001752F">
        <w:rPr>
          <w:rStyle w:val="markedcontent"/>
          <w:sz w:val="23"/>
          <w:szCs w:val="23"/>
        </w:rPr>
        <w:t xml:space="preserve">Bevan, E. A. M., &amp; Yung, P. (2015). Implementation of corporate social responsibility in Australian construction SMEs. Engineering, Construction and Architectural Management, 22(3), 295–311. </w:t>
      </w:r>
      <w:r w:rsidR="00C558C7" w:rsidRPr="0001752F">
        <w:rPr>
          <w:rStyle w:val="markedcontent"/>
          <w:sz w:val="23"/>
          <w:szCs w:val="23"/>
        </w:rPr>
        <w:t>https://doi.org/10.1108/ECAM-05-2014-0071</w:t>
      </w:r>
    </w:p>
    <w:p w14:paraId="258BFAA3" w14:textId="77777777"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Boakye, D. J., Tingbani, I., Ahinful, G. S., &amp; Nsor-Ambala, R. (2021). The relationship between environmental management performance and financial performance of firms listed in the Alternative Investment Market (AIM) in the UK. </w:t>
      </w:r>
      <w:r w:rsidRPr="0001752F">
        <w:rPr>
          <w:rFonts w:cs="Times New Roman"/>
          <w:i/>
          <w:iCs/>
          <w:noProof/>
          <w:szCs w:val="24"/>
        </w:rPr>
        <w:t>Journal of Cleaner Production</w:t>
      </w:r>
      <w:r w:rsidRPr="0001752F">
        <w:rPr>
          <w:rFonts w:cs="Times New Roman"/>
          <w:noProof/>
          <w:szCs w:val="24"/>
        </w:rPr>
        <w:t xml:space="preserve">, </w:t>
      </w:r>
      <w:r w:rsidRPr="0001752F">
        <w:rPr>
          <w:rFonts w:cs="Times New Roman"/>
          <w:i/>
          <w:iCs/>
          <w:noProof/>
          <w:szCs w:val="24"/>
        </w:rPr>
        <w:t>278</w:t>
      </w:r>
      <w:r w:rsidRPr="0001752F">
        <w:rPr>
          <w:rFonts w:cs="Times New Roman"/>
          <w:noProof/>
          <w:szCs w:val="24"/>
        </w:rPr>
        <w:t>, 124034. https://doi.org/10.1016/j.jclepro.2020.124034</w:t>
      </w:r>
    </w:p>
    <w:p w14:paraId="7F92D672" w14:textId="1456B8CD" w:rsidR="002427A3" w:rsidRPr="0001752F" w:rsidRDefault="002427A3" w:rsidP="00C558C7">
      <w:pPr>
        <w:spacing w:after="0" w:line="240" w:lineRule="auto"/>
        <w:rPr>
          <w:rFonts w:cs="Times New Roman"/>
          <w:szCs w:val="24"/>
        </w:rPr>
      </w:pPr>
      <w:r w:rsidRPr="0001752F">
        <w:rPr>
          <w:rFonts w:cs="Times New Roman"/>
          <w:szCs w:val="24"/>
        </w:rPr>
        <w:t>Brundtland Commission (1987). Our common future. Oxford University Press, Oxford, UK.</w:t>
      </w:r>
    </w:p>
    <w:p w14:paraId="3F39CE86"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Bryan, J. (2006). Training and performance in small firms. International Small Business Journal, 24, pp. 635–660.</w:t>
      </w:r>
    </w:p>
    <w:p w14:paraId="27B4AEF1"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Bunclark L. and Barcellos-Paula l. (2021). “Sustainability reporting for sustainable supply chain management in Peru,” Sustain. Prod. Consum., vol. 27, pp. 1458-1472, 2021, doi: 10.1016/j.spc.2021.03.013</w:t>
      </w:r>
    </w:p>
    <w:p w14:paraId="59A8193C" w14:textId="7D6B02DE"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Burton, B. K., Farh, J.-L. L., &amp; Hegarty, W. H. (2011). A Cross-Cultural Comparison of Corporate Social Responsibility Orientation: Hong Kong vs. United States Students. </w:t>
      </w:r>
      <w:r w:rsidRPr="0001752F">
        <w:rPr>
          <w:rFonts w:cs="Times New Roman"/>
          <w:i/>
          <w:iCs/>
          <w:noProof/>
          <w:szCs w:val="24"/>
        </w:rPr>
        <w:t>SSRN Electronic Journal</w:t>
      </w:r>
      <w:r w:rsidRPr="0001752F">
        <w:rPr>
          <w:rFonts w:cs="Times New Roman"/>
          <w:noProof/>
          <w:szCs w:val="24"/>
        </w:rPr>
        <w:t xml:space="preserve">, </w:t>
      </w:r>
      <w:r w:rsidRPr="0001752F">
        <w:rPr>
          <w:rFonts w:cs="Times New Roman"/>
          <w:i/>
          <w:iCs/>
          <w:noProof/>
          <w:szCs w:val="24"/>
        </w:rPr>
        <w:t>February</w:t>
      </w:r>
      <w:r w:rsidRPr="0001752F">
        <w:rPr>
          <w:rFonts w:cs="Times New Roman"/>
          <w:noProof/>
          <w:szCs w:val="24"/>
        </w:rPr>
        <w:t xml:space="preserve">, 151–167. </w:t>
      </w:r>
      <w:r w:rsidR="00C558C7" w:rsidRPr="0001752F">
        <w:rPr>
          <w:rFonts w:cs="Times New Roman"/>
          <w:noProof/>
          <w:szCs w:val="24"/>
        </w:rPr>
        <w:t>https://doi.org/10.2139/ssrn.1007364</w:t>
      </w:r>
    </w:p>
    <w:p w14:paraId="7A62A612" w14:textId="6AB65FB0"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Carmo, C., &amp; Miguéis, M. (2022). Voluntary Sustainability Disclosures in Non-Listed Companies: An Exploratory Study on Motives and Practices. </w:t>
      </w:r>
      <w:r w:rsidRPr="0001752F">
        <w:rPr>
          <w:rFonts w:cs="Times New Roman"/>
          <w:i/>
          <w:iCs/>
          <w:noProof/>
          <w:szCs w:val="24"/>
        </w:rPr>
        <w:t>Sustainability (Switzerland)</w:t>
      </w:r>
      <w:r w:rsidRPr="0001752F">
        <w:rPr>
          <w:rFonts w:cs="Times New Roman"/>
          <w:noProof/>
          <w:szCs w:val="24"/>
        </w:rPr>
        <w:t xml:space="preserve">, </w:t>
      </w:r>
      <w:r w:rsidRPr="0001752F">
        <w:rPr>
          <w:rFonts w:cs="Times New Roman"/>
          <w:i/>
          <w:iCs/>
          <w:noProof/>
          <w:szCs w:val="24"/>
        </w:rPr>
        <w:t>14</w:t>
      </w:r>
      <w:r w:rsidRPr="0001752F">
        <w:rPr>
          <w:rFonts w:cs="Times New Roman"/>
          <w:noProof/>
          <w:szCs w:val="24"/>
        </w:rPr>
        <w:t>(12), 1–22. https://doi.org/10.3390/su14127365</w:t>
      </w:r>
    </w:p>
    <w:p w14:paraId="20DCE9CA"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Carroll B., A. (1991). The pyramid of corporate social responsibility: Toward the moral management of organizational stakeholders. </w:t>
      </w:r>
      <w:r w:rsidRPr="0001752F">
        <w:rPr>
          <w:rFonts w:cs="Times New Roman"/>
          <w:i/>
          <w:iCs/>
          <w:noProof/>
          <w:szCs w:val="24"/>
        </w:rPr>
        <w:t>Business Horizons</w:t>
      </w:r>
      <w:r w:rsidRPr="0001752F">
        <w:rPr>
          <w:rFonts w:cs="Times New Roman"/>
          <w:noProof/>
          <w:szCs w:val="24"/>
        </w:rPr>
        <w:t xml:space="preserve">, </w:t>
      </w:r>
      <w:r w:rsidRPr="0001752F">
        <w:rPr>
          <w:rFonts w:cs="Times New Roman"/>
          <w:i/>
          <w:iCs/>
          <w:noProof/>
          <w:szCs w:val="24"/>
        </w:rPr>
        <w:t>34</w:t>
      </w:r>
      <w:r w:rsidRPr="0001752F">
        <w:rPr>
          <w:rFonts w:cs="Times New Roman"/>
          <w:noProof/>
          <w:szCs w:val="24"/>
        </w:rPr>
        <w:t>(4), 39–48.https://www.researchgate.net/publication/4883660_The_Pyramid_of_Corporate_Social_Responsibility_Toward_the_Moral_Management_of_Organizational_Stakeholders</w:t>
      </w:r>
    </w:p>
    <w:p w14:paraId="5601BFCD"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Chen J. J. &amp; Chambers D. (1999) Sustainability and the impact of Chinese policy initiatives upon construction, Construction Management &amp; Economics, 17:5, 679-687, DOI: 10.1080/014461999371286</w:t>
      </w:r>
    </w:p>
    <w:p w14:paraId="1C27F803"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Cristian, D., Maria, L., Artene, A., &amp; Duran, V. (2015). The components of sustainable development - a possible approach. 26(15), 806–811. </w:t>
      </w:r>
      <w:hyperlink r:id="rId18" w:history="1">
        <w:r w:rsidRPr="0001752F">
          <w:rPr>
            <w:rStyle w:val="Hyperlink"/>
            <w:rFonts w:cs="Times New Roman"/>
            <w:color w:val="auto"/>
            <w:szCs w:val="24"/>
            <w:u w:val="none"/>
          </w:rPr>
          <w:t>https://doi.org/10.1016/S22125671</w:t>
        </w:r>
      </w:hyperlink>
      <w:r w:rsidRPr="0001752F">
        <w:rPr>
          <w:rFonts w:cs="Times New Roman"/>
          <w:szCs w:val="24"/>
        </w:rPr>
        <w:t xml:space="preserve"> (15)00849-7</w:t>
      </w:r>
    </w:p>
    <w:p w14:paraId="44C75D81" w14:textId="4EB57362"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Crossley, R. M., Elmagrhi, M. H., &amp; Ntim, C. G. (2021). Sustainability and legitimacy theory: The case of sustainable social and environmental practices of small and </w:t>
      </w:r>
      <w:r w:rsidRPr="0001752F">
        <w:rPr>
          <w:rFonts w:cs="Times New Roman"/>
          <w:noProof/>
          <w:szCs w:val="24"/>
        </w:rPr>
        <w:lastRenderedPageBreak/>
        <w:t xml:space="preserve">medium-sized enterprises. </w:t>
      </w:r>
      <w:r w:rsidRPr="0001752F">
        <w:rPr>
          <w:rFonts w:cs="Times New Roman"/>
          <w:i/>
          <w:iCs/>
          <w:noProof/>
          <w:szCs w:val="24"/>
        </w:rPr>
        <w:t>Business Strategy and the Environment</w:t>
      </w:r>
      <w:r w:rsidRPr="0001752F">
        <w:rPr>
          <w:rFonts w:cs="Times New Roman"/>
          <w:noProof/>
          <w:szCs w:val="24"/>
        </w:rPr>
        <w:t xml:space="preserve">, </w:t>
      </w:r>
      <w:r w:rsidRPr="0001752F">
        <w:rPr>
          <w:rFonts w:cs="Times New Roman"/>
          <w:i/>
          <w:iCs/>
          <w:noProof/>
          <w:szCs w:val="24"/>
        </w:rPr>
        <w:t>30</w:t>
      </w:r>
      <w:r w:rsidRPr="0001752F">
        <w:rPr>
          <w:rFonts w:cs="Times New Roman"/>
          <w:noProof/>
          <w:szCs w:val="24"/>
        </w:rPr>
        <w:t>(8), 3740–3762. https://doi.org/10.1002/bse.2837</w:t>
      </w:r>
    </w:p>
    <w:p w14:paraId="09E71CC1"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Darcy, C., Hill J., McCabe T., McGovern, P. (2014). A Consideration of Organizational Sustainability in the SME Context. European Journal of Training and Development 38 (5), 398 -414.</w:t>
      </w:r>
    </w:p>
    <w:p w14:paraId="0246CD77"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Dartey-Baah, K., &amp; Amponsah-Tawiah, K. (2011). Exploring the limits of Western Corporate Social Responsibility Theories in Africa. </w:t>
      </w:r>
      <w:r w:rsidRPr="0001752F">
        <w:rPr>
          <w:rFonts w:cs="Times New Roman"/>
          <w:i/>
          <w:iCs/>
          <w:noProof/>
          <w:szCs w:val="24"/>
        </w:rPr>
        <w:t>International Journal of Business and Social Sciences</w:t>
      </w:r>
      <w:r w:rsidRPr="0001752F">
        <w:rPr>
          <w:rFonts w:cs="Times New Roman"/>
          <w:noProof/>
          <w:szCs w:val="24"/>
        </w:rPr>
        <w:t xml:space="preserve">, </w:t>
      </w:r>
      <w:r w:rsidRPr="0001752F">
        <w:rPr>
          <w:rFonts w:cs="Times New Roman"/>
          <w:i/>
          <w:iCs/>
          <w:noProof/>
          <w:szCs w:val="24"/>
        </w:rPr>
        <w:t>2</w:t>
      </w:r>
      <w:r w:rsidRPr="0001752F">
        <w:rPr>
          <w:rFonts w:cs="Times New Roman"/>
          <w:noProof/>
          <w:szCs w:val="24"/>
        </w:rPr>
        <w:t>(18), 126–137.</w:t>
      </w:r>
    </w:p>
    <w:p w14:paraId="71450E4B"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Dias, A., Rodrigues, L. L., Craig, R., &amp; Neves,  M. E. (2018). Corporate social responsibility disclosure in small and medium sized entities and large companies. Social Responsibility Journal, 15(2), 137–154. </w:t>
      </w:r>
      <w:hyperlink r:id="rId19" w:history="1">
        <w:r w:rsidRPr="0001752F">
          <w:rPr>
            <w:rStyle w:val="Hyperlink"/>
            <w:rFonts w:cs="Times New Roman"/>
            <w:color w:val="auto"/>
            <w:szCs w:val="24"/>
            <w:u w:val="none"/>
          </w:rPr>
          <w:t>https://doi.org</w:t>
        </w:r>
      </w:hyperlink>
      <w:r w:rsidRPr="0001752F">
        <w:rPr>
          <w:rFonts w:cs="Times New Roman"/>
          <w:szCs w:val="24"/>
        </w:rPr>
        <w:t xml:space="preserve">  10.1108/SRJ-05-2017-0090</w:t>
      </w:r>
    </w:p>
    <w:p w14:paraId="014238B5"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Dienes, D., Sassen, R., &amp; Fischer, J. (2016). What are the drivers of sustainability reporting? A systematic review. </w:t>
      </w:r>
      <w:r w:rsidRPr="0001752F">
        <w:rPr>
          <w:rFonts w:cs="Times New Roman"/>
          <w:i/>
          <w:iCs/>
          <w:noProof/>
          <w:szCs w:val="24"/>
        </w:rPr>
        <w:t>Sustainability Accounting, Management and Policy Journal</w:t>
      </w:r>
      <w:r w:rsidRPr="0001752F">
        <w:rPr>
          <w:rFonts w:cs="Times New Roman"/>
          <w:noProof/>
          <w:szCs w:val="24"/>
        </w:rPr>
        <w:t xml:space="preserve">, </w:t>
      </w:r>
      <w:r w:rsidRPr="0001752F">
        <w:rPr>
          <w:rFonts w:cs="Times New Roman"/>
          <w:i/>
          <w:iCs/>
          <w:noProof/>
          <w:szCs w:val="24"/>
        </w:rPr>
        <w:t>7</w:t>
      </w:r>
      <w:r w:rsidRPr="0001752F">
        <w:rPr>
          <w:rFonts w:cs="Times New Roman"/>
          <w:noProof/>
          <w:szCs w:val="24"/>
        </w:rPr>
        <w:t>(2), 154–189. https://doi.org/10.1108/SAMPJ-08-2014-0050</w:t>
      </w:r>
    </w:p>
    <w:p w14:paraId="648619B2"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Dissanayake, D., Tilt, C., &amp; Xydias-Lobo, M. (2016). Sustainability reporting by publicly listed companies in Sri Lanka. Journal of Cleaner Production, 129, 169–182. https://doi.org/10.1016/j.jclepro.2016.04.086</w:t>
      </w:r>
    </w:p>
    <w:p w14:paraId="0794A65F"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Dragomir, V. D. (2012). The disclosure of industrial greenhouse gas emissions: A critical assessment of corporate sustainability reports. </w:t>
      </w:r>
      <w:r w:rsidRPr="0001752F">
        <w:rPr>
          <w:rFonts w:cs="Times New Roman"/>
          <w:i/>
          <w:iCs/>
          <w:noProof/>
          <w:szCs w:val="24"/>
        </w:rPr>
        <w:t>Journal of Cleaner Production</w:t>
      </w:r>
      <w:r w:rsidRPr="0001752F">
        <w:rPr>
          <w:rFonts w:cs="Times New Roman"/>
          <w:noProof/>
          <w:szCs w:val="24"/>
        </w:rPr>
        <w:t xml:space="preserve">, </w:t>
      </w:r>
      <w:r w:rsidRPr="0001752F">
        <w:rPr>
          <w:rFonts w:cs="Times New Roman"/>
          <w:i/>
          <w:iCs/>
          <w:noProof/>
          <w:szCs w:val="24"/>
        </w:rPr>
        <w:t>29</w:t>
      </w:r>
      <w:r w:rsidRPr="0001752F">
        <w:rPr>
          <w:rFonts w:cs="Times New Roman"/>
          <w:noProof/>
          <w:szCs w:val="24"/>
        </w:rPr>
        <w:t>–</w:t>
      </w:r>
      <w:r w:rsidRPr="0001752F">
        <w:rPr>
          <w:rFonts w:cs="Times New Roman"/>
          <w:i/>
          <w:iCs/>
          <w:noProof/>
          <w:szCs w:val="24"/>
        </w:rPr>
        <w:t>30</w:t>
      </w:r>
      <w:r w:rsidRPr="0001752F">
        <w:rPr>
          <w:rFonts w:cs="Times New Roman"/>
          <w:noProof/>
          <w:szCs w:val="24"/>
        </w:rPr>
        <w:t>, 222–237. https://doi.org/10.1016/j.jclepro.2012.01.024</w:t>
      </w:r>
    </w:p>
    <w:p w14:paraId="1332C3DF"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Ebiringa, O. T., Yadirichukwu, E., Chigbu, E. E., &amp; Ogochukwu, O. J. (2013). </w:t>
      </w:r>
      <w:r w:rsidRPr="0001752F">
        <w:rPr>
          <w:rFonts w:cs="Times New Roman"/>
          <w:i/>
          <w:iCs/>
          <w:noProof/>
          <w:szCs w:val="24"/>
        </w:rPr>
        <w:t>Effect of Firm Size and Profitability on Corporate Social Disclosures : The Nigerian Oil and Gas sector in Focus</w:t>
      </w:r>
      <w:r w:rsidRPr="0001752F">
        <w:rPr>
          <w:rFonts w:cs="Times New Roman"/>
          <w:noProof/>
          <w:szCs w:val="24"/>
        </w:rPr>
        <w:t xml:space="preserve">. </w:t>
      </w:r>
      <w:r w:rsidRPr="0001752F">
        <w:rPr>
          <w:rFonts w:cs="Times New Roman"/>
          <w:i/>
          <w:iCs/>
          <w:noProof/>
          <w:szCs w:val="24"/>
        </w:rPr>
        <w:t>3</w:t>
      </w:r>
      <w:r w:rsidRPr="0001752F">
        <w:rPr>
          <w:rFonts w:cs="Times New Roman"/>
          <w:noProof/>
          <w:szCs w:val="24"/>
        </w:rPr>
        <w:t>(4), 563–574.</w:t>
      </w:r>
    </w:p>
    <w:p w14:paraId="1D90F56B"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Eccles R, Ioannou I, Serafeim G. (2012). The impact of corporate sustainability on organizational processes and performance. Working paper, Harvard Business School, Harvard University, Boston, MA.</w:t>
      </w:r>
    </w:p>
    <w:p w14:paraId="5D23C536"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Elkington, J. (Ed.) (1997), Cannibals with Forks: The Triple Bottom Line of 21st Century Business, Capstone, Oxford.</w:t>
      </w:r>
    </w:p>
    <w:p w14:paraId="531295B4" w14:textId="0442ED1D" w:rsidR="00F03F17" w:rsidRPr="0001752F" w:rsidRDefault="00F03F17" w:rsidP="00F03F17">
      <w:pPr>
        <w:widowControl w:val="0"/>
        <w:autoSpaceDE w:val="0"/>
        <w:autoSpaceDN w:val="0"/>
        <w:adjustRightInd w:val="0"/>
        <w:spacing w:after="0" w:line="240" w:lineRule="auto"/>
        <w:ind w:left="480" w:hanging="480"/>
        <w:rPr>
          <w:rFonts w:cs="Times New Roman"/>
          <w:noProof/>
          <w:szCs w:val="24"/>
        </w:rPr>
      </w:pPr>
      <w:r w:rsidRPr="0001752F">
        <w:rPr>
          <w:rFonts w:cs="Times New Roman"/>
          <w:noProof/>
          <w:szCs w:val="24"/>
        </w:rPr>
        <w:t xml:space="preserve">Galli, D., Torelli, R., &amp; Caccialanza, A. (2023). Sustainability performance and sustainability reporting in SMEs: A love affair or a fight? </w:t>
      </w:r>
      <w:r w:rsidRPr="0001752F">
        <w:rPr>
          <w:rFonts w:cs="Times New Roman"/>
          <w:i/>
          <w:iCs/>
          <w:noProof/>
          <w:szCs w:val="24"/>
        </w:rPr>
        <w:t>Journal of Management and Organization</w:t>
      </w:r>
      <w:r w:rsidRPr="0001752F">
        <w:rPr>
          <w:rFonts w:cs="Times New Roman"/>
          <w:noProof/>
          <w:szCs w:val="24"/>
        </w:rPr>
        <w:t>. https://doi.org/10.1017/jmo.2023.40</w:t>
      </w:r>
    </w:p>
    <w:p w14:paraId="4051A36D"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George, C., &amp; Kirkpatrick, C. (2003). Impact Assessment Research Centre Sustainability Impact Assessment of World Trade Negotiations: Current Practice and Lessons for Further Development. 1–30.</w:t>
      </w:r>
    </w:p>
    <w:p w14:paraId="16F75B46"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Gilman S. (2003) Sustainability and national policy in UK port development, Maritime Policy &amp; Management, 30:4, 275-291, DOI: 10.1080/03088830 32000145591</w:t>
      </w:r>
    </w:p>
    <w:p w14:paraId="2A755BA1"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Goyal, P., Rahman, Z., &amp; Kazmi, A. A. (2013). Corporate sustainability performance and firm performance research Literature review and future research agenda. 51(2), 361–379. https://doi.org/10.1108/00251741311301867</w:t>
      </w:r>
    </w:p>
    <w:p w14:paraId="7349091A"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Griffith LE, Cook DJ, Guyatt GH, Charles CA. Comparison of open and closed questionnaire formats in obtaining demographic information from Canadian internists. J Clin Epidemiol 1999;52(10):997—1005.</w:t>
      </w:r>
    </w:p>
    <w:p w14:paraId="53EF0D93"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Hahn, R., &amp; Kühnen, M. (2013). Determinants of sustainability reporting: a review of results, trends, theory, and opportunities in an expanding field of research. Journal of Cleaner Production, 59, 5–21. </w:t>
      </w:r>
      <w:hyperlink r:id="rId20" w:history="1">
        <w:r w:rsidRPr="0001752F">
          <w:rPr>
            <w:rStyle w:val="Hyperlink"/>
            <w:rFonts w:cs="Times New Roman"/>
            <w:color w:val="auto"/>
            <w:szCs w:val="24"/>
            <w:u w:val="none"/>
          </w:rPr>
          <w:t>https://doi.org/10.1016/j</w:t>
        </w:r>
      </w:hyperlink>
      <w:r w:rsidRPr="0001752F">
        <w:rPr>
          <w:rFonts w:cs="Times New Roman"/>
          <w:szCs w:val="24"/>
        </w:rPr>
        <w:t xml:space="preserve"> .jclepro.2013.07.005</w:t>
      </w:r>
    </w:p>
    <w:p w14:paraId="14E8A63C"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Hasan, M. N. (2016). Measuring and understanding the engagement ofBangladeshi SMEs with sustainable and socially responsible businesspractices: An ISO 26000 perspective. Social Responsibility Journal, 12(3), 584–610. https://doi.org/10.1108/SRJ‐08‐2015‐0125</w:t>
      </w:r>
    </w:p>
    <w:p w14:paraId="3C3DF981"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Hillary, R. (2004). Environmental management systems and the smaller enterprise. </w:t>
      </w:r>
      <w:r w:rsidRPr="0001752F">
        <w:rPr>
          <w:rFonts w:cs="Times New Roman"/>
          <w:i/>
          <w:iCs/>
          <w:noProof/>
          <w:szCs w:val="24"/>
        </w:rPr>
        <w:t xml:space="preserve">Journal </w:t>
      </w:r>
      <w:r w:rsidRPr="0001752F">
        <w:rPr>
          <w:rFonts w:cs="Times New Roman"/>
          <w:i/>
          <w:iCs/>
          <w:noProof/>
          <w:szCs w:val="24"/>
        </w:rPr>
        <w:lastRenderedPageBreak/>
        <w:t>of Cleaner Production</w:t>
      </w:r>
      <w:r w:rsidRPr="0001752F">
        <w:rPr>
          <w:rFonts w:cs="Times New Roman"/>
          <w:noProof/>
          <w:szCs w:val="24"/>
        </w:rPr>
        <w:t xml:space="preserve">, </w:t>
      </w:r>
      <w:r w:rsidRPr="0001752F">
        <w:rPr>
          <w:rFonts w:cs="Times New Roman"/>
          <w:i/>
          <w:iCs/>
          <w:noProof/>
          <w:szCs w:val="24"/>
        </w:rPr>
        <w:t>12</w:t>
      </w:r>
      <w:r w:rsidRPr="0001752F">
        <w:rPr>
          <w:rFonts w:cs="Times New Roman"/>
          <w:noProof/>
          <w:szCs w:val="24"/>
        </w:rPr>
        <w:t>(6), 561–569. https://doi.org/10.1016/j.jclepro.2003.08.006</w:t>
      </w:r>
    </w:p>
    <w:p w14:paraId="30999C10"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Ho, L. J., &amp; Taylor, M. E. (2007). </w:t>
      </w:r>
      <w:r w:rsidRPr="0001752F">
        <w:rPr>
          <w:rFonts w:cs="Times New Roman"/>
          <w:i/>
          <w:iCs/>
          <w:noProof/>
          <w:szCs w:val="24"/>
        </w:rPr>
        <w:t>An Empirical Analysis of Triple Bottom-Line Reporting and its Determinants : Evidence from the United States and Japan</w:t>
      </w:r>
      <w:r w:rsidRPr="0001752F">
        <w:rPr>
          <w:rFonts w:cs="Times New Roman"/>
          <w:noProof/>
          <w:szCs w:val="24"/>
        </w:rPr>
        <w:t>.</w:t>
      </w:r>
    </w:p>
    <w:p w14:paraId="1004CF42"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Holden, E., Linnerud, K., &amp; Banister, D. (2014). Sustainable development: Our Common Future revisited. Global Environmental Change, 26, 130–139. https://doi.org/10.1016/j.gloenvcha.2014.04.006</w:t>
      </w:r>
    </w:p>
    <w:p w14:paraId="238FC85B"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Hörisch, J., Johnson, M. P., &amp; Schaltegger, S. (2015). Implementation of Sustainability Management and Company Size: A Knowledge-Based View. </w:t>
      </w:r>
      <w:r w:rsidRPr="0001752F">
        <w:rPr>
          <w:rFonts w:cs="Times New Roman"/>
          <w:i/>
          <w:iCs/>
          <w:noProof/>
          <w:szCs w:val="24"/>
        </w:rPr>
        <w:t>Business Strategy and the Environment</w:t>
      </w:r>
      <w:r w:rsidRPr="0001752F">
        <w:rPr>
          <w:rFonts w:cs="Times New Roman"/>
          <w:noProof/>
          <w:szCs w:val="24"/>
        </w:rPr>
        <w:t xml:space="preserve">, </w:t>
      </w:r>
      <w:r w:rsidRPr="0001752F">
        <w:rPr>
          <w:rFonts w:cs="Times New Roman"/>
          <w:i/>
          <w:iCs/>
          <w:noProof/>
          <w:szCs w:val="24"/>
        </w:rPr>
        <w:t>24</w:t>
      </w:r>
      <w:r w:rsidRPr="0001752F">
        <w:rPr>
          <w:rFonts w:cs="Times New Roman"/>
          <w:noProof/>
          <w:szCs w:val="24"/>
        </w:rPr>
        <w:t>(8), 765–779. https://doi.org/10.1002/bse.1844</w:t>
      </w:r>
    </w:p>
    <w:p w14:paraId="5E06196F" w14:textId="2C91BDB5"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Hossain, M. M., Alam, M., Islam, M. A., &amp; Hecimovic, A. (2015). Do stakeholders or social obligations drive corporate social and environmental responsibility reporting? Managerial views from a developing country. </w:t>
      </w:r>
      <w:r w:rsidRPr="0001752F">
        <w:rPr>
          <w:rFonts w:cs="Times New Roman"/>
          <w:i/>
          <w:iCs/>
          <w:noProof/>
          <w:szCs w:val="24"/>
        </w:rPr>
        <w:t>Qualitative Research in Accounting and Management</w:t>
      </w:r>
      <w:r w:rsidRPr="0001752F">
        <w:rPr>
          <w:rFonts w:cs="Times New Roman"/>
          <w:noProof/>
          <w:szCs w:val="24"/>
        </w:rPr>
        <w:t xml:space="preserve">, </w:t>
      </w:r>
      <w:r w:rsidRPr="0001752F">
        <w:rPr>
          <w:rFonts w:cs="Times New Roman"/>
          <w:i/>
          <w:iCs/>
          <w:noProof/>
          <w:szCs w:val="24"/>
        </w:rPr>
        <w:t>12</w:t>
      </w:r>
      <w:r w:rsidRPr="0001752F">
        <w:rPr>
          <w:rFonts w:cs="Times New Roman"/>
          <w:noProof/>
          <w:szCs w:val="24"/>
        </w:rPr>
        <w:t xml:space="preserve">(3), 287–314. </w:t>
      </w:r>
      <w:r w:rsidR="00C558C7" w:rsidRPr="0001752F">
        <w:rPr>
          <w:rFonts w:cs="Times New Roman"/>
          <w:noProof/>
          <w:szCs w:val="24"/>
        </w:rPr>
        <w:t>https://doi.org/10.1108/QRAM-10-2014-0061</w:t>
      </w:r>
    </w:p>
    <w:p w14:paraId="690B4DA4" w14:textId="4BEB88DA"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Hussain, W., &amp; Merigo, J. M. (2023). Onsite/offsite social commerce adoption for SMEs using fuzzy linguistic decision making in complex framework. </w:t>
      </w:r>
      <w:r w:rsidRPr="0001752F">
        <w:rPr>
          <w:rFonts w:cs="Times New Roman"/>
          <w:i/>
          <w:iCs/>
          <w:noProof/>
          <w:szCs w:val="24"/>
        </w:rPr>
        <w:t>Journal of Ambient Intelligence and Humanized Computing</w:t>
      </w:r>
      <w:r w:rsidRPr="0001752F">
        <w:rPr>
          <w:rFonts w:cs="Times New Roman"/>
          <w:noProof/>
          <w:szCs w:val="24"/>
        </w:rPr>
        <w:t xml:space="preserve">, </w:t>
      </w:r>
      <w:r w:rsidRPr="0001752F">
        <w:rPr>
          <w:rFonts w:cs="Times New Roman"/>
          <w:i/>
          <w:iCs/>
          <w:noProof/>
          <w:szCs w:val="24"/>
        </w:rPr>
        <w:t>14</w:t>
      </w:r>
      <w:r w:rsidRPr="0001752F">
        <w:rPr>
          <w:rFonts w:cs="Times New Roman"/>
          <w:noProof/>
          <w:szCs w:val="24"/>
        </w:rPr>
        <w:t>(9), 12875–12894. https://doi.org/10.1007/s12652-022-04157-5</w:t>
      </w:r>
    </w:p>
    <w:p w14:paraId="2B0A9104"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Ismaeel, M. and Zakaria, Z. (2020), “Perception of preparers of sustainability reports in the Middle East”, Meditari Accountancy Research, Vol. 28 No. 1, pp. 89-116</w:t>
      </w:r>
    </w:p>
    <w:p w14:paraId="4F6A0A30"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Jabbour, C. J. C., and J. A. Puppim-de-Oliveira. 2012. “Barriers to Environmental Management in Clusters of Small Businesses in Brazil and Japan: From a Lack of Knowledge to a Decline in Traditional Knowledge.”International Journal of Sustainable Development &amp; World Ecology 19 (3):247–257</w:t>
      </w:r>
    </w:p>
    <w:p w14:paraId="3215B512"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Jones, P., Comfort, D., Hillier, D., &amp; Eastwood, I. (2005). Retailers and sustainable development in the UK. 33(3), 207–214. </w:t>
      </w:r>
      <w:hyperlink r:id="rId21" w:history="1">
        <w:r w:rsidRPr="0001752F">
          <w:rPr>
            <w:rStyle w:val="Hyperlink"/>
            <w:rFonts w:cs="Times New Roman"/>
            <w:color w:val="auto"/>
            <w:szCs w:val="24"/>
            <w:u w:val="none"/>
          </w:rPr>
          <w:t>https://doi.org/10.1108/09590</w:t>
        </w:r>
      </w:hyperlink>
      <w:r w:rsidRPr="0001752F">
        <w:rPr>
          <w:rFonts w:cs="Times New Roman"/>
          <w:szCs w:val="24"/>
        </w:rPr>
        <w:t xml:space="preserve"> 550510588370</w:t>
      </w:r>
    </w:p>
    <w:p w14:paraId="05D04105"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Kent, P., &amp; Monem, R. (2008). What drives TBL reporting: Good governance or threat to legitimacy? </w:t>
      </w:r>
      <w:r w:rsidRPr="0001752F">
        <w:rPr>
          <w:rFonts w:cs="Times New Roman"/>
          <w:i/>
          <w:iCs/>
          <w:noProof/>
          <w:szCs w:val="24"/>
        </w:rPr>
        <w:t>Australian Accounting Review</w:t>
      </w:r>
      <w:r w:rsidRPr="0001752F">
        <w:rPr>
          <w:rFonts w:cs="Times New Roman"/>
          <w:noProof/>
          <w:szCs w:val="24"/>
        </w:rPr>
        <w:t xml:space="preserve">, </w:t>
      </w:r>
      <w:r w:rsidRPr="0001752F">
        <w:rPr>
          <w:rFonts w:cs="Times New Roman"/>
          <w:i/>
          <w:iCs/>
          <w:noProof/>
          <w:szCs w:val="24"/>
        </w:rPr>
        <w:t>18</w:t>
      </w:r>
      <w:r w:rsidRPr="0001752F">
        <w:rPr>
          <w:rFonts w:cs="Times New Roman"/>
          <w:noProof/>
          <w:szCs w:val="24"/>
        </w:rPr>
        <w:t>(4), 297–309. https://doi.org/10.1111/j.1835-2561.2008.0036.x</w:t>
      </w:r>
    </w:p>
    <w:p w14:paraId="215B0940"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Khan, M., Lockhart, J., &amp; Bathurst, R. (2020). A multi-level institutional perspective of corporate social responsibility reporting: A mixed-method study. Journal of Cleaner Production, 265, 121739. </w:t>
      </w:r>
      <w:hyperlink r:id="rId22" w:history="1">
        <w:r w:rsidRPr="0001752F">
          <w:rPr>
            <w:rStyle w:val="Hyperlink"/>
            <w:rFonts w:cs="Times New Roman"/>
            <w:color w:val="auto"/>
            <w:szCs w:val="24"/>
            <w:u w:val="none"/>
          </w:rPr>
          <w:t>https://doi.org/10.1016/j.jclepro</w:t>
        </w:r>
      </w:hyperlink>
      <w:r w:rsidRPr="0001752F">
        <w:rPr>
          <w:rFonts w:cs="Times New Roman"/>
          <w:szCs w:val="24"/>
        </w:rPr>
        <w:t xml:space="preserve"> .2020.121739</w:t>
      </w:r>
    </w:p>
    <w:p w14:paraId="6275D509"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Khasharmeh, H. (2010). </w:t>
      </w:r>
      <w:r w:rsidRPr="0001752F">
        <w:rPr>
          <w:rFonts w:cs="Times New Roman"/>
          <w:i/>
          <w:iCs/>
          <w:noProof/>
          <w:szCs w:val="24"/>
        </w:rPr>
        <w:t>Social responsibility disclosure in corporate annual reports : evidence from the Gulf Cooperation Council countries Mishiel Said Suwaidan *</w:t>
      </w:r>
      <w:r w:rsidRPr="0001752F">
        <w:rPr>
          <w:rFonts w:cs="Times New Roman"/>
          <w:noProof/>
          <w:szCs w:val="24"/>
        </w:rPr>
        <w:t xml:space="preserve">. </w:t>
      </w:r>
      <w:r w:rsidRPr="0001752F">
        <w:rPr>
          <w:rFonts w:cs="Times New Roman"/>
          <w:i/>
          <w:iCs/>
          <w:noProof/>
          <w:szCs w:val="24"/>
        </w:rPr>
        <w:t>6</w:t>
      </w:r>
      <w:r w:rsidRPr="0001752F">
        <w:rPr>
          <w:rFonts w:cs="Times New Roman"/>
          <w:noProof/>
          <w:szCs w:val="24"/>
        </w:rPr>
        <w:t>(4).</w:t>
      </w:r>
    </w:p>
    <w:p w14:paraId="5D7AB201"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Lozano, R., &amp; Huisingh, D. (2011). Inter-linking issues and dimensions in sustainability reporting. </w:t>
      </w:r>
      <w:r w:rsidRPr="0001752F">
        <w:rPr>
          <w:rFonts w:cs="Times New Roman"/>
          <w:i/>
          <w:iCs/>
          <w:noProof/>
          <w:szCs w:val="24"/>
        </w:rPr>
        <w:t>Journal of Cleaner Production</w:t>
      </w:r>
      <w:r w:rsidRPr="0001752F">
        <w:rPr>
          <w:rFonts w:cs="Times New Roman"/>
          <w:noProof/>
          <w:szCs w:val="24"/>
        </w:rPr>
        <w:t xml:space="preserve">, </w:t>
      </w:r>
      <w:r w:rsidRPr="0001752F">
        <w:rPr>
          <w:rFonts w:cs="Times New Roman"/>
          <w:i/>
          <w:iCs/>
          <w:noProof/>
          <w:szCs w:val="24"/>
        </w:rPr>
        <w:t>19</w:t>
      </w:r>
      <w:r w:rsidRPr="0001752F">
        <w:rPr>
          <w:rFonts w:cs="Times New Roman"/>
          <w:noProof/>
          <w:szCs w:val="24"/>
        </w:rPr>
        <w:t>(2–3), 99–107. https://doi.org/10.1016/j.jclepro.2010.01.004</w:t>
      </w:r>
    </w:p>
    <w:p w14:paraId="470BB43E"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Mac and Bhaird, C., Lucey, B. (2010). Determinants of capital structure in Irish SMEs. Small Bus. Econ. 35 (3), 357–375.</w:t>
      </w:r>
    </w:p>
    <w:p w14:paraId="270E8D3C"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Mazzi, A., Mason, C., Mason, M., &amp; Scipioni, A. (2012). Is it possible to compare environmental performance indicators reported by public administrations? Results from an Italian survey. </w:t>
      </w:r>
      <w:r w:rsidRPr="0001752F">
        <w:rPr>
          <w:rFonts w:cs="Times New Roman"/>
          <w:i/>
          <w:iCs/>
          <w:noProof/>
          <w:szCs w:val="24"/>
        </w:rPr>
        <w:t>Ecological Indicators</w:t>
      </w:r>
      <w:r w:rsidRPr="0001752F">
        <w:rPr>
          <w:rFonts w:cs="Times New Roman"/>
          <w:noProof/>
          <w:szCs w:val="24"/>
        </w:rPr>
        <w:t xml:space="preserve">, </w:t>
      </w:r>
      <w:r w:rsidRPr="0001752F">
        <w:rPr>
          <w:rFonts w:cs="Times New Roman"/>
          <w:i/>
          <w:iCs/>
          <w:noProof/>
          <w:szCs w:val="24"/>
        </w:rPr>
        <w:t>23</w:t>
      </w:r>
      <w:r w:rsidRPr="0001752F">
        <w:rPr>
          <w:rFonts w:cs="Times New Roman"/>
          <w:noProof/>
          <w:szCs w:val="24"/>
        </w:rPr>
        <w:t>, 653–659. https://doi.org/10.1016/j.ecolind.2012.05.006</w:t>
      </w:r>
    </w:p>
    <w:p w14:paraId="744D010C"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Mikkilä, M., &amp; Toppinen, A. (2008). Corporate responsibility reporting by large pulp and paper companies. </w:t>
      </w:r>
      <w:r w:rsidRPr="0001752F">
        <w:rPr>
          <w:rFonts w:cs="Times New Roman"/>
          <w:i/>
          <w:iCs/>
          <w:noProof/>
          <w:szCs w:val="24"/>
        </w:rPr>
        <w:t>Forest Policy and Economics</w:t>
      </w:r>
      <w:r w:rsidRPr="0001752F">
        <w:rPr>
          <w:rFonts w:cs="Times New Roman"/>
          <w:noProof/>
          <w:szCs w:val="24"/>
        </w:rPr>
        <w:t xml:space="preserve">, </w:t>
      </w:r>
      <w:r w:rsidRPr="0001752F">
        <w:rPr>
          <w:rFonts w:cs="Times New Roman"/>
          <w:i/>
          <w:iCs/>
          <w:noProof/>
          <w:szCs w:val="24"/>
        </w:rPr>
        <w:t>10</w:t>
      </w:r>
      <w:r w:rsidRPr="0001752F">
        <w:rPr>
          <w:rFonts w:cs="Times New Roman"/>
          <w:noProof/>
          <w:szCs w:val="24"/>
        </w:rPr>
        <w:t>(7–8), 500–506. https://doi.org/10.1016/j.forpol.2008.05.002</w:t>
      </w:r>
    </w:p>
    <w:p w14:paraId="492E29C9"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Mitchell, C. G., &amp; Hill, T. (2009). Corporate social and environmental reporting and the impact of internal environmental policy in South Africa. </w:t>
      </w:r>
      <w:r w:rsidRPr="0001752F">
        <w:rPr>
          <w:rFonts w:cs="Times New Roman"/>
          <w:i/>
          <w:iCs/>
          <w:noProof/>
          <w:szCs w:val="24"/>
        </w:rPr>
        <w:t>Corporate Social Responsibility and Environmental Management</w:t>
      </w:r>
      <w:r w:rsidRPr="0001752F">
        <w:rPr>
          <w:rFonts w:cs="Times New Roman"/>
          <w:noProof/>
          <w:szCs w:val="24"/>
        </w:rPr>
        <w:t xml:space="preserve">, </w:t>
      </w:r>
      <w:r w:rsidRPr="0001752F">
        <w:rPr>
          <w:rFonts w:cs="Times New Roman"/>
          <w:i/>
          <w:iCs/>
          <w:noProof/>
          <w:szCs w:val="24"/>
        </w:rPr>
        <w:t>16</w:t>
      </w:r>
      <w:r w:rsidRPr="0001752F">
        <w:rPr>
          <w:rFonts w:cs="Times New Roman"/>
          <w:noProof/>
          <w:szCs w:val="24"/>
        </w:rPr>
        <w:t>(1), 48–60. https://doi.org/10.1002/csr.179</w:t>
      </w:r>
    </w:p>
    <w:p w14:paraId="0B05EAC0"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lastRenderedPageBreak/>
        <w:t>Mondal A., Prasad R. &amp; Bauri S. (2021). An empirical study in sustainability reporting practices of Indian small and medium-sized enterprises. Journal of Commerce &amp; Accounting Research 10 (1) 2021, 67-76http://publishingindia. com/jcar/</w:t>
      </w:r>
    </w:p>
    <w:p w14:paraId="7D0B7C59"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Nwobu, O.A., Iyoha, F. and Owolabi, A. (2018), “Managerial perceptions of corporate sustainability reporting determinants in Nigeria’, Journal of Business and Retail Management Research, Vol. 12 No. 2, pp. 72-82.</w:t>
      </w:r>
    </w:p>
    <w:p w14:paraId="3CAE4FCE"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Ofori, D. F., &amp; Hinson, R. E. (2007). Corporate social responsibility (CSR) perspectives of leading firms in Ghana. </w:t>
      </w:r>
      <w:r w:rsidRPr="0001752F">
        <w:rPr>
          <w:rFonts w:cs="Times New Roman"/>
          <w:i/>
          <w:iCs/>
          <w:noProof/>
          <w:szCs w:val="24"/>
        </w:rPr>
        <w:t>Corporate Governance</w:t>
      </w:r>
      <w:r w:rsidRPr="0001752F">
        <w:rPr>
          <w:rFonts w:cs="Times New Roman"/>
          <w:noProof/>
          <w:szCs w:val="24"/>
        </w:rPr>
        <w:t xml:space="preserve">, </w:t>
      </w:r>
      <w:r w:rsidRPr="0001752F">
        <w:rPr>
          <w:rFonts w:cs="Times New Roman"/>
          <w:i/>
          <w:iCs/>
          <w:noProof/>
          <w:szCs w:val="24"/>
        </w:rPr>
        <w:t>7</w:t>
      </w:r>
      <w:r w:rsidRPr="0001752F">
        <w:rPr>
          <w:rFonts w:cs="Times New Roman"/>
          <w:noProof/>
          <w:szCs w:val="24"/>
        </w:rPr>
        <w:t>(2), 178–193. https://doi.org/10.1108/14720700710739813</w:t>
      </w:r>
    </w:p>
    <w:p w14:paraId="063853DA" w14:textId="5D1314E9"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Orazalin, N., &amp; Mahmood, M. (2018). Economic , environmental , and social performance indicators of sustainability reporting : Evidence from the Russian oil and gas industry. </w:t>
      </w:r>
      <w:r w:rsidRPr="0001752F">
        <w:rPr>
          <w:rFonts w:cs="Times New Roman"/>
          <w:i/>
          <w:iCs/>
          <w:noProof/>
          <w:szCs w:val="24"/>
        </w:rPr>
        <w:t>Energy Policy</w:t>
      </w:r>
      <w:r w:rsidRPr="0001752F">
        <w:rPr>
          <w:rFonts w:cs="Times New Roman"/>
          <w:noProof/>
          <w:szCs w:val="24"/>
        </w:rPr>
        <w:t xml:space="preserve">, </w:t>
      </w:r>
      <w:r w:rsidRPr="0001752F">
        <w:rPr>
          <w:rFonts w:cs="Times New Roman"/>
          <w:i/>
          <w:iCs/>
          <w:noProof/>
          <w:szCs w:val="24"/>
        </w:rPr>
        <w:t>121</w:t>
      </w:r>
      <w:r w:rsidRPr="0001752F">
        <w:rPr>
          <w:rFonts w:cs="Times New Roman"/>
          <w:noProof/>
          <w:szCs w:val="24"/>
        </w:rPr>
        <w:t xml:space="preserve">(January), 70–79. </w:t>
      </w:r>
      <w:r w:rsidR="00C558C7" w:rsidRPr="0001752F">
        <w:rPr>
          <w:rFonts w:cs="Times New Roman"/>
          <w:noProof/>
          <w:szCs w:val="24"/>
        </w:rPr>
        <w:t>https://doi.org/10.1016/j.enpol.2018.06.015</w:t>
      </w:r>
    </w:p>
    <w:p w14:paraId="71F2986F" w14:textId="67B4D957"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Ortiz-Martínez, E., Marín-Hernández, S., &amp; Santos-Jaén, J. M. (2023). Sustainability, corporate social responsibility, non-financial reporting and company performance: Relationships and mediating effects in Spanish small and medium sized enterprises. </w:t>
      </w:r>
      <w:r w:rsidRPr="0001752F">
        <w:rPr>
          <w:rFonts w:cs="Times New Roman"/>
          <w:i/>
          <w:iCs/>
          <w:noProof/>
          <w:szCs w:val="24"/>
        </w:rPr>
        <w:t>Sustainable Production and Consumption</w:t>
      </w:r>
      <w:r w:rsidRPr="0001752F">
        <w:rPr>
          <w:rFonts w:cs="Times New Roman"/>
          <w:noProof/>
          <w:szCs w:val="24"/>
        </w:rPr>
        <w:t xml:space="preserve">, </w:t>
      </w:r>
      <w:r w:rsidRPr="0001752F">
        <w:rPr>
          <w:rFonts w:cs="Times New Roman"/>
          <w:i/>
          <w:iCs/>
          <w:noProof/>
          <w:szCs w:val="24"/>
        </w:rPr>
        <w:t>35</w:t>
      </w:r>
      <w:r w:rsidRPr="0001752F">
        <w:rPr>
          <w:rFonts w:cs="Times New Roman"/>
          <w:noProof/>
          <w:szCs w:val="24"/>
        </w:rPr>
        <w:t>, 349–364. https://doi.org/10.1016/j.spc.2022.11.015</w:t>
      </w:r>
    </w:p>
    <w:p w14:paraId="39F586A5"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Parker, C. M., Redmond, J., &amp; Simpson, M. (2009). A review of interventions to encourage SMEs to make environmental improvements. Environment and Planning C: Government and Policy, 27(2), 279–301. </w:t>
      </w:r>
      <w:hyperlink r:id="rId23" w:history="1">
        <w:r w:rsidRPr="0001752F">
          <w:rPr>
            <w:rStyle w:val="Hyperlink"/>
            <w:rFonts w:cs="Times New Roman"/>
            <w:color w:val="auto"/>
            <w:szCs w:val="24"/>
            <w:u w:val="none"/>
          </w:rPr>
          <w:t>https://doi.org/10</w:t>
        </w:r>
      </w:hyperlink>
      <w:r w:rsidRPr="0001752F">
        <w:rPr>
          <w:rFonts w:cs="Times New Roman"/>
          <w:szCs w:val="24"/>
        </w:rPr>
        <w:t xml:space="preserve"> .1068/c0859b</w:t>
      </w:r>
    </w:p>
    <w:p w14:paraId="1B3B477A"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 xml:space="preserve">Parnell, S. (2016). Defining a Global Urban Development Agenda. World Development, 78, 529–540. </w:t>
      </w:r>
      <w:hyperlink r:id="rId24" w:history="1">
        <w:r w:rsidRPr="0001752F">
          <w:rPr>
            <w:rStyle w:val="Hyperlink"/>
            <w:rFonts w:cs="Times New Roman"/>
            <w:color w:val="auto"/>
            <w:szCs w:val="24"/>
            <w:u w:val="none"/>
          </w:rPr>
          <w:t>https://doi.org/10.1016/j.worlddev</w:t>
        </w:r>
      </w:hyperlink>
      <w:r w:rsidRPr="0001752F">
        <w:rPr>
          <w:rFonts w:cs="Times New Roman"/>
          <w:szCs w:val="24"/>
        </w:rPr>
        <w:t>. 2015.10.028</w:t>
      </w:r>
    </w:p>
    <w:p w14:paraId="4C31DD80"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Perez-Sanchez, D., Barton, J. R. and Bower, D. (2003), 'Implementing Environmental Management in SMEs', Corporate Social Responsibility and Environmental Management, 10: pp. 67-77.</w:t>
      </w:r>
    </w:p>
    <w:p w14:paraId="3361EFC2" w14:textId="01477B1D" w:rsidR="00517433" w:rsidRPr="0001752F" w:rsidRDefault="00517433" w:rsidP="00517433">
      <w:pPr>
        <w:widowControl w:val="0"/>
        <w:autoSpaceDE w:val="0"/>
        <w:autoSpaceDN w:val="0"/>
        <w:adjustRightInd w:val="0"/>
        <w:spacing w:after="0" w:line="240" w:lineRule="auto"/>
        <w:ind w:left="567" w:hanging="567"/>
        <w:rPr>
          <w:rFonts w:cs="Times New Roman"/>
          <w:noProof/>
          <w:szCs w:val="24"/>
        </w:rPr>
      </w:pPr>
      <w:r w:rsidRPr="0001752F">
        <w:rPr>
          <w:rFonts w:ascii="NexusSansWebPro" w:hAnsi="NexusSansWebPro"/>
          <w:shd w:val="clear" w:color="auto" w:fill="FFFFFF"/>
        </w:rPr>
        <w:t xml:space="preserve">Pobbi, M., Anaman, E.A., &amp; Quarm, R. S. (2020). Corporate Sustainability Reporting: Empirical Evidence From Ghana. </w:t>
      </w:r>
      <w:r w:rsidRPr="0001752F">
        <w:rPr>
          <w:rFonts w:ascii="NexusSansWebPro" w:hAnsi="NexusSansWebPro"/>
          <w:i/>
          <w:iCs/>
          <w:shd w:val="clear" w:color="auto" w:fill="FFFFFF"/>
        </w:rPr>
        <w:t>Journal of Economics and Business</w:t>
      </w:r>
      <w:r w:rsidRPr="0001752F">
        <w:rPr>
          <w:rFonts w:ascii="NexusSansWebPro" w:hAnsi="NexusSansWebPro"/>
          <w:shd w:val="clear" w:color="auto" w:fill="FFFFFF"/>
        </w:rPr>
        <w:t>, Vol.3(3), Available at SSRN: </w:t>
      </w:r>
      <w:hyperlink r:id="rId25" w:tgtFrame="_blank" w:history="1">
        <w:r w:rsidRPr="0001752F">
          <w:rPr>
            <w:rStyle w:val="Hyperlink"/>
            <w:rFonts w:ascii="NexusSansWebPro" w:hAnsi="NexusSansWebPro"/>
            <w:color w:val="auto"/>
            <w:shd w:val="clear" w:color="auto" w:fill="FFFFFF"/>
          </w:rPr>
          <w:t>https://ssrn.com/abstract=3649396</w:t>
        </w:r>
      </w:hyperlink>
    </w:p>
    <w:p w14:paraId="300B4A99" w14:textId="5D76D8A4"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Rahaman, A. S. (2000). Senior management perceptions of social and environmental reporting in Ghana. </w:t>
      </w:r>
      <w:r w:rsidRPr="0001752F">
        <w:rPr>
          <w:rFonts w:cs="Times New Roman"/>
          <w:i/>
          <w:iCs/>
          <w:noProof/>
          <w:szCs w:val="24"/>
        </w:rPr>
        <w:t>Social and Environmental Accountability Journal</w:t>
      </w:r>
      <w:r w:rsidRPr="0001752F">
        <w:rPr>
          <w:rFonts w:cs="Times New Roman"/>
          <w:noProof/>
          <w:szCs w:val="24"/>
        </w:rPr>
        <w:t xml:space="preserve">, </w:t>
      </w:r>
      <w:r w:rsidRPr="0001752F">
        <w:rPr>
          <w:rFonts w:cs="Times New Roman"/>
          <w:i/>
          <w:iCs/>
          <w:noProof/>
          <w:szCs w:val="24"/>
        </w:rPr>
        <w:t>20</w:t>
      </w:r>
      <w:r w:rsidRPr="0001752F">
        <w:rPr>
          <w:rFonts w:cs="Times New Roman"/>
          <w:noProof/>
          <w:szCs w:val="24"/>
        </w:rPr>
        <w:t>(1), 7–10. https://doi.org/10.1080/0969160X.2000.9651625</w:t>
      </w:r>
    </w:p>
    <w:p w14:paraId="3C3993EB"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Ramos, T. B., Cecílio, T., Douglas, C. H., &amp; Caeiro, S. (2013). Corporate sustainability reporting and the relations with evaluation and management frameworks: The Portuguese case. Journal of Cleaner Production, 52, 317–328. https://doi.org/10.1016/j.jclepro.2013.03.002</w:t>
      </w:r>
    </w:p>
    <w:p w14:paraId="07EC6B07"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Rizk, R., Dixon, R., &amp; Woodhead, A. (2008). </w:t>
      </w:r>
      <w:r w:rsidRPr="0001752F">
        <w:rPr>
          <w:rFonts w:cs="Times New Roman"/>
          <w:i/>
          <w:iCs/>
          <w:noProof/>
          <w:szCs w:val="24"/>
        </w:rPr>
        <w:t>Corporate social and environmental reporting : a survey of disclosure practices in Egypt</w:t>
      </w:r>
      <w:r w:rsidRPr="0001752F">
        <w:rPr>
          <w:rFonts w:cs="Times New Roman"/>
          <w:noProof/>
          <w:szCs w:val="24"/>
        </w:rPr>
        <w:t xml:space="preserve">. </w:t>
      </w:r>
      <w:r w:rsidRPr="0001752F">
        <w:rPr>
          <w:rFonts w:cs="Times New Roman"/>
          <w:i/>
          <w:iCs/>
          <w:noProof/>
          <w:szCs w:val="24"/>
        </w:rPr>
        <w:t>4</w:t>
      </w:r>
      <w:r w:rsidRPr="0001752F">
        <w:rPr>
          <w:rFonts w:cs="Times New Roman"/>
          <w:noProof/>
          <w:szCs w:val="24"/>
        </w:rPr>
        <w:t>(3), 306–323. https://doi.org/10.1108/17471110810892839</w:t>
      </w:r>
    </w:p>
    <w:p w14:paraId="13D2980E" w14:textId="7B35CB04"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Roca, L. C., &amp; Searcy, C. (2012). An analysis of indicators disclosed in corporate sustainability reports. </w:t>
      </w:r>
      <w:r w:rsidRPr="0001752F">
        <w:rPr>
          <w:rFonts w:cs="Times New Roman"/>
          <w:i/>
          <w:iCs/>
          <w:noProof/>
          <w:szCs w:val="24"/>
        </w:rPr>
        <w:t>Journal of Cleaner Production</w:t>
      </w:r>
      <w:r w:rsidRPr="0001752F">
        <w:rPr>
          <w:rFonts w:cs="Times New Roman"/>
          <w:noProof/>
          <w:szCs w:val="24"/>
        </w:rPr>
        <w:t xml:space="preserve">, </w:t>
      </w:r>
      <w:r w:rsidRPr="0001752F">
        <w:rPr>
          <w:rFonts w:cs="Times New Roman"/>
          <w:i/>
          <w:iCs/>
          <w:noProof/>
          <w:szCs w:val="24"/>
        </w:rPr>
        <w:t>20</w:t>
      </w:r>
      <w:r w:rsidRPr="0001752F">
        <w:rPr>
          <w:rFonts w:cs="Times New Roman"/>
          <w:noProof/>
          <w:szCs w:val="24"/>
        </w:rPr>
        <w:t xml:space="preserve">(1), 103–118. </w:t>
      </w:r>
      <w:r w:rsidR="00C558C7" w:rsidRPr="0001752F">
        <w:rPr>
          <w:rFonts w:cs="Times New Roman"/>
          <w:noProof/>
          <w:szCs w:val="24"/>
        </w:rPr>
        <w:t>https://doi.org/10.1016/j.jclepro.2011.08.002</w:t>
      </w:r>
    </w:p>
    <w:p w14:paraId="4CE74BD3" w14:textId="18AC16E0"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Rodríguez-Gutiérrez, P., Guerrero-Baena, M. D., Luque-Vílchez, M., &amp; Castilla-Polo, F. (2021). An approach to using the best-worst method for supporting sustainability reporting decision-making in SMEs. </w:t>
      </w:r>
      <w:r w:rsidRPr="0001752F">
        <w:rPr>
          <w:rFonts w:cs="Times New Roman"/>
          <w:i/>
          <w:iCs/>
          <w:noProof/>
          <w:szCs w:val="24"/>
        </w:rPr>
        <w:t>Journal of Environmental Planning and Management</w:t>
      </w:r>
      <w:r w:rsidRPr="0001752F">
        <w:rPr>
          <w:rFonts w:cs="Times New Roman"/>
          <w:noProof/>
          <w:szCs w:val="24"/>
        </w:rPr>
        <w:t xml:space="preserve">, </w:t>
      </w:r>
      <w:r w:rsidRPr="0001752F">
        <w:rPr>
          <w:rFonts w:cs="Times New Roman"/>
          <w:i/>
          <w:iCs/>
          <w:noProof/>
          <w:szCs w:val="24"/>
        </w:rPr>
        <w:t>64</w:t>
      </w:r>
      <w:r w:rsidRPr="0001752F">
        <w:rPr>
          <w:rFonts w:cs="Times New Roman"/>
          <w:noProof/>
          <w:szCs w:val="24"/>
        </w:rPr>
        <w:t>(14), 2618–2640. https://doi.org/10.1080/09640568.2021.1876003</w:t>
      </w:r>
    </w:p>
    <w:p w14:paraId="083295CB" w14:textId="4A84839C" w:rsidR="0063261F" w:rsidRPr="0001752F" w:rsidRDefault="0063261F" w:rsidP="00397172">
      <w:pPr>
        <w:spacing w:after="0" w:line="240" w:lineRule="auto"/>
        <w:ind w:left="567" w:hanging="567"/>
        <w:rPr>
          <w:rFonts w:cs="Times New Roman"/>
          <w:szCs w:val="24"/>
        </w:rPr>
      </w:pPr>
      <w:r w:rsidRPr="0001752F">
        <w:rPr>
          <w:rStyle w:val="markedcontent"/>
          <w:rFonts w:cs="Times New Roman"/>
          <w:szCs w:val="24"/>
        </w:rPr>
        <w:t>Said, R., Zainuddin, Y. H., &amp; Haron, H. (2009). The relationship</w:t>
      </w:r>
      <w:r w:rsidRPr="0001752F">
        <w:rPr>
          <w:rFonts w:cs="Times New Roman"/>
          <w:szCs w:val="24"/>
        </w:rPr>
        <w:br/>
      </w:r>
      <w:r w:rsidRPr="0001752F">
        <w:rPr>
          <w:rStyle w:val="markedcontent"/>
          <w:rFonts w:cs="Times New Roman"/>
          <w:szCs w:val="24"/>
        </w:rPr>
        <w:t>between corporate social responsibility disclosure and corporate</w:t>
      </w:r>
      <w:r w:rsidRPr="0001752F">
        <w:rPr>
          <w:rFonts w:cs="Times New Roman"/>
          <w:szCs w:val="24"/>
        </w:rPr>
        <w:br/>
      </w:r>
      <w:r w:rsidRPr="0001752F">
        <w:rPr>
          <w:rStyle w:val="markedcontent"/>
          <w:rFonts w:cs="Times New Roman"/>
          <w:szCs w:val="24"/>
        </w:rPr>
        <w:t>governance characteristics in Malaysian public listed companies.</w:t>
      </w:r>
      <w:r w:rsidRPr="0001752F">
        <w:rPr>
          <w:rFonts w:cs="Times New Roman"/>
          <w:szCs w:val="24"/>
        </w:rPr>
        <w:br/>
      </w:r>
      <w:r w:rsidRPr="0001752F">
        <w:rPr>
          <w:rStyle w:val="markedcontent"/>
          <w:rFonts w:cs="Times New Roman"/>
          <w:szCs w:val="24"/>
        </w:rPr>
        <w:t>Social Responsibility Journal, 5, 212-2</w:t>
      </w:r>
    </w:p>
    <w:p w14:paraId="11200085" w14:textId="37746AD1" w:rsidR="002427A3" w:rsidRPr="0001752F" w:rsidRDefault="002427A3" w:rsidP="00397172">
      <w:pPr>
        <w:spacing w:after="0" w:line="240" w:lineRule="auto"/>
        <w:ind w:left="567" w:hanging="567"/>
        <w:rPr>
          <w:rFonts w:cs="Times New Roman"/>
          <w:szCs w:val="24"/>
        </w:rPr>
      </w:pPr>
      <w:r w:rsidRPr="0001752F">
        <w:rPr>
          <w:rFonts w:cs="Times New Roman"/>
          <w:szCs w:val="24"/>
        </w:rPr>
        <w:lastRenderedPageBreak/>
        <w:t xml:space="preserve">Sakshi, S., Cerchione, R., &amp; Bansal, H. (2020). Measuring the impact of sustainability policy and practices in tourism and hospitality industry. Business Strategy and the Environment, 29, 1109–1126 </w:t>
      </w:r>
    </w:p>
    <w:p w14:paraId="13C0A0F9"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Sotorrío, L. L., &amp; Sánchez, J. L. F. (2010). Corporate social reporting for different audiences: The case of multinational corporations in Spain. </w:t>
      </w:r>
      <w:r w:rsidRPr="0001752F">
        <w:rPr>
          <w:rFonts w:cs="Times New Roman"/>
          <w:i/>
          <w:iCs/>
          <w:noProof/>
          <w:szCs w:val="24"/>
        </w:rPr>
        <w:t>Corporate Social Responsibility and Environmental Management</w:t>
      </w:r>
      <w:r w:rsidRPr="0001752F">
        <w:rPr>
          <w:rFonts w:cs="Times New Roman"/>
          <w:noProof/>
          <w:szCs w:val="24"/>
        </w:rPr>
        <w:t xml:space="preserve">, </w:t>
      </w:r>
      <w:r w:rsidRPr="0001752F">
        <w:rPr>
          <w:rFonts w:cs="Times New Roman"/>
          <w:i/>
          <w:iCs/>
          <w:noProof/>
          <w:szCs w:val="24"/>
        </w:rPr>
        <w:t>17</w:t>
      </w:r>
      <w:r w:rsidRPr="0001752F">
        <w:rPr>
          <w:rFonts w:cs="Times New Roman"/>
          <w:noProof/>
          <w:szCs w:val="24"/>
        </w:rPr>
        <w:t>(5), 272–283. https://doi.org/10.1002/csr.215</w:t>
      </w:r>
    </w:p>
    <w:p w14:paraId="5FEC1BD7"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Steinhöfel, Erik, Mila Galeitzke, Holger Kohl, and Ronald Orth. (2019). Sustainability Reporting in German Manufacturing SMEs. Procedia Manufacturing 33: 610–17.</w:t>
      </w:r>
    </w:p>
    <w:p w14:paraId="7FF4E776"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Sulaiman, M., Abdullah, N., Fatima, A. H., Sciences, M., Gombak, J., Lumpur, K., Campus, G. B., &amp; Terengganu, K. (2014). </w:t>
      </w:r>
      <w:r w:rsidRPr="0001752F">
        <w:rPr>
          <w:rFonts w:cs="Times New Roman"/>
          <w:i/>
          <w:iCs/>
          <w:noProof/>
          <w:szCs w:val="24"/>
        </w:rPr>
        <w:t>Determinants Of Environmental Reporting</w:t>
      </w:r>
      <w:r w:rsidRPr="0001752F">
        <w:rPr>
          <w:rFonts w:cs="Times New Roman"/>
          <w:noProof/>
          <w:szCs w:val="24"/>
        </w:rPr>
        <w:t xml:space="preserve">. </w:t>
      </w:r>
      <w:r w:rsidRPr="0001752F">
        <w:rPr>
          <w:rFonts w:cs="Times New Roman"/>
          <w:i/>
          <w:iCs/>
          <w:noProof/>
          <w:szCs w:val="24"/>
        </w:rPr>
        <w:t>1</w:t>
      </w:r>
      <w:r w:rsidRPr="0001752F">
        <w:rPr>
          <w:rFonts w:cs="Times New Roman"/>
          <w:noProof/>
          <w:szCs w:val="24"/>
        </w:rPr>
        <w:t>(1), 63–90.</w:t>
      </w:r>
    </w:p>
    <w:p w14:paraId="4A7F84A5" w14:textId="2B526887" w:rsidR="00C558C7" w:rsidRPr="0001752F" w:rsidRDefault="00C558C7"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Talbot, D., Raineri, N., &amp; Daou, A. (2021). Implementation of sustainability management tools: The contribution of awareness, external pressures, and stakeholder consultation. </w:t>
      </w:r>
      <w:r w:rsidRPr="0001752F">
        <w:rPr>
          <w:rFonts w:cs="Times New Roman"/>
          <w:i/>
          <w:iCs/>
          <w:noProof/>
          <w:szCs w:val="24"/>
        </w:rPr>
        <w:t>Corporate Social Responsibility and Environmental Management</w:t>
      </w:r>
      <w:r w:rsidRPr="0001752F">
        <w:rPr>
          <w:rFonts w:cs="Times New Roman"/>
          <w:noProof/>
          <w:szCs w:val="24"/>
        </w:rPr>
        <w:t xml:space="preserve">, </w:t>
      </w:r>
      <w:r w:rsidRPr="0001752F">
        <w:rPr>
          <w:rFonts w:cs="Times New Roman"/>
          <w:i/>
          <w:iCs/>
          <w:noProof/>
          <w:szCs w:val="24"/>
        </w:rPr>
        <w:t>28</w:t>
      </w:r>
      <w:r w:rsidRPr="0001752F">
        <w:rPr>
          <w:rFonts w:cs="Times New Roman"/>
          <w:noProof/>
          <w:szCs w:val="24"/>
        </w:rPr>
        <w:t>(1), 71–81. https://doi.org/10.1002/csr.2033</w:t>
      </w:r>
    </w:p>
    <w:p w14:paraId="1FA7D172"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Tauringana, V. (2020). </w:t>
      </w:r>
      <w:r w:rsidRPr="0001752F">
        <w:rPr>
          <w:rFonts w:cs="Times New Roman"/>
          <w:i/>
          <w:iCs/>
          <w:noProof/>
          <w:szCs w:val="24"/>
        </w:rPr>
        <w:t>Sustainability reporting challenges in developing countries : towards management perceptions research evidence-based practices</w:t>
      </w:r>
      <w:r w:rsidRPr="0001752F">
        <w:rPr>
          <w:rFonts w:cs="Times New Roman"/>
          <w:noProof/>
          <w:szCs w:val="24"/>
        </w:rPr>
        <w:t xml:space="preserve">. </w:t>
      </w:r>
      <w:r w:rsidRPr="0001752F">
        <w:rPr>
          <w:rFonts w:cs="Times New Roman"/>
          <w:i/>
          <w:iCs/>
          <w:noProof/>
          <w:szCs w:val="24"/>
        </w:rPr>
        <w:t>2019</w:t>
      </w:r>
      <w:r w:rsidRPr="0001752F">
        <w:rPr>
          <w:rFonts w:cs="Times New Roman"/>
          <w:noProof/>
          <w:szCs w:val="24"/>
        </w:rPr>
        <w:t>. https://doi.org/10.1108/JAEE-01-2020-0007</w:t>
      </w:r>
    </w:p>
    <w:p w14:paraId="041AD1EB"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Uhlaner, L. M., Berent-Braun, M. M., Jeurissen, R. J. M., &amp; de Wit, G. (2012). Beyond Size: Predicting Engagement in Environmental Management Practices of Dutch SMEs. </w:t>
      </w:r>
      <w:r w:rsidRPr="0001752F">
        <w:rPr>
          <w:rFonts w:cs="Times New Roman"/>
          <w:i/>
          <w:iCs/>
          <w:noProof/>
          <w:szCs w:val="24"/>
        </w:rPr>
        <w:t>Journal of Business Ethics</w:t>
      </w:r>
      <w:r w:rsidRPr="0001752F">
        <w:rPr>
          <w:rFonts w:cs="Times New Roman"/>
          <w:noProof/>
          <w:szCs w:val="24"/>
        </w:rPr>
        <w:t xml:space="preserve">, </w:t>
      </w:r>
      <w:r w:rsidRPr="0001752F">
        <w:rPr>
          <w:rFonts w:cs="Times New Roman"/>
          <w:i/>
          <w:iCs/>
          <w:noProof/>
          <w:szCs w:val="24"/>
        </w:rPr>
        <w:t>109</w:t>
      </w:r>
      <w:r w:rsidRPr="0001752F">
        <w:rPr>
          <w:rFonts w:cs="Times New Roman"/>
          <w:noProof/>
          <w:szCs w:val="24"/>
        </w:rPr>
        <w:t>(4), 411–429. https://doi.org/10.1007/s10551-011-1137-x</w:t>
      </w:r>
    </w:p>
    <w:p w14:paraId="13F3CD23"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Veleva, V., Hart, M., Greiner, T., &amp; Crumbley, C. (2003). Indicators for measuring environmental sustainability: A case study of the pharmaceutical industry. </w:t>
      </w:r>
      <w:r w:rsidRPr="0001752F">
        <w:rPr>
          <w:rFonts w:cs="Times New Roman"/>
          <w:i/>
          <w:iCs/>
          <w:noProof/>
          <w:szCs w:val="24"/>
        </w:rPr>
        <w:t>Benchmarking</w:t>
      </w:r>
      <w:r w:rsidRPr="0001752F">
        <w:rPr>
          <w:rFonts w:cs="Times New Roman"/>
          <w:noProof/>
          <w:szCs w:val="24"/>
        </w:rPr>
        <w:t xml:space="preserve">, </w:t>
      </w:r>
      <w:r w:rsidRPr="0001752F">
        <w:rPr>
          <w:rFonts w:cs="Times New Roman"/>
          <w:i/>
          <w:iCs/>
          <w:noProof/>
          <w:szCs w:val="24"/>
        </w:rPr>
        <w:t>10</w:t>
      </w:r>
      <w:r w:rsidRPr="0001752F">
        <w:rPr>
          <w:rFonts w:cs="Times New Roman"/>
          <w:noProof/>
          <w:szCs w:val="24"/>
        </w:rPr>
        <w:t>(2), 107–119. https://doi.org/10.1108/14635770310469644</w:t>
      </w:r>
    </w:p>
    <w:p w14:paraId="0B116400"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Villiers, C. J. De. (2003). Why do South African companies not report more environmental information when managers are so positive about this kind of reporting ? 11, 11–23.</w:t>
      </w:r>
    </w:p>
    <w:p w14:paraId="353614E4"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Visser, B. W. (2003). </w:t>
      </w:r>
      <w:r w:rsidRPr="0001752F">
        <w:rPr>
          <w:rFonts w:cs="Times New Roman"/>
          <w:i/>
          <w:iCs/>
          <w:noProof/>
          <w:szCs w:val="24"/>
        </w:rPr>
        <w:t>Corporate Responsibility in a Developing Country Context</w:t>
      </w:r>
      <w:r w:rsidRPr="0001752F">
        <w:rPr>
          <w:rFonts w:cs="Times New Roman"/>
          <w:noProof/>
          <w:szCs w:val="24"/>
        </w:rPr>
        <w:t xml:space="preserve">. </w:t>
      </w:r>
      <w:r w:rsidRPr="0001752F">
        <w:rPr>
          <w:rFonts w:cs="Times New Roman"/>
          <w:i/>
          <w:iCs/>
          <w:noProof/>
          <w:szCs w:val="24"/>
        </w:rPr>
        <w:t>20</w:t>
      </w:r>
      <w:r w:rsidRPr="0001752F">
        <w:rPr>
          <w:rFonts w:cs="Times New Roman"/>
          <w:noProof/>
          <w:szCs w:val="24"/>
        </w:rPr>
        <w:t>, 1–3.</w:t>
      </w:r>
    </w:p>
    <w:p w14:paraId="76CC2DD7" w14:textId="77777777" w:rsidR="002427A3" w:rsidRPr="0001752F" w:rsidRDefault="002427A3" w:rsidP="00397172">
      <w:pPr>
        <w:spacing w:after="0" w:line="240" w:lineRule="auto"/>
        <w:ind w:left="567" w:hanging="567"/>
        <w:rPr>
          <w:rFonts w:cs="Times New Roman"/>
          <w:szCs w:val="24"/>
        </w:rPr>
      </w:pPr>
      <w:r w:rsidRPr="0001752F">
        <w:rPr>
          <w:rFonts w:cs="Times New Roman"/>
          <w:szCs w:val="24"/>
        </w:rPr>
        <w:t>Wernerfelt B. (1984). A resource-based view of the firm. Strategic Management Journal 5(2): 171–180.</w:t>
      </w:r>
    </w:p>
    <w:p w14:paraId="12078818"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Wilmshurst, T. D., &amp; Frost, G. R. (2000). </w:t>
      </w:r>
      <w:r w:rsidRPr="0001752F">
        <w:rPr>
          <w:rFonts w:cs="Times New Roman"/>
          <w:i/>
          <w:iCs/>
          <w:noProof/>
          <w:szCs w:val="24"/>
        </w:rPr>
        <w:t>Corporate environmental reporting A test of legitimacy theory</w:t>
      </w:r>
      <w:r w:rsidRPr="0001752F">
        <w:rPr>
          <w:rFonts w:cs="Times New Roman"/>
          <w:noProof/>
          <w:szCs w:val="24"/>
        </w:rPr>
        <w:t xml:space="preserve">. </w:t>
      </w:r>
      <w:r w:rsidRPr="0001752F">
        <w:rPr>
          <w:rFonts w:cs="Times New Roman"/>
          <w:i/>
          <w:iCs/>
          <w:noProof/>
          <w:szCs w:val="24"/>
        </w:rPr>
        <w:t>13</w:t>
      </w:r>
      <w:r w:rsidRPr="0001752F">
        <w:rPr>
          <w:rFonts w:cs="Times New Roman"/>
          <w:noProof/>
          <w:szCs w:val="24"/>
        </w:rPr>
        <w:t>(1), 10–26.</w:t>
      </w:r>
    </w:p>
    <w:p w14:paraId="45FCC547"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Style w:val="markedcontent"/>
          <w:rFonts w:cs="Times New Roman"/>
          <w:szCs w:val="24"/>
        </w:rPr>
        <w:t>Yahya, A. Z., Othman, M. S. and Shamsuri, A. L. S. (2012). The impact of training on small and medium enterprises, SMEs performance. Journal of Professional Management, 2(1): 15-25.</w:t>
      </w:r>
    </w:p>
    <w:p w14:paraId="0D29165A" w14:textId="77777777" w:rsidR="002427A3" w:rsidRPr="0001752F" w:rsidRDefault="002427A3" w:rsidP="00397172">
      <w:pPr>
        <w:widowControl w:val="0"/>
        <w:autoSpaceDE w:val="0"/>
        <w:autoSpaceDN w:val="0"/>
        <w:adjustRightInd w:val="0"/>
        <w:spacing w:after="0" w:line="240" w:lineRule="auto"/>
        <w:ind w:left="567" w:hanging="567"/>
        <w:rPr>
          <w:rFonts w:cs="Times New Roman"/>
          <w:noProof/>
          <w:szCs w:val="24"/>
        </w:rPr>
      </w:pPr>
      <w:r w:rsidRPr="0001752F">
        <w:rPr>
          <w:rFonts w:cs="Times New Roman"/>
          <w:szCs w:val="24"/>
        </w:rPr>
        <w:t>Yusuf, A., Saffu, K., 2005. Planning and performance of small and medium enterprise operators in a country in transition. Journal of Small Business Management 43 (4), 480–497.</w:t>
      </w:r>
    </w:p>
    <w:p w14:paraId="4193829C" w14:textId="7E65F4F2" w:rsidR="00237B9E" w:rsidRPr="0001752F" w:rsidRDefault="002427A3" w:rsidP="00C558C7">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t xml:space="preserve">Zhao, N., &amp; Patten, D. M. (2016). An exploratory analysis of managerial perceptions of social and environmental reporting in China: Evidence from state-owned enterprises in Beijing. </w:t>
      </w:r>
      <w:r w:rsidRPr="0001752F">
        <w:rPr>
          <w:rFonts w:cs="Times New Roman"/>
          <w:i/>
          <w:iCs/>
          <w:noProof/>
          <w:szCs w:val="24"/>
        </w:rPr>
        <w:t>Sustainability Accounting, Management and Policy Journal</w:t>
      </w:r>
      <w:r w:rsidRPr="0001752F">
        <w:rPr>
          <w:rFonts w:cs="Times New Roman"/>
          <w:noProof/>
          <w:szCs w:val="24"/>
        </w:rPr>
        <w:t xml:space="preserve">, </w:t>
      </w:r>
      <w:r w:rsidRPr="0001752F">
        <w:rPr>
          <w:rFonts w:cs="Times New Roman"/>
          <w:i/>
          <w:iCs/>
          <w:noProof/>
          <w:szCs w:val="24"/>
        </w:rPr>
        <w:t>7</w:t>
      </w:r>
      <w:r w:rsidRPr="0001752F">
        <w:rPr>
          <w:rFonts w:cs="Times New Roman"/>
          <w:noProof/>
          <w:szCs w:val="24"/>
        </w:rPr>
        <w:t xml:space="preserve">(1), 80–98. </w:t>
      </w:r>
      <w:r w:rsidR="00237B9E" w:rsidRPr="0001752F">
        <w:rPr>
          <w:rFonts w:cs="Times New Roman"/>
          <w:noProof/>
          <w:szCs w:val="24"/>
        </w:rPr>
        <w:fldChar w:fldCharType="begin" w:fldLock="1"/>
      </w:r>
      <w:r w:rsidR="00237B9E" w:rsidRPr="0001752F">
        <w:rPr>
          <w:rFonts w:cs="Times New Roman"/>
          <w:noProof/>
          <w:szCs w:val="24"/>
        </w:rPr>
        <w:instrText xml:space="preserve">ADDIN Mendeley Bibliography CSL_BIBLIOGRAPHY </w:instrText>
      </w:r>
      <w:r w:rsidR="00237B9E" w:rsidRPr="0001752F">
        <w:rPr>
          <w:rFonts w:cs="Times New Roman"/>
          <w:noProof/>
          <w:szCs w:val="24"/>
        </w:rPr>
        <w:fldChar w:fldCharType="separate"/>
      </w:r>
    </w:p>
    <w:p w14:paraId="2E82B500" w14:textId="1E3F66D7" w:rsidR="00237B9E" w:rsidRPr="0001752F" w:rsidRDefault="00237B9E" w:rsidP="00237B9E">
      <w:pPr>
        <w:widowControl w:val="0"/>
        <w:autoSpaceDE w:val="0"/>
        <w:autoSpaceDN w:val="0"/>
        <w:adjustRightInd w:val="0"/>
        <w:spacing w:after="0" w:line="240" w:lineRule="auto"/>
        <w:ind w:left="567" w:hanging="567"/>
        <w:rPr>
          <w:rFonts w:cs="Times New Roman"/>
          <w:noProof/>
          <w:szCs w:val="24"/>
        </w:rPr>
      </w:pPr>
      <w:r w:rsidRPr="0001752F">
        <w:rPr>
          <w:rFonts w:cs="Times New Roman"/>
          <w:noProof/>
          <w:szCs w:val="24"/>
        </w:rPr>
        <w:fldChar w:fldCharType="end"/>
      </w:r>
    </w:p>
    <w:sectPr w:rsidR="00237B9E" w:rsidRPr="0001752F" w:rsidSect="00325412">
      <w:footerReference w:type="default" r:id="rId26"/>
      <w:pgSz w:w="11909" w:h="16834" w:code="9"/>
      <w:pgMar w:top="1440" w:right="1440" w:bottom="1440" w:left="1710" w:header="70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81D9" w14:textId="77777777" w:rsidR="00325412" w:rsidRDefault="00325412" w:rsidP="00D37E10">
      <w:pPr>
        <w:spacing w:after="0" w:line="240" w:lineRule="auto"/>
      </w:pPr>
      <w:r>
        <w:separator/>
      </w:r>
    </w:p>
  </w:endnote>
  <w:endnote w:type="continuationSeparator" w:id="0">
    <w:p w14:paraId="523DC3BD" w14:textId="77777777" w:rsidR="00325412" w:rsidRDefault="00325412" w:rsidP="00D3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xusSansWeb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611401"/>
      <w:docPartObj>
        <w:docPartGallery w:val="Page Numbers (Bottom of Page)"/>
        <w:docPartUnique/>
      </w:docPartObj>
    </w:sdtPr>
    <w:sdtEndPr>
      <w:rPr>
        <w:noProof/>
      </w:rPr>
    </w:sdtEndPr>
    <w:sdtContent>
      <w:p w14:paraId="1129721B" w14:textId="602D4EFD" w:rsidR="00005880" w:rsidRDefault="00005880">
        <w:pPr>
          <w:pStyle w:val="Footer"/>
          <w:jc w:val="center"/>
        </w:pPr>
        <w:r>
          <w:fldChar w:fldCharType="begin"/>
        </w:r>
        <w:r>
          <w:instrText xml:space="preserve"> PAGE   \* MERGEFORMAT </w:instrText>
        </w:r>
        <w:r>
          <w:fldChar w:fldCharType="separate"/>
        </w:r>
        <w:r w:rsidR="00A902E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EFC7" w14:textId="77777777" w:rsidR="00325412" w:rsidRDefault="00325412" w:rsidP="00D37E10">
      <w:pPr>
        <w:spacing w:after="0" w:line="240" w:lineRule="auto"/>
      </w:pPr>
      <w:r>
        <w:separator/>
      </w:r>
    </w:p>
  </w:footnote>
  <w:footnote w:type="continuationSeparator" w:id="0">
    <w:p w14:paraId="53ECDD35" w14:textId="77777777" w:rsidR="00325412" w:rsidRDefault="00325412" w:rsidP="00D37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57"/>
    <w:multiLevelType w:val="hybridMultilevel"/>
    <w:tmpl w:val="46F6C51E"/>
    <w:lvl w:ilvl="0" w:tplc="9D9AA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0579C"/>
    <w:multiLevelType w:val="hybridMultilevel"/>
    <w:tmpl w:val="56A8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45B8F"/>
    <w:multiLevelType w:val="hybridMultilevel"/>
    <w:tmpl w:val="27FA1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35F8C"/>
    <w:multiLevelType w:val="hybridMultilevel"/>
    <w:tmpl w:val="C422EE7E"/>
    <w:lvl w:ilvl="0" w:tplc="EA80E904">
      <w:start w:val="15"/>
      <w:numFmt w:val="decimal"/>
      <w:lvlText w:val="%1."/>
      <w:lvlJc w:val="left"/>
      <w:pPr>
        <w:ind w:left="-831" w:hanging="360"/>
      </w:pPr>
      <w:rPr>
        <w:rFonts w:hint="default"/>
      </w:rPr>
    </w:lvl>
    <w:lvl w:ilvl="1" w:tplc="04090019" w:tentative="1">
      <w:start w:val="1"/>
      <w:numFmt w:val="lowerLetter"/>
      <w:lvlText w:val="%2."/>
      <w:lvlJc w:val="left"/>
      <w:pPr>
        <w:ind w:left="-111" w:hanging="360"/>
      </w:pPr>
    </w:lvl>
    <w:lvl w:ilvl="2" w:tplc="0409001B" w:tentative="1">
      <w:start w:val="1"/>
      <w:numFmt w:val="lowerRoman"/>
      <w:lvlText w:val="%3."/>
      <w:lvlJc w:val="right"/>
      <w:pPr>
        <w:ind w:left="609" w:hanging="180"/>
      </w:pPr>
    </w:lvl>
    <w:lvl w:ilvl="3" w:tplc="0409000F" w:tentative="1">
      <w:start w:val="1"/>
      <w:numFmt w:val="decimal"/>
      <w:lvlText w:val="%4."/>
      <w:lvlJc w:val="left"/>
      <w:pPr>
        <w:ind w:left="1329" w:hanging="360"/>
      </w:pPr>
    </w:lvl>
    <w:lvl w:ilvl="4" w:tplc="04090019" w:tentative="1">
      <w:start w:val="1"/>
      <w:numFmt w:val="lowerLetter"/>
      <w:lvlText w:val="%5."/>
      <w:lvlJc w:val="left"/>
      <w:pPr>
        <w:ind w:left="2049" w:hanging="360"/>
      </w:pPr>
    </w:lvl>
    <w:lvl w:ilvl="5" w:tplc="0409001B" w:tentative="1">
      <w:start w:val="1"/>
      <w:numFmt w:val="lowerRoman"/>
      <w:lvlText w:val="%6."/>
      <w:lvlJc w:val="right"/>
      <w:pPr>
        <w:ind w:left="2769" w:hanging="180"/>
      </w:pPr>
    </w:lvl>
    <w:lvl w:ilvl="6" w:tplc="0409000F" w:tentative="1">
      <w:start w:val="1"/>
      <w:numFmt w:val="decimal"/>
      <w:lvlText w:val="%7."/>
      <w:lvlJc w:val="left"/>
      <w:pPr>
        <w:ind w:left="3489" w:hanging="360"/>
      </w:pPr>
    </w:lvl>
    <w:lvl w:ilvl="7" w:tplc="04090019" w:tentative="1">
      <w:start w:val="1"/>
      <w:numFmt w:val="lowerLetter"/>
      <w:lvlText w:val="%8."/>
      <w:lvlJc w:val="left"/>
      <w:pPr>
        <w:ind w:left="4209" w:hanging="360"/>
      </w:pPr>
    </w:lvl>
    <w:lvl w:ilvl="8" w:tplc="0409001B" w:tentative="1">
      <w:start w:val="1"/>
      <w:numFmt w:val="lowerRoman"/>
      <w:lvlText w:val="%9."/>
      <w:lvlJc w:val="right"/>
      <w:pPr>
        <w:ind w:left="4929" w:hanging="180"/>
      </w:pPr>
    </w:lvl>
  </w:abstractNum>
  <w:abstractNum w:abstractNumId="4" w15:restartNumberingAfterBreak="0">
    <w:nsid w:val="09FA62F5"/>
    <w:multiLevelType w:val="hybridMultilevel"/>
    <w:tmpl w:val="ED86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26323"/>
    <w:multiLevelType w:val="hybridMultilevel"/>
    <w:tmpl w:val="3FC8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B2084"/>
    <w:multiLevelType w:val="hybridMultilevel"/>
    <w:tmpl w:val="ED86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C6250"/>
    <w:multiLevelType w:val="hybridMultilevel"/>
    <w:tmpl w:val="45D8DD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EF5806"/>
    <w:multiLevelType w:val="hybridMultilevel"/>
    <w:tmpl w:val="421C8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97720"/>
    <w:multiLevelType w:val="hybridMultilevel"/>
    <w:tmpl w:val="ABD6AF5E"/>
    <w:lvl w:ilvl="0" w:tplc="B67EB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B366E"/>
    <w:multiLevelType w:val="hybridMultilevel"/>
    <w:tmpl w:val="DE9A4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110B4"/>
    <w:multiLevelType w:val="hybridMultilevel"/>
    <w:tmpl w:val="4A400CD6"/>
    <w:lvl w:ilvl="0" w:tplc="8D7C6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819B4"/>
    <w:multiLevelType w:val="hybridMultilevel"/>
    <w:tmpl w:val="151643C0"/>
    <w:lvl w:ilvl="0" w:tplc="C280515E">
      <w:start w:val="1"/>
      <w:numFmt w:val="lowerRoman"/>
      <w:lvlText w:val="%1."/>
      <w:lvlJc w:val="left"/>
      <w:pPr>
        <w:ind w:left="-413" w:hanging="720"/>
      </w:pPr>
      <w:rPr>
        <w:rFonts w:hint="default"/>
      </w:rPr>
    </w:lvl>
    <w:lvl w:ilvl="1" w:tplc="04090019" w:tentative="1">
      <w:start w:val="1"/>
      <w:numFmt w:val="lowerLetter"/>
      <w:lvlText w:val="%2."/>
      <w:lvlJc w:val="left"/>
      <w:pPr>
        <w:ind w:left="-53" w:hanging="360"/>
      </w:pPr>
    </w:lvl>
    <w:lvl w:ilvl="2" w:tplc="0409001B" w:tentative="1">
      <w:start w:val="1"/>
      <w:numFmt w:val="lowerRoman"/>
      <w:lvlText w:val="%3."/>
      <w:lvlJc w:val="right"/>
      <w:pPr>
        <w:ind w:left="667" w:hanging="180"/>
      </w:pPr>
    </w:lvl>
    <w:lvl w:ilvl="3" w:tplc="0409000F" w:tentative="1">
      <w:start w:val="1"/>
      <w:numFmt w:val="decimal"/>
      <w:lvlText w:val="%4."/>
      <w:lvlJc w:val="left"/>
      <w:pPr>
        <w:ind w:left="1387" w:hanging="360"/>
      </w:pPr>
    </w:lvl>
    <w:lvl w:ilvl="4" w:tplc="04090019" w:tentative="1">
      <w:start w:val="1"/>
      <w:numFmt w:val="lowerLetter"/>
      <w:lvlText w:val="%5."/>
      <w:lvlJc w:val="left"/>
      <w:pPr>
        <w:ind w:left="2107" w:hanging="360"/>
      </w:pPr>
    </w:lvl>
    <w:lvl w:ilvl="5" w:tplc="0409001B" w:tentative="1">
      <w:start w:val="1"/>
      <w:numFmt w:val="lowerRoman"/>
      <w:lvlText w:val="%6."/>
      <w:lvlJc w:val="right"/>
      <w:pPr>
        <w:ind w:left="2827" w:hanging="180"/>
      </w:pPr>
    </w:lvl>
    <w:lvl w:ilvl="6" w:tplc="0409000F" w:tentative="1">
      <w:start w:val="1"/>
      <w:numFmt w:val="decimal"/>
      <w:lvlText w:val="%7."/>
      <w:lvlJc w:val="left"/>
      <w:pPr>
        <w:ind w:left="3547" w:hanging="360"/>
      </w:pPr>
    </w:lvl>
    <w:lvl w:ilvl="7" w:tplc="04090019" w:tentative="1">
      <w:start w:val="1"/>
      <w:numFmt w:val="lowerLetter"/>
      <w:lvlText w:val="%8."/>
      <w:lvlJc w:val="left"/>
      <w:pPr>
        <w:ind w:left="4267" w:hanging="360"/>
      </w:pPr>
    </w:lvl>
    <w:lvl w:ilvl="8" w:tplc="0409001B" w:tentative="1">
      <w:start w:val="1"/>
      <w:numFmt w:val="lowerRoman"/>
      <w:lvlText w:val="%9."/>
      <w:lvlJc w:val="right"/>
      <w:pPr>
        <w:ind w:left="4987" w:hanging="180"/>
      </w:pPr>
    </w:lvl>
  </w:abstractNum>
  <w:abstractNum w:abstractNumId="13" w15:restartNumberingAfterBreak="0">
    <w:nsid w:val="3F043C73"/>
    <w:multiLevelType w:val="hybridMultilevel"/>
    <w:tmpl w:val="22C6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D5729"/>
    <w:multiLevelType w:val="hybridMultilevel"/>
    <w:tmpl w:val="51FA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642E4"/>
    <w:multiLevelType w:val="hybridMultilevel"/>
    <w:tmpl w:val="70E22310"/>
    <w:lvl w:ilvl="0" w:tplc="8BC0CB54">
      <w:start w:val="1"/>
      <w:numFmt w:val="decimal"/>
      <w:lvlText w:val="%1."/>
      <w:lvlJc w:val="left"/>
      <w:pPr>
        <w:ind w:left="-694" w:hanging="360"/>
      </w:pPr>
      <w:rPr>
        <w:b w:val="0"/>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6" w15:restartNumberingAfterBreak="0">
    <w:nsid w:val="55881700"/>
    <w:multiLevelType w:val="hybridMultilevel"/>
    <w:tmpl w:val="7DA0EC8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D6E51"/>
    <w:multiLevelType w:val="hybridMultilevel"/>
    <w:tmpl w:val="8048B644"/>
    <w:lvl w:ilvl="0" w:tplc="462A1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F0D37"/>
    <w:multiLevelType w:val="hybridMultilevel"/>
    <w:tmpl w:val="BA62F41E"/>
    <w:lvl w:ilvl="0" w:tplc="A792391E">
      <w:start w:val="1"/>
      <w:numFmt w:val="lowerLetter"/>
      <w:lvlText w:val="%1."/>
      <w:lvlJc w:val="left"/>
      <w:pPr>
        <w:ind w:left="-120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240" w:hanging="180"/>
      </w:pPr>
    </w:lvl>
    <w:lvl w:ilvl="3" w:tplc="0409000F" w:tentative="1">
      <w:start w:val="1"/>
      <w:numFmt w:val="decimal"/>
      <w:lvlText w:val="%4."/>
      <w:lvlJc w:val="left"/>
      <w:pPr>
        <w:ind w:left="960" w:hanging="360"/>
      </w:pPr>
    </w:lvl>
    <w:lvl w:ilvl="4" w:tplc="04090019" w:tentative="1">
      <w:start w:val="1"/>
      <w:numFmt w:val="lowerLetter"/>
      <w:lvlText w:val="%5."/>
      <w:lvlJc w:val="left"/>
      <w:pPr>
        <w:ind w:left="1680" w:hanging="360"/>
      </w:pPr>
    </w:lvl>
    <w:lvl w:ilvl="5" w:tplc="0409001B" w:tentative="1">
      <w:start w:val="1"/>
      <w:numFmt w:val="lowerRoman"/>
      <w:lvlText w:val="%6."/>
      <w:lvlJc w:val="right"/>
      <w:pPr>
        <w:ind w:left="2400" w:hanging="180"/>
      </w:pPr>
    </w:lvl>
    <w:lvl w:ilvl="6" w:tplc="0409000F" w:tentative="1">
      <w:start w:val="1"/>
      <w:numFmt w:val="decimal"/>
      <w:lvlText w:val="%7."/>
      <w:lvlJc w:val="left"/>
      <w:pPr>
        <w:ind w:left="3120" w:hanging="360"/>
      </w:pPr>
    </w:lvl>
    <w:lvl w:ilvl="7" w:tplc="04090019" w:tentative="1">
      <w:start w:val="1"/>
      <w:numFmt w:val="lowerLetter"/>
      <w:lvlText w:val="%8."/>
      <w:lvlJc w:val="left"/>
      <w:pPr>
        <w:ind w:left="3840" w:hanging="360"/>
      </w:pPr>
    </w:lvl>
    <w:lvl w:ilvl="8" w:tplc="0409001B" w:tentative="1">
      <w:start w:val="1"/>
      <w:numFmt w:val="lowerRoman"/>
      <w:lvlText w:val="%9."/>
      <w:lvlJc w:val="right"/>
      <w:pPr>
        <w:ind w:left="4560" w:hanging="180"/>
      </w:pPr>
    </w:lvl>
  </w:abstractNum>
  <w:abstractNum w:abstractNumId="19" w15:restartNumberingAfterBreak="0">
    <w:nsid w:val="74536531"/>
    <w:multiLevelType w:val="hybridMultilevel"/>
    <w:tmpl w:val="C2188674"/>
    <w:lvl w:ilvl="0" w:tplc="A970BA6C">
      <w:start w:val="1"/>
      <w:numFmt w:val="lowerRoman"/>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B13AA"/>
    <w:multiLevelType w:val="hybridMultilevel"/>
    <w:tmpl w:val="E088736A"/>
    <w:lvl w:ilvl="0" w:tplc="83C0EC88">
      <w:start w:val="1"/>
      <w:numFmt w:val="lowerRoman"/>
      <w:lvlText w:val="%1."/>
      <w:lvlJc w:val="left"/>
      <w:pPr>
        <w:ind w:left="-1133" w:hanging="720"/>
      </w:pPr>
      <w:rPr>
        <w:rFonts w:hint="default"/>
      </w:rPr>
    </w:lvl>
    <w:lvl w:ilvl="1" w:tplc="04090019" w:tentative="1">
      <w:start w:val="1"/>
      <w:numFmt w:val="lowerLetter"/>
      <w:lvlText w:val="%2."/>
      <w:lvlJc w:val="left"/>
      <w:pPr>
        <w:ind w:left="-773" w:hanging="360"/>
      </w:pPr>
    </w:lvl>
    <w:lvl w:ilvl="2" w:tplc="0409001B" w:tentative="1">
      <w:start w:val="1"/>
      <w:numFmt w:val="lowerRoman"/>
      <w:lvlText w:val="%3."/>
      <w:lvlJc w:val="right"/>
      <w:pPr>
        <w:ind w:left="-53" w:hanging="180"/>
      </w:pPr>
    </w:lvl>
    <w:lvl w:ilvl="3" w:tplc="0409000F" w:tentative="1">
      <w:start w:val="1"/>
      <w:numFmt w:val="decimal"/>
      <w:lvlText w:val="%4."/>
      <w:lvlJc w:val="left"/>
      <w:pPr>
        <w:ind w:left="667" w:hanging="360"/>
      </w:pPr>
    </w:lvl>
    <w:lvl w:ilvl="4" w:tplc="04090019" w:tentative="1">
      <w:start w:val="1"/>
      <w:numFmt w:val="lowerLetter"/>
      <w:lvlText w:val="%5."/>
      <w:lvlJc w:val="left"/>
      <w:pPr>
        <w:ind w:left="1387" w:hanging="360"/>
      </w:pPr>
    </w:lvl>
    <w:lvl w:ilvl="5" w:tplc="0409001B" w:tentative="1">
      <w:start w:val="1"/>
      <w:numFmt w:val="lowerRoman"/>
      <w:lvlText w:val="%6."/>
      <w:lvlJc w:val="right"/>
      <w:pPr>
        <w:ind w:left="2107" w:hanging="180"/>
      </w:pPr>
    </w:lvl>
    <w:lvl w:ilvl="6" w:tplc="0409000F" w:tentative="1">
      <w:start w:val="1"/>
      <w:numFmt w:val="decimal"/>
      <w:lvlText w:val="%7."/>
      <w:lvlJc w:val="left"/>
      <w:pPr>
        <w:ind w:left="2827" w:hanging="360"/>
      </w:pPr>
    </w:lvl>
    <w:lvl w:ilvl="7" w:tplc="04090019" w:tentative="1">
      <w:start w:val="1"/>
      <w:numFmt w:val="lowerLetter"/>
      <w:lvlText w:val="%8."/>
      <w:lvlJc w:val="left"/>
      <w:pPr>
        <w:ind w:left="3547" w:hanging="360"/>
      </w:pPr>
    </w:lvl>
    <w:lvl w:ilvl="8" w:tplc="0409001B" w:tentative="1">
      <w:start w:val="1"/>
      <w:numFmt w:val="lowerRoman"/>
      <w:lvlText w:val="%9."/>
      <w:lvlJc w:val="right"/>
      <w:pPr>
        <w:ind w:left="4267" w:hanging="180"/>
      </w:pPr>
    </w:lvl>
  </w:abstractNum>
  <w:num w:numId="1" w16cid:durableId="495345115">
    <w:abstractNumId w:val="19"/>
  </w:num>
  <w:num w:numId="2" w16cid:durableId="1120030214">
    <w:abstractNumId w:val="17"/>
  </w:num>
  <w:num w:numId="3" w16cid:durableId="391268363">
    <w:abstractNumId w:val="0"/>
  </w:num>
  <w:num w:numId="4" w16cid:durableId="1438331193">
    <w:abstractNumId w:val="11"/>
  </w:num>
  <w:num w:numId="5" w16cid:durableId="2065713942">
    <w:abstractNumId w:val="20"/>
  </w:num>
  <w:num w:numId="6" w16cid:durableId="1146238757">
    <w:abstractNumId w:val="16"/>
  </w:num>
  <w:num w:numId="7" w16cid:durableId="725301129">
    <w:abstractNumId w:val="9"/>
  </w:num>
  <w:num w:numId="8" w16cid:durableId="511264902">
    <w:abstractNumId w:val="7"/>
  </w:num>
  <w:num w:numId="9" w16cid:durableId="1996838928">
    <w:abstractNumId w:val="2"/>
  </w:num>
  <w:num w:numId="10" w16cid:durableId="379979841">
    <w:abstractNumId w:val="13"/>
  </w:num>
  <w:num w:numId="11" w16cid:durableId="1612082171">
    <w:abstractNumId w:val="8"/>
  </w:num>
  <w:num w:numId="12" w16cid:durableId="1454519258">
    <w:abstractNumId w:val="5"/>
  </w:num>
  <w:num w:numId="13" w16cid:durableId="251623890">
    <w:abstractNumId w:val="14"/>
  </w:num>
  <w:num w:numId="14" w16cid:durableId="1863739013">
    <w:abstractNumId w:val="10"/>
  </w:num>
  <w:num w:numId="15" w16cid:durableId="998727744">
    <w:abstractNumId w:val="4"/>
  </w:num>
  <w:num w:numId="16" w16cid:durableId="956301787">
    <w:abstractNumId w:val="3"/>
  </w:num>
  <w:num w:numId="17" w16cid:durableId="1149899982">
    <w:abstractNumId w:val="15"/>
  </w:num>
  <w:num w:numId="18" w16cid:durableId="2077386624">
    <w:abstractNumId w:val="6"/>
  </w:num>
  <w:num w:numId="19" w16cid:durableId="838691051">
    <w:abstractNumId w:val="18"/>
  </w:num>
  <w:num w:numId="20" w16cid:durableId="2004580954">
    <w:abstractNumId w:val="12"/>
  </w:num>
  <w:num w:numId="21" w16cid:durableId="78612421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NzY1Nza0MDYyMjJX0lEKTi0uzszPAykwrQUAIKJJ7SwAAAA="/>
  </w:docVars>
  <w:rsids>
    <w:rsidRoot w:val="00CF0E19"/>
    <w:rsid w:val="000003F5"/>
    <w:rsid w:val="00000846"/>
    <w:rsid w:val="00000B3F"/>
    <w:rsid w:val="0000169C"/>
    <w:rsid w:val="00002B51"/>
    <w:rsid w:val="00002DE5"/>
    <w:rsid w:val="00002F6A"/>
    <w:rsid w:val="0000376A"/>
    <w:rsid w:val="0000376D"/>
    <w:rsid w:val="00003A0E"/>
    <w:rsid w:val="00003D79"/>
    <w:rsid w:val="00004C94"/>
    <w:rsid w:val="0000573A"/>
    <w:rsid w:val="00005880"/>
    <w:rsid w:val="00007B1F"/>
    <w:rsid w:val="00007B2B"/>
    <w:rsid w:val="00007D6C"/>
    <w:rsid w:val="00011718"/>
    <w:rsid w:val="000119FE"/>
    <w:rsid w:val="00012258"/>
    <w:rsid w:val="000127BC"/>
    <w:rsid w:val="00012EF0"/>
    <w:rsid w:val="00016916"/>
    <w:rsid w:val="0001752F"/>
    <w:rsid w:val="00020480"/>
    <w:rsid w:val="00022932"/>
    <w:rsid w:val="00023FB5"/>
    <w:rsid w:val="000240F3"/>
    <w:rsid w:val="00024ABA"/>
    <w:rsid w:val="00026196"/>
    <w:rsid w:val="00027538"/>
    <w:rsid w:val="000275F8"/>
    <w:rsid w:val="00030068"/>
    <w:rsid w:val="0003015B"/>
    <w:rsid w:val="00032044"/>
    <w:rsid w:val="000321DC"/>
    <w:rsid w:val="0003282A"/>
    <w:rsid w:val="00032971"/>
    <w:rsid w:val="000329C8"/>
    <w:rsid w:val="00032E5E"/>
    <w:rsid w:val="000353F2"/>
    <w:rsid w:val="000359FF"/>
    <w:rsid w:val="00035B6B"/>
    <w:rsid w:val="00037F21"/>
    <w:rsid w:val="00040228"/>
    <w:rsid w:val="00042C66"/>
    <w:rsid w:val="0004394F"/>
    <w:rsid w:val="000455BA"/>
    <w:rsid w:val="00046709"/>
    <w:rsid w:val="00047CAE"/>
    <w:rsid w:val="000501F3"/>
    <w:rsid w:val="00051C2D"/>
    <w:rsid w:val="0005242E"/>
    <w:rsid w:val="000605C1"/>
    <w:rsid w:val="00060909"/>
    <w:rsid w:val="000611C6"/>
    <w:rsid w:val="000611CA"/>
    <w:rsid w:val="00062091"/>
    <w:rsid w:val="00062BCF"/>
    <w:rsid w:val="00063B20"/>
    <w:rsid w:val="0006600E"/>
    <w:rsid w:val="0006656B"/>
    <w:rsid w:val="000666C9"/>
    <w:rsid w:val="000675B3"/>
    <w:rsid w:val="00067637"/>
    <w:rsid w:val="0006774B"/>
    <w:rsid w:val="00070CAF"/>
    <w:rsid w:val="00071F98"/>
    <w:rsid w:val="0007209C"/>
    <w:rsid w:val="000753A8"/>
    <w:rsid w:val="000753C4"/>
    <w:rsid w:val="000819D4"/>
    <w:rsid w:val="00081D95"/>
    <w:rsid w:val="00082A4A"/>
    <w:rsid w:val="000839B2"/>
    <w:rsid w:val="00084D3F"/>
    <w:rsid w:val="00086218"/>
    <w:rsid w:val="00086B37"/>
    <w:rsid w:val="00086E28"/>
    <w:rsid w:val="00090BB0"/>
    <w:rsid w:val="00090E56"/>
    <w:rsid w:val="00092A79"/>
    <w:rsid w:val="000954BF"/>
    <w:rsid w:val="00095D43"/>
    <w:rsid w:val="000A0774"/>
    <w:rsid w:val="000A1D3A"/>
    <w:rsid w:val="000A2F9F"/>
    <w:rsid w:val="000A37BB"/>
    <w:rsid w:val="000A4517"/>
    <w:rsid w:val="000A4EB0"/>
    <w:rsid w:val="000A4FB2"/>
    <w:rsid w:val="000A6D5B"/>
    <w:rsid w:val="000B069B"/>
    <w:rsid w:val="000B0C19"/>
    <w:rsid w:val="000B161D"/>
    <w:rsid w:val="000B1E48"/>
    <w:rsid w:val="000B219D"/>
    <w:rsid w:val="000B2728"/>
    <w:rsid w:val="000B2F58"/>
    <w:rsid w:val="000B3860"/>
    <w:rsid w:val="000B38FF"/>
    <w:rsid w:val="000B58BF"/>
    <w:rsid w:val="000B5E96"/>
    <w:rsid w:val="000B7365"/>
    <w:rsid w:val="000C0AC8"/>
    <w:rsid w:val="000C0DA4"/>
    <w:rsid w:val="000C274B"/>
    <w:rsid w:val="000C2C77"/>
    <w:rsid w:val="000C38DA"/>
    <w:rsid w:val="000C395D"/>
    <w:rsid w:val="000C5626"/>
    <w:rsid w:val="000C568D"/>
    <w:rsid w:val="000C65B5"/>
    <w:rsid w:val="000C6AD3"/>
    <w:rsid w:val="000C7140"/>
    <w:rsid w:val="000D0C4D"/>
    <w:rsid w:val="000D0F3A"/>
    <w:rsid w:val="000D3785"/>
    <w:rsid w:val="000D3E28"/>
    <w:rsid w:val="000D51DB"/>
    <w:rsid w:val="000D70EC"/>
    <w:rsid w:val="000D76BB"/>
    <w:rsid w:val="000D7917"/>
    <w:rsid w:val="000E051D"/>
    <w:rsid w:val="000E1F24"/>
    <w:rsid w:val="000E3679"/>
    <w:rsid w:val="000E5846"/>
    <w:rsid w:val="000E6368"/>
    <w:rsid w:val="000F06BC"/>
    <w:rsid w:val="000F08B5"/>
    <w:rsid w:val="000F0B6F"/>
    <w:rsid w:val="000F1BDF"/>
    <w:rsid w:val="000F1D89"/>
    <w:rsid w:val="000F2658"/>
    <w:rsid w:val="000F2E26"/>
    <w:rsid w:val="000F346D"/>
    <w:rsid w:val="000F56B5"/>
    <w:rsid w:val="000F6756"/>
    <w:rsid w:val="000F701D"/>
    <w:rsid w:val="00100E44"/>
    <w:rsid w:val="0010147E"/>
    <w:rsid w:val="0010364E"/>
    <w:rsid w:val="001049CF"/>
    <w:rsid w:val="00106E90"/>
    <w:rsid w:val="00113642"/>
    <w:rsid w:val="00116862"/>
    <w:rsid w:val="00116B82"/>
    <w:rsid w:val="00117429"/>
    <w:rsid w:val="00117EC7"/>
    <w:rsid w:val="0012033F"/>
    <w:rsid w:val="00120B56"/>
    <w:rsid w:val="0012128F"/>
    <w:rsid w:val="00122CD8"/>
    <w:rsid w:val="001261D5"/>
    <w:rsid w:val="00126D32"/>
    <w:rsid w:val="00127607"/>
    <w:rsid w:val="00131A88"/>
    <w:rsid w:val="00132666"/>
    <w:rsid w:val="00136D96"/>
    <w:rsid w:val="001379F4"/>
    <w:rsid w:val="00137F5B"/>
    <w:rsid w:val="0014004B"/>
    <w:rsid w:val="001420E4"/>
    <w:rsid w:val="0014472A"/>
    <w:rsid w:val="00144C8E"/>
    <w:rsid w:val="00147E06"/>
    <w:rsid w:val="001502B8"/>
    <w:rsid w:val="001505D6"/>
    <w:rsid w:val="00151262"/>
    <w:rsid w:val="00151DE5"/>
    <w:rsid w:val="00152063"/>
    <w:rsid w:val="00154E49"/>
    <w:rsid w:val="00154E9B"/>
    <w:rsid w:val="00155B5D"/>
    <w:rsid w:val="0015616C"/>
    <w:rsid w:val="00156561"/>
    <w:rsid w:val="00156A35"/>
    <w:rsid w:val="00157399"/>
    <w:rsid w:val="0015753C"/>
    <w:rsid w:val="00157FD1"/>
    <w:rsid w:val="00160870"/>
    <w:rsid w:val="00160D2B"/>
    <w:rsid w:val="00162329"/>
    <w:rsid w:val="00165421"/>
    <w:rsid w:val="00165637"/>
    <w:rsid w:val="00166BB1"/>
    <w:rsid w:val="00166BF6"/>
    <w:rsid w:val="0017060A"/>
    <w:rsid w:val="00171052"/>
    <w:rsid w:val="0017123D"/>
    <w:rsid w:val="00173635"/>
    <w:rsid w:val="00175030"/>
    <w:rsid w:val="001750DC"/>
    <w:rsid w:val="00175C53"/>
    <w:rsid w:val="00176672"/>
    <w:rsid w:val="00176C38"/>
    <w:rsid w:val="00177032"/>
    <w:rsid w:val="00177D01"/>
    <w:rsid w:val="0018254C"/>
    <w:rsid w:val="0018316A"/>
    <w:rsid w:val="00184AEC"/>
    <w:rsid w:val="001856E0"/>
    <w:rsid w:val="00185EBB"/>
    <w:rsid w:val="00186B75"/>
    <w:rsid w:val="00186C3F"/>
    <w:rsid w:val="00192085"/>
    <w:rsid w:val="00193775"/>
    <w:rsid w:val="00195015"/>
    <w:rsid w:val="00195C2F"/>
    <w:rsid w:val="001974A5"/>
    <w:rsid w:val="001A0937"/>
    <w:rsid w:val="001A0F85"/>
    <w:rsid w:val="001A318D"/>
    <w:rsid w:val="001A3433"/>
    <w:rsid w:val="001A5FAD"/>
    <w:rsid w:val="001A6252"/>
    <w:rsid w:val="001A69F8"/>
    <w:rsid w:val="001A6D27"/>
    <w:rsid w:val="001B0BFF"/>
    <w:rsid w:val="001B281B"/>
    <w:rsid w:val="001B295E"/>
    <w:rsid w:val="001B3135"/>
    <w:rsid w:val="001B5261"/>
    <w:rsid w:val="001B5E23"/>
    <w:rsid w:val="001B6AAC"/>
    <w:rsid w:val="001B78F8"/>
    <w:rsid w:val="001B791A"/>
    <w:rsid w:val="001C11D9"/>
    <w:rsid w:val="001C1DB8"/>
    <w:rsid w:val="001C2A2A"/>
    <w:rsid w:val="001C2BDC"/>
    <w:rsid w:val="001C2D57"/>
    <w:rsid w:val="001C2F01"/>
    <w:rsid w:val="001C404E"/>
    <w:rsid w:val="001C5F69"/>
    <w:rsid w:val="001C6558"/>
    <w:rsid w:val="001D05E6"/>
    <w:rsid w:val="001D2848"/>
    <w:rsid w:val="001D35B5"/>
    <w:rsid w:val="001D3A49"/>
    <w:rsid w:val="001D4929"/>
    <w:rsid w:val="001D5D34"/>
    <w:rsid w:val="001E09C8"/>
    <w:rsid w:val="001E1D9B"/>
    <w:rsid w:val="001E228C"/>
    <w:rsid w:val="001E3603"/>
    <w:rsid w:val="001E5876"/>
    <w:rsid w:val="001E6161"/>
    <w:rsid w:val="001E68E5"/>
    <w:rsid w:val="001E79CF"/>
    <w:rsid w:val="001F1C0C"/>
    <w:rsid w:val="001F38D3"/>
    <w:rsid w:val="001F48FA"/>
    <w:rsid w:val="001F5087"/>
    <w:rsid w:val="001F536E"/>
    <w:rsid w:val="001F5481"/>
    <w:rsid w:val="001F5E1C"/>
    <w:rsid w:val="001F6272"/>
    <w:rsid w:val="001F7CB3"/>
    <w:rsid w:val="0020198C"/>
    <w:rsid w:val="00201A48"/>
    <w:rsid w:val="00201CBC"/>
    <w:rsid w:val="00202AEA"/>
    <w:rsid w:val="00204873"/>
    <w:rsid w:val="00204CE9"/>
    <w:rsid w:val="00204E49"/>
    <w:rsid w:val="00206CDE"/>
    <w:rsid w:val="00207AC6"/>
    <w:rsid w:val="00211D78"/>
    <w:rsid w:val="002129EE"/>
    <w:rsid w:val="00212D5E"/>
    <w:rsid w:val="00212F3E"/>
    <w:rsid w:val="00214B93"/>
    <w:rsid w:val="00214BA0"/>
    <w:rsid w:val="00214D5D"/>
    <w:rsid w:val="002168F2"/>
    <w:rsid w:val="002173B5"/>
    <w:rsid w:val="0021748C"/>
    <w:rsid w:val="0022094D"/>
    <w:rsid w:val="00220FA2"/>
    <w:rsid w:val="00221F14"/>
    <w:rsid w:val="00222A1C"/>
    <w:rsid w:val="00222B30"/>
    <w:rsid w:val="0022378C"/>
    <w:rsid w:val="00224B9B"/>
    <w:rsid w:val="00225AD6"/>
    <w:rsid w:val="00225B92"/>
    <w:rsid w:val="002261C9"/>
    <w:rsid w:val="00231589"/>
    <w:rsid w:val="00231985"/>
    <w:rsid w:val="00232A50"/>
    <w:rsid w:val="00232A75"/>
    <w:rsid w:val="00233FEF"/>
    <w:rsid w:val="00235612"/>
    <w:rsid w:val="00236883"/>
    <w:rsid w:val="00237B9E"/>
    <w:rsid w:val="0024069A"/>
    <w:rsid w:val="002408E3"/>
    <w:rsid w:val="00240DE1"/>
    <w:rsid w:val="002410EB"/>
    <w:rsid w:val="00242243"/>
    <w:rsid w:val="00242455"/>
    <w:rsid w:val="002427A3"/>
    <w:rsid w:val="00242E31"/>
    <w:rsid w:val="00244E16"/>
    <w:rsid w:val="0024540F"/>
    <w:rsid w:val="00245C26"/>
    <w:rsid w:val="002472B7"/>
    <w:rsid w:val="00250024"/>
    <w:rsid w:val="002535C7"/>
    <w:rsid w:val="00254920"/>
    <w:rsid w:val="00254D30"/>
    <w:rsid w:val="00255968"/>
    <w:rsid w:val="00257ACC"/>
    <w:rsid w:val="00257BEE"/>
    <w:rsid w:val="00261083"/>
    <w:rsid w:val="00261D8A"/>
    <w:rsid w:val="00262ADC"/>
    <w:rsid w:val="002632E2"/>
    <w:rsid w:val="002647EE"/>
    <w:rsid w:val="00264806"/>
    <w:rsid w:val="0026590A"/>
    <w:rsid w:val="00265D96"/>
    <w:rsid w:val="00270A7A"/>
    <w:rsid w:val="0027179C"/>
    <w:rsid w:val="00271BF6"/>
    <w:rsid w:val="002729CF"/>
    <w:rsid w:val="002730FF"/>
    <w:rsid w:val="00273205"/>
    <w:rsid w:val="00273662"/>
    <w:rsid w:val="002738C9"/>
    <w:rsid w:val="002740A8"/>
    <w:rsid w:val="002746F0"/>
    <w:rsid w:val="00274746"/>
    <w:rsid w:val="002751F5"/>
    <w:rsid w:val="00275B22"/>
    <w:rsid w:val="00276399"/>
    <w:rsid w:val="00276696"/>
    <w:rsid w:val="00280D5C"/>
    <w:rsid w:val="00284016"/>
    <w:rsid w:val="00285EDB"/>
    <w:rsid w:val="002861EF"/>
    <w:rsid w:val="0028634F"/>
    <w:rsid w:val="00286D18"/>
    <w:rsid w:val="002875D1"/>
    <w:rsid w:val="00287AB1"/>
    <w:rsid w:val="00287B71"/>
    <w:rsid w:val="00291A4D"/>
    <w:rsid w:val="0029757A"/>
    <w:rsid w:val="002A00E5"/>
    <w:rsid w:val="002A09E9"/>
    <w:rsid w:val="002A1132"/>
    <w:rsid w:val="002A37E4"/>
    <w:rsid w:val="002A39E0"/>
    <w:rsid w:val="002A69C8"/>
    <w:rsid w:val="002A6D46"/>
    <w:rsid w:val="002A7100"/>
    <w:rsid w:val="002A760B"/>
    <w:rsid w:val="002A7B3F"/>
    <w:rsid w:val="002B0C9F"/>
    <w:rsid w:val="002B0E9B"/>
    <w:rsid w:val="002B2000"/>
    <w:rsid w:val="002B3509"/>
    <w:rsid w:val="002B56CD"/>
    <w:rsid w:val="002B6C78"/>
    <w:rsid w:val="002C143F"/>
    <w:rsid w:val="002C26FF"/>
    <w:rsid w:val="002C3C64"/>
    <w:rsid w:val="002C3E69"/>
    <w:rsid w:val="002C41EE"/>
    <w:rsid w:val="002C4269"/>
    <w:rsid w:val="002C5842"/>
    <w:rsid w:val="002C58D0"/>
    <w:rsid w:val="002C5CDF"/>
    <w:rsid w:val="002C6BF3"/>
    <w:rsid w:val="002C7343"/>
    <w:rsid w:val="002C7461"/>
    <w:rsid w:val="002D230A"/>
    <w:rsid w:val="002D3D5D"/>
    <w:rsid w:val="002D46C9"/>
    <w:rsid w:val="002D5104"/>
    <w:rsid w:val="002E01D5"/>
    <w:rsid w:val="002E03C6"/>
    <w:rsid w:val="002E0BBE"/>
    <w:rsid w:val="002E1185"/>
    <w:rsid w:val="002E1C60"/>
    <w:rsid w:val="002E2B81"/>
    <w:rsid w:val="002E5CAC"/>
    <w:rsid w:val="002E6090"/>
    <w:rsid w:val="002E6174"/>
    <w:rsid w:val="002F1C07"/>
    <w:rsid w:val="002F2C67"/>
    <w:rsid w:val="002F2E22"/>
    <w:rsid w:val="002F4750"/>
    <w:rsid w:val="002F482E"/>
    <w:rsid w:val="002F67D0"/>
    <w:rsid w:val="002F6CF0"/>
    <w:rsid w:val="002F7524"/>
    <w:rsid w:val="00300904"/>
    <w:rsid w:val="003018F8"/>
    <w:rsid w:val="00301E79"/>
    <w:rsid w:val="00304DD3"/>
    <w:rsid w:val="003050F1"/>
    <w:rsid w:val="003056BC"/>
    <w:rsid w:val="00306BAD"/>
    <w:rsid w:val="00306BDF"/>
    <w:rsid w:val="00307DFB"/>
    <w:rsid w:val="003104E8"/>
    <w:rsid w:val="003109CE"/>
    <w:rsid w:val="003123A6"/>
    <w:rsid w:val="00313F94"/>
    <w:rsid w:val="00315311"/>
    <w:rsid w:val="00315843"/>
    <w:rsid w:val="00315D6A"/>
    <w:rsid w:val="0031655C"/>
    <w:rsid w:val="00316D01"/>
    <w:rsid w:val="00317AD9"/>
    <w:rsid w:val="00317DDE"/>
    <w:rsid w:val="00320D56"/>
    <w:rsid w:val="00321B66"/>
    <w:rsid w:val="00323DA9"/>
    <w:rsid w:val="00324AEE"/>
    <w:rsid w:val="00325412"/>
    <w:rsid w:val="00326368"/>
    <w:rsid w:val="003266B2"/>
    <w:rsid w:val="00327021"/>
    <w:rsid w:val="003308B9"/>
    <w:rsid w:val="0033178B"/>
    <w:rsid w:val="00333E34"/>
    <w:rsid w:val="003356D6"/>
    <w:rsid w:val="003366A0"/>
    <w:rsid w:val="00336C73"/>
    <w:rsid w:val="00340EA7"/>
    <w:rsid w:val="00340ECC"/>
    <w:rsid w:val="00340FA7"/>
    <w:rsid w:val="00341B6E"/>
    <w:rsid w:val="003426F1"/>
    <w:rsid w:val="00342776"/>
    <w:rsid w:val="00342FBF"/>
    <w:rsid w:val="00343B49"/>
    <w:rsid w:val="003458C3"/>
    <w:rsid w:val="00345AE5"/>
    <w:rsid w:val="00345FD6"/>
    <w:rsid w:val="00347A1E"/>
    <w:rsid w:val="003509C4"/>
    <w:rsid w:val="00350B72"/>
    <w:rsid w:val="00351F90"/>
    <w:rsid w:val="00352372"/>
    <w:rsid w:val="00352DEC"/>
    <w:rsid w:val="003537BE"/>
    <w:rsid w:val="00353D80"/>
    <w:rsid w:val="00355CC4"/>
    <w:rsid w:val="00356281"/>
    <w:rsid w:val="00356924"/>
    <w:rsid w:val="00357ECC"/>
    <w:rsid w:val="00357F66"/>
    <w:rsid w:val="00360273"/>
    <w:rsid w:val="00361458"/>
    <w:rsid w:val="00361D4D"/>
    <w:rsid w:val="003654E3"/>
    <w:rsid w:val="00365FAB"/>
    <w:rsid w:val="003679B1"/>
    <w:rsid w:val="003703A4"/>
    <w:rsid w:val="003719B9"/>
    <w:rsid w:val="00371D67"/>
    <w:rsid w:val="003723C2"/>
    <w:rsid w:val="0037332F"/>
    <w:rsid w:val="00373436"/>
    <w:rsid w:val="003747EB"/>
    <w:rsid w:val="00376931"/>
    <w:rsid w:val="003803C1"/>
    <w:rsid w:val="003803DA"/>
    <w:rsid w:val="00381975"/>
    <w:rsid w:val="00381A48"/>
    <w:rsid w:val="00383750"/>
    <w:rsid w:val="00383CBD"/>
    <w:rsid w:val="00384210"/>
    <w:rsid w:val="003845F3"/>
    <w:rsid w:val="003848C9"/>
    <w:rsid w:val="00391B9A"/>
    <w:rsid w:val="00392600"/>
    <w:rsid w:val="003939A9"/>
    <w:rsid w:val="00397172"/>
    <w:rsid w:val="003976D5"/>
    <w:rsid w:val="00397872"/>
    <w:rsid w:val="003979FA"/>
    <w:rsid w:val="003A073C"/>
    <w:rsid w:val="003A26F8"/>
    <w:rsid w:val="003A2E62"/>
    <w:rsid w:val="003A4489"/>
    <w:rsid w:val="003A44FC"/>
    <w:rsid w:val="003A47CE"/>
    <w:rsid w:val="003A4DAE"/>
    <w:rsid w:val="003A5944"/>
    <w:rsid w:val="003A7744"/>
    <w:rsid w:val="003A7848"/>
    <w:rsid w:val="003B268B"/>
    <w:rsid w:val="003B461E"/>
    <w:rsid w:val="003B7068"/>
    <w:rsid w:val="003B77A9"/>
    <w:rsid w:val="003C3002"/>
    <w:rsid w:val="003C3AAB"/>
    <w:rsid w:val="003C3F1A"/>
    <w:rsid w:val="003C744E"/>
    <w:rsid w:val="003C756F"/>
    <w:rsid w:val="003D0565"/>
    <w:rsid w:val="003D10E8"/>
    <w:rsid w:val="003D30B0"/>
    <w:rsid w:val="003D5A66"/>
    <w:rsid w:val="003D7198"/>
    <w:rsid w:val="003D72F8"/>
    <w:rsid w:val="003E20BF"/>
    <w:rsid w:val="003E25E5"/>
    <w:rsid w:val="003E2C76"/>
    <w:rsid w:val="003E3119"/>
    <w:rsid w:val="003E4AF8"/>
    <w:rsid w:val="003E569C"/>
    <w:rsid w:val="003E6564"/>
    <w:rsid w:val="003E74FE"/>
    <w:rsid w:val="003E7D8B"/>
    <w:rsid w:val="003F0501"/>
    <w:rsid w:val="003F08B8"/>
    <w:rsid w:val="003F1BBE"/>
    <w:rsid w:val="003F222E"/>
    <w:rsid w:val="003F2BE1"/>
    <w:rsid w:val="003F4D1F"/>
    <w:rsid w:val="003F6749"/>
    <w:rsid w:val="0040007F"/>
    <w:rsid w:val="00400A43"/>
    <w:rsid w:val="00402D00"/>
    <w:rsid w:val="004035A8"/>
    <w:rsid w:val="00404C85"/>
    <w:rsid w:val="00405093"/>
    <w:rsid w:val="0041291B"/>
    <w:rsid w:val="004134AD"/>
    <w:rsid w:val="00413F71"/>
    <w:rsid w:val="004154FD"/>
    <w:rsid w:val="00420721"/>
    <w:rsid w:val="00421D6E"/>
    <w:rsid w:val="00422370"/>
    <w:rsid w:val="00422576"/>
    <w:rsid w:val="00423416"/>
    <w:rsid w:val="00424ACA"/>
    <w:rsid w:val="00425B95"/>
    <w:rsid w:val="00425C6E"/>
    <w:rsid w:val="00426695"/>
    <w:rsid w:val="0042773C"/>
    <w:rsid w:val="00427EEB"/>
    <w:rsid w:val="004309A7"/>
    <w:rsid w:val="00430C71"/>
    <w:rsid w:val="0043268A"/>
    <w:rsid w:val="00432BC7"/>
    <w:rsid w:val="004336F6"/>
    <w:rsid w:val="00433709"/>
    <w:rsid w:val="00434604"/>
    <w:rsid w:val="00435A4C"/>
    <w:rsid w:val="004360C3"/>
    <w:rsid w:val="00436CCA"/>
    <w:rsid w:val="00437710"/>
    <w:rsid w:val="00440AFC"/>
    <w:rsid w:val="00440B39"/>
    <w:rsid w:val="00441CDF"/>
    <w:rsid w:val="00441D35"/>
    <w:rsid w:val="00443A3C"/>
    <w:rsid w:val="0044444A"/>
    <w:rsid w:val="00445DCA"/>
    <w:rsid w:val="00445FA5"/>
    <w:rsid w:val="00447A74"/>
    <w:rsid w:val="00447BBB"/>
    <w:rsid w:val="004505EC"/>
    <w:rsid w:val="00450A9F"/>
    <w:rsid w:val="00452665"/>
    <w:rsid w:val="00454476"/>
    <w:rsid w:val="00456B72"/>
    <w:rsid w:val="004627DC"/>
    <w:rsid w:val="004636FA"/>
    <w:rsid w:val="004637B5"/>
    <w:rsid w:val="00464B20"/>
    <w:rsid w:val="0046761D"/>
    <w:rsid w:val="004676A9"/>
    <w:rsid w:val="004740DE"/>
    <w:rsid w:val="004749DE"/>
    <w:rsid w:val="00475CC2"/>
    <w:rsid w:val="00475D78"/>
    <w:rsid w:val="00476147"/>
    <w:rsid w:val="00481F68"/>
    <w:rsid w:val="00483627"/>
    <w:rsid w:val="00484234"/>
    <w:rsid w:val="00486103"/>
    <w:rsid w:val="0048680E"/>
    <w:rsid w:val="00491B8E"/>
    <w:rsid w:val="00493DE4"/>
    <w:rsid w:val="004950D2"/>
    <w:rsid w:val="0049798E"/>
    <w:rsid w:val="00497B15"/>
    <w:rsid w:val="004A06D3"/>
    <w:rsid w:val="004A097A"/>
    <w:rsid w:val="004A1A33"/>
    <w:rsid w:val="004A3611"/>
    <w:rsid w:val="004A45D7"/>
    <w:rsid w:val="004A470B"/>
    <w:rsid w:val="004A4C3B"/>
    <w:rsid w:val="004A5B4F"/>
    <w:rsid w:val="004B0DFC"/>
    <w:rsid w:val="004B1046"/>
    <w:rsid w:val="004B138C"/>
    <w:rsid w:val="004B3632"/>
    <w:rsid w:val="004B465A"/>
    <w:rsid w:val="004B5D9B"/>
    <w:rsid w:val="004C0951"/>
    <w:rsid w:val="004C0F92"/>
    <w:rsid w:val="004C11BA"/>
    <w:rsid w:val="004C1327"/>
    <w:rsid w:val="004C1B78"/>
    <w:rsid w:val="004C1F7F"/>
    <w:rsid w:val="004C25CD"/>
    <w:rsid w:val="004C31E6"/>
    <w:rsid w:val="004C4ECD"/>
    <w:rsid w:val="004C5379"/>
    <w:rsid w:val="004C62FF"/>
    <w:rsid w:val="004C636C"/>
    <w:rsid w:val="004C65A5"/>
    <w:rsid w:val="004C7AEC"/>
    <w:rsid w:val="004D063A"/>
    <w:rsid w:val="004D182A"/>
    <w:rsid w:val="004D1EF1"/>
    <w:rsid w:val="004D2218"/>
    <w:rsid w:val="004D355C"/>
    <w:rsid w:val="004D4944"/>
    <w:rsid w:val="004D5275"/>
    <w:rsid w:val="004D5579"/>
    <w:rsid w:val="004D64E5"/>
    <w:rsid w:val="004D6547"/>
    <w:rsid w:val="004D6A05"/>
    <w:rsid w:val="004D74F2"/>
    <w:rsid w:val="004D7D6F"/>
    <w:rsid w:val="004E0688"/>
    <w:rsid w:val="004E288F"/>
    <w:rsid w:val="004E2A7D"/>
    <w:rsid w:val="004E380F"/>
    <w:rsid w:val="004E395A"/>
    <w:rsid w:val="004E3986"/>
    <w:rsid w:val="004E5EC4"/>
    <w:rsid w:val="004F0DB1"/>
    <w:rsid w:val="004F3535"/>
    <w:rsid w:val="004F3CF9"/>
    <w:rsid w:val="004F4556"/>
    <w:rsid w:val="004F5B9E"/>
    <w:rsid w:val="00503901"/>
    <w:rsid w:val="00506249"/>
    <w:rsid w:val="00506959"/>
    <w:rsid w:val="00506A08"/>
    <w:rsid w:val="00507DA7"/>
    <w:rsid w:val="00510572"/>
    <w:rsid w:val="00510BDF"/>
    <w:rsid w:val="005110D9"/>
    <w:rsid w:val="00511813"/>
    <w:rsid w:val="00511939"/>
    <w:rsid w:val="00512650"/>
    <w:rsid w:val="00512D8B"/>
    <w:rsid w:val="00513622"/>
    <w:rsid w:val="00513635"/>
    <w:rsid w:val="005138B8"/>
    <w:rsid w:val="00514B32"/>
    <w:rsid w:val="0051544A"/>
    <w:rsid w:val="00515C26"/>
    <w:rsid w:val="00515D03"/>
    <w:rsid w:val="00517433"/>
    <w:rsid w:val="00517905"/>
    <w:rsid w:val="00517A7B"/>
    <w:rsid w:val="005227CA"/>
    <w:rsid w:val="00522EE1"/>
    <w:rsid w:val="00524875"/>
    <w:rsid w:val="00527DDD"/>
    <w:rsid w:val="0053215F"/>
    <w:rsid w:val="00532B0E"/>
    <w:rsid w:val="00534179"/>
    <w:rsid w:val="00536F35"/>
    <w:rsid w:val="00537FE0"/>
    <w:rsid w:val="005407FA"/>
    <w:rsid w:val="00541C15"/>
    <w:rsid w:val="0054355F"/>
    <w:rsid w:val="005441CB"/>
    <w:rsid w:val="00545E94"/>
    <w:rsid w:val="00546AA1"/>
    <w:rsid w:val="00547BE4"/>
    <w:rsid w:val="00550BBF"/>
    <w:rsid w:val="00550DBF"/>
    <w:rsid w:val="005516AC"/>
    <w:rsid w:val="00551882"/>
    <w:rsid w:val="00552372"/>
    <w:rsid w:val="00552977"/>
    <w:rsid w:val="00552F64"/>
    <w:rsid w:val="00554BC1"/>
    <w:rsid w:val="00555952"/>
    <w:rsid w:val="00556FD7"/>
    <w:rsid w:val="00557A35"/>
    <w:rsid w:val="00557DF4"/>
    <w:rsid w:val="00560348"/>
    <w:rsid w:val="0056109F"/>
    <w:rsid w:val="00561E1A"/>
    <w:rsid w:val="00562B7D"/>
    <w:rsid w:val="00562C45"/>
    <w:rsid w:val="00563A64"/>
    <w:rsid w:val="00564812"/>
    <w:rsid w:val="0056490C"/>
    <w:rsid w:val="00565836"/>
    <w:rsid w:val="00567692"/>
    <w:rsid w:val="005679B5"/>
    <w:rsid w:val="0057165B"/>
    <w:rsid w:val="00572439"/>
    <w:rsid w:val="00572B89"/>
    <w:rsid w:val="00573143"/>
    <w:rsid w:val="00577593"/>
    <w:rsid w:val="005824FD"/>
    <w:rsid w:val="00582A3B"/>
    <w:rsid w:val="005838D5"/>
    <w:rsid w:val="005838D7"/>
    <w:rsid w:val="00583C1B"/>
    <w:rsid w:val="005847B0"/>
    <w:rsid w:val="00586054"/>
    <w:rsid w:val="00590266"/>
    <w:rsid w:val="00596A42"/>
    <w:rsid w:val="00596F45"/>
    <w:rsid w:val="005977DE"/>
    <w:rsid w:val="005A22AF"/>
    <w:rsid w:val="005A29A0"/>
    <w:rsid w:val="005A4A55"/>
    <w:rsid w:val="005A4ACB"/>
    <w:rsid w:val="005A6B76"/>
    <w:rsid w:val="005A7E4B"/>
    <w:rsid w:val="005B03D4"/>
    <w:rsid w:val="005B0954"/>
    <w:rsid w:val="005B0A3F"/>
    <w:rsid w:val="005B11FD"/>
    <w:rsid w:val="005B27DA"/>
    <w:rsid w:val="005B2BDC"/>
    <w:rsid w:val="005B3C48"/>
    <w:rsid w:val="005B480E"/>
    <w:rsid w:val="005B4A6E"/>
    <w:rsid w:val="005B5867"/>
    <w:rsid w:val="005B6521"/>
    <w:rsid w:val="005C0A96"/>
    <w:rsid w:val="005C110D"/>
    <w:rsid w:val="005C18DA"/>
    <w:rsid w:val="005C18E2"/>
    <w:rsid w:val="005C1F4D"/>
    <w:rsid w:val="005C2577"/>
    <w:rsid w:val="005C2E21"/>
    <w:rsid w:val="005C2E81"/>
    <w:rsid w:val="005C359C"/>
    <w:rsid w:val="005C3E85"/>
    <w:rsid w:val="005C43F2"/>
    <w:rsid w:val="005C5889"/>
    <w:rsid w:val="005C7624"/>
    <w:rsid w:val="005D00F6"/>
    <w:rsid w:val="005D058D"/>
    <w:rsid w:val="005D0A33"/>
    <w:rsid w:val="005D0B1D"/>
    <w:rsid w:val="005D1BC0"/>
    <w:rsid w:val="005D370C"/>
    <w:rsid w:val="005D3966"/>
    <w:rsid w:val="005D46B0"/>
    <w:rsid w:val="005D5D2E"/>
    <w:rsid w:val="005D62EC"/>
    <w:rsid w:val="005D6854"/>
    <w:rsid w:val="005D7024"/>
    <w:rsid w:val="005E08DF"/>
    <w:rsid w:val="005E16BC"/>
    <w:rsid w:val="005E228A"/>
    <w:rsid w:val="005E22A4"/>
    <w:rsid w:val="005E2C1A"/>
    <w:rsid w:val="005E30EC"/>
    <w:rsid w:val="005E35E3"/>
    <w:rsid w:val="005E4AD2"/>
    <w:rsid w:val="005E653F"/>
    <w:rsid w:val="005F1240"/>
    <w:rsid w:val="005F1614"/>
    <w:rsid w:val="005F18FD"/>
    <w:rsid w:val="005F1F82"/>
    <w:rsid w:val="005F321A"/>
    <w:rsid w:val="005F5C94"/>
    <w:rsid w:val="005F5CED"/>
    <w:rsid w:val="005F7200"/>
    <w:rsid w:val="005F7941"/>
    <w:rsid w:val="005F7D44"/>
    <w:rsid w:val="005F7D61"/>
    <w:rsid w:val="005F7DD5"/>
    <w:rsid w:val="0060027C"/>
    <w:rsid w:val="00600E25"/>
    <w:rsid w:val="00600F22"/>
    <w:rsid w:val="00600FD0"/>
    <w:rsid w:val="00601571"/>
    <w:rsid w:val="0060290E"/>
    <w:rsid w:val="00602BA0"/>
    <w:rsid w:val="006054F8"/>
    <w:rsid w:val="00605E65"/>
    <w:rsid w:val="006062B2"/>
    <w:rsid w:val="00606F91"/>
    <w:rsid w:val="00607088"/>
    <w:rsid w:val="0060755F"/>
    <w:rsid w:val="00607F5E"/>
    <w:rsid w:val="00611B94"/>
    <w:rsid w:val="00612B82"/>
    <w:rsid w:val="00612FB0"/>
    <w:rsid w:val="00614E09"/>
    <w:rsid w:val="00615D07"/>
    <w:rsid w:val="00621C17"/>
    <w:rsid w:val="006243F1"/>
    <w:rsid w:val="0062452A"/>
    <w:rsid w:val="0062568B"/>
    <w:rsid w:val="006259B3"/>
    <w:rsid w:val="00625EFA"/>
    <w:rsid w:val="00626C1D"/>
    <w:rsid w:val="006301B0"/>
    <w:rsid w:val="00630405"/>
    <w:rsid w:val="00630B93"/>
    <w:rsid w:val="0063261F"/>
    <w:rsid w:val="00632B00"/>
    <w:rsid w:val="00633C81"/>
    <w:rsid w:val="00634A2A"/>
    <w:rsid w:val="00635678"/>
    <w:rsid w:val="00637284"/>
    <w:rsid w:val="006374D2"/>
    <w:rsid w:val="006413FE"/>
    <w:rsid w:val="006422A6"/>
    <w:rsid w:val="00642BAC"/>
    <w:rsid w:val="00643E6B"/>
    <w:rsid w:val="00644C0A"/>
    <w:rsid w:val="00644EC0"/>
    <w:rsid w:val="00645409"/>
    <w:rsid w:val="0064589F"/>
    <w:rsid w:val="0065034A"/>
    <w:rsid w:val="0065099B"/>
    <w:rsid w:val="006521A8"/>
    <w:rsid w:val="006526B7"/>
    <w:rsid w:val="00652F51"/>
    <w:rsid w:val="0065426E"/>
    <w:rsid w:val="00654863"/>
    <w:rsid w:val="00655119"/>
    <w:rsid w:val="006567AE"/>
    <w:rsid w:val="00660921"/>
    <w:rsid w:val="00660AD5"/>
    <w:rsid w:val="006620B6"/>
    <w:rsid w:val="00662A1E"/>
    <w:rsid w:val="00662A7D"/>
    <w:rsid w:val="00663AD7"/>
    <w:rsid w:val="006646CB"/>
    <w:rsid w:val="006646D0"/>
    <w:rsid w:val="0066664D"/>
    <w:rsid w:val="006669B3"/>
    <w:rsid w:val="00667070"/>
    <w:rsid w:val="0066716A"/>
    <w:rsid w:val="00670659"/>
    <w:rsid w:val="0067101D"/>
    <w:rsid w:val="006714CE"/>
    <w:rsid w:val="006715D2"/>
    <w:rsid w:val="00673BB3"/>
    <w:rsid w:val="006747A2"/>
    <w:rsid w:val="00676452"/>
    <w:rsid w:val="00676FB1"/>
    <w:rsid w:val="00677F59"/>
    <w:rsid w:val="006803CF"/>
    <w:rsid w:val="00680D86"/>
    <w:rsid w:val="00681353"/>
    <w:rsid w:val="00681D8C"/>
    <w:rsid w:val="00682193"/>
    <w:rsid w:val="00682860"/>
    <w:rsid w:val="00685B7E"/>
    <w:rsid w:val="00686E35"/>
    <w:rsid w:val="0069239A"/>
    <w:rsid w:val="0069253E"/>
    <w:rsid w:val="006937AD"/>
    <w:rsid w:val="0069485B"/>
    <w:rsid w:val="006954BE"/>
    <w:rsid w:val="00695F6A"/>
    <w:rsid w:val="006A0B52"/>
    <w:rsid w:val="006A13A3"/>
    <w:rsid w:val="006A34BF"/>
    <w:rsid w:val="006A458E"/>
    <w:rsid w:val="006A57C6"/>
    <w:rsid w:val="006A62A0"/>
    <w:rsid w:val="006A6847"/>
    <w:rsid w:val="006A69FF"/>
    <w:rsid w:val="006A6CA7"/>
    <w:rsid w:val="006A7B32"/>
    <w:rsid w:val="006B042B"/>
    <w:rsid w:val="006B1C4D"/>
    <w:rsid w:val="006B24D5"/>
    <w:rsid w:val="006B3FD4"/>
    <w:rsid w:val="006B53EA"/>
    <w:rsid w:val="006B5E7A"/>
    <w:rsid w:val="006B6356"/>
    <w:rsid w:val="006B688C"/>
    <w:rsid w:val="006B7453"/>
    <w:rsid w:val="006C1D58"/>
    <w:rsid w:val="006C2785"/>
    <w:rsid w:val="006C3E50"/>
    <w:rsid w:val="006C4A59"/>
    <w:rsid w:val="006C4E0A"/>
    <w:rsid w:val="006C4F8A"/>
    <w:rsid w:val="006C4FDA"/>
    <w:rsid w:val="006C7245"/>
    <w:rsid w:val="006D0BC1"/>
    <w:rsid w:val="006D1788"/>
    <w:rsid w:val="006D2ECB"/>
    <w:rsid w:val="006D5159"/>
    <w:rsid w:val="006D51CD"/>
    <w:rsid w:val="006D64B9"/>
    <w:rsid w:val="006D6F96"/>
    <w:rsid w:val="006E0277"/>
    <w:rsid w:val="006E1BA8"/>
    <w:rsid w:val="006E2816"/>
    <w:rsid w:val="006E3AEB"/>
    <w:rsid w:val="006E49DE"/>
    <w:rsid w:val="006E586E"/>
    <w:rsid w:val="006E6B55"/>
    <w:rsid w:val="006E6CF8"/>
    <w:rsid w:val="006F1445"/>
    <w:rsid w:val="006F1903"/>
    <w:rsid w:val="006F2429"/>
    <w:rsid w:val="006F34C5"/>
    <w:rsid w:val="006F3AE2"/>
    <w:rsid w:val="006F4EC9"/>
    <w:rsid w:val="006F5296"/>
    <w:rsid w:val="006F542D"/>
    <w:rsid w:val="006F711C"/>
    <w:rsid w:val="00700282"/>
    <w:rsid w:val="00701E63"/>
    <w:rsid w:val="00702C80"/>
    <w:rsid w:val="0070332F"/>
    <w:rsid w:val="007060A9"/>
    <w:rsid w:val="00707DF6"/>
    <w:rsid w:val="0071114E"/>
    <w:rsid w:val="0071171E"/>
    <w:rsid w:val="00716538"/>
    <w:rsid w:val="0071679F"/>
    <w:rsid w:val="00716E90"/>
    <w:rsid w:val="0072010A"/>
    <w:rsid w:val="00721B5C"/>
    <w:rsid w:val="00721D3E"/>
    <w:rsid w:val="007240A7"/>
    <w:rsid w:val="00724168"/>
    <w:rsid w:val="00725266"/>
    <w:rsid w:val="007272DC"/>
    <w:rsid w:val="0072766A"/>
    <w:rsid w:val="007300FF"/>
    <w:rsid w:val="00730D5F"/>
    <w:rsid w:val="0073138A"/>
    <w:rsid w:val="007322A9"/>
    <w:rsid w:val="007357A3"/>
    <w:rsid w:val="00735F12"/>
    <w:rsid w:val="007365F8"/>
    <w:rsid w:val="00737B8F"/>
    <w:rsid w:val="00741155"/>
    <w:rsid w:val="00741283"/>
    <w:rsid w:val="007421DD"/>
    <w:rsid w:val="00742E91"/>
    <w:rsid w:val="00744C8F"/>
    <w:rsid w:val="00745BCD"/>
    <w:rsid w:val="00754D99"/>
    <w:rsid w:val="0075717A"/>
    <w:rsid w:val="0075778F"/>
    <w:rsid w:val="00760EA7"/>
    <w:rsid w:val="00762FAC"/>
    <w:rsid w:val="00765A3B"/>
    <w:rsid w:val="00771362"/>
    <w:rsid w:val="007729C0"/>
    <w:rsid w:val="00774449"/>
    <w:rsid w:val="00776CC0"/>
    <w:rsid w:val="00777123"/>
    <w:rsid w:val="00777A40"/>
    <w:rsid w:val="00777C19"/>
    <w:rsid w:val="0078011E"/>
    <w:rsid w:val="00780223"/>
    <w:rsid w:val="00780364"/>
    <w:rsid w:val="00783BF4"/>
    <w:rsid w:val="00783ECD"/>
    <w:rsid w:val="007841D3"/>
    <w:rsid w:val="007843DC"/>
    <w:rsid w:val="00784A93"/>
    <w:rsid w:val="00784FD5"/>
    <w:rsid w:val="0078566C"/>
    <w:rsid w:val="00785B77"/>
    <w:rsid w:val="00786C60"/>
    <w:rsid w:val="00787F27"/>
    <w:rsid w:val="00790868"/>
    <w:rsid w:val="00791A74"/>
    <w:rsid w:val="007939E3"/>
    <w:rsid w:val="00793B3A"/>
    <w:rsid w:val="0079451F"/>
    <w:rsid w:val="00794B43"/>
    <w:rsid w:val="00797153"/>
    <w:rsid w:val="00797292"/>
    <w:rsid w:val="00797BB1"/>
    <w:rsid w:val="007A15FB"/>
    <w:rsid w:val="007A1646"/>
    <w:rsid w:val="007A1EB2"/>
    <w:rsid w:val="007A25AB"/>
    <w:rsid w:val="007A33A1"/>
    <w:rsid w:val="007A70A4"/>
    <w:rsid w:val="007B19E5"/>
    <w:rsid w:val="007B1B3C"/>
    <w:rsid w:val="007B20BB"/>
    <w:rsid w:val="007B49E7"/>
    <w:rsid w:val="007B5183"/>
    <w:rsid w:val="007B5DAB"/>
    <w:rsid w:val="007B619C"/>
    <w:rsid w:val="007B620D"/>
    <w:rsid w:val="007B62D9"/>
    <w:rsid w:val="007B649A"/>
    <w:rsid w:val="007B6F8B"/>
    <w:rsid w:val="007C0ADA"/>
    <w:rsid w:val="007C11C9"/>
    <w:rsid w:val="007C3835"/>
    <w:rsid w:val="007C3E02"/>
    <w:rsid w:val="007C4241"/>
    <w:rsid w:val="007C47BE"/>
    <w:rsid w:val="007C49CB"/>
    <w:rsid w:val="007C4D9A"/>
    <w:rsid w:val="007C4F4C"/>
    <w:rsid w:val="007C5169"/>
    <w:rsid w:val="007C5968"/>
    <w:rsid w:val="007C5B34"/>
    <w:rsid w:val="007C676D"/>
    <w:rsid w:val="007C7BE6"/>
    <w:rsid w:val="007D0451"/>
    <w:rsid w:val="007D0BA4"/>
    <w:rsid w:val="007D39D4"/>
    <w:rsid w:val="007D3E26"/>
    <w:rsid w:val="007D4F50"/>
    <w:rsid w:val="007D5701"/>
    <w:rsid w:val="007D5B7C"/>
    <w:rsid w:val="007D6749"/>
    <w:rsid w:val="007E0FE0"/>
    <w:rsid w:val="007E1256"/>
    <w:rsid w:val="007E1EE7"/>
    <w:rsid w:val="007E25F3"/>
    <w:rsid w:val="007E2EC3"/>
    <w:rsid w:val="007E38A1"/>
    <w:rsid w:val="007E3DBF"/>
    <w:rsid w:val="007E4EC0"/>
    <w:rsid w:val="007F0036"/>
    <w:rsid w:val="007F0DEB"/>
    <w:rsid w:val="007F1817"/>
    <w:rsid w:val="007F1B02"/>
    <w:rsid w:val="007F1E5E"/>
    <w:rsid w:val="007F1F97"/>
    <w:rsid w:val="007F210F"/>
    <w:rsid w:val="007F2E80"/>
    <w:rsid w:val="007F3880"/>
    <w:rsid w:val="007F3A21"/>
    <w:rsid w:val="007F5D00"/>
    <w:rsid w:val="007F6A83"/>
    <w:rsid w:val="008013C9"/>
    <w:rsid w:val="00802CEC"/>
    <w:rsid w:val="00803029"/>
    <w:rsid w:val="00803BFA"/>
    <w:rsid w:val="0080614D"/>
    <w:rsid w:val="00806617"/>
    <w:rsid w:val="00813D1D"/>
    <w:rsid w:val="00814B31"/>
    <w:rsid w:val="008207F4"/>
    <w:rsid w:val="00820CC0"/>
    <w:rsid w:val="008215D7"/>
    <w:rsid w:val="00822B6A"/>
    <w:rsid w:val="008237A1"/>
    <w:rsid w:val="00824CBE"/>
    <w:rsid w:val="00826CAD"/>
    <w:rsid w:val="00826E78"/>
    <w:rsid w:val="008273D0"/>
    <w:rsid w:val="00827642"/>
    <w:rsid w:val="008301E5"/>
    <w:rsid w:val="00830975"/>
    <w:rsid w:val="008328FE"/>
    <w:rsid w:val="008339D0"/>
    <w:rsid w:val="00834753"/>
    <w:rsid w:val="00834D7A"/>
    <w:rsid w:val="00835B45"/>
    <w:rsid w:val="00836673"/>
    <w:rsid w:val="00836D92"/>
    <w:rsid w:val="0084066D"/>
    <w:rsid w:val="00840C47"/>
    <w:rsid w:val="00840DC3"/>
    <w:rsid w:val="00840E84"/>
    <w:rsid w:val="00841053"/>
    <w:rsid w:val="00843354"/>
    <w:rsid w:val="008446DF"/>
    <w:rsid w:val="008453F6"/>
    <w:rsid w:val="00847A73"/>
    <w:rsid w:val="00847BC4"/>
    <w:rsid w:val="00850A82"/>
    <w:rsid w:val="0085109D"/>
    <w:rsid w:val="00852519"/>
    <w:rsid w:val="008534AB"/>
    <w:rsid w:val="0085672C"/>
    <w:rsid w:val="00857A75"/>
    <w:rsid w:val="00860573"/>
    <w:rsid w:val="008619C4"/>
    <w:rsid w:val="00863946"/>
    <w:rsid w:val="00864238"/>
    <w:rsid w:val="00864703"/>
    <w:rsid w:val="00866E98"/>
    <w:rsid w:val="00873790"/>
    <w:rsid w:val="00874EBF"/>
    <w:rsid w:val="008750E9"/>
    <w:rsid w:val="0087535B"/>
    <w:rsid w:val="00875631"/>
    <w:rsid w:val="00876A36"/>
    <w:rsid w:val="008807B7"/>
    <w:rsid w:val="00882262"/>
    <w:rsid w:val="00884A2A"/>
    <w:rsid w:val="00885533"/>
    <w:rsid w:val="00885678"/>
    <w:rsid w:val="00885700"/>
    <w:rsid w:val="00887745"/>
    <w:rsid w:val="0089106A"/>
    <w:rsid w:val="00891925"/>
    <w:rsid w:val="00894A20"/>
    <w:rsid w:val="008970FD"/>
    <w:rsid w:val="0089756B"/>
    <w:rsid w:val="008A29A9"/>
    <w:rsid w:val="008A3775"/>
    <w:rsid w:val="008A539F"/>
    <w:rsid w:val="008A6301"/>
    <w:rsid w:val="008A6630"/>
    <w:rsid w:val="008A6D16"/>
    <w:rsid w:val="008A7588"/>
    <w:rsid w:val="008A79C6"/>
    <w:rsid w:val="008B089D"/>
    <w:rsid w:val="008B0B80"/>
    <w:rsid w:val="008B0D0F"/>
    <w:rsid w:val="008B0FA1"/>
    <w:rsid w:val="008B1E89"/>
    <w:rsid w:val="008B3FCF"/>
    <w:rsid w:val="008B42F8"/>
    <w:rsid w:val="008B4B15"/>
    <w:rsid w:val="008B54AB"/>
    <w:rsid w:val="008B5517"/>
    <w:rsid w:val="008B65AF"/>
    <w:rsid w:val="008C029B"/>
    <w:rsid w:val="008C0AFF"/>
    <w:rsid w:val="008C1FBF"/>
    <w:rsid w:val="008C2629"/>
    <w:rsid w:val="008C2745"/>
    <w:rsid w:val="008C4599"/>
    <w:rsid w:val="008C609E"/>
    <w:rsid w:val="008C7A77"/>
    <w:rsid w:val="008C7C74"/>
    <w:rsid w:val="008C7DE3"/>
    <w:rsid w:val="008D4ACD"/>
    <w:rsid w:val="008D4C8B"/>
    <w:rsid w:val="008D4F31"/>
    <w:rsid w:val="008D5C1F"/>
    <w:rsid w:val="008D6185"/>
    <w:rsid w:val="008E0622"/>
    <w:rsid w:val="008E125C"/>
    <w:rsid w:val="008E1AC5"/>
    <w:rsid w:val="008E2B80"/>
    <w:rsid w:val="008E30BA"/>
    <w:rsid w:val="008E335F"/>
    <w:rsid w:val="008E5285"/>
    <w:rsid w:val="008E54D3"/>
    <w:rsid w:val="008E5CC5"/>
    <w:rsid w:val="008E5F99"/>
    <w:rsid w:val="008E7D24"/>
    <w:rsid w:val="008E7FFC"/>
    <w:rsid w:val="008F0929"/>
    <w:rsid w:val="008F0A34"/>
    <w:rsid w:val="008F1DC3"/>
    <w:rsid w:val="008F22B8"/>
    <w:rsid w:val="008F2DB5"/>
    <w:rsid w:val="008F381E"/>
    <w:rsid w:val="008F3D46"/>
    <w:rsid w:val="008F4C0C"/>
    <w:rsid w:val="008F5658"/>
    <w:rsid w:val="008F6429"/>
    <w:rsid w:val="008F6CFA"/>
    <w:rsid w:val="008F75BD"/>
    <w:rsid w:val="008F7768"/>
    <w:rsid w:val="008F78C5"/>
    <w:rsid w:val="009013D2"/>
    <w:rsid w:val="00901580"/>
    <w:rsid w:val="0090396C"/>
    <w:rsid w:val="009065AD"/>
    <w:rsid w:val="0091146A"/>
    <w:rsid w:val="009129D2"/>
    <w:rsid w:val="00912C80"/>
    <w:rsid w:val="009145AF"/>
    <w:rsid w:val="00915715"/>
    <w:rsid w:val="00916B1F"/>
    <w:rsid w:val="00917A24"/>
    <w:rsid w:val="00917CC8"/>
    <w:rsid w:val="00920D5A"/>
    <w:rsid w:val="009224BB"/>
    <w:rsid w:val="00922AEE"/>
    <w:rsid w:val="00925AC1"/>
    <w:rsid w:val="00926C30"/>
    <w:rsid w:val="00927ABB"/>
    <w:rsid w:val="00932254"/>
    <w:rsid w:val="00934B67"/>
    <w:rsid w:val="009358EA"/>
    <w:rsid w:val="00935B9F"/>
    <w:rsid w:val="00935F29"/>
    <w:rsid w:val="00936103"/>
    <w:rsid w:val="00937AA9"/>
    <w:rsid w:val="009418E5"/>
    <w:rsid w:val="0094192A"/>
    <w:rsid w:val="009422C2"/>
    <w:rsid w:val="00942799"/>
    <w:rsid w:val="00943061"/>
    <w:rsid w:val="0094360D"/>
    <w:rsid w:val="009441F3"/>
    <w:rsid w:val="0094496F"/>
    <w:rsid w:val="0094536A"/>
    <w:rsid w:val="00947683"/>
    <w:rsid w:val="00947F36"/>
    <w:rsid w:val="00950A85"/>
    <w:rsid w:val="0095547C"/>
    <w:rsid w:val="00957BC3"/>
    <w:rsid w:val="0096005C"/>
    <w:rsid w:val="00960367"/>
    <w:rsid w:val="00960495"/>
    <w:rsid w:val="00960AE5"/>
    <w:rsid w:val="00960F88"/>
    <w:rsid w:val="00961393"/>
    <w:rsid w:val="009620F7"/>
    <w:rsid w:val="00963CB3"/>
    <w:rsid w:val="00965543"/>
    <w:rsid w:val="009665A4"/>
    <w:rsid w:val="00970C9F"/>
    <w:rsid w:val="00970FAB"/>
    <w:rsid w:val="00971E2C"/>
    <w:rsid w:val="00972A34"/>
    <w:rsid w:val="00972A71"/>
    <w:rsid w:val="0097334D"/>
    <w:rsid w:val="0097492F"/>
    <w:rsid w:val="00974F5C"/>
    <w:rsid w:val="00975217"/>
    <w:rsid w:val="00976654"/>
    <w:rsid w:val="00977972"/>
    <w:rsid w:val="009804EC"/>
    <w:rsid w:val="0098255E"/>
    <w:rsid w:val="00983CDF"/>
    <w:rsid w:val="00983D3D"/>
    <w:rsid w:val="00983F44"/>
    <w:rsid w:val="009843FA"/>
    <w:rsid w:val="00984987"/>
    <w:rsid w:val="00987A21"/>
    <w:rsid w:val="00990D5F"/>
    <w:rsid w:val="00991D27"/>
    <w:rsid w:val="00992245"/>
    <w:rsid w:val="00993152"/>
    <w:rsid w:val="009933F7"/>
    <w:rsid w:val="00993730"/>
    <w:rsid w:val="00995F1F"/>
    <w:rsid w:val="00997B1F"/>
    <w:rsid w:val="009A0AF2"/>
    <w:rsid w:val="009A1708"/>
    <w:rsid w:val="009A2BA1"/>
    <w:rsid w:val="009A33BB"/>
    <w:rsid w:val="009A3CC7"/>
    <w:rsid w:val="009A3F8D"/>
    <w:rsid w:val="009A41E6"/>
    <w:rsid w:val="009A53A6"/>
    <w:rsid w:val="009A5E86"/>
    <w:rsid w:val="009A68FA"/>
    <w:rsid w:val="009A78C0"/>
    <w:rsid w:val="009B09DA"/>
    <w:rsid w:val="009B1E90"/>
    <w:rsid w:val="009B3471"/>
    <w:rsid w:val="009B6294"/>
    <w:rsid w:val="009B6D66"/>
    <w:rsid w:val="009C0A08"/>
    <w:rsid w:val="009C1431"/>
    <w:rsid w:val="009C24C1"/>
    <w:rsid w:val="009C2F71"/>
    <w:rsid w:val="009C39CF"/>
    <w:rsid w:val="009C4528"/>
    <w:rsid w:val="009C642B"/>
    <w:rsid w:val="009C790B"/>
    <w:rsid w:val="009C79D7"/>
    <w:rsid w:val="009D1518"/>
    <w:rsid w:val="009D21AA"/>
    <w:rsid w:val="009D5462"/>
    <w:rsid w:val="009D6D1F"/>
    <w:rsid w:val="009E03B8"/>
    <w:rsid w:val="009E1306"/>
    <w:rsid w:val="009E1DDC"/>
    <w:rsid w:val="009E29E5"/>
    <w:rsid w:val="009E3402"/>
    <w:rsid w:val="009E3A16"/>
    <w:rsid w:val="009E3D6A"/>
    <w:rsid w:val="009E41AC"/>
    <w:rsid w:val="009E4FB5"/>
    <w:rsid w:val="009E6D93"/>
    <w:rsid w:val="009E6E46"/>
    <w:rsid w:val="009F0965"/>
    <w:rsid w:val="009F2BB2"/>
    <w:rsid w:val="009F2BBF"/>
    <w:rsid w:val="009F717B"/>
    <w:rsid w:val="009F7714"/>
    <w:rsid w:val="00A00AE9"/>
    <w:rsid w:val="00A017A7"/>
    <w:rsid w:val="00A01CEF"/>
    <w:rsid w:val="00A0408A"/>
    <w:rsid w:val="00A05664"/>
    <w:rsid w:val="00A06038"/>
    <w:rsid w:val="00A07A0F"/>
    <w:rsid w:val="00A10423"/>
    <w:rsid w:val="00A110EA"/>
    <w:rsid w:val="00A14DD4"/>
    <w:rsid w:val="00A15A7D"/>
    <w:rsid w:val="00A15FE4"/>
    <w:rsid w:val="00A1718E"/>
    <w:rsid w:val="00A2017B"/>
    <w:rsid w:val="00A201FD"/>
    <w:rsid w:val="00A20F49"/>
    <w:rsid w:val="00A20FAC"/>
    <w:rsid w:val="00A21882"/>
    <w:rsid w:val="00A24C74"/>
    <w:rsid w:val="00A26D56"/>
    <w:rsid w:val="00A26EC3"/>
    <w:rsid w:val="00A27C94"/>
    <w:rsid w:val="00A30E8F"/>
    <w:rsid w:val="00A31497"/>
    <w:rsid w:val="00A31E98"/>
    <w:rsid w:val="00A3230C"/>
    <w:rsid w:val="00A3233C"/>
    <w:rsid w:val="00A333BF"/>
    <w:rsid w:val="00A33C0A"/>
    <w:rsid w:val="00A34AB5"/>
    <w:rsid w:val="00A35FD7"/>
    <w:rsid w:val="00A362F0"/>
    <w:rsid w:val="00A36628"/>
    <w:rsid w:val="00A37C15"/>
    <w:rsid w:val="00A41C66"/>
    <w:rsid w:val="00A41E55"/>
    <w:rsid w:val="00A43B42"/>
    <w:rsid w:val="00A44A6A"/>
    <w:rsid w:val="00A47EEA"/>
    <w:rsid w:val="00A5094B"/>
    <w:rsid w:val="00A5150C"/>
    <w:rsid w:val="00A515F2"/>
    <w:rsid w:val="00A55D93"/>
    <w:rsid w:val="00A5736C"/>
    <w:rsid w:val="00A57BB9"/>
    <w:rsid w:val="00A60D55"/>
    <w:rsid w:val="00A612C6"/>
    <w:rsid w:val="00A641C6"/>
    <w:rsid w:val="00A65C6E"/>
    <w:rsid w:val="00A66C21"/>
    <w:rsid w:val="00A66F88"/>
    <w:rsid w:val="00A67067"/>
    <w:rsid w:val="00A672DA"/>
    <w:rsid w:val="00A67873"/>
    <w:rsid w:val="00A72AD5"/>
    <w:rsid w:val="00A75E41"/>
    <w:rsid w:val="00A76575"/>
    <w:rsid w:val="00A80F67"/>
    <w:rsid w:val="00A81151"/>
    <w:rsid w:val="00A81E2F"/>
    <w:rsid w:val="00A82D28"/>
    <w:rsid w:val="00A83972"/>
    <w:rsid w:val="00A840FB"/>
    <w:rsid w:val="00A843C6"/>
    <w:rsid w:val="00A84674"/>
    <w:rsid w:val="00A847EB"/>
    <w:rsid w:val="00A84D41"/>
    <w:rsid w:val="00A8540D"/>
    <w:rsid w:val="00A85663"/>
    <w:rsid w:val="00A85D4C"/>
    <w:rsid w:val="00A863BB"/>
    <w:rsid w:val="00A902EC"/>
    <w:rsid w:val="00A90CF8"/>
    <w:rsid w:val="00A93077"/>
    <w:rsid w:val="00A946CE"/>
    <w:rsid w:val="00A95DB7"/>
    <w:rsid w:val="00A968FB"/>
    <w:rsid w:val="00A969C0"/>
    <w:rsid w:val="00AA101C"/>
    <w:rsid w:val="00AA3578"/>
    <w:rsid w:val="00AA446A"/>
    <w:rsid w:val="00AA5620"/>
    <w:rsid w:val="00AA7630"/>
    <w:rsid w:val="00AB20AD"/>
    <w:rsid w:val="00AB25C4"/>
    <w:rsid w:val="00AB2D3E"/>
    <w:rsid w:val="00AB6716"/>
    <w:rsid w:val="00AB7643"/>
    <w:rsid w:val="00AC12BD"/>
    <w:rsid w:val="00AC1602"/>
    <w:rsid w:val="00AC1787"/>
    <w:rsid w:val="00AC1FD1"/>
    <w:rsid w:val="00AC2D61"/>
    <w:rsid w:val="00AC4A86"/>
    <w:rsid w:val="00AC67B9"/>
    <w:rsid w:val="00AC738A"/>
    <w:rsid w:val="00AD2926"/>
    <w:rsid w:val="00AD2B6C"/>
    <w:rsid w:val="00AD33B2"/>
    <w:rsid w:val="00AD56CF"/>
    <w:rsid w:val="00AD5BB4"/>
    <w:rsid w:val="00AD6053"/>
    <w:rsid w:val="00AD67AE"/>
    <w:rsid w:val="00AE2D67"/>
    <w:rsid w:val="00AE3BD3"/>
    <w:rsid w:val="00AE6D32"/>
    <w:rsid w:val="00AE751D"/>
    <w:rsid w:val="00AE75AD"/>
    <w:rsid w:val="00AF51A8"/>
    <w:rsid w:val="00AF5D77"/>
    <w:rsid w:val="00AF606A"/>
    <w:rsid w:val="00AF6372"/>
    <w:rsid w:val="00AF7412"/>
    <w:rsid w:val="00B00507"/>
    <w:rsid w:val="00B00527"/>
    <w:rsid w:val="00B00DB1"/>
    <w:rsid w:val="00B01B0C"/>
    <w:rsid w:val="00B01FA6"/>
    <w:rsid w:val="00B02856"/>
    <w:rsid w:val="00B030BF"/>
    <w:rsid w:val="00B033A1"/>
    <w:rsid w:val="00B038E9"/>
    <w:rsid w:val="00B047E9"/>
    <w:rsid w:val="00B061FE"/>
    <w:rsid w:val="00B068F8"/>
    <w:rsid w:val="00B06D48"/>
    <w:rsid w:val="00B10705"/>
    <w:rsid w:val="00B11DBF"/>
    <w:rsid w:val="00B128D4"/>
    <w:rsid w:val="00B1325D"/>
    <w:rsid w:val="00B13B66"/>
    <w:rsid w:val="00B15D19"/>
    <w:rsid w:val="00B1739F"/>
    <w:rsid w:val="00B1771F"/>
    <w:rsid w:val="00B2012B"/>
    <w:rsid w:val="00B217A4"/>
    <w:rsid w:val="00B23AE0"/>
    <w:rsid w:val="00B247EC"/>
    <w:rsid w:val="00B26441"/>
    <w:rsid w:val="00B31CE7"/>
    <w:rsid w:val="00B33B3A"/>
    <w:rsid w:val="00B35948"/>
    <w:rsid w:val="00B359E8"/>
    <w:rsid w:val="00B365E8"/>
    <w:rsid w:val="00B37A45"/>
    <w:rsid w:val="00B37C32"/>
    <w:rsid w:val="00B37CC4"/>
    <w:rsid w:val="00B40DFC"/>
    <w:rsid w:val="00B41560"/>
    <w:rsid w:val="00B41813"/>
    <w:rsid w:val="00B42037"/>
    <w:rsid w:val="00B426EF"/>
    <w:rsid w:val="00B428BA"/>
    <w:rsid w:val="00B43D56"/>
    <w:rsid w:val="00B50E3D"/>
    <w:rsid w:val="00B52034"/>
    <w:rsid w:val="00B5290F"/>
    <w:rsid w:val="00B53297"/>
    <w:rsid w:val="00B543A4"/>
    <w:rsid w:val="00B562E0"/>
    <w:rsid w:val="00B56C6F"/>
    <w:rsid w:val="00B57B94"/>
    <w:rsid w:val="00B57DBA"/>
    <w:rsid w:val="00B57DE9"/>
    <w:rsid w:val="00B61012"/>
    <w:rsid w:val="00B622DE"/>
    <w:rsid w:val="00B624C9"/>
    <w:rsid w:val="00B62FC8"/>
    <w:rsid w:val="00B62FE2"/>
    <w:rsid w:val="00B632D6"/>
    <w:rsid w:val="00B6660F"/>
    <w:rsid w:val="00B66731"/>
    <w:rsid w:val="00B66A22"/>
    <w:rsid w:val="00B66FC1"/>
    <w:rsid w:val="00B679DD"/>
    <w:rsid w:val="00B71710"/>
    <w:rsid w:val="00B71F47"/>
    <w:rsid w:val="00B72361"/>
    <w:rsid w:val="00B72B0E"/>
    <w:rsid w:val="00B72D48"/>
    <w:rsid w:val="00B75D92"/>
    <w:rsid w:val="00B76EB5"/>
    <w:rsid w:val="00B80D9D"/>
    <w:rsid w:val="00B81895"/>
    <w:rsid w:val="00B8193B"/>
    <w:rsid w:val="00B82376"/>
    <w:rsid w:val="00B8251F"/>
    <w:rsid w:val="00B8314F"/>
    <w:rsid w:val="00B83E1F"/>
    <w:rsid w:val="00B83F79"/>
    <w:rsid w:val="00B87B75"/>
    <w:rsid w:val="00B902CA"/>
    <w:rsid w:val="00B92614"/>
    <w:rsid w:val="00B93C0C"/>
    <w:rsid w:val="00B95A8C"/>
    <w:rsid w:val="00B95FEC"/>
    <w:rsid w:val="00B96517"/>
    <w:rsid w:val="00B96723"/>
    <w:rsid w:val="00B9760D"/>
    <w:rsid w:val="00BA033D"/>
    <w:rsid w:val="00BA042A"/>
    <w:rsid w:val="00BA08F9"/>
    <w:rsid w:val="00BA2844"/>
    <w:rsid w:val="00BA2951"/>
    <w:rsid w:val="00BA30ED"/>
    <w:rsid w:val="00BA39B7"/>
    <w:rsid w:val="00BA471A"/>
    <w:rsid w:val="00BA4869"/>
    <w:rsid w:val="00BA59D9"/>
    <w:rsid w:val="00BB045E"/>
    <w:rsid w:val="00BB08C3"/>
    <w:rsid w:val="00BB0D9F"/>
    <w:rsid w:val="00BB2B6B"/>
    <w:rsid w:val="00BB5216"/>
    <w:rsid w:val="00BB6028"/>
    <w:rsid w:val="00BB7818"/>
    <w:rsid w:val="00BB7F10"/>
    <w:rsid w:val="00BC0812"/>
    <w:rsid w:val="00BC1522"/>
    <w:rsid w:val="00BC3A1D"/>
    <w:rsid w:val="00BC5286"/>
    <w:rsid w:val="00BC54AD"/>
    <w:rsid w:val="00BC65DF"/>
    <w:rsid w:val="00BC6B43"/>
    <w:rsid w:val="00BC6CD0"/>
    <w:rsid w:val="00BC6D84"/>
    <w:rsid w:val="00BD1911"/>
    <w:rsid w:val="00BD27BD"/>
    <w:rsid w:val="00BD2952"/>
    <w:rsid w:val="00BD4F28"/>
    <w:rsid w:val="00BD6411"/>
    <w:rsid w:val="00BD7824"/>
    <w:rsid w:val="00BD7E25"/>
    <w:rsid w:val="00BE1C4C"/>
    <w:rsid w:val="00BE355C"/>
    <w:rsid w:val="00BE5D8C"/>
    <w:rsid w:val="00BE7619"/>
    <w:rsid w:val="00BF1191"/>
    <w:rsid w:val="00BF32D7"/>
    <w:rsid w:val="00BF6BF1"/>
    <w:rsid w:val="00BF741A"/>
    <w:rsid w:val="00BF74D8"/>
    <w:rsid w:val="00C00618"/>
    <w:rsid w:val="00C0078A"/>
    <w:rsid w:val="00C030D3"/>
    <w:rsid w:val="00C035CE"/>
    <w:rsid w:val="00C0411A"/>
    <w:rsid w:val="00C100F8"/>
    <w:rsid w:val="00C10B46"/>
    <w:rsid w:val="00C10E53"/>
    <w:rsid w:val="00C11474"/>
    <w:rsid w:val="00C13A01"/>
    <w:rsid w:val="00C1693B"/>
    <w:rsid w:val="00C16D48"/>
    <w:rsid w:val="00C16DD0"/>
    <w:rsid w:val="00C16E28"/>
    <w:rsid w:val="00C17F8F"/>
    <w:rsid w:val="00C217FD"/>
    <w:rsid w:val="00C22131"/>
    <w:rsid w:val="00C248B3"/>
    <w:rsid w:val="00C26616"/>
    <w:rsid w:val="00C267C2"/>
    <w:rsid w:val="00C303CC"/>
    <w:rsid w:val="00C30701"/>
    <w:rsid w:val="00C30F80"/>
    <w:rsid w:val="00C31395"/>
    <w:rsid w:val="00C32BE3"/>
    <w:rsid w:val="00C35284"/>
    <w:rsid w:val="00C3681A"/>
    <w:rsid w:val="00C4013A"/>
    <w:rsid w:val="00C40492"/>
    <w:rsid w:val="00C40ADC"/>
    <w:rsid w:val="00C428F1"/>
    <w:rsid w:val="00C43447"/>
    <w:rsid w:val="00C43560"/>
    <w:rsid w:val="00C44660"/>
    <w:rsid w:val="00C45315"/>
    <w:rsid w:val="00C46626"/>
    <w:rsid w:val="00C47E85"/>
    <w:rsid w:val="00C51689"/>
    <w:rsid w:val="00C51FC5"/>
    <w:rsid w:val="00C5207F"/>
    <w:rsid w:val="00C5214B"/>
    <w:rsid w:val="00C5286B"/>
    <w:rsid w:val="00C529EE"/>
    <w:rsid w:val="00C52E97"/>
    <w:rsid w:val="00C558C7"/>
    <w:rsid w:val="00C55B86"/>
    <w:rsid w:val="00C565A6"/>
    <w:rsid w:val="00C56A97"/>
    <w:rsid w:val="00C57A34"/>
    <w:rsid w:val="00C60718"/>
    <w:rsid w:val="00C607F2"/>
    <w:rsid w:val="00C60F49"/>
    <w:rsid w:val="00C61098"/>
    <w:rsid w:val="00C61DF6"/>
    <w:rsid w:val="00C624D2"/>
    <w:rsid w:val="00C633C0"/>
    <w:rsid w:val="00C63A77"/>
    <w:rsid w:val="00C649F2"/>
    <w:rsid w:val="00C65422"/>
    <w:rsid w:val="00C670C5"/>
    <w:rsid w:val="00C67144"/>
    <w:rsid w:val="00C67240"/>
    <w:rsid w:val="00C7287F"/>
    <w:rsid w:val="00C73DA3"/>
    <w:rsid w:val="00C743A3"/>
    <w:rsid w:val="00C750FD"/>
    <w:rsid w:val="00C8141E"/>
    <w:rsid w:val="00C81CDA"/>
    <w:rsid w:val="00C81E19"/>
    <w:rsid w:val="00C8200C"/>
    <w:rsid w:val="00C8344D"/>
    <w:rsid w:val="00C85B54"/>
    <w:rsid w:val="00C85F41"/>
    <w:rsid w:val="00C87650"/>
    <w:rsid w:val="00C90508"/>
    <w:rsid w:val="00C9257C"/>
    <w:rsid w:val="00C9403E"/>
    <w:rsid w:val="00C94174"/>
    <w:rsid w:val="00C95444"/>
    <w:rsid w:val="00C9672C"/>
    <w:rsid w:val="00C96C63"/>
    <w:rsid w:val="00C96E25"/>
    <w:rsid w:val="00CA0641"/>
    <w:rsid w:val="00CA0D38"/>
    <w:rsid w:val="00CA0D7D"/>
    <w:rsid w:val="00CA46BF"/>
    <w:rsid w:val="00CA5B6E"/>
    <w:rsid w:val="00CA5CF7"/>
    <w:rsid w:val="00CA5DEC"/>
    <w:rsid w:val="00CA6608"/>
    <w:rsid w:val="00CA6823"/>
    <w:rsid w:val="00CB0992"/>
    <w:rsid w:val="00CB1DAB"/>
    <w:rsid w:val="00CB20F9"/>
    <w:rsid w:val="00CB2A2D"/>
    <w:rsid w:val="00CB2FDB"/>
    <w:rsid w:val="00CB30D4"/>
    <w:rsid w:val="00CB4B00"/>
    <w:rsid w:val="00CB677E"/>
    <w:rsid w:val="00CC1487"/>
    <w:rsid w:val="00CC213B"/>
    <w:rsid w:val="00CC2E18"/>
    <w:rsid w:val="00CC3265"/>
    <w:rsid w:val="00CC3368"/>
    <w:rsid w:val="00CC3571"/>
    <w:rsid w:val="00CC3689"/>
    <w:rsid w:val="00CC41FD"/>
    <w:rsid w:val="00CC4EE2"/>
    <w:rsid w:val="00CC5C44"/>
    <w:rsid w:val="00CC6655"/>
    <w:rsid w:val="00CC6E3C"/>
    <w:rsid w:val="00CC7364"/>
    <w:rsid w:val="00CC7FFC"/>
    <w:rsid w:val="00CD0256"/>
    <w:rsid w:val="00CD1D54"/>
    <w:rsid w:val="00CD1DAD"/>
    <w:rsid w:val="00CD403A"/>
    <w:rsid w:val="00CD45C7"/>
    <w:rsid w:val="00CD572A"/>
    <w:rsid w:val="00CD58DB"/>
    <w:rsid w:val="00CD725E"/>
    <w:rsid w:val="00CD7E20"/>
    <w:rsid w:val="00CE10CA"/>
    <w:rsid w:val="00CE1646"/>
    <w:rsid w:val="00CE2B2E"/>
    <w:rsid w:val="00CE2B58"/>
    <w:rsid w:val="00CE2C72"/>
    <w:rsid w:val="00CE4E67"/>
    <w:rsid w:val="00CF0089"/>
    <w:rsid w:val="00CF02D8"/>
    <w:rsid w:val="00CF066F"/>
    <w:rsid w:val="00CF0AF7"/>
    <w:rsid w:val="00CF0E19"/>
    <w:rsid w:val="00CF4C88"/>
    <w:rsid w:val="00CF4E6D"/>
    <w:rsid w:val="00CF5517"/>
    <w:rsid w:val="00CF6524"/>
    <w:rsid w:val="00CF6F82"/>
    <w:rsid w:val="00CF73DF"/>
    <w:rsid w:val="00D02F09"/>
    <w:rsid w:val="00D06142"/>
    <w:rsid w:val="00D07E7B"/>
    <w:rsid w:val="00D10927"/>
    <w:rsid w:val="00D10B01"/>
    <w:rsid w:val="00D10F72"/>
    <w:rsid w:val="00D12B9C"/>
    <w:rsid w:val="00D12F41"/>
    <w:rsid w:val="00D13924"/>
    <w:rsid w:val="00D13E24"/>
    <w:rsid w:val="00D14010"/>
    <w:rsid w:val="00D17109"/>
    <w:rsid w:val="00D21F9E"/>
    <w:rsid w:val="00D22380"/>
    <w:rsid w:val="00D2239B"/>
    <w:rsid w:val="00D2271A"/>
    <w:rsid w:val="00D24798"/>
    <w:rsid w:val="00D247DA"/>
    <w:rsid w:val="00D302B4"/>
    <w:rsid w:val="00D304F4"/>
    <w:rsid w:val="00D30AFF"/>
    <w:rsid w:val="00D30E30"/>
    <w:rsid w:val="00D30EED"/>
    <w:rsid w:val="00D35E52"/>
    <w:rsid w:val="00D3750A"/>
    <w:rsid w:val="00D37629"/>
    <w:rsid w:val="00D37E10"/>
    <w:rsid w:val="00D40146"/>
    <w:rsid w:val="00D401D5"/>
    <w:rsid w:val="00D40449"/>
    <w:rsid w:val="00D41693"/>
    <w:rsid w:val="00D41EE9"/>
    <w:rsid w:val="00D43DE0"/>
    <w:rsid w:val="00D45398"/>
    <w:rsid w:val="00D478ED"/>
    <w:rsid w:val="00D509BC"/>
    <w:rsid w:val="00D50B7A"/>
    <w:rsid w:val="00D518E3"/>
    <w:rsid w:val="00D521DD"/>
    <w:rsid w:val="00D53065"/>
    <w:rsid w:val="00D54B03"/>
    <w:rsid w:val="00D550A5"/>
    <w:rsid w:val="00D553E7"/>
    <w:rsid w:val="00D61D7C"/>
    <w:rsid w:val="00D64232"/>
    <w:rsid w:val="00D648A2"/>
    <w:rsid w:val="00D64E53"/>
    <w:rsid w:val="00D71748"/>
    <w:rsid w:val="00D72789"/>
    <w:rsid w:val="00D728B0"/>
    <w:rsid w:val="00D72E3B"/>
    <w:rsid w:val="00D775DB"/>
    <w:rsid w:val="00D77787"/>
    <w:rsid w:val="00D803F4"/>
    <w:rsid w:val="00D81D7E"/>
    <w:rsid w:val="00D835BF"/>
    <w:rsid w:val="00D84573"/>
    <w:rsid w:val="00D85E85"/>
    <w:rsid w:val="00D86BBC"/>
    <w:rsid w:val="00D919C0"/>
    <w:rsid w:val="00D91FE8"/>
    <w:rsid w:val="00D920EA"/>
    <w:rsid w:val="00D93F78"/>
    <w:rsid w:val="00D94E42"/>
    <w:rsid w:val="00D9620F"/>
    <w:rsid w:val="00D964B5"/>
    <w:rsid w:val="00D972AF"/>
    <w:rsid w:val="00D975BD"/>
    <w:rsid w:val="00DA0D78"/>
    <w:rsid w:val="00DA10FD"/>
    <w:rsid w:val="00DA1B52"/>
    <w:rsid w:val="00DA1CDD"/>
    <w:rsid w:val="00DA2B0B"/>
    <w:rsid w:val="00DA43CC"/>
    <w:rsid w:val="00DA485B"/>
    <w:rsid w:val="00DA518D"/>
    <w:rsid w:val="00DA6F49"/>
    <w:rsid w:val="00DA7152"/>
    <w:rsid w:val="00DA75A3"/>
    <w:rsid w:val="00DB0678"/>
    <w:rsid w:val="00DB0772"/>
    <w:rsid w:val="00DB0871"/>
    <w:rsid w:val="00DB0FA9"/>
    <w:rsid w:val="00DB1C26"/>
    <w:rsid w:val="00DB2A83"/>
    <w:rsid w:val="00DB3762"/>
    <w:rsid w:val="00DB5645"/>
    <w:rsid w:val="00DB5AF6"/>
    <w:rsid w:val="00DB61FB"/>
    <w:rsid w:val="00DB6A30"/>
    <w:rsid w:val="00DB76D1"/>
    <w:rsid w:val="00DB7CD1"/>
    <w:rsid w:val="00DC0228"/>
    <w:rsid w:val="00DC117B"/>
    <w:rsid w:val="00DC160E"/>
    <w:rsid w:val="00DC1964"/>
    <w:rsid w:val="00DC31E1"/>
    <w:rsid w:val="00DC36FC"/>
    <w:rsid w:val="00DC3BFB"/>
    <w:rsid w:val="00DC49FB"/>
    <w:rsid w:val="00DC4F59"/>
    <w:rsid w:val="00DC526F"/>
    <w:rsid w:val="00DC5FB1"/>
    <w:rsid w:val="00DC631B"/>
    <w:rsid w:val="00DD4790"/>
    <w:rsid w:val="00DD4BEF"/>
    <w:rsid w:val="00DD7489"/>
    <w:rsid w:val="00DD77DD"/>
    <w:rsid w:val="00DD7853"/>
    <w:rsid w:val="00DE05B0"/>
    <w:rsid w:val="00DE0C67"/>
    <w:rsid w:val="00DE16F3"/>
    <w:rsid w:val="00DE23E0"/>
    <w:rsid w:val="00DE2A7F"/>
    <w:rsid w:val="00DE3E79"/>
    <w:rsid w:val="00DE447F"/>
    <w:rsid w:val="00DE48FB"/>
    <w:rsid w:val="00DE5EF9"/>
    <w:rsid w:val="00DE6228"/>
    <w:rsid w:val="00DE65AB"/>
    <w:rsid w:val="00DE7DD2"/>
    <w:rsid w:val="00DF1721"/>
    <w:rsid w:val="00DF1CE6"/>
    <w:rsid w:val="00DF422C"/>
    <w:rsid w:val="00DF4682"/>
    <w:rsid w:val="00DF4D47"/>
    <w:rsid w:val="00DF51D8"/>
    <w:rsid w:val="00DF5559"/>
    <w:rsid w:val="00DF55FB"/>
    <w:rsid w:val="00DF628C"/>
    <w:rsid w:val="00DF6A61"/>
    <w:rsid w:val="00DF7EA1"/>
    <w:rsid w:val="00E00A64"/>
    <w:rsid w:val="00E00F94"/>
    <w:rsid w:val="00E01D22"/>
    <w:rsid w:val="00E02062"/>
    <w:rsid w:val="00E030A8"/>
    <w:rsid w:val="00E03480"/>
    <w:rsid w:val="00E04182"/>
    <w:rsid w:val="00E0436D"/>
    <w:rsid w:val="00E04524"/>
    <w:rsid w:val="00E07226"/>
    <w:rsid w:val="00E10707"/>
    <w:rsid w:val="00E14125"/>
    <w:rsid w:val="00E14F8A"/>
    <w:rsid w:val="00E15A6A"/>
    <w:rsid w:val="00E15FEE"/>
    <w:rsid w:val="00E16A15"/>
    <w:rsid w:val="00E16D9D"/>
    <w:rsid w:val="00E16F69"/>
    <w:rsid w:val="00E2086A"/>
    <w:rsid w:val="00E20945"/>
    <w:rsid w:val="00E213D8"/>
    <w:rsid w:val="00E237E5"/>
    <w:rsid w:val="00E245B7"/>
    <w:rsid w:val="00E24A4E"/>
    <w:rsid w:val="00E24DC0"/>
    <w:rsid w:val="00E25359"/>
    <w:rsid w:val="00E25732"/>
    <w:rsid w:val="00E259F9"/>
    <w:rsid w:val="00E26BD8"/>
    <w:rsid w:val="00E27208"/>
    <w:rsid w:val="00E318B1"/>
    <w:rsid w:val="00E32223"/>
    <w:rsid w:val="00E33999"/>
    <w:rsid w:val="00E33EBA"/>
    <w:rsid w:val="00E35284"/>
    <w:rsid w:val="00E36040"/>
    <w:rsid w:val="00E36EC4"/>
    <w:rsid w:val="00E373BA"/>
    <w:rsid w:val="00E37B7B"/>
    <w:rsid w:val="00E37B8E"/>
    <w:rsid w:val="00E37BB7"/>
    <w:rsid w:val="00E4457B"/>
    <w:rsid w:val="00E44F87"/>
    <w:rsid w:val="00E469E1"/>
    <w:rsid w:val="00E47E2C"/>
    <w:rsid w:val="00E50239"/>
    <w:rsid w:val="00E50676"/>
    <w:rsid w:val="00E51249"/>
    <w:rsid w:val="00E5514A"/>
    <w:rsid w:val="00E554EF"/>
    <w:rsid w:val="00E55583"/>
    <w:rsid w:val="00E5565F"/>
    <w:rsid w:val="00E557C8"/>
    <w:rsid w:val="00E55AA8"/>
    <w:rsid w:val="00E55C95"/>
    <w:rsid w:val="00E56033"/>
    <w:rsid w:val="00E60018"/>
    <w:rsid w:val="00E6275C"/>
    <w:rsid w:val="00E62884"/>
    <w:rsid w:val="00E6391F"/>
    <w:rsid w:val="00E63D1D"/>
    <w:rsid w:val="00E64A9F"/>
    <w:rsid w:val="00E679FA"/>
    <w:rsid w:val="00E67C71"/>
    <w:rsid w:val="00E70F84"/>
    <w:rsid w:val="00E71B4A"/>
    <w:rsid w:val="00E71FF0"/>
    <w:rsid w:val="00E7471C"/>
    <w:rsid w:val="00E758DF"/>
    <w:rsid w:val="00E75DBF"/>
    <w:rsid w:val="00E75F8B"/>
    <w:rsid w:val="00E76003"/>
    <w:rsid w:val="00E765A4"/>
    <w:rsid w:val="00E768AA"/>
    <w:rsid w:val="00E828AD"/>
    <w:rsid w:val="00E83954"/>
    <w:rsid w:val="00E83CA5"/>
    <w:rsid w:val="00E87A58"/>
    <w:rsid w:val="00E93304"/>
    <w:rsid w:val="00E9418F"/>
    <w:rsid w:val="00E943E5"/>
    <w:rsid w:val="00E94736"/>
    <w:rsid w:val="00E95FF9"/>
    <w:rsid w:val="00E974B5"/>
    <w:rsid w:val="00EA14CA"/>
    <w:rsid w:val="00EA3844"/>
    <w:rsid w:val="00EA45D1"/>
    <w:rsid w:val="00EA5C9F"/>
    <w:rsid w:val="00EA5D7B"/>
    <w:rsid w:val="00EA5FD0"/>
    <w:rsid w:val="00EA6CF7"/>
    <w:rsid w:val="00EB050D"/>
    <w:rsid w:val="00EB09D1"/>
    <w:rsid w:val="00EB1DDC"/>
    <w:rsid w:val="00EB205D"/>
    <w:rsid w:val="00EB21DF"/>
    <w:rsid w:val="00EB22D4"/>
    <w:rsid w:val="00EB3897"/>
    <w:rsid w:val="00EB3BCA"/>
    <w:rsid w:val="00EB504D"/>
    <w:rsid w:val="00EB5E7D"/>
    <w:rsid w:val="00EB676B"/>
    <w:rsid w:val="00EB7753"/>
    <w:rsid w:val="00EC080A"/>
    <w:rsid w:val="00EC1815"/>
    <w:rsid w:val="00EC2594"/>
    <w:rsid w:val="00EC3DEE"/>
    <w:rsid w:val="00EC5007"/>
    <w:rsid w:val="00EC5563"/>
    <w:rsid w:val="00EC5A3C"/>
    <w:rsid w:val="00EC7033"/>
    <w:rsid w:val="00EC7711"/>
    <w:rsid w:val="00EC7EAE"/>
    <w:rsid w:val="00ED02DA"/>
    <w:rsid w:val="00ED0C58"/>
    <w:rsid w:val="00ED1167"/>
    <w:rsid w:val="00ED1E57"/>
    <w:rsid w:val="00ED3F85"/>
    <w:rsid w:val="00ED44CD"/>
    <w:rsid w:val="00ED56E6"/>
    <w:rsid w:val="00ED5E8E"/>
    <w:rsid w:val="00ED6201"/>
    <w:rsid w:val="00EE0821"/>
    <w:rsid w:val="00EE09F7"/>
    <w:rsid w:val="00EE1BFA"/>
    <w:rsid w:val="00EE317B"/>
    <w:rsid w:val="00EE327F"/>
    <w:rsid w:val="00EE41B1"/>
    <w:rsid w:val="00EE67AA"/>
    <w:rsid w:val="00EE691C"/>
    <w:rsid w:val="00EE7CC8"/>
    <w:rsid w:val="00EF02AD"/>
    <w:rsid w:val="00EF067D"/>
    <w:rsid w:val="00EF34E4"/>
    <w:rsid w:val="00EF3AE0"/>
    <w:rsid w:val="00EF5625"/>
    <w:rsid w:val="00EF5D4A"/>
    <w:rsid w:val="00EF5FEC"/>
    <w:rsid w:val="00EF6CFD"/>
    <w:rsid w:val="00F00A68"/>
    <w:rsid w:val="00F017F8"/>
    <w:rsid w:val="00F025F7"/>
    <w:rsid w:val="00F03F17"/>
    <w:rsid w:val="00F03FD5"/>
    <w:rsid w:val="00F050D0"/>
    <w:rsid w:val="00F062F8"/>
    <w:rsid w:val="00F06B52"/>
    <w:rsid w:val="00F06C64"/>
    <w:rsid w:val="00F11060"/>
    <w:rsid w:val="00F14ACD"/>
    <w:rsid w:val="00F15455"/>
    <w:rsid w:val="00F16A56"/>
    <w:rsid w:val="00F16CBF"/>
    <w:rsid w:val="00F20521"/>
    <w:rsid w:val="00F2076C"/>
    <w:rsid w:val="00F21512"/>
    <w:rsid w:val="00F223A4"/>
    <w:rsid w:val="00F22616"/>
    <w:rsid w:val="00F22672"/>
    <w:rsid w:val="00F23153"/>
    <w:rsid w:val="00F259C0"/>
    <w:rsid w:val="00F2633B"/>
    <w:rsid w:val="00F2693E"/>
    <w:rsid w:val="00F26E58"/>
    <w:rsid w:val="00F27948"/>
    <w:rsid w:val="00F279D4"/>
    <w:rsid w:val="00F304AF"/>
    <w:rsid w:val="00F3147E"/>
    <w:rsid w:val="00F319D4"/>
    <w:rsid w:val="00F3206C"/>
    <w:rsid w:val="00F322D6"/>
    <w:rsid w:val="00F327E6"/>
    <w:rsid w:val="00F34830"/>
    <w:rsid w:val="00F363A1"/>
    <w:rsid w:val="00F37C52"/>
    <w:rsid w:val="00F4014B"/>
    <w:rsid w:val="00F4079E"/>
    <w:rsid w:val="00F4175A"/>
    <w:rsid w:val="00F43BEF"/>
    <w:rsid w:val="00F43EA7"/>
    <w:rsid w:val="00F458DB"/>
    <w:rsid w:val="00F459A7"/>
    <w:rsid w:val="00F45F02"/>
    <w:rsid w:val="00F50E14"/>
    <w:rsid w:val="00F51954"/>
    <w:rsid w:val="00F5232A"/>
    <w:rsid w:val="00F5372C"/>
    <w:rsid w:val="00F54FDA"/>
    <w:rsid w:val="00F55313"/>
    <w:rsid w:val="00F55937"/>
    <w:rsid w:val="00F56204"/>
    <w:rsid w:val="00F6109C"/>
    <w:rsid w:val="00F620B3"/>
    <w:rsid w:val="00F62D7F"/>
    <w:rsid w:val="00F644F1"/>
    <w:rsid w:val="00F64D98"/>
    <w:rsid w:val="00F65621"/>
    <w:rsid w:val="00F6677A"/>
    <w:rsid w:val="00F66F8E"/>
    <w:rsid w:val="00F670C5"/>
    <w:rsid w:val="00F672D6"/>
    <w:rsid w:val="00F7012C"/>
    <w:rsid w:val="00F70D11"/>
    <w:rsid w:val="00F713AF"/>
    <w:rsid w:val="00F740FA"/>
    <w:rsid w:val="00F767D0"/>
    <w:rsid w:val="00F77D32"/>
    <w:rsid w:val="00F80394"/>
    <w:rsid w:val="00F815B6"/>
    <w:rsid w:val="00F828CD"/>
    <w:rsid w:val="00F83BFE"/>
    <w:rsid w:val="00F84159"/>
    <w:rsid w:val="00F850B4"/>
    <w:rsid w:val="00F855F6"/>
    <w:rsid w:val="00F867A3"/>
    <w:rsid w:val="00F86833"/>
    <w:rsid w:val="00F878F2"/>
    <w:rsid w:val="00F9092D"/>
    <w:rsid w:val="00F91119"/>
    <w:rsid w:val="00F9158D"/>
    <w:rsid w:val="00F9189B"/>
    <w:rsid w:val="00F92322"/>
    <w:rsid w:val="00F92495"/>
    <w:rsid w:val="00F92F83"/>
    <w:rsid w:val="00F9353A"/>
    <w:rsid w:val="00F93F18"/>
    <w:rsid w:val="00F948DD"/>
    <w:rsid w:val="00F97D34"/>
    <w:rsid w:val="00FA2328"/>
    <w:rsid w:val="00FA247E"/>
    <w:rsid w:val="00FA26EB"/>
    <w:rsid w:val="00FA2AA4"/>
    <w:rsid w:val="00FA2B95"/>
    <w:rsid w:val="00FA49C0"/>
    <w:rsid w:val="00FA4EB9"/>
    <w:rsid w:val="00FA628D"/>
    <w:rsid w:val="00FB2A96"/>
    <w:rsid w:val="00FB57F2"/>
    <w:rsid w:val="00FC1C00"/>
    <w:rsid w:val="00FC1E54"/>
    <w:rsid w:val="00FC2879"/>
    <w:rsid w:val="00FC2AF2"/>
    <w:rsid w:val="00FC2B56"/>
    <w:rsid w:val="00FC2DC1"/>
    <w:rsid w:val="00FC503F"/>
    <w:rsid w:val="00FC6051"/>
    <w:rsid w:val="00FC6C16"/>
    <w:rsid w:val="00FC6C7E"/>
    <w:rsid w:val="00FC7802"/>
    <w:rsid w:val="00FD04E2"/>
    <w:rsid w:val="00FD0D71"/>
    <w:rsid w:val="00FD1396"/>
    <w:rsid w:val="00FD3983"/>
    <w:rsid w:val="00FD407D"/>
    <w:rsid w:val="00FD411A"/>
    <w:rsid w:val="00FD440C"/>
    <w:rsid w:val="00FD4476"/>
    <w:rsid w:val="00FD6CBA"/>
    <w:rsid w:val="00FD6D05"/>
    <w:rsid w:val="00FE0118"/>
    <w:rsid w:val="00FE39FB"/>
    <w:rsid w:val="00FE4E90"/>
    <w:rsid w:val="00FE54FA"/>
    <w:rsid w:val="00FE5FBD"/>
    <w:rsid w:val="00FE6A78"/>
    <w:rsid w:val="00FE7DCA"/>
    <w:rsid w:val="00FF181D"/>
    <w:rsid w:val="00FF20B9"/>
    <w:rsid w:val="00FF27D1"/>
    <w:rsid w:val="00FF30F5"/>
    <w:rsid w:val="00FF514C"/>
    <w:rsid w:val="00FF53D9"/>
    <w:rsid w:val="00FF66BB"/>
    <w:rsid w:val="00FF7CE5"/>
    <w:rsid w:val="00FF7EA9"/>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015E"/>
  <w15:docId w15:val="{B9C0D5BD-8012-409D-8E85-DF8D4358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64"/>
    <w:pPr>
      <w:spacing w:line="360" w:lineRule="auto"/>
      <w:jc w:val="both"/>
    </w:pPr>
    <w:rPr>
      <w:rFonts w:ascii="Times New Roman" w:hAnsi="Times New Roman"/>
      <w:sz w:val="24"/>
    </w:rPr>
  </w:style>
  <w:style w:type="paragraph" w:styleId="Heading1">
    <w:name w:val="heading 1"/>
    <w:basedOn w:val="ListParagraph"/>
    <w:next w:val="Normal"/>
    <w:link w:val="Heading1Char"/>
    <w:uiPriority w:val="9"/>
    <w:qFormat/>
    <w:rsid w:val="00AC67B9"/>
    <w:pPr>
      <w:ind w:left="0"/>
      <w:jc w:val="center"/>
      <w:outlineLvl w:val="0"/>
    </w:pPr>
    <w:rPr>
      <w:b/>
      <w:szCs w:val="24"/>
    </w:rPr>
  </w:style>
  <w:style w:type="paragraph" w:styleId="Heading2">
    <w:name w:val="heading 2"/>
    <w:basedOn w:val="Normal"/>
    <w:next w:val="Normal"/>
    <w:link w:val="Heading2Char"/>
    <w:uiPriority w:val="9"/>
    <w:unhideWhenUsed/>
    <w:qFormat/>
    <w:rsid w:val="001B6AAC"/>
    <w:pPr>
      <w:jc w:val="left"/>
      <w:outlineLvl w:val="1"/>
    </w:pPr>
    <w:rPr>
      <w:b/>
      <w:szCs w:val="24"/>
    </w:rPr>
  </w:style>
  <w:style w:type="paragraph" w:styleId="Heading3">
    <w:name w:val="heading 3"/>
    <w:basedOn w:val="Normal"/>
    <w:next w:val="Normal"/>
    <w:link w:val="Heading3Char"/>
    <w:uiPriority w:val="9"/>
    <w:unhideWhenUsed/>
    <w:qFormat/>
    <w:rsid w:val="00D40449"/>
    <w:pPr>
      <w:keepNext/>
      <w:keepLines/>
      <w:spacing w:before="160" w:after="120"/>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F06B52"/>
    <w:pPr>
      <w:keepNext/>
      <w:keepLines/>
      <w:spacing w:before="40" w:after="0" w:line="480" w:lineRule="auto"/>
      <w:outlineLvl w:val="3"/>
    </w:pPr>
    <w:rPr>
      <w:rFonts w:eastAsia="Times New Roman"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094D"/>
    <w:pPr>
      <w:spacing w:after="0" w:line="240" w:lineRule="auto"/>
    </w:pPr>
  </w:style>
  <w:style w:type="paragraph" w:styleId="ListParagraph">
    <w:name w:val="List Paragraph"/>
    <w:basedOn w:val="Normal"/>
    <w:uiPriority w:val="34"/>
    <w:qFormat/>
    <w:rsid w:val="00C9403E"/>
    <w:pPr>
      <w:ind w:left="720"/>
      <w:contextualSpacing/>
    </w:pPr>
  </w:style>
  <w:style w:type="character" w:styleId="Hyperlink">
    <w:name w:val="Hyperlink"/>
    <w:basedOn w:val="DefaultParagraphFont"/>
    <w:uiPriority w:val="99"/>
    <w:unhideWhenUsed/>
    <w:rsid w:val="00ED02DA"/>
    <w:rPr>
      <w:color w:val="0000FF"/>
      <w:u w:val="single"/>
    </w:rPr>
  </w:style>
  <w:style w:type="character" w:customStyle="1" w:styleId="Heading1Char">
    <w:name w:val="Heading 1 Char"/>
    <w:basedOn w:val="DefaultParagraphFont"/>
    <w:link w:val="Heading1"/>
    <w:uiPriority w:val="9"/>
    <w:rsid w:val="00AC67B9"/>
    <w:rPr>
      <w:rFonts w:ascii="Times New Roman" w:hAnsi="Times New Roman"/>
      <w:b/>
      <w:sz w:val="24"/>
      <w:szCs w:val="24"/>
    </w:rPr>
  </w:style>
  <w:style w:type="table" w:styleId="TableGrid">
    <w:name w:val="Table Grid"/>
    <w:basedOn w:val="TableNormal"/>
    <w:uiPriority w:val="39"/>
    <w:rsid w:val="0096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A09E9"/>
  </w:style>
  <w:style w:type="character" w:customStyle="1" w:styleId="e24kjd">
    <w:name w:val="e24kjd"/>
    <w:basedOn w:val="DefaultParagraphFont"/>
    <w:rsid w:val="00027538"/>
  </w:style>
  <w:style w:type="paragraph" w:styleId="Header">
    <w:name w:val="header"/>
    <w:basedOn w:val="Normal"/>
    <w:link w:val="HeaderChar"/>
    <w:uiPriority w:val="99"/>
    <w:unhideWhenUsed/>
    <w:rsid w:val="00D3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10"/>
  </w:style>
  <w:style w:type="paragraph" w:styleId="Footer">
    <w:name w:val="footer"/>
    <w:basedOn w:val="Normal"/>
    <w:link w:val="FooterChar"/>
    <w:uiPriority w:val="99"/>
    <w:unhideWhenUsed/>
    <w:rsid w:val="00D3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10"/>
  </w:style>
  <w:style w:type="paragraph" w:styleId="TOCHeading">
    <w:name w:val="TOC Heading"/>
    <w:basedOn w:val="Heading1"/>
    <w:next w:val="Normal"/>
    <w:uiPriority w:val="39"/>
    <w:unhideWhenUsed/>
    <w:qFormat/>
    <w:rsid w:val="00D37E10"/>
    <w:pPr>
      <w:keepNext/>
      <w:keepLines/>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104E8"/>
    <w:pPr>
      <w:spacing w:after="100" w:line="240" w:lineRule="auto"/>
    </w:pPr>
    <w:rPr>
      <w:b/>
    </w:rPr>
  </w:style>
  <w:style w:type="character" w:customStyle="1" w:styleId="Heading2Char">
    <w:name w:val="Heading 2 Char"/>
    <w:basedOn w:val="DefaultParagraphFont"/>
    <w:link w:val="Heading2"/>
    <w:uiPriority w:val="9"/>
    <w:rsid w:val="001B6AAC"/>
    <w:rPr>
      <w:rFonts w:ascii="Times New Roman" w:hAnsi="Times New Roman"/>
      <w:b/>
      <w:sz w:val="24"/>
      <w:szCs w:val="24"/>
    </w:rPr>
  </w:style>
  <w:style w:type="paragraph" w:styleId="CommentText">
    <w:name w:val="annotation text"/>
    <w:basedOn w:val="Normal"/>
    <w:link w:val="CommentTextChar"/>
    <w:uiPriority w:val="99"/>
    <w:semiHidden/>
    <w:unhideWhenUsed/>
    <w:rsid w:val="000D7917"/>
    <w:pPr>
      <w:spacing w:line="240" w:lineRule="auto"/>
    </w:pPr>
    <w:rPr>
      <w:sz w:val="20"/>
      <w:szCs w:val="20"/>
    </w:rPr>
  </w:style>
  <w:style w:type="character" w:customStyle="1" w:styleId="CommentTextChar">
    <w:name w:val="Comment Text Char"/>
    <w:basedOn w:val="DefaultParagraphFont"/>
    <w:link w:val="CommentText"/>
    <w:uiPriority w:val="99"/>
    <w:semiHidden/>
    <w:rsid w:val="000D7917"/>
    <w:rPr>
      <w:sz w:val="20"/>
      <w:szCs w:val="20"/>
    </w:rPr>
  </w:style>
  <w:style w:type="paragraph" w:styleId="TOC2">
    <w:name w:val="toc 2"/>
    <w:basedOn w:val="Normal"/>
    <w:next w:val="Normal"/>
    <w:autoRedefine/>
    <w:uiPriority w:val="39"/>
    <w:unhideWhenUsed/>
    <w:rsid w:val="00965543"/>
    <w:pPr>
      <w:tabs>
        <w:tab w:val="left" w:pos="720"/>
        <w:tab w:val="right" w:leader="dot" w:pos="8299"/>
        <w:tab w:val="right" w:leader="dot" w:pos="9494"/>
      </w:tabs>
      <w:spacing w:after="100" w:line="240" w:lineRule="auto"/>
      <w:ind w:left="720" w:hanging="450"/>
      <w:jc w:val="left"/>
    </w:pPr>
  </w:style>
  <w:style w:type="character" w:customStyle="1" w:styleId="NoSpacingChar">
    <w:name w:val="No Spacing Char"/>
    <w:basedOn w:val="DefaultParagraphFont"/>
    <w:link w:val="NoSpacing"/>
    <w:uiPriority w:val="1"/>
    <w:rsid w:val="0014472A"/>
  </w:style>
  <w:style w:type="character" w:customStyle="1" w:styleId="FootnoteTextChar">
    <w:name w:val="Footnote Text Char"/>
    <w:basedOn w:val="DefaultParagraphFont"/>
    <w:link w:val="FootnoteText"/>
    <w:uiPriority w:val="99"/>
    <w:semiHidden/>
    <w:rsid w:val="0014472A"/>
    <w:rPr>
      <w:sz w:val="20"/>
      <w:szCs w:val="20"/>
    </w:rPr>
  </w:style>
  <w:style w:type="paragraph" w:styleId="FootnoteText">
    <w:name w:val="footnote text"/>
    <w:basedOn w:val="Normal"/>
    <w:link w:val="FootnoteTextChar"/>
    <w:uiPriority w:val="99"/>
    <w:semiHidden/>
    <w:unhideWhenUsed/>
    <w:rsid w:val="0014472A"/>
    <w:pPr>
      <w:spacing w:after="0" w:line="240" w:lineRule="auto"/>
    </w:pPr>
    <w:rPr>
      <w:sz w:val="20"/>
      <w:szCs w:val="20"/>
    </w:rPr>
  </w:style>
  <w:style w:type="character" w:customStyle="1" w:styleId="FootnoteTextChar1">
    <w:name w:val="Footnote Text Char1"/>
    <w:basedOn w:val="DefaultParagraphFont"/>
    <w:uiPriority w:val="99"/>
    <w:semiHidden/>
    <w:rsid w:val="0014472A"/>
    <w:rPr>
      <w:sz w:val="20"/>
      <w:szCs w:val="20"/>
    </w:rPr>
  </w:style>
  <w:style w:type="paragraph" w:styleId="Subtitle">
    <w:name w:val="Subtitle"/>
    <w:basedOn w:val="Normal"/>
    <w:next w:val="Normal"/>
    <w:link w:val="SubtitleChar"/>
    <w:uiPriority w:val="11"/>
    <w:qFormat/>
    <w:rsid w:val="0014472A"/>
    <w:pPr>
      <w:numPr>
        <w:ilvl w:val="1"/>
      </w:numPr>
    </w:pPr>
    <w:rPr>
      <w:rFonts w:eastAsiaTheme="minorEastAsia"/>
      <w:spacing w:val="15"/>
    </w:rPr>
  </w:style>
  <w:style w:type="character" w:customStyle="1" w:styleId="SubtitleChar">
    <w:name w:val="Subtitle Char"/>
    <w:basedOn w:val="DefaultParagraphFont"/>
    <w:link w:val="Subtitle"/>
    <w:uiPriority w:val="11"/>
    <w:rsid w:val="0014472A"/>
    <w:rPr>
      <w:rFonts w:ascii="Times New Roman" w:eastAsiaTheme="minorEastAsia" w:hAnsi="Times New Roman"/>
      <w:spacing w:val="15"/>
      <w:sz w:val="24"/>
    </w:rPr>
  </w:style>
  <w:style w:type="paragraph" w:styleId="TableofFigures">
    <w:name w:val="table of figures"/>
    <w:basedOn w:val="Normal"/>
    <w:next w:val="Normal"/>
    <w:uiPriority w:val="99"/>
    <w:unhideWhenUsed/>
    <w:rsid w:val="003104E8"/>
    <w:pPr>
      <w:spacing w:after="0" w:line="240" w:lineRule="auto"/>
      <w:ind w:left="440" w:hanging="440"/>
    </w:pPr>
    <w:rPr>
      <w:rFonts w:cstheme="minorHAnsi"/>
      <w:szCs w:val="20"/>
    </w:rPr>
  </w:style>
  <w:style w:type="character" w:customStyle="1" w:styleId="BalloonTextChar">
    <w:name w:val="Balloon Text Char"/>
    <w:basedOn w:val="DefaultParagraphFont"/>
    <w:link w:val="BalloonText"/>
    <w:uiPriority w:val="99"/>
    <w:semiHidden/>
    <w:rsid w:val="0014472A"/>
    <w:rPr>
      <w:rFonts w:ascii="Segoe UI" w:hAnsi="Segoe UI" w:cs="Segoe UI"/>
      <w:sz w:val="18"/>
      <w:szCs w:val="18"/>
    </w:rPr>
  </w:style>
  <w:style w:type="paragraph" w:styleId="BalloonText">
    <w:name w:val="Balloon Text"/>
    <w:basedOn w:val="Normal"/>
    <w:link w:val="BalloonTextChar"/>
    <w:uiPriority w:val="99"/>
    <w:semiHidden/>
    <w:unhideWhenUsed/>
    <w:rsid w:val="0014472A"/>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14472A"/>
    <w:rPr>
      <w:rFonts w:ascii="Segoe UI" w:hAnsi="Segoe UI" w:cs="Segoe UI"/>
      <w:sz w:val="18"/>
      <w:szCs w:val="18"/>
    </w:rPr>
  </w:style>
  <w:style w:type="paragraph" w:styleId="NormalWeb">
    <w:name w:val="Normal (Web)"/>
    <w:basedOn w:val="Normal"/>
    <w:uiPriority w:val="99"/>
    <w:semiHidden/>
    <w:unhideWhenUsed/>
    <w:rsid w:val="00C100F8"/>
    <w:rPr>
      <w:rFonts w:cs="Times New Roman"/>
      <w:szCs w:val="24"/>
    </w:rPr>
  </w:style>
  <w:style w:type="character" w:styleId="PlaceholderText">
    <w:name w:val="Placeholder Text"/>
    <w:basedOn w:val="DefaultParagraphFont"/>
    <w:uiPriority w:val="99"/>
    <w:semiHidden/>
    <w:rsid w:val="00C100F8"/>
    <w:rPr>
      <w:color w:val="808080"/>
    </w:rPr>
  </w:style>
  <w:style w:type="character" w:styleId="CommentReference">
    <w:name w:val="annotation reference"/>
    <w:basedOn w:val="DefaultParagraphFont"/>
    <w:uiPriority w:val="99"/>
    <w:semiHidden/>
    <w:unhideWhenUsed/>
    <w:rsid w:val="00C100F8"/>
    <w:rPr>
      <w:sz w:val="16"/>
      <w:szCs w:val="16"/>
    </w:rPr>
  </w:style>
  <w:style w:type="paragraph" w:customStyle="1" w:styleId="Heading31">
    <w:name w:val="Heading 31"/>
    <w:basedOn w:val="Normal"/>
    <w:next w:val="Normal"/>
    <w:autoRedefine/>
    <w:uiPriority w:val="9"/>
    <w:unhideWhenUsed/>
    <w:rsid w:val="00F6677A"/>
    <w:pPr>
      <w:keepNext/>
      <w:keepLines/>
      <w:spacing w:before="240" w:after="240" w:line="480" w:lineRule="auto"/>
      <w:outlineLvl w:val="2"/>
    </w:pPr>
    <w:rPr>
      <w:rFonts w:eastAsia="Times New Roman" w:cs="Times New Roman"/>
      <w:b/>
      <w:szCs w:val="24"/>
    </w:rPr>
  </w:style>
  <w:style w:type="paragraph" w:customStyle="1" w:styleId="Heading41">
    <w:name w:val="Heading 41"/>
    <w:basedOn w:val="Normal"/>
    <w:next w:val="Normal"/>
    <w:autoRedefine/>
    <w:uiPriority w:val="9"/>
    <w:unhideWhenUsed/>
    <w:qFormat/>
    <w:rsid w:val="00F6677A"/>
    <w:pPr>
      <w:keepNext/>
      <w:keepLines/>
      <w:spacing w:before="240" w:after="240" w:line="480" w:lineRule="auto"/>
      <w:outlineLvl w:val="3"/>
    </w:pPr>
    <w:rPr>
      <w:rFonts w:eastAsia="Times New Roman" w:cs="Times New Roman"/>
      <w:b/>
      <w:i/>
      <w:iCs/>
    </w:rPr>
  </w:style>
  <w:style w:type="numbering" w:customStyle="1" w:styleId="NoList1">
    <w:name w:val="No List1"/>
    <w:next w:val="NoList"/>
    <w:uiPriority w:val="99"/>
    <w:semiHidden/>
    <w:unhideWhenUsed/>
    <w:rsid w:val="00F6677A"/>
  </w:style>
  <w:style w:type="character" w:customStyle="1" w:styleId="Heading3Char">
    <w:name w:val="Heading 3 Char"/>
    <w:basedOn w:val="DefaultParagraphFont"/>
    <w:link w:val="Heading3"/>
    <w:uiPriority w:val="9"/>
    <w:rsid w:val="00D40449"/>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06B52"/>
    <w:rPr>
      <w:rFonts w:ascii="Times New Roman" w:eastAsia="Times New Roman" w:hAnsi="Times New Roman" w:cs="Times New Roman"/>
      <w:b/>
      <w:iCs/>
      <w:sz w:val="24"/>
    </w:rPr>
  </w:style>
  <w:style w:type="paragraph" w:customStyle="1" w:styleId="NoSpacing1">
    <w:name w:val="No Spacing1"/>
    <w:basedOn w:val="Normal"/>
    <w:uiPriority w:val="1"/>
    <w:qFormat/>
    <w:rsid w:val="00F6677A"/>
    <w:pPr>
      <w:spacing w:after="0" w:line="240" w:lineRule="auto"/>
    </w:pPr>
    <w:rPr>
      <w:rFonts w:ascii="Calibri" w:eastAsia="SimSun" w:hAnsi="Calibri" w:cs="Times New Roman"/>
      <w:szCs w:val="32"/>
      <w:lang w:bidi="en-US"/>
    </w:rPr>
  </w:style>
  <w:style w:type="paragraph" w:customStyle="1" w:styleId="Default">
    <w:name w:val="Default"/>
    <w:rsid w:val="00F6677A"/>
    <w:pPr>
      <w:suppressAutoHyphens/>
      <w:autoSpaceDE w:val="0"/>
      <w:spacing w:after="200" w:line="276" w:lineRule="auto"/>
    </w:pPr>
    <w:rPr>
      <w:rFonts w:ascii="Arial" w:eastAsia="SimSun" w:hAnsi="Arial" w:cs="Arial"/>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F6677A"/>
    <w:pPr>
      <w:spacing w:after="0"/>
    </w:pPr>
    <w:rPr>
      <w:rFonts w:ascii="Calibri" w:eastAsia="SimSun" w:hAnsi="Calibri" w:cs="Times New Roman"/>
      <w:b/>
      <w:bCs/>
      <w:lang w:bidi="en-US"/>
    </w:rPr>
  </w:style>
  <w:style w:type="character" w:customStyle="1" w:styleId="CommentSubjectChar">
    <w:name w:val="Comment Subject Char"/>
    <w:basedOn w:val="CommentTextChar"/>
    <w:link w:val="CommentSubject"/>
    <w:uiPriority w:val="99"/>
    <w:semiHidden/>
    <w:rsid w:val="00F6677A"/>
    <w:rPr>
      <w:rFonts w:ascii="Calibri" w:eastAsia="SimSun" w:hAnsi="Calibri" w:cs="Times New Roman"/>
      <w:b/>
      <w:bCs/>
      <w:sz w:val="20"/>
      <w:szCs w:val="20"/>
      <w:lang w:bidi="en-US"/>
    </w:rPr>
  </w:style>
  <w:style w:type="paragraph" w:styleId="Revision">
    <w:name w:val="Revision"/>
    <w:hidden/>
    <w:uiPriority w:val="99"/>
    <w:semiHidden/>
    <w:rsid w:val="00F6677A"/>
    <w:pPr>
      <w:spacing w:after="0" w:line="240" w:lineRule="auto"/>
    </w:pPr>
    <w:rPr>
      <w:rFonts w:ascii="Calibri" w:eastAsia="SimSun" w:hAnsi="Calibri" w:cs="Times New Roman"/>
      <w:sz w:val="24"/>
      <w:szCs w:val="24"/>
      <w:lang w:bidi="en-US"/>
    </w:rPr>
  </w:style>
  <w:style w:type="table" w:customStyle="1" w:styleId="TableGrid1">
    <w:name w:val="Table Grid1"/>
    <w:basedOn w:val="TableNormal"/>
    <w:next w:val="TableGrid"/>
    <w:uiPriority w:val="39"/>
    <w:rsid w:val="00F6677A"/>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F6677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6677A"/>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F4014B"/>
    <w:rPr>
      <w:i/>
      <w:iCs/>
    </w:rPr>
  </w:style>
  <w:style w:type="paragraph" w:customStyle="1" w:styleId="t">
    <w:name w:val="t"/>
    <w:basedOn w:val="Normal"/>
    <w:link w:val="tChar"/>
    <w:qFormat/>
    <w:rsid w:val="00F06B52"/>
    <w:pPr>
      <w:spacing w:after="0" w:line="240" w:lineRule="auto"/>
    </w:pPr>
    <w:rPr>
      <w:rFonts w:cs="Times New Roman"/>
      <w:b/>
      <w:szCs w:val="24"/>
    </w:rPr>
  </w:style>
  <w:style w:type="paragraph" w:styleId="TOC5">
    <w:name w:val="toc 5"/>
    <w:basedOn w:val="Normal"/>
    <w:next w:val="Normal"/>
    <w:autoRedefine/>
    <w:uiPriority w:val="39"/>
    <w:unhideWhenUsed/>
    <w:rsid w:val="003104E8"/>
    <w:pPr>
      <w:spacing w:after="100" w:line="276" w:lineRule="auto"/>
      <w:ind w:left="880"/>
      <w:jc w:val="left"/>
    </w:pPr>
    <w:rPr>
      <w:rFonts w:asciiTheme="minorHAnsi" w:eastAsiaTheme="minorEastAsia" w:hAnsiTheme="minorHAnsi"/>
      <w:sz w:val="22"/>
    </w:rPr>
  </w:style>
  <w:style w:type="character" w:customStyle="1" w:styleId="tChar">
    <w:name w:val="t Char"/>
    <w:basedOn w:val="DefaultParagraphFont"/>
    <w:link w:val="t"/>
    <w:rsid w:val="00F06B52"/>
    <w:rPr>
      <w:rFonts w:ascii="Times New Roman" w:hAnsi="Times New Roman" w:cs="Times New Roman"/>
      <w:b/>
      <w:sz w:val="24"/>
      <w:szCs w:val="24"/>
    </w:rPr>
  </w:style>
  <w:style w:type="paragraph" w:styleId="TOC3">
    <w:name w:val="toc 3"/>
    <w:basedOn w:val="Normal"/>
    <w:next w:val="Normal"/>
    <w:autoRedefine/>
    <w:uiPriority w:val="39"/>
    <w:unhideWhenUsed/>
    <w:rsid w:val="003104E8"/>
    <w:pPr>
      <w:spacing w:after="100" w:line="240" w:lineRule="auto"/>
      <w:ind w:left="480"/>
    </w:pPr>
  </w:style>
  <w:style w:type="paragraph" w:styleId="TOC4">
    <w:name w:val="toc 4"/>
    <w:basedOn w:val="Normal"/>
    <w:next w:val="Normal"/>
    <w:autoRedefine/>
    <w:uiPriority w:val="39"/>
    <w:unhideWhenUsed/>
    <w:rsid w:val="003104E8"/>
    <w:pPr>
      <w:spacing w:after="100" w:line="240" w:lineRule="auto"/>
      <w:ind w:left="720"/>
    </w:pPr>
  </w:style>
  <w:style w:type="paragraph" w:styleId="TOC6">
    <w:name w:val="toc 6"/>
    <w:basedOn w:val="Normal"/>
    <w:next w:val="Normal"/>
    <w:autoRedefine/>
    <w:uiPriority w:val="39"/>
    <w:unhideWhenUsed/>
    <w:rsid w:val="003104E8"/>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3104E8"/>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3104E8"/>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3104E8"/>
    <w:pPr>
      <w:spacing w:after="100" w:line="276" w:lineRule="auto"/>
      <w:ind w:left="1760"/>
      <w:jc w:val="left"/>
    </w:pPr>
    <w:rPr>
      <w:rFonts w:asciiTheme="minorHAnsi" w:eastAsiaTheme="minorEastAsia" w:hAnsiTheme="minorHAnsi"/>
      <w:sz w:val="22"/>
    </w:rPr>
  </w:style>
  <w:style w:type="character" w:customStyle="1" w:styleId="markedcontent">
    <w:name w:val="markedcontent"/>
    <w:basedOn w:val="DefaultParagraphFont"/>
    <w:rsid w:val="00EB205D"/>
  </w:style>
  <w:style w:type="character" w:customStyle="1" w:styleId="text">
    <w:name w:val="text"/>
    <w:basedOn w:val="DefaultParagraphFont"/>
    <w:rsid w:val="003F0501"/>
  </w:style>
  <w:style w:type="character" w:styleId="UnresolvedMention">
    <w:name w:val="Unresolved Mention"/>
    <w:basedOn w:val="DefaultParagraphFont"/>
    <w:uiPriority w:val="99"/>
    <w:semiHidden/>
    <w:unhideWhenUsed/>
    <w:rsid w:val="00C558C7"/>
    <w:rPr>
      <w:color w:val="605E5C"/>
      <w:shd w:val="clear" w:color="auto" w:fill="E1DFDD"/>
    </w:rPr>
  </w:style>
  <w:style w:type="character" w:customStyle="1" w:styleId="accordion-tabbedtab-mobile">
    <w:name w:val="accordion-tabbed__tab-mobile"/>
    <w:basedOn w:val="DefaultParagraphFont"/>
    <w:rsid w:val="008A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9140">
      <w:bodyDiv w:val="1"/>
      <w:marLeft w:val="0"/>
      <w:marRight w:val="0"/>
      <w:marTop w:val="0"/>
      <w:marBottom w:val="0"/>
      <w:divBdr>
        <w:top w:val="none" w:sz="0" w:space="0" w:color="auto"/>
        <w:left w:val="none" w:sz="0" w:space="0" w:color="auto"/>
        <w:bottom w:val="none" w:sz="0" w:space="0" w:color="auto"/>
        <w:right w:val="none" w:sz="0" w:space="0" w:color="auto"/>
      </w:divBdr>
    </w:div>
    <w:div w:id="214388690">
      <w:bodyDiv w:val="1"/>
      <w:marLeft w:val="0"/>
      <w:marRight w:val="0"/>
      <w:marTop w:val="0"/>
      <w:marBottom w:val="0"/>
      <w:divBdr>
        <w:top w:val="none" w:sz="0" w:space="0" w:color="auto"/>
        <w:left w:val="none" w:sz="0" w:space="0" w:color="auto"/>
        <w:bottom w:val="none" w:sz="0" w:space="0" w:color="auto"/>
        <w:right w:val="none" w:sz="0" w:space="0" w:color="auto"/>
      </w:divBdr>
    </w:div>
    <w:div w:id="494224142">
      <w:bodyDiv w:val="1"/>
      <w:marLeft w:val="0"/>
      <w:marRight w:val="0"/>
      <w:marTop w:val="0"/>
      <w:marBottom w:val="0"/>
      <w:divBdr>
        <w:top w:val="none" w:sz="0" w:space="0" w:color="auto"/>
        <w:left w:val="none" w:sz="0" w:space="0" w:color="auto"/>
        <w:bottom w:val="none" w:sz="0" w:space="0" w:color="auto"/>
        <w:right w:val="none" w:sz="0" w:space="0" w:color="auto"/>
      </w:divBdr>
    </w:div>
    <w:div w:id="676932303">
      <w:bodyDiv w:val="1"/>
      <w:marLeft w:val="0"/>
      <w:marRight w:val="0"/>
      <w:marTop w:val="0"/>
      <w:marBottom w:val="0"/>
      <w:divBdr>
        <w:top w:val="none" w:sz="0" w:space="0" w:color="auto"/>
        <w:left w:val="none" w:sz="0" w:space="0" w:color="auto"/>
        <w:bottom w:val="none" w:sz="0" w:space="0" w:color="auto"/>
        <w:right w:val="none" w:sz="0" w:space="0" w:color="auto"/>
      </w:divBdr>
    </w:div>
    <w:div w:id="1567571620">
      <w:bodyDiv w:val="1"/>
      <w:marLeft w:val="0"/>
      <w:marRight w:val="0"/>
      <w:marTop w:val="0"/>
      <w:marBottom w:val="0"/>
      <w:divBdr>
        <w:top w:val="none" w:sz="0" w:space="0" w:color="auto"/>
        <w:left w:val="none" w:sz="0" w:space="0" w:color="auto"/>
        <w:bottom w:val="none" w:sz="0" w:space="0" w:color="auto"/>
        <w:right w:val="none" w:sz="0" w:space="0" w:color="auto"/>
      </w:divBdr>
      <w:divsChild>
        <w:div w:id="1702128517">
          <w:marLeft w:val="0"/>
          <w:marRight w:val="0"/>
          <w:marTop w:val="0"/>
          <w:marBottom w:val="0"/>
          <w:divBdr>
            <w:top w:val="none" w:sz="0" w:space="0" w:color="auto"/>
            <w:left w:val="none" w:sz="0" w:space="0" w:color="auto"/>
            <w:bottom w:val="none" w:sz="0" w:space="0" w:color="auto"/>
            <w:right w:val="none" w:sz="0" w:space="0" w:color="auto"/>
          </w:divBdr>
          <w:divsChild>
            <w:div w:id="907500713">
              <w:marLeft w:val="0"/>
              <w:marRight w:val="0"/>
              <w:marTop w:val="0"/>
              <w:marBottom w:val="0"/>
              <w:divBdr>
                <w:top w:val="none" w:sz="0" w:space="0" w:color="auto"/>
                <w:left w:val="none" w:sz="0" w:space="0" w:color="auto"/>
                <w:bottom w:val="none" w:sz="0" w:space="0" w:color="auto"/>
                <w:right w:val="none" w:sz="0" w:space="0" w:color="auto"/>
              </w:divBdr>
            </w:div>
          </w:divsChild>
        </w:div>
        <w:div w:id="1830635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heawusu2000@yahoo.co.uk" TargetMode="External"/><Relationship Id="rId13" Type="http://schemas.openxmlformats.org/officeDocument/2006/relationships/hyperlink" Target="https://www.emerald.com/insight/search?q=Clement%20Lamboi%20Arthur" TargetMode="External"/><Relationship Id="rId18" Type="http://schemas.openxmlformats.org/officeDocument/2006/relationships/hyperlink" Target="https://doi.org/10.1016/S2212567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08/09590" TargetMode="External"/><Relationship Id="rId7" Type="http://schemas.openxmlformats.org/officeDocument/2006/relationships/endnotes" Target="endnotes.xml"/><Relationship Id="rId12" Type="http://schemas.openxmlformats.org/officeDocument/2006/relationships/hyperlink" Target="https://papers.ssrn.com/sol3/cf_dev/AbsByAuth.cfm?per_id=4275645" TargetMode="External"/><Relationship Id="rId17" Type="http://schemas.openxmlformats.org/officeDocument/2006/relationships/hyperlink" Target="https://www.emerald.com/insight/search?q=Clement%20Lamboi%20Arthur" TargetMode="External"/><Relationship Id="rId25" Type="http://schemas.openxmlformats.org/officeDocument/2006/relationships/hyperlink" Target="https://ssrn.com/abstract=3649396" TargetMode="External"/><Relationship Id="rId2" Type="http://schemas.openxmlformats.org/officeDocument/2006/relationships/numbering" Target="numbering.xml"/><Relationship Id="rId16" Type="http://schemas.openxmlformats.org/officeDocument/2006/relationships/hyperlink" Target="https://www.emerald.com/insight/search?q=Clement%20Lamboi%20Arthur" TargetMode="External"/><Relationship Id="rId20" Type="http://schemas.openxmlformats.org/officeDocument/2006/relationships/hyperlink" Target="https://doi.org/10.101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Kwame%20Oduro%20Amoako" TargetMode="External"/><Relationship Id="rId24" Type="http://schemas.openxmlformats.org/officeDocument/2006/relationships/hyperlink" Target="https://doi.org/10.1016/j.worlddev" TargetMode="External"/><Relationship Id="rId5" Type="http://schemas.openxmlformats.org/officeDocument/2006/relationships/webSettings" Target="webSettings.xml"/><Relationship Id="rId15" Type="http://schemas.openxmlformats.org/officeDocument/2006/relationships/hyperlink" Target="https://papers.ssrn.com/sol3/cf_dev/AbsByAuth.cfm?per_id=4275645" TargetMode="External"/><Relationship Id="rId23" Type="http://schemas.openxmlformats.org/officeDocument/2006/relationships/hyperlink" Target="https://doi.org/10" TargetMode="External"/><Relationship Id="rId28" Type="http://schemas.openxmlformats.org/officeDocument/2006/relationships/theme" Target="theme/theme1.xml"/><Relationship Id="rId10" Type="http://schemas.openxmlformats.org/officeDocument/2006/relationships/hyperlink" Target="mailto:nicholas.asare@knust.edu.gh" TargetMode="External"/><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yperlink" Target="mailto:v.tauringana@soton.ac.uk" TargetMode="External"/><Relationship Id="rId14" Type="http://schemas.openxmlformats.org/officeDocument/2006/relationships/hyperlink" Target="https://www.emerald.com/insight/search?q=Kwame%20Oduro%20Amoako" TargetMode="External"/><Relationship Id="rId22" Type="http://schemas.openxmlformats.org/officeDocument/2006/relationships/hyperlink" Target="https://doi.org/10.1016/j.jclepr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B9D4-0D98-49E4-9FAD-D96314C0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17382</Words>
  <Characters>99082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Owusu Acheampong</cp:lastModifiedBy>
  <cp:revision>4</cp:revision>
  <dcterms:created xsi:type="dcterms:W3CDTF">2024-02-01T18:58:00Z</dcterms:created>
  <dcterms:modified xsi:type="dcterms:W3CDTF">2024-02-01T19:01:00Z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ec70f82c-6ab0-3fba-a67a-bf3377e4f1ca</vt:lpwstr>
  </property>
  <property fmtid="{D5CDD505-2E9C-101B-9397-08002B2CF9AE}" pid="24" name="Mendeley Citation Style_1">
    <vt:lpwstr>http://www.zotero.org/styles/apa</vt:lpwstr>
  </property>
</Properties>
</file>