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582EF" w14:textId="48F4F3F3" w:rsidR="00570834" w:rsidRDefault="00570834" w:rsidP="000B0C3F">
      <w:pPr>
        <w:spacing w:before="100" w:beforeAutospacing="1"/>
        <w:jc w:val="center"/>
        <w:textAlignment w:val="baseline"/>
        <w:outlineLvl w:val="2"/>
        <w:rPr>
          <w:rFonts w:eastAsia="Times New Roman" w:cstheme="minorHAnsi"/>
          <w:b/>
          <w:bCs/>
          <w:u w:val="single"/>
          <w:lang w:eastAsia="en-GB"/>
        </w:rPr>
      </w:pPr>
      <w:r>
        <w:rPr>
          <w:rFonts w:eastAsia="Times New Roman" w:cstheme="minorHAnsi"/>
          <w:b/>
          <w:bCs/>
          <w:u w:val="single"/>
          <w:lang w:eastAsia="en-GB"/>
        </w:rPr>
        <w:t xml:space="preserve">An open label, phase IV randomised controlled trial of </w:t>
      </w:r>
      <w:r w:rsidRPr="0081236B">
        <w:rPr>
          <w:rFonts w:eastAsia="Times New Roman" w:cstheme="minorHAnsi"/>
          <w:b/>
          <w:bCs/>
          <w:u w:val="single"/>
          <w:lang w:eastAsia="en-GB"/>
        </w:rPr>
        <w:t>two schedules</w:t>
      </w:r>
      <w:r>
        <w:rPr>
          <w:rFonts w:eastAsia="Times New Roman" w:cstheme="minorHAnsi"/>
          <w:b/>
          <w:bCs/>
          <w:u w:val="single"/>
          <w:lang w:eastAsia="en-GB"/>
        </w:rPr>
        <w:t xml:space="preserve"> of a four-component meningococcal B vaccine in UK preterm infants</w:t>
      </w:r>
    </w:p>
    <w:p w14:paraId="350CF765" w14:textId="77777777" w:rsidR="00570834" w:rsidRDefault="00570834" w:rsidP="000B0C3F">
      <w:pPr>
        <w:spacing w:before="100" w:beforeAutospacing="1"/>
        <w:jc w:val="center"/>
        <w:textAlignment w:val="baseline"/>
        <w:outlineLvl w:val="2"/>
        <w:rPr>
          <w:rFonts w:eastAsia="Times New Roman" w:cstheme="minorHAnsi"/>
          <w:b/>
          <w:bCs/>
          <w:u w:val="single"/>
          <w:lang w:eastAsia="en-GB"/>
        </w:rPr>
      </w:pPr>
    </w:p>
    <w:p w14:paraId="4D7BBF19" w14:textId="5E0D8819" w:rsidR="00570834" w:rsidRDefault="00570834" w:rsidP="000B0C3F">
      <w:pPr>
        <w:spacing w:before="100" w:beforeAutospacing="1"/>
        <w:jc w:val="center"/>
        <w:textAlignment w:val="baseline"/>
        <w:outlineLvl w:val="2"/>
        <w:rPr>
          <w:rFonts w:eastAsia="Times New Roman" w:cstheme="minorHAnsi"/>
          <w:vertAlign w:val="superscript"/>
          <w:lang w:eastAsia="en-GB"/>
        </w:rPr>
      </w:pPr>
      <w:r w:rsidRPr="003A63C2">
        <w:rPr>
          <w:rFonts w:ascii="Calibri" w:hAnsi="Calibri" w:cs="Calibri"/>
          <w:color w:val="000000"/>
          <w:shd w:val="clear" w:color="auto" w:fill="FFFFFF"/>
        </w:rPr>
        <w:t>A Calvert</w:t>
      </w:r>
      <w:r w:rsidRPr="003A63C2">
        <w:rPr>
          <w:rFonts w:ascii="Calibri" w:hAnsi="Calibri" w:cs="Calibri"/>
          <w:color w:val="000000"/>
          <w:shd w:val="clear" w:color="auto" w:fill="FFFFFF"/>
          <w:vertAlign w:val="superscript"/>
        </w:rPr>
        <w:t>1,2</w:t>
      </w:r>
      <w:r w:rsidRPr="003A63C2">
        <w:rPr>
          <w:rFonts w:ascii="Calibri" w:hAnsi="Calibri" w:cs="Calibri"/>
          <w:color w:val="000000"/>
          <w:shd w:val="clear" w:color="auto" w:fill="FFFFFF"/>
        </w:rPr>
        <w:t>, N Andrews</w:t>
      </w:r>
      <w:r w:rsidRPr="003A63C2">
        <w:rPr>
          <w:rFonts w:ascii="Calibri" w:hAnsi="Calibri" w:cs="Calibri"/>
          <w:color w:val="000000"/>
          <w:shd w:val="clear" w:color="auto" w:fill="FFFFFF"/>
          <w:vertAlign w:val="superscript"/>
        </w:rPr>
        <w:t>3</w:t>
      </w:r>
      <w:r w:rsidRPr="003A63C2">
        <w:rPr>
          <w:rFonts w:ascii="Calibri" w:hAnsi="Calibri" w:cs="Calibri"/>
          <w:color w:val="000000"/>
          <w:shd w:val="clear" w:color="auto" w:fill="FFFFFF"/>
        </w:rPr>
        <w:t xml:space="preserve">, </w:t>
      </w:r>
      <w:r w:rsidRPr="003A63C2">
        <w:rPr>
          <w:rFonts w:ascii="Calibri" w:hAnsi="Calibri" w:cs="Calibri"/>
          <w:color w:val="242424"/>
          <w:shd w:val="clear" w:color="auto" w:fill="FFFFFF"/>
        </w:rPr>
        <w:t>S Barlow</w:t>
      </w:r>
      <w:r w:rsidRPr="003A63C2">
        <w:rPr>
          <w:rFonts w:ascii="Calibri" w:hAnsi="Calibri" w:cs="Calibri"/>
          <w:color w:val="242424"/>
          <w:shd w:val="clear" w:color="auto" w:fill="FFFFFF"/>
          <w:vertAlign w:val="superscript"/>
        </w:rPr>
        <w:t>4</w:t>
      </w:r>
      <w:r w:rsidRPr="003A63C2">
        <w:rPr>
          <w:rFonts w:ascii="Calibri" w:hAnsi="Calibri" w:cs="Calibri"/>
          <w:color w:val="242424"/>
          <w:shd w:val="clear" w:color="auto" w:fill="FFFFFF"/>
        </w:rPr>
        <w:t>,</w:t>
      </w:r>
      <w:r w:rsidRPr="003A63C2">
        <w:rPr>
          <w:rFonts w:ascii="Calibri" w:hAnsi="Calibri" w:cs="Calibri"/>
          <w:color w:val="000000"/>
          <w:shd w:val="clear" w:color="auto" w:fill="FFFFFF"/>
        </w:rPr>
        <w:t xml:space="preserve"> R Borrow</w:t>
      </w:r>
      <w:r w:rsidRPr="003A63C2">
        <w:rPr>
          <w:rFonts w:ascii="Calibri" w:hAnsi="Calibri" w:cs="Calibri"/>
          <w:color w:val="000000"/>
          <w:shd w:val="clear" w:color="auto" w:fill="FFFFFF"/>
          <w:vertAlign w:val="superscript"/>
        </w:rPr>
        <w:t>5</w:t>
      </w:r>
      <w:r w:rsidRPr="003A63C2">
        <w:rPr>
          <w:rFonts w:ascii="Calibri" w:hAnsi="Calibri" w:cs="Calibri"/>
          <w:color w:val="000000"/>
          <w:shd w:val="clear" w:color="auto" w:fill="FFFFFF"/>
        </w:rPr>
        <w:t xml:space="preserve">, </w:t>
      </w:r>
      <w:r w:rsidRPr="003A63C2">
        <w:rPr>
          <w:rFonts w:ascii="Calibri" w:hAnsi="Calibri" w:cs="Calibri"/>
          <w:color w:val="242424"/>
          <w:shd w:val="clear" w:color="auto" w:fill="FFFFFF"/>
        </w:rPr>
        <w:t>C B</w:t>
      </w:r>
      <w:r w:rsidR="000A31F3" w:rsidRPr="00736664">
        <w:rPr>
          <w:rFonts w:ascii="Calibri" w:hAnsi="Calibri" w:cs="Calibri"/>
          <w:color w:val="242424"/>
          <w:shd w:val="clear" w:color="auto" w:fill="FFFFFF"/>
        </w:rPr>
        <w:t>lack</w:t>
      </w:r>
      <w:r w:rsidRPr="003A63C2">
        <w:rPr>
          <w:rFonts w:ascii="Calibri" w:hAnsi="Calibri" w:cs="Calibri"/>
          <w:color w:val="242424"/>
          <w:shd w:val="clear" w:color="auto" w:fill="FFFFFF"/>
          <w:vertAlign w:val="superscript"/>
        </w:rPr>
        <w:t>6</w:t>
      </w:r>
      <w:r w:rsidRPr="003A63C2">
        <w:rPr>
          <w:rFonts w:ascii="Calibri" w:hAnsi="Calibri" w:cs="Calibri"/>
          <w:color w:val="242424"/>
          <w:shd w:val="clear" w:color="auto" w:fill="FFFFFF"/>
        </w:rPr>
        <w:t>, B Bromage</w:t>
      </w:r>
      <w:r w:rsidRPr="003A63C2">
        <w:rPr>
          <w:rFonts w:ascii="Calibri" w:hAnsi="Calibri" w:cs="Calibri"/>
          <w:color w:val="242424"/>
          <w:shd w:val="clear" w:color="auto" w:fill="FFFFFF"/>
          <w:vertAlign w:val="superscript"/>
        </w:rPr>
        <w:t>7</w:t>
      </w:r>
      <w:r w:rsidRPr="003A63C2">
        <w:rPr>
          <w:rFonts w:ascii="Calibri" w:hAnsi="Calibri" w:cs="Calibri"/>
          <w:color w:val="000000"/>
          <w:shd w:val="clear" w:color="auto" w:fill="FFFFFF"/>
        </w:rPr>
        <w:t xml:space="preserve">, </w:t>
      </w:r>
      <w:r w:rsidRPr="003A63C2">
        <w:rPr>
          <w:rFonts w:ascii="Calibri" w:hAnsi="Calibri" w:cs="Calibri"/>
          <w:color w:val="242424"/>
          <w:shd w:val="clear" w:color="auto" w:fill="FFFFFF"/>
        </w:rPr>
        <w:t>J Carr</w:t>
      </w:r>
      <w:r w:rsidRPr="003A63C2">
        <w:rPr>
          <w:rFonts w:ascii="Calibri" w:hAnsi="Calibri" w:cs="Calibri"/>
          <w:color w:val="242424"/>
          <w:shd w:val="clear" w:color="auto" w:fill="FFFFFF"/>
          <w:vertAlign w:val="superscript"/>
        </w:rPr>
        <w:t>6</w:t>
      </w:r>
      <w:r w:rsidR="003C00BA" w:rsidRPr="003A63C2">
        <w:rPr>
          <w:rFonts w:ascii="Calibri" w:hAnsi="Calibri" w:cs="Calibri"/>
          <w:color w:val="242424"/>
          <w:shd w:val="clear" w:color="auto" w:fill="FFFFFF"/>
          <w:vertAlign w:val="superscript"/>
        </w:rPr>
        <w:t>,16</w:t>
      </w:r>
      <w:r w:rsidRPr="003A63C2">
        <w:rPr>
          <w:rFonts w:ascii="Calibri" w:hAnsi="Calibri" w:cs="Calibri"/>
          <w:color w:val="242424"/>
          <w:shd w:val="clear" w:color="auto" w:fill="FFFFFF"/>
        </w:rPr>
        <w:t>,</w:t>
      </w:r>
      <w:r w:rsidRPr="003A63C2">
        <w:rPr>
          <w:rFonts w:ascii="Calibri" w:hAnsi="Calibri" w:cs="Calibri"/>
          <w:color w:val="000000"/>
          <w:shd w:val="clear" w:color="auto" w:fill="FFFFFF"/>
        </w:rPr>
        <w:t xml:space="preserve"> P Clarke</w:t>
      </w:r>
      <w:r w:rsidRPr="003A63C2">
        <w:rPr>
          <w:rFonts w:ascii="Calibri" w:hAnsi="Calibri" w:cs="Calibri"/>
          <w:color w:val="000000"/>
          <w:shd w:val="clear" w:color="auto" w:fill="FFFFFF"/>
          <w:vertAlign w:val="superscript"/>
        </w:rPr>
        <w:t>8,9</w:t>
      </w:r>
      <w:r w:rsidRPr="003A63C2">
        <w:rPr>
          <w:rFonts w:ascii="Calibri" w:hAnsi="Calibri" w:cs="Calibri"/>
          <w:color w:val="000000"/>
          <w:shd w:val="clear" w:color="auto" w:fill="FFFFFF"/>
        </w:rPr>
        <w:t>, A</w:t>
      </w:r>
      <w:r w:rsidR="00EE038E" w:rsidRPr="0003011F">
        <w:rPr>
          <w:rFonts w:ascii="Calibri" w:hAnsi="Calibri" w:cs="Calibri"/>
          <w:color w:val="000000"/>
          <w:shd w:val="clear" w:color="auto" w:fill="FFFFFF"/>
        </w:rPr>
        <w:t>C</w:t>
      </w:r>
      <w:r w:rsidRPr="003A63C2">
        <w:rPr>
          <w:rFonts w:ascii="Calibri" w:hAnsi="Calibri" w:cs="Calibri"/>
          <w:color w:val="000000"/>
          <w:shd w:val="clear" w:color="auto" w:fill="FFFFFF"/>
        </w:rPr>
        <w:t xml:space="preserve"> Collinson</w:t>
      </w:r>
      <w:r w:rsidRPr="003A63C2">
        <w:rPr>
          <w:rFonts w:ascii="Calibri" w:hAnsi="Calibri" w:cs="Calibri"/>
          <w:color w:val="000000"/>
          <w:shd w:val="clear" w:color="auto" w:fill="FFFFFF"/>
          <w:vertAlign w:val="superscript"/>
        </w:rPr>
        <w:t>7</w:t>
      </w:r>
      <w:r w:rsidRPr="003A63C2">
        <w:rPr>
          <w:rFonts w:ascii="Calibri" w:hAnsi="Calibri" w:cs="Calibri"/>
          <w:color w:val="000000"/>
          <w:shd w:val="clear" w:color="auto" w:fill="FFFFFF"/>
        </w:rPr>
        <w:t>, K Few</w:t>
      </w:r>
      <w:r w:rsidRPr="003A63C2">
        <w:rPr>
          <w:rFonts w:ascii="Calibri" w:hAnsi="Calibri" w:cs="Calibri"/>
          <w:color w:val="000000"/>
          <w:shd w:val="clear" w:color="auto" w:fill="FFFFFF"/>
          <w:vertAlign w:val="superscript"/>
        </w:rPr>
        <w:t>8</w:t>
      </w:r>
      <w:r w:rsidRPr="003A63C2">
        <w:rPr>
          <w:rFonts w:ascii="Calibri" w:hAnsi="Calibri" w:cs="Calibri"/>
          <w:color w:val="000000"/>
          <w:shd w:val="clear" w:color="auto" w:fill="FFFFFF"/>
        </w:rPr>
        <w:t>, N Hayward</w:t>
      </w:r>
      <w:r w:rsidRPr="003A63C2">
        <w:rPr>
          <w:rFonts w:ascii="Calibri" w:hAnsi="Calibri" w:cs="Calibri"/>
          <w:color w:val="000000"/>
          <w:shd w:val="clear" w:color="auto" w:fill="FFFFFF"/>
          <w:vertAlign w:val="superscript"/>
        </w:rPr>
        <w:t>1,2</w:t>
      </w:r>
      <w:r w:rsidRPr="003A63C2">
        <w:rPr>
          <w:rFonts w:ascii="Calibri" w:hAnsi="Calibri" w:cs="Calibri"/>
          <w:color w:val="000000"/>
          <w:shd w:val="clear" w:color="auto" w:fill="FFFFFF"/>
        </w:rPr>
        <w:t xml:space="preserve">, C Jones </w:t>
      </w:r>
      <w:r w:rsidRPr="003A63C2">
        <w:rPr>
          <w:rFonts w:ascii="Calibri" w:hAnsi="Calibri" w:cs="Calibri"/>
          <w:color w:val="000000"/>
          <w:shd w:val="clear" w:color="auto" w:fill="FFFFFF"/>
          <w:vertAlign w:val="superscript"/>
        </w:rPr>
        <w:t>10,11,12</w:t>
      </w:r>
      <w:r w:rsidRPr="003A63C2">
        <w:rPr>
          <w:rFonts w:ascii="Calibri" w:hAnsi="Calibri" w:cs="Calibri"/>
          <w:color w:val="000000"/>
          <w:shd w:val="clear" w:color="auto" w:fill="FFFFFF"/>
        </w:rPr>
        <w:t xml:space="preserve">, K Le Doare </w:t>
      </w:r>
      <w:r w:rsidRPr="003A63C2">
        <w:rPr>
          <w:rFonts w:ascii="Calibri" w:hAnsi="Calibri" w:cs="Calibri"/>
          <w:color w:val="000000"/>
          <w:shd w:val="clear" w:color="auto" w:fill="FFFFFF"/>
          <w:vertAlign w:val="superscript"/>
        </w:rPr>
        <w:t>1,13,14</w:t>
      </w:r>
      <w:r w:rsidRPr="003A63C2">
        <w:rPr>
          <w:rFonts w:ascii="Calibri" w:hAnsi="Calibri" w:cs="Calibri"/>
          <w:color w:val="000000"/>
          <w:shd w:val="clear" w:color="auto" w:fill="FFFFFF"/>
        </w:rPr>
        <w:t>, S Ladhani</w:t>
      </w:r>
      <w:r w:rsidRPr="003A63C2">
        <w:rPr>
          <w:rFonts w:ascii="Calibri" w:hAnsi="Calibri" w:cs="Calibri"/>
          <w:color w:val="000000"/>
          <w:shd w:val="clear" w:color="auto" w:fill="FFFFFF"/>
          <w:vertAlign w:val="superscript"/>
        </w:rPr>
        <w:t>1,2,3</w:t>
      </w:r>
      <w:r w:rsidRPr="003A63C2">
        <w:rPr>
          <w:rFonts w:ascii="Calibri" w:hAnsi="Calibri" w:cs="Calibri"/>
          <w:color w:val="000000"/>
          <w:shd w:val="clear" w:color="auto" w:fill="FFFFFF"/>
        </w:rPr>
        <w:t>, J Louth</w:t>
      </w:r>
      <w:r w:rsidRPr="003A63C2">
        <w:rPr>
          <w:rFonts w:ascii="Calibri" w:hAnsi="Calibri" w:cs="Calibri"/>
          <w:color w:val="000000"/>
          <w:shd w:val="clear" w:color="auto" w:fill="FFFFFF"/>
          <w:vertAlign w:val="superscript"/>
        </w:rPr>
        <w:t>5</w:t>
      </w:r>
      <w:r w:rsidRPr="003A63C2">
        <w:rPr>
          <w:rFonts w:ascii="Calibri" w:hAnsi="Calibri" w:cs="Calibri"/>
          <w:color w:val="000000"/>
          <w:shd w:val="clear" w:color="auto" w:fill="FFFFFF"/>
        </w:rPr>
        <w:t xml:space="preserve">, </w:t>
      </w:r>
      <w:r w:rsidRPr="003A63C2">
        <w:rPr>
          <w:rFonts w:ascii="Calibri" w:hAnsi="Calibri" w:cs="Calibri"/>
          <w:color w:val="242424"/>
          <w:shd w:val="clear" w:color="auto" w:fill="FFFFFF"/>
        </w:rPr>
        <w:t>G Papadopoulou</w:t>
      </w:r>
      <w:r w:rsidR="001D267B" w:rsidRPr="0003011F">
        <w:rPr>
          <w:rFonts w:ascii="Calibri" w:hAnsi="Calibri" w:cs="Calibri"/>
          <w:color w:val="242424"/>
          <w:shd w:val="clear" w:color="auto" w:fill="FFFFFF"/>
          <w:vertAlign w:val="superscript"/>
        </w:rPr>
        <w:t>6</w:t>
      </w:r>
      <w:r w:rsidRPr="003A63C2">
        <w:rPr>
          <w:rFonts w:ascii="Calibri" w:hAnsi="Calibri" w:cs="Calibri"/>
          <w:color w:val="242424"/>
          <w:shd w:val="clear" w:color="auto" w:fill="FFFFFF"/>
        </w:rPr>
        <w:t>, M Pople</w:t>
      </w:r>
      <w:r w:rsidRPr="003A63C2">
        <w:rPr>
          <w:rFonts w:ascii="Calibri" w:hAnsi="Calibri" w:cs="Calibri"/>
          <w:color w:val="242424"/>
          <w:shd w:val="clear" w:color="auto" w:fill="FFFFFF"/>
          <w:vertAlign w:val="superscript"/>
        </w:rPr>
        <w:t>1</w:t>
      </w:r>
      <w:r w:rsidR="00943BCE" w:rsidRPr="003A63C2">
        <w:rPr>
          <w:rFonts w:ascii="Calibri" w:hAnsi="Calibri" w:cs="Calibri"/>
          <w:color w:val="242424"/>
          <w:shd w:val="clear" w:color="auto" w:fill="FFFFFF"/>
          <w:vertAlign w:val="superscript"/>
        </w:rPr>
        <w:t>5</w:t>
      </w:r>
      <w:r w:rsidRPr="003A63C2">
        <w:rPr>
          <w:rFonts w:ascii="Calibri" w:hAnsi="Calibri" w:cs="Calibri"/>
          <w:color w:val="242424"/>
          <w:shd w:val="clear" w:color="auto" w:fill="FFFFFF"/>
        </w:rPr>
        <w:t xml:space="preserve">, </w:t>
      </w:r>
      <w:r w:rsidRPr="003A63C2">
        <w:rPr>
          <w:rFonts w:ascii="Calibri" w:hAnsi="Calibri" w:cs="Calibri"/>
          <w:color w:val="000000"/>
          <w:shd w:val="clear" w:color="auto" w:fill="FFFFFF"/>
        </w:rPr>
        <w:t>T Scorrer</w:t>
      </w:r>
      <w:r w:rsidRPr="003A63C2">
        <w:rPr>
          <w:rFonts w:ascii="Calibri" w:hAnsi="Calibri" w:cs="Calibri"/>
          <w:color w:val="000000"/>
          <w:shd w:val="clear" w:color="auto" w:fill="FFFFFF"/>
          <w:vertAlign w:val="superscript"/>
        </w:rPr>
        <w:t>1</w:t>
      </w:r>
      <w:r w:rsidR="00943BCE" w:rsidRPr="003A63C2">
        <w:rPr>
          <w:rFonts w:ascii="Calibri" w:hAnsi="Calibri" w:cs="Calibri"/>
          <w:color w:val="000000"/>
          <w:shd w:val="clear" w:color="auto" w:fill="FFFFFF"/>
          <w:vertAlign w:val="superscript"/>
        </w:rPr>
        <w:t>5</w:t>
      </w:r>
      <w:r w:rsidRPr="003A63C2">
        <w:rPr>
          <w:rFonts w:ascii="Calibri" w:hAnsi="Calibri" w:cs="Calibri"/>
          <w:color w:val="000000"/>
          <w:shd w:val="clear" w:color="auto" w:fill="FFFFFF"/>
        </w:rPr>
        <w:t>, MD Snape</w:t>
      </w:r>
      <w:r w:rsidRPr="003A63C2">
        <w:rPr>
          <w:rFonts w:ascii="Calibri" w:hAnsi="Calibri" w:cs="Calibri"/>
          <w:color w:val="000000"/>
          <w:shd w:val="clear" w:color="auto" w:fill="FFFFFF"/>
          <w:vertAlign w:val="superscript"/>
        </w:rPr>
        <w:t>4,6</w:t>
      </w:r>
      <w:r w:rsidRPr="003A63C2">
        <w:rPr>
          <w:rFonts w:ascii="Calibri" w:hAnsi="Calibri" w:cs="Calibri"/>
          <w:color w:val="000000"/>
          <w:shd w:val="clear" w:color="auto" w:fill="FFFFFF"/>
        </w:rPr>
        <w:t>, PT Heath</w:t>
      </w:r>
      <w:r w:rsidRPr="003A63C2">
        <w:rPr>
          <w:rFonts w:eastAsia="Times New Roman" w:cstheme="minorHAnsi"/>
          <w:vertAlign w:val="superscript"/>
          <w:lang w:eastAsia="en-GB"/>
        </w:rPr>
        <w:t>1,2</w:t>
      </w:r>
    </w:p>
    <w:p w14:paraId="1F5F0105" w14:textId="77777777" w:rsidR="00570834" w:rsidRPr="00174F6D" w:rsidRDefault="00570834" w:rsidP="00174F6D">
      <w:pPr>
        <w:shd w:val="clear" w:color="auto" w:fill="FFFFFF"/>
        <w:textAlignment w:val="baseline"/>
        <w:rPr>
          <w:rFonts w:ascii="Segoe UI" w:hAnsi="Segoe UI" w:cs="Segoe UI"/>
          <w:color w:val="242424"/>
          <w:sz w:val="23"/>
          <w:szCs w:val="23"/>
        </w:rPr>
      </w:pPr>
    </w:p>
    <w:p w14:paraId="1AB6D59D" w14:textId="77777777" w:rsidR="00570834" w:rsidRDefault="00570834" w:rsidP="00174F6D">
      <w:pPr>
        <w:spacing w:before="100" w:beforeAutospacing="1"/>
        <w:textAlignment w:val="baseline"/>
        <w:outlineLvl w:val="2"/>
        <w:rPr>
          <w:rFonts w:eastAsia="Times New Roman" w:cstheme="minorHAnsi"/>
          <w:b/>
          <w:bCs/>
          <w:u w:val="single"/>
          <w:lang w:eastAsia="en-GB"/>
        </w:rPr>
      </w:pPr>
    </w:p>
    <w:p w14:paraId="732DB5BC" w14:textId="77777777" w:rsidR="00570834" w:rsidRDefault="00570834" w:rsidP="008C0B2D">
      <w:pPr>
        <w:textAlignment w:val="baseline"/>
        <w:outlineLvl w:val="2"/>
      </w:pPr>
      <w:r w:rsidRPr="008C0B2D">
        <w:rPr>
          <w:vertAlign w:val="superscript"/>
        </w:rPr>
        <w:t>1</w:t>
      </w:r>
      <w:r w:rsidRPr="00DC2C69">
        <w:t>Centre for Neonatal and Paediatric Infection and Vaccine Institute St George’s, University of London</w:t>
      </w:r>
    </w:p>
    <w:p w14:paraId="3BA1D500" w14:textId="77777777" w:rsidR="00570834" w:rsidRPr="00DC2C69" w:rsidRDefault="00570834" w:rsidP="0025394F">
      <w:r w:rsidRPr="00DC2C69">
        <w:rPr>
          <w:vertAlign w:val="superscript"/>
        </w:rPr>
        <w:t>2</w:t>
      </w:r>
      <w:r w:rsidRPr="00DC2C69">
        <w:t>St George’s University Hospitals NHS Foundation Trust</w:t>
      </w:r>
    </w:p>
    <w:p w14:paraId="4A752376" w14:textId="77777777" w:rsidR="00570834" w:rsidRDefault="00570834" w:rsidP="008C0B2D">
      <w:pPr>
        <w:contextualSpacing/>
        <w:textAlignment w:val="baseline"/>
        <w:outlineLvl w:val="2"/>
      </w:pPr>
      <w:r>
        <w:rPr>
          <w:rFonts w:ascii="Calibri" w:eastAsia="Calibri" w:hAnsi="Calibri" w:cs="Calibri"/>
          <w:vertAlign w:val="superscript"/>
        </w:rPr>
        <w:t>3</w:t>
      </w:r>
      <w:r>
        <w:rPr>
          <w:rFonts w:ascii="Calibri" w:eastAsia="Calibri" w:hAnsi="Calibri" w:cs="Calibri"/>
        </w:rPr>
        <w:t>Immunisation and Vaccine Preventable Diseases Division, UK Health Security Agency,</w:t>
      </w:r>
      <w:r>
        <w:rPr>
          <w:rFonts w:ascii="Times New Roman" w:eastAsia="Times New Roman" w:hAnsi="Times New Roman" w:cs="Times New Roman"/>
        </w:rPr>
        <w:t xml:space="preserve"> </w:t>
      </w:r>
      <w:r>
        <w:rPr>
          <w:rFonts w:ascii="Calibri" w:eastAsia="Calibri" w:hAnsi="Calibri" w:cs="Calibri"/>
        </w:rPr>
        <w:t>London, UK</w:t>
      </w:r>
    </w:p>
    <w:p w14:paraId="0ADE4421" w14:textId="77777777" w:rsidR="00570834" w:rsidRPr="008C0B2D" w:rsidRDefault="00570834" w:rsidP="008C0B2D">
      <w:pPr>
        <w:contextualSpacing/>
        <w:textAlignment w:val="baseline"/>
        <w:outlineLvl w:val="2"/>
      </w:pPr>
      <w:r w:rsidRPr="008C0B2D">
        <w:rPr>
          <w:vertAlign w:val="superscript"/>
        </w:rPr>
        <w:t>4</w:t>
      </w:r>
      <w:r w:rsidRPr="008C0B2D">
        <w:rPr>
          <w:rFonts w:eastAsia="Times New Roman" w:cstheme="minorHAnsi"/>
          <w:lang w:eastAsia="en-GB"/>
        </w:rPr>
        <w:t>Oxford University Hospitals NHS Foundation Trust</w:t>
      </w:r>
    </w:p>
    <w:p w14:paraId="0BE86CCD" w14:textId="1190F4E4" w:rsidR="00570834" w:rsidRPr="008C0B2D" w:rsidRDefault="00570834" w:rsidP="008C0B2D">
      <w:pPr>
        <w:contextualSpacing/>
        <w:textAlignment w:val="baseline"/>
        <w:outlineLvl w:val="2"/>
      </w:pPr>
      <w:r w:rsidRPr="002C1D7E">
        <w:rPr>
          <w:vertAlign w:val="superscript"/>
        </w:rPr>
        <w:t>5</w:t>
      </w:r>
      <w:r w:rsidR="002C1D7E" w:rsidRPr="002C1D7E">
        <w:t>Vaccine Evaluation</w:t>
      </w:r>
      <w:r w:rsidRPr="008C0B2D">
        <w:rPr>
          <w:rFonts w:eastAsia="Times New Roman" w:cstheme="minorHAnsi"/>
          <w:lang w:eastAsia="en-GB"/>
        </w:rPr>
        <w:t xml:space="preserve"> Unit, UK Health Security Agency, Manchester Royal Infirmary, Manchester, UK</w:t>
      </w:r>
    </w:p>
    <w:p w14:paraId="6EA29A89" w14:textId="5C78D301" w:rsidR="00570834" w:rsidRPr="00943BCE" w:rsidRDefault="00570834" w:rsidP="008C0B2D">
      <w:pPr>
        <w:contextualSpacing/>
        <w:textAlignment w:val="baseline"/>
        <w:outlineLvl w:val="2"/>
        <w:rPr>
          <w:rFonts w:eastAsia="Times New Roman" w:cstheme="minorHAnsi"/>
          <w:lang w:eastAsia="en-GB"/>
        </w:rPr>
      </w:pPr>
      <w:r w:rsidRPr="00943BCE">
        <w:rPr>
          <w:vertAlign w:val="superscript"/>
        </w:rPr>
        <w:t>6</w:t>
      </w:r>
      <w:r w:rsidRPr="00943BCE">
        <w:rPr>
          <w:rFonts w:eastAsia="Times New Roman" w:cstheme="minorHAnsi"/>
          <w:lang w:eastAsia="en-GB"/>
        </w:rPr>
        <w:t>Oxford Vaccine Group</w:t>
      </w:r>
      <w:r w:rsidR="003C00BA">
        <w:rPr>
          <w:rFonts w:eastAsia="Times New Roman" w:cstheme="minorHAnsi"/>
          <w:lang w:eastAsia="en-GB"/>
        </w:rPr>
        <w:t>, University of Oxford</w:t>
      </w:r>
      <w:r w:rsidR="00EF753F">
        <w:rPr>
          <w:rFonts w:eastAsia="Times New Roman" w:cstheme="minorHAnsi"/>
          <w:lang w:eastAsia="en-GB"/>
        </w:rPr>
        <w:t xml:space="preserve"> Department of Paediatrics</w:t>
      </w:r>
      <w:r w:rsidR="00EF753F">
        <w:rPr>
          <w:rFonts w:ascii="Calibri" w:hAnsi="Calibri" w:cs="Calibri"/>
          <w:color w:val="212121"/>
          <w:sz w:val="22"/>
          <w:szCs w:val="22"/>
        </w:rPr>
        <w:t>, and Oxford NIHR Biomedical Research Centre</w:t>
      </w:r>
    </w:p>
    <w:p w14:paraId="6F0F5E19" w14:textId="77777777" w:rsidR="00570834" w:rsidRPr="008C0B2D" w:rsidRDefault="00570834" w:rsidP="008C0B2D">
      <w:pPr>
        <w:contextualSpacing/>
        <w:textAlignment w:val="baseline"/>
        <w:outlineLvl w:val="2"/>
        <w:rPr>
          <w:rFonts w:eastAsia="Times New Roman" w:cstheme="minorHAnsi"/>
          <w:lang w:eastAsia="en-GB"/>
        </w:rPr>
      </w:pPr>
      <w:r w:rsidRPr="00943BCE">
        <w:rPr>
          <w:rFonts w:eastAsia="Times New Roman" w:cstheme="minorHAnsi"/>
          <w:vertAlign w:val="superscript"/>
          <w:lang w:eastAsia="en-GB"/>
        </w:rPr>
        <w:t>7</w:t>
      </w:r>
      <w:r w:rsidRPr="00943BCE">
        <w:rPr>
          <w:rFonts w:eastAsia="Times New Roman" w:cstheme="minorHAnsi"/>
          <w:lang w:eastAsia="en-GB"/>
        </w:rPr>
        <w:t>Royal Cornwall Hospitals NHS Trust</w:t>
      </w:r>
    </w:p>
    <w:p w14:paraId="3B99C750" w14:textId="77777777" w:rsidR="00570834" w:rsidRPr="008C0B2D" w:rsidRDefault="00570834" w:rsidP="008C0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imes New Roman" w:cstheme="minorHAnsi"/>
          <w:lang w:eastAsia="en-GB"/>
        </w:rPr>
      </w:pPr>
      <w:r w:rsidRPr="008D5BBC">
        <w:rPr>
          <w:rFonts w:eastAsia="Times New Roman" w:cstheme="minorHAnsi"/>
          <w:vertAlign w:val="superscript"/>
          <w:lang w:eastAsia="en-GB"/>
        </w:rPr>
        <w:t xml:space="preserve">8 </w:t>
      </w:r>
      <w:r w:rsidRPr="00403A0A">
        <w:rPr>
          <w:rFonts w:eastAsia="Times New Roman" w:cstheme="minorHAnsi"/>
          <w:lang w:eastAsia="en-GB"/>
        </w:rPr>
        <w:t>N</w:t>
      </w:r>
      <w:r w:rsidRPr="008C0B2D">
        <w:rPr>
          <w:rFonts w:eastAsia="Times New Roman" w:cstheme="minorHAnsi"/>
          <w:lang w:eastAsia="en-GB"/>
        </w:rPr>
        <w:t>eonatal Intensive Care Unit, Norfolk and Norwich University Hospitals NHS Foundation Trust, Norwich, UK.</w:t>
      </w:r>
    </w:p>
    <w:p w14:paraId="15802700" w14:textId="77777777" w:rsidR="00570834" w:rsidRDefault="00570834" w:rsidP="0025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imes New Roman" w:cstheme="minorHAnsi"/>
          <w:lang w:eastAsia="en-GB"/>
        </w:rPr>
      </w:pPr>
      <w:r>
        <w:rPr>
          <w:rFonts w:eastAsia="Times New Roman" w:cstheme="minorHAnsi"/>
          <w:vertAlign w:val="superscript"/>
          <w:lang w:eastAsia="en-GB"/>
        </w:rPr>
        <w:t>9</w:t>
      </w:r>
      <w:r w:rsidRPr="008C0B2D">
        <w:rPr>
          <w:rFonts w:eastAsia="Times New Roman" w:cstheme="minorHAnsi"/>
          <w:lang w:eastAsia="en-GB"/>
        </w:rPr>
        <w:t>Norwich Medical School, University of East Anglia, Norwich, UK.</w:t>
      </w:r>
    </w:p>
    <w:p w14:paraId="7064E3CB" w14:textId="77777777" w:rsidR="00570834" w:rsidRPr="008C0B2D" w:rsidRDefault="00570834" w:rsidP="008C0B2D">
      <w:r w:rsidRPr="008C0B2D">
        <w:rPr>
          <w:rFonts w:eastAsia="Times New Roman" w:cstheme="minorHAnsi"/>
          <w:vertAlign w:val="superscript"/>
          <w:lang w:eastAsia="en-GB"/>
        </w:rPr>
        <w:t>10</w:t>
      </w:r>
      <w:r w:rsidRPr="00DC2C69">
        <w:t>NIHR Southampton Clinical Research Facility and Biomedical Research Centre</w:t>
      </w:r>
    </w:p>
    <w:p w14:paraId="6983D6CF" w14:textId="77777777" w:rsidR="00570834" w:rsidRPr="00DC2C69" w:rsidRDefault="00570834" w:rsidP="004D6F72">
      <w:r>
        <w:rPr>
          <w:vertAlign w:val="superscript"/>
        </w:rPr>
        <w:t>11</w:t>
      </w:r>
      <w:r w:rsidRPr="00DC2C69">
        <w:t>University Hospital Southampton NHS Foundation Trust</w:t>
      </w:r>
    </w:p>
    <w:p w14:paraId="01D4AAFB" w14:textId="77777777" w:rsidR="00570834" w:rsidRDefault="00570834" w:rsidP="004D6F72">
      <w:r>
        <w:rPr>
          <w:vertAlign w:val="superscript"/>
        </w:rPr>
        <w:t>12</w:t>
      </w:r>
      <w:r w:rsidRPr="00DC2C69">
        <w:t>Experimental Sciences, University of Southampton</w:t>
      </w:r>
    </w:p>
    <w:p w14:paraId="56B00240" w14:textId="77777777" w:rsidR="00570834" w:rsidRPr="002D403E" w:rsidRDefault="00570834" w:rsidP="00A60772">
      <w:pPr>
        <w:shd w:val="clear" w:color="auto" w:fill="FFFFFF"/>
      </w:pPr>
      <w:r>
        <w:rPr>
          <w:vertAlign w:val="superscript"/>
        </w:rPr>
        <w:t>13</w:t>
      </w:r>
      <w:r w:rsidRPr="002D403E">
        <w:t>Makerere University Johns Hopkins University, Kampala, Uganda</w:t>
      </w:r>
    </w:p>
    <w:p w14:paraId="39532B64" w14:textId="77777777" w:rsidR="00570834" w:rsidRDefault="00570834" w:rsidP="00A60772">
      <w:r>
        <w:rPr>
          <w:vertAlign w:val="superscript"/>
        </w:rPr>
        <w:t>14</w:t>
      </w:r>
      <w:r>
        <w:t>Pathogen Immunology Group, UKHSA</w:t>
      </w:r>
    </w:p>
    <w:p w14:paraId="14A67CCC" w14:textId="33881509" w:rsidR="00570834" w:rsidRDefault="00570834" w:rsidP="008C0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imes New Roman" w:cstheme="minorHAnsi"/>
          <w:lang w:eastAsia="en-GB"/>
        </w:rPr>
      </w:pPr>
      <w:r w:rsidRPr="008C0B2D">
        <w:rPr>
          <w:rFonts w:eastAsia="Times New Roman" w:cstheme="minorHAnsi"/>
          <w:vertAlign w:val="superscript"/>
          <w:lang w:eastAsia="en-GB"/>
        </w:rPr>
        <w:t>1</w:t>
      </w:r>
      <w:r w:rsidR="00943BCE">
        <w:rPr>
          <w:rFonts w:eastAsia="Times New Roman" w:cstheme="minorHAnsi"/>
          <w:vertAlign w:val="superscript"/>
          <w:lang w:eastAsia="en-GB"/>
        </w:rPr>
        <w:t>5</w:t>
      </w:r>
      <w:r w:rsidRPr="00441F4F">
        <w:rPr>
          <w:rFonts w:eastAsia="Times New Roman" w:cstheme="minorHAnsi"/>
          <w:lang w:eastAsia="en-GB"/>
        </w:rPr>
        <w:t xml:space="preserve">Portsmouth </w:t>
      </w:r>
      <w:r>
        <w:rPr>
          <w:rFonts w:eastAsia="Times New Roman" w:cstheme="minorHAnsi"/>
          <w:lang w:eastAsia="en-GB"/>
        </w:rPr>
        <w:t>H</w:t>
      </w:r>
      <w:r w:rsidRPr="00441F4F">
        <w:rPr>
          <w:rFonts w:eastAsia="Times New Roman" w:cstheme="minorHAnsi"/>
          <w:lang w:eastAsia="en-GB"/>
        </w:rPr>
        <w:t>ospitals University</w:t>
      </w:r>
      <w:r>
        <w:rPr>
          <w:rFonts w:eastAsia="Times New Roman" w:cstheme="minorHAnsi"/>
          <w:lang w:eastAsia="en-GB"/>
        </w:rPr>
        <w:t xml:space="preserve"> NHS Trust</w:t>
      </w:r>
    </w:p>
    <w:p w14:paraId="4653AF49" w14:textId="4FF6EF59" w:rsidR="003C00BA" w:rsidRDefault="003C00BA" w:rsidP="008C0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imes New Roman" w:cstheme="minorHAnsi"/>
          <w:lang w:eastAsia="en-GB"/>
        </w:rPr>
      </w:pPr>
      <w:r w:rsidRPr="003A63C2">
        <w:rPr>
          <w:rFonts w:eastAsia="Times New Roman" w:cstheme="minorHAnsi"/>
          <w:vertAlign w:val="superscript"/>
          <w:lang w:eastAsia="en-GB"/>
        </w:rPr>
        <w:t>16</w:t>
      </w:r>
      <w:r>
        <w:rPr>
          <w:rFonts w:eastAsia="Times New Roman" w:cstheme="minorHAnsi"/>
          <w:lang w:eastAsia="en-GB"/>
        </w:rPr>
        <w:t xml:space="preserve"> Monash University, Melbourne, Australia</w:t>
      </w:r>
    </w:p>
    <w:p w14:paraId="0D55CE88" w14:textId="77777777" w:rsidR="00EF753F" w:rsidRDefault="00EF753F" w:rsidP="008C0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imes New Roman" w:cstheme="minorHAnsi"/>
          <w:lang w:eastAsia="en-GB"/>
        </w:rPr>
      </w:pPr>
    </w:p>
    <w:p w14:paraId="520E484B" w14:textId="4DC4B17A" w:rsidR="00570834" w:rsidRDefault="00570834" w:rsidP="008C0B2D">
      <w:pPr>
        <w:spacing w:before="100" w:beforeAutospacing="1"/>
        <w:textAlignment w:val="baseline"/>
        <w:outlineLvl w:val="2"/>
        <w:rPr>
          <w:rFonts w:ascii="Calibri" w:hAnsi="Calibri" w:cs="Calibri"/>
          <w:color w:val="000000"/>
          <w:shd w:val="clear" w:color="auto" w:fill="FFFFFF"/>
        </w:rPr>
      </w:pPr>
      <w:r>
        <w:rPr>
          <w:rFonts w:ascii="Calibri" w:hAnsi="Calibri" w:cs="Calibri"/>
          <w:b/>
          <w:bCs/>
          <w:color w:val="000000"/>
          <w:shd w:val="clear" w:color="auto" w:fill="FFFFFF"/>
        </w:rPr>
        <w:t xml:space="preserve">BEAR </w:t>
      </w:r>
      <w:r w:rsidRPr="003A63C2">
        <w:rPr>
          <w:rFonts w:ascii="Calibri" w:hAnsi="Calibri" w:cs="Calibri"/>
          <w:b/>
          <w:bCs/>
          <w:color w:val="000000"/>
          <w:shd w:val="clear" w:color="auto" w:fill="FFFFFF"/>
        </w:rPr>
        <w:t>study group:</w:t>
      </w:r>
      <w:r w:rsidRPr="003A63C2">
        <w:rPr>
          <w:rFonts w:ascii="Calibri" w:hAnsi="Calibri" w:cs="Calibri"/>
          <w:color w:val="000000"/>
          <w:shd w:val="clear" w:color="auto" w:fill="FFFFFF"/>
        </w:rPr>
        <w:t> P Crowley (</w:t>
      </w:r>
      <w:r w:rsidRPr="003A63C2">
        <w:t>University Hospital Southampton NHS Foundation Trust)</w:t>
      </w:r>
      <w:r w:rsidRPr="003A63C2">
        <w:rPr>
          <w:rFonts w:ascii="Calibri" w:hAnsi="Calibri" w:cs="Calibri"/>
          <w:color w:val="000000"/>
          <w:shd w:val="clear" w:color="auto" w:fill="FFFFFF"/>
        </w:rPr>
        <w:t>, O Falconer</w:t>
      </w:r>
      <w:r w:rsidRPr="003A63C2">
        <w:t xml:space="preserve"> (University Hospital Southampton NHS Foundation Trust)</w:t>
      </w:r>
      <w:r w:rsidRPr="003A63C2">
        <w:rPr>
          <w:rFonts w:ascii="Calibri" w:hAnsi="Calibri" w:cs="Calibri"/>
          <w:color w:val="000000"/>
          <w:shd w:val="clear" w:color="auto" w:fill="FFFFFF"/>
        </w:rPr>
        <w:t>, M Johnson (</w:t>
      </w:r>
      <w:r w:rsidRPr="003A63C2">
        <w:t>University Hospital Southampton NHS Foundation Trust)</w:t>
      </w:r>
      <w:r w:rsidRPr="003A63C2">
        <w:rPr>
          <w:rFonts w:ascii="Calibri" w:hAnsi="Calibri" w:cs="Calibri"/>
          <w:color w:val="000000"/>
          <w:shd w:val="clear" w:color="auto" w:fill="FFFFFF"/>
        </w:rPr>
        <w:t>, K O’Brien (Oxford Vaccine Group), J Pearce (SGUL), J Pond (</w:t>
      </w:r>
      <w:r w:rsidRPr="003A63C2">
        <w:t>University Hospital Southampton NHS Foundation Trust)</w:t>
      </w:r>
      <w:r w:rsidRPr="003A63C2">
        <w:rPr>
          <w:rFonts w:ascii="Calibri" w:hAnsi="Calibri" w:cs="Calibri"/>
          <w:color w:val="000000"/>
          <w:shd w:val="clear" w:color="auto" w:fill="FFFFFF"/>
        </w:rPr>
        <w:t>.</w:t>
      </w:r>
    </w:p>
    <w:p w14:paraId="08F84934" w14:textId="77777777" w:rsidR="00570834" w:rsidRDefault="00570834" w:rsidP="008C0B2D">
      <w:pPr>
        <w:spacing w:before="100" w:beforeAutospacing="1"/>
        <w:textAlignment w:val="baseline"/>
        <w:outlineLvl w:val="2"/>
        <w:rPr>
          <w:rFonts w:ascii="Calibri" w:hAnsi="Calibri" w:cs="Calibri"/>
          <w:color w:val="000000"/>
          <w:shd w:val="clear" w:color="auto" w:fill="FFFFFF"/>
        </w:rPr>
      </w:pPr>
    </w:p>
    <w:p w14:paraId="381D0F35" w14:textId="77777777" w:rsidR="00570834" w:rsidRDefault="00570834" w:rsidP="00174F6D">
      <w:pPr>
        <w:shd w:val="clear" w:color="auto" w:fill="FFFFFF"/>
        <w:textAlignment w:val="baseline"/>
        <w:rPr>
          <w:rFonts w:ascii="Segoe UI" w:hAnsi="Segoe UI" w:cs="Segoe UI"/>
          <w:color w:val="242424"/>
          <w:sz w:val="23"/>
          <w:szCs w:val="23"/>
        </w:rPr>
      </w:pPr>
    </w:p>
    <w:p w14:paraId="2A630669" w14:textId="77777777" w:rsidR="0003011F" w:rsidRDefault="0003011F" w:rsidP="00174F6D">
      <w:pPr>
        <w:shd w:val="clear" w:color="auto" w:fill="FFFFFF"/>
        <w:textAlignment w:val="baseline"/>
        <w:rPr>
          <w:rFonts w:ascii="Segoe UI" w:hAnsi="Segoe UI" w:cs="Segoe UI"/>
          <w:color w:val="242424"/>
          <w:sz w:val="23"/>
          <w:szCs w:val="23"/>
        </w:rPr>
      </w:pPr>
    </w:p>
    <w:p w14:paraId="6FC05F65" w14:textId="77777777" w:rsidR="0003011F" w:rsidRDefault="0003011F" w:rsidP="00174F6D">
      <w:pPr>
        <w:shd w:val="clear" w:color="auto" w:fill="FFFFFF"/>
        <w:textAlignment w:val="baseline"/>
        <w:rPr>
          <w:rFonts w:ascii="Segoe UI" w:hAnsi="Segoe UI" w:cs="Segoe UI"/>
          <w:color w:val="242424"/>
          <w:sz w:val="23"/>
          <w:szCs w:val="23"/>
        </w:rPr>
      </w:pPr>
    </w:p>
    <w:p w14:paraId="0B8DD437" w14:textId="77777777" w:rsidR="0003011F" w:rsidRDefault="0003011F" w:rsidP="00174F6D">
      <w:pPr>
        <w:shd w:val="clear" w:color="auto" w:fill="FFFFFF"/>
        <w:textAlignment w:val="baseline"/>
        <w:rPr>
          <w:rFonts w:ascii="Segoe UI" w:hAnsi="Segoe UI" w:cs="Segoe UI"/>
          <w:color w:val="242424"/>
          <w:sz w:val="23"/>
          <w:szCs w:val="23"/>
        </w:rPr>
      </w:pPr>
    </w:p>
    <w:p w14:paraId="1421E982" w14:textId="77777777" w:rsidR="0003011F" w:rsidRDefault="0003011F" w:rsidP="00174F6D">
      <w:pPr>
        <w:shd w:val="clear" w:color="auto" w:fill="FFFFFF"/>
        <w:textAlignment w:val="baseline"/>
        <w:rPr>
          <w:rFonts w:ascii="Segoe UI" w:hAnsi="Segoe UI" w:cs="Segoe UI"/>
          <w:color w:val="242424"/>
          <w:sz w:val="23"/>
          <w:szCs w:val="23"/>
        </w:rPr>
      </w:pPr>
    </w:p>
    <w:p w14:paraId="1192C4C2" w14:textId="77777777" w:rsidR="0003011F" w:rsidRPr="00174F6D" w:rsidRDefault="0003011F" w:rsidP="00174F6D">
      <w:pPr>
        <w:shd w:val="clear" w:color="auto" w:fill="FFFFFF"/>
        <w:textAlignment w:val="baseline"/>
        <w:rPr>
          <w:rFonts w:ascii="Segoe UI" w:hAnsi="Segoe UI" w:cs="Segoe UI"/>
          <w:color w:val="242424"/>
          <w:sz w:val="23"/>
          <w:szCs w:val="23"/>
        </w:rPr>
      </w:pPr>
    </w:p>
    <w:p w14:paraId="4DDD2A63" w14:textId="77777777" w:rsidR="00570834" w:rsidRDefault="00570834" w:rsidP="003F1F46">
      <w:pPr>
        <w:spacing w:before="100" w:beforeAutospacing="1" w:line="480" w:lineRule="auto"/>
        <w:textAlignment w:val="baseline"/>
        <w:outlineLvl w:val="2"/>
        <w:rPr>
          <w:rFonts w:eastAsia="Times New Roman" w:cstheme="minorHAnsi"/>
          <w:b/>
          <w:bCs/>
          <w:lang w:eastAsia="en-GB"/>
        </w:rPr>
      </w:pPr>
      <w:r w:rsidRPr="00A57170">
        <w:rPr>
          <w:rFonts w:eastAsia="Times New Roman" w:cstheme="minorHAnsi"/>
          <w:b/>
          <w:bCs/>
          <w:sz w:val="26"/>
          <w:szCs w:val="26"/>
          <w:lang w:eastAsia="en-GB"/>
        </w:rPr>
        <w:lastRenderedPageBreak/>
        <w:t>Abstract</w:t>
      </w:r>
    </w:p>
    <w:p w14:paraId="38AFF267" w14:textId="173FCD7F" w:rsidR="00570834" w:rsidRDefault="00570834" w:rsidP="003F1F46">
      <w:pPr>
        <w:spacing w:before="100" w:beforeAutospacing="1" w:line="480" w:lineRule="auto"/>
        <w:contextualSpacing/>
        <w:textAlignment w:val="baseline"/>
        <w:outlineLvl w:val="2"/>
        <w:rPr>
          <w:rFonts w:eastAsia="Times New Roman" w:cstheme="minorHAnsi"/>
          <w:lang w:eastAsia="en-GB"/>
        </w:rPr>
      </w:pPr>
      <w:r w:rsidRPr="00A6140A">
        <w:rPr>
          <w:rFonts w:eastAsia="Times New Roman" w:cstheme="minorHAnsi"/>
          <w:b/>
          <w:bCs/>
          <w:lang w:eastAsia="en-GB"/>
        </w:rPr>
        <w:t xml:space="preserve">Objective: </w:t>
      </w:r>
      <w:r w:rsidRPr="00A6140A">
        <w:rPr>
          <w:rFonts w:eastAsia="Times New Roman" w:cstheme="minorHAnsi"/>
          <w:lang w:eastAsia="en-GB"/>
        </w:rPr>
        <w:t xml:space="preserve">To compare immunological responses of preterm infants to a </w:t>
      </w:r>
      <w:r w:rsidRPr="00A6140A">
        <w:rPr>
          <w:rFonts w:cstheme="minorHAnsi"/>
        </w:rPr>
        <w:t xml:space="preserve">four-component meningococcal B </w:t>
      </w:r>
      <w:r w:rsidRPr="00A6140A">
        <w:rPr>
          <w:rFonts w:eastAsia="Times New Roman" w:cstheme="minorHAnsi"/>
          <w:lang w:eastAsia="en-GB"/>
        </w:rPr>
        <w:t>vaccine (4CMenB; Bexsero) following a 2+1 versus a 3+1 schedule, and to describe reactogenicity of routine vaccines.</w:t>
      </w:r>
    </w:p>
    <w:p w14:paraId="50F33C79" w14:textId="756E511B" w:rsidR="00570834" w:rsidRPr="00A57170" w:rsidRDefault="00570834" w:rsidP="003F1F46">
      <w:pPr>
        <w:spacing w:before="100" w:beforeAutospacing="1" w:line="480" w:lineRule="auto"/>
        <w:contextualSpacing/>
        <w:textAlignment w:val="baseline"/>
        <w:outlineLvl w:val="2"/>
        <w:rPr>
          <w:rFonts w:eastAsia="Times New Roman" w:cstheme="minorHAnsi"/>
          <w:lang w:eastAsia="en-GB"/>
        </w:rPr>
      </w:pPr>
      <w:r w:rsidRPr="00A57170">
        <w:rPr>
          <w:rFonts w:eastAsia="Times New Roman" w:cstheme="minorHAnsi"/>
          <w:b/>
          <w:bCs/>
          <w:lang w:eastAsia="en-GB"/>
        </w:rPr>
        <w:t xml:space="preserve">Design: </w:t>
      </w:r>
      <w:r>
        <w:rPr>
          <w:rFonts w:eastAsia="Times New Roman" w:cstheme="minorHAnsi"/>
          <w:lang w:eastAsia="en-GB"/>
        </w:rPr>
        <w:t>A</w:t>
      </w:r>
      <w:r w:rsidRPr="00A57170">
        <w:rPr>
          <w:rFonts w:eastAsia="Times New Roman" w:cstheme="minorHAnsi"/>
          <w:lang w:eastAsia="en-GB"/>
        </w:rPr>
        <w:t xml:space="preserve">n open label, phase IV </w:t>
      </w:r>
      <w:r>
        <w:rPr>
          <w:rFonts w:eastAsia="Times New Roman" w:cstheme="minorHAnsi"/>
          <w:lang w:eastAsia="en-GB"/>
        </w:rPr>
        <w:t xml:space="preserve">randomised </w:t>
      </w:r>
      <w:r w:rsidRPr="00A57170">
        <w:rPr>
          <w:rFonts w:eastAsia="Times New Roman" w:cstheme="minorHAnsi"/>
          <w:lang w:eastAsia="en-GB"/>
        </w:rPr>
        <w:t>study conducted across six UK sites</w:t>
      </w:r>
      <w:r w:rsidR="002D3A9B">
        <w:rPr>
          <w:rFonts w:eastAsia="Times New Roman" w:cstheme="minorHAnsi"/>
          <w:lang w:eastAsia="en-GB"/>
        </w:rPr>
        <w:t xml:space="preserve"> (NCT03125616)</w:t>
      </w:r>
      <w:r>
        <w:rPr>
          <w:rFonts w:eastAsia="Times New Roman" w:cstheme="minorHAnsi"/>
          <w:lang w:eastAsia="en-GB"/>
        </w:rPr>
        <w:t>.</w:t>
      </w:r>
    </w:p>
    <w:p w14:paraId="1E63CCBE" w14:textId="26188456" w:rsidR="00570834" w:rsidRPr="00A57170" w:rsidRDefault="00570834" w:rsidP="003F1F46">
      <w:pPr>
        <w:spacing w:before="100" w:beforeAutospacing="1" w:line="480" w:lineRule="auto"/>
        <w:contextualSpacing/>
        <w:textAlignment w:val="baseline"/>
        <w:outlineLvl w:val="2"/>
        <w:rPr>
          <w:rFonts w:eastAsia="Times New Roman" w:cstheme="minorHAnsi"/>
          <w:b/>
          <w:bCs/>
          <w:lang w:eastAsia="en-GB"/>
        </w:rPr>
      </w:pPr>
      <w:r w:rsidRPr="00A57170">
        <w:rPr>
          <w:rFonts w:eastAsia="Times New Roman" w:cstheme="minorHAnsi"/>
          <w:b/>
          <w:bCs/>
          <w:lang w:eastAsia="en-GB"/>
        </w:rPr>
        <w:t xml:space="preserve">Setting: </w:t>
      </w:r>
      <w:r w:rsidRPr="00A57170">
        <w:rPr>
          <w:rFonts w:eastAsia="Times New Roman" w:cstheme="minorHAnsi"/>
          <w:lang w:eastAsia="en-GB"/>
        </w:rPr>
        <w:t>Neonatal units, postnatal wards, community recruitment following discharge</w:t>
      </w:r>
      <w:r w:rsidR="00A23720">
        <w:rPr>
          <w:rFonts w:eastAsia="Times New Roman" w:cstheme="minorHAnsi"/>
          <w:lang w:eastAsia="en-GB"/>
        </w:rPr>
        <w:t>.</w:t>
      </w:r>
    </w:p>
    <w:p w14:paraId="75B2663E" w14:textId="7116C449" w:rsidR="00570834" w:rsidRPr="00A57170" w:rsidRDefault="00570834" w:rsidP="003F1F46">
      <w:pPr>
        <w:spacing w:line="480" w:lineRule="auto"/>
        <w:textAlignment w:val="baseline"/>
        <w:rPr>
          <w:rFonts w:eastAsia="Times New Roman" w:cstheme="minorHAnsi"/>
          <w:b/>
          <w:bCs/>
          <w:lang w:eastAsia="en-GB"/>
        </w:rPr>
      </w:pPr>
      <w:r w:rsidRPr="00A57170">
        <w:rPr>
          <w:rFonts w:eastAsia="Times New Roman" w:cstheme="minorHAnsi"/>
          <w:b/>
          <w:bCs/>
          <w:lang w:eastAsia="en-GB"/>
        </w:rPr>
        <w:t xml:space="preserve">Participants: </w:t>
      </w:r>
      <w:r w:rsidRPr="00F72801">
        <w:rPr>
          <w:rFonts w:eastAsia="Times New Roman" w:cstheme="minorHAnsi"/>
          <w:lang w:eastAsia="en-GB"/>
        </w:rPr>
        <w:t>129</w:t>
      </w:r>
      <w:r>
        <w:rPr>
          <w:rFonts w:eastAsia="Times New Roman" w:cstheme="minorHAnsi"/>
          <w:b/>
          <w:bCs/>
          <w:lang w:eastAsia="en-GB"/>
        </w:rPr>
        <w:t xml:space="preserve"> </w:t>
      </w:r>
      <w:r>
        <w:rPr>
          <w:rFonts w:eastAsia="Times New Roman" w:cstheme="minorHAnsi"/>
          <w:lang w:eastAsia="en-GB"/>
        </w:rPr>
        <w:t>p</w:t>
      </w:r>
      <w:r w:rsidRPr="00A57170">
        <w:rPr>
          <w:rFonts w:eastAsia="Times New Roman" w:cstheme="minorHAnsi"/>
          <w:lang w:eastAsia="en-GB"/>
        </w:rPr>
        <w:t xml:space="preserve">reterm infants born at a gestation of &lt;35 weeks </w:t>
      </w:r>
      <w:r w:rsidR="00A23720">
        <w:rPr>
          <w:rFonts w:eastAsia="Times New Roman" w:cstheme="minorHAnsi"/>
          <w:lang w:eastAsia="en-GB"/>
        </w:rPr>
        <w:t xml:space="preserve">(67 in group 1 [2+1], 69 in group 2 [3+1]). Analysis of post-primary samples was completed for 125 participants (59 in group 1, 66 in group 2) and of post-booster samples in 118 participants (59 in both groups). </w:t>
      </w:r>
    </w:p>
    <w:p w14:paraId="580954D4" w14:textId="14CED10A" w:rsidR="00570834" w:rsidRPr="00A57170" w:rsidRDefault="00570834" w:rsidP="003F1F46">
      <w:pPr>
        <w:spacing w:line="480" w:lineRule="auto"/>
        <w:textAlignment w:val="baseline"/>
        <w:rPr>
          <w:rFonts w:eastAsia="Times New Roman" w:cstheme="minorHAnsi"/>
          <w:lang w:eastAsia="en-GB"/>
        </w:rPr>
      </w:pPr>
      <w:r w:rsidRPr="00A57170">
        <w:rPr>
          <w:rFonts w:eastAsia="Times New Roman" w:cstheme="minorHAnsi"/>
          <w:b/>
          <w:bCs/>
          <w:lang w:eastAsia="en-GB"/>
        </w:rPr>
        <w:t xml:space="preserve">Interventions: </w:t>
      </w:r>
      <w:r w:rsidRPr="00A57170">
        <w:rPr>
          <w:rFonts w:eastAsia="Times New Roman" w:cstheme="minorHAnsi"/>
          <w:lang w:eastAsia="en-GB"/>
        </w:rPr>
        <w:t xml:space="preserve">Infants randomised to </w:t>
      </w:r>
      <w:r>
        <w:rPr>
          <w:rFonts w:eastAsia="Times New Roman" w:cstheme="minorHAnsi"/>
          <w:lang w:eastAsia="en-GB"/>
        </w:rPr>
        <w:t xml:space="preserve">4CMenB </w:t>
      </w:r>
      <w:r w:rsidRPr="00A57170">
        <w:rPr>
          <w:rFonts w:eastAsia="Times New Roman" w:cstheme="minorHAnsi"/>
          <w:lang w:eastAsia="en-GB"/>
        </w:rPr>
        <w:t>according to a 2+1 or a 3+1 schedule</w:t>
      </w:r>
      <w:r>
        <w:rPr>
          <w:rFonts w:eastAsia="Times New Roman" w:cstheme="minorHAnsi"/>
          <w:lang w:eastAsia="en-GB"/>
        </w:rPr>
        <w:t>,</w:t>
      </w:r>
      <w:r w:rsidRPr="00A57170">
        <w:rPr>
          <w:rFonts w:eastAsia="Times New Roman" w:cstheme="minorHAnsi"/>
          <w:lang w:eastAsia="en-GB"/>
        </w:rPr>
        <w:t xml:space="preserve"> alongside </w:t>
      </w:r>
      <w:r>
        <w:rPr>
          <w:rFonts w:eastAsia="Times New Roman" w:cstheme="minorHAnsi"/>
          <w:lang w:eastAsia="en-GB"/>
        </w:rPr>
        <w:t xml:space="preserve">routine </w:t>
      </w:r>
      <w:r w:rsidR="003C1C34">
        <w:rPr>
          <w:rFonts w:eastAsia="Times New Roman" w:cstheme="minorHAnsi"/>
          <w:lang w:eastAsia="en-GB"/>
        </w:rPr>
        <w:t xml:space="preserve">vaccines. </w:t>
      </w:r>
    </w:p>
    <w:p w14:paraId="7908300A" w14:textId="42A61FAC" w:rsidR="00570834" w:rsidRPr="004E342F" w:rsidRDefault="00570834" w:rsidP="003F1F46">
      <w:pPr>
        <w:spacing w:line="480" w:lineRule="auto"/>
        <w:textAlignment w:val="baseline"/>
        <w:rPr>
          <w:rFonts w:cstheme="minorHAnsi"/>
        </w:rPr>
      </w:pPr>
      <w:r w:rsidRPr="00A57170">
        <w:rPr>
          <w:rFonts w:eastAsia="Times New Roman" w:cstheme="minorHAnsi"/>
          <w:b/>
          <w:bCs/>
          <w:lang w:eastAsia="en-GB"/>
        </w:rPr>
        <w:t>Main outcome measures:</w:t>
      </w:r>
      <w:r w:rsidRPr="00A57170">
        <w:rPr>
          <w:rFonts w:eastAsia="Times New Roman" w:cstheme="minorHAnsi"/>
          <w:lang w:eastAsia="en-GB"/>
        </w:rPr>
        <w:t xml:space="preserve"> Serum </w:t>
      </w:r>
      <w:r>
        <w:rPr>
          <w:rFonts w:eastAsia="Times New Roman" w:cstheme="minorHAnsi"/>
          <w:lang w:eastAsia="en-GB"/>
        </w:rPr>
        <w:t>b</w:t>
      </w:r>
      <w:r w:rsidRPr="00A57170">
        <w:rPr>
          <w:rFonts w:eastAsia="Times New Roman" w:cstheme="minorHAnsi"/>
          <w:lang w:eastAsia="en-GB"/>
        </w:rPr>
        <w:t xml:space="preserve">actericidal </w:t>
      </w:r>
      <w:r>
        <w:rPr>
          <w:rFonts w:eastAsia="Times New Roman" w:cstheme="minorHAnsi"/>
          <w:lang w:eastAsia="en-GB"/>
        </w:rPr>
        <w:t>a</w:t>
      </w:r>
      <w:r w:rsidRPr="00A57170">
        <w:rPr>
          <w:rFonts w:eastAsia="Times New Roman" w:cstheme="minorHAnsi"/>
          <w:lang w:eastAsia="en-GB"/>
        </w:rPr>
        <w:t>ntibody (SBA) assays performed at 5, 12 and 13 months</w:t>
      </w:r>
      <w:r>
        <w:rPr>
          <w:rFonts w:eastAsia="Times New Roman" w:cstheme="minorHAnsi"/>
          <w:lang w:eastAsia="en-GB"/>
        </w:rPr>
        <w:t xml:space="preserve"> of age</w:t>
      </w:r>
      <w:r w:rsidRPr="00A57170">
        <w:rPr>
          <w:rFonts w:eastAsia="Times New Roman" w:cstheme="minorHAnsi"/>
          <w:lang w:eastAsia="en-GB"/>
        </w:rPr>
        <w:t xml:space="preserve">: </w:t>
      </w:r>
      <w:r>
        <w:rPr>
          <w:rFonts w:eastAsia="Times New Roman" w:cstheme="minorHAnsi"/>
          <w:lang w:eastAsia="en-GB"/>
        </w:rPr>
        <w:t>g</w:t>
      </w:r>
      <w:r w:rsidRPr="00A57170">
        <w:rPr>
          <w:rFonts w:eastAsia="Times New Roman" w:cstheme="minorHAnsi"/>
          <w:lang w:eastAsia="en-GB"/>
        </w:rPr>
        <w:t xml:space="preserve">eometric </w:t>
      </w:r>
      <w:r>
        <w:rPr>
          <w:rFonts w:eastAsia="Times New Roman" w:cstheme="minorHAnsi"/>
          <w:lang w:eastAsia="en-GB"/>
        </w:rPr>
        <w:t>m</w:t>
      </w:r>
      <w:r w:rsidRPr="00A57170">
        <w:rPr>
          <w:rFonts w:eastAsia="Times New Roman" w:cstheme="minorHAnsi"/>
          <w:lang w:eastAsia="en-GB"/>
        </w:rPr>
        <w:t xml:space="preserve">ean </w:t>
      </w:r>
      <w:r>
        <w:rPr>
          <w:rFonts w:eastAsia="Times New Roman" w:cstheme="minorHAnsi"/>
          <w:lang w:eastAsia="en-GB"/>
        </w:rPr>
        <w:t>t</w:t>
      </w:r>
      <w:r w:rsidRPr="00A57170">
        <w:rPr>
          <w:rFonts w:eastAsia="Times New Roman" w:cstheme="minorHAnsi"/>
          <w:lang w:eastAsia="en-GB"/>
        </w:rPr>
        <w:t xml:space="preserve">itres </w:t>
      </w:r>
      <w:r>
        <w:rPr>
          <w:rFonts w:eastAsia="Times New Roman" w:cstheme="minorHAnsi"/>
          <w:lang w:eastAsia="en-GB"/>
        </w:rPr>
        <w:t xml:space="preserve">(GMTs) </w:t>
      </w:r>
      <w:r w:rsidRPr="00A57170">
        <w:rPr>
          <w:rFonts w:eastAsia="Times New Roman" w:cstheme="minorHAnsi"/>
          <w:lang w:eastAsia="en-GB"/>
        </w:rPr>
        <w:t xml:space="preserve">and proportions of infants achieving titres </w:t>
      </w:r>
      <w:r w:rsidRPr="00A57170">
        <w:rPr>
          <w:rFonts w:cstheme="minorHAnsi"/>
        </w:rPr>
        <w:t>≥4 compared between groups</w:t>
      </w:r>
      <w:r>
        <w:rPr>
          <w:rFonts w:cstheme="minorHAnsi"/>
        </w:rPr>
        <w:t>.</w:t>
      </w:r>
    </w:p>
    <w:p w14:paraId="4A27E678" w14:textId="34FEC853" w:rsidR="00570834" w:rsidRDefault="00570834" w:rsidP="003F1F46">
      <w:pPr>
        <w:spacing w:line="480" w:lineRule="auto"/>
        <w:textAlignment w:val="baseline"/>
        <w:rPr>
          <w:rFonts w:cstheme="minorHAnsi"/>
          <w:noProof/>
          <w:color w:val="000000" w:themeColor="text1"/>
        </w:rPr>
      </w:pPr>
      <w:r w:rsidRPr="00A57170">
        <w:rPr>
          <w:rFonts w:eastAsia="Times New Roman" w:cstheme="minorHAnsi"/>
          <w:b/>
          <w:bCs/>
          <w:lang w:eastAsia="en-GB"/>
        </w:rPr>
        <w:t xml:space="preserve">Results: </w:t>
      </w:r>
      <w:r w:rsidRPr="001367AC">
        <w:rPr>
          <w:rFonts w:eastAsia="Times New Roman" w:cstheme="minorHAnsi"/>
          <w:lang w:eastAsia="en-GB"/>
        </w:rPr>
        <w:t>There were</w:t>
      </w:r>
      <w:r>
        <w:rPr>
          <w:rFonts w:eastAsia="Times New Roman" w:cstheme="minorHAnsi"/>
          <w:b/>
          <w:bCs/>
          <w:lang w:eastAsia="en-GB"/>
        </w:rPr>
        <w:t xml:space="preserve"> </w:t>
      </w:r>
      <w:r>
        <w:rPr>
          <w:rFonts w:cstheme="minorHAnsi"/>
        </w:rPr>
        <w:t>n</w:t>
      </w:r>
      <w:r w:rsidRPr="00A57170">
        <w:rPr>
          <w:rFonts w:cstheme="minorHAnsi"/>
        </w:rPr>
        <w:t xml:space="preserve">o significant differences in </w:t>
      </w:r>
      <w:r>
        <w:rPr>
          <w:rFonts w:cstheme="minorHAnsi"/>
        </w:rPr>
        <w:t xml:space="preserve">SBA </w:t>
      </w:r>
      <w:r w:rsidRPr="00A57170">
        <w:rPr>
          <w:rFonts w:cstheme="minorHAnsi"/>
        </w:rPr>
        <w:t xml:space="preserve">GMTs between </w:t>
      </w:r>
      <w:r>
        <w:rPr>
          <w:rFonts w:cstheme="minorHAnsi"/>
        </w:rPr>
        <w:t>infants receiving a 2+1 compared to a 3+1 schedule following primary or booster vaccination,</w:t>
      </w:r>
      <w:r w:rsidRPr="00A57170">
        <w:rPr>
          <w:rFonts w:cstheme="minorHAnsi"/>
        </w:rPr>
        <w:t xml:space="preserve"> </w:t>
      </w:r>
      <w:r>
        <w:rPr>
          <w:rFonts w:cstheme="minorHAnsi"/>
        </w:rPr>
        <w:t xml:space="preserve">but a significantly higher </w:t>
      </w:r>
      <w:r w:rsidRPr="00A57170">
        <w:rPr>
          <w:rFonts w:cstheme="minorHAnsi"/>
        </w:rPr>
        <w:t xml:space="preserve">proportion of infants </w:t>
      </w:r>
      <w:r>
        <w:rPr>
          <w:rFonts w:cstheme="minorHAnsi"/>
        </w:rPr>
        <w:t>had</w:t>
      </w:r>
      <w:r w:rsidRPr="00A57170">
        <w:rPr>
          <w:rFonts w:cstheme="minorHAnsi"/>
        </w:rPr>
        <w:t xml:space="preserve"> an SBA titre </w:t>
      </w:r>
      <w:r w:rsidRPr="00A57170">
        <w:rPr>
          <w:rFonts w:cstheme="minorHAnsi"/>
          <w:noProof/>
          <w:color w:val="000000" w:themeColor="text1"/>
        </w:rPr>
        <w:t xml:space="preserve">≥4 </w:t>
      </w:r>
      <w:r>
        <w:rPr>
          <w:rFonts w:cstheme="minorHAnsi"/>
          <w:noProof/>
          <w:color w:val="000000" w:themeColor="text1"/>
        </w:rPr>
        <w:t>against strain</w:t>
      </w:r>
      <w:r w:rsidRPr="00A57170">
        <w:rPr>
          <w:rFonts w:cstheme="minorHAnsi"/>
          <w:noProof/>
          <w:color w:val="000000" w:themeColor="text1"/>
        </w:rPr>
        <w:t xml:space="preserve"> </w:t>
      </w:r>
      <w:r>
        <w:rPr>
          <w:rFonts w:cstheme="minorHAnsi"/>
          <w:noProof/>
          <w:color w:val="000000" w:themeColor="text1"/>
        </w:rPr>
        <w:t>NZ98/254 (PorA) at 1 month after primary vaccination using a</w:t>
      </w:r>
      <w:r w:rsidRPr="00A57170">
        <w:rPr>
          <w:rFonts w:cstheme="minorHAnsi"/>
          <w:noProof/>
          <w:color w:val="000000" w:themeColor="text1"/>
        </w:rPr>
        <w:t xml:space="preserve"> 3+1 </w:t>
      </w:r>
      <w:r>
        <w:rPr>
          <w:rFonts w:cstheme="minorHAnsi"/>
          <w:noProof/>
          <w:color w:val="000000" w:themeColor="text1"/>
        </w:rPr>
        <w:t xml:space="preserve">compared to a 2+1 </w:t>
      </w:r>
      <w:r w:rsidRPr="00A57170">
        <w:rPr>
          <w:rFonts w:cstheme="minorHAnsi"/>
          <w:noProof/>
          <w:color w:val="000000" w:themeColor="text1"/>
        </w:rPr>
        <w:t>schedule (</w:t>
      </w:r>
      <w:r>
        <w:rPr>
          <w:rFonts w:cstheme="minorHAnsi"/>
          <w:noProof/>
          <w:color w:val="000000" w:themeColor="text1"/>
        </w:rPr>
        <w:t>3+1: 87</w:t>
      </w:r>
      <w:r w:rsidR="00A23720">
        <w:rPr>
          <w:rFonts w:cstheme="minorHAnsi"/>
          <w:noProof/>
          <w:color w:val="000000" w:themeColor="text1"/>
        </w:rPr>
        <w:t>%</w:t>
      </w:r>
      <w:r>
        <w:rPr>
          <w:rFonts w:cstheme="minorHAnsi"/>
          <w:noProof/>
          <w:color w:val="000000" w:themeColor="text1"/>
        </w:rPr>
        <w:t xml:space="preserve"> [95% CI 76-94</w:t>
      </w:r>
      <w:r w:rsidR="00A23720">
        <w:rPr>
          <w:rFonts w:cstheme="minorHAnsi"/>
          <w:noProof/>
          <w:color w:val="000000" w:themeColor="text1"/>
        </w:rPr>
        <w:t>%</w:t>
      </w:r>
      <w:r>
        <w:rPr>
          <w:rFonts w:cstheme="minorHAnsi"/>
          <w:noProof/>
          <w:color w:val="000000" w:themeColor="text1"/>
        </w:rPr>
        <w:t>], 2+1: 70</w:t>
      </w:r>
      <w:r w:rsidR="00A23720">
        <w:rPr>
          <w:rFonts w:cstheme="minorHAnsi"/>
          <w:noProof/>
          <w:color w:val="000000" w:themeColor="text1"/>
        </w:rPr>
        <w:t>%</w:t>
      </w:r>
      <w:r>
        <w:rPr>
          <w:rFonts w:cstheme="minorHAnsi"/>
          <w:noProof/>
          <w:color w:val="000000" w:themeColor="text1"/>
        </w:rPr>
        <w:t xml:space="preserve"> [95% CI 56-81</w:t>
      </w:r>
      <w:r w:rsidR="00A23720">
        <w:rPr>
          <w:rFonts w:cstheme="minorHAnsi"/>
          <w:noProof/>
          <w:color w:val="000000" w:themeColor="text1"/>
        </w:rPr>
        <w:t>%</w:t>
      </w:r>
      <w:r>
        <w:rPr>
          <w:rFonts w:cstheme="minorHAnsi"/>
          <w:noProof/>
          <w:color w:val="000000" w:themeColor="text1"/>
        </w:rPr>
        <w:t xml:space="preserve">], p=0.03). </w:t>
      </w:r>
    </w:p>
    <w:p w14:paraId="77C166BA" w14:textId="1CFB2645" w:rsidR="00570834" w:rsidRPr="00A134F1" w:rsidRDefault="00570834" w:rsidP="00E53B27">
      <w:pPr>
        <w:spacing w:line="480" w:lineRule="auto"/>
        <w:textAlignment w:val="baseline"/>
        <w:rPr>
          <w:color w:val="000000" w:themeColor="text1"/>
        </w:rPr>
      </w:pPr>
      <w:r w:rsidRPr="00A134F1">
        <w:rPr>
          <w:color w:val="000000" w:themeColor="text1"/>
        </w:rPr>
        <w:t xml:space="preserve">At </w:t>
      </w:r>
      <w:r>
        <w:rPr>
          <w:color w:val="000000" w:themeColor="text1"/>
        </w:rPr>
        <w:t xml:space="preserve">12 weeks of age </w:t>
      </w:r>
      <w:r w:rsidRPr="00A134F1">
        <w:rPr>
          <w:color w:val="000000" w:themeColor="text1"/>
        </w:rPr>
        <w:t xml:space="preserve">those in </w:t>
      </w:r>
      <w:r>
        <w:rPr>
          <w:color w:val="000000" w:themeColor="text1"/>
        </w:rPr>
        <w:t xml:space="preserve">the 3+1 group, who received a dose of 4CMenB, had </w:t>
      </w:r>
      <w:r w:rsidRPr="00A134F1">
        <w:rPr>
          <w:color w:val="000000" w:themeColor="text1"/>
        </w:rPr>
        <w:t>significantly more episodes of fever</w:t>
      </w:r>
      <w:r>
        <w:rPr>
          <w:color w:val="000000" w:themeColor="text1"/>
        </w:rPr>
        <w:t xml:space="preserve"> &gt;38.0</w:t>
      </w:r>
      <w:r w:rsidRPr="00A740B3">
        <w:rPr>
          <w:color w:val="000000" w:themeColor="text1"/>
          <w:vertAlign w:val="superscript"/>
        </w:rPr>
        <w:t>o</w:t>
      </w:r>
      <w:r>
        <w:rPr>
          <w:color w:val="000000" w:themeColor="text1"/>
        </w:rPr>
        <w:t>C</w:t>
      </w:r>
      <w:r w:rsidRPr="00A134F1">
        <w:rPr>
          <w:color w:val="000000" w:themeColor="text1"/>
        </w:rPr>
        <w:t xml:space="preserve"> </w:t>
      </w:r>
      <w:r>
        <w:rPr>
          <w:color w:val="000000" w:themeColor="text1"/>
        </w:rPr>
        <w:t xml:space="preserve">than those in the 2+1 group who did not </w:t>
      </w:r>
      <w:r w:rsidRPr="00A134F1">
        <w:rPr>
          <w:color w:val="000000" w:themeColor="text1"/>
        </w:rPr>
        <w:t>(</w:t>
      </w:r>
      <w:r>
        <w:rPr>
          <w:color w:val="000000" w:themeColor="text1"/>
        </w:rPr>
        <w:t xml:space="preserve">Group 2+1: 2% (n=1); 3+1: 14% (n=9); </w:t>
      </w:r>
      <w:r w:rsidRPr="00A134F1">
        <w:rPr>
          <w:color w:val="000000" w:themeColor="text1"/>
        </w:rPr>
        <w:t>p=0.02)</w:t>
      </w:r>
      <w:r w:rsidR="00F31FAE">
        <w:rPr>
          <w:color w:val="000000" w:themeColor="text1"/>
        </w:rPr>
        <w:t>.</w:t>
      </w:r>
    </w:p>
    <w:p w14:paraId="518EE54E" w14:textId="725A1E3D" w:rsidR="00570834" w:rsidRDefault="00570834" w:rsidP="003F1F46">
      <w:pPr>
        <w:spacing w:line="480" w:lineRule="auto"/>
        <w:textAlignment w:val="baseline"/>
        <w:rPr>
          <w:rFonts w:cstheme="minorHAnsi"/>
        </w:rPr>
      </w:pPr>
      <w:r w:rsidRPr="00A57170">
        <w:rPr>
          <w:rFonts w:eastAsia="Times New Roman" w:cstheme="minorHAnsi"/>
          <w:b/>
          <w:bCs/>
          <w:lang w:eastAsia="en-GB"/>
        </w:rPr>
        <w:lastRenderedPageBreak/>
        <w:t xml:space="preserve">Conclusions: </w:t>
      </w:r>
      <w:r>
        <w:rPr>
          <w:rFonts w:cstheme="minorHAnsi"/>
        </w:rPr>
        <w:t>Both</w:t>
      </w:r>
      <w:r w:rsidRPr="00A57170">
        <w:rPr>
          <w:rFonts w:cstheme="minorHAnsi"/>
        </w:rPr>
        <w:t xml:space="preserve"> schedule</w:t>
      </w:r>
      <w:r>
        <w:rPr>
          <w:rFonts w:cstheme="minorHAnsi"/>
        </w:rPr>
        <w:t>s</w:t>
      </w:r>
      <w:r w:rsidRPr="00A57170">
        <w:rPr>
          <w:rFonts w:cstheme="minorHAnsi"/>
        </w:rPr>
        <w:t xml:space="preserve"> </w:t>
      </w:r>
      <w:r>
        <w:rPr>
          <w:rFonts w:cstheme="minorHAnsi"/>
        </w:rPr>
        <w:t>were</w:t>
      </w:r>
      <w:r w:rsidRPr="00A57170">
        <w:rPr>
          <w:rFonts w:cstheme="minorHAnsi"/>
        </w:rPr>
        <w:t xml:space="preserve"> immunogenic in preterm infants</w:t>
      </w:r>
      <w:r>
        <w:rPr>
          <w:rFonts w:cstheme="minorHAnsi"/>
        </w:rPr>
        <w:t xml:space="preserve">, although a lower response against strain NZ98/254 was seen in the 2+1 schedule; ongoing disease surveillance is important in understanding the clinical significance of this difference. </w:t>
      </w:r>
    </w:p>
    <w:p w14:paraId="71FFC55D" w14:textId="77777777" w:rsidR="00570834" w:rsidRPr="0077241C" w:rsidRDefault="00570834" w:rsidP="00FC7F88">
      <w:pPr>
        <w:spacing w:line="480" w:lineRule="auto"/>
        <w:rPr>
          <w:rFonts w:cstheme="minorHAnsi"/>
          <w:bCs/>
        </w:rPr>
      </w:pPr>
      <w:r w:rsidRPr="006F39E9">
        <w:rPr>
          <w:b/>
        </w:rPr>
        <w:t xml:space="preserve">Keywords: </w:t>
      </w:r>
      <w:r w:rsidRPr="00500AF2">
        <w:rPr>
          <w:bCs/>
        </w:rPr>
        <w:t>Preterm, invasive meningococcal disease, vaccination.</w:t>
      </w:r>
    </w:p>
    <w:p w14:paraId="7C436D6E" w14:textId="77777777" w:rsidR="00570834" w:rsidRDefault="00570834" w:rsidP="003F1F46">
      <w:pPr>
        <w:spacing w:line="480" w:lineRule="auto"/>
        <w:textAlignment w:val="baseline"/>
        <w:rPr>
          <w:rFonts w:cstheme="minorHAnsi"/>
          <w:b/>
          <w:bCs/>
        </w:rPr>
      </w:pPr>
      <w:r w:rsidRPr="00CE0C5C">
        <w:rPr>
          <w:rFonts w:cstheme="minorHAnsi"/>
          <w:b/>
          <w:bCs/>
        </w:rPr>
        <w:t>Abbreviations:</w:t>
      </w:r>
    </w:p>
    <w:p w14:paraId="41C9FD7C" w14:textId="77777777" w:rsidR="00570834" w:rsidRDefault="00570834" w:rsidP="003F1F46">
      <w:pPr>
        <w:spacing w:line="480" w:lineRule="auto"/>
        <w:textAlignment w:val="baseline"/>
        <w:rPr>
          <w:rFonts w:cstheme="minorHAnsi"/>
        </w:rPr>
      </w:pPr>
      <w:r>
        <w:rPr>
          <w:rFonts w:cstheme="minorHAnsi"/>
        </w:rPr>
        <w:t>CLD= chronic lung disease</w:t>
      </w:r>
    </w:p>
    <w:p w14:paraId="7D0E66DE" w14:textId="77777777" w:rsidR="00570834" w:rsidRDefault="00570834" w:rsidP="003F1F46">
      <w:pPr>
        <w:spacing w:line="480" w:lineRule="auto"/>
        <w:textAlignment w:val="baseline"/>
        <w:rPr>
          <w:rFonts w:cstheme="minorHAnsi"/>
        </w:rPr>
      </w:pPr>
      <w:proofErr w:type="spellStart"/>
      <w:r>
        <w:rPr>
          <w:rFonts w:cstheme="minorHAnsi"/>
        </w:rPr>
        <w:t>fHbp</w:t>
      </w:r>
      <w:proofErr w:type="spellEnd"/>
      <w:r>
        <w:rPr>
          <w:rFonts w:cstheme="minorHAnsi"/>
        </w:rPr>
        <w:t>= factor H binding protein</w:t>
      </w:r>
    </w:p>
    <w:p w14:paraId="2C8D5746" w14:textId="77777777" w:rsidR="00570834" w:rsidRDefault="00570834" w:rsidP="003F1F46">
      <w:pPr>
        <w:spacing w:line="480" w:lineRule="auto"/>
        <w:textAlignment w:val="baseline"/>
        <w:rPr>
          <w:rFonts w:cstheme="minorHAnsi"/>
        </w:rPr>
      </w:pPr>
      <w:r>
        <w:rPr>
          <w:rFonts w:cstheme="minorHAnsi"/>
        </w:rPr>
        <w:t>GMT= geometric mean titre</w:t>
      </w:r>
    </w:p>
    <w:p w14:paraId="4559DF63" w14:textId="77777777" w:rsidR="00570834" w:rsidRPr="00441F4F" w:rsidRDefault="00570834" w:rsidP="003F1F46">
      <w:pPr>
        <w:spacing w:line="480" w:lineRule="auto"/>
        <w:textAlignment w:val="baseline"/>
        <w:rPr>
          <w:rFonts w:cstheme="minorHAnsi"/>
        </w:rPr>
      </w:pPr>
      <w:r w:rsidRPr="00FC7F88">
        <w:rPr>
          <w:rFonts w:cstheme="minorHAnsi"/>
        </w:rPr>
        <w:t xml:space="preserve">IMD= invasive meningococcal disease </w:t>
      </w:r>
    </w:p>
    <w:p w14:paraId="23DBB355" w14:textId="77777777" w:rsidR="00570834" w:rsidRDefault="00570834" w:rsidP="003F1F46">
      <w:pPr>
        <w:spacing w:line="480" w:lineRule="auto"/>
        <w:textAlignment w:val="baseline"/>
        <w:rPr>
          <w:rFonts w:cstheme="minorHAnsi"/>
        </w:rPr>
      </w:pPr>
      <w:proofErr w:type="spellStart"/>
      <w:r>
        <w:rPr>
          <w:rFonts w:cstheme="minorHAnsi"/>
        </w:rPr>
        <w:t>NadA</w:t>
      </w:r>
      <w:proofErr w:type="spellEnd"/>
      <w:r>
        <w:rPr>
          <w:rFonts w:cstheme="minorHAnsi"/>
        </w:rPr>
        <w:t xml:space="preserve">= </w:t>
      </w:r>
      <w:proofErr w:type="spellStart"/>
      <w:r>
        <w:rPr>
          <w:rFonts w:cstheme="minorHAnsi"/>
        </w:rPr>
        <w:t>neisserial</w:t>
      </w:r>
      <w:proofErr w:type="spellEnd"/>
      <w:r>
        <w:rPr>
          <w:rFonts w:cstheme="minorHAnsi"/>
        </w:rPr>
        <w:t xml:space="preserve"> adhesin A</w:t>
      </w:r>
    </w:p>
    <w:p w14:paraId="3E7B799A" w14:textId="77777777" w:rsidR="00570834" w:rsidRDefault="00570834" w:rsidP="003F1F46">
      <w:pPr>
        <w:spacing w:line="480" w:lineRule="auto"/>
        <w:textAlignment w:val="baseline"/>
        <w:rPr>
          <w:rFonts w:cstheme="minorHAnsi"/>
        </w:rPr>
      </w:pPr>
      <w:proofErr w:type="spellStart"/>
      <w:r>
        <w:rPr>
          <w:rFonts w:cstheme="minorHAnsi"/>
        </w:rPr>
        <w:t>PorA</w:t>
      </w:r>
      <w:proofErr w:type="spellEnd"/>
      <w:r>
        <w:rPr>
          <w:rFonts w:cstheme="minorHAnsi"/>
        </w:rPr>
        <w:t>= Porin A</w:t>
      </w:r>
    </w:p>
    <w:p w14:paraId="21F4EBDA" w14:textId="77777777" w:rsidR="00570834" w:rsidRDefault="00570834" w:rsidP="003F1F46">
      <w:pPr>
        <w:spacing w:line="480" w:lineRule="auto"/>
        <w:textAlignment w:val="baseline"/>
        <w:rPr>
          <w:rFonts w:cstheme="minorHAnsi"/>
          <w:b/>
          <w:bCs/>
        </w:rPr>
      </w:pPr>
      <w:r>
        <w:rPr>
          <w:rFonts w:cstheme="minorHAnsi"/>
        </w:rPr>
        <w:t>SAE= serious adverse event</w:t>
      </w:r>
    </w:p>
    <w:p w14:paraId="4C08DB0B" w14:textId="77777777" w:rsidR="00570834" w:rsidRDefault="00570834" w:rsidP="003F1F46">
      <w:pPr>
        <w:spacing w:line="480" w:lineRule="auto"/>
        <w:textAlignment w:val="baseline"/>
        <w:rPr>
          <w:rFonts w:eastAsia="Times New Roman" w:cstheme="minorHAnsi"/>
          <w:lang w:eastAsia="en-GB"/>
        </w:rPr>
      </w:pPr>
      <w:r w:rsidRPr="00174F6D">
        <w:rPr>
          <w:rFonts w:eastAsia="Times New Roman" w:cstheme="minorHAnsi"/>
          <w:lang w:eastAsia="en-GB"/>
        </w:rPr>
        <w:t xml:space="preserve"> SBA</w:t>
      </w:r>
      <w:r>
        <w:rPr>
          <w:rFonts w:eastAsia="Times New Roman" w:cstheme="minorHAnsi"/>
          <w:lang w:eastAsia="en-GB"/>
        </w:rPr>
        <w:t>= serum bactericidal antibody</w:t>
      </w:r>
    </w:p>
    <w:p w14:paraId="0AC80E77" w14:textId="77777777" w:rsidR="00570834" w:rsidRDefault="00570834" w:rsidP="003F1F46">
      <w:pPr>
        <w:spacing w:line="480" w:lineRule="auto"/>
        <w:textAlignment w:val="baseline"/>
        <w:rPr>
          <w:rFonts w:eastAsia="Times New Roman" w:cstheme="minorHAnsi"/>
          <w:lang w:eastAsia="en-GB"/>
        </w:rPr>
      </w:pPr>
      <w:r>
        <w:rPr>
          <w:rFonts w:eastAsia="Times New Roman" w:cstheme="minorHAnsi"/>
          <w:lang w:eastAsia="en-GB"/>
        </w:rPr>
        <w:t>SGA= small for gestational age</w:t>
      </w:r>
    </w:p>
    <w:p w14:paraId="37DF9A10" w14:textId="77777777" w:rsidR="00570834" w:rsidRDefault="00570834" w:rsidP="003F1F46">
      <w:pPr>
        <w:spacing w:line="480" w:lineRule="auto"/>
        <w:textAlignment w:val="baseline"/>
        <w:rPr>
          <w:rFonts w:eastAsia="Times New Roman" w:cstheme="minorHAnsi"/>
          <w:lang w:eastAsia="en-GB"/>
        </w:rPr>
      </w:pPr>
      <w:r w:rsidRPr="00174F6D">
        <w:rPr>
          <w:rFonts w:eastAsia="Times New Roman" w:cstheme="minorHAnsi"/>
          <w:lang w:eastAsia="en-GB"/>
        </w:rPr>
        <w:t xml:space="preserve"> </w:t>
      </w:r>
      <w:r>
        <w:rPr>
          <w:rFonts w:eastAsia="Times New Roman" w:cstheme="minorHAnsi"/>
          <w:lang w:eastAsia="en-GB"/>
        </w:rPr>
        <w:t>UKHSA=</w:t>
      </w:r>
      <w:r w:rsidRPr="00174F6D">
        <w:rPr>
          <w:rFonts w:eastAsia="Times New Roman" w:cstheme="minorHAnsi"/>
          <w:lang w:eastAsia="en-GB"/>
        </w:rPr>
        <w:t xml:space="preserve"> UK Health Security Agency </w:t>
      </w:r>
    </w:p>
    <w:p w14:paraId="18261F72" w14:textId="77777777" w:rsidR="00570834" w:rsidRDefault="00570834" w:rsidP="000106FA">
      <w:pPr>
        <w:rPr>
          <w:rFonts w:cstheme="minorHAnsi"/>
        </w:rPr>
      </w:pPr>
    </w:p>
    <w:p w14:paraId="099124C5" w14:textId="73BD07AD" w:rsidR="00570834" w:rsidRDefault="00570834" w:rsidP="000106FA">
      <w:pPr>
        <w:rPr>
          <w:rFonts w:cstheme="minorHAnsi"/>
          <w:b/>
          <w:bCs/>
        </w:rPr>
      </w:pPr>
      <w:r w:rsidRPr="00CE0C5C">
        <w:rPr>
          <w:rFonts w:cstheme="minorHAnsi"/>
          <w:b/>
          <w:bCs/>
        </w:rPr>
        <w:t>Word Count</w:t>
      </w:r>
    </w:p>
    <w:p w14:paraId="35DC6A87" w14:textId="64D4000A" w:rsidR="00680F48" w:rsidRPr="00680F48" w:rsidRDefault="00680F48" w:rsidP="000106FA">
      <w:pPr>
        <w:rPr>
          <w:rFonts w:cstheme="minorHAnsi"/>
        </w:rPr>
      </w:pPr>
      <w:r w:rsidRPr="00680F48">
        <w:rPr>
          <w:rFonts w:cstheme="minorHAnsi"/>
        </w:rPr>
        <w:t>2</w:t>
      </w:r>
      <w:r w:rsidR="00A3567D">
        <w:rPr>
          <w:rFonts w:cstheme="minorHAnsi"/>
        </w:rPr>
        <w:t>499</w:t>
      </w:r>
    </w:p>
    <w:p w14:paraId="203C5091" w14:textId="77777777" w:rsidR="00570834" w:rsidRPr="00A57170" w:rsidRDefault="00570834" w:rsidP="003F1F46">
      <w:pPr>
        <w:spacing w:line="480" w:lineRule="auto"/>
        <w:textAlignment w:val="baseline"/>
        <w:rPr>
          <w:rFonts w:eastAsia="Times New Roman" w:cstheme="minorHAnsi"/>
          <w:b/>
          <w:bCs/>
          <w:lang w:eastAsia="en-GB"/>
        </w:rPr>
      </w:pPr>
    </w:p>
    <w:p w14:paraId="44EB8A97" w14:textId="77777777" w:rsidR="00570834" w:rsidRPr="00356D1F" w:rsidRDefault="00570834" w:rsidP="003F1F46">
      <w:pPr>
        <w:pBdr>
          <w:top w:val="single" w:sz="4" w:space="1" w:color="auto"/>
          <w:left w:val="single" w:sz="4" w:space="4" w:color="auto"/>
          <w:bottom w:val="single" w:sz="4" w:space="1" w:color="auto"/>
          <w:right w:val="single" w:sz="4" w:space="4" w:color="auto"/>
        </w:pBdr>
        <w:spacing w:before="100" w:beforeAutospacing="1" w:after="100" w:afterAutospacing="1" w:line="480" w:lineRule="auto"/>
        <w:contextualSpacing/>
        <w:textAlignment w:val="baseline"/>
        <w:outlineLvl w:val="2"/>
        <w:rPr>
          <w:rFonts w:eastAsia="Times New Roman" w:cstheme="minorHAnsi"/>
          <w:b/>
          <w:bCs/>
          <w:lang w:eastAsia="en-GB"/>
        </w:rPr>
      </w:pPr>
      <w:r w:rsidRPr="00356D1F">
        <w:rPr>
          <w:rFonts w:eastAsia="Times New Roman" w:cstheme="minorHAnsi"/>
          <w:b/>
          <w:bCs/>
          <w:lang w:eastAsia="en-GB"/>
        </w:rPr>
        <w:t xml:space="preserve">What is already known on this topic: </w:t>
      </w:r>
    </w:p>
    <w:p w14:paraId="1B309A60" w14:textId="77777777" w:rsidR="00570834" w:rsidRDefault="00570834" w:rsidP="003F1F46">
      <w:pPr>
        <w:pBdr>
          <w:top w:val="single" w:sz="4" w:space="1" w:color="auto"/>
          <w:left w:val="single" w:sz="4" w:space="4" w:color="auto"/>
          <w:bottom w:val="single" w:sz="4" w:space="1" w:color="auto"/>
          <w:right w:val="single" w:sz="4" w:space="4" w:color="auto"/>
        </w:pBdr>
        <w:spacing w:before="100" w:beforeAutospacing="1" w:after="100" w:afterAutospacing="1" w:line="480" w:lineRule="auto"/>
        <w:contextualSpacing/>
        <w:textAlignment w:val="baseline"/>
        <w:outlineLvl w:val="2"/>
        <w:rPr>
          <w:rFonts w:eastAsia="Times New Roman" w:cstheme="minorHAnsi"/>
          <w:lang w:eastAsia="en-GB"/>
        </w:rPr>
      </w:pPr>
      <w:r w:rsidRPr="00A6140A">
        <w:rPr>
          <w:rFonts w:eastAsia="Times New Roman" w:cstheme="minorHAnsi"/>
          <w:lang w:eastAsia="en-GB"/>
        </w:rPr>
        <w:t xml:space="preserve">Routine vaccination against </w:t>
      </w:r>
      <w:r w:rsidRPr="000B0C3F">
        <w:rPr>
          <w:rFonts w:eastAsia="Times New Roman" w:cstheme="minorHAnsi"/>
          <w:i/>
          <w:iCs/>
          <w:lang w:eastAsia="en-GB"/>
        </w:rPr>
        <w:t>Neis</w:t>
      </w:r>
      <w:r>
        <w:rPr>
          <w:rFonts w:eastAsia="Times New Roman" w:cstheme="minorHAnsi"/>
          <w:i/>
          <w:iCs/>
          <w:lang w:eastAsia="en-GB"/>
        </w:rPr>
        <w:t>s</w:t>
      </w:r>
      <w:r w:rsidRPr="000B0C3F">
        <w:rPr>
          <w:rFonts w:eastAsia="Times New Roman" w:cstheme="minorHAnsi"/>
          <w:i/>
          <w:iCs/>
          <w:lang w:eastAsia="en-GB"/>
        </w:rPr>
        <w:t>eria meningitidis</w:t>
      </w:r>
      <w:r>
        <w:rPr>
          <w:rFonts w:eastAsia="Times New Roman" w:cstheme="minorHAnsi"/>
          <w:lang w:eastAsia="en-GB"/>
        </w:rPr>
        <w:t xml:space="preserve"> serogroup</w:t>
      </w:r>
      <w:r w:rsidRPr="00A6140A">
        <w:rPr>
          <w:rFonts w:eastAsia="Times New Roman" w:cstheme="minorHAnsi"/>
          <w:lang w:eastAsia="en-GB"/>
        </w:rPr>
        <w:t xml:space="preserve"> B </w:t>
      </w:r>
      <w:r>
        <w:rPr>
          <w:rFonts w:eastAsia="Times New Roman" w:cstheme="minorHAnsi"/>
          <w:lang w:eastAsia="en-GB"/>
        </w:rPr>
        <w:t>(</w:t>
      </w:r>
      <w:proofErr w:type="spellStart"/>
      <w:r>
        <w:rPr>
          <w:rFonts w:eastAsia="Times New Roman" w:cstheme="minorHAnsi"/>
          <w:lang w:eastAsia="en-GB"/>
        </w:rPr>
        <w:t>MenB</w:t>
      </w:r>
      <w:proofErr w:type="spellEnd"/>
      <w:r>
        <w:rPr>
          <w:rFonts w:eastAsia="Times New Roman" w:cstheme="minorHAnsi"/>
          <w:lang w:eastAsia="en-GB"/>
        </w:rPr>
        <w:t xml:space="preserve">) </w:t>
      </w:r>
      <w:r w:rsidRPr="00A6140A">
        <w:rPr>
          <w:rFonts w:eastAsia="Times New Roman" w:cstheme="minorHAnsi"/>
          <w:lang w:eastAsia="en-GB"/>
        </w:rPr>
        <w:t>was introduced in the UK in 2015 using a 2+1 schedule at 8 and 16 weeks, followed by a booster at 12 months of age. This schedule has been shown to be immunogenic and effective in term infants, but there is no evidence about the use of this schedule in preterm infants who are known to have reduced responses to some vaccines.</w:t>
      </w:r>
    </w:p>
    <w:p w14:paraId="329F0E59" w14:textId="77777777" w:rsidR="00570834" w:rsidRPr="00EC65DA" w:rsidRDefault="00570834" w:rsidP="003F1F46">
      <w:pPr>
        <w:pBdr>
          <w:top w:val="single" w:sz="4" w:space="1" w:color="auto"/>
          <w:left w:val="single" w:sz="4" w:space="4" w:color="auto"/>
          <w:bottom w:val="single" w:sz="4" w:space="1" w:color="auto"/>
          <w:right w:val="single" w:sz="4" w:space="4" w:color="auto"/>
        </w:pBdr>
        <w:spacing w:before="100" w:beforeAutospacing="1" w:after="100" w:afterAutospacing="1" w:line="480" w:lineRule="auto"/>
        <w:contextualSpacing/>
        <w:textAlignment w:val="baseline"/>
        <w:outlineLvl w:val="2"/>
        <w:rPr>
          <w:rFonts w:eastAsia="Times New Roman" w:cstheme="minorHAnsi"/>
          <w:b/>
          <w:bCs/>
          <w:lang w:eastAsia="en-GB"/>
        </w:rPr>
      </w:pPr>
      <w:r w:rsidRPr="00A57170">
        <w:rPr>
          <w:rFonts w:eastAsia="Times New Roman" w:cstheme="minorHAnsi"/>
          <w:lang w:eastAsia="en-GB"/>
        </w:rPr>
        <w:lastRenderedPageBreak/>
        <w:t xml:space="preserve"> </w:t>
      </w:r>
    </w:p>
    <w:p w14:paraId="1AF62C06" w14:textId="77777777" w:rsidR="00570834" w:rsidRPr="00EE4146" w:rsidRDefault="00570834" w:rsidP="003F1F46">
      <w:pPr>
        <w:pBdr>
          <w:top w:val="single" w:sz="4" w:space="1" w:color="auto"/>
          <w:left w:val="single" w:sz="4" w:space="4" w:color="auto"/>
          <w:bottom w:val="single" w:sz="4" w:space="1" w:color="auto"/>
          <w:right w:val="single" w:sz="4" w:space="4" w:color="auto"/>
        </w:pBdr>
        <w:spacing w:before="100" w:beforeAutospacing="1" w:after="100" w:afterAutospacing="1" w:line="480" w:lineRule="auto"/>
        <w:contextualSpacing/>
        <w:textAlignment w:val="baseline"/>
        <w:outlineLvl w:val="2"/>
        <w:rPr>
          <w:rFonts w:ascii="inherit" w:eastAsia="Times New Roman" w:hAnsi="inherit" w:cs="Times New Roman"/>
          <w:i/>
          <w:iCs/>
          <w:bdr w:val="none" w:sz="0" w:space="0" w:color="auto" w:frame="1"/>
          <w:lang w:eastAsia="en-GB"/>
        </w:rPr>
      </w:pPr>
      <w:r w:rsidRPr="00EE4146">
        <w:rPr>
          <w:rFonts w:eastAsia="Times New Roman" w:cstheme="minorHAnsi"/>
          <w:b/>
          <w:bCs/>
          <w:lang w:eastAsia="en-GB"/>
        </w:rPr>
        <w:t xml:space="preserve">What this study adds </w:t>
      </w:r>
    </w:p>
    <w:p w14:paraId="7103A4CA" w14:textId="4FC834E0" w:rsidR="00570834" w:rsidRPr="00A57170" w:rsidRDefault="00570834" w:rsidP="003F1F46">
      <w:pPr>
        <w:pBdr>
          <w:top w:val="single" w:sz="4" w:space="1" w:color="auto"/>
          <w:left w:val="single" w:sz="4" w:space="4" w:color="auto"/>
          <w:bottom w:val="single" w:sz="4" w:space="1" w:color="auto"/>
          <w:right w:val="single" w:sz="4" w:space="4" w:color="auto"/>
        </w:pBdr>
        <w:spacing w:before="100" w:beforeAutospacing="1" w:after="100" w:afterAutospacing="1" w:line="480" w:lineRule="auto"/>
        <w:contextualSpacing/>
        <w:rPr>
          <w:rFonts w:cstheme="minorHAnsi"/>
        </w:rPr>
      </w:pPr>
      <w:r w:rsidRPr="00EE4146">
        <w:rPr>
          <w:rFonts w:cstheme="minorHAnsi"/>
        </w:rPr>
        <w:t>This study is the first to investigate the immunogenicity of</w:t>
      </w:r>
      <w:r w:rsidR="003C6FCC">
        <w:rPr>
          <w:rFonts w:cstheme="minorHAnsi"/>
        </w:rPr>
        <w:t xml:space="preserve"> a</w:t>
      </w:r>
      <w:r w:rsidR="00E01D34">
        <w:rPr>
          <w:rFonts w:cstheme="minorHAnsi"/>
        </w:rPr>
        <w:t xml:space="preserve"> recombinant protein based,</w:t>
      </w:r>
      <w:r w:rsidRPr="00EE4146">
        <w:rPr>
          <w:rFonts w:cstheme="minorHAnsi"/>
        </w:rPr>
        <w:t xml:space="preserve"> four component</w:t>
      </w:r>
      <w:r w:rsidR="00E01D34">
        <w:rPr>
          <w:rFonts w:cstheme="minorHAnsi"/>
        </w:rPr>
        <w:t xml:space="preserve"> outer membrane protein</w:t>
      </w:r>
      <w:r w:rsidRPr="00EE4146">
        <w:rPr>
          <w:rFonts w:cstheme="minorHAnsi"/>
        </w:rPr>
        <w:t xml:space="preserve"> meningococcal B (</w:t>
      </w:r>
      <w:r w:rsidRPr="00EE4146">
        <w:rPr>
          <w:rFonts w:eastAsia="Times New Roman" w:cstheme="minorHAnsi"/>
          <w:lang w:eastAsia="en-GB"/>
        </w:rPr>
        <w:t>4CMenB</w:t>
      </w:r>
      <w:r w:rsidRPr="00EE4146">
        <w:rPr>
          <w:rFonts w:cstheme="minorHAnsi"/>
        </w:rPr>
        <w:t>; Bexsero) vaccination in preterm infants, comparing two schedules: 8 and 16 weeks followed by a booster at 12 months of age (2+1 schedule) and 8, 12 and 16 weeks followed by a booster at 12 months of age (3+1 schedule). The 2+1 schedule was immunogenic in preterm infants, although following the primary series</w:t>
      </w:r>
      <w:r w:rsidR="009A1915">
        <w:rPr>
          <w:rFonts w:cstheme="minorHAnsi"/>
        </w:rPr>
        <w:t>,</w:t>
      </w:r>
      <w:r w:rsidRPr="00EE4146">
        <w:rPr>
          <w:rFonts w:cstheme="minorHAnsi"/>
        </w:rPr>
        <w:t xml:space="preserve"> </w:t>
      </w:r>
      <w:r>
        <w:rPr>
          <w:rFonts w:cstheme="minorHAnsi"/>
        </w:rPr>
        <w:t xml:space="preserve">the </w:t>
      </w:r>
      <w:r w:rsidRPr="00EE4146">
        <w:rPr>
          <w:rFonts w:cstheme="minorHAnsi"/>
        </w:rPr>
        <w:t xml:space="preserve">proportion of infants with titres </w:t>
      </w:r>
      <w:r w:rsidRPr="00EE4146">
        <w:rPr>
          <w:rFonts w:cstheme="minorHAnsi"/>
          <w:noProof/>
          <w:color w:val="000000" w:themeColor="text1"/>
        </w:rPr>
        <w:t>≥</w:t>
      </w:r>
      <w:r>
        <w:rPr>
          <w:rFonts w:cstheme="minorHAnsi"/>
        </w:rPr>
        <w:t>4 against strain NZ98/254 (</w:t>
      </w:r>
      <w:proofErr w:type="spellStart"/>
      <w:r w:rsidRPr="00EE4146">
        <w:rPr>
          <w:rFonts w:cstheme="minorHAnsi"/>
        </w:rPr>
        <w:t>PorA</w:t>
      </w:r>
      <w:proofErr w:type="spellEnd"/>
      <w:r>
        <w:rPr>
          <w:rFonts w:cstheme="minorHAnsi"/>
        </w:rPr>
        <w:t>)</w:t>
      </w:r>
      <w:r w:rsidRPr="00EE4146">
        <w:rPr>
          <w:rFonts w:cstheme="minorHAnsi"/>
        </w:rPr>
        <w:t xml:space="preserve"> w</w:t>
      </w:r>
      <w:r>
        <w:rPr>
          <w:rFonts w:cstheme="minorHAnsi"/>
        </w:rPr>
        <w:t>as</w:t>
      </w:r>
      <w:r w:rsidRPr="00EE4146">
        <w:rPr>
          <w:rFonts w:cstheme="minorHAnsi"/>
        </w:rPr>
        <w:t xml:space="preserve"> lower compared to th</w:t>
      </w:r>
      <w:r>
        <w:rPr>
          <w:rFonts w:cstheme="minorHAnsi"/>
        </w:rPr>
        <w:t>ose receiving the</w:t>
      </w:r>
      <w:r w:rsidRPr="00EE4146">
        <w:rPr>
          <w:rFonts w:cstheme="minorHAnsi"/>
        </w:rPr>
        <w:t xml:space="preserve"> 3+1 schedule.</w:t>
      </w:r>
      <w:r>
        <w:rPr>
          <w:rFonts w:cstheme="minorHAnsi"/>
        </w:rPr>
        <w:t xml:space="preserve"> </w:t>
      </w:r>
    </w:p>
    <w:p w14:paraId="33D5C595" w14:textId="77777777" w:rsidR="00570834" w:rsidRPr="00EE4146" w:rsidRDefault="00570834" w:rsidP="003F1F46">
      <w:pPr>
        <w:pBdr>
          <w:top w:val="single" w:sz="4" w:space="1" w:color="auto"/>
          <w:left w:val="single" w:sz="4" w:space="4" w:color="auto"/>
          <w:bottom w:val="single" w:sz="4" w:space="1" w:color="auto"/>
          <w:right w:val="single" w:sz="4" w:space="4" w:color="auto"/>
        </w:pBdr>
        <w:spacing w:before="100" w:beforeAutospacing="1" w:after="100" w:afterAutospacing="1" w:line="480" w:lineRule="auto"/>
        <w:contextualSpacing/>
        <w:textAlignment w:val="baseline"/>
        <w:outlineLvl w:val="2"/>
        <w:rPr>
          <w:rFonts w:ascii="inherit" w:eastAsia="Times New Roman" w:hAnsi="inherit" w:cs="Times New Roman"/>
          <w:i/>
          <w:iCs/>
          <w:bdr w:val="none" w:sz="0" w:space="0" w:color="auto" w:frame="1"/>
          <w:lang w:eastAsia="en-GB"/>
        </w:rPr>
      </w:pPr>
      <w:r w:rsidRPr="00EE4146">
        <w:rPr>
          <w:rFonts w:eastAsia="Times New Roman" w:cstheme="minorHAnsi"/>
          <w:b/>
          <w:bCs/>
          <w:lang w:eastAsia="en-GB"/>
        </w:rPr>
        <w:t xml:space="preserve">How this study might affect research, practice or policy </w:t>
      </w:r>
    </w:p>
    <w:p w14:paraId="2B09A3B2" w14:textId="77777777" w:rsidR="00570834" w:rsidRPr="00A57170" w:rsidRDefault="00570834" w:rsidP="003F1F46">
      <w:pPr>
        <w:pBdr>
          <w:top w:val="single" w:sz="4" w:space="1" w:color="auto"/>
          <w:left w:val="single" w:sz="4" w:space="4" w:color="auto"/>
          <w:bottom w:val="single" w:sz="4" w:space="1" w:color="auto"/>
          <w:right w:val="single" w:sz="4" w:space="4" w:color="auto"/>
        </w:pBdr>
        <w:spacing w:before="100" w:beforeAutospacing="1" w:after="100" w:afterAutospacing="1" w:line="480" w:lineRule="auto"/>
        <w:contextualSpacing/>
        <w:textAlignment w:val="baseline"/>
        <w:outlineLvl w:val="2"/>
        <w:rPr>
          <w:rFonts w:eastAsia="Times New Roman" w:cstheme="minorHAnsi"/>
          <w:b/>
          <w:bCs/>
          <w:lang w:eastAsia="en-GB"/>
        </w:rPr>
      </w:pPr>
      <w:r w:rsidRPr="00EE4146">
        <w:rPr>
          <w:rFonts w:eastAsia="Times New Roman" w:cstheme="minorHAnsi"/>
          <w:bdr w:val="none" w:sz="0" w:space="0" w:color="auto" w:frame="1"/>
          <w:lang w:eastAsia="en-GB"/>
        </w:rPr>
        <w:t xml:space="preserve">It is important that surveillance continues to monitor cases of invasive meningococcal disease so that any increase in cases caused by </w:t>
      </w:r>
      <w:proofErr w:type="spellStart"/>
      <w:r w:rsidRPr="00EE4146">
        <w:rPr>
          <w:rFonts w:eastAsia="Times New Roman" w:cstheme="minorHAnsi"/>
          <w:bdr w:val="none" w:sz="0" w:space="0" w:color="auto" w:frame="1"/>
          <w:lang w:eastAsia="en-GB"/>
        </w:rPr>
        <w:t>PorA</w:t>
      </w:r>
      <w:proofErr w:type="spellEnd"/>
      <w:r w:rsidRPr="00EE4146">
        <w:rPr>
          <w:rFonts w:eastAsia="Times New Roman" w:cstheme="minorHAnsi"/>
          <w:bdr w:val="none" w:sz="0" w:space="0" w:color="auto" w:frame="1"/>
          <w:lang w:eastAsia="en-GB"/>
        </w:rPr>
        <w:t xml:space="preserve"> expressing strains</w:t>
      </w:r>
      <w:r>
        <w:rPr>
          <w:rFonts w:eastAsia="Times New Roman" w:cstheme="minorHAnsi"/>
          <w:bdr w:val="none" w:sz="0" w:space="0" w:color="auto" w:frame="1"/>
          <w:lang w:eastAsia="en-GB"/>
        </w:rPr>
        <w:t>, particularly in preterm infants,</w:t>
      </w:r>
      <w:r w:rsidRPr="00EE4146">
        <w:rPr>
          <w:rFonts w:eastAsia="Times New Roman" w:cstheme="minorHAnsi"/>
          <w:bdr w:val="none" w:sz="0" w:space="0" w:color="auto" w:frame="1"/>
          <w:lang w:eastAsia="en-GB"/>
        </w:rPr>
        <w:t xml:space="preserve"> can be identified</w:t>
      </w:r>
      <w:r>
        <w:rPr>
          <w:rFonts w:eastAsia="Times New Roman" w:cstheme="minorHAnsi"/>
          <w:bdr w:val="none" w:sz="0" w:space="0" w:color="auto" w:frame="1"/>
          <w:lang w:eastAsia="en-GB"/>
        </w:rPr>
        <w:t>.</w:t>
      </w:r>
    </w:p>
    <w:p w14:paraId="2BD9B0D7" w14:textId="77777777" w:rsidR="00570834" w:rsidRDefault="00570834" w:rsidP="003F1F46">
      <w:pPr>
        <w:spacing w:before="100" w:beforeAutospacing="1" w:line="480" w:lineRule="auto"/>
        <w:textAlignment w:val="baseline"/>
        <w:outlineLvl w:val="2"/>
        <w:rPr>
          <w:rFonts w:eastAsia="Times New Roman" w:cstheme="minorHAnsi"/>
          <w:b/>
          <w:bCs/>
          <w:lang w:eastAsia="en-GB"/>
        </w:rPr>
      </w:pPr>
    </w:p>
    <w:p w14:paraId="59620564" w14:textId="77777777" w:rsidR="00570834" w:rsidRDefault="00570834">
      <w:pPr>
        <w:rPr>
          <w:rFonts w:eastAsia="Times New Roman" w:cstheme="minorHAnsi"/>
          <w:b/>
          <w:bCs/>
          <w:lang w:eastAsia="en-GB"/>
        </w:rPr>
      </w:pPr>
      <w:r>
        <w:rPr>
          <w:rFonts w:eastAsia="Times New Roman" w:cstheme="minorHAnsi"/>
          <w:b/>
          <w:bCs/>
          <w:lang w:eastAsia="en-GB"/>
        </w:rPr>
        <w:br w:type="page"/>
      </w:r>
    </w:p>
    <w:p w14:paraId="2075ACA4" w14:textId="77777777" w:rsidR="00570834" w:rsidRPr="00980FC8" w:rsidRDefault="00570834" w:rsidP="003F1F46">
      <w:pPr>
        <w:spacing w:before="100" w:beforeAutospacing="1" w:line="480" w:lineRule="auto"/>
        <w:textAlignment w:val="baseline"/>
        <w:outlineLvl w:val="2"/>
        <w:rPr>
          <w:rFonts w:eastAsia="Times New Roman" w:cstheme="minorHAnsi"/>
          <w:b/>
          <w:bCs/>
          <w:lang w:eastAsia="en-GB"/>
        </w:rPr>
      </w:pPr>
      <w:r w:rsidRPr="00980FC8">
        <w:rPr>
          <w:rFonts w:eastAsia="Times New Roman" w:cstheme="minorHAnsi"/>
          <w:b/>
          <w:bCs/>
          <w:lang w:eastAsia="en-GB"/>
        </w:rPr>
        <w:lastRenderedPageBreak/>
        <w:t xml:space="preserve">Introduction </w:t>
      </w:r>
    </w:p>
    <w:p w14:paraId="5D6CC4DA" w14:textId="7639CD5A" w:rsidR="00570834" w:rsidRPr="00380447" w:rsidRDefault="00570834" w:rsidP="003F1F46">
      <w:pPr>
        <w:spacing w:before="100" w:beforeAutospacing="1" w:line="480" w:lineRule="auto"/>
        <w:textAlignment w:val="baseline"/>
        <w:outlineLvl w:val="2"/>
        <w:rPr>
          <w:rFonts w:cstheme="minorHAnsi"/>
        </w:rPr>
      </w:pPr>
      <w:r w:rsidRPr="00980FC8">
        <w:rPr>
          <w:rFonts w:eastAsia="Times New Roman" w:cstheme="minorHAnsi"/>
          <w:lang w:eastAsia="en-GB"/>
        </w:rPr>
        <w:t xml:space="preserve">Invasive meningococcal disease (IMD) is most  common in infants &lt;1 year, with </w:t>
      </w:r>
      <w:r w:rsidRPr="00980FC8">
        <w:rPr>
          <w:rFonts w:eastAsia="Times New Roman" w:cstheme="minorHAnsi"/>
          <w:i/>
          <w:iCs/>
          <w:lang w:eastAsia="en-GB"/>
        </w:rPr>
        <w:t xml:space="preserve">Neisseria meningitidis </w:t>
      </w:r>
      <w:r w:rsidRPr="00980FC8">
        <w:rPr>
          <w:rFonts w:eastAsia="Times New Roman" w:cstheme="minorHAnsi"/>
          <w:lang w:eastAsia="en-GB"/>
        </w:rPr>
        <w:t>serogroup B</w:t>
      </w:r>
      <w:r w:rsidRPr="00980FC8">
        <w:rPr>
          <w:rFonts w:eastAsia="Times New Roman" w:cstheme="minorHAnsi"/>
          <w:i/>
          <w:iCs/>
          <w:lang w:eastAsia="en-GB"/>
        </w:rPr>
        <w:t xml:space="preserve"> </w:t>
      </w:r>
      <w:r w:rsidRPr="00980FC8">
        <w:rPr>
          <w:rFonts w:eastAsia="Times New Roman" w:cstheme="minorHAnsi"/>
          <w:lang w:eastAsia="en-GB"/>
        </w:rPr>
        <w:t>(</w:t>
      </w:r>
      <w:proofErr w:type="spellStart"/>
      <w:r w:rsidRPr="00980FC8">
        <w:rPr>
          <w:rFonts w:eastAsia="Times New Roman" w:cstheme="minorHAnsi"/>
          <w:lang w:eastAsia="en-GB"/>
        </w:rPr>
        <w:t>MenB</w:t>
      </w:r>
      <w:proofErr w:type="spellEnd"/>
      <w:r w:rsidRPr="00980FC8">
        <w:rPr>
          <w:rFonts w:eastAsia="Times New Roman" w:cstheme="minorHAnsi"/>
          <w:lang w:eastAsia="en-GB"/>
        </w:rPr>
        <w:t>) predominating.</w:t>
      </w:r>
      <w:r w:rsidRPr="00980FC8">
        <w:rPr>
          <w:rFonts w:eastAsia="Times New Roman" w:cstheme="minorHAnsi"/>
          <w:noProof/>
          <w:lang w:eastAsia="en-GB"/>
        </w:rPr>
        <w:t>(1)</w:t>
      </w:r>
      <w:r w:rsidRPr="00980FC8">
        <w:rPr>
          <w:rFonts w:eastAsia="Times New Roman" w:cstheme="minorHAnsi"/>
          <w:lang w:eastAsia="en-GB"/>
        </w:rPr>
        <w:t xml:space="preserve"> A </w:t>
      </w:r>
      <w:r w:rsidRPr="00980FC8">
        <w:rPr>
          <w:rFonts w:cstheme="minorHAnsi"/>
        </w:rPr>
        <w:t xml:space="preserve">four component </w:t>
      </w:r>
      <w:proofErr w:type="spellStart"/>
      <w:r w:rsidRPr="00980FC8">
        <w:rPr>
          <w:rFonts w:cstheme="minorHAnsi"/>
        </w:rPr>
        <w:t>MenB</w:t>
      </w:r>
      <w:proofErr w:type="spellEnd"/>
      <w:r w:rsidRPr="00980FC8">
        <w:rPr>
          <w:rFonts w:cstheme="minorHAnsi"/>
        </w:rPr>
        <w:t xml:space="preserve"> vaccine </w:t>
      </w:r>
      <w:r w:rsidRPr="00980FC8">
        <w:rPr>
          <w:rFonts w:eastAsia="Times New Roman" w:cstheme="minorHAnsi"/>
          <w:lang w:eastAsia="en-GB"/>
        </w:rPr>
        <w:t>(4CMenB; Bexsero,</w:t>
      </w:r>
      <w:r w:rsidRPr="00980FC8">
        <w:rPr>
          <w:rFonts w:cstheme="minorHAnsi"/>
        </w:rPr>
        <w:t xml:space="preserve"> GlaxoSmithKline, Belgium), was licensed </w:t>
      </w:r>
      <w:r w:rsidR="00885D52">
        <w:rPr>
          <w:rFonts w:cstheme="minorHAnsi"/>
        </w:rPr>
        <w:t xml:space="preserve">for protection against Men B </w:t>
      </w:r>
      <w:r w:rsidRPr="00980FC8">
        <w:rPr>
          <w:rFonts w:cstheme="minorHAnsi"/>
        </w:rPr>
        <w:t>by the European Medicines Agency in 2013 to be given according to a three dose priming schedule in infants followed by a booster in the second year of life.</w:t>
      </w:r>
      <w:r w:rsidRPr="00980FC8">
        <w:rPr>
          <w:rFonts w:cstheme="minorHAnsi"/>
          <w:noProof/>
        </w:rPr>
        <w:t>(2)</w:t>
      </w:r>
      <w:r w:rsidRPr="00980FC8">
        <w:rPr>
          <w:rFonts w:cstheme="minorHAnsi"/>
        </w:rPr>
        <w:t xml:space="preserve">  Routine </w:t>
      </w:r>
      <w:proofErr w:type="spellStart"/>
      <w:r w:rsidRPr="00980FC8">
        <w:rPr>
          <w:rFonts w:cstheme="minorHAnsi"/>
        </w:rPr>
        <w:t>MenB</w:t>
      </w:r>
      <w:proofErr w:type="spellEnd"/>
      <w:r w:rsidRPr="00980FC8">
        <w:rPr>
          <w:rFonts w:cstheme="minorHAnsi"/>
        </w:rPr>
        <w:t xml:space="preserve"> vaccination was introduced in the UK in 2015, using a two-dose priming schedule at 8 and 1</w:t>
      </w:r>
      <w:r w:rsidR="003C6FCC">
        <w:rPr>
          <w:rFonts w:cstheme="minorHAnsi"/>
        </w:rPr>
        <w:t>6</w:t>
      </w:r>
      <w:r w:rsidRPr="00980FC8">
        <w:rPr>
          <w:rFonts w:cstheme="minorHAnsi"/>
        </w:rPr>
        <w:t xml:space="preserve"> weeks with a booster at 1 year. Two studies have since demonstrated acceptable immunogenicity of this schedule in term infants.</w:t>
      </w:r>
      <w:r w:rsidRPr="00980FC8">
        <w:rPr>
          <w:rFonts w:cstheme="minorHAnsi"/>
          <w:noProof/>
        </w:rPr>
        <w:t>(3, 4)</w:t>
      </w:r>
      <w:r w:rsidRPr="00980FC8">
        <w:rPr>
          <w:rFonts w:cstheme="minorHAnsi"/>
        </w:rPr>
        <w:t xml:space="preserve"> </w:t>
      </w:r>
    </w:p>
    <w:p w14:paraId="30C8BEA8" w14:textId="3E966181" w:rsidR="00570834" w:rsidRPr="00380447" w:rsidRDefault="00570834" w:rsidP="000B0C3F">
      <w:pPr>
        <w:spacing w:before="100" w:beforeAutospacing="1" w:line="480" w:lineRule="auto"/>
        <w:textAlignment w:val="baseline"/>
        <w:outlineLvl w:val="2"/>
        <w:rPr>
          <w:rFonts w:ascii="inherit" w:eastAsia="Times New Roman" w:hAnsi="inherit" w:cs="Times New Roman"/>
          <w:lang w:eastAsia="en-GB"/>
        </w:rPr>
      </w:pPr>
      <w:r w:rsidRPr="00980FC8">
        <w:rPr>
          <w:rFonts w:cstheme="minorHAnsi"/>
        </w:rPr>
        <w:t>Preterm infants may mount suboptimal immune responses to vaccines compared with term infants,</w:t>
      </w:r>
      <w:r w:rsidRPr="00980FC8">
        <w:rPr>
          <w:rFonts w:cstheme="minorHAnsi"/>
          <w:noProof/>
        </w:rPr>
        <w:t>(5)</w:t>
      </w:r>
      <w:r w:rsidRPr="00980FC8">
        <w:rPr>
          <w:rFonts w:cstheme="minorHAnsi"/>
        </w:rPr>
        <w:t xml:space="preserve"> although most infants achieve responses above putative protective thresholds.</w:t>
      </w:r>
      <w:r w:rsidRPr="00980FC8">
        <w:rPr>
          <w:rFonts w:cstheme="minorHAnsi"/>
          <w:noProof/>
        </w:rPr>
        <w:t>(6-11)</w:t>
      </w:r>
      <w:r w:rsidRPr="00980FC8">
        <w:rPr>
          <w:rFonts w:cstheme="minorHAnsi"/>
        </w:rPr>
        <w:t xml:space="preserve"> There are, however, no data on 4CMenB immunogenicity in preterm infants when used at the reduced 2+1 schedule. </w:t>
      </w:r>
      <w:r w:rsidRPr="00980FC8">
        <w:rPr>
          <w:rFonts w:eastAsia="Times New Roman" w:cstheme="minorHAnsi"/>
          <w:color w:val="000000" w:themeColor="text1"/>
          <w:lang w:eastAsia="en-GB"/>
        </w:rPr>
        <w:t xml:space="preserve">We conducted a randomised controlled trial to assess the immunogenicity of 4CMenB </w:t>
      </w:r>
      <w:r>
        <w:rPr>
          <w:rFonts w:eastAsia="Times New Roman" w:cstheme="minorHAnsi"/>
          <w:color w:val="000000" w:themeColor="text1"/>
          <w:lang w:eastAsia="en-GB"/>
        </w:rPr>
        <w:t>one</w:t>
      </w:r>
      <w:r w:rsidRPr="00980FC8">
        <w:rPr>
          <w:rFonts w:eastAsia="Times New Roman" w:cstheme="minorHAnsi"/>
          <w:color w:val="000000" w:themeColor="text1"/>
          <w:lang w:eastAsia="en-GB"/>
        </w:rPr>
        <w:t xml:space="preserve"> month after a two-dose or three-dose priming schedule in preterm infants followed by a booster at </w:t>
      </w:r>
      <w:r>
        <w:rPr>
          <w:rFonts w:eastAsia="Times New Roman" w:cstheme="minorHAnsi"/>
          <w:color w:val="000000" w:themeColor="text1"/>
          <w:lang w:eastAsia="en-GB"/>
        </w:rPr>
        <w:t>one</w:t>
      </w:r>
      <w:r w:rsidRPr="00980FC8">
        <w:rPr>
          <w:rFonts w:eastAsia="Times New Roman" w:cstheme="minorHAnsi"/>
          <w:color w:val="000000" w:themeColor="text1"/>
          <w:lang w:eastAsia="en-GB"/>
        </w:rPr>
        <w:t xml:space="preserve"> year, and compared 4CMenB antigen-specific antibody responses at 5, 12 and 13 months. We also assessed </w:t>
      </w:r>
      <w:r w:rsidRPr="00980FC8">
        <w:rPr>
          <w:color w:val="000000" w:themeColor="text1"/>
          <w:lang w:eastAsia="en-GB"/>
        </w:rPr>
        <w:t>the reactogenicity of routine immunisation schedules including 4CMenB in preterm infants.</w:t>
      </w:r>
    </w:p>
    <w:p w14:paraId="2046F63F" w14:textId="77777777" w:rsidR="00570834" w:rsidRPr="00980FC8" w:rsidRDefault="00570834" w:rsidP="003F1F46">
      <w:pPr>
        <w:spacing w:line="480" w:lineRule="auto"/>
        <w:textAlignment w:val="baseline"/>
        <w:rPr>
          <w:rFonts w:eastAsia="Times New Roman" w:cstheme="minorHAnsi"/>
          <w:b/>
          <w:bCs/>
          <w:lang w:eastAsia="en-GB"/>
        </w:rPr>
      </w:pPr>
      <w:r w:rsidRPr="00980FC8">
        <w:rPr>
          <w:rFonts w:eastAsia="Times New Roman" w:cstheme="minorHAnsi"/>
          <w:b/>
          <w:bCs/>
          <w:lang w:eastAsia="en-GB"/>
        </w:rPr>
        <w:t>Methods</w:t>
      </w:r>
    </w:p>
    <w:p w14:paraId="5D617FBD" w14:textId="77777777" w:rsidR="00570834" w:rsidRPr="00980FC8" w:rsidRDefault="00570834" w:rsidP="003F1F46">
      <w:pPr>
        <w:spacing w:line="480" w:lineRule="auto"/>
        <w:textAlignment w:val="baseline"/>
        <w:rPr>
          <w:rFonts w:eastAsia="Times New Roman" w:cstheme="minorHAnsi"/>
          <w:b/>
          <w:bCs/>
          <w:lang w:eastAsia="en-GB"/>
        </w:rPr>
      </w:pPr>
      <w:r w:rsidRPr="00980FC8">
        <w:rPr>
          <w:rFonts w:eastAsia="Times New Roman" w:cstheme="minorHAnsi"/>
          <w:b/>
          <w:bCs/>
          <w:lang w:eastAsia="en-GB"/>
        </w:rPr>
        <w:t xml:space="preserve">Study design </w:t>
      </w:r>
    </w:p>
    <w:p w14:paraId="006E5FFD" w14:textId="4EAB883F" w:rsidR="00570834" w:rsidRDefault="00570834" w:rsidP="003F1F46">
      <w:pPr>
        <w:spacing w:line="480" w:lineRule="auto"/>
        <w:ind w:right="-619"/>
        <w:rPr>
          <w:rFonts w:ascii="Source Sans Pro" w:hAnsi="Source Sans Pro"/>
          <w:color w:val="000000"/>
          <w:sz w:val="23"/>
          <w:szCs w:val="23"/>
          <w:shd w:val="clear" w:color="auto" w:fill="FFFFFF"/>
        </w:rPr>
      </w:pPr>
      <w:r w:rsidRPr="00980FC8">
        <w:rPr>
          <w:rFonts w:cstheme="minorHAnsi"/>
        </w:rPr>
        <w:t xml:space="preserve">This was an open label, phase IV randomised trial </w:t>
      </w:r>
      <w:r w:rsidRPr="00980FC8">
        <w:rPr>
          <w:rFonts w:eastAsia="Times New Roman" w:cstheme="minorHAnsi"/>
          <w:lang w:eastAsia="en-GB"/>
        </w:rPr>
        <w:t>conducted across six UK sites. The study was prospectively registered on clinicaltrials.gov in April 2017 (</w:t>
      </w:r>
      <w:r w:rsidRPr="00980FC8">
        <w:rPr>
          <w:rFonts w:ascii="Source Sans Pro" w:hAnsi="Source Sans Pro"/>
          <w:color w:val="000000"/>
          <w:sz w:val="23"/>
          <w:szCs w:val="23"/>
          <w:shd w:val="clear" w:color="auto" w:fill="FFFFFF"/>
        </w:rPr>
        <w:t xml:space="preserve">NCT03125616). Recruitment </w:t>
      </w:r>
      <w:r w:rsidR="00A435B0">
        <w:rPr>
          <w:rFonts w:ascii="Source Sans Pro" w:hAnsi="Source Sans Pro"/>
          <w:color w:val="000000"/>
          <w:sz w:val="23"/>
          <w:szCs w:val="23"/>
          <w:shd w:val="clear" w:color="auto" w:fill="FFFFFF"/>
        </w:rPr>
        <w:t>was</w:t>
      </w:r>
      <w:r w:rsidRPr="00980FC8">
        <w:rPr>
          <w:rFonts w:ascii="Source Sans Pro" w:hAnsi="Source Sans Pro"/>
          <w:color w:val="000000"/>
          <w:sz w:val="23"/>
          <w:szCs w:val="23"/>
          <w:shd w:val="clear" w:color="auto" w:fill="FFFFFF"/>
        </w:rPr>
        <w:t xml:space="preserve"> </w:t>
      </w:r>
      <w:r w:rsidR="00CE688C">
        <w:rPr>
          <w:rFonts w:ascii="Source Sans Pro" w:hAnsi="Source Sans Pro"/>
          <w:color w:val="000000"/>
          <w:sz w:val="23"/>
          <w:szCs w:val="23"/>
          <w:shd w:val="clear" w:color="auto" w:fill="FFFFFF"/>
        </w:rPr>
        <w:t xml:space="preserve">between </w:t>
      </w:r>
      <w:r w:rsidRPr="00980FC8">
        <w:rPr>
          <w:rFonts w:ascii="Source Sans Pro" w:hAnsi="Source Sans Pro"/>
          <w:color w:val="000000"/>
          <w:sz w:val="23"/>
          <w:szCs w:val="23"/>
          <w:shd w:val="clear" w:color="auto" w:fill="FFFFFF"/>
        </w:rPr>
        <w:t>September 2017</w:t>
      </w:r>
      <w:r w:rsidR="00CE688C">
        <w:rPr>
          <w:rFonts w:ascii="Source Sans Pro" w:hAnsi="Source Sans Pro"/>
          <w:color w:val="000000"/>
          <w:sz w:val="23"/>
          <w:szCs w:val="23"/>
          <w:shd w:val="clear" w:color="auto" w:fill="FFFFFF"/>
        </w:rPr>
        <w:t xml:space="preserve"> and </w:t>
      </w:r>
      <w:r w:rsidRPr="00980FC8">
        <w:rPr>
          <w:rFonts w:ascii="Source Sans Pro" w:hAnsi="Source Sans Pro"/>
          <w:color w:val="000000"/>
          <w:sz w:val="23"/>
          <w:szCs w:val="23"/>
          <w:shd w:val="clear" w:color="auto" w:fill="FFFFFF"/>
        </w:rPr>
        <w:t xml:space="preserve">September 2018.  </w:t>
      </w:r>
    </w:p>
    <w:p w14:paraId="256516B9" w14:textId="77777777" w:rsidR="00570834" w:rsidRPr="00980FC8" w:rsidRDefault="00570834" w:rsidP="003F1F46">
      <w:pPr>
        <w:spacing w:line="480" w:lineRule="auto"/>
        <w:ind w:right="-619"/>
        <w:rPr>
          <w:rFonts w:cstheme="minorHAnsi"/>
        </w:rPr>
      </w:pPr>
    </w:p>
    <w:p w14:paraId="32257852" w14:textId="77777777" w:rsidR="00570834" w:rsidRPr="00980FC8" w:rsidRDefault="00570834" w:rsidP="003F1F46">
      <w:pPr>
        <w:spacing w:line="480" w:lineRule="auto"/>
        <w:textAlignment w:val="baseline"/>
        <w:rPr>
          <w:rFonts w:eastAsia="Times New Roman" w:cstheme="minorHAnsi"/>
          <w:b/>
          <w:bCs/>
          <w:lang w:eastAsia="en-GB"/>
        </w:rPr>
      </w:pPr>
      <w:r w:rsidRPr="00980FC8">
        <w:rPr>
          <w:rFonts w:eastAsia="Times New Roman" w:cstheme="minorHAnsi"/>
          <w:b/>
          <w:bCs/>
          <w:lang w:eastAsia="en-GB"/>
        </w:rPr>
        <w:lastRenderedPageBreak/>
        <w:t>Participants</w:t>
      </w:r>
    </w:p>
    <w:p w14:paraId="6285C135" w14:textId="62FEA9E8" w:rsidR="00570834" w:rsidRPr="00980FC8" w:rsidRDefault="00570834" w:rsidP="00141ED4">
      <w:pPr>
        <w:spacing w:line="480" w:lineRule="auto"/>
        <w:textAlignment w:val="baseline"/>
        <w:rPr>
          <w:rFonts w:eastAsia="Times New Roman" w:cstheme="minorHAnsi"/>
          <w:lang w:eastAsia="en-GB"/>
        </w:rPr>
      </w:pPr>
      <w:r w:rsidRPr="00980FC8">
        <w:rPr>
          <w:rFonts w:eastAsia="Times New Roman" w:cstheme="minorHAnsi"/>
          <w:lang w:eastAsia="en-GB"/>
        </w:rPr>
        <w:t xml:space="preserve">Preterm infants born at &lt;35 weeks (50% &lt;30 weeks), with no contraindications to vaccination according to the UK </w:t>
      </w:r>
      <w:proofErr w:type="gramStart"/>
      <w:r w:rsidR="00DB488B">
        <w:rPr>
          <w:rFonts w:eastAsia="Times New Roman" w:cstheme="minorHAnsi"/>
          <w:lang w:eastAsia="en-GB"/>
        </w:rPr>
        <w:t>guidance</w:t>
      </w:r>
      <w:r w:rsidR="00F14B6C">
        <w:rPr>
          <w:rFonts w:eastAsia="Times New Roman" w:cstheme="minorHAnsi"/>
          <w:lang w:eastAsia="en-GB"/>
        </w:rPr>
        <w:t>,</w:t>
      </w:r>
      <w:r w:rsidRPr="00980FC8">
        <w:rPr>
          <w:rFonts w:eastAsia="Times New Roman" w:cstheme="minorHAnsi"/>
          <w:noProof/>
          <w:lang w:eastAsia="en-GB"/>
        </w:rPr>
        <w:t>(</w:t>
      </w:r>
      <w:proofErr w:type="gramEnd"/>
      <w:r w:rsidRPr="00980FC8">
        <w:rPr>
          <w:rFonts w:eastAsia="Times New Roman" w:cstheme="minorHAnsi"/>
          <w:noProof/>
          <w:lang w:eastAsia="en-GB"/>
        </w:rPr>
        <w:t>12)</w:t>
      </w:r>
      <w:r w:rsidRPr="00980FC8">
        <w:rPr>
          <w:rFonts w:eastAsia="Times New Roman" w:cstheme="minorHAnsi"/>
          <w:lang w:eastAsia="en-GB"/>
        </w:rPr>
        <w:t xml:space="preserve"> no life-limiting congenital abnormality or prior diagnosis of an immunodeficiency syndrome.</w:t>
      </w:r>
    </w:p>
    <w:p w14:paraId="40520787" w14:textId="77777777" w:rsidR="00570834" w:rsidRPr="00980FC8" w:rsidRDefault="00570834" w:rsidP="003F1F46">
      <w:pPr>
        <w:spacing w:line="480" w:lineRule="auto"/>
        <w:textAlignment w:val="baseline"/>
        <w:rPr>
          <w:rFonts w:eastAsia="Times New Roman" w:cstheme="minorHAnsi"/>
          <w:b/>
          <w:bCs/>
          <w:lang w:eastAsia="en-GB"/>
        </w:rPr>
      </w:pPr>
      <w:r w:rsidRPr="00980FC8">
        <w:rPr>
          <w:rFonts w:eastAsia="Times New Roman" w:cstheme="minorHAnsi"/>
          <w:b/>
          <w:bCs/>
          <w:lang w:eastAsia="en-GB"/>
        </w:rPr>
        <w:t>Interventions</w:t>
      </w:r>
    </w:p>
    <w:p w14:paraId="25F78C2E" w14:textId="42534C90" w:rsidR="00570834" w:rsidRPr="00980FC8" w:rsidRDefault="00570834" w:rsidP="0021243A">
      <w:pPr>
        <w:spacing w:line="480" w:lineRule="auto"/>
        <w:textAlignment w:val="baseline"/>
        <w:rPr>
          <w:rFonts w:eastAsia="Times New Roman" w:cstheme="minorHAnsi"/>
          <w:lang w:eastAsia="en-GB"/>
        </w:rPr>
      </w:pPr>
      <w:r w:rsidRPr="00980FC8">
        <w:rPr>
          <w:rFonts w:eastAsia="Times New Roman" w:cstheme="minorHAnsi"/>
          <w:lang w:eastAsia="en-GB"/>
        </w:rPr>
        <w:t>Infants were randomised to receive 4CMenB using a 2+1 (8 weeks, 16 weeks and 1 year) or 3+1 (8 weeks, 12 weeks, 16 weeks and 1 year) schedule alongside routine vaccinations. (</w:t>
      </w:r>
      <w:r w:rsidRPr="00980FC8">
        <w:rPr>
          <w:rFonts w:eastAsia="Times New Roman" w:cstheme="minorHAnsi"/>
          <w:b/>
          <w:bCs/>
          <w:color w:val="FF0000"/>
          <w:lang w:eastAsia="en-GB"/>
        </w:rPr>
        <w:t>Supplementary material table 1</w:t>
      </w:r>
      <w:r w:rsidRPr="00980FC8">
        <w:rPr>
          <w:rFonts w:eastAsia="Times New Roman" w:cstheme="minorHAnsi"/>
          <w:lang w:eastAsia="en-GB"/>
        </w:rPr>
        <w:t xml:space="preserve">). </w:t>
      </w:r>
      <w:r w:rsidRPr="00980FC8">
        <w:rPr>
          <w:rFonts w:cstheme="minorHAnsi"/>
        </w:rPr>
        <w:t xml:space="preserve">Randomisation </w:t>
      </w:r>
      <w:r w:rsidR="0030565F">
        <w:rPr>
          <w:rFonts w:cstheme="minorHAnsi"/>
        </w:rPr>
        <w:t xml:space="preserve">was performed by the study statistician and </w:t>
      </w:r>
      <w:r w:rsidRPr="00980FC8">
        <w:rPr>
          <w:rFonts w:cstheme="minorHAnsi"/>
        </w:rPr>
        <w:t xml:space="preserve">used two computerised block randomisation lists, one for participants </w:t>
      </w:r>
      <w:r w:rsidR="00BF220F">
        <w:rPr>
          <w:rFonts w:cstheme="minorHAnsi"/>
        </w:rPr>
        <w:t xml:space="preserve">born at </w:t>
      </w:r>
      <w:r w:rsidRPr="00980FC8">
        <w:rPr>
          <w:rFonts w:cstheme="minorHAnsi"/>
        </w:rPr>
        <w:t xml:space="preserve">&lt;30 </w:t>
      </w:r>
      <w:r w:rsidR="00BF220F">
        <w:rPr>
          <w:rFonts w:cstheme="minorHAnsi"/>
        </w:rPr>
        <w:t xml:space="preserve">and </w:t>
      </w:r>
      <w:r w:rsidRPr="00980FC8">
        <w:rPr>
          <w:rFonts w:cstheme="minorHAnsi"/>
        </w:rPr>
        <w:t>one for those born at 30-34+6 weeks of gestation.</w:t>
      </w:r>
      <w:r w:rsidR="00114B75">
        <w:rPr>
          <w:rFonts w:cstheme="minorHAnsi"/>
        </w:rPr>
        <w:t xml:space="preserve"> Participants were enrolled by a member of the research team.</w:t>
      </w:r>
      <w:r w:rsidRPr="00980FC8">
        <w:rPr>
          <w:rFonts w:cstheme="minorHAnsi"/>
        </w:rPr>
        <w:t xml:space="preserve"> </w:t>
      </w:r>
      <w:r w:rsidRPr="00980FC8">
        <w:rPr>
          <w:rFonts w:eastAsia="Times New Roman" w:cstheme="minorHAnsi"/>
          <w:lang w:eastAsia="en-GB"/>
        </w:rPr>
        <w:t>Allocation was</w:t>
      </w:r>
      <w:r w:rsidR="005F6A4A">
        <w:rPr>
          <w:rFonts w:eastAsia="Times New Roman" w:cstheme="minorHAnsi"/>
          <w:lang w:eastAsia="en-GB"/>
        </w:rPr>
        <w:t xml:space="preserve"> </w:t>
      </w:r>
      <w:r w:rsidR="00256CC5">
        <w:rPr>
          <w:rFonts w:eastAsia="Times New Roman" w:cstheme="minorHAnsi"/>
          <w:lang w:eastAsia="en-GB"/>
        </w:rPr>
        <w:t>according to</w:t>
      </w:r>
      <w:r w:rsidR="005F6A4A">
        <w:rPr>
          <w:rFonts w:eastAsia="Times New Roman" w:cstheme="minorHAnsi"/>
          <w:lang w:eastAsia="en-GB"/>
        </w:rPr>
        <w:t xml:space="preserve"> </w:t>
      </w:r>
      <w:r w:rsidR="00256CC5">
        <w:rPr>
          <w:rFonts w:eastAsia="Times New Roman" w:cstheme="minorHAnsi"/>
          <w:lang w:eastAsia="en-GB"/>
        </w:rPr>
        <w:t xml:space="preserve">a </w:t>
      </w:r>
      <w:r w:rsidR="005F6A4A">
        <w:rPr>
          <w:rFonts w:eastAsia="Times New Roman" w:cstheme="minorHAnsi"/>
          <w:lang w:eastAsia="en-GB"/>
        </w:rPr>
        <w:t>1:1 ratio, was</w:t>
      </w:r>
      <w:r w:rsidRPr="00980FC8">
        <w:rPr>
          <w:rFonts w:eastAsia="Times New Roman" w:cstheme="minorHAnsi"/>
          <w:lang w:eastAsia="en-GB"/>
        </w:rPr>
        <w:t xml:space="preserve"> not blinded, and vaccines were given by a member of the research team. As per national guidelines,</w:t>
      </w:r>
      <w:r w:rsidRPr="00980FC8">
        <w:rPr>
          <w:rFonts w:eastAsia="Times New Roman" w:cstheme="minorHAnsi"/>
          <w:noProof/>
          <w:lang w:eastAsia="en-GB"/>
        </w:rPr>
        <w:t>(12)</w:t>
      </w:r>
      <w:r w:rsidRPr="00980FC8">
        <w:rPr>
          <w:rFonts w:eastAsia="Times New Roman" w:cstheme="minorHAnsi"/>
          <w:lang w:eastAsia="en-GB"/>
        </w:rPr>
        <w:t xml:space="preserve"> prophylactic paracetamol was recommended following 4CMenB vaccination at 8, 12 and 16 weeks of age. Blood sampling was performed at 5, 12 and 13 months of age. </w:t>
      </w:r>
    </w:p>
    <w:p w14:paraId="24C974CA" w14:textId="77777777" w:rsidR="00570834" w:rsidRPr="00980FC8" w:rsidRDefault="00570834" w:rsidP="003F1F46">
      <w:pPr>
        <w:spacing w:line="480" w:lineRule="auto"/>
        <w:textAlignment w:val="baseline"/>
        <w:rPr>
          <w:rFonts w:eastAsia="Times New Roman" w:cstheme="minorHAnsi"/>
          <w:b/>
          <w:bCs/>
          <w:lang w:eastAsia="en-GB"/>
        </w:rPr>
      </w:pPr>
      <w:r w:rsidRPr="00980FC8">
        <w:rPr>
          <w:rFonts w:eastAsia="Times New Roman" w:cstheme="minorHAnsi"/>
          <w:b/>
          <w:bCs/>
          <w:lang w:eastAsia="en-GB"/>
        </w:rPr>
        <w:t>Main outcome measures</w:t>
      </w:r>
    </w:p>
    <w:p w14:paraId="35123FDF" w14:textId="11357F7C" w:rsidR="00AC7041" w:rsidRPr="00980FC8" w:rsidRDefault="00570834" w:rsidP="00141ED4">
      <w:pPr>
        <w:spacing w:line="480" w:lineRule="auto"/>
        <w:textAlignment w:val="baseline"/>
        <w:rPr>
          <w:rFonts w:eastAsia="Times New Roman" w:cstheme="minorHAnsi"/>
          <w:lang w:eastAsia="en-GB"/>
        </w:rPr>
      </w:pPr>
      <w:r w:rsidRPr="00980FC8">
        <w:rPr>
          <w:rFonts w:eastAsia="Times New Roman" w:cstheme="minorHAnsi"/>
          <w:lang w:eastAsia="en-GB"/>
        </w:rPr>
        <w:t>Immunogenicity was assessed using serum bactericidal antibody (SBA) assays. These were performed at UK Health Security Agency (UKHSA) Vaccine Evaluation Unit Manchester.</w:t>
      </w:r>
      <w:r w:rsidRPr="00980FC8">
        <w:rPr>
          <w:rFonts w:eastAsia="Times New Roman" w:cstheme="minorHAnsi"/>
          <w:noProof/>
          <w:lang w:eastAsia="en-GB"/>
        </w:rPr>
        <w:t>(13)</w:t>
      </w:r>
      <w:r w:rsidRPr="00980FC8">
        <w:rPr>
          <w:rFonts w:eastAsia="Times New Roman" w:cstheme="minorHAnsi"/>
          <w:lang w:eastAsia="en-GB"/>
        </w:rPr>
        <w:t xml:space="preserve"> Both </w:t>
      </w:r>
      <w:r>
        <w:rPr>
          <w:rFonts w:eastAsia="Times New Roman" w:cstheme="minorHAnsi"/>
          <w:lang w:eastAsia="en-GB"/>
        </w:rPr>
        <w:t>g</w:t>
      </w:r>
      <w:r w:rsidRPr="00980FC8">
        <w:rPr>
          <w:rFonts w:eastAsia="Times New Roman" w:cstheme="minorHAnsi"/>
          <w:lang w:eastAsia="en-GB"/>
        </w:rPr>
        <w:t xml:space="preserve">eometric </w:t>
      </w:r>
      <w:r>
        <w:rPr>
          <w:rFonts w:eastAsia="Times New Roman" w:cstheme="minorHAnsi"/>
          <w:lang w:eastAsia="en-GB"/>
        </w:rPr>
        <w:t>m</w:t>
      </w:r>
      <w:r w:rsidRPr="00980FC8">
        <w:rPr>
          <w:rFonts w:eastAsia="Times New Roman" w:cstheme="minorHAnsi"/>
          <w:lang w:eastAsia="en-GB"/>
        </w:rPr>
        <w:t xml:space="preserve">ean </w:t>
      </w:r>
      <w:r>
        <w:rPr>
          <w:rFonts w:eastAsia="Times New Roman" w:cstheme="minorHAnsi"/>
          <w:lang w:eastAsia="en-GB"/>
        </w:rPr>
        <w:t>t</w:t>
      </w:r>
      <w:r w:rsidRPr="00980FC8">
        <w:rPr>
          <w:rFonts w:eastAsia="Times New Roman" w:cstheme="minorHAnsi"/>
          <w:lang w:eastAsia="en-GB"/>
        </w:rPr>
        <w:t xml:space="preserve">itre (GMT) and proportions achieving a titre </w:t>
      </w:r>
      <w:r w:rsidRPr="00980FC8">
        <w:rPr>
          <w:rFonts w:cstheme="minorHAnsi"/>
        </w:rPr>
        <w:t>≥4 against the tested strains (44/76</w:t>
      </w:r>
      <w:r w:rsidR="002C1D7E">
        <w:rPr>
          <w:rFonts w:cstheme="minorHAnsi"/>
        </w:rPr>
        <w:t>-SL</w:t>
      </w:r>
      <w:r w:rsidRPr="00980FC8">
        <w:rPr>
          <w:rFonts w:cstheme="minorHAnsi"/>
        </w:rPr>
        <w:t xml:space="preserve"> [</w:t>
      </w:r>
      <w:proofErr w:type="spellStart"/>
      <w:r w:rsidRPr="00980FC8">
        <w:rPr>
          <w:rFonts w:cstheme="minorHAnsi"/>
        </w:rPr>
        <w:t>fHbp</w:t>
      </w:r>
      <w:proofErr w:type="spellEnd"/>
      <w:r w:rsidRPr="00980FC8">
        <w:rPr>
          <w:rFonts w:cstheme="minorHAnsi"/>
        </w:rPr>
        <w:t>], 5/99 [</w:t>
      </w:r>
      <w:proofErr w:type="spellStart"/>
      <w:r w:rsidRPr="00980FC8">
        <w:rPr>
          <w:rFonts w:cstheme="minorHAnsi"/>
        </w:rPr>
        <w:t>NadA</w:t>
      </w:r>
      <w:proofErr w:type="spellEnd"/>
      <w:r w:rsidRPr="00980FC8">
        <w:rPr>
          <w:rFonts w:cstheme="minorHAnsi"/>
        </w:rPr>
        <w:t>] and NZ98/254 [</w:t>
      </w:r>
      <w:proofErr w:type="spellStart"/>
      <w:r w:rsidRPr="00980FC8">
        <w:rPr>
          <w:rFonts w:cstheme="minorHAnsi"/>
        </w:rPr>
        <w:t>PorA</w:t>
      </w:r>
      <w:proofErr w:type="spellEnd"/>
      <w:r w:rsidRPr="00980FC8">
        <w:rPr>
          <w:rFonts w:cstheme="minorHAnsi"/>
        </w:rPr>
        <w:t xml:space="preserve">]) were calculated for each sampling time point. </w:t>
      </w:r>
      <w:r w:rsidRPr="00980FC8">
        <w:rPr>
          <w:rFonts w:eastAsia="Times New Roman" w:cstheme="minorHAnsi"/>
          <w:lang w:eastAsia="en-GB"/>
        </w:rPr>
        <w:t>Reactogenicity was assessed by the caregiver completing a 7-day diary after each vaccine; infants vaccinated as inpatients had their cardiorespiratory status recorded for 24 hours before and 72 hours after vaccination by nursing staff.</w:t>
      </w:r>
    </w:p>
    <w:p w14:paraId="04CB85B1" w14:textId="77777777" w:rsidR="00570834" w:rsidRPr="00980FC8" w:rsidRDefault="00570834" w:rsidP="003F1F46">
      <w:pPr>
        <w:spacing w:line="480" w:lineRule="auto"/>
        <w:textAlignment w:val="baseline"/>
        <w:rPr>
          <w:rFonts w:eastAsia="Times New Roman" w:cstheme="minorHAnsi"/>
          <w:b/>
          <w:bCs/>
          <w:lang w:eastAsia="en-GB"/>
        </w:rPr>
      </w:pPr>
      <w:r w:rsidRPr="00980FC8">
        <w:rPr>
          <w:rFonts w:eastAsia="Times New Roman" w:cstheme="minorHAnsi"/>
          <w:b/>
          <w:bCs/>
          <w:lang w:eastAsia="en-GB"/>
        </w:rPr>
        <w:t>Statistical analysis</w:t>
      </w:r>
    </w:p>
    <w:p w14:paraId="0ED4822A" w14:textId="17D33FDA" w:rsidR="00570834" w:rsidRPr="00980FC8" w:rsidRDefault="00570834" w:rsidP="003F1F46">
      <w:pPr>
        <w:spacing w:line="480" w:lineRule="auto"/>
        <w:textAlignment w:val="baseline"/>
        <w:rPr>
          <w:rFonts w:cstheme="minorHAnsi"/>
          <w:color w:val="000000" w:themeColor="text1"/>
        </w:rPr>
      </w:pPr>
      <w:r w:rsidRPr="00980FC8">
        <w:rPr>
          <w:rFonts w:cstheme="minorHAnsi"/>
          <w:color w:val="000000" w:themeColor="text1"/>
        </w:rPr>
        <w:lastRenderedPageBreak/>
        <w:t>The primary outcome was antigen-specific responses</w:t>
      </w:r>
      <w:r w:rsidR="003C6FCC">
        <w:rPr>
          <w:rFonts w:cstheme="minorHAnsi"/>
          <w:color w:val="000000" w:themeColor="text1"/>
        </w:rPr>
        <w:t xml:space="preserve"> as measured by SBA assays</w:t>
      </w:r>
      <w:r w:rsidRPr="00980FC8">
        <w:rPr>
          <w:rFonts w:cstheme="minorHAnsi"/>
          <w:color w:val="000000" w:themeColor="text1"/>
        </w:rPr>
        <w:t xml:space="preserve"> at 5 months (post-primary vaccines) in preterm infants receiving two or three priming doses. Secondary outcomes included antigen-specific responses prior to and one month following the booster dose, and reactogenicity assessment following each vaccine. </w:t>
      </w:r>
    </w:p>
    <w:p w14:paraId="099234D7" w14:textId="3233F0FF" w:rsidR="00570834" w:rsidRPr="00980FC8" w:rsidRDefault="00570834" w:rsidP="003F1F46">
      <w:pPr>
        <w:spacing w:line="480" w:lineRule="auto"/>
        <w:textAlignment w:val="baseline"/>
        <w:rPr>
          <w:rFonts w:eastAsia="Times New Roman" w:cstheme="minorHAnsi"/>
          <w:lang w:eastAsia="en-GB"/>
        </w:rPr>
      </w:pPr>
      <w:r w:rsidRPr="00980FC8">
        <w:rPr>
          <w:rFonts w:cstheme="minorHAnsi"/>
          <w:color w:val="000000" w:themeColor="text1"/>
        </w:rPr>
        <w:t xml:space="preserve">The standard deviation of the GMT responses to the three antigens was expected to be around 1.0 loge units. </w:t>
      </w:r>
      <w:r w:rsidR="00A3567D">
        <w:rPr>
          <w:rFonts w:cstheme="minorHAnsi"/>
          <w:color w:val="000000" w:themeColor="text1"/>
        </w:rPr>
        <w:t>A</w:t>
      </w:r>
      <w:r w:rsidRPr="00980FC8">
        <w:rPr>
          <w:rFonts w:cstheme="minorHAnsi"/>
          <w:color w:val="000000" w:themeColor="text1"/>
        </w:rPr>
        <w:t xml:space="preserve"> sample size of 60 per group was predicted to allow a 1.7-fold difference between groups to be detectable at 80% power at the 5% significance level. A drop-out rate of around 10% was expected so the minimum sample size was 132. </w:t>
      </w:r>
    </w:p>
    <w:p w14:paraId="4901DCB2" w14:textId="12971406" w:rsidR="00570834" w:rsidRPr="00980FC8" w:rsidRDefault="00570834" w:rsidP="002D598A">
      <w:pPr>
        <w:spacing w:after="240" w:line="480" w:lineRule="auto"/>
        <w:ind w:right="-30"/>
        <w:outlineLvl w:val="0"/>
        <w:rPr>
          <w:rFonts w:cstheme="minorHAnsi"/>
          <w:color w:val="000000" w:themeColor="text1"/>
        </w:rPr>
      </w:pPr>
      <w:r w:rsidRPr="00980FC8">
        <w:rPr>
          <w:rFonts w:cstheme="minorHAnsi"/>
          <w:color w:val="000000" w:themeColor="text1"/>
        </w:rPr>
        <w:t xml:space="preserve">For each schedule, GMTs of the SBA titres against three strains </w:t>
      </w:r>
      <w:r w:rsidRPr="00980FC8">
        <w:rPr>
          <w:rFonts w:cstheme="minorHAnsi"/>
        </w:rPr>
        <w:t>(44/76</w:t>
      </w:r>
      <w:r w:rsidR="002C1D7E">
        <w:rPr>
          <w:rFonts w:cstheme="minorHAnsi"/>
        </w:rPr>
        <w:t>-SL</w:t>
      </w:r>
      <w:r w:rsidRPr="00980FC8">
        <w:rPr>
          <w:rFonts w:cstheme="minorHAnsi"/>
        </w:rPr>
        <w:t xml:space="preserve"> [</w:t>
      </w:r>
      <w:proofErr w:type="spellStart"/>
      <w:r w:rsidRPr="00980FC8">
        <w:rPr>
          <w:rFonts w:cstheme="minorHAnsi"/>
        </w:rPr>
        <w:t>fHbp</w:t>
      </w:r>
      <w:proofErr w:type="spellEnd"/>
      <w:r w:rsidRPr="00980FC8">
        <w:rPr>
          <w:rFonts w:cstheme="minorHAnsi"/>
        </w:rPr>
        <w:t>], 5/99 [</w:t>
      </w:r>
      <w:proofErr w:type="spellStart"/>
      <w:r w:rsidRPr="00980FC8">
        <w:rPr>
          <w:rFonts w:cstheme="minorHAnsi"/>
        </w:rPr>
        <w:t>NadA</w:t>
      </w:r>
      <w:proofErr w:type="spellEnd"/>
      <w:r w:rsidRPr="00980FC8">
        <w:rPr>
          <w:rFonts w:cstheme="minorHAnsi"/>
        </w:rPr>
        <w:t>] and NZ98/254 [</w:t>
      </w:r>
      <w:proofErr w:type="spellStart"/>
      <w:r w:rsidRPr="00980FC8">
        <w:rPr>
          <w:rFonts w:cstheme="minorHAnsi"/>
        </w:rPr>
        <w:t>PorA</w:t>
      </w:r>
      <w:proofErr w:type="spellEnd"/>
      <w:r w:rsidRPr="00980FC8">
        <w:rPr>
          <w:rFonts w:cstheme="minorHAnsi"/>
        </w:rPr>
        <w:t>])</w:t>
      </w:r>
      <w:r w:rsidR="002C1D7E">
        <w:rPr>
          <w:rFonts w:cstheme="minorHAnsi"/>
        </w:rPr>
        <w:t xml:space="preserve"> </w:t>
      </w:r>
      <w:r w:rsidRPr="00980FC8">
        <w:rPr>
          <w:rFonts w:cstheme="minorHAnsi"/>
          <w:color w:val="000000" w:themeColor="text1"/>
        </w:rPr>
        <w:t xml:space="preserve">were calculated with 95% confidence intervals (CI) one month after primary vaccination. Titres were compared using </w:t>
      </w:r>
      <w:r w:rsidRPr="00980FC8">
        <w:rPr>
          <w:rFonts w:eastAsia="Times New Roman" w:cstheme="minorHAnsi"/>
          <w:lang w:eastAsia="en-GB"/>
        </w:rPr>
        <w:t xml:space="preserve">a </w:t>
      </w:r>
      <w:proofErr w:type="spellStart"/>
      <w:r w:rsidRPr="00980FC8">
        <w:rPr>
          <w:rFonts w:eastAsia="Times New Roman" w:cstheme="minorHAnsi"/>
          <w:lang w:eastAsia="en-GB"/>
        </w:rPr>
        <w:t>Kruskall</w:t>
      </w:r>
      <w:proofErr w:type="spellEnd"/>
      <w:r w:rsidRPr="00980FC8">
        <w:rPr>
          <w:rFonts w:eastAsia="Times New Roman" w:cstheme="minorHAnsi"/>
          <w:lang w:eastAsia="en-GB"/>
        </w:rPr>
        <w:t xml:space="preserve"> Wallis test</w:t>
      </w:r>
      <w:r w:rsidRPr="00980FC8">
        <w:rPr>
          <w:rFonts w:cstheme="minorHAnsi"/>
          <w:color w:val="000000" w:themeColor="text1"/>
        </w:rPr>
        <w:t xml:space="preserve"> </w:t>
      </w:r>
      <w:r w:rsidRPr="00980FC8">
        <w:rPr>
          <w:rFonts w:eastAsia="Times New Roman" w:cstheme="minorHAnsi"/>
          <w:lang w:eastAsia="en-GB"/>
        </w:rPr>
        <w:t xml:space="preserve">because of non-normal distribution of the log-titres. </w:t>
      </w:r>
      <w:r w:rsidRPr="00980FC8">
        <w:rPr>
          <w:rFonts w:cstheme="minorHAnsi"/>
          <w:color w:val="000000" w:themeColor="text1"/>
        </w:rPr>
        <w:t xml:space="preserve"> Proportions with titres ≥4 were also calculated with exact binomial 95%CI and compared using Fisher’s exact test. </w:t>
      </w:r>
      <w:r w:rsidRPr="00980FC8">
        <w:rPr>
          <w:rFonts w:eastAsia="Times New Roman" w:cstheme="minorHAnsi"/>
          <w:lang w:eastAsia="en-GB"/>
        </w:rPr>
        <w:t xml:space="preserve">Analysis was performed by modified intention to treat providing that at least one antibody result was available. </w:t>
      </w:r>
      <w:r w:rsidR="003C6FCC" w:rsidRPr="00980FC8">
        <w:rPr>
          <w:rFonts w:cstheme="minorHAnsi"/>
          <w:color w:val="000000" w:themeColor="text1"/>
        </w:rPr>
        <w:t>To investigate protection against individual strains</w:t>
      </w:r>
      <w:r w:rsidR="00DC671C">
        <w:rPr>
          <w:rFonts w:cstheme="minorHAnsi"/>
          <w:color w:val="000000" w:themeColor="text1"/>
        </w:rPr>
        <w:t xml:space="preserve"> at different time points</w:t>
      </w:r>
      <w:r w:rsidR="003C6FCC" w:rsidRPr="00980FC8">
        <w:rPr>
          <w:rFonts w:cstheme="minorHAnsi"/>
          <w:color w:val="000000" w:themeColor="text1"/>
        </w:rPr>
        <w:t xml:space="preserve">, analysis was performed using paired post-primary and post-booster samples to assess protective thresholds (SBA </w:t>
      </w:r>
      <w:r w:rsidR="003C6FCC" w:rsidRPr="00980FC8">
        <w:rPr>
          <w:rFonts w:cstheme="minorHAnsi"/>
          <w:noProof/>
          <w:color w:val="000000" w:themeColor="text1"/>
        </w:rPr>
        <w:t>≥4</w:t>
      </w:r>
      <w:r w:rsidR="003C6FCC" w:rsidRPr="00980FC8">
        <w:rPr>
          <w:rFonts w:cstheme="minorHAnsi"/>
          <w:b/>
          <w:bCs/>
          <w:noProof/>
          <w:color w:val="000000" w:themeColor="text1"/>
        </w:rPr>
        <w:t>)</w:t>
      </w:r>
      <w:r w:rsidR="003C6FCC" w:rsidRPr="00980FC8">
        <w:rPr>
          <w:rFonts w:cstheme="minorHAnsi"/>
          <w:color w:val="000000" w:themeColor="text1"/>
        </w:rPr>
        <w:t xml:space="preserve"> in individual infants</w:t>
      </w:r>
      <w:r w:rsidR="00DC671C">
        <w:rPr>
          <w:rFonts w:cstheme="minorHAnsi"/>
          <w:color w:val="000000" w:themeColor="text1"/>
        </w:rPr>
        <w:t xml:space="preserve"> and the percentage of infants with SBA &gt;4 at neither time point, one time point and both time points were calculated</w:t>
      </w:r>
      <w:r w:rsidR="003C6FCC" w:rsidRPr="00980FC8">
        <w:rPr>
          <w:rFonts w:cstheme="minorHAnsi"/>
          <w:color w:val="000000" w:themeColor="text1"/>
        </w:rPr>
        <w:t xml:space="preserve">. </w:t>
      </w:r>
      <w:r w:rsidRPr="00980FC8">
        <w:rPr>
          <w:rFonts w:eastAsia="Times New Roman" w:cstheme="minorHAnsi"/>
          <w:lang w:eastAsia="en-GB"/>
        </w:rPr>
        <w:t>R</w:t>
      </w:r>
      <w:r w:rsidRPr="00980FC8">
        <w:rPr>
          <w:rFonts w:cstheme="minorHAnsi"/>
          <w:noProof/>
          <w:color w:val="000000" w:themeColor="text1"/>
        </w:rPr>
        <w:t xml:space="preserve">eactogenicity rates between groups were compared using Fisher’s exact test. </w:t>
      </w:r>
      <w:r w:rsidRPr="00980FC8">
        <w:rPr>
          <w:rFonts w:eastAsia="Times New Roman" w:cstheme="minorHAnsi"/>
          <w:lang w:eastAsia="en-GB"/>
        </w:rPr>
        <w:t>Statistical analysis was performed using STATA version 17</w:t>
      </w:r>
      <w:r w:rsidRPr="00980FC8">
        <w:rPr>
          <w:rFonts w:cstheme="minorHAnsi"/>
          <w:color w:val="000000" w:themeColor="text1"/>
        </w:rPr>
        <w:t xml:space="preserve"> (</w:t>
      </w:r>
      <w:proofErr w:type="spellStart"/>
      <w:r w:rsidRPr="00980FC8">
        <w:rPr>
          <w:rFonts w:cstheme="minorHAnsi"/>
          <w:color w:val="000000" w:themeColor="text1"/>
        </w:rPr>
        <w:t>StataCorp</w:t>
      </w:r>
      <w:proofErr w:type="spellEnd"/>
      <w:r w:rsidRPr="00980FC8">
        <w:rPr>
          <w:rFonts w:cstheme="minorHAnsi"/>
          <w:color w:val="000000" w:themeColor="text1"/>
        </w:rPr>
        <w:t xml:space="preserve">, College Station, Texas). </w:t>
      </w:r>
    </w:p>
    <w:p w14:paraId="677C622B" w14:textId="77777777" w:rsidR="00570834" w:rsidRPr="00380447" w:rsidRDefault="00570834" w:rsidP="004632C8">
      <w:pPr>
        <w:spacing w:line="480" w:lineRule="auto"/>
        <w:textAlignment w:val="baseline"/>
        <w:rPr>
          <w:rFonts w:eastAsia="Times New Roman" w:cstheme="minorHAnsi"/>
          <w:b/>
          <w:bCs/>
          <w:lang w:eastAsia="en-GB"/>
        </w:rPr>
      </w:pPr>
      <w:r w:rsidRPr="00980FC8">
        <w:rPr>
          <w:rFonts w:eastAsia="Times New Roman" w:cstheme="minorHAnsi"/>
          <w:b/>
          <w:bCs/>
          <w:lang w:eastAsia="en-GB"/>
        </w:rPr>
        <w:t>Ethical approval:</w:t>
      </w:r>
      <w:r w:rsidRPr="00980FC8">
        <w:rPr>
          <w:rFonts w:eastAsia="Times New Roman" w:cstheme="minorHAnsi"/>
          <w:lang w:eastAsia="en-GB"/>
        </w:rPr>
        <w:t xml:space="preserve"> Ethical approval was received from York and Humber Research Ethics Committee and the Health Research Authority.</w:t>
      </w:r>
      <w:r w:rsidRPr="00380447">
        <w:rPr>
          <w:rFonts w:eastAsia="Times New Roman" w:cstheme="minorHAnsi"/>
          <w:lang w:eastAsia="en-GB"/>
        </w:rPr>
        <w:t xml:space="preserve"> </w:t>
      </w:r>
    </w:p>
    <w:p w14:paraId="29CEECBB" w14:textId="77777777" w:rsidR="00570834" w:rsidRPr="00980FC8" w:rsidRDefault="00570834" w:rsidP="003F1F46">
      <w:pPr>
        <w:spacing w:line="480" w:lineRule="auto"/>
        <w:textAlignment w:val="baseline"/>
        <w:rPr>
          <w:rFonts w:eastAsia="Times New Roman" w:cstheme="minorHAnsi"/>
          <w:b/>
          <w:bCs/>
          <w:lang w:eastAsia="en-GB"/>
        </w:rPr>
      </w:pPr>
      <w:r w:rsidRPr="00980FC8">
        <w:rPr>
          <w:rFonts w:eastAsia="Times New Roman" w:cstheme="minorHAnsi"/>
          <w:b/>
          <w:bCs/>
          <w:lang w:eastAsia="en-GB"/>
        </w:rPr>
        <w:t>Results</w:t>
      </w:r>
    </w:p>
    <w:p w14:paraId="3266F3EB" w14:textId="44C25749" w:rsidR="00570834" w:rsidRPr="00A57170" w:rsidRDefault="00570834" w:rsidP="002D5D07">
      <w:pPr>
        <w:spacing w:line="480" w:lineRule="auto"/>
        <w:rPr>
          <w:rFonts w:eastAsia="Times New Roman" w:cstheme="minorHAnsi"/>
          <w:b/>
          <w:bCs/>
          <w:lang w:eastAsia="en-GB"/>
        </w:rPr>
      </w:pPr>
      <w:r w:rsidRPr="00980FC8">
        <w:rPr>
          <w:rFonts w:cstheme="minorHAnsi"/>
          <w:color w:val="000000" w:themeColor="text1"/>
        </w:rPr>
        <w:lastRenderedPageBreak/>
        <w:t xml:space="preserve">136 infants were recruited: three died, two were lost to follow-up and seven withdrew from the study, leaving 124 infants who completed all visits (CONSORT flow diagram, </w:t>
      </w:r>
      <w:r w:rsidRPr="00980FC8">
        <w:rPr>
          <w:rFonts w:cstheme="minorHAnsi"/>
          <w:b/>
          <w:bCs/>
          <w:color w:val="FF0000"/>
        </w:rPr>
        <w:t>Figure 1</w:t>
      </w:r>
      <w:r w:rsidRPr="00980FC8">
        <w:rPr>
          <w:rFonts w:cstheme="minorHAnsi"/>
          <w:color w:val="000000" w:themeColor="text1"/>
        </w:rPr>
        <w:t xml:space="preserve">). For seven babies who did not complete the study there was no confirmation of consent that data could be used, and analysis therefore included 129 infants.  </w:t>
      </w:r>
      <w:r w:rsidRPr="00980FC8">
        <w:rPr>
          <w:rFonts w:cstheme="minorHAnsi"/>
          <w:b/>
          <w:bCs/>
          <w:color w:val="FF0000"/>
        </w:rPr>
        <w:t xml:space="preserve">Table 1 </w:t>
      </w:r>
      <w:r w:rsidRPr="00980FC8">
        <w:rPr>
          <w:rFonts w:cstheme="minorHAnsi"/>
          <w:color w:val="000000" w:themeColor="text1"/>
        </w:rPr>
        <w:t>summarises the baseline characteristics of these infants</w:t>
      </w:r>
      <w:r w:rsidRPr="00980FC8">
        <w:rPr>
          <w:rFonts w:cstheme="minorHAnsi"/>
        </w:rPr>
        <w:t>.</w:t>
      </w:r>
    </w:p>
    <w:p w14:paraId="32A84A94" w14:textId="0B81358F" w:rsidR="00570834" w:rsidRPr="00A57170" w:rsidRDefault="002D5D07" w:rsidP="003F1F46">
      <w:pPr>
        <w:spacing w:line="480" w:lineRule="auto"/>
        <w:textAlignment w:val="baseline"/>
        <w:rPr>
          <w:rFonts w:eastAsia="Times New Roman" w:cstheme="minorHAnsi"/>
          <w:b/>
          <w:bCs/>
          <w:lang w:eastAsia="en-GB"/>
        </w:rPr>
      </w:pPr>
      <w:bookmarkStart w:id="0" w:name="_Hlk168081464"/>
      <w:r>
        <w:rPr>
          <w:rFonts w:eastAsia="Times New Roman" w:cstheme="minorHAnsi"/>
          <w:b/>
          <w:bCs/>
          <w:lang w:eastAsia="en-GB"/>
        </w:rPr>
        <w:t>&lt;</w:t>
      </w:r>
      <w:r w:rsidR="00570834" w:rsidRPr="00A57170">
        <w:rPr>
          <w:rFonts w:eastAsia="Times New Roman" w:cstheme="minorHAnsi"/>
          <w:b/>
          <w:bCs/>
          <w:lang w:eastAsia="en-GB"/>
        </w:rPr>
        <w:t>Figure 1: CONSORT flow diagram of participants</w:t>
      </w:r>
      <w:r>
        <w:rPr>
          <w:rFonts w:eastAsia="Times New Roman" w:cstheme="minorHAnsi"/>
          <w:b/>
          <w:bCs/>
          <w:lang w:eastAsia="en-GB"/>
        </w:rPr>
        <w:t>&gt;</w:t>
      </w:r>
    </w:p>
    <w:bookmarkEnd w:id="0"/>
    <w:p w14:paraId="60CEDD78" w14:textId="1818D770" w:rsidR="00570834" w:rsidRPr="00A57170" w:rsidRDefault="00570834" w:rsidP="003F1F46">
      <w:pPr>
        <w:spacing w:line="480" w:lineRule="auto"/>
        <w:rPr>
          <w:rFonts w:cstheme="minorHAnsi"/>
          <w:b/>
          <w:bCs/>
          <w:noProof/>
          <w:color w:val="000000" w:themeColor="text1"/>
        </w:rPr>
      </w:pPr>
      <w:r w:rsidRPr="00A57170">
        <w:rPr>
          <w:rFonts w:cstheme="minorHAnsi"/>
          <w:b/>
          <w:bCs/>
          <w:noProof/>
          <w:color w:val="000000" w:themeColor="text1"/>
        </w:rPr>
        <w:t>Table 1: Baseline characteristics</w:t>
      </w:r>
      <w:r>
        <w:rPr>
          <w:rFonts w:cstheme="minorHAnsi"/>
          <w:b/>
          <w:bCs/>
          <w:noProof/>
          <w:color w:val="000000" w:themeColor="text1"/>
        </w:rPr>
        <w:t xml:space="preserve"> of infants included in </w:t>
      </w:r>
      <w:r w:rsidR="007C7484" w:rsidRPr="007C7484">
        <w:rPr>
          <w:rFonts w:cstheme="minorHAnsi"/>
          <w:b/>
          <w:bCs/>
          <w:noProof/>
          <w:color w:val="000000" w:themeColor="text1"/>
        </w:rPr>
        <w:t>phase IV randomised controlled trial of two schedules of a four-component meningococcal B vaccine in UK preterm infants</w:t>
      </w:r>
    </w:p>
    <w:tbl>
      <w:tblPr>
        <w:tblStyle w:val="TableGrid"/>
        <w:tblW w:w="0" w:type="auto"/>
        <w:tblInd w:w="-5" w:type="dxa"/>
        <w:tblLook w:val="04A0" w:firstRow="1" w:lastRow="0" w:firstColumn="1" w:lastColumn="0" w:noHBand="0" w:noVBand="1"/>
      </w:tblPr>
      <w:tblGrid>
        <w:gridCol w:w="2127"/>
        <w:gridCol w:w="697"/>
        <w:gridCol w:w="2563"/>
        <w:gridCol w:w="709"/>
        <w:gridCol w:w="2693"/>
      </w:tblGrid>
      <w:tr w:rsidR="00570834" w:rsidRPr="00A57170" w14:paraId="5243F4CA" w14:textId="77777777" w:rsidTr="00FC7F88">
        <w:tc>
          <w:tcPr>
            <w:tcW w:w="2127" w:type="dxa"/>
            <w:shd w:val="clear" w:color="auto" w:fill="auto"/>
            <w:vAlign w:val="center"/>
          </w:tcPr>
          <w:p w14:paraId="7B131C55" w14:textId="77777777" w:rsidR="00570834" w:rsidRPr="00A57170" w:rsidRDefault="00570834" w:rsidP="00C43FF7">
            <w:pPr>
              <w:jc w:val="center"/>
              <w:rPr>
                <w:rFonts w:cstheme="minorHAnsi"/>
                <w:b/>
                <w:bCs/>
              </w:rPr>
            </w:pPr>
            <w:r w:rsidRPr="00A57170">
              <w:rPr>
                <w:rFonts w:cstheme="minorHAnsi"/>
                <w:b/>
                <w:bCs/>
              </w:rPr>
              <w:t>Characteristic</w:t>
            </w:r>
          </w:p>
        </w:tc>
        <w:tc>
          <w:tcPr>
            <w:tcW w:w="697" w:type="dxa"/>
            <w:shd w:val="clear" w:color="auto" w:fill="auto"/>
            <w:vAlign w:val="center"/>
          </w:tcPr>
          <w:p w14:paraId="2732DD9E" w14:textId="77777777" w:rsidR="00570834" w:rsidRPr="00A57170" w:rsidRDefault="00570834" w:rsidP="00C43FF7">
            <w:pPr>
              <w:jc w:val="center"/>
              <w:rPr>
                <w:rFonts w:cstheme="minorHAnsi"/>
                <w:b/>
                <w:bCs/>
              </w:rPr>
            </w:pPr>
            <w:r w:rsidRPr="00A57170">
              <w:rPr>
                <w:rFonts w:cstheme="minorHAnsi"/>
                <w:b/>
                <w:bCs/>
              </w:rPr>
              <w:t>N</w:t>
            </w:r>
          </w:p>
        </w:tc>
        <w:tc>
          <w:tcPr>
            <w:tcW w:w="2563" w:type="dxa"/>
            <w:shd w:val="clear" w:color="auto" w:fill="auto"/>
            <w:vAlign w:val="center"/>
          </w:tcPr>
          <w:p w14:paraId="656CD03C" w14:textId="77777777" w:rsidR="00570834" w:rsidRPr="00A57170" w:rsidRDefault="00570834" w:rsidP="00C43FF7">
            <w:pPr>
              <w:jc w:val="center"/>
              <w:rPr>
                <w:rFonts w:cstheme="minorHAnsi"/>
                <w:b/>
                <w:bCs/>
              </w:rPr>
            </w:pPr>
            <w:r w:rsidRPr="00A57170">
              <w:rPr>
                <w:rFonts w:cstheme="minorHAnsi"/>
                <w:b/>
                <w:bCs/>
              </w:rPr>
              <w:t>Group 1 (2+1 schedule)</w:t>
            </w:r>
          </w:p>
        </w:tc>
        <w:tc>
          <w:tcPr>
            <w:tcW w:w="709" w:type="dxa"/>
            <w:shd w:val="clear" w:color="auto" w:fill="auto"/>
            <w:vAlign w:val="center"/>
          </w:tcPr>
          <w:p w14:paraId="1A7D85D6" w14:textId="77777777" w:rsidR="00570834" w:rsidRPr="00A57170" w:rsidRDefault="00570834" w:rsidP="00C43FF7">
            <w:pPr>
              <w:jc w:val="center"/>
              <w:rPr>
                <w:rFonts w:cstheme="minorHAnsi"/>
                <w:b/>
                <w:bCs/>
              </w:rPr>
            </w:pPr>
            <w:r w:rsidRPr="00A57170">
              <w:rPr>
                <w:rFonts w:cstheme="minorHAnsi"/>
                <w:b/>
                <w:bCs/>
              </w:rPr>
              <w:t>N</w:t>
            </w:r>
          </w:p>
        </w:tc>
        <w:tc>
          <w:tcPr>
            <w:tcW w:w="2693" w:type="dxa"/>
            <w:shd w:val="clear" w:color="auto" w:fill="auto"/>
            <w:vAlign w:val="center"/>
          </w:tcPr>
          <w:p w14:paraId="5C8415C4" w14:textId="77777777" w:rsidR="00570834" w:rsidRPr="00A57170" w:rsidRDefault="00570834" w:rsidP="00C43FF7">
            <w:pPr>
              <w:jc w:val="center"/>
              <w:rPr>
                <w:rFonts w:cstheme="minorHAnsi"/>
                <w:b/>
                <w:bCs/>
              </w:rPr>
            </w:pPr>
            <w:r w:rsidRPr="00A57170">
              <w:rPr>
                <w:rFonts w:cstheme="minorHAnsi"/>
                <w:b/>
                <w:bCs/>
              </w:rPr>
              <w:t>Group 2 (3+1 schedule)</w:t>
            </w:r>
          </w:p>
        </w:tc>
      </w:tr>
      <w:tr w:rsidR="00570834" w:rsidRPr="00A57170" w14:paraId="7F269ADA" w14:textId="77777777" w:rsidTr="00FC7F88">
        <w:tc>
          <w:tcPr>
            <w:tcW w:w="2127" w:type="dxa"/>
            <w:shd w:val="clear" w:color="auto" w:fill="auto"/>
            <w:vAlign w:val="center"/>
          </w:tcPr>
          <w:p w14:paraId="1412DB80" w14:textId="77777777" w:rsidR="00570834" w:rsidRDefault="00570834" w:rsidP="00C43FF7">
            <w:pPr>
              <w:jc w:val="center"/>
              <w:rPr>
                <w:rFonts w:cstheme="minorHAnsi"/>
              </w:rPr>
            </w:pPr>
            <w:r w:rsidRPr="00A57170">
              <w:rPr>
                <w:rFonts w:cstheme="minorHAnsi"/>
              </w:rPr>
              <w:t>Gestational age</w:t>
            </w:r>
          </w:p>
          <w:p w14:paraId="327B897A" w14:textId="77777777" w:rsidR="00570834" w:rsidRPr="007105CA" w:rsidRDefault="00570834" w:rsidP="00C43FF7">
            <w:pPr>
              <w:jc w:val="center"/>
              <w:rPr>
                <w:rFonts w:cstheme="minorHAnsi"/>
                <w:sz w:val="20"/>
                <w:szCs w:val="20"/>
              </w:rPr>
            </w:pPr>
            <w:r w:rsidRPr="007105CA">
              <w:rPr>
                <w:rFonts w:cstheme="minorHAnsi"/>
                <w:color w:val="7F7F7F" w:themeColor="text1" w:themeTint="80"/>
                <w:sz w:val="20"/>
                <w:szCs w:val="20"/>
              </w:rPr>
              <w:t>Median (range)</w:t>
            </w:r>
          </w:p>
        </w:tc>
        <w:tc>
          <w:tcPr>
            <w:tcW w:w="697" w:type="dxa"/>
            <w:shd w:val="clear" w:color="auto" w:fill="auto"/>
            <w:vAlign w:val="center"/>
          </w:tcPr>
          <w:p w14:paraId="4855EE34" w14:textId="77777777" w:rsidR="00570834" w:rsidRPr="00A57170" w:rsidRDefault="00570834" w:rsidP="00C43FF7">
            <w:pPr>
              <w:jc w:val="center"/>
              <w:rPr>
                <w:rFonts w:cstheme="minorHAnsi"/>
              </w:rPr>
            </w:pPr>
            <w:r w:rsidRPr="00A57170">
              <w:rPr>
                <w:rFonts w:cstheme="minorHAnsi"/>
              </w:rPr>
              <w:t>64</w:t>
            </w:r>
          </w:p>
        </w:tc>
        <w:tc>
          <w:tcPr>
            <w:tcW w:w="2563" w:type="dxa"/>
            <w:shd w:val="clear" w:color="auto" w:fill="auto"/>
            <w:vAlign w:val="center"/>
          </w:tcPr>
          <w:p w14:paraId="23A01569" w14:textId="77777777" w:rsidR="00570834" w:rsidRPr="00A57170" w:rsidRDefault="00570834" w:rsidP="00C43FF7">
            <w:pPr>
              <w:jc w:val="center"/>
              <w:rPr>
                <w:rFonts w:cstheme="minorHAnsi"/>
              </w:rPr>
            </w:pPr>
            <w:r w:rsidRPr="00A57170">
              <w:rPr>
                <w:rFonts w:cstheme="minorHAnsi"/>
              </w:rPr>
              <w:t>30</w:t>
            </w:r>
            <w:r w:rsidRPr="00A57170">
              <w:rPr>
                <w:rFonts w:cstheme="minorHAnsi"/>
                <w:vertAlign w:val="superscript"/>
              </w:rPr>
              <w:t>+2</w:t>
            </w:r>
            <w:r w:rsidRPr="00A57170">
              <w:rPr>
                <w:rFonts w:cstheme="minorHAnsi"/>
              </w:rPr>
              <w:t xml:space="preserve"> (23</w:t>
            </w:r>
            <w:r w:rsidRPr="00A57170">
              <w:rPr>
                <w:rFonts w:cstheme="minorHAnsi"/>
                <w:vertAlign w:val="superscript"/>
              </w:rPr>
              <w:t>+0</w:t>
            </w:r>
            <w:r w:rsidRPr="00A57170">
              <w:rPr>
                <w:rFonts w:cstheme="minorHAnsi"/>
              </w:rPr>
              <w:t>-34</w:t>
            </w:r>
            <w:r w:rsidRPr="00A57170">
              <w:rPr>
                <w:rFonts w:cstheme="minorHAnsi"/>
                <w:vertAlign w:val="superscript"/>
              </w:rPr>
              <w:t>+3</w:t>
            </w:r>
            <w:r w:rsidRPr="00A57170">
              <w:rPr>
                <w:rFonts w:cstheme="minorHAnsi"/>
              </w:rPr>
              <w:t>)</w:t>
            </w:r>
          </w:p>
        </w:tc>
        <w:tc>
          <w:tcPr>
            <w:tcW w:w="709" w:type="dxa"/>
            <w:shd w:val="clear" w:color="auto" w:fill="auto"/>
            <w:vAlign w:val="center"/>
          </w:tcPr>
          <w:p w14:paraId="4F6232C9" w14:textId="77777777" w:rsidR="00570834" w:rsidRPr="00A57170" w:rsidRDefault="00570834" w:rsidP="00C43FF7">
            <w:pPr>
              <w:jc w:val="center"/>
              <w:rPr>
                <w:rFonts w:cstheme="minorHAnsi"/>
              </w:rPr>
            </w:pPr>
            <w:r w:rsidRPr="00A57170">
              <w:rPr>
                <w:rFonts w:cstheme="minorHAnsi"/>
              </w:rPr>
              <w:t>65</w:t>
            </w:r>
          </w:p>
        </w:tc>
        <w:tc>
          <w:tcPr>
            <w:tcW w:w="2693" w:type="dxa"/>
            <w:shd w:val="clear" w:color="auto" w:fill="auto"/>
            <w:vAlign w:val="center"/>
          </w:tcPr>
          <w:p w14:paraId="05433A77" w14:textId="77777777" w:rsidR="00570834" w:rsidRPr="00A57170" w:rsidRDefault="00570834" w:rsidP="00C43FF7">
            <w:pPr>
              <w:jc w:val="center"/>
              <w:rPr>
                <w:rFonts w:cstheme="minorHAnsi"/>
              </w:rPr>
            </w:pPr>
            <w:r w:rsidRPr="00A57170">
              <w:rPr>
                <w:rFonts w:cstheme="minorHAnsi"/>
              </w:rPr>
              <w:t>30</w:t>
            </w:r>
            <w:r w:rsidRPr="00A57170">
              <w:rPr>
                <w:rFonts w:cstheme="minorHAnsi"/>
                <w:vertAlign w:val="superscript"/>
              </w:rPr>
              <w:t>+2</w:t>
            </w:r>
            <w:r w:rsidRPr="00A57170">
              <w:rPr>
                <w:rFonts w:cstheme="minorHAnsi"/>
              </w:rPr>
              <w:t xml:space="preserve"> (24</w:t>
            </w:r>
            <w:r w:rsidRPr="00A57170">
              <w:rPr>
                <w:rFonts w:cstheme="minorHAnsi"/>
                <w:vertAlign w:val="superscript"/>
              </w:rPr>
              <w:t>+2</w:t>
            </w:r>
            <w:r w:rsidRPr="00A57170">
              <w:rPr>
                <w:rFonts w:cstheme="minorHAnsi"/>
              </w:rPr>
              <w:t>-34</w:t>
            </w:r>
            <w:r w:rsidRPr="00A57170">
              <w:rPr>
                <w:rFonts w:cstheme="minorHAnsi"/>
                <w:vertAlign w:val="superscript"/>
              </w:rPr>
              <w:t>+3</w:t>
            </w:r>
            <w:r w:rsidRPr="00A57170">
              <w:rPr>
                <w:rFonts w:cstheme="minorHAnsi"/>
              </w:rPr>
              <w:t>)</w:t>
            </w:r>
          </w:p>
        </w:tc>
      </w:tr>
      <w:tr w:rsidR="00570834" w:rsidRPr="00A57170" w14:paraId="27C9EFA8" w14:textId="77777777" w:rsidTr="00FC7F88">
        <w:tc>
          <w:tcPr>
            <w:tcW w:w="2127" w:type="dxa"/>
            <w:shd w:val="clear" w:color="auto" w:fill="auto"/>
            <w:vAlign w:val="center"/>
          </w:tcPr>
          <w:p w14:paraId="070FA32C" w14:textId="77777777" w:rsidR="00570834" w:rsidRDefault="00570834" w:rsidP="00C43FF7">
            <w:pPr>
              <w:jc w:val="center"/>
              <w:rPr>
                <w:rFonts w:cstheme="minorHAnsi"/>
              </w:rPr>
            </w:pPr>
            <w:r w:rsidRPr="00A57170">
              <w:rPr>
                <w:rFonts w:cstheme="minorHAnsi"/>
              </w:rPr>
              <w:t>Ethnicity (white)</w:t>
            </w:r>
          </w:p>
          <w:p w14:paraId="7DF379C4" w14:textId="77777777" w:rsidR="00570834" w:rsidRPr="007105CA" w:rsidRDefault="00570834" w:rsidP="00C43FF7">
            <w:pPr>
              <w:jc w:val="center"/>
              <w:rPr>
                <w:rFonts w:cstheme="minorHAnsi"/>
                <w:sz w:val="20"/>
                <w:szCs w:val="20"/>
              </w:rPr>
            </w:pPr>
            <w:r w:rsidRPr="007105CA">
              <w:rPr>
                <w:rFonts w:cstheme="minorHAnsi"/>
                <w:color w:val="7F7F7F" w:themeColor="text1" w:themeTint="80"/>
                <w:sz w:val="20"/>
                <w:szCs w:val="20"/>
              </w:rPr>
              <w:t>N (%)</w:t>
            </w:r>
          </w:p>
        </w:tc>
        <w:tc>
          <w:tcPr>
            <w:tcW w:w="697" w:type="dxa"/>
            <w:shd w:val="clear" w:color="auto" w:fill="auto"/>
            <w:vAlign w:val="center"/>
          </w:tcPr>
          <w:p w14:paraId="0093498C" w14:textId="77777777" w:rsidR="00570834" w:rsidRPr="00A57170" w:rsidRDefault="00570834" w:rsidP="00C43FF7">
            <w:pPr>
              <w:jc w:val="center"/>
              <w:rPr>
                <w:rFonts w:cstheme="minorHAnsi"/>
              </w:rPr>
            </w:pPr>
            <w:r w:rsidRPr="00A57170">
              <w:rPr>
                <w:rFonts w:cstheme="minorHAnsi"/>
              </w:rPr>
              <w:t>64</w:t>
            </w:r>
          </w:p>
        </w:tc>
        <w:tc>
          <w:tcPr>
            <w:tcW w:w="2563" w:type="dxa"/>
            <w:shd w:val="clear" w:color="auto" w:fill="auto"/>
            <w:vAlign w:val="center"/>
          </w:tcPr>
          <w:p w14:paraId="2D791E5B" w14:textId="77777777" w:rsidR="00570834" w:rsidRPr="00A57170" w:rsidRDefault="00570834" w:rsidP="00C43FF7">
            <w:pPr>
              <w:jc w:val="center"/>
              <w:rPr>
                <w:rFonts w:cstheme="minorHAnsi"/>
              </w:rPr>
            </w:pPr>
            <w:r w:rsidRPr="00A57170">
              <w:rPr>
                <w:rFonts w:cstheme="minorHAnsi"/>
              </w:rPr>
              <w:t>52 (81.3)</w:t>
            </w:r>
          </w:p>
        </w:tc>
        <w:tc>
          <w:tcPr>
            <w:tcW w:w="709" w:type="dxa"/>
            <w:shd w:val="clear" w:color="auto" w:fill="auto"/>
            <w:vAlign w:val="center"/>
          </w:tcPr>
          <w:p w14:paraId="1A8E6021" w14:textId="77777777" w:rsidR="00570834" w:rsidRPr="00A57170" w:rsidRDefault="00570834" w:rsidP="00C43FF7">
            <w:pPr>
              <w:jc w:val="center"/>
              <w:rPr>
                <w:rFonts w:cstheme="minorHAnsi"/>
              </w:rPr>
            </w:pPr>
            <w:r w:rsidRPr="00A57170">
              <w:rPr>
                <w:rFonts w:cstheme="minorHAnsi"/>
              </w:rPr>
              <w:t>65</w:t>
            </w:r>
          </w:p>
        </w:tc>
        <w:tc>
          <w:tcPr>
            <w:tcW w:w="2693" w:type="dxa"/>
            <w:shd w:val="clear" w:color="auto" w:fill="auto"/>
            <w:vAlign w:val="center"/>
          </w:tcPr>
          <w:p w14:paraId="630A9383" w14:textId="77777777" w:rsidR="00570834" w:rsidRPr="00A57170" w:rsidRDefault="00570834" w:rsidP="00C43FF7">
            <w:pPr>
              <w:jc w:val="center"/>
              <w:rPr>
                <w:rFonts w:cstheme="minorHAnsi"/>
              </w:rPr>
            </w:pPr>
            <w:r w:rsidRPr="00A57170">
              <w:rPr>
                <w:rFonts w:cstheme="minorHAnsi"/>
              </w:rPr>
              <w:t>57 (87.7)</w:t>
            </w:r>
          </w:p>
        </w:tc>
      </w:tr>
      <w:tr w:rsidR="00570834" w:rsidRPr="00A57170" w14:paraId="706D550A" w14:textId="77777777" w:rsidTr="00FC7F88">
        <w:tc>
          <w:tcPr>
            <w:tcW w:w="2127" w:type="dxa"/>
            <w:shd w:val="clear" w:color="auto" w:fill="auto"/>
            <w:vAlign w:val="center"/>
          </w:tcPr>
          <w:p w14:paraId="08FBC0C6" w14:textId="77777777" w:rsidR="00570834" w:rsidRDefault="00570834" w:rsidP="00C43FF7">
            <w:pPr>
              <w:jc w:val="center"/>
              <w:rPr>
                <w:rFonts w:cstheme="minorHAnsi"/>
              </w:rPr>
            </w:pPr>
            <w:r w:rsidRPr="00A57170">
              <w:rPr>
                <w:rFonts w:cstheme="minorHAnsi"/>
              </w:rPr>
              <w:t>Sex (female)</w:t>
            </w:r>
          </w:p>
          <w:p w14:paraId="3D1F1D02" w14:textId="77777777" w:rsidR="00570834" w:rsidRPr="007105CA" w:rsidRDefault="00570834" w:rsidP="00C43FF7">
            <w:pPr>
              <w:jc w:val="center"/>
              <w:rPr>
                <w:rFonts w:cstheme="minorHAnsi"/>
                <w:sz w:val="20"/>
                <w:szCs w:val="20"/>
              </w:rPr>
            </w:pPr>
            <w:r w:rsidRPr="007105CA">
              <w:rPr>
                <w:rFonts w:cstheme="minorHAnsi"/>
                <w:color w:val="7F7F7F" w:themeColor="text1" w:themeTint="80"/>
                <w:sz w:val="20"/>
                <w:szCs w:val="20"/>
              </w:rPr>
              <w:t>N</w:t>
            </w:r>
            <w:r>
              <w:rPr>
                <w:rFonts w:cstheme="minorHAnsi"/>
                <w:color w:val="7F7F7F" w:themeColor="text1" w:themeTint="80"/>
                <w:sz w:val="20"/>
                <w:szCs w:val="20"/>
              </w:rPr>
              <w:t xml:space="preserve"> </w:t>
            </w:r>
            <w:r w:rsidRPr="007105CA">
              <w:rPr>
                <w:rFonts w:cstheme="minorHAnsi"/>
                <w:color w:val="7F7F7F" w:themeColor="text1" w:themeTint="80"/>
                <w:sz w:val="20"/>
                <w:szCs w:val="20"/>
              </w:rPr>
              <w:t>(%)</w:t>
            </w:r>
          </w:p>
        </w:tc>
        <w:tc>
          <w:tcPr>
            <w:tcW w:w="697" w:type="dxa"/>
            <w:shd w:val="clear" w:color="auto" w:fill="auto"/>
            <w:vAlign w:val="center"/>
          </w:tcPr>
          <w:p w14:paraId="6DA8AE97" w14:textId="77777777" w:rsidR="00570834" w:rsidRPr="00A57170" w:rsidRDefault="00570834" w:rsidP="00C43FF7">
            <w:pPr>
              <w:jc w:val="center"/>
              <w:rPr>
                <w:rFonts w:cstheme="minorHAnsi"/>
              </w:rPr>
            </w:pPr>
            <w:r w:rsidRPr="00A57170">
              <w:rPr>
                <w:rFonts w:cstheme="minorHAnsi"/>
              </w:rPr>
              <w:t>64</w:t>
            </w:r>
          </w:p>
        </w:tc>
        <w:tc>
          <w:tcPr>
            <w:tcW w:w="2563" w:type="dxa"/>
            <w:shd w:val="clear" w:color="auto" w:fill="auto"/>
            <w:vAlign w:val="center"/>
          </w:tcPr>
          <w:p w14:paraId="7B3EC107" w14:textId="77777777" w:rsidR="00570834" w:rsidRPr="00A57170" w:rsidRDefault="00570834" w:rsidP="00C43FF7">
            <w:pPr>
              <w:jc w:val="center"/>
              <w:rPr>
                <w:rFonts w:cstheme="minorHAnsi"/>
              </w:rPr>
            </w:pPr>
            <w:r w:rsidRPr="00A57170">
              <w:rPr>
                <w:rFonts w:cstheme="minorHAnsi"/>
              </w:rPr>
              <w:t>32 (50)</w:t>
            </w:r>
          </w:p>
        </w:tc>
        <w:tc>
          <w:tcPr>
            <w:tcW w:w="709" w:type="dxa"/>
            <w:shd w:val="clear" w:color="auto" w:fill="auto"/>
            <w:vAlign w:val="center"/>
          </w:tcPr>
          <w:p w14:paraId="31801238" w14:textId="77777777" w:rsidR="00570834" w:rsidRPr="00A57170" w:rsidRDefault="00570834" w:rsidP="00C43FF7">
            <w:pPr>
              <w:jc w:val="center"/>
              <w:rPr>
                <w:rFonts w:cstheme="minorHAnsi"/>
              </w:rPr>
            </w:pPr>
            <w:r w:rsidRPr="00A57170">
              <w:rPr>
                <w:rFonts w:cstheme="minorHAnsi"/>
              </w:rPr>
              <w:t>65</w:t>
            </w:r>
          </w:p>
        </w:tc>
        <w:tc>
          <w:tcPr>
            <w:tcW w:w="2693" w:type="dxa"/>
            <w:shd w:val="clear" w:color="auto" w:fill="auto"/>
            <w:vAlign w:val="center"/>
          </w:tcPr>
          <w:p w14:paraId="1947BEBF" w14:textId="77777777" w:rsidR="00570834" w:rsidRPr="00A57170" w:rsidRDefault="00570834" w:rsidP="00C43FF7">
            <w:pPr>
              <w:jc w:val="center"/>
              <w:rPr>
                <w:rFonts w:cstheme="minorHAnsi"/>
              </w:rPr>
            </w:pPr>
            <w:r w:rsidRPr="00A57170">
              <w:rPr>
                <w:rFonts w:cstheme="minorHAnsi"/>
              </w:rPr>
              <w:t>41 (63.1)</w:t>
            </w:r>
          </w:p>
        </w:tc>
      </w:tr>
      <w:tr w:rsidR="00570834" w:rsidRPr="00A57170" w14:paraId="7FB41AC4" w14:textId="77777777" w:rsidTr="00FC7F88">
        <w:tc>
          <w:tcPr>
            <w:tcW w:w="2127" w:type="dxa"/>
            <w:shd w:val="clear" w:color="auto" w:fill="auto"/>
            <w:vAlign w:val="center"/>
          </w:tcPr>
          <w:p w14:paraId="2D644E8E" w14:textId="77777777" w:rsidR="00570834" w:rsidRDefault="00570834" w:rsidP="00C43FF7">
            <w:pPr>
              <w:jc w:val="center"/>
              <w:rPr>
                <w:rFonts w:cstheme="minorHAnsi"/>
              </w:rPr>
            </w:pPr>
            <w:r w:rsidRPr="00A57170">
              <w:rPr>
                <w:rFonts w:cstheme="minorHAnsi"/>
              </w:rPr>
              <w:t>Birthweight (g)</w:t>
            </w:r>
          </w:p>
          <w:p w14:paraId="7C26630B" w14:textId="77777777" w:rsidR="00570834" w:rsidRPr="00A57170" w:rsidRDefault="00570834" w:rsidP="00C43FF7">
            <w:pPr>
              <w:jc w:val="center"/>
              <w:rPr>
                <w:rFonts w:cstheme="minorHAnsi"/>
              </w:rPr>
            </w:pPr>
            <w:r w:rsidRPr="00A134F1">
              <w:rPr>
                <w:rFonts w:cstheme="minorHAnsi"/>
                <w:color w:val="7F7F7F" w:themeColor="text1" w:themeTint="80"/>
                <w:sz w:val="20"/>
                <w:szCs w:val="20"/>
              </w:rPr>
              <w:t>Median (range)</w:t>
            </w:r>
          </w:p>
        </w:tc>
        <w:tc>
          <w:tcPr>
            <w:tcW w:w="697" w:type="dxa"/>
            <w:shd w:val="clear" w:color="auto" w:fill="auto"/>
            <w:vAlign w:val="center"/>
          </w:tcPr>
          <w:p w14:paraId="67B28572" w14:textId="77777777" w:rsidR="00570834" w:rsidRPr="00A57170" w:rsidRDefault="00570834" w:rsidP="00C43FF7">
            <w:pPr>
              <w:jc w:val="center"/>
              <w:rPr>
                <w:rFonts w:cstheme="minorHAnsi"/>
              </w:rPr>
            </w:pPr>
            <w:r w:rsidRPr="00A57170">
              <w:rPr>
                <w:rFonts w:cstheme="minorHAnsi"/>
              </w:rPr>
              <w:t>64</w:t>
            </w:r>
          </w:p>
        </w:tc>
        <w:tc>
          <w:tcPr>
            <w:tcW w:w="2563" w:type="dxa"/>
            <w:shd w:val="clear" w:color="auto" w:fill="auto"/>
            <w:vAlign w:val="center"/>
          </w:tcPr>
          <w:p w14:paraId="46B64858" w14:textId="517B2B1F" w:rsidR="00570834" w:rsidRPr="00A57170" w:rsidRDefault="00570834" w:rsidP="00C43FF7">
            <w:pPr>
              <w:jc w:val="center"/>
              <w:rPr>
                <w:rFonts w:cstheme="minorHAnsi"/>
              </w:rPr>
            </w:pPr>
            <w:r w:rsidRPr="00A57170">
              <w:rPr>
                <w:rFonts w:cstheme="minorHAnsi"/>
              </w:rPr>
              <w:t>126</w:t>
            </w:r>
            <w:r>
              <w:rPr>
                <w:rFonts w:cstheme="minorHAnsi"/>
              </w:rPr>
              <w:t>2.5</w:t>
            </w:r>
            <w:r w:rsidRPr="00A57170">
              <w:rPr>
                <w:rFonts w:cstheme="minorHAnsi"/>
              </w:rPr>
              <w:t xml:space="preserve"> (575-2790)</w:t>
            </w:r>
          </w:p>
        </w:tc>
        <w:tc>
          <w:tcPr>
            <w:tcW w:w="709" w:type="dxa"/>
            <w:shd w:val="clear" w:color="auto" w:fill="auto"/>
            <w:vAlign w:val="center"/>
          </w:tcPr>
          <w:p w14:paraId="5A024151" w14:textId="77777777" w:rsidR="00570834" w:rsidRPr="00A57170" w:rsidRDefault="00570834" w:rsidP="00C43FF7">
            <w:pPr>
              <w:jc w:val="center"/>
              <w:rPr>
                <w:rFonts w:cstheme="minorHAnsi"/>
              </w:rPr>
            </w:pPr>
            <w:r w:rsidRPr="00A57170">
              <w:rPr>
                <w:rFonts w:cstheme="minorHAnsi"/>
              </w:rPr>
              <w:t>65</w:t>
            </w:r>
          </w:p>
        </w:tc>
        <w:tc>
          <w:tcPr>
            <w:tcW w:w="2693" w:type="dxa"/>
            <w:shd w:val="clear" w:color="auto" w:fill="auto"/>
            <w:vAlign w:val="center"/>
          </w:tcPr>
          <w:p w14:paraId="2390A91A" w14:textId="77777777" w:rsidR="00570834" w:rsidRPr="00A57170" w:rsidRDefault="00570834" w:rsidP="00C43FF7">
            <w:pPr>
              <w:jc w:val="center"/>
              <w:rPr>
                <w:rFonts w:cstheme="minorHAnsi"/>
              </w:rPr>
            </w:pPr>
            <w:r w:rsidRPr="00A57170">
              <w:rPr>
                <w:rFonts w:cstheme="minorHAnsi"/>
              </w:rPr>
              <w:t>1350 (490-2610)</w:t>
            </w:r>
          </w:p>
        </w:tc>
      </w:tr>
      <w:tr w:rsidR="00570834" w:rsidRPr="00A57170" w14:paraId="4C092811" w14:textId="77777777" w:rsidTr="00FC7F88">
        <w:tc>
          <w:tcPr>
            <w:tcW w:w="2127" w:type="dxa"/>
            <w:shd w:val="clear" w:color="auto" w:fill="auto"/>
            <w:vAlign w:val="center"/>
          </w:tcPr>
          <w:p w14:paraId="3B73C69E" w14:textId="77777777" w:rsidR="00570834" w:rsidRDefault="00570834" w:rsidP="00C43FF7">
            <w:pPr>
              <w:jc w:val="center"/>
              <w:rPr>
                <w:rFonts w:cstheme="minorHAnsi"/>
              </w:rPr>
            </w:pPr>
            <w:r w:rsidRPr="00A57170">
              <w:rPr>
                <w:rFonts w:cstheme="minorHAnsi"/>
              </w:rPr>
              <w:t>CLD</w:t>
            </w:r>
          </w:p>
          <w:p w14:paraId="63976726" w14:textId="77777777" w:rsidR="00570834" w:rsidRPr="007105CA" w:rsidRDefault="00570834" w:rsidP="00C43FF7">
            <w:pPr>
              <w:jc w:val="center"/>
              <w:rPr>
                <w:rFonts w:cstheme="minorHAnsi"/>
                <w:sz w:val="20"/>
                <w:szCs w:val="20"/>
              </w:rPr>
            </w:pPr>
            <w:r w:rsidRPr="007105CA">
              <w:rPr>
                <w:rFonts w:cstheme="minorHAnsi"/>
                <w:color w:val="7F7F7F" w:themeColor="text1" w:themeTint="80"/>
                <w:sz w:val="20"/>
                <w:szCs w:val="20"/>
              </w:rPr>
              <w:t>N (%)</w:t>
            </w:r>
          </w:p>
        </w:tc>
        <w:tc>
          <w:tcPr>
            <w:tcW w:w="697" w:type="dxa"/>
            <w:shd w:val="clear" w:color="auto" w:fill="auto"/>
            <w:vAlign w:val="center"/>
          </w:tcPr>
          <w:p w14:paraId="425D0F25" w14:textId="77777777" w:rsidR="00570834" w:rsidRPr="00A57170" w:rsidRDefault="00570834" w:rsidP="00C43FF7">
            <w:pPr>
              <w:jc w:val="center"/>
              <w:rPr>
                <w:rFonts w:cstheme="minorHAnsi"/>
              </w:rPr>
            </w:pPr>
            <w:r w:rsidRPr="00A57170">
              <w:rPr>
                <w:rFonts w:cstheme="minorHAnsi"/>
              </w:rPr>
              <w:t>64</w:t>
            </w:r>
          </w:p>
        </w:tc>
        <w:tc>
          <w:tcPr>
            <w:tcW w:w="2563" w:type="dxa"/>
            <w:shd w:val="clear" w:color="auto" w:fill="auto"/>
            <w:vAlign w:val="center"/>
          </w:tcPr>
          <w:p w14:paraId="071ADF54" w14:textId="77777777" w:rsidR="00570834" w:rsidRPr="00A57170" w:rsidRDefault="00570834" w:rsidP="00C43FF7">
            <w:pPr>
              <w:jc w:val="center"/>
              <w:rPr>
                <w:rFonts w:cstheme="minorHAnsi"/>
              </w:rPr>
            </w:pPr>
            <w:r w:rsidRPr="00A57170">
              <w:rPr>
                <w:rFonts w:cstheme="minorHAnsi"/>
              </w:rPr>
              <w:t>17 (26.6)</w:t>
            </w:r>
          </w:p>
        </w:tc>
        <w:tc>
          <w:tcPr>
            <w:tcW w:w="709" w:type="dxa"/>
            <w:shd w:val="clear" w:color="auto" w:fill="auto"/>
            <w:vAlign w:val="center"/>
          </w:tcPr>
          <w:p w14:paraId="2CF647AC" w14:textId="77777777" w:rsidR="00570834" w:rsidRPr="00A57170" w:rsidRDefault="00570834" w:rsidP="00C43FF7">
            <w:pPr>
              <w:jc w:val="center"/>
              <w:rPr>
                <w:rFonts w:cstheme="minorHAnsi"/>
              </w:rPr>
            </w:pPr>
            <w:r w:rsidRPr="00A57170">
              <w:rPr>
                <w:rFonts w:cstheme="minorHAnsi"/>
              </w:rPr>
              <w:t>65</w:t>
            </w:r>
          </w:p>
        </w:tc>
        <w:tc>
          <w:tcPr>
            <w:tcW w:w="2693" w:type="dxa"/>
            <w:shd w:val="clear" w:color="auto" w:fill="auto"/>
            <w:vAlign w:val="center"/>
          </w:tcPr>
          <w:p w14:paraId="7F286720" w14:textId="77777777" w:rsidR="00570834" w:rsidRPr="00A57170" w:rsidRDefault="00570834" w:rsidP="00C43FF7">
            <w:pPr>
              <w:jc w:val="center"/>
              <w:rPr>
                <w:rFonts w:cstheme="minorHAnsi"/>
              </w:rPr>
            </w:pPr>
            <w:r w:rsidRPr="00A57170">
              <w:rPr>
                <w:rFonts w:cstheme="minorHAnsi"/>
              </w:rPr>
              <w:t>15 (23.1)</w:t>
            </w:r>
          </w:p>
        </w:tc>
      </w:tr>
      <w:tr w:rsidR="00570834" w:rsidRPr="00A57170" w14:paraId="7FB96732" w14:textId="77777777" w:rsidTr="00FC7F88">
        <w:tc>
          <w:tcPr>
            <w:tcW w:w="2127" w:type="dxa"/>
            <w:shd w:val="clear" w:color="auto" w:fill="auto"/>
            <w:vAlign w:val="center"/>
          </w:tcPr>
          <w:p w14:paraId="1652EE51" w14:textId="77777777" w:rsidR="00570834" w:rsidRDefault="00570834" w:rsidP="00C43FF7">
            <w:pPr>
              <w:jc w:val="center"/>
              <w:rPr>
                <w:rFonts w:cstheme="minorHAnsi"/>
              </w:rPr>
            </w:pPr>
            <w:r w:rsidRPr="00A57170">
              <w:rPr>
                <w:rFonts w:cstheme="minorHAnsi"/>
              </w:rPr>
              <w:t>SGA</w:t>
            </w:r>
          </w:p>
          <w:p w14:paraId="068D609D" w14:textId="77777777" w:rsidR="00570834" w:rsidRPr="007105CA" w:rsidRDefault="00570834" w:rsidP="00C43FF7">
            <w:pPr>
              <w:jc w:val="center"/>
              <w:rPr>
                <w:rFonts w:cstheme="minorHAnsi"/>
                <w:sz w:val="20"/>
                <w:szCs w:val="20"/>
              </w:rPr>
            </w:pPr>
            <w:r w:rsidRPr="007105CA">
              <w:rPr>
                <w:rFonts w:cstheme="minorHAnsi"/>
                <w:color w:val="7F7F7F" w:themeColor="text1" w:themeTint="80"/>
                <w:sz w:val="20"/>
                <w:szCs w:val="20"/>
              </w:rPr>
              <w:t>N (%)</w:t>
            </w:r>
          </w:p>
        </w:tc>
        <w:tc>
          <w:tcPr>
            <w:tcW w:w="697" w:type="dxa"/>
            <w:shd w:val="clear" w:color="auto" w:fill="auto"/>
            <w:vAlign w:val="center"/>
          </w:tcPr>
          <w:p w14:paraId="78C00993" w14:textId="77777777" w:rsidR="00570834" w:rsidRPr="00A57170" w:rsidRDefault="00570834" w:rsidP="00C43FF7">
            <w:pPr>
              <w:jc w:val="center"/>
              <w:rPr>
                <w:rFonts w:cstheme="minorHAnsi"/>
              </w:rPr>
            </w:pPr>
            <w:r w:rsidRPr="00A57170">
              <w:rPr>
                <w:rFonts w:cstheme="minorHAnsi"/>
              </w:rPr>
              <w:t>64</w:t>
            </w:r>
          </w:p>
        </w:tc>
        <w:tc>
          <w:tcPr>
            <w:tcW w:w="2563" w:type="dxa"/>
            <w:shd w:val="clear" w:color="auto" w:fill="auto"/>
            <w:vAlign w:val="center"/>
          </w:tcPr>
          <w:p w14:paraId="7A3C427C" w14:textId="77777777" w:rsidR="00570834" w:rsidRPr="00A57170" w:rsidRDefault="00570834" w:rsidP="00C43FF7">
            <w:pPr>
              <w:jc w:val="center"/>
              <w:rPr>
                <w:rFonts w:cstheme="minorHAnsi"/>
              </w:rPr>
            </w:pPr>
            <w:r w:rsidRPr="00A57170">
              <w:rPr>
                <w:rFonts w:cstheme="minorHAnsi"/>
              </w:rPr>
              <w:t>5 (7.8)</w:t>
            </w:r>
          </w:p>
        </w:tc>
        <w:tc>
          <w:tcPr>
            <w:tcW w:w="709" w:type="dxa"/>
            <w:shd w:val="clear" w:color="auto" w:fill="auto"/>
            <w:vAlign w:val="center"/>
          </w:tcPr>
          <w:p w14:paraId="74CF9970" w14:textId="77777777" w:rsidR="00570834" w:rsidRPr="00A57170" w:rsidRDefault="00570834" w:rsidP="00C43FF7">
            <w:pPr>
              <w:jc w:val="center"/>
              <w:rPr>
                <w:rFonts w:cstheme="minorHAnsi"/>
              </w:rPr>
            </w:pPr>
            <w:r w:rsidRPr="00A57170">
              <w:rPr>
                <w:rFonts w:cstheme="minorHAnsi"/>
              </w:rPr>
              <w:t>65</w:t>
            </w:r>
          </w:p>
        </w:tc>
        <w:tc>
          <w:tcPr>
            <w:tcW w:w="2693" w:type="dxa"/>
            <w:shd w:val="clear" w:color="auto" w:fill="auto"/>
            <w:vAlign w:val="center"/>
          </w:tcPr>
          <w:p w14:paraId="5B3E4A68" w14:textId="77777777" w:rsidR="00570834" w:rsidRPr="00A57170" w:rsidRDefault="00570834" w:rsidP="00C43FF7">
            <w:pPr>
              <w:jc w:val="center"/>
              <w:rPr>
                <w:rFonts w:cstheme="minorHAnsi"/>
              </w:rPr>
            </w:pPr>
            <w:r w:rsidRPr="00A57170">
              <w:rPr>
                <w:rFonts w:cstheme="minorHAnsi"/>
              </w:rPr>
              <w:t>10 (15.4)</w:t>
            </w:r>
          </w:p>
        </w:tc>
      </w:tr>
      <w:tr w:rsidR="00570834" w:rsidRPr="00A57170" w14:paraId="53DBA085" w14:textId="77777777" w:rsidTr="00FC7F88">
        <w:tc>
          <w:tcPr>
            <w:tcW w:w="2127" w:type="dxa"/>
            <w:shd w:val="clear" w:color="auto" w:fill="auto"/>
            <w:vAlign w:val="center"/>
          </w:tcPr>
          <w:p w14:paraId="06B8ED31" w14:textId="77777777" w:rsidR="00570834" w:rsidRDefault="00570834" w:rsidP="00C43FF7">
            <w:pPr>
              <w:jc w:val="center"/>
              <w:rPr>
                <w:rFonts w:cstheme="minorHAnsi"/>
              </w:rPr>
            </w:pPr>
            <w:r w:rsidRPr="00A57170">
              <w:rPr>
                <w:rFonts w:cstheme="minorHAnsi"/>
              </w:rPr>
              <w:t>Blood transfusion</w:t>
            </w:r>
          </w:p>
          <w:p w14:paraId="7F70265F" w14:textId="77777777" w:rsidR="00570834" w:rsidRPr="007105CA" w:rsidRDefault="00570834" w:rsidP="00C43FF7">
            <w:pPr>
              <w:jc w:val="center"/>
              <w:rPr>
                <w:rFonts w:cstheme="minorHAnsi"/>
                <w:sz w:val="20"/>
                <w:szCs w:val="20"/>
              </w:rPr>
            </w:pPr>
            <w:r w:rsidRPr="007105CA">
              <w:rPr>
                <w:rFonts w:cstheme="minorHAnsi"/>
                <w:color w:val="7F7F7F" w:themeColor="text1" w:themeTint="80"/>
                <w:sz w:val="20"/>
                <w:szCs w:val="20"/>
              </w:rPr>
              <w:t>N (%)</w:t>
            </w:r>
          </w:p>
        </w:tc>
        <w:tc>
          <w:tcPr>
            <w:tcW w:w="697" w:type="dxa"/>
            <w:shd w:val="clear" w:color="auto" w:fill="auto"/>
            <w:vAlign w:val="center"/>
          </w:tcPr>
          <w:p w14:paraId="0C7D05D9" w14:textId="77777777" w:rsidR="00570834" w:rsidRPr="00A57170" w:rsidRDefault="00570834" w:rsidP="00C43FF7">
            <w:pPr>
              <w:jc w:val="center"/>
              <w:rPr>
                <w:rFonts w:cstheme="minorHAnsi"/>
              </w:rPr>
            </w:pPr>
            <w:r w:rsidRPr="00A57170">
              <w:rPr>
                <w:rFonts w:cstheme="minorHAnsi"/>
              </w:rPr>
              <w:t>64</w:t>
            </w:r>
          </w:p>
        </w:tc>
        <w:tc>
          <w:tcPr>
            <w:tcW w:w="2563" w:type="dxa"/>
            <w:shd w:val="clear" w:color="auto" w:fill="auto"/>
            <w:vAlign w:val="center"/>
          </w:tcPr>
          <w:p w14:paraId="335608B6" w14:textId="77777777" w:rsidR="00570834" w:rsidRPr="00A57170" w:rsidRDefault="00570834" w:rsidP="00C43FF7">
            <w:pPr>
              <w:jc w:val="center"/>
              <w:rPr>
                <w:rFonts w:cstheme="minorHAnsi"/>
              </w:rPr>
            </w:pPr>
            <w:r w:rsidRPr="00A57170">
              <w:rPr>
                <w:rFonts w:cstheme="minorHAnsi"/>
              </w:rPr>
              <w:t>25 (39.1)</w:t>
            </w:r>
          </w:p>
        </w:tc>
        <w:tc>
          <w:tcPr>
            <w:tcW w:w="709" w:type="dxa"/>
            <w:shd w:val="clear" w:color="auto" w:fill="auto"/>
            <w:vAlign w:val="center"/>
          </w:tcPr>
          <w:p w14:paraId="0698EE69" w14:textId="77777777" w:rsidR="00570834" w:rsidRPr="00A57170" w:rsidRDefault="00570834" w:rsidP="00C43FF7">
            <w:pPr>
              <w:jc w:val="center"/>
              <w:rPr>
                <w:rFonts w:cstheme="minorHAnsi"/>
              </w:rPr>
            </w:pPr>
            <w:r w:rsidRPr="00A57170">
              <w:rPr>
                <w:rFonts w:cstheme="minorHAnsi"/>
              </w:rPr>
              <w:t>65</w:t>
            </w:r>
          </w:p>
        </w:tc>
        <w:tc>
          <w:tcPr>
            <w:tcW w:w="2693" w:type="dxa"/>
            <w:shd w:val="clear" w:color="auto" w:fill="auto"/>
            <w:vAlign w:val="center"/>
          </w:tcPr>
          <w:p w14:paraId="33FEDFC7" w14:textId="77777777" w:rsidR="00570834" w:rsidRPr="00A57170" w:rsidRDefault="00570834" w:rsidP="00C43FF7">
            <w:pPr>
              <w:jc w:val="center"/>
              <w:rPr>
                <w:rFonts w:cstheme="minorHAnsi"/>
              </w:rPr>
            </w:pPr>
            <w:r w:rsidRPr="00A57170">
              <w:rPr>
                <w:rFonts w:cstheme="minorHAnsi"/>
              </w:rPr>
              <w:t>27 (41.5)</w:t>
            </w:r>
          </w:p>
        </w:tc>
      </w:tr>
      <w:tr w:rsidR="00570834" w:rsidRPr="00A57170" w14:paraId="5C105130" w14:textId="77777777" w:rsidTr="00FC7F88">
        <w:tc>
          <w:tcPr>
            <w:tcW w:w="2127" w:type="dxa"/>
            <w:shd w:val="clear" w:color="auto" w:fill="auto"/>
            <w:vAlign w:val="center"/>
          </w:tcPr>
          <w:p w14:paraId="2BA9F63E" w14:textId="77777777" w:rsidR="00570834" w:rsidRDefault="00570834" w:rsidP="00C43FF7">
            <w:pPr>
              <w:jc w:val="center"/>
              <w:rPr>
                <w:rFonts w:cstheme="minorHAnsi"/>
              </w:rPr>
            </w:pPr>
            <w:r w:rsidRPr="00A57170">
              <w:rPr>
                <w:rFonts w:cstheme="minorHAnsi"/>
              </w:rPr>
              <w:t>Antenatal steroids</w:t>
            </w:r>
          </w:p>
          <w:p w14:paraId="32587FE4" w14:textId="77777777" w:rsidR="00570834" w:rsidRPr="007105CA" w:rsidRDefault="00570834" w:rsidP="00C43FF7">
            <w:pPr>
              <w:jc w:val="center"/>
              <w:rPr>
                <w:rFonts w:cstheme="minorHAnsi"/>
                <w:sz w:val="20"/>
                <w:szCs w:val="20"/>
              </w:rPr>
            </w:pPr>
            <w:r w:rsidRPr="007105CA">
              <w:rPr>
                <w:rFonts w:cstheme="minorHAnsi"/>
                <w:color w:val="7F7F7F" w:themeColor="text1" w:themeTint="80"/>
                <w:sz w:val="20"/>
                <w:szCs w:val="20"/>
              </w:rPr>
              <w:t>N (%)</w:t>
            </w:r>
          </w:p>
        </w:tc>
        <w:tc>
          <w:tcPr>
            <w:tcW w:w="697" w:type="dxa"/>
            <w:shd w:val="clear" w:color="auto" w:fill="auto"/>
            <w:vAlign w:val="center"/>
          </w:tcPr>
          <w:p w14:paraId="082F1FBA" w14:textId="77777777" w:rsidR="00570834" w:rsidRPr="00A57170" w:rsidRDefault="00570834" w:rsidP="00C43FF7">
            <w:pPr>
              <w:jc w:val="center"/>
              <w:rPr>
                <w:rFonts w:cstheme="minorHAnsi"/>
              </w:rPr>
            </w:pPr>
            <w:r w:rsidRPr="00A57170">
              <w:rPr>
                <w:rFonts w:cstheme="minorHAnsi"/>
              </w:rPr>
              <w:t>64</w:t>
            </w:r>
          </w:p>
        </w:tc>
        <w:tc>
          <w:tcPr>
            <w:tcW w:w="2563" w:type="dxa"/>
            <w:shd w:val="clear" w:color="auto" w:fill="auto"/>
            <w:vAlign w:val="center"/>
          </w:tcPr>
          <w:p w14:paraId="12E0EA81" w14:textId="77777777" w:rsidR="00570834" w:rsidRPr="00A57170" w:rsidRDefault="00570834" w:rsidP="00C43FF7">
            <w:pPr>
              <w:jc w:val="center"/>
              <w:rPr>
                <w:rFonts w:cstheme="minorHAnsi"/>
              </w:rPr>
            </w:pPr>
            <w:r w:rsidRPr="00A57170">
              <w:rPr>
                <w:rFonts w:cstheme="minorHAnsi"/>
              </w:rPr>
              <w:t>59 (92.2)</w:t>
            </w:r>
          </w:p>
        </w:tc>
        <w:tc>
          <w:tcPr>
            <w:tcW w:w="709" w:type="dxa"/>
            <w:shd w:val="clear" w:color="auto" w:fill="auto"/>
            <w:vAlign w:val="center"/>
          </w:tcPr>
          <w:p w14:paraId="599118B9" w14:textId="77777777" w:rsidR="00570834" w:rsidRPr="00A57170" w:rsidRDefault="00570834" w:rsidP="00C43FF7">
            <w:pPr>
              <w:jc w:val="center"/>
              <w:rPr>
                <w:rFonts w:cstheme="minorHAnsi"/>
              </w:rPr>
            </w:pPr>
            <w:r w:rsidRPr="00A57170">
              <w:rPr>
                <w:rFonts w:cstheme="minorHAnsi"/>
              </w:rPr>
              <w:t>65</w:t>
            </w:r>
          </w:p>
        </w:tc>
        <w:tc>
          <w:tcPr>
            <w:tcW w:w="2693" w:type="dxa"/>
            <w:shd w:val="clear" w:color="auto" w:fill="auto"/>
            <w:vAlign w:val="center"/>
          </w:tcPr>
          <w:p w14:paraId="2E6E6473" w14:textId="77777777" w:rsidR="00570834" w:rsidRPr="00A57170" w:rsidRDefault="00570834" w:rsidP="00C43FF7">
            <w:pPr>
              <w:jc w:val="center"/>
              <w:rPr>
                <w:rFonts w:cstheme="minorHAnsi"/>
              </w:rPr>
            </w:pPr>
            <w:r w:rsidRPr="00A57170">
              <w:rPr>
                <w:rFonts w:cstheme="minorHAnsi"/>
              </w:rPr>
              <w:t>63 (96.9)</w:t>
            </w:r>
          </w:p>
        </w:tc>
      </w:tr>
      <w:tr w:rsidR="00570834" w:rsidRPr="00A57170" w14:paraId="058B3BCF" w14:textId="77777777" w:rsidTr="00FC7F88">
        <w:tc>
          <w:tcPr>
            <w:tcW w:w="2127" w:type="dxa"/>
            <w:shd w:val="clear" w:color="auto" w:fill="auto"/>
            <w:vAlign w:val="center"/>
          </w:tcPr>
          <w:p w14:paraId="79078E3A" w14:textId="77777777" w:rsidR="00570834" w:rsidRDefault="00570834" w:rsidP="00C43FF7">
            <w:pPr>
              <w:jc w:val="center"/>
              <w:rPr>
                <w:rFonts w:cstheme="minorHAnsi"/>
              </w:rPr>
            </w:pPr>
            <w:r w:rsidRPr="00A57170">
              <w:rPr>
                <w:rFonts w:cstheme="minorHAnsi"/>
              </w:rPr>
              <w:t>Postnatal steroids</w:t>
            </w:r>
          </w:p>
          <w:p w14:paraId="31E84793" w14:textId="77777777" w:rsidR="00570834" w:rsidRPr="007105CA" w:rsidRDefault="00570834" w:rsidP="00C43FF7">
            <w:pPr>
              <w:jc w:val="center"/>
              <w:rPr>
                <w:rFonts w:cstheme="minorHAnsi"/>
                <w:sz w:val="20"/>
                <w:szCs w:val="20"/>
              </w:rPr>
            </w:pPr>
            <w:r w:rsidRPr="007105CA">
              <w:rPr>
                <w:rFonts w:cstheme="minorHAnsi"/>
                <w:color w:val="7F7F7F" w:themeColor="text1" w:themeTint="80"/>
                <w:sz w:val="20"/>
                <w:szCs w:val="20"/>
              </w:rPr>
              <w:t>N (%)</w:t>
            </w:r>
          </w:p>
        </w:tc>
        <w:tc>
          <w:tcPr>
            <w:tcW w:w="697" w:type="dxa"/>
            <w:shd w:val="clear" w:color="auto" w:fill="auto"/>
            <w:vAlign w:val="center"/>
          </w:tcPr>
          <w:p w14:paraId="370E99A9" w14:textId="77777777" w:rsidR="00570834" w:rsidRPr="00A57170" w:rsidRDefault="00570834" w:rsidP="00C43FF7">
            <w:pPr>
              <w:jc w:val="center"/>
              <w:rPr>
                <w:rFonts w:cstheme="minorHAnsi"/>
              </w:rPr>
            </w:pPr>
            <w:r w:rsidRPr="00A57170">
              <w:rPr>
                <w:rFonts w:cstheme="minorHAnsi"/>
              </w:rPr>
              <w:t>64</w:t>
            </w:r>
          </w:p>
        </w:tc>
        <w:tc>
          <w:tcPr>
            <w:tcW w:w="2563" w:type="dxa"/>
            <w:shd w:val="clear" w:color="auto" w:fill="auto"/>
            <w:vAlign w:val="center"/>
          </w:tcPr>
          <w:p w14:paraId="4629B845" w14:textId="77777777" w:rsidR="00570834" w:rsidRPr="00A57170" w:rsidRDefault="00570834" w:rsidP="00C43FF7">
            <w:pPr>
              <w:jc w:val="center"/>
              <w:rPr>
                <w:rFonts w:cstheme="minorHAnsi"/>
              </w:rPr>
            </w:pPr>
            <w:r w:rsidRPr="00A57170">
              <w:rPr>
                <w:rFonts w:cstheme="minorHAnsi"/>
              </w:rPr>
              <w:t>5 (7.8)</w:t>
            </w:r>
          </w:p>
        </w:tc>
        <w:tc>
          <w:tcPr>
            <w:tcW w:w="709" w:type="dxa"/>
            <w:shd w:val="clear" w:color="auto" w:fill="auto"/>
            <w:vAlign w:val="center"/>
          </w:tcPr>
          <w:p w14:paraId="498EFAAB" w14:textId="77777777" w:rsidR="00570834" w:rsidRPr="00A57170" w:rsidRDefault="00570834" w:rsidP="00C43FF7">
            <w:pPr>
              <w:jc w:val="center"/>
              <w:rPr>
                <w:rFonts w:cstheme="minorHAnsi"/>
              </w:rPr>
            </w:pPr>
            <w:r w:rsidRPr="00A57170">
              <w:rPr>
                <w:rFonts w:cstheme="minorHAnsi"/>
              </w:rPr>
              <w:t>65</w:t>
            </w:r>
          </w:p>
        </w:tc>
        <w:tc>
          <w:tcPr>
            <w:tcW w:w="2693" w:type="dxa"/>
            <w:shd w:val="clear" w:color="auto" w:fill="auto"/>
            <w:vAlign w:val="center"/>
          </w:tcPr>
          <w:p w14:paraId="0D335687" w14:textId="77777777" w:rsidR="00570834" w:rsidRPr="00A57170" w:rsidRDefault="00570834" w:rsidP="00C43FF7">
            <w:pPr>
              <w:jc w:val="center"/>
              <w:rPr>
                <w:rFonts w:cstheme="minorHAnsi"/>
              </w:rPr>
            </w:pPr>
            <w:r w:rsidRPr="00A57170">
              <w:rPr>
                <w:rFonts w:cstheme="minorHAnsi"/>
              </w:rPr>
              <w:t>2 (3.1)</w:t>
            </w:r>
          </w:p>
        </w:tc>
      </w:tr>
    </w:tbl>
    <w:p w14:paraId="4982219B" w14:textId="77777777" w:rsidR="00570834" w:rsidRDefault="00570834" w:rsidP="00FC7F88">
      <w:pPr>
        <w:rPr>
          <w:rFonts w:cstheme="minorHAnsi"/>
          <w:color w:val="000000" w:themeColor="text1"/>
          <w:sz w:val="20"/>
          <w:szCs w:val="20"/>
        </w:rPr>
      </w:pPr>
      <w:r w:rsidRPr="007C0FFB">
        <w:rPr>
          <w:rFonts w:cstheme="minorHAnsi"/>
          <w:sz w:val="20"/>
          <w:szCs w:val="20"/>
        </w:rPr>
        <w:t>CLD</w:t>
      </w:r>
      <w:r>
        <w:rPr>
          <w:rFonts w:cstheme="minorHAnsi"/>
          <w:sz w:val="20"/>
          <w:szCs w:val="20"/>
        </w:rPr>
        <w:t>=</w:t>
      </w:r>
      <w:r w:rsidRPr="007C0FFB">
        <w:rPr>
          <w:rFonts w:cstheme="minorHAnsi"/>
          <w:sz w:val="20"/>
          <w:szCs w:val="20"/>
        </w:rPr>
        <w:t xml:space="preserve"> Chronic Lung Disease</w:t>
      </w:r>
      <w:r>
        <w:rPr>
          <w:rFonts w:cstheme="minorHAnsi"/>
          <w:sz w:val="20"/>
          <w:szCs w:val="20"/>
        </w:rPr>
        <w:t xml:space="preserve"> (supplementary oxygen +/- mechanical ventilation at &gt;28 days of life and at a corrected gestational age of &gt;36 weeks of gestation); SGA= Small for Gestational Age) &lt;10</w:t>
      </w:r>
      <w:r w:rsidRPr="00174F6D">
        <w:rPr>
          <w:rFonts w:cstheme="minorHAnsi"/>
          <w:sz w:val="20"/>
          <w:szCs w:val="20"/>
          <w:vertAlign w:val="superscript"/>
        </w:rPr>
        <w:t>th</w:t>
      </w:r>
      <w:r>
        <w:rPr>
          <w:rFonts w:cstheme="minorHAnsi"/>
          <w:sz w:val="20"/>
          <w:szCs w:val="20"/>
        </w:rPr>
        <w:t xml:space="preserve"> percentile for gestational age at birth); </w:t>
      </w:r>
      <w:r w:rsidRPr="001728BF">
        <w:rPr>
          <w:rFonts w:cstheme="minorHAnsi"/>
          <w:color w:val="000000" w:themeColor="text1"/>
          <w:sz w:val="20"/>
          <w:szCs w:val="20"/>
        </w:rPr>
        <w:t>g</w:t>
      </w:r>
      <w:r>
        <w:rPr>
          <w:rFonts w:cstheme="minorHAnsi"/>
          <w:color w:val="000000" w:themeColor="text1"/>
          <w:sz w:val="20"/>
          <w:szCs w:val="20"/>
        </w:rPr>
        <w:t>,</w:t>
      </w:r>
      <w:r w:rsidRPr="001728BF">
        <w:rPr>
          <w:rFonts w:cstheme="minorHAnsi"/>
          <w:color w:val="000000" w:themeColor="text1"/>
          <w:sz w:val="20"/>
          <w:szCs w:val="20"/>
        </w:rPr>
        <w:t xml:space="preserve"> gram</w:t>
      </w:r>
      <w:r>
        <w:rPr>
          <w:rFonts w:cstheme="minorHAnsi"/>
          <w:color w:val="000000" w:themeColor="text1"/>
          <w:sz w:val="20"/>
          <w:szCs w:val="20"/>
        </w:rPr>
        <w:t>mes.</w:t>
      </w:r>
    </w:p>
    <w:p w14:paraId="205013FF" w14:textId="77777777" w:rsidR="00570834" w:rsidRPr="007C0FFB" w:rsidRDefault="00570834" w:rsidP="003F1F46">
      <w:pPr>
        <w:spacing w:line="480" w:lineRule="auto"/>
        <w:rPr>
          <w:rFonts w:cstheme="minorHAnsi"/>
          <w:sz w:val="20"/>
          <w:szCs w:val="20"/>
        </w:rPr>
      </w:pPr>
    </w:p>
    <w:p w14:paraId="3B1BEB90" w14:textId="77777777" w:rsidR="00570834" w:rsidRPr="00380447" w:rsidRDefault="00570834" w:rsidP="003F1F46">
      <w:pPr>
        <w:spacing w:line="480" w:lineRule="auto"/>
        <w:rPr>
          <w:rFonts w:cstheme="minorHAnsi"/>
          <w:b/>
          <w:bCs/>
        </w:rPr>
      </w:pPr>
      <w:r w:rsidRPr="00380447">
        <w:rPr>
          <w:rFonts w:cstheme="minorHAnsi"/>
          <w:b/>
          <w:bCs/>
        </w:rPr>
        <w:t>Immunogenicity</w:t>
      </w:r>
    </w:p>
    <w:p w14:paraId="3928C98E" w14:textId="580059F8" w:rsidR="00570834" w:rsidRPr="00A57170" w:rsidRDefault="00570834" w:rsidP="003F1F46">
      <w:pPr>
        <w:spacing w:line="480" w:lineRule="auto"/>
        <w:rPr>
          <w:rFonts w:cstheme="minorHAnsi"/>
        </w:rPr>
      </w:pPr>
      <w:r w:rsidRPr="00980FC8">
        <w:rPr>
          <w:rFonts w:cstheme="minorHAnsi"/>
        </w:rPr>
        <w:t>Following both primary immunisation and boos</w:t>
      </w:r>
      <w:r w:rsidR="0068648D">
        <w:rPr>
          <w:rFonts w:cstheme="minorHAnsi"/>
        </w:rPr>
        <w:t>ter</w:t>
      </w:r>
      <w:r w:rsidRPr="00980FC8">
        <w:rPr>
          <w:rFonts w:cstheme="minorHAnsi"/>
        </w:rPr>
        <w:t>, there were no significant differences between schedules in SBA GMTs against strains 44/76-SL (</w:t>
      </w:r>
      <w:proofErr w:type="spellStart"/>
      <w:r w:rsidRPr="00980FC8">
        <w:rPr>
          <w:rFonts w:cstheme="minorHAnsi"/>
        </w:rPr>
        <w:t>fHbp</w:t>
      </w:r>
      <w:proofErr w:type="spellEnd"/>
      <w:r w:rsidRPr="00980FC8">
        <w:rPr>
          <w:rFonts w:cstheme="minorHAnsi"/>
        </w:rPr>
        <w:t>), 5/99 (</w:t>
      </w:r>
      <w:proofErr w:type="spellStart"/>
      <w:r w:rsidRPr="00980FC8">
        <w:rPr>
          <w:rFonts w:cstheme="minorHAnsi"/>
        </w:rPr>
        <w:t>NadA</w:t>
      </w:r>
      <w:proofErr w:type="spellEnd"/>
      <w:r w:rsidRPr="00980FC8">
        <w:rPr>
          <w:rFonts w:cstheme="minorHAnsi"/>
        </w:rPr>
        <w:t>) or NZ98/254 (</w:t>
      </w:r>
      <w:proofErr w:type="spellStart"/>
      <w:r w:rsidRPr="00980FC8">
        <w:rPr>
          <w:rFonts w:cstheme="minorHAnsi"/>
        </w:rPr>
        <w:t>PorA</w:t>
      </w:r>
      <w:proofErr w:type="spellEnd"/>
      <w:r w:rsidRPr="00980FC8">
        <w:rPr>
          <w:rFonts w:cstheme="minorHAnsi"/>
        </w:rPr>
        <w:t>) (</w:t>
      </w:r>
      <w:r w:rsidRPr="00980FC8">
        <w:rPr>
          <w:rFonts w:cstheme="minorHAnsi"/>
          <w:b/>
          <w:bCs/>
          <w:color w:val="FF0000"/>
        </w:rPr>
        <w:t>Figure 2; Supplementary material table 2</w:t>
      </w:r>
      <w:r w:rsidRPr="00980FC8">
        <w:rPr>
          <w:rFonts w:cstheme="minorHAnsi"/>
        </w:rPr>
        <w:t xml:space="preserve">). Prior to boosting, however, the SBA GMT </w:t>
      </w:r>
      <w:r w:rsidRPr="00980FC8">
        <w:rPr>
          <w:rFonts w:cstheme="minorHAnsi"/>
        </w:rPr>
        <w:lastRenderedPageBreak/>
        <w:t>against strain NZ98/254 (</w:t>
      </w:r>
      <w:proofErr w:type="spellStart"/>
      <w:r w:rsidRPr="00980FC8">
        <w:rPr>
          <w:rFonts w:cstheme="minorHAnsi"/>
        </w:rPr>
        <w:t>PorA</w:t>
      </w:r>
      <w:proofErr w:type="spellEnd"/>
      <w:r w:rsidRPr="00980FC8">
        <w:rPr>
          <w:rFonts w:cstheme="minorHAnsi"/>
        </w:rPr>
        <w:t xml:space="preserve">) was lower for infants receiving the 2+1 compared </w:t>
      </w:r>
      <w:r w:rsidR="00A435B0">
        <w:rPr>
          <w:rFonts w:cstheme="minorHAnsi"/>
        </w:rPr>
        <w:t>with</w:t>
      </w:r>
      <w:r w:rsidRPr="00980FC8">
        <w:rPr>
          <w:rFonts w:cstheme="minorHAnsi"/>
        </w:rPr>
        <w:t xml:space="preserve"> the 3+1 schedule (p=0.002).</w:t>
      </w:r>
    </w:p>
    <w:p w14:paraId="6CC9290C" w14:textId="516203A2" w:rsidR="00570834" w:rsidRPr="007C0FFB" w:rsidRDefault="00570834" w:rsidP="00997665">
      <w:pPr>
        <w:spacing w:line="480" w:lineRule="auto"/>
        <w:rPr>
          <w:rFonts w:eastAsia="Times New Roman" w:cstheme="minorHAnsi"/>
          <w:sz w:val="20"/>
          <w:szCs w:val="20"/>
          <w:lang w:eastAsia="en-GB"/>
        </w:rPr>
      </w:pPr>
    </w:p>
    <w:p w14:paraId="7C3890BD" w14:textId="4FD29CF6" w:rsidR="00570834" w:rsidRDefault="002D5D07" w:rsidP="003F1F46">
      <w:pPr>
        <w:textAlignment w:val="baseline"/>
        <w:rPr>
          <w:rFonts w:eastAsia="Times New Roman" w:cstheme="minorHAnsi"/>
          <w:b/>
          <w:bCs/>
          <w:lang w:eastAsia="en-GB"/>
        </w:rPr>
      </w:pPr>
      <w:bookmarkStart w:id="1" w:name="_Hlk168081513"/>
      <w:r>
        <w:rPr>
          <w:rFonts w:eastAsia="Times New Roman" w:cstheme="minorHAnsi"/>
          <w:b/>
          <w:bCs/>
          <w:lang w:eastAsia="en-GB"/>
        </w:rPr>
        <w:t>&lt;</w:t>
      </w:r>
      <w:r w:rsidR="00570834" w:rsidRPr="00A57170">
        <w:rPr>
          <w:rFonts w:eastAsia="Times New Roman" w:cstheme="minorHAnsi"/>
          <w:b/>
          <w:bCs/>
          <w:lang w:eastAsia="en-GB"/>
        </w:rPr>
        <w:t xml:space="preserve">Figure 2: GMTs and 95% confidence intervals for </w:t>
      </w:r>
      <w:r w:rsidR="00570834">
        <w:rPr>
          <w:rFonts w:eastAsia="Times New Roman" w:cstheme="minorHAnsi"/>
          <w:b/>
          <w:bCs/>
          <w:lang w:eastAsia="en-GB"/>
        </w:rPr>
        <w:t xml:space="preserve">serum bactericidal antibody against </w:t>
      </w:r>
      <w:r w:rsidR="00570834" w:rsidRPr="00A57170">
        <w:rPr>
          <w:rFonts w:eastAsia="Times New Roman" w:cstheme="minorHAnsi"/>
          <w:b/>
          <w:bCs/>
          <w:lang w:eastAsia="en-GB"/>
        </w:rPr>
        <w:t xml:space="preserve">three </w:t>
      </w:r>
      <w:r w:rsidR="00570834">
        <w:rPr>
          <w:rFonts w:eastAsia="Times New Roman" w:cstheme="minorHAnsi"/>
          <w:b/>
          <w:bCs/>
          <w:lang w:eastAsia="en-GB"/>
        </w:rPr>
        <w:t>strains</w:t>
      </w:r>
      <w:r w:rsidR="00570834" w:rsidRPr="00A57170">
        <w:rPr>
          <w:rFonts w:eastAsia="Times New Roman" w:cstheme="minorHAnsi"/>
          <w:b/>
          <w:bCs/>
          <w:lang w:eastAsia="en-GB"/>
        </w:rPr>
        <w:t xml:space="preserve"> post-primary</w:t>
      </w:r>
      <w:r w:rsidR="00570834">
        <w:rPr>
          <w:rFonts w:eastAsia="Times New Roman" w:cstheme="minorHAnsi"/>
          <w:b/>
          <w:bCs/>
          <w:lang w:eastAsia="en-GB"/>
        </w:rPr>
        <w:t>, pre-booster</w:t>
      </w:r>
      <w:r w:rsidR="00570834" w:rsidRPr="00A57170">
        <w:rPr>
          <w:rFonts w:eastAsia="Times New Roman" w:cstheme="minorHAnsi"/>
          <w:b/>
          <w:bCs/>
          <w:lang w:eastAsia="en-GB"/>
        </w:rPr>
        <w:t xml:space="preserve"> and post-booster vaccination</w:t>
      </w:r>
    </w:p>
    <w:p w14:paraId="2115ABB5" w14:textId="14FC6729" w:rsidR="00570834" w:rsidRDefault="00570834" w:rsidP="005B2562">
      <w:pPr>
        <w:rPr>
          <w:rFonts w:eastAsia="Times New Roman" w:cstheme="minorHAnsi"/>
          <w:sz w:val="20"/>
          <w:szCs w:val="20"/>
          <w:lang w:eastAsia="en-GB"/>
        </w:rPr>
      </w:pPr>
      <w:r>
        <w:rPr>
          <w:rFonts w:eastAsia="Times New Roman" w:cstheme="minorHAnsi"/>
          <w:sz w:val="20"/>
          <w:szCs w:val="20"/>
          <w:lang w:eastAsia="en-GB"/>
        </w:rPr>
        <w:t xml:space="preserve">** P= 0.002; GMT Geometric Mean Titre; </w:t>
      </w:r>
      <w:proofErr w:type="spellStart"/>
      <w:r w:rsidRPr="007C0FFB">
        <w:rPr>
          <w:rFonts w:eastAsia="Times New Roman" w:cstheme="minorHAnsi"/>
          <w:sz w:val="20"/>
          <w:szCs w:val="20"/>
          <w:lang w:eastAsia="en-GB"/>
        </w:rPr>
        <w:t>fHbp</w:t>
      </w:r>
      <w:proofErr w:type="spellEnd"/>
      <w:r w:rsidRPr="007C0FFB">
        <w:rPr>
          <w:rFonts w:eastAsia="Times New Roman" w:cstheme="minorHAnsi"/>
          <w:sz w:val="20"/>
          <w:szCs w:val="20"/>
          <w:lang w:eastAsia="en-GB"/>
        </w:rPr>
        <w:t xml:space="preserve"> factor H binding protein; </w:t>
      </w:r>
      <w:proofErr w:type="spellStart"/>
      <w:r w:rsidRPr="007C0FFB">
        <w:rPr>
          <w:rFonts w:eastAsia="Times New Roman" w:cstheme="minorHAnsi"/>
          <w:sz w:val="20"/>
          <w:szCs w:val="20"/>
          <w:lang w:eastAsia="en-GB"/>
        </w:rPr>
        <w:t>NadA</w:t>
      </w:r>
      <w:proofErr w:type="spellEnd"/>
      <w:r w:rsidRPr="007C0FFB">
        <w:rPr>
          <w:rFonts w:eastAsia="Times New Roman" w:cstheme="minorHAnsi"/>
          <w:sz w:val="20"/>
          <w:szCs w:val="20"/>
          <w:lang w:eastAsia="en-GB"/>
        </w:rPr>
        <w:t xml:space="preserve"> Neisseria adhesin A; </w:t>
      </w:r>
      <w:proofErr w:type="spellStart"/>
      <w:r w:rsidRPr="007C0FFB">
        <w:rPr>
          <w:rFonts w:eastAsia="Times New Roman" w:cstheme="minorHAnsi"/>
          <w:sz w:val="20"/>
          <w:szCs w:val="20"/>
          <w:lang w:eastAsia="en-GB"/>
        </w:rPr>
        <w:t>PorA</w:t>
      </w:r>
      <w:proofErr w:type="spellEnd"/>
      <w:r w:rsidRPr="007C0FFB">
        <w:rPr>
          <w:rFonts w:eastAsia="Times New Roman" w:cstheme="minorHAnsi"/>
          <w:sz w:val="20"/>
          <w:szCs w:val="20"/>
          <w:lang w:eastAsia="en-GB"/>
        </w:rPr>
        <w:t xml:space="preserve"> Porin A</w:t>
      </w:r>
      <w:r>
        <w:rPr>
          <w:rFonts w:eastAsia="Times New Roman" w:cstheme="minorHAnsi"/>
          <w:sz w:val="20"/>
          <w:szCs w:val="20"/>
          <w:lang w:eastAsia="en-GB"/>
        </w:rPr>
        <w:t>. Blood sampling was performed at 5 months (post-primary), 12 months (pre-booster) and 13 months (post-booster)</w:t>
      </w:r>
      <w:r w:rsidR="002D5D07">
        <w:rPr>
          <w:rFonts w:eastAsia="Times New Roman" w:cstheme="minorHAnsi"/>
          <w:sz w:val="20"/>
          <w:szCs w:val="20"/>
          <w:lang w:eastAsia="en-GB"/>
        </w:rPr>
        <w:t>&gt;</w:t>
      </w:r>
    </w:p>
    <w:bookmarkEnd w:id="1"/>
    <w:p w14:paraId="7169445C" w14:textId="77777777" w:rsidR="00570834" w:rsidRDefault="00570834" w:rsidP="007879F6">
      <w:pPr>
        <w:spacing w:line="480" w:lineRule="auto"/>
        <w:rPr>
          <w:rFonts w:cstheme="minorHAnsi"/>
        </w:rPr>
      </w:pPr>
    </w:p>
    <w:p w14:paraId="5DFAD3F1" w14:textId="3B3C119C" w:rsidR="00570834" w:rsidRDefault="00570834" w:rsidP="007879F6">
      <w:pPr>
        <w:spacing w:line="480" w:lineRule="auto"/>
        <w:rPr>
          <w:rFonts w:cstheme="minorHAnsi"/>
          <w:color w:val="000000" w:themeColor="text1"/>
        </w:rPr>
      </w:pPr>
      <w:r w:rsidRPr="00980FC8">
        <w:rPr>
          <w:rFonts w:cstheme="minorHAnsi"/>
        </w:rPr>
        <w:t xml:space="preserve">There were no significant differences in the percentage of infants with an SBA titre </w:t>
      </w:r>
      <w:r w:rsidRPr="00980FC8">
        <w:rPr>
          <w:rFonts w:cstheme="minorHAnsi"/>
          <w:noProof/>
          <w:color w:val="000000" w:themeColor="text1"/>
        </w:rPr>
        <w:t>≥4 against strain 44/76-SL (fHbp) or 5/99 (NadA) at any time point. A higher percentage of infants receiving the 3+1 schedule had SBA titres ≥4 against strain NZ98/254 (PorA) after primary immunisation and before the booster, but not after the booster (</w:t>
      </w:r>
      <w:r w:rsidRPr="00980FC8">
        <w:rPr>
          <w:rFonts w:cstheme="minorHAnsi"/>
          <w:b/>
          <w:bCs/>
          <w:noProof/>
          <w:color w:val="FF0000"/>
        </w:rPr>
        <w:t>Table 2</w:t>
      </w:r>
      <w:r w:rsidRPr="00980FC8">
        <w:rPr>
          <w:rFonts w:cstheme="minorHAnsi"/>
          <w:noProof/>
          <w:color w:val="000000" w:themeColor="text1"/>
        </w:rPr>
        <w:t>).</w:t>
      </w:r>
      <w:r w:rsidRPr="00F92C22">
        <w:rPr>
          <w:rFonts w:cstheme="minorHAnsi"/>
          <w:noProof/>
          <w:color w:val="000000" w:themeColor="text1"/>
        </w:rPr>
        <w:t xml:space="preserve"> </w:t>
      </w:r>
    </w:p>
    <w:p w14:paraId="7AA1A2F5" w14:textId="687F9074" w:rsidR="00570834" w:rsidRPr="004632C8" w:rsidRDefault="00570834" w:rsidP="004632C8">
      <w:pPr>
        <w:spacing w:before="240"/>
        <w:contextualSpacing/>
        <w:textAlignment w:val="baseline"/>
        <w:rPr>
          <w:rFonts w:eastAsia="Times New Roman" w:cstheme="minorHAnsi"/>
          <w:b/>
          <w:bCs/>
          <w:lang w:eastAsia="en-GB"/>
        </w:rPr>
      </w:pPr>
      <w:r w:rsidRPr="00A57170">
        <w:rPr>
          <w:rFonts w:eastAsia="Times New Roman" w:cstheme="minorHAnsi"/>
          <w:b/>
          <w:bCs/>
          <w:lang w:eastAsia="en-GB"/>
        </w:rPr>
        <w:t>Table 2:</w:t>
      </w:r>
      <w:r>
        <w:rPr>
          <w:rFonts w:eastAsia="Times New Roman" w:cstheme="minorHAnsi"/>
          <w:b/>
          <w:bCs/>
          <w:lang w:eastAsia="en-GB"/>
        </w:rPr>
        <w:t xml:space="preserve"> Percentages of participants with </w:t>
      </w:r>
      <w:r w:rsidR="00181E51">
        <w:rPr>
          <w:rFonts w:eastAsia="Times New Roman" w:cstheme="minorHAnsi"/>
          <w:b/>
          <w:bCs/>
          <w:lang w:eastAsia="en-GB"/>
        </w:rPr>
        <w:t>serum bactericidal activity (</w:t>
      </w:r>
      <w:r>
        <w:rPr>
          <w:rFonts w:eastAsia="Times New Roman" w:cstheme="minorHAnsi"/>
          <w:b/>
          <w:bCs/>
          <w:lang w:eastAsia="en-GB"/>
        </w:rPr>
        <w:t>SBA</w:t>
      </w:r>
      <w:r w:rsidR="00181E51">
        <w:rPr>
          <w:rFonts w:eastAsia="Times New Roman" w:cstheme="minorHAnsi"/>
          <w:b/>
          <w:bCs/>
          <w:lang w:eastAsia="en-GB"/>
        </w:rPr>
        <w:t>)</w:t>
      </w:r>
      <w:r>
        <w:rPr>
          <w:rFonts w:eastAsia="Times New Roman" w:cstheme="minorHAnsi"/>
          <w:b/>
          <w:bCs/>
          <w:lang w:eastAsia="en-GB"/>
        </w:rPr>
        <w:t xml:space="preserve"> titres</w:t>
      </w:r>
      <w:r w:rsidRPr="00A57170">
        <w:rPr>
          <w:rFonts w:eastAsia="Times New Roman" w:cstheme="minorHAnsi"/>
          <w:b/>
          <w:bCs/>
          <w:lang w:eastAsia="en-GB"/>
        </w:rPr>
        <w:t xml:space="preserve"> ≥1:4 for each of the tested antigens post-primary series and</w:t>
      </w:r>
      <w:r>
        <w:rPr>
          <w:rFonts w:eastAsia="Times New Roman" w:cstheme="minorHAnsi"/>
          <w:b/>
          <w:bCs/>
          <w:lang w:eastAsia="en-GB"/>
        </w:rPr>
        <w:t xml:space="preserve"> pre- and</w:t>
      </w:r>
      <w:r w:rsidRPr="00A57170">
        <w:rPr>
          <w:rFonts w:eastAsia="Times New Roman" w:cstheme="minorHAnsi"/>
          <w:b/>
          <w:bCs/>
          <w:lang w:eastAsia="en-GB"/>
        </w:rPr>
        <w:t xml:space="preserve"> post-booster vaccination</w:t>
      </w:r>
    </w:p>
    <w:tbl>
      <w:tblPr>
        <w:tblStyle w:val="TableGrid"/>
        <w:tblpPr w:leftFromText="180" w:rightFromText="180" w:vertAnchor="text" w:horzAnchor="margin" w:tblpX="-856" w:tblpY="29"/>
        <w:tblW w:w="10870" w:type="dxa"/>
        <w:tblLayout w:type="fixed"/>
        <w:tblLook w:val="04A0" w:firstRow="1" w:lastRow="0" w:firstColumn="1" w:lastColumn="0" w:noHBand="0" w:noVBand="1"/>
      </w:tblPr>
      <w:tblGrid>
        <w:gridCol w:w="1129"/>
        <w:gridCol w:w="1276"/>
        <w:gridCol w:w="1276"/>
        <w:gridCol w:w="812"/>
        <w:gridCol w:w="1153"/>
        <w:gridCol w:w="1153"/>
        <w:gridCol w:w="882"/>
        <w:gridCol w:w="1189"/>
        <w:gridCol w:w="1190"/>
        <w:gridCol w:w="810"/>
      </w:tblGrid>
      <w:tr w:rsidR="00570834" w:rsidRPr="00E53B27" w14:paraId="261A95BD" w14:textId="77777777" w:rsidTr="00CD56C1">
        <w:trPr>
          <w:trHeight w:val="515"/>
        </w:trPr>
        <w:tc>
          <w:tcPr>
            <w:tcW w:w="1129" w:type="dxa"/>
          </w:tcPr>
          <w:p w14:paraId="25F58C1D" w14:textId="77777777" w:rsidR="00570834" w:rsidRPr="00E53B27" w:rsidRDefault="00570834" w:rsidP="00307771">
            <w:pPr>
              <w:spacing w:line="480" w:lineRule="auto"/>
              <w:jc w:val="center"/>
              <w:textAlignment w:val="baseline"/>
              <w:rPr>
                <w:rFonts w:eastAsia="Times New Roman" w:cstheme="minorHAnsi"/>
                <w:b/>
                <w:bCs/>
                <w:sz w:val="22"/>
                <w:szCs w:val="22"/>
                <w:lang w:eastAsia="en-GB"/>
              </w:rPr>
            </w:pPr>
          </w:p>
        </w:tc>
        <w:tc>
          <w:tcPr>
            <w:tcW w:w="9741" w:type="dxa"/>
            <w:gridSpan w:val="9"/>
          </w:tcPr>
          <w:p w14:paraId="580CF8CB" w14:textId="77777777" w:rsidR="00570834" w:rsidRDefault="00570834" w:rsidP="00307771">
            <w:pPr>
              <w:jc w:val="center"/>
              <w:textAlignment w:val="baseline"/>
              <w:rPr>
                <w:rFonts w:eastAsia="Times New Roman" w:cstheme="minorHAnsi"/>
                <w:b/>
                <w:bCs/>
                <w:lang w:eastAsia="en-GB"/>
              </w:rPr>
            </w:pPr>
            <w:r>
              <w:rPr>
                <w:rFonts w:eastAsia="Times New Roman" w:cstheme="minorHAnsi"/>
                <w:b/>
                <w:bCs/>
                <w:sz w:val="22"/>
                <w:szCs w:val="22"/>
                <w:lang w:eastAsia="en-GB"/>
              </w:rPr>
              <w:t xml:space="preserve">Infants with SBA titre </w:t>
            </w:r>
            <w:r w:rsidRPr="00A57170">
              <w:rPr>
                <w:rFonts w:eastAsia="Times New Roman" w:cstheme="minorHAnsi"/>
                <w:b/>
                <w:bCs/>
                <w:lang w:eastAsia="en-GB"/>
              </w:rPr>
              <w:t>≥4</w:t>
            </w:r>
          </w:p>
          <w:p w14:paraId="04B16FCC" w14:textId="77777777" w:rsidR="00570834" w:rsidRPr="00E53B27" w:rsidRDefault="00570834" w:rsidP="00307771">
            <w:pPr>
              <w:jc w:val="center"/>
              <w:textAlignment w:val="baseline"/>
              <w:rPr>
                <w:rFonts w:eastAsia="Times New Roman" w:cstheme="minorHAnsi"/>
                <w:b/>
                <w:bCs/>
                <w:sz w:val="22"/>
                <w:szCs w:val="22"/>
                <w:lang w:eastAsia="en-GB"/>
              </w:rPr>
            </w:pPr>
            <w:r w:rsidRPr="00E53B27">
              <w:rPr>
                <w:rFonts w:eastAsia="Times New Roman" w:cstheme="minorHAnsi"/>
                <w:b/>
                <w:bCs/>
                <w:sz w:val="22"/>
                <w:szCs w:val="22"/>
                <w:lang w:eastAsia="en-GB"/>
              </w:rPr>
              <w:t>% (95% CI)</w:t>
            </w:r>
          </w:p>
        </w:tc>
      </w:tr>
      <w:tr w:rsidR="00570834" w:rsidRPr="00E53B27" w14:paraId="38CF716E" w14:textId="77777777" w:rsidTr="0077408A">
        <w:trPr>
          <w:trHeight w:val="515"/>
        </w:trPr>
        <w:tc>
          <w:tcPr>
            <w:tcW w:w="1129" w:type="dxa"/>
          </w:tcPr>
          <w:p w14:paraId="64EF4914" w14:textId="77777777" w:rsidR="00570834" w:rsidRPr="00E53B27" w:rsidRDefault="00570834" w:rsidP="00307771">
            <w:pPr>
              <w:spacing w:line="480" w:lineRule="auto"/>
              <w:jc w:val="center"/>
              <w:textAlignment w:val="baseline"/>
              <w:rPr>
                <w:rFonts w:eastAsia="Times New Roman" w:cstheme="minorHAnsi"/>
                <w:b/>
                <w:bCs/>
                <w:sz w:val="22"/>
                <w:szCs w:val="22"/>
                <w:lang w:eastAsia="en-GB"/>
              </w:rPr>
            </w:pPr>
          </w:p>
        </w:tc>
        <w:tc>
          <w:tcPr>
            <w:tcW w:w="3364" w:type="dxa"/>
            <w:gridSpan w:val="3"/>
          </w:tcPr>
          <w:p w14:paraId="4AD360CD" w14:textId="77777777" w:rsidR="00570834" w:rsidRPr="00E53B27" w:rsidRDefault="00570834" w:rsidP="005B2562">
            <w:pPr>
              <w:jc w:val="center"/>
              <w:textAlignment w:val="baseline"/>
              <w:rPr>
                <w:rFonts w:eastAsia="Times New Roman" w:cstheme="minorHAnsi"/>
                <w:b/>
                <w:bCs/>
                <w:sz w:val="22"/>
                <w:szCs w:val="22"/>
                <w:lang w:eastAsia="en-GB"/>
              </w:rPr>
            </w:pPr>
            <w:r w:rsidRPr="00E53B27">
              <w:rPr>
                <w:rFonts w:eastAsia="Times New Roman" w:cstheme="minorHAnsi"/>
                <w:b/>
                <w:bCs/>
                <w:sz w:val="22"/>
                <w:szCs w:val="22"/>
                <w:lang w:eastAsia="en-GB"/>
              </w:rPr>
              <w:t>Post-primary (5 months)</w:t>
            </w:r>
          </w:p>
        </w:tc>
        <w:tc>
          <w:tcPr>
            <w:tcW w:w="3188" w:type="dxa"/>
            <w:gridSpan w:val="3"/>
          </w:tcPr>
          <w:p w14:paraId="2A357ED4" w14:textId="77777777" w:rsidR="00570834" w:rsidRPr="00E53B27" w:rsidRDefault="00570834" w:rsidP="005B2562">
            <w:pPr>
              <w:jc w:val="center"/>
              <w:textAlignment w:val="baseline"/>
              <w:rPr>
                <w:rFonts w:eastAsia="Times New Roman" w:cstheme="minorHAnsi"/>
                <w:b/>
                <w:bCs/>
                <w:sz w:val="22"/>
                <w:szCs w:val="22"/>
                <w:lang w:eastAsia="en-GB"/>
              </w:rPr>
            </w:pPr>
            <w:r w:rsidRPr="00E53B27">
              <w:rPr>
                <w:rFonts w:eastAsia="Times New Roman" w:cstheme="minorHAnsi"/>
                <w:b/>
                <w:bCs/>
                <w:sz w:val="22"/>
                <w:szCs w:val="22"/>
                <w:lang w:eastAsia="en-GB"/>
              </w:rPr>
              <w:t>Pre-booster (12 months)</w:t>
            </w:r>
          </w:p>
        </w:tc>
        <w:tc>
          <w:tcPr>
            <w:tcW w:w="3189" w:type="dxa"/>
            <w:gridSpan w:val="3"/>
          </w:tcPr>
          <w:p w14:paraId="614F4323" w14:textId="77777777" w:rsidR="00570834" w:rsidRPr="00E53B27" w:rsidRDefault="00570834" w:rsidP="005B2562">
            <w:pPr>
              <w:jc w:val="center"/>
              <w:textAlignment w:val="baseline"/>
              <w:rPr>
                <w:rFonts w:eastAsia="Times New Roman" w:cstheme="minorHAnsi"/>
                <w:b/>
                <w:bCs/>
                <w:sz w:val="22"/>
                <w:szCs w:val="22"/>
                <w:lang w:eastAsia="en-GB"/>
              </w:rPr>
            </w:pPr>
            <w:r w:rsidRPr="00E53B27">
              <w:rPr>
                <w:rFonts w:eastAsia="Times New Roman" w:cstheme="minorHAnsi"/>
                <w:b/>
                <w:bCs/>
                <w:sz w:val="22"/>
                <w:szCs w:val="22"/>
                <w:lang w:eastAsia="en-GB"/>
              </w:rPr>
              <w:t>Post-booster (13 months)</w:t>
            </w:r>
          </w:p>
        </w:tc>
      </w:tr>
      <w:tr w:rsidR="00570834" w:rsidRPr="00E53B27" w14:paraId="63060A30" w14:textId="77777777" w:rsidTr="0077408A">
        <w:trPr>
          <w:trHeight w:val="793"/>
        </w:trPr>
        <w:tc>
          <w:tcPr>
            <w:tcW w:w="1129" w:type="dxa"/>
          </w:tcPr>
          <w:p w14:paraId="093F4907" w14:textId="77777777" w:rsidR="00570834" w:rsidRPr="00E53B27" w:rsidRDefault="00570834" w:rsidP="00307771">
            <w:pPr>
              <w:textAlignment w:val="baseline"/>
              <w:rPr>
                <w:rFonts w:ascii="inherit" w:eastAsia="Times New Roman" w:hAnsi="inherit" w:cs="Times New Roman"/>
                <w:sz w:val="22"/>
                <w:szCs w:val="22"/>
                <w:lang w:eastAsia="en-GB"/>
              </w:rPr>
            </w:pPr>
          </w:p>
        </w:tc>
        <w:tc>
          <w:tcPr>
            <w:tcW w:w="1276" w:type="dxa"/>
          </w:tcPr>
          <w:p w14:paraId="5BE150A2" w14:textId="77777777" w:rsidR="00570834" w:rsidRPr="00E53B27" w:rsidRDefault="00570834" w:rsidP="00307771">
            <w:pPr>
              <w:jc w:val="center"/>
              <w:textAlignment w:val="baseline"/>
              <w:rPr>
                <w:rFonts w:ascii="inherit" w:eastAsia="Times New Roman" w:hAnsi="inherit" w:cs="Times New Roman"/>
                <w:b/>
                <w:bCs/>
                <w:sz w:val="22"/>
                <w:szCs w:val="22"/>
                <w:lang w:eastAsia="en-GB"/>
              </w:rPr>
            </w:pPr>
            <w:r w:rsidRPr="00E53B27">
              <w:rPr>
                <w:rFonts w:eastAsia="Times New Roman" w:cstheme="minorHAnsi"/>
                <w:b/>
                <w:bCs/>
                <w:sz w:val="22"/>
                <w:szCs w:val="22"/>
                <w:lang w:eastAsia="en-GB"/>
              </w:rPr>
              <w:t>Group 1 (2+1)</w:t>
            </w:r>
          </w:p>
        </w:tc>
        <w:tc>
          <w:tcPr>
            <w:tcW w:w="1276" w:type="dxa"/>
          </w:tcPr>
          <w:p w14:paraId="6DDF2E71" w14:textId="77777777" w:rsidR="00570834" w:rsidRPr="00E53B27" w:rsidRDefault="00570834" w:rsidP="00307771">
            <w:pPr>
              <w:jc w:val="center"/>
              <w:textAlignment w:val="baseline"/>
              <w:rPr>
                <w:rFonts w:eastAsia="Times New Roman" w:cstheme="minorHAnsi"/>
                <w:b/>
                <w:bCs/>
                <w:sz w:val="22"/>
                <w:szCs w:val="22"/>
                <w:lang w:eastAsia="en-GB"/>
              </w:rPr>
            </w:pPr>
            <w:r w:rsidRPr="00E53B27">
              <w:rPr>
                <w:rFonts w:eastAsia="Times New Roman" w:cstheme="minorHAnsi"/>
                <w:b/>
                <w:bCs/>
                <w:sz w:val="22"/>
                <w:szCs w:val="22"/>
                <w:lang w:eastAsia="en-GB"/>
              </w:rPr>
              <w:t>Group 2 (3+1)</w:t>
            </w:r>
          </w:p>
        </w:tc>
        <w:tc>
          <w:tcPr>
            <w:tcW w:w="812" w:type="dxa"/>
          </w:tcPr>
          <w:p w14:paraId="26058BDB" w14:textId="77777777" w:rsidR="00570834" w:rsidRPr="00E53B27" w:rsidRDefault="00570834" w:rsidP="00307771">
            <w:pPr>
              <w:jc w:val="center"/>
              <w:textAlignment w:val="baseline"/>
              <w:rPr>
                <w:rFonts w:eastAsia="Times New Roman" w:cstheme="minorHAnsi"/>
                <w:b/>
                <w:bCs/>
                <w:sz w:val="22"/>
                <w:szCs w:val="22"/>
                <w:lang w:eastAsia="en-GB"/>
              </w:rPr>
            </w:pPr>
            <w:r w:rsidRPr="00E53B27">
              <w:rPr>
                <w:rFonts w:eastAsia="Times New Roman" w:cstheme="minorHAnsi"/>
                <w:b/>
                <w:bCs/>
                <w:sz w:val="22"/>
                <w:szCs w:val="22"/>
                <w:lang w:eastAsia="en-GB"/>
              </w:rPr>
              <w:t>P value</w:t>
            </w:r>
            <w:r w:rsidRPr="00E53B27">
              <w:rPr>
                <w:rFonts w:ascii="Calibri" w:eastAsia="Times New Roman" w:hAnsi="Calibri" w:cs="Calibri"/>
                <w:b/>
                <w:bCs/>
                <w:sz w:val="22"/>
                <w:szCs w:val="22"/>
                <w:lang w:eastAsia="en-GB"/>
              </w:rPr>
              <w:t>†</w:t>
            </w:r>
          </w:p>
        </w:tc>
        <w:tc>
          <w:tcPr>
            <w:tcW w:w="1153" w:type="dxa"/>
          </w:tcPr>
          <w:p w14:paraId="3DD30C21" w14:textId="77777777" w:rsidR="00570834" w:rsidRPr="00E53B27" w:rsidRDefault="00570834" w:rsidP="00307771">
            <w:pPr>
              <w:jc w:val="center"/>
              <w:textAlignment w:val="baseline"/>
              <w:rPr>
                <w:rFonts w:eastAsia="Times New Roman" w:cstheme="minorHAnsi"/>
                <w:b/>
                <w:bCs/>
                <w:sz w:val="22"/>
                <w:szCs w:val="22"/>
                <w:lang w:eastAsia="en-GB"/>
              </w:rPr>
            </w:pPr>
            <w:r w:rsidRPr="00E53B27">
              <w:rPr>
                <w:rFonts w:eastAsia="Times New Roman" w:cstheme="minorHAnsi"/>
                <w:b/>
                <w:bCs/>
                <w:sz w:val="22"/>
                <w:szCs w:val="22"/>
                <w:lang w:eastAsia="en-GB"/>
              </w:rPr>
              <w:t>Group 1</w:t>
            </w:r>
          </w:p>
          <w:p w14:paraId="648510F9" w14:textId="77777777" w:rsidR="00570834" w:rsidRPr="00E53B27" w:rsidRDefault="00570834" w:rsidP="00307771">
            <w:pPr>
              <w:jc w:val="center"/>
              <w:textAlignment w:val="baseline"/>
              <w:rPr>
                <w:rFonts w:ascii="inherit" w:eastAsia="Times New Roman" w:hAnsi="inherit" w:cs="Times New Roman"/>
                <w:b/>
                <w:bCs/>
                <w:sz w:val="22"/>
                <w:szCs w:val="22"/>
                <w:lang w:eastAsia="en-GB"/>
              </w:rPr>
            </w:pPr>
            <w:r w:rsidRPr="00E53B27">
              <w:rPr>
                <w:rFonts w:eastAsia="Times New Roman" w:cstheme="minorHAnsi"/>
                <w:b/>
                <w:bCs/>
                <w:sz w:val="22"/>
                <w:szCs w:val="22"/>
                <w:lang w:eastAsia="en-GB"/>
              </w:rPr>
              <w:t>(2+1)</w:t>
            </w:r>
          </w:p>
        </w:tc>
        <w:tc>
          <w:tcPr>
            <w:tcW w:w="1153" w:type="dxa"/>
          </w:tcPr>
          <w:p w14:paraId="5FE90921" w14:textId="77777777" w:rsidR="00570834" w:rsidRPr="00E53B27" w:rsidRDefault="00570834" w:rsidP="00307771">
            <w:pPr>
              <w:jc w:val="center"/>
              <w:textAlignment w:val="baseline"/>
              <w:rPr>
                <w:rFonts w:eastAsia="Times New Roman" w:cstheme="minorHAnsi"/>
                <w:b/>
                <w:bCs/>
                <w:sz w:val="22"/>
                <w:szCs w:val="22"/>
                <w:lang w:eastAsia="en-GB"/>
              </w:rPr>
            </w:pPr>
            <w:r w:rsidRPr="00E53B27">
              <w:rPr>
                <w:rFonts w:eastAsia="Times New Roman" w:cstheme="minorHAnsi"/>
                <w:b/>
                <w:bCs/>
                <w:sz w:val="22"/>
                <w:szCs w:val="22"/>
                <w:lang w:eastAsia="en-GB"/>
              </w:rPr>
              <w:t>Group 2</w:t>
            </w:r>
          </w:p>
          <w:p w14:paraId="0A102DAE" w14:textId="77777777" w:rsidR="00570834" w:rsidRPr="00E53B27" w:rsidRDefault="00570834" w:rsidP="00307771">
            <w:pPr>
              <w:jc w:val="center"/>
              <w:textAlignment w:val="baseline"/>
              <w:rPr>
                <w:rFonts w:ascii="inherit" w:eastAsia="Times New Roman" w:hAnsi="inherit" w:cs="Times New Roman"/>
                <w:b/>
                <w:bCs/>
                <w:sz w:val="22"/>
                <w:szCs w:val="22"/>
                <w:lang w:eastAsia="en-GB"/>
              </w:rPr>
            </w:pPr>
            <w:r w:rsidRPr="00E53B27">
              <w:rPr>
                <w:rFonts w:eastAsia="Times New Roman" w:cstheme="minorHAnsi"/>
                <w:b/>
                <w:bCs/>
                <w:sz w:val="22"/>
                <w:szCs w:val="22"/>
                <w:lang w:eastAsia="en-GB"/>
              </w:rPr>
              <w:t>(3+1)</w:t>
            </w:r>
          </w:p>
        </w:tc>
        <w:tc>
          <w:tcPr>
            <w:tcW w:w="882" w:type="dxa"/>
          </w:tcPr>
          <w:p w14:paraId="29B514E6" w14:textId="77777777" w:rsidR="00570834" w:rsidRPr="00E53B27" w:rsidRDefault="00570834" w:rsidP="00307771">
            <w:pPr>
              <w:jc w:val="center"/>
              <w:textAlignment w:val="baseline"/>
              <w:rPr>
                <w:rFonts w:ascii="inherit" w:eastAsia="Times New Roman" w:hAnsi="inherit" w:cs="Times New Roman"/>
                <w:b/>
                <w:bCs/>
                <w:sz w:val="22"/>
                <w:szCs w:val="22"/>
                <w:lang w:eastAsia="en-GB"/>
              </w:rPr>
            </w:pPr>
            <w:r w:rsidRPr="00E53B27">
              <w:rPr>
                <w:rFonts w:eastAsia="Times New Roman" w:cstheme="minorHAnsi"/>
                <w:b/>
                <w:bCs/>
                <w:sz w:val="22"/>
                <w:szCs w:val="22"/>
                <w:lang w:eastAsia="en-GB"/>
              </w:rPr>
              <w:t>P value</w:t>
            </w:r>
            <w:r w:rsidRPr="00E53B27">
              <w:rPr>
                <w:rFonts w:ascii="Calibri" w:eastAsia="Times New Roman" w:hAnsi="Calibri" w:cs="Calibri"/>
                <w:b/>
                <w:bCs/>
                <w:sz w:val="22"/>
                <w:szCs w:val="22"/>
                <w:lang w:eastAsia="en-GB"/>
              </w:rPr>
              <w:t>†</w:t>
            </w:r>
          </w:p>
        </w:tc>
        <w:tc>
          <w:tcPr>
            <w:tcW w:w="1189" w:type="dxa"/>
          </w:tcPr>
          <w:p w14:paraId="22EF873C" w14:textId="77777777" w:rsidR="00570834" w:rsidRPr="00E53B27" w:rsidRDefault="00570834" w:rsidP="00307771">
            <w:pPr>
              <w:jc w:val="center"/>
              <w:textAlignment w:val="baseline"/>
              <w:rPr>
                <w:rFonts w:eastAsia="Times New Roman" w:cstheme="minorHAnsi"/>
                <w:b/>
                <w:bCs/>
                <w:sz w:val="22"/>
                <w:szCs w:val="22"/>
                <w:lang w:eastAsia="en-GB"/>
              </w:rPr>
            </w:pPr>
            <w:r w:rsidRPr="00E53B27">
              <w:rPr>
                <w:rFonts w:eastAsia="Times New Roman" w:cstheme="minorHAnsi"/>
                <w:b/>
                <w:bCs/>
                <w:sz w:val="22"/>
                <w:szCs w:val="22"/>
                <w:lang w:eastAsia="en-GB"/>
              </w:rPr>
              <w:t>Group 1</w:t>
            </w:r>
          </w:p>
          <w:p w14:paraId="5A23CDCE" w14:textId="77777777" w:rsidR="00570834" w:rsidRPr="00E53B27" w:rsidRDefault="00570834" w:rsidP="00307771">
            <w:pPr>
              <w:jc w:val="center"/>
              <w:textAlignment w:val="baseline"/>
              <w:rPr>
                <w:rFonts w:ascii="inherit" w:eastAsia="Times New Roman" w:hAnsi="inherit" w:cs="Times New Roman"/>
                <w:b/>
                <w:bCs/>
                <w:sz w:val="22"/>
                <w:szCs w:val="22"/>
                <w:lang w:eastAsia="en-GB"/>
              </w:rPr>
            </w:pPr>
            <w:r w:rsidRPr="00E53B27">
              <w:rPr>
                <w:rFonts w:eastAsia="Times New Roman" w:cstheme="minorHAnsi"/>
                <w:b/>
                <w:bCs/>
                <w:sz w:val="22"/>
                <w:szCs w:val="22"/>
                <w:lang w:eastAsia="en-GB"/>
              </w:rPr>
              <w:t>(2+1)</w:t>
            </w:r>
          </w:p>
        </w:tc>
        <w:tc>
          <w:tcPr>
            <w:tcW w:w="1190" w:type="dxa"/>
          </w:tcPr>
          <w:p w14:paraId="2A9B3CD7" w14:textId="77777777" w:rsidR="00570834" w:rsidRPr="00E53B27" w:rsidRDefault="00570834" w:rsidP="00307771">
            <w:pPr>
              <w:jc w:val="center"/>
              <w:textAlignment w:val="baseline"/>
              <w:rPr>
                <w:rFonts w:eastAsia="Times New Roman" w:cstheme="minorHAnsi"/>
                <w:b/>
                <w:bCs/>
                <w:sz w:val="22"/>
                <w:szCs w:val="22"/>
                <w:lang w:eastAsia="en-GB"/>
              </w:rPr>
            </w:pPr>
            <w:r w:rsidRPr="00E53B27">
              <w:rPr>
                <w:rFonts w:eastAsia="Times New Roman" w:cstheme="minorHAnsi"/>
                <w:b/>
                <w:bCs/>
                <w:sz w:val="22"/>
                <w:szCs w:val="22"/>
                <w:lang w:eastAsia="en-GB"/>
              </w:rPr>
              <w:t>Group 2</w:t>
            </w:r>
          </w:p>
          <w:p w14:paraId="2079D841" w14:textId="77777777" w:rsidR="00570834" w:rsidRPr="00E53B27" w:rsidRDefault="00570834" w:rsidP="00307771">
            <w:pPr>
              <w:jc w:val="center"/>
              <w:textAlignment w:val="baseline"/>
              <w:rPr>
                <w:rFonts w:ascii="inherit" w:eastAsia="Times New Roman" w:hAnsi="inherit" w:cs="Times New Roman"/>
                <w:b/>
                <w:bCs/>
                <w:sz w:val="22"/>
                <w:szCs w:val="22"/>
                <w:lang w:eastAsia="en-GB"/>
              </w:rPr>
            </w:pPr>
            <w:r w:rsidRPr="00E53B27">
              <w:rPr>
                <w:rFonts w:eastAsia="Times New Roman" w:cstheme="minorHAnsi"/>
                <w:b/>
                <w:bCs/>
                <w:sz w:val="22"/>
                <w:szCs w:val="22"/>
                <w:lang w:eastAsia="en-GB"/>
              </w:rPr>
              <w:t>(3+1)</w:t>
            </w:r>
          </w:p>
        </w:tc>
        <w:tc>
          <w:tcPr>
            <w:tcW w:w="810" w:type="dxa"/>
          </w:tcPr>
          <w:p w14:paraId="7D69E869" w14:textId="77777777" w:rsidR="00570834" w:rsidRPr="00E53B27" w:rsidRDefault="00570834" w:rsidP="00307771">
            <w:pPr>
              <w:jc w:val="center"/>
              <w:textAlignment w:val="baseline"/>
              <w:rPr>
                <w:rFonts w:ascii="inherit" w:eastAsia="Times New Roman" w:hAnsi="inherit" w:cs="Times New Roman"/>
                <w:b/>
                <w:bCs/>
                <w:sz w:val="22"/>
                <w:szCs w:val="22"/>
                <w:lang w:eastAsia="en-GB"/>
              </w:rPr>
            </w:pPr>
            <w:r w:rsidRPr="00E53B27">
              <w:rPr>
                <w:rFonts w:eastAsia="Times New Roman" w:cstheme="minorHAnsi"/>
                <w:b/>
                <w:bCs/>
                <w:sz w:val="22"/>
                <w:szCs w:val="22"/>
                <w:lang w:eastAsia="en-GB"/>
              </w:rPr>
              <w:t>P value</w:t>
            </w:r>
            <w:r w:rsidRPr="00E53B27">
              <w:rPr>
                <w:rFonts w:ascii="Calibri" w:eastAsia="Times New Roman" w:hAnsi="Calibri" w:cs="Calibri"/>
                <w:b/>
                <w:bCs/>
                <w:sz w:val="22"/>
                <w:szCs w:val="22"/>
                <w:lang w:eastAsia="en-GB"/>
              </w:rPr>
              <w:t>†</w:t>
            </w:r>
          </w:p>
        </w:tc>
      </w:tr>
      <w:tr w:rsidR="00570834" w:rsidRPr="00E53B27" w14:paraId="26D97A49" w14:textId="77777777" w:rsidTr="0077408A">
        <w:trPr>
          <w:trHeight w:val="1050"/>
        </w:trPr>
        <w:tc>
          <w:tcPr>
            <w:tcW w:w="1129" w:type="dxa"/>
          </w:tcPr>
          <w:p w14:paraId="79C1D1FD" w14:textId="77777777" w:rsidR="00570834" w:rsidRPr="00E53B27" w:rsidRDefault="00570834" w:rsidP="00500AF2">
            <w:pPr>
              <w:jc w:val="center"/>
              <w:textAlignment w:val="baseline"/>
              <w:rPr>
                <w:rFonts w:eastAsia="Times New Roman" w:cstheme="minorHAnsi"/>
                <w:b/>
                <w:bCs/>
                <w:sz w:val="22"/>
                <w:szCs w:val="22"/>
                <w:lang w:eastAsia="en-GB"/>
              </w:rPr>
            </w:pPr>
            <w:r w:rsidRPr="00E53B27">
              <w:rPr>
                <w:rFonts w:eastAsia="Times New Roman" w:cstheme="minorHAnsi"/>
                <w:b/>
                <w:bCs/>
                <w:sz w:val="22"/>
                <w:szCs w:val="22"/>
                <w:lang w:eastAsia="en-GB"/>
              </w:rPr>
              <w:t>44/76</w:t>
            </w:r>
            <w:r>
              <w:rPr>
                <w:rFonts w:eastAsia="Times New Roman" w:cstheme="minorHAnsi"/>
                <w:b/>
                <w:bCs/>
                <w:sz w:val="22"/>
                <w:szCs w:val="22"/>
                <w:lang w:eastAsia="en-GB"/>
              </w:rPr>
              <w:t>-SL (</w:t>
            </w:r>
            <w:proofErr w:type="spellStart"/>
            <w:r w:rsidRPr="00E53B27">
              <w:rPr>
                <w:rFonts w:eastAsia="Times New Roman" w:cstheme="minorHAnsi"/>
                <w:b/>
                <w:bCs/>
                <w:sz w:val="22"/>
                <w:szCs w:val="22"/>
                <w:lang w:eastAsia="en-GB"/>
              </w:rPr>
              <w:t>fHbp</w:t>
            </w:r>
            <w:proofErr w:type="spellEnd"/>
            <w:r>
              <w:rPr>
                <w:rFonts w:eastAsia="Times New Roman" w:cstheme="minorHAnsi"/>
                <w:b/>
                <w:bCs/>
                <w:sz w:val="22"/>
                <w:szCs w:val="22"/>
                <w:lang w:eastAsia="en-GB"/>
              </w:rPr>
              <w:t>)</w:t>
            </w:r>
          </w:p>
        </w:tc>
        <w:tc>
          <w:tcPr>
            <w:tcW w:w="1276" w:type="dxa"/>
          </w:tcPr>
          <w:p w14:paraId="1BA1CF19"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98 [n=55/56]</w:t>
            </w:r>
          </w:p>
          <w:p w14:paraId="2992B30C"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(90-100)</w:t>
            </w:r>
          </w:p>
        </w:tc>
        <w:tc>
          <w:tcPr>
            <w:tcW w:w="1276" w:type="dxa"/>
          </w:tcPr>
          <w:p w14:paraId="7BEB9957"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94 [n=59/63]</w:t>
            </w:r>
          </w:p>
          <w:p w14:paraId="18669179"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(85-98)</w:t>
            </w:r>
          </w:p>
        </w:tc>
        <w:tc>
          <w:tcPr>
            <w:tcW w:w="812" w:type="dxa"/>
          </w:tcPr>
          <w:p w14:paraId="31E793F8"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0.37</w:t>
            </w:r>
          </w:p>
        </w:tc>
        <w:tc>
          <w:tcPr>
            <w:tcW w:w="1153" w:type="dxa"/>
          </w:tcPr>
          <w:p w14:paraId="1C244FBC"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30 [n=17/56]</w:t>
            </w:r>
          </w:p>
          <w:p w14:paraId="3813B371"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(19-44)</w:t>
            </w:r>
          </w:p>
        </w:tc>
        <w:tc>
          <w:tcPr>
            <w:tcW w:w="1153" w:type="dxa"/>
          </w:tcPr>
          <w:p w14:paraId="66D7CF37"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33 [n=20/60]</w:t>
            </w:r>
          </w:p>
          <w:p w14:paraId="003550AB"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(22-47)</w:t>
            </w:r>
          </w:p>
        </w:tc>
        <w:tc>
          <w:tcPr>
            <w:tcW w:w="882" w:type="dxa"/>
          </w:tcPr>
          <w:p w14:paraId="186461E0"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0.84</w:t>
            </w:r>
          </w:p>
          <w:p w14:paraId="5E0B993A" w14:textId="77777777" w:rsidR="00570834" w:rsidRPr="00E53B27" w:rsidRDefault="00570834" w:rsidP="00500AF2">
            <w:pPr>
              <w:jc w:val="center"/>
              <w:textAlignment w:val="baseline"/>
              <w:rPr>
                <w:rFonts w:eastAsia="Times New Roman" w:cstheme="minorHAnsi"/>
                <w:sz w:val="22"/>
                <w:szCs w:val="22"/>
                <w:lang w:eastAsia="en-GB"/>
              </w:rPr>
            </w:pPr>
          </w:p>
        </w:tc>
        <w:tc>
          <w:tcPr>
            <w:tcW w:w="1189" w:type="dxa"/>
          </w:tcPr>
          <w:p w14:paraId="7E023FE2"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98 [n=56/57]</w:t>
            </w:r>
          </w:p>
          <w:p w14:paraId="3759B025"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(91-100)</w:t>
            </w:r>
          </w:p>
        </w:tc>
        <w:tc>
          <w:tcPr>
            <w:tcW w:w="1190" w:type="dxa"/>
          </w:tcPr>
          <w:p w14:paraId="06C75CC7"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95 [n=52/55]</w:t>
            </w:r>
          </w:p>
          <w:p w14:paraId="293EEFE6"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(85-99)</w:t>
            </w:r>
          </w:p>
        </w:tc>
        <w:tc>
          <w:tcPr>
            <w:tcW w:w="810" w:type="dxa"/>
          </w:tcPr>
          <w:p w14:paraId="6E860778"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0.36</w:t>
            </w:r>
          </w:p>
        </w:tc>
      </w:tr>
      <w:tr w:rsidR="00570834" w:rsidRPr="00E53B27" w14:paraId="712586B5" w14:textId="77777777" w:rsidTr="0077408A">
        <w:trPr>
          <w:trHeight w:val="1070"/>
        </w:trPr>
        <w:tc>
          <w:tcPr>
            <w:tcW w:w="1129" w:type="dxa"/>
          </w:tcPr>
          <w:p w14:paraId="00350762" w14:textId="77777777" w:rsidR="00570834" w:rsidRPr="00E53B27" w:rsidRDefault="00570834" w:rsidP="00500AF2">
            <w:pPr>
              <w:jc w:val="center"/>
              <w:textAlignment w:val="baseline"/>
              <w:rPr>
                <w:rFonts w:eastAsia="Times New Roman" w:cstheme="minorHAnsi"/>
                <w:b/>
                <w:bCs/>
                <w:sz w:val="22"/>
                <w:szCs w:val="22"/>
                <w:lang w:eastAsia="en-GB"/>
              </w:rPr>
            </w:pPr>
            <w:r w:rsidRPr="00E53B27">
              <w:rPr>
                <w:rFonts w:eastAsia="Times New Roman" w:cstheme="minorHAnsi"/>
                <w:b/>
                <w:bCs/>
                <w:sz w:val="22"/>
                <w:szCs w:val="22"/>
                <w:lang w:eastAsia="en-GB"/>
              </w:rPr>
              <w:t>(5/99)</w:t>
            </w:r>
            <w:r>
              <w:rPr>
                <w:rFonts w:eastAsia="Times New Roman" w:cstheme="minorHAnsi"/>
                <w:b/>
                <w:bCs/>
                <w:sz w:val="22"/>
                <w:szCs w:val="22"/>
                <w:lang w:eastAsia="en-GB"/>
              </w:rPr>
              <w:t xml:space="preserve"> </w:t>
            </w:r>
            <w:r w:rsidRPr="00E53B27">
              <w:rPr>
                <w:rFonts w:eastAsia="Times New Roman" w:cstheme="minorHAnsi"/>
                <w:b/>
                <w:bCs/>
                <w:sz w:val="22"/>
                <w:szCs w:val="22"/>
                <w:lang w:eastAsia="en-GB"/>
              </w:rPr>
              <w:t xml:space="preserve"> </w:t>
            </w:r>
            <w:proofErr w:type="spellStart"/>
            <w:r>
              <w:rPr>
                <w:rFonts w:eastAsia="Times New Roman" w:cstheme="minorHAnsi"/>
                <w:b/>
                <w:bCs/>
                <w:sz w:val="22"/>
                <w:szCs w:val="22"/>
                <w:lang w:eastAsia="en-GB"/>
              </w:rPr>
              <w:t>NadA</w:t>
            </w:r>
            <w:proofErr w:type="spellEnd"/>
          </w:p>
        </w:tc>
        <w:tc>
          <w:tcPr>
            <w:tcW w:w="1276" w:type="dxa"/>
          </w:tcPr>
          <w:p w14:paraId="0D68EB4F"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100 [n=56/56]</w:t>
            </w:r>
          </w:p>
          <w:p w14:paraId="0D17EBBA"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(94-100)</w:t>
            </w:r>
          </w:p>
        </w:tc>
        <w:tc>
          <w:tcPr>
            <w:tcW w:w="1276" w:type="dxa"/>
          </w:tcPr>
          <w:p w14:paraId="69BAFEFD"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100 [n=63/63]</w:t>
            </w:r>
          </w:p>
          <w:p w14:paraId="45D519B1"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(94-100)</w:t>
            </w:r>
          </w:p>
        </w:tc>
        <w:tc>
          <w:tcPr>
            <w:tcW w:w="812" w:type="dxa"/>
          </w:tcPr>
          <w:p w14:paraId="1B4768EE"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w:t>
            </w:r>
          </w:p>
        </w:tc>
        <w:tc>
          <w:tcPr>
            <w:tcW w:w="1153" w:type="dxa"/>
          </w:tcPr>
          <w:p w14:paraId="1D912CD5"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86 [n=49/57]</w:t>
            </w:r>
          </w:p>
          <w:p w14:paraId="6571ADF6"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(74-94)</w:t>
            </w:r>
          </w:p>
        </w:tc>
        <w:tc>
          <w:tcPr>
            <w:tcW w:w="1153" w:type="dxa"/>
          </w:tcPr>
          <w:p w14:paraId="552B9440"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88 [n=53/60]</w:t>
            </w:r>
          </w:p>
          <w:p w14:paraId="03E34BF2"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(77-95)</w:t>
            </w:r>
          </w:p>
        </w:tc>
        <w:tc>
          <w:tcPr>
            <w:tcW w:w="882" w:type="dxa"/>
          </w:tcPr>
          <w:p w14:paraId="41E53D95"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0.79</w:t>
            </w:r>
          </w:p>
        </w:tc>
        <w:tc>
          <w:tcPr>
            <w:tcW w:w="1189" w:type="dxa"/>
          </w:tcPr>
          <w:p w14:paraId="12785F96"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100 [n=58/58]</w:t>
            </w:r>
          </w:p>
          <w:p w14:paraId="2EF7CAE5"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(94-100)</w:t>
            </w:r>
          </w:p>
        </w:tc>
        <w:tc>
          <w:tcPr>
            <w:tcW w:w="1190" w:type="dxa"/>
          </w:tcPr>
          <w:p w14:paraId="732F7F04"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100 [n=57/57]</w:t>
            </w:r>
          </w:p>
          <w:p w14:paraId="0028B5C4"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(94-100)</w:t>
            </w:r>
          </w:p>
        </w:tc>
        <w:tc>
          <w:tcPr>
            <w:tcW w:w="810" w:type="dxa"/>
          </w:tcPr>
          <w:p w14:paraId="34D1D6AD"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w:t>
            </w:r>
          </w:p>
        </w:tc>
      </w:tr>
      <w:tr w:rsidR="00570834" w:rsidRPr="00BA1021" w14:paraId="7F578252" w14:textId="77777777" w:rsidTr="0077408A">
        <w:trPr>
          <w:trHeight w:val="1030"/>
        </w:trPr>
        <w:tc>
          <w:tcPr>
            <w:tcW w:w="1129" w:type="dxa"/>
          </w:tcPr>
          <w:p w14:paraId="47ADD081" w14:textId="77777777" w:rsidR="00570834" w:rsidRDefault="00570834" w:rsidP="00500AF2">
            <w:pPr>
              <w:jc w:val="center"/>
              <w:textAlignment w:val="baseline"/>
              <w:rPr>
                <w:rFonts w:eastAsia="Times New Roman" w:cstheme="minorHAnsi"/>
                <w:b/>
                <w:bCs/>
                <w:sz w:val="22"/>
                <w:szCs w:val="22"/>
                <w:lang w:eastAsia="en-GB"/>
              </w:rPr>
            </w:pPr>
            <w:r w:rsidRPr="00E53B27">
              <w:rPr>
                <w:rFonts w:eastAsia="Times New Roman" w:cstheme="minorHAnsi"/>
                <w:b/>
                <w:bCs/>
                <w:sz w:val="22"/>
                <w:szCs w:val="22"/>
                <w:lang w:eastAsia="en-GB"/>
              </w:rPr>
              <w:t>(NZ98/254)</w:t>
            </w:r>
          </w:p>
          <w:p w14:paraId="7224BD5A" w14:textId="77777777" w:rsidR="00570834" w:rsidRPr="00E53B27" w:rsidRDefault="00570834" w:rsidP="00500AF2">
            <w:pPr>
              <w:jc w:val="center"/>
              <w:textAlignment w:val="baseline"/>
              <w:rPr>
                <w:rFonts w:eastAsia="Times New Roman" w:cstheme="minorHAnsi"/>
                <w:b/>
                <w:bCs/>
                <w:sz w:val="22"/>
                <w:szCs w:val="22"/>
                <w:lang w:eastAsia="en-GB"/>
              </w:rPr>
            </w:pPr>
            <w:proofErr w:type="spellStart"/>
            <w:r w:rsidRPr="00E53B27">
              <w:rPr>
                <w:rFonts w:eastAsia="Times New Roman" w:cstheme="minorHAnsi"/>
                <w:b/>
                <w:bCs/>
                <w:sz w:val="22"/>
                <w:szCs w:val="22"/>
                <w:lang w:eastAsia="en-GB"/>
              </w:rPr>
              <w:t>PorA</w:t>
            </w:r>
            <w:proofErr w:type="spellEnd"/>
          </w:p>
        </w:tc>
        <w:tc>
          <w:tcPr>
            <w:tcW w:w="1276" w:type="dxa"/>
          </w:tcPr>
          <w:p w14:paraId="06811365" w14:textId="43373EBD"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70 [n=39/56]</w:t>
            </w:r>
          </w:p>
          <w:p w14:paraId="20D1BA2C"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(56-81)</w:t>
            </w:r>
          </w:p>
        </w:tc>
        <w:tc>
          <w:tcPr>
            <w:tcW w:w="1276" w:type="dxa"/>
          </w:tcPr>
          <w:p w14:paraId="28DFF178"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87 [n=53/61]</w:t>
            </w:r>
          </w:p>
          <w:p w14:paraId="323F4703"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(76-94)</w:t>
            </w:r>
          </w:p>
        </w:tc>
        <w:tc>
          <w:tcPr>
            <w:tcW w:w="812" w:type="dxa"/>
          </w:tcPr>
          <w:p w14:paraId="4093FD54"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b/>
                <w:bCs/>
                <w:sz w:val="22"/>
                <w:szCs w:val="22"/>
                <w:lang w:eastAsia="en-GB"/>
              </w:rPr>
              <w:t>0.03</w:t>
            </w:r>
          </w:p>
        </w:tc>
        <w:tc>
          <w:tcPr>
            <w:tcW w:w="1153" w:type="dxa"/>
          </w:tcPr>
          <w:p w14:paraId="086A650C"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11 [n=6/57]</w:t>
            </w:r>
          </w:p>
          <w:p w14:paraId="74B3358D"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(4-22)</w:t>
            </w:r>
          </w:p>
        </w:tc>
        <w:tc>
          <w:tcPr>
            <w:tcW w:w="1153" w:type="dxa"/>
          </w:tcPr>
          <w:p w14:paraId="1A1A6B45"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33 [n=20/60]</w:t>
            </w:r>
          </w:p>
          <w:p w14:paraId="0291F217"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(22-47)</w:t>
            </w:r>
          </w:p>
        </w:tc>
        <w:tc>
          <w:tcPr>
            <w:tcW w:w="882" w:type="dxa"/>
          </w:tcPr>
          <w:p w14:paraId="3400FC6D" w14:textId="77777777" w:rsidR="00570834" w:rsidRPr="00E53B27" w:rsidRDefault="00570834" w:rsidP="00500AF2">
            <w:pPr>
              <w:jc w:val="center"/>
              <w:textAlignment w:val="baseline"/>
              <w:rPr>
                <w:rFonts w:eastAsia="Times New Roman" w:cstheme="minorHAnsi"/>
                <w:b/>
                <w:bCs/>
                <w:sz w:val="22"/>
                <w:szCs w:val="22"/>
                <w:lang w:eastAsia="en-GB"/>
              </w:rPr>
            </w:pPr>
            <w:r w:rsidRPr="00E53B27">
              <w:rPr>
                <w:rFonts w:eastAsia="Times New Roman" w:cstheme="minorHAnsi"/>
                <w:b/>
                <w:bCs/>
                <w:sz w:val="22"/>
                <w:szCs w:val="22"/>
                <w:lang w:eastAsia="en-GB"/>
              </w:rPr>
              <w:t>0.004</w:t>
            </w:r>
          </w:p>
        </w:tc>
        <w:tc>
          <w:tcPr>
            <w:tcW w:w="1189" w:type="dxa"/>
          </w:tcPr>
          <w:p w14:paraId="24E0B18D"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88 [n=51/58]</w:t>
            </w:r>
          </w:p>
          <w:p w14:paraId="5B08316F"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(77-95)</w:t>
            </w:r>
          </w:p>
        </w:tc>
        <w:tc>
          <w:tcPr>
            <w:tcW w:w="1190" w:type="dxa"/>
          </w:tcPr>
          <w:p w14:paraId="645D468A"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95 [n=52/55]</w:t>
            </w:r>
          </w:p>
          <w:p w14:paraId="69680674"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(85-99)</w:t>
            </w:r>
          </w:p>
        </w:tc>
        <w:tc>
          <w:tcPr>
            <w:tcW w:w="810" w:type="dxa"/>
          </w:tcPr>
          <w:p w14:paraId="56CC86AD" w14:textId="77777777" w:rsidR="00570834" w:rsidRPr="00E53B27" w:rsidRDefault="00570834" w:rsidP="00500AF2">
            <w:pPr>
              <w:jc w:val="center"/>
              <w:textAlignment w:val="baseline"/>
              <w:rPr>
                <w:rFonts w:eastAsia="Times New Roman" w:cstheme="minorHAnsi"/>
                <w:sz w:val="22"/>
                <w:szCs w:val="22"/>
                <w:lang w:eastAsia="en-GB"/>
              </w:rPr>
            </w:pPr>
            <w:r w:rsidRPr="00E53B27">
              <w:rPr>
                <w:rFonts w:eastAsia="Times New Roman" w:cstheme="minorHAnsi"/>
                <w:sz w:val="22"/>
                <w:szCs w:val="22"/>
                <w:lang w:eastAsia="en-GB"/>
              </w:rPr>
              <w:t>0.32</w:t>
            </w:r>
          </w:p>
        </w:tc>
      </w:tr>
    </w:tbl>
    <w:p w14:paraId="5B2F7E12" w14:textId="77777777" w:rsidR="00570834" w:rsidRDefault="00570834" w:rsidP="00997665">
      <w:pPr>
        <w:spacing w:before="240"/>
        <w:contextualSpacing/>
        <w:textAlignment w:val="baseline"/>
        <w:rPr>
          <w:rFonts w:eastAsia="Times New Roman" w:cstheme="minorHAnsi"/>
          <w:sz w:val="20"/>
          <w:szCs w:val="20"/>
          <w:lang w:eastAsia="en-GB"/>
        </w:rPr>
      </w:pPr>
      <w:r w:rsidRPr="008D5ACC">
        <w:rPr>
          <w:rFonts w:eastAsia="Times New Roman" w:cstheme="minorHAnsi"/>
          <w:sz w:val="20"/>
          <w:szCs w:val="20"/>
          <w:lang w:eastAsia="en-GB"/>
        </w:rPr>
        <w:t>GMT</w:t>
      </w:r>
      <w:r>
        <w:rPr>
          <w:rFonts w:eastAsia="Times New Roman" w:cstheme="minorHAnsi"/>
          <w:sz w:val="20"/>
          <w:szCs w:val="20"/>
          <w:lang w:eastAsia="en-GB"/>
        </w:rPr>
        <w:t>= g</w:t>
      </w:r>
      <w:r w:rsidRPr="008D5ACC">
        <w:rPr>
          <w:rFonts w:eastAsia="Times New Roman" w:cstheme="minorHAnsi"/>
          <w:sz w:val="20"/>
          <w:szCs w:val="20"/>
          <w:lang w:eastAsia="en-GB"/>
        </w:rPr>
        <w:t xml:space="preserve">eometric </w:t>
      </w:r>
      <w:r>
        <w:rPr>
          <w:rFonts w:eastAsia="Times New Roman" w:cstheme="minorHAnsi"/>
          <w:sz w:val="20"/>
          <w:szCs w:val="20"/>
          <w:lang w:eastAsia="en-GB"/>
        </w:rPr>
        <w:t>m</w:t>
      </w:r>
      <w:r w:rsidRPr="008D5ACC">
        <w:rPr>
          <w:rFonts w:eastAsia="Times New Roman" w:cstheme="minorHAnsi"/>
          <w:sz w:val="20"/>
          <w:szCs w:val="20"/>
          <w:lang w:eastAsia="en-GB"/>
        </w:rPr>
        <w:t xml:space="preserve">ean </w:t>
      </w:r>
      <w:r>
        <w:rPr>
          <w:rFonts w:eastAsia="Times New Roman" w:cstheme="minorHAnsi"/>
          <w:sz w:val="20"/>
          <w:szCs w:val="20"/>
          <w:lang w:eastAsia="en-GB"/>
        </w:rPr>
        <w:t>t</w:t>
      </w:r>
      <w:r w:rsidRPr="008D5ACC">
        <w:rPr>
          <w:rFonts w:eastAsia="Times New Roman" w:cstheme="minorHAnsi"/>
          <w:sz w:val="20"/>
          <w:szCs w:val="20"/>
          <w:lang w:eastAsia="en-GB"/>
        </w:rPr>
        <w:t xml:space="preserve">itre; </w:t>
      </w:r>
      <w:proofErr w:type="spellStart"/>
      <w:r w:rsidRPr="008D5ACC">
        <w:rPr>
          <w:rFonts w:eastAsia="Times New Roman" w:cstheme="minorHAnsi"/>
          <w:sz w:val="20"/>
          <w:szCs w:val="20"/>
          <w:lang w:eastAsia="en-GB"/>
        </w:rPr>
        <w:t>fHbp</w:t>
      </w:r>
      <w:proofErr w:type="spellEnd"/>
      <w:r>
        <w:rPr>
          <w:rFonts w:eastAsia="Times New Roman" w:cstheme="minorHAnsi"/>
          <w:sz w:val="20"/>
          <w:szCs w:val="20"/>
          <w:lang w:eastAsia="en-GB"/>
        </w:rPr>
        <w:t xml:space="preserve">= </w:t>
      </w:r>
      <w:r w:rsidRPr="008D5ACC">
        <w:rPr>
          <w:rFonts w:eastAsia="Times New Roman" w:cstheme="minorHAnsi"/>
          <w:sz w:val="20"/>
          <w:szCs w:val="20"/>
          <w:lang w:eastAsia="en-GB"/>
        </w:rPr>
        <w:t xml:space="preserve">factor H binding protein; </w:t>
      </w:r>
      <w:proofErr w:type="spellStart"/>
      <w:r w:rsidRPr="008D5ACC">
        <w:rPr>
          <w:rFonts w:eastAsia="Times New Roman" w:cstheme="minorHAnsi"/>
          <w:sz w:val="20"/>
          <w:szCs w:val="20"/>
          <w:lang w:eastAsia="en-GB"/>
        </w:rPr>
        <w:t>NadA</w:t>
      </w:r>
      <w:proofErr w:type="spellEnd"/>
      <w:r>
        <w:rPr>
          <w:rFonts w:eastAsia="Times New Roman" w:cstheme="minorHAnsi"/>
          <w:sz w:val="20"/>
          <w:szCs w:val="20"/>
          <w:lang w:eastAsia="en-GB"/>
        </w:rPr>
        <w:t xml:space="preserve">= </w:t>
      </w:r>
      <w:proofErr w:type="spellStart"/>
      <w:r w:rsidRPr="008D5ACC">
        <w:rPr>
          <w:rFonts w:eastAsia="Times New Roman" w:cstheme="minorHAnsi"/>
          <w:sz w:val="20"/>
          <w:szCs w:val="20"/>
          <w:lang w:eastAsia="en-GB"/>
        </w:rPr>
        <w:t>Neisserial</w:t>
      </w:r>
      <w:proofErr w:type="spellEnd"/>
      <w:r w:rsidRPr="008D5ACC">
        <w:rPr>
          <w:rFonts w:eastAsia="Times New Roman" w:cstheme="minorHAnsi"/>
          <w:sz w:val="20"/>
          <w:szCs w:val="20"/>
          <w:lang w:eastAsia="en-GB"/>
        </w:rPr>
        <w:t xml:space="preserve"> adhesin A; </w:t>
      </w:r>
      <w:proofErr w:type="spellStart"/>
      <w:r w:rsidRPr="008D5ACC">
        <w:rPr>
          <w:rFonts w:eastAsia="Times New Roman" w:cstheme="minorHAnsi"/>
          <w:sz w:val="20"/>
          <w:szCs w:val="20"/>
          <w:lang w:eastAsia="en-GB"/>
        </w:rPr>
        <w:t>PorA</w:t>
      </w:r>
      <w:proofErr w:type="spellEnd"/>
      <w:r>
        <w:rPr>
          <w:rFonts w:eastAsia="Times New Roman" w:cstheme="minorHAnsi"/>
          <w:sz w:val="20"/>
          <w:szCs w:val="20"/>
          <w:lang w:eastAsia="en-GB"/>
        </w:rPr>
        <w:t xml:space="preserve">= </w:t>
      </w:r>
      <w:r w:rsidRPr="008D5ACC">
        <w:rPr>
          <w:rFonts w:eastAsia="Times New Roman" w:cstheme="minorHAnsi"/>
          <w:sz w:val="20"/>
          <w:szCs w:val="20"/>
          <w:lang w:eastAsia="en-GB"/>
        </w:rPr>
        <w:t>Porin A</w:t>
      </w:r>
      <w:r>
        <w:rPr>
          <w:rFonts w:eastAsia="Times New Roman" w:cstheme="minorHAnsi"/>
          <w:sz w:val="20"/>
          <w:szCs w:val="20"/>
          <w:lang w:eastAsia="en-GB"/>
        </w:rPr>
        <w:t xml:space="preserve">. Blood sampling performed at 5 months (post-primary), 12 months (pre-booster), 13 months (post-booster) </w:t>
      </w:r>
    </w:p>
    <w:p w14:paraId="48046329" w14:textId="77777777" w:rsidR="00570834" w:rsidRPr="001367AC" w:rsidRDefault="00570834" w:rsidP="00997665">
      <w:pPr>
        <w:textAlignment w:val="baseline"/>
        <w:rPr>
          <w:rFonts w:ascii="Calibri" w:eastAsia="Times New Roman" w:hAnsi="Calibri" w:cs="Calibri"/>
          <w:sz w:val="20"/>
          <w:szCs w:val="20"/>
          <w:lang w:eastAsia="en-GB"/>
        </w:rPr>
      </w:pPr>
      <w:r w:rsidRPr="008D5ACC">
        <w:rPr>
          <w:rFonts w:ascii="Calibri" w:eastAsia="Times New Roman" w:hAnsi="Calibri" w:cs="Calibri"/>
          <w:sz w:val="20"/>
          <w:szCs w:val="20"/>
          <w:lang w:eastAsia="en-GB"/>
        </w:rPr>
        <w:t>†Fisher’s exact test</w:t>
      </w:r>
    </w:p>
    <w:p w14:paraId="6B5D07F0" w14:textId="77777777" w:rsidR="00570834" w:rsidRDefault="00570834" w:rsidP="00B77D53">
      <w:pPr>
        <w:rPr>
          <w:rFonts w:cstheme="minorHAnsi"/>
          <w:b/>
          <w:bCs/>
          <w:color w:val="000000" w:themeColor="text1"/>
          <w:sz w:val="26"/>
          <w:szCs w:val="26"/>
        </w:rPr>
      </w:pPr>
    </w:p>
    <w:p w14:paraId="6B067F8A" w14:textId="77777777" w:rsidR="00570834" w:rsidRPr="00241B56" w:rsidRDefault="00570834" w:rsidP="00B77D53">
      <w:pPr>
        <w:rPr>
          <w:rFonts w:cstheme="minorHAnsi"/>
          <w:b/>
          <w:bCs/>
          <w:color w:val="000000" w:themeColor="text1"/>
          <w:sz w:val="26"/>
          <w:szCs w:val="26"/>
        </w:rPr>
      </w:pPr>
    </w:p>
    <w:p w14:paraId="7357CCFD" w14:textId="0A481BED" w:rsidR="00570834" w:rsidRDefault="00570834" w:rsidP="00900D52">
      <w:pPr>
        <w:spacing w:line="480" w:lineRule="auto"/>
        <w:rPr>
          <w:rFonts w:cstheme="minorHAnsi"/>
          <w:noProof/>
          <w:color w:val="000000" w:themeColor="text1"/>
        </w:rPr>
      </w:pPr>
      <w:r w:rsidRPr="00980FC8">
        <w:rPr>
          <w:rFonts w:cstheme="minorHAnsi"/>
          <w:color w:val="000000" w:themeColor="text1"/>
        </w:rPr>
        <w:t>All infants achieved a protective titre against strain 5/99 (</w:t>
      </w:r>
      <w:proofErr w:type="spellStart"/>
      <w:r w:rsidRPr="00980FC8">
        <w:rPr>
          <w:rFonts w:cstheme="minorHAnsi"/>
          <w:color w:val="000000" w:themeColor="text1"/>
        </w:rPr>
        <w:t>NadA</w:t>
      </w:r>
      <w:proofErr w:type="spellEnd"/>
      <w:r w:rsidRPr="00980FC8">
        <w:rPr>
          <w:rFonts w:cstheme="minorHAnsi"/>
          <w:color w:val="000000" w:themeColor="text1"/>
        </w:rPr>
        <w:t>) at both time points</w:t>
      </w:r>
      <w:r w:rsidR="00A435B0">
        <w:rPr>
          <w:rFonts w:cstheme="minorHAnsi"/>
          <w:color w:val="000000" w:themeColor="text1"/>
        </w:rPr>
        <w:t>.</w:t>
      </w:r>
      <w:r w:rsidRPr="00980FC8">
        <w:rPr>
          <w:rFonts w:cstheme="minorHAnsi"/>
          <w:color w:val="000000" w:themeColor="text1"/>
        </w:rPr>
        <w:t xml:space="preserve"> Fewer infants receiving a 2+1 schedule reached a protective threshold against strain NZ98/254 </w:t>
      </w:r>
      <w:r w:rsidRPr="00980FC8">
        <w:rPr>
          <w:rFonts w:cstheme="minorHAnsi"/>
          <w:color w:val="000000" w:themeColor="text1"/>
        </w:rPr>
        <w:lastRenderedPageBreak/>
        <w:t>(</w:t>
      </w:r>
      <w:proofErr w:type="spellStart"/>
      <w:r w:rsidRPr="00980FC8">
        <w:rPr>
          <w:rFonts w:cstheme="minorHAnsi"/>
          <w:color w:val="000000" w:themeColor="text1"/>
        </w:rPr>
        <w:t>PorA</w:t>
      </w:r>
      <w:proofErr w:type="spellEnd"/>
      <w:r w:rsidRPr="00980FC8">
        <w:rPr>
          <w:rFonts w:cstheme="minorHAnsi"/>
          <w:color w:val="000000" w:themeColor="text1"/>
        </w:rPr>
        <w:t>) compared with those receiving a 3+1 schedule (</w:t>
      </w:r>
      <w:r w:rsidRPr="00980FC8">
        <w:rPr>
          <w:rFonts w:cstheme="minorHAnsi"/>
          <w:b/>
          <w:bCs/>
          <w:color w:val="000000" w:themeColor="text1"/>
        </w:rPr>
        <w:t>2+1</w:t>
      </w:r>
      <w:r w:rsidRPr="00980FC8">
        <w:rPr>
          <w:rFonts w:cstheme="minorHAnsi"/>
          <w:color w:val="000000" w:themeColor="text1"/>
        </w:rPr>
        <w:t>: Both time points= 67.3%</w:t>
      </w:r>
      <w:r>
        <w:rPr>
          <w:rFonts w:cstheme="minorHAnsi"/>
          <w:color w:val="000000" w:themeColor="text1"/>
        </w:rPr>
        <w:t xml:space="preserve"> </w:t>
      </w:r>
      <w:r w:rsidR="00E01D34">
        <w:rPr>
          <w:rFonts w:cstheme="minorHAnsi"/>
          <w:color w:val="000000" w:themeColor="text1"/>
        </w:rPr>
        <w:t>[</w:t>
      </w:r>
      <w:r>
        <w:rPr>
          <w:rFonts w:cstheme="minorHAnsi"/>
          <w:color w:val="000000" w:themeColor="text1"/>
        </w:rPr>
        <w:t>n=35</w:t>
      </w:r>
      <w:r w:rsidR="00E01D34">
        <w:rPr>
          <w:rFonts w:cstheme="minorHAnsi"/>
          <w:color w:val="000000" w:themeColor="text1"/>
        </w:rPr>
        <w:t>]</w:t>
      </w:r>
      <w:r w:rsidRPr="00980FC8">
        <w:rPr>
          <w:rFonts w:cstheme="minorHAnsi"/>
          <w:color w:val="000000" w:themeColor="text1"/>
        </w:rPr>
        <w:t xml:space="preserve">, post-booster only 19.2% </w:t>
      </w:r>
      <w:r w:rsidR="00E01D34">
        <w:rPr>
          <w:rFonts w:cstheme="minorHAnsi"/>
          <w:color w:val="000000" w:themeColor="text1"/>
        </w:rPr>
        <w:t>[</w:t>
      </w:r>
      <w:r w:rsidRPr="00980FC8">
        <w:rPr>
          <w:rFonts w:cstheme="minorHAnsi"/>
          <w:color w:val="000000" w:themeColor="text1"/>
        </w:rPr>
        <w:t>n=10</w:t>
      </w:r>
      <w:r w:rsidR="00E01D34">
        <w:rPr>
          <w:rFonts w:cstheme="minorHAnsi"/>
          <w:color w:val="000000" w:themeColor="text1"/>
        </w:rPr>
        <w:t>]</w:t>
      </w:r>
      <w:r w:rsidRPr="00980FC8">
        <w:rPr>
          <w:rFonts w:cstheme="minorHAnsi"/>
          <w:color w:val="000000" w:themeColor="text1"/>
        </w:rPr>
        <w:t>, neither time point= 13.4%</w:t>
      </w:r>
      <w:r>
        <w:rPr>
          <w:rFonts w:cstheme="minorHAnsi"/>
          <w:color w:val="000000" w:themeColor="text1"/>
        </w:rPr>
        <w:t xml:space="preserve"> </w:t>
      </w:r>
      <w:r w:rsidR="00E01D34">
        <w:rPr>
          <w:rFonts w:cstheme="minorHAnsi"/>
          <w:color w:val="000000" w:themeColor="text1"/>
        </w:rPr>
        <w:t>[</w:t>
      </w:r>
      <w:r>
        <w:rPr>
          <w:rFonts w:cstheme="minorHAnsi"/>
          <w:color w:val="000000" w:themeColor="text1"/>
        </w:rPr>
        <w:t>n=7</w:t>
      </w:r>
      <w:r w:rsidR="00E01D34">
        <w:rPr>
          <w:rFonts w:cstheme="minorHAnsi"/>
          <w:color w:val="000000" w:themeColor="text1"/>
        </w:rPr>
        <w:t>]</w:t>
      </w:r>
      <w:r w:rsidRPr="00980FC8">
        <w:rPr>
          <w:rFonts w:cstheme="minorHAnsi"/>
          <w:color w:val="000000" w:themeColor="text1"/>
        </w:rPr>
        <w:t xml:space="preserve">; </w:t>
      </w:r>
      <w:r w:rsidRPr="00980FC8">
        <w:rPr>
          <w:rFonts w:cstheme="minorHAnsi"/>
          <w:b/>
          <w:bCs/>
          <w:color w:val="000000" w:themeColor="text1"/>
        </w:rPr>
        <w:t>3+1</w:t>
      </w:r>
      <w:r w:rsidRPr="00980FC8">
        <w:rPr>
          <w:rFonts w:cstheme="minorHAnsi"/>
          <w:color w:val="000000" w:themeColor="text1"/>
        </w:rPr>
        <w:t>: Both time points= 87.0%</w:t>
      </w:r>
      <w:r>
        <w:rPr>
          <w:rFonts w:cstheme="minorHAnsi"/>
          <w:color w:val="000000" w:themeColor="text1"/>
        </w:rPr>
        <w:t xml:space="preserve"> </w:t>
      </w:r>
      <w:r w:rsidR="00E01D34">
        <w:rPr>
          <w:rFonts w:cstheme="minorHAnsi"/>
          <w:color w:val="000000" w:themeColor="text1"/>
        </w:rPr>
        <w:t>[</w:t>
      </w:r>
      <w:r>
        <w:rPr>
          <w:rFonts w:cstheme="minorHAnsi"/>
          <w:color w:val="000000" w:themeColor="text1"/>
        </w:rPr>
        <w:t>n=47</w:t>
      </w:r>
      <w:r w:rsidR="00E01D34">
        <w:rPr>
          <w:rFonts w:cstheme="minorHAnsi"/>
          <w:color w:val="000000" w:themeColor="text1"/>
        </w:rPr>
        <w:t>]</w:t>
      </w:r>
      <w:r w:rsidRPr="00980FC8">
        <w:rPr>
          <w:rFonts w:cstheme="minorHAnsi"/>
          <w:color w:val="000000" w:themeColor="text1"/>
        </w:rPr>
        <w:t xml:space="preserve">, post-booster only= 7.4% </w:t>
      </w:r>
      <w:r w:rsidR="00E01D34">
        <w:rPr>
          <w:rFonts w:cstheme="minorHAnsi"/>
          <w:color w:val="000000" w:themeColor="text1"/>
        </w:rPr>
        <w:t>[</w:t>
      </w:r>
      <w:r w:rsidRPr="00980FC8">
        <w:rPr>
          <w:rFonts w:cstheme="minorHAnsi"/>
          <w:color w:val="000000" w:themeColor="text1"/>
        </w:rPr>
        <w:t>n=4</w:t>
      </w:r>
      <w:r w:rsidR="00E01D34">
        <w:rPr>
          <w:rFonts w:cstheme="minorHAnsi"/>
          <w:color w:val="000000" w:themeColor="text1"/>
        </w:rPr>
        <w:t>]</w:t>
      </w:r>
      <w:r w:rsidRPr="00980FC8">
        <w:rPr>
          <w:rFonts w:cstheme="minorHAnsi"/>
          <w:color w:val="000000" w:themeColor="text1"/>
        </w:rPr>
        <w:t xml:space="preserve">, neither time point= 5.8% </w:t>
      </w:r>
      <w:r w:rsidR="00E01D34">
        <w:rPr>
          <w:rFonts w:cstheme="minorHAnsi"/>
          <w:color w:val="000000" w:themeColor="text1"/>
        </w:rPr>
        <w:t>[</w:t>
      </w:r>
      <w:r w:rsidRPr="00980FC8">
        <w:rPr>
          <w:rFonts w:cstheme="minorHAnsi"/>
          <w:color w:val="000000" w:themeColor="text1"/>
        </w:rPr>
        <w:t>n=3</w:t>
      </w:r>
      <w:r w:rsidR="00E01D34">
        <w:rPr>
          <w:rFonts w:cstheme="minorHAnsi"/>
          <w:color w:val="000000" w:themeColor="text1"/>
        </w:rPr>
        <w:t>])</w:t>
      </w:r>
      <w:r w:rsidRPr="00980FC8">
        <w:rPr>
          <w:rFonts w:cstheme="minorHAnsi"/>
          <w:color w:val="000000" w:themeColor="text1"/>
        </w:rPr>
        <w:t>.</w:t>
      </w:r>
      <w:r>
        <w:rPr>
          <w:rFonts w:cstheme="minorHAnsi"/>
          <w:color w:val="000000" w:themeColor="text1"/>
        </w:rPr>
        <w:t xml:space="preserve"> </w:t>
      </w:r>
      <w:r w:rsidRPr="00980FC8">
        <w:rPr>
          <w:rFonts w:cstheme="minorHAnsi"/>
          <w:color w:val="000000" w:themeColor="text1"/>
        </w:rPr>
        <w:t>The results were similar between schedules for strain 44/76-SL (</w:t>
      </w:r>
      <w:proofErr w:type="spellStart"/>
      <w:r w:rsidRPr="00980FC8">
        <w:rPr>
          <w:rFonts w:cstheme="minorHAnsi"/>
          <w:color w:val="000000" w:themeColor="text1"/>
        </w:rPr>
        <w:t>fHbp</w:t>
      </w:r>
      <w:proofErr w:type="spellEnd"/>
      <w:r w:rsidRPr="00980FC8">
        <w:rPr>
          <w:rFonts w:cstheme="minorHAnsi"/>
          <w:color w:val="000000" w:themeColor="text1"/>
        </w:rPr>
        <w:t xml:space="preserve">) </w:t>
      </w:r>
      <w:r w:rsidRPr="00980FC8">
        <w:rPr>
          <w:rFonts w:cstheme="minorHAnsi"/>
          <w:noProof/>
          <w:color w:val="000000" w:themeColor="text1"/>
        </w:rPr>
        <w:t>(</w:t>
      </w:r>
      <w:r w:rsidRPr="00980FC8">
        <w:rPr>
          <w:rFonts w:cstheme="minorHAnsi"/>
          <w:b/>
          <w:bCs/>
          <w:noProof/>
          <w:color w:val="FF0000"/>
        </w:rPr>
        <w:t>Supplementary Table 3</w:t>
      </w:r>
      <w:r w:rsidRPr="00980FC8">
        <w:rPr>
          <w:rFonts w:cstheme="minorHAnsi"/>
          <w:noProof/>
          <w:color w:val="000000" w:themeColor="text1"/>
        </w:rPr>
        <w:t>).</w:t>
      </w:r>
      <w:r w:rsidRPr="00241B56">
        <w:rPr>
          <w:rFonts w:cstheme="minorHAnsi"/>
          <w:noProof/>
          <w:color w:val="000000" w:themeColor="text1"/>
        </w:rPr>
        <w:t xml:space="preserve"> </w:t>
      </w:r>
    </w:p>
    <w:p w14:paraId="0A5FE97E" w14:textId="77777777" w:rsidR="00570834" w:rsidRPr="000D477B" w:rsidRDefault="00570834" w:rsidP="00FC7F88">
      <w:pPr>
        <w:spacing w:line="480" w:lineRule="auto"/>
        <w:rPr>
          <w:rFonts w:eastAsia="Times New Roman" w:cstheme="minorHAnsi"/>
          <w:sz w:val="20"/>
          <w:szCs w:val="20"/>
          <w:lang w:eastAsia="en-GB"/>
        </w:rPr>
      </w:pPr>
    </w:p>
    <w:p w14:paraId="1C8D49B0" w14:textId="77777777" w:rsidR="00570834" w:rsidRDefault="00570834" w:rsidP="000B0C3F">
      <w:pPr>
        <w:spacing w:line="480" w:lineRule="auto"/>
        <w:rPr>
          <w:rFonts w:eastAsia="Times New Roman" w:cstheme="minorHAnsi"/>
          <w:b/>
          <w:bCs/>
          <w:lang w:eastAsia="en-GB"/>
        </w:rPr>
      </w:pPr>
      <w:r w:rsidRPr="00980FC8">
        <w:rPr>
          <w:rFonts w:cstheme="minorHAnsi"/>
          <w:color w:val="000000" w:themeColor="text1"/>
        </w:rPr>
        <w:t>Comparison of fold-changes between post-primary and post-booster doses identified modest responses against strain 44/76-SL (</w:t>
      </w:r>
      <w:proofErr w:type="spellStart"/>
      <w:r w:rsidRPr="00980FC8">
        <w:rPr>
          <w:rFonts w:cstheme="minorHAnsi"/>
          <w:color w:val="000000" w:themeColor="text1"/>
        </w:rPr>
        <w:t>fHbp</w:t>
      </w:r>
      <w:proofErr w:type="spellEnd"/>
      <w:r w:rsidRPr="00980FC8">
        <w:rPr>
          <w:rFonts w:cstheme="minorHAnsi"/>
          <w:color w:val="000000" w:themeColor="text1"/>
        </w:rPr>
        <w:t>) in both groups, lower than for the other vaccine antigens (</w:t>
      </w:r>
      <w:r w:rsidRPr="00980FC8">
        <w:rPr>
          <w:rFonts w:cstheme="minorHAnsi"/>
          <w:b/>
          <w:bCs/>
          <w:color w:val="FF0000"/>
        </w:rPr>
        <w:t>Figure 2</w:t>
      </w:r>
      <w:r w:rsidRPr="00980FC8">
        <w:rPr>
          <w:rFonts w:cstheme="minorHAnsi"/>
          <w:color w:val="000000" w:themeColor="text1"/>
        </w:rPr>
        <w:t xml:space="preserve">, </w:t>
      </w:r>
      <w:r w:rsidRPr="00980FC8">
        <w:rPr>
          <w:rFonts w:cstheme="minorHAnsi"/>
          <w:b/>
          <w:bCs/>
          <w:color w:val="FF0000"/>
        </w:rPr>
        <w:t>Supplementary Table 4</w:t>
      </w:r>
      <w:r w:rsidRPr="00980FC8">
        <w:rPr>
          <w:rFonts w:cstheme="minorHAnsi"/>
          <w:color w:val="000000" w:themeColor="text1"/>
        </w:rPr>
        <w:t>).</w:t>
      </w:r>
    </w:p>
    <w:p w14:paraId="7350A047" w14:textId="77777777" w:rsidR="00570834" w:rsidRDefault="00570834">
      <w:pPr>
        <w:spacing w:line="480" w:lineRule="auto"/>
        <w:rPr>
          <w:rFonts w:eastAsia="Times New Roman" w:cstheme="minorHAnsi"/>
          <w:b/>
          <w:bCs/>
          <w:lang w:eastAsia="en-GB"/>
        </w:rPr>
      </w:pPr>
    </w:p>
    <w:p w14:paraId="7721BE99" w14:textId="77777777" w:rsidR="00570834" w:rsidRPr="00380447" w:rsidRDefault="00570834">
      <w:pPr>
        <w:spacing w:line="480" w:lineRule="auto"/>
        <w:textAlignment w:val="baseline"/>
        <w:rPr>
          <w:rFonts w:eastAsia="Times New Roman" w:cstheme="minorHAnsi"/>
          <w:b/>
          <w:bCs/>
          <w:lang w:eastAsia="en-GB"/>
        </w:rPr>
      </w:pPr>
      <w:r w:rsidRPr="00380447">
        <w:rPr>
          <w:rFonts w:eastAsia="Times New Roman" w:cstheme="minorHAnsi"/>
          <w:b/>
          <w:bCs/>
          <w:lang w:eastAsia="en-GB"/>
        </w:rPr>
        <w:t>Reactogenicity</w:t>
      </w:r>
    </w:p>
    <w:p w14:paraId="0AF502BF" w14:textId="58CD8A53" w:rsidR="00570834" w:rsidRDefault="00570834" w:rsidP="003F1F46">
      <w:pPr>
        <w:spacing w:line="480" w:lineRule="auto"/>
        <w:textAlignment w:val="baseline"/>
        <w:rPr>
          <w:rFonts w:eastAsia="Times New Roman" w:cstheme="minorHAnsi"/>
          <w:lang w:eastAsia="en-GB"/>
        </w:rPr>
      </w:pPr>
      <w:r w:rsidRPr="00980FC8">
        <w:rPr>
          <w:rFonts w:cstheme="minorHAnsi"/>
          <w:color w:val="000000" w:themeColor="text1"/>
        </w:rPr>
        <w:t>Overall, 84 vaccinations in 56 participants took place in a neonatal unit (</w:t>
      </w:r>
      <w:r w:rsidRPr="00980FC8">
        <w:rPr>
          <w:rFonts w:cstheme="minorHAnsi"/>
          <w:b/>
          <w:bCs/>
          <w:color w:val="FF0000"/>
        </w:rPr>
        <w:t>Supplementary Table 5).</w:t>
      </w:r>
      <w:r w:rsidRPr="00980FC8">
        <w:rPr>
          <w:rFonts w:cstheme="minorHAnsi"/>
          <w:color w:val="000000" w:themeColor="text1"/>
        </w:rPr>
        <w:t xml:space="preserve"> </w:t>
      </w:r>
      <w:r w:rsidR="00972444">
        <w:rPr>
          <w:rFonts w:cstheme="minorHAnsi"/>
          <w:color w:val="000000" w:themeColor="text1"/>
        </w:rPr>
        <w:t>I</w:t>
      </w:r>
      <w:r w:rsidR="00972444" w:rsidRPr="00980FC8">
        <w:rPr>
          <w:rFonts w:cstheme="minorHAnsi"/>
          <w:color w:val="000000" w:themeColor="text1"/>
        </w:rPr>
        <w:t xml:space="preserve">n the </w:t>
      </w:r>
      <w:r w:rsidR="00972444">
        <w:rPr>
          <w:rFonts w:cstheme="minorHAnsi"/>
          <w:color w:val="000000" w:themeColor="text1"/>
        </w:rPr>
        <w:t>72</w:t>
      </w:r>
      <w:r w:rsidR="00F14B6C">
        <w:rPr>
          <w:rFonts w:cstheme="minorHAnsi"/>
          <w:color w:val="000000" w:themeColor="text1"/>
        </w:rPr>
        <w:t>-</w:t>
      </w:r>
      <w:r w:rsidR="00972444">
        <w:rPr>
          <w:rFonts w:cstheme="minorHAnsi"/>
          <w:color w:val="000000" w:themeColor="text1"/>
        </w:rPr>
        <w:t>hour</w:t>
      </w:r>
      <w:r w:rsidR="00A435B0">
        <w:rPr>
          <w:rFonts w:cstheme="minorHAnsi"/>
          <w:color w:val="000000" w:themeColor="text1"/>
        </w:rPr>
        <w:t>s</w:t>
      </w:r>
      <w:r w:rsidR="00972444" w:rsidRPr="00980FC8">
        <w:rPr>
          <w:rFonts w:cstheme="minorHAnsi"/>
          <w:color w:val="000000" w:themeColor="text1"/>
        </w:rPr>
        <w:t xml:space="preserve"> </w:t>
      </w:r>
      <w:r w:rsidR="00972444">
        <w:rPr>
          <w:rFonts w:cstheme="minorHAnsi"/>
          <w:color w:val="000000" w:themeColor="text1"/>
        </w:rPr>
        <w:t>following</w:t>
      </w:r>
      <w:r w:rsidR="00972444" w:rsidRPr="00980FC8">
        <w:rPr>
          <w:rFonts w:cstheme="minorHAnsi"/>
          <w:color w:val="000000" w:themeColor="text1"/>
        </w:rPr>
        <w:t xml:space="preserve"> first </w:t>
      </w:r>
      <w:r w:rsidR="00972444">
        <w:rPr>
          <w:rFonts w:cstheme="minorHAnsi"/>
          <w:color w:val="000000" w:themeColor="text1"/>
        </w:rPr>
        <w:t>and</w:t>
      </w:r>
      <w:r w:rsidR="00972444" w:rsidRPr="00980FC8">
        <w:rPr>
          <w:rFonts w:cstheme="minorHAnsi"/>
          <w:color w:val="000000" w:themeColor="text1"/>
        </w:rPr>
        <w:t xml:space="preserve"> second vacci</w:t>
      </w:r>
      <w:r w:rsidR="00972444">
        <w:rPr>
          <w:rFonts w:cstheme="minorHAnsi"/>
          <w:color w:val="000000" w:themeColor="text1"/>
        </w:rPr>
        <w:t>nation</w:t>
      </w:r>
      <w:r w:rsidR="00972444" w:rsidRPr="00980FC8">
        <w:rPr>
          <w:rFonts w:cstheme="minorHAnsi"/>
          <w:color w:val="000000" w:themeColor="text1"/>
        </w:rPr>
        <w:t>s</w:t>
      </w:r>
      <w:r w:rsidR="00972444">
        <w:rPr>
          <w:rFonts w:cstheme="minorHAnsi"/>
          <w:color w:val="000000" w:themeColor="text1"/>
        </w:rPr>
        <w:t>, t</w:t>
      </w:r>
      <w:r w:rsidR="00972444" w:rsidRPr="00980FC8">
        <w:rPr>
          <w:rFonts w:cstheme="minorHAnsi"/>
          <w:color w:val="000000" w:themeColor="text1"/>
        </w:rPr>
        <w:t xml:space="preserve">here was no significant difference in rates of apnoea, bradycardia or desaturation compared with </w:t>
      </w:r>
      <w:r w:rsidR="00972444">
        <w:rPr>
          <w:rFonts w:cstheme="minorHAnsi"/>
          <w:color w:val="000000" w:themeColor="text1"/>
        </w:rPr>
        <w:t>the 24</w:t>
      </w:r>
      <w:r w:rsidR="00F14B6C">
        <w:rPr>
          <w:rFonts w:cstheme="minorHAnsi"/>
          <w:color w:val="000000" w:themeColor="text1"/>
        </w:rPr>
        <w:t>-</w:t>
      </w:r>
      <w:r w:rsidR="00972444">
        <w:rPr>
          <w:rFonts w:cstheme="minorHAnsi"/>
          <w:color w:val="000000" w:themeColor="text1"/>
        </w:rPr>
        <w:t>h</w:t>
      </w:r>
      <w:r w:rsidR="00F07CBD">
        <w:rPr>
          <w:rFonts w:cstheme="minorHAnsi"/>
          <w:color w:val="000000" w:themeColor="text1"/>
        </w:rPr>
        <w:t>our</w:t>
      </w:r>
      <w:r w:rsidR="00972444">
        <w:rPr>
          <w:rFonts w:cstheme="minorHAnsi"/>
          <w:color w:val="000000" w:themeColor="text1"/>
        </w:rPr>
        <w:t xml:space="preserve"> periods preceding.</w:t>
      </w:r>
      <w:r w:rsidR="00972444" w:rsidRPr="00980FC8" w:rsidDel="00972444">
        <w:rPr>
          <w:rFonts w:cstheme="minorHAnsi"/>
          <w:color w:val="000000" w:themeColor="text1"/>
        </w:rPr>
        <w:t xml:space="preserve"> </w:t>
      </w:r>
      <w:r w:rsidRPr="00980FC8">
        <w:rPr>
          <w:rFonts w:eastAsia="Times New Roman" w:cstheme="minorHAnsi"/>
          <w:lang w:eastAsia="en-GB"/>
        </w:rPr>
        <w:t>(</w:t>
      </w:r>
      <w:r w:rsidRPr="00980FC8">
        <w:rPr>
          <w:rFonts w:eastAsia="Times New Roman" w:cstheme="minorHAnsi"/>
          <w:b/>
          <w:bCs/>
          <w:color w:val="FF0000"/>
          <w:lang w:eastAsia="en-GB"/>
        </w:rPr>
        <w:t>Supplementary figures 1 +2).</w:t>
      </w:r>
      <w:r w:rsidRPr="00980FC8">
        <w:rPr>
          <w:rFonts w:eastAsia="Times New Roman" w:cstheme="minorHAnsi"/>
          <w:lang w:eastAsia="en-GB"/>
        </w:rPr>
        <w:t xml:space="preserve"> </w:t>
      </w:r>
      <w:r w:rsidR="00EA042C">
        <w:rPr>
          <w:rFonts w:eastAsia="Times New Roman" w:cstheme="minorHAnsi"/>
          <w:lang w:eastAsia="en-GB"/>
        </w:rPr>
        <w:t>There were no episodes of apnoea or bradycardia reported before or after the third vaccines</w:t>
      </w:r>
      <w:r w:rsidR="00241082">
        <w:rPr>
          <w:rFonts w:eastAsia="Times New Roman" w:cstheme="minorHAnsi"/>
          <w:lang w:eastAsia="en-GB"/>
        </w:rPr>
        <w:t>,</w:t>
      </w:r>
      <w:r w:rsidR="00EA042C">
        <w:rPr>
          <w:rFonts w:eastAsia="Times New Roman" w:cstheme="minorHAnsi"/>
          <w:lang w:eastAsia="en-GB"/>
        </w:rPr>
        <w:t xml:space="preserve"> and one infant experienced a single desaturation following </w:t>
      </w:r>
      <w:r w:rsidR="00241082">
        <w:rPr>
          <w:rFonts w:eastAsia="Times New Roman" w:cstheme="minorHAnsi"/>
          <w:lang w:eastAsia="en-GB"/>
        </w:rPr>
        <w:t>the</w:t>
      </w:r>
      <w:r w:rsidR="00A3567D">
        <w:rPr>
          <w:rFonts w:eastAsia="Times New Roman" w:cstheme="minorHAnsi"/>
          <w:lang w:eastAsia="en-GB"/>
        </w:rPr>
        <w:t>se</w:t>
      </w:r>
      <w:r w:rsidR="00EA042C">
        <w:rPr>
          <w:rFonts w:eastAsia="Times New Roman" w:cstheme="minorHAnsi"/>
          <w:lang w:eastAsia="en-GB"/>
        </w:rPr>
        <w:t xml:space="preserve">. </w:t>
      </w:r>
      <w:r w:rsidRPr="00980FC8">
        <w:rPr>
          <w:rFonts w:eastAsia="Times New Roman" w:cstheme="minorHAnsi"/>
          <w:lang w:eastAsia="en-GB"/>
        </w:rPr>
        <w:t>Local reactions (</w:t>
      </w:r>
      <w:r w:rsidRPr="00980FC8">
        <w:rPr>
          <w:rFonts w:eastAsia="Times New Roman" w:cstheme="minorHAnsi"/>
          <w:b/>
          <w:bCs/>
          <w:color w:val="FF0000"/>
          <w:lang w:eastAsia="en-GB"/>
        </w:rPr>
        <w:t>Supplementary figures 3-7</w:t>
      </w:r>
      <w:r w:rsidRPr="00980FC8">
        <w:rPr>
          <w:rFonts w:eastAsia="Times New Roman" w:cstheme="minorHAnsi"/>
          <w:lang w:eastAsia="en-GB"/>
        </w:rPr>
        <w:t>) and non-febrile systemic reactions (</w:t>
      </w:r>
      <w:r w:rsidRPr="00980FC8">
        <w:rPr>
          <w:rFonts w:eastAsia="Times New Roman" w:cstheme="minorHAnsi"/>
          <w:b/>
          <w:bCs/>
          <w:color w:val="FF0000"/>
          <w:lang w:eastAsia="en-GB"/>
        </w:rPr>
        <w:t>Figure 3</w:t>
      </w:r>
      <w:r w:rsidRPr="00980FC8">
        <w:rPr>
          <w:rFonts w:eastAsia="Times New Roman" w:cstheme="minorHAnsi"/>
          <w:lang w:eastAsia="en-GB"/>
        </w:rPr>
        <w:t xml:space="preserve">) after routine vaccines were common in both groups at every time point. </w:t>
      </w:r>
    </w:p>
    <w:p w14:paraId="7477128E" w14:textId="0EED0987" w:rsidR="00570834" w:rsidRDefault="002D5D07" w:rsidP="003F1F46">
      <w:pPr>
        <w:textAlignment w:val="baseline"/>
        <w:rPr>
          <w:rFonts w:eastAsia="Times New Roman" w:cstheme="minorHAnsi"/>
          <w:b/>
          <w:bCs/>
          <w:lang w:eastAsia="en-GB"/>
        </w:rPr>
      </w:pPr>
      <w:bookmarkStart w:id="2" w:name="_Hlk168081711"/>
      <w:r>
        <w:rPr>
          <w:rFonts w:eastAsia="Times New Roman" w:cstheme="minorHAnsi"/>
          <w:b/>
          <w:bCs/>
          <w:lang w:eastAsia="en-GB"/>
        </w:rPr>
        <w:t>&lt;</w:t>
      </w:r>
      <w:r w:rsidR="00570834" w:rsidRPr="00902FEA">
        <w:rPr>
          <w:rFonts w:eastAsia="Times New Roman" w:cstheme="minorHAnsi"/>
          <w:b/>
          <w:bCs/>
          <w:lang w:eastAsia="en-GB"/>
        </w:rPr>
        <w:t xml:space="preserve">Figure 3: Systemic reactions following </w:t>
      </w:r>
      <w:r w:rsidR="00570834">
        <w:rPr>
          <w:rFonts w:eastAsia="Times New Roman" w:cstheme="minorHAnsi"/>
          <w:b/>
          <w:bCs/>
          <w:lang w:eastAsia="en-GB"/>
        </w:rPr>
        <w:t>4CMenB vaccination alongside routine immunisations at 8, 12 and 16 weeks followed by a booster at one year of age</w:t>
      </w:r>
      <w:r>
        <w:rPr>
          <w:rFonts w:eastAsia="Times New Roman" w:cstheme="minorHAnsi"/>
          <w:b/>
          <w:bCs/>
          <w:lang w:eastAsia="en-GB"/>
        </w:rPr>
        <w:t>&gt;</w:t>
      </w:r>
    </w:p>
    <w:bookmarkEnd w:id="2"/>
    <w:p w14:paraId="170FC222" w14:textId="77777777" w:rsidR="00570834" w:rsidRDefault="00570834" w:rsidP="002E7A54">
      <w:pPr>
        <w:textAlignment w:val="baseline"/>
        <w:rPr>
          <w:rFonts w:eastAsia="Times New Roman" w:cstheme="minorHAnsi"/>
          <w:b/>
          <w:bCs/>
          <w:lang w:eastAsia="en-GB"/>
        </w:rPr>
      </w:pPr>
    </w:p>
    <w:p w14:paraId="7C96FEA8" w14:textId="77777777" w:rsidR="00095B0F" w:rsidRPr="00A26418" w:rsidRDefault="00095B0F" w:rsidP="002E7A54">
      <w:pPr>
        <w:textAlignment w:val="baseline"/>
        <w:rPr>
          <w:rFonts w:eastAsia="Times New Roman" w:cstheme="minorHAnsi"/>
          <w:b/>
          <w:bCs/>
          <w:lang w:eastAsia="en-GB"/>
        </w:rPr>
      </w:pPr>
    </w:p>
    <w:p w14:paraId="0F61B312" w14:textId="44463675" w:rsidR="00570834" w:rsidRPr="00F259E1" w:rsidRDefault="00095B0F" w:rsidP="000B0C3F">
      <w:pPr>
        <w:spacing w:line="480" w:lineRule="auto"/>
        <w:rPr>
          <w:rFonts w:cstheme="minorHAnsi"/>
          <w:color w:val="000000" w:themeColor="text1"/>
        </w:rPr>
      </w:pPr>
      <w:r>
        <w:rPr>
          <w:color w:val="000000" w:themeColor="text1"/>
        </w:rPr>
        <w:t>A larger proportion of infants</w:t>
      </w:r>
      <w:r w:rsidR="00570834" w:rsidRPr="00980FC8">
        <w:rPr>
          <w:color w:val="000000" w:themeColor="text1"/>
        </w:rPr>
        <w:t xml:space="preserve"> experienced fever within seven days of vaccination with each subsequent vaccination (first vaccines: 6%, second vaccine 2+1: 2%, second vaccines 3+1: 14%, third vaccines: </w:t>
      </w:r>
      <w:r w:rsidR="00615615" w:rsidRPr="00980FC8">
        <w:rPr>
          <w:color w:val="000000" w:themeColor="text1"/>
        </w:rPr>
        <w:t>2+1: 2</w:t>
      </w:r>
      <w:r w:rsidR="00615615">
        <w:rPr>
          <w:color w:val="000000" w:themeColor="text1"/>
        </w:rPr>
        <w:t>0</w:t>
      </w:r>
      <w:r w:rsidR="00615615" w:rsidRPr="00980FC8">
        <w:rPr>
          <w:color w:val="000000" w:themeColor="text1"/>
        </w:rPr>
        <w:t xml:space="preserve">%, second vaccines 3+1: 14%, </w:t>
      </w:r>
      <w:r w:rsidR="00570834" w:rsidRPr="00980FC8">
        <w:rPr>
          <w:color w:val="000000" w:themeColor="text1"/>
        </w:rPr>
        <w:t>fourth vaccines 26% (</w:t>
      </w:r>
      <w:r w:rsidR="00570834" w:rsidRPr="00980FC8">
        <w:rPr>
          <w:b/>
          <w:bCs/>
          <w:color w:val="FF0000"/>
        </w:rPr>
        <w:t>Supplementary Table 6</w:t>
      </w:r>
      <w:r w:rsidR="00570834" w:rsidRPr="00980FC8">
        <w:rPr>
          <w:color w:val="000000" w:themeColor="text1"/>
        </w:rPr>
        <w:t xml:space="preserve">). Infants receiving the 3+1 schedule had significantly more fever </w:t>
      </w:r>
      <w:r w:rsidR="00570834" w:rsidRPr="00980FC8">
        <w:rPr>
          <w:color w:val="000000" w:themeColor="text1"/>
        </w:rPr>
        <w:lastRenderedPageBreak/>
        <w:t>episodes at the time of the second vaccines than those receiving the 2+1 schedule (2+1: 1/58 [2%) vs. 3+1: 9/64 [14%]; p=0.02) although the proportion of infants experiencing a grade 3 fever (</w:t>
      </w:r>
      <w:r w:rsidR="00570834" w:rsidRPr="00980FC8">
        <w:rPr>
          <w:rFonts w:cstheme="minorHAnsi"/>
          <w:noProof/>
          <w:color w:val="000000" w:themeColor="text1"/>
        </w:rPr>
        <w:t>≥</w:t>
      </w:r>
      <w:r w:rsidR="00570834" w:rsidRPr="00980FC8">
        <w:rPr>
          <w:color w:val="000000" w:themeColor="text1"/>
        </w:rPr>
        <w:t>39.0</w:t>
      </w:r>
      <w:r w:rsidR="00570834" w:rsidRPr="00980FC8">
        <w:rPr>
          <w:color w:val="000000" w:themeColor="text1"/>
          <w:vertAlign w:val="superscript"/>
        </w:rPr>
        <w:t>o</w:t>
      </w:r>
      <w:r w:rsidR="00570834" w:rsidRPr="00980FC8">
        <w:rPr>
          <w:color w:val="000000" w:themeColor="text1"/>
        </w:rPr>
        <w:t>C) was similar (2+1: 0/58 [0%) vs. 3+1: 1/64 [2%]; p=1.0), as was the proportion of infants investigated for sepsis after the second vaccines (2+1: 2/63 [3.2%) vs. 3+1: 2/65 [3.1%]; p=1.0)</w:t>
      </w:r>
      <w:r w:rsidR="00570834" w:rsidRPr="00980FC8">
        <w:rPr>
          <w:rFonts w:eastAsia="Times New Roman" w:cstheme="minorHAnsi"/>
          <w:lang w:eastAsia="en-GB"/>
        </w:rPr>
        <w:t xml:space="preserve"> (</w:t>
      </w:r>
      <w:r w:rsidR="00570834" w:rsidRPr="00980FC8">
        <w:rPr>
          <w:rFonts w:eastAsia="Times New Roman" w:cstheme="minorHAnsi"/>
          <w:b/>
          <w:bCs/>
          <w:color w:val="FF0000"/>
          <w:lang w:eastAsia="en-GB"/>
        </w:rPr>
        <w:t>Supplementary Table 7</w:t>
      </w:r>
      <w:r w:rsidR="00570834" w:rsidRPr="00980FC8">
        <w:rPr>
          <w:rFonts w:eastAsia="Times New Roman" w:cstheme="minorHAnsi"/>
          <w:lang w:eastAsia="en-GB"/>
        </w:rPr>
        <w:t xml:space="preserve">). Most </w:t>
      </w:r>
      <w:r w:rsidR="00570834" w:rsidRPr="00980FC8">
        <w:rPr>
          <w:rFonts w:cstheme="minorHAnsi"/>
          <w:color w:val="000000" w:themeColor="text1"/>
        </w:rPr>
        <w:t>infants (V1: 104/114, 91.2%, V2 3+1: 56/59, 94.9%, V3: 95/99, 96%, V4: 86/91, 94.5%) received at least one paracetamol dose on the day of 4CMenB vaccination (</w:t>
      </w:r>
      <w:r w:rsidR="00570834" w:rsidRPr="00980FC8">
        <w:rPr>
          <w:rFonts w:cstheme="minorHAnsi"/>
          <w:b/>
          <w:bCs/>
          <w:color w:val="FF0000"/>
        </w:rPr>
        <w:t>Supplementary Table 8</w:t>
      </w:r>
      <w:r w:rsidR="00570834" w:rsidRPr="00980FC8">
        <w:rPr>
          <w:rFonts w:cstheme="minorHAnsi"/>
          <w:color w:val="000000" w:themeColor="text1"/>
        </w:rPr>
        <w:t>). The proportion of babies receiving paracetamol remained high following the booster vaccines at 12 months; where indication was recorded this was for prophylaxis in 76.7% (n=46), fever in 18.3% (n=11), both in 3.3% (n=2) and an unrelated symptom in 1.7% (n=1).</w:t>
      </w:r>
    </w:p>
    <w:p w14:paraId="321F7DF3" w14:textId="77777777" w:rsidR="00570834" w:rsidRDefault="00570834" w:rsidP="00DF1650">
      <w:pPr>
        <w:spacing w:line="480" w:lineRule="auto"/>
        <w:rPr>
          <w:rFonts w:eastAsia="Times New Roman" w:cstheme="minorHAnsi"/>
          <w:b/>
          <w:bCs/>
          <w:lang w:eastAsia="en-GB"/>
        </w:rPr>
      </w:pPr>
    </w:p>
    <w:p w14:paraId="7D2FA6E5" w14:textId="77777777" w:rsidR="00570834" w:rsidRPr="00980FC8" w:rsidRDefault="00570834" w:rsidP="003F1F46">
      <w:pPr>
        <w:spacing w:line="480" w:lineRule="auto"/>
        <w:textAlignment w:val="baseline"/>
        <w:rPr>
          <w:rFonts w:eastAsia="Times New Roman" w:cstheme="minorHAnsi"/>
          <w:b/>
          <w:bCs/>
          <w:lang w:eastAsia="en-GB"/>
        </w:rPr>
      </w:pPr>
      <w:r w:rsidRPr="00980FC8">
        <w:rPr>
          <w:rFonts w:eastAsia="Times New Roman" w:cstheme="minorHAnsi"/>
          <w:b/>
          <w:bCs/>
          <w:lang w:eastAsia="en-GB"/>
        </w:rPr>
        <w:t>Safety</w:t>
      </w:r>
    </w:p>
    <w:p w14:paraId="2822944E" w14:textId="36524931" w:rsidR="00570834" w:rsidRPr="00CB7191" w:rsidRDefault="00570834" w:rsidP="003F1F46">
      <w:pPr>
        <w:spacing w:line="480" w:lineRule="auto"/>
        <w:textAlignment w:val="baseline"/>
        <w:rPr>
          <w:rFonts w:cstheme="minorHAnsi"/>
          <w:color w:val="000000" w:themeColor="text1"/>
        </w:rPr>
      </w:pPr>
      <w:r w:rsidRPr="00980FC8">
        <w:rPr>
          <w:rFonts w:eastAsia="Times New Roman" w:cstheme="minorHAnsi"/>
          <w:lang w:eastAsia="en-GB"/>
        </w:rPr>
        <w:t xml:space="preserve">There were </w:t>
      </w:r>
      <w:r w:rsidR="00513B5A">
        <w:rPr>
          <w:rFonts w:eastAsia="Times New Roman" w:cstheme="minorHAnsi"/>
          <w:lang w:eastAsia="en-GB"/>
        </w:rPr>
        <w:t>100</w:t>
      </w:r>
      <w:r w:rsidRPr="00980FC8">
        <w:rPr>
          <w:rFonts w:eastAsia="Times New Roman" w:cstheme="minorHAnsi"/>
          <w:lang w:eastAsia="en-GB"/>
        </w:rPr>
        <w:t xml:space="preserve"> serious adverse events (SAEs) reported (</w:t>
      </w:r>
      <w:r w:rsidRPr="00980FC8">
        <w:rPr>
          <w:rFonts w:eastAsia="Times New Roman" w:cstheme="minorHAnsi"/>
          <w:b/>
          <w:bCs/>
          <w:color w:val="FF0000"/>
          <w:lang w:eastAsia="en-GB"/>
        </w:rPr>
        <w:t>Supplementary Table 9</w:t>
      </w:r>
      <w:r w:rsidRPr="00980FC8">
        <w:rPr>
          <w:rFonts w:eastAsia="Times New Roman" w:cstheme="minorHAnsi"/>
          <w:lang w:eastAsia="en-GB"/>
        </w:rPr>
        <w:t>), mainly in infants born at &lt;30 weeks of gestation (</w:t>
      </w:r>
      <w:r w:rsidRPr="00980FC8">
        <w:rPr>
          <w:rFonts w:eastAsia="Times New Roman" w:cstheme="minorHAnsi"/>
          <w:color w:val="000000" w:themeColor="text1"/>
          <w:lang w:eastAsia="en-GB"/>
        </w:rPr>
        <w:t>7</w:t>
      </w:r>
      <w:r w:rsidR="00513B5A">
        <w:rPr>
          <w:rFonts w:eastAsia="Times New Roman" w:cstheme="minorHAnsi"/>
          <w:color w:val="000000" w:themeColor="text1"/>
          <w:lang w:eastAsia="en-GB"/>
        </w:rPr>
        <w:t>3</w:t>
      </w:r>
      <w:r w:rsidRPr="00980FC8">
        <w:rPr>
          <w:rFonts w:eastAsia="Times New Roman" w:cstheme="minorHAnsi"/>
          <w:color w:val="000000" w:themeColor="text1"/>
          <w:lang w:eastAsia="en-GB"/>
        </w:rPr>
        <w:t>/</w:t>
      </w:r>
      <w:r w:rsidR="00513B5A">
        <w:rPr>
          <w:rFonts w:eastAsia="Times New Roman" w:cstheme="minorHAnsi"/>
          <w:color w:val="000000" w:themeColor="text1"/>
          <w:lang w:eastAsia="en-GB"/>
        </w:rPr>
        <w:t>100</w:t>
      </w:r>
      <w:r w:rsidRPr="00980FC8">
        <w:rPr>
          <w:rFonts w:eastAsia="Times New Roman" w:cstheme="minorHAnsi"/>
          <w:color w:val="000000" w:themeColor="text1"/>
          <w:lang w:eastAsia="en-GB"/>
        </w:rPr>
        <w:t>, 7</w:t>
      </w:r>
      <w:r w:rsidR="00513B5A">
        <w:rPr>
          <w:rFonts w:eastAsia="Times New Roman" w:cstheme="minorHAnsi"/>
          <w:color w:val="000000" w:themeColor="text1"/>
          <w:lang w:eastAsia="en-GB"/>
        </w:rPr>
        <w:t>3</w:t>
      </w:r>
      <w:r w:rsidRPr="00980FC8">
        <w:rPr>
          <w:rFonts w:eastAsia="Times New Roman" w:cstheme="minorHAnsi"/>
          <w:color w:val="000000" w:themeColor="text1"/>
          <w:lang w:eastAsia="en-GB"/>
        </w:rPr>
        <w:t xml:space="preserve">%). </w:t>
      </w:r>
      <w:r w:rsidRPr="00980FC8">
        <w:rPr>
          <w:rFonts w:cstheme="minorHAnsi"/>
          <w:color w:val="000000" w:themeColor="text1"/>
        </w:rPr>
        <w:t xml:space="preserve">Six SAEs were related to vaccination: 4 probably related (3 apnoea, 1 fever), all following vaccines including 4CMenB, and 2 definitely related (elective hospitalisation for monitoring because of apnoea following previous vaccination). </w:t>
      </w:r>
      <w:r w:rsidRPr="00980FC8">
        <w:rPr>
          <w:rFonts w:eastAsia="Times New Roman" w:cstheme="minorHAnsi"/>
          <w:lang w:eastAsia="en-GB"/>
        </w:rPr>
        <w:t xml:space="preserve">Three infants died during the study </w:t>
      </w:r>
      <w:r w:rsidRPr="00980FC8">
        <w:rPr>
          <w:rFonts w:cstheme="minorHAnsi"/>
          <w:color w:val="000000"/>
          <w:lang w:eastAsia="en-GB"/>
        </w:rPr>
        <w:t>(two in the 3+1 group and one in the 2+1 group); none w</w:t>
      </w:r>
      <w:r w:rsidR="00F07CBD">
        <w:rPr>
          <w:rFonts w:cstheme="minorHAnsi"/>
          <w:color w:val="000000"/>
          <w:lang w:eastAsia="en-GB"/>
        </w:rPr>
        <w:t>as</w:t>
      </w:r>
      <w:r w:rsidRPr="00980FC8">
        <w:rPr>
          <w:rFonts w:cstheme="minorHAnsi"/>
          <w:color w:val="000000"/>
          <w:lang w:eastAsia="en-GB"/>
        </w:rPr>
        <w:t xml:space="preserve"> </w:t>
      </w:r>
      <w:r w:rsidR="00885D52">
        <w:rPr>
          <w:rFonts w:cstheme="minorHAnsi"/>
          <w:color w:val="000000"/>
          <w:lang w:eastAsia="en-GB"/>
        </w:rPr>
        <w:t>assessed</w:t>
      </w:r>
      <w:r w:rsidRPr="00980FC8">
        <w:rPr>
          <w:rFonts w:cstheme="minorHAnsi"/>
          <w:color w:val="000000"/>
          <w:lang w:eastAsia="en-GB"/>
        </w:rPr>
        <w:t xml:space="preserve"> to be vaccine-related</w:t>
      </w:r>
      <w:r w:rsidR="002377C8">
        <w:rPr>
          <w:rFonts w:cstheme="minorHAnsi"/>
          <w:color w:val="000000"/>
          <w:lang w:eastAsia="en-GB"/>
        </w:rPr>
        <w:t xml:space="preserve"> (RSV bronchiolitis, rhinovirus bronchiolitis, sudden unexpected collapse in hospital)</w:t>
      </w:r>
      <w:r>
        <w:rPr>
          <w:rFonts w:cstheme="minorHAnsi"/>
          <w:color w:val="000000"/>
          <w:lang w:eastAsia="en-GB"/>
        </w:rPr>
        <w:t xml:space="preserve"> </w:t>
      </w:r>
      <w:r>
        <w:rPr>
          <w:rFonts w:eastAsia="Times New Roman" w:cstheme="minorHAnsi"/>
          <w:lang w:eastAsia="en-GB"/>
        </w:rPr>
        <w:t xml:space="preserve"> </w:t>
      </w:r>
    </w:p>
    <w:p w14:paraId="51A04A94" w14:textId="77777777" w:rsidR="00570834" w:rsidRDefault="00570834" w:rsidP="003F1F46">
      <w:pPr>
        <w:spacing w:line="480" w:lineRule="auto"/>
        <w:textAlignment w:val="baseline"/>
        <w:rPr>
          <w:rFonts w:eastAsia="Times New Roman" w:cstheme="minorHAnsi"/>
          <w:b/>
          <w:bCs/>
          <w:lang w:eastAsia="en-GB"/>
        </w:rPr>
      </w:pPr>
    </w:p>
    <w:p w14:paraId="0D59EC3B" w14:textId="77777777" w:rsidR="00570834" w:rsidRDefault="00570834">
      <w:pPr>
        <w:rPr>
          <w:rFonts w:eastAsia="Times New Roman" w:cstheme="minorHAnsi"/>
          <w:b/>
          <w:bCs/>
          <w:lang w:eastAsia="en-GB"/>
        </w:rPr>
      </w:pPr>
      <w:r>
        <w:rPr>
          <w:rFonts w:eastAsia="Times New Roman" w:cstheme="minorHAnsi"/>
          <w:b/>
          <w:bCs/>
          <w:lang w:eastAsia="en-GB"/>
        </w:rPr>
        <w:br w:type="page"/>
      </w:r>
    </w:p>
    <w:p w14:paraId="4DC84C74" w14:textId="77777777" w:rsidR="00570834" w:rsidRPr="00980FC8" w:rsidRDefault="00570834" w:rsidP="003F1F46">
      <w:pPr>
        <w:spacing w:line="480" w:lineRule="auto"/>
        <w:textAlignment w:val="baseline"/>
        <w:rPr>
          <w:rFonts w:eastAsia="Times New Roman" w:cstheme="minorHAnsi"/>
          <w:b/>
          <w:bCs/>
          <w:lang w:eastAsia="en-GB"/>
        </w:rPr>
      </w:pPr>
      <w:r w:rsidRPr="00980FC8">
        <w:rPr>
          <w:rFonts w:eastAsia="Times New Roman" w:cstheme="minorHAnsi"/>
          <w:b/>
          <w:bCs/>
          <w:lang w:eastAsia="en-GB"/>
        </w:rPr>
        <w:lastRenderedPageBreak/>
        <w:t>Discussion</w:t>
      </w:r>
    </w:p>
    <w:p w14:paraId="1829E0C0" w14:textId="74F95375" w:rsidR="00570834" w:rsidRPr="00380447" w:rsidRDefault="00570834" w:rsidP="003F1F46">
      <w:pPr>
        <w:spacing w:line="480" w:lineRule="auto"/>
        <w:rPr>
          <w:rFonts w:cstheme="minorHAnsi"/>
        </w:rPr>
      </w:pPr>
      <w:r w:rsidRPr="00980FC8">
        <w:rPr>
          <w:rFonts w:cstheme="minorHAnsi"/>
        </w:rPr>
        <w:t>We found that both 2+1 and 3+1 schedules for 4CMenB were immunogenic in preterm infants although the GMT against strain NZ98/254 (</w:t>
      </w:r>
      <w:proofErr w:type="spellStart"/>
      <w:r w:rsidRPr="00980FC8">
        <w:rPr>
          <w:rFonts w:cstheme="minorHAnsi"/>
        </w:rPr>
        <w:t>PorA</w:t>
      </w:r>
      <w:proofErr w:type="spellEnd"/>
      <w:r w:rsidRPr="00980FC8">
        <w:rPr>
          <w:rFonts w:cstheme="minorHAnsi"/>
        </w:rPr>
        <w:t xml:space="preserve">) at 12 months, and the proportions of infants with post-primary and pre-booster SBA titres </w:t>
      </w:r>
      <w:r w:rsidRPr="00980FC8">
        <w:rPr>
          <w:rFonts w:eastAsia="Times New Roman" w:cstheme="minorHAnsi"/>
          <w:b/>
          <w:bCs/>
          <w:lang w:eastAsia="en-GB"/>
        </w:rPr>
        <w:t>≥</w:t>
      </w:r>
      <w:r w:rsidRPr="00980FC8">
        <w:rPr>
          <w:rFonts w:cstheme="minorHAnsi"/>
        </w:rPr>
        <w:t>4 were significantly higher with the 3+1 than 2+1 schedule.</w:t>
      </w:r>
      <w:r w:rsidRPr="00380447">
        <w:rPr>
          <w:rFonts w:cstheme="minorHAnsi"/>
        </w:rPr>
        <w:t xml:space="preserve"> </w:t>
      </w:r>
      <w:r w:rsidRPr="00980FC8">
        <w:rPr>
          <w:rFonts w:cstheme="minorHAnsi"/>
        </w:rPr>
        <w:t xml:space="preserve">The vaccine antigen </w:t>
      </w:r>
      <w:proofErr w:type="spellStart"/>
      <w:r w:rsidRPr="00980FC8">
        <w:rPr>
          <w:rFonts w:cstheme="minorHAnsi"/>
        </w:rPr>
        <w:t>PorA</w:t>
      </w:r>
      <w:proofErr w:type="spellEnd"/>
      <w:r w:rsidRPr="00980FC8">
        <w:rPr>
          <w:rFonts w:cstheme="minorHAnsi"/>
        </w:rPr>
        <w:t xml:space="preserve"> is the immunodominant component of outer membrane vesicle vaccines. The immunogenicity of these vaccines is known to be greater when a 3+1 compared with a 2+1 schedule is used.</w:t>
      </w:r>
      <w:r w:rsidRPr="00980FC8">
        <w:rPr>
          <w:rFonts w:cstheme="minorHAnsi"/>
          <w:noProof/>
          <w:color w:val="000000" w:themeColor="text1"/>
        </w:rPr>
        <w:t>(14, 15)</w:t>
      </w:r>
      <w:r w:rsidRPr="00980FC8">
        <w:rPr>
          <w:rFonts w:cstheme="minorHAnsi"/>
        </w:rPr>
        <w:t xml:space="preserve"> The clinical significance of a lower proportion of infants with protective titres against one strain is not clear and, importantly, there was no statistically significant difference after the booster dose meaning that protection after the booster is likely to be similar in the two cohorts. A higher proportion of infants receiving an additional dose of 4CMenB at three months experienced fever, although this is unlikely to be of clinical significance since rates of high fever and </w:t>
      </w:r>
      <w:r w:rsidRPr="00980FC8">
        <w:rPr>
          <w:rFonts w:cstheme="minorHAnsi"/>
          <w:color w:val="000000" w:themeColor="text1"/>
        </w:rPr>
        <w:t>number of infants investigated for sepsis following vaccination were similar in the two groups.</w:t>
      </w:r>
    </w:p>
    <w:p w14:paraId="199FDABA" w14:textId="77777777" w:rsidR="00570834" w:rsidRPr="00380447" w:rsidRDefault="00570834" w:rsidP="003F1F46">
      <w:pPr>
        <w:spacing w:line="480" w:lineRule="auto"/>
        <w:rPr>
          <w:rFonts w:cstheme="minorHAnsi"/>
        </w:rPr>
      </w:pPr>
    </w:p>
    <w:p w14:paraId="2496D528" w14:textId="3CACBD36" w:rsidR="00570834" w:rsidRPr="00E53B27" w:rsidRDefault="00570834" w:rsidP="003F1F46">
      <w:pPr>
        <w:spacing w:line="480" w:lineRule="auto"/>
        <w:rPr>
          <w:rFonts w:cstheme="minorHAnsi"/>
        </w:rPr>
      </w:pPr>
      <w:r w:rsidRPr="00980FC8">
        <w:rPr>
          <w:rFonts w:cstheme="minorHAnsi"/>
        </w:rPr>
        <w:t>The GMTs for preterm infants receiving a 2+1 schedule in this trial are similar to those found in term infants following the primary series when a 2+1 schedule was used and when analysis was performed in the same laboratory.</w:t>
      </w:r>
      <w:r w:rsidRPr="00980FC8">
        <w:rPr>
          <w:rFonts w:cstheme="minorHAnsi"/>
          <w:noProof/>
          <w:color w:val="000000" w:themeColor="text1"/>
        </w:rPr>
        <w:t>(4, 16)</w:t>
      </w:r>
      <w:r w:rsidRPr="00980FC8">
        <w:rPr>
          <w:rFonts w:cstheme="minorHAnsi"/>
          <w:color w:val="000000" w:themeColor="text1"/>
        </w:rPr>
        <w:t xml:space="preserve"> </w:t>
      </w:r>
      <w:r w:rsidRPr="00980FC8">
        <w:rPr>
          <w:rFonts w:cstheme="minorHAnsi"/>
        </w:rPr>
        <w:t xml:space="preserve">  After the booster dose, the reported GMTs in this preterm cohort were similar to those reported by Davis et al,</w:t>
      </w:r>
      <w:r w:rsidRPr="00980FC8">
        <w:rPr>
          <w:rFonts w:cstheme="minorHAnsi"/>
          <w:noProof/>
        </w:rPr>
        <w:t>(4)</w:t>
      </w:r>
      <w:r w:rsidRPr="00980FC8">
        <w:rPr>
          <w:rFonts w:cstheme="minorHAnsi"/>
        </w:rPr>
        <w:t xml:space="preserve"> but the </w:t>
      </w:r>
      <w:proofErr w:type="spellStart"/>
      <w:r w:rsidRPr="00980FC8">
        <w:rPr>
          <w:rFonts w:cstheme="minorHAnsi"/>
        </w:rPr>
        <w:t>fHbp</w:t>
      </w:r>
      <w:proofErr w:type="spellEnd"/>
      <w:r w:rsidRPr="00980FC8">
        <w:rPr>
          <w:rFonts w:cstheme="minorHAnsi"/>
        </w:rPr>
        <w:t xml:space="preserve"> GMTs were slightly lower compared with those found by Pinto</w:t>
      </w:r>
      <w:r w:rsidR="00F07CBD">
        <w:rPr>
          <w:rFonts w:cstheme="minorHAnsi"/>
        </w:rPr>
        <w:t xml:space="preserve"> et al</w:t>
      </w:r>
      <w:r w:rsidRPr="00980FC8">
        <w:rPr>
          <w:rFonts w:cstheme="minorHAnsi"/>
        </w:rPr>
        <w:t>.</w:t>
      </w:r>
      <w:r w:rsidRPr="00980FC8">
        <w:rPr>
          <w:rFonts w:cstheme="minorHAnsi"/>
          <w:noProof/>
          <w:color w:val="000000" w:themeColor="text1"/>
        </w:rPr>
        <w:t>(16)</w:t>
      </w:r>
      <w:r w:rsidRPr="00980FC8">
        <w:rPr>
          <w:rFonts w:cstheme="minorHAnsi"/>
        </w:rPr>
        <w:t xml:space="preserve"> These two studies in term infants also investigated proportions </w:t>
      </w:r>
      <w:r w:rsidRPr="00980FC8">
        <w:rPr>
          <w:rFonts w:cstheme="minorHAnsi"/>
          <w:color w:val="000000" w:themeColor="text1"/>
        </w:rPr>
        <w:t xml:space="preserve">of preterm infants with putative protective titres after the primary vaccine series and the </w:t>
      </w:r>
      <w:r w:rsidRPr="003E5D0E">
        <w:rPr>
          <w:rFonts w:cstheme="minorHAnsi"/>
          <w:color w:val="000000" w:themeColor="text1"/>
        </w:rPr>
        <w:t>booster dose, and reported similar results to those found in our preterm population.</w:t>
      </w:r>
      <w:r w:rsidRPr="003E5D0E">
        <w:rPr>
          <w:rFonts w:cstheme="minorHAnsi"/>
          <w:noProof/>
          <w:color w:val="000000" w:themeColor="text1"/>
        </w:rPr>
        <w:t>(4, 16)</w:t>
      </w:r>
      <w:r w:rsidRPr="003E5D0E">
        <w:rPr>
          <w:rFonts w:cstheme="minorHAnsi"/>
          <w:color w:val="000000" w:themeColor="text1"/>
        </w:rPr>
        <w:t xml:space="preserve"> </w:t>
      </w:r>
      <w:r w:rsidRPr="00500AF2">
        <w:rPr>
          <w:rFonts w:cstheme="minorHAnsi"/>
        </w:rPr>
        <w:t xml:space="preserve">Another study using a 2+1 schedule in term infants found slightly higher proportions protected after the booster dose compared with </w:t>
      </w:r>
      <w:r w:rsidRPr="00500AF2">
        <w:rPr>
          <w:rFonts w:cstheme="minorHAnsi"/>
        </w:rPr>
        <w:lastRenderedPageBreak/>
        <w:t>our preterm population, but this study was performed in a different country, using a different assay.</w:t>
      </w:r>
      <w:r w:rsidRPr="00500AF2">
        <w:rPr>
          <w:rFonts w:cstheme="minorHAnsi"/>
          <w:noProof/>
        </w:rPr>
        <w:t>(17)</w:t>
      </w:r>
      <w:r w:rsidRPr="003E5D0E">
        <w:rPr>
          <w:rFonts w:cstheme="minorHAnsi"/>
        </w:rPr>
        <w:t xml:space="preserve"> </w:t>
      </w:r>
      <w:r w:rsidRPr="00500AF2">
        <w:rPr>
          <w:rFonts w:cstheme="minorHAnsi"/>
        </w:rPr>
        <w:t>Overall, our results indicate that preterm infants receiving the 2+1 schedule had similar immune responses to term infants receiving the same schedule.</w:t>
      </w:r>
      <w:r>
        <w:rPr>
          <w:rFonts w:cstheme="minorHAnsi"/>
        </w:rPr>
        <w:t xml:space="preserve">  </w:t>
      </w:r>
    </w:p>
    <w:p w14:paraId="497C333A" w14:textId="77777777" w:rsidR="00570834" w:rsidRDefault="00570834" w:rsidP="003F1F46">
      <w:pPr>
        <w:spacing w:line="480" w:lineRule="auto"/>
        <w:rPr>
          <w:rFonts w:cstheme="minorHAnsi"/>
          <w:color w:val="000000" w:themeColor="text1"/>
        </w:rPr>
      </w:pPr>
    </w:p>
    <w:p w14:paraId="3CC60DCA" w14:textId="525F7E6A" w:rsidR="00570834" w:rsidRPr="003544C8" w:rsidRDefault="00570834" w:rsidP="003F1F46">
      <w:pPr>
        <w:spacing w:line="480" w:lineRule="auto"/>
        <w:rPr>
          <w:rFonts w:cstheme="minorHAnsi"/>
        </w:rPr>
      </w:pPr>
      <w:r w:rsidRPr="00500AF2">
        <w:rPr>
          <w:rFonts w:cstheme="minorHAnsi"/>
          <w:color w:val="000000" w:themeColor="text1"/>
        </w:rPr>
        <w:t>In common with Pinto and Davis’ findings in term infants,</w:t>
      </w:r>
      <w:r w:rsidRPr="00500AF2">
        <w:rPr>
          <w:rFonts w:cstheme="minorHAnsi"/>
          <w:noProof/>
          <w:color w:val="000000" w:themeColor="text1"/>
        </w:rPr>
        <w:t>(4, 16)</w:t>
      </w:r>
      <w:r w:rsidRPr="00500AF2">
        <w:rPr>
          <w:rFonts w:cstheme="minorHAnsi"/>
          <w:color w:val="000000" w:themeColor="text1"/>
        </w:rPr>
        <w:t xml:space="preserve"> we found a relatively low response following booster vaccination for </w:t>
      </w:r>
      <w:proofErr w:type="spellStart"/>
      <w:r w:rsidRPr="00500AF2">
        <w:rPr>
          <w:rFonts w:cstheme="minorHAnsi"/>
          <w:color w:val="000000" w:themeColor="text1"/>
        </w:rPr>
        <w:t>fHbp</w:t>
      </w:r>
      <w:proofErr w:type="spellEnd"/>
      <w:r w:rsidRPr="00500AF2">
        <w:rPr>
          <w:rFonts w:cstheme="minorHAnsi"/>
          <w:color w:val="000000" w:themeColor="text1"/>
        </w:rPr>
        <w:t xml:space="preserve"> in preterm infants who received a 2+1 schedule.</w:t>
      </w:r>
      <w:r w:rsidRPr="003E5D0E">
        <w:rPr>
          <w:rFonts w:cstheme="minorHAnsi"/>
          <w:color w:val="000000" w:themeColor="text1"/>
        </w:rPr>
        <w:t xml:space="preserve"> </w:t>
      </w:r>
      <w:r w:rsidRPr="00500AF2">
        <w:rPr>
          <w:rFonts w:cstheme="minorHAnsi"/>
          <w:color w:val="000000" w:themeColor="text1"/>
        </w:rPr>
        <w:t xml:space="preserve">Whilst this might suggest the superiority of a 3+1 schedule in priming, this is not supported by the findings of </w:t>
      </w:r>
      <w:proofErr w:type="spellStart"/>
      <w:r w:rsidRPr="00500AF2">
        <w:rPr>
          <w:rFonts w:cstheme="minorHAnsi"/>
          <w:color w:val="000000" w:themeColor="text1"/>
        </w:rPr>
        <w:t>Martinon</w:t>
      </w:r>
      <w:proofErr w:type="spellEnd"/>
      <w:r w:rsidRPr="00500AF2">
        <w:rPr>
          <w:rFonts w:cstheme="minorHAnsi"/>
          <w:color w:val="000000" w:themeColor="text1"/>
        </w:rPr>
        <w:t>-Torres,</w:t>
      </w:r>
      <w:r w:rsidR="00F07CBD">
        <w:rPr>
          <w:rFonts w:cstheme="minorHAnsi"/>
          <w:color w:val="000000" w:themeColor="text1"/>
        </w:rPr>
        <w:t xml:space="preserve"> et al.,</w:t>
      </w:r>
      <w:r w:rsidR="00F07CBD" w:rsidRPr="00500AF2">
        <w:rPr>
          <w:rFonts w:cstheme="minorHAnsi"/>
          <w:noProof/>
        </w:rPr>
        <w:t>(17)</w:t>
      </w:r>
      <w:r w:rsidR="00F07CBD" w:rsidRPr="003E5D0E">
        <w:rPr>
          <w:rFonts w:cstheme="minorHAnsi"/>
        </w:rPr>
        <w:t xml:space="preserve"> </w:t>
      </w:r>
      <w:r w:rsidRPr="00500AF2">
        <w:rPr>
          <w:rFonts w:cstheme="minorHAnsi"/>
          <w:color w:val="000000" w:themeColor="text1"/>
        </w:rPr>
        <w:t xml:space="preserve"> although of note in that study both of the reduced schedules used were given slightly later (3.5 and 5 months or 6 and 8 months) than in our study, or in the Pinto or Davis studies (all at 2 and 4 months), which may explain this difference. That </w:t>
      </w:r>
      <w:proofErr w:type="spellStart"/>
      <w:r w:rsidRPr="00500AF2">
        <w:rPr>
          <w:rFonts w:cstheme="minorHAnsi"/>
          <w:color w:val="000000" w:themeColor="text1"/>
        </w:rPr>
        <w:t>fHbp</w:t>
      </w:r>
      <w:proofErr w:type="spellEnd"/>
      <w:r w:rsidRPr="00500AF2">
        <w:rPr>
          <w:rFonts w:cstheme="minorHAnsi"/>
          <w:color w:val="000000" w:themeColor="text1"/>
        </w:rPr>
        <w:t xml:space="preserve"> responses were similar after the booster irrespective of the priming schedule in preterm infants is reassuring and suggests that both </w:t>
      </w:r>
      <w:r w:rsidRPr="00500AF2">
        <w:rPr>
          <w:rFonts w:cstheme="minorHAnsi"/>
        </w:rPr>
        <w:t>groups would be similarly protected in the medium-to-long term.</w:t>
      </w:r>
    </w:p>
    <w:p w14:paraId="150BD06F" w14:textId="17909DD4" w:rsidR="00570834" w:rsidRPr="003544C8" w:rsidRDefault="00570834" w:rsidP="0079575F">
      <w:pPr>
        <w:spacing w:line="480" w:lineRule="auto"/>
        <w:rPr>
          <w:rFonts w:cstheme="minorHAnsi"/>
        </w:rPr>
      </w:pPr>
      <w:r w:rsidRPr="00500AF2">
        <w:rPr>
          <w:rFonts w:cstheme="minorHAnsi"/>
        </w:rPr>
        <w:t>The protection offered by 4CMenB involves immune responses against four major meningococcal surface protein antigens and many minor antigens in the Outer Membrane Vesicle (OMV), which is also part of the vaccine.</w:t>
      </w:r>
      <w:r w:rsidRPr="00500AF2">
        <w:rPr>
          <w:rFonts w:cstheme="minorHAnsi"/>
          <w:noProof/>
        </w:rPr>
        <w:t>(18)</w:t>
      </w:r>
      <w:r w:rsidRPr="00500AF2">
        <w:rPr>
          <w:rFonts w:cstheme="minorHAnsi"/>
        </w:rPr>
        <w:t xml:space="preserve"> How the observed immunogenicity is translated into clinical protection against IMD is complex because the vaccine antigens are not present on the surface of all meningococci and, when present, their expression on the meningococcal surface varies considerably between strains. Consequently, clinical protection depends on the characteristics of circulating strains causing IMD in different populations.</w:t>
      </w:r>
    </w:p>
    <w:p w14:paraId="3DAF6200" w14:textId="7A545BF9" w:rsidR="00570834" w:rsidRPr="003544C8" w:rsidRDefault="00570834" w:rsidP="003F1F46">
      <w:pPr>
        <w:spacing w:line="480" w:lineRule="auto"/>
        <w:rPr>
          <w:rFonts w:cstheme="minorHAnsi"/>
        </w:rPr>
      </w:pPr>
      <w:r w:rsidRPr="00500AF2">
        <w:rPr>
          <w:rFonts w:cstheme="minorHAnsi"/>
        </w:rPr>
        <w:t xml:space="preserve">Estimation of likely vaccine strain coverage in a population is possible using the Meningococcal Antigen Typing System (MATS), which </w:t>
      </w:r>
      <w:r w:rsidRPr="00500AF2">
        <w:rPr>
          <w:rFonts w:cstheme="minorHAnsi"/>
          <w:color w:val="000000" w:themeColor="text1"/>
        </w:rPr>
        <w:t>assesses whether a particular meningococcal strain expresses antigens which cross-react with those in 4CMenB.</w:t>
      </w:r>
      <w:r w:rsidRPr="00500AF2">
        <w:rPr>
          <w:rFonts w:cstheme="minorHAnsi"/>
          <w:noProof/>
          <w:color w:val="000000" w:themeColor="text1"/>
        </w:rPr>
        <w:t>(19)</w:t>
      </w:r>
      <w:r w:rsidRPr="003E5D0E">
        <w:rPr>
          <w:rFonts w:cstheme="minorHAnsi"/>
          <w:color w:val="000000" w:themeColor="text1"/>
        </w:rPr>
        <w:t xml:space="preserve"> </w:t>
      </w:r>
      <w:r w:rsidR="00943BCE">
        <w:rPr>
          <w:rFonts w:cstheme="minorHAnsi"/>
          <w:color w:val="000000" w:themeColor="text1"/>
        </w:rPr>
        <w:t xml:space="preserve">In the </w:t>
      </w:r>
      <w:r w:rsidR="00943BCE">
        <w:rPr>
          <w:rFonts w:cstheme="minorHAnsi"/>
          <w:color w:val="000000" w:themeColor="text1"/>
        </w:rPr>
        <w:lastRenderedPageBreak/>
        <w:t xml:space="preserve">light of the most recent UK MATS data, it is reassuring that a high proportion of the preterm infants in this study had titres </w:t>
      </w:r>
      <w:r w:rsidR="00943BCE" w:rsidRPr="00500AF2">
        <w:rPr>
          <w:rFonts w:cstheme="minorHAnsi"/>
          <w:noProof/>
          <w:color w:val="000000" w:themeColor="text1"/>
        </w:rPr>
        <w:t>≥</w:t>
      </w:r>
      <w:r w:rsidR="00943BCE" w:rsidRPr="00500AF2">
        <w:rPr>
          <w:rFonts w:cstheme="minorHAnsi"/>
        </w:rPr>
        <w:t>4</w:t>
      </w:r>
      <w:r w:rsidR="00943BCE">
        <w:rPr>
          <w:rFonts w:cstheme="minorHAnsi"/>
        </w:rPr>
        <w:t xml:space="preserve"> against strain 44/76-SL (</w:t>
      </w:r>
      <w:proofErr w:type="spellStart"/>
      <w:r w:rsidR="00943BCE">
        <w:rPr>
          <w:rFonts w:cstheme="minorHAnsi"/>
        </w:rPr>
        <w:t>fHbp</w:t>
      </w:r>
      <w:proofErr w:type="spellEnd"/>
      <w:r w:rsidR="00943BCE">
        <w:rPr>
          <w:rFonts w:cstheme="minorHAnsi"/>
        </w:rPr>
        <w:t xml:space="preserve">) after both primary and booster vaccinations as MATS coverage is often due to </w:t>
      </w:r>
      <w:proofErr w:type="spellStart"/>
      <w:r w:rsidR="00943BCE">
        <w:rPr>
          <w:rFonts w:cstheme="minorHAnsi"/>
        </w:rPr>
        <w:t>fHbp</w:t>
      </w:r>
      <w:proofErr w:type="spellEnd"/>
      <w:r w:rsidR="00943BCE">
        <w:rPr>
          <w:rFonts w:cstheme="minorHAnsi"/>
        </w:rPr>
        <w:t xml:space="preserve"> (59% of isolates with matched antigens). Also, as MATS coverage was less dependent on </w:t>
      </w:r>
      <w:proofErr w:type="spellStart"/>
      <w:r w:rsidR="00943BCE">
        <w:rPr>
          <w:rFonts w:cstheme="minorHAnsi"/>
        </w:rPr>
        <w:t>PorA</w:t>
      </w:r>
      <w:proofErr w:type="spellEnd"/>
      <w:r w:rsidR="00943BCE">
        <w:rPr>
          <w:rFonts w:cstheme="minorHAnsi"/>
        </w:rPr>
        <w:t xml:space="preserve"> (16% of isolates with matched antigens</w:t>
      </w:r>
      <w:r w:rsidR="003C00BA">
        <w:rPr>
          <w:rFonts w:cstheme="minorHAnsi"/>
        </w:rPr>
        <w:t>,</w:t>
      </w:r>
      <w:r w:rsidR="00943BCE">
        <w:rPr>
          <w:rFonts w:cstheme="minorHAnsi"/>
        </w:rPr>
        <w:t xml:space="preserve"> and </w:t>
      </w:r>
      <w:proofErr w:type="spellStart"/>
      <w:r w:rsidR="00943BCE">
        <w:rPr>
          <w:rFonts w:cstheme="minorHAnsi"/>
        </w:rPr>
        <w:t>PorA</w:t>
      </w:r>
      <w:proofErr w:type="spellEnd"/>
      <w:r w:rsidR="00943BCE">
        <w:rPr>
          <w:rFonts w:cstheme="minorHAnsi"/>
        </w:rPr>
        <w:t xml:space="preserve"> as the single matched antigen in &lt;1% of isolates) it is perhaps less concern</w:t>
      </w:r>
      <w:r w:rsidR="00865195">
        <w:rPr>
          <w:rFonts w:cstheme="minorHAnsi"/>
        </w:rPr>
        <w:t>ing</w:t>
      </w:r>
      <w:r w:rsidR="00943BCE">
        <w:rPr>
          <w:rFonts w:cstheme="minorHAnsi"/>
        </w:rPr>
        <w:t xml:space="preserve"> that 13.4% of infants vaccinated according to a 2+1 schedule did not reach a protective threshold </w:t>
      </w:r>
      <w:r w:rsidR="00314F38">
        <w:rPr>
          <w:rFonts w:cstheme="minorHAnsi"/>
        </w:rPr>
        <w:t xml:space="preserve">for this antigen </w:t>
      </w:r>
      <w:r w:rsidR="00943BCE">
        <w:rPr>
          <w:rFonts w:cstheme="minorHAnsi"/>
        </w:rPr>
        <w:t>either after primary or booster vaccination.</w:t>
      </w:r>
      <w:r w:rsidR="003C00BA" w:rsidRPr="00500AF2">
        <w:rPr>
          <w:rFonts w:cstheme="minorHAnsi"/>
          <w:noProof/>
        </w:rPr>
        <w:t>(18)</w:t>
      </w:r>
      <w:r w:rsidR="003C00BA" w:rsidRPr="00500AF2">
        <w:rPr>
          <w:rFonts w:cstheme="minorHAnsi"/>
        </w:rPr>
        <w:t xml:space="preserve">  </w:t>
      </w:r>
      <w:r w:rsidR="001E4BF1">
        <w:rPr>
          <w:rFonts w:cstheme="minorHAnsi"/>
        </w:rPr>
        <w:t>Similar results have been seen in a Canadian study</w:t>
      </w:r>
      <w:r w:rsidR="00A435B0">
        <w:rPr>
          <w:rFonts w:cstheme="minorHAnsi"/>
        </w:rPr>
        <w:t>.</w:t>
      </w:r>
      <w:r w:rsidR="006F6849">
        <w:rPr>
          <w:rFonts w:cstheme="minorHAnsi"/>
        </w:rPr>
        <w:t xml:space="preserve"> (</w:t>
      </w:r>
      <w:proofErr w:type="spellStart"/>
      <w:r w:rsidR="006F6849">
        <w:rPr>
          <w:rFonts w:cstheme="minorHAnsi"/>
        </w:rPr>
        <w:t>Bettinger</w:t>
      </w:r>
      <w:proofErr w:type="spellEnd"/>
      <w:r w:rsidR="006F6849">
        <w:rPr>
          <w:rFonts w:cstheme="minorHAnsi"/>
        </w:rPr>
        <w:t xml:space="preserve">, </w:t>
      </w:r>
      <w:r w:rsidR="00A0467B">
        <w:rPr>
          <w:rFonts w:cstheme="minorHAnsi"/>
        </w:rPr>
        <w:t>2013)</w:t>
      </w:r>
    </w:p>
    <w:p w14:paraId="0C4F67A1" w14:textId="24BAAD6D" w:rsidR="00570834" w:rsidRPr="003544C8" w:rsidRDefault="00570834" w:rsidP="003F1F46">
      <w:pPr>
        <w:spacing w:line="480" w:lineRule="auto"/>
        <w:rPr>
          <w:rFonts w:cstheme="minorHAnsi"/>
        </w:rPr>
      </w:pPr>
      <w:r w:rsidRPr="00500AF2">
        <w:rPr>
          <w:rFonts w:cstheme="minorHAnsi"/>
        </w:rPr>
        <w:t>Overall, routine vaccination including 4CMenB was well tolerated. The number of reported SAEs reflects the vulnerability of the preterm population, particularly in relation to increased hospital admissions related to infection unconnected with vaccination, for example with respiratory tract infections.</w:t>
      </w:r>
      <w:r w:rsidRPr="00500AF2">
        <w:rPr>
          <w:rFonts w:cstheme="minorHAnsi"/>
          <w:noProof/>
        </w:rPr>
        <w:t>(20, 21)</w:t>
      </w:r>
      <w:r w:rsidRPr="00220259">
        <w:rPr>
          <w:rFonts w:cstheme="minorHAnsi"/>
        </w:rPr>
        <w:t xml:space="preserve"> </w:t>
      </w:r>
      <w:r w:rsidRPr="00500AF2">
        <w:rPr>
          <w:rFonts w:cstheme="minorHAnsi"/>
        </w:rPr>
        <w:t>Fever after 4CMenB administration, especially when given with other routine infant immunisations, is a particular concern.</w:t>
      </w:r>
      <w:r w:rsidRPr="00220259">
        <w:rPr>
          <w:rFonts w:cstheme="minorHAnsi"/>
        </w:rPr>
        <w:t xml:space="preserve"> </w:t>
      </w:r>
      <w:r w:rsidRPr="00500AF2">
        <w:rPr>
          <w:rFonts w:cstheme="minorHAnsi"/>
        </w:rPr>
        <w:t>Reassuringly, preterm infants in the current study experienced fewer fever episodes than previously reported in term infants, irrespective of whether they had received prophylactic</w:t>
      </w:r>
      <w:r w:rsidRPr="00FC7F88">
        <w:rPr>
          <w:rFonts w:cstheme="minorHAnsi"/>
          <w:highlight w:val="yellow"/>
        </w:rPr>
        <w:t xml:space="preserve"> </w:t>
      </w:r>
      <w:r w:rsidRPr="00500AF2">
        <w:rPr>
          <w:rFonts w:cstheme="minorHAnsi"/>
        </w:rPr>
        <w:t>paracetamol.</w:t>
      </w:r>
      <w:r w:rsidRPr="00500AF2">
        <w:rPr>
          <w:rFonts w:cstheme="minorHAnsi"/>
          <w:noProof/>
        </w:rPr>
        <w:t>(22-26)</w:t>
      </w:r>
      <w:r w:rsidRPr="00220259">
        <w:rPr>
          <w:rFonts w:cstheme="minorHAnsi"/>
        </w:rPr>
        <w:t xml:space="preserve"> </w:t>
      </w:r>
      <w:r w:rsidRPr="00500AF2">
        <w:rPr>
          <w:rFonts w:cstheme="minorHAnsi"/>
        </w:rPr>
        <w:t>Additionally, we observed no differences between study groups in</w:t>
      </w:r>
      <w:r w:rsidR="00E02C49">
        <w:rPr>
          <w:rFonts w:cstheme="minorHAnsi"/>
        </w:rPr>
        <w:t xml:space="preserve"> </w:t>
      </w:r>
      <w:r w:rsidRPr="00500AF2">
        <w:rPr>
          <w:rFonts w:cstheme="minorHAnsi"/>
        </w:rPr>
        <w:t>proportion</w:t>
      </w:r>
      <w:r w:rsidR="00E02C49">
        <w:rPr>
          <w:rFonts w:cstheme="minorHAnsi"/>
        </w:rPr>
        <w:t>s</w:t>
      </w:r>
      <w:r w:rsidRPr="00500AF2">
        <w:rPr>
          <w:rFonts w:cstheme="minorHAnsi"/>
        </w:rPr>
        <w:t xml:space="preserve"> with fever </w:t>
      </w:r>
      <w:r w:rsidRPr="00500AF2">
        <w:rPr>
          <w:rFonts w:cstheme="minorHAnsi"/>
          <w:noProof/>
          <w:color w:val="000000" w:themeColor="text1"/>
        </w:rPr>
        <w:t>≥</w:t>
      </w:r>
      <w:r w:rsidRPr="00500AF2">
        <w:rPr>
          <w:rFonts w:cstheme="minorHAnsi"/>
        </w:rPr>
        <w:t>39.0</w:t>
      </w:r>
      <w:r w:rsidRPr="00500AF2">
        <w:rPr>
          <w:color w:val="000000" w:themeColor="text1"/>
          <w:vertAlign w:val="superscript"/>
        </w:rPr>
        <w:t>o</w:t>
      </w:r>
      <w:r w:rsidRPr="00500AF2">
        <w:rPr>
          <w:color w:val="000000" w:themeColor="text1"/>
        </w:rPr>
        <w:t>C</w:t>
      </w:r>
      <w:r w:rsidRPr="00500AF2">
        <w:rPr>
          <w:rFonts w:cstheme="minorHAnsi"/>
        </w:rPr>
        <w:t xml:space="preserve"> or number of infants investigated for sepsis</w:t>
      </w:r>
      <w:r w:rsidR="00E02C49">
        <w:rPr>
          <w:rFonts w:cstheme="minorHAnsi"/>
        </w:rPr>
        <w:t xml:space="preserve">. </w:t>
      </w:r>
      <w:r w:rsidRPr="00500AF2">
        <w:rPr>
          <w:rFonts w:cstheme="minorHAnsi"/>
        </w:rPr>
        <w:t>Systemic and local reaction rates were similar to those previously reported in term infants, apart from local tenderness and vomiting, which were reported more frequently in preterm infants than term infants in some previous studies.</w:t>
      </w:r>
      <w:r w:rsidRPr="00500AF2">
        <w:rPr>
          <w:rFonts w:cstheme="minorHAnsi"/>
          <w:noProof/>
        </w:rPr>
        <w:t>(22-26)</w:t>
      </w:r>
      <w:r w:rsidRPr="003544C8">
        <w:rPr>
          <w:rFonts w:cstheme="minorHAnsi"/>
        </w:rPr>
        <w:t xml:space="preserve"> </w:t>
      </w:r>
    </w:p>
    <w:p w14:paraId="5D475152" w14:textId="77777777" w:rsidR="00570834" w:rsidRPr="00500AF2" w:rsidRDefault="00570834" w:rsidP="003F1F46">
      <w:pPr>
        <w:spacing w:line="480" w:lineRule="auto"/>
        <w:rPr>
          <w:rFonts w:cstheme="minorHAnsi"/>
          <w:b/>
          <w:bCs/>
        </w:rPr>
      </w:pPr>
      <w:r w:rsidRPr="00500AF2">
        <w:rPr>
          <w:rFonts w:cstheme="minorHAnsi"/>
          <w:b/>
          <w:bCs/>
        </w:rPr>
        <w:t>Strengths and limitations</w:t>
      </w:r>
    </w:p>
    <w:p w14:paraId="14079BB8" w14:textId="4DF9DA2E" w:rsidR="00570834" w:rsidRPr="003544C8" w:rsidRDefault="00570834" w:rsidP="003F1F46">
      <w:pPr>
        <w:spacing w:line="480" w:lineRule="auto"/>
        <w:rPr>
          <w:rFonts w:cstheme="minorHAnsi"/>
          <w:noProof/>
          <w:color w:val="000000" w:themeColor="text1"/>
        </w:rPr>
      </w:pPr>
      <w:r w:rsidRPr="00500AF2">
        <w:rPr>
          <w:rFonts w:cstheme="minorHAnsi"/>
          <w:noProof/>
          <w:color w:val="000000" w:themeColor="text1"/>
        </w:rPr>
        <w:t>A major strength of this study was the ability to recruit a large and broad sample of preterm infants</w:t>
      </w:r>
      <w:r w:rsidR="00A435B0">
        <w:rPr>
          <w:rFonts w:cstheme="minorHAnsi"/>
          <w:noProof/>
          <w:color w:val="000000" w:themeColor="text1"/>
        </w:rPr>
        <w:t>.</w:t>
      </w:r>
      <w:r w:rsidRPr="00500AF2">
        <w:rPr>
          <w:rFonts w:cstheme="minorHAnsi"/>
          <w:noProof/>
          <w:color w:val="000000" w:themeColor="text1"/>
        </w:rPr>
        <w:t xml:space="preserve"> One potential limitation of the study is that we did not collect baseline pre-vaccination antibody titres, but most infants are likely to have very low antibody titres,(25) </w:t>
      </w:r>
      <w:r w:rsidRPr="00500AF2">
        <w:rPr>
          <w:rFonts w:cstheme="minorHAnsi"/>
          <w:noProof/>
          <w:color w:val="000000" w:themeColor="text1"/>
        </w:rPr>
        <w:lastRenderedPageBreak/>
        <w:t>which should be similar between the two study groups. We also did not include a term comparator group and, therefore, our comparisons with vaccine responses in term infants should be interpreted with caution, although two of the UK trials in term infants were conducted in the same reference laboratory using the same methodology and testing protocols.</w:t>
      </w:r>
      <w:r w:rsidRPr="00434CC0">
        <w:rPr>
          <w:rFonts w:cstheme="minorHAnsi"/>
          <w:noProof/>
          <w:color w:val="000000" w:themeColor="text1"/>
        </w:rPr>
        <w:t>(4, 16)</w:t>
      </w:r>
      <w:r w:rsidR="0067323F">
        <w:rPr>
          <w:rFonts w:cstheme="minorHAnsi"/>
          <w:noProof/>
          <w:color w:val="000000" w:themeColor="text1"/>
        </w:rPr>
        <w:t xml:space="preserve"> The study was not blinded, which is particularly relevant</w:t>
      </w:r>
      <w:r w:rsidR="00A435B0">
        <w:rPr>
          <w:rFonts w:cstheme="minorHAnsi"/>
          <w:noProof/>
          <w:color w:val="000000" w:themeColor="text1"/>
        </w:rPr>
        <w:t xml:space="preserve"> for</w:t>
      </w:r>
      <w:r w:rsidR="0067323F">
        <w:rPr>
          <w:rFonts w:cstheme="minorHAnsi"/>
          <w:noProof/>
          <w:color w:val="000000" w:themeColor="text1"/>
        </w:rPr>
        <w:t xml:space="preserve"> </w:t>
      </w:r>
      <w:r w:rsidR="00A435B0">
        <w:rPr>
          <w:rFonts w:cstheme="minorHAnsi"/>
          <w:noProof/>
          <w:color w:val="000000" w:themeColor="text1"/>
        </w:rPr>
        <w:t>reactogenicity</w:t>
      </w:r>
      <w:r w:rsidR="0067323F">
        <w:rPr>
          <w:rFonts w:cstheme="minorHAnsi"/>
          <w:noProof/>
          <w:color w:val="000000" w:themeColor="text1"/>
        </w:rPr>
        <w:t xml:space="preserve"> assessment at 12 weeks when infants in group 2 received an additional dose of 4CMenB</w:t>
      </w:r>
      <w:r w:rsidR="008B755C">
        <w:rPr>
          <w:rFonts w:cstheme="minorHAnsi"/>
          <w:noProof/>
          <w:color w:val="000000" w:themeColor="text1"/>
        </w:rPr>
        <w:t>. I</w:t>
      </w:r>
      <w:r w:rsidR="0067323F">
        <w:rPr>
          <w:rFonts w:cstheme="minorHAnsi"/>
          <w:noProof/>
          <w:color w:val="000000" w:themeColor="text1"/>
        </w:rPr>
        <w:t xml:space="preserve">t </w:t>
      </w:r>
      <w:r w:rsidR="008B755C">
        <w:rPr>
          <w:rFonts w:cstheme="minorHAnsi"/>
          <w:noProof/>
          <w:color w:val="000000" w:themeColor="text1"/>
        </w:rPr>
        <w:t xml:space="preserve">is </w:t>
      </w:r>
      <w:r w:rsidR="0067323F">
        <w:rPr>
          <w:rFonts w:cstheme="minorHAnsi"/>
          <w:noProof/>
          <w:color w:val="000000" w:themeColor="text1"/>
        </w:rPr>
        <w:t xml:space="preserve">possible that </w:t>
      </w:r>
      <w:r w:rsidR="008B755C">
        <w:rPr>
          <w:rFonts w:cstheme="minorHAnsi"/>
          <w:noProof/>
          <w:color w:val="000000" w:themeColor="text1"/>
        </w:rPr>
        <w:t>this</w:t>
      </w:r>
      <w:r w:rsidR="0067323F">
        <w:rPr>
          <w:rFonts w:cstheme="minorHAnsi"/>
          <w:noProof/>
          <w:color w:val="000000" w:themeColor="text1"/>
        </w:rPr>
        <w:t xml:space="preserve"> increased</w:t>
      </w:r>
      <w:r w:rsidR="008B755C">
        <w:rPr>
          <w:rFonts w:cstheme="minorHAnsi"/>
          <w:noProof/>
          <w:color w:val="000000" w:themeColor="text1"/>
        </w:rPr>
        <w:t xml:space="preserve"> reporting of </w:t>
      </w:r>
      <w:r w:rsidR="0067323F">
        <w:rPr>
          <w:rFonts w:cstheme="minorHAnsi"/>
          <w:noProof/>
          <w:color w:val="000000" w:themeColor="text1"/>
        </w:rPr>
        <w:t xml:space="preserve">reactogenicity in these infants. </w:t>
      </w:r>
      <w:r w:rsidRPr="00434CC0">
        <w:rPr>
          <w:rFonts w:cstheme="minorHAnsi"/>
          <w:color w:val="000000" w:themeColor="text1"/>
        </w:rPr>
        <w:t xml:space="preserve"> </w:t>
      </w:r>
      <w:r w:rsidRPr="00434CC0">
        <w:rPr>
          <w:rFonts w:cstheme="minorHAnsi"/>
        </w:rPr>
        <w:t xml:space="preserve">  </w:t>
      </w:r>
      <w:r w:rsidRPr="00500AF2">
        <w:rPr>
          <w:rFonts w:cstheme="minorHAnsi"/>
          <w:noProof/>
          <w:color w:val="000000" w:themeColor="text1"/>
        </w:rPr>
        <w:t xml:space="preserve"> Finally, we did not follow up the participants beyond 13 months and, therefore, we cannot comment on long-term immune responses</w:t>
      </w:r>
      <w:r w:rsidR="00A435B0">
        <w:rPr>
          <w:rFonts w:cstheme="minorHAnsi"/>
          <w:noProof/>
          <w:color w:val="000000" w:themeColor="text1"/>
        </w:rPr>
        <w:t>.</w:t>
      </w:r>
      <w:r w:rsidRPr="00500AF2">
        <w:rPr>
          <w:rFonts w:cstheme="minorHAnsi"/>
          <w:noProof/>
          <w:color w:val="000000" w:themeColor="text1"/>
        </w:rPr>
        <w:t xml:space="preserve"> </w:t>
      </w:r>
    </w:p>
    <w:p w14:paraId="02EDAF06" w14:textId="77777777" w:rsidR="00570834" w:rsidRPr="003544C8" w:rsidRDefault="00570834" w:rsidP="003F1F46">
      <w:pPr>
        <w:spacing w:line="480" w:lineRule="auto"/>
        <w:rPr>
          <w:rFonts w:cstheme="minorHAnsi"/>
          <w:noProof/>
          <w:color w:val="000000" w:themeColor="text1"/>
        </w:rPr>
      </w:pPr>
      <w:r w:rsidRPr="003544C8">
        <w:rPr>
          <w:rFonts w:cstheme="minorHAnsi"/>
          <w:noProof/>
          <w:color w:val="000000" w:themeColor="text1"/>
        </w:rPr>
        <w:t xml:space="preserve"> </w:t>
      </w:r>
    </w:p>
    <w:p w14:paraId="73603019" w14:textId="77777777" w:rsidR="00570834" w:rsidRPr="00500AF2" w:rsidRDefault="00570834" w:rsidP="003F1F46">
      <w:pPr>
        <w:spacing w:line="480" w:lineRule="auto"/>
        <w:rPr>
          <w:rFonts w:cstheme="minorHAnsi"/>
          <w:b/>
          <w:bCs/>
        </w:rPr>
      </w:pPr>
      <w:r w:rsidRPr="00500AF2">
        <w:rPr>
          <w:rFonts w:cstheme="minorHAnsi"/>
          <w:b/>
          <w:bCs/>
        </w:rPr>
        <w:t>Conclusion</w:t>
      </w:r>
    </w:p>
    <w:p w14:paraId="4C2234C2" w14:textId="4ECD6A3C" w:rsidR="00570834" w:rsidRDefault="00570834">
      <w:pPr>
        <w:spacing w:line="480" w:lineRule="auto"/>
        <w:rPr>
          <w:rFonts w:cstheme="minorHAnsi"/>
        </w:rPr>
      </w:pPr>
      <w:r w:rsidRPr="00500AF2">
        <w:rPr>
          <w:rFonts w:cstheme="minorHAnsi"/>
        </w:rPr>
        <w:t xml:space="preserve"> The 2+1 schedule was immunogenic in preterm infants, although proportions of infants with putative protective titres against strain NZ98/254 (</w:t>
      </w:r>
      <w:proofErr w:type="spellStart"/>
      <w:r w:rsidRPr="00500AF2">
        <w:rPr>
          <w:rFonts w:cstheme="minorHAnsi"/>
        </w:rPr>
        <w:t>PorA</w:t>
      </w:r>
      <w:proofErr w:type="spellEnd"/>
      <w:r w:rsidRPr="00500AF2">
        <w:rPr>
          <w:rFonts w:cstheme="minorHAnsi"/>
        </w:rPr>
        <w:t>) were lower post-primary and pre-booster in infants after a 2+1 compared with a 3+1 schedule, similar to previous studies in term infants and consistent with previous studies of OMV vaccines.</w:t>
      </w:r>
      <w:r w:rsidRPr="00500AF2">
        <w:rPr>
          <w:rFonts w:cstheme="minorHAnsi"/>
          <w:noProof/>
          <w:color w:val="000000" w:themeColor="text1"/>
        </w:rPr>
        <w:t>(14, 15)</w:t>
      </w:r>
      <w:r w:rsidRPr="00500AF2">
        <w:rPr>
          <w:rFonts w:cstheme="minorHAnsi"/>
          <w:color w:val="000000" w:themeColor="text1"/>
        </w:rPr>
        <w:t xml:space="preserve"> Post-booster responses against strain NZ98/254 (</w:t>
      </w:r>
      <w:proofErr w:type="spellStart"/>
      <w:r w:rsidRPr="00500AF2">
        <w:rPr>
          <w:rFonts w:cstheme="minorHAnsi"/>
          <w:color w:val="000000" w:themeColor="text1"/>
        </w:rPr>
        <w:t>PorA</w:t>
      </w:r>
      <w:proofErr w:type="spellEnd"/>
      <w:r w:rsidRPr="00500AF2">
        <w:rPr>
          <w:rFonts w:cstheme="minorHAnsi"/>
          <w:color w:val="000000" w:themeColor="text1"/>
        </w:rPr>
        <w:t xml:space="preserve">), however, were similar after the two schedules. </w:t>
      </w:r>
      <w:r w:rsidRPr="00500AF2">
        <w:rPr>
          <w:rFonts w:cstheme="minorHAnsi"/>
        </w:rPr>
        <w:t xml:space="preserve"> Our findings support </w:t>
      </w:r>
      <w:r w:rsidR="00E02C49">
        <w:rPr>
          <w:rFonts w:cstheme="minorHAnsi"/>
        </w:rPr>
        <w:t xml:space="preserve">the </w:t>
      </w:r>
      <w:r w:rsidRPr="00500AF2">
        <w:rPr>
          <w:rFonts w:cstheme="minorHAnsi"/>
        </w:rPr>
        <w:t>current 2+1 4CMenB schedule for both preterm and term infants.</w:t>
      </w:r>
      <w:r>
        <w:rPr>
          <w:rFonts w:cstheme="minorHAnsi"/>
        </w:rPr>
        <w:t xml:space="preserve"> </w:t>
      </w:r>
    </w:p>
    <w:p w14:paraId="574EC2D4" w14:textId="77777777" w:rsidR="00570834" w:rsidRDefault="00570834">
      <w:pPr>
        <w:spacing w:line="480" w:lineRule="auto"/>
        <w:rPr>
          <w:rFonts w:cstheme="minorHAnsi"/>
        </w:rPr>
      </w:pPr>
    </w:p>
    <w:p w14:paraId="03951C61" w14:textId="77777777" w:rsidR="00570834" w:rsidRDefault="00570834" w:rsidP="0003011F">
      <w:pPr>
        <w:spacing w:line="480" w:lineRule="auto"/>
        <w:rPr>
          <w:b/>
          <w:bCs/>
        </w:rPr>
      </w:pPr>
      <w:r w:rsidRPr="0003011F">
        <w:rPr>
          <w:b/>
          <w:bCs/>
        </w:rPr>
        <w:t>Competing Interests</w:t>
      </w:r>
    </w:p>
    <w:p w14:paraId="386EFCF4" w14:textId="39684C0C" w:rsidR="00EF753F" w:rsidRDefault="00B169D3" w:rsidP="00500AF2">
      <w:pPr>
        <w:spacing w:line="480" w:lineRule="auto"/>
        <w:rPr>
          <w:b/>
          <w:bCs/>
        </w:rPr>
      </w:pPr>
      <w:r w:rsidRPr="00EF753F">
        <w:t>JL &amp; RB perform contract research on behalf of UKHSA for GSK, Pfizer and Sanofi.</w:t>
      </w:r>
      <w:r w:rsidR="007E6E71" w:rsidRPr="00EF753F">
        <w:t xml:space="preserve"> JC works for an institution which conducts meningococcal vaccine research on behalf of GSK; he receives no personal payment or inducement of any kind</w:t>
      </w:r>
      <w:r w:rsidR="003A63C2">
        <w:t xml:space="preserve">. </w:t>
      </w:r>
      <w:r w:rsidR="00EF753F" w:rsidRPr="0003011F">
        <w:rPr>
          <w:rFonts w:ascii="Calibri" w:hAnsi="Calibri" w:cs="Calibri"/>
          <w:color w:val="212121"/>
        </w:rPr>
        <w:t xml:space="preserve">MDS was an employee of the University of Oxford and Oxford University Hospitals Foundation NHS trust up until September 2022, and in this role acted as an investigator for clinical research studies funded </w:t>
      </w:r>
      <w:r w:rsidR="00EF753F" w:rsidRPr="0003011F">
        <w:rPr>
          <w:rFonts w:ascii="Calibri" w:hAnsi="Calibri" w:cs="Calibri"/>
          <w:color w:val="212121"/>
        </w:rPr>
        <w:lastRenderedPageBreak/>
        <w:t>or otherwise supported by the vaccine manufacturers GlaxoSmithKline, Janssen, AstraZeneca, Pfizer, Novavax and MCM vaccines. He received no personal financial benefit for this work. From September 2022 MDS has been an employee of Moderna UK and holds equity in this company, but all study activity and data analys</w:t>
      </w:r>
      <w:r w:rsidR="00AA0006">
        <w:rPr>
          <w:rFonts w:ascii="Calibri" w:hAnsi="Calibri" w:cs="Calibri"/>
          <w:color w:val="212121"/>
        </w:rPr>
        <w:t>e</w:t>
      </w:r>
      <w:r w:rsidR="00EF753F" w:rsidRPr="0003011F">
        <w:rPr>
          <w:rFonts w:ascii="Calibri" w:hAnsi="Calibri" w:cs="Calibri"/>
          <w:color w:val="212121"/>
        </w:rPr>
        <w:t>s w</w:t>
      </w:r>
      <w:r w:rsidR="00AA0006">
        <w:rPr>
          <w:rFonts w:ascii="Calibri" w:hAnsi="Calibri" w:cs="Calibri"/>
          <w:color w:val="212121"/>
        </w:rPr>
        <w:t>ere</w:t>
      </w:r>
      <w:r w:rsidR="00EF753F" w:rsidRPr="0003011F">
        <w:rPr>
          <w:rFonts w:ascii="Calibri" w:hAnsi="Calibri" w:cs="Calibri"/>
          <w:color w:val="212121"/>
        </w:rPr>
        <w:t xml:space="preserve"> completed before this date.</w:t>
      </w:r>
    </w:p>
    <w:p w14:paraId="3F058968" w14:textId="6678840E" w:rsidR="00570834" w:rsidRDefault="00570834" w:rsidP="00500AF2">
      <w:pPr>
        <w:spacing w:line="480" w:lineRule="auto"/>
        <w:rPr>
          <w:b/>
          <w:bCs/>
        </w:rPr>
      </w:pPr>
      <w:r w:rsidRPr="00501D9A">
        <w:rPr>
          <w:b/>
          <w:bCs/>
        </w:rPr>
        <w:t xml:space="preserve">Funding </w:t>
      </w:r>
    </w:p>
    <w:p w14:paraId="527540D5" w14:textId="77777777" w:rsidR="00570834" w:rsidRDefault="00570834" w:rsidP="00500AF2">
      <w:pPr>
        <w:spacing w:line="480" w:lineRule="auto"/>
      </w:pPr>
      <w:r w:rsidRPr="00500AF2">
        <w:t xml:space="preserve">This work was funded by Meningitis Now and GSK. </w:t>
      </w:r>
    </w:p>
    <w:p w14:paraId="34CD85CC" w14:textId="598539A2" w:rsidR="00AC57C9" w:rsidRDefault="00AC57C9" w:rsidP="00500AF2">
      <w:pPr>
        <w:spacing w:line="480" w:lineRule="auto"/>
      </w:pPr>
      <w:r>
        <w:t xml:space="preserve">Registration </w:t>
      </w:r>
    </w:p>
    <w:p w14:paraId="1C78EEEA" w14:textId="0B24A52A" w:rsidR="00AC57C9" w:rsidRPr="00500AF2" w:rsidRDefault="00AC57C9" w:rsidP="00500AF2">
      <w:pPr>
        <w:spacing w:line="480" w:lineRule="auto"/>
      </w:pPr>
      <w:r>
        <w:t xml:space="preserve">This trial was registered on clinicaltrials.gov </w:t>
      </w:r>
      <w:r>
        <w:rPr>
          <w:rFonts w:eastAsia="Times New Roman" w:cstheme="minorHAnsi"/>
          <w:lang w:eastAsia="en-GB"/>
        </w:rPr>
        <w:t>(NCT03125616).</w:t>
      </w:r>
    </w:p>
    <w:p w14:paraId="7745145A" w14:textId="77777777" w:rsidR="00570834" w:rsidRPr="00501D9A" w:rsidRDefault="00570834" w:rsidP="00501D9A">
      <w:pPr>
        <w:rPr>
          <w:b/>
          <w:bCs/>
        </w:rPr>
      </w:pPr>
    </w:p>
    <w:p w14:paraId="70378BC1" w14:textId="2C5022CF" w:rsidR="00570834" w:rsidRDefault="00570834" w:rsidP="0003011F">
      <w:pPr>
        <w:spacing w:line="480" w:lineRule="auto"/>
        <w:rPr>
          <w:b/>
          <w:bCs/>
        </w:rPr>
      </w:pPr>
      <w:proofErr w:type="spellStart"/>
      <w:r w:rsidRPr="00501D9A">
        <w:rPr>
          <w:b/>
          <w:bCs/>
        </w:rPr>
        <w:t>Contributorship</w:t>
      </w:r>
      <w:proofErr w:type="spellEnd"/>
      <w:r w:rsidRPr="00501D9A">
        <w:rPr>
          <w:b/>
          <w:bCs/>
        </w:rPr>
        <w:t xml:space="preserve"> statement</w:t>
      </w:r>
    </w:p>
    <w:p w14:paraId="1DF95EA8" w14:textId="4C671F54" w:rsidR="00570834" w:rsidRPr="00500AF2" w:rsidRDefault="00570834" w:rsidP="0003011F">
      <w:pPr>
        <w:spacing w:line="480" w:lineRule="auto"/>
      </w:pPr>
      <w:r w:rsidRPr="00500AF2">
        <w:t>AC, PTH and SL devised the study; AC, SB, CB, BB, JC, PC, AC</w:t>
      </w:r>
      <w:r w:rsidR="00EE038E">
        <w:t>C</w:t>
      </w:r>
      <w:r w:rsidRPr="00500AF2">
        <w:t>, KF, NH, C</w:t>
      </w:r>
      <w:r>
        <w:t>E</w:t>
      </w:r>
      <w:r w:rsidRPr="00500AF2">
        <w:t>J, GP, MP, TS</w:t>
      </w:r>
      <w:r>
        <w:t xml:space="preserve">, </w:t>
      </w:r>
      <w:r w:rsidRPr="00500AF2">
        <w:t xml:space="preserve">and MDS were responsible for </w:t>
      </w:r>
      <w:r>
        <w:t>study set up in individual sites, participant recruitment</w:t>
      </w:r>
      <w:r w:rsidR="00F07CBD">
        <w:t xml:space="preserve">, study procedures </w:t>
      </w:r>
      <w:r>
        <w:t>and follow up</w:t>
      </w:r>
      <w:r w:rsidR="00F07CBD">
        <w:t xml:space="preserve">, </w:t>
      </w:r>
      <w:r w:rsidRPr="00500AF2">
        <w:t>data collection</w:t>
      </w:r>
      <w:r w:rsidR="00F07CBD">
        <w:t>, and safety monitoring</w:t>
      </w:r>
      <w:r w:rsidRPr="00500AF2">
        <w:t>; RB and JL coordinated the laboratory analysis;  AC</w:t>
      </w:r>
      <w:r w:rsidR="00EE038E">
        <w:t xml:space="preserve"> and NA</w:t>
      </w:r>
      <w:r w:rsidRPr="00500AF2">
        <w:t xml:space="preserve"> performed the statistical analysis; </w:t>
      </w:r>
      <w:r>
        <w:t xml:space="preserve">AC wrote the first draft of the paper; PTH, SL, CEJ, KLD and NA provided significant input into the first draft of the paper and all authors reviewed the manuscript, made improvements and approved the final version. AC, PTH and NA had full access to the data. AC and PTH are the responsible authors for the overall content and accept responsibility for the publication. </w:t>
      </w:r>
      <w:r w:rsidR="002D3A9B">
        <w:t xml:space="preserve">Both Meningitis Now and GSK were provided with the opportunity to review the final version of the manuscript and the supplementary materials for factual accuracy but the authors are solely responsible for the content, interpretation and conclusions from the work. </w:t>
      </w:r>
    </w:p>
    <w:p w14:paraId="02B10A1C" w14:textId="77777777" w:rsidR="00570834" w:rsidRDefault="00570834" w:rsidP="0003011F">
      <w:pPr>
        <w:spacing w:line="480" w:lineRule="auto"/>
        <w:rPr>
          <w:b/>
          <w:bCs/>
        </w:rPr>
      </w:pPr>
    </w:p>
    <w:p w14:paraId="5CDD74B0" w14:textId="77777777" w:rsidR="00570834" w:rsidRDefault="00570834" w:rsidP="0003011F">
      <w:pPr>
        <w:spacing w:line="480" w:lineRule="auto"/>
        <w:rPr>
          <w:b/>
          <w:bCs/>
        </w:rPr>
      </w:pPr>
    </w:p>
    <w:p w14:paraId="4658809B" w14:textId="3E18D2DC" w:rsidR="00570834" w:rsidRPr="00501D9A" w:rsidRDefault="00570834" w:rsidP="00ED14BF">
      <w:pPr>
        <w:spacing w:line="480" w:lineRule="auto"/>
        <w:rPr>
          <w:b/>
          <w:bCs/>
        </w:rPr>
      </w:pPr>
      <w:r w:rsidRPr="00C6381C">
        <w:rPr>
          <w:b/>
        </w:rPr>
        <w:lastRenderedPageBreak/>
        <w:t>Prior presentation</w:t>
      </w:r>
      <w:r>
        <w:rPr>
          <w:b/>
        </w:rPr>
        <w:t xml:space="preserve">: </w:t>
      </w:r>
      <w:r w:rsidRPr="00C6381C">
        <w:t>These data were previously presented in abstract form a</w:t>
      </w:r>
      <w:r>
        <w:t xml:space="preserve">t the European Society of Paediatric Infectious Diseases meeting in 2021 (abstract </w:t>
      </w:r>
      <w:r>
        <w:sym w:font="Symbol" w:char="F023"/>
      </w:r>
      <w:r>
        <w:t>421).</w:t>
      </w:r>
    </w:p>
    <w:p w14:paraId="4C4A86A9" w14:textId="77777777" w:rsidR="00570834" w:rsidRDefault="00570834" w:rsidP="007E464E">
      <w:pPr>
        <w:rPr>
          <w:b/>
          <w:bCs/>
        </w:rPr>
      </w:pPr>
    </w:p>
    <w:p w14:paraId="621CDEC1" w14:textId="77777777" w:rsidR="00570834" w:rsidRPr="00A429F9" w:rsidRDefault="00570834" w:rsidP="003F1F46">
      <w:pPr>
        <w:spacing w:line="480" w:lineRule="auto"/>
        <w:rPr>
          <w:b/>
          <w:bCs/>
        </w:rPr>
      </w:pPr>
      <w:r w:rsidRPr="00A429F9">
        <w:rPr>
          <w:b/>
          <w:bCs/>
        </w:rPr>
        <w:t>References</w:t>
      </w:r>
    </w:p>
    <w:p w14:paraId="089A7865" w14:textId="1174E115" w:rsidR="00570834" w:rsidRPr="00380447" w:rsidRDefault="00570834" w:rsidP="00380447">
      <w:pPr>
        <w:pStyle w:val="EndNoteBibliography"/>
        <w:rPr>
          <w:noProof/>
        </w:rPr>
      </w:pPr>
      <w:r w:rsidRPr="00380447">
        <w:rPr>
          <w:noProof/>
        </w:rPr>
        <w:t>1.</w:t>
      </w:r>
      <w:r w:rsidRPr="00380447">
        <w:rPr>
          <w:noProof/>
        </w:rPr>
        <w:tab/>
      </w:r>
      <w:r w:rsidR="00EC7F10">
        <w:rPr>
          <w:noProof/>
        </w:rPr>
        <w:t>UK Health Security Agency.</w:t>
      </w:r>
      <w:r w:rsidRPr="00380447">
        <w:rPr>
          <w:noProof/>
        </w:rPr>
        <w:t xml:space="preserve"> </w:t>
      </w:r>
      <w:r w:rsidRPr="00EC7F10">
        <w:rPr>
          <w:i/>
          <w:iCs/>
          <w:noProof/>
        </w:rPr>
        <w:t>Laboratory confirmed cases of invasive meningococcal infection in England: April to June 2022</w:t>
      </w:r>
      <w:r w:rsidR="00EC7F10">
        <w:rPr>
          <w:noProof/>
        </w:rPr>
        <w:t xml:space="preserve">. </w:t>
      </w:r>
      <w:r w:rsidR="00EC7F10" w:rsidRPr="00EC7F10">
        <w:rPr>
          <w:noProof/>
        </w:rPr>
        <w:t>https://www.gov.uk/government/publications/meningococcal-disease-laboratory-confirmed-cases-in-england-in-2021-to-2022/laboratory-confirmed-cases-of-invasive-meningococcal-infection-in-england-april-to-june-2022</w:t>
      </w:r>
    </w:p>
    <w:p w14:paraId="29096BD9" w14:textId="1D897F5A" w:rsidR="00570834" w:rsidRPr="00380447" w:rsidRDefault="00570834" w:rsidP="00380447">
      <w:pPr>
        <w:pStyle w:val="EndNoteBibliography"/>
        <w:rPr>
          <w:noProof/>
        </w:rPr>
      </w:pPr>
      <w:r w:rsidRPr="00380447">
        <w:rPr>
          <w:noProof/>
        </w:rPr>
        <w:t>2.</w:t>
      </w:r>
      <w:r w:rsidRPr="00380447">
        <w:rPr>
          <w:noProof/>
        </w:rPr>
        <w:tab/>
        <w:t xml:space="preserve">Ladhani SN, Andrews N, Parikh SR, et al. Vaccination of Infants with Meningococcal Group B Vaccine (4CMenB) in England. </w:t>
      </w:r>
      <w:r w:rsidRPr="00EC7F10">
        <w:rPr>
          <w:i/>
          <w:iCs/>
          <w:noProof/>
        </w:rPr>
        <w:t>New England Journal of Medicine</w:t>
      </w:r>
      <w:r w:rsidRPr="00380447">
        <w:rPr>
          <w:noProof/>
        </w:rPr>
        <w:t>. 2020;</w:t>
      </w:r>
      <w:r w:rsidR="00EC7F10">
        <w:rPr>
          <w:noProof/>
        </w:rPr>
        <w:t xml:space="preserve"> </w:t>
      </w:r>
      <w:r w:rsidRPr="00380447">
        <w:rPr>
          <w:noProof/>
        </w:rPr>
        <w:t>382:</w:t>
      </w:r>
      <w:r w:rsidR="00EC7F10">
        <w:rPr>
          <w:noProof/>
        </w:rPr>
        <w:t xml:space="preserve"> </w:t>
      </w:r>
      <w:r w:rsidRPr="00380447">
        <w:rPr>
          <w:noProof/>
        </w:rPr>
        <w:t>309-17.</w:t>
      </w:r>
    </w:p>
    <w:p w14:paraId="697B1D4D" w14:textId="2D094293" w:rsidR="00570834" w:rsidRPr="00380447" w:rsidRDefault="00570834" w:rsidP="00380447">
      <w:pPr>
        <w:pStyle w:val="EndNoteBibliography"/>
        <w:rPr>
          <w:noProof/>
        </w:rPr>
      </w:pPr>
      <w:r w:rsidRPr="00380447">
        <w:rPr>
          <w:noProof/>
        </w:rPr>
        <w:t>3.</w:t>
      </w:r>
      <w:r w:rsidRPr="00380447">
        <w:rPr>
          <w:noProof/>
        </w:rPr>
        <w:tab/>
        <w:t xml:space="preserve">Martinon-Torres F, Safadi MAP, Martinez AC, et al. Reduced schedules of 4CMenB vaccine in infants and catch-up series in children: Immunogenicity and safety results from a randomised open-label phase 3b trial. </w:t>
      </w:r>
      <w:r w:rsidRPr="00EC7F10">
        <w:rPr>
          <w:i/>
          <w:iCs/>
          <w:noProof/>
        </w:rPr>
        <w:t>Vaccine</w:t>
      </w:r>
      <w:r w:rsidRPr="00380447">
        <w:rPr>
          <w:noProof/>
        </w:rPr>
        <w:t>. 2017;</w:t>
      </w:r>
      <w:r w:rsidR="00EC7F10">
        <w:rPr>
          <w:noProof/>
        </w:rPr>
        <w:t xml:space="preserve"> </w:t>
      </w:r>
      <w:r w:rsidRPr="00380447">
        <w:rPr>
          <w:noProof/>
        </w:rPr>
        <w:t>35:</w:t>
      </w:r>
      <w:r w:rsidR="00EC7F10">
        <w:rPr>
          <w:noProof/>
        </w:rPr>
        <w:t xml:space="preserve"> </w:t>
      </w:r>
      <w:r w:rsidRPr="00380447">
        <w:rPr>
          <w:noProof/>
        </w:rPr>
        <w:t>3548-57.</w:t>
      </w:r>
    </w:p>
    <w:p w14:paraId="331FF907" w14:textId="6E22A80A" w:rsidR="00570834" w:rsidRPr="00380447" w:rsidRDefault="00570834" w:rsidP="00380447">
      <w:pPr>
        <w:pStyle w:val="EndNoteBibliography"/>
        <w:rPr>
          <w:noProof/>
        </w:rPr>
      </w:pPr>
      <w:r w:rsidRPr="00380447">
        <w:rPr>
          <w:noProof/>
        </w:rPr>
        <w:t>4.</w:t>
      </w:r>
      <w:r w:rsidRPr="00380447">
        <w:rPr>
          <w:noProof/>
        </w:rPr>
        <w:tab/>
        <w:t xml:space="preserve">Davis K, Valente Pinto M, Andrews NJ, et al. Immunogenicity of the UK group B meningococcal vaccine (4CMenB) schedule against groups B and C meningococcal strains (Sched3): outcomes of a multicentre, open-label, randomised controlled trial. </w:t>
      </w:r>
      <w:r w:rsidRPr="00EC7F10">
        <w:rPr>
          <w:i/>
          <w:iCs/>
          <w:noProof/>
        </w:rPr>
        <w:t>Lancet Infect</w:t>
      </w:r>
      <w:r w:rsidR="00EC7F10">
        <w:rPr>
          <w:i/>
          <w:iCs/>
          <w:noProof/>
        </w:rPr>
        <w:t>ious</w:t>
      </w:r>
      <w:r w:rsidRPr="00EC7F10">
        <w:rPr>
          <w:i/>
          <w:iCs/>
          <w:noProof/>
        </w:rPr>
        <w:t xml:space="preserve"> Dis</w:t>
      </w:r>
      <w:r w:rsidR="00EC7F10">
        <w:rPr>
          <w:i/>
          <w:iCs/>
          <w:noProof/>
        </w:rPr>
        <w:t>eases</w:t>
      </w:r>
      <w:r w:rsidRPr="00380447">
        <w:rPr>
          <w:noProof/>
        </w:rPr>
        <w:t>. 2021</w:t>
      </w:r>
      <w:r w:rsidR="00EC7F10">
        <w:rPr>
          <w:noProof/>
        </w:rPr>
        <w:t>; 21: 688-696.</w:t>
      </w:r>
    </w:p>
    <w:p w14:paraId="6CA14427" w14:textId="70D42FAD" w:rsidR="00570834" w:rsidRPr="00380447" w:rsidRDefault="00570834" w:rsidP="00380447">
      <w:pPr>
        <w:pStyle w:val="EndNoteBibliography"/>
        <w:rPr>
          <w:noProof/>
        </w:rPr>
      </w:pPr>
      <w:r w:rsidRPr="00380447">
        <w:rPr>
          <w:noProof/>
        </w:rPr>
        <w:t>5.</w:t>
      </w:r>
      <w:r w:rsidRPr="00380447">
        <w:rPr>
          <w:noProof/>
        </w:rPr>
        <w:tab/>
        <w:t xml:space="preserve">Chiappini E, Petrolini C, Sandini E, et al. Update on vaccination of preterm infants: a systematic review about safety and efficacy/effectiveness. Proposal for a position statement by Italian Society of Pediatric Allergology and Immunology jointly with the Italian Society of Neonatology. </w:t>
      </w:r>
      <w:r w:rsidRPr="00EC7F10">
        <w:rPr>
          <w:i/>
          <w:iCs/>
          <w:noProof/>
        </w:rPr>
        <w:t>Expert Review of Vaccines</w:t>
      </w:r>
      <w:r w:rsidRPr="00380447">
        <w:rPr>
          <w:noProof/>
        </w:rPr>
        <w:t>. 2019;</w:t>
      </w:r>
      <w:r w:rsidR="00EC7F10">
        <w:rPr>
          <w:noProof/>
        </w:rPr>
        <w:t xml:space="preserve"> </w:t>
      </w:r>
      <w:r w:rsidRPr="00380447">
        <w:rPr>
          <w:noProof/>
        </w:rPr>
        <w:t>18:</w:t>
      </w:r>
      <w:r w:rsidR="00EC7F10">
        <w:rPr>
          <w:noProof/>
        </w:rPr>
        <w:t xml:space="preserve"> </w:t>
      </w:r>
      <w:r w:rsidRPr="00380447">
        <w:rPr>
          <w:noProof/>
        </w:rPr>
        <w:t>523-45.</w:t>
      </w:r>
    </w:p>
    <w:p w14:paraId="01C0785E" w14:textId="1861D899" w:rsidR="00570834" w:rsidRPr="00380447" w:rsidRDefault="00570834" w:rsidP="00380447">
      <w:pPr>
        <w:pStyle w:val="EndNoteBibliography"/>
        <w:rPr>
          <w:noProof/>
        </w:rPr>
      </w:pPr>
      <w:r w:rsidRPr="00380447">
        <w:rPr>
          <w:noProof/>
        </w:rPr>
        <w:t>6.</w:t>
      </w:r>
      <w:r w:rsidRPr="00380447">
        <w:rPr>
          <w:noProof/>
        </w:rPr>
        <w:tab/>
        <w:t xml:space="preserve">Kent A, Ladhani SN, Andrews NJ, et al. Schedules for Pneumococcal Vaccination of Preterm Infants: An RCT. </w:t>
      </w:r>
      <w:r w:rsidRPr="00EC7F10">
        <w:rPr>
          <w:i/>
          <w:iCs/>
          <w:noProof/>
        </w:rPr>
        <w:t>Pediatrics</w:t>
      </w:r>
      <w:r w:rsidRPr="00380447">
        <w:rPr>
          <w:noProof/>
        </w:rPr>
        <w:t>. 2016;</w:t>
      </w:r>
      <w:r w:rsidR="00EC7F10">
        <w:rPr>
          <w:noProof/>
        </w:rPr>
        <w:t xml:space="preserve"> </w:t>
      </w:r>
      <w:r w:rsidRPr="00380447">
        <w:rPr>
          <w:noProof/>
        </w:rPr>
        <w:t>138</w:t>
      </w:r>
      <w:r w:rsidR="00EC7F10">
        <w:rPr>
          <w:noProof/>
        </w:rPr>
        <w:t>: e20153945.</w:t>
      </w:r>
    </w:p>
    <w:p w14:paraId="4FD66CB7" w14:textId="1AC7FF10" w:rsidR="00570834" w:rsidRPr="00380447" w:rsidRDefault="00570834" w:rsidP="00380447">
      <w:pPr>
        <w:pStyle w:val="EndNoteBibliography"/>
        <w:rPr>
          <w:noProof/>
        </w:rPr>
      </w:pPr>
      <w:r w:rsidRPr="00380447">
        <w:rPr>
          <w:noProof/>
        </w:rPr>
        <w:t>7.</w:t>
      </w:r>
      <w:r w:rsidRPr="00380447">
        <w:rPr>
          <w:noProof/>
        </w:rPr>
        <w:tab/>
        <w:t xml:space="preserve">Heath PT, Booy R, McVernon J, et al. Hib vaccination in infants born prematurely. </w:t>
      </w:r>
      <w:r w:rsidRPr="00EC7F10">
        <w:rPr>
          <w:i/>
          <w:iCs/>
          <w:noProof/>
        </w:rPr>
        <w:t>Archives of Disease in Childhood</w:t>
      </w:r>
      <w:r w:rsidRPr="00380447">
        <w:rPr>
          <w:noProof/>
        </w:rPr>
        <w:t>. 2003;</w:t>
      </w:r>
      <w:r w:rsidR="00EC7F10">
        <w:rPr>
          <w:noProof/>
        </w:rPr>
        <w:t xml:space="preserve"> </w:t>
      </w:r>
      <w:r w:rsidRPr="00380447">
        <w:rPr>
          <w:noProof/>
        </w:rPr>
        <w:t>88:</w:t>
      </w:r>
      <w:r w:rsidR="00EC7F10">
        <w:rPr>
          <w:noProof/>
        </w:rPr>
        <w:t xml:space="preserve"> </w:t>
      </w:r>
      <w:r w:rsidRPr="00380447">
        <w:rPr>
          <w:noProof/>
        </w:rPr>
        <w:t>206-10.</w:t>
      </w:r>
    </w:p>
    <w:p w14:paraId="701575A8" w14:textId="470C3717" w:rsidR="00570834" w:rsidRPr="00380447" w:rsidRDefault="00570834" w:rsidP="00380447">
      <w:pPr>
        <w:pStyle w:val="EndNoteBibliography"/>
        <w:rPr>
          <w:noProof/>
        </w:rPr>
      </w:pPr>
      <w:r w:rsidRPr="00380447">
        <w:rPr>
          <w:noProof/>
        </w:rPr>
        <w:t>8.</w:t>
      </w:r>
      <w:r w:rsidRPr="00380447">
        <w:rPr>
          <w:noProof/>
        </w:rPr>
        <w:tab/>
        <w:t>Rouers EDM, Bruijning-Verhagen PCJ, van Gageldonk PGM</w:t>
      </w:r>
      <w:r w:rsidR="00EC7F10">
        <w:rPr>
          <w:noProof/>
        </w:rPr>
        <w:t xml:space="preserve"> et al</w:t>
      </w:r>
      <w:r w:rsidRPr="00380447">
        <w:rPr>
          <w:noProof/>
        </w:rPr>
        <w:t xml:space="preserve">. Association of Routine Infant Vaccinations With Antibody Levels Among Preterm Infants. </w:t>
      </w:r>
      <w:r w:rsidR="00916C5A" w:rsidRPr="00916C5A">
        <w:rPr>
          <w:i/>
          <w:iCs/>
          <w:noProof/>
        </w:rPr>
        <w:t>Journal of the American Medical Association</w:t>
      </w:r>
      <w:r w:rsidRPr="00380447">
        <w:rPr>
          <w:noProof/>
        </w:rPr>
        <w:t>. 2020;</w:t>
      </w:r>
      <w:r w:rsidR="00EC7F10">
        <w:rPr>
          <w:noProof/>
        </w:rPr>
        <w:t xml:space="preserve"> </w:t>
      </w:r>
      <w:r w:rsidRPr="00380447">
        <w:rPr>
          <w:noProof/>
        </w:rPr>
        <w:t>324:1068-77.</w:t>
      </w:r>
    </w:p>
    <w:p w14:paraId="024FA253" w14:textId="4EBD0268" w:rsidR="00570834" w:rsidRPr="00380447" w:rsidRDefault="00570834" w:rsidP="00380447">
      <w:pPr>
        <w:pStyle w:val="EndNoteBibliography"/>
        <w:rPr>
          <w:noProof/>
        </w:rPr>
      </w:pPr>
      <w:r w:rsidRPr="00380447">
        <w:rPr>
          <w:noProof/>
        </w:rPr>
        <w:t>9.</w:t>
      </w:r>
      <w:r w:rsidRPr="00380447">
        <w:rPr>
          <w:noProof/>
        </w:rPr>
        <w:tab/>
        <w:t xml:space="preserve">Clarke P, Robinson MJ, Ahmad I, et al. Response of steroid-treated former preterm infants to a single dose of meningococcal C conjugate vaccine. </w:t>
      </w:r>
      <w:r w:rsidRPr="00EC7F10">
        <w:rPr>
          <w:i/>
          <w:iCs/>
          <w:noProof/>
        </w:rPr>
        <w:t>Vaccine</w:t>
      </w:r>
      <w:r w:rsidRPr="00380447">
        <w:rPr>
          <w:noProof/>
        </w:rPr>
        <w:t>. 2006;</w:t>
      </w:r>
      <w:r w:rsidR="00EC7F10">
        <w:rPr>
          <w:noProof/>
        </w:rPr>
        <w:t xml:space="preserve"> </w:t>
      </w:r>
      <w:r w:rsidRPr="00380447">
        <w:rPr>
          <w:noProof/>
        </w:rPr>
        <w:t>24:</w:t>
      </w:r>
      <w:r w:rsidR="00EC7F10">
        <w:rPr>
          <w:noProof/>
        </w:rPr>
        <w:t xml:space="preserve"> </w:t>
      </w:r>
      <w:r w:rsidRPr="00380447">
        <w:rPr>
          <w:noProof/>
        </w:rPr>
        <w:t>3273-8.</w:t>
      </w:r>
    </w:p>
    <w:p w14:paraId="4412FA08" w14:textId="08B6A652" w:rsidR="00570834" w:rsidRPr="00380447" w:rsidRDefault="00570834" w:rsidP="00380447">
      <w:pPr>
        <w:pStyle w:val="EndNoteBibliography"/>
        <w:rPr>
          <w:noProof/>
        </w:rPr>
      </w:pPr>
      <w:r w:rsidRPr="00380447">
        <w:rPr>
          <w:noProof/>
        </w:rPr>
        <w:t>10.</w:t>
      </w:r>
      <w:r w:rsidRPr="00380447">
        <w:rPr>
          <w:noProof/>
        </w:rPr>
        <w:tab/>
        <w:t xml:space="preserve">Moss SJ, Fenton AC, Toomey JA, </w:t>
      </w:r>
      <w:r w:rsidR="00EC7F10">
        <w:rPr>
          <w:noProof/>
        </w:rPr>
        <w:t>et al</w:t>
      </w:r>
      <w:r w:rsidRPr="00380447">
        <w:rPr>
          <w:noProof/>
        </w:rPr>
        <w:t xml:space="preserve">. Responses to a Conjugate Pneumococcal Vaccine in Preterm Infants Immunized at 2, 3, and 4 Months of Age. </w:t>
      </w:r>
      <w:r w:rsidR="00EC7F10" w:rsidRPr="00EC7F10">
        <w:rPr>
          <w:i/>
          <w:iCs/>
          <w:noProof/>
        </w:rPr>
        <w:t>Clin</w:t>
      </w:r>
      <w:r w:rsidR="00EC7F10">
        <w:rPr>
          <w:i/>
          <w:iCs/>
          <w:noProof/>
        </w:rPr>
        <w:t>i</w:t>
      </w:r>
      <w:r w:rsidR="00EC7F10" w:rsidRPr="00EC7F10">
        <w:rPr>
          <w:i/>
          <w:iCs/>
          <w:noProof/>
        </w:rPr>
        <w:t>cal and Vaccine Immunology</w:t>
      </w:r>
      <w:r w:rsidR="00EC7F10">
        <w:rPr>
          <w:noProof/>
        </w:rPr>
        <w:t xml:space="preserve">. </w:t>
      </w:r>
      <w:r w:rsidRPr="00380447">
        <w:rPr>
          <w:noProof/>
        </w:rPr>
        <w:t>2010;</w:t>
      </w:r>
      <w:r w:rsidR="00EC7F10">
        <w:rPr>
          <w:noProof/>
        </w:rPr>
        <w:t xml:space="preserve"> </w:t>
      </w:r>
      <w:r w:rsidRPr="00380447">
        <w:rPr>
          <w:noProof/>
        </w:rPr>
        <w:t>17:</w:t>
      </w:r>
      <w:r w:rsidR="00EC7F10">
        <w:rPr>
          <w:noProof/>
        </w:rPr>
        <w:t xml:space="preserve"> </w:t>
      </w:r>
      <w:r w:rsidRPr="00380447">
        <w:rPr>
          <w:noProof/>
        </w:rPr>
        <w:t>1810-6.</w:t>
      </w:r>
    </w:p>
    <w:p w14:paraId="270EE15F" w14:textId="25F4D8F4" w:rsidR="00570834" w:rsidRPr="00380447" w:rsidRDefault="00570834" w:rsidP="00380447">
      <w:pPr>
        <w:pStyle w:val="EndNoteBibliography"/>
        <w:rPr>
          <w:noProof/>
        </w:rPr>
      </w:pPr>
      <w:r w:rsidRPr="00380447">
        <w:rPr>
          <w:noProof/>
        </w:rPr>
        <w:t>11.</w:t>
      </w:r>
      <w:r w:rsidRPr="00380447">
        <w:rPr>
          <w:noProof/>
        </w:rPr>
        <w:tab/>
        <w:t xml:space="preserve">Ruggeberg JU, Collins C, Clarke P, et al. Immunogenicity and induction of immunological memory of the heptavalent pneumococcal conjugate vaccine in preterm UK infants. </w:t>
      </w:r>
      <w:r w:rsidRPr="00EC7F10">
        <w:rPr>
          <w:i/>
          <w:iCs/>
          <w:noProof/>
        </w:rPr>
        <w:t>Vaccine</w:t>
      </w:r>
      <w:r w:rsidRPr="00380447">
        <w:rPr>
          <w:noProof/>
        </w:rPr>
        <w:t>. 2007;</w:t>
      </w:r>
      <w:r w:rsidR="00EC7F10">
        <w:rPr>
          <w:noProof/>
        </w:rPr>
        <w:t xml:space="preserve"> </w:t>
      </w:r>
      <w:r w:rsidRPr="00380447">
        <w:rPr>
          <w:noProof/>
        </w:rPr>
        <w:t>25:</w:t>
      </w:r>
      <w:r w:rsidR="00EC7F10">
        <w:rPr>
          <w:noProof/>
        </w:rPr>
        <w:t xml:space="preserve"> </w:t>
      </w:r>
      <w:r w:rsidRPr="00380447">
        <w:rPr>
          <w:noProof/>
        </w:rPr>
        <w:t>264-71.</w:t>
      </w:r>
    </w:p>
    <w:p w14:paraId="00E8C98A" w14:textId="3DE72CDB" w:rsidR="00570834" w:rsidRPr="00380447" w:rsidRDefault="00570834" w:rsidP="00380447">
      <w:pPr>
        <w:pStyle w:val="EndNoteBibliography"/>
        <w:rPr>
          <w:noProof/>
        </w:rPr>
      </w:pPr>
      <w:r w:rsidRPr="00380447">
        <w:rPr>
          <w:noProof/>
        </w:rPr>
        <w:t>12.</w:t>
      </w:r>
      <w:r w:rsidRPr="00380447">
        <w:rPr>
          <w:noProof/>
        </w:rPr>
        <w:tab/>
      </w:r>
      <w:r w:rsidR="002D2CFC">
        <w:rPr>
          <w:noProof/>
        </w:rPr>
        <w:t>UK Health Security Agency</w:t>
      </w:r>
      <w:r w:rsidR="00722784">
        <w:rPr>
          <w:noProof/>
        </w:rPr>
        <w:t>.</w:t>
      </w:r>
      <w:r w:rsidRPr="00380447">
        <w:rPr>
          <w:noProof/>
        </w:rPr>
        <w:t xml:space="preserve"> Contraindications and special considerations. In: Ramsay M, editor. </w:t>
      </w:r>
      <w:r w:rsidRPr="00722784">
        <w:rPr>
          <w:i/>
          <w:iCs/>
          <w:noProof/>
        </w:rPr>
        <w:t>Immunisation against infectious disease</w:t>
      </w:r>
      <w:r w:rsidRPr="00380447">
        <w:rPr>
          <w:noProof/>
        </w:rPr>
        <w:t>. London</w:t>
      </w:r>
      <w:r w:rsidR="00722784">
        <w:rPr>
          <w:noProof/>
        </w:rPr>
        <w:t xml:space="preserve">, </w:t>
      </w:r>
      <w:r w:rsidRPr="00380447">
        <w:rPr>
          <w:noProof/>
        </w:rPr>
        <w:t>2017.</w:t>
      </w:r>
    </w:p>
    <w:p w14:paraId="7D88664E" w14:textId="48221B29" w:rsidR="00570834" w:rsidRPr="00380447" w:rsidRDefault="00570834" w:rsidP="00380447">
      <w:pPr>
        <w:pStyle w:val="EndNoteBibliography"/>
        <w:rPr>
          <w:noProof/>
        </w:rPr>
      </w:pPr>
      <w:r w:rsidRPr="00380447">
        <w:rPr>
          <w:noProof/>
        </w:rPr>
        <w:t>13.</w:t>
      </w:r>
      <w:r w:rsidRPr="00380447">
        <w:rPr>
          <w:noProof/>
        </w:rPr>
        <w:tab/>
        <w:t xml:space="preserve">Lucidarme J, Louth J, Townsend-Payne K, </w:t>
      </w:r>
      <w:r w:rsidR="000C7A38">
        <w:rPr>
          <w:noProof/>
        </w:rPr>
        <w:t>et al</w:t>
      </w:r>
      <w:r w:rsidRPr="00380447">
        <w:rPr>
          <w:noProof/>
        </w:rPr>
        <w:t xml:space="preserve">. Meningococcal Serogroup A, B, C, W, X and Y Serum Bactericidal Anibody Assays. In: Seib KL, Peak, IR, editor. </w:t>
      </w:r>
      <w:r w:rsidRPr="000C7A38">
        <w:rPr>
          <w:i/>
          <w:iCs/>
          <w:noProof/>
        </w:rPr>
        <w:t>Methods Mol Biol</w:t>
      </w:r>
      <w:r w:rsidR="000C7A38">
        <w:rPr>
          <w:noProof/>
        </w:rPr>
        <w:t xml:space="preserve"> </w:t>
      </w:r>
      <w:r w:rsidRPr="00380447">
        <w:rPr>
          <w:noProof/>
        </w:rPr>
        <w:t>2019.</w:t>
      </w:r>
    </w:p>
    <w:p w14:paraId="74C9C0DC" w14:textId="60F28753" w:rsidR="00570834" w:rsidRPr="00380447" w:rsidRDefault="00570834" w:rsidP="00380447">
      <w:pPr>
        <w:pStyle w:val="EndNoteBibliography"/>
        <w:rPr>
          <w:noProof/>
        </w:rPr>
      </w:pPr>
      <w:r w:rsidRPr="00380447">
        <w:rPr>
          <w:noProof/>
        </w:rPr>
        <w:lastRenderedPageBreak/>
        <w:t>14.</w:t>
      </w:r>
      <w:r w:rsidRPr="00380447">
        <w:rPr>
          <w:noProof/>
        </w:rPr>
        <w:tab/>
        <w:t xml:space="preserve">Holst J, Feiring B, Fuglesang JE, et al. Serum bactericidal activity correlates with the vaccine efficacy of outer membrane vesicle vaccines against Neisseria meningitidis serogroup B disease. </w:t>
      </w:r>
      <w:r w:rsidRPr="00916C5A">
        <w:rPr>
          <w:i/>
          <w:iCs/>
          <w:noProof/>
        </w:rPr>
        <w:t>Vaccine</w:t>
      </w:r>
      <w:r w:rsidRPr="00380447">
        <w:rPr>
          <w:noProof/>
        </w:rPr>
        <w:t>. 2003;</w:t>
      </w:r>
      <w:r w:rsidR="00916C5A">
        <w:rPr>
          <w:noProof/>
        </w:rPr>
        <w:t xml:space="preserve"> </w:t>
      </w:r>
      <w:r w:rsidRPr="00380447">
        <w:rPr>
          <w:noProof/>
        </w:rPr>
        <w:t>21:</w:t>
      </w:r>
      <w:r w:rsidR="00916C5A">
        <w:rPr>
          <w:noProof/>
        </w:rPr>
        <w:t xml:space="preserve"> </w:t>
      </w:r>
      <w:r w:rsidRPr="00380447">
        <w:rPr>
          <w:noProof/>
        </w:rPr>
        <w:t>734-7.</w:t>
      </w:r>
    </w:p>
    <w:p w14:paraId="7AF8AD55" w14:textId="2E1BE5C2" w:rsidR="00570834" w:rsidRPr="00380447" w:rsidRDefault="00570834" w:rsidP="00380447">
      <w:pPr>
        <w:pStyle w:val="EndNoteBibliography"/>
        <w:rPr>
          <w:noProof/>
        </w:rPr>
      </w:pPr>
      <w:r w:rsidRPr="00380447">
        <w:rPr>
          <w:noProof/>
        </w:rPr>
        <w:t>15.</w:t>
      </w:r>
      <w:r w:rsidRPr="00380447">
        <w:rPr>
          <w:noProof/>
        </w:rPr>
        <w:tab/>
        <w:t xml:space="preserve">Tappero JW, Lagos R, Ballesteros AM, Plikaytis B, Williams D, Dykes J, et al. Immunogenicity of 2 serogroup B outer-membrane protein meningococcal vaccines - A randomized controlled trial in Chile. </w:t>
      </w:r>
      <w:r w:rsidRPr="00916C5A">
        <w:rPr>
          <w:i/>
          <w:iCs/>
          <w:noProof/>
        </w:rPr>
        <w:t>Journal of the American Medical Association</w:t>
      </w:r>
      <w:r w:rsidRPr="00380447">
        <w:rPr>
          <w:noProof/>
        </w:rPr>
        <w:t>. 1999;</w:t>
      </w:r>
      <w:r w:rsidR="00916C5A">
        <w:rPr>
          <w:noProof/>
        </w:rPr>
        <w:t xml:space="preserve"> </w:t>
      </w:r>
      <w:r w:rsidRPr="00380447">
        <w:rPr>
          <w:noProof/>
        </w:rPr>
        <w:t>281:1520-7.</w:t>
      </w:r>
    </w:p>
    <w:p w14:paraId="311E87FF" w14:textId="581D3EF7" w:rsidR="00570834" w:rsidRPr="00380447" w:rsidRDefault="00570834" w:rsidP="00380447">
      <w:pPr>
        <w:pStyle w:val="EndNoteBibliography"/>
        <w:rPr>
          <w:noProof/>
        </w:rPr>
      </w:pPr>
      <w:r w:rsidRPr="00380447">
        <w:rPr>
          <w:noProof/>
        </w:rPr>
        <w:t>16.</w:t>
      </w:r>
      <w:r w:rsidRPr="00380447">
        <w:rPr>
          <w:noProof/>
        </w:rPr>
        <w:tab/>
        <w:t xml:space="preserve">Pinto MV, O'Connor D, Galal U, et al. Immunogenicity and Reactogenicity of a Reduced Schedule of a 4-component Capsular Group B Meningococcal Vaccine: A Randomized Controlled Trial in Infants. </w:t>
      </w:r>
      <w:r w:rsidRPr="00916C5A">
        <w:rPr>
          <w:i/>
          <w:iCs/>
          <w:noProof/>
        </w:rPr>
        <w:t>Open Forum Infectious Diseases</w:t>
      </w:r>
      <w:r w:rsidRPr="00380447">
        <w:rPr>
          <w:noProof/>
        </w:rPr>
        <w:t>. 2020;</w:t>
      </w:r>
      <w:r w:rsidR="00916C5A">
        <w:rPr>
          <w:noProof/>
        </w:rPr>
        <w:t xml:space="preserve"> </w:t>
      </w:r>
      <w:r w:rsidRPr="00380447">
        <w:rPr>
          <w:noProof/>
        </w:rPr>
        <w:t>7:ofaa143.</w:t>
      </w:r>
    </w:p>
    <w:p w14:paraId="7B540DB0" w14:textId="3E567DF1" w:rsidR="00570834" w:rsidRPr="00380447" w:rsidRDefault="00570834" w:rsidP="00380447">
      <w:pPr>
        <w:pStyle w:val="EndNoteBibliography"/>
        <w:rPr>
          <w:noProof/>
        </w:rPr>
      </w:pPr>
      <w:r w:rsidRPr="00380447">
        <w:rPr>
          <w:noProof/>
        </w:rPr>
        <w:t>17.</w:t>
      </w:r>
      <w:r w:rsidRPr="00380447">
        <w:rPr>
          <w:noProof/>
        </w:rPr>
        <w:tab/>
        <w:t xml:space="preserve">Martinon-Torres F, Gimenez-Sanchez F, Bernaola-Iturbe E, </w:t>
      </w:r>
      <w:r w:rsidR="00916C5A">
        <w:rPr>
          <w:noProof/>
        </w:rPr>
        <w:t>et al</w:t>
      </w:r>
      <w:r w:rsidRPr="00380447">
        <w:rPr>
          <w:noProof/>
        </w:rPr>
        <w:t xml:space="preserve">. A randomized, phase 1/2 trial of the safety, tolerability, and immunogenicity of bivalent rLP2086 meningococcal B vaccine in healthy infants. </w:t>
      </w:r>
      <w:r w:rsidRPr="00916C5A">
        <w:rPr>
          <w:i/>
          <w:iCs/>
          <w:noProof/>
        </w:rPr>
        <w:t>Vaccine</w:t>
      </w:r>
      <w:r w:rsidRPr="00380447">
        <w:rPr>
          <w:noProof/>
        </w:rPr>
        <w:t>. 2014;</w:t>
      </w:r>
      <w:r w:rsidR="00916C5A">
        <w:rPr>
          <w:noProof/>
        </w:rPr>
        <w:t xml:space="preserve"> </w:t>
      </w:r>
      <w:r w:rsidRPr="00380447">
        <w:rPr>
          <w:noProof/>
        </w:rPr>
        <w:t>32:</w:t>
      </w:r>
      <w:r w:rsidR="00916C5A">
        <w:rPr>
          <w:noProof/>
        </w:rPr>
        <w:t xml:space="preserve"> </w:t>
      </w:r>
      <w:r w:rsidRPr="00380447">
        <w:rPr>
          <w:noProof/>
        </w:rPr>
        <w:t>5206-11.</w:t>
      </w:r>
    </w:p>
    <w:p w14:paraId="629E00C9" w14:textId="6511821F" w:rsidR="00570834" w:rsidRPr="00380447" w:rsidRDefault="00570834" w:rsidP="00380447">
      <w:pPr>
        <w:pStyle w:val="EndNoteBibliography"/>
        <w:rPr>
          <w:noProof/>
        </w:rPr>
      </w:pPr>
      <w:r w:rsidRPr="00380447">
        <w:rPr>
          <w:noProof/>
        </w:rPr>
        <w:t>18.</w:t>
      </w:r>
      <w:r w:rsidRPr="00380447">
        <w:rPr>
          <w:noProof/>
        </w:rPr>
        <w:tab/>
        <w:t xml:space="preserve">Parikh SR, Newbold L, Slater S, et al. Meningococcal serogroup B strain coverage of the multicomponent 4CMenB vaccine with corresponding regional distribution and clinical characteristics in England, Wales, and Northern Ireland, 2007–08 and 2014–15: a qualitative and quantitative assessment. </w:t>
      </w:r>
      <w:r w:rsidRPr="00A54156">
        <w:rPr>
          <w:i/>
          <w:iCs/>
          <w:noProof/>
        </w:rPr>
        <w:t>Lancet Infectious Diseases</w:t>
      </w:r>
      <w:r w:rsidRPr="00380447">
        <w:rPr>
          <w:noProof/>
        </w:rPr>
        <w:t>. 2017;</w:t>
      </w:r>
      <w:r w:rsidR="00A54156">
        <w:rPr>
          <w:noProof/>
        </w:rPr>
        <w:t xml:space="preserve"> </w:t>
      </w:r>
      <w:r w:rsidRPr="00380447">
        <w:rPr>
          <w:noProof/>
        </w:rPr>
        <w:t>17:</w:t>
      </w:r>
      <w:r w:rsidR="00A54156">
        <w:rPr>
          <w:noProof/>
        </w:rPr>
        <w:t xml:space="preserve"> </w:t>
      </w:r>
      <w:r w:rsidRPr="00380447">
        <w:rPr>
          <w:noProof/>
        </w:rPr>
        <w:t>754-62.</w:t>
      </w:r>
    </w:p>
    <w:p w14:paraId="629115EE" w14:textId="3FB34D8E" w:rsidR="00570834" w:rsidRPr="00380447" w:rsidRDefault="00570834" w:rsidP="00380447">
      <w:pPr>
        <w:pStyle w:val="EndNoteBibliography"/>
        <w:rPr>
          <w:noProof/>
        </w:rPr>
      </w:pPr>
      <w:r w:rsidRPr="00380447">
        <w:rPr>
          <w:noProof/>
        </w:rPr>
        <w:t>19.</w:t>
      </w:r>
      <w:r w:rsidRPr="00380447">
        <w:rPr>
          <w:noProof/>
        </w:rPr>
        <w:tab/>
        <w:t xml:space="preserve">Donnelly J, Medini D, Boccadifuoco G, et al. Qualitative and quantitative assessment of meningococcal antigens to evaluate the potential strain coverage of protein-based vaccines. </w:t>
      </w:r>
      <w:r w:rsidRPr="00A54156">
        <w:rPr>
          <w:i/>
          <w:iCs/>
          <w:noProof/>
        </w:rPr>
        <w:t>Proceedings of the National Academy of Sciences of the United States of America</w:t>
      </w:r>
      <w:r w:rsidRPr="00380447">
        <w:rPr>
          <w:noProof/>
        </w:rPr>
        <w:t>. 2010;107:19490-5.</w:t>
      </w:r>
    </w:p>
    <w:p w14:paraId="73032F6A" w14:textId="3C4A1621" w:rsidR="00570834" w:rsidRPr="00380447" w:rsidRDefault="00570834" w:rsidP="00380447">
      <w:pPr>
        <w:pStyle w:val="EndNoteBibliography"/>
        <w:rPr>
          <w:noProof/>
        </w:rPr>
      </w:pPr>
      <w:r w:rsidRPr="00380447">
        <w:rPr>
          <w:noProof/>
        </w:rPr>
        <w:t>20.</w:t>
      </w:r>
      <w:r w:rsidRPr="00380447">
        <w:rPr>
          <w:noProof/>
        </w:rPr>
        <w:tab/>
        <w:t xml:space="preserve">Elder DE HR, Evans SF, Benninger HR, </w:t>
      </w:r>
      <w:r w:rsidR="00A54156">
        <w:rPr>
          <w:noProof/>
        </w:rPr>
        <w:t>et al</w:t>
      </w:r>
      <w:r w:rsidRPr="00380447">
        <w:rPr>
          <w:noProof/>
        </w:rPr>
        <w:t xml:space="preserve">. Hospital admissions in the first year of life in very preterm infants. </w:t>
      </w:r>
      <w:r w:rsidRPr="00A54156">
        <w:rPr>
          <w:i/>
          <w:iCs/>
          <w:noProof/>
        </w:rPr>
        <w:t>J</w:t>
      </w:r>
      <w:r w:rsidR="00A54156" w:rsidRPr="00A54156">
        <w:rPr>
          <w:i/>
          <w:iCs/>
          <w:noProof/>
        </w:rPr>
        <w:t>ournal</w:t>
      </w:r>
      <w:r w:rsidRPr="00A54156">
        <w:rPr>
          <w:i/>
          <w:iCs/>
          <w:noProof/>
        </w:rPr>
        <w:t xml:space="preserve"> Paediatrics Child Health</w:t>
      </w:r>
      <w:r w:rsidRPr="00380447">
        <w:rPr>
          <w:noProof/>
        </w:rPr>
        <w:t>. 2002;</w:t>
      </w:r>
      <w:r w:rsidR="00A54156">
        <w:rPr>
          <w:noProof/>
        </w:rPr>
        <w:t xml:space="preserve"> </w:t>
      </w:r>
      <w:r w:rsidRPr="00380447">
        <w:rPr>
          <w:noProof/>
        </w:rPr>
        <w:t>35:</w:t>
      </w:r>
      <w:r w:rsidR="00A54156">
        <w:rPr>
          <w:noProof/>
        </w:rPr>
        <w:t xml:space="preserve"> </w:t>
      </w:r>
      <w:r w:rsidRPr="00380447">
        <w:rPr>
          <w:noProof/>
        </w:rPr>
        <w:t>145-50.</w:t>
      </w:r>
    </w:p>
    <w:p w14:paraId="5C3EDB2F" w14:textId="319EC526" w:rsidR="00570834" w:rsidRPr="00380447" w:rsidRDefault="00570834" w:rsidP="00380447">
      <w:pPr>
        <w:pStyle w:val="EndNoteBibliography"/>
        <w:rPr>
          <w:noProof/>
        </w:rPr>
      </w:pPr>
      <w:r w:rsidRPr="00380447">
        <w:rPr>
          <w:noProof/>
        </w:rPr>
        <w:t>21.</w:t>
      </w:r>
      <w:r w:rsidRPr="00380447">
        <w:rPr>
          <w:noProof/>
        </w:rPr>
        <w:tab/>
        <w:t xml:space="preserve">Coathup V, Boyle E, Carson C, et al. Gestational age and hospital admissions during childhood: population based, record linkage study in England (TIGAR study). </w:t>
      </w:r>
      <w:r w:rsidRPr="00A54156">
        <w:rPr>
          <w:i/>
          <w:iCs/>
          <w:noProof/>
        </w:rPr>
        <w:t>B</w:t>
      </w:r>
      <w:r w:rsidR="00A54156" w:rsidRPr="00A54156">
        <w:rPr>
          <w:i/>
          <w:iCs/>
          <w:noProof/>
        </w:rPr>
        <w:t xml:space="preserve">ritish </w:t>
      </w:r>
      <w:r w:rsidRPr="00A54156">
        <w:rPr>
          <w:i/>
          <w:iCs/>
          <w:noProof/>
        </w:rPr>
        <w:t>M</w:t>
      </w:r>
      <w:r w:rsidR="00A54156" w:rsidRPr="00A54156">
        <w:rPr>
          <w:i/>
          <w:iCs/>
          <w:noProof/>
        </w:rPr>
        <w:t xml:space="preserve">edical </w:t>
      </w:r>
      <w:r w:rsidRPr="00A54156">
        <w:rPr>
          <w:i/>
          <w:iCs/>
          <w:noProof/>
        </w:rPr>
        <w:t>J</w:t>
      </w:r>
      <w:r w:rsidR="00A54156" w:rsidRPr="00A54156">
        <w:rPr>
          <w:i/>
          <w:iCs/>
          <w:noProof/>
        </w:rPr>
        <w:t>ournal</w:t>
      </w:r>
      <w:r w:rsidRPr="00380447">
        <w:rPr>
          <w:noProof/>
        </w:rPr>
        <w:t>. 2020;</w:t>
      </w:r>
      <w:r w:rsidR="00A54156">
        <w:rPr>
          <w:noProof/>
        </w:rPr>
        <w:t xml:space="preserve"> </w:t>
      </w:r>
      <w:r w:rsidRPr="00380447">
        <w:rPr>
          <w:noProof/>
        </w:rPr>
        <w:t>371:</w:t>
      </w:r>
      <w:r w:rsidR="00A54156">
        <w:rPr>
          <w:noProof/>
        </w:rPr>
        <w:t xml:space="preserve"> </w:t>
      </w:r>
      <w:r w:rsidRPr="00380447">
        <w:rPr>
          <w:noProof/>
        </w:rPr>
        <w:t>m4075.</w:t>
      </w:r>
    </w:p>
    <w:p w14:paraId="726B86A4" w14:textId="12C81C45" w:rsidR="00570834" w:rsidRPr="00380447" w:rsidRDefault="00570834" w:rsidP="00380447">
      <w:pPr>
        <w:pStyle w:val="EndNoteBibliography"/>
        <w:rPr>
          <w:noProof/>
        </w:rPr>
      </w:pPr>
      <w:r w:rsidRPr="00380447">
        <w:rPr>
          <w:noProof/>
        </w:rPr>
        <w:t>22.</w:t>
      </w:r>
      <w:r w:rsidRPr="00380447">
        <w:rPr>
          <w:noProof/>
        </w:rPr>
        <w:tab/>
        <w:t xml:space="preserve">Prymula R, Esposito S, Zuccotti GV, et al. A phase 2 randomized controlled trial of a multicomponent meningococcal serogroup B vaccine (I). </w:t>
      </w:r>
      <w:r w:rsidRPr="00A54156">
        <w:rPr>
          <w:i/>
          <w:iCs/>
          <w:noProof/>
        </w:rPr>
        <w:t>Hum</w:t>
      </w:r>
      <w:r w:rsidR="00A54156" w:rsidRPr="00A54156">
        <w:rPr>
          <w:i/>
          <w:iCs/>
          <w:noProof/>
        </w:rPr>
        <w:t>an</w:t>
      </w:r>
      <w:r w:rsidRPr="00A54156">
        <w:rPr>
          <w:i/>
          <w:iCs/>
          <w:noProof/>
        </w:rPr>
        <w:t xml:space="preserve"> Vaccin</w:t>
      </w:r>
      <w:r w:rsidR="00A54156" w:rsidRPr="00A54156">
        <w:rPr>
          <w:i/>
          <w:iCs/>
          <w:noProof/>
        </w:rPr>
        <w:t>e</w:t>
      </w:r>
      <w:r w:rsidRPr="00A54156">
        <w:rPr>
          <w:i/>
          <w:iCs/>
          <w:noProof/>
        </w:rPr>
        <w:t xml:space="preserve"> Immunother</w:t>
      </w:r>
      <w:r w:rsidR="00A54156" w:rsidRPr="00A54156">
        <w:rPr>
          <w:i/>
          <w:iCs/>
          <w:noProof/>
        </w:rPr>
        <w:t>apeutics</w:t>
      </w:r>
      <w:r w:rsidRPr="00A54156">
        <w:rPr>
          <w:i/>
          <w:iCs/>
          <w:noProof/>
        </w:rPr>
        <w:t xml:space="preserve">. </w:t>
      </w:r>
      <w:r w:rsidRPr="00380447">
        <w:rPr>
          <w:noProof/>
        </w:rPr>
        <w:t>2014;</w:t>
      </w:r>
      <w:r w:rsidR="00A54156">
        <w:rPr>
          <w:noProof/>
        </w:rPr>
        <w:t xml:space="preserve"> </w:t>
      </w:r>
      <w:r w:rsidRPr="00380447">
        <w:rPr>
          <w:noProof/>
        </w:rPr>
        <w:t>10:1993-2004.</w:t>
      </w:r>
    </w:p>
    <w:p w14:paraId="2219495A" w14:textId="3A477625" w:rsidR="00570834" w:rsidRPr="00380447" w:rsidRDefault="00570834" w:rsidP="00380447">
      <w:pPr>
        <w:pStyle w:val="EndNoteBibliography"/>
        <w:rPr>
          <w:noProof/>
        </w:rPr>
      </w:pPr>
      <w:r w:rsidRPr="00380447">
        <w:rPr>
          <w:noProof/>
        </w:rPr>
        <w:t>23.</w:t>
      </w:r>
      <w:r w:rsidRPr="00380447">
        <w:rPr>
          <w:noProof/>
        </w:rPr>
        <w:tab/>
        <w:t xml:space="preserve">Findlow J, Borrow R, Snape MD, et al. Multicenter, Open-Label, Randomized Phase II Controlled Trial of an Investigational Recombinant Meningococcal Serogroup B Vaccine With and Without Outer Membrane Vesicles, Administered in Infancy. </w:t>
      </w:r>
      <w:r w:rsidRPr="00A54156">
        <w:rPr>
          <w:i/>
          <w:iCs/>
          <w:noProof/>
        </w:rPr>
        <w:t>Clin</w:t>
      </w:r>
      <w:r w:rsidR="00A54156">
        <w:rPr>
          <w:i/>
          <w:iCs/>
          <w:noProof/>
        </w:rPr>
        <w:t>ical</w:t>
      </w:r>
      <w:r w:rsidRPr="00A54156">
        <w:rPr>
          <w:i/>
          <w:iCs/>
          <w:noProof/>
        </w:rPr>
        <w:t xml:space="preserve"> Infect</w:t>
      </w:r>
      <w:r w:rsidR="00A54156">
        <w:rPr>
          <w:i/>
          <w:iCs/>
          <w:noProof/>
        </w:rPr>
        <w:t>ious</w:t>
      </w:r>
      <w:r w:rsidRPr="00A54156">
        <w:rPr>
          <w:i/>
          <w:iCs/>
          <w:noProof/>
        </w:rPr>
        <w:t xml:space="preserve"> Dis</w:t>
      </w:r>
      <w:r w:rsidR="00A54156">
        <w:rPr>
          <w:i/>
          <w:iCs/>
          <w:noProof/>
        </w:rPr>
        <w:t>eases</w:t>
      </w:r>
      <w:r w:rsidRPr="00380447">
        <w:rPr>
          <w:noProof/>
        </w:rPr>
        <w:t>. 2010;</w:t>
      </w:r>
      <w:r w:rsidR="00A54156">
        <w:rPr>
          <w:noProof/>
        </w:rPr>
        <w:t xml:space="preserve"> </w:t>
      </w:r>
      <w:r w:rsidRPr="00380447">
        <w:rPr>
          <w:noProof/>
        </w:rPr>
        <w:t>51:1127-37.</w:t>
      </w:r>
    </w:p>
    <w:p w14:paraId="3F1FBA44" w14:textId="628C471A" w:rsidR="00570834" w:rsidRPr="00380447" w:rsidRDefault="00570834" w:rsidP="00380447">
      <w:pPr>
        <w:pStyle w:val="EndNoteBibliography"/>
        <w:rPr>
          <w:noProof/>
        </w:rPr>
      </w:pPr>
      <w:r w:rsidRPr="00380447">
        <w:rPr>
          <w:noProof/>
        </w:rPr>
        <w:t>24.</w:t>
      </w:r>
      <w:r w:rsidRPr="00380447">
        <w:rPr>
          <w:noProof/>
        </w:rPr>
        <w:tab/>
        <w:t xml:space="preserve">Snape MD, Dawson T, Oster P, et al. Immunogenicity of Two Investigational Serogroup B Meningococcal Vaccines in the First Year of Life A Randomized Comparative Trial. </w:t>
      </w:r>
      <w:r w:rsidRPr="00A54156">
        <w:rPr>
          <w:i/>
          <w:iCs/>
          <w:noProof/>
        </w:rPr>
        <w:t>Pediatr</w:t>
      </w:r>
      <w:r w:rsidR="00A54156" w:rsidRPr="00A54156">
        <w:rPr>
          <w:i/>
          <w:iCs/>
          <w:noProof/>
        </w:rPr>
        <w:t>ic</w:t>
      </w:r>
      <w:r w:rsidRPr="00A54156">
        <w:rPr>
          <w:i/>
          <w:iCs/>
          <w:noProof/>
        </w:rPr>
        <w:t xml:space="preserve"> Infect</w:t>
      </w:r>
      <w:r w:rsidR="00A54156" w:rsidRPr="00A54156">
        <w:rPr>
          <w:i/>
          <w:iCs/>
          <w:noProof/>
        </w:rPr>
        <w:t>ious</w:t>
      </w:r>
      <w:r w:rsidRPr="00A54156">
        <w:rPr>
          <w:i/>
          <w:iCs/>
          <w:noProof/>
        </w:rPr>
        <w:t xml:space="preserve"> Dis</w:t>
      </w:r>
      <w:r w:rsidR="00A54156" w:rsidRPr="00A54156">
        <w:rPr>
          <w:i/>
          <w:iCs/>
          <w:noProof/>
        </w:rPr>
        <w:t>eases</w:t>
      </w:r>
      <w:r w:rsidRPr="00A54156">
        <w:rPr>
          <w:i/>
          <w:iCs/>
          <w:noProof/>
        </w:rPr>
        <w:t xml:space="preserve"> J</w:t>
      </w:r>
      <w:r w:rsidR="00A54156" w:rsidRPr="00A54156">
        <w:rPr>
          <w:i/>
          <w:iCs/>
          <w:noProof/>
        </w:rPr>
        <w:t>ournal</w:t>
      </w:r>
      <w:r w:rsidRPr="00380447">
        <w:rPr>
          <w:noProof/>
        </w:rPr>
        <w:t>. 2010;</w:t>
      </w:r>
      <w:r w:rsidR="00A54156">
        <w:rPr>
          <w:noProof/>
        </w:rPr>
        <w:t xml:space="preserve"> </w:t>
      </w:r>
      <w:r w:rsidRPr="00380447">
        <w:rPr>
          <w:noProof/>
        </w:rPr>
        <w:t>29:</w:t>
      </w:r>
      <w:r w:rsidR="00A54156">
        <w:rPr>
          <w:noProof/>
        </w:rPr>
        <w:t xml:space="preserve"> </w:t>
      </w:r>
      <w:r w:rsidRPr="00380447">
        <w:rPr>
          <w:noProof/>
        </w:rPr>
        <w:t>E71-E9.</w:t>
      </w:r>
    </w:p>
    <w:p w14:paraId="3F39A1DD" w14:textId="5ABE57F0" w:rsidR="00570834" w:rsidRPr="00380447" w:rsidRDefault="00570834" w:rsidP="00380447">
      <w:pPr>
        <w:pStyle w:val="EndNoteBibliography"/>
        <w:rPr>
          <w:noProof/>
        </w:rPr>
      </w:pPr>
      <w:r w:rsidRPr="00380447">
        <w:rPr>
          <w:noProof/>
        </w:rPr>
        <w:t>25.</w:t>
      </w:r>
      <w:r w:rsidRPr="00380447">
        <w:rPr>
          <w:noProof/>
        </w:rPr>
        <w:tab/>
        <w:t xml:space="preserve">Gossger N, Snape MD, Yu LM, et al. Immunogenicity and Tolerability of Recombinant Serogroup B Meningococcal Vaccine Administered With or Without Routine Infant Vaccinations According to Different Immunization Schedules A Randomized Controlled Trial. </w:t>
      </w:r>
      <w:r w:rsidRPr="00A54156">
        <w:rPr>
          <w:i/>
          <w:iCs/>
          <w:noProof/>
        </w:rPr>
        <w:t>Journal of the American Medical Association</w:t>
      </w:r>
      <w:r w:rsidRPr="00380447">
        <w:rPr>
          <w:noProof/>
        </w:rPr>
        <w:t>. 2012;</w:t>
      </w:r>
      <w:r w:rsidR="00A54156">
        <w:rPr>
          <w:noProof/>
        </w:rPr>
        <w:t xml:space="preserve"> </w:t>
      </w:r>
      <w:r w:rsidRPr="00380447">
        <w:rPr>
          <w:noProof/>
        </w:rPr>
        <w:t>307:</w:t>
      </w:r>
      <w:r w:rsidR="00A54156">
        <w:rPr>
          <w:noProof/>
        </w:rPr>
        <w:t xml:space="preserve"> </w:t>
      </w:r>
      <w:r w:rsidRPr="00380447">
        <w:rPr>
          <w:noProof/>
        </w:rPr>
        <w:t>573-82.</w:t>
      </w:r>
    </w:p>
    <w:p w14:paraId="210368FD" w14:textId="0035EB2B" w:rsidR="00570834" w:rsidRPr="00380447" w:rsidRDefault="00570834" w:rsidP="00380447">
      <w:pPr>
        <w:pStyle w:val="EndNoteBibliography"/>
        <w:rPr>
          <w:noProof/>
        </w:rPr>
      </w:pPr>
      <w:r w:rsidRPr="00380447">
        <w:rPr>
          <w:noProof/>
        </w:rPr>
        <w:t>26.</w:t>
      </w:r>
      <w:r w:rsidRPr="00380447">
        <w:rPr>
          <w:noProof/>
        </w:rPr>
        <w:tab/>
        <w:t xml:space="preserve">Vesikari T, Esposito S, Prymula R, et al. Immunogenicity and safety of an investigational multicomponent, recombinant, meningococcal serogroup B vaccine (4CMenB) administered concomitantly with routine infant and child vaccinations: results of two randomised trials. </w:t>
      </w:r>
      <w:r w:rsidRPr="00A54156">
        <w:rPr>
          <w:i/>
          <w:iCs/>
          <w:noProof/>
        </w:rPr>
        <w:t>Lancet</w:t>
      </w:r>
      <w:r w:rsidRPr="00380447">
        <w:rPr>
          <w:noProof/>
        </w:rPr>
        <w:t>. 2013;</w:t>
      </w:r>
      <w:r w:rsidR="00A54156">
        <w:rPr>
          <w:noProof/>
        </w:rPr>
        <w:t xml:space="preserve"> </w:t>
      </w:r>
      <w:r w:rsidRPr="00380447">
        <w:rPr>
          <w:noProof/>
        </w:rPr>
        <w:t>381:</w:t>
      </w:r>
      <w:r w:rsidR="00A54156">
        <w:rPr>
          <w:noProof/>
        </w:rPr>
        <w:t xml:space="preserve"> </w:t>
      </w:r>
      <w:r w:rsidRPr="00380447">
        <w:rPr>
          <w:noProof/>
        </w:rPr>
        <w:t>825-35.</w:t>
      </w:r>
    </w:p>
    <w:p w14:paraId="1ADF7340" w14:textId="77777777" w:rsidR="00570834" w:rsidRDefault="00570834" w:rsidP="003F1F46">
      <w:pPr>
        <w:spacing w:line="480" w:lineRule="auto"/>
      </w:pPr>
    </w:p>
    <w:p w14:paraId="095520B7" w14:textId="77777777" w:rsidR="00570834" w:rsidRDefault="00570834" w:rsidP="003F1F46">
      <w:pPr>
        <w:spacing w:line="480" w:lineRule="auto"/>
      </w:pPr>
    </w:p>
    <w:p w14:paraId="21D4C461" w14:textId="77777777" w:rsidR="00570834" w:rsidRPr="00A429F9" w:rsidRDefault="00570834" w:rsidP="001367AC">
      <w:pPr>
        <w:spacing w:line="480" w:lineRule="auto"/>
        <w:rPr>
          <w:b/>
          <w:bCs/>
        </w:rPr>
      </w:pPr>
    </w:p>
    <w:p w14:paraId="7A7E840B" w14:textId="77777777" w:rsidR="00A34F53" w:rsidRDefault="00A34F53"/>
    <w:sectPr w:rsidR="00A34F53" w:rsidSect="00AD4246">
      <w:footerReference w:type="even" r:id="rId7"/>
      <w:footerReference w:type="default" r:id="rId8"/>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8EF4" w14:textId="77777777" w:rsidR="0043649E" w:rsidRDefault="0043649E">
      <w:r>
        <w:separator/>
      </w:r>
    </w:p>
  </w:endnote>
  <w:endnote w:type="continuationSeparator" w:id="0">
    <w:p w14:paraId="4D803827" w14:textId="77777777" w:rsidR="0043649E" w:rsidRDefault="0043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8118567"/>
      <w:docPartObj>
        <w:docPartGallery w:val="Page Numbers (Bottom of Page)"/>
        <w:docPartUnique/>
      </w:docPartObj>
    </w:sdtPr>
    <w:sdtContent>
      <w:p w14:paraId="0E7E336E" w14:textId="77777777" w:rsidR="00A34F53" w:rsidRDefault="00217AB2" w:rsidP="00D03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87C4E7" w14:textId="77777777" w:rsidR="00A34F53" w:rsidRDefault="00A34F53" w:rsidP="00AE57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3543126"/>
      <w:docPartObj>
        <w:docPartGallery w:val="Page Numbers (Bottom of Page)"/>
        <w:docPartUnique/>
      </w:docPartObj>
    </w:sdtPr>
    <w:sdtContent>
      <w:p w14:paraId="4CB94FB5" w14:textId="77777777" w:rsidR="00A34F53" w:rsidRDefault="00217AB2" w:rsidP="00D03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33C2EB" w14:textId="77777777" w:rsidR="00A34F53" w:rsidRDefault="00A34F53" w:rsidP="001A3E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1FA6D" w14:textId="77777777" w:rsidR="0043649E" w:rsidRDefault="0043649E">
      <w:r>
        <w:separator/>
      </w:r>
    </w:p>
  </w:footnote>
  <w:footnote w:type="continuationSeparator" w:id="0">
    <w:p w14:paraId="255D6F9A" w14:textId="77777777" w:rsidR="0043649E" w:rsidRDefault="00436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678"/>
    <w:multiLevelType w:val="hybridMultilevel"/>
    <w:tmpl w:val="F65CD4E2"/>
    <w:lvl w:ilvl="0" w:tplc="7BF4AD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B26B5"/>
    <w:multiLevelType w:val="hybridMultilevel"/>
    <w:tmpl w:val="DC486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E3E12"/>
    <w:multiLevelType w:val="multilevel"/>
    <w:tmpl w:val="FE5C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4A71A8"/>
    <w:multiLevelType w:val="multilevel"/>
    <w:tmpl w:val="1D84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136B74"/>
    <w:multiLevelType w:val="multilevel"/>
    <w:tmpl w:val="0D7E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320D12"/>
    <w:multiLevelType w:val="multilevel"/>
    <w:tmpl w:val="19BA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7C0C94"/>
    <w:multiLevelType w:val="hybridMultilevel"/>
    <w:tmpl w:val="ACA23748"/>
    <w:lvl w:ilvl="0" w:tplc="1066700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91E5C"/>
    <w:multiLevelType w:val="hybridMultilevel"/>
    <w:tmpl w:val="D58E2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D3E28"/>
    <w:multiLevelType w:val="hybridMultilevel"/>
    <w:tmpl w:val="D9FC2C20"/>
    <w:lvl w:ilvl="0" w:tplc="B296C6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949719">
    <w:abstractNumId w:val="3"/>
  </w:num>
  <w:num w:numId="2" w16cid:durableId="1894190996">
    <w:abstractNumId w:val="2"/>
  </w:num>
  <w:num w:numId="3" w16cid:durableId="1646810654">
    <w:abstractNumId w:val="5"/>
  </w:num>
  <w:num w:numId="4" w16cid:durableId="399526763">
    <w:abstractNumId w:val="7"/>
  </w:num>
  <w:num w:numId="5" w16cid:durableId="435298425">
    <w:abstractNumId w:val="0"/>
  </w:num>
  <w:num w:numId="6" w16cid:durableId="50271933">
    <w:abstractNumId w:val="8"/>
  </w:num>
  <w:num w:numId="7" w16cid:durableId="2007319594">
    <w:abstractNumId w:val="6"/>
  </w:num>
  <w:num w:numId="8" w16cid:durableId="885289614">
    <w:abstractNumId w:val="4"/>
  </w:num>
  <w:num w:numId="9" w16cid:durableId="124932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70834"/>
    <w:rsid w:val="00011E0E"/>
    <w:rsid w:val="000125E7"/>
    <w:rsid w:val="0003011F"/>
    <w:rsid w:val="000421BB"/>
    <w:rsid w:val="00044AB8"/>
    <w:rsid w:val="00065493"/>
    <w:rsid w:val="00067861"/>
    <w:rsid w:val="00070915"/>
    <w:rsid w:val="00081CEE"/>
    <w:rsid w:val="00086030"/>
    <w:rsid w:val="000931B1"/>
    <w:rsid w:val="00095B0F"/>
    <w:rsid w:val="000A0340"/>
    <w:rsid w:val="000A31F3"/>
    <w:rsid w:val="000A3482"/>
    <w:rsid w:val="000C0A50"/>
    <w:rsid w:val="000C7A38"/>
    <w:rsid w:val="000F2B76"/>
    <w:rsid w:val="000F4424"/>
    <w:rsid w:val="00114B75"/>
    <w:rsid w:val="0013176F"/>
    <w:rsid w:val="00142C9B"/>
    <w:rsid w:val="00152E76"/>
    <w:rsid w:val="001612A5"/>
    <w:rsid w:val="0016348B"/>
    <w:rsid w:val="00175163"/>
    <w:rsid w:val="00181E51"/>
    <w:rsid w:val="001C44BE"/>
    <w:rsid w:val="001C7327"/>
    <w:rsid w:val="001D267B"/>
    <w:rsid w:val="001D4A21"/>
    <w:rsid w:val="001E3781"/>
    <w:rsid w:val="001E4BF1"/>
    <w:rsid w:val="001F1D43"/>
    <w:rsid w:val="0020240E"/>
    <w:rsid w:val="00202D87"/>
    <w:rsid w:val="00204F2E"/>
    <w:rsid w:val="00205E49"/>
    <w:rsid w:val="00217AB2"/>
    <w:rsid w:val="0022312B"/>
    <w:rsid w:val="002377C8"/>
    <w:rsid w:val="00240E0D"/>
    <w:rsid w:val="00241082"/>
    <w:rsid w:val="00252C4F"/>
    <w:rsid w:val="00256CC5"/>
    <w:rsid w:val="002651E6"/>
    <w:rsid w:val="00277315"/>
    <w:rsid w:val="00287781"/>
    <w:rsid w:val="00291920"/>
    <w:rsid w:val="002A1942"/>
    <w:rsid w:val="002A5B03"/>
    <w:rsid w:val="002C1D7E"/>
    <w:rsid w:val="002D2CFC"/>
    <w:rsid w:val="002D3A9B"/>
    <w:rsid w:val="002D5D07"/>
    <w:rsid w:val="002E5EB0"/>
    <w:rsid w:val="00303228"/>
    <w:rsid w:val="0030565F"/>
    <w:rsid w:val="00314F38"/>
    <w:rsid w:val="00322E99"/>
    <w:rsid w:val="00333370"/>
    <w:rsid w:val="00341F1F"/>
    <w:rsid w:val="003600CD"/>
    <w:rsid w:val="00361D4B"/>
    <w:rsid w:val="0036655E"/>
    <w:rsid w:val="00374146"/>
    <w:rsid w:val="003831D1"/>
    <w:rsid w:val="003932C7"/>
    <w:rsid w:val="003A63C2"/>
    <w:rsid w:val="003C00BA"/>
    <w:rsid w:val="003C1C34"/>
    <w:rsid w:val="003C6FCC"/>
    <w:rsid w:val="00403A0A"/>
    <w:rsid w:val="00405945"/>
    <w:rsid w:val="00421BD9"/>
    <w:rsid w:val="004221AC"/>
    <w:rsid w:val="0043649E"/>
    <w:rsid w:val="0044716F"/>
    <w:rsid w:val="004472A6"/>
    <w:rsid w:val="0045790D"/>
    <w:rsid w:val="00463F10"/>
    <w:rsid w:val="00491C42"/>
    <w:rsid w:val="004A5E88"/>
    <w:rsid w:val="004E37E6"/>
    <w:rsid w:val="004F6D26"/>
    <w:rsid w:val="00500AF2"/>
    <w:rsid w:val="0050210F"/>
    <w:rsid w:val="00513B5A"/>
    <w:rsid w:val="00535A3B"/>
    <w:rsid w:val="0053763A"/>
    <w:rsid w:val="005521EA"/>
    <w:rsid w:val="005643C5"/>
    <w:rsid w:val="00567207"/>
    <w:rsid w:val="00570834"/>
    <w:rsid w:val="00573194"/>
    <w:rsid w:val="00581DD5"/>
    <w:rsid w:val="0059418A"/>
    <w:rsid w:val="0059775F"/>
    <w:rsid w:val="005E348F"/>
    <w:rsid w:val="005F1414"/>
    <w:rsid w:val="005F6A4A"/>
    <w:rsid w:val="00605FE5"/>
    <w:rsid w:val="00615615"/>
    <w:rsid w:val="0061578D"/>
    <w:rsid w:val="006277C7"/>
    <w:rsid w:val="00633C2E"/>
    <w:rsid w:val="00635D72"/>
    <w:rsid w:val="0063700E"/>
    <w:rsid w:val="00641CB3"/>
    <w:rsid w:val="00644FC2"/>
    <w:rsid w:val="00660BE8"/>
    <w:rsid w:val="006615F0"/>
    <w:rsid w:val="0067323F"/>
    <w:rsid w:val="00674634"/>
    <w:rsid w:val="00674978"/>
    <w:rsid w:val="00680F48"/>
    <w:rsid w:val="0068648D"/>
    <w:rsid w:val="00692BEC"/>
    <w:rsid w:val="00695669"/>
    <w:rsid w:val="006A3F00"/>
    <w:rsid w:val="006B368F"/>
    <w:rsid w:val="006B70AE"/>
    <w:rsid w:val="006C59D0"/>
    <w:rsid w:val="006C6431"/>
    <w:rsid w:val="006E673B"/>
    <w:rsid w:val="006F2080"/>
    <w:rsid w:val="006F5279"/>
    <w:rsid w:val="006F6849"/>
    <w:rsid w:val="006F6E97"/>
    <w:rsid w:val="007076CB"/>
    <w:rsid w:val="0071120E"/>
    <w:rsid w:val="007170DE"/>
    <w:rsid w:val="00722784"/>
    <w:rsid w:val="00730142"/>
    <w:rsid w:val="0073214A"/>
    <w:rsid w:val="00732BF2"/>
    <w:rsid w:val="00747862"/>
    <w:rsid w:val="00792F37"/>
    <w:rsid w:val="007A4CB5"/>
    <w:rsid w:val="007B4BEE"/>
    <w:rsid w:val="007C7484"/>
    <w:rsid w:val="007E6E71"/>
    <w:rsid w:val="008358D5"/>
    <w:rsid w:val="00856660"/>
    <w:rsid w:val="00865195"/>
    <w:rsid w:val="00875D96"/>
    <w:rsid w:val="00885D52"/>
    <w:rsid w:val="00885E9D"/>
    <w:rsid w:val="0088625C"/>
    <w:rsid w:val="008963AF"/>
    <w:rsid w:val="008A02F6"/>
    <w:rsid w:val="008B3484"/>
    <w:rsid w:val="008B755C"/>
    <w:rsid w:val="008C4582"/>
    <w:rsid w:val="008C6BD1"/>
    <w:rsid w:val="008D4795"/>
    <w:rsid w:val="008D5BBC"/>
    <w:rsid w:val="008E3537"/>
    <w:rsid w:val="008E495B"/>
    <w:rsid w:val="008F02C0"/>
    <w:rsid w:val="00911213"/>
    <w:rsid w:val="00912D35"/>
    <w:rsid w:val="00916C5A"/>
    <w:rsid w:val="00923DDC"/>
    <w:rsid w:val="00931B3C"/>
    <w:rsid w:val="00943BCE"/>
    <w:rsid w:val="00972444"/>
    <w:rsid w:val="00986D50"/>
    <w:rsid w:val="0099141C"/>
    <w:rsid w:val="009954ED"/>
    <w:rsid w:val="009A00F5"/>
    <w:rsid w:val="009A1915"/>
    <w:rsid w:val="009A1EC1"/>
    <w:rsid w:val="009B7DF2"/>
    <w:rsid w:val="009C40A2"/>
    <w:rsid w:val="009C4344"/>
    <w:rsid w:val="009E1EF7"/>
    <w:rsid w:val="00A0467B"/>
    <w:rsid w:val="00A04F4B"/>
    <w:rsid w:val="00A15A25"/>
    <w:rsid w:val="00A23720"/>
    <w:rsid w:val="00A335F8"/>
    <w:rsid w:val="00A34F53"/>
    <w:rsid w:val="00A3567D"/>
    <w:rsid w:val="00A42402"/>
    <w:rsid w:val="00A435B0"/>
    <w:rsid w:val="00A438E5"/>
    <w:rsid w:val="00A54156"/>
    <w:rsid w:val="00A82161"/>
    <w:rsid w:val="00A9799B"/>
    <w:rsid w:val="00AA0006"/>
    <w:rsid w:val="00AB1CF4"/>
    <w:rsid w:val="00AC57C9"/>
    <w:rsid w:val="00AC7041"/>
    <w:rsid w:val="00AD03F1"/>
    <w:rsid w:val="00AD4246"/>
    <w:rsid w:val="00AE5702"/>
    <w:rsid w:val="00B06F53"/>
    <w:rsid w:val="00B169D3"/>
    <w:rsid w:val="00B20472"/>
    <w:rsid w:val="00B41605"/>
    <w:rsid w:val="00B83891"/>
    <w:rsid w:val="00B87856"/>
    <w:rsid w:val="00B94AB0"/>
    <w:rsid w:val="00B96F82"/>
    <w:rsid w:val="00BA02E2"/>
    <w:rsid w:val="00BD0AA3"/>
    <w:rsid w:val="00BE242E"/>
    <w:rsid w:val="00BF220F"/>
    <w:rsid w:val="00C05F5C"/>
    <w:rsid w:val="00C152AB"/>
    <w:rsid w:val="00C242F7"/>
    <w:rsid w:val="00C3529B"/>
    <w:rsid w:val="00C368C3"/>
    <w:rsid w:val="00C61EB6"/>
    <w:rsid w:val="00C83827"/>
    <w:rsid w:val="00C86AA6"/>
    <w:rsid w:val="00C878EB"/>
    <w:rsid w:val="00C9061E"/>
    <w:rsid w:val="00CA0730"/>
    <w:rsid w:val="00CB3269"/>
    <w:rsid w:val="00CE5427"/>
    <w:rsid w:val="00CE688C"/>
    <w:rsid w:val="00CE71AD"/>
    <w:rsid w:val="00CF3B0C"/>
    <w:rsid w:val="00D05942"/>
    <w:rsid w:val="00D1239B"/>
    <w:rsid w:val="00D55088"/>
    <w:rsid w:val="00D569F3"/>
    <w:rsid w:val="00D57D32"/>
    <w:rsid w:val="00DB488B"/>
    <w:rsid w:val="00DB5FB8"/>
    <w:rsid w:val="00DB6662"/>
    <w:rsid w:val="00DC0C04"/>
    <w:rsid w:val="00DC4526"/>
    <w:rsid w:val="00DC671C"/>
    <w:rsid w:val="00DC6DEE"/>
    <w:rsid w:val="00DD2EA2"/>
    <w:rsid w:val="00DE4196"/>
    <w:rsid w:val="00DF2174"/>
    <w:rsid w:val="00E01D34"/>
    <w:rsid w:val="00E02C49"/>
    <w:rsid w:val="00E0555F"/>
    <w:rsid w:val="00E05DD9"/>
    <w:rsid w:val="00E30A2D"/>
    <w:rsid w:val="00E4603F"/>
    <w:rsid w:val="00E5236A"/>
    <w:rsid w:val="00E556ED"/>
    <w:rsid w:val="00E55B61"/>
    <w:rsid w:val="00E64CE0"/>
    <w:rsid w:val="00EA042C"/>
    <w:rsid w:val="00EB4786"/>
    <w:rsid w:val="00EB720F"/>
    <w:rsid w:val="00EC12BF"/>
    <w:rsid w:val="00EC7F10"/>
    <w:rsid w:val="00EC7FC5"/>
    <w:rsid w:val="00ED14BF"/>
    <w:rsid w:val="00ED7456"/>
    <w:rsid w:val="00EE038E"/>
    <w:rsid w:val="00EF237F"/>
    <w:rsid w:val="00EF6B25"/>
    <w:rsid w:val="00EF753F"/>
    <w:rsid w:val="00F07CBD"/>
    <w:rsid w:val="00F14B6C"/>
    <w:rsid w:val="00F31FAE"/>
    <w:rsid w:val="00F54BDF"/>
    <w:rsid w:val="00F700AB"/>
    <w:rsid w:val="00F73557"/>
    <w:rsid w:val="00F83952"/>
    <w:rsid w:val="00F8482B"/>
    <w:rsid w:val="00FA3B3E"/>
    <w:rsid w:val="00FA4C59"/>
    <w:rsid w:val="00FC0A8D"/>
    <w:rsid w:val="00FC0E2D"/>
    <w:rsid w:val="00FC7C0B"/>
    <w:rsid w:val="00FE22E6"/>
    <w:rsid w:val="00FE645D"/>
    <w:rsid w:val="00FF0E39"/>
    <w:rsid w:val="00FF2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5973"/>
  <w15:chartTrackingRefBased/>
  <w15:docId w15:val="{A7D5E22C-7C55-594E-BA30-E8E784D6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34"/>
  </w:style>
  <w:style w:type="paragraph" w:styleId="Heading3">
    <w:name w:val="heading 3"/>
    <w:basedOn w:val="Normal"/>
    <w:link w:val="Heading3Char"/>
    <w:uiPriority w:val="9"/>
    <w:qFormat/>
    <w:rsid w:val="00570834"/>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70834"/>
    <w:pPr>
      <w:spacing w:before="100" w:beforeAutospacing="1" w:after="100" w:afterAutospacing="1"/>
      <w:outlineLvl w:val="3"/>
    </w:pPr>
    <w:rPr>
      <w:rFonts w:ascii="Times New Roman" w:eastAsia="Times New Roman" w:hAnsi="Times New Roman" w:cs="Times New Roman"/>
      <w:b/>
      <w:bCs/>
      <w:lang w:eastAsia="en-GB"/>
    </w:rPr>
  </w:style>
  <w:style w:type="paragraph" w:styleId="Heading5">
    <w:name w:val="heading 5"/>
    <w:basedOn w:val="Normal"/>
    <w:next w:val="Normal"/>
    <w:link w:val="Heading5Char"/>
    <w:uiPriority w:val="9"/>
    <w:unhideWhenUsed/>
    <w:qFormat/>
    <w:rsid w:val="0057083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083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70834"/>
    <w:rPr>
      <w:rFonts w:ascii="Times New Roman" w:eastAsia="Times New Roman" w:hAnsi="Times New Roman" w:cs="Times New Roman"/>
      <w:b/>
      <w:bCs/>
      <w:lang w:eastAsia="en-GB"/>
    </w:rPr>
  </w:style>
  <w:style w:type="character" w:customStyle="1" w:styleId="Heading5Char">
    <w:name w:val="Heading 5 Char"/>
    <w:basedOn w:val="DefaultParagraphFont"/>
    <w:link w:val="Heading5"/>
    <w:uiPriority w:val="9"/>
    <w:rsid w:val="00570834"/>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57083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570834"/>
  </w:style>
  <w:style w:type="character" w:styleId="Hyperlink">
    <w:name w:val="Hyperlink"/>
    <w:basedOn w:val="DefaultParagraphFont"/>
    <w:uiPriority w:val="99"/>
    <w:semiHidden/>
    <w:unhideWhenUsed/>
    <w:rsid w:val="00570834"/>
    <w:rPr>
      <w:color w:val="0000FF"/>
      <w:u w:val="single"/>
    </w:rPr>
  </w:style>
  <w:style w:type="character" w:styleId="Strong">
    <w:name w:val="Strong"/>
    <w:basedOn w:val="DefaultParagraphFont"/>
    <w:uiPriority w:val="22"/>
    <w:qFormat/>
    <w:rsid w:val="00570834"/>
    <w:rPr>
      <w:b/>
      <w:bCs/>
    </w:rPr>
  </w:style>
  <w:style w:type="paragraph" w:customStyle="1" w:styleId="EndNoteBibliographyTitle">
    <w:name w:val="EndNote Bibliography Title"/>
    <w:basedOn w:val="Normal"/>
    <w:link w:val="EndNoteBibliographyTitleChar"/>
    <w:rsid w:val="00570834"/>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570834"/>
    <w:rPr>
      <w:rFonts w:ascii="Calibri" w:hAnsi="Calibri" w:cs="Calibri"/>
      <w:lang w:val="en-US"/>
    </w:rPr>
  </w:style>
  <w:style w:type="paragraph" w:customStyle="1" w:styleId="EndNoteBibliography">
    <w:name w:val="EndNote Bibliography"/>
    <w:basedOn w:val="Normal"/>
    <w:link w:val="EndNoteBibliographyChar"/>
    <w:rsid w:val="00570834"/>
    <w:rPr>
      <w:rFonts w:ascii="Calibri" w:hAnsi="Calibri" w:cs="Calibri"/>
      <w:lang w:val="en-US"/>
    </w:rPr>
  </w:style>
  <w:style w:type="character" w:customStyle="1" w:styleId="EndNoteBibliographyChar">
    <w:name w:val="EndNote Bibliography Char"/>
    <w:basedOn w:val="DefaultParagraphFont"/>
    <w:link w:val="EndNoteBibliography"/>
    <w:rsid w:val="00570834"/>
    <w:rPr>
      <w:rFonts w:ascii="Calibri" w:hAnsi="Calibri" w:cs="Calibri"/>
      <w:lang w:val="en-US"/>
    </w:rPr>
  </w:style>
  <w:style w:type="table" w:styleId="TableGrid">
    <w:name w:val="Table Grid"/>
    <w:basedOn w:val="TableNormal"/>
    <w:rsid w:val="00570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0834"/>
    <w:rPr>
      <w:sz w:val="16"/>
      <w:szCs w:val="16"/>
    </w:rPr>
  </w:style>
  <w:style w:type="paragraph" w:styleId="CommentText">
    <w:name w:val="annotation text"/>
    <w:basedOn w:val="Normal"/>
    <w:link w:val="CommentTextChar"/>
    <w:uiPriority w:val="99"/>
    <w:unhideWhenUsed/>
    <w:rsid w:val="00570834"/>
    <w:rPr>
      <w:sz w:val="20"/>
      <w:szCs w:val="20"/>
    </w:rPr>
  </w:style>
  <w:style w:type="character" w:customStyle="1" w:styleId="CommentTextChar">
    <w:name w:val="Comment Text Char"/>
    <w:basedOn w:val="DefaultParagraphFont"/>
    <w:link w:val="CommentText"/>
    <w:uiPriority w:val="99"/>
    <w:rsid w:val="00570834"/>
    <w:rPr>
      <w:sz w:val="20"/>
      <w:szCs w:val="20"/>
    </w:rPr>
  </w:style>
  <w:style w:type="paragraph" w:styleId="CommentSubject">
    <w:name w:val="annotation subject"/>
    <w:basedOn w:val="CommentText"/>
    <w:next w:val="CommentText"/>
    <w:link w:val="CommentSubjectChar"/>
    <w:uiPriority w:val="99"/>
    <w:semiHidden/>
    <w:unhideWhenUsed/>
    <w:rsid w:val="00570834"/>
    <w:rPr>
      <w:b/>
      <w:bCs/>
    </w:rPr>
  </w:style>
  <w:style w:type="character" w:customStyle="1" w:styleId="CommentSubjectChar">
    <w:name w:val="Comment Subject Char"/>
    <w:basedOn w:val="CommentTextChar"/>
    <w:link w:val="CommentSubject"/>
    <w:uiPriority w:val="99"/>
    <w:semiHidden/>
    <w:rsid w:val="00570834"/>
    <w:rPr>
      <w:b/>
      <w:bCs/>
      <w:sz w:val="20"/>
      <w:szCs w:val="20"/>
    </w:rPr>
  </w:style>
  <w:style w:type="paragraph" w:styleId="Revision">
    <w:name w:val="Revision"/>
    <w:hidden/>
    <w:uiPriority w:val="99"/>
    <w:semiHidden/>
    <w:rsid w:val="00570834"/>
  </w:style>
  <w:style w:type="paragraph" w:styleId="ListParagraph">
    <w:name w:val="List Paragraph"/>
    <w:basedOn w:val="Normal"/>
    <w:uiPriority w:val="34"/>
    <w:qFormat/>
    <w:rsid w:val="00570834"/>
    <w:pPr>
      <w:ind w:left="720"/>
      <w:contextualSpacing/>
    </w:pPr>
  </w:style>
  <w:style w:type="character" w:styleId="LineNumber">
    <w:name w:val="line number"/>
    <w:basedOn w:val="DefaultParagraphFont"/>
    <w:uiPriority w:val="99"/>
    <w:semiHidden/>
    <w:unhideWhenUsed/>
    <w:rsid w:val="00570834"/>
  </w:style>
  <w:style w:type="paragraph" w:styleId="Footer">
    <w:name w:val="footer"/>
    <w:basedOn w:val="Normal"/>
    <w:link w:val="FooterChar"/>
    <w:uiPriority w:val="99"/>
    <w:unhideWhenUsed/>
    <w:rsid w:val="00570834"/>
    <w:pPr>
      <w:tabs>
        <w:tab w:val="center" w:pos="4513"/>
        <w:tab w:val="right" w:pos="9026"/>
      </w:tabs>
    </w:pPr>
  </w:style>
  <w:style w:type="character" w:customStyle="1" w:styleId="FooterChar">
    <w:name w:val="Footer Char"/>
    <w:basedOn w:val="DefaultParagraphFont"/>
    <w:link w:val="Footer"/>
    <w:uiPriority w:val="99"/>
    <w:rsid w:val="00570834"/>
  </w:style>
  <w:style w:type="character" w:styleId="PageNumber">
    <w:name w:val="page number"/>
    <w:basedOn w:val="DefaultParagraphFont"/>
    <w:uiPriority w:val="99"/>
    <w:semiHidden/>
    <w:unhideWhenUsed/>
    <w:rsid w:val="00570834"/>
  </w:style>
  <w:style w:type="paragraph" w:styleId="Header">
    <w:name w:val="header"/>
    <w:basedOn w:val="Normal"/>
    <w:link w:val="HeaderChar"/>
    <w:uiPriority w:val="99"/>
    <w:unhideWhenUsed/>
    <w:rsid w:val="00570834"/>
    <w:pPr>
      <w:tabs>
        <w:tab w:val="center" w:pos="4513"/>
        <w:tab w:val="right" w:pos="9026"/>
      </w:tabs>
    </w:pPr>
  </w:style>
  <w:style w:type="character" w:customStyle="1" w:styleId="HeaderChar">
    <w:name w:val="Header Char"/>
    <w:basedOn w:val="DefaultParagraphFont"/>
    <w:link w:val="Header"/>
    <w:uiPriority w:val="99"/>
    <w:rsid w:val="00570834"/>
  </w:style>
  <w:style w:type="paragraph" w:customStyle="1" w:styleId="Default">
    <w:name w:val="Default"/>
    <w:rsid w:val="00570834"/>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4905</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Calvert</dc:creator>
  <cp:keywords/>
  <dc:description/>
  <cp:lastModifiedBy>Anna Calvert</cp:lastModifiedBy>
  <cp:revision>2</cp:revision>
  <dcterms:created xsi:type="dcterms:W3CDTF">2024-05-31T20:09:00Z</dcterms:created>
  <dcterms:modified xsi:type="dcterms:W3CDTF">2024-05-31T20:09:00Z</dcterms:modified>
</cp:coreProperties>
</file>