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5164E" w14:textId="1DBE580E" w:rsidR="007062BE" w:rsidRDefault="007151BD" w:rsidP="0041121A">
      <w:pPr>
        <w:pStyle w:val="BodyText2"/>
        <w:spacing w:line="480" w:lineRule="auto"/>
      </w:pPr>
      <w:r>
        <w:t xml:space="preserve">A </w:t>
      </w:r>
      <w:r w:rsidR="007062BE" w:rsidRPr="00DD5266">
        <w:t>Famil</w:t>
      </w:r>
      <w:r>
        <w:t xml:space="preserve">ial Subtype </w:t>
      </w:r>
      <w:r w:rsidR="00FB33F1">
        <w:t xml:space="preserve">of </w:t>
      </w:r>
      <w:r w:rsidR="00D32B64">
        <w:t>Gambling</w:t>
      </w:r>
      <w:r w:rsidR="00194BAF">
        <w:t xml:space="preserve"> Disorder</w:t>
      </w:r>
      <w:r w:rsidR="0041121A">
        <w:t xml:space="preserve"> </w:t>
      </w:r>
    </w:p>
    <w:p w14:paraId="2DC5AEB1" w14:textId="24C1CF05" w:rsidR="00FB33F1" w:rsidRDefault="00FB33F1" w:rsidP="00FB33F1">
      <w:pPr>
        <w:widowControl w:val="0"/>
        <w:spacing w:line="480" w:lineRule="auto"/>
        <w:jc w:val="center"/>
        <w:rPr>
          <w:rFonts w:ascii="Liberation Serif" w:eastAsia="Arial Unicode MS" w:hAnsi="Liberation Serif" w:cs="Arial Unicode MS" w:hint="eastAsia"/>
          <w:bCs/>
          <w:noProof/>
          <w:color w:val="00000A"/>
          <w:sz w:val="24"/>
          <w:szCs w:val="24"/>
          <w:vertAlign w:val="superscript"/>
          <w:lang w:eastAsia="zh-CN" w:bidi="hi-IN"/>
        </w:rPr>
      </w:pPr>
      <w:r w:rsidRPr="00FB33F1">
        <w:rPr>
          <w:rFonts w:ascii="Liberation Serif" w:eastAsia="Arial Unicode MS" w:hAnsi="Liberation Serif" w:cs="Arial Unicode MS"/>
          <w:bCs/>
          <w:noProof/>
          <w:color w:val="00000A"/>
          <w:sz w:val="24"/>
          <w:szCs w:val="24"/>
          <w:lang w:eastAsia="zh-CN" w:bidi="hi-IN"/>
        </w:rPr>
        <w:t>Jon E. Grant</w:t>
      </w:r>
      <w:r w:rsidRPr="00FB33F1">
        <w:rPr>
          <w:rFonts w:ascii="Liberation Serif" w:eastAsia="Arial Unicode MS" w:hAnsi="Liberation Serif" w:cs="Arial Unicode MS"/>
          <w:bCs/>
          <w:noProof/>
          <w:color w:val="00000A"/>
          <w:sz w:val="24"/>
          <w:szCs w:val="24"/>
          <w:vertAlign w:val="superscript"/>
          <w:lang w:eastAsia="zh-CN" w:bidi="hi-IN"/>
        </w:rPr>
        <w:t xml:space="preserve">1 </w:t>
      </w:r>
    </w:p>
    <w:p w14:paraId="2991AB64" w14:textId="6339711B" w:rsidR="0041121A" w:rsidRPr="0041121A" w:rsidRDefault="0041121A" w:rsidP="00FB33F1">
      <w:pPr>
        <w:widowControl w:val="0"/>
        <w:spacing w:line="480" w:lineRule="auto"/>
        <w:jc w:val="center"/>
        <w:rPr>
          <w:rFonts w:ascii="Liberation Serif" w:eastAsia="Arial Unicode MS" w:hAnsi="Liberation Serif" w:cs="Arial Unicode MS" w:hint="eastAsia"/>
          <w:bCs/>
          <w:noProof/>
          <w:color w:val="00000A"/>
          <w:sz w:val="24"/>
          <w:szCs w:val="24"/>
          <w:vertAlign w:val="superscript"/>
          <w:lang w:eastAsia="zh-CN" w:bidi="hi-IN"/>
        </w:rPr>
      </w:pPr>
      <w:r>
        <w:rPr>
          <w:rFonts w:ascii="Liberation Serif" w:eastAsia="Arial Unicode MS" w:hAnsi="Liberation Serif" w:cs="Arial Unicode MS"/>
          <w:bCs/>
          <w:noProof/>
          <w:color w:val="00000A"/>
          <w:sz w:val="24"/>
          <w:szCs w:val="24"/>
          <w:lang w:eastAsia="zh-CN" w:bidi="hi-IN"/>
        </w:rPr>
        <w:t>Ibrahim Aslan</w:t>
      </w:r>
      <w:r>
        <w:rPr>
          <w:rFonts w:ascii="Liberation Serif" w:eastAsia="Arial Unicode MS" w:hAnsi="Liberation Serif" w:cs="Arial Unicode MS"/>
          <w:bCs/>
          <w:noProof/>
          <w:color w:val="00000A"/>
          <w:sz w:val="24"/>
          <w:szCs w:val="24"/>
          <w:vertAlign w:val="superscript"/>
          <w:lang w:eastAsia="zh-CN" w:bidi="hi-IN"/>
        </w:rPr>
        <w:t>2</w:t>
      </w:r>
    </w:p>
    <w:p w14:paraId="13CB75A0" w14:textId="623AC061" w:rsidR="00FB33F1" w:rsidRPr="00FB33F1" w:rsidRDefault="00FB33F1" w:rsidP="00FB33F1">
      <w:pPr>
        <w:widowControl w:val="0"/>
        <w:spacing w:line="480" w:lineRule="auto"/>
        <w:jc w:val="center"/>
        <w:rPr>
          <w:rFonts w:ascii="Liberation Serif" w:eastAsia="Arial Unicode MS" w:hAnsi="Liberation Serif" w:cs="Arial Unicode MS" w:hint="eastAsia"/>
          <w:bCs/>
          <w:noProof/>
          <w:color w:val="00000A"/>
          <w:sz w:val="24"/>
          <w:szCs w:val="24"/>
          <w:lang w:val="de-DE" w:eastAsia="zh-CN" w:bidi="hi-IN"/>
        </w:rPr>
      </w:pPr>
      <w:r w:rsidRPr="00FB33F1">
        <w:rPr>
          <w:rFonts w:ascii="Liberation Serif" w:eastAsia="Arial Unicode MS" w:hAnsi="Liberation Serif" w:cs="Arial Unicode MS"/>
          <w:bCs/>
          <w:noProof/>
          <w:color w:val="00000A"/>
          <w:sz w:val="24"/>
          <w:szCs w:val="24"/>
          <w:lang w:eastAsia="zh-CN" w:bidi="hi-IN"/>
        </w:rPr>
        <w:t>Samuel R. Chamberlain</w:t>
      </w:r>
      <w:r>
        <w:rPr>
          <w:rFonts w:ascii="Liberation Serif" w:eastAsia="Arial Unicode MS" w:hAnsi="Liberation Serif" w:cs="Arial Unicode MS"/>
          <w:bCs/>
          <w:noProof/>
          <w:color w:val="00000A"/>
          <w:sz w:val="24"/>
          <w:szCs w:val="24"/>
          <w:vertAlign w:val="superscript"/>
          <w:lang w:eastAsia="zh-CN" w:bidi="hi-IN"/>
        </w:rPr>
        <w:t>2</w:t>
      </w:r>
      <w:r w:rsidRPr="00FB33F1">
        <w:rPr>
          <w:rFonts w:ascii="Liberation Serif" w:eastAsia="Arial Unicode MS" w:hAnsi="Liberation Serif" w:cs="Arial Unicode MS"/>
          <w:bCs/>
          <w:noProof/>
          <w:color w:val="00000A"/>
          <w:sz w:val="24"/>
          <w:szCs w:val="24"/>
          <w:vertAlign w:val="superscript"/>
          <w:lang w:eastAsia="zh-CN" w:bidi="hi-IN"/>
        </w:rPr>
        <w:t xml:space="preserve"> </w:t>
      </w:r>
    </w:p>
    <w:p w14:paraId="7F6C2CE0" w14:textId="02F33F2E" w:rsidR="00FB33F1" w:rsidRPr="00FB33F1" w:rsidRDefault="00FB33F1" w:rsidP="00FB33F1">
      <w:pPr>
        <w:widowControl w:val="0"/>
        <w:jc w:val="center"/>
        <w:rPr>
          <w:rFonts w:ascii="Liberation Serif" w:eastAsia="Batang" w:hAnsi="Liberation Serif" w:cs="Arial Unicode MS" w:hint="eastAsia"/>
          <w:color w:val="00000A"/>
          <w:sz w:val="24"/>
          <w:szCs w:val="24"/>
          <w:lang w:eastAsia="zh-CN" w:bidi="hi-IN"/>
        </w:rPr>
      </w:pPr>
    </w:p>
    <w:p w14:paraId="74027E97" w14:textId="069A1E09" w:rsidR="00FB33F1" w:rsidRPr="0041121A" w:rsidRDefault="00FB33F1" w:rsidP="0041121A">
      <w:pPr>
        <w:widowControl w:val="0"/>
        <w:spacing w:line="480" w:lineRule="auto"/>
        <w:jc w:val="center"/>
        <w:rPr>
          <w:rFonts w:eastAsia="Batang"/>
          <w:color w:val="00000A"/>
          <w:sz w:val="24"/>
          <w:szCs w:val="24"/>
          <w:lang w:eastAsia="zh-CN" w:bidi="hi-IN"/>
        </w:rPr>
      </w:pPr>
      <w:r w:rsidRPr="0041121A">
        <w:rPr>
          <w:rFonts w:eastAsia="Batang"/>
          <w:color w:val="00000A"/>
          <w:sz w:val="24"/>
          <w:szCs w:val="24"/>
          <w:vertAlign w:val="superscript"/>
          <w:lang w:eastAsia="zh-CN" w:bidi="hi-IN"/>
        </w:rPr>
        <w:t>1</w:t>
      </w:r>
      <w:r w:rsidRPr="0041121A">
        <w:rPr>
          <w:rFonts w:eastAsia="Batang"/>
          <w:color w:val="00000A"/>
          <w:sz w:val="24"/>
          <w:szCs w:val="24"/>
          <w:lang w:eastAsia="zh-CN" w:bidi="hi-IN"/>
        </w:rPr>
        <w:t>Department of Psychiatry &amp; Behavioral Neuroscience</w:t>
      </w:r>
    </w:p>
    <w:p w14:paraId="1EBF5261" w14:textId="5E0B1CDE" w:rsidR="00FB33F1" w:rsidRPr="0041121A" w:rsidRDefault="00FB33F1" w:rsidP="0041121A">
      <w:pPr>
        <w:widowControl w:val="0"/>
        <w:spacing w:line="480" w:lineRule="auto"/>
        <w:jc w:val="center"/>
        <w:rPr>
          <w:rFonts w:eastAsia="Batang"/>
          <w:color w:val="00000A"/>
          <w:sz w:val="24"/>
          <w:szCs w:val="24"/>
          <w:lang w:eastAsia="zh-CN" w:bidi="hi-IN"/>
        </w:rPr>
      </w:pPr>
      <w:r w:rsidRPr="0041121A">
        <w:rPr>
          <w:rFonts w:eastAsia="Batang"/>
          <w:color w:val="00000A"/>
          <w:sz w:val="24"/>
          <w:szCs w:val="24"/>
          <w:lang w:eastAsia="zh-CN" w:bidi="hi-IN"/>
        </w:rPr>
        <w:t>University of Chicago, Chicago, IL, USA</w:t>
      </w:r>
    </w:p>
    <w:p w14:paraId="02C76453" w14:textId="49193E84" w:rsidR="00D672DD" w:rsidRPr="0041121A" w:rsidRDefault="00FB33F1" w:rsidP="0041121A">
      <w:pPr>
        <w:pStyle w:val="BodyText2"/>
        <w:spacing w:line="480" w:lineRule="auto"/>
        <w:rPr>
          <w:b w:val="0"/>
        </w:rPr>
      </w:pPr>
      <w:r w:rsidRPr="0041121A">
        <w:rPr>
          <w:rFonts w:eastAsia="Batang"/>
          <w:b w:val="0"/>
          <w:bCs/>
          <w:color w:val="00000A"/>
          <w:szCs w:val="24"/>
          <w:vertAlign w:val="superscript"/>
          <w:lang w:eastAsia="zh-CN" w:bidi="hi-IN"/>
        </w:rPr>
        <w:t>2</w:t>
      </w:r>
      <w:r w:rsidRPr="0041121A">
        <w:rPr>
          <w:rFonts w:eastAsia="Batang"/>
          <w:b w:val="0"/>
          <w:bCs/>
          <w:color w:val="00000A"/>
          <w:szCs w:val="24"/>
          <w:lang w:eastAsia="zh-CN" w:bidi="hi-IN"/>
        </w:rPr>
        <w:t>Department of Psychiatry,</w:t>
      </w:r>
      <w:r w:rsidRPr="0041121A">
        <w:rPr>
          <w:rFonts w:eastAsia="Batang"/>
          <w:color w:val="00000A"/>
          <w:szCs w:val="24"/>
          <w:lang w:eastAsia="zh-CN" w:bidi="hi-IN"/>
        </w:rPr>
        <w:t xml:space="preserve"> </w:t>
      </w:r>
      <w:r w:rsidR="00D672DD" w:rsidRPr="0041121A">
        <w:rPr>
          <w:b w:val="0"/>
        </w:rPr>
        <w:t xml:space="preserve">Faculty of Medicine, University of Southampton, UK; and NHS Southern Gambling Service / Southern Health NHS Foundation Trust, Southampton, UK. </w:t>
      </w:r>
    </w:p>
    <w:p w14:paraId="147C40B4" w14:textId="6880338E" w:rsidR="00FB33F1" w:rsidRPr="00FB33F1" w:rsidRDefault="00FB33F1" w:rsidP="00FB33F1">
      <w:pPr>
        <w:widowControl w:val="0"/>
        <w:jc w:val="center"/>
        <w:rPr>
          <w:rFonts w:ascii="Liberation Serif" w:eastAsia="Batang" w:hAnsi="Liberation Serif" w:cs="Arial Unicode MS" w:hint="eastAsia"/>
          <w:color w:val="00000A"/>
          <w:sz w:val="24"/>
          <w:szCs w:val="24"/>
          <w:lang w:eastAsia="zh-CN" w:bidi="hi-IN"/>
        </w:rPr>
      </w:pPr>
    </w:p>
    <w:p w14:paraId="7DCAE8D1" w14:textId="1946B41E" w:rsidR="00FB33F1" w:rsidRPr="00FB33F1" w:rsidRDefault="00FB33F1" w:rsidP="00FB33F1">
      <w:pPr>
        <w:keepNext/>
        <w:widowControl w:val="0"/>
        <w:outlineLvl w:val="0"/>
        <w:rPr>
          <w:rFonts w:ascii="Liberation Serif" w:eastAsia="Arial Unicode MS" w:hAnsi="Liberation Serif" w:cs="Arial Unicode MS" w:hint="eastAsia"/>
          <w:b/>
          <w:bCs/>
          <w:color w:val="00000A"/>
          <w:kern w:val="32"/>
          <w:sz w:val="24"/>
          <w:szCs w:val="24"/>
          <w:lang w:eastAsia="zh-CN" w:bidi="hi-IN"/>
        </w:rPr>
      </w:pPr>
    </w:p>
    <w:p w14:paraId="6C52994D" w14:textId="55E2CA66" w:rsidR="007062BE" w:rsidRPr="00DD5266" w:rsidRDefault="007062BE" w:rsidP="007062BE">
      <w:pPr>
        <w:pStyle w:val="BodyText2"/>
        <w:spacing w:line="480" w:lineRule="auto"/>
        <w:jc w:val="left"/>
        <w:rPr>
          <w:b w:val="0"/>
        </w:rPr>
      </w:pPr>
      <w:r w:rsidRPr="00DD5266">
        <w:rPr>
          <w:b w:val="0"/>
        </w:rPr>
        <w:t>Address correspondence to:</w:t>
      </w:r>
    </w:p>
    <w:p w14:paraId="37D01715" w14:textId="36EAE840" w:rsidR="007062BE" w:rsidRPr="00DD5266" w:rsidRDefault="007062BE" w:rsidP="007062BE">
      <w:pPr>
        <w:pStyle w:val="BodyText2"/>
        <w:spacing w:line="480" w:lineRule="auto"/>
        <w:jc w:val="left"/>
        <w:rPr>
          <w:b w:val="0"/>
        </w:rPr>
      </w:pPr>
      <w:r w:rsidRPr="00DD5266">
        <w:rPr>
          <w:b w:val="0"/>
        </w:rPr>
        <w:t>Jon E. Grant, J.D., M.D., M.P.H.</w:t>
      </w:r>
    </w:p>
    <w:p w14:paraId="45126110" w14:textId="12096B65" w:rsidR="007062BE" w:rsidRPr="00DD5266" w:rsidRDefault="007062BE" w:rsidP="007062BE">
      <w:pPr>
        <w:pStyle w:val="BodyText2"/>
        <w:spacing w:line="480" w:lineRule="auto"/>
        <w:jc w:val="left"/>
        <w:rPr>
          <w:b w:val="0"/>
        </w:rPr>
      </w:pPr>
      <w:r w:rsidRPr="00DD5266">
        <w:rPr>
          <w:b w:val="0"/>
        </w:rPr>
        <w:t>Department of Psychiatry &amp; Behavioral Neuroscience</w:t>
      </w:r>
    </w:p>
    <w:p w14:paraId="6D2273E2" w14:textId="0A2C8F37" w:rsidR="007062BE" w:rsidRPr="00DD5266" w:rsidRDefault="007062BE" w:rsidP="007062BE">
      <w:pPr>
        <w:pStyle w:val="BodyText2"/>
        <w:spacing w:line="480" w:lineRule="auto"/>
        <w:jc w:val="left"/>
        <w:rPr>
          <w:b w:val="0"/>
        </w:rPr>
      </w:pPr>
      <w:r w:rsidRPr="00DD5266">
        <w:rPr>
          <w:b w:val="0"/>
        </w:rPr>
        <w:t>University of Chicago, Pritzker School of Medicine</w:t>
      </w:r>
    </w:p>
    <w:p w14:paraId="5DC49378" w14:textId="23CF6E7E" w:rsidR="007062BE" w:rsidRPr="00DD5266" w:rsidRDefault="007062BE" w:rsidP="007062BE">
      <w:pPr>
        <w:pStyle w:val="BodyText2"/>
        <w:spacing w:line="480" w:lineRule="auto"/>
        <w:jc w:val="left"/>
        <w:rPr>
          <w:b w:val="0"/>
        </w:rPr>
      </w:pPr>
      <w:r w:rsidRPr="00DD5266">
        <w:rPr>
          <w:b w:val="0"/>
        </w:rPr>
        <w:t>5841 S. Maryland Avenue, MC-3077, Chicago, IL 60637</w:t>
      </w:r>
    </w:p>
    <w:p w14:paraId="595A51DC" w14:textId="7D9ADB8F" w:rsidR="007062BE" w:rsidRPr="00DD5266" w:rsidRDefault="007062BE" w:rsidP="007062BE">
      <w:pPr>
        <w:pStyle w:val="BodyText2"/>
        <w:spacing w:line="480" w:lineRule="auto"/>
        <w:jc w:val="left"/>
        <w:rPr>
          <w:b w:val="0"/>
        </w:rPr>
      </w:pPr>
      <w:r w:rsidRPr="00DD5266">
        <w:rPr>
          <w:b w:val="0"/>
        </w:rPr>
        <w:t xml:space="preserve">Telephone Number: 773-834-1325; Fax: </w:t>
      </w:r>
      <w:proofErr w:type="gramStart"/>
      <w:r w:rsidRPr="00DD5266">
        <w:rPr>
          <w:b w:val="0"/>
        </w:rPr>
        <w:t>773-834-6761;</w:t>
      </w:r>
      <w:proofErr w:type="gramEnd"/>
      <w:r w:rsidRPr="00DD5266">
        <w:rPr>
          <w:b w:val="0"/>
        </w:rPr>
        <w:t xml:space="preserve"> </w:t>
      </w:r>
    </w:p>
    <w:p w14:paraId="79035B01" w14:textId="6AFF6966" w:rsidR="007062BE" w:rsidRPr="00DD5266" w:rsidRDefault="007062BE" w:rsidP="007062BE">
      <w:pPr>
        <w:pStyle w:val="BodyText2"/>
        <w:spacing w:line="480" w:lineRule="auto"/>
        <w:jc w:val="left"/>
        <w:rPr>
          <w:b w:val="0"/>
        </w:rPr>
      </w:pPr>
      <w:r w:rsidRPr="00DD5266">
        <w:rPr>
          <w:b w:val="0"/>
        </w:rPr>
        <w:t>Email: jongrant@uchicago.edu</w:t>
      </w:r>
    </w:p>
    <w:p w14:paraId="10C73FC2" w14:textId="637B4D83" w:rsidR="007062BE" w:rsidRDefault="007062BE" w:rsidP="007062BE">
      <w:pPr>
        <w:pStyle w:val="BodyText2"/>
        <w:spacing w:line="480" w:lineRule="auto"/>
        <w:jc w:val="left"/>
        <w:rPr>
          <w:b w:val="0"/>
        </w:rPr>
      </w:pPr>
    </w:p>
    <w:p w14:paraId="46E5BBD6" w14:textId="762FE020" w:rsidR="009E14DD" w:rsidRDefault="007062BE" w:rsidP="00FB33F1">
      <w:pPr>
        <w:pStyle w:val="BodyText2"/>
        <w:spacing w:line="480" w:lineRule="auto"/>
        <w:jc w:val="left"/>
        <w:rPr>
          <w:b w:val="0"/>
        </w:rPr>
      </w:pPr>
      <w:r w:rsidRPr="00DD5266">
        <w:rPr>
          <w:b w:val="0"/>
        </w:rPr>
        <w:t xml:space="preserve">Declaration of interest: </w:t>
      </w:r>
      <w:r w:rsidR="00FB33F1" w:rsidRPr="00FB33F1">
        <w:rPr>
          <w:b w:val="0"/>
        </w:rPr>
        <w:t xml:space="preserve">Dr Grant has received research grants from </w:t>
      </w:r>
      <w:r w:rsidR="00D672DD">
        <w:rPr>
          <w:b w:val="0"/>
        </w:rPr>
        <w:t>Janssen and Biohaven</w:t>
      </w:r>
      <w:r w:rsidR="00FB33F1" w:rsidRPr="00FB33F1">
        <w:rPr>
          <w:b w:val="0"/>
        </w:rPr>
        <w:t xml:space="preserve"> Pharmaceuticals</w:t>
      </w:r>
      <w:r w:rsidR="00743ADD">
        <w:rPr>
          <w:b w:val="0"/>
        </w:rPr>
        <w:t>.</w:t>
      </w:r>
      <w:r w:rsidR="00FB33F1" w:rsidRPr="00FB33F1">
        <w:rPr>
          <w:b w:val="0"/>
        </w:rPr>
        <w:t xml:space="preserve"> Dr Grant receives yearly compensation from Springer Publishing for acting as Editor-in-Chief of the Journal of Gambling Studies and has received royalties from Oxford University Press, American Psychiatric Publishing, Inc., Norton Press, and McGraw Hill.  Dr Chamberlain receives a stipend for his role as Associate Editor at Neuroscience and Biobehavioral Reviews and at Comprehensive Psychiatry. </w:t>
      </w:r>
      <w:r w:rsidR="00743ADD">
        <w:rPr>
          <w:b w:val="0"/>
        </w:rPr>
        <w:t xml:space="preserve">Dr. Aslan reports no disclosures. </w:t>
      </w:r>
    </w:p>
    <w:p w14:paraId="46C48BB9" w14:textId="77777777" w:rsidR="0041121A" w:rsidRDefault="0041121A" w:rsidP="007062BE">
      <w:pPr>
        <w:pStyle w:val="BodyText2"/>
        <w:spacing w:line="480" w:lineRule="auto"/>
        <w:jc w:val="left"/>
      </w:pPr>
    </w:p>
    <w:p w14:paraId="6D3E94E6" w14:textId="19FE2B01" w:rsidR="007062BE" w:rsidRPr="00FB33F1" w:rsidRDefault="007062BE" w:rsidP="007062BE">
      <w:pPr>
        <w:pStyle w:val="BodyText2"/>
        <w:spacing w:line="480" w:lineRule="auto"/>
        <w:jc w:val="left"/>
      </w:pPr>
      <w:r w:rsidRPr="00FB33F1">
        <w:t>Abstract</w:t>
      </w:r>
    </w:p>
    <w:p w14:paraId="14E31B8A" w14:textId="08AFF6C2" w:rsidR="007062BE" w:rsidRDefault="007062BE" w:rsidP="007062BE">
      <w:pPr>
        <w:pStyle w:val="BodyText"/>
        <w:spacing w:line="480" w:lineRule="auto"/>
        <w:rPr>
          <w:b w:val="0"/>
        </w:rPr>
      </w:pPr>
      <w:r>
        <w:t>Background:</w:t>
      </w:r>
      <w:r>
        <w:rPr>
          <w:b w:val="0"/>
        </w:rPr>
        <w:t xml:space="preserve"> </w:t>
      </w:r>
      <w:r w:rsidR="00DA6D89">
        <w:rPr>
          <w:b w:val="0"/>
        </w:rPr>
        <w:t xml:space="preserve">Although </w:t>
      </w:r>
      <w:r>
        <w:rPr>
          <w:b w:val="0"/>
        </w:rPr>
        <w:t xml:space="preserve">family history </w:t>
      </w:r>
      <w:r w:rsidR="009E14DD">
        <w:rPr>
          <w:b w:val="0"/>
        </w:rPr>
        <w:t xml:space="preserve">of </w:t>
      </w:r>
      <w:r w:rsidR="00DA6D89">
        <w:rPr>
          <w:b w:val="0"/>
        </w:rPr>
        <w:t>psychiatric</w:t>
      </w:r>
      <w:r>
        <w:rPr>
          <w:b w:val="0"/>
        </w:rPr>
        <w:t xml:space="preserve"> disorders has </w:t>
      </w:r>
      <w:r w:rsidR="00DA6D89">
        <w:rPr>
          <w:b w:val="0"/>
        </w:rPr>
        <w:t xml:space="preserve">often been </w:t>
      </w:r>
      <w:r w:rsidR="009E14DD">
        <w:rPr>
          <w:b w:val="0"/>
        </w:rPr>
        <w:t xml:space="preserve">considered potentially useful in understanding clinical presentations in patients, </w:t>
      </w:r>
      <w:r w:rsidR="00DA6D89">
        <w:rPr>
          <w:b w:val="0"/>
        </w:rPr>
        <w:t xml:space="preserve">it is less clear what a positive </w:t>
      </w:r>
      <w:r w:rsidR="009E26AA">
        <w:rPr>
          <w:b w:val="0"/>
        </w:rPr>
        <w:t xml:space="preserve">gambling </w:t>
      </w:r>
      <w:r w:rsidR="00DA6D89">
        <w:rPr>
          <w:b w:val="0"/>
        </w:rPr>
        <w:t xml:space="preserve">family history means for </w:t>
      </w:r>
      <w:r w:rsidR="00917E55">
        <w:rPr>
          <w:b w:val="0"/>
        </w:rPr>
        <w:t>people w</w:t>
      </w:r>
      <w:r w:rsidR="009E26AA">
        <w:rPr>
          <w:b w:val="0"/>
        </w:rPr>
        <w:t>ith</w:t>
      </w:r>
      <w:r w:rsidR="00917E55">
        <w:rPr>
          <w:b w:val="0"/>
        </w:rPr>
        <w:t xml:space="preserve"> gambl</w:t>
      </w:r>
      <w:r w:rsidR="009E26AA">
        <w:rPr>
          <w:b w:val="0"/>
        </w:rPr>
        <w:t>ing disorder</w:t>
      </w:r>
      <w:r>
        <w:rPr>
          <w:b w:val="0"/>
        </w:rPr>
        <w:t>. We sought to understand the</w:t>
      </w:r>
      <w:r w:rsidR="008A2AEA">
        <w:rPr>
          <w:b w:val="0"/>
        </w:rPr>
        <w:t xml:space="preserve"> clinical </w:t>
      </w:r>
      <w:r>
        <w:rPr>
          <w:b w:val="0"/>
        </w:rPr>
        <w:t>impact of having a first-degree relative with</w:t>
      </w:r>
      <w:r w:rsidR="0040409D">
        <w:rPr>
          <w:b w:val="0"/>
        </w:rPr>
        <w:t xml:space="preserve"> </w:t>
      </w:r>
      <w:r w:rsidR="009E26AA">
        <w:rPr>
          <w:b w:val="0"/>
        </w:rPr>
        <w:t>gambling disorder</w:t>
      </w:r>
      <w:r w:rsidR="00DA6D89">
        <w:rPr>
          <w:b w:val="0"/>
        </w:rPr>
        <w:t xml:space="preserve"> in a sample of adults</w:t>
      </w:r>
      <w:r w:rsidR="009E26AA">
        <w:rPr>
          <w:b w:val="0"/>
        </w:rPr>
        <w:t xml:space="preserve"> with gambling disorder</w:t>
      </w:r>
      <w:r w:rsidR="00DA6D89">
        <w:rPr>
          <w:b w:val="0"/>
        </w:rPr>
        <w:t>.</w:t>
      </w:r>
      <w:r>
        <w:rPr>
          <w:b w:val="0"/>
        </w:rPr>
        <w:t xml:space="preserve"> </w:t>
      </w:r>
    </w:p>
    <w:p w14:paraId="67A44AD5" w14:textId="069A0806" w:rsidR="001E299E" w:rsidRDefault="007062BE" w:rsidP="00911478">
      <w:pPr>
        <w:pStyle w:val="BodyText"/>
        <w:spacing w:line="480" w:lineRule="auto"/>
        <w:rPr>
          <w:b w:val="0"/>
        </w:rPr>
      </w:pPr>
      <w:r>
        <w:t>Methods:</w:t>
      </w:r>
      <w:r>
        <w:rPr>
          <w:b w:val="0"/>
        </w:rPr>
        <w:t xml:space="preserve"> </w:t>
      </w:r>
      <w:r w:rsidR="009E26AA">
        <w:rPr>
          <w:b w:val="0"/>
        </w:rPr>
        <w:t>Data from 455</w:t>
      </w:r>
      <w:r>
        <w:rPr>
          <w:b w:val="0"/>
        </w:rPr>
        <w:t xml:space="preserve"> participants</w:t>
      </w:r>
      <w:r w:rsidR="00DA6D89">
        <w:rPr>
          <w:b w:val="0"/>
        </w:rPr>
        <w:t xml:space="preserve"> (aged 18-</w:t>
      </w:r>
      <w:r w:rsidR="009E26AA">
        <w:rPr>
          <w:b w:val="0"/>
        </w:rPr>
        <w:t>65</w:t>
      </w:r>
      <w:r w:rsidR="00DA6D89">
        <w:rPr>
          <w:b w:val="0"/>
        </w:rPr>
        <w:t xml:space="preserve"> years)</w:t>
      </w:r>
      <w:r>
        <w:rPr>
          <w:b w:val="0"/>
        </w:rPr>
        <w:t xml:space="preserve"> </w:t>
      </w:r>
      <w:r w:rsidR="009E26AA" w:rsidRPr="009E26AA">
        <w:rPr>
          <w:b w:val="0"/>
          <w:bCs/>
          <w:szCs w:val="24"/>
        </w:rPr>
        <w:t xml:space="preserve">who had participated in previous pharmacological </w:t>
      </w:r>
      <w:r w:rsidR="009E26AA">
        <w:rPr>
          <w:b w:val="0"/>
          <w:bCs/>
          <w:szCs w:val="24"/>
        </w:rPr>
        <w:t xml:space="preserve">and psychotherapeutic </w:t>
      </w:r>
      <w:r w:rsidR="009E26AA" w:rsidRPr="009E26AA">
        <w:rPr>
          <w:b w:val="0"/>
          <w:bCs/>
          <w:szCs w:val="24"/>
        </w:rPr>
        <w:t xml:space="preserve">clinical trials </w:t>
      </w:r>
      <w:r w:rsidR="009E26AA">
        <w:rPr>
          <w:b w:val="0"/>
          <w:bCs/>
          <w:szCs w:val="24"/>
        </w:rPr>
        <w:t xml:space="preserve">for </w:t>
      </w:r>
      <w:r w:rsidR="009E26AA" w:rsidRPr="009E26AA">
        <w:rPr>
          <w:b w:val="0"/>
          <w:bCs/>
          <w:szCs w:val="24"/>
        </w:rPr>
        <w:t>gambling disorder</w:t>
      </w:r>
      <w:r w:rsidR="009E26AA">
        <w:rPr>
          <w:b w:val="0"/>
          <w:bCs/>
          <w:szCs w:val="24"/>
        </w:rPr>
        <w:t xml:space="preserve"> were pooled in a secondary analysis</w:t>
      </w:r>
      <w:r w:rsidR="009E26AA" w:rsidRPr="009E26AA">
        <w:rPr>
          <w:b w:val="0"/>
          <w:bCs/>
          <w:szCs w:val="24"/>
        </w:rPr>
        <w:t xml:space="preserve">. Demographic and clinical variables were compared between those who did versus did not </w:t>
      </w:r>
      <w:r w:rsidR="009E26AA">
        <w:rPr>
          <w:b w:val="0"/>
          <w:bCs/>
          <w:szCs w:val="24"/>
        </w:rPr>
        <w:t xml:space="preserve">have </w:t>
      </w:r>
      <w:r w:rsidR="0047307A">
        <w:rPr>
          <w:b w:val="0"/>
          <w:bCs/>
          <w:szCs w:val="24"/>
        </w:rPr>
        <w:t>one or more</w:t>
      </w:r>
      <w:r w:rsidR="009E26AA">
        <w:rPr>
          <w:b w:val="0"/>
          <w:bCs/>
          <w:szCs w:val="24"/>
        </w:rPr>
        <w:t xml:space="preserve"> first-degree relative</w:t>
      </w:r>
      <w:r w:rsidR="0047307A">
        <w:rPr>
          <w:b w:val="0"/>
          <w:bCs/>
          <w:szCs w:val="24"/>
        </w:rPr>
        <w:t>(s)</w:t>
      </w:r>
      <w:r w:rsidR="009E26AA">
        <w:rPr>
          <w:b w:val="0"/>
          <w:bCs/>
          <w:szCs w:val="24"/>
        </w:rPr>
        <w:t xml:space="preserve"> with gambling disorder</w:t>
      </w:r>
      <w:r w:rsidRPr="009E26AA">
        <w:rPr>
          <w:b w:val="0"/>
          <w:bCs/>
        </w:rPr>
        <w:t>.</w:t>
      </w:r>
      <w:r>
        <w:rPr>
          <w:b w:val="0"/>
        </w:rPr>
        <w:t xml:space="preserve"> </w:t>
      </w:r>
      <w:r w:rsidR="009E26AA">
        <w:rPr>
          <w:b w:val="0"/>
        </w:rPr>
        <w:t xml:space="preserve">Additionally, we examined whether a family history of gambling disorder was associated with treatment outcome. </w:t>
      </w:r>
      <w:r w:rsidR="001E299E">
        <w:rPr>
          <w:b w:val="0"/>
        </w:rPr>
        <w:t xml:space="preserve"> </w:t>
      </w:r>
    </w:p>
    <w:p w14:paraId="24D7B515" w14:textId="32B49804" w:rsidR="00911478" w:rsidRDefault="007062BE">
      <w:pPr>
        <w:pStyle w:val="BodyText"/>
        <w:spacing w:line="480" w:lineRule="auto"/>
        <w:rPr>
          <w:b w:val="0"/>
        </w:rPr>
      </w:pPr>
      <w:r>
        <w:t>Results:</w:t>
      </w:r>
      <w:r>
        <w:rPr>
          <w:b w:val="0"/>
        </w:rPr>
        <w:t xml:space="preserve"> </w:t>
      </w:r>
      <w:r w:rsidR="009E26AA">
        <w:rPr>
          <w:b w:val="0"/>
        </w:rPr>
        <w:t>223</w:t>
      </w:r>
      <w:r w:rsidR="00B27DDF">
        <w:rPr>
          <w:b w:val="0"/>
        </w:rPr>
        <w:t xml:space="preserve"> (</w:t>
      </w:r>
      <w:r w:rsidR="009E26AA">
        <w:rPr>
          <w:b w:val="0"/>
        </w:rPr>
        <w:t>49.0</w:t>
      </w:r>
      <w:r w:rsidR="00B27DDF">
        <w:rPr>
          <w:b w:val="0"/>
        </w:rPr>
        <w:t xml:space="preserve">%) participants had </w:t>
      </w:r>
      <w:r w:rsidR="00315C82">
        <w:rPr>
          <w:b w:val="0"/>
        </w:rPr>
        <w:t>at least one</w:t>
      </w:r>
      <w:r w:rsidR="00B27DDF">
        <w:rPr>
          <w:b w:val="0"/>
        </w:rPr>
        <w:t xml:space="preserve"> </w:t>
      </w:r>
      <w:r w:rsidR="008A2AEA">
        <w:rPr>
          <w:b w:val="0"/>
        </w:rPr>
        <w:t>first-degree family member</w:t>
      </w:r>
      <w:r w:rsidR="0047307A">
        <w:rPr>
          <w:b w:val="0"/>
        </w:rPr>
        <w:t>(s)</w:t>
      </w:r>
      <w:r w:rsidR="008A2AEA">
        <w:rPr>
          <w:b w:val="0"/>
        </w:rPr>
        <w:t xml:space="preserve"> with </w:t>
      </w:r>
      <w:r w:rsidR="00E431B1">
        <w:rPr>
          <w:b w:val="0"/>
        </w:rPr>
        <w:t>gambling disorder</w:t>
      </w:r>
      <w:r w:rsidR="00B27DDF">
        <w:rPr>
          <w:b w:val="0"/>
        </w:rPr>
        <w:t xml:space="preserve">. </w:t>
      </w:r>
      <w:r w:rsidR="001627BA">
        <w:rPr>
          <w:b w:val="0"/>
        </w:rPr>
        <w:t xml:space="preserve">In terms of </w:t>
      </w:r>
      <w:r w:rsidR="008A2AEA">
        <w:rPr>
          <w:b w:val="0"/>
        </w:rPr>
        <w:t xml:space="preserve">clinical </w:t>
      </w:r>
      <w:r w:rsidR="00911478" w:rsidRPr="00911478">
        <w:rPr>
          <w:b w:val="0"/>
        </w:rPr>
        <w:t xml:space="preserve">variables, family history of </w:t>
      </w:r>
      <w:r w:rsidR="00E431B1">
        <w:rPr>
          <w:b w:val="0"/>
        </w:rPr>
        <w:t>gambling disorder</w:t>
      </w:r>
      <w:r w:rsidR="00911478" w:rsidRPr="00911478">
        <w:rPr>
          <w:b w:val="0"/>
        </w:rPr>
        <w:t xml:space="preserve"> was significantly associated with </w:t>
      </w:r>
      <w:r w:rsidR="00E431B1">
        <w:rPr>
          <w:b w:val="0"/>
        </w:rPr>
        <w:t xml:space="preserve">being female, having an earlier age of gambling onset, longer duration of untreated gambling </w:t>
      </w:r>
      <w:r w:rsidR="00E431B1" w:rsidRPr="008C176B">
        <w:rPr>
          <w:b w:val="0"/>
        </w:rPr>
        <w:t xml:space="preserve">illness, a greater likelihood of developing legal problems secondary to gambling, and </w:t>
      </w:r>
      <w:r w:rsidR="001E299E" w:rsidRPr="008C176B">
        <w:rPr>
          <w:b w:val="0"/>
        </w:rPr>
        <w:t>higher rat</w:t>
      </w:r>
      <w:r w:rsidR="001E299E">
        <w:rPr>
          <w:b w:val="0"/>
        </w:rPr>
        <w:t xml:space="preserve">es of </w:t>
      </w:r>
      <w:r w:rsidR="00E431B1">
        <w:rPr>
          <w:b w:val="0"/>
        </w:rPr>
        <w:t>alcohol use disorder in family members</w:t>
      </w:r>
      <w:r w:rsidR="001E299E">
        <w:rPr>
          <w:b w:val="0"/>
        </w:rPr>
        <w:t xml:space="preserve">. </w:t>
      </w:r>
      <w:r w:rsidR="00B6206D">
        <w:rPr>
          <w:b w:val="0"/>
        </w:rPr>
        <w:t xml:space="preserve">Family history of </w:t>
      </w:r>
      <w:r w:rsidR="00E431B1">
        <w:rPr>
          <w:b w:val="0"/>
        </w:rPr>
        <w:t>gambling disorder</w:t>
      </w:r>
      <w:r w:rsidR="00B6206D">
        <w:rPr>
          <w:b w:val="0"/>
        </w:rPr>
        <w:t xml:space="preserve"> was also associated with</w:t>
      </w:r>
      <w:r w:rsidR="00E431B1">
        <w:rPr>
          <w:b w:val="0"/>
        </w:rPr>
        <w:t xml:space="preserve"> a greater </w:t>
      </w:r>
      <w:r w:rsidR="000D1A5D">
        <w:rPr>
          <w:b w:val="0"/>
        </w:rPr>
        <w:t>gambling symptom improvement from pharmacotherapy</w:t>
      </w:r>
      <w:r w:rsidR="00E431B1">
        <w:rPr>
          <w:b w:val="0"/>
        </w:rPr>
        <w:t xml:space="preserve">. </w:t>
      </w:r>
      <w:r w:rsidR="00B6206D">
        <w:rPr>
          <w:b w:val="0"/>
        </w:rPr>
        <w:t xml:space="preserve"> </w:t>
      </w:r>
    </w:p>
    <w:p w14:paraId="024AA918" w14:textId="4CA45A25" w:rsidR="007062BE" w:rsidRDefault="007062BE" w:rsidP="00911478">
      <w:pPr>
        <w:pStyle w:val="BodyText"/>
        <w:spacing w:line="480" w:lineRule="auto"/>
        <w:rPr>
          <w:b w:val="0"/>
        </w:rPr>
      </w:pPr>
      <w:r>
        <w:t>Conclusions:</w:t>
      </w:r>
      <w:r>
        <w:rPr>
          <w:b w:val="0"/>
        </w:rPr>
        <w:t xml:space="preserve"> </w:t>
      </w:r>
      <w:r w:rsidRPr="00BC30F0">
        <w:rPr>
          <w:b w:val="0"/>
        </w:rPr>
        <w:t xml:space="preserve">These results indicate that </w:t>
      </w:r>
      <w:r w:rsidR="00917E55">
        <w:rPr>
          <w:b w:val="0"/>
        </w:rPr>
        <w:t>gamblers</w:t>
      </w:r>
      <w:r w:rsidRPr="00BC30F0">
        <w:rPr>
          <w:b w:val="0"/>
        </w:rPr>
        <w:t xml:space="preserve"> with a fi</w:t>
      </w:r>
      <w:r w:rsidR="00B27DDF">
        <w:rPr>
          <w:b w:val="0"/>
        </w:rPr>
        <w:t xml:space="preserve">rst-degree family member with a </w:t>
      </w:r>
      <w:r w:rsidR="00E431B1">
        <w:rPr>
          <w:b w:val="0"/>
        </w:rPr>
        <w:t>gambling disorder</w:t>
      </w:r>
      <w:r w:rsidR="00EC2B00">
        <w:rPr>
          <w:b w:val="0"/>
        </w:rPr>
        <w:t xml:space="preserve"> </w:t>
      </w:r>
      <w:r w:rsidRPr="00BC30F0">
        <w:rPr>
          <w:b w:val="0"/>
        </w:rPr>
        <w:t xml:space="preserve">may </w:t>
      </w:r>
      <w:r w:rsidR="000C17C1">
        <w:rPr>
          <w:b w:val="0"/>
        </w:rPr>
        <w:t xml:space="preserve">have </w:t>
      </w:r>
      <w:r w:rsidRPr="00BC30F0">
        <w:rPr>
          <w:b w:val="0"/>
        </w:rPr>
        <w:t>a unique clinical presentation</w:t>
      </w:r>
      <w:r w:rsidR="00E431B1">
        <w:rPr>
          <w:b w:val="0"/>
        </w:rPr>
        <w:t xml:space="preserve"> and better response to treatment interventions</w:t>
      </w:r>
      <w:r w:rsidRPr="00BC30F0">
        <w:rPr>
          <w:b w:val="0"/>
        </w:rPr>
        <w:t xml:space="preserve">. </w:t>
      </w:r>
    </w:p>
    <w:p w14:paraId="5E553535" w14:textId="7C45020A" w:rsidR="007062BE" w:rsidRDefault="007062BE" w:rsidP="007062BE">
      <w:pPr>
        <w:pStyle w:val="BodyText"/>
        <w:spacing w:line="480" w:lineRule="auto"/>
        <w:rPr>
          <w:b w:val="0"/>
        </w:rPr>
      </w:pPr>
      <w:r>
        <w:t>Key Words</w:t>
      </w:r>
      <w:r>
        <w:rPr>
          <w:b w:val="0"/>
        </w:rPr>
        <w:t>: family history</w:t>
      </w:r>
      <w:r w:rsidR="00911478">
        <w:rPr>
          <w:b w:val="0"/>
        </w:rPr>
        <w:t xml:space="preserve">; </w:t>
      </w:r>
      <w:r w:rsidR="00E431B1">
        <w:rPr>
          <w:b w:val="0"/>
        </w:rPr>
        <w:t>gambling</w:t>
      </w:r>
      <w:r w:rsidR="00911478">
        <w:rPr>
          <w:b w:val="0"/>
        </w:rPr>
        <w:t>; addiction;</w:t>
      </w:r>
      <w:r>
        <w:rPr>
          <w:b w:val="0"/>
        </w:rPr>
        <w:t xml:space="preserve"> </w:t>
      </w:r>
      <w:r w:rsidR="00E431B1">
        <w:rPr>
          <w:b w:val="0"/>
        </w:rPr>
        <w:t>treatment</w:t>
      </w:r>
    </w:p>
    <w:p w14:paraId="05E715AE" w14:textId="77777777" w:rsidR="007062BE" w:rsidRPr="00313326" w:rsidRDefault="007062BE" w:rsidP="007062BE">
      <w:pPr>
        <w:spacing w:line="480" w:lineRule="auto"/>
        <w:rPr>
          <w:b/>
          <w:sz w:val="24"/>
          <w:szCs w:val="24"/>
        </w:rPr>
      </w:pPr>
      <w:r>
        <w:br w:type="page"/>
      </w:r>
      <w:r w:rsidRPr="00313326">
        <w:rPr>
          <w:b/>
          <w:sz w:val="24"/>
          <w:szCs w:val="24"/>
        </w:rPr>
        <w:lastRenderedPageBreak/>
        <w:t>Introduction</w:t>
      </w:r>
    </w:p>
    <w:p w14:paraId="18DF644C" w14:textId="61D99A54" w:rsidR="004E6E1F" w:rsidRDefault="00E431B1" w:rsidP="00976D63">
      <w:pPr>
        <w:autoSpaceDE w:val="0"/>
        <w:autoSpaceDN w:val="0"/>
        <w:adjustRightInd w:val="0"/>
        <w:spacing w:line="480" w:lineRule="auto"/>
        <w:rPr>
          <w:sz w:val="24"/>
          <w:szCs w:val="24"/>
        </w:rPr>
      </w:pPr>
      <w:r w:rsidRPr="00976D63">
        <w:rPr>
          <w:sz w:val="24"/>
          <w:szCs w:val="24"/>
        </w:rPr>
        <w:t xml:space="preserve">Gambling disorder is a </w:t>
      </w:r>
      <w:r w:rsidR="00C8493F" w:rsidRPr="00976D63">
        <w:rPr>
          <w:sz w:val="24"/>
          <w:szCs w:val="24"/>
        </w:rPr>
        <w:t xml:space="preserve">psychiatric </w:t>
      </w:r>
      <w:r w:rsidRPr="00976D63">
        <w:rPr>
          <w:sz w:val="24"/>
          <w:szCs w:val="24"/>
        </w:rPr>
        <w:t xml:space="preserve">disorder </w:t>
      </w:r>
      <w:r w:rsidR="00C8493F" w:rsidRPr="00976D63">
        <w:rPr>
          <w:sz w:val="24"/>
          <w:szCs w:val="24"/>
        </w:rPr>
        <w:t xml:space="preserve">with a current global </w:t>
      </w:r>
      <w:r w:rsidR="004E6E1F" w:rsidRPr="00976D63">
        <w:rPr>
          <w:sz w:val="24"/>
          <w:szCs w:val="24"/>
        </w:rPr>
        <w:t>prevalence</w:t>
      </w:r>
      <w:r w:rsidR="00C8493F" w:rsidRPr="00976D63">
        <w:rPr>
          <w:sz w:val="24"/>
          <w:szCs w:val="24"/>
        </w:rPr>
        <w:t xml:space="preserve"> of</w:t>
      </w:r>
      <w:r w:rsidRPr="00976D63">
        <w:rPr>
          <w:sz w:val="24"/>
          <w:szCs w:val="24"/>
        </w:rPr>
        <w:t xml:space="preserve"> 0.4-2% and is associated with impaired </w:t>
      </w:r>
      <w:r w:rsidR="00C8493F" w:rsidRPr="00976D63">
        <w:rPr>
          <w:sz w:val="24"/>
          <w:szCs w:val="24"/>
        </w:rPr>
        <w:t xml:space="preserve">psychosocial </w:t>
      </w:r>
      <w:r w:rsidRPr="00976D63">
        <w:rPr>
          <w:sz w:val="24"/>
          <w:szCs w:val="24"/>
        </w:rPr>
        <w:t xml:space="preserve">functioning, reduced quality of life, </w:t>
      </w:r>
      <w:r w:rsidR="00C8493F" w:rsidRPr="00976D63">
        <w:rPr>
          <w:sz w:val="24"/>
          <w:szCs w:val="24"/>
        </w:rPr>
        <w:t>financial problems, and</w:t>
      </w:r>
      <w:r w:rsidRPr="00976D63">
        <w:rPr>
          <w:sz w:val="24"/>
          <w:szCs w:val="24"/>
        </w:rPr>
        <w:t xml:space="preserve"> suicidality</w:t>
      </w:r>
      <w:r w:rsidR="00C8493F" w:rsidRPr="00976D63">
        <w:rPr>
          <w:sz w:val="24"/>
          <w:szCs w:val="24"/>
        </w:rPr>
        <w:t xml:space="preserve"> (Hodgins et al., 2011</w:t>
      </w:r>
      <w:r w:rsidR="00A45D0C" w:rsidRPr="00976D63">
        <w:rPr>
          <w:sz w:val="24"/>
          <w:szCs w:val="24"/>
        </w:rPr>
        <w:t>; Potenza et al., 2019</w:t>
      </w:r>
      <w:r w:rsidR="00C8493F" w:rsidRPr="00976D63">
        <w:rPr>
          <w:sz w:val="24"/>
          <w:szCs w:val="24"/>
        </w:rPr>
        <w:t>).  Family h</w:t>
      </w:r>
      <w:r w:rsidR="00172D6B">
        <w:rPr>
          <w:sz w:val="24"/>
          <w:szCs w:val="24"/>
        </w:rPr>
        <w:t xml:space="preserve">istory </w:t>
      </w:r>
      <w:r w:rsidR="00C8493F">
        <w:rPr>
          <w:sz w:val="24"/>
          <w:szCs w:val="24"/>
        </w:rPr>
        <w:t>is a routine part of a clinical assessment of gambling disorder, as it is with all psychiatric conditions, but the utility of the assessment in the case of gambling disorder remains unclear.  In the related condition of alcohol</w:t>
      </w:r>
      <w:r w:rsidR="000C17C1">
        <w:rPr>
          <w:sz w:val="24"/>
          <w:szCs w:val="24"/>
        </w:rPr>
        <w:t xml:space="preserve"> use disorder</w:t>
      </w:r>
      <w:r w:rsidR="00C8493F">
        <w:rPr>
          <w:sz w:val="24"/>
          <w:szCs w:val="24"/>
        </w:rPr>
        <w:t xml:space="preserve">, </w:t>
      </w:r>
      <w:r w:rsidR="00172D6B">
        <w:rPr>
          <w:sz w:val="24"/>
          <w:szCs w:val="24"/>
        </w:rPr>
        <w:t xml:space="preserve">family history of </w:t>
      </w:r>
      <w:r w:rsidR="00C8493F">
        <w:rPr>
          <w:sz w:val="24"/>
          <w:szCs w:val="24"/>
        </w:rPr>
        <w:t>alcoholism</w:t>
      </w:r>
      <w:r w:rsidR="00172D6B">
        <w:rPr>
          <w:sz w:val="24"/>
          <w:szCs w:val="24"/>
        </w:rPr>
        <w:t xml:space="preserve"> </w:t>
      </w:r>
      <w:r w:rsidR="00C8493F">
        <w:rPr>
          <w:sz w:val="24"/>
          <w:szCs w:val="24"/>
        </w:rPr>
        <w:t xml:space="preserve">has helped identify </w:t>
      </w:r>
      <w:r w:rsidR="000C17C1">
        <w:rPr>
          <w:sz w:val="24"/>
          <w:szCs w:val="24"/>
        </w:rPr>
        <w:t xml:space="preserve">predictive </w:t>
      </w:r>
      <w:r w:rsidR="00172D6B">
        <w:rPr>
          <w:sz w:val="24"/>
          <w:szCs w:val="24"/>
        </w:rPr>
        <w:t>factors that may or may not result in treatment differences (</w:t>
      </w:r>
      <w:r w:rsidR="007361EC">
        <w:rPr>
          <w:sz w:val="24"/>
          <w:szCs w:val="24"/>
        </w:rPr>
        <w:t>Drake et al., 1995</w:t>
      </w:r>
      <w:r w:rsidR="000B5D96">
        <w:rPr>
          <w:sz w:val="24"/>
          <w:szCs w:val="24"/>
        </w:rPr>
        <w:t xml:space="preserve">; </w:t>
      </w:r>
      <w:r w:rsidR="00A45D0C">
        <w:rPr>
          <w:sz w:val="24"/>
          <w:szCs w:val="24"/>
        </w:rPr>
        <w:t xml:space="preserve">Garbutt et al., </w:t>
      </w:r>
      <w:r w:rsidR="00A45D0C" w:rsidRPr="0045077E">
        <w:rPr>
          <w:sz w:val="24"/>
          <w:szCs w:val="24"/>
        </w:rPr>
        <w:t xml:space="preserve">2014; </w:t>
      </w:r>
      <w:r w:rsidR="000B5D96" w:rsidRPr="0045077E">
        <w:rPr>
          <w:sz w:val="24"/>
          <w:szCs w:val="24"/>
        </w:rPr>
        <w:t>Hashimoto et al., 2022; Conlin et al., 2023</w:t>
      </w:r>
      <w:r w:rsidR="00172D6B" w:rsidRPr="0045077E">
        <w:rPr>
          <w:sz w:val="24"/>
          <w:szCs w:val="24"/>
        </w:rPr>
        <w:t>)</w:t>
      </w:r>
      <w:r w:rsidR="00C8493F" w:rsidRPr="0045077E">
        <w:rPr>
          <w:sz w:val="24"/>
          <w:szCs w:val="24"/>
        </w:rPr>
        <w:t>. In the case of gambling disorder, a f</w:t>
      </w:r>
      <w:r w:rsidRPr="0045077E">
        <w:rPr>
          <w:sz w:val="24"/>
          <w:szCs w:val="24"/>
        </w:rPr>
        <w:t xml:space="preserve">amily history of problem gambling </w:t>
      </w:r>
      <w:r w:rsidR="00C8493F" w:rsidRPr="0045077E">
        <w:rPr>
          <w:sz w:val="24"/>
          <w:szCs w:val="24"/>
        </w:rPr>
        <w:t xml:space="preserve">has been </w:t>
      </w:r>
      <w:r w:rsidRPr="0045077E">
        <w:rPr>
          <w:sz w:val="24"/>
          <w:szCs w:val="24"/>
        </w:rPr>
        <w:t>associated with greater awareness of a person’s gambling problems (</w:t>
      </w:r>
      <w:r w:rsidR="00876863" w:rsidRPr="0045077E">
        <w:rPr>
          <w:sz w:val="24"/>
          <w:szCs w:val="24"/>
        </w:rPr>
        <w:t>G</w:t>
      </w:r>
      <w:r w:rsidRPr="0045077E">
        <w:rPr>
          <w:sz w:val="24"/>
          <w:szCs w:val="24"/>
        </w:rPr>
        <w:t>ooding et al., 2023)</w:t>
      </w:r>
      <w:r w:rsidR="00445464" w:rsidRPr="0045077E">
        <w:rPr>
          <w:sz w:val="24"/>
          <w:szCs w:val="24"/>
        </w:rPr>
        <w:t xml:space="preserve">, </w:t>
      </w:r>
      <w:r w:rsidR="00876863" w:rsidRPr="0045077E">
        <w:rPr>
          <w:sz w:val="24"/>
          <w:szCs w:val="24"/>
        </w:rPr>
        <w:t>perhaps the type of gambling that a gambling disordered person prefers (Sharman et al., 2019)</w:t>
      </w:r>
      <w:r w:rsidR="00445464" w:rsidRPr="0045077E">
        <w:rPr>
          <w:sz w:val="24"/>
          <w:szCs w:val="24"/>
        </w:rPr>
        <w:t>, and parental separation/divorce and financial hardship (Dowling et al., 2021)</w:t>
      </w:r>
      <w:r w:rsidR="00876863" w:rsidRPr="0045077E">
        <w:rPr>
          <w:sz w:val="24"/>
          <w:szCs w:val="24"/>
        </w:rPr>
        <w:t>.</w:t>
      </w:r>
      <w:r w:rsidR="00C8493F" w:rsidRPr="0045077E">
        <w:rPr>
          <w:sz w:val="24"/>
          <w:szCs w:val="24"/>
        </w:rPr>
        <w:t xml:space="preserve"> </w:t>
      </w:r>
      <w:r w:rsidR="00105C4D" w:rsidRPr="0045077E">
        <w:rPr>
          <w:sz w:val="24"/>
          <w:szCs w:val="24"/>
        </w:rPr>
        <w:t xml:space="preserve"> That has been the extent, however, of the examination of </w:t>
      </w:r>
      <w:r w:rsidR="004E6E1F" w:rsidRPr="0045077E">
        <w:rPr>
          <w:sz w:val="24"/>
          <w:szCs w:val="24"/>
        </w:rPr>
        <w:t xml:space="preserve">family history of gambling disorder in people with this condition. </w:t>
      </w:r>
      <w:r w:rsidR="0045077E">
        <w:rPr>
          <w:sz w:val="24"/>
          <w:szCs w:val="24"/>
        </w:rPr>
        <w:t xml:space="preserve"> Un</w:t>
      </w:r>
      <w:r w:rsidR="007062BE" w:rsidRPr="0045077E">
        <w:rPr>
          <w:sz w:val="24"/>
          <w:szCs w:val="24"/>
        </w:rPr>
        <w:t xml:space="preserve">derstanding </w:t>
      </w:r>
      <w:r w:rsidR="00D1109E" w:rsidRPr="0045077E">
        <w:rPr>
          <w:sz w:val="24"/>
          <w:szCs w:val="24"/>
        </w:rPr>
        <w:t>differences</w:t>
      </w:r>
      <w:r w:rsidR="007062BE" w:rsidRPr="0045077E">
        <w:rPr>
          <w:sz w:val="24"/>
          <w:szCs w:val="24"/>
        </w:rPr>
        <w:t xml:space="preserve"> between </w:t>
      </w:r>
      <w:r w:rsidR="00D1109E" w:rsidRPr="0045077E">
        <w:rPr>
          <w:sz w:val="24"/>
          <w:szCs w:val="24"/>
        </w:rPr>
        <w:t xml:space="preserve">gambling </w:t>
      </w:r>
      <w:r w:rsidR="007062BE" w:rsidRPr="0045077E">
        <w:rPr>
          <w:sz w:val="24"/>
          <w:szCs w:val="24"/>
        </w:rPr>
        <w:t xml:space="preserve">individuals with </w:t>
      </w:r>
      <w:r w:rsidR="00172D6B" w:rsidRPr="0045077E">
        <w:rPr>
          <w:sz w:val="24"/>
          <w:szCs w:val="24"/>
        </w:rPr>
        <w:t xml:space="preserve">positive and negative family histories of </w:t>
      </w:r>
      <w:r w:rsidR="00105C4D" w:rsidRPr="0045077E">
        <w:rPr>
          <w:sz w:val="24"/>
          <w:szCs w:val="24"/>
        </w:rPr>
        <w:t>gambling disorder</w:t>
      </w:r>
      <w:r w:rsidR="007062BE" w:rsidRPr="0045077E">
        <w:rPr>
          <w:sz w:val="24"/>
          <w:szCs w:val="24"/>
        </w:rPr>
        <w:t xml:space="preserve"> may be important </w:t>
      </w:r>
      <w:proofErr w:type="gramStart"/>
      <w:r w:rsidR="007062BE" w:rsidRPr="0045077E">
        <w:rPr>
          <w:sz w:val="24"/>
          <w:szCs w:val="24"/>
        </w:rPr>
        <w:t>in order to</w:t>
      </w:r>
      <w:proofErr w:type="gramEnd"/>
      <w:r w:rsidR="007062BE" w:rsidRPr="0045077E">
        <w:rPr>
          <w:sz w:val="24"/>
          <w:szCs w:val="24"/>
        </w:rPr>
        <w:t xml:space="preserve"> identify potentially clinical</w:t>
      </w:r>
      <w:r w:rsidR="005F1822" w:rsidRPr="0045077E">
        <w:rPr>
          <w:sz w:val="24"/>
          <w:szCs w:val="24"/>
        </w:rPr>
        <w:t xml:space="preserve"> </w:t>
      </w:r>
      <w:r w:rsidR="007062BE" w:rsidRPr="0045077E">
        <w:rPr>
          <w:sz w:val="24"/>
          <w:szCs w:val="24"/>
        </w:rPr>
        <w:t>subtypes</w:t>
      </w:r>
      <w:r w:rsidR="00105C4D" w:rsidRPr="0045077E">
        <w:rPr>
          <w:sz w:val="24"/>
          <w:szCs w:val="24"/>
        </w:rPr>
        <w:t xml:space="preserve"> and </w:t>
      </w:r>
      <w:r w:rsidR="007062BE" w:rsidRPr="0045077E">
        <w:rPr>
          <w:sz w:val="24"/>
          <w:szCs w:val="24"/>
        </w:rPr>
        <w:t xml:space="preserve">improve </w:t>
      </w:r>
      <w:r w:rsidR="00105C4D" w:rsidRPr="0045077E">
        <w:rPr>
          <w:sz w:val="24"/>
          <w:szCs w:val="24"/>
        </w:rPr>
        <w:t>treatment outcomes</w:t>
      </w:r>
      <w:r w:rsidR="007062BE" w:rsidRPr="0045077E">
        <w:rPr>
          <w:sz w:val="24"/>
          <w:szCs w:val="24"/>
        </w:rPr>
        <w:t xml:space="preserve">. </w:t>
      </w:r>
      <w:r w:rsidR="004E6E1F" w:rsidRPr="0045077E">
        <w:rPr>
          <w:sz w:val="24"/>
          <w:szCs w:val="24"/>
        </w:rPr>
        <w:t xml:space="preserve">Family history has found to be important in other areas of mental ill health. For example, </w:t>
      </w:r>
      <w:r w:rsidR="007151BD" w:rsidRPr="0045077E">
        <w:rPr>
          <w:sz w:val="24"/>
          <w:szCs w:val="24"/>
        </w:rPr>
        <w:t xml:space="preserve">in the 1970s </w:t>
      </w:r>
      <w:r w:rsidR="00105C4D" w:rsidRPr="0045077E">
        <w:rPr>
          <w:sz w:val="24"/>
          <w:szCs w:val="24"/>
        </w:rPr>
        <w:t>George Winokur found that people with positive family histories of major depressive disorder (i.e. a familial subtype of depression</w:t>
      </w:r>
      <w:r w:rsidR="007151BD" w:rsidRPr="0045077E">
        <w:rPr>
          <w:sz w:val="24"/>
          <w:szCs w:val="24"/>
        </w:rPr>
        <w:t>)</w:t>
      </w:r>
      <w:r w:rsidR="00105C4D" w:rsidRPr="0045077E">
        <w:rPr>
          <w:sz w:val="24"/>
          <w:szCs w:val="24"/>
        </w:rPr>
        <w:t xml:space="preserve"> responded better to tricyclic antidepressants and </w:t>
      </w:r>
      <w:r w:rsidR="004E6E1F" w:rsidRPr="0045077E">
        <w:rPr>
          <w:sz w:val="24"/>
          <w:szCs w:val="24"/>
        </w:rPr>
        <w:t>electroconvulsive therapy (</w:t>
      </w:r>
      <w:r w:rsidR="00105C4D" w:rsidRPr="0045077E">
        <w:rPr>
          <w:sz w:val="24"/>
          <w:szCs w:val="24"/>
        </w:rPr>
        <w:t>ECT</w:t>
      </w:r>
      <w:r w:rsidR="004E6E1F" w:rsidRPr="0045077E">
        <w:rPr>
          <w:sz w:val="24"/>
          <w:szCs w:val="24"/>
        </w:rPr>
        <w:t>)</w:t>
      </w:r>
      <w:r w:rsidR="00105C4D" w:rsidRPr="0045077E">
        <w:rPr>
          <w:sz w:val="24"/>
          <w:szCs w:val="24"/>
        </w:rPr>
        <w:t xml:space="preserve"> than those with negative family histories</w:t>
      </w:r>
      <w:r w:rsidR="00445464" w:rsidRPr="0045077E">
        <w:rPr>
          <w:sz w:val="24"/>
          <w:szCs w:val="24"/>
        </w:rPr>
        <w:t xml:space="preserve"> (a finding later supported by other researchers as well)</w:t>
      </w:r>
      <w:r w:rsidR="00105C4D" w:rsidRPr="0045077E">
        <w:rPr>
          <w:sz w:val="24"/>
          <w:szCs w:val="24"/>
        </w:rPr>
        <w:t xml:space="preserve"> (Winokur, 1976</w:t>
      </w:r>
      <w:r w:rsidR="00445464" w:rsidRPr="0045077E">
        <w:rPr>
          <w:sz w:val="24"/>
          <w:szCs w:val="24"/>
        </w:rPr>
        <w:t>; Lundin et al., 2024</w:t>
      </w:r>
      <w:r w:rsidR="00105C4D" w:rsidRPr="0045077E">
        <w:rPr>
          <w:sz w:val="24"/>
          <w:szCs w:val="24"/>
        </w:rPr>
        <w:t xml:space="preserve">). </w:t>
      </w:r>
      <w:r w:rsidR="00445464" w:rsidRPr="0045077E">
        <w:rPr>
          <w:sz w:val="24"/>
          <w:szCs w:val="24"/>
        </w:rPr>
        <w:t>In the case of major depressive disorder, a positive family history</w:t>
      </w:r>
      <w:r w:rsidR="00D10DCB">
        <w:rPr>
          <w:sz w:val="24"/>
          <w:szCs w:val="24"/>
        </w:rPr>
        <w:t xml:space="preserve"> of depression</w:t>
      </w:r>
      <w:r w:rsidR="00445464" w:rsidRPr="0045077E">
        <w:rPr>
          <w:sz w:val="24"/>
          <w:szCs w:val="24"/>
        </w:rPr>
        <w:t xml:space="preserve"> has also been found to predict treatment to </w:t>
      </w:r>
      <w:r w:rsidR="0045077E" w:rsidRPr="0045077E">
        <w:rPr>
          <w:sz w:val="24"/>
          <w:szCs w:val="24"/>
        </w:rPr>
        <w:t>sertraline in primary care patients</w:t>
      </w:r>
      <w:r w:rsidR="00445464" w:rsidRPr="0045077E">
        <w:rPr>
          <w:sz w:val="24"/>
          <w:szCs w:val="24"/>
        </w:rPr>
        <w:t xml:space="preserve"> (Archer et al., 2024). </w:t>
      </w:r>
      <w:r w:rsidR="00105C4D" w:rsidRPr="0045077E">
        <w:rPr>
          <w:sz w:val="24"/>
          <w:szCs w:val="24"/>
        </w:rPr>
        <w:t xml:space="preserve"> </w:t>
      </w:r>
      <w:r w:rsidR="007151BD" w:rsidRPr="0045077E">
        <w:rPr>
          <w:sz w:val="24"/>
          <w:szCs w:val="24"/>
        </w:rPr>
        <w:t xml:space="preserve">A similar finding of improved treatment response to </w:t>
      </w:r>
      <w:r w:rsidR="004E6E1F" w:rsidRPr="0045077E">
        <w:rPr>
          <w:sz w:val="24"/>
          <w:szCs w:val="24"/>
        </w:rPr>
        <w:t xml:space="preserve">selective </w:t>
      </w:r>
      <w:r w:rsidR="004E6E1F" w:rsidRPr="0045077E">
        <w:rPr>
          <w:sz w:val="24"/>
          <w:szCs w:val="24"/>
        </w:rPr>
        <w:lastRenderedPageBreak/>
        <w:t>serotonin reuptake inhibitors (</w:t>
      </w:r>
      <w:r w:rsidR="007151BD" w:rsidRPr="0045077E">
        <w:rPr>
          <w:sz w:val="24"/>
          <w:szCs w:val="24"/>
        </w:rPr>
        <w:t>SSRIs</w:t>
      </w:r>
      <w:r w:rsidR="004E6E1F" w:rsidRPr="0045077E">
        <w:rPr>
          <w:sz w:val="24"/>
          <w:szCs w:val="24"/>
        </w:rPr>
        <w:t>)</w:t>
      </w:r>
      <w:r w:rsidR="007151BD" w:rsidRPr="0045077E">
        <w:rPr>
          <w:sz w:val="24"/>
          <w:szCs w:val="24"/>
        </w:rPr>
        <w:t xml:space="preserve"> was reported in adults with OCD who had a first-degree relative with OCD</w:t>
      </w:r>
      <w:r w:rsidR="004E6E1F" w:rsidRPr="0045077E">
        <w:rPr>
          <w:sz w:val="24"/>
          <w:szCs w:val="24"/>
        </w:rPr>
        <w:t xml:space="preserve"> as compared to those without such a family history</w:t>
      </w:r>
      <w:r w:rsidR="007151BD" w:rsidRPr="0045077E">
        <w:rPr>
          <w:sz w:val="24"/>
          <w:szCs w:val="24"/>
        </w:rPr>
        <w:t xml:space="preserve"> (</w:t>
      </w:r>
      <w:proofErr w:type="spellStart"/>
      <w:r w:rsidR="007151BD" w:rsidRPr="0045077E">
        <w:rPr>
          <w:sz w:val="24"/>
          <w:szCs w:val="24"/>
        </w:rPr>
        <w:t>Erzegovesi</w:t>
      </w:r>
      <w:proofErr w:type="spellEnd"/>
      <w:r w:rsidR="007151BD" w:rsidRPr="0045077E">
        <w:rPr>
          <w:sz w:val="24"/>
          <w:szCs w:val="24"/>
        </w:rPr>
        <w:t xml:space="preserve"> et al., 2001). </w:t>
      </w:r>
      <w:r w:rsidR="0045077E" w:rsidRPr="0045077E">
        <w:rPr>
          <w:sz w:val="24"/>
          <w:szCs w:val="24"/>
        </w:rPr>
        <w:t xml:space="preserve"> </w:t>
      </w:r>
      <w:r w:rsidR="0045077E" w:rsidRPr="00FF2F9F">
        <w:rPr>
          <w:sz w:val="24"/>
          <w:szCs w:val="24"/>
        </w:rPr>
        <w:t xml:space="preserve">Additionally, </w:t>
      </w:r>
      <w:r w:rsidR="0045077E" w:rsidRPr="00976D63">
        <w:rPr>
          <w:sz w:val="24"/>
          <w:szCs w:val="24"/>
        </w:rPr>
        <w:t xml:space="preserve">Garbutt and colleagues (2014) systematically reviewed 622 studies </w:t>
      </w:r>
      <w:proofErr w:type="gramStart"/>
      <w:r w:rsidR="0045077E" w:rsidRPr="00976D63">
        <w:rPr>
          <w:sz w:val="24"/>
          <w:szCs w:val="24"/>
        </w:rPr>
        <w:t>in an effort to</w:t>
      </w:r>
      <w:proofErr w:type="gramEnd"/>
      <w:r w:rsidR="0045077E" w:rsidRPr="00976D63">
        <w:rPr>
          <w:sz w:val="24"/>
          <w:szCs w:val="24"/>
        </w:rPr>
        <w:t xml:space="preserve"> understand</w:t>
      </w:r>
      <w:r w:rsidR="00FF2F9F" w:rsidRPr="00976D63">
        <w:rPr>
          <w:sz w:val="24"/>
          <w:szCs w:val="24"/>
        </w:rPr>
        <w:t xml:space="preserve"> variables that predicted treatment to naltrexone in alcohol use disorder. They found some evidence f</w:t>
      </w:r>
      <w:r w:rsidR="0045077E" w:rsidRPr="00976D63">
        <w:rPr>
          <w:sz w:val="24"/>
          <w:szCs w:val="24"/>
        </w:rPr>
        <w:t xml:space="preserve">or a family history of </w:t>
      </w:r>
      <w:r w:rsidR="00FF2F9F" w:rsidRPr="00976D63">
        <w:rPr>
          <w:sz w:val="24"/>
          <w:szCs w:val="24"/>
        </w:rPr>
        <w:t>alcohol problems, and</w:t>
      </w:r>
      <w:r w:rsidR="00FF2F9F" w:rsidRPr="00976D63">
        <w:rPr>
          <w:color w:val="212121"/>
          <w:sz w:val="24"/>
          <w:szCs w:val="24"/>
          <w:shd w:val="clear" w:color="auto" w:fill="FFFFFF"/>
        </w:rPr>
        <w:t xml:space="preserve"> a polymorphism of the μ-opioid receptor gene, with efficacy of naltrexone.</w:t>
      </w:r>
      <w:r w:rsidR="00FF2F9F">
        <w:rPr>
          <w:rFonts w:ascii="Segoe UI" w:hAnsi="Segoe UI" w:cs="Segoe UI"/>
          <w:color w:val="212121"/>
          <w:shd w:val="clear" w:color="auto" w:fill="FFFFFF"/>
        </w:rPr>
        <w:t> </w:t>
      </w:r>
    </w:p>
    <w:p w14:paraId="5E07209A" w14:textId="3347BC8E" w:rsidR="004E6E1F" w:rsidRDefault="007062BE" w:rsidP="00EA666B">
      <w:pPr>
        <w:autoSpaceDE w:val="0"/>
        <w:autoSpaceDN w:val="0"/>
        <w:adjustRightInd w:val="0"/>
        <w:spacing w:line="480" w:lineRule="auto"/>
        <w:ind w:firstLine="720"/>
        <w:rPr>
          <w:sz w:val="24"/>
          <w:szCs w:val="24"/>
        </w:rPr>
      </w:pPr>
      <w:r w:rsidRPr="003E55E0">
        <w:rPr>
          <w:sz w:val="24"/>
          <w:szCs w:val="24"/>
        </w:rPr>
        <w:t xml:space="preserve">The purpose of this study </w:t>
      </w:r>
      <w:r w:rsidR="00D1109E">
        <w:rPr>
          <w:sz w:val="24"/>
          <w:szCs w:val="24"/>
        </w:rPr>
        <w:t>was to</w:t>
      </w:r>
      <w:r w:rsidRPr="003E55E0">
        <w:rPr>
          <w:sz w:val="24"/>
          <w:szCs w:val="24"/>
        </w:rPr>
        <w:t xml:space="preserve"> investigate </w:t>
      </w:r>
      <w:r w:rsidR="004E6E1F">
        <w:rPr>
          <w:sz w:val="24"/>
          <w:szCs w:val="24"/>
        </w:rPr>
        <w:t xml:space="preserve">whether family history of gambling disorder affects the clinical presentation of gambling disorder, and its response to treatment. As such we sought to explore the potential value of a clinical subtype of gambling disorder linked to positive family history. </w:t>
      </w:r>
    </w:p>
    <w:p w14:paraId="2185D941" w14:textId="77777777" w:rsidR="007062BE" w:rsidRDefault="007062BE" w:rsidP="007062BE">
      <w:pPr>
        <w:spacing w:line="480" w:lineRule="auto"/>
        <w:rPr>
          <w:b/>
          <w:sz w:val="24"/>
          <w:szCs w:val="24"/>
        </w:rPr>
      </w:pPr>
    </w:p>
    <w:p w14:paraId="26EC4BDC" w14:textId="77777777" w:rsidR="007062BE" w:rsidRPr="008E1396" w:rsidRDefault="007062BE" w:rsidP="007062BE">
      <w:pPr>
        <w:spacing w:line="480" w:lineRule="auto"/>
        <w:rPr>
          <w:b/>
          <w:sz w:val="24"/>
          <w:szCs w:val="24"/>
        </w:rPr>
      </w:pPr>
      <w:r w:rsidRPr="008E1396">
        <w:rPr>
          <w:b/>
          <w:sz w:val="24"/>
          <w:szCs w:val="24"/>
        </w:rPr>
        <w:t>Methods</w:t>
      </w:r>
    </w:p>
    <w:p w14:paraId="52270812" w14:textId="0A4FD3A5" w:rsidR="007062BE" w:rsidRPr="008E1396" w:rsidRDefault="00E66ACE" w:rsidP="007062BE">
      <w:pPr>
        <w:spacing w:line="480" w:lineRule="auto"/>
        <w:rPr>
          <w:b/>
          <w:sz w:val="24"/>
          <w:szCs w:val="24"/>
        </w:rPr>
      </w:pPr>
      <w:r>
        <w:rPr>
          <w:b/>
          <w:i/>
          <w:sz w:val="24"/>
          <w:szCs w:val="24"/>
        </w:rPr>
        <w:t>Participants</w:t>
      </w:r>
    </w:p>
    <w:p w14:paraId="04E6DFB9" w14:textId="3CFF538D" w:rsidR="00E66ACE" w:rsidRPr="00E66ACE" w:rsidRDefault="00E66ACE" w:rsidP="00E66ACE">
      <w:pPr>
        <w:spacing w:line="480" w:lineRule="auto"/>
        <w:ind w:firstLine="720"/>
        <w:contextualSpacing/>
        <w:rPr>
          <w:rFonts w:eastAsiaTheme="minorHAnsi"/>
          <w:sz w:val="24"/>
          <w:szCs w:val="24"/>
        </w:rPr>
      </w:pPr>
      <w:r w:rsidRPr="00E66ACE">
        <w:rPr>
          <w:rFonts w:eastAsiaTheme="minorHAnsi"/>
          <w:sz w:val="24"/>
          <w:szCs w:val="24"/>
        </w:rPr>
        <w:t>Data were aggregated from participants who attended clinical trials at the University of Chicago and the University of Minnesota, USA, led by one of the authors (JEG)</w:t>
      </w:r>
      <w:r w:rsidR="00C4211F">
        <w:rPr>
          <w:rFonts w:eastAsiaTheme="minorHAnsi"/>
          <w:sz w:val="24"/>
          <w:szCs w:val="24"/>
        </w:rPr>
        <w:t xml:space="preserve"> (see Supplemental file)</w:t>
      </w:r>
      <w:r w:rsidRPr="00E66ACE">
        <w:rPr>
          <w:rFonts w:eastAsiaTheme="minorHAnsi"/>
          <w:sz w:val="24"/>
          <w:szCs w:val="24"/>
        </w:rPr>
        <w:t xml:space="preserve">. </w:t>
      </w:r>
      <w:r>
        <w:rPr>
          <w:rFonts w:eastAsiaTheme="minorHAnsi"/>
          <w:sz w:val="24"/>
          <w:szCs w:val="24"/>
        </w:rPr>
        <w:t xml:space="preserve"> </w:t>
      </w:r>
      <w:r w:rsidRPr="00E66ACE">
        <w:rPr>
          <w:rFonts w:eastAsiaTheme="minorHAnsi"/>
          <w:sz w:val="24"/>
          <w:szCs w:val="24"/>
        </w:rPr>
        <w:t>All diagnoses of gambling disorder were made by an experienced board-certified psychiatrist, using the criteria set forth by the 4</w:t>
      </w:r>
      <w:r w:rsidRPr="00E66ACE">
        <w:rPr>
          <w:rFonts w:eastAsiaTheme="minorHAnsi"/>
          <w:sz w:val="24"/>
          <w:szCs w:val="24"/>
          <w:vertAlign w:val="superscript"/>
        </w:rPr>
        <w:t>th</w:t>
      </w:r>
      <w:r w:rsidRPr="00E66ACE">
        <w:rPr>
          <w:rFonts w:eastAsiaTheme="minorHAnsi"/>
          <w:sz w:val="24"/>
          <w:szCs w:val="24"/>
        </w:rPr>
        <w:t xml:space="preserve"> Edition of the Diagnostic and Statistical Manual</w:t>
      </w:r>
      <w:r w:rsidR="00665D76">
        <w:rPr>
          <w:rFonts w:eastAsiaTheme="minorHAnsi"/>
          <w:sz w:val="24"/>
          <w:szCs w:val="24"/>
        </w:rPr>
        <w:t xml:space="preserve"> </w:t>
      </w:r>
      <w:r w:rsidRPr="00E66ACE">
        <w:rPr>
          <w:rFonts w:eastAsiaTheme="minorHAnsi"/>
          <w:sz w:val="24"/>
          <w:szCs w:val="24"/>
        </w:rPr>
        <w:t>(DSM-IV) (American Psychiatric Association, APA, 1994) and the diagnoses were later confirmed to be consistent with the current requirements for gambling disorder using the DSM-5 criteria (American Psychiatric Association, APA, 2013). Diagnosis was made using a validated instrument (</w:t>
      </w:r>
      <w:r>
        <w:rPr>
          <w:rFonts w:eastAsiaTheme="minorHAnsi"/>
          <w:sz w:val="24"/>
          <w:szCs w:val="24"/>
        </w:rPr>
        <w:t>Grant et al., 2004</w:t>
      </w:r>
      <w:r w:rsidRPr="00E66ACE">
        <w:rPr>
          <w:rFonts w:eastAsiaTheme="minorHAnsi"/>
          <w:sz w:val="24"/>
          <w:szCs w:val="24"/>
        </w:rPr>
        <w:t xml:space="preserve">). </w:t>
      </w:r>
    </w:p>
    <w:p w14:paraId="28215EE7" w14:textId="17AA278D" w:rsidR="00E66ACE" w:rsidRDefault="00E66ACE" w:rsidP="00E66ACE">
      <w:pPr>
        <w:spacing w:line="480" w:lineRule="auto"/>
        <w:ind w:firstLine="720"/>
        <w:contextualSpacing/>
        <w:rPr>
          <w:rFonts w:eastAsiaTheme="minorHAnsi"/>
          <w:sz w:val="24"/>
          <w:szCs w:val="24"/>
        </w:rPr>
      </w:pPr>
      <w:r w:rsidRPr="00E66ACE">
        <w:rPr>
          <w:rFonts w:eastAsiaTheme="minorHAnsi"/>
          <w:sz w:val="24"/>
          <w:szCs w:val="24"/>
        </w:rPr>
        <w:t xml:space="preserve"> The exclusionary criteria for these studies were: history of psychotic or bipolar disorder, any current (past 3 months) illicit drug use, or inability to provide informed consent. Data from </w:t>
      </w:r>
      <w:r w:rsidR="00315C82">
        <w:rPr>
          <w:rFonts w:eastAsiaTheme="minorHAnsi"/>
          <w:sz w:val="24"/>
          <w:szCs w:val="24"/>
        </w:rPr>
        <w:lastRenderedPageBreak/>
        <w:t>ten published clinical trials (one involving psychotherapy, two using a nutraceutical, and seven using pharmacotherapy)</w:t>
      </w:r>
      <w:r w:rsidRPr="00E66ACE">
        <w:rPr>
          <w:rFonts w:eastAsiaTheme="minorHAnsi"/>
          <w:sz w:val="24"/>
          <w:szCs w:val="24"/>
        </w:rPr>
        <w:t xml:space="preserve"> were included (Kim et al., 2001; </w:t>
      </w:r>
      <w:r w:rsidR="009A5B5C">
        <w:rPr>
          <w:rFonts w:eastAsiaTheme="minorHAnsi"/>
          <w:sz w:val="24"/>
          <w:szCs w:val="24"/>
        </w:rPr>
        <w:t xml:space="preserve">Kim &amp; Grant, 2001; </w:t>
      </w:r>
      <w:r w:rsidRPr="00E66ACE">
        <w:rPr>
          <w:rFonts w:eastAsiaTheme="minorHAnsi"/>
          <w:sz w:val="24"/>
          <w:szCs w:val="24"/>
        </w:rPr>
        <w:t xml:space="preserve">Kim et al., 2002; Grant et al. 2003; Grant </w:t>
      </w:r>
      <w:r w:rsidR="009A5B5C">
        <w:rPr>
          <w:rFonts w:eastAsiaTheme="minorHAnsi"/>
          <w:sz w:val="24"/>
          <w:szCs w:val="24"/>
        </w:rPr>
        <w:t>&amp; Potenza</w:t>
      </w:r>
      <w:r w:rsidRPr="00E66ACE">
        <w:rPr>
          <w:rFonts w:eastAsiaTheme="minorHAnsi"/>
          <w:sz w:val="24"/>
          <w:szCs w:val="24"/>
        </w:rPr>
        <w:t xml:space="preserve">, 2006; Grant et al., 2007; Grant et al., 2008; </w:t>
      </w:r>
      <w:r w:rsidR="009A5B5C">
        <w:rPr>
          <w:rFonts w:eastAsiaTheme="minorHAnsi"/>
          <w:sz w:val="24"/>
          <w:szCs w:val="24"/>
        </w:rPr>
        <w:t xml:space="preserve"> </w:t>
      </w:r>
      <w:r w:rsidRPr="00E66ACE">
        <w:rPr>
          <w:rFonts w:eastAsiaTheme="minorHAnsi"/>
          <w:sz w:val="24"/>
          <w:szCs w:val="24"/>
        </w:rPr>
        <w:t xml:space="preserve">Grant et al., 2010; </w:t>
      </w:r>
      <w:r w:rsidR="0046392D">
        <w:rPr>
          <w:rFonts w:eastAsiaTheme="minorHAnsi"/>
          <w:sz w:val="24"/>
          <w:szCs w:val="24"/>
        </w:rPr>
        <w:t xml:space="preserve">Grant et al., 2013; </w:t>
      </w:r>
      <w:r w:rsidRPr="00E66ACE">
        <w:rPr>
          <w:rFonts w:eastAsiaTheme="minorHAnsi"/>
          <w:sz w:val="24"/>
          <w:szCs w:val="24"/>
        </w:rPr>
        <w:t>Grant et al., 2014).  Trials were from 8 weeks to 16 weeks in duration</w:t>
      </w:r>
      <w:r w:rsidR="00315C82">
        <w:rPr>
          <w:rFonts w:eastAsiaTheme="minorHAnsi"/>
          <w:sz w:val="24"/>
          <w:szCs w:val="24"/>
        </w:rPr>
        <w:t>. The interventions included cognitive-behavioral therapy, N-acetyl cysteine, n</w:t>
      </w:r>
      <w:r w:rsidRPr="00E66ACE">
        <w:rPr>
          <w:rFonts w:eastAsiaTheme="minorHAnsi"/>
          <w:sz w:val="24"/>
          <w:szCs w:val="24"/>
        </w:rPr>
        <w:t xml:space="preserve">altrexone, </w:t>
      </w:r>
      <w:r w:rsidR="00315C82">
        <w:rPr>
          <w:rFonts w:eastAsiaTheme="minorHAnsi"/>
          <w:sz w:val="24"/>
          <w:szCs w:val="24"/>
        </w:rPr>
        <w:t xml:space="preserve">escitalopram, </w:t>
      </w:r>
      <w:r w:rsidRPr="00E66ACE">
        <w:rPr>
          <w:rFonts w:eastAsiaTheme="minorHAnsi"/>
          <w:sz w:val="24"/>
          <w:szCs w:val="24"/>
        </w:rPr>
        <w:t>paroxetine</w:t>
      </w:r>
      <w:r w:rsidR="00315C82">
        <w:rPr>
          <w:rFonts w:eastAsiaTheme="minorHAnsi"/>
          <w:sz w:val="24"/>
          <w:szCs w:val="24"/>
        </w:rPr>
        <w:t>, memantine, and tolcapone</w:t>
      </w:r>
      <w:r w:rsidRPr="00E66ACE">
        <w:rPr>
          <w:rFonts w:eastAsiaTheme="minorHAnsi"/>
          <w:sz w:val="24"/>
          <w:szCs w:val="24"/>
        </w:rPr>
        <w:t xml:space="preserve">. </w:t>
      </w:r>
    </w:p>
    <w:p w14:paraId="53538EEB" w14:textId="14CD8330" w:rsidR="00C4211F" w:rsidRPr="000B5D96" w:rsidRDefault="00C4211F" w:rsidP="00E66ACE">
      <w:pPr>
        <w:spacing w:line="480" w:lineRule="auto"/>
        <w:ind w:firstLine="720"/>
        <w:contextualSpacing/>
        <w:rPr>
          <w:rFonts w:eastAsiaTheme="minorHAnsi"/>
          <w:sz w:val="24"/>
          <w:szCs w:val="24"/>
        </w:rPr>
      </w:pPr>
      <w:r w:rsidRPr="00976D63">
        <w:rPr>
          <w:color w:val="242424"/>
          <w:sz w:val="24"/>
          <w:szCs w:val="24"/>
          <w:shd w:val="clear" w:color="auto" w:fill="FFFFFF"/>
        </w:rPr>
        <w:t>Our rationale for merging the data from these ten studies was that they all focus on interventions for gambling disorder, specifically pharmacotherapy. Despite the different interventions, they share common endpoints, such as gambling severity and treatment response. Combining these datasets increases statistical power and allows for a more comprehensive analysis of treatment effects and family history.</w:t>
      </w:r>
    </w:p>
    <w:p w14:paraId="508E37D4" w14:textId="77777777" w:rsidR="006B3D9F" w:rsidRPr="00976D63" w:rsidRDefault="006B3D9F" w:rsidP="006B3D9F">
      <w:pPr>
        <w:autoSpaceDE w:val="0"/>
        <w:autoSpaceDN w:val="0"/>
        <w:adjustRightInd w:val="0"/>
        <w:rPr>
          <w:rFonts w:eastAsiaTheme="minorHAnsi"/>
          <w:color w:val="000000"/>
          <w:sz w:val="24"/>
          <w:szCs w:val="24"/>
          <w:lang w:val="en-GB"/>
        </w:rPr>
      </w:pPr>
    </w:p>
    <w:p w14:paraId="23427B38" w14:textId="77777777" w:rsidR="00E66ACE" w:rsidRPr="009A5B5C" w:rsidRDefault="00E66ACE" w:rsidP="00E66ACE">
      <w:pPr>
        <w:spacing w:line="480" w:lineRule="auto"/>
        <w:ind w:firstLine="720"/>
        <w:contextualSpacing/>
        <w:rPr>
          <w:rFonts w:eastAsiaTheme="minorHAnsi"/>
          <w:sz w:val="24"/>
          <w:szCs w:val="24"/>
        </w:rPr>
      </w:pPr>
      <w:r w:rsidRPr="00E66ACE">
        <w:rPr>
          <w:rFonts w:eastAsiaTheme="minorHAnsi"/>
          <w:sz w:val="24"/>
          <w:szCs w:val="24"/>
        </w:rPr>
        <w:t>All study procedures were carried out in accordance with the Declaration of Helsinki. The Institutional Review Boards of the University of Minnesota and/or of the University of Chicago approved the procedures and the accompanying consent forms for each of the studies. For each of the studies, after all procedures were explained, all participants provided informed written consent.</w:t>
      </w:r>
      <w:r w:rsidRPr="00E66ACE">
        <w:rPr>
          <w:rFonts w:ascii="Arial" w:eastAsiaTheme="minorHAnsi" w:hAnsi="Arial" w:cs="Arial"/>
          <w:color w:val="53565A"/>
          <w:sz w:val="30"/>
          <w:szCs w:val="30"/>
          <w:shd w:val="clear" w:color="auto" w:fill="FFFFFF"/>
        </w:rPr>
        <w:t xml:space="preserve"> </w:t>
      </w:r>
      <w:r w:rsidRPr="009A5B5C">
        <w:rPr>
          <w:rFonts w:eastAsiaTheme="minorHAnsi"/>
          <w:sz w:val="24"/>
          <w:szCs w:val="24"/>
          <w:shd w:val="clear" w:color="auto" w:fill="FFFFFF"/>
        </w:rPr>
        <w:t>Each study was carried out in accordance with the latest version of the Declaration of Helsinki.</w:t>
      </w:r>
    </w:p>
    <w:p w14:paraId="6C2D8FE3" w14:textId="1C8BF49A" w:rsidR="00AC77E6" w:rsidRDefault="00AC77E6" w:rsidP="00E66ACE">
      <w:pPr>
        <w:spacing w:line="480" w:lineRule="auto"/>
        <w:rPr>
          <w:b/>
          <w:i/>
          <w:sz w:val="24"/>
          <w:szCs w:val="24"/>
        </w:rPr>
      </w:pPr>
    </w:p>
    <w:p w14:paraId="2AF5DC18" w14:textId="77777777" w:rsidR="007062BE" w:rsidRPr="00D372EF" w:rsidRDefault="007062BE" w:rsidP="007062BE">
      <w:pPr>
        <w:spacing w:line="480" w:lineRule="auto"/>
        <w:ind w:right="-180"/>
        <w:rPr>
          <w:b/>
          <w:i/>
          <w:sz w:val="24"/>
          <w:szCs w:val="24"/>
        </w:rPr>
      </w:pPr>
      <w:r w:rsidRPr="00D372EF">
        <w:rPr>
          <w:b/>
          <w:i/>
          <w:sz w:val="24"/>
          <w:szCs w:val="24"/>
        </w:rPr>
        <w:t>Assessments</w:t>
      </w:r>
    </w:p>
    <w:p w14:paraId="79AF2B03" w14:textId="77777777" w:rsidR="004F696E" w:rsidRDefault="0009635B" w:rsidP="004F696E">
      <w:pPr>
        <w:spacing w:line="480" w:lineRule="auto"/>
        <w:ind w:left="720"/>
        <w:rPr>
          <w:sz w:val="24"/>
          <w:szCs w:val="24"/>
        </w:rPr>
      </w:pPr>
      <w:r w:rsidRPr="004F696E">
        <w:rPr>
          <w:sz w:val="24"/>
          <w:szCs w:val="24"/>
        </w:rPr>
        <w:t xml:space="preserve">Demographic variables, including age, gender, and highest level of education completed, </w:t>
      </w:r>
    </w:p>
    <w:p w14:paraId="406BEA52" w14:textId="136CC59B" w:rsidR="004F696E" w:rsidRPr="004F696E" w:rsidRDefault="0009635B" w:rsidP="004F696E">
      <w:pPr>
        <w:spacing w:line="480" w:lineRule="auto"/>
        <w:rPr>
          <w:rFonts w:eastAsia="Calibri"/>
          <w:sz w:val="24"/>
          <w:szCs w:val="24"/>
        </w:rPr>
      </w:pPr>
      <w:r w:rsidRPr="004F696E">
        <w:rPr>
          <w:sz w:val="24"/>
          <w:szCs w:val="24"/>
        </w:rPr>
        <w:t xml:space="preserve">were recorded for all participants. Subjects received a psychiatric evaluation, which included the Mini International Neuropsychiatric Inventory (MINI) (Sheehan et al., 1998); </w:t>
      </w:r>
      <w:r w:rsidR="00E66ACE" w:rsidRPr="004F696E">
        <w:rPr>
          <w:sz w:val="24"/>
          <w:szCs w:val="24"/>
        </w:rPr>
        <w:t xml:space="preserve">the </w:t>
      </w:r>
      <w:r w:rsidRPr="004F696E">
        <w:rPr>
          <w:sz w:val="24"/>
          <w:szCs w:val="24"/>
        </w:rPr>
        <w:t>Structured Clinical Interview for Pathological Gambling (SCI-PG) (Grant</w:t>
      </w:r>
      <w:r w:rsidR="00574E1D" w:rsidRPr="004F696E">
        <w:rPr>
          <w:sz w:val="24"/>
          <w:szCs w:val="24"/>
        </w:rPr>
        <w:t xml:space="preserve"> et al., </w:t>
      </w:r>
      <w:r w:rsidRPr="004F696E">
        <w:rPr>
          <w:sz w:val="24"/>
          <w:szCs w:val="24"/>
        </w:rPr>
        <w:t xml:space="preserve">2004) </w:t>
      </w:r>
      <w:r w:rsidR="00E66ACE" w:rsidRPr="004F696E">
        <w:rPr>
          <w:sz w:val="24"/>
          <w:szCs w:val="24"/>
        </w:rPr>
        <w:t xml:space="preserve">later </w:t>
      </w:r>
      <w:r w:rsidRPr="004F696E">
        <w:rPr>
          <w:sz w:val="24"/>
          <w:szCs w:val="24"/>
        </w:rPr>
        <w:t xml:space="preserve">adapted for </w:t>
      </w:r>
      <w:r w:rsidRPr="004F696E">
        <w:rPr>
          <w:sz w:val="24"/>
          <w:szCs w:val="24"/>
        </w:rPr>
        <w:lastRenderedPageBreak/>
        <w:t>DSM-5</w:t>
      </w:r>
      <w:r w:rsidR="004F696E" w:rsidRPr="004F696E">
        <w:rPr>
          <w:sz w:val="24"/>
          <w:szCs w:val="24"/>
        </w:rPr>
        <w:t xml:space="preserve">; </w:t>
      </w:r>
      <w:r w:rsidR="004F696E" w:rsidRPr="004F696E">
        <w:rPr>
          <w:rFonts w:eastAsia="Calibri"/>
          <w:sz w:val="24"/>
          <w:szCs w:val="24"/>
        </w:rPr>
        <w:t>Gambling Symptom Assessment Scale (GSAS) to measure overall self-reported symptom severity for the past week (Kim et al., 2009)</w:t>
      </w:r>
      <w:r w:rsidR="004F696E">
        <w:rPr>
          <w:rFonts w:eastAsia="Calibri"/>
          <w:sz w:val="24"/>
          <w:szCs w:val="24"/>
        </w:rPr>
        <w:t xml:space="preserve">; </w:t>
      </w:r>
      <w:r w:rsidR="00C41544" w:rsidRPr="00DA7E33">
        <w:rPr>
          <w:sz w:val="24"/>
          <w:szCs w:val="24"/>
        </w:rPr>
        <w:t>Yale-Brown Obsessive-Compulsive Scale modified for Pathological Gambling (PG-YBOCS)</w:t>
      </w:r>
      <w:r w:rsidR="00C41544">
        <w:rPr>
          <w:sz w:val="24"/>
          <w:szCs w:val="24"/>
        </w:rPr>
        <w:t>, a clinician-administered scale,</w:t>
      </w:r>
      <w:r w:rsidR="00C41544" w:rsidRPr="00DA7E33">
        <w:rPr>
          <w:sz w:val="24"/>
          <w:szCs w:val="24"/>
        </w:rPr>
        <w:t xml:space="preserve"> to quantify symptom severity </w:t>
      </w:r>
      <w:r w:rsidR="00C41544">
        <w:rPr>
          <w:sz w:val="24"/>
          <w:szCs w:val="24"/>
        </w:rPr>
        <w:t>over the past seven days (</w:t>
      </w:r>
      <w:proofErr w:type="spellStart"/>
      <w:r w:rsidR="00C41544">
        <w:rPr>
          <w:sz w:val="24"/>
          <w:szCs w:val="24"/>
        </w:rPr>
        <w:t>Pallanti</w:t>
      </w:r>
      <w:proofErr w:type="spellEnd"/>
      <w:r w:rsidR="00C41544">
        <w:rPr>
          <w:sz w:val="24"/>
          <w:szCs w:val="24"/>
        </w:rPr>
        <w:t xml:space="preserve"> et al., 2005); </w:t>
      </w:r>
      <w:r w:rsidR="004F696E" w:rsidRPr="004F696E">
        <w:rPr>
          <w:rFonts w:eastAsia="Calibri"/>
          <w:sz w:val="24"/>
          <w:szCs w:val="24"/>
        </w:rPr>
        <w:t xml:space="preserve">Hamilton Depression Rating Scale (HAM-D) to measure severity of depressive symptoms </w:t>
      </w:r>
      <w:r w:rsidR="004F696E" w:rsidRPr="004F696E">
        <w:rPr>
          <w:rFonts w:eastAsia="Calibri"/>
          <w:noProof/>
          <w:sz w:val="24"/>
          <w:szCs w:val="24"/>
        </w:rPr>
        <w:t>(Hamilton, 1960)</w:t>
      </w:r>
      <w:r w:rsidR="004F696E">
        <w:rPr>
          <w:rFonts w:eastAsia="Calibri"/>
          <w:noProof/>
          <w:sz w:val="24"/>
          <w:szCs w:val="24"/>
        </w:rPr>
        <w:t xml:space="preserve">; </w:t>
      </w:r>
      <w:r w:rsidR="004F696E" w:rsidRPr="004F696E">
        <w:rPr>
          <w:rFonts w:eastAsia="Calibri"/>
          <w:sz w:val="24"/>
          <w:szCs w:val="24"/>
        </w:rPr>
        <w:t xml:space="preserve">Hamilton Anxiety Rating Scale (HAM-A) to measure severity of anxiety symptoms </w:t>
      </w:r>
      <w:r w:rsidR="004F696E" w:rsidRPr="004F696E">
        <w:rPr>
          <w:rFonts w:eastAsia="Calibri"/>
          <w:noProof/>
          <w:sz w:val="24"/>
          <w:szCs w:val="24"/>
        </w:rPr>
        <w:t>(Hamilton, 1959)</w:t>
      </w:r>
      <w:r w:rsidR="004F696E">
        <w:rPr>
          <w:rFonts w:eastAsia="Calibri"/>
          <w:noProof/>
          <w:sz w:val="24"/>
          <w:szCs w:val="24"/>
        </w:rPr>
        <w:t xml:space="preserve">; and the </w:t>
      </w:r>
      <w:r w:rsidR="004F696E" w:rsidRPr="004F696E">
        <w:rPr>
          <w:sz w:val="24"/>
          <w:szCs w:val="24"/>
        </w:rPr>
        <w:t>Sheehan Disability Scale (SDS) to measure overall disability / functioning (Sheehan, 1983).</w:t>
      </w:r>
    </w:p>
    <w:p w14:paraId="15D76F06" w14:textId="7AD5667C" w:rsidR="007062BE" w:rsidRDefault="0009635B" w:rsidP="0009635B">
      <w:pPr>
        <w:spacing w:line="480" w:lineRule="auto"/>
        <w:ind w:firstLine="720"/>
        <w:rPr>
          <w:sz w:val="24"/>
          <w:szCs w:val="24"/>
        </w:rPr>
      </w:pPr>
      <w:r>
        <w:rPr>
          <w:sz w:val="24"/>
          <w:szCs w:val="24"/>
        </w:rPr>
        <w:t xml:space="preserve">We undertook the family history </w:t>
      </w:r>
      <w:r w:rsidR="00A364EC" w:rsidRPr="00A364EC">
        <w:rPr>
          <w:sz w:val="24"/>
          <w:szCs w:val="24"/>
        </w:rPr>
        <w:t xml:space="preserve">method where the proband is asked about psychiatric problems in their relatives, despite </w:t>
      </w:r>
      <w:r>
        <w:rPr>
          <w:sz w:val="24"/>
          <w:szCs w:val="24"/>
        </w:rPr>
        <w:t xml:space="preserve">its </w:t>
      </w:r>
      <w:r w:rsidR="00A364EC" w:rsidRPr="00A364EC">
        <w:rPr>
          <w:sz w:val="24"/>
          <w:szCs w:val="24"/>
        </w:rPr>
        <w:t xml:space="preserve">methodological limitations </w:t>
      </w:r>
      <w:r>
        <w:rPr>
          <w:sz w:val="24"/>
          <w:szCs w:val="24"/>
        </w:rPr>
        <w:t>(</w:t>
      </w:r>
      <w:r w:rsidR="00A364EC" w:rsidRPr="00A364EC">
        <w:rPr>
          <w:sz w:val="24"/>
          <w:szCs w:val="24"/>
        </w:rPr>
        <w:t>Andreasen et al., 1977; Kendler et al., 1991</w:t>
      </w:r>
      <w:r>
        <w:rPr>
          <w:sz w:val="24"/>
          <w:szCs w:val="24"/>
        </w:rPr>
        <w:t xml:space="preserve">). </w:t>
      </w:r>
      <w:r w:rsidR="007062BE">
        <w:rPr>
          <w:sz w:val="24"/>
          <w:szCs w:val="24"/>
        </w:rPr>
        <w:t>Participants were asked about</w:t>
      </w:r>
      <w:r w:rsidR="005F1822">
        <w:rPr>
          <w:sz w:val="24"/>
          <w:szCs w:val="24"/>
        </w:rPr>
        <w:t xml:space="preserve"> the presence of</w:t>
      </w:r>
      <w:r w:rsidR="007062BE">
        <w:rPr>
          <w:sz w:val="24"/>
          <w:szCs w:val="24"/>
        </w:rPr>
        <w:t xml:space="preserve"> </w:t>
      </w:r>
      <w:r w:rsidR="00E66ACE">
        <w:rPr>
          <w:sz w:val="24"/>
          <w:szCs w:val="24"/>
        </w:rPr>
        <w:t>gambling disorder</w:t>
      </w:r>
      <w:r w:rsidR="007062BE">
        <w:rPr>
          <w:sz w:val="24"/>
          <w:szCs w:val="24"/>
        </w:rPr>
        <w:t xml:space="preserve"> in all first-degree relatives. </w:t>
      </w:r>
      <w:r w:rsidR="00E66ACE">
        <w:rPr>
          <w:sz w:val="24"/>
          <w:szCs w:val="24"/>
        </w:rPr>
        <w:t xml:space="preserve">Gambling disorder </w:t>
      </w:r>
      <w:r w:rsidR="006100E2">
        <w:rPr>
          <w:sz w:val="24"/>
          <w:szCs w:val="24"/>
        </w:rPr>
        <w:t xml:space="preserve">in relatives </w:t>
      </w:r>
      <w:r w:rsidR="00E66ACE">
        <w:rPr>
          <w:sz w:val="24"/>
          <w:szCs w:val="24"/>
        </w:rPr>
        <w:t xml:space="preserve">was </w:t>
      </w:r>
      <w:r w:rsidR="005F1822">
        <w:rPr>
          <w:sz w:val="24"/>
          <w:szCs w:val="24"/>
        </w:rPr>
        <w:t xml:space="preserve">defined as the chronic </w:t>
      </w:r>
      <w:r w:rsidR="00E66ACE">
        <w:rPr>
          <w:sz w:val="24"/>
          <w:szCs w:val="24"/>
        </w:rPr>
        <w:t>engagement in gambling</w:t>
      </w:r>
      <w:r w:rsidR="005F1822">
        <w:rPr>
          <w:sz w:val="24"/>
          <w:szCs w:val="24"/>
        </w:rPr>
        <w:t xml:space="preserve"> resulting in either noticeable social and occupational dysfunction or the need for a twelve-step program or formal treatment. </w:t>
      </w:r>
      <w:r w:rsidR="007062BE">
        <w:rPr>
          <w:sz w:val="24"/>
          <w:szCs w:val="24"/>
        </w:rPr>
        <w:t>All information about relatives came from the proband. No direct evaluations of the first-degree relatives were performed.</w:t>
      </w:r>
    </w:p>
    <w:p w14:paraId="04CAFC9E" w14:textId="77777777" w:rsidR="004A7969" w:rsidRPr="004A7969" w:rsidRDefault="004A7969" w:rsidP="0009635B">
      <w:pPr>
        <w:spacing w:line="480" w:lineRule="auto"/>
        <w:rPr>
          <w:sz w:val="24"/>
          <w:szCs w:val="24"/>
        </w:rPr>
      </w:pPr>
    </w:p>
    <w:p w14:paraId="7A49FF27" w14:textId="77777777" w:rsidR="007062BE" w:rsidRPr="004A7969" w:rsidRDefault="004A7969" w:rsidP="004A7969">
      <w:pPr>
        <w:spacing w:line="480" w:lineRule="auto"/>
        <w:rPr>
          <w:b/>
          <w:i/>
          <w:sz w:val="24"/>
          <w:szCs w:val="24"/>
        </w:rPr>
      </w:pPr>
      <w:r w:rsidRPr="004A7969">
        <w:rPr>
          <w:b/>
          <w:i/>
          <w:sz w:val="24"/>
          <w:szCs w:val="24"/>
        </w:rPr>
        <w:t>Data Analysis</w:t>
      </w:r>
      <w:r w:rsidR="007062BE" w:rsidRPr="004A7969">
        <w:rPr>
          <w:b/>
          <w:i/>
          <w:sz w:val="24"/>
          <w:szCs w:val="24"/>
        </w:rPr>
        <w:t xml:space="preserve"> </w:t>
      </w:r>
    </w:p>
    <w:p w14:paraId="03CE7F7F" w14:textId="0D81CF25" w:rsidR="00C77C66" w:rsidRPr="004A7969" w:rsidRDefault="00C77C66" w:rsidP="00EE4864">
      <w:pPr>
        <w:spacing w:line="480" w:lineRule="auto"/>
        <w:ind w:firstLine="720"/>
        <w:rPr>
          <w:rFonts w:eastAsia="Calibri"/>
          <w:sz w:val="24"/>
          <w:szCs w:val="24"/>
          <w:lang w:val="en-GB"/>
        </w:rPr>
      </w:pPr>
      <w:r w:rsidRPr="004A7969">
        <w:rPr>
          <w:rFonts w:eastAsia="Calibri"/>
          <w:sz w:val="24"/>
          <w:szCs w:val="24"/>
          <w:lang w:val="en-GB"/>
        </w:rPr>
        <w:t>Differences in demographic</w:t>
      </w:r>
      <w:r w:rsidR="00EE4864">
        <w:rPr>
          <w:rFonts w:eastAsia="Calibri"/>
          <w:sz w:val="24"/>
          <w:szCs w:val="24"/>
          <w:lang w:val="en-GB"/>
        </w:rPr>
        <w:t xml:space="preserve"> and </w:t>
      </w:r>
      <w:r w:rsidRPr="004A7969">
        <w:rPr>
          <w:rFonts w:eastAsia="Calibri"/>
          <w:sz w:val="24"/>
          <w:szCs w:val="24"/>
          <w:lang w:val="en-GB"/>
        </w:rPr>
        <w:t>clinical</w:t>
      </w:r>
      <w:r w:rsidR="00EE4864">
        <w:rPr>
          <w:rFonts w:eastAsia="Calibri"/>
          <w:sz w:val="24"/>
          <w:szCs w:val="24"/>
          <w:lang w:val="en-GB"/>
        </w:rPr>
        <w:t xml:space="preserve"> </w:t>
      </w:r>
      <w:r w:rsidRPr="004A7969">
        <w:rPr>
          <w:rFonts w:eastAsia="Calibri"/>
          <w:sz w:val="24"/>
          <w:szCs w:val="24"/>
          <w:lang w:val="en-GB"/>
        </w:rPr>
        <w:t xml:space="preserve">variables between the groups </w:t>
      </w:r>
      <w:r w:rsidR="00EE4864">
        <w:rPr>
          <w:rFonts w:eastAsia="Calibri"/>
          <w:sz w:val="24"/>
          <w:szCs w:val="24"/>
          <w:lang w:val="en-GB"/>
        </w:rPr>
        <w:t xml:space="preserve">(those with vs without a family history of gambling disorder) </w:t>
      </w:r>
      <w:r w:rsidRPr="004A7969">
        <w:rPr>
          <w:rFonts w:eastAsia="Calibri"/>
          <w:sz w:val="24"/>
          <w:szCs w:val="24"/>
          <w:lang w:val="en-GB"/>
        </w:rPr>
        <w:t xml:space="preserve">were </w:t>
      </w:r>
      <w:r w:rsidR="00EE4864">
        <w:rPr>
          <w:rFonts w:eastAsia="Calibri"/>
          <w:sz w:val="24"/>
          <w:szCs w:val="24"/>
          <w:lang w:val="en-GB"/>
        </w:rPr>
        <w:t>characterized</w:t>
      </w:r>
      <w:r w:rsidR="00EE4864" w:rsidRPr="004A7969">
        <w:rPr>
          <w:rFonts w:eastAsia="Calibri"/>
          <w:sz w:val="24"/>
          <w:szCs w:val="24"/>
          <w:lang w:val="en-GB"/>
        </w:rPr>
        <w:t xml:space="preserve"> </w:t>
      </w:r>
      <w:r w:rsidRPr="004A7969">
        <w:rPr>
          <w:rFonts w:eastAsia="Calibri"/>
          <w:sz w:val="24"/>
          <w:szCs w:val="24"/>
          <w:lang w:val="en-GB"/>
        </w:rPr>
        <w:t>using analysis of variance (ANOVA)</w:t>
      </w:r>
      <w:r w:rsidR="00EE4864">
        <w:rPr>
          <w:rFonts w:eastAsia="Calibri"/>
          <w:sz w:val="24"/>
          <w:szCs w:val="24"/>
          <w:lang w:val="en-GB"/>
        </w:rPr>
        <w:t xml:space="preserve"> for continuous normally distributed measures; Mann-Whitney U tests for continuous non-normally distributed measures; and likelihood ratio chi-square tests for categorical data. </w:t>
      </w:r>
      <w:r w:rsidRPr="004A7969">
        <w:rPr>
          <w:rFonts w:eastAsia="Calibri"/>
          <w:sz w:val="24"/>
          <w:szCs w:val="24"/>
          <w:lang w:val="en-GB"/>
        </w:rPr>
        <w:t xml:space="preserve"> Statistical significance was defined as p&lt;0.05. </w:t>
      </w:r>
    </w:p>
    <w:p w14:paraId="23FDD639" w14:textId="7C9D2E0B" w:rsidR="00C77C66" w:rsidRPr="004A7969" w:rsidRDefault="00186BC9">
      <w:pPr>
        <w:spacing w:line="480" w:lineRule="auto"/>
        <w:ind w:firstLine="720"/>
        <w:rPr>
          <w:rFonts w:eastAsia="Calibri"/>
          <w:sz w:val="24"/>
          <w:szCs w:val="24"/>
          <w:lang w:val="en-GB"/>
        </w:rPr>
      </w:pPr>
      <w:r>
        <w:rPr>
          <w:rFonts w:eastAsia="Calibri"/>
          <w:sz w:val="24"/>
          <w:szCs w:val="24"/>
          <w:lang w:val="en-GB"/>
        </w:rPr>
        <w:t xml:space="preserve">In order to identify </w:t>
      </w:r>
      <w:r w:rsidR="00E66ACE">
        <w:rPr>
          <w:rFonts w:eastAsia="Calibri"/>
          <w:sz w:val="24"/>
          <w:szCs w:val="24"/>
          <w:lang w:val="en-GB"/>
        </w:rPr>
        <w:t>the influence of a positive</w:t>
      </w:r>
      <w:r>
        <w:rPr>
          <w:rFonts w:eastAsia="Calibri"/>
          <w:sz w:val="24"/>
          <w:szCs w:val="24"/>
          <w:lang w:val="en-GB"/>
        </w:rPr>
        <w:t xml:space="preserve"> family history of </w:t>
      </w:r>
      <w:r w:rsidR="00E66ACE">
        <w:rPr>
          <w:rFonts w:eastAsia="Calibri"/>
          <w:sz w:val="24"/>
          <w:szCs w:val="24"/>
          <w:lang w:val="en-GB"/>
        </w:rPr>
        <w:t xml:space="preserve">gambling disorder on treatment outcome, </w:t>
      </w:r>
      <w:r>
        <w:rPr>
          <w:rFonts w:eastAsia="Calibri"/>
          <w:sz w:val="24"/>
          <w:szCs w:val="24"/>
          <w:lang w:val="en-GB"/>
        </w:rPr>
        <w:t xml:space="preserve">we </w:t>
      </w:r>
      <w:r w:rsidR="00E66ACE">
        <w:rPr>
          <w:rFonts w:eastAsia="Calibri"/>
          <w:sz w:val="24"/>
          <w:szCs w:val="24"/>
          <w:lang w:val="en-GB"/>
        </w:rPr>
        <w:t xml:space="preserve">examined differences in the change on the Gambling Symptom </w:t>
      </w:r>
      <w:r w:rsidR="00E66ACE">
        <w:rPr>
          <w:rFonts w:eastAsia="Calibri"/>
          <w:sz w:val="24"/>
          <w:szCs w:val="24"/>
          <w:lang w:val="en-GB"/>
        </w:rPr>
        <w:lastRenderedPageBreak/>
        <w:t xml:space="preserve">Assessment Scale (G-SAS) (Kim et al., </w:t>
      </w:r>
      <w:r w:rsidR="00665D76">
        <w:rPr>
          <w:rFonts w:eastAsia="Calibri"/>
          <w:sz w:val="24"/>
          <w:szCs w:val="24"/>
          <w:lang w:val="en-GB"/>
        </w:rPr>
        <w:t>2009)</w:t>
      </w:r>
      <w:r w:rsidR="000B044C">
        <w:rPr>
          <w:rFonts w:eastAsia="Calibri"/>
          <w:sz w:val="24"/>
          <w:szCs w:val="24"/>
          <w:lang w:val="en-GB"/>
        </w:rPr>
        <w:t xml:space="preserve"> in people who had received active treatment</w:t>
      </w:r>
      <w:r w:rsidR="005E75AF">
        <w:rPr>
          <w:rFonts w:eastAsia="Calibri"/>
          <w:sz w:val="24"/>
          <w:szCs w:val="24"/>
          <w:lang w:val="en-GB"/>
        </w:rPr>
        <w:t xml:space="preserve"> (i.e. the intervention groups rather than those who received placebo)</w:t>
      </w:r>
      <w:r w:rsidR="00665D76">
        <w:rPr>
          <w:rFonts w:eastAsia="Calibri"/>
          <w:sz w:val="24"/>
          <w:szCs w:val="24"/>
          <w:lang w:val="en-GB"/>
        </w:rPr>
        <w:t>.</w:t>
      </w:r>
      <w:r w:rsidR="000B044C">
        <w:rPr>
          <w:rFonts w:eastAsia="Calibri"/>
          <w:sz w:val="24"/>
          <w:szCs w:val="24"/>
          <w:lang w:val="en-GB"/>
        </w:rPr>
        <w:t xml:space="preserve"> Least squares regression was then used to explore potential effects of confounds. We also examined the influence of family history on G-SAS change in people who had received placebo. </w:t>
      </w:r>
      <w:r w:rsidR="009356D5">
        <w:rPr>
          <w:rFonts w:eastAsia="Calibri"/>
          <w:sz w:val="24"/>
          <w:szCs w:val="24"/>
          <w:lang w:val="en-GB"/>
        </w:rPr>
        <w:t xml:space="preserve"> </w:t>
      </w:r>
    </w:p>
    <w:p w14:paraId="5C100D31" w14:textId="77777777" w:rsidR="004A7969" w:rsidRDefault="004A7969" w:rsidP="004A7969">
      <w:pPr>
        <w:spacing w:line="480" w:lineRule="auto"/>
        <w:rPr>
          <w:rFonts w:eastAsia="Calibri"/>
          <w:sz w:val="24"/>
          <w:szCs w:val="24"/>
          <w:lang w:val="en-GB"/>
        </w:rPr>
      </w:pPr>
    </w:p>
    <w:p w14:paraId="6ED6EB63" w14:textId="77777777" w:rsidR="00C77C66" w:rsidRPr="004A7969" w:rsidRDefault="00C77C66" w:rsidP="004A7969">
      <w:pPr>
        <w:spacing w:line="480" w:lineRule="auto"/>
        <w:rPr>
          <w:rFonts w:eastAsia="Calibri"/>
          <w:b/>
          <w:sz w:val="24"/>
          <w:szCs w:val="24"/>
          <w:lang w:val="en-GB"/>
        </w:rPr>
      </w:pPr>
      <w:r w:rsidRPr="004A7969">
        <w:rPr>
          <w:rFonts w:eastAsia="Calibri"/>
          <w:b/>
          <w:sz w:val="24"/>
          <w:szCs w:val="24"/>
          <w:lang w:val="en-GB"/>
        </w:rPr>
        <w:t>Results</w:t>
      </w:r>
    </w:p>
    <w:p w14:paraId="461125F5" w14:textId="617AFC24" w:rsidR="00093552" w:rsidRDefault="00093552" w:rsidP="004A7969">
      <w:pPr>
        <w:spacing w:line="480" w:lineRule="auto"/>
        <w:ind w:firstLine="720"/>
        <w:rPr>
          <w:rFonts w:eastAsia="Calibri"/>
          <w:sz w:val="24"/>
          <w:szCs w:val="24"/>
          <w:lang w:val="en-GB"/>
        </w:rPr>
      </w:pPr>
      <w:r>
        <w:rPr>
          <w:rFonts w:eastAsia="Calibri"/>
          <w:sz w:val="24"/>
          <w:szCs w:val="24"/>
          <w:lang w:val="en-GB"/>
        </w:rPr>
        <w:t xml:space="preserve">Of the </w:t>
      </w:r>
      <w:r w:rsidR="00665D76">
        <w:rPr>
          <w:rFonts w:eastAsia="Calibri"/>
          <w:sz w:val="24"/>
          <w:szCs w:val="24"/>
          <w:lang w:val="en-GB"/>
        </w:rPr>
        <w:t>455</w:t>
      </w:r>
      <w:r w:rsidRPr="00093552">
        <w:rPr>
          <w:rFonts w:eastAsia="Calibri"/>
          <w:sz w:val="24"/>
          <w:szCs w:val="24"/>
          <w:lang w:val="en-GB"/>
        </w:rPr>
        <w:t xml:space="preserve"> adult</w:t>
      </w:r>
      <w:r w:rsidR="00665D76">
        <w:rPr>
          <w:rFonts w:eastAsia="Calibri"/>
          <w:sz w:val="24"/>
          <w:szCs w:val="24"/>
          <w:lang w:val="en-GB"/>
        </w:rPr>
        <w:t>s with gambling disorder</w:t>
      </w:r>
      <w:r>
        <w:rPr>
          <w:rFonts w:eastAsia="Calibri"/>
          <w:sz w:val="24"/>
          <w:szCs w:val="24"/>
          <w:lang w:val="en-GB"/>
        </w:rPr>
        <w:t>,</w:t>
      </w:r>
      <w:r w:rsidRPr="00093552">
        <w:rPr>
          <w:rFonts w:eastAsia="Calibri"/>
          <w:sz w:val="24"/>
          <w:szCs w:val="24"/>
          <w:lang w:val="en-GB"/>
        </w:rPr>
        <w:t xml:space="preserve"> </w:t>
      </w:r>
      <w:r w:rsidR="00665D76" w:rsidRPr="00665D76">
        <w:rPr>
          <w:bCs/>
          <w:sz w:val="24"/>
          <w:szCs w:val="24"/>
        </w:rPr>
        <w:t xml:space="preserve">223 (49.0%) </w:t>
      </w:r>
      <w:r w:rsidR="00665D76">
        <w:rPr>
          <w:bCs/>
          <w:sz w:val="24"/>
          <w:szCs w:val="24"/>
        </w:rPr>
        <w:t>reported</w:t>
      </w:r>
      <w:r w:rsidR="00665D76" w:rsidRPr="00665D76">
        <w:rPr>
          <w:bCs/>
          <w:sz w:val="24"/>
          <w:szCs w:val="24"/>
        </w:rPr>
        <w:t xml:space="preserve"> a </w:t>
      </w:r>
      <w:r w:rsidR="006C6E1E">
        <w:rPr>
          <w:bCs/>
          <w:sz w:val="24"/>
          <w:szCs w:val="24"/>
        </w:rPr>
        <w:t xml:space="preserve">positive family history of gambling disorder in one or more </w:t>
      </w:r>
      <w:r w:rsidR="00665D76" w:rsidRPr="00665D76">
        <w:rPr>
          <w:bCs/>
          <w:sz w:val="24"/>
          <w:szCs w:val="24"/>
        </w:rPr>
        <w:t>first-degree family member</w:t>
      </w:r>
      <w:r w:rsidR="006C6E1E">
        <w:rPr>
          <w:bCs/>
          <w:sz w:val="24"/>
          <w:szCs w:val="24"/>
        </w:rPr>
        <w:t>s</w:t>
      </w:r>
      <w:r w:rsidR="00665D76" w:rsidRPr="00665D76">
        <w:rPr>
          <w:bCs/>
          <w:sz w:val="24"/>
          <w:szCs w:val="24"/>
        </w:rPr>
        <w:t>.</w:t>
      </w:r>
      <w:r w:rsidR="00665D76" w:rsidRPr="00665D76">
        <w:rPr>
          <w:sz w:val="24"/>
          <w:szCs w:val="24"/>
        </w:rPr>
        <w:t xml:space="preserve"> </w:t>
      </w:r>
      <w:r>
        <w:rPr>
          <w:rFonts w:eastAsia="Calibri"/>
          <w:sz w:val="24"/>
          <w:szCs w:val="24"/>
          <w:lang w:val="en-GB"/>
        </w:rPr>
        <w:t xml:space="preserve"> </w:t>
      </w:r>
      <w:r w:rsidR="00C77C66" w:rsidRPr="004A7969">
        <w:rPr>
          <w:rFonts w:eastAsia="Calibri"/>
          <w:sz w:val="24"/>
          <w:szCs w:val="24"/>
          <w:lang w:val="en-GB"/>
        </w:rPr>
        <w:t xml:space="preserve">Comparisons between the two groups on the variables of interest are summarized in </w:t>
      </w:r>
      <w:r w:rsidR="00C77C66" w:rsidRPr="004A7969">
        <w:rPr>
          <w:rFonts w:eastAsia="Calibri"/>
          <w:b/>
          <w:sz w:val="24"/>
          <w:szCs w:val="24"/>
          <w:lang w:val="en-GB"/>
        </w:rPr>
        <w:t>Table 1</w:t>
      </w:r>
      <w:r w:rsidR="00C77C66" w:rsidRPr="004A7969">
        <w:rPr>
          <w:rFonts w:eastAsia="Calibri"/>
          <w:sz w:val="24"/>
          <w:szCs w:val="24"/>
          <w:lang w:val="en-GB"/>
        </w:rPr>
        <w:t xml:space="preserve">. For demographic variables, family history of </w:t>
      </w:r>
      <w:r w:rsidR="00665D76">
        <w:rPr>
          <w:rFonts w:eastAsia="Calibri"/>
          <w:sz w:val="24"/>
          <w:szCs w:val="24"/>
          <w:lang w:val="en-GB"/>
        </w:rPr>
        <w:t>gambling disorder</w:t>
      </w:r>
      <w:r w:rsidR="00C77C66" w:rsidRPr="004A7969">
        <w:rPr>
          <w:rFonts w:eastAsia="Calibri"/>
          <w:sz w:val="24"/>
          <w:szCs w:val="24"/>
          <w:lang w:val="en-GB"/>
        </w:rPr>
        <w:t xml:space="preserve"> was significantly associated with </w:t>
      </w:r>
      <w:r>
        <w:rPr>
          <w:rFonts w:eastAsia="Calibri"/>
          <w:sz w:val="24"/>
          <w:szCs w:val="24"/>
          <w:lang w:val="en-GB"/>
        </w:rPr>
        <w:t>fe</w:t>
      </w:r>
      <w:r w:rsidR="00C77C66" w:rsidRPr="004A7969">
        <w:rPr>
          <w:rFonts w:eastAsia="Calibri"/>
          <w:sz w:val="24"/>
          <w:szCs w:val="24"/>
          <w:lang w:val="en-GB"/>
        </w:rPr>
        <w:t xml:space="preserve">male gender. </w:t>
      </w:r>
    </w:p>
    <w:p w14:paraId="1550D2EA" w14:textId="77777777" w:rsidR="0041121A" w:rsidRPr="00665D76" w:rsidRDefault="0041121A" w:rsidP="00C77C66">
      <w:pPr>
        <w:spacing w:after="160" w:line="259" w:lineRule="auto"/>
        <w:rPr>
          <w:rFonts w:eastAsia="Calibri"/>
          <w:sz w:val="24"/>
          <w:szCs w:val="24"/>
          <w:lang w:val="en-GB"/>
        </w:rPr>
      </w:pPr>
    </w:p>
    <w:p w14:paraId="1E6DFD3F" w14:textId="77777777" w:rsidR="0041121A" w:rsidRPr="00665D76" w:rsidRDefault="0041121A" w:rsidP="0041121A">
      <w:pPr>
        <w:rPr>
          <w:b/>
          <w:sz w:val="24"/>
          <w:szCs w:val="24"/>
        </w:rPr>
      </w:pPr>
      <w:r w:rsidRPr="00665D76">
        <w:rPr>
          <w:b/>
          <w:sz w:val="24"/>
          <w:szCs w:val="24"/>
        </w:rPr>
        <w:t xml:space="preserve">Table 1. Demographic characteristics of those with versus without a family history of gambling disorder. </w:t>
      </w:r>
    </w:p>
    <w:tbl>
      <w:tblPr>
        <w:tblW w:w="5195" w:type="pct"/>
        <w:tblLayout w:type="fixed"/>
        <w:tblCellMar>
          <w:left w:w="0" w:type="dxa"/>
          <w:right w:w="0" w:type="dxa"/>
        </w:tblCellMar>
        <w:tblLook w:val="04A0" w:firstRow="1" w:lastRow="0" w:firstColumn="1" w:lastColumn="0" w:noHBand="0" w:noVBand="1"/>
      </w:tblPr>
      <w:tblGrid>
        <w:gridCol w:w="2762"/>
        <w:gridCol w:w="21"/>
        <w:gridCol w:w="997"/>
        <w:gridCol w:w="888"/>
        <w:gridCol w:w="1084"/>
        <w:gridCol w:w="888"/>
        <w:gridCol w:w="14"/>
        <w:gridCol w:w="1073"/>
        <w:gridCol w:w="10"/>
        <w:gridCol w:w="989"/>
        <w:gridCol w:w="58"/>
        <w:gridCol w:w="931"/>
      </w:tblGrid>
      <w:tr w:rsidR="0041121A" w:rsidRPr="00665D76" w14:paraId="02B3A7A5" w14:textId="77777777" w:rsidTr="00976D63">
        <w:trPr>
          <w:trHeight w:val="397"/>
        </w:trPr>
        <w:tc>
          <w:tcPr>
            <w:tcW w:w="1945" w:type="pct"/>
            <w:gridSpan w:val="3"/>
            <w:vMerge w:val="restart"/>
            <w:tcBorders>
              <w:top w:val="single" w:sz="4" w:space="0" w:color="auto"/>
              <w:left w:val="single" w:sz="4" w:space="0" w:color="auto"/>
              <w:right w:val="single" w:sz="4" w:space="0" w:color="auto"/>
            </w:tcBorders>
            <w:vAlign w:val="center"/>
          </w:tcPr>
          <w:p w14:paraId="7C991C45" w14:textId="77777777" w:rsidR="0041121A" w:rsidRPr="00665D76" w:rsidRDefault="0041121A" w:rsidP="00311C34">
            <w:pPr>
              <w:rPr>
                <w:color w:val="000000"/>
                <w:sz w:val="24"/>
                <w:szCs w:val="24"/>
              </w:rPr>
            </w:pPr>
            <w:r w:rsidRPr="00665D76">
              <w:rPr>
                <w:color w:val="000000"/>
                <w:sz w:val="24"/>
                <w:szCs w:val="24"/>
              </w:rPr>
              <w:t xml:space="preserve"> </w:t>
            </w:r>
          </w:p>
          <w:p w14:paraId="18DE80B9" w14:textId="77777777" w:rsidR="0041121A" w:rsidRPr="00665D76" w:rsidRDefault="0041121A" w:rsidP="00311C34">
            <w:pPr>
              <w:rPr>
                <w:color w:val="000000"/>
                <w:sz w:val="24"/>
                <w:szCs w:val="24"/>
              </w:rPr>
            </w:pPr>
            <w:r w:rsidRPr="00665D76">
              <w:rPr>
                <w:color w:val="000000"/>
                <w:sz w:val="24"/>
                <w:szCs w:val="24"/>
              </w:rPr>
              <w:t xml:space="preserve"> </w:t>
            </w:r>
          </w:p>
        </w:tc>
        <w:tc>
          <w:tcPr>
            <w:tcW w:w="2031"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D0436" w14:textId="77777777" w:rsidR="0041121A" w:rsidRPr="00665D76" w:rsidRDefault="0041121A" w:rsidP="00311C34">
            <w:pPr>
              <w:jc w:val="center"/>
              <w:rPr>
                <w:b/>
                <w:bCs/>
                <w:color w:val="000000"/>
                <w:sz w:val="24"/>
                <w:szCs w:val="24"/>
              </w:rPr>
            </w:pPr>
            <w:r w:rsidRPr="00665D76">
              <w:rPr>
                <w:b/>
                <w:bCs/>
                <w:color w:val="000000"/>
                <w:sz w:val="24"/>
                <w:szCs w:val="24"/>
              </w:rPr>
              <w:t>Family history of gambling disorder</w:t>
            </w:r>
          </w:p>
        </w:tc>
        <w:tc>
          <w:tcPr>
            <w:tcW w:w="1023" w:type="pct"/>
            <w:gridSpan w:val="4"/>
            <w:vMerge w:val="restart"/>
            <w:tcBorders>
              <w:top w:val="single" w:sz="4" w:space="0" w:color="auto"/>
              <w:left w:val="nil"/>
              <w:right w:val="single" w:sz="4" w:space="0" w:color="auto"/>
            </w:tcBorders>
            <w:shd w:val="clear" w:color="auto" w:fill="auto"/>
            <w:noWrap/>
            <w:tcMar>
              <w:top w:w="15" w:type="dxa"/>
              <w:left w:w="15" w:type="dxa"/>
              <w:bottom w:w="0" w:type="dxa"/>
              <w:right w:w="15" w:type="dxa"/>
            </w:tcMar>
            <w:vAlign w:val="bottom"/>
            <w:hideMark/>
          </w:tcPr>
          <w:p w14:paraId="47975EA3" w14:textId="77777777" w:rsidR="0041121A" w:rsidRPr="00665D76" w:rsidRDefault="0041121A" w:rsidP="00311C34">
            <w:pPr>
              <w:rPr>
                <w:color w:val="000000"/>
                <w:sz w:val="24"/>
                <w:szCs w:val="24"/>
              </w:rPr>
            </w:pPr>
            <w:r w:rsidRPr="00665D76">
              <w:rPr>
                <w:color w:val="000000"/>
                <w:sz w:val="24"/>
                <w:szCs w:val="24"/>
              </w:rPr>
              <w:t> </w:t>
            </w:r>
          </w:p>
          <w:p w14:paraId="151676F3" w14:textId="77777777" w:rsidR="0041121A" w:rsidRPr="00665D76" w:rsidRDefault="0041121A" w:rsidP="00311C34">
            <w:pPr>
              <w:rPr>
                <w:color w:val="000000"/>
                <w:sz w:val="24"/>
                <w:szCs w:val="24"/>
              </w:rPr>
            </w:pPr>
            <w:r w:rsidRPr="00665D76">
              <w:rPr>
                <w:color w:val="000000"/>
                <w:sz w:val="24"/>
                <w:szCs w:val="24"/>
              </w:rPr>
              <w:t> </w:t>
            </w:r>
          </w:p>
          <w:p w14:paraId="19DDF2B0" w14:textId="77777777" w:rsidR="0041121A" w:rsidRPr="00665D76" w:rsidRDefault="0041121A" w:rsidP="00311C34">
            <w:pPr>
              <w:rPr>
                <w:color w:val="000000"/>
                <w:sz w:val="24"/>
                <w:szCs w:val="24"/>
              </w:rPr>
            </w:pPr>
            <w:r w:rsidRPr="00665D76">
              <w:rPr>
                <w:color w:val="000000"/>
                <w:sz w:val="24"/>
                <w:szCs w:val="24"/>
              </w:rPr>
              <w:t> </w:t>
            </w:r>
          </w:p>
          <w:p w14:paraId="72B41C6E" w14:textId="77777777" w:rsidR="0041121A" w:rsidRPr="00665D76" w:rsidRDefault="0041121A" w:rsidP="00311C34">
            <w:pPr>
              <w:rPr>
                <w:color w:val="000000"/>
                <w:sz w:val="24"/>
                <w:szCs w:val="24"/>
              </w:rPr>
            </w:pPr>
            <w:r w:rsidRPr="00665D76">
              <w:rPr>
                <w:color w:val="000000"/>
                <w:sz w:val="24"/>
                <w:szCs w:val="24"/>
              </w:rPr>
              <w:t> </w:t>
            </w:r>
          </w:p>
        </w:tc>
      </w:tr>
      <w:tr w:rsidR="0041121A" w:rsidRPr="00665D76" w14:paraId="075EA3FB" w14:textId="77777777" w:rsidTr="00976D63">
        <w:trPr>
          <w:trHeight w:val="397"/>
        </w:trPr>
        <w:tc>
          <w:tcPr>
            <w:tcW w:w="1945" w:type="pct"/>
            <w:gridSpan w:val="3"/>
            <w:vMerge/>
            <w:tcBorders>
              <w:left w:val="single" w:sz="4" w:space="0" w:color="auto"/>
              <w:right w:val="single" w:sz="4" w:space="0" w:color="auto"/>
            </w:tcBorders>
            <w:vAlign w:val="center"/>
          </w:tcPr>
          <w:p w14:paraId="413305D6" w14:textId="77777777" w:rsidR="0041121A" w:rsidRPr="00665D76" w:rsidRDefault="0041121A" w:rsidP="00311C34">
            <w:pPr>
              <w:rPr>
                <w:color w:val="000000"/>
                <w:sz w:val="24"/>
                <w:szCs w:val="24"/>
              </w:rPr>
            </w:pPr>
          </w:p>
        </w:tc>
        <w:tc>
          <w:tcPr>
            <w:tcW w:w="1015"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73B29E" w14:textId="75BC1174" w:rsidR="0041121A" w:rsidRPr="00665D76" w:rsidRDefault="0041121A" w:rsidP="00311C34">
            <w:pPr>
              <w:jc w:val="center"/>
              <w:rPr>
                <w:b/>
                <w:bCs/>
                <w:color w:val="000000"/>
                <w:sz w:val="24"/>
                <w:szCs w:val="24"/>
              </w:rPr>
            </w:pPr>
            <w:r w:rsidRPr="00665D76">
              <w:rPr>
                <w:b/>
                <w:bCs/>
                <w:color w:val="000000"/>
                <w:sz w:val="24"/>
                <w:szCs w:val="24"/>
              </w:rPr>
              <w:t>No (</w:t>
            </w:r>
            <w:r w:rsidR="005A46EC">
              <w:rPr>
                <w:b/>
                <w:bCs/>
                <w:color w:val="000000"/>
                <w:sz w:val="24"/>
                <w:szCs w:val="24"/>
              </w:rPr>
              <w:t>n</w:t>
            </w:r>
            <w:r w:rsidRPr="00665D76">
              <w:rPr>
                <w:b/>
                <w:bCs/>
                <w:color w:val="000000"/>
                <w:sz w:val="24"/>
                <w:szCs w:val="24"/>
              </w:rPr>
              <w:t>=232)</w:t>
            </w:r>
          </w:p>
        </w:tc>
        <w:tc>
          <w:tcPr>
            <w:tcW w:w="1016"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983A01" w14:textId="4AF6890C" w:rsidR="0041121A" w:rsidRPr="00665D76" w:rsidRDefault="0041121A" w:rsidP="00311C34">
            <w:pPr>
              <w:jc w:val="center"/>
              <w:rPr>
                <w:b/>
                <w:bCs/>
                <w:color w:val="000000"/>
                <w:sz w:val="24"/>
                <w:szCs w:val="24"/>
              </w:rPr>
            </w:pPr>
            <w:r w:rsidRPr="00665D76">
              <w:rPr>
                <w:b/>
                <w:bCs/>
                <w:color w:val="000000"/>
                <w:sz w:val="24"/>
                <w:szCs w:val="24"/>
              </w:rPr>
              <w:t>Yes (</w:t>
            </w:r>
            <w:r w:rsidR="005A46EC">
              <w:rPr>
                <w:b/>
                <w:bCs/>
                <w:color w:val="000000"/>
                <w:sz w:val="24"/>
                <w:szCs w:val="24"/>
              </w:rPr>
              <w:t>n</w:t>
            </w:r>
            <w:r w:rsidRPr="00665D76">
              <w:rPr>
                <w:b/>
                <w:bCs/>
                <w:color w:val="000000"/>
                <w:sz w:val="24"/>
                <w:szCs w:val="24"/>
              </w:rPr>
              <w:t>=223)</w:t>
            </w:r>
          </w:p>
        </w:tc>
        <w:tc>
          <w:tcPr>
            <w:tcW w:w="1023" w:type="pct"/>
            <w:gridSpan w:val="4"/>
            <w:vMerge/>
            <w:tcBorders>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613B3" w14:textId="77777777" w:rsidR="0041121A" w:rsidRPr="00665D76" w:rsidRDefault="0041121A" w:rsidP="00311C34">
            <w:pPr>
              <w:rPr>
                <w:color w:val="000000"/>
                <w:sz w:val="24"/>
                <w:szCs w:val="24"/>
              </w:rPr>
            </w:pPr>
          </w:p>
        </w:tc>
      </w:tr>
      <w:tr w:rsidR="0041121A" w:rsidRPr="00665D76" w14:paraId="6C74DDE1" w14:textId="77777777" w:rsidTr="00976D63">
        <w:trPr>
          <w:trHeight w:val="397"/>
        </w:trPr>
        <w:tc>
          <w:tcPr>
            <w:tcW w:w="1945" w:type="pct"/>
            <w:gridSpan w:val="3"/>
            <w:vMerge/>
            <w:tcBorders>
              <w:left w:val="single" w:sz="4" w:space="0" w:color="auto"/>
              <w:bottom w:val="single" w:sz="4" w:space="0" w:color="auto"/>
              <w:right w:val="single" w:sz="4" w:space="0" w:color="auto"/>
            </w:tcBorders>
            <w:vAlign w:val="center"/>
          </w:tcPr>
          <w:p w14:paraId="54C581AA" w14:textId="77777777" w:rsidR="0041121A" w:rsidRPr="00665D76" w:rsidRDefault="0041121A" w:rsidP="00311C34">
            <w:pPr>
              <w:rPr>
                <w:color w:val="000000"/>
                <w:sz w:val="24"/>
                <w:szCs w:val="24"/>
              </w:rPr>
            </w:pP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0C3A6A" w14:textId="6EF47F94" w:rsidR="0041121A" w:rsidRPr="00665D76" w:rsidRDefault="0041121A" w:rsidP="00311C34">
            <w:pPr>
              <w:jc w:val="center"/>
              <w:rPr>
                <w:color w:val="000000"/>
                <w:sz w:val="24"/>
                <w:szCs w:val="24"/>
              </w:rPr>
            </w:pPr>
            <w:r w:rsidRPr="00665D76">
              <w:rPr>
                <w:color w:val="000000"/>
                <w:sz w:val="24"/>
                <w:szCs w:val="24"/>
                <w:lang w:eastAsia="en-GB"/>
              </w:rPr>
              <w:t>Mean/</w:t>
            </w:r>
            <w:r w:rsidR="005A46EC">
              <w:rPr>
                <w:color w:val="000000"/>
                <w:sz w:val="24"/>
                <w:szCs w:val="24"/>
                <w:lang w:eastAsia="en-GB"/>
              </w:rPr>
              <w:t>n</w:t>
            </w:r>
          </w:p>
        </w:tc>
        <w:tc>
          <w:tcPr>
            <w:tcW w:w="5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29BE50" w14:textId="77777777" w:rsidR="0041121A" w:rsidRPr="00665D76" w:rsidRDefault="0041121A" w:rsidP="00311C34">
            <w:pPr>
              <w:jc w:val="center"/>
              <w:rPr>
                <w:color w:val="000000"/>
                <w:sz w:val="24"/>
                <w:szCs w:val="24"/>
              </w:rPr>
            </w:pPr>
            <w:r w:rsidRPr="00665D76">
              <w:rPr>
                <w:color w:val="000000"/>
                <w:sz w:val="24"/>
                <w:szCs w:val="24"/>
                <w:lang w:eastAsia="en-GB"/>
              </w:rPr>
              <w:t>Std Dev/%</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76D9AF" w14:textId="34CF3206" w:rsidR="0041121A" w:rsidRPr="00665D76" w:rsidRDefault="0041121A" w:rsidP="00311C34">
            <w:pPr>
              <w:jc w:val="center"/>
              <w:rPr>
                <w:color w:val="000000"/>
                <w:sz w:val="24"/>
                <w:szCs w:val="24"/>
              </w:rPr>
            </w:pPr>
            <w:r w:rsidRPr="00665D76">
              <w:rPr>
                <w:color w:val="000000"/>
                <w:sz w:val="24"/>
                <w:szCs w:val="24"/>
                <w:lang w:eastAsia="en-GB"/>
              </w:rPr>
              <w:t>Mean/</w:t>
            </w:r>
            <w:r w:rsidR="005A46EC">
              <w:rPr>
                <w:color w:val="000000"/>
                <w:sz w:val="24"/>
                <w:szCs w:val="24"/>
                <w:lang w:eastAsia="en-GB"/>
              </w:rPr>
              <w:t>n</w:t>
            </w:r>
          </w:p>
        </w:tc>
        <w:tc>
          <w:tcPr>
            <w:tcW w:w="559"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89C126" w14:textId="77777777" w:rsidR="0041121A" w:rsidRPr="00665D76" w:rsidRDefault="0041121A" w:rsidP="00311C34">
            <w:pPr>
              <w:jc w:val="center"/>
              <w:rPr>
                <w:color w:val="000000"/>
                <w:sz w:val="24"/>
                <w:szCs w:val="24"/>
              </w:rPr>
            </w:pPr>
            <w:r w:rsidRPr="00665D76">
              <w:rPr>
                <w:color w:val="000000"/>
                <w:sz w:val="24"/>
                <w:szCs w:val="24"/>
                <w:lang w:eastAsia="en-GB"/>
              </w:rPr>
              <w:t>Std Dev/%</w:t>
            </w:r>
          </w:p>
        </w:tc>
        <w:tc>
          <w:tcPr>
            <w:tcW w:w="544"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C3BFF2" w14:textId="77777777" w:rsidR="0041121A" w:rsidRPr="00665D76" w:rsidRDefault="0041121A" w:rsidP="00311C34">
            <w:pPr>
              <w:jc w:val="center"/>
              <w:rPr>
                <w:color w:val="000000"/>
                <w:sz w:val="24"/>
                <w:szCs w:val="24"/>
                <w:lang w:eastAsia="en-GB"/>
              </w:rPr>
            </w:pPr>
            <w:r w:rsidRPr="00665D76">
              <w:rPr>
                <w:color w:val="000000"/>
                <w:sz w:val="24"/>
                <w:szCs w:val="24"/>
                <w:lang w:eastAsia="en-GB"/>
              </w:rPr>
              <w:t>Statistical</w:t>
            </w:r>
          </w:p>
          <w:p w14:paraId="21A78B65" w14:textId="77777777" w:rsidR="0041121A" w:rsidRPr="00665D76" w:rsidRDefault="0041121A" w:rsidP="00311C34">
            <w:pPr>
              <w:jc w:val="center"/>
              <w:rPr>
                <w:color w:val="000000"/>
                <w:sz w:val="24"/>
                <w:szCs w:val="24"/>
              </w:rPr>
            </w:pPr>
            <w:r w:rsidRPr="00665D76">
              <w:rPr>
                <w:color w:val="000000"/>
                <w:sz w:val="24"/>
                <w:szCs w:val="24"/>
                <w:lang w:eastAsia="en-GB"/>
              </w:rPr>
              <w:t>test</w:t>
            </w:r>
          </w:p>
        </w:tc>
        <w:tc>
          <w:tcPr>
            <w:tcW w:w="4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9B6B6C" w14:textId="77777777" w:rsidR="0041121A" w:rsidRPr="00665D76" w:rsidRDefault="0041121A" w:rsidP="00311C34">
            <w:pPr>
              <w:jc w:val="center"/>
              <w:rPr>
                <w:color w:val="000000"/>
                <w:sz w:val="24"/>
                <w:szCs w:val="24"/>
              </w:rPr>
            </w:pPr>
            <w:r w:rsidRPr="00665D76">
              <w:rPr>
                <w:color w:val="000000"/>
                <w:sz w:val="24"/>
                <w:szCs w:val="24"/>
                <w:lang w:eastAsia="en-GB"/>
              </w:rPr>
              <w:t>P</w:t>
            </w:r>
          </w:p>
        </w:tc>
      </w:tr>
      <w:tr w:rsidR="0041121A" w:rsidRPr="00665D76" w14:paraId="47CB2C2D" w14:textId="77777777" w:rsidTr="00976D63">
        <w:trPr>
          <w:trHeight w:val="397"/>
        </w:trPr>
        <w:tc>
          <w:tcPr>
            <w:tcW w:w="1945" w:type="pct"/>
            <w:gridSpan w:val="3"/>
            <w:tcBorders>
              <w:top w:val="nil"/>
              <w:left w:val="single" w:sz="4" w:space="0" w:color="auto"/>
              <w:bottom w:val="single" w:sz="4" w:space="0" w:color="auto"/>
              <w:right w:val="single" w:sz="4" w:space="0" w:color="auto"/>
            </w:tcBorders>
            <w:vAlign w:val="center"/>
          </w:tcPr>
          <w:p w14:paraId="5A710429" w14:textId="77777777" w:rsidR="0041121A" w:rsidRPr="00665D76" w:rsidRDefault="0041121A" w:rsidP="00311C34">
            <w:pPr>
              <w:rPr>
                <w:b/>
                <w:bCs/>
                <w:color w:val="000000"/>
                <w:sz w:val="24"/>
                <w:szCs w:val="24"/>
              </w:rPr>
            </w:pPr>
            <w:r w:rsidRPr="00665D76">
              <w:rPr>
                <w:b/>
                <w:bCs/>
                <w:color w:val="000000"/>
                <w:sz w:val="24"/>
                <w:szCs w:val="24"/>
              </w:rPr>
              <w:t>Age, years</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CB989D0" w14:textId="77777777" w:rsidR="0041121A" w:rsidRPr="00665D76" w:rsidRDefault="0041121A" w:rsidP="00311C34">
            <w:pPr>
              <w:jc w:val="center"/>
              <w:rPr>
                <w:color w:val="000000"/>
                <w:sz w:val="24"/>
                <w:szCs w:val="24"/>
              </w:rPr>
            </w:pPr>
            <w:r w:rsidRPr="00665D76">
              <w:rPr>
                <w:color w:val="000000"/>
                <w:sz w:val="24"/>
                <w:szCs w:val="24"/>
              </w:rPr>
              <w:t>47.7</w:t>
            </w:r>
          </w:p>
        </w:tc>
        <w:tc>
          <w:tcPr>
            <w:tcW w:w="5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E8C023" w14:textId="77777777" w:rsidR="0041121A" w:rsidRPr="00665D76" w:rsidRDefault="0041121A" w:rsidP="00311C34">
            <w:pPr>
              <w:jc w:val="center"/>
              <w:rPr>
                <w:color w:val="000000"/>
                <w:sz w:val="24"/>
                <w:szCs w:val="24"/>
              </w:rPr>
            </w:pPr>
            <w:r w:rsidRPr="00665D76">
              <w:rPr>
                <w:color w:val="000000"/>
                <w:sz w:val="24"/>
                <w:szCs w:val="24"/>
              </w:rPr>
              <w:t>11.7</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1FD4CE" w14:textId="77777777" w:rsidR="0041121A" w:rsidRPr="00665D76" w:rsidRDefault="0041121A" w:rsidP="00311C34">
            <w:pPr>
              <w:jc w:val="center"/>
              <w:rPr>
                <w:color w:val="000000"/>
                <w:sz w:val="24"/>
                <w:szCs w:val="24"/>
              </w:rPr>
            </w:pPr>
            <w:r w:rsidRPr="00665D76">
              <w:rPr>
                <w:color w:val="000000"/>
                <w:sz w:val="24"/>
                <w:szCs w:val="24"/>
              </w:rPr>
              <w:t>47.6</w:t>
            </w:r>
          </w:p>
        </w:tc>
        <w:tc>
          <w:tcPr>
            <w:tcW w:w="559"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33D7B9" w14:textId="77777777" w:rsidR="0041121A" w:rsidRPr="00665D76" w:rsidRDefault="0041121A" w:rsidP="00311C34">
            <w:pPr>
              <w:jc w:val="center"/>
              <w:rPr>
                <w:color w:val="000000"/>
                <w:sz w:val="24"/>
                <w:szCs w:val="24"/>
              </w:rPr>
            </w:pPr>
            <w:r w:rsidRPr="00665D76">
              <w:rPr>
                <w:color w:val="000000"/>
                <w:sz w:val="24"/>
                <w:szCs w:val="24"/>
              </w:rPr>
              <w:t>10.4</w:t>
            </w:r>
          </w:p>
        </w:tc>
        <w:tc>
          <w:tcPr>
            <w:tcW w:w="544"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E7BBD6" w14:textId="77777777" w:rsidR="0041121A" w:rsidRPr="00665D76" w:rsidRDefault="0041121A" w:rsidP="00311C34">
            <w:pPr>
              <w:jc w:val="center"/>
              <w:rPr>
                <w:color w:val="000000"/>
                <w:sz w:val="24"/>
                <w:szCs w:val="24"/>
              </w:rPr>
            </w:pPr>
            <w:r w:rsidRPr="00665D76">
              <w:rPr>
                <w:color w:val="000000"/>
                <w:sz w:val="24"/>
                <w:szCs w:val="24"/>
              </w:rPr>
              <w:t>25217</w:t>
            </w:r>
          </w:p>
        </w:tc>
        <w:tc>
          <w:tcPr>
            <w:tcW w:w="4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1DBC3D" w14:textId="77777777" w:rsidR="0041121A" w:rsidRPr="00665D76" w:rsidRDefault="0041121A" w:rsidP="00311C34">
            <w:pPr>
              <w:jc w:val="center"/>
              <w:rPr>
                <w:color w:val="000000"/>
                <w:sz w:val="24"/>
                <w:szCs w:val="24"/>
              </w:rPr>
            </w:pPr>
            <w:r w:rsidRPr="00665D76">
              <w:rPr>
                <w:color w:val="000000"/>
                <w:sz w:val="24"/>
                <w:szCs w:val="24"/>
              </w:rPr>
              <w:t>0.759</w:t>
            </w:r>
          </w:p>
        </w:tc>
      </w:tr>
      <w:tr w:rsidR="0041121A" w:rsidRPr="00665D76" w14:paraId="6886B908" w14:textId="77777777" w:rsidTr="00976D63">
        <w:trPr>
          <w:trHeight w:val="397"/>
        </w:trPr>
        <w:tc>
          <w:tcPr>
            <w:tcW w:w="1422" w:type="pct"/>
            <w:vMerge w:val="restart"/>
            <w:tcBorders>
              <w:top w:val="nil"/>
              <w:left w:val="single" w:sz="4" w:space="0" w:color="auto"/>
              <w:right w:val="single" w:sz="4" w:space="0" w:color="auto"/>
            </w:tcBorders>
            <w:vAlign w:val="center"/>
          </w:tcPr>
          <w:p w14:paraId="586AA724" w14:textId="77777777" w:rsidR="0041121A" w:rsidRPr="00665D76" w:rsidRDefault="0041121A" w:rsidP="00311C34">
            <w:pPr>
              <w:rPr>
                <w:color w:val="000000"/>
                <w:sz w:val="24"/>
                <w:szCs w:val="24"/>
              </w:rPr>
            </w:pPr>
            <w:r w:rsidRPr="00665D76">
              <w:rPr>
                <w:b/>
                <w:bCs/>
                <w:color w:val="000000"/>
                <w:sz w:val="24"/>
                <w:szCs w:val="24"/>
              </w:rPr>
              <w:t>Sex</w:t>
            </w:r>
          </w:p>
        </w:tc>
        <w:tc>
          <w:tcPr>
            <w:tcW w:w="524"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9B0665" w14:textId="77777777" w:rsidR="0041121A" w:rsidRPr="00665D76" w:rsidRDefault="0041121A" w:rsidP="00311C34">
            <w:pPr>
              <w:rPr>
                <w:color w:val="000000"/>
                <w:sz w:val="24"/>
                <w:szCs w:val="24"/>
              </w:rPr>
            </w:pPr>
            <w:r w:rsidRPr="00665D76">
              <w:rPr>
                <w:color w:val="000000"/>
                <w:sz w:val="24"/>
                <w:szCs w:val="24"/>
              </w:rPr>
              <w:t>Female</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50FCE6" w14:textId="77777777" w:rsidR="0041121A" w:rsidRPr="00665D76" w:rsidRDefault="0041121A" w:rsidP="00311C34">
            <w:pPr>
              <w:jc w:val="center"/>
              <w:rPr>
                <w:color w:val="000000"/>
                <w:sz w:val="24"/>
                <w:szCs w:val="24"/>
              </w:rPr>
            </w:pPr>
            <w:r w:rsidRPr="00665D76">
              <w:rPr>
                <w:color w:val="000000"/>
                <w:sz w:val="24"/>
                <w:szCs w:val="24"/>
              </w:rPr>
              <w:t>107</w:t>
            </w:r>
          </w:p>
        </w:tc>
        <w:tc>
          <w:tcPr>
            <w:tcW w:w="5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02E3D6" w14:textId="77777777" w:rsidR="0041121A" w:rsidRPr="00665D76" w:rsidRDefault="0041121A" w:rsidP="00311C34">
            <w:pPr>
              <w:jc w:val="center"/>
              <w:rPr>
                <w:color w:val="000000"/>
                <w:sz w:val="24"/>
                <w:szCs w:val="24"/>
              </w:rPr>
            </w:pPr>
            <w:r w:rsidRPr="00665D76">
              <w:rPr>
                <w:color w:val="000000"/>
                <w:sz w:val="24"/>
                <w:szCs w:val="24"/>
              </w:rPr>
              <w:t>46.3%</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EB7251" w14:textId="77777777" w:rsidR="0041121A" w:rsidRPr="00665D76" w:rsidRDefault="0041121A" w:rsidP="00311C34">
            <w:pPr>
              <w:jc w:val="center"/>
              <w:rPr>
                <w:color w:val="000000"/>
                <w:sz w:val="24"/>
                <w:szCs w:val="24"/>
              </w:rPr>
            </w:pPr>
            <w:r w:rsidRPr="00665D76">
              <w:rPr>
                <w:color w:val="000000"/>
                <w:sz w:val="24"/>
                <w:szCs w:val="24"/>
              </w:rPr>
              <w:t>137</w:t>
            </w:r>
          </w:p>
        </w:tc>
        <w:tc>
          <w:tcPr>
            <w:tcW w:w="559"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8D64B7" w14:textId="77777777" w:rsidR="0041121A" w:rsidRPr="00665D76" w:rsidRDefault="0041121A" w:rsidP="00311C34">
            <w:pPr>
              <w:jc w:val="center"/>
              <w:rPr>
                <w:color w:val="000000"/>
                <w:sz w:val="24"/>
                <w:szCs w:val="24"/>
              </w:rPr>
            </w:pPr>
            <w:r w:rsidRPr="00665D76">
              <w:rPr>
                <w:color w:val="000000"/>
                <w:sz w:val="24"/>
                <w:szCs w:val="24"/>
              </w:rPr>
              <w:t>61.4%</w:t>
            </w:r>
          </w:p>
        </w:tc>
        <w:tc>
          <w:tcPr>
            <w:tcW w:w="544" w:type="pct"/>
            <w:gridSpan w:val="3"/>
            <w:vMerge w:val="restart"/>
            <w:tcBorders>
              <w:top w:val="nil"/>
              <w:left w:val="nil"/>
              <w:right w:val="single" w:sz="4" w:space="0" w:color="auto"/>
            </w:tcBorders>
            <w:shd w:val="clear" w:color="auto" w:fill="auto"/>
            <w:noWrap/>
            <w:tcMar>
              <w:top w:w="15" w:type="dxa"/>
              <w:left w:w="15" w:type="dxa"/>
              <w:bottom w:w="0" w:type="dxa"/>
              <w:right w:w="15" w:type="dxa"/>
            </w:tcMar>
            <w:vAlign w:val="center"/>
          </w:tcPr>
          <w:p w14:paraId="355DB1C6" w14:textId="77777777" w:rsidR="0041121A" w:rsidRPr="00665D76" w:rsidRDefault="0041121A" w:rsidP="00311C34">
            <w:pPr>
              <w:jc w:val="center"/>
              <w:rPr>
                <w:color w:val="000000"/>
                <w:sz w:val="24"/>
                <w:szCs w:val="24"/>
              </w:rPr>
            </w:pPr>
            <w:r w:rsidRPr="00665D76">
              <w:rPr>
                <w:color w:val="000000"/>
                <w:sz w:val="24"/>
                <w:szCs w:val="24"/>
              </w:rPr>
              <w:t>LR 10.471</w:t>
            </w:r>
          </w:p>
        </w:tc>
        <w:tc>
          <w:tcPr>
            <w:tcW w:w="479" w:type="pct"/>
            <w:vMerge w:val="restart"/>
            <w:tcBorders>
              <w:top w:val="nil"/>
              <w:left w:val="nil"/>
              <w:right w:val="single" w:sz="4" w:space="0" w:color="auto"/>
            </w:tcBorders>
            <w:shd w:val="clear" w:color="auto" w:fill="auto"/>
            <w:noWrap/>
            <w:tcMar>
              <w:top w:w="15" w:type="dxa"/>
              <w:left w:w="15" w:type="dxa"/>
              <w:bottom w:w="0" w:type="dxa"/>
              <w:right w:w="15" w:type="dxa"/>
            </w:tcMar>
            <w:vAlign w:val="center"/>
          </w:tcPr>
          <w:p w14:paraId="6679C4FB" w14:textId="77777777" w:rsidR="0041121A" w:rsidRPr="00665D76" w:rsidRDefault="0041121A" w:rsidP="00311C34">
            <w:pPr>
              <w:jc w:val="center"/>
              <w:rPr>
                <w:b/>
                <w:bCs/>
                <w:color w:val="000000"/>
                <w:sz w:val="24"/>
                <w:szCs w:val="24"/>
              </w:rPr>
            </w:pPr>
            <w:r w:rsidRPr="00665D76">
              <w:rPr>
                <w:b/>
                <w:bCs/>
                <w:color w:val="000000"/>
                <w:sz w:val="24"/>
                <w:szCs w:val="24"/>
              </w:rPr>
              <w:t>0.001**</w:t>
            </w:r>
          </w:p>
        </w:tc>
      </w:tr>
      <w:tr w:rsidR="0041121A" w:rsidRPr="00665D76" w14:paraId="560813B6" w14:textId="77777777" w:rsidTr="00976D63">
        <w:trPr>
          <w:trHeight w:val="397"/>
        </w:trPr>
        <w:tc>
          <w:tcPr>
            <w:tcW w:w="1422" w:type="pct"/>
            <w:vMerge/>
            <w:tcBorders>
              <w:left w:val="single" w:sz="4" w:space="0" w:color="auto"/>
              <w:bottom w:val="single" w:sz="4" w:space="0" w:color="auto"/>
              <w:right w:val="single" w:sz="4" w:space="0" w:color="auto"/>
            </w:tcBorders>
            <w:vAlign w:val="center"/>
          </w:tcPr>
          <w:p w14:paraId="13755EAC" w14:textId="77777777" w:rsidR="0041121A" w:rsidRPr="00665D76" w:rsidRDefault="0041121A" w:rsidP="00311C34">
            <w:pPr>
              <w:rPr>
                <w:color w:val="000000"/>
                <w:sz w:val="24"/>
                <w:szCs w:val="24"/>
              </w:rPr>
            </w:pPr>
          </w:p>
        </w:tc>
        <w:tc>
          <w:tcPr>
            <w:tcW w:w="524"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BD9C24" w14:textId="77777777" w:rsidR="0041121A" w:rsidRPr="00665D76" w:rsidRDefault="0041121A" w:rsidP="00311C34">
            <w:pPr>
              <w:rPr>
                <w:color w:val="000000"/>
                <w:sz w:val="24"/>
                <w:szCs w:val="24"/>
              </w:rPr>
            </w:pPr>
            <w:r w:rsidRPr="00665D76">
              <w:rPr>
                <w:color w:val="000000"/>
                <w:sz w:val="24"/>
                <w:szCs w:val="24"/>
              </w:rPr>
              <w:t>Male</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D1BD8A3" w14:textId="77777777" w:rsidR="0041121A" w:rsidRPr="00665D76" w:rsidRDefault="0041121A" w:rsidP="00311C34">
            <w:pPr>
              <w:jc w:val="center"/>
              <w:rPr>
                <w:color w:val="000000"/>
                <w:sz w:val="24"/>
                <w:szCs w:val="24"/>
              </w:rPr>
            </w:pPr>
            <w:r w:rsidRPr="00665D76">
              <w:rPr>
                <w:color w:val="000000"/>
                <w:sz w:val="24"/>
                <w:szCs w:val="24"/>
              </w:rPr>
              <w:t>124</w:t>
            </w:r>
          </w:p>
        </w:tc>
        <w:tc>
          <w:tcPr>
            <w:tcW w:w="5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52AA99" w14:textId="77777777" w:rsidR="0041121A" w:rsidRPr="00665D76" w:rsidRDefault="0041121A" w:rsidP="00311C34">
            <w:pPr>
              <w:jc w:val="center"/>
              <w:rPr>
                <w:color w:val="000000"/>
                <w:sz w:val="24"/>
                <w:szCs w:val="24"/>
              </w:rPr>
            </w:pPr>
            <w:r w:rsidRPr="00665D76">
              <w:rPr>
                <w:color w:val="000000"/>
                <w:sz w:val="24"/>
                <w:szCs w:val="24"/>
              </w:rPr>
              <w:t>53.7%</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679111" w14:textId="77777777" w:rsidR="0041121A" w:rsidRPr="00665D76" w:rsidRDefault="0041121A" w:rsidP="00311C34">
            <w:pPr>
              <w:jc w:val="center"/>
              <w:rPr>
                <w:color w:val="000000"/>
                <w:sz w:val="24"/>
                <w:szCs w:val="24"/>
              </w:rPr>
            </w:pPr>
            <w:r w:rsidRPr="00665D76">
              <w:rPr>
                <w:color w:val="000000"/>
                <w:sz w:val="24"/>
                <w:szCs w:val="24"/>
              </w:rPr>
              <w:t>86</w:t>
            </w:r>
          </w:p>
        </w:tc>
        <w:tc>
          <w:tcPr>
            <w:tcW w:w="559"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34F8CA" w14:textId="77777777" w:rsidR="0041121A" w:rsidRPr="00665D76" w:rsidRDefault="0041121A" w:rsidP="00311C34">
            <w:pPr>
              <w:jc w:val="center"/>
              <w:rPr>
                <w:color w:val="000000"/>
                <w:sz w:val="24"/>
                <w:szCs w:val="24"/>
              </w:rPr>
            </w:pPr>
            <w:r w:rsidRPr="00665D76">
              <w:rPr>
                <w:color w:val="000000"/>
                <w:sz w:val="24"/>
                <w:szCs w:val="24"/>
              </w:rPr>
              <w:t>38.6%</w:t>
            </w:r>
          </w:p>
        </w:tc>
        <w:tc>
          <w:tcPr>
            <w:tcW w:w="544" w:type="pct"/>
            <w:gridSpan w:val="3"/>
            <w:vMerge/>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393F64" w14:textId="77777777" w:rsidR="0041121A" w:rsidRPr="00665D76" w:rsidRDefault="0041121A" w:rsidP="00311C34">
            <w:pPr>
              <w:jc w:val="center"/>
              <w:rPr>
                <w:color w:val="000000"/>
                <w:sz w:val="24"/>
                <w:szCs w:val="24"/>
              </w:rPr>
            </w:pPr>
          </w:p>
        </w:tc>
        <w:tc>
          <w:tcPr>
            <w:tcW w:w="479" w:type="pct"/>
            <w:vMerge/>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41A949" w14:textId="77777777" w:rsidR="0041121A" w:rsidRPr="00665D76" w:rsidRDefault="0041121A" w:rsidP="00311C34">
            <w:pPr>
              <w:jc w:val="center"/>
              <w:rPr>
                <w:color w:val="000000"/>
                <w:sz w:val="24"/>
                <w:szCs w:val="24"/>
              </w:rPr>
            </w:pPr>
          </w:p>
        </w:tc>
      </w:tr>
      <w:tr w:rsidR="0041121A" w:rsidRPr="00665D76" w14:paraId="5EFA4831" w14:textId="77777777" w:rsidTr="00976D63">
        <w:trPr>
          <w:trHeight w:val="397"/>
        </w:trPr>
        <w:tc>
          <w:tcPr>
            <w:tcW w:w="1422" w:type="pct"/>
            <w:vMerge w:val="restart"/>
            <w:tcBorders>
              <w:top w:val="nil"/>
              <w:left w:val="single" w:sz="4" w:space="0" w:color="auto"/>
              <w:right w:val="single" w:sz="4" w:space="0" w:color="auto"/>
            </w:tcBorders>
            <w:vAlign w:val="center"/>
          </w:tcPr>
          <w:p w14:paraId="0EE8FDD1" w14:textId="77777777" w:rsidR="0041121A" w:rsidRPr="00665D76" w:rsidRDefault="0041121A" w:rsidP="00311C34">
            <w:pPr>
              <w:rPr>
                <w:color w:val="000000"/>
                <w:sz w:val="24"/>
                <w:szCs w:val="24"/>
              </w:rPr>
            </w:pPr>
            <w:r w:rsidRPr="00665D76">
              <w:rPr>
                <w:b/>
                <w:bCs/>
                <w:color w:val="000000"/>
                <w:sz w:val="24"/>
                <w:szCs w:val="24"/>
              </w:rPr>
              <w:t>Relationship/Marital  Status</w:t>
            </w:r>
          </w:p>
        </w:tc>
        <w:tc>
          <w:tcPr>
            <w:tcW w:w="524"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B5E0675" w14:textId="77777777" w:rsidR="0041121A" w:rsidRPr="00665D76" w:rsidRDefault="0041121A" w:rsidP="00311C34">
            <w:pPr>
              <w:rPr>
                <w:color w:val="000000"/>
                <w:sz w:val="24"/>
                <w:szCs w:val="24"/>
              </w:rPr>
            </w:pPr>
            <w:r w:rsidRPr="00665D76">
              <w:rPr>
                <w:color w:val="000000"/>
                <w:sz w:val="24"/>
                <w:szCs w:val="24"/>
              </w:rPr>
              <w:t>Single</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2A6D95" w14:textId="77777777" w:rsidR="0041121A" w:rsidRPr="00665D76" w:rsidRDefault="0041121A" w:rsidP="00311C34">
            <w:pPr>
              <w:jc w:val="center"/>
              <w:rPr>
                <w:color w:val="000000"/>
                <w:sz w:val="24"/>
                <w:szCs w:val="24"/>
              </w:rPr>
            </w:pPr>
            <w:r w:rsidRPr="00665D76">
              <w:rPr>
                <w:color w:val="000000"/>
                <w:sz w:val="24"/>
                <w:szCs w:val="24"/>
              </w:rPr>
              <w:t>74</w:t>
            </w:r>
          </w:p>
        </w:tc>
        <w:tc>
          <w:tcPr>
            <w:tcW w:w="5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BA8DA6" w14:textId="77777777" w:rsidR="0041121A" w:rsidRPr="00665D76" w:rsidRDefault="0041121A" w:rsidP="00311C34">
            <w:pPr>
              <w:jc w:val="center"/>
              <w:rPr>
                <w:color w:val="000000"/>
                <w:sz w:val="24"/>
                <w:szCs w:val="24"/>
              </w:rPr>
            </w:pPr>
            <w:r w:rsidRPr="00665D76">
              <w:rPr>
                <w:color w:val="000000"/>
                <w:sz w:val="24"/>
                <w:szCs w:val="24"/>
              </w:rPr>
              <w:t>32.2%</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D8ECB4" w14:textId="77777777" w:rsidR="0041121A" w:rsidRPr="00665D76" w:rsidRDefault="0041121A" w:rsidP="00311C34">
            <w:pPr>
              <w:jc w:val="center"/>
              <w:rPr>
                <w:color w:val="000000"/>
                <w:sz w:val="24"/>
                <w:szCs w:val="24"/>
              </w:rPr>
            </w:pPr>
            <w:r w:rsidRPr="00665D76">
              <w:rPr>
                <w:color w:val="000000"/>
                <w:sz w:val="24"/>
                <w:szCs w:val="24"/>
              </w:rPr>
              <w:t>62</w:t>
            </w:r>
          </w:p>
        </w:tc>
        <w:tc>
          <w:tcPr>
            <w:tcW w:w="559"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FD7AB3" w14:textId="77777777" w:rsidR="0041121A" w:rsidRPr="00665D76" w:rsidRDefault="0041121A" w:rsidP="00311C34">
            <w:pPr>
              <w:jc w:val="center"/>
              <w:rPr>
                <w:color w:val="000000"/>
                <w:sz w:val="24"/>
                <w:szCs w:val="24"/>
              </w:rPr>
            </w:pPr>
            <w:r w:rsidRPr="00665D76">
              <w:rPr>
                <w:color w:val="000000"/>
                <w:sz w:val="24"/>
                <w:szCs w:val="24"/>
              </w:rPr>
              <w:t>27.9%</w:t>
            </w:r>
          </w:p>
        </w:tc>
        <w:tc>
          <w:tcPr>
            <w:tcW w:w="544" w:type="pct"/>
            <w:gridSpan w:val="3"/>
            <w:vMerge w:val="restart"/>
            <w:tcBorders>
              <w:top w:val="nil"/>
              <w:left w:val="nil"/>
              <w:right w:val="single" w:sz="4" w:space="0" w:color="auto"/>
            </w:tcBorders>
            <w:shd w:val="clear" w:color="auto" w:fill="auto"/>
            <w:noWrap/>
            <w:tcMar>
              <w:top w:w="15" w:type="dxa"/>
              <w:left w:w="15" w:type="dxa"/>
              <w:bottom w:w="0" w:type="dxa"/>
              <w:right w:w="15" w:type="dxa"/>
            </w:tcMar>
            <w:vAlign w:val="center"/>
          </w:tcPr>
          <w:p w14:paraId="2958FF8B" w14:textId="77777777" w:rsidR="0041121A" w:rsidRPr="00665D76" w:rsidRDefault="0041121A" w:rsidP="00311C34">
            <w:pPr>
              <w:jc w:val="center"/>
              <w:rPr>
                <w:color w:val="000000"/>
                <w:sz w:val="24"/>
                <w:szCs w:val="24"/>
              </w:rPr>
            </w:pPr>
            <w:r w:rsidRPr="00665D76">
              <w:rPr>
                <w:color w:val="000000"/>
                <w:sz w:val="24"/>
                <w:szCs w:val="24"/>
              </w:rPr>
              <w:t>LR 7.754</w:t>
            </w:r>
          </w:p>
        </w:tc>
        <w:tc>
          <w:tcPr>
            <w:tcW w:w="479" w:type="pct"/>
            <w:vMerge w:val="restart"/>
            <w:tcBorders>
              <w:top w:val="nil"/>
              <w:left w:val="nil"/>
              <w:right w:val="single" w:sz="4" w:space="0" w:color="auto"/>
            </w:tcBorders>
            <w:shd w:val="clear" w:color="auto" w:fill="auto"/>
            <w:noWrap/>
            <w:tcMar>
              <w:top w:w="15" w:type="dxa"/>
              <w:left w:w="15" w:type="dxa"/>
              <w:bottom w:w="0" w:type="dxa"/>
              <w:right w:w="15" w:type="dxa"/>
            </w:tcMar>
            <w:vAlign w:val="center"/>
          </w:tcPr>
          <w:p w14:paraId="56503B28" w14:textId="77777777" w:rsidR="0041121A" w:rsidRPr="00665D76" w:rsidRDefault="0041121A" w:rsidP="00311C34">
            <w:pPr>
              <w:jc w:val="center"/>
              <w:rPr>
                <w:color w:val="000000"/>
                <w:sz w:val="24"/>
                <w:szCs w:val="24"/>
              </w:rPr>
            </w:pPr>
            <w:r w:rsidRPr="00665D76">
              <w:rPr>
                <w:color w:val="000000"/>
                <w:sz w:val="24"/>
                <w:szCs w:val="24"/>
              </w:rPr>
              <w:t>0.051</w:t>
            </w:r>
          </w:p>
        </w:tc>
      </w:tr>
      <w:tr w:rsidR="0041121A" w:rsidRPr="00665D76" w14:paraId="727A5F4A" w14:textId="77777777" w:rsidTr="00976D63">
        <w:trPr>
          <w:trHeight w:val="397"/>
        </w:trPr>
        <w:tc>
          <w:tcPr>
            <w:tcW w:w="1422" w:type="pct"/>
            <w:vMerge/>
            <w:tcBorders>
              <w:left w:val="single" w:sz="4" w:space="0" w:color="auto"/>
              <w:right w:val="single" w:sz="4" w:space="0" w:color="auto"/>
            </w:tcBorders>
            <w:vAlign w:val="center"/>
          </w:tcPr>
          <w:p w14:paraId="42B077C3" w14:textId="77777777" w:rsidR="0041121A" w:rsidRPr="00665D76" w:rsidRDefault="0041121A" w:rsidP="00311C34">
            <w:pPr>
              <w:rPr>
                <w:color w:val="000000"/>
                <w:sz w:val="24"/>
                <w:szCs w:val="24"/>
              </w:rPr>
            </w:pPr>
          </w:p>
        </w:tc>
        <w:tc>
          <w:tcPr>
            <w:tcW w:w="524"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EF4644" w14:textId="77777777" w:rsidR="0041121A" w:rsidRPr="00665D76" w:rsidRDefault="0041121A" w:rsidP="00311C34">
            <w:pPr>
              <w:rPr>
                <w:color w:val="000000"/>
                <w:sz w:val="24"/>
                <w:szCs w:val="24"/>
              </w:rPr>
            </w:pPr>
            <w:r w:rsidRPr="00665D76">
              <w:rPr>
                <w:color w:val="000000"/>
                <w:sz w:val="24"/>
                <w:szCs w:val="24"/>
              </w:rPr>
              <w:t>Married</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674AB0" w14:textId="77777777" w:rsidR="0041121A" w:rsidRPr="00665D76" w:rsidRDefault="0041121A" w:rsidP="00311C34">
            <w:pPr>
              <w:jc w:val="center"/>
              <w:rPr>
                <w:color w:val="000000"/>
                <w:sz w:val="24"/>
                <w:szCs w:val="24"/>
              </w:rPr>
            </w:pPr>
            <w:r w:rsidRPr="00665D76">
              <w:rPr>
                <w:color w:val="000000"/>
                <w:sz w:val="24"/>
                <w:szCs w:val="24"/>
              </w:rPr>
              <w:t>91</w:t>
            </w:r>
          </w:p>
        </w:tc>
        <w:tc>
          <w:tcPr>
            <w:tcW w:w="5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9A90D51" w14:textId="77777777" w:rsidR="0041121A" w:rsidRPr="00665D76" w:rsidRDefault="0041121A" w:rsidP="00311C34">
            <w:pPr>
              <w:jc w:val="center"/>
              <w:rPr>
                <w:color w:val="000000"/>
                <w:sz w:val="24"/>
                <w:szCs w:val="24"/>
              </w:rPr>
            </w:pPr>
            <w:r w:rsidRPr="00665D76">
              <w:rPr>
                <w:color w:val="000000"/>
                <w:sz w:val="24"/>
                <w:szCs w:val="24"/>
              </w:rPr>
              <w:t>39.6%</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70ABEC" w14:textId="77777777" w:rsidR="0041121A" w:rsidRPr="00665D76" w:rsidRDefault="0041121A" w:rsidP="00311C34">
            <w:pPr>
              <w:jc w:val="center"/>
              <w:rPr>
                <w:color w:val="000000"/>
                <w:sz w:val="24"/>
                <w:szCs w:val="24"/>
              </w:rPr>
            </w:pPr>
            <w:r w:rsidRPr="00665D76">
              <w:rPr>
                <w:color w:val="000000"/>
                <w:sz w:val="24"/>
                <w:szCs w:val="24"/>
              </w:rPr>
              <w:t>109</w:t>
            </w:r>
          </w:p>
        </w:tc>
        <w:tc>
          <w:tcPr>
            <w:tcW w:w="559"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807238" w14:textId="77777777" w:rsidR="0041121A" w:rsidRPr="00665D76" w:rsidRDefault="0041121A" w:rsidP="00311C34">
            <w:pPr>
              <w:jc w:val="center"/>
              <w:rPr>
                <w:color w:val="000000"/>
                <w:sz w:val="24"/>
                <w:szCs w:val="24"/>
              </w:rPr>
            </w:pPr>
            <w:r w:rsidRPr="00665D76">
              <w:rPr>
                <w:color w:val="000000"/>
                <w:sz w:val="24"/>
                <w:szCs w:val="24"/>
              </w:rPr>
              <w:t>49.1%</w:t>
            </w:r>
          </w:p>
        </w:tc>
        <w:tc>
          <w:tcPr>
            <w:tcW w:w="544" w:type="pct"/>
            <w:gridSpan w:val="3"/>
            <w:vMerge/>
            <w:tcBorders>
              <w:left w:val="nil"/>
              <w:right w:val="single" w:sz="4" w:space="0" w:color="auto"/>
            </w:tcBorders>
            <w:shd w:val="clear" w:color="auto" w:fill="auto"/>
            <w:noWrap/>
            <w:tcMar>
              <w:top w:w="15" w:type="dxa"/>
              <w:left w:w="15" w:type="dxa"/>
              <w:bottom w:w="0" w:type="dxa"/>
              <w:right w:w="15" w:type="dxa"/>
            </w:tcMar>
            <w:vAlign w:val="center"/>
          </w:tcPr>
          <w:p w14:paraId="00AAC75B" w14:textId="77777777" w:rsidR="0041121A" w:rsidRPr="00665D76" w:rsidRDefault="0041121A" w:rsidP="00311C34">
            <w:pPr>
              <w:jc w:val="center"/>
              <w:rPr>
                <w:color w:val="000000"/>
                <w:sz w:val="24"/>
                <w:szCs w:val="24"/>
              </w:rPr>
            </w:pPr>
          </w:p>
        </w:tc>
        <w:tc>
          <w:tcPr>
            <w:tcW w:w="479" w:type="pct"/>
            <w:vMerge/>
            <w:tcBorders>
              <w:left w:val="nil"/>
              <w:right w:val="single" w:sz="4" w:space="0" w:color="auto"/>
            </w:tcBorders>
            <w:shd w:val="clear" w:color="auto" w:fill="auto"/>
            <w:noWrap/>
            <w:tcMar>
              <w:top w:w="15" w:type="dxa"/>
              <w:left w:w="15" w:type="dxa"/>
              <w:bottom w:w="0" w:type="dxa"/>
              <w:right w:w="15" w:type="dxa"/>
            </w:tcMar>
            <w:vAlign w:val="center"/>
          </w:tcPr>
          <w:p w14:paraId="32AEAEF3" w14:textId="77777777" w:rsidR="0041121A" w:rsidRPr="00665D76" w:rsidRDefault="0041121A" w:rsidP="00311C34">
            <w:pPr>
              <w:jc w:val="center"/>
              <w:rPr>
                <w:color w:val="000000"/>
                <w:sz w:val="24"/>
                <w:szCs w:val="24"/>
              </w:rPr>
            </w:pPr>
          </w:p>
        </w:tc>
      </w:tr>
      <w:tr w:rsidR="0041121A" w:rsidRPr="00665D76" w14:paraId="2C13738F" w14:textId="77777777" w:rsidTr="00976D63">
        <w:trPr>
          <w:trHeight w:val="397"/>
        </w:trPr>
        <w:tc>
          <w:tcPr>
            <w:tcW w:w="1422" w:type="pct"/>
            <w:vMerge/>
            <w:tcBorders>
              <w:left w:val="single" w:sz="4" w:space="0" w:color="auto"/>
              <w:right w:val="single" w:sz="4" w:space="0" w:color="auto"/>
            </w:tcBorders>
            <w:vAlign w:val="center"/>
          </w:tcPr>
          <w:p w14:paraId="5BA69C5E" w14:textId="77777777" w:rsidR="0041121A" w:rsidRPr="00665D76" w:rsidRDefault="0041121A" w:rsidP="00311C34">
            <w:pPr>
              <w:rPr>
                <w:color w:val="000000"/>
                <w:sz w:val="24"/>
                <w:szCs w:val="24"/>
              </w:rPr>
            </w:pPr>
          </w:p>
        </w:tc>
        <w:tc>
          <w:tcPr>
            <w:tcW w:w="524"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C9BBC2" w14:textId="77777777" w:rsidR="0041121A" w:rsidRPr="00665D76" w:rsidRDefault="0041121A" w:rsidP="00311C34">
            <w:pPr>
              <w:rPr>
                <w:color w:val="000000"/>
                <w:sz w:val="24"/>
                <w:szCs w:val="24"/>
              </w:rPr>
            </w:pPr>
            <w:r w:rsidRPr="00665D76">
              <w:rPr>
                <w:color w:val="000000"/>
                <w:sz w:val="24"/>
                <w:szCs w:val="24"/>
              </w:rPr>
              <w:t>Divorced</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34D3BF" w14:textId="77777777" w:rsidR="0041121A" w:rsidRPr="00665D76" w:rsidRDefault="0041121A" w:rsidP="00311C34">
            <w:pPr>
              <w:jc w:val="center"/>
              <w:rPr>
                <w:color w:val="000000"/>
                <w:sz w:val="24"/>
                <w:szCs w:val="24"/>
              </w:rPr>
            </w:pPr>
            <w:r w:rsidRPr="00665D76">
              <w:rPr>
                <w:color w:val="000000"/>
                <w:sz w:val="24"/>
                <w:szCs w:val="24"/>
              </w:rPr>
              <w:t>54</w:t>
            </w:r>
          </w:p>
        </w:tc>
        <w:tc>
          <w:tcPr>
            <w:tcW w:w="5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AC3129" w14:textId="77777777" w:rsidR="0041121A" w:rsidRPr="00665D76" w:rsidRDefault="0041121A" w:rsidP="00311C34">
            <w:pPr>
              <w:jc w:val="center"/>
              <w:rPr>
                <w:color w:val="000000"/>
                <w:sz w:val="24"/>
                <w:szCs w:val="24"/>
              </w:rPr>
            </w:pPr>
            <w:r w:rsidRPr="00665D76">
              <w:rPr>
                <w:color w:val="000000"/>
                <w:sz w:val="24"/>
                <w:szCs w:val="24"/>
              </w:rPr>
              <w:t>23.5%</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E6C583" w14:textId="77777777" w:rsidR="0041121A" w:rsidRPr="00665D76" w:rsidRDefault="0041121A" w:rsidP="00311C34">
            <w:pPr>
              <w:jc w:val="center"/>
              <w:rPr>
                <w:color w:val="000000"/>
                <w:sz w:val="24"/>
                <w:szCs w:val="24"/>
              </w:rPr>
            </w:pPr>
            <w:r w:rsidRPr="00665D76">
              <w:rPr>
                <w:color w:val="000000"/>
                <w:sz w:val="24"/>
                <w:szCs w:val="24"/>
              </w:rPr>
              <w:t>48</w:t>
            </w:r>
          </w:p>
        </w:tc>
        <w:tc>
          <w:tcPr>
            <w:tcW w:w="559"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3427B5" w14:textId="77777777" w:rsidR="0041121A" w:rsidRPr="00665D76" w:rsidRDefault="0041121A" w:rsidP="00311C34">
            <w:pPr>
              <w:jc w:val="center"/>
              <w:rPr>
                <w:color w:val="000000"/>
                <w:sz w:val="24"/>
                <w:szCs w:val="24"/>
              </w:rPr>
            </w:pPr>
            <w:r w:rsidRPr="00665D76">
              <w:rPr>
                <w:color w:val="000000"/>
                <w:sz w:val="24"/>
                <w:szCs w:val="24"/>
              </w:rPr>
              <w:t>21.6%</w:t>
            </w:r>
          </w:p>
        </w:tc>
        <w:tc>
          <w:tcPr>
            <w:tcW w:w="544" w:type="pct"/>
            <w:gridSpan w:val="3"/>
            <w:vMerge/>
            <w:tcBorders>
              <w:left w:val="nil"/>
              <w:right w:val="single" w:sz="4" w:space="0" w:color="auto"/>
            </w:tcBorders>
            <w:shd w:val="clear" w:color="auto" w:fill="auto"/>
            <w:noWrap/>
            <w:tcMar>
              <w:top w:w="15" w:type="dxa"/>
              <w:left w:w="15" w:type="dxa"/>
              <w:bottom w:w="0" w:type="dxa"/>
              <w:right w:w="15" w:type="dxa"/>
            </w:tcMar>
            <w:vAlign w:val="center"/>
          </w:tcPr>
          <w:p w14:paraId="5FE3FA8E" w14:textId="77777777" w:rsidR="0041121A" w:rsidRPr="00665D76" w:rsidRDefault="0041121A" w:rsidP="00311C34">
            <w:pPr>
              <w:jc w:val="center"/>
              <w:rPr>
                <w:color w:val="000000"/>
                <w:sz w:val="24"/>
                <w:szCs w:val="24"/>
              </w:rPr>
            </w:pPr>
          </w:p>
        </w:tc>
        <w:tc>
          <w:tcPr>
            <w:tcW w:w="479" w:type="pct"/>
            <w:vMerge/>
            <w:tcBorders>
              <w:left w:val="nil"/>
              <w:right w:val="single" w:sz="4" w:space="0" w:color="auto"/>
            </w:tcBorders>
            <w:shd w:val="clear" w:color="auto" w:fill="auto"/>
            <w:noWrap/>
            <w:tcMar>
              <w:top w:w="15" w:type="dxa"/>
              <w:left w:w="15" w:type="dxa"/>
              <w:bottom w:w="0" w:type="dxa"/>
              <w:right w:w="15" w:type="dxa"/>
            </w:tcMar>
            <w:vAlign w:val="center"/>
          </w:tcPr>
          <w:p w14:paraId="48101571" w14:textId="77777777" w:rsidR="0041121A" w:rsidRPr="00665D76" w:rsidRDefault="0041121A" w:rsidP="00311C34">
            <w:pPr>
              <w:jc w:val="center"/>
              <w:rPr>
                <w:color w:val="000000"/>
                <w:sz w:val="24"/>
                <w:szCs w:val="24"/>
              </w:rPr>
            </w:pPr>
          </w:p>
        </w:tc>
      </w:tr>
      <w:tr w:rsidR="0041121A" w:rsidRPr="00665D76" w14:paraId="53C54663" w14:textId="77777777" w:rsidTr="00976D63">
        <w:trPr>
          <w:trHeight w:val="397"/>
        </w:trPr>
        <w:tc>
          <w:tcPr>
            <w:tcW w:w="1422" w:type="pct"/>
            <w:vMerge/>
            <w:tcBorders>
              <w:left w:val="single" w:sz="4" w:space="0" w:color="auto"/>
              <w:bottom w:val="single" w:sz="4" w:space="0" w:color="auto"/>
              <w:right w:val="single" w:sz="4" w:space="0" w:color="auto"/>
            </w:tcBorders>
            <w:vAlign w:val="center"/>
          </w:tcPr>
          <w:p w14:paraId="0144F0D2" w14:textId="77777777" w:rsidR="0041121A" w:rsidRPr="00665D76" w:rsidRDefault="0041121A" w:rsidP="00311C34">
            <w:pPr>
              <w:rPr>
                <w:color w:val="000000"/>
                <w:sz w:val="24"/>
                <w:szCs w:val="24"/>
              </w:rPr>
            </w:pPr>
          </w:p>
        </w:tc>
        <w:tc>
          <w:tcPr>
            <w:tcW w:w="524"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D760C9" w14:textId="77777777" w:rsidR="0041121A" w:rsidRPr="00665D76" w:rsidRDefault="0041121A" w:rsidP="00311C34">
            <w:pPr>
              <w:rPr>
                <w:color w:val="000000"/>
                <w:sz w:val="24"/>
                <w:szCs w:val="24"/>
              </w:rPr>
            </w:pPr>
            <w:r w:rsidRPr="00665D76">
              <w:rPr>
                <w:color w:val="000000"/>
                <w:sz w:val="24"/>
                <w:szCs w:val="24"/>
              </w:rPr>
              <w:t>Other</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A8D735" w14:textId="77777777" w:rsidR="0041121A" w:rsidRPr="00665D76" w:rsidRDefault="0041121A" w:rsidP="00311C34">
            <w:pPr>
              <w:jc w:val="center"/>
              <w:rPr>
                <w:color w:val="000000"/>
                <w:sz w:val="24"/>
                <w:szCs w:val="24"/>
              </w:rPr>
            </w:pPr>
            <w:r w:rsidRPr="00665D76">
              <w:rPr>
                <w:color w:val="000000"/>
                <w:sz w:val="24"/>
                <w:szCs w:val="24"/>
              </w:rPr>
              <w:t>11</w:t>
            </w:r>
          </w:p>
        </w:tc>
        <w:tc>
          <w:tcPr>
            <w:tcW w:w="5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550FE7" w14:textId="77777777" w:rsidR="0041121A" w:rsidRPr="00665D76" w:rsidRDefault="0041121A" w:rsidP="00311C34">
            <w:pPr>
              <w:jc w:val="center"/>
              <w:rPr>
                <w:color w:val="000000"/>
                <w:sz w:val="24"/>
                <w:szCs w:val="24"/>
              </w:rPr>
            </w:pPr>
            <w:r w:rsidRPr="00665D76">
              <w:rPr>
                <w:color w:val="000000"/>
                <w:sz w:val="24"/>
                <w:szCs w:val="24"/>
              </w:rPr>
              <w:t>4.7%</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74FF04D" w14:textId="77777777" w:rsidR="0041121A" w:rsidRPr="00665D76" w:rsidRDefault="0041121A" w:rsidP="00311C34">
            <w:pPr>
              <w:jc w:val="center"/>
              <w:rPr>
                <w:color w:val="000000"/>
                <w:sz w:val="24"/>
                <w:szCs w:val="24"/>
              </w:rPr>
            </w:pPr>
            <w:r w:rsidRPr="00665D76">
              <w:rPr>
                <w:color w:val="000000"/>
                <w:sz w:val="24"/>
                <w:szCs w:val="24"/>
              </w:rPr>
              <w:t>3</w:t>
            </w:r>
          </w:p>
        </w:tc>
        <w:tc>
          <w:tcPr>
            <w:tcW w:w="559"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C29C94" w14:textId="77777777" w:rsidR="0041121A" w:rsidRPr="00665D76" w:rsidRDefault="0041121A" w:rsidP="00311C34">
            <w:pPr>
              <w:jc w:val="center"/>
              <w:rPr>
                <w:color w:val="000000"/>
                <w:sz w:val="24"/>
                <w:szCs w:val="24"/>
              </w:rPr>
            </w:pPr>
            <w:r w:rsidRPr="00665D76">
              <w:rPr>
                <w:color w:val="000000"/>
                <w:sz w:val="24"/>
                <w:szCs w:val="24"/>
              </w:rPr>
              <w:t>1.4%</w:t>
            </w:r>
          </w:p>
        </w:tc>
        <w:tc>
          <w:tcPr>
            <w:tcW w:w="544" w:type="pct"/>
            <w:gridSpan w:val="3"/>
            <w:vMerge/>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FDB51B" w14:textId="77777777" w:rsidR="0041121A" w:rsidRPr="00665D76" w:rsidRDefault="0041121A" w:rsidP="00311C34">
            <w:pPr>
              <w:jc w:val="center"/>
              <w:rPr>
                <w:color w:val="000000"/>
                <w:sz w:val="24"/>
                <w:szCs w:val="24"/>
              </w:rPr>
            </w:pPr>
          </w:p>
        </w:tc>
        <w:tc>
          <w:tcPr>
            <w:tcW w:w="479" w:type="pct"/>
            <w:vMerge/>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199065" w14:textId="77777777" w:rsidR="0041121A" w:rsidRPr="00665D76" w:rsidRDefault="0041121A" w:rsidP="00311C34">
            <w:pPr>
              <w:jc w:val="center"/>
              <w:rPr>
                <w:color w:val="000000"/>
                <w:sz w:val="24"/>
                <w:szCs w:val="24"/>
              </w:rPr>
            </w:pPr>
          </w:p>
        </w:tc>
      </w:tr>
      <w:tr w:rsidR="0041121A" w:rsidRPr="00665D76" w14:paraId="2ADA2259" w14:textId="77777777" w:rsidTr="00976D63">
        <w:trPr>
          <w:trHeight w:val="397"/>
        </w:trPr>
        <w:tc>
          <w:tcPr>
            <w:tcW w:w="1422" w:type="pct"/>
            <w:vMerge w:val="restart"/>
            <w:tcBorders>
              <w:top w:val="single" w:sz="4" w:space="0" w:color="auto"/>
              <w:left w:val="single" w:sz="4" w:space="0" w:color="auto"/>
              <w:bottom w:val="single" w:sz="4" w:space="0" w:color="auto"/>
              <w:right w:val="single" w:sz="4" w:space="0" w:color="auto"/>
            </w:tcBorders>
            <w:vAlign w:val="center"/>
          </w:tcPr>
          <w:p w14:paraId="522A19AF" w14:textId="77777777" w:rsidR="0041121A" w:rsidRPr="00665D76" w:rsidRDefault="0041121A" w:rsidP="00311C34">
            <w:pPr>
              <w:rPr>
                <w:color w:val="000000"/>
                <w:sz w:val="24"/>
                <w:szCs w:val="24"/>
              </w:rPr>
            </w:pPr>
            <w:r w:rsidRPr="00665D76">
              <w:rPr>
                <w:b/>
                <w:bCs/>
                <w:color w:val="000000"/>
                <w:sz w:val="24"/>
                <w:szCs w:val="24"/>
              </w:rPr>
              <w:t>Racial-ethnic group</w:t>
            </w:r>
          </w:p>
        </w:tc>
        <w:tc>
          <w:tcPr>
            <w:tcW w:w="524"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28209F" w14:textId="77777777" w:rsidR="0041121A" w:rsidRPr="00665D76" w:rsidRDefault="0041121A" w:rsidP="00311C34">
            <w:pPr>
              <w:rPr>
                <w:color w:val="000000"/>
                <w:sz w:val="24"/>
                <w:szCs w:val="24"/>
              </w:rPr>
            </w:pPr>
            <w:r w:rsidRPr="00665D76">
              <w:rPr>
                <w:color w:val="000000"/>
                <w:sz w:val="24"/>
                <w:szCs w:val="24"/>
              </w:rPr>
              <w:t>Caucasian</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7849A2" w14:textId="77777777" w:rsidR="0041121A" w:rsidRPr="00665D76" w:rsidRDefault="0041121A" w:rsidP="00311C34">
            <w:pPr>
              <w:jc w:val="center"/>
              <w:rPr>
                <w:color w:val="000000"/>
                <w:sz w:val="24"/>
                <w:szCs w:val="24"/>
              </w:rPr>
            </w:pPr>
            <w:r w:rsidRPr="00665D76">
              <w:rPr>
                <w:color w:val="000000"/>
                <w:sz w:val="24"/>
                <w:szCs w:val="24"/>
              </w:rPr>
              <w:t>176</w:t>
            </w:r>
          </w:p>
        </w:tc>
        <w:tc>
          <w:tcPr>
            <w:tcW w:w="5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AD8578" w14:textId="77777777" w:rsidR="0041121A" w:rsidRPr="00665D76" w:rsidRDefault="0041121A" w:rsidP="00311C34">
            <w:pPr>
              <w:jc w:val="center"/>
              <w:rPr>
                <w:color w:val="000000"/>
                <w:sz w:val="24"/>
                <w:szCs w:val="24"/>
              </w:rPr>
            </w:pPr>
            <w:r w:rsidRPr="00665D76">
              <w:rPr>
                <w:color w:val="000000"/>
                <w:sz w:val="24"/>
                <w:szCs w:val="24"/>
              </w:rPr>
              <w:t>90.3%</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E64096" w14:textId="77777777" w:rsidR="0041121A" w:rsidRPr="00665D76" w:rsidRDefault="0041121A" w:rsidP="00311C34">
            <w:pPr>
              <w:jc w:val="center"/>
              <w:rPr>
                <w:color w:val="000000"/>
                <w:sz w:val="24"/>
                <w:szCs w:val="24"/>
              </w:rPr>
            </w:pPr>
            <w:r w:rsidRPr="00665D76">
              <w:rPr>
                <w:color w:val="000000"/>
                <w:sz w:val="24"/>
                <w:szCs w:val="24"/>
              </w:rPr>
              <w:t>186</w:t>
            </w:r>
          </w:p>
        </w:tc>
        <w:tc>
          <w:tcPr>
            <w:tcW w:w="559"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488BDD" w14:textId="77777777" w:rsidR="0041121A" w:rsidRPr="00665D76" w:rsidRDefault="0041121A" w:rsidP="00311C34">
            <w:pPr>
              <w:jc w:val="center"/>
              <w:rPr>
                <w:color w:val="000000"/>
                <w:sz w:val="24"/>
                <w:szCs w:val="24"/>
              </w:rPr>
            </w:pPr>
            <w:r w:rsidRPr="00665D76">
              <w:rPr>
                <w:color w:val="000000"/>
                <w:sz w:val="24"/>
                <w:szCs w:val="24"/>
              </w:rPr>
              <w:t>90.3%</w:t>
            </w:r>
          </w:p>
        </w:tc>
        <w:tc>
          <w:tcPr>
            <w:tcW w:w="544" w:type="pct"/>
            <w:gridSpan w:val="3"/>
            <w:vMerge w:val="restar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2A812B" w14:textId="77777777" w:rsidR="0041121A" w:rsidRPr="00665D76" w:rsidRDefault="0041121A" w:rsidP="00311C34">
            <w:pPr>
              <w:jc w:val="center"/>
              <w:rPr>
                <w:color w:val="000000"/>
                <w:sz w:val="24"/>
                <w:szCs w:val="24"/>
              </w:rPr>
            </w:pPr>
            <w:r w:rsidRPr="00665D76">
              <w:rPr>
                <w:color w:val="000000"/>
                <w:sz w:val="24"/>
                <w:szCs w:val="24"/>
              </w:rPr>
              <w:t>LR 0.000</w:t>
            </w:r>
          </w:p>
        </w:tc>
        <w:tc>
          <w:tcPr>
            <w:tcW w:w="479" w:type="pct"/>
            <w:vMerge w:val="restar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AA06F8" w14:textId="77777777" w:rsidR="0041121A" w:rsidRPr="00665D76" w:rsidRDefault="0041121A" w:rsidP="00311C34">
            <w:pPr>
              <w:jc w:val="center"/>
              <w:rPr>
                <w:color w:val="000000"/>
                <w:sz w:val="24"/>
                <w:szCs w:val="24"/>
              </w:rPr>
            </w:pPr>
            <w:r w:rsidRPr="00665D76">
              <w:rPr>
                <w:color w:val="000000"/>
                <w:sz w:val="24"/>
                <w:szCs w:val="24"/>
              </w:rPr>
              <w:t>0.991</w:t>
            </w:r>
          </w:p>
        </w:tc>
      </w:tr>
      <w:tr w:rsidR="0041121A" w:rsidRPr="00665D76" w14:paraId="553D7B90" w14:textId="77777777" w:rsidTr="00976D63">
        <w:trPr>
          <w:trHeight w:val="397"/>
        </w:trPr>
        <w:tc>
          <w:tcPr>
            <w:tcW w:w="1422" w:type="pct"/>
            <w:vMerge/>
            <w:tcBorders>
              <w:top w:val="single" w:sz="4" w:space="0" w:color="auto"/>
              <w:left w:val="single" w:sz="4" w:space="0" w:color="auto"/>
              <w:bottom w:val="single" w:sz="4" w:space="0" w:color="auto"/>
              <w:right w:val="single" w:sz="4" w:space="0" w:color="auto"/>
            </w:tcBorders>
            <w:vAlign w:val="center"/>
          </w:tcPr>
          <w:p w14:paraId="0D648A66" w14:textId="77777777" w:rsidR="0041121A" w:rsidRPr="00665D76" w:rsidRDefault="0041121A" w:rsidP="00311C34">
            <w:pPr>
              <w:rPr>
                <w:color w:val="000000"/>
                <w:sz w:val="24"/>
                <w:szCs w:val="24"/>
              </w:rPr>
            </w:pPr>
          </w:p>
        </w:tc>
        <w:tc>
          <w:tcPr>
            <w:tcW w:w="524"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1E2B44" w14:textId="77777777" w:rsidR="0041121A" w:rsidRPr="00665D76" w:rsidRDefault="0041121A" w:rsidP="00311C34">
            <w:pPr>
              <w:rPr>
                <w:color w:val="000000"/>
                <w:sz w:val="24"/>
                <w:szCs w:val="24"/>
              </w:rPr>
            </w:pPr>
            <w:r w:rsidRPr="00665D76">
              <w:rPr>
                <w:color w:val="000000"/>
                <w:sz w:val="24"/>
                <w:szCs w:val="24"/>
              </w:rPr>
              <w:t>Other</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6EC318" w14:textId="77777777" w:rsidR="0041121A" w:rsidRPr="00665D76" w:rsidRDefault="0041121A" w:rsidP="00311C34">
            <w:pPr>
              <w:jc w:val="center"/>
              <w:rPr>
                <w:color w:val="000000"/>
                <w:sz w:val="24"/>
                <w:szCs w:val="24"/>
              </w:rPr>
            </w:pPr>
            <w:r w:rsidRPr="00665D76">
              <w:rPr>
                <w:color w:val="000000"/>
                <w:sz w:val="24"/>
                <w:szCs w:val="24"/>
              </w:rPr>
              <w:t>19</w:t>
            </w:r>
          </w:p>
        </w:tc>
        <w:tc>
          <w:tcPr>
            <w:tcW w:w="5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3F3F12" w14:textId="77777777" w:rsidR="0041121A" w:rsidRPr="00665D76" w:rsidRDefault="0041121A" w:rsidP="00311C34">
            <w:pPr>
              <w:jc w:val="center"/>
              <w:rPr>
                <w:color w:val="000000"/>
                <w:sz w:val="24"/>
                <w:szCs w:val="24"/>
              </w:rPr>
            </w:pPr>
            <w:r w:rsidRPr="00665D76">
              <w:rPr>
                <w:color w:val="000000"/>
                <w:sz w:val="24"/>
                <w:szCs w:val="24"/>
              </w:rPr>
              <w:t>9.7%</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6356BB" w14:textId="77777777" w:rsidR="0041121A" w:rsidRPr="00665D76" w:rsidRDefault="0041121A" w:rsidP="00311C34">
            <w:pPr>
              <w:jc w:val="center"/>
              <w:rPr>
                <w:color w:val="000000"/>
                <w:sz w:val="24"/>
                <w:szCs w:val="24"/>
              </w:rPr>
            </w:pPr>
            <w:r w:rsidRPr="00665D76">
              <w:rPr>
                <w:color w:val="000000"/>
                <w:sz w:val="24"/>
                <w:szCs w:val="24"/>
              </w:rPr>
              <w:t>20</w:t>
            </w:r>
          </w:p>
        </w:tc>
        <w:tc>
          <w:tcPr>
            <w:tcW w:w="559"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02F876" w14:textId="77777777" w:rsidR="0041121A" w:rsidRPr="00665D76" w:rsidRDefault="0041121A" w:rsidP="00311C34">
            <w:pPr>
              <w:jc w:val="center"/>
              <w:rPr>
                <w:color w:val="000000"/>
                <w:sz w:val="24"/>
                <w:szCs w:val="24"/>
              </w:rPr>
            </w:pPr>
            <w:r w:rsidRPr="00665D76">
              <w:rPr>
                <w:color w:val="000000"/>
                <w:sz w:val="24"/>
                <w:szCs w:val="24"/>
              </w:rPr>
              <w:t>9.7%</w:t>
            </w:r>
          </w:p>
        </w:tc>
        <w:tc>
          <w:tcPr>
            <w:tcW w:w="544" w:type="pct"/>
            <w:gridSpan w:val="3"/>
            <w:vMerge/>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028701" w14:textId="77777777" w:rsidR="0041121A" w:rsidRPr="00665D76" w:rsidRDefault="0041121A" w:rsidP="00311C34">
            <w:pPr>
              <w:jc w:val="center"/>
              <w:rPr>
                <w:color w:val="000000"/>
                <w:sz w:val="24"/>
                <w:szCs w:val="24"/>
              </w:rPr>
            </w:pPr>
          </w:p>
        </w:tc>
        <w:tc>
          <w:tcPr>
            <w:tcW w:w="479" w:type="pct"/>
            <w:vMerge/>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021DC8" w14:textId="77777777" w:rsidR="0041121A" w:rsidRPr="00665D76" w:rsidRDefault="0041121A" w:rsidP="00311C34">
            <w:pPr>
              <w:jc w:val="center"/>
              <w:rPr>
                <w:color w:val="000000"/>
                <w:sz w:val="24"/>
                <w:szCs w:val="24"/>
              </w:rPr>
            </w:pPr>
          </w:p>
        </w:tc>
      </w:tr>
      <w:tr w:rsidR="0041121A" w:rsidRPr="00665D76" w14:paraId="055B55B1" w14:textId="77777777" w:rsidTr="00976D63">
        <w:trPr>
          <w:trHeight w:val="487"/>
        </w:trPr>
        <w:tc>
          <w:tcPr>
            <w:tcW w:w="1945" w:type="pct"/>
            <w:gridSpan w:val="3"/>
            <w:tcBorders>
              <w:top w:val="nil"/>
              <w:left w:val="single" w:sz="4" w:space="0" w:color="auto"/>
              <w:bottom w:val="single" w:sz="4" w:space="0" w:color="auto"/>
              <w:right w:val="single" w:sz="4" w:space="0" w:color="auto"/>
            </w:tcBorders>
            <w:vAlign w:val="center"/>
          </w:tcPr>
          <w:p w14:paraId="32BA3188" w14:textId="77777777" w:rsidR="0041121A" w:rsidRPr="00665D76" w:rsidRDefault="0041121A" w:rsidP="00311C34">
            <w:pPr>
              <w:rPr>
                <w:b/>
                <w:bCs/>
                <w:color w:val="000000"/>
                <w:sz w:val="24"/>
                <w:szCs w:val="24"/>
              </w:rPr>
            </w:pPr>
            <w:r w:rsidRPr="00665D76">
              <w:rPr>
                <w:b/>
                <w:bCs/>
                <w:color w:val="000000"/>
                <w:sz w:val="24"/>
                <w:szCs w:val="24"/>
              </w:rPr>
              <w:t>Education level</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0B0FAA" w14:textId="77777777" w:rsidR="0041121A" w:rsidRPr="00665D76" w:rsidRDefault="0041121A" w:rsidP="00311C34">
            <w:pPr>
              <w:jc w:val="center"/>
              <w:rPr>
                <w:color w:val="000000"/>
                <w:sz w:val="24"/>
                <w:szCs w:val="24"/>
              </w:rPr>
            </w:pPr>
            <w:r w:rsidRPr="00665D76">
              <w:rPr>
                <w:color w:val="000000"/>
                <w:sz w:val="24"/>
                <w:szCs w:val="24"/>
              </w:rPr>
              <w:t>3.05</w:t>
            </w:r>
          </w:p>
        </w:tc>
        <w:tc>
          <w:tcPr>
            <w:tcW w:w="5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64BDC1" w14:textId="77777777" w:rsidR="0041121A" w:rsidRPr="00665D76" w:rsidRDefault="0041121A" w:rsidP="00311C34">
            <w:pPr>
              <w:jc w:val="center"/>
              <w:rPr>
                <w:color w:val="000000"/>
                <w:sz w:val="24"/>
                <w:szCs w:val="24"/>
              </w:rPr>
            </w:pPr>
            <w:r w:rsidRPr="00665D76">
              <w:rPr>
                <w:color w:val="000000"/>
                <w:sz w:val="24"/>
                <w:szCs w:val="24"/>
              </w:rPr>
              <w:t>1.02</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D07C84" w14:textId="77777777" w:rsidR="0041121A" w:rsidRPr="00665D76" w:rsidRDefault="0041121A" w:rsidP="00311C34">
            <w:pPr>
              <w:jc w:val="center"/>
              <w:rPr>
                <w:color w:val="000000"/>
                <w:sz w:val="24"/>
                <w:szCs w:val="24"/>
              </w:rPr>
            </w:pPr>
            <w:r w:rsidRPr="00665D76">
              <w:rPr>
                <w:color w:val="000000"/>
                <w:sz w:val="24"/>
                <w:szCs w:val="24"/>
              </w:rPr>
              <w:t>3.09</w:t>
            </w:r>
          </w:p>
        </w:tc>
        <w:tc>
          <w:tcPr>
            <w:tcW w:w="559"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45A0E7" w14:textId="77777777" w:rsidR="0041121A" w:rsidRPr="00665D76" w:rsidRDefault="0041121A" w:rsidP="00311C34">
            <w:pPr>
              <w:jc w:val="center"/>
              <w:rPr>
                <w:color w:val="000000"/>
                <w:sz w:val="24"/>
                <w:szCs w:val="24"/>
              </w:rPr>
            </w:pPr>
            <w:r w:rsidRPr="00665D76">
              <w:rPr>
                <w:color w:val="000000"/>
                <w:sz w:val="24"/>
                <w:szCs w:val="24"/>
              </w:rPr>
              <w:t>0.98</w:t>
            </w:r>
          </w:p>
        </w:tc>
        <w:tc>
          <w:tcPr>
            <w:tcW w:w="544"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3AACAA" w14:textId="77777777" w:rsidR="0041121A" w:rsidRPr="00665D76" w:rsidRDefault="0041121A" w:rsidP="00311C34">
            <w:pPr>
              <w:jc w:val="center"/>
              <w:rPr>
                <w:color w:val="000000"/>
                <w:sz w:val="24"/>
                <w:szCs w:val="24"/>
              </w:rPr>
            </w:pPr>
            <w:r w:rsidRPr="00665D76">
              <w:rPr>
                <w:color w:val="000000"/>
                <w:sz w:val="24"/>
                <w:szCs w:val="24"/>
              </w:rPr>
              <w:t>23600</w:t>
            </w:r>
          </w:p>
        </w:tc>
        <w:tc>
          <w:tcPr>
            <w:tcW w:w="47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FEBB11" w14:textId="77777777" w:rsidR="0041121A" w:rsidRPr="00665D76" w:rsidRDefault="0041121A" w:rsidP="00311C34">
            <w:pPr>
              <w:jc w:val="center"/>
              <w:rPr>
                <w:color w:val="000000"/>
                <w:sz w:val="24"/>
                <w:szCs w:val="24"/>
              </w:rPr>
            </w:pPr>
            <w:r w:rsidRPr="00665D76">
              <w:rPr>
                <w:color w:val="000000"/>
                <w:sz w:val="24"/>
                <w:szCs w:val="24"/>
              </w:rPr>
              <w:t>0.691</w:t>
            </w:r>
          </w:p>
        </w:tc>
      </w:tr>
      <w:tr w:rsidR="005A46EC" w:rsidRPr="00665D76" w14:paraId="3B88042D" w14:textId="77777777" w:rsidTr="00976D63">
        <w:tblPrEx>
          <w:tblCellMar>
            <w:left w:w="108" w:type="dxa"/>
            <w:right w:w="108" w:type="dxa"/>
          </w:tblCellMar>
        </w:tblPrEx>
        <w:trPr>
          <w:trHeight w:val="397"/>
        </w:trPr>
        <w:tc>
          <w:tcPr>
            <w:tcW w:w="1433" w:type="pct"/>
            <w:gridSpan w:val="2"/>
            <w:vMerge w:val="restart"/>
            <w:tcBorders>
              <w:top w:val="single" w:sz="4" w:space="0" w:color="auto"/>
              <w:left w:val="single" w:sz="4" w:space="0" w:color="auto"/>
              <w:bottom w:val="single" w:sz="4" w:space="0" w:color="auto"/>
              <w:right w:val="single" w:sz="4" w:space="0" w:color="auto"/>
            </w:tcBorders>
            <w:vAlign w:val="center"/>
          </w:tcPr>
          <w:p w14:paraId="5C339A67" w14:textId="77777777" w:rsidR="005A46EC" w:rsidRPr="00665D76" w:rsidRDefault="005A46EC" w:rsidP="006F7CEB">
            <w:pPr>
              <w:rPr>
                <w:color w:val="000000"/>
                <w:sz w:val="24"/>
                <w:szCs w:val="24"/>
                <w:lang w:eastAsia="en-GB"/>
              </w:rPr>
            </w:pPr>
            <w:r w:rsidRPr="00665D76">
              <w:rPr>
                <w:b/>
                <w:bCs/>
                <w:color w:val="000000"/>
                <w:sz w:val="24"/>
                <w:szCs w:val="24"/>
                <w:lang w:eastAsia="en-GB"/>
              </w:rPr>
              <w:t>Number of current comorbidities (mainstream mental disorders)</w:t>
            </w:r>
          </w:p>
        </w:tc>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42B7429A" w14:textId="77777777" w:rsidR="005A46EC" w:rsidRPr="00665D76" w:rsidRDefault="005A46EC" w:rsidP="006F7CEB">
            <w:pPr>
              <w:rPr>
                <w:color w:val="000000"/>
                <w:sz w:val="24"/>
                <w:szCs w:val="24"/>
                <w:lang w:eastAsia="en-GB"/>
              </w:rPr>
            </w:pPr>
            <w:r w:rsidRPr="00665D76">
              <w:rPr>
                <w:color w:val="000000"/>
                <w:sz w:val="24"/>
                <w:szCs w:val="24"/>
                <w:lang w:eastAsia="en-GB"/>
              </w:rPr>
              <w:t>0</w:t>
            </w:r>
          </w:p>
        </w:tc>
        <w:tc>
          <w:tcPr>
            <w:tcW w:w="457" w:type="pct"/>
            <w:tcBorders>
              <w:top w:val="nil"/>
              <w:left w:val="nil"/>
              <w:bottom w:val="single" w:sz="4" w:space="0" w:color="auto"/>
              <w:right w:val="single" w:sz="4" w:space="0" w:color="auto"/>
            </w:tcBorders>
            <w:shd w:val="clear" w:color="auto" w:fill="auto"/>
            <w:noWrap/>
            <w:vAlign w:val="center"/>
          </w:tcPr>
          <w:p w14:paraId="0B82D7FA" w14:textId="77777777" w:rsidR="005A46EC" w:rsidRPr="00665D76" w:rsidRDefault="005A46EC" w:rsidP="006F7CEB">
            <w:pPr>
              <w:jc w:val="center"/>
              <w:rPr>
                <w:color w:val="000000"/>
                <w:sz w:val="24"/>
                <w:szCs w:val="24"/>
                <w:lang w:eastAsia="en-GB"/>
              </w:rPr>
            </w:pPr>
            <w:r w:rsidRPr="00665D76">
              <w:rPr>
                <w:color w:val="000000"/>
                <w:sz w:val="24"/>
                <w:szCs w:val="24"/>
                <w:lang w:eastAsia="en-GB"/>
              </w:rPr>
              <w:t>85</w:t>
            </w:r>
          </w:p>
        </w:tc>
        <w:tc>
          <w:tcPr>
            <w:tcW w:w="558" w:type="pct"/>
            <w:tcBorders>
              <w:top w:val="nil"/>
              <w:left w:val="nil"/>
              <w:bottom w:val="single" w:sz="4" w:space="0" w:color="auto"/>
              <w:right w:val="single" w:sz="4" w:space="0" w:color="auto"/>
            </w:tcBorders>
            <w:shd w:val="clear" w:color="auto" w:fill="auto"/>
            <w:noWrap/>
            <w:vAlign w:val="center"/>
          </w:tcPr>
          <w:p w14:paraId="35A456FB" w14:textId="77777777" w:rsidR="005A46EC" w:rsidRPr="00665D76" w:rsidRDefault="005A46EC" w:rsidP="006F7CEB">
            <w:pPr>
              <w:jc w:val="center"/>
              <w:rPr>
                <w:color w:val="000000"/>
                <w:sz w:val="24"/>
                <w:szCs w:val="24"/>
                <w:lang w:eastAsia="en-GB"/>
              </w:rPr>
            </w:pPr>
            <w:r w:rsidRPr="00665D76">
              <w:rPr>
                <w:color w:val="000000"/>
                <w:sz w:val="24"/>
                <w:szCs w:val="24"/>
                <w:lang w:eastAsia="en-GB"/>
              </w:rPr>
              <w:t>52.1%</w:t>
            </w:r>
          </w:p>
        </w:tc>
        <w:tc>
          <w:tcPr>
            <w:tcW w:w="464" w:type="pct"/>
            <w:gridSpan w:val="2"/>
            <w:tcBorders>
              <w:top w:val="nil"/>
              <w:left w:val="nil"/>
              <w:bottom w:val="single" w:sz="4" w:space="0" w:color="auto"/>
              <w:right w:val="single" w:sz="4" w:space="0" w:color="auto"/>
            </w:tcBorders>
            <w:shd w:val="clear" w:color="auto" w:fill="auto"/>
            <w:noWrap/>
            <w:vAlign w:val="center"/>
          </w:tcPr>
          <w:p w14:paraId="7CA9A7C2" w14:textId="77777777" w:rsidR="005A46EC" w:rsidRPr="00665D76" w:rsidRDefault="005A46EC" w:rsidP="006F7CEB">
            <w:pPr>
              <w:jc w:val="center"/>
              <w:rPr>
                <w:color w:val="000000"/>
                <w:sz w:val="24"/>
                <w:szCs w:val="24"/>
                <w:lang w:eastAsia="en-GB"/>
              </w:rPr>
            </w:pPr>
            <w:r w:rsidRPr="00665D76">
              <w:rPr>
                <w:color w:val="000000"/>
                <w:sz w:val="24"/>
                <w:szCs w:val="24"/>
                <w:lang w:eastAsia="en-GB"/>
              </w:rPr>
              <w:t>89</w:t>
            </w:r>
          </w:p>
        </w:tc>
        <w:tc>
          <w:tcPr>
            <w:tcW w:w="557" w:type="pct"/>
            <w:gridSpan w:val="2"/>
            <w:tcBorders>
              <w:top w:val="nil"/>
              <w:left w:val="nil"/>
              <w:bottom w:val="single" w:sz="4" w:space="0" w:color="auto"/>
              <w:right w:val="single" w:sz="4" w:space="0" w:color="auto"/>
            </w:tcBorders>
            <w:shd w:val="clear" w:color="auto" w:fill="auto"/>
            <w:noWrap/>
            <w:vAlign w:val="center"/>
          </w:tcPr>
          <w:p w14:paraId="1395AFBF" w14:textId="77777777" w:rsidR="005A46EC" w:rsidRPr="00665D76" w:rsidRDefault="005A46EC" w:rsidP="006F7CEB">
            <w:pPr>
              <w:jc w:val="center"/>
              <w:rPr>
                <w:color w:val="000000"/>
                <w:sz w:val="24"/>
                <w:szCs w:val="24"/>
                <w:lang w:eastAsia="en-GB"/>
              </w:rPr>
            </w:pPr>
            <w:r w:rsidRPr="00665D76">
              <w:rPr>
                <w:color w:val="000000"/>
                <w:sz w:val="24"/>
                <w:szCs w:val="24"/>
                <w:lang w:eastAsia="en-GB"/>
              </w:rPr>
              <w:t>54.3%</w:t>
            </w:r>
          </w:p>
        </w:tc>
        <w:tc>
          <w:tcPr>
            <w:tcW w:w="509" w:type="pct"/>
            <w:vMerge w:val="restart"/>
            <w:tcBorders>
              <w:top w:val="single" w:sz="4" w:space="0" w:color="auto"/>
              <w:left w:val="nil"/>
              <w:bottom w:val="single" w:sz="4" w:space="0" w:color="auto"/>
              <w:right w:val="single" w:sz="4" w:space="0" w:color="auto"/>
            </w:tcBorders>
            <w:shd w:val="clear" w:color="auto" w:fill="auto"/>
            <w:noWrap/>
            <w:vAlign w:val="center"/>
          </w:tcPr>
          <w:p w14:paraId="7083E602" w14:textId="77777777" w:rsidR="005A46EC" w:rsidRPr="00665D76" w:rsidRDefault="005A46EC" w:rsidP="006F7CEB">
            <w:pPr>
              <w:jc w:val="center"/>
              <w:rPr>
                <w:color w:val="000000"/>
                <w:sz w:val="24"/>
                <w:szCs w:val="24"/>
                <w:lang w:eastAsia="en-GB"/>
              </w:rPr>
            </w:pPr>
            <w:r w:rsidRPr="00665D76">
              <w:rPr>
                <w:color w:val="000000"/>
                <w:sz w:val="24"/>
                <w:szCs w:val="24"/>
                <w:lang w:eastAsia="en-GB"/>
              </w:rPr>
              <w:t>LR 1.319</w:t>
            </w:r>
          </w:p>
        </w:tc>
        <w:tc>
          <w:tcPr>
            <w:tcW w:w="509" w:type="pct"/>
            <w:gridSpan w:val="2"/>
            <w:vMerge w:val="restart"/>
            <w:tcBorders>
              <w:top w:val="single" w:sz="4" w:space="0" w:color="auto"/>
              <w:left w:val="nil"/>
              <w:bottom w:val="single" w:sz="4" w:space="0" w:color="auto"/>
              <w:right w:val="single" w:sz="4" w:space="0" w:color="auto"/>
            </w:tcBorders>
            <w:shd w:val="clear" w:color="auto" w:fill="auto"/>
            <w:noWrap/>
            <w:vAlign w:val="center"/>
          </w:tcPr>
          <w:p w14:paraId="0F1BE0B4" w14:textId="77777777" w:rsidR="005A46EC" w:rsidRPr="00665D76" w:rsidRDefault="005A46EC" w:rsidP="006F7CEB">
            <w:pPr>
              <w:jc w:val="center"/>
              <w:rPr>
                <w:color w:val="000000"/>
                <w:sz w:val="24"/>
                <w:szCs w:val="24"/>
                <w:lang w:eastAsia="en-GB"/>
              </w:rPr>
            </w:pPr>
            <w:r w:rsidRPr="00665D76">
              <w:rPr>
                <w:color w:val="000000"/>
                <w:sz w:val="24"/>
                <w:szCs w:val="24"/>
                <w:lang w:eastAsia="en-GB"/>
              </w:rPr>
              <w:t>0.517</w:t>
            </w:r>
          </w:p>
        </w:tc>
      </w:tr>
      <w:tr w:rsidR="005A46EC" w:rsidRPr="00665D76" w14:paraId="2D1CC8FD" w14:textId="77777777" w:rsidTr="00976D63">
        <w:tblPrEx>
          <w:tblCellMar>
            <w:left w:w="108" w:type="dxa"/>
            <w:right w:w="108" w:type="dxa"/>
          </w:tblCellMar>
        </w:tblPrEx>
        <w:trPr>
          <w:trHeight w:val="397"/>
        </w:trPr>
        <w:tc>
          <w:tcPr>
            <w:tcW w:w="1433" w:type="pct"/>
            <w:gridSpan w:val="2"/>
            <w:vMerge/>
            <w:tcBorders>
              <w:top w:val="single" w:sz="4" w:space="0" w:color="auto"/>
              <w:left w:val="single" w:sz="4" w:space="0" w:color="auto"/>
              <w:bottom w:val="single" w:sz="4" w:space="0" w:color="auto"/>
              <w:right w:val="single" w:sz="4" w:space="0" w:color="auto"/>
            </w:tcBorders>
            <w:vAlign w:val="center"/>
          </w:tcPr>
          <w:p w14:paraId="6C150152" w14:textId="77777777" w:rsidR="005A46EC" w:rsidRPr="00665D76" w:rsidRDefault="005A46EC" w:rsidP="006F7CEB">
            <w:pPr>
              <w:rPr>
                <w:color w:val="000000"/>
                <w:sz w:val="24"/>
                <w:szCs w:val="24"/>
                <w:lang w:eastAsia="en-GB"/>
              </w:rPr>
            </w:pPr>
          </w:p>
        </w:tc>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7CE091DC" w14:textId="77777777" w:rsidR="005A46EC" w:rsidRPr="00665D76" w:rsidRDefault="005A46EC" w:rsidP="006F7CEB">
            <w:pPr>
              <w:rPr>
                <w:color w:val="000000"/>
                <w:sz w:val="24"/>
                <w:szCs w:val="24"/>
                <w:lang w:eastAsia="en-GB"/>
              </w:rPr>
            </w:pPr>
            <w:r w:rsidRPr="00665D76">
              <w:rPr>
                <w:color w:val="000000"/>
                <w:sz w:val="24"/>
                <w:szCs w:val="24"/>
                <w:lang w:eastAsia="en-GB"/>
              </w:rPr>
              <w:t>1</w:t>
            </w:r>
          </w:p>
        </w:tc>
        <w:tc>
          <w:tcPr>
            <w:tcW w:w="457" w:type="pct"/>
            <w:tcBorders>
              <w:top w:val="nil"/>
              <w:left w:val="nil"/>
              <w:bottom w:val="single" w:sz="4" w:space="0" w:color="auto"/>
              <w:right w:val="single" w:sz="4" w:space="0" w:color="auto"/>
            </w:tcBorders>
            <w:shd w:val="clear" w:color="auto" w:fill="auto"/>
            <w:noWrap/>
            <w:vAlign w:val="center"/>
          </w:tcPr>
          <w:p w14:paraId="4E48947D" w14:textId="77777777" w:rsidR="005A46EC" w:rsidRPr="00665D76" w:rsidRDefault="005A46EC" w:rsidP="006F7CEB">
            <w:pPr>
              <w:jc w:val="center"/>
              <w:rPr>
                <w:color w:val="000000"/>
                <w:sz w:val="24"/>
                <w:szCs w:val="24"/>
                <w:lang w:eastAsia="en-GB"/>
              </w:rPr>
            </w:pPr>
            <w:r w:rsidRPr="00665D76">
              <w:rPr>
                <w:color w:val="000000"/>
                <w:sz w:val="24"/>
                <w:szCs w:val="24"/>
                <w:lang w:eastAsia="en-GB"/>
              </w:rPr>
              <w:t>62</w:t>
            </w:r>
          </w:p>
        </w:tc>
        <w:tc>
          <w:tcPr>
            <w:tcW w:w="558" w:type="pct"/>
            <w:tcBorders>
              <w:top w:val="nil"/>
              <w:left w:val="nil"/>
              <w:bottom w:val="single" w:sz="4" w:space="0" w:color="auto"/>
              <w:right w:val="single" w:sz="4" w:space="0" w:color="auto"/>
            </w:tcBorders>
            <w:shd w:val="clear" w:color="auto" w:fill="auto"/>
            <w:noWrap/>
            <w:vAlign w:val="center"/>
          </w:tcPr>
          <w:p w14:paraId="51756B15" w14:textId="77777777" w:rsidR="005A46EC" w:rsidRPr="00665D76" w:rsidRDefault="005A46EC" w:rsidP="006F7CEB">
            <w:pPr>
              <w:jc w:val="center"/>
              <w:rPr>
                <w:color w:val="000000"/>
                <w:sz w:val="24"/>
                <w:szCs w:val="24"/>
                <w:lang w:eastAsia="en-GB"/>
              </w:rPr>
            </w:pPr>
            <w:r w:rsidRPr="00665D76">
              <w:rPr>
                <w:color w:val="000000"/>
                <w:sz w:val="24"/>
                <w:szCs w:val="24"/>
                <w:lang w:eastAsia="en-GB"/>
              </w:rPr>
              <w:t>39.0%</w:t>
            </w:r>
          </w:p>
        </w:tc>
        <w:tc>
          <w:tcPr>
            <w:tcW w:w="464" w:type="pct"/>
            <w:gridSpan w:val="2"/>
            <w:tcBorders>
              <w:top w:val="nil"/>
              <w:left w:val="nil"/>
              <w:bottom w:val="single" w:sz="4" w:space="0" w:color="auto"/>
              <w:right w:val="single" w:sz="4" w:space="0" w:color="auto"/>
            </w:tcBorders>
            <w:shd w:val="clear" w:color="auto" w:fill="auto"/>
            <w:noWrap/>
            <w:vAlign w:val="center"/>
          </w:tcPr>
          <w:p w14:paraId="2099DF25" w14:textId="77777777" w:rsidR="005A46EC" w:rsidRPr="00665D76" w:rsidRDefault="005A46EC" w:rsidP="006F7CEB">
            <w:pPr>
              <w:jc w:val="center"/>
              <w:rPr>
                <w:color w:val="000000"/>
                <w:sz w:val="24"/>
                <w:szCs w:val="24"/>
                <w:lang w:eastAsia="en-GB"/>
              </w:rPr>
            </w:pPr>
            <w:r w:rsidRPr="00665D76">
              <w:rPr>
                <w:color w:val="000000"/>
                <w:sz w:val="24"/>
                <w:szCs w:val="24"/>
                <w:lang w:eastAsia="en-GB"/>
              </w:rPr>
              <w:t>54</w:t>
            </w:r>
          </w:p>
        </w:tc>
        <w:tc>
          <w:tcPr>
            <w:tcW w:w="557" w:type="pct"/>
            <w:gridSpan w:val="2"/>
            <w:tcBorders>
              <w:top w:val="nil"/>
              <w:left w:val="nil"/>
              <w:bottom w:val="single" w:sz="4" w:space="0" w:color="auto"/>
              <w:right w:val="single" w:sz="4" w:space="0" w:color="auto"/>
            </w:tcBorders>
            <w:shd w:val="clear" w:color="auto" w:fill="auto"/>
            <w:noWrap/>
            <w:vAlign w:val="center"/>
          </w:tcPr>
          <w:p w14:paraId="4A12521A" w14:textId="77777777" w:rsidR="005A46EC" w:rsidRPr="00665D76" w:rsidRDefault="005A46EC" w:rsidP="006F7CEB">
            <w:pPr>
              <w:jc w:val="center"/>
              <w:rPr>
                <w:color w:val="000000"/>
                <w:sz w:val="24"/>
                <w:szCs w:val="24"/>
                <w:lang w:eastAsia="en-GB"/>
              </w:rPr>
            </w:pPr>
            <w:r w:rsidRPr="00665D76">
              <w:rPr>
                <w:color w:val="000000"/>
                <w:sz w:val="24"/>
                <w:szCs w:val="24"/>
                <w:lang w:eastAsia="en-GB"/>
              </w:rPr>
              <w:t>32.9%</w:t>
            </w:r>
          </w:p>
        </w:tc>
        <w:tc>
          <w:tcPr>
            <w:tcW w:w="509" w:type="pct"/>
            <w:vMerge/>
            <w:tcBorders>
              <w:top w:val="single" w:sz="4" w:space="0" w:color="auto"/>
              <w:left w:val="nil"/>
              <w:bottom w:val="single" w:sz="4" w:space="0" w:color="auto"/>
              <w:right w:val="single" w:sz="4" w:space="0" w:color="auto"/>
            </w:tcBorders>
            <w:shd w:val="clear" w:color="auto" w:fill="auto"/>
            <w:noWrap/>
            <w:vAlign w:val="center"/>
          </w:tcPr>
          <w:p w14:paraId="3BE48A1C" w14:textId="77777777" w:rsidR="005A46EC" w:rsidRPr="00665D76" w:rsidRDefault="005A46EC" w:rsidP="006F7CEB">
            <w:pPr>
              <w:jc w:val="center"/>
              <w:rPr>
                <w:color w:val="000000"/>
                <w:sz w:val="24"/>
                <w:szCs w:val="24"/>
                <w:lang w:eastAsia="en-GB"/>
              </w:rPr>
            </w:pPr>
          </w:p>
        </w:tc>
        <w:tc>
          <w:tcPr>
            <w:tcW w:w="509" w:type="pct"/>
            <w:gridSpan w:val="2"/>
            <w:vMerge/>
            <w:tcBorders>
              <w:top w:val="single" w:sz="4" w:space="0" w:color="auto"/>
              <w:left w:val="nil"/>
              <w:bottom w:val="single" w:sz="4" w:space="0" w:color="auto"/>
              <w:right w:val="single" w:sz="4" w:space="0" w:color="auto"/>
            </w:tcBorders>
            <w:shd w:val="clear" w:color="auto" w:fill="auto"/>
            <w:noWrap/>
            <w:vAlign w:val="center"/>
          </w:tcPr>
          <w:p w14:paraId="499325C5" w14:textId="77777777" w:rsidR="005A46EC" w:rsidRPr="00665D76" w:rsidRDefault="005A46EC" w:rsidP="006F7CEB">
            <w:pPr>
              <w:jc w:val="center"/>
              <w:rPr>
                <w:color w:val="000000"/>
                <w:sz w:val="24"/>
                <w:szCs w:val="24"/>
                <w:lang w:eastAsia="en-GB"/>
              </w:rPr>
            </w:pPr>
          </w:p>
        </w:tc>
      </w:tr>
      <w:tr w:rsidR="005A46EC" w:rsidRPr="00665D76" w14:paraId="60B21498" w14:textId="77777777" w:rsidTr="00976D63">
        <w:tblPrEx>
          <w:tblCellMar>
            <w:left w:w="108" w:type="dxa"/>
            <w:right w:w="108" w:type="dxa"/>
          </w:tblCellMar>
        </w:tblPrEx>
        <w:trPr>
          <w:trHeight w:val="397"/>
        </w:trPr>
        <w:tc>
          <w:tcPr>
            <w:tcW w:w="1433" w:type="pct"/>
            <w:gridSpan w:val="2"/>
            <w:vMerge/>
            <w:tcBorders>
              <w:top w:val="single" w:sz="4" w:space="0" w:color="auto"/>
              <w:left w:val="single" w:sz="4" w:space="0" w:color="auto"/>
              <w:bottom w:val="single" w:sz="4" w:space="0" w:color="auto"/>
              <w:right w:val="single" w:sz="4" w:space="0" w:color="auto"/>
            </w:tcBorders>
            <w:vAlign w:val="center"/>
          </w:tcPr>
          <w:p w14:paraId="44576442" w14:textId="77777777" w:rsidR="005A46EC" w:rsidRPr="00665D76" w:rsidRDefault="005A46EC" w:rsidP="006F7CEB">
            <w:pPr>
              <w:rPr>
                <w:color w:val="000000"/>
                <w:sz w:val="24"/>
                <w:szCs w:val="24"/>
                <w:lang w:eastAsia="en-GB"/>
              </w:rPr>
            </w:pPr>
          </w:p>
        </w:tc>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67AE035A" w14:textId="77777777" w:rsidR="005A46EC" w:rsidRPr="00665D76" w:rsidRDefault="005A46EC" w:rsidP="006F7CEB">
            <w:pPr>
              <w:rPr>
                <w:color w:val="000000"/>
                <w:sz w:val="24"/>
                <w:szCs w:val="24"/>
                <w:lang w:eastAsia="en-GB"/>
              </w:rPr>
            </w:pPr>
            <w:r w:rsidRPr="00665D76">
              <w:rPr>
                <w:color w:val="000000"/>
                <w:sz w:val="24"/>
                <w:szCs w:val="24"/>
                <w:lang w:eastAsia="en-GB"/>
              </w:rPr>
              <w:t>&gt;1</w:t>
            </w:r>
          </w:p>
        </w:tc>
        <w:tc>
          <w:tcPr>
            <w:tcW w:w="457" w:type="pct"/>
            <w:tcBorders>
              <w:top w:val="nil"/>
              <w:left w:val="nil"/>
              <w:bottom w:val="single" w:sz="4" w:space="0" w:color="auto"/>
              <w:right w:val="single" w:sz="4" w:space="0" w:color="auto"/>
            </w:tcBorders>
            <w:shd w:val="clear" w:color="auto" w:fill="auto"/>
            <w:noWrap/>
            <w:vAlign w:val="center"/>
          </w:tcPr>
          <w:p w14:paraId="19C3898F" w14:textId="77777777" w:rsidR="005A46EC" w:rsidRPr="00665D76" w:rsidRDefault="005A46EC" w:rsidP="006F7CEB">
            <w:pPr>
              <w:jc w:val="center"/>
              <w:rPr>
                <w:color w:val="000000"/>
                <w:sz w:val="24"/>
                <w:szCs w:val="24"/>
                <w:lang w:eastAsia="en-GB"/>
              </w:rPr>
            </w:pPr>
            <w:r w:rsidRPr="00665D76">
              <w:rPr>
                <w:color w:val="000000"/>
                <w:sz w:val="24"/>
                <w:szCs w:val="24"/>
                <w:lang w:eastAsia="en-GB"/>
              </w:rPr>
              <w:t>16</w:t>
            </w:r>
          </w:p>
        </w:tc>
        <w:tc>
          <w:tcPr>
            <w:tcW w:w="558" w:type="pct"/>
            <w:tcBorders>
              <w:top w:val="nil"/>
              <w:left w:val="nil"/>
              <w:bottom w:val="single" w:sz="4" w:space="0" w:color="auto"/>
              <w:right w:val="single" w:sz="4" w:space="0" w:color="auto"/>
            </w:tcBorders>
            <w:shd w:val="clear" w:color="auto" w:fill="auto"/>
            <w:noWrap/>
            <w:vAlign w:val="center"/>
          </w:tcPr>
          <w:p w14:paraId="7D810212" w14:textId="77777777" w:rsidR="005A46EC" w:rsidRPr="00665D76" w:rsidRDefault="005A46EC" w:rsidP="006F7CEB">
            <w:pPr>
              <w:jc w:val="center"/>
              <w:rPr>
                <w:color w:val="000000"/>
                <w:sz w:val="24"/>
                <w:szCs w:val="24"/>
                <w:lang w:eastAsia="en-GB"/>
              </w:rPr>
            </w:pPr>
            <w:r w:rsidRPr="00665D76">
              <w:rPr>
                <w:color w:val="000000"/>
                <w:sz w:val="24"/>
                <w:szCs w:val="24"/>
                <w:lang w:eastAsia="en-GB"/>
              </w:rPr>
              <w:t>9.9%</w:t>
            </w:r>
          </w:p>
        </w:tc>
        <w:tc>
          <w:tcPr>
            <w:tcW w:w="464" w:type="pct"/>
            <w:gridSpan w:val="2"/>
            <w:tcBorders>
              <w:top w:val="nil"/>
              <w:left w:val="nil"/>
              <w:bottom w:val="single" w:sz="4" w:space="0" w:color="auto"/>
              <w:right w:val="single" w:sz="4" w:space="0" w:color="auto"/>
            </w:tcBorders>
            <w:shd w:val="clear" w:color="auto" w:fill="auto"/>
            <w:noWrap/>
            <w:vAlign w:val="center"/>
          </w:tcPr>
          <w:p w14:paraId="5939658C" w14:textId="77777777" w:rsidR="005A46EC" w:rsidRPr="00665D76" w:rsidRDefault="005A46EC" w:rsidP="006F7CEB">
            <w:pPr>
              <w:jc w:val="center"/>
              <w:rPr>
                <w:color w:val="000000"/>
                <w:sz w:val="24"/>
                <w:szCs w:val="24"/>
                <w:lang w:eastAsia="en-GB"/>
              </w:rPr>
            </w:pPr>
            <w:r w:rsidRPr="00665D76">
              <w:rPr>
                <w:color w:val="000000"/>
                <w:sz w:val="24"/>
                <w:szCs w:val="24"/>
                <w:lang w:eastAsia="en-GB"/>
              </w:rPr>
              <w:t>21</w:t>
            </w:r>
          </w:p>
        </w:tc>
        <w:tc>
          <w:tcPr>
            <w:tcW w:w="557" w:type="pct"/>
            <w:gridSpan w:val="2"/>
            <w:tcBorders>
              <w:top w:val="nil"/>
              <w:left w:val="nil"/>
              <w:bottom w:val="single" w:sz="4" w:space="0" w:color="auto"/>
              <w:right w:val="single" w:sz="4" w:space="0" w:color="auto"/>
            </w:tcBorders>
            <w:shd w:val="clear" w:color="auto" w:fill="auto"/>
            <w:noWrap/>
            <w:vAlign w:val="center"/>
          </w:tcPr>
          <w:p w14:paraId="09F99330" w14:textId="77777777" w:rsidR="005A46EC" w:rsidRPr="00665D76" w:rsidRDefault="005A46EC" w:rsidP="006F7CEB">
            <w:pPr>
              <w:jc w:val="center"/>
              <w:rPr>
                <w:color w:val="000000"/>
                <w:sz w:val="24"/>
                <w:szCs w:val="24"/>
                <w:lang w:eastAsia="en-GB"/>
              </w:rPr>
            </w:pPr>
            <w:r w:rsidRPr="00665D76">
              <w:rPr>
                <w:color w:val="000000"/>
                <w:sz w:val="24"/>
                <w:szCs w:val="24"/>
                <w:lang w:eastAsia="en-GB"/>
              </w:rPr>
              <w:t>12.8%</w:t>
            </w:r>
          </w:p>
        </w:tc>
        <w:tc>
          <w:tcPr>
            <w:tcW w:w="509" w:type="pct"/>
            <w:vMerge/>
            <w:tcBorders>
              <w:top w:val="single" w:sz="4" w:space="0" w:color="auto"/>
              <w:left w:val="nil"/>
              <w:bottom w:val="single" w:sz="4" w:space="0" w:color="auto"/>
              <w:right w:val="single" w:sz="4" w:space="0" w:color="auto"/>
            </w:tcBorders>
            <w:shd w:val="clear" w:color="auto" w:fill="auto"/>
            <w:noWrap/>
            <w:vAlign w:val="center"/>
          </w:tcPr>
          <w:p w14:paraId="46905E6C" w14:textId="77777777" w:rsidR="005A46EC" w:rsidRPr="00665D76" w:rsidRDefault="005A46EC" w:rsidP="006F7CEB">
            <w:pPr>
              <w:jc w:val="center"/>
              <w:rPr>
                <w:color w:val="000000"/>
                <w:sz w:val="24"/>
                <w:szCs w:val="24"/>
                <w:lang w:eastAsia="en-GB"/>
              </w:rPr>
            </w:pPr>
          </w:p>
        </w:tc>
        <w:tc>
          <w:tcPr>
            <w:tcW w:w="509" w:type="pct"/>
            <w:gridSpan w:val="2"/>
            <w:vMerge/>
            <w:tcBorders>
              <w:top w:val="single" w:sz="4" w:space="0" w:color="auto"/>
              <w:left w:val="nil"/>
              <w:bottom w:val="single" w:sz="4" w:space="0" w:color="auto"/>
              <w:right w:val="single" w:sz="4" w:space="0" w:color="auto"/>
            </w:tcBorders>
            <w:shd w:val="clear" w:color="auto" w:fill="auto"/>
            <w:noWrap/>
            <w:vAlign w:val="center"/>
          </w:tcPr>
          <w:p w14:paraId="2B8321BD" w14:textId="77777777" w:rsidR="005A46EC" w:rsidRPr="00665D76" w:rsidRDefault="005A46EC" w:rsidP="006F7CEB">
            <w:pPr>
              <w:jc w:val="center"/>
              <w:rPr>
                <w:color w:val="000000"/>
                <w:sz w:val="24"/>
                <w:szCs w:val="24"/>
                <w:lang w:eastAsia="en-GB"/>
              </w:rPr>
            </w:pPr>
          </w:p>
        </w:tc>
      </w:tr>
      <w:tr w:rsidR="0041121A" w:rsidRPr="00665D76" w14:paraId="35AD601F" w14:textId="77777777" w:rsidTr="00976D63">
        <w:trPr>
          <w:trHeight w:val="397"/>
        </w:trPr>
        <w:tc>
          <w:tcPr>
            <w:tcW w:w="1422" w:type="pct"/>
            <w:vMerge w:val="restart"/>
            <w:tcBorders>
              <w:top w:val="nil"/>
              <w:left w:val="single" w:sz="4" w:space="0" w:color="auto"/>
              <w:right w:val="single" w:sz="4" w:space="0" w:color="auto"/>
            </w:tcBorders>
            <w:vAlign w:val="center"/>
          </w:tcPr>
          <w:p w14:paraId="4A637E50" w14:textId="77777777" w:rsidR="0041121A" w:rsidRPr="00665D76" w:rsidRDefault="0041121A" w:rsidP="00311C34">
            <w:pPr>
              <w:rPr>
                <w:color w:val="000000"/>
                <w:sz w:val="24"/>
                <w:szCs w:val="24"/>
              </w:rPr>
            </w:pPr>
            <w:r w:rsidRPr="00665D76">
              <w:rPr>
                <w:b/>
                <w:bCs/>
                <w:color w:val="000000"/>
                <w:sz w:val="24"/>
                <w:szCs w:val="24"/>
              </w:rPr>
              <w:t>Tobacco use</w:t>
            </w:r>
          </w:p>
        </w:tc>
        <w:tc>
          <w:tcPr>
            <w:tcW w:w="524"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F1AFEE" w14:textId="77777777" w:rsidR="0041121A" w:rsidRPr="00665D76" w:rsidRDefault="0041121A" w:rsidP="00311C34">
            <w:pPr>
              <w:rPr>
                <w:color w:val="000000"/>
                <w:sz w:val="24"/>
                <w:szCs w:val="24"/>
              </w:rPr>
            </w:pPr>
            <w:r w:rsidRPr="00665D76">
              <w:rPr>
                <w:color w:val="000000"/>
                <w:sz w:val="24"/>
                <w:szCs w:val="24"/>
              </w:rPr>
              <w:t>No</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F73ABF" w14:textId="77777777" w:rsidR="0041121A" w:rsidRPr="00665D76" w:rsidRDefault="0041121A" w:rsidP="00311C34">
            <w:pPr>
              <w:jc w:val="center"/>
              <w:rPr>
                <w:color w:val="000000"/>
                <w:sz w:val="24"/>
                <w:szCs w:val="24"/>
              </w:rPr>
            </w:pPr>
            <w:r w:rsidRPr="00665D76">
              <w:rPr>
                <w:color w:val="000000"/>
                <w:sz w:val="24"/>
                <w:szCs w:val="24"/>
              </w:rPr>
              <w:t>114</w:t>
            </w:r>
          </w:p>
        </w:tc>
        <w:tc>
          <w:tcPr>
            <w:tcW w:w="5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955979" w14:textId="77777777" w:rsidR="0041121A" w:rsidRPr="00665D76" w:rsidRDefault="0041121A" w:rsidP="00311C34">
            <w:pPr>
              <w:jc w:val="center"/>
              <w:rPr>
                <w:color w:val="000000"/>
                <w:sz w:val="24"/>
                <w:szCs w:val="24"/>
              </w:rPr>
            </w:pPr>
            <w:r w:rsidRPr="00665D76">
              <w:rPr>
                <w:color w:val="000000"/>
                <w:sz w:val="24"/>
                <w:szCs w:val="24"/>
              </w:rPr>
              <w:t>50.4%</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96579E" w14:textId="77777777" w:rsidR="0041121A" w:rsidRPr="00665D76" w:rsidRDefault="0041121A" w:rsidP="00311C34">
            <w:pPr>
              <w:jc w:val="center"/>
              <w:rPr>
                <w:color w:val="000000"/>
                <w:sz w:val="24"/>
                <w:szCs w:val="24"/>
              </w:rPr>
            </w:pPr>
            <w:r w:rsidRPr="00665D76">
              <w:rPr>
                <w:color w:val="000000"/>
                <w:sz w:val="24"/>
                <w:szCs w:val="24"/>
              </w:rPr>
              <w:t>98</w:t>
            </w:r>
          </w:p>
        </w:tc>
        <w:tc>
          <w:tcPr>
            <w:tcW w:w="559"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AC0803" w14:textId="77777777" w:rsidR="0041121A" w:rsidRPr="00665D76" w:rsidRDefault="0041121A" w:rsidP="00311C34">
            <w:pPr>
              <w:jc w:val="center"/>
              <w:rPr>
                <w:color w:val="000000"/>
                <w:sz w:val="24"/>
                <w:szCs w:val="24"/>
              </w:rPr>
            </w:pPr>
            <w:r w:rsidRPr="00665D76">
              <w:rPr>
                <w:color w:val="000000"/>
                <w:sz w:val="24"/>
                <w:szCs w:val="24"/>
              </w:rPr>
              <w:t>43.9%</w:t>
            </w:r>
          </w:p>
        </w:tc>
        <w:tc>
          <w:tcPr>
            <w:tcW w:w="544" w:type="pct"/>
            <w:gridSpan w:val="3"/>
            <w:vMerge w:val="restart"/>
            <w:tcBorders>
              <w:top w:val="nil"/>
              <w:left w:val="nil"/>
              <w:right w:val="single" w:sz="4" w:space="0" w:color="auto"/>
            </w:tcBorders>
            <w:shd w:val="clear" w:color="auto" w:fill="auto"/>
            <w:noWrap/>
            <w:tcMar>
              <w:top w:w="15" w:type="dxa"/>
              <w:left w:w="15" w:type="dxa"/>
              <w:bottom w:w="0" w:type="dxa"/>
              <w:right w:w="15" w:type="dxa"/>
            </w:tcMar>
            <w:vAlign w:val="center"/>
          </w:tcPr>
          <w:p w14:paraId="4EBC3D19" w14:textId="77777777" w:rsidR="0041121A" w:rsidRPr="00665D76" w:rsidRDefault="0041121A" w:rsidP="00311C34">
            <w:pPr>
              <w:jc w:val="center"/>
              <w:rPr>
                <w:color w:val="000000"/>
                <w:sz w:val="24"/>
                <w:szCs w:val="24"/>
              </w:rPr>
            </w:pPr>
            <w:r w:rsidRPr="00665D76">
              <w:rPr>
                <w:color w:val="000000"/>
                <w:sz w:val="24"/>
                <w:szCs w:val="24"/>
              </w:rPr>
              <w:t>LR 1.332</w:t>
            </w:r>
          </w:p>
        </w:tc>
        <w:tc>
          <w:tcPr>
            <w:tcW w:w="479" w:type="pct"/>
            <w:vMerge w:val="restart"/>
            <w:tcBorders>
              <w:top w:val="nil"/>
              <w:left w:val="nil"/>
              <w:right w:val="single" w:sz="4" w:space="0" w:color="auto"/>
            </w:tcBorders>
            <w:shd w:val="clear" w:color="auto" w:fill="auto"/>
            <w:noWrap/>
            <w:tcMar>
              <w:top w:w="15" w:type="dxa"/>
              <w:left w:w="15" w:type="dxa"/>
              <w:bottom w:w="0" w:type="dxa"/>
              <w:right w:w="15" w:type="dxa"/>
            </w:tcMar>
            <w:vAlign w:val="center"/>
          </w:tcPr>
          <w:p w14:paraId="2680C90B" w14:textId="77777777" w:rsidR="0041121A" w:rsidRPr="00665D76" w:rsidRDefault="0041121A" w:rsidP="00311C34">
            <w:pPr>
              <w:jc w:val="center"/>
              <w:rPr>
                <w:color w:val="000000"/>
                <w:sz w:val="24"/>
                <w:szCs w:val="24"/>
              </w:rPr>
            </w:pPr>
            <w:r w:rsidRPr="00665D76">
              <w:rPr>
                <w:color w:val="000000"/>
                <w:sz w:val="24"/>
                <w:szCs w:val="24"/>
              </w:rPr>
              <w:t>0.248</w:t>
            </w:r>
          </w:p>
        </w:tc>
      </w:tr>
      <w:tr w:rsidR="0041121A" w:rsidRPr="00665D76" w14:paraId="43B3E038" w14:textId="77777777" w:rsidTr="00976D63">
        <w:trPr>
          <w:trHeight w:val="397"/>
        </w:trPr>
        <w:tc>
          <w:tcPr>
            <w:tcW w:w="1422" w:type="pct"/>
            <w:vMerge/>
            <w:tcBorders>
              <w:left w:val="single" w:sz="4" w:space="0" w:color="auto"/>
              <w:bottom w:val="single" w:sz="4" w:space="0" w:color="auto"/>
              <w:right w:val="single" w:sz="4" w:space="0" w:color="auto"/>
            </w:tcBorders>
            <w:vAlign w:val="center"/>
          </w:tcPr>
          <w:p w14:paraId="574D56C8" w14:textId="77777777" w:rsidR="0041121A" w:rsidRPr="00665D76" w:rsidRDefault="0041121A" w:rsidP="00311C34">
            <w:pPr>
              <w:rPr>
                <w:color w:val="000000"/>
                <w:sz w:val="24"/>
                <w:szCs w:val="24"/>
              </w:rPr>
            </w:pPr>
          </w:p>
        </w:tc>
        <w:tc>
          <w:tcPr>
            <w:tcW w:w="524"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072879" w14:textId="77777777" w:rsidR="0041121A" w:rsidRPr="00665D76" w:rsidRDefault="0041121A" w:rsidP="00311C34">
            <w:pPr>
              <w:rPr>
                <w:color w:val="000000"/>
                <w:sz w:val="24"/>
                <w:szCs w:val="24"/>
              </w:rPr>
            </w:pPr>
            <w:r w:rsidRPr="00665D76">
              <w:rPr>
                <w:color w:val="000000"/>
                <w:sz w:val="24"/>
                <w:szCs w:val="24"/>
              </w:rPr>
              <w:t>Yes</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A8806D" w14:textId="77777777" w:rsidR="0041121A" w:rsidRPr="00665D76" w:rsidRDefault="0041121A" w:rsidP="00311C34">
            <w:pPr>
              <w:jc w:val="center"/>
              <w:rPr>
                <w:color w:val="000000"/>
                <w:sz w:val="24"/>
                <w:szCs w:val="24"/>
              </w:rPr>
            </w:pPr>
            <w:r w:rsidRPr="00665D76">
              <w:rPr>
                <w:color w:val="000000"/>
                <w:sz w:val="24"/>
                <w:szCs w:val="24"/>
              </w:rPr>
              <w:t>117</w:t>
            </w:r>
          </w:p>
        </w:tc>
        <w:tc>
          <w:tcPr>
            <w:tcW w:w="5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953A09A" w14:textId="77777777" w:rsidR="0041121A" w:rsidRPr="00665D76" w:rsidRDefault="0041121A" w:rsidP="00311C34">
            <w:pPr>
              <w:jc w:val="center"/>
              <w:rPr>
                <w:color w:val="000000"/>
                <w:sz w:val="24"/>
                <w:szCs w:val="24"/>
              </w:rPr>
            </w:pPr>
            <w:r w:rsidRPr="00665D76">
              <w:rPr>
                <w:color w:val="000000"/>
                <w:sz w:val="24"/>
                <w:szCs w:val="24"/>
              </w:rPr>
              <w:t>50.6%</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4506F8" w14:textId="77777777" w:rsidR="0041121A" w:rsidRPr="00665D76" w:rsidRDefault="0041121A" w:rsidP="00311C34">
            <w:pPr>
              <w:jc w:val="center"/>
              <w:rPr>
                <w:color w:val="000000"/>
                <w:sz w:val="24"/>
                <w:szCs w:val="24"/>
              </w:rPr>
            </w:pPr>
            <w:r w:rsidRPr="00665D76">
              <w:rPr>
                <w:color w:val="000000"/>
                <w:sz w:val="24"/>
                <w:szCs w:val="24"/>
              </w:rPr>
              <w:t>125</w:t>
            </w:r>
          </w:p>
        </w:tc>
        <w:tc>
          <w:tcPr>
            <w:tcW w:w="559"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291575" w14:textId="77777777" w:rsidR="0041121A" w:rsidRPr="00665D76" w:rsidRDefault="0041121A" w:rsidP="00311C34">
            <w:pPr>
              <w:jc w:val="center"/>
              <w:rPr>
                <w:color w:val="000000"/>
                <w:sz w:val="24"/>
                <w:szCs w:val="24"/>
              </w:rPr>
            </w:pPr>
            <w:r w:rsidRPr="00665D76">
              <w:rPr>
                <w:color w:val="000000"/>
                <w:sz w:val="24"/>
                <w:szCs w:val="24"/>
              </w:rPr>
              <w:t>56.1%</w:t>
            </w:r>
          </w:p>
        </w:tc>
        <w:tc>
          <w:tcPr>
            <w:tcW w:w="544" w:type="pct"/>
            <w:gridSpan w:val="3"/>
            <w:vMerge/>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2920A4" w14:textId="77777777" w:rsidR="0041121A" w:rsidRPr="00665D76" w:rsidRDefault="0041121A" w:rsidP="00311C34">
            <w:pPr>
              <w:jc w:val="center"/>
              <w:rPr>
                <w:color w:val="000000"/>
                <w:sz w:val="24"/>
                <w:szCs w:val="24"/>
              </w:rPr>
            </w:pPr>
          </w:p>
        </w:tc>
        <w:tc>
          <w:tcPr>
            <w:tcW w:w="479" w:type="pct"/>
            <w:vMerge/>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ED60614" w14:textId="77777777" w:rsidR="0041121A" w:rsidRPr="00665D76" w:rsidRDefault="0041121A" w:rsidP="00311C34">
            <w:pPr>
              <w:jc w:val="center"/>
              <w:rPr>
                <w:color w:val="000000"/>
                <w:sz w:val="24"/>
                <w:szCs w:val="24"/>
              </w:rPr>
            </w:pPr>
          </w:p>
        </w:tc>
      </w:tr>
    </w:tbl>
    <w:p w14:paraId="72152736" w14:textId="77777777" w:rsidR="00665D76" w:rsidRDefault="0041121A" w:rsidP="0041121A">
      <w:pPr>
        <w:rPr>
          <w:sz w:val="24"/>
          <w:szCs w:val="24"/>
        </w:rPr>
      </w:pPr>
      <w:r w:rsidRPr="00665D76">
        <w:rPr>
          <w:sz w:val="24"/>
          <w:szCs w:val="24"/>
        </w:rPr>
        <w:t>Statistical tests are analysis of variance (Mann-Whitney U test was used for non-parametric comparisons, with ‘U’ reported under statistical test) except where indicated LR = Likelihood ratio chi-square test. Education level is a score reflecting the highest level of education obtained to date, ranging from 0 (did not complete initial basic schooling) through to 5 (higher degree completed). Note that total cell sizes per group may differ due to missing data for some variables. * p&lt;0.05, ** p&lt;0.01.</w:t>
      </w:r>
    </w:p>
    <w:p w14:paraId="5AA69B0E" w14:textId="77777777" w:rsidR="00665D76" w:rsidRDefault="00665D76" w:rsidP="0041121A">
      <w:pPr>
        <w:rPr>
          <w:sz w:val="24"/>
          <w:szCs w:val="24"/>
        </w:rPr>
      </w:pPr>
    </w:p>
    <w:p w14:paraId="5C11EAAA" w14:textId="77777777" w:rsidR="00665D76" w:rsidRDefault="00665D76" w:rsidP="00665D76">
      <w:pPr>
        <w:spacing w:line="480" w:lineRule="auto"/>
        <w:ind w:firstLine="720"/>
        <w:rPr>
          <w:rFonts w:eastAsia="Calibri"/>
          <w:sz w:val="24"/>
          <w:szCs w:val="24"/>
          <w:lang w:val="en-GB"/>
        </w:rPr>
      </w:pPr>
    </w:p>
    <w:p w14:paraId="44974D17" w14:textId="61EC93B7" w:rsidR="00665D76" w:rsidRDefault="00665D76" w:rsidP="00665D76">
      <w:pPr>
        <w:spacing w:line="480" w:lineRule="auto"/>
        <w:ind w:firstLine="720"/>
        <w:rPr>
          <w:rFonts w:eastAsia="Calibri"/>
          <w:sz w:val="24"/>
          <w:szCs w:val="24"/>
          <w:lang w:val="en-GB"/>
        </w:rPr>
      </w:pPr>
      <w:r w:rsidRPr="004A7969">
        <w:rPr>
          <w:rFonts w:eastAsia="Calibri"/>
          <w:sz w:val="24"/>
          <w:szCs w:val="24"/>
          <w:lang w:val="en-GB"/>
        </w:rPr>
        <w:t xml:space="preserve">For </w:t>
      </w:r>
      <w:r>
        <w:rPr>
          <w:rFonts w:eastAsia="Calibri"/>
          <w:sz w:val="24"/>
          <w:szCs w:val="24"/>
          <w:lang w:val="en-GB"/>
        </w:rPr>
        <w:t xml:space="preserve">gambling </w:t>
      </w:r>
      <w:r w:rsidRPr="004A7969">
        <w:rPr>
          <w:rFonts w:eastAsia="Calibri"/>
          <w:sz w:val="24"/>
          <w:szCs w:val="24"/>
          <w:lang w:val="en-GB"/>
        </w:rPr>
        <w:t>clinical variables</w:t>
      </w:r>
      <w:r>
        <w:rPr>
          <w:rFonts w:eastAsia="Calibri"/>
          <w:sz w:val="24"/>
          <w:szCs w:val="24"/>
          <w:lang w:val="en-GB"/>
        </w:rPr>
        <w:t xml:space="preserve"> (</w:t>
      </w:r>
      <w:r w:rsidRPr="00665D76">
        <w:rPr>
          <w:rFonts w:eastAsia="Calibri"/>
          <w:b/>
          <w:bCs/>
          <w:sz w:val="24"/>
          <w:szCs w:val="24"/>
          <w:lang w:val="en-GB"/>
        </w:rPr>
        <w:t>Table 2</w:t>
      </w:r>
      <w:r>
        <w:rPr>
          <w:rFonts w:eastAsia="Calibri"/>
          <w:sz w:val="24"/>
          <w:szCs w:val="24"/>
          <w:lang w:val="en-GB"/>
        </w:rPr>
        <w:t>)</w:t>
      </w:r>
      <w:r w:rsidRPr="004A7969">
        <w:rPr>
          <w:rFonts w:eastAsia="Calibri"/>
          <w:sz w:val="24"/>
          <w:szCs w:val="24"/>
          <w:lang w:val="en-GB"/>
        </w:rPr>
        <w:t xml:space="preserve">, family history of </w:t>
      </w:r>
      <w:r>
        <w:rPr>
          <w:rFonts w:eastAsia="Calibri"/>
          <w:sz w:val="24"/>
          <w:szCs w:val="24"/>
          <w:lang w:val="en-GB"/>
        </w:rPr>
        <w:t>gambling disorder</w:t>
      </w:r>
      <w:r w:rsidRPr="004A7969">
        <w:rPr>
          <w:rFonts w:eastAsia="Calibri"/>
          <w:sz w:val="24"/>
          <w:szCs w:val="24"/>
          <w:lang w:val="en-GB"/>
        </w:rPr>
        <w:t xml:space="preserve"> was significantly associated with </w:t>
      </w:r>
      <w:r>
        <w:rPr>
          <w:rFonts w:eastAsia="Calibri"/>
          <w:sz w:val="24"/>
          <w:szCs w:val="24"/>
          <w:lang w:val="en-GB"/>
        </w:rPr>
        <w:t xml:space="preserve">earlier age of </w:t>
      </w:r>
      <w:r w:rsidR="00311C34">
        <w:rPr>
          <w:rFonts w:eastAsia="Calibri"/>
          <w:sz w:val="24"/>
          <w:szCs w:val="24"/>
          <w:lang w:val="en-GB"/>
        </w:rPr>
        <w:t xml:space="preserve">first </w:t>
      </w:r>
      <w:r>
        <w:rPr>
          <w:rFonts w:eastAsia="Calibri"/>
          <w:sz w:val="24"/>
          <w:szCs w:val="24"/>
          <w:lang w:val="en-GB"/>
        </w:rPr>
        <w:t xml:space="preserve">gambling, longer duration of untreated illness, and greater likelihood of having legal problems secondary to gambling. </w:t>
      </w:r>
      <w:r w:rsidRPr="004A7969">
        <w:rPr>
          <w:rFonts w:eastAsia="Calibri"/>
          <w:sz w:val="24"/>
          <w:szCs w:val="24"/>
          <w:lang w:val="en-GB"/>
        </w:rPr>
        <w:t xml:space="preserve"> </w:t>
      </w:r>
    </w:p>
    <w:p w14:paraId="66AD8B99" w14:textId="36645B98" w:rsidR="0041121A" w:rsidRPr="00665D76" w:rsidRDefault="0041121A" w:rsidP="0041121A">
      <w:pPr>
        <w:rPr>
          <w:sz w:val="24"/>
          <w:szCs w:val="24"/>
        </w:rPr>
      </w:pPr>
    </w:p>
    <w:p w14:paraId="2AD162D2" w14:textId="0ADFD414" w:rsidR="0041121A" w:rsidRPr="00665D76" w:rsidRDefault="0041121A" w:rsidP="0041121A">
      <w:pPr>
        <w:rPr>
          <w:b/>
          <w:sz w:val="24"/>
          <w:szCs w:val="24"/>
        </w:rPr>
      </w:pPr>
      <w:r w:rsidRPr="00665D76">
        <w:rPr>
          <w:b/>
          <w:sz w:val="24"/>
          <w:szCs w:val="24"/>
        </w:rPr>
        <w:t xml:space="preserve">Table 2. </w:t>
      </w:r>
      <w:r w:rsidR="00E431B1" w:rsidRPr="00665D76">
        <w:rPr>
          <w:b/>
          <w:sz w:val="24"/>
          <w:szCs w:val="24"/>
        </w:rPr>
        <w:t>Gambling c</w:t>
      </w:r>
      <w:r w:rsidRPr="00665D76">
        <w:rPr>
          <w:b/>
          <w:sz w:val="24"/>
          <w:szCs w:val="24"/>
        </w:rPr>
        <w:t xml:space="preserve">linical characteristics for those with versus without a family history of gambling disorder. </w:t>
      </w:r>
    </w:p>
    <w:tbl>
      <w:tblPr>
        <w:tblW w:w="9351" w:type="dxa"/>
        <w:tblLayout w:type="fixed"/>
        <w:tblLook w:val="04A0" w:firstRow="1" w:lastRow="0" w:firstColumn="1" w:lastColumn="0" w:noHBand="0" w:noVBand="1"/>
      </w:tblPr>
      <w:tblGrid>
        <w:gridCol w:w="1980"/>
        <w:gridCol w:w="567"/>
        <w:gridCol w:w="992"/>
        <w:gridCol w:w="1276"/>
        <w:gridCol w:w="992"/>
        <w:gridCol w:w="1276"/>
        <w:gridCol w:w="1192"/>
        <w:gridCol w:w="1076"/>
      </w:tblGrid>
      <w:tr w:rsidR="0041121A" w:rsidRPr="00665D76" w14:paraId="52298F97" w14:textId="77777777" w:rsidTr="00311C34">
        <w:trPr>
          <w:trHeight w:val="454"/>
        </w:trPr>
        <w:tc>
          <w:tcPr>
            <w:tcW w:w="2547" w:type="dxa"/>
            <w:gridSpan w:val="2"/>
            <w:vMerge w:val="restart"/>
            <w:tcBorders>
              <w:top w:val="single" w:sz="4" w:space="0" w:color="auto"/>
              <w:left w:val="single" w:sz="4" w:space="0" w:color="auto"/>
              <w:right w:val="single" w:sz="4" w:space="0" w:color="auto"/>
            </w:tcBorders>
          </w:tcPr>
          <w:p w14:paraId="3DC8DDE4" w14:textId="77777777" w:rsidR="0041121A" w:rsidRPr="00665D76" w:rsidRDefault="0041121A" w:rsidP="00311C34">
            <w:pPr>
              <w:rPr>
                <w:color w:val="000000"/>
                <w:sz w:val="24"/>
                <w:szCs w:val="24"/>
                <w:lang w:eastAsia="en-GB"/>
              </w:rPr>
            </w:pPr>
            <w:r w:rsidRPr="00665D76">
              <w:rPr>
                <w:color w:val="000000"/>
                <w:sz w:val="24"/>
                <w:szCs w:val="24"/>
                <w:lang w:eastAsia="en-GB"/>
              </w:rPr>
              <w:t> </w:t>
            </w:r>
          </w:p>
          <w:p w14:paraId="5DF5583B" w14:textId="77777777" w:rsidR="0041121A" w:rsidRPr="00665D76" w:rsidRDefault="0041121A" w:rsidP="00311C34">
            <w:pPr>
              <w:rPr>
                <w:color w:val="000000"/>
                <w:sz w:val="24"/>
                <w:szCs w:val="24"/>
                <w:lang w:eastAsia="en-GB"/>
              </w:rPr>
            </w:pPr>
            <w:r w:rsidRPr="00665D76">
              <w:rPr>
                <w:color w:val="000000"/>
                <w:sz w:val="24"/>
                <w:szCs w:val="24"/>
                <w:lang w:eastAsia="en-GB"/>
              </w:rPr>
              <w:t> </w:t>
            </w:r>
          </w:p>
          <w:p w14:paraId="2846B88F" w14:textId="77777777" w:rsidR="0041121A" w:rsidRPr="00665D76" w:rsidRDefault="0041121A" w:rsidP="00311C34">
            <w:pPr>
              <w:rPr>
                <w:color w:val="000000"/>
                <w:sz w:val="24"/>
                <w:szCs w:val="24"/>
                <w:lang w:eastAsia="en-GB"/>
              </w:rPr>
            </w:pPr>
            <w:r w:rsidRPr="00665D76">
              <w:rPr>
                <w:color w:val="000000"/>
                <w:sz w:val="24"/>
                <w:szCs w:val="24"/>
                <w:lang w:eastAsia="en-GB"/>
              </w:rPr>
              <w:t> </w:t>
            </w: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14:paraId="3C2319B8" w14:textId="77777777" w:rsidR="0041121A" w:rsidRPr="00665D76" w:rsidRDefault="0041121A" w:rsidP="00311C34">
            <w:pPr>
              <w:jc w:val="center"/>
              <w:rPr>
                <w:b/>
                <w:bCs/>
                <w:color w:val="000000"/>
                <w:sz w:val="24"/>
                <w:szCs w:val="24"/>
                <w:lang w:eastAsia="en-GB"/>
              </w:rPr>
            </w:pPr>
            <w:r w:rsidRPr="00665D76">
              <w:rPr>
                <w:b/>
                <w:bCs/>
                <w:color w:val="000000"/>
                <w:sz w:val="24"/>
                <w:szCs w:val="24"/>
              </w:rPr>
              <w:t>Family history of gambling disorder</w:t>
            </w:r>
          </w:p>
        </w:tc>
        <w:tc>
          <w:tcPr>
            <w:tcW w:w="2268" w:type="dxa"/>
            <w:gridSpan w:val="2"/>
            <w:vMerge w:val="restart"/>
            <w:tcBorders>
              <w:top w:val="single" w:sz="4" w:space="0" w:color="auto"/>
              <w:left w:val="nil"/>
              <w:right w:val="single" w:sz="4" w:space="0" w:color="auto"/>
            </w:tcBorders>
            <w:shd w:val="clear" w:color="auto" w:fill="auto"/>
            <w:noWrap/>
            <w:vAlign w:val="bottom"/>
            <w:hideMark/>
          </w:tcPr>
          <w:p w14:paraId="299E8488" w14:textId="77777777" w:rsidR="0041121A" w:rsidRPr="00665D76" w:rsidRDefault="0041121A" w:rsidP="00311C34">
            <w:pPr>
              <w:rPr>
                <w:color w:val="000000"/>
                <w:sz w:val="24"/>
                <w:szCs w:val="24"/>
                <w:lang w:eastAsia="en-GB"/>
              </w:rPr>
            </w:pPr>
            <w:r w:rsidRPr="00665D76">
              <w:rPr>
                <w:color w:val="000000"/>
                <w:sz w:val="24"/>
                <w:szCs w:val="24"/>
                <w:lang w:eastAsia="en-GB"/>
              </w:rPr>
              <w:t> </w:t>
            </w:r>
          </w:p>
          <w:p w14:paraId="414F2355" w14:textId="77777777" w:rsidR="0041121A" w:rsidRPr="00665D76" w:rsidRDefault="0041121A" w:rsidP="00311C34">
            <w:pPr>
              <w:rPr>
                <w:color w:val="000000"/>
                <w:sz w:val="24"/>
                <w:szCs w:val="24"/>
                <w:lang w:eastAsia="en-GB"/>
              </w:rPr>
            </w:pPr>
            <w:r w:rsidRPr="00665D76">
              <w:rPr>
                <w:color w:val="000000"/>
                <w:sz w:val="24"/>
                <w:szCs w:val="24"/>
                <w:lang w:eastAsia="en-GB"/>
              </w:rPr>
              <w:t> </w:t>
            </w:r>
          </w:p>
          <w:p w14:paraId="140B4A20" w14:textId="77777777" w:rsidR="0041121A" w:rsidRPr="00665D76" w:rsidRDefault="0041121A" w:rsidP="00311C34">
            <w:pPr>
              <w:rPr>
                <w:color w:val="000000"/>
                <w:sz w:val="24"/>
                <w:szCs w:val="24"/>
                <w:lang w:eastAsia="en-GB"/>
              </w:rPr>
            </w:pPr>
            <w:r w:rsidRPr="00665D76">
              <w:rPr>
                <w:color w:val="000000"/>
                <w:sz w:val="24"/>
                <w:szCs w:val="24"/>
                <w:lang w:eastAsia="en-GB"/>
              </w:rPr>
              <w:t> </w:t>
            </w:r>
          </w:p>
          <w:p w14:paraId="102763BA" w14:textId="77777777" w:rsidR="0041121A" w:rsidRPr="00665D76" w:rsidRDefault="0041121A" w:rsidP="00311C34">
            <w:pPr>
              <w:rPr>
                <w:color w:val="000000"/>
                <w:sz w:val="24"/>
                <w:szCs w:val="24"/>
                <w:lang w:eastAsia="en-GB"/>
              </w:rPr>
            </w:pPr>
            <w:r w:rsidRPr="00665D76">
              <w:rPr>
                <w:color w:val="000000"/>
                <w:sz w:val="24"/>
                <w:szCs w:val="24"/>
                <w:lang w:eastAsia="en-GB"/>
              </w:rPr>
              <w:t> </w:t>
            </w:r>
          </w:p>
        </w:tc>
      </w:tr>
      <w:tr w:rsidR="0041121A" w:rsidRPr="00665D76" w14:paraId="3CE8E931" w14:textId="77777777" w:rsidTr="00311C34">
        <w:trPr>
          <w:trHeight w:val="454"/>
        </w:trPr>
        <w:tc>
          <w:tcPr>
            <w:tcW w:w="2547" w:type="dxa"/>
            <w:gridSpan w:val="2"/>
            <w:vMerge/>
            <w:tcBorders>
              <w:left w:val="single" w:sz="4" w:space="0" w:color="auto"/>
              <w:right w:val="single" w:sz="4" w:space="0" w:color="auto"/>
            </w:tcBorders>
          </w:tcPr>
          <w:p w14:paraId="1F767677" w14:textId="77777777" w:rsidR="0041121A" w:rsidRPr="00665D76" w:rsidRDefault="0041121A" w:rsidP="00311C34">
            <w:pPr>
              <w:rPr>
                <w:color w:val="000000"/>
                <w:sz w:val="24"/>
                <w:szCs w:val="24"/>
                <w:lang w:eastAsia="en-GB"/>
              </w:rPr>
            </w:pP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AB6835" w14:textId="0BBEE155" w:rsidR="0041121A" w:rsidRPr="00665D76" w:rsidRDefault="0041121A" w:rsidP="00311C34">
            <w:pPr>
              <w:jc w:val="center"/>
              <w:rPr>
                <w:b/>
                <w:bCs/>
                <w:color w:val="000000"/>
                <w:sz w:val="24"/>
                <w:szCs w:val="24"/>
                <w:lang w:eastAsia="en-GB"/>
              </w:rPr>
            </w:pPr>
            <w:r w:rsidRPr="00665D76">
              <w:rPr>
                <w:b/>
                <w:bCs/>
                <w:color w:val="000000"/>
                <w:sz w:val="24"/>
                <w:szCs w:val="24"/>
                <w:lang w:eastAsia="en-GB"/>
              </w:rPr>
              <w:t>No (</w:t>
            </w:r>
            <w:r w:rsidR="005A46EC">
              <w:rPr>
                <w:b/>
                <w:bCs/>
                <w:color w:val="000000"/>
                <w:sz w:val="24"/>
                <w:szCs w:val="24"/>
                <w:lang w:eastAsia="en-GB"/>
              </w:rPr>
              <w:t>n</w:t>
            </w:r>
            <w:r w:rsidRPr="00665D76">
              <w:rPr>
                <w:b/>
                <w:bCs/>
                <w:color w:val="000000"/>
                <w:sz w:val="24"/>
                <w:szCs w:val="24"/>
                <w:lang w:eastAsia="en-GB"/>
              </w:rPr>
              <w:t>=232)</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C97CD7" w14:textId="34D7227E" w:rsidR="0041121A" w:rsidRPr="00665D76" w:rsidRDefault="0041121A" w:rsidP="00311C34">
            <w:pPr>
              <w:jc w:val="center"/>
              <w:rPr>
                <w:b/>
                <w:bCs/>
                <w:color w:val="000000"/>
                <w:sz w:val="24"/>
                <w:szCs w:val="24"/>
                <w:lang w:eastAsia="en-GB"/>
              </w:rPr>
            </w:pPr>
            <w:r w:rsidRPr="00665D76">
              <w:rPr>
                <w:b/>
                <w:bCs/>
                <w:color w:val="000000"/>
                <w:sz w:val="24"/>
                <w:szCs w:val="24"/>
                <w:lang w:eastAsia="en-GB"/>
              </w:rPr>
              <w:t>Yes (</w:t>
            </w:r>
            <w:r w:rsidR="005A46EC">
              <w:rPr>
                <w:b/>
                <w:bCs/>
                <w:color w:val="000000"/>
                <w:sz w:val="24"/>
                <w:szCs w:val="24"/>
                <w:lang w:eastAsia="en-GB"/>
              </w:rPr>
              <w:t>n</w:t>
            </w:r>
            <w:r w:rsidRPr="00665D76">
              <w:rPr>
                <w:b/>
                <w:bCs/>
                <w:color w:val="000000"/>
                <w:sz w:val="24"/>
                <w:szCs w:val="24"/>
                <w:lang w:eastAsia="en-GB"/>
              </w:rPr>
              <w:t>=223)</w:t>
            </w:r>
          </w:p>
        </w:tc>
        <w:tc>
          <w:tcPr>
            <w:tcW w:w="2268" w:type="dxa"/>
            <w:gridSpan w:val="2"/>
            <w:vMerge/>
            <w:tcBorders>
              <w:left w:val="nil"/>
              <w:bottom w:val="single" w:sz="4" w:space="0" w:color="auto"/>
              <w:right w:val="single" w:sz="4" w:space="0" w:color="auto"/>
            </w:tcBorders>
            <w:shd w:val="clear" w:color="auto" w:fill="auto"/>
            <w:noWrap/>
            <w:vAlign w:val="bottom"/>
            <w:hideMark/>
          </w:tcPr>
          <w:p w14:paraId="3CC717CD" w14:textId="77777777" w:rsidR="0041121A" w:rsidRPr="00665D76" w:rsidRDefault="0041121A" w:rsidP="00311C34">
            <w:pPr>
              <w:rPr>
                <w:color w:val="000000"/>
                <w:sz w:val="24"/>
                <w:szCs w:val="24"/>
                <w:lang w:eastAsia="en-GB"/>
              </w:rPr>
            </w:pPr>
          </w:p>
        </w:tc>
      </w:tr>
      <w:tr w:rsidR="0041121A" w:rsidRPr="00665D76" w14:paraId="064AD68A" w14:textId="77777777" w:rsidTr="00665D76">
        <w:trPr>
          <w:trHeight w:val="454"/>
        </w:trPr>
        <w:tc>
          <w:tcPr>
            <w:tcW w:w="2547" w:type="dxa"/>
            <w:gridSpan w:val="2"/>
            <w:vMerge/>
            <w:tcBorders>
              <w:left w:val="single" w:sz="4" w:space="0" w:color="auto"/>
              <w:bottom w:val="single" w:sz="4" w:space="0" w:color="auto"/>
              <w:right w:val="single" w:sz="4" w:space="0" w:color="auto"/>
            </w:tcBorders>
          </w:tcPr>
          <w:p w14:paraId="4E46CED9" w14:textId="77777777" w:rsidR="0041121A" w:rsidRPr="00665D76" w:rsidRDefault="0041121A" w:rsidP="00311C34">
            <w:pPr>
              <w:rPr>
                <w:color w:val="000000"/>
                <w:sz w:val="24"/>
                <w:szCs w:val="24"/>
                <w:lang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D7A30B4" w14:textId="3C53007C" w:rsidR="0041121A" w:rsidRPr="00665D76" w:rsidRDefault="0041121A" w:rsidP="00311C34">
            <w:pPr>
              <w:jc w:val="center"/>
              <w:rPr>
                <w:color w:val="000000"/>
                <w:sz w:val="24"/>
                <w:szCs w:val="24"/>
                <w:lang w:eastAsia="en-GB"/>
              </w:rPr>
            </w:pPr>
            <w:r w:rsidRPr="00665D76">
              <w:rPr>
                <w:color w:val="000000"/>
                <w:sz w:val="24"/>
                <w:szCs w:val="24"/>
                <w:lang w:eastAsia="en-GB"/>
              </w:rPr>
              <w:t>Mean/</w:t>
            </w:r>
            <w:r w:rsidR="005A46EC">
              <w:rPr>
                <w:color w:val="000000"/>
                <w:sz w:val="24"/>
                <w:szCs w:val="24"/>
                <w:lang w:eastAsia="en-GB"/>
              </w:rPr>
              <w:t>n</w:t>
            </w:r>
          </w:p>
        </w:tc>
        <w:tc>
          <w:tcPr>
            <w:tcW w:w="1276" w:type="dxa"/>
            <w:tcBorders>
              <w:top w:val="nil"/>
              <w:left w:val="nil"/>
              <w:bottom w:val="single" w:sz="4" w:space="0" w:color="auto"/>
              <w:right w:val="single" w:sz="4" w:space="0" w:color="auto"/>
            </w:tcBorders>
            <w:shd w:val="clear" w:color="auto" w:fill="auto"/>
            <w:noWrap/>
            <w:vAlign w:val="center"/>
            <w:hideMark/>
          </w:tcPr>
          <w:p w14:paraId="23AB2303" w14:textId="77777777" w:rsidR="0041121A" w:rsidRPr="00665D76" w:rsidRDefault="0041121A" w:rsidP="00311C34">
            <w:pPr>
              <w:jc w:val="center"/>
              <w:rPr>
                <w:color w:val="000000"/>
                <w:sz w:val="24"/>
                <w:szCs w:val="24"/>
                <w:lang w:eastAsia="en-GB"/>
              </w:rPr>
            </w:pPr>
            <w:r w:rsidRPr="00665D76">
              <w:rPr>
                <w:color w:val="000000"/>
                <w:sz w:val="24"/>
                <w:szCs w:val="24"/>
                <w:lang w:eastAsia="en-GB"/>
              </w:rPr>
              <w:t>Std Dev/%</w:t>
            </w:r>
          </w:p>
        </w:tc>
        <w:tc>
          <w:tcPr>
            <w:tcW w:w="992" w:type="dxa"/>
            <w:tcBorders>
              <w:top w:val="nil"/>
              <w:left w:val="nil"/>
              <w:bottom w:val="single" w:sz="4" w:space="0" w:color="auto"/>
              <w:right w:val="single" w:sz="4" w:space="0" w:color="auto"/>
            </w:tcBorders>
            <w:shd w:val="clear" w:color="auto" w:fill="auto"/>
            <w:noWrap/>
            <w:vAlign w:val="center"/>
            <w:hideMark/>
          </w:tcPr>
          <w:p w14:paraId="776AF7B6" w14:textId="57465E2D" w:rsidR="0041121A" w:rsidRPr="00665D76" w:rsidRDefault="0041121A" w:rsidP="00311C34">
            <w:pPr>
              <w:jc w:val="center"/>
              <w:rPr>
                <w:color w:val="000000"/>
                <w:sz w:val="24"/>
                <w:szCs w:val="24"/>
                <w:lang w:eastAsia="en-GB"/>
              </w:rPr>
            </w:pPr>
            <w:r w:rsidRPr="00665D76">
              <w:rPr>
                <w:color w:val="000000"/>
                <w:sz w:val="24"/>
                <w:szCs w:val="24"/>
                <w:lang w:eastAsia="en-GB"/>
              </w:rPr>
              <w:t>Mean/</w:t>
            </w:r>
            <w:r w:rsidR="005A46EC">
              <w:rPr>
                <w:color w:val="000000"/>
                <w:sz w:val="24"/>
                <w:szCs w:val="24"/>
                <w:lang w:eastAsia="en-GB"/>
              </w:rPr>
              <w:t>n</w:t>
            </w:r>
          </w:p>
        </w:tc>
        <w:tc>
          <w:tcPr>
            <w:tcW w:w="1276" w:type="dxa"/>
            <w:tcBorders>
              <w:top w:val="nil"/>
              <w:left w:val="nil"/>
              <w:bottom w:val="single" w:sz="4" w:space="0" w:color="auto"/>
              <w:right w:val="single" w:sz="4" w:space="0" w:color="auto"/>
            </w:tcBorders>
            <w:shd w:val="clear" w:color="auto" w:fill="auto"/>
            <w:noWrap/>
            <w:vAlign w:val="center"/>
            <w:hideMark/>
          </w:tcPr>
          <w:p w14:paraId="5DAE0836" w14:textId="77777777" w:rsidR="0041121A" w:rsidRPr="00665D76" w:rsidRDefault="0041121A" w:rsidP="00311C34">
            <w:pPr>
              <w:jc w:val="center"/>
              <w:rPr>
                <w:color w:val="000000"/>
                <w:sz w:val="24"/>
                <w:szCs w:val="24"/>
                <w:lang w:eastAsia="en-GB"/>
              </w:rPr>
            </w:pPr>
            <w:r w:rsidRPr="00665D76">
              <w:rPr>
                <w:color w:val="000000"/>
                <w:sz w:val="24"/>
                <w:szCs w:val="24"/>
                <w:lang w:eastAsia="en-GB"/>
              </w:rPr>
              <w:t>Std Dev/%</w:t>
            </w:r>
          </w:p>
        </w:tc>
        <w:tc>
          <w:tcPr>
            <w:tcW w:w="1192" w:type="dxa"/>
            <w:tcBorders>
              <w:top w:val="nil"/>
              <w:left w:val="nil"/>
              <w:bottom w:val="single" w:sz="4" w:space="0" w:color="auto"/>
              <w:right w:val="single" w:sz="4" w:space="0" w:color="auto"/>
            </w:tcBorders>
            <w:shd w:val="clear" w:color="auto" w:fill="auto"/>
            <w:noWrap/>
            <w:vAlign w:val="center"/>
            <w:hideMark/>
          </w:tcPr>
          <w:p w14:paraId="787DECA2" w14:textId="77777777" w:rsidR="0041121A" w:rsidRPr="00665D76" w:rsidRDefault="0041121A" w:rsidP="00311C34">
            <w:pPr>
              <w:jc w:val="center"/>
              <w:rPr>
                <w:color w:val="000000"/>
                <w:sz w:val="24"/>
                <w:szCs w:val="24"/>
                <w:lang w:eastAsia="en-GB"/>
              </w:rPr>
            </w:pPr>
            <w:r w:rsidRPr="00665D76">
              <w:rPr>
                <w:color w:val="000000"/>
                <w:sz w:val="24"/>
                <w:szCs w:val="24"/>
                <w:lang w:eastAsia="en-GB"/>
              </w:rPr>
              <w:t>Statistical</w:t>
            </w:r>
          </w:p>
          <w:p w14:paraId="11EC0E12" w14:textId="77777777" w:rsidR="0041121A" w:rsidRPr="00665D76" w:rsidRDefault="0041121A" w:rsidP="00311C34">
            <w:pPr>
              <w:jc w:val="center"/>
              <w:rPr>
                <w:color w:val="000000"/>
                <w:sz w:val="24"/>
                <w:szCs w:val="24"/>
                <w:lang w:eastAsia="en-GB"/>
              </w:rPr>
            </w:pPr>
            <w:r w:rsidRPr="00665D76">
              <w:rPr>
                <w:color w:val="000000"/>
                <w:sz w:val="24"/>
                <w:szCs w:val="24"/>
                <w:lang w:eastAsia="en-GB"/>
              </w:rPr>
              <w:t>test</w:t>
            </w:r>
          </w:p>
        </w:tc>
        <w:tc>
          <w:tcPr>
            <w:tcW w:w="1076" w:type="dxa"/>
            <w:tcBorders>
              <w:top w:val="nil"/>
              <w:left w:val="nil"/>
              <w:bottom w:val="single" w:sz="4" w:space="0" w:color="auto"/>
              <w:right w:val="single" w:sz="4" w:space="0" w:color="auto"/>
            </w:tcBorders>
            <w:shd w:val="clear" w:color="auto" w:fill="auto"/>
            <w:noWrap/>
            <w:vAlign w:val="center"/>
            <w:hideMark/>
          </w:tcPr>
          <w:p w14:paraId="27E48EE6" w14:textId="77777777" w:rsidR="0041121A" w:rsidRPr="00665D76" w:rsidRDefault="0041121A" w:rsidP="00311C34">
            <w:pPr>
              <w:jc w:val="center"/>
              <w:rPr>
                <w:color w:val="000000"/>
                <w:sz w:val="24"/>
                <w:szCs w:val="24"/>
                <w:lang w:eastAsia="en-GB"/>
              </w:rPr>
            </w:pPr>
            <w:r w:rsidRPr="00665D76">
              <w:rPr>
                <w:color w:val="000000"/>
                <w:sz w:val="24"/>
                <w:szCs w:val="24"/>
                <w:lang w:eastAsia="en-GB"/>
              </w:rPr>
              <w:t>P</w:t>
            </w:r>
          </w:p>
        </w:tc>
      </w:tr>
      <w:tr w:rsidR="0041121A" w:rsidRPr="00665D76" w14:paraId="10396756" w14:textId="77777777" w:rsidTr="00665D76">
        <w:trPr>
          <w:trHeight w:val="828"/>
        </w:trPr>
        <w:tc>
          <w:tcPr>
            <w:tcW w:w="2547" w:type="dxa"/>
            <w:gridSpan w:val="2"/>
            <w:tcBorders>
              <w:top w:val="nil"/>
              <w:left w:val="single" w:sz="4" w:space="0" w:color="auto"/>
              <w:bottom w:val="single" w:sz="4" w:space="0" w:color="auto"/>
              <w:right w:val="single" w:sz="4" w:space="0" w:color="auto"/>
            </w:tcBorders>
            <w:vAlign w:val="center"/>
          </w:tcPr>
          <w:p w14:paraId="00151C77" w14:textId="77777777" w:rsidR="0041121A" w:rsidRPr="00665D76" w:rsidRDefault="0041121A" w:rsidP="00311C34">
            <w:pPr>
              <w:rPr>
                <w:b/>
                <w:bCs/>
                <w:color w:val="000000"/>
                <w:sz w:val="24"/>
                <w:szCs w:val="24"/>
                <w:lang w:eastAsia="en-GB"/>
              </w:rPr>
            </w:pPr>
            <w:r w:rsidRPr="00665D76">
              <w:rPr>
                <w:b/>
                <w:bCs/>
                <w:color w:val="000000"/>
                <w:sz w:val="24"/>
                <w:szCs w:val="24"/>
                <w:lang w:eastAsia="en-GB"/>
              </w:rPr>
              <w:t>Dollars lost to gambling in the past year</w:t>
            </w:r>
          </w:p>
        </w:tc>
        <w:tc>
          <w:tcPr>
            <w:tcW w:w="992" w:type="dxa"/>
            <w:tcBorders>
              <w:top w:val="nil"/>
              <w:left w:val="nil"/>
              <w:bottom w:val="single" w:sz="4" w:space="0" w:color="auto"/>
              <w:right w:val="single" w:sz="4" w:space="0" w:color="auto"/>
            </w:tcBorders>
            <w:shd w:val="clear" w:color="auto" w:fill="auto"/>
            <w:noWrap/>
            <w:vAlign w:val="center"/>
          </w:tcPr>
          <w:p w14:paraId="44F1BAC7" w14:textId="77777777" w:rsidR="0041121A" w:rsidRPr="00665D76" w:rsidRDefault="0041121A" w:rsidP="00311C34">
            <w:pPr>
              <w:jc w:val="center"/>
              <w:rPr>
                <w:color w:val="000000"/>
                <w:sz w:val="24"/>
                <w:szCs w:val="24"/>
                <w:lang w:eastAsia="en-GB"/>
              </w:rPr>
            </w:pPr>
            <w:r w:rsidRPr="00665D76">
              <w:rPr>
                <w:color w:val="000000"/>
                <w:sz w:val="24"/>
                <w:szCs w:val="24"/>
                <w:lang w:eastAsia="en-GB"/>
              </w:rPr>
              <w:t>26046</w:t>
            </w:r>
          </w:p>
        </w:tc>
        <w:tc>
          <w:tcPr>
            <w:tcW w:w="1276" w:type="dxa"/>
            <w:tcBorders>
              <w:top w:val="nil"/>
              <w:left w:val="nil"/>
              <w:bottom w:val="single" w:sz="4" w:space="0" w:color="auto"/>
              <w:right w:val="single" w:sz="4" w:space="0" w:color="auto"/>
            </w:tcBorders>
            <w:shd w:val="clear" w:color="auto" w:fill="auto"/>
            <w:noWrap/>
            <w:vAlign w:val="center"/>
          </w:tcPr>
          <w:p w14:paraId="08972AF5" w14:textId="77777777" w:rsidR="0041121A" w:rsidRPr="00665D76" w:rsidRDefault="0041121A" w:rsidP="00311C34">
            <w:pPr>
              <w:jc w:val="center"/>
              <w:rPr>
                <w:color w:val="000000"/>
                <w:sz w:val="24"/>
                <w:szCs w:val="24"/>
                <w:lang w:eastAsia="en-GB"/>
              </w:rPr>
            </w:pPr>
            <w:r w:rsidRPr="00665D76">
              <w:rPr>
                <w:color w:val="000000"/>
                <w:sz w:val="24"/>
                <w:szCs w:val="24"/>
                <w:lang w:eastAsia="en-GB"/>
              </w:rPr>
              <w:t>37462</w:t>
            </w:r>
          </w:p>
        </w:tc>
        <w:tc>
          <w:tcPr>
            <w:tcW w:w="992" w:type="dxa"/>
            <w:tcBorders>
              <w:top w:val="nil"/>
              <w:left w:val="nil"/>
              <w:bottom w:val="single" w:sz="4" w:space="0" w:color="auto"/>
              <w:right w:val="single" w:sz="4" w:space="0" w:color="auto"/>
            </w:tcBorders>
            <w:shd w:val="clear" w:color="auto" w:fill="auto"/>
            <w:noWrap/>
            <w:vAlign w:val="center"/>
          </w:tcPr>
          <w:p w14:paraId="2A579EC5" w14:textId="77777777" w:rsidR="0041121A" w:rsidRPr="00665D76" w:rsidRDefault="0041121A" w:rsidP="00311C34">
            <w:pPr>
              <w:jc w:val="center"/>
              <w:rPr>
                <w:color w:val="000000"/>
                <w:sz w:val="24"/>
                <w:szCs w:val="24"/>
                <w:lang w:eastAsia="en-GB"/>
              </w:rPr>
            </w:pPr>
            <w:r w:rsidRPr="00665D76">
              <w:rPr>
                <w:color w:val="000000"/>
                <w:sz w:val="24"/>
                <w:szCs w:val="24"/>
                <w:lang w:eastAsia="en-GB"/>
              </w:rPr>
              <w:t>24651</w:t>
            </w:r>
          </w:p>
        </w:tc>
        <w:tc>
          <w:tcPr>
            <w:tcW w:w="1276" w:type="dxa"/>
            <w:tcBorders>
              <w:top w:val="nil"/>
              <w:left w:val="nil"/>
              <w:bottom w:val="single" w:sz="4" w:space="0" w:color="auto"/>
              <w:right w:val="single" w:sz="4" w:space="0" w:color="auto"/>
            </w:tcBorders>
            <w:shd w:val="clear" w:color="auto" w:fill="auto"/>
            <w:noWrap/>
            <w:vAlign w:val="center"/>
          </w:tcPr>
          <w:p w14:paraId="7E72B405" w14:textId="77777777" w:rsidR="0041121A" w:rsidRPr="00665D76" w:rsidRDefault="0041121A" w:rsidP="00311C34">
            <w:pPr>
              <w:jc w:val="center"/>
              <w:rPr>
                <w:color w:val="000000"/>
                <w:sz w:val="24"/>
                <w:szCs w:val="24"/>
                <w:lang w:eastAsia="en-GB"/>
              </w:rPr>
            </w:pPr>
            <w:r w:rsidRPr="00665D76">
              <w:rPr>
                <w:color w:val="000000"/>
                <w:sz w:val="24"/>
                <w:szCs w:val="24"/>
                <w:lang w:eastAsia="en-GB"/>
              </w:rPr>
              <w:t>25835</w:t>
            </w:r>
          </w:p>
        </w:tc>
        <w:tc>
          <w:tcPr>
            <w:tcW w:w="1192" w:type="dxa"/>
            <w:tcBorders>
              <w:top w:val="nil"/>
              <w:left w:val="nil"/>
              <w:bottom w:val="single" w:sz="4" w:space="0" w:color="auto"/>
              <w:right w:val="single" w:sz="4" w:space="0" w:color="auto"/>
            </w:tcBorders>
            <w:shd w:val="clear" w:color="auto" w:fill="auto"/>
            <w:noWrap/>
            <w:vAlign w:val="center"/>
          </w:tcPr>
          <w:p w14:paraId="11711676" w14:textId="77777777" w:rsidR="0041121A" w:rsidRPr="00665D76" w:rsidRDefault="0041121A" w:rsidP="00311C34">
            <w:pPr>
              <w:jc w:val="center"/>
              <w:rPr>
                <w:color w:val="000000"/>
                <w:sz w:val="24"/>
                <w:szCs w:val="24"/>
                <w:lang w:eastAsia="en-GB"/>
              </w:rPr>
            </w:pPr>
            <w:r w:rsidRPr="00665D76">
              <w:rPr>
                <w:color w:val="000000"/>
                <w:sz w:val="24"/>
                <w:szCs w:val="24"/>
                <w:lang w:eastAsia="en-GB"/>
              </w:rPr>
              <w:t>16510</w:t>
            </w:r>
          </w:p>
        </w:tc>
        <w:tc>
          <w:tcPr>
            <w:tcW w:w="1076" w:type="dxa"/>
            <w:tcBorders>
              <w:top w:val="nil"/>
              <w:left w:val="nil"/>
              <w:bottom w:val="single" w:sz="4" w:space="0" w:color="auto"/>
              <w:right w:val="single" w:sz="4" w:space="0" w:color="auto"/>
            </w:tcBorders>
            <w:shd w:val="clear" w:color="auto" w:fill="auto"/>
            <w:noWrap/>
            <w:vAlign w:val="center"/>
          </w:tcPr>
          <w:p w14:paraId="3A775D0C" w14:textId="77777777" w:rsidR="0041121A" w:rsidRPr="00665D76" w:rsidRDefault="0041121A" w:rsidP="00311C34">
            <w:pPr>
              <w:jc w:val="center"/>
              <w:rPr>
                <w:color w:val="000000"/>
                <w:sz w:val="24"/>
                <w:szCs w:val="24"/>
                <w:lang w:eastAsia="en-GB"/>
              </w:rPr>
            </w:pPr>
            <w:r w:rsidRPr="00665D76">
              <w:rPr>
                <w:color w:val="000000"/>
                <w:sz w:val="24"/>
                <w:szCs w:val="24"/>
                <w:lang w:eastAsia="en-GB"/>
              </w:rPr>
              <w:t>0.556</w:t>
            </w:r>
          </w:p>
        </w:tc>
      </w:tr>
      <w:tr w:rsidR="0041121A" w:rsidRPr="00665D76" w14:paraId="6F9D7AB9" w14:textId="77777777" w:rsidTr="00665D76">
        <w:trPr>
          <w:trHeight w:val="454"/>
        </w:trPr>
        <w:tc>
          <w:tcPr>
            <w:tcW w:w="2547" w:type="dxa"/>
            <w:gridSpan w:val="2"/>
            <w:tcBorders>
              <w:top w:val="nil"/>
              <w:left w:val="single" w:sz="4" w:space="0" w:color="auto"/>
              <w:bottom w:val="single" w:sz="4" w:space="0" w:color="auto"/>
              <w:right w:val="single" w:sz="4" w:space="0" w:color="auto"/>
            </w:tcBorders>
            <w:vAlign w:val="center"/>
          </w:tcPr>
          <w:p w14:paraId="053DF6C8" w14:textId="77777777" w:rsidR="0041121A" w:rsidRPr="00665D76" w:rsidRDefault="0041121A" w:rsidP="00311C34">
            <w:pPr>
              <w:rPr>
                <w:b/>
                <w:bCs/>
                <w:color w:val="000000"/>
                <w:sz w:val="24"/>
                <w:szCs w:val="24"/>
                <w:lang w:eastAsia="en-GB"/>
              </w:rPr>
            </w:pPr>
            <w:r w:rsidRPr="00665D76">
              <w:rPr>
                <w:b/>
                <w:bCs/>
                <w:color w:val="000000"/>
                <w:sz w:val="24"/>
                <w:szCs w:val="24"/>
                <w:lang w:eastAsia="en-GB"/>
              </w:rPr>
              <w:t>GSAS</w:t>
            </w:r>
          </w:p>
        </w:tc>
        <w:tc>
          <w:tcPr>
            <w:tcW w:w="992" w:type="dxa"/>
            <w:tcBorders>
              <w:top w:val="nil"/>
              <w:left w:val="nil"/>
              <w:bottom w:val="single" w:sz="4" w:space="0" w:color="auto"/>
              <w:right w:val="single" w:sz="4" w:space="0" w:color="auto"/>
            </w:tcBorders>
            <w:shd w:val="clear" w:color="auto" w:fill="auto"/>
            <w:noWrap/>
            <w:vAlign w:val="center"/>
          </w:tcPr>
          <w:p w14:paraId="35311466" w14:textId="77777777" w:rsidR="0041121A" w:rsidRPr="00665D76" w:rsidRDefault="0041121A" w:rsidP="00311C34">
            <w:pPr>
              <w:jc w:val="center"/>
              <w:rPr>
                <w:color w:val="000000"/>
                <w:sz w:val="24"/>
                <w:szCs w:val="24"/>
                <w:lang w:eastAsia="en-GB"/>
              </w:rPr>
            </w:pPr>
            <w:r w:rsidRPr="00665D76">
              <w:rPr>
                <w:color w:val="000000"/>
                <w:sz w:val="24"/>
                <w:szCs w:val="24"/>
                <w:lang w:eastAsia="en-GB"/>
              </w:rPr>
              <w:t>33.9</w:t>
            </w:r>
          </w:p>
        </w:tc>
        <w:tc>
          <w:tcPr>
            <w:tcW w:w="1276" w:type="dxa"/>
            <w:tcBorders>
              <w:top w:val="nil"/>
              <w:left w:val="nil"/>
              <w:bottom w:val="single" w:sz="4" w:space="0" w:color="auto"/>
              <w:right w:val="single" w:sz="4" w:space="0" w:color="auto"/>
            </w:tcBorders>
            <w:shd w:val="clear" w:color="auto" w:fill="auto"/>
            <w:noWrap/>
            <w:vAlign w:val="center"/>
          </w:tcPr>
          <w:p w14:paraId="36E85A4E" w14:textId="77777777" w:rsidR="0041121A" w:rsidRPr="00665D76" w:rsidRDefault="0041121A" w:rsidP="00311C34">
            <w:pPr>
              <w:jc w:val="center"/>
              <w:rPr>
                <w:color w:val="000000"/>
                <w:sz w:val="24"/>
                <w:szCs w:val="24"/>
                <w:lang w:eastAsia="en-GB"/>
              </w:rPr>
            </w:pPr>
            <w:r w:rsidRPr="00665D76">
              <w:rPr>
                <w:color w:val="000000"/>
                <w:sz w:val="24"/>
                <w:szCs w:val="24"/>
                <w:lang w:eastAsia="en-GB"/>
              </w:rPr>
              <w:t>10.7</w:t>
            </w:r>
          </w:p>
        </w:tc>
        <w:tc>
          <w:tcPr>
            <w:tcW w:w="992" w:type="dxa"/>
            <w:tcBorders>
              <w:top w:val="nil"/>
              <w:left w:val="nil"/>
              <w:bottom w:val="single" w:sz="4" w:space="0" w:color="auto"/>
              <w:right w:val="single" w:sz="4" w:space="0" w:color="auto"/>
            </w:tcBorders>
            <w:shd w:val="clear" w:color="auto" w:fill="auto"/>
            <w:noWrap/>
            <w:vAlign w:val="center"/>
          </w:tcPr>
          <w:p w14:paraId="0ADD4698" w14:textId="77777777" w:rsidR="0041121A" w:rsidRPr="00665D76" w:rsidRDefault="0041121A" w:rsidP="00311C34">
            <w:pPr>
              <w:jc w:val="center"/>
              <w:rPr>
                <w:color w:val="000000"/>
                <w:sz w:val="24"/>
                <w:szCs w:val="24"/>
                <w:lang w:eastAsia="en-GB"/>
              </w:rPr>
            </w:pPr>
            <w:r w:rsidRPr="00665D76">
              <w:rPr>
                <w:color w:val="000000"/>
                <w:sz w:val="24"/>
                <w:szCs w:val="24"/>
                <w:lang w:eastAsia="en-GB"/>
              </w:rPr>
              <w:t>36.1</w:t>
            </w:r>
          </w:p>
        </w:tc>
        <w:tc>
          <w:tcPr>
            <w:tcW w:w="1276" w:type="dxa"/>
            <w:tcBorders>
              <w:top w:val="nil"/>
              <w:left w:val="nil"/>
              <w:bottom w:val="single" w:sz="4" w:space="0" w:color="auto"/>
              <w:right w:val="single" w:sz="4" w:space="0" w:color="auto"/>
            </w:tcBorders>
            <w:shd w:val="clear" w:color="auto" w:fill="auto"/>
            <w:noWrap/>
            <w:vAlign w:val="center"/>
          </w:tcPr>
          <w:p w14:paraId="65E9EA0B" w14:textId="77777777" w:rsidR="0041121A" w:rsidRPr="00665D76" w:rsidRDefault="0041121A" w:rsidP="00311C34">
            <w:pPr>
              <w:jc w:val="center"/>
              <w:rPr>
                <w:color w:val="000000"/>
                <w:sz w:val="24"/>
                <w:szCs w:val="24"/>
                <w:lang w:eastAsia="en-GB"/>
              </w:rPr>
            </w:pPr>
            <w:r w:rsidRPr="00665D76">
              <w:rPr>
                <w:color w:val="000000"/>
                <w:sz w:val="24"/>
                <w:szCs w:val="24"/>
                <w:lang w:eastAsia="en-GB"/>
              </w:rPr>
              <w:t>12.9</w:t>
            </w:r>
          </w:p>
        </w:tc>
        <w:tc>
          <w:tcPr>
            <w:tcW w:w="1192" w:type="dxa"/>
            <w:tcBorders>
              <w:top w:val="nil"/>
              <w:left w:val="nil"/>
              <w:bottom w:val="single" w:sz="4" w:space="0" w:color="auto"/>
              <w:right w:val="single" w:sz="4" w:space="0" w:color="auto"/>
            </w:tcBorders>
            <w:shd w:val="clear" w:color="auto" w:fill="auto"/>
            <w:noWrap/>
            <w:vAlign w:val="center"/>
          </w:tcPr>
          <w:p w14:paraId="59C48402" w14:textId="77777777" w:rsidR="0041121A" w:rsidRPr="00665D76" w:rsidRDefault="0041121A" w:rsidP="00311C34">
            <w:pPr>
              <w:jc w:val="center"/>
              <w:rPr>
                <w:color w:val="000000"/>
                <w:sz w:val="24"/>
                <w:szCs w:val="24"/>
                <w:lang w:eastAsia="en-GB"/>
              </w:rPr>
            </w:pPr>
            <w:r w:rsidRPr="00665D76">
              <w:rPr>
                <w:color w:val="000000"/>
                <w:sz w:val="24"/>
                <w:szCs w:val="24"/>
                <w:lang w:eastAsia="en-GB"/>
              </w:rPr>
              <w:t>20073</w:t>
            </w:r>
          </w:p>
        </w:tc>
        <w:tc>
          <w:tcPr>
            <w:tcW w:w="1076" w:type="dxa"/>
            <w:tcBorders>
              <w:top w:val="nil"/>
              <w:left w:val="nil"/>
              <w:bottom w:val="single" w:sz="4" w:space="0" w:color="auto"/>
              <w:right w:val="single" w:sz="4" w:space="0" w:color="auto"/>
            </w:tcBorders>
            <w:shd w:val="clear" w:color="auto" w:fill="auto"/>
            <w:noWrap/>
            <w:vAlign w:val="center"/>
          </w:tcPr>
          <w:p w14:paraId="63091CA9" w14:textId="77777777" w:rsidR="0041121A" w:rsidRPr="00665D76" w:rsidRDefault="0041121A" w:rsidP="00311C34">
            <w:pPr>
              <w:jc w:val="center"/>
              <w:rPr>
                <w:color w:val="000000"/>
                <w:sz w:val="24"/>
                <w:szCs w:val="24"/>
                <w:lang w:eastAsia="en-GB"/>
              </w:rPr>
            </w:pPr>
            <w:r w:rsidRPr="00665D76">
              <w:rPr>
                <w:color w:val="000000"/>
                <w:sz w:val="24"/>
                <w:szCs w:val="24"/>
                <w:lang w:eastAsia="en-GB"/>
              </w:rPr>
              <w:t>0.295</w:t>
            </w:r>
          </w:p>
        </w:tc>
      </w:tr>
      <w:tr w:rsidR="0041121A" w:rsidRPr="00665D76" w14:paraId="0EFD56BA" w14:textId="77777777" w:rsidTr="00665D76">
        <w:trPr>
          <w:trHeight w:val="454"/>
        </w:trPr>
        <w:tc>
          <w:tcPr>
            <w:tcW w:w="2547" w:type="dxa"/>
            <w:gridSpan w:val="2"/>
            <w:tcBorders>
              <w:top w:val="nil"/>
              <w:left w:val="single" w:sz="4" w:space="0" w:color="auto"/>
              <w:bottom w:val="single" w:sz="4" w:space="0" w:color="auto"/>
              <w:right w:val="single" w:sz="4" w:space="0" w:color="auto"/>
            </w:tcBorders>
            <w:vAlign w:val="center"/>
          </w:tcPr>
          <w:p w14:paraId="077A0AAA" w14:textId="7C737DD2" w:rsidR="0041121A" w:rsidRPr="00665D76" w:rsidRDefault="00C41544" w:rsidP="00311C34">
            <w:pPr>
              <w:rPr>
                <w:b/>
                <w:bCs/>
                <w:color w:val="000000"/>
                <w:sz w:val="24"/>
                <w:szCs w:val="24"/>
                <w:lang w:eastAsia="en-GB"/>
              </w:rPr>
            </w:pPr>
            <w:r>
              <w:rPr>
                <w:b/>
                <w:bCs/>
                <w:color w:val="000000"/>
                <w:sz w:val="24"/>
                <w:szCs w:val="24"/>
                <w:lang w:eastAsia="en-GB"/>
              </w:rPr>
              <w:t>PG-</w:t>
            </w:r>
            <w:r w:rsidR="0041121A" w:rsidRPr="00665D76">
              <w:rPr>
                <w:b/>
                <w:bCs/>
                <w:color w:val="000000"/>
                <w:sz w:val="24"/>
                <w:szCs w:val="24"/>
                <w:lang w:eastAsia="en-GB"/>
              </w:rPr>
              <w:t>YBOCS</w:t>
            </w:r>
          </w:p>
        </w:tc>
        <w:tc>
          <w:tcPr>
            <w:tcW w:w="992" w:type="dxa"/>
            <w:tcBorders>
              <w:top w:val="nil"/>
              <w:left w:val="nil"/>
              <w:bottom w:val="single" w:sz="4" w:space="0" w:color="auto"/>
              <w:right w:val="single" w:sz="4" w:space="0" w:color="auto"/>
            </w:tcBorders>
            <w:shd w:val="clear" w:color="auto" w:fill="auto"/>
            <w:noWrap/>
            <w:vAlign w:val="center"/>
          </w:tcPr>
          <w:p w14:paraId="6FF7CE2F" w14:textId="77777777" w:rsidR="0041121A" w:rsidRPr="00665D76" w:rsidRDefault="0041121A" w:rsidP="00311C34">
            <w:pPr>
              <w:jc w:val="center"/>
              <w:rPr>
                <w:color w:val="000000"/>
                <w:sz w:val="24"/>
                <w:szCs w:val="24"/>
                <w:lang w:eastAsia="en-GB"/>
              </w:rPr>
            </w:pPr>
            <w:r w:rsidRPr="00665D76">
              <w:rPr>
                <w:color w:val="000000"/>
                <w:sz w:val="24"/>
                <w:szCs w:val="24"/>
                <w:lang w:eastAsia="en-GB"/>
              </w:rPr>
              <w:t>21.3</w:t>
            </w:r>
          </w:p>
        </w:tc>
        <w:tc>
          <w:tcPr>
            <w:tcW w:w="1276" w:type="dxa"/>
            <w:tcBorders>
              <w:top w:val="nil"/>
              <w:left w:val="nil"/>
              <w:bottom w:val="single" w:sz="4" w:space="0" w:color="auto"/>
              <w:right w:val="single" w:sz="4" w:space="0" w:color="auto"/>
            </w:tcBorders>
            <w:shd w:val="clear" w:color="auto" w:fill="auto"/>
            <w:noWrap/>
            <w:vAlign w:val="center"/>
          </w:tcPr>
          <w:p w14:paraId="10ADC448" w14:textId="77777777" w:rsidR="0041121A" w:rsidRPr="00665D76" w:rsidRDefault="0041121A" w:rsidP="00311C34">
            <w:pPr>
              <w:jc w:val="center"/>
              <w:rPr>
                <w:color w:val="000000"/>
                <w:sz w:val="24"/>
                <w:szCs w:val="24"/>
                <w:lang w:eastAsia="en-GB"/>
              </w:rPr>
            </w:pPr>
            <w:r w:rsidRPr="00665D76">
              <w:rPr>
                <w:color w:val="000000"/>
                <w:sz w:val="24"/>
                <w:szCs w:val="24"/>
                <w:lang w:eastAsia="en-GB"/>
              </w:rPr>
              <w:t>5.6</w:t>
            </w:r>
          </w:p>
        </w:tc>
        <w:tc>
          <w:tcPr>
            <w:tcW w:w="992" w:type="dxa"/>
            <w:tcBorders>
              <w:top w:val="nil"/>
              <w:left w:val="nil"/>
              <w:bottom w:val="single" w:sz="4" w:space="0" w:color="auto"/>
              <w:right w:val="single" w:sz="4" w:space="0" w:color="auto"/>
            </w:tcBorders>
            <w:shd w:val="clear" w:color="auto" w:fill="auto"/>
            <w:noWrap/>
            <w:vAlign w:val="center"/>
          </w:tcPr>
          <w:p w14:paraId="754FC483" w14:textId="77777777" w:rsidR="0041121A" w:rsidRPr="00665D76" w:rsidRDefault="0041121A" w:rsidP="00311C34">
            <w:pPr>
              <w:jc w:val="center"/>
              <w:rPr>
                <w:color w:val="000000"/>
                <w:sz w:val="24"/>
                <w:szCs w:val="24"/>
                <w:lang w:eastAsia="en-GB"/>
              </w:rPr>
            </w:pPr>
            <w:r w:rsidRPr="00665D76">
              <w:rPr>
                <w:color w:val="000000"/>
                <w:sz w:val="24"/>
                <w:szCs w:val="24"/>
                <w:lang w:eastAsia="en-GB"/>
              </w:rPr>
              <w:t>20.7</w:t>
            </w:r>
          </w:p>
        </w:tc>
        <w:tc>
          <w:tcPr>
            <w:tcW w:w="1276" w:type="dxa"/>
            <w:tcBorders>
              <w:top w:val="nil"/>
              <w:left w:val="nil"/>
              <w:bottom w:val="single" w:sz="4" w:space="0" w:color="auto"/>
              <w:right w:val="single" w:sz="4" w:space="0" w:color="auto"/>
            </w:tcBorders>
            <w:shd w:val="clear" w:color="auto" w:fill="auto"/>
            <w:noWrap/>
            <w:vAlign w:val="center"/>
          </w:tcPr>
          <w:p w14:paraId="1032C4F0" w14:textId="77777777" w:rsidR="0041121A" w:rsidRPr="00665D76" w:rsidRDefault="0041121A" w:rsidP="00311C34">
            <w:pPr>
              <w:jc w:val="center"/>
              <w:rPr>
                <w:color w:val="000000"/>
                <w:sz w:val="24"/>
                <w:szCs w:val="24"/>
                <w:lang w:eastAsia="en-GB"/>
              </w:rPr>
            </w:pPr>
            <w:r w:rsidRPr="00665D76">
              <w:rPr>
                <w:color w:val="000000"/>
                <w:sz w:val="24"/>
                <w:szCs w:val="24"/>
                <w:lang w:eastAsia="en-GB"/>
              </w:rPr>
              <w:t>4.9</w:t>
            </w:r>
          </w:p>
        </w:tc>
        <w:tc>
          <w:tcPr>
            <w:tcW w:w="1192" w:type="dxa"/>
            <w:tcBorders>
              <w:top w:val="nil"/>
              <w:left w:val="nil"/>
              <w:bottom w:val="single" w:sz="4" w:space="0" w:color="auto"/>
              <w:right w:val="single" w:sz="4" w:space="0" w:color="auto"/>
            </w:tcBorders>
            <w:shd w:val="clear" w:color="auto" w:fill="auto"/>
            <w:noWrap/>
            <w:vAlign w:val="center"/>
          </w:tcPr>
          <w:p w14:paraId="06B9DBAC" w14:textId="77777777" w:rsidR="0041121A" w:rsidRPr="00665D76" w:rsidRDefault="0041121A" w:rsidP="00311C34">
            <w:pPr>
              <w:jc w:val="center"/>
              <w:rPr>
                <w:color w:val="000000"/>
                <w:sz w:val="24"/>
                <w:szCs w:val="24"/>
                <w:lang w:eastAsia="en-GB"/>
              </w:rPr>
            </w:pPr>
            <w:r w:rsidRPr="00665D76">
              <w:rPr>
                <w:color w:val="000000"/>
                <w:sz w:val="24"/>
                <w:szCs w:val="24"/>
                <w:lang w:eastAsia="en-GB"/>
              </w:rPr>
              <w:t>8986</w:t>
            </w:r>
          </w:p>
        </w:tc>
        <w:tc>
          <w:tcPr>
            <w:tcW w:w="1076" w:type="dxa"/>
            <w:tcBorders>
              <w:top w:val="nil"/>
              <w:left w:val="nil"/>
              <w:bottom w:val="single" w:sz="4" w:space="0" w:color="auto"/>
              <w:right w:val="single" w:sz="4" w:space="0" w:color="auto"/>
            </w:tcBorders>
            <w:shd w:val="clear" w:color="auto" w:fill="auto"/>
            <w:noWrap/>
            <w:vAlign w:val="center"/>
          </w:tcPr>
          <w:p w14:paraId="232CF69B" w14:textId="77777777" w:rsidR="0041121A" w:rsidRPr="00665D76" w:rsidRDefault="0041121A" w:rsidP="00311C34">
            <w:pPr>
              <w:jc w:val="center"/>
              <w:rPr>
                <w:color w:val="000000"/>
                <w:sz w:val="24"/>
                <w:szCs w:val="24"/>
                <w:lang w:eastAsia="en-GB"/>
              </w:rPr>
            </w:pPr>
            <w:r w:rsidRPr="00665D76">
              <w:rPr>
                <w:color w:val="000000"/>
                <w:sz w:val="24"/>
                <w:szCs w:val="24"/>
                <w:lang w:eastAsia="en-GB"/>
              </w:rPr>
              <w:t>0.342</w:t>
            </w:r>
          </w:p>
        </w:tc>
      </w:tr>
      <w:tr w:rsidR="0041121A" w:rsidRPr="00665D76" w14:paraId="3566C30E" w14:textId="77777777" w:rsidTr="00665D76">
        <w:trPr>
          <w:trHeight w:val="896"/>
        </w:trPr>
        <w:tc>
          <w:tcPr>
            <w:tcW w:w="2547" w:type="dxa"/>
            <w:gridSpan w:val="2"/>
            <w:tcBorders>
              <w:top w:val="nil"/>
              <w:left w:val="single" w:sz="4" w:space="0" w:color="auto"/>
              <w:bottom w:val="single" w:sz="4" w:space="0" w:color="auto"/>
              <w:right w:val="single" w:sz="4" w:space="0" w:color="auto"/>
            </w:tcBorders>
            <w:vAlign w:val="center"/>
          </w:tcPr>
          <w:p w14:paraId="27F4DCD0" w14:textId="77777777" w:rsidR="0041121A" w:rsidRPr="00665D76" w:rsidRDefault="0041121A" w:rsidP="00311C34">
            <w:pPr>
              <w:rPr>
                <w:b/>
                <w:bCs/>
                <w:color w:val="000000"/>
                <w:sz w:val="24"/>
                <w:szCs w:val="24"/>
                <w:lang w:eastAsia="en-GB"/>
              </w:rPr>
            </w:pPr>
            <w:r w:rsidRPr="00665D76">
              <w:rPr>
                <w:b/>
                <w:bCs/>
                <w:color w:val="000000"/>
                <w:sz w:val="24"/>
                <w:szCs w:val="24"/>
                <w:lang w:eastAsia="en-GB"/>
              </w:rPr>
              <w:t>Age when first started to gamble, years</w:t>
            </w:r>
          </w:p>
        </w:tc>
        <w:tc>
          <w:tcPr>
            <w:tcW w:w="992" w:type="dxa"/>
            <w:tcBorders>
              <w:top w:val="nil"/>
              <w:left w:val="nil"/>
              <w:bottom w:val="single" w:sz="4" w:space="0" w:color="auto"/>
              <w:right w:val="single" w:sz="4" w:space="0" w:color="auto"/>
            </w:tcBorders>
            <w:shd w:val="clear" w:color="auto" w:fill="auto"/>
            <w:noWrap/>
            <w:vAlign w:val="center"/>
          </w:tcPr>
          <w:p w14:paraId="77C7D6B9" w14:textId="77777777" w:rsidR="0041121A" w:rsidRPr="00665D76" w:rsidRDefault="0041121A" w:rsidP="00311C34">
            <w:pPr>
              <w:jc w:val="center"/>
              <w:rPr>
                <w:color w:val="000000"/>
                <w:sz w:val="24"/>
                <w:szCs w:val="24"/>
                <w:lang w:eastAsia="en-GB"/>
              </w:rPr>
            </w:pPr>
            <w:r w:rsidRPr="00665D76">
              <w:rPr>
                <w:color w:val="000000"/>
                <w:sz w:val="24"/>
                <w:szCs w:val="24"/>
                <w:lang w:eastAsia="en-GB"/>
              </w:rPr>
              <w:t>30.9</w:t>
            </w:r>
          </w:p>
        </w:tc>
        <w:tc>
          <w:tcPr>
            <w:tcW w:w="1276" w:type="dxa"/>
            <w:tcBorders>
              <w:top w:val="nil"/>
              <w:left w:val="nil"/>
              <w:bottom w:val="single" w:sz="4" w:space="0" w:color="auto"/>
              <w:right w:val="single" w:sz="4" w:space="0" w:color="auto"/>
            </w:tcBorders>
            <w:shd w:val="clear" w:color="auto" w:fill="auto"/>
            <w:noWrap/>
            <w:vAlign w:val="center"/>
          </w:tcPr>
          <w:p w14:paraId="48857C21" w14:textId="77777777" w:rsidR="0041121A" w:rsidRPr="00665D76" w:rsidRDefault="0041121A" w:rsidP="00311C34">
            <w:pPr>
              <w:jc w:val="center"/>
              <w:rPr>
                <w:color w:val="000000"/>
                <w:sz w:val="24"/>
                <w:szCs w:val="24"/>
                <w:lang w:eastAsia="en-GB"/>
              </w:rPr>
            </w:pPr>
            <w:r w:rsidRPr="00665D76">
              <w:rPr>
                <w:color w:val="000000"/>
                <w:sz w:val="24"/>
                <w:szCs w:val="24"/>
                <w:lang w:eastAsia="en-GB"/>
              </w:rPr>
              <w:t>14.5</w:t>
            </w:r>
          </w:p>
        </w:tc>
        <w:tc>
          <w:tcPr>
            <w:tcW w:w="992" w:type="dxa"/>
            <w:tcBorders>
              <w:top w:val="nil"/>
              <w:left w:val="nil"/>
              <w:bottom w:val="single" w:sz="4" w:space="0" w:color="auto"/>
              <w:right w:val="single" w:sz="4" w:space="0" w:color="auto"/>
            </w:tcBorders>
            <w:shd w:val="clear" w:color="auto" w:fill="auto"/>
            <w:noWrap/>
            <w:vAlign w:val="center"/>
          </w:tcPr>
          <w:p w14:paraId="43F7E0D2" w14:textId="77777777" w:rsidR="0041121A" w:rsidRPr="00665D76" w:rsidRDefault="0041121A" w:rsidP="00311C34">
            <w:pPr>
              <w:jc w:val="center"/>
              <w:rPr>
                <w:color w:val="000000"/>
                <w:sz w:val="24"/>
                <w:szCs w:val="24"/>
                <w:lang w:eastAsia="en-GB"/>
              </w:rPr>
            </w:pPr>
            <w:r w:rsidRPr="00665D76">
              <w:rPr>
                <w:color w:val="000000"/>
                <w:sz w:val="24"/>
                <w:szCs w:val="24"/>
                <w:lang w:eastAsia="en-GB"/>
              </w:rPr>
              <w:t>27.1</w:t>
            </w:r>
          </w:p>
        </w:tc>
        <w:tc>
          <w:tcPr>
            <w:tcW w:w="1276" w:type="dxa"/>
            <w:tcBorders>
              <w:top w:val="nil"/>
              <w:left w:val="nil"/>
              <w:bottom w:val="single" w:sz="4" w:space="0" w:color="auto"/>
              <w:right w:val="single" w:sz="4" w:space="0" w:color="auto"/>
            </w:tcBorders>
            <w:shd w:val="clear" w:color="auto" w:fill="auto"/>
            <w:noWrap/>
            <w:vAlign w:val="center"/>
          </w:tcPr>
          <w:p w14:paraId="1778A22C" w14:textId="77777777" w:rsidR="0041121A" w:rsidRPr="00665D76" w:rsidRDefault="0041121A" w:rsidP="00311C34">
            <w:pPr>
              <w:jc w:val="center"/>
              <w:rPr>
                <w:color w:val="000000"/>
                <w:sz w:val="24"/>
                <w:szCs w:val="24"/>
                <w:lang w:eastAsia="en-GB"/>
              </w:rPr>
            </w:pPr>
            <w:r w:rsidRPr="00665D76">
              <w:rPr>
                <w:color w:val="000000"/>
                <w:sz w:val="24"/>
                <w:szCs w:val="24"/>
                <w:lang w:eastAsia="en-GB"/>
              </w:rPr>
              <w:t>13.5</w:t>
            </w:r>
          </w:p>
        </w:tc>
        <w:tc>
          <w:tcPr>
            <w:tcW w:w="1192" w:type="dxa"/>
            <w:tcBorders>
              <w:top w:val="nil"/>
              <w:left w:val="nil"/>
              <w:bottom w:val="single" w:sz="4" w:space="0" w:color="auto"/>
              <w:right w:val="single" w:sz="4" w:space="0" w:color="auto"/>
            </w:tcBorders>
            <w:shd w:val="clear" w:color="auto" w:fill="auto"/>
            <w:noWrap/>
            <w:vAlign w:val="center"/>
          </w:tcPr>
          <w:p w14:paraId="09F22936" w14:textId="77777777" w:rsidR="0041121A" w:rsidRPr="00665D76" w:rsidRDefault="0041121A" w:rsidP="00311C34">
            <w:pPr>
              <w:jc w:val="center"/>
              <w:rPr>
                <w:color w:val="000000"/>
                <w:sz w:val="24"/>
                <w:szCs w:val="24"/>
                <w:lang w:eastAsia="en-GB"/>
              </w:rPr>
            </w:pPr>
            <w:r w:rsidRPr="00665D76">
              <w:rPr>
                <w:color w:val="000000"/>
                <w:sz w:val="24"/>
                <w:szCs w:val="24"/>
                <w:lang w:eastAsia="en-GB"/>
              </w:rPr>
              <w:t>15664</w:t>
            </w:r>
          </w:p>
        </w:tc>
        <w:tc>
          <w:tcPr>
            <w:tcW w:w="1076" w:type="dxa"/>
            <w:tcBorders>
              <w:top w:val="nil"/>
              <w:left w:val="nil"/>
              <w:bottom w:val="single" w:sz="4" w:space="0" w:color="auto"/>
              <w:right w:val="single" w:sz="4" w:space="0" w:color="auto"/>
            </w:tcBorders>
            <w:shd w:val="clear" w:color="auto" w:fill="auto"/>
            <w:noWrap/>
            <w:vAlign w:val="center"/>
          </w:tcPr>
          <w:p w14:paraId="2A23AB13" w14:textId="77777777" w:rsidR="0041121A" w:rsidRPr="00665D76" w:rsidRDefault="0041121A" w:rsidP="00311C34">
            <w:pPr>
              <w:jc w:val="center"/>
              <w:rPr>
                <w:b/>
                <w:bCs/>
                <w:color w:val="000000"/>
                <w:sz w:val="24"/>
                <w:szCs w:val="24"/>
                <w:lang w:eastAsia="en-GB"/>
              </w:rPr>
            </w:pPr>
            <w:r w:rsidRPr="00665D76">
              <w:rPr>
                <w:b/>
                <w:bCs/>
                <w:color w:val="000000"/>
                <w:sz w:val="24"/>
                <w:szCs w:val="24"/>
                <w:lang w:eastAsia="en-GB"/>
              </w:rPr>
              <w:t>0.011*</w:t>
            </w:r>
          </w:p>
        </w:tc>
      </w:tr>
      <w:tr w:rsidR="0041121A" w:rsidRPr="00665D76" w14:paraId="7C2DC6A2" w14:textId="77777777" w:rsidTr="00665D76">
        <w:trPr>
          <w:trHeight w:val="851"/>
        </w:trPr>
        <w:tc>
          <w:tcPr>
            <w:tcW w:w="2547" w:type="dxa"/>
            <w:gridSpan w:val="2"/>
            <w:tcBorders>
              <w:top w:val="nil"/>
              <w:left w:val="single" w:sz="4" w:space="0" w:color="auto"/>
              <w:bottom w:val="single" w:sz="4" w:space="0" w:color="auto"/>
              <w:right w:val="single" w:sz="4" w:space="0" w:color="auto"/>
            </w:tcBorders>
            <w:vAlign w:val="center"/>
          </w:tcPr>
          <w:p w14:paraId="4255D10B" w14:textId="77777777" w:rsidR="0041121A" w:rsidRPr="00665D76" w:rsidRDefault="0041121A" w:rsidP="00311C34">
            <w:pPr>
              <w:rPr>
                <w:b/>
                <w:bCs/>
                <w:color w:val="000000"/>
                <w:sz w:val="24"/>
                <w:szCs w:val="24"/>
                <w:lang w:eastAsia="en-GB"/>
              </w:rPr>
            </w:pPr>
            <w:r w:rsidRPr="00665D76">
              <w:rPr>
                <w:b/>
                <w:bCs/>
                <w:color w:val="000000"/>
                <w:sz w:val="24"/>
                <w:szCs w:val="24"/>
                <w:lang w:eastAsia="en-GB"/>
              </w:rPr>
              <w:t>Duration of Untreated Illness, years</w:t>
            </w:r>
          </w:p>
        </w:tc>
        <w:tc>
          <w:tcPr>
            <w:tcW w:w="992" w:type="dxa"/>
            <w:tcBorders>
              <w:top w:val="nil"/>
              <w:left w:val="nil"/>
              <w:bottom w:val="single" w:sz="4" w:space="0" w:color="auto"/>
              <w:right w:val="single" w:sz="4" w:space="0" w:color="auto"/>
            </w:tcBorders>
            <w:shd w:val="clear" w:color="auto" w:fill="auto"/>
            <w:noWrap/>
            <w:vAlign w:val="center"/>
          </w:tcPr>
          <w:p w14:paraId="71416E7B" w14:textId="77777777" w:rsidR="0041121A" w:rsidRPr="00665D76" w:rsidRDefault="0041121A" w:rsidP="00311C34">
            <w:pPr>
              <w:jc w:val="center"/>
              <w:rPr>
                <w:color w:val="000000"/>
                <w:sz w:val="24"/>
                <w:szCs w:val="24"/>
                <w:lang w:eastAsia="en-GB"/>
              </w:rPr>
            </w:pPr>
            <w:r w:rsidRPr="00665D76">
              <w:rPr>
                <w:color w:val="000000"/>
                <w:sz w:val="24"/>
                <w:szCs w:val="24"/>
                <w:lang w:eastAsia="en-GB"/>
              </w:rPr>
              <w:t>8.8</w:t>
            </w:r>
          </w:p>
        </w:tc>
        <w:tc>
          <w:tcPr>
            <w:tcW w:w="1276" w:type="dxa"/>
            <w:tcBorders>
              <w:top w:val="nil"/>
              <w:left w:val="nil"/>
              <w:bottom w:val="single" w:sz="4" w:space="0" w:color="auto"/>
              <w:right w:val="single" w:sz="4" w:space="0" w:color="auto"/>
            </w:tcBorders>
            <w:shd w:val="clear" w:color="auto" w:fill="auto"/>
            <w:noWrap/>
            <w:vAlign w:val="center"/>
          </w:tcPr>
          <w:p w14:paraId="76385C91" w14:textId="77777777" w:rsidR="0041121A" w:rsidRPr="00665D76" w:rsidRDefault="0041121A" w:rsidP="00311C34">
            <w:pPr>
              <w:jc w:val="center"/>
              <w:rPr>
                <w:color w:val="000000"/>
                <w:sz w:val="24"/>
                <w:szCs w:val="24"/>
                <w:lang w:eastAsia="en-GB"/>
              </w:rPr>
            </w:pPr>
            <w:r w:rsidRPr="00665D76">
              <w:rPr>
                <w:color w:val="000000"/>
                <w:sz w:val="24"/>
                <w:szCs w:val="24"/>
                <w:lang w:eastAsia="en-GB"/>
              </w:rPr>
              <w:t>7.5</w:t>
            </w:r>
          </w:p>
        </w:tc>
        <w:tc>
          <w:tcPr>
            <w:tcW w:w="992" w:type="dxa"/>
            <w:tcBorders>
              <w:top w:val="nil"/>
              <w:left w:val="nil"/>
              <w:bottom w:val="single" w:sz="4" w:space="0" w:color="auto"/>
              <w:right w:val="single" w:sz="4" w:space="0" w:color="auto"/>
            </w:tcBorders>
            <w:shd w:val="clear" w:color="auto" w:fill="auto"/>
            <w:noWrap/>
            <w:vAlign w:val="center"/>
          </w:tcPr>
          <w:p w14:paraId="6B44187D" w14:textId="77777777" w:rsidR="0041121A" w:rsidRPr="00665D76" w:rsidRDefault="0041121A" w:rsidP="00311C34">
            <w:pPr>
              <w:jc w:val="center"/>
              <w:rPr>
                <w:color w:val="000000"/>
                <w:sz w:val="24"/>
                <w:szCs w:val="24"/>
                <w:lang w:eastAsia="en-GB"/>
              </w:rPr>
            </w:pPr>
            <w:r w:rsidRPr="00665D76">
              <w:rPr>
                <w:color w:val="000000"/>
                <w:sz w:val="24"/>
                <w:szCs w:val="24"/>
                <w:lang w:eastAsia="en-GB"/>
              </w:rPr>
              <w:t>11.4</w:t>
            </w:r>
          </w:p>
        </w:tc>
        <w:tc>
          <w:tcPr>
            <w:tcW w:w="1276" w:type="dxa"/>
            <w:tcBorders>
              <w:top w:val="nil"/>
              <w:left w:val="nil"/>
              <w:bottom w:val="single" w:sz="4" w:space="0" w:color="auto"/>
              <w:right w:val="single" w:sz="4" w:space="0" w:color="auto"/>
            </w:tcBorders>
            <w:shd w:val="clear" w:color="auto" w:fill="auto"/>
            <w:noWrap/>
            <w:vAlign w:val="center"/>
          </w:tcPr>
          <w:p w14:paraId="2E6C7051" w14:textId="77777777" w:rsidR="0041121A" w:rsidRPr="00665D76" w:rsidRDefault="0041121A" w:rsidP="00311C34">
            <w:pPr>
              <w:jc w:val="center"/>
              <w:rPr>
                <w:color w:val="000000"/>
                <w:sz w:val="24"/>
                <w:szCs w:val="24"/>
                <w:lang w:eastAsia="en-GB"/>
              </w:rPr>
            </w:pPr>
            <w:r w:rsidRPr="00665D76">
              <w:rPr>
                <w:color w:val="000000"/>
                <w:sz w:val="24"/>
                <w:szCs w:val="24"/>
                <w:lang w:eastAsia="en-GB"/>
              </w:rPr>
              <w:t>8.5</w:t>
            </w:r>
          </w:p>
        </w:tc>
        <w:tc>
          <w:tcPr>
            <w:tcW w:w="1192" w:type="dxa"/>
            <w:tcBorders>
              <w:top w:val="nil"/>
              <w:left w:val="nil"/>
              <w:bottom w:val="single" w:sz="4" w:space="0" w:color="auto"/>
              <w:right w:val="single" w:sz="4" w:space="0" w:color="auto"/>
            </w:tcBorders>
            <w:shd w:val="clear" w:color="auto" w:fill="auto"/>
            <w:noWrap/>
            <w:vAlign w:val="center"/>
          </w:tcPr>
          <w:p w14:paraId="111DA57A" w14:textId="77777777" w:rsidR="0041121A" w:rsidRPr="00665D76" w:rsidRDefault="0041121A" w:rsidP="00311C34">
            <w:pPr>
              <w:jc w:val="center"/>
              <w:rPr>
                <w:color w:val="000000"/>
                <w:sz w:val="24"/>
                <w:szCs w:val="24"/>
                <w:lang w:eastAsia="en-GB"/>
              </w:rPr>
            </w:pPr>
            <w:r w:rsidRPr="00665D76">
              <w:rPr>
                <w:color w:val="000000"/>
                <w:sz w:val="24"/>
                <w:szCs w:val="24"/>
                <w:lang w:eastAsia="en-GB"/>
              </w:rPr>
              <w:t>20040</w:t>
            </w:r>
          </w:p>
        </w:tc>
        <w:tc>
          <w:tcPr>
            <w:tcW w:w="1076" w:type="dxa"/>
            <w:tcBorders>
              <w:top w:val="nil"/>
              <w:left w:val="nil"/>
              <w:bottom w:val="single" w:sz="4" w:space="0" w:color="auto"/>
              <w:right w:val="single" w:sz="4" w:space="0" w:color="auto"/>
            </w:tcBorders>
            <w:shd w:val="clear" w:color="auto" w:fill="auto"/>
            <w:noWrap/>
            <w:vAlign w:val="center"/>
          </w:tcPr>
          <w:p w14:paraId="3961E8D3" w14:textId="77777777" w:rsidR="0041121A" w:rsidRPr="00665D76" w:rsidRDefault="0041121A" w:rsidP="00311C34">
            <w:pPr>
              <w:jc w:val="center"/>
              <w:rPr>
                <w:b/>
                <w:bCs/>
                <w:color w:val="000000"/>
                <w:sz w:val="24"/>
                <w:szCs w:val="24"/>
                <w:lang w:eastAsia="en-GB"/>
              </w:rPr>
            </w:pPr>
            <w:r w:rsidRPr="00665D76">
              <w:rPr>
                <w:b/>
                <w:bCs/>
                <w:color w:val="000000"/>
                <w:sz w:val="24"/>
                <w:szCs w:val="24"/>
                <w:lang w:eastAsia="en-GB"/>
              </w:rPr>
              <w:t>&lt;0.001**</w:t>
            </w:r>
          </w:p>
        </w:tc>
      </w:tr>
      <w:tr w:rsidR="0041121A" w:rsidRPr="00665D76" w14:paraId="58E7AEB9" w14:textId="77777777" w:rsidTr="00665D76">
        <w:trPr>
          <w:trHeight w:val="454"/>
        </w:trPr>
        <w:tc>
          <w:tcPr>
            <w:tcW w:w="1980" w:type="dxa"/>
            <w:vMerge w:val="restart"/>
            <w:tcBorders>
              <w:top w:val="nil"/>
              <w:left w:val="single" w:sz="4" w:space="0" w:color="auto"/>
              <w:right w:val="single" w:sz="4" w:space="0" w:color="auto"/>
            </w:tcBorders>
            <w:vAlign w:val="center"/>
          </w:tcPr>
          <w:p w14:paraId="032A28D8" w14:textId="77777777" w:rsidR="0041121A" w:rsidRPr="00665D76" w:rsidRDefault="0041121A" w:rsidP="00311C34">
            <w:pPr>
              <w:rPr>
                <w:bCs/>
                <w:color w:val="000000"/>
                <w:sz w:val="24"/>
                <w:szCs w:val="24"/>
                <w:lang w:eastAsia="en-GB"/>
              </w:rPr>
            </w:pPr>
            <w:r w:rsidRPr="00665D76">
              <w:rPr>
                <w:b/>
                <w:bCs/>
                <w:color w:val="000000"/>
                <w:sz w:val="24"/>
                <w:szCs w:val="24"/>
                <w:lang w:eastAsia="en-GB"/>
              </w:rPr>
              <w:t>Legal problems linked to gambling</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36DA0D8" w14:textId="77777777" w:rsidR="0041121A" w:rsidRPr="00665D76" w:rsidRDefault="0041121A" w:rsidP="00311C34">
            <w:pPr>
              <w:jc w:val="center"/>
              <w:rPr>
                <w:bCs/>
                <w:color w:val="000000"/>
                <w:sz w:val="24"/>
                <w:szCs w:val="24"/>
                <w:lang w:eastAsia="en-GB"/>
              </w:rPr>
            </w:pPr>
            <w:r w:rsidRPr="00665D76">
              <w:rPr>
                <w:bCs/>
                <w:color w:val="000000"/>
                <w:sz w:val="24"/>
                <w:szCs w:val="24"/>
                <w:lang w:eastAsia="en-GB"/>
              </w:rPr>
              <w:t>No</w:t>
            </w:r>
          </w:p>
        </w:tc>
        <w:tc>
          <w:tcPr>
            <w:tcW w:w="992" w:type="dxa"/>
            <w:tcBorders>
              <w:top w:val="nil"/>
              <w:left w:val="nil"/>
              <w:bottom w:val="single" w:sz="4" w:space="0" w:color="auto"/>
              <w:right w:val="single" w:sz="4" w:space="0" w:color="auto"/>
            </w:tcBorders>
            <w:shd w:val="clear" w:color="auto" w:fill="auto"/>
            <w:noWrap/>
            <w:vAlign w:val="center"/>
          </w:tcPr>
          <w:p w14:paraId="1FC01EB1" w14:textId="77777777" w:rsidR="0041121A" w:rsidRPr="00665D76" w:rsidRDefault="0041121A" w:rsidP="00311C34">
            <w:pPr>
              <w:jc w:val="center"/>
              <w:rPr>
                <w:color w:val="000000"/>
                <w:sz w:val="24"/>
                <w:szCs w:val="24"/>
                <w:lang w:eastAsia="en-GB"/>
              </w:rPr>
            </w:pPr>
            <w:r w:rsidRPr="00665D76">
              <w:rPr>
                <w:color w:val="000000"/>
                <w:sz w:val="24"/>
                <w:szCs w:val="24"/>
                <w:lang w:eastAsia="en-GB"/>
              </w:rPr>
              <w:t>135</w:t>
            </w:r>
          </w:p>
        </w:tc>
        <w:tc>
          <w:tcPr>
            <w:tcW w:w="1276" w:type="dxa"/>
            <w:tcBorders>
              <w:top w:val="nil"/>
              <w:left w:val="nil"/>
              <w:bottom w:val="single" w:sz="4" w:space="0" w:color="auto"/>
              <w:right w:val="single" w:sz="4" w:space="0" w:color="auto"/>
            </w:tcBorders>
            <w:shd w:val="clear" w:color="auto" w:fill="auto"/>
            <w:noWrap/>
            <w:vAlign w:val="center"/>
          </w:tcPr>
          <w:p w14:paraId="28663AD1" w14:textId="77777777" w:rsidR="0041121A" w:rsidRPr="00665D76" w:rsidRDefault="0041121A" w:rsidP="00311C34">
            <w:pPr>
              <w:jc w:val="center"/>
              <w:rPr>
                <w:color w:val="000000"/>
                <w:sz w:val="24"/>
                <w:szCs w:val="24"/>
                <w:lang w:eastAsia="en-GB"/>
              </w:rPr>
            </w:pPr>
            <w:r w:rsidRPr="00665D76">
              <w:rPr>
                <w:color w:val="000000"/>
                <w:sz w:val="24"/>
                <w:szCs w:val="24"/>
                <w:lang w:eastAsia="en-GB"/>
              </w:rPr>
              <w:t>64.0%</w:t>
            </w:r>
          </w:p>
        </w:tc>
        <w:tc>
          <w:tcPr>
            <w:tcW w:w="992" w:type="dxa"/>
            <w:tcBorders>
              <w:top w:val="nil"/>
              <w:left w:val="nil"/>
              <w:bottom w:val="single" w:sz="4" w:space="0" w:color="auto"/>
              <w:right w:val="single" w:sz="4" w:space="0" w:color="auto"/>
            </w:tcBorders>
            <w:shd w:val="clear" w:color="auto" w:fill="auto"/>
            <w:noWrap/>
            <w:vAlign w:val="center"/>
          </w:tcPr>
          <w:p w14:paraId="74EB3C4D" w14:textId="77777777" w:rsidR="0041121A" w:rsidRPr="00665D76" w:rsidRDefault="0041121A" w:rsidP="00311C34">
            <w:pPr>
              <w:jc w:val="center"/>
              <w:rPr>
                <w:color w:val="000000"/>
                <w:sz w:val="24"/>
                <w:szCs w:val="24"/>
                <w:lang w:eastAsia="en-GB"/>
              </w:rPr>
            </w:pPr>
            <w:r w:rsidRPr="00665D76">
              <w:rPr>
                <w:color w:val="000000"/>
                <w:sz w:val="24"/>
                <w:szCs w:val="24"/>
                <w:lang w:eastAsia="en-GB"/>
              </w:rPr>
              <w:t>107</w:t>
            </w:r>
          </w:p>
        </w:tc>
        <w:tc>
          <w:tcPr>
            <w:tcW w:w="1276" w:type="dxa"/>
            <w:tcBorders>
              <w:top w:val="nil"/>
              <w:left w:val="nil"/>
              <w:bottom w:val="single" w:sz="4" w:space="0" w:color="auto"/>
              <w:right w:val="single" w:sz="4" w:space="0" w:color="auto"/>
            </w:tcBorders>
            <w:shd w:val="clear" w:color="auto" w:fill="auto"/>
            <w:noWrap/>
            <w:vAlign w:val="center"/>
          </w:tcPr>
          <w:p w14:paraId="7F754C65" w14:textId="77777777" w:rsidR="0041121A" w:rsidRPr="00665D76" w:rsidRDefault="0041121A" w:rsidP="00311C34">
            <w:pPr>
              <w:jc w:val="center"/>
              <w:rPr>
                <w:color w:val="000000"/>
                <w:sz w:val="24"/>
                <w:szCs w:val="24"/>
                <w:lang w:eastAsia="en-GB"/>
              </w:rPr>
            </w:pPr>
            <w:r w:rsidRPr="00665D76">
              <w:rPr>
                <w:color w:val="000000"/>
                <w:sz w:val="24"/>
                <w:szCs w:val="24"/>
                <w:lang w:eastAsia="en-GB"/>
              </w:rPr>
              <w:t>49.5%</w:t>
            </w:r>
          </w:p>
        </w:tc>
        <w:tc>
          <w:tcPr>
            <w:tcW w:w="1192" w:type="dxa"/>
            <w:vMerge w:val="restart"/>
            <w:tcBorders>
              <w:top w:val="nil"/>
              <w:left w:val="nil"/>
              <w:right w:val="single" w:sz="4" w:space="0" w:color="auto"/>
            </w:tcBorders>
            <w:shd w:val="clear" w:color="auto" w:fill="auto"/>
            <w:noWrap/>
            <w:vAlign w:val="center"/>
          </w:tcPr>
          <w:p w14:paraId="5200AF02" w14:textId="77777777" w:rsidR="0041121A" w:rsidRPr="00665D76" w:rsidRDefault="0041121A" w:rsidP="00311C34">
            <w:pPr>
              <w:jc w:val="center"/>
              <w:rPr>
                <w:color w:val="000000"/>
                <w:sz w:val="24"/>
                <w:szCs w:val="24"/>
                <w:lang w:eastAsia="en-GB"/>
              </w:rPr>
            </w:pPr>
            <w:r w:rsidRPr="00665D76">
              <w:rPr>
                <w:color w:val="000000"/>
                <w:sz w:val="24"/>
                <w:szCs w:val="24"/>
                <w:lang w:eastAsia="en-GB"/>
              </w:rPr>
              <w:t>LR 9.106</w:t>
            </w:r>
          </w:p>
        </w:tc>
        <w:tc>
          <w:tcPr>
            <w:tcW w:w="1076" w:type="dxa"/>
            <w:vMerge w:val="restart"/>
            <w:tcBorders>
              <w:top w:val="nil"/>
              <w:left w:val="nil"/>
              <w:right w:val="single" w:sz="4" w:space="0" w:color="auto"/>
            </w:tcBorders>
            <w:shd w:val="clear" w:color="auto" w:fill="auto"/>
            <w:noWrap/>
            <w:vAlign w:val="center"/>
          </w:tcPr>
          <w:p w14:paraId="7F46C45A" w14:textId="77777777" w:rsidR="0041121A" w:rsidRPr="00665D76" w:rsidRDefault="0041121A" w:rsidP="00311C34">
            <w:pPr>
              <w:jc w:val="center"/>
              <w:rPr>
                <w:b/>
                <w:bCs/>
                <w:color w:val="000000"/>
                <w:sz w:val="24"/>
                <w:szCs w:val="24"/>
                <w:lang w:eastAsia="en-GB"/>
              </w:rPr>
            </w:pPr>
            <w:r w:rsidRPr="00665D76">
              <w:rPr>
                <w:b/>
                <w:bCs/>
                <w:color w:val="000000"/>
                <w:sz w:val="24"/>
                <w:szCs w:val="24"/>
                <w:lang w:eastAsia="en-GB"/>
              </w:rPr>
              <w:t>0.003**</w:t>
            </w:r>
          </w:p>
        </w:tc>
      </w:tr>
      <w:tr w:rsidR="0041121A" w:rsidRPr="00665D76" w14:paraId="457DE6CA" w14:textId="77777777" w:rsidTr="00665D76">
        <w:trPr>
          <w:trHeight w:val="454"/>
        </w:trPr>
        <w:tc>
          <w:tcPr>
            <w:tcW w:w="1980" w:type="dxa"/>
            <w:vMerge/>
            <w:tcBorders>
              <w:left w:val="single" w:sz="4" w:space="0" w:color="auto"/>
              <w:bottom w:val="single" w:sz="4" w:space="0" w:color="auto"/>
              <w:right w:val="single" w:sz="4" w:space="0" w:color="auto"/>
            </w:tcBorders>
            <w:vAlign w:val="center"/>
          </w:tcPr>
          <w:p w14:paraId="4B26DD20" w14:textId="77777777" w:rsidR="0041121A" w:rsidRPr="00665D76" w:rsidRDefault="0041121A" w:rsidP="00311C34">
            <w:pPr>
              <w:rPr>
                <w:bCs/>
                <w:color w:val="000000"/>
                <w:sz w:val="24"/>
                <w:szCs w:val="24"/>
                <w:lang w:eastAsia="en-GB"/>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CFE0060" w14:textId="77777777" w:rsidR="0041121A" w:rsidRPr="00665D76" w:rsidRDefault="0041121A" w:rsidP="00311C34">
            <w:pPr>
              <w:jc w:val="center"/>
              <w:rPr>
                <w:bCs/>
                <w:color w:val="000000"/>
                <w:sz w:val="24"/>
                <w:szCs w:val="24"/>
                <w:lang w:eastAsia="en-GB"/>
              </w:rPr>
            </w:pPr>
            <w:r w:rsidRPr="00665D76">
              <w:rPr>
                <w:bCs/>
                <w:color w:val="000000"/>
                <w:sz w:val="24"/>
                <w:szCs w:val="24"/>
                <w:lang w:eastAsia="en-GB"/>
              </w:rPr>
              <w:t>Yes</w:t>
            </w:r>
          </w:p>
        </w:tc>
        <w:tc>
          <w:tcPr>
            <w:tcW w:w="992" w:type="dxa"/>
            <w:tcBorders>
              <w:top w:val="nil"/>
              <w:left w:val="nil"/>
              <w:bottom w:val="single" w:sz="4" w:space="0" w:color="auto"/>
              <w:right w:val="single" w:sz="4" w:space="0" w:color="auto"/>
            </w:tcBorders>
            <w:shd w:val="clear" w:color="auto" w:fill="auto"/>
            <w:noWrap/>
            <w:vAlign w:val="center"/>
          </w:tcPr>
          <w:p w14:paraId="27611DFF" w14:textId="77777777" w:rsidR="0041121A" w:rsidRPr="00665D76" w:rsidRDefault="0041121A" w:rsidP="00311C34">
            <w:pPr>
              <w:jc w:val="center"/>
              <w:rPr>
                <w:color w:val="000000"/>
                <w:sz w:val="24"/>
                <w:szCs w:val="24"/>
                <w:lang w:eastAsia="en-GB"/>
              </w:rPr>
            </w:pPr>
            <w:r w:rsidRPr="00665D76">
              <w:rPr>
                <w:color w:val="000000"/>
                <w:sz w:val="24"/>
                <w:szCs w:val="24"/>
                <w:lang w:eastAsia="en-GB"/>
              </w:rPr>
              <w:t>76</w:t>
            </w:r>
          </w:p>
        </w:tc>
        <w:tc>
          <w:tcPr>
            <w:tcW w:w="1276" w:type="dxa"/>
            <w:tcBorders>
              <w:top w:val="nil"/>
              <w:left w:val="nil"/>
              <w:bottom w:val="single" w:sz="4" w:space="0" w:color="auto"/>
              <w:right w:val="single" w:sz="4" w:space="0" w:color="auto"/>
            </w:tcBorders>
            <w:shd w:val="clear" w:color="auto" w:fill="auto"/>
            <w:noWrap/>
            <w:vAlign w:val="center"/>
          </w:tcPr>
          <w:p w14:paraId="53C87F2D" w14:textId="77777777" w:rsidR="0041121A" w:rsidRPr="00665D76" w:rsidRDefault="0041121A" w:rsidP="00311C34">
            <w:pPr>
              <w:jc w:val="center"/>
              <w:rPr>
                <w:color w:val="000000"/>
                <w:sz w:val="24"/>
                <w:szCs w:val="24"/>
                <w:lang w:eastAsia="en-GB"/>
              </w:rPr>
            </w:pPr>
            <w:r w:rsidRPr="00665D76">
              <w:rPr>
                <w:color w:val="000000"/>
                <w:sz w:val="24"/>
                <w:szCs w:val="24"/>
                <w:lang w:eastAsia="en-GB"/>
              </w:rPr>
              <w:t>36.0%</w:t>
            </w:r>
          </w:p>
        </w:tc>
        <w:tc>
          <w:tcPr>
            <w:tcW w:w="992" w:type="dxa"/>
            <w:tcBorders>
              <w:top w:val="nil"/>
              <w:left w:val="nil"/>
              <w:bottom w:val="single" w:sz="4" w:space="0" w:color="auto"/>
              <w:right w:val="single" w:sz="4" w:space="0" w:color="auto"/>
            </w:tcBorders>
            <w:shd w:val="clear" w:color="auto" w:fill="auto"/>
            <w:noWrap/>
            <w:vAlign w:val="center"/>
          </w:tcPr>
          <w:p w14:paraId="4DC3BC63" w14:textId="77777777" w:rsidR="0041121A" w:rsidRPr="00665D76" w:rsidRDefault="0041121A" w:rsidP="00311C34">
            <w:pPr>
              <w:jc w:val="center"/>
              <w:rPr>
                <w:color w:val="000000"/>
                <w:sz w:val="24"/>
                <w:szCs w:val="24"/>
                <w:lang w:eastAsia="en-GB"/>
              </w:rPr>
            </w:pPr>
            <w:r w:rsidRPr="00665D76">
              <w:rPr>
                <w:color w:val="000000"/>
                <w:sz w:val="24"/>
                <w:szCs w:val="24"/>
                <w:lang w:eastAsia="en-GB"/>
              </w:rPr>
              <w:t>109</w:t>
            </w:r>
          </w:p>
        </w:tc>
        <w:tc>
          <w:tcPr>
            <w:tcW w:w="1276" w:type="dxa"/>
            <w:tcBorders>
              <w:top w:val="nil"/>
              <w:left w:val="nil"/>
              <w:bottom w:val="single" w:sz="4" w:space="0" w:color="auto"/>
              <w:right w:val="single" w:sz="4" w:space="0" w:color="auto"/>
            </w:tcBorders>
            <w:shd w:val="clear" w:color="auto" w:fill="auto"/>
            <w:noWrap/>
            <w:vAlign w:val="center"/>
          </w:tcPr>
          <w:p w14:paraId="691EF00A" w14:textId="77777777" w:rsidR="0041121A" w:rsidRPr="00665D76" w:rsidRDefault="0041121A" w:rsidP="00311C34">
            <w:pPr>
              <w:jc w:val="center"/>
              <w:rPr>
                <w:color w:val="000000"/>
                <w:sz w:val="24"/>
                <w:szCs w:val="24"/>
                <w:lang w:eastAsia="en-GB"/>
              </w:rPr>
            </w:pPr>
            <w:r w:rsidRPr="00665D76">
              <w:rPr>
                <w:color w:val="000000"/>
                <w:sz w:val="24"/>
                <w:szCs w:val="24"/>
                <w:lang w:eastAsia="en-GB"/>
              </w:rPr>
              <w:t>50.5%</w:t>
            </w:r>
          </w:p>
        </w:tc>
        <w:tc>
          <w:tcPr>
            <w:tcW w:w="1192" w:type="dxa"/>
            <w:vMerge/>
            <w:tcBorders>
              <w:left w:val="nil"/>
              <w:bottom w:val="single" w:sz="4" w:space="0" w:color="auto"/>
              <w:right w:val="single" w:sz="4" w:space="0" w:color="auto"/>
            </w:tcBorders>
            <w:shd w:val="clear" w:color="auto" w:fill="auto"/>
            <w:noWrap/>
            <w:vAlign w:val="center"/>
          </w:tcPr>
          <w:p w14:paraId="62EB93CF" w14:textId="77777777" w:rsidR="0041121A" w:rsidRPr="00665D76" w:rsidRDefault="0041121A" w:rsidP="00311C34">
            <w:pPr>
              <w:jc w:val="center"/>
              <w:rPr>
                <w:color w:val="000000"/>
                <w:sz w:val="24"/>
                <w:szCs w:val="24"/>
                <w:lang w:eastAsia="en-GB"/>
              </w:rPr>
            </w:pPr>
          </w:p>
        </w:tc>
        <w:tc>
          <w:tcPr>
            <w:tcW w:w="1076" w:type="dxa"/>
            <w:vMerge/>
            <w:tcBorders>
              <w:left w:val="nil"/>
              <w:bottom w:val="single" w:sz="4" w:space="0" w:color="auto"/>
              <w:right w:val="single" w:sz="4" w:space="0" w:color="auto"/>
            </w:tcBorders>
            <w:shd w:val="clear" w:color="auto" w:fill="auto"/>
            <w:noWrap/>
            <w:vAlign w:val="center"/>
          </w:tcPr>
          <w:p w14:paraId="029266C9" w14:textId="77777777" w:rsidR="0041121A" w:rsidRPr="00665D76" w:rsidRDefault="0041121A" w:rsidP="00311C34">
            <w:pPr>
              <w:jc w:val="center"/>
              <w:rPr>
                <w:color w:val="000000"/>
                <w:sz w:val="24"/>
                <w:szCs w:val="24"/>
                <w:lang w:eastAsia="en-GB"/>
              </w:rPr>
            </w:pPr>
          </w:p>
        </w:tc>
      </w:tr>
      <w:tr w:rsidR="0041121A" w:rsidRPr="00665D76" w14:paraId="35E714FF" w14:textId="77777777" w:rsidTr="00665D76">
        <w:trPr>
          <w:trHeight w:val="454"/>
        </w:trPr>
        <w:tc>
          <w:tcPr>
            <w:tcW w:w="1980" w:type="dxa"/>
            <w:vMerge w:val="restart"/>
            <w:tcBorders>
              <w:top w:val="nil"/>
              <w:left w:val="single" w:sz="4" w:space="0" w:color="auto"/>
              <w:right w:val="single" w:sz="4" w:space="0" w:color="auto"/>
            </w:tcBorders>
            <w:vAlign w:val="center"/>
          </w:tcPr>
          <w:p w14:paraId="0A0BAEF3" w14:textId="77777777" w:rsidR="0041121A" w:rsidRPr="00665D76" w:rsidRDefault="0041121A" w:rsidP="00311C34">
            <w:pPr>
              <w:rPr>
                <w:color w:val="000000"/>
                <w:sz w:val="24"/>
                <w:szCs w:val="24"/>
                <w:lang w:eastAsia="en-GB"/>
              </w:rPr>
            </w:pPr>
            <w:r w:rsidRPr="00665D76">
              <w:rPr>
                <w:b/>
                <w:bCs/>
                <w:color w:val="000000"/>
                <w:sz w:val="24"/>
                <w:szCs w:val="24"/>
                <w:lang w:eastAsia="en-GB"/>
              </w:rPr>
              <w:t>Previous Gambling Treatment</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436967" w14:textId="77777777" w:rsidR="0041121A" w:rsidRPr="00665D76" w:rsidRDefault="0041121A" w:rsidP="00311C34">
            <w:pPr>
              <w:jc w:val="center"/>
              <w:rPr>
                <w:color w:val="000000"/>
                <w:sz w:val="24"/>
                <w:szCs w:val="24"/>
                <w:lang w:eastAsia="en-GB"/>
              </w:rPr>
            </w:pPr>
            <w:r w:rsidRPr="00665D76">
              <w:rPr>
                <w:color w:val="000000"/>
                <w:sz w:val="24"/>
                <w:szCs w:val="24"/>
                <w:lang w:eastAsia="en-GB"/>
              </w:rPr>
              <w:t>No</w:t>
            </w:r>
          </w:p>
        </w:tc>
        <w:tc>
          <w:tcPr>
            <w:tcW w:w="992" w:type="dxa"/>
            <w:tcBorders>
              <w:top w:val="nil"/>
              <w:left w:val="nil"/>
              <w:bottom w:val="single" w:sz="4" w:space="0" w:color="auto"/>
              <w:right w:val="single" w:sz="4" w:space="0" w:color="auto"/>
            </w:tcBorders>
            <w:shd w:val="clear" w:color="auto" w:fill="auto"/>
            <w:noWrap/>
            <w:vAlign w:val="center"/>
          </w:tcPr>
          <w:p w14:paraId="1E2F9F6A" w14:textId="77777777" w:rsidR="0041121A" w:rsidRPr="00665D76" w:rsidRDefault="0041121A" w:rsidP="00311C34">
            <w:pPr>
              <w:jc w:val="center"/>
              <w:rPr>
                <w:color w:val="000000"/>
                <w:sz w:val="24"/>
                <w:szCs w:val="24"/>
                <w:lang w:eastAsia="en-GB"/>
              </w:rPr>
            </w:pPr>
            <w:r w:rsidRPr="00665D76">
              <w:rPr>
                <w:color w:val="000000"/>
                <w:sz w:val="24"/>
                <w:szCs w:val="24"/>
                <w:lang w:eastAsia="en-GB"/>
              </w:rPr>
              <w:t>85</w:t>
            </w:r>
          </w:p>
        </w:tc>
        <w:tc>
          <w:tcPr>
            <w:tcW w:w="1276" w:type="dxa"/>
            <w:tcBorders>
              <w:top w:val="nil"/>
              <w:left w:val="nil"/>
              <w:bottom w:val="single" w:sz="4" w:space="0" w:color="auto"/>
              <w:right w:val="single" w:sz="4" w:space="0" w:color="auto"/>
            </w:tcBorders>
            <w:shd w:val="clear" w:color="auto" w:fill="auto"/>
            <w:noWrap/>
            <w:vAlign w:val="center"/>
          </w:tcPr>
          <w:p w14:paraId="240356E3" w14:textId="77777777" w:rsidR="0041121A" w:rsidRPr="00665D76" w:rsidRDefault="0041121A" w:rsidP="00311C34">
            <w:pPr>
              <w:jc w:val="center"/>
              <w:rPr>
                <w:color w:val="000000"/>
                <w:sz w:val="24"/>
                <w:szCs w:val="24"/>
                <w:lang w:eastAsia="en-GB"/>
              </w:rPr>
            </w:pPr>
            <w:r w:rsidRPr="00665D76">
              <w:rPr>
                <w:color w:val="000000"/>
                <w:sz w:val="24"/>
                <w:szCs w:val="24"/>
                <w:lang w:eastAsia="en-GB"/>
              </w:rPr>
              <w:t>57.4%</w:t>
            </w:r>
          </w:p>
        </w:tc>
        <w:tc>
          <w:tcPr>
            <w:tcW w:w="992" w:type="dxa"/>
            <w:tcBorders>
              <w:top w:val="nil"/>
              <w:left w:val="nil"/>
              <w:bottom w:val="single" w:sz="4" w:space="0" w:color="auto"/>
              <w:right w:val="single" w:sz="4" w:space="0" w:color="auto"/>
            </w:tcBorders>
            <w:shd w:val="clear" w:color="auto" w:fill="auto"/>
            <w:noWrap/>
            <w:vAlign w:val="center"/>
          </w:tcPr>
          <w:p w14:paraId="2F2910D7" w14:textId="77777777" w:rsidR="0041121A" w:rsidRPr="00665D76" w:rsidRDefault="0041121A" w:rsidP="00311C34">
            <w:pPr>
              <w:jc w:val="center"/>
              <w:rPr>
                <w:color w:val="000000"/>
                <w:sz w:val="24"/>
                <w:szCs w:val="24"/>
                <w:lang w:eastAsia="en-GB"/>
              </w:rPr>
            </w:pPr>
            <w:r w:rsidRPr="00665D76">
              <w:rPr>
                <w:color w:val="000000"/>
                <w:sz w:val="24"/>
                <w:szCs w:val="24"/>
                <w:lang w:eastAsia="en-GB"/>
              </w:rPr>
              <w:t>94</w:t>
            </w:r>
          </w:p>
        </w:tc>
        <w:tc>
          <w:tcPr>
            <w:tcW w:w="1276" w:type="dxa"/>
            <w:tcBorders>
              <w:top w:val="nil"/>
              <w:left w:val="nil"/>
              <w:bottom w:val="single" w:sz="4" w:space="0" w:color="auto"/>
              <w:right w:val="single" w:sz="4" w:space="0" w:color="auto"/>
            </w:tcBorders>
            <w:shd w:val="clear" w:color="auto" w:fill="auto"/>
            <w:noWrap/>
            <w:vAlign w:val="center"/>
          </w:tcPr>
          <w:p w14:paraId="5577E1CB" w14:textId="77777777" w:rsidR="0041121A" w:rsidRPr="00665D76" w:rsidRDefault="0041121A" w:rsidP="00311C34">
            <w:pPr>
              <w:jc w:val="center"/>
              <w:rPr>
                <w:color w:val="000000"/>
                <w:sz w:val="24"/>
                <w:szCs w:val="24"/>
                <w:lang w:eastAsia="en-GB"/>
              </w:rPr>
            </w:pPr>
            <w:r w:rsidRPr="00665D76">
              <w:rPr>
                <w:color w:val="000000"/>
                <w:sz w:val="24"/>
                <w:szCs w:val="24"/>
                <w:lang w:eastAsia="en-GB"/>
              </w:rPr>
              <w:t>52.8%</w:t>
            </w:r>
          </w:p>
        </w:tc>
        <w:tc>
          <w:tcPr>
            <w:tcW w:w="1192" w:type="dxa"/>
            <w:vMerge w:val="restart"/>
            <w:tcBorders>
              <w:top w:val="nil"/>
              <w:left w:val="nil"/>
              <w:right w:val="single" w:sz="4" w:space="0" w:color="auto"/>
            </w:tcBorders>
            <w:shd w:val="clear" w:color="auto" w:fill="auto"/>
            <w:noWrap/>
            <w:vAlign w:val="center"/>
          </w:tcPr>
          <w:p w14:paraId="731E12D7" w14:textId="77777777" w:rsidR="0041121A" w:rsidRPr="00665D76" w:rsidRDefault="0041121A" w:rsidP="00311C34">
            <w:pPr>
              <w:jc w:val="center"/>
              <w:rPr>
                <w:color w:val="000000"/>
                <w:sz w:val="24"/>
                <w:szCs w:val="24"/>
                <w:lang w:eastAsia="en-GB"/>
              </w:rPr>
            </w:pPr>
            <w:r w:rsidRPr="00665D76">
              <w:rPr>
                <w:color w:val="000000"/>
                <w:sz w:val="24"/>
                <w:szCs w:val="24"/>
                <w:lang w:eastAsia="en-GB"/>
              </w:rPr>
              <w:t>LR 0.698</w:t>
            </w:r>
          </w:p>
        </w:tc>
        <w:tc>
          <w:tcPr>
            <w:tcW w:w="1076" w:type="dxa"/>
            <w:vMerge w:val="restart"/>
            <w:tcBorders>
              <w:top w:val="nil"/>
              <w:left w:val="nil"/>
              <w:right w:val="single" w:sz="4" w:space="0" w:color="auto"/>
            </w:tcBorders>
            <w:shd w:val="clear" w:color="auto" w:fill="auto"/>
            <w:noWrap/>
            <w:vAlign w:val="center"/>
          </w:tcPr>
          <w:p w14:paraId="63C5CA19" w14:textId="77777777" w:rsidR="0041121A" w:rsidRPr="00665D76" w:rsidRDefault="0041121A" w:rsidP="00311C34">
            <w:pPr>
              <w:jc w:val="center"/>
              <w:rPr>
                <w:color w:val="000000"/>
                <w:sz w:val="24"/>
                <w:szCs w:val="24"/>
                <w:lang w:eastAsia="en-GB"/>
              </w:rPr>
            </w:pPr>
            <w:r w:rsidRPr="00665D76">
              <w:rPr>
                <w:color w:val="000000"/>
                <w:sz w:val="24"/>
                <w:szCs w:val="24"/>
                <w:lang w:eastAsia="en-GB"/>
              </w:rPr>
              <w:t>0.403</w:t>
            </w:r>
          </w:p>
        </w:tc>
      </w:tr>
      <w:tr w:rsidR="0041121A" w:rsidRPr="00665D76" w14:paraId="63E5AF81" w14:textId="77777777" w:rsidTr="00665D76">
        <w:trPr>
          <w:trHeight w:val="454"/>
        </w:trPr>
        <w:tc>
          <w:tcPr>
            <w:tcW w:w="1980" w:type="dxa"/>
            <w:vMerge/>
            <w:tcBorders>
              <w:left w:val="single" w:sz="4" w:space="0" w:color="auto"/>
              <w:bottom w:val="single" w:sz="4" w:space="0" w:color="auto"/>
              <w:right w:val="single" w:sz="4" w:space="0" w:color="auto"/>
            </w:tcBorders>
          </w:tcPr>
          <w:p w14:paraId="7D1D5466" w14:textId="77777777" w:rsidR="0041121A" w:rsidRPr="00665D76" w:rsidRDefault="0041121A" w:rsidP="00311C34">
            <w:pPr>
              <w:jc w:val="right"/>
              <w:rPr>
                <w:color w:val="000000"/>
                <w:sz w:val="24"/>
                <w:szCs w:val="24"/>
                <w:lang w:eastAsia="en-GB"/>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3BBE1F" w14:textId="77777777" w:rsidR="0041121A" w:rsidRPr="00665D76" w:rsidRDefault="0041121A" w:rsidP="00311C34">
            <w:pPr>
              <w:jc w:val="center"/>
              <w:rPr>
                <w:color w:val="000000"/>
                <w:sz w:val="24"/>
                <w:szCs w:val="24"/>
                <w:lang w:eastAsia="en-GB"/>
              </w:rPr>
            </w:pPr>
            <w:r w:rsidRPr="00665D76">
              <w:rPr>
                <w:color w:val="000000"/>
                <w:sz w:val="24"/>
                <w:szCs w:val="24"/>
                <w:lang w:eastAsia="en-GB"/>
              </w:rPr>
              <w:t>Yes</w:t>
            </w:r>
          </w:p>
        </w:tc>
        <w:tc>
          <w:tcPr>
            <w:tcW w:w="992" w:type="dxa"/>
            <w:tcBorders>
              <w:top w:val="nil"/>
              <w:left w:val="nil"/>
              <w:bottom w:val="single" w:sz="4" w:space="0" w:color="auto"/>
              <w:right w:val="single" w:sz="4" w:space="0" w:color="auto"/>
            </w:tcBorders>
            <w:shd w:val="clear" w:color="auto" w:fill="auto"/>
            <w:noWrap/>
            <w:vAlign w:val="center"/>
          </w:tcPr>
          <w:p w14:paraId="33F988D9" w14:textId="77777777" w:rsidR="0041121A" w:rsidRPr="00665D76" w:rsidRDefault="0041121A" w:rsidP="00311C34">
            <w:pPr>
              <w:jc w:val="center"/>
              <w:rPr>
                <w:color w:val="000000"/>
                <w:sz w:val="24"/>
                <w:szCs w:val="24"/>
                <w:lang w:eastAsia="en-GB"/>
              </w:rPr>
            </w:pPr>
            <w:r w:rsidRPr="00665D76">
              <w:rPr>
                <w:color w:val="000000"/>
                <w:sz w:val="24"/>
                <w:szCs w:val="24"/>
                <w:lang w:eastAsia="en-GB"/>
              </w:rPr>
              <w:t>63</w:t>
            </w:r>
          </w:p>
        </w:tc>
        <w:tc>
          <w:tcPr>
            <w:tcW w:w="1276" w:type="dxa"/>
            <w:tcBorders>
              <w:top w:val="nil"/>
              <w:left w:val="nil"/>
              <w:bottom w:val="single" w:sz="4" w:space="0" w:color="auto"/>
              <w:right w:val="single" w:sz="4" w:space="0" w:color="auto"/>
            </w:tcBorders>
            <w:shd w:val="clear" w:color="auto" w:fill="auto"/>
            <w:noWrap/>
            <w:vAlign w:val="center"/>
          </w:tcPr>
          <w:p w14:paraId="0703C1A8" w14:textId="77777777" w:rsidR="0041121A" w:rsidRPr="00665D76" w:rsidRDefault="0041121A" w:rsidP="00311C34">
            <w:pPr>
              <w:jc w:val="center"/>
              <w:rPr>
                <w:color w:val="000000"/>
                <w:sz w:val="24"/>
                <w:szCs w:val="24"/>
                <w:lang w:eastAsia="en-GB"/>
              </w:rPr>
            </w:pPr>
            <w:r w:rsidRPr="00665D76">
              <w:rPr>
                <w:color w:val="000000"/>
                <w:sz w:val="24"/>
                <w:szCs w:val="24"/>
                <w:lang w:eastAsia="en-GB"/>
              </w:rPr>
              <w:t>42.6%</w:t>
            </w:r>
          </w:p>
        </w:tc>
        <w:tc>
          <w:tcPr>
            <w:tcW w:w="992" w:type="dxa"/>
            <w:tcBorders>
              <w:top w:val="nil"/>
              <w:left w:val="nil"/>
              <w:bottom w:val="single" w:sz="4" w:space="0" w:color="auto"/>
              <w:right w:val="single" w:sz="4" w:space="0" w:color="auto"/>
            </w:tcBorders>
            <w:shd w:val="clear" w:color="auto" w:fill="auto"/>
            <w:noWrap/>
            <w:vAlign w:val="center"/>
          </w:tcPr>
          <w:p w14:paraId="3628EED2" w14:textId="77777777" w:rsidR="0041121A" w:rsidRPr="00665D76" w:rsidRDefault="0041121A" w:rsidP="00311C34">
            <w:pPr>
              <w:jc w:val="center"/>
              <w:rPr>
                <w:color w:val="000000"/>
                <w:sz w:val="24"/>
                <w:szCs w:val="24"/>
                <w:lang w:eastAsia="en-GB"/>
              </w:rPr>
            </w:pPr>
            <w:r w:rsidRPr="00665D76">
              <w:rPr>
                <w:color w:val="000000"/>
                <w:sz w:val="24"/>
                <w:szCs w:val="24"/>
                <w:lang w:eastAsia="en-GB"/>
              </w:rPr>
              <w:t>84</w:t>
            </w:r>
          </w:p>
        </w:tc>
        <w:tc>
          <w:tcPr>
            <w:tcW w:w="1276" w:type="dxa"/>
            <w:tcBorders>
              <w:top w:val="nil"/>
              <w:left w:val="nil"/>
              <w:bottom w:val="single" w:sz="4" w:space="0" w:color="auto"/>
              <w:right w:val="single" w:sz="4" w:space="0" w:color="auto"/>
            </w:tcBorders>
            <w:shd w:val="clear" w:color="auto" w:fill="auto"/>
            <w:noWrap/>
            <w:vAlign w:val="center"/>
          </w:tcPr>
          <w:p w14:paraId="5B5ECF3F" w14:textId="77777777" w:rsidR="0041121A" w:rsidRPr="00665D76" w:rsidRDefault="0041121A" w:rsidP="00311C34">
            <w:pPr>
              <w:jc w:val="center"/>
              <w:rPr>
                <w:color w:val="000000"/>
                <w:sz w:val="24"/>
                <w:szCs w:val="24"/>
                <w:lang w:eastAsia="en-GB"/>
              </w:rPr>
            </w:pPr>
            <w:r w:rsidRPr="00665D76">
              <w:rPr>
                <w:color w:val="000000"/>
                <w:sz w:val="24"/>
                <w:szCs w:val="24"/>
                <w:lang w:eastAsia="en-GB"/>
              </w:rPr>
              <w:t>47.2%</w:t>
            </w:r>
          </w:p>
        </w:tc>
        <w:tc>
          <w:tcPr>
            <w:tcW w:w="1192" w:type="dxa"/>
            <w:vMerge/>
            <w:tcBorders>
              <w:left w:val="nil"/>
              <w:bottom w:val="single" w:sz="4" w:space="0" w:color="auto"/>
              <w:right w:val="single" w:sz="4" w:space="0" w:color="auto"/>
            </w:tcBorders>
            <w:shd w:val="clear" w:color="auto" w:fill="auto"/>
            <w:noWrap/>
            <w:vAlign w:val="bottom"/>
          </w:tcPr>
          <w:p w14:paraId="5F417F5F" w14:textId="77777777" w:rsidR="0041121A" w:rsidRPr="00665D76" w:rsidRDefault="0041121A" w:rsidP="00311C34">
            <w:pPr>
              <w:jc w:val="center"/>
              <w:rPr>
                <w:color w:val="000000"/>
                <w:sz w:val="24"/>
                <w:szCs w:val="24"/>
                <w:lang w:eastAsia="en-GB"/>
              </w:rPr>
            </w:pPr>
          </w:p>
        </w:tc>
        <w:tc>
          <w:tcPr>
            <w:tcW w:w="1076" w:type="dxa"/>
            <w:vMerge/>
            <w:tcBorders>
              <w:left w:val="nil"/>
              <w:bottom w:val="single" w:sz="4" w:space="0" w:color="auto"/>
              <w:right w:val="single" w:sz="4" w:space="0" w:color="auto"/>
            </w:tcBorders>
            <w:shd w:val="clear" w:color="auto" w:fill="auto"/>
            <w:noWrap/>
            <w:vAlign w:val="bottom"/>
          </w:tcPr>
          <w:p w14:paraId="6EC05765" w14:textId="77777777" w:rsidR="0041121A" w:rsidRPr="00665D76" w:rsidRDefault="0041121A" w:rsidP="00311C34">
            <w:pPr>
              <w:jc w:val="center"/>
              <w:rPr>
                <w:color w:val="000000"/>
                <w:sz w:val="24"/>
                <w:szCs w:val="24"/>
                <w:lang w:eastAsia="en-GB"/>
              </w:rPr>
            </w:pPr>
          </w:p>
        </w:tc>
      </w:tr>
    </w:tbl>
    <w:p w14:paraId="7D8AE4C4" w14:textId="5E3069C8" w:rsidR="0041121A" w:rsidRPr="00665D76" w:rsidRDefault="0041121A" w:rsidP="0041121A">
      <w:pPr>
        <w:rPr>
          <w:sz w:val="24"/>
          <w:szCs w:val="24"/>
        </w:rPr>
      </w:pPr>
      <w:r w:rsidRPr="00665D76">
        <w:rPr>
          <w:sz w:val="24"/>
          <w:szCs w:val="24"/>
        </w:rPr>
        <w:t xml:space="preserve">Statistical tests are analysis of variance (Mann-Whitney U test was used for non-parametric comparisons, with ‘U’ reported under statistical test) except where indicted LR = Likelihood ratio chi square test. GSAS = Gambling Symptom Assessment Scale; </w:t>
      </w:r>
      <w:r w:rsidR="00C41544">
        <w:rPr>
          <w:sz w:val="24"/>
          <w:szCs w:val="24"/>
        </w:rPr>
        <w:t>PG-</w:t>
      </w:r>
      <w:r w:rsidRPr="00665D76">
        <w:rPr>
          <w:sz w:val="24"/>
          <w:szCs w:val="24"/>
        </w:rPr>
        <w:t>YBOCS = Yale-Brown Obsessive-Compulsive Scale Modified for Pathological Gambling. Note that total cell sizes per group may differ due to missing data for some variables. * p&lt;0.05, ** p&lt;0.01.</w:t>
      </w:r>
    </w:p>
    <w:p w14:paraId="54772B89" w14:textId="77777777" w:rsidR="0041121A" w:rsidRPr="00665D76" w:rsidRDefault="0041121A" w:rsidP="0041121A">
      <w:pPr>
        <w:rPr>
          <w:sz w:val="24"/>
          <w:szCs w:val="24"/>
        </w:rPr>
      </w:pPr>
    </w:p>
    <w:p w14:paraId="41DD4F87" w14:textId="77777777" w:rsidR="00665D76" w:rsidRDefault="00665D76" w:rsidP="0041121A">
      <w:pPr>
        <w:spacing w:after="160" w:line="259" w:lineRule="auto"/>
        <w:rPr>
          <w:b/>
          <w:sz w:val="24"/>
          <w:szCs w:val="24"/>
        </w:rPr>
      </w:pPr>
      <w:r>
        <w:rPr>
          <w:b/>
          <w:sz w:val="24"/>
          <w:szCs w:val="24"/>
        </w:rPr>
        <w:tab/>
      </w:r>
    </w:p>
    <w:p w14:paraId="430CECB6" w14:textId="77777777" w:rsidR="004F696E" w:rsidRDefault="00665D76" w:rsidP="004F696E">
      <w:pPr>
        <w:spacing w:line="480" w:lineRule="auto"/>
        <w:ind w:firstLine="720"/>
        <w:rPr>
          <w:rFonts w:eastAsia="Calibri"/>
          <w:sz w:val="24"/>
          <w:szCs w:val="24"/>
          <w:lang w:val="en-GB"/>
        </w:rPr>
      </w:pPr>
      <w:r w:rsidRPr="004A7969">
        <w:rPr>
          <w:rFonts w:eastAsia="Calibri"/>
          <w:sz w:val="24"/>
          <w:szCs w:val="24"/>
          <w:lang w:val="en-GB"/>
        </w:rPr>
        <w:t xml:space="preserve">For </w:t>
      </w:r>
      <w:r>
        <w:rPr>
          <w:rFonts w:eastAsia="Calibri"/>
          <w:sz w:val="24"/>
          <w:szCs w:val="24"/>
          <w:lang w:val="en-GB"/>
        </w:rPr>
        <w:t xml:space="preserve">other </w:t>
      </w:r>
      <w:r w:rsidRPr="004A7969">
        <w:rPr>
          <w:rFonts w:eastAsia="Calibri"/>
          <w:sz w:val="24"/>
          <w:szCs w:val="24"/>
          <w:lang w:val="en-GB"/>
        </w:rPr>
        <w:t>clinical variables</w:t>
      </w:r>
      <w:r>
        <w:rPr>
          <w:rFonts w:eastAsia="Calibri"/>
          <w:sz w:val="24"/>
          <w:szCs w:val="24"/>
          <w:lang w:val="en-GB"/>
        </w:rPr>
        <w:t xml:space="preserve"> (</w:t>
      </w:r>
      <w:r w:rsidRPr="00665D76">
        <w:rPr>
          <w:rFonts w:eastAsia="Calibri"/>
          <w:b/>
          <w:bCs/>
          <w:sz w:val="24"/>
          <w:szCs w:val="24"/>
          <w:lang w:val="en-GB"/>
        </w:rPr>
        <w:t xml:space="preserve">Table </w:t>
      </w:r>
      <w:r>
        <w:rPr>
          <w:rFonts w:eastAsia="Calibri"/>
          <w:b/>
          <w:bCs/>
          <w:sz w:val="24"/>
          <w:szCs w:val="24"/>
          <w:lang w:val="en-GB"/>
        </w:rPr>
        <w:t>3</w:t>
      </w:r>
      <w:r>
        <w:rPr>
          <w:rFonts w:eastAsia="Calibri"/>
          <w:sz w:val="24"/>
          <w:szCs w:val="24"/>
          <w:lang w:val="en-GB"/>
        </w:rPr>
        <w:t>)</w:t>
      </w:r>
      <w:r w:rsidRPr="004A7969">
        <w:rPr>
          <w:rFonts w:eastAsia="Calibri"/>
          <w:sz w:val="24"/>
          <w:szCs w:val="24"/>
          <w:lang w:val="en-GB"/>
        </w:rPr>
        <w:t xml:space="preserve">, family history of </w:t>
      </w:r>
      <w:r>
        <w:rPr>
          <w:rFonts w:eastAsia="Calibri"/>
          <w:sz w:val="24"/>
          <w:szCs w:val="24"/>
          <w:lang w:val="en-GB"/>
        </w:rPr>
        <w:t>gambling disorder</w:t>
      </w:r>
      <w:r w:rsidRPr="004A7969">
        <w:rPr>
          <w:rFonts w:eastAsia="Calibri"/>
          <w:sz w:val="24"/>
          <w:szCs w:val="24"/>
          <w:lang w:val="en-GB"/>
        </w:rPr>
        <w:t xml:space="preserve"> was significantly associated with </w:t>
      </w:r>
      <w:r w:rsidR="004F696E">
        <w:rPr>
          <w:rFonts w:eastAsia="Calibri"/>
          <w:sz w:val="24"/>
          <w:szCs w:val="24"/>
          <w:lang w:val="en-GB"/>
        </w:rPr>
        <w:t xml:space="preserve">a positive family history of alcohol use disorders. </w:t>
      </w:r>
    </w:p>
    <w:p w14:paraId="1C717ED1" w14:textId="77777777" w:rsidR="004F696E" w:rsidRDefault="004F696E" w:rsidP="004F696E">
      <w:pPr>
        <w:rPr>
          <w:b/>
          <w:sz w:val="24"/>
          <w:szCs w:val="24"/>
        </w:rPr>
      </w:pPr>
    </w:p>
    <w:p w14:paraId="501C02C0" w14:textId="15A60098" w:rsidR="0041121A" w:rsidRPr="00665D76" w:rsidRDefault="0041121A" w:rsidP="004F696E">
      <w:pPr>
        <w:rPr>
          <w:b/>
          <w:sz w:val="24"/>
          <w:szCs w:val="24"/>
        </w:rPr>
      </w:pPr>
      <w:r w:rsidRPr="00665D76">
        <w:rPr>
          <w:b/>
          <w:sz w:val="24"/>
          <w:szCs w:val="24"/>
        </w:rPr>
        <w:t xml:space="preserve">Table 3. Other clinical characteristics in those with versus without a family history of gambling disorder. </w:t>
      </w:r>
    </w:p>
    <w:tbl>
      <w:tblPr>
        <w:tblW w:w="5099" w:type="pct"/>
        <w:tblLayout w:type="fixed"/>
        <w:tblLook w:val="04A0" w:firstRow="1" w:lastRow="0" w:firstColumn="1" w:lastColumn="0" w:noHBand="0" w:noVBand="1"/>
      </w:tblPr>
      <w:tblGrid>
        <w:gridCol w:w="2641"/>
        <w:gridCol w:w="757"/>
        <w:gridCol w:w="881"/>
        <w:gridCol w:w="1032"/>
        <w:gridCol w:w="812"/>
        <w:gridCol w:w="957"/>
        <w:gridCol w:w="1175"/>
        <w:gridCol w:w="1280"/>
      </w:tblGrid>
      <w:tr w:rsidR="0041121A" w:rsidRPr="00665D76" w14:paraId="3D20F389" w14:textId="77777777" w:rsidTr="005A46EC">
        <w:trPr>
          <w:trHeight w:val="397"/>
        </w:trPr>
        <w:tc>
          <w:tcPr>
            <w:tcW w:w="1782" w:type="pct"/>
            <w:gridSpan w:val="2"/>
            <w:vMerge w:val="restart"/>
            <w:tcBorders>
              <w:top w:val="single" w:sz="4" w:space="0" w:color="auto"/>
              <w:left w:val="single" w:sz="4" w:space="0" w:color="auto"/>
              <w:right w:val="single" w:sz="4" w:space="0" w:color="auto"/>
            </w:tcBorders>
            <w:vAlign w:val="center"/>
          </w:tcPr>
          <w:p w14:paraId="5DA26B45" w14:textId="77777777" w:rsidR="0041121A" w:rsidRPr="00665D76" w:rsidRDefault="0041121A" w:rsidP="00311C34">
            <w:pPr>
              <w:rPr>
                <w:color w:val="000000"/>
                <w:sz w:val="24"/>
                <w:szCs w:val="24"/>
                <w:lang w:eastAsia="en-GB"/>
              </w:rPr>
            </w:pPr>
            <w:r w:rsidRPr="00665D76">
              <w:rPr>
                <w:color w:val="000000"/>
                <w:sz w:val="24"/>
                <w:szCs w:val="24"/>
                <w:lang w:eastAsia="en-GB"/>
              </w:rPr>
              <w:t> </w:t>
            </w:r>
          </w:p>
          <w:p w14:paraId="3AFA2902" w14:textId="77777777" w:rsidR="0041121A" w:rsidRPr="00665D76" w:rsidRDefault="0041121A" w:rsidP="00311C34">
            <w:pPr>
              <w:rPr>
                <w:color w:val="000000"/>
                <w:sz w:val="24"/>
                <w:szCs w:val="24"/>
                <w:lang w:eastAsia="en-GB"/>
              </w:rPr>
            </w:pPr>
            <w:r w:rsidRPr="00665D76">
              <w:rPr>
                <w:color w:val="000000"/>
                <w:sz w:val="24"/>
                <w:szCs w:val="24"/>
                <w:lang w:eastAsia="en-GB"/>
              </w:rPr>
              <w:t> </w:t>
            </w:r>
          </w:p>
        </w:tc>
        <w:tc>
          <w:tcPr>
            <w:tcW w:w="1931" w:type="pct"/>
            <w:gridSpan w:val="4"/>
            <w:tcBorders>
              <w:top w:val="single" w:sz="4" w:space="0" w:color="auto"/>
              <w:left w:val="nil"/>
              <w:bottom w:val="single" w:sz="4" w:space="0" w:color="auto"/>
              <w:right w:val="single" w:sz="4" w:space="0" w:color="auto"/>
            </w:tcBorders>
            <w:shd w:val="clear" w:color="auto" w:fill="auto"/>
            <w:noWrap/>
            <w:vAlign w:val="bottom"/>
            <w:hideMark/>
          </w:tcPr>
          <w:p w14:paraId="2A03FDA1" w14:textId="77777777" w:rsidR="0041121A" w:rsidRPr="00665D76" w:rsidRDefault="0041121A" w:rsidP="00311C34">
            <w:pPr>
              <w:jc w:val="center"/>
              <w:rPr>
                <w:b/>
                <w:bCs/>
                <w:color w:val="000000"/>
                <w:sz w:val="24"/>
                <w:szCs w:val="24"/>
                <w:lang w:eastAsia="en-GB"/>
              </w:rPr>
            </w:pPr>
            <w:r w:rsidRPr="00665D76">
              <w:rPr>
                <w:b/>
                <w:bCs/>
                <w:color w:val="000000"/>
                <w:sz w:val="24"/>
                <w:szCs w:val="24"/>
              </w:rPr>
              <w:t>Family history of gambling disorder</w:t>
            </w:r>
          </w:p>
        </w:tc>
        <w:tc>
          <w:tcPr>
            <w:tcW w:w="1287" w:type="pct"/>
            <w:gridSpan w:val="2"/>
            <w:vMerge w:val="restart"/>
            <w:tcBorders>
              <w:top w:val="single" w:sz="4" w:space="0" w:color="auto"/>
              <w:left w:val="nil"/>
              <w:right w:val="single" w:sz="4" w:space="0" w:color="auto"/>
            </w:tcBorders>
            <w:shd w:val="clear" w:color="auto" w:fill="auto"/>
            <w:noWrap/>
            <w:vAlign w:val="bottom"/>
            <w:hideMark/>
          </w:tcPr>
          <w:p w14:paraId="7625E366" w14:textId="77777777" w:rsidR="0041121A" w:rsidRPr="00665D76" w:rsidRDefault="0041121A" w:rsidP="00311C34">
            <w:pPr>
              <w:rPr>
                <w:color w:val="000000"/>
                <w:sz w:val="24"/>
                <w:szCs w:val="24"/>
                <w:lang w:eastAsia="en-GB"/>
              </w:rPr>
            </w:pPr>
            <w:r w:rsidRPr="00665D76">
              <w:rPr>
                <w:color w:val="000000"/>
                <w:sz w:val="24"/>
                <w:szCs w:val="24"/>
                <w:lang w:eastAsia="en-GB"/>
              </w:rPr>
              <w:t> </w:t>
            </w:r>
          </w:p>
          <w:p w14:paraId="2691BF0F" w14:textId="77777777" w:rsidR="0041121A" w:rsidRPr="00665D76" w:rsidRDefault="0041121A" w:rsidP="00311C34">
            <w:pPr>
              <w:rPr>
                <w:color w:val="000000"/>
                <w:sz w:val="24"/>
                <w:szCs w:val="24"/>
                <w:lang w:eastAsia="en-GB"/>
              </w:rPr>
            </w:pPr>
            <w:r w:rsidRPr="00665D76">
              <w:rPr>
                <w:color w:val="000000"/>
                <w:sz w:val="24"/>
                <w:szCs w:val="24"/>
                <w:lang w:eastAsia="en-GB"/>
              </w:rPr>
              <w:t> </w:t>
            </w:r>
          </w:p>
          <w:p w14:paraId="405B77CB" w14:textId="77777777" w:rsidR="0041121A" w:rsidRPr="00665D76" w:rsidRDefault="0041121A" w:rsidP="00311C34">
            <w:pPr>
              <w:rPr>
                <w:color w:val="000000"/>
                <w:sz w:val="24"/>
                <w:szCs w:val="24"/>
                <w:lang w:eastAsia="en-GB"/>
              </w:rPr>
            </w:pPr>
            <w:r w:rsidRPr="00665D76">
              <w:rPr>
                <w:color w:val="000000"/>
                <w:sz w:val="24"/>
                <w:szCs w:val="24"/>
                <w:lang w:eastAsia="en-GB"/>
              </w:rPr>
              <w:t> </w:t>
            </w:r>
          </w:p>
          <w:p w14:paraId="100F7C51" w14:textId="77777777" w:rsidR="0041121A" w:rsidRPr="00665D76" w:rsidRDefault="0041121A" w:rsidP="00311C34">
            <w:pPr>
              <w:rPr>
                <w:color w:val="000000"/>
                <w:sz w:val="24"/>
                <w:szCs w:val="24"/>
                <w:lang w:eastAsia="en-GB"/>
              </w:rPr>
            </w:pPr>
            <w:r w:rsidRPr="00665D76">
              <w:rPr>
                <w:color w:val="000000"/>
                <w:sz w:val="24"/>
                <w:szCs w:val="24"/>
                <w:lang w:eastAsia="en-GB"/>
              </w:rPr>
              <w:t> </w:t>
            </w:r>
          </w:p>
        </w:tc>
      </w:tr>
      <w:tr w:rsidR="0041121A" w:rsidRPr="00665D76" w14:paraId="441FAE2A" w14:textId="77777777" w:rsidTr="005A46EC">
        <w:trPr>
          <w:trHeight w:val="397"/>
        </w:trPr>
        <w:tc>
          <w:tcPr>
            <w:tcW w:w="1782" w:type="pct"/>
            <w:gridSpan w:val="2"/>
            <w:vMerge/>
            <w:tcBorders>
              <w:left w:val="single" w:sz="4" w:space="0" w:color="auto"/>
              <w:right w:val="single" w:sz="4" w:space="0" w:color="auto"/>
            </w:tcBorders>
            <w:vAlign w:val="center"/>
          </w:tcPr>
          <w:p w14:paraId="342BACE1" w14:textId="77777777" w:rsidR="0041121A" w:rsidRPr="00665D76" w:rsidRDefault="0041121A" w:rsidP="00311C34">
            <w:pPr>
              <w:rPr>
                <w:color w:val="000000"/>
                <w:sz w:val="24"/>
                <w:szCs w:val="24"/>
                <w:lang w:eastAsia="en-GB"/>
              </w:rPr>
            </w:pPr>
          </w:p>
        </w:tc>
        <w:tc>
          <w:tcPr>
            <w:tcW w:w="100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A9412FA" w14:textId="4197C8FA" w:rsidR="0041121A" w:rsidRPr="00665D76" w:rsidRDefault="0041121A" w:rsidP="00311C34">
            <w:pPr>
              <w:jc w:val="center"/>
              <w:rPr>
                <w:b/>
                <w:bCs/>
                <w:color w:val="000000"/>
                <w:sz w:val="24"/>
                <w:szCs w:val="24"/>
                <w:lang w:eastAsia="en-GB"/>
              </w:rPr>
            </w:pPr>
            <w:r w:rsidRPr="00665D76">
              <w:rPr>
                <w:b/>
                <w:bCs/>
                <w:color w:val="000000"/>
                <w:sz w:val="24"/>
                <w:szCs w:val="24"/>
                <w:lang w:eastAsia="en-GB"/>
              </w:rPr>
              <w:t>No (</w:t>
            </w:r>
            <w:r w:rsidR="005A46EC">
              <w:rPr>
                <w:b/>
                <w:bCs/>
                <w:color w:val="000000"/>
                <w:sz w:val="24"/>
                <w:szCs w:val="24"/>
                <w:lang w:eastAsia="en-GB"/>
              </w:rPr>
              <w:t>n</w:t>
            </w:r>
            <w:r w:rsidRPr="00665D76">
              <w:rPr>
                <w:b/>
                <w:bCs/>
                <w:color w:val="000000"/>
                <w:sz w:val="24"/>
                <w:szCs w:val="24"/>
                <w:lang w:eastAsia="en-GB"/>
              </w:rPr>
              <w:t>=232)</w:t>
            </w:r>
          </w:p>
        </w:tc>
        <w:tc>
          <w:tcPr>
            <w:tcW w:w="9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DA8AF20" w14:textId="7705F67C" w:rsidR="0041121A" w:rsidRPr="00665D76" w:rsidRDefault="0041121A" w:rsidP="00311C34">
            <w:pPr>
              <w:jc w:val="center"/>
              <w:rPr>
                <w:b/>
                <w:bCs/>
                <w:color w:val="000000"/>
                <w:sz w:val="24"/>
                <w:szCs w:val="24"/>
                <w:lang w:eastAsia="en-GB"/>
              </w:rPr>
            </w:pPr>
            <w:r w:rsidRPr="00665D76">
              <w:rPr>
                <w:b/>
                <w:bCs/>
                <w:color w:val="000000"/>
                <w:sz w:val="24"/>
                <w:szCs w:val="24"/>
                <w:lang w:eastAsia="en-GB"/>
              </w:rPr>
              <w:t>Yes (</w:t>
            </w:r>
            <w:r w:rsidR="005A46EC">
              <w:rPr>
                <w:b/>
                <w:bCs/>
                <w:color w:val="000000"/>
                <w:sz w:val="24"/>
                <w:szCs w:val="24"/>
                <w:lang w:eastAsia="en-GB"/>
              </w:rPr>
              <w:t>n</w:t>
            </w:r>
            <w:r w:rsidRPr="00665D76">
              <w:rPr>
                <w:b/>
                <w:bCs/>
                <w:color w:val="000000"/>
                <w:sz w:val="24"/>
                <w:szCs w:val="24"/>
                <w:lang w:eastAsia="en-GB"/>
              </w:rPr>
              <w:t>=223)</w:t>
            </w:r>
          </w:p>
        </w:tc>
        <w:tc>
          <w:tcPr>
            <w:tcW w:w="1287" w:type="pct"/>
            <w:gridSpan w:val="2"/>
            <w:vMerge/>
            <w:tcBorders>
              <w:left w:val="nil"/>
              <w:bottom w:val="single" w:sz="4" w:space="0" w:color="auto"/>
              <w:right w:val="single" w:sz="4" w:space="0" w:color="auto"/>
            </w:tcBorders>
            <w:shd w:val="clear" w:color="auto" w:fill="auto"/>
            <w:noWrap/>
            <w:vAlign w:val="bottom"/>
            <w:hideMark/>
          </w:tcPr>
          <w:p w14:paraId="7B534234" w14:textId="77777777" w:rsidR="0041121A" w:rsidRPr="00665D76" w:rsidRDefault="0041121A" w:rsidP="00311C34">
            <w:pPr>
              <w:rPr>
                <w:color w:val="000000"/>
                <w:sz w:val="24"/>
                <w:szCs w:val="24"/>
                <w:lang w:eastAsia="en-GB"/>
              </w:rPr>
            </w:pPr>
          </w:p>
        </w:tc>
      </w:tr>
      <w:tr w:rsidR="0041121A" w:rsidRPr="00665D76" w14:paraId="74B8909F" w14:textId="77777777" w:rsidTr="004F696E">
        <w:trPr>
          <w:trHeight w:val="397"/>
        </w:trPr>
        <w:tc>
          <w:tcPr>
            <w:tcW w:w="1782" w:type="pct"/>
            <w:gridSpan w:val="2"/>
            <w:vMerge/>
            <w:tcBorders>
              <w:left w:val="single" w:sz="4" w:space="0" w:color="auto"/>
              <w:bottom w:val="single" w:sz="4" w:space="0" w:color="auto"/>
              <w:right w:val="single" w:sz="4" w:space="0" w:color="auto"/>
            </w:tcBorders>
            <w:vAlign w:val="center"/>
          </w:tcPr>
          <w:p w14:paraId="0E69630B" w14:textId="77777777" w:rsidR="0041121A" w:rsidRPr="00665D76" w:rsidRDefault="0041121A" w:rsidP="00311C34">
            <w:pPr>
              <w:jc w:val="center"/>
              <w:rPr>
                <w:color w:val="000000"/>
                <w:sz w:val="24"/>
                <w:szCs w:val="24"/>
                <w:lang w:eastAsia="en-GB"/>
              </w:rPr>
            </w:pPr>
          </w:p>
        </w:tc>
        <w:tc>
          <w:tcPr>
            <w:tcW w:w="462" w:type="pct"/>
            <w:tcBorders>
              <w:top w:val="nil"/>
              <w:left w:val="nil"/>
              <w:bottom w:val="single" w:sz="4" w:space="0" w:color="auto"/>
              <w:right w:val="single" w:sz="4" w:space="0" w:color="auto"/>
            </w:tcBorders>
            <w:shd w:val="clear" w:color="auto" w:fill="auto"/>
            <w:noWrap/>
            <w:vAlign w:val="center"/>
            <w:hideMark/>
          </w:tcPr>
          <w:p w14:paraId="7C09520B" w14:textId="3ACDE0D1" w:rsidR="0041121A" w:rsidRPr="00665D76" w:rsidRDefault="0041121A" w:rsidP="00311C34">
            <w:pPr>
              <w:jc w:val="center"/>
              <w:rPr>
                <w:color w:val="000000"/>
                <w:sz w:val="24"/>
                <w:szCs w:val="24"/>
                <w:lang w:eastAsia="en-GB"/>
              </w:rPr>
            </w:pPr>
            <w:r w:rsidRPr="00665D76">
              <w:rPr>
                <w:color w:val="000000"/>
                <w:sz w:val="24"/>
                <w:szCs w:val="24"/>
                <w:lang w:eastAsia="en-GB"/>
              </w:rPr>
              <w:t xml:space="preserve">Mean / </w:t>
            </w:r>
            <w:r w:rsidR="005A46EC">
              <w:rPr>
                <w:color w:val="000000"/>
                <w:sz w:val="24"/>
                <w:szCs w:val="24"/>
                <w:lang w:eastAsia="en-GB"/>
              </w:rPr>
              <w:t>n</w:t>
            </w:r>
          </w:p>
        </w:tc>
        <w:tc>
          <w:tcPr>
            <w:tcW w:w="541" w:type="pct"/>
            <w:tcBorders>
              <w:top w:val="nil"/>
              <w:left w:val="nil"/>
              <w:bottom w:val="single" w:sz="4" w:space="0" w:color="auto"/>
              <w:right w:val="single" w:sz="4" w:space="0" w:color="auto"/>
            </w:tcBorders>
            <w:shd w:val="clear" w:color="auto" w:fill="auto"/>
            <w:noWrap/>
            <w:vAlign w:val="center"/>
            <w:hideMark/>
          </w:tcPr>
          <w:p w14:paraId="0C9D60EB" w14:textId="77777777" w:rsidR="0041121A" w:rsidRPr="00665D76" w:rsidRDefault="0041121A" w:rsidP="00311C34">
            <w:pPr>
              <w:jc w:val="center"/>
              <w:rPr>
                <w:color w:val="000000"/>
                <w:sz w:val="24"/>
                <w:szCs w:val="24"/>
                <w:lang w:eastAsia="en-GB"/>
              </w:rPr>
            </w:pPr>
            <w:r w:rsidRPr="00665D76">
              <w:rPr>
                <w:color w:val="000000"/>
                <w:sz w:val="24"/>
                <w:szCs w:val="24"/>
                <w:lang w:eastAsia="en-GB"/>
              </w:rPr>
              <w:t>Std Dev / %</w:t>
            </w:r>
          </w:p>
        </w:tc>
        <w:tc>
          <w:tcPr>
            <w:tcW w:w="426" w:type="pct"/>
            <w:tcBorders>
              <w:top w:val="nil"/>
              <w:left w:val="nil"/>
              <w:bottom w:val="single" w:sz="4" w:space="0" w:color="auto"/>
              <w:right w:val="single" w:sz="4" w:space="0" w:color="auto"/>
            </w:tcBorders>
            <w:shd w:val="clear" w:color="auto" w:fill="auto"/>
            <w:noWrap/>
            <w:vAlign w:val="center"/>
            <w:hideMark/>
          </w:tcPr>
          <w:p w14:paraId="0C9BC0A9" w14:textId="07368FD1" w:rsidR="0041121A" w:rsidRPr="00665D76" w:rsidRDefault="0041121A" w:rsidP="00311C34">
            <w:pPr>
              <w:jc w:val="center"/>
              <w:rPr>
                <w:color w:val="000000"/>
                <w:sz w:val="24"/>
                <w:szCs w:val="24"/>
                <w:lang w:eastAsia="en-GB"/>
              </w:rPr>
            </w:pPr>
            <w:r w:rsidRPr="00665D76">
              <w:rPr>
                <w:color w:val="000000"/>
                <w:sz w:val="24"/>
                <w:szCs w:val="24"/>
                <w:lang w:eastAsia="en-GB"/>
              </w:rPr>
              <w:t xml:space="preserve">Mean / </w:t>
            </w:r>
            <w:r w:rsidR="005A46EC">
              <w:rPr>
                <w:color w:val="000000"/>
                <w:sz w:val="24"/>
                <w:szCs w:val="24"/>
                <w:lang w:eastAsia="en-GB"/>
              </w:rPr>
              <w:t>n</w:t>
            </w:r>
          </w:p>
        </w:tc>
        <w:tc>
          <w:tcPr>
            <w:tcW w:w="502" w:type="pct"/>
            <w:tcBorders>
              <w:top w:val="nil"/>
              <w:left w:val="nil"/>
              <w:bottom w:val="single" w:sz="4" w:space="0" w:color="auto"/>
              <w:right w:val="single" w:sz="4" w:space="0" w:color="auto"/>
            </w:tcBorders>
            <w:shd w:val="clear" w:color="auto" w:fill="auto"/>
            <w:noWrap/>
            <w:vAlign w:val="center"/>
            <w:hideMark/>
          </w:tcPr>
          <w:p w14:paraId="4E3ACA17" w14:textId="77777777" w:rsidR="0041121A" w:rsidRPr="00665D76" w:rsidRDefault="0041121A" w:rsidP="00311C34">
            <w:pPr>
              <w:jc w:val="center"/>
              <w:rPr>
                <w:color w:val="000000"/>
                <w:sz w:val="24"/>
                <w:szCs w:val="24"/>
                <w:lang w:eastAsia="en-GB"/>
              </w:rPr>
            </w:pPr>
            <w:r w:rsidRPr="00665D76">
              <w:rPr>
                <w:color w:val="000000"/>
                <w:sz w:val="24"/>
                <w:szCs w:val="24"/>
                <w:lang w:eastAsia="en-GB"/>
              </w:rPr>
              <w:t>Std Dev / %</w:t>
            </w:r>
          </w:p>
        </w:tc>
        <w:tc>
          <w:tcPr>
            <w:tcW w:w="616" w:type="pct"/>
            <w:tcBorders>
              <w:top w:val="nil"/>
              <w:left w:val="nil"/>
              <w:bottom w:val="single" w:sz="4" w:space="0" w:color="auto"/>
              <w:right w:val="single" w:sz="4" w:space="0" w:color="auto"/>
            </w:tcBorders>
            <w:shd w:val="clear" w:color="auto" w:fill="auto"/>
            <w:noWrap/>
            <w:vAlign w:val="center"/>
            <w:hideMark/>
          </w:tcPr>
          <w:p w14:paraId="4067C51F" w14:textId="77777777" w:rsidR="0041121A" w:rsidRPr="00665D76" w:rsidRDefault="0041121A" w:rsidP="00311C34">
            <w:pPr>
              <w:jc w:val="center"/>
              <w:rPr>
                <w:color w:val="000000"/>
                <w:sz w:val="24"/>
                <w:szCs w:val="24"/>
                <w:lang w:eastAsia="en-GB"/>
              </w:rPr>
            </w:pPr>
            <w:r w:rsidRPr="00665D76">
              <w:rPr>
                <w:color w:val="000000"/>
                <w:sz w:val="24"/>
                <w:szCs w:val="24"/>
                <w:lang w:eastAsia="en-GB"/>
              </w:rPr>
              <w:t>Statistical</w:t>
            </w:r>
          </w:p>
          <w:p w14:paraId="68021E43" w14:textId="77777777" w:rsidR="0041121A" w:rsidRPr="00665D76" w:rsidRDefault="0041121A" w:rsidP="00311C34">
            <w:pPr>
              <w:jc w:val="center"/>
              <w:rPr>
                <w:color w:val="000000"/>
                <w:sz w:val="24"/>
                <w:szCs w:val="24"/>
                <w:lang w:eastAsia="en-GB"/>
              </w:rPr>
            </w:pPr>
            <w:r w:rsidRPr="00665D76">
              <w:rPr>
                <w:color w:val="000000"/>
                <w:sz w:val="24"/>
                <w:szCs w:val="24"/>
                <w:lang w:eastAsia="en-GB"/>
              </w:rPr>
              <w:t>test</w:t>
            </w:r>
          </w:p>
        </w:tc>
        <w:tc>
          <w:tcPr>
            <w:tcW w:w="671" w:type="pct"/>
            <w:tcBorders>
              <w:top w:val="nil"/>
              <w:left w:val="nil"/>
              <w:bottom w:val="single" w:sz="4" w:space="0" w:color="auto"/>
              <w:right w:val="single" w:sz="4" w:space="0" w:color="auto"/>
            </w:tcBorders>
            <w:shd w:val="clear" w:color="auto" w:fill="auto"/>
            <w:noWrap/>
            <w:vAlign w:val="center"/>
            <w:hideMark/>
          </w:tcPr>
          <w:p w14:paraId="344FCEAD" w14:textId="77777777" w:rsidR="0041121A" w:rsidRPr="00665D76" w:rsidRDefault="0041121A" w:rsidP="00311C34">
            <w:pPr>
              <w:jc w:val="center"/>
              <w:rPr>
                <w:color w:val="000000"/>
                <w:sz w:val="24"/>
                <w:szCs w:val="24"/>
                <w:lang w:eastAsia="en-GB"/>
              </w:rPr>
            </w:pPr>
            <w:r w:rsidRPr="00665D76">
              <w:rPr>
                <w:color w:val="000000"/>
                <w:sz w:val="24"/>
                <w:szCs w:val="24"/>
                <w:lang w:eastAsia="en-GB"/>
              </w:rPr>
              <w:t>p</w:t>
            </w:r>
          </w:p>
        </w:tc>
      </w:tr>
      <w:tr w:rsidR="0041121A" w:rsidRPr="00665D76" w14:paraId="18BD975D" w14:textId="77777777" w:rsidTr="004F696E">
        <w:trPr>
          <w:trHeight w:val="397"/>
        </w:trPr>
        <w:tc>
          <w:tcPr>
            <w:tcW w:w="1782" w:type="pct"/>
            <w:gridSpan w:val="2"/>
            <w:tcBorders>
              <w:top w:val="nil"/>
              <w:left w:val="single" w:sz="4" w:space="0" w:color="auto"/>
              <w:bottom w:val="single" w:sz="4" w:space="0" w:color="auto"/>
              <w:right w:val="single" w:sz="4" w:space="0" w:color="auto"/>
            </w:tcBorders>
            <w:vAlign w:val="center"/>
          </w:tcPr>
          <w:p w14:paraId="419AC4E4" w14:textId="77777777" w:rsidR="0041121A" w:rsidRPr="00665D76" w:rsidRDefault="0041121A" w:rsidP="00311C34">
            <w:pPr>
              <w:rPr>
                <w:b/>
                <w:bCs/>
                <w:color w:val="000000"/>
                <w:sz w:val="24"/>
                <w:szCs w:val="24"/>
                <w:lang w:eastAsia="en-GB"/>
              </w:rPr>
            </w:pPr>
            <w:r w:rsidRPr="00665D76">
              <w:rPr>
                <w:b/>
                <w:bCs/>
                <w:color w:val="000000"/>
                <w:sz w:val="24"/>
                <w:szCs w:val="24"/>
                <w:lang w:eastAsia="en-GB"/>
              </w:rPr>
              <w:t>HAMA</w:t>
            </w:r>
          </w:p>
        </w:tc>
        <w:tc>
          <w:tcPr>
            <w:tcW w:w="462" w:type="pct"/>
            <w:tcBorders>
              <w:top w:val="nil"/>
              <w:left w:val="nil"/>
              <w:bottom w:val="single" w:sz="4" w:space="0" w:color="auto"/>
              <w:right w:val="single" w:sz="4" w:space="0" w:color="auto"/>
            </w:tcBorders>
            <w:shd w:val="clear" w:color="auto" w:fill="auto"/>
            <w:noWrap/>
            <w:vAlign w:val="center"/>
          </w:tcPr>
          <w:p w14:paraId="698033F2" w14:textId="77777777" w:rsidR="0041121A" w:rsidRPr="00665D76" w:rsidRDefault="0041121A" w:rsidP="00311C34">
            <w:pPr>
              <w:jc w:val="center"/>
              <w:rPr>
                <w:color w:val="000000"/>
                <w:sz w:val="24"/>
                <w:szCs w:val="24"/>
                <w:lang w:eastAsia="en-GB"/>
              </w:rPr>
            </w:pPr>
            <w:r w:rsidRPr="00665D76">
              <w:rPr>
                <w:color w:val="000000"/>
                <w:sz w:val="24"/>
                <w:szCs w:val="24"/>
                <w:lang w:eastAsia="en-GB"/>
              </w:rPr>
              <w:t>7.8</w:t>
            </w:r>
          </w:p>
        </w:tc>
        <w:tc>
          <w:tcPr>
            <w:tcW w:w="541" w:type="pct"/>
            <w:tcBorders>
              <w:top w:val="nil"/>
              <w:left w:val="nil"/>
              <w:bottom w:val="single" w:sz="4" w:space="0" w:color="auto"/>
              <w:right w:val="single" w:sz="4" w:space="0" w:color="auto"/>
            </w:tcBorders>
            <w:shd w:val="clear" w:color="auto" w:fill="auto"/>
            <w:noWrap/>
            <w:vAlign w:val="center"/>
          </w:tcPr>
          <w:p w14:paraId="7655B1F0" w14:textId="77777777" w:rsidR="0041121A" w:rsidRPr="00665D76" w:rsidRDefault="0041121A" w:rsidP="00311C34">
            <w:pPr>
              <w:jc w:val="center"/>
              <w:rPr>
                <w:color w:val="000000"/>
                <w:sz w:val="24"/>
                <w:szCs w:val="24"/>
                <w:lang w:eastAsia="en-GB"/>
              </w:rPr>
            </w:pPr>
            <w:r w:rsidRPr="00665D76">
              <w:rPr>
                <w:color w:val="000000"/>
                <w:sz w:val="24"/>
                <w:szCs w:val="24"/>
                <w:lang w:eastAsia="en-GB"/>
              </w:rPr>
              <w:t>4.6</w:t>
            </w:r>
          </w:p>
        </w:tc>
        <w:tc>
          <w:tcPr>
            <w:tcW w:w="426" w:type="pct"/>
            <w:tcBorders>
              <w:top w:val="nil"/>
              <w:left w:val="nil"/>
              <w:bottom w:val="single" w:sz="4" w:space="0" w:color="auto"/>
              <w:right w:val="single" w:sz="4" w:space="0" w:color="auto"/>
            </w:tcBorders>
            <w:shd w:val="clear" w:color="auto" w:fill="auto"/>
            <w:noWrap/>
            <w:vAlign w:val="center"/>
          </w:tcPr>
          <w:p w14:paraId="50983B06" w14:textId="77777777" w:rsidR="0041121A" w:rsidRPr="00665D76" w:rsidRDefault="0041121A" w:rsidP="00311C34">
            <w:pPr>
              <w:jc w:val="center"/>
              <w:rPr>
                <w:color w:val="000000"/>
                <w:sz w:val="24"/>
                <w:szCs w:val="24"/>
                <w:lang w:eastAsia="en-GB"/>
              </w:rPr>
            </w:pPr>
            <w:r w:rsidRPr="00665D76">
              <w:rPr>
                <w:color w:val="000000"/>
                <w:sz w:val="24"/>
                <w:szCs w:val="24"/>
                <w:lang w:eastAsia="en-GB"/>
              </w:rPr>
              <w:t>7.1</w:t>
            </w:r>
          </w:p>
        </w:tc>
        <w:tc>
          <w:tcPr>
            <w:tcW w:w="502" w:type="pct"/>
            <w:tcBorders>
              <w:top w:val="nil"/>
              <w:left w:val="nil"/>
              <w:bottom w:val="single" w:sz="4" w:space="0" w:color="auto"/>
              <w:right w:val="single" w:sz="4" w:space="0" w:color="auto"/>
            </w:tcBorders>
            <w:shd w:val="clear" w:color="auto" w:fill="auto"/>
            <w:noWrap/>
            <w:vAlign w:val="center"/>
          </w:tcPr>
          <w:p w14:paraId="7B1D3250" w14:textId="77777777" w:rsidR="0041121A" w:rsidRPr="00665D76" w:rsidRDefault="0041121A" w:rsidP="00311C34">
            <w:pPr>
              <w:jc w:val="center"/>
              <w:rPr>
                <w:color w:val="000000"/>
                <w:sz w:val="24"/>
                <w:szCs w:val="24"/>
                <w:lang w:eastAsia="en-GB"/>
              </w:rPr>
            </w:pPr>
            <w:r w:rsidRPr="00665D76">
              <w:rPr>
                <w:color w:val="000000"/>
                <w:sz w:val="24"/>
                <w:szCs w:val="24"/>
                <w:lang w:eastAsia="en-GB"/>
              </w:rPr>
              <w:t>4.6</w:t>
            </w:r>
          </w:p>
        </w:tc>
        <w:tc>
          <w:tcPr>
            <w:tcW w:w="616" w:type="pct"/>
            <w:tcBorders>
              <w:top w:val="single" w:sz="4" w:space="0" w:color="auto"/>
              <w:left w:val="nil"/>
              <w:bottom w:val="single" w:sz="4" w:space="0" w:color="auto"/>
              <w:right w:val="single" w:sz="4" w:space="0" w:color="auto"/>
            </w:tcBorders>
            <w:shd w:val="clear" w:color="auto" w:fill="auto"/>
            <w:noWrap/>
            <w:vAlign w:val="center"/>
          </w:tcPr>
          <w:p w14:paraId="2A201ECD" w14:textId="77777777" w:rsidR="0041121A" w:rsidRPr="00665D76" w:rsidRDefault="0041121A" w:rsidP="00311C34">
            <w:pPr>
              <w:jc w:val="center"/>
              <w:rPr>
                <w:color w:val="000000"/>
                <w:sz w:val="24"/>
                <w:szCs w:val="24"/>
                <w:lang w:eastAsia="en-GB"/>
              </w:rPr>
            </w:pPr>
            <w:r w:rsidRPr="00665D76">
              <w:rPr>
                <w:color w:val="000000"/>
                <w:sz w:val="24"/>
                <w:szCs w:val="24"/>
                <w:lang w:eastAsia="en-GB"/>
              </w:rPr>
              <w:t>17242</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2D4A5C24" w14:textId="77777777" w:rsidR="0041121A" w:rsidRPr="00665D76" w:rsidRDefault="0041121A" w:rsidP="00311C34">
            <w:pPr>
              <w:jc w:val="center"/>
              <w:rPr>
                <w:color w:val="000000"/>
                <w:sz w:val="24"/>
                <w:szCs w:val="24"/>
                <w:lang w:eastAsia="en-GB"/>
              </w:rPr>
            </w:pPr>
            <w:r w:rsidRPr="00665D76">
              <w:rPr>
                <w:color w:val="000000"/>
                <w:sz w:val="24"/>
                <w:szCs w:val="24"/>
                <w:lang w:eastAsia="en-GB"/>
              </w:rPr>
              <w:t>0.094</w:t>
            </w:r>
          </w:p>
        </w:tc>
      </w:tr>
      <w:tr w:rsidR="0041121A" w:rsidRPr="00665D76" w14:paraId="1627185B" w14:textId="77777777" w:rsidTr="004F696E">
        <w:trPr>
          <w:trHeight w:val="397"/>
        </w:trPr>
        <w:tc>
          <w:tcPr>
            <w:tcW w:w="1782" w:type="pct"/>
            <w:gridSpan w:val="2"/>
            <w:tcBorders>
              <w:top w:val="nil"/>
              <w:left w:val="single" w:sz="4" w:space="0" w:color="auto"/>
              <w:bottom w:val="single" w:sz="4" w:space="0" w:color="auto"/>
              <w:right w:val="single" w:sz="4" w:space="0" w:color="auto"/>
            </w:tcBorders>
            <w:vAlign w:val="center"/>
          </w:tcPr>
          <w:p w14:paraId="3C648CCC" w14:textId="77777777" w:rsidR="0041121A" w:rsidRPr="00665D76" w:rsidRDefault="0041121A" w:rsidP="00311C34">
            <w:pPr>
              <w:rPr>
                <w:b/>
                <w:bCs/>
                <w:color w:val="000000"/>
                <w:sz w:val="24"/>
                <w:szCs w:val="24"/>
                <w:lang w:eastAsia="en-GB"/>
              </w:rPr>
            </w:pPr>
            <w:r w:rsidRPr="00665D76">
              <w:rPr>
                <w:b/>
                <w:bCs/>
                <w:color w:val="000000"/>
                <w:sz w:val="24"/>
                <w:szCs w:val="24"/>
                <w:lang w:eastAsia="en-GB"/>
              </w:rPr>
              <w:t>HAMD</w:t>
            </w:r>
          </w:p>
        </w:tc>
        <w:tc>
          <w:tcPr>
            <w:tcW w:w="462" w:type="pct"/>
            <w:tcBorders>
              <w:top w:val="nil"/>
              <w:left w:val="nil"/>
              <w:bottom w:val="single" w:sz="4" w:space="0" w:color="auto"/>
              <w:right w:val="single" w:sz="4" w:space="0" w:color="auto"/>
            </w:tcBorders>
            <w:shd w:val="clear" w:color="auto" w:fill="auto"/>
            <w:noWrap/>
            <w:vAlign w:val="center"/>
          </w:tcPr>
          <w:p w14:paraId="787A48EB" w14:textId="77777777" w:rsidR="0041121A" w:rsidRPr="00665D76" w:rsidRDefault="0041121A" w:rsidP="00311C34">
            <w:pPr>
              <w:jc w:val="center"/>
              <w:rPr>
                <w:color w:val="000000"/>
                <w:sz w:val="24"/>
                <w:szCs w:val="24"/>
                <w:lang w:eastAsia="en-GB"/>
              </w:rPr>
            </w:pPr>
            <w:r w:rsidRPr="00665D76">
              <w:rPr>
                <w:color w:val="000000"/>
                <w:sz w:val="24"/>
                <w:szCs w:val="24"/>
                <w:lang w:eastAsia="en-GB"/>
              </w:rPr>
              <w:t>7.4</w:t>
            </w:r>
          </w:p>
        </w:tc>
        <w:tc>
          <w:tcPr>
            <w:tcW w:w="541" w:type="pct"/>
            <w:tcBorders>
              <w:top w:val="nil"/>
              <w:left w:val="nil"/>
              <w:bottom w:val="single" w:sz="4" w:space="0" w:color="auto"/>
              <w:right w:val="single" w:sz="4" w:space="0" w:color="auto"/>
            </w:tcBorders>
            <w:shd w:val="clear" w:color="auto" w:fill="auto"/>
            <w:noWrap/>
            <w:vAlign w:val="center"/>
          </w:tcPr>
          <w:p w14:paraId="064C6546" w14:textId="77777777" w:rsidR="0041121A" w:rsidRPr="00665D76" w:rsidRDefault="0041121A" w:rsidP="00311C34">
            <w:pPr>
              <w:jc w:val="center"/>
              <w:rPr>
                <w:color w:val="000000"/>
                <w:sz w:val="24"/>
                <w:szCs w:val="24"/>
                <w:lang w:eastAsia="en-GB"/>
              </w:rPr>
            </w:pPr>
            <w:r w:rsidRPr="00665D76">
              <w:rPr>
                <w:color w:val="000000"/>
                <w:sz w:val="24"/>
                <w:szCs w:val="24"/>
                <w:lang w:eastAsia="en-GB"/>
              </w:rPr>
              <w:t>4.0</w:t>
            </w:r>
          </w:p>
        </w:tc>
        <w:tc>
          <w:tcPr>
            <w:tcW w:w="426" w:type="pct"/>
            <w:tcBorders>
              <w:top w:val="nil"/>
              <w:left w:val="nil"/>
              <w:bottom w:val="single" w:sz="4" w:space="0" w:color="auto"/>
              <w:right w:val="single" w:sz="4" w:space="0" w:color="auto"/>
            </w:tcBorders>
            <w:shd w:val="clear" w:color="auto" w:fill="auto"/>
            <w:noWrap/>
            <w:vAlign w:val="center"/>
          </w:tcPr>
          <w:p w14:paraId="3BD5D252" w14:textId="77777777" w:rsidR="0041121A" w:rsidRPr="00665D76" w:rsidRDefault="0041121A" w:rsidP="00311C34">
            <w:pPr>
              <w:jc w:val="center"/>
              <w:rPr>
                <w:color w:val="000000"/>
                <w:sz w:val="24"/>
                <w:szCs w:val="24"/>
                <w:lang w:eastAsia="en-GB"/>
              </w:rPr>
            </w:pPr>
            <w:r w:rsidRPr="00665D76">
              <w:rPr>
                <w:color w:val="000000"/>
                <w:sz w:val="24"/>
                <w:szCs w:val="24"/>
                <w:lang w:eastAsia="en-GB"/>
              </w:rPr>
              <w:t>7.0</w:t>
            </w:r>
          </w:p>
        </w:tc>
        <w:tc>
          <w:tcPr>
            <w:tcW w:w="502" w:type="pct"/>
            <w:tcBorders>
              <w:top w:val="nil"/>
              <w:left w:val="nil"/>
              <w:bottom w:val="single" w:sz="4" w:space="0" w:color="auto"/>
              <w:right w:val="single" w:sz="4" w:space="0" w:color="auto"/>
            </w:tcBorders>
            <w:shd w:val="clear" w:color="auto" w:fill="auto"/>
            <w:noWrap/>
            <w:vAlign w:val="center"/>
          </w:tcPr>
          <w:p w14:paraId="14F26DDB" w14:textId="77777777" w:rsidR="0041121A" w:rsidRPr="00665D76" w:rsidRDefault="0041121A" w:rsidP="00311C34">
            <w:pPr>
              <w:jc w:val="center"/>
              <w:rPr>
                <w:color w:val="000000"/>
                <w:sz w:val="24"/>
                <w:szCs w:val="24"/>
                <w:lang w:eastAsia="en-GB"/>
              </w:rPr>
            </w:pPr>
            <w:r w:rsidRPr="00665D76">
              <w:rPr>
                <w:color w:val="000000"/>
                <w:sz w:val="24"/>
                <w:szCs w:val="24"/>
                <w:lang w:eastAsia="en-GB"/>
              </w:rPr>
              <w:t>4.2</w:t>
            </w:r>
          </w:p>
        </w:tc>
        <w:tc>
          <w:tcPr>
            <w:tcW w:w="616" w:type="pct"/>
            <w:tcBorders>
              <w:top w:val="nil"/>
              <w:left w:val="nil"/>
              <w:bottom w:val="single" w:sz="4" w:space="0" w:color="auto"/>
              <w:right w:val="single" w:sz="4" w:space="0" w:color="auto"/>
            </w:tcBorders>
            <w:shd w:val="clear" w:color="auto" w:fill="auto"/>
            <w:noWrap/>
            <w:vAlign w:val="center"/>
          </w:tcPr>
          <w:p w14:paraId="336D2AC6" w14:textId="77777777" w:rsidR="0041121A" w:rsidRPr="00665D76" w:rsidRDefault="0041121A" w:rsidP="00311C34">
            <w:pPr>
              <w:jc w:val="center"/>
              <w:rPr>
                <w:color w:val="000000"/>
                <w:sz w:val="24"/>
                <w:szCs w:val="24"/>
                <w:lang w:eastAsia="en-GB"/>
              </w:rPr>
            </w:pPr>
            <w:r w:rsidRPr="00665D76">
              <w:rPr>
                <w:color w:val="000000"/>
                <w:sz w:val="24"/>
                <w:szCs w:val="24"/>
                <w:lang w:eastAsia="en-GB"/>
              </w:rPr>
              <w:t>17857</w:t>
            </w:r>
          </w:p>
        </w:tc>
        <w:tc>
          <w:tcPr>
            <w:tcW w:w="671" w:type="pct"/>
            <w:tcBorders>
              <w:top w:val="nil"/>
              <w:left w:val="nil"/>
              <w:bottom w:val="single" w:sz="4" w:space="0" w:color="auto"/>
              <w:right w:val="single" w:sz="4" w:space="0" w:color="auto"/>
            </w:tcBorders>
            <w:shd w:val="clear" w:color="auto" w:fill="auto"/>
            <w:noWrap/>
            <w:vAlign w:val="center"/>
          </w:tcPr>
          <w:p w14:paraId="7E0EBAF4" w14:textId="77777777" w:rsidR="0041121A" w:rsidRPr="00665D76" w:rsidRDefault="0041121A" w:rsidP="00311C34">
            <w:pPr>
              <w:jc w:val="center"/>
              <w:rPr>
                <w:color w:val="000000"/>
                <w:sz w:val="24"/>
                <w:szCs w:val="24"/>
                <w:lang w:eastAsia="en-GB"/>
              </w:rPr>
            </w:pPr>
            <w:r w:rsidRPr="00665D76">
              <w:rPr>
                <w:color w:val="000000"/>
                <w:sz w:val="24"/>
                <w:szCs w:val="24"/>
                <w:lang w:eastAsia="en-GB"/>
              </w:rPr>
              <w:t>0.262</w:t>
            </w:r>
          </w:p>
        </w:tc>
      </w:tr>
      <w:tr w:rsidR="0041121A" w:rsidRPr="00665D76" w14:paraId="3034754F" w14:textId="77777777" w:rsidTr="004F696E">
        <w:trPr>
          <w:trHeight w:val="397"/>
        </w:trPr>
        <w:tc>
          <w:tcPr>
            <w:tcW w:w="1782" w:type="pct"/>
            <w:gridSpan w:val="2"/>
            <w:tcBorders>
              <w:top w:val="nil"/>
              <w:left w:val="single" w:sz="4" w:space="0" w:color="auto"/>
              <w:bottom w:val="single" w:sz="4" w:space="0" w:color="auto"/>
              <w:right w:val="single" w:sz="4" w:space="0" w:color="auto"/>
            </w:tcBorders>
            <w:vAlign w:val="center"/>
          </w:tcPr>
          <w:p w14:paraId="74DE1C51" w14:textId="77777777" w:rsidR="0041121A" w:rsidRPr="00665D76" w:rsidRDefault="0041121A" w:rsidP="00311C34">
            <w:pPr>
              <w:rPr>
                <w:b/>
                <w:bCs/>
                <w:color w:val="000000"/>
                <w:sz w:val="24"/>
                <w:szCs w:val="24"/>
                <w:lang w:eastAsia="en-GB"/>
              </w:rPr>
            </w:pPr>
            <w:r w:rsidRPr="00665D76">
              <w:rPr>
                <w:b/>
                <w:bCs/>
                <w:color w:val="000000"/>
                <w:sz w:val="24"/>
                <w:szCs w:val="24"/>
                <w:lang w:eastAsia="en-GB"/>
              </w:rPr>
              <w:t>Sheehan Disability Scale</w:t>
            </w:r>
          </w:p>
        </w:tc>
        <w:tc>
          <w:tcPr>
            <w:tcW w:w="462" w:type="pct"/>
            <w:tcBorders>
              <w:top w:val="nil"/>
              <w:left w:val="nil"/>
              <w:bottom w:val="single" w:sz="4" w:space="0" w:color="auto"/>
              <w:right w:val="single" w:sz="4" w:space="0" w:color="auto"/>
            </w:tcBorders>
            <w:shd w:val="clear" w:color="auto" w:fill="auto"/>
            <w:noWrap/>
            <w:vAlign w:val="center"/>
          </w:tcPr>
          <w:p w14:paraId="07F157A6" w14:textId="77777777" w:rsidR="0041121A" w:rsidRPr="00665D76" w:rsidRDefault="0041121A" w:rsidP="00311C34">
            <w:pPr>
              <w:jc w:val="center"/>
              <w:rPr>
                <w:color w:val="000000"/>
                <w:sz w:val="24"/>
                <w:szCs w:val="24"/>
                <w:lang w:eastAsia="en-GB"/>
              </w:rPr>
            </w:pPr>
            <w:r w:rsidRPr="00665D76">
              <w:rPr>
                <w:color w:val="000000"/>
                <w:sz w:val="24"/>
                <w:szCs w:val="24"/>
                <w:lang w:eastAsia="en-GB"/>
              </w:rPr>
              <w:t>14.8</w:t>
            </w:r>
          </w:p>
        </w:tc>
        <w:tc>
          <w:tcPr>
            <w:tcW w:w="541" w:type="pct"/>
            <w:tcBorders>
              <w:top w:val="nil"/>
              <w:left w:val="nil"/>
              <w:bottom w:val="single" w:sz="4" w:space="0" w:color="auto"/>
              <w:right w:val="single" w:sz="4" w:space="0" w:color="auto"/>
            </w:tcBorders>
            <w:shd w:val="clear" w:color="auto" w:fill="auto"/>
            <w:noWrap/>
            <w:vAlign w:val="center"/>
          </w:tcPr>
          <w:p w14:paraId="50BC3779" w14:textId="77777777" w:rsidR="0041121A" w:rsidRPr="00665D76" w:rsidRDefault="0041121A" w:rsidP="00311C34">
            <w:pPr>
              <w:jc w:val="center"/>
              <w:rPr>
                <w:color w:val="000000"/>
                <w:sz w:val="24"/>
                <w:szCs w:val="24"/>
                <w:lang w:eastAsia="en-GB"/>
              </w:rPr>
            </w:pPr>
            <w:r w:rsidRPr="00665D76">
              <w:rPr>
                <w:color w:val="000000"/>
                <w:sz w:val="24"/>
                <w:szCs w:val="24"/>
                <w:lang w:eastAsia="en-GB"/>
              </w:rPr>
              <w:t>6.6</w:t>
            </w:r>
          </w:p>
        </w:tc>
        <w:tc>
          <w:tcPr>
            <w:tcW w:w="426" w:type="pct"/>
            <w:tcBorders>
              <w:top w:val="nil"/>
              <w:left w:val="nil"/>
              <w:bottom w:val="single" w:sz="4" w:space="0" w:color="auto"/>
              <w:right w:val="single" w:sz="4" w:space="0" w:color="auto"/>
            </w:tcBorders>
            <w:shd w:val="clear" w:color="auto" w:fill="auto"/>
            <w:noWrap/>
            <w:vAlign w:val="center"/>
          </w:tcPr>
          <w:p w14:paraId="5FA8F153" w14:textId="77777777" w:rsidR="0041121A" w:rsidRPr="00665D76" w:rsidRDefault="0041121A" w:rsidP="00311C34">
            <w:pPr>
              <w:jc w:val="center"/>
              <w:rPr>
                <w:color w:val="000000"/>
                <w:sz w:val="24"/>
                <w:szCs w:val="24"/>
                <w:lang w:eastAsia="en-GB"/>
              </w:rPr>
            </w:pPr>
            <w:r w:rsidRPr="00665D76">
              <w:rPr>
                <w:color w:val="000000"/>
                <w:sz w:val="24"/>
                <w:szCs w:val="24"/>
                <w:lang w:eastAsia="en-GB"/>
              </w:rPr>
              <w:t>14.3</w:t>
            </w:r>
          </w:p>
        </w:tc>
        <w:tc>
          <w:tcPr>
            <w:tcW w:w="502" w:type="pct"/>
            <w:tcBorders>
              <w:top w:val="nil"/>
              <w:left w:val="nil"/>
              <w:bottom w:val="single" w:sz="4" w:space="0" w:color="auto"/>
              <w:right w:val="single" w:sz="4" w:space="0" w:color="auto"/>
            </w:tcBorders>
            <w:shd w:val="clear" w:color="auto" w:fill="auto"/>
            <w:noWrap/>
            <w:vAlign w:val="center"/>
          </w:tcPr>
          <w:p w14:paraId="6F3EEB38" w14:textId="77777777" w:rsidR="0041121A" w:rsidRPr="00665D76" w:rsidRDefault="0041121A" w:rsidP="00311C34">
            <w:pPr>
              <w:jc w:val="center"/>
              <w:rPr>
                <w:color w:val="000000"/>
                <w:sz w:val="24"/>
                <w:szCs w:val="24"/>
                <w:lang w:eastAsia="en-GB"/>
              </w:rPr>
            </w:pPr>
            <w:r w:rsidRPr="00665D76">
              <w:rPr>
                <w:color w:val="000000"/>
                <w:sz w:val="24"/>
                <w:szCs w:val="24"/>
                <w:lang w:eastAsia="en-GB"/>
              </w:rPr>
              <w:t>6.9</w:t>
            </w:r>
          </w:p>
        </w:tc>
        <w:tc>
          <w:tcPr>
            <w:tcW w:w="616" w:type="pct"/>
            <w:tcBorders>
              <w:top w:val="nil"/>
              <w:left w:val="nil"/>
              <w:bottom w:val="single" w:sz="4" w:space="0" w:color="auto"/>
              <w:right w:val="single" w:sz="4" w:space="0" w:color="auto"/>
            </w:tcBorders>
            <w:shd w:val="clear" w:color="auto" w:fill="auto"/>
            <w:noWrap/>
            <w:vAlign w:val="center"/>
          </w:tcPr>
          <w:p w14:paraId="5BD2BD07" w14:textId="77777777" w:rsidR="0041121A" w:rsidRPr="00665D76" w:rsidRDefault="0041121A" w:rsidP="00311C34">
            <w:pPr>
              <w:jc w:val="center"/>
              <w:rPr>
                <w:color w:val="000000"/>
                <w:sz w:val="24"/>
                <w:szCs w:val="24"/>
                <w:lang w:eastAsia="en-GB"/>
              </w:rPr>
            </w:pPr>
            <w:r w:rsidRPr="00665D76">
              <w:rPr>
                <w:color w:val="000000"/>
                <w:sz w:val="24"/>
                <w:szCs w:val="24"/>
                <w:lang w:eastAsia="en-GB"/>
              </w:rPr>
              <w:t>7506</w:t>
            </w:r>
          </w:p>
        </w:tc>
        <w:tc>
          <w:tcPr>
            <w:tcW w:w="671" w:type="pct"/>
            <w:tcBorders>
              <w:top w:val="nil"/>
              <w:left w:val="nil"/>
              <w:bottom w:val="single" w:sz="4" w:space="0" w:color="auto"/>
              <w:right w:val="single" w:sz="4" w:space="0" w:color="auto"/>
            </w:tcBorders>
            <w:shd w:val="clear" w:color="auto" w:fill="auto"/>
            <w:noWrap/>
            <w:vAlign w:val="center"/>
          </w:tcPr>
          <w:p w14:paraId="3EAA8EC8" w14:textId="77777777" w:rsidR="0041121A" w:rsidRPr="00665D76" w:rsidRDefault="0041121A" w:rsidP="00311C34">
            <w:pPr>
              <w:jc w:val="center"/>
              <w:rPr>
                <w:color w:val="000000"/>
                <w:sz w:val="24"/>
                <w:szCs w:val="24"/>
                <w:lang w:eastAsia="en-GB"/>
              </w:rPr>
            </w:pPr>
            <w:r w:rsidRPr="00665D76">
              <w:rPr>
                <w:color w:val="000000"/>
                <w:sz w:val="24"/>
                <w:szCs w:val="24"/>
                <w:lang w:eastAsia="en-GB"/>
              </w:rPr>
              <w:t>0.463</w:t>
            </w:r>
          </w:p>
        </w:tc>
      </w:tr>
      <w:tr w:rsidR="0041121A" w:rsidRPr="00665D76" w14:paraId="2E4989EA" w14:textId="77777777" w:rsidTr="004F696E">
        <w:trPr>
          <w:trHeight w:val="397"/>
        </w:trPr>
        <w:tc>
          <w:tcPr>
            <w:tcW w:w="1385" w:type="pct"/>
            <w:vMerge w:val="restart"/>
            <w:tcBorders>
              <w:top w:val="nil"/>
              <w:left w:val="single" w:sz="4" w:space="0" w:color="auto"/>
              <w:right w:val="single" w:sz="4" w:space="0" w:color="auto"/>
            </w:tcBorders>
            <w:vAlign w:val="center"/>
          </w:tcPr>
          <w:p w14:paraId="67852BB1" w14:textId="77777777" w:rsidR="0041121A" w:rsidRPr="00665D76" w:rsidRDefault="0041121A" w:rsidP="00311C34">
            <w:pPr>
              <w:rPr>
                <w:color w:val="000000"/>
                <w:sz w:val="24"/>
                <w:szCs w:val="24"/>
                <w:lang w:eastAsia="en-GB"/>
              </w:rPr>
            </w:pPr>
            <w:r w:rsidRPr="00665D76">
              <w:rPr>
                <w:b/>
                <w:bCs/>
                <w:color w:val="000000"/>
                <w:sz w:val="24"/>
                <w:szCs w:val="24"/>
                <w:lang w:eastAsia="en-GB"/>
              </w:rPr>
              <w:t>Family history of alcohol use disorder (1' relative)</w:t>
            </w:r>
          </w:p>
        </w:tc>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7AEA16E4" w14:textId="77777777" w:rsidR="0041121A" w:rsidRPr="00665D76" w:rsidRDefault="0041121A" w:rsidP="00311C34">
            <w:pPr>
              <w:rPr>
                <w:color w:val="000000"/>
                <w:sz w:val="24"/>
                <w:szCs w:val="24"/>
                <w:lang w:eastAsia="en-GB"/>
              </w:rPr>
            </w:pPr>
            <w:r w:rsidRPr="00665D76">
              <w:rPr>
                <w:color w:val="000000"/>
                <w:sz w:val="24"/>
                <w:szCs w:val="24"/>
                <w:lang w:eastAsia="en-GB"/>
              </w:rPr>
              <w:t>No</w:t>
            </w:r>
          </w:p>
        </w:tc>
        <w:tc>
          <w:tcPr>
            <w:tcW w:w="462" w:type="pct"/>
            <w:tcBorders>
              <w:top w:val="nil"/>
              <w:left w:val="nil"/>
              <w:bottom w:val="single" w:sz="4" w:space="0" w:color="auto"/>
              <w:right w:val="single" w:sz="4" w:space="0" w:color="auto"/>
            </w:tcBorders>
            <w:shd w:val="clear" w:color="auto" w:fill="auto"/>
            <w:noWrap/>
            <w:vAlign w:val="center"/>
          </w:tcPr>
          <w:p w14:paraId="017D10C2" w14:textId="77777777" w:rsidR="0041121A" w:rsidRPr="00665D76" w:rsidRDefault="0041121A" w:rsidP="00311C34">
            <w:pPr>
              <w:jc w:val="center"/>
              <w:rPr>
                <w:color w:val="000000"/>
                <w:sz w:val="24"/>
                <w:szCs w:val="24"/>
                <w:lang w:eastAsia="en-GB"/>
              </w:rPr>
            </w:pPr>
            <w:r w:rsidRPr="00665D76">
              <w:rPr>
                <w:color w:val="000000"/>
                <w:sz w:val="24"/>
                <w:szCs w:val="24"/>
                <w:lang w:eastAsia="en-GB"/>
              </w:rPr>
              <w:t>136</w:t>
            </w:r>
          </w:p>
        </w:tc>
        <w:tc>
          <w:tcPr>
            <w:tcW w:w="541" w:type="pct"/>
            <w:tcBorders>
              <w:top w:val="nil"/>
              <w:left w:val="nil"/>
              <w:bottom w:val="single" w:sz="4" w:space="0" w:color="auto"/>
              <w:right w:val="single" w:sz="4" w:space="0" w:color="auto"/>
            </w:tcBorders>
            <w:shd w:val="clear" w:color="auto" w:fill="auto"/>
            <w:noWrap/>
            <w:vAlign w:val="center"/>
          </w:tcPr>
          <w:p w14:paraId="35F8938E" w14:textId="77777777" w:rsidR="0041121A" w:rsidRPr="00665D76" w:rsidRDefault="0041121A" w:rsidP="00311C34">
            <w:pPr>
              <w:jc w:val="center"/>
              <w:rPr>
                <w:color w:val="000000"/>
                <w:sz w:val="24"/>
                <w:szCs w:val="24"/>
                <w:lang w:eastAsia="en-GB"/>
              </w:rPr>
            </w:pPr>
            <w:r w:rsidRPr="00665D76">
              <w:rPr>
                <w:color w:val="000000"/>
                <w:sz w:val="24"/>
                <w:szCs w:val="24"/>
                <w:lang w:eastAsia="en-GB"/>
              </w:rPr>
              <w:t>58.6%</w:t>
            </w:r>
          </w:p>
        </w:tc>
        <w:tc>
          <w:tcPr>
            <w:tcW w:w="426" w:type="pct"/>
            <w:tcBorders>
              <w:top w:val="nil"/>
              <w:left w:val="nil"/>
              <w:bottom w:val="single" w:sz="4" w:space="0" w:color="auto"/>
              <w:right w:val="single" w:sz="4" w:space="0" w:color="auto"/>
            </w:tcBorders>
            <w:shd w:val="clear" w:color="auto" w:fill="auto"/>
            <w:noWrap/>
            <w:vAlign w:val="center"/>
          </w:tcPr>
          <w:p w14:paraId="1C418774" w14:textId="77777777" w:rsidR="0041121A" w:rsidRPr="00665D76" w:rsidRDefault="0041121A" w:rsidP="00311C34">
            <w:pPr>
              <w:jc w:val="center"/>
              <w:rPr>
                <w:color w:val="000000"/>
                <w:sz w:val="24"/>
                <w:szCs w:val="24"/>
                <w:lang w:eastAsia="en-GB"/>
              </w:rPr>
            </w:pPr>
            <w:r w:rsidRPr="00665D76">
              <w:rPr>
                <w:color w:val="000000"/>
                <w:sz w:val="24"/>
                <w:szCs w:val="24"/>
                <w:lang w:eastAsia="en-GB"/>
              </w:rPr>
              <w:t>83</w:t>
            </w:r>
          </w:p>
        </w:tc>
        <w:tc>
          <w:tcPr>
            <w:tcW w:w="502" w:type="pct"/>
            <w:tcBorders>
              <w:top w:val="nil"/>
              <w:left w:val="nil"/>
              <w:bottom w:val="single" w:sz="4" w:space="0" w:color="auto"/>
              <w:right w:val="single" w:sz="4" w:space="0" w:color="auto"/>
            </w:tcBorders>
            <w:shd w:val="clear" w:color="auto" w:fill="auto"/>
            <w:noWrap/>
            <w:vAlign w:val="center"/>
          </w:tcPr>
          <w:p w14:paraId="18F63C6B" w14:textId="77777777" w:rsidR="0041121A" w:rsidRPr="00665D76" w:rsidRDefault="0041121A" w:rsidP="00311C34">
            <w:pPr>
              <w:jc w:val="center"/>
              <w:rPr>
                <w:color w:val="000000"/>
                <w:sz w:val="24"/>
                <w:szCs w:val="24"/>
                <w:lang w:eastAsia="en-GB"/>
              </w:rPr>
            </w:pPr>
            <w:r w:rsidRPr="00665D76">
              <w:rPr>
                <w:color w:val="000000"/>
                <w:sz w:val="24"/>
                <w:szCs w:val="24"/>
                <w:lang w:eastAsia="en-GB"/>
              </w:rPr>
              <w:t>37.4%</w:t>
            </w:r>
          </w:p>
        </w:tc>
        <w:tc>
          <w:tcPr>
            <w:tcW w:w="616" w:type="pct"/>
            <w:vMerge w:val="restart"/>
            <w:tcBorders>
              <w:top w:val="nil"/>
              <w:left w:val="nil"/>
              <w:right w:val="single" w:sz="4" w:space="0" w:color="auto"/>
            </w:tcBorders>
            <w:shd w:val="clear" w:color="auto" w:fill="auto"/>
            <w:noWrap/>
            <w:vAlign w:val="center"/>
          </w:tcPr>
          <w:p w14:paraId="39788F17" w14:textId="77777777" w:rsidR="0041121A" w:rsidRPr="00665D76" w:rsidRDefault="0041121A" w:rsidP="00311C34">
            <w:pPr>
              <w:jc w:val="center"/>
              <w:rPr>
                <w:color w:val="000000"/>
                <w:sz w:val="24"/>
                <w:szCs w:val="24"/>
                <w:lang w:eastAsia="en-GB"/>
              </w:rPr>
            </w:pPr>
            <w:r w:rsidRPr="00665D76">
              <w:rPr>
                <w:color w:val="000000"/>
                <w:sz w:val="24"/>
                <w:szCs w:val="24"/>
                <w:lang w:eastAsia="en-GB"/>
              </w:rPr>
              <w:t>LR 20.647</w:t>
            </w:r>
          </w:p>
        </w:tc>
        <w:tc>
          <w:tcPr>
            <w:tcW w:w="671" w:type="pct"/>
            <w:vMerge w:val="restart"/>
            <w:tcBorders>
              <w:top w:val="nil"/>
              <w:left w:val="nil"/>
              <w:right w:val="single" w:sz="4" w:space="0" w:color="auto"/>
            </w:tcBorders>
            <w:shd w:val="clear" w:color="auto" w:fill="auto"/>
            <w:noWrap/>
            <w:vAlign w:val="center"/>
          </w:tcPr>
          <w:p w14:paraId="6116445D" w14:textId="77777777" w:rsidR="0041121A" w:rsidRPr="00665D76" w:rsidRDefault="0041121A" w:rsidP="00311C34">
            <w:pPr>
              <w:jc w:val="center"/>
              <w:rPr>
                <w:b/>
                <w:bCs/>
                <w:color w:val="000000"/>
                <w:sz w:val="24"/>
                <w:szCs w:val="24"/>
                <w:lang w:eastAsia="en-GB"/>
              </w:rPr>
            </w:pPr>
            <w:r w:rsidRPr="00665D76">
              <w:rPr>
                <w:b/>
                <w:bCs/>
                <w:color w:val="000000"/>
                <w:sz w:val="24"/>
                <w:szCs w:val="24"/>
                <w:lang w:eastAsia="en-GB"/>
              </w:rPr>
              <w:t>&lt;0.001**</w:t>
            </w:r>
          </w:p>
        </w:tc>
      </w:tr>
      <w:tr w:rsidR="0041121A" w:rsidRPr="00665D76" w14:paraId="2146A9C5" w14:textId="77777777" w:rsidTr="004F696E">
        <w:trPr>
          <w:trHeight w:val="397"/>
        </w:trPr>
        <w:tc>
          <w:tcPr>
            <w:tcW w:w="1385" w:type="pct"/>
            <w:vMerge/>
            <w:tcBorders>
              <w:left w:val="single" w:sz="4" w:space="0" w:color="auto"/>
              <w:bottom w:val="single" w:sz="4" w:space="0" w:color="auto"/>
              <w:right w:val="single" w:sz="4" w:space="0" w:color="auto"/>
            </w:tcBorders>
            <w:vAlign w:val="center"/>
          </w:tcPr>
          <w:p w14:paraId="563C9F96" w14:textId="77777777" w:rsidR="0041121A" w:rsidRPr="00665D76" w:rsidRDefault="0041121A" w:rsidP="00311C34">
            <w:pPr>
              <w:rPr>
                <w:color w:val="000000"/>
                <w:sz w:val="24"/>
                <w:szCs w:val="24"/>
                <w:lang w:eastAsia="en-GB"/>
              </w:rPr>
            </w:pPr>
          </w:p>
        </w:tc>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6EC32591" w14:textId="77777777" w:rsidR="0041121A" w:rsidRPr="00665D76" w:rsidRDefault="0041121A" w:rsidP="00311C34">
            <w:pPr>
              <w:rPr>
                <w:color w:val="000000"/>
                <w:sz w:val="24"/>
                <w:szCs w:val="24"/>
                <w:lang w:eastAsia="en-GB"/>
              </w:rPr>
            </w:pPr>
            <w:r w:rsidRPr="00665D76">
              <w:rPr>
                <w:color w:val="000000"/>
                <w:sz w:val="24"/>
                <w:szCs w:val="24"/>
                <w:lang w:eastAsia="en-GB"/>
              </w:rPr>
              <w:t>Yes</w:t>
            </w:r>
          </w:p>
        </w:tc>
        <w:tc>
          <w:tcPr>
            <w:tcW w:w="462" w:type="pct"/>
            <w:tcBorders>
              <w:top w:val="nil"/>
              <w:left w:val="nil"/>
              <w:bottom w:val="single" w:sz="4" w:space="0" w:color="auto"/>
              <w:right w:val="single" w:sz="4" w:space="0" w:color="auto"/>
            </w:tcBorders>
            <w:shd w:val="clear" w:color="auto" w:fill="auto"/>
            <w:noWrap/>
            <w:vAlign w:val="center"/>
          </w:tcPr>
          <w:p w14:paraId="4F8510FA" w14:textId="77777777" w:rsidR="0041121A" w:rsidRPr="00665D76" w:rsidRDefault="0041121A" w:rsidP="00311C34">
            <w:pPr>
              <w:jc w:val="center"/>
              <w:rPr>
                <w:color w:val="000000"/>
                <w:sz w:val="24"/>
                <w:szCs w:val="24"/>
                <w:lang w:eastAsia="en-GB"/>
              </w:rPr>
            </w:pPr>
            <w:r w:rsidRPr="00665D76">
              <w:rPr>
                <w:color w:val="000000"/>
                <w:sz w:val="24"/>
                <w:szCs w:val="24"/>
                <w:lang w:eastAsia="en-GB"/>
              </w:rPr>
              <w:t>96</w:t>
            </w:r>
          </w:p>
        </w:tc>
        <w:tc>
          <w:tcPr>
            <w:tcW w:w="541" w:type="pct"/>
            <w:tcBorders>
              <w:top w:val="nil"/>
              <w:left w:val="nil"/>
              <w:bottom w:val="single" w:sz="4" w:space="0" w:color="auto"/>
              <w:right w:val="single" w:sz="4" w:space="0" w:color="auto"/>
            </w:tcBorders>
            <w:shd w:val="clear" w:color="auto" w:fill="auto"/>
            <w:noWrap/>
            <w:vAlign w:val="center"/>
          </w:tcPr>
          <w:p w14:paraId="3EE936D7" w14:textId="77777777" w:rsidR="0041121A" w:rsidRPr="00665D76" w:rsidRDefault="0041121A" w:rsidP="00311C34">
            <w:pPr>
              <w:jc w:val="center"/>
              <w:rPr>
                <w:color w:val="000000"/>
                <w:sz w:val="24"/>
                <w:szCs w:val="24"/>
                <w:lang w:eastAsia="en-GB"/>
              </w:rPr>
            </w:pPr>
            <w:r w:rsidRPr="00665D76">
              <w:rPr>
                <w:color w:val="000000"/>
                <w:sz w:val="24"/>
                <w:szCs w:val="24"/>
                <w:lang w:eastAsia="en-GB"/>
              </w:rPr>
              <w:t>41.4%</w:t>
            </w:r>
          </w:p>
        </w:tc>
        <w:tc>
          <w:tcPr>
            <w:tcW w:w="426" w:type="pct"/>
            <w:tcBorders>
              <w:top w:val="nil"/>
              <w:left w:val="nil"/>
              <w:bottom w:val="single" w:sz="4" w:space="0" w:color="auto"/>
              <w:right w:val="single" w:sz="4" w:space="0" w:color="auto"/>
            </w:tcBorders>
            <w:shd w:val="clear" w:color="auto" w:fill="auto"/>
            <w:noWrap/>
            <w:vAlign w:val="center"/>
          </w:tcPr>
          <w:p w14:paraId="13E99ECA" w14:textId="77777777" w:rsidR="0041121A" w:rsidRPr="00665D76" w:rsidRDefault="0041121A" w:rsidP="00311C34">
            <w:pPr>
              <w:jc w:val="center"/>
              <w:rPr>
                <w:color w:val="000000"/>
                <w:sz w:val="24"/>
                <w:szCs w:val="24"/>
                <w:lang w:eastAsia="en-GB"/>
              </w:rPr>
            </w:pPr>
            <w:r w:rsidRPr="00665D76">
              <w:rPr>
                <w:color w:val="000000"/>
                <w:sz w:val="24"/>
                <w:szCs w:val="24"/>
                <w:lang w:eastAsia="en-GB"/>
              </w:rPr>
              <w:t>139</w:t>
            </w:r>
          </w:p>
        </w:tc>
        <w:tc>
          <w:tcPr>
            <w:tcW w:w="502" w:type="pct"/>
            <w:tcBorders>
              <w:top w:val="nil"/>
              <w:left w:val="nil"/>
              <w:bottom w:val="single" w:sz="4" w:space="0" w:color="auto"/>
              <w:right w:val="single" w:sz="4" w:space="0" w:color="auto"/>
            </w:tcBorders>
            <w:shd w:val="clear" w:color="auto" w:fill="auto"/>
            <w:noWrap/>
            <w:vAlign w:val="center"/>
          </w:tcPr>
          <w:p w14:paraId="047D6635" w14:textId="77777777" w:rsidR="0041121A" w:rsidRPr="00665D76" w:rsidRDefault="0041121A" w:rsidP="00311C34">
            <w:pPr>
              <w:jc w:val="center"/>
              <w:rPr>
                <w:color w:val="000000"/>
                <w:sz w:val="24"/>
                <w:szCs w:val="24"/>
                <w:lang w:eastAsia="en-GB"/>
              </w:rPr>
            </w:pPr>
            <w:r w:rsidRPr="00665D76">
              <w:rPr>
                <w:color w:val="000000"/>
                <w:sz w:val="24"/>
                <w:szCs w:val="24"/>
                <w:lang w:eastAsia="en-GB"/>
              </w:rPr>
              <w:t>62.6%</w:t>
            </w:r>
          </w:p>
        </w:tc>
        <w:tc>
          <w:tcPr>
            <w:tcW w:w="616" w:type="pct"/>
            <w:vMerge/>
            <w:tcBorders>
              <w:left w:val="nil"/>
              <w:bottom w:val="single" w:sz="4" w:space="0" w:color="auto"/>
              <w:right w:val="single" w:sz="4" w:space="0" w:color="auto"/>
            </w:tcBorders>
            <w:shd w:val="clear" w:color="auto" w:fill="auto"/>
            <w:noWrap/>
            <w:vAlign w:val="center"/>
          </w:tcPr>
          <w:p w14:paraId="59C6A2EB" w14:textId="77777777" w:rsidR="0041121A" w:rsidRPr="00665D76" w:rsidRDefault="0041121A" w:rsidP="00311C34">
            <w:pPr>
              <w:jc w:val="center"/>
              <w:rPr>
                <w:color w:val="000000"/>
                <w:sz w:val="24"/>
                <w:szCs w:val="24"/>
                <w:lang w:eastAsia="en-GB"/>
              </w:rPr>
            </w:pPr>
          </w:p>
        </w:tc>
        <w:tc>
          <w:tcPr>
            <w:tcW w:w="671" w:type="pct"/>
            <w:vMerge/>
            <w:tcBorders>
              <w:left w:val="nil"/>
              <w:bottom w:val="single" w:sz="4" w:space="0" w:color="auto"/>
              <w:right w:val="single" w:sz="4" w:space="0" w:color="auto"/>
            </w:tcBorders>
            <w:shd w:val="clear" w:color="auto" w:fill="auto"/>
            <w:noWrap/>
            <w:vAlign w:val="center"/>
          </w:tcPr>
          <w:p w14:paraId="3464FCE5" w14:textId="77777777" w:rsidR="0041121A" w:rsidRPr="00665D76" w:rsidRDefault="0041121A" w:rsidP="00311C34">
            <w:pPr>
              <w:jc w:val="center"/>
              <w:rPr>
                <w:color w:val="000000"/>
                <w:sz w:val="24"/>
                <w:szCs w:val="24"/>
                <w:lang w:eastAsia="en-GB"/>
              </w:rPr>
            </w:pPr>
          </w:p>
        </w:tc>
      </w:tr>
    </w:tbl>
    <w:p w14:paraId="2EEBB678" w14:textId="77777777" w:rsidR="0041121A" w:rsidRPr="00665D76" w:rsidRDefault="0041121A" w:rsidP="0041121A">
      <w:pPr>
        <w:rPr>
          <w:sz w:val="24"/>
          <w:szCs w:val="24"/>
        </w:rPr>
      </w:pPr>
      <w:r w:rsidRPr="00665D76">
        <w:rPr>
          <w:sz w:val="24"/>
          <w:szCs w:val="24"/>
        </w:rPr>
        <w:t>Statistical tests are analysis of variance (Mann-Whitney U test was used for non-parametric comparisons, with ‘U’ value reported under statistical test) except where indicated LR = Likelihood ratio chi square test. HAMA = Hamilton Anxiety Rating Scale; HAMD = Hamilton Depression Rating Scale. Note that total cell sizes per group may differ due to missing data for some variables.  * p&lt;0.05, ** p&lt;0.01.</w:t>
      </w:r>
    </w:p>
    <w:p w14:paraId="23C3F382" w14:textId="77777777" w:rsidR="0041121A" w:rsidRDefault="0041121A" w:rsidP="0041121A"/>
    <w:p w14:paraId="0A74F702" w14:textId="77777777" w:rsidR="009A5B5C" w:rsidRDefault="004F696E" w:rsidP="004F696E">
      <w:pPr>
        <w:spacing w:line="480" w:lineRule="auto"/>
        <w:rPr>
          <w:sz w:val="24"/>
          <w:szCs w:val="24"/>
        </w:rPr>
      </w:pPr>
      <w:r>
        <w:rPr>
          <w:sz w:val="24"/>
          <w:szCs w:val="24"/>
        </w:rPr>
        <w:tab/>
      </w:r>
    </w:p>
    <w:p w14:paraId="16546414" w14:textId="7A2BCF24" w:rsidR="000F00F1" w:rsidRDefault="004F696E" w:rsidP="000F00F1">
      <w:pPr>
        <w:spacing w:line="480" w:lineRule="auto"/>
        <w:ind w:firstLine="720"/>
        <w:rPr>
          <w:color w:val="242424"/>
          <w:sz w:val="24"/>
          <w:szCs w:val="24"/>
        </w:rPr>
      </w:pPr>
      <w:r>
        <w:rPr>
          <w:sz w:val="24"/>
          <w:szCs w:val="24"/>
        </w:rPr>
        <w:t>We also</w:t>
      </w:r>
      <w:r w:rsidR="00665D76" w:rsidRPr="0041121A">
        <w:rPr>
          <w:color w:val="242424"/>
          <w:sz w:val="24"/>
          <w:szCs w:val="24"/>
        </w:rPr>
        <w:t xml:space="preserve"> compar</w:t>
      </w:r>
      <w:r>
        <w:rPr>
          <w:color w:val="242424"/>
          <w:sz w:val="24"/>
          <w:szCs w:val="24"/>
        </w:rPr>
        <w:t xml:space="preserve">ed </w:t>
      </w:r>
      <w:r w:rsidR="00665D76" w:rsidRPr="0041121A">
        <w:rPr>
          <w:color w:val="242424"/>
          <w:sz w:val="24"/>
          <w:szCs w:val="24"/>
          <w:bdr w:val="none" w:sz="0" w:space="0" w:color="auto" w:frame="1"/>
        </w:rPr>
        <w:t>GSAS</w:t>
      </w:r>
      <w:r w:rsidR="00665D76" w:rsidRPr="0041121A">
        <w:rPr>
          <w:color w:val="242424"/>
          <w:sz w:val="24"/>
          <w:szCs w:val="24"/>
        </w:rPr>
        <w:t xml:space="preserve"> change between those with </w:t>
      </w:r>
      <w:r>
        <w:rPr>
          <w:color w:val="242424"/>
          <w:sz w:val="24"/>
          <w:szCs w:val="24"/>
        </w:rPr>
        <w:t>and</w:t>
      </w:r>
      <w:r w:rsidR="00665D76" w:rsidRPr="0041121A">
        <w:rPr>
          <w:color w:val="242424"/>
          <w:sz w:val="24"/>
          <w:szCs w:val="24"/>
        </w:rPr>
        <w:t xml:space="preserve"> without </w:t>
      </w:r>
      <w:r>
        <w:rPr>
          <w:color w:val="242424"/>
          <w:sz w:val="24"/>
          <w:szCs w:val="24"/>
        </w:rPr>
        <w:t xml:space="preserve">a </w:t>
      </w:r>
      <w:r w:rsidR="00665D76" w:rsidRPr="0041121A">
        <w:rPr>
          <w:color w:val="242424"/>
          <w:sz w:val="24"/>
          <w:szCs w:val="24"/>
        </w:rPr>
        <w:t>family history</w:t>
      </w:r>
      <w:r>
        <w:rPr>
          <w:color w:val="242424"/>
          <w:sz w:val="24"/>
          <w:szCs w:val="24"/>
        </w:rPr>
        <w:t xml:space="preserve"> of gambling (</w:t>
      </w:r>
      <w:r w:rsidR="00665D76" w:rsidRPr="0041121A">
        <w:rPr>
          <w:color w:val="242424"/>
          <w:sz w:val="24"/>
          <w:szCs w:val="24"/>
        </w:rPr>
        <w:t xml:space="preserve">restricted to people who </w:t>
      </w:r>
      <w:r>
        <w:rPr>
          <w:color w:val="242424"/>
          <w:sz w:val="24"/>
          <w:szCs w:val="24"/>
        </w:rPr>
        <w:t xml:space="preserve">were assigned to </w:t>
      </w:r>
      <w:r w:rsidR="00665D76" w:rsidRPr="0041121A">
        <w:rPr>
          <w:color w:val="242424"/>
          <w:sz w:val="24"/>
          <w:szCs w:val="24"/>
        </w:rPr>
        <w:t>active trea</w:t>
      </w:r>
      <w:r>
        <w:rPr>
          <w:color w:val="242424"/>
          <w:sz w:val="24"/>
          <w:szCs w:val="24"/>
        </w:rPr>
        <w:t>t</w:t>
      </w:r>
      <w:r w:rsidR="00665D76" w:rsidRPr="0041121A">
        <w:rPr>
          <w:color w:val="242424"/>
          <w:sz w:val="24"/>
          <w:szCs w:val="24"/>
        </w:rPr>
        <w:t>ment</w:t>
      </w:r>
      <w:r>
        <w:rPr>
          <w:color w:val="242424"/>
          <w:sz w:val="24"/>
          <w:szCs w:val="24"/>
        </w:rPr>
        <w:t xml:space="preserve"> in the </w:t>
      </w:r>
      <w:r w:rsidR="009A5B5C">
        <w:rPr>
          <w:color w:val="242424"/>
          <w:sz w:val="24"/>
          <w:szCs w:val="24"/>
        </w:rPr>
        <w:t xml:space="preserve">double-blind </w:t>
      </w:r>
      <w:r>
        <w:rPr>
          <w:color w:val="242424"/>
          <w:sz w:val="24"/>
          <w:szCs w:val="24"/>
        </w:rPr>
        <w:t xml:space="preserve">clinical </w:t>
      </w:r>
      <w:r>
        <w:rPr>
          <w:color w:val="242424"/>
          <w:sz w:val="24"/>
          <w:szCs w:val="24"/>
        </w:rPr>
        <w:lastRenderedPageBreak/>
        <w:t>trials</w:t>
      </w:r>
      <w:r w:rsidR="005E75AF">
        <w:rPr>
          <w:color w:val="242424"/>
          <w:sz w:val="24"/>
          <w:szCs w:val="24"/>
        </w:rPr>
        <w:t xml:space="preserve">, </w:t>
      </w:r>
      <w:r w:rsidR="005A46EC">
        <w:rPr>
          <w:color w:val="242424"/>
          <w:sz w:val="24"/>
          <w:szCs w:val="24"/>
        </w:rPr>
        <w:t>n</w:t>
      </w:r>
      <w:r w:rsidR="005E75AF">
        <w:rPr>
          <w:color w:val="242424"/>
          <w:sz w:val="24"/>
          <w:szCs w:val="24"/>
        </w:rPr>
        <w:t>=351</w:t>
      </w:r>
      <w:r>
        <w:rPr>
          <w:color w:val="242424"/>
          <w:sz w:val="24"/>
          <w:szCs w:val="24"/>
        </w:rPr>
        <w:t>)</w:t>
      </w:r>
      <w:r w:rsidR="00665D76" w:rsidRPr="0041121A">
        <w:rPr>
          <w:color w:val="242424"/>
          <w:sz w:val="24"/>
          <w:szCs w:val="24"/>
        </w:rPr>
        <w:t>.</w:t>
      </w:r>
      <w:r>
        <w:rPr>
          <w:color w:val="242424"/>
          <w:sz w:val="24"/>
          <w:szCs w:val="24"/>
        </w:rPr>
        <w:t xml:space="preserve">  T</w:t>
      </w:r>
      <w:r w:rsidR="00665D76" w:rsidRPr="0041121A">
        <w:rPr>
          <w:color w:val="242424"/>
          <w:sz w:val="24"/>
          <w:szCs w:val="24"/>
        </w:rPr>
        <w:t xml:space="preserve">here </w:t>
      </w:r>
      <w:r>
        <w:rPr>
          <w:color w:val="242424"/>
          <w:sz w:val="24"/>
          <w:szCs w:val="24"/>
        </w:rPr>
        <w:t>was</w:t>
      </w:r>
      <w:r w:rsidR="00665D76" w:rsidRPr="0041121A">
        <w:rPr>
          <w:color w:val="242424"/>
          <w:sz w:val="24"/>
          <w:szCs w:val="24"/>
        </w:rPr>
        <w:t xml:space="preserve"> a significantly greater symptom improvement (reduction in </w:t>
      </w:r>
      <w:r w:rsidR="00665D76" w:rsidRPr="0041121A">
        <w:rPr>
          <w:color w:val="242424"/>
          <w:sz w:val="24"/>
          <w:szCs w:val="24"/>
          <w:bdr w:val="none" w:sz="0" w:space="0" w:color="auto" w:frame="1"/>
        </w:rPr>
        <w:t>GSAS</w:t>
      </w:r>
      <w:r w:rsidR="00665D76" w:rsidRPr="0041121A">
        <w:rPr>
          <w:color w:val="242424"/>
          <w:sz w:val="24"/>
          <w:szCs w:val="24"/>
        </w:rPr>
        <w:t>) in those with a family history</w:t>
      </w:r>
      <w:r w:rsidR="00311C34">
        <w:rPr>
          <w:color w:val="242424"/>
          <w:sz w:val="24"/>
          <w:szCs w:val="24"/>
        </w:rPr>
        <w:t xml:space="preserve"> versus those without (mean improvement in GSAS family history positive 16.8 [SD 14.0] versus family history negative </w:t>
      </w:r>
      <w:r w:rsidR="00F836F1">
        <w:rPr>
          <w:color w:val="242424"/>
          <w:sz w:val="24"/>
          <w:szCs w:val="24"/>
        </w:rPr>
        <w:t xml:space="preserve">13.1 [11.7]; F=3.953, p=0.048). </w:t>
      </w:r>
      <w:r w:rsidR="000F00F1">
        <w:rPr>
          <w:color w:val="242424"/>
          <w:sz w:val="24"/>
          <w:szCs w:val="24"/>
        </w:rPr>
        <w:t>Th</w:t>
      </w:r>
      <w:r w:rsidR="005A46EC">
        <w:rPr>
          <w:color w:val="242424"/>
          <w:sz w:val="24"/>
          <w:szCs w:val="24"/>
        </w:rPr>
        <w:t>is</w:t>
      </w:r>
      <w:r w:rsidR="000F00F1">
        <w:rPr>
          <w:color w:val="242424"/>
          <w:sz w:val="24"/>
          <w:szCs w:val="24"/>
        </w:rPr>
        <w:t xml:space="preserve"> effect of family history on GSAS</w:t>
      </w:r>
      <w:r w:rsidR="005A46EC">
        <w:rPr>
          <w:color w:val="242424"/>
          <w:sz w:val="24"/>
          <w:szCs w:val="24"/>
        </w:rPr>
        <w:t xml:space="preserve"> in those who had received active treatment</w:t>
      </w:r>
      <w:r w:rsidR="000F00F1">
        <w:rPr>
          <w:color w:val="242424"/>
          <w:sz w:val="24"/>
          <w:szCs w:val="24"/>
        </w:rPr>
        <w:t xml:space="preserve"> remained statistically significant</w:t>
      </w:r>
      <w:r w:rsidR="000B044C">
        <w:rPr>
          <w:color w:val="242424"/>
          <w:sz w:val="24"/>
          <w:szCs w:val="24"/>
        </w:rPr>
        <w:t xml:space="preserve"> (F=4.895, p=0.029)</w:t>
      </w:r>
      <w:r w:rsidR="000F00F1">
        <w:rPr>
          <w:color w:val="242424"/>
          <w:sz w:val="24"/>
          <w:szCs w:val="24"/>
        </w:rPr>
        <w:t xml:space="preserve"> in a least squares regression model controlling for potential confounders of sex, age at first gambling / DUI, </w:t>
      </w:r>
      <w:r w:rsidR="000B044C">
        <w:rPr>
          <w:color w:val="242424"/>
          <w:sz w:val="24"/>
          <w:szCs w:val="24"/>
        </w:rPr>
        <w:t xml:space="preserve">legal problems, and family history of alcohol use disorder; effects of these potential confounders were non-significant (each p&gt;0.50). </w:t>
      </w:r>
    </w:p>
    <w:p w14:paraId="4FF5213E" w14:textId="03C350BC" w:rsidR="00311C34" w:rsidRDefault="000F00F1" w:rsidP="000F00F1">
      <w:pPr>
        <w:spacing w:line="480" w:lineRule="auto"/>
        <w:ind w:firstLine="720"/>
        <w:rPr>
          <w:color w:val="242424"/>
          <w:sz w:val="24"/>
          <w:szCs w:val="24"/>
        </w:rPr>
      </w:pPr>
      <w:r>
        <w:rPr>
          <w:color w:val="242424"/>
          <w:sz w:val="24"/>
          <w:szCs w:val="24"/>
        </w:rPr>
        <w:t>GSAS change did not differ significantly as a function of family history in people who had received placebo</w:t>
      </w:r>
      <w:r w:rsidR="005E75AF">
        <w:rPr>
          <w:color w:val="242424"/>
          <w:sz w:val="24"/>
          <w:szCs w:val="24"/>
        </w:rPr>
        <w:t xml:space="preserve"> (</w:t>
      </w:r>
      <w:r w:rsidR="005A46EC">
        <w:rPr>
          <w:color w:val="242424"/>
          <w:sz w:val="24"/>
          <w:szCs w:val="24"/>
        </w:rPr>
        <w:t>n</w:t>
      </w:r>
      <w:r w:rsidR="005E75AF">
        <w:rPr>
          <w:color w:val="242424"/>
          <w:sz w:val="24"/>
          <w:szCs w:val="24"/>
        </w:rPr>
        <w:t>=176)</w:t>
      </w:r>
      <w:r>
        <w:rPr>
          <w:color w:val="242424"/>
          <w:sz w:val="24"/>
          <w:szCs w:val="24"/>
        </w:rPr>
        <w:t>, across the studies (</w:t>
      </w:r>
      <w:r w:rsidR="009356D5">
        <w:rPr>
          <w:color w:val="242424"/>
          <w:sz w:val="24"/>
          <w:szCs w:val="24"/>
        </w:rPr>
        <w:t xml:space="preserve">mean improvement in GSAS family history positive 12.0 [SD 11.7] versus family history negative 12.4 [14.8]; F=0.0274, p=0.8668). </w:t>
      </w:r>
      <w:r w:rsidR="000B044C">
        <w:rPr>
          <w:color w:val="242424"/>
          <w:sz w:val="24"/>
          <w:szCs w:val="24"/>
        </w:rPr>
        <w:t>This indicated that the earlier findings were specific to active treatment</w:t>
      </w:r>
      <w:r w:rsidR="005A46EC">
        <w:rPr>
          <w:color w:val="242424"/>
          <w:sz w:val="24"/>
          <w:szCs w:val="24"/>
        </w:rPr>
        <w:t xml:space="preserve"> conditions</w:t>
      </w:r>
      <w:r w:rsidR="000B044C">
        <w:rPr>
          <w:color w:val="242424"/>
          <w:sz w:val="24"/>
          <w:szCs w:val="24"/>
        </w:rPr>
        <w:t xml:space="preserve">. </w:t>
      </w:r>
    </w:p>
    <w:p w14:paraId="16B92D9D" w14:textId="77777777" w:rsidR="004F696E" w:rsidRDefault="004F696E" w:rsidP="004F696E">
      <w:pPr>
        <w:spacing w:line="480" w:lineRule="auto"/>
        <w:rPr>
          <w:color w:val="242424"/>
          <w:sz w:val="24"/>
          <w:szCs w:val="24"/>
        </w:rPr>
      </w:pPr>
    </w:p>
    <w:p w14:paraId="35951932" w14:textId="77777777" w:rsidR="007062BE" w:rsidRDefault="007062BE" w:rsidP="007062BE">
      <w:pPr>
        <w:pStyle w:val="BodyText3"/>
        <w:spacing w:line="480" w:lineRule="auto"/>
        <w:rPr>
          <w:b/>
        </w:rPr>
      </w:pPr>
      <w:r>
        <w:rPr>
          <w:b/>
        </w:rPr>
        <w:t>Discussion</w:t>
      </w:r>
    </w:p>
    <w:p w14:paraId="33F46EBA" w14:textId="5C640C2B" w:rsidR="000B7325" w:rsidRPr="002154CC" w:rsidRDefault="002154CC">
      <w:pPr>
        <w:pStyle w:val="BodyText3"/>
        <w:spacing w:line="480" w:lineRule="auto"/>
        <w:ind w:firstLine="720"/>
      </w:pPr>
      <w:r>
        <w:t>This study examined demographic</w:t>
      </w:r>
      <w:r w:rsidR="009A7729">
        <w:t xml:space="preserve"> and</w:t>
      </w:r>
      <w:r>
        <w:t xml:space="preserve"> clinical associations with family history of </w:t>
      </w:r>
      <w:r w:rsidR="009A7729">
        <w:t xml:space="preserve">gambling disorder </w:t>
      </w:r>
      <w:r>
        <w:t xml:space="preserve">in a large sample of </w:t>
      </w:r>
      <w:r w:rsidR="009A7729">
        <w:t>adults with well characterized gambling disorder</w:t>
      </w:r>
      <w:r>
        <w:t xml:space="preserve">. </w:t>
      </w:r>
      <w:r w:rsidR="000B7325">
        <w:t xml:space="preserve">The study found that </w:t>
      </w:r>
      <w:r w:rsidR="009A7729">
        <w:t xml:space="preserve">a </w:t>
      </w:r>
      <w:r w:rsidR="000B7325">
        <w:t>famil</w:t>
      </w:r>
      <w:r w:rsidR="009A7729">
        <w:t>ial subtype of gambling disorder is common and has</w:t>
      </w:r>
      <w:r w:rsidR="00F95B1E">
        <w:t xml:space="preserve"> a number of important </w:t>
      </w:r>
      <w:r w:rsidR="009A7729">
        <w:t xml:space="preserve">clinical </w:t>
      </w:r>
      <w:r w:rsidR="00F95B1E">
        <w:t>a</w:t>
      </w:r>
      <w:r w:rsidR="000B7325">
        <w:t xml:space="preserve">ssociations. </w:t>
      </w:r>
    </w:p>
    <w:p w14:paraId="4348AE10" w14:textId="180D2D44" w:rsidR="00376022" w:rsidRPr="0045488C" w:rsidRDefault="004821F5" w:rsidP="00370D27">
      <w:pPr>
        <w:pStyle w:val="BodyText3"/>
        <w:spacing w:line="480" w:lineRule="auto"/>
      </w:pPr>
      <w:r>
        <w:rPr>
          <w:b/>
        </w:rPr>
        <w:tab/>
      </w:r>
      <w:r>
        <w:t xml:space="preserve">For the demographic measures, family history of </w:t>
      </w:r>
      <w:r w:rsidR="000D7A1B">
        <w:t>gambling disorder</w:t>
      </w:r>
      <w:r>
        <w:t xml:space="preserve"> was associated with </w:t>
      </w:r>
      <w:r w:rsidR="000D7A1B">
        <w:t>a</w:t>
      </w:r>
      <w:r>
        <w:t xml:space="preserve"> higher likelihood of female gender.</w:t>
      </w:r>
      <w:r w:rsidR="00A266F0">
        <w:t xml:space="preserve"> </w:t>
      </w:r>
      <w:r w:rsidR="0004729E">
        <w:t xml:space="preserve">There are of course several reasons why this association may be present. Based on evidence so far, it seems unlikely that gambling </w:t>
      </w:r>
      <w:r w:rsidR="002612E0">
        <w:t>(and gambling disorder)</w:t>
      </w:r>
      <w:r w:rsidR="0004729E">
        <w:t xml:space="preserve"> </w:t>
      </w:r>
      <w:r w:rsidR="002612E0">
        <w:t xml:space="preserve">has a stronger genetic link in women than in men (e.g. </w:t>
      </w:r>
      <w:proofErr w:type="spellStart"/>
      <w:r w:rsidR="002612E0">
        <w:t>Slutske</w:t>
      </w:r>
      <w:proofErr w:type="spellEnd"/>
      <w:r w:rsidR="002612E0">
        <w:t xml:space="preserve"> &amp; Richmond-</w:t>
      </w:r>
      <w:proofErr w:type="spellStart"/>
      <w:r w:rsidR="002612E0">
        <w:t>Rakerd</w:t>
      </w:r>
      <w:proofErr w:type="spellEnd"/>
      <w:r w:rsidR="002612E0">
        <w:t xml:space="preserve">, 2014; Xuan et al., 2017). As such, it would appear unlikely that the link between female gender and family history of gambling disorder, observed in our study, reflects differences in gender-related genetic </w:t>
      </w:r>
      <w:r w:rsidR="002612E0">
        <w:lastRenderedPageBreak/>
        <w:t xml:space="preserve">propensity for gambling. </w:t>
      </w:r>
      <w:r w:rsidR="00370D27">
        <w:t>E</w:t>
      </w:r>
      <w:r w:rsidR="00C41544">
        <w:t>arlier literature f</w:t>
      </w:r>
      <w:r w:rsidR="00370D27">
        <w:t xml:space="preserve">ound </w:t>
      </w:r>
      <w:r w:rsidR="00C41544">
        <w:t>that females were more likely to gamble due to depression (Grant &amp; Kim, 2001). The finding of a familial link in females, which was not examined in the earlier literature focusing on gender differences (Potenza et al.,</w:t>
      </w:r>
      <w:r w:rsidR="005D1BF6">
        <w:t>2001; Ladd &amp; Petry, 2002; Grant &amp; Kim, 2002</w:t>
      </w:r>
      <w:r w:rsidR="00C41544">
        <w:t xml:space="preserve">) may enlarge our understanding of the role of depression as well. One could hypothesize that growing up in a family with a gambling parent, and as these data further show, a family member with alcoholism as well (see Table 3), that a person may struggle with mood symptoms and gamble as a means of escape from these family dynamics. </w:t>
      </w:r>
      <w:r w:rsidR="00C6286B">
        <w:t xml:space="preserve">Research indicates that gambling disorder and alcohol use disorder do tend to co-aggregate within families (e.g. Black et al., 2006). </w:t>
      </w:r>
      <w:r w:rsidR="00D84A5F">
        <w:t xml:space="preserve"> This is further in keeping with possible associations between family environment and childhood trauma that may be especially important for the development of gambling disorder in women (Estevez, 2023). Relatedly, type-2 gambling, per </w:t>
      </w:r>
      <w:proofErr w:type="spellStart"/>
      <w:r w:rsidR="00D84A5F">
        <w:t>Blaszczynski’s</w:t>
      </w:r>
      <w:proofErr w:type="spellEnd"/>
      <w:r w:rsidR="00D84A5F">
        <w:t xml:space="preserve"> model, may be more common in women and reflect a role for mood/anxiety and perhaps prior trauma (Nower et al., 2022). </w:t>
      </w:r>
      <w:r w:rsidR="00C41544">
        <w:t>The data in this study do not show higher depression scores in the familial group but this could be due to the fact that we only examined depressive symptoms over the week prior to inclusion in the study.</w:t>
      </w:r>
      <w:r w:rsidR="005D1BF6">
        <w:t xml:space="preserve">  </w:t>
      </w:r>
      <w:r w:rsidR="005D1BF6" w:rsidRPr="004C0FD7">
        <w:t xml:space="preserve">These </w:t>
      </w:r>
      <w:r w:rsidR="005D1BF6" w:rsidRPr="0045488C">
        <w:t xml:space="preserve">familial findings do suggest that further examination may be called for in the area of </w:t>
      </w:r>
      <w:r w:rsidR="005D1BF6" w:rsidRPr="00C6286B">
        <w:t xml:space="preserve">gender in gambling disorder to further </w:t>
      </w:r>
      <w:r w:rsidR="00A15029" w:rsidRPr="00BB23E7">
        <w:t>clarify</w:t>
      </w:r>
      <w:r w:rsidR="00A15029" w:rsidRPr="004C0FD7">
        <w:t xml:space="preserve"> </w:t>
      </w:r>
      <w:r w:rsidR="00A15029" w:rsidRPr="0045488C">
        <w:t xml:space="preserve">what processes may account for this association. </w:t>
      </w:r>
      <w:r w:rsidR="005D1BF6" w:rsidRPr="0045488C">
        <w:t xml:space="preserve"> </w:t>
      </w:r>
    </w:p>
    <w:p w14:paraId="564A6325" w14:textId="00EE0CF1" w:rsidR="00DE2BCD" w:rsidRDefault="004821F5" w:rsidP="00C56DCF">
      <w:pPr>
        <w:pStyle w:val="BodyText3"/>
        <w:spacing w:line="480" w:lineRule="auto"/>
      </w:pPr>
      <w:r w:rsidRPr="004C0FD7">
        <w:tab/>
        <w:t>For the clinical measures, family history of</w:t>
      </w:r>
      <w:r>
        <w:t xml:space="preserve"> </w:t>
      </w:r>
      <w:r w:rsidR="005D1BF6">
        <w:t>gambling disorder</w:t>
      </w:r>
      <w:r>
        <w:t xml:space="preserve"> was associated with </w:t>
      </w:r>
      <w:r w:rsidR="005D1BF6">
        <w:t xml:space="preserve">earlier age of onset of gambling. </w:t>
      </w:r>
      <w:r w:rsidR="00091C50">
        <w:t>This has been found in other psychiatric disorders as well (i.e. earlier onset of alcoholism linked to familial alcoholism (Cook &amp; Winokur, 1985</w:t>
      </w:r>
      <w:r w:rsidR="000717AE">
        <w:t xml:space="preserve">; </w:t>
      </w:r>
      <w:r w:rsidR="00830611" w:rsidRPr="00FC26B3">
        <w:rPr>
          <w:color w:val="212121"/>
          <w:shd w:val="clear" w:color="auto" w:fill="FFFFFF"/>
        </w:rPr>
        <w:t>Bogenschutz</w:t>
      </w:r>
      <w:r w:rsidR="00830611">
        <w:t xml:space="preserve"> et al., 2009; </w:t>
      </w:r>
      <w:proofErr w:type="spellStart"/>
      <w:r w:rsidR="000717AE">
        <w:t>Pilatti</w:t>
      </w:r>
      <w:proofErr w:type="spellEnd"/>
      <w:r w:rsidR="000717AE">
        <w:t xml:space="preserve"> et al., 2014</w:t>
      </w:r>
      <w:r w:rsidR="00091C50">
        <w:t>); earlier onset of OCD linked to positive family history (S</w:t>
      </w:r>
      <w:r w:rsidR="00B61D52">
        <w:t>w</w:t>
      </w:r>
      <w:r w:rsidR="00091C50">
        <w:t>edo et al., 1992</w:t>
      </w:r>
      <w:r w:rsidR="00830611">
        <w:t>;</w:t>
      </w:r>
      <w:r w:rsidR="00830611" w:rsidRPr="00830611">
        <w:rPr>
          <w:color w:val="212121"/>
          <w:shd w:val="clear" w:color="auto" w:fill="FFFFFF"/>
        </w:rPr>
        <w:t xml:space="preserve"> </w:t>
      </w:r>
      <w:r w:rsidR="00424F5A">
        <w:rPr>
          <w:color w:val="212121"/>
          <w:shd w:val="clear" w:color="auto" w:fill="FFFFFF"/>
        </w:rPr>
        <w:t xml:space="preserve">Sharma et al., 2015; </w:t>
      </w:r>
      <w:proofErr w:type="spellStart"/>
      <w:r w:rsidR="00830611" w:rsidRPr="00FC26B3">
        <w:rPr>
          <w:color w:val="212121"/>
          <w:shd w:val="clear" w:color="auto" w:fill="FFFFFF"/>
        </w:rPr>
        <w:t>Brakoulias</w:t>
      </w:r>
      <w:proofErr w:type="spellEnd"/>
      <w:r w:rsidR="00830611">
        <w:rPr>
          <w:color w:val="212121"/>
          <w:shd w:val="clear" w:color="auto" w:fill="FFFFFF"/>
        </w:rPr>
        <w:t xml:space="preserve"> et al., 2016</w:t>
      </w:r>
      <w:r w:rsidR="00091C50">
        <w:t xml:space="preserve">).  </w:t>
      </w:r>
      <w:r w:rsidR="007079EB">
        <w:t>In terms of common environmental mediators that may contribute</w:t>
      </w:r>
      <w:r w:rsidR="0045488C">
        <w:t xml:space="preserve"> to the link between earlier onset and family history</w:t>
      </w:r>
      <w:r w:rsidR="007079EB">
        <w:t xml:space="preserve">, </w:t>
      </w:r>
      <w:r w:rsidR="0045488C">
        <w:t xml:space="preserve">a likely </w:t>
      </w:r>
      <w:r w:rsidR="0045488C">
        <w:lastRenderedPageBreak/>
        <w:t xml:space="preserve">explanation is that </w:t>
      </w:r>
      <w:r w:rsidR="007079EB">
        <w:t xml:space="preserve">observing one’s parents </w:t>
      </w:r>
      <w:r w:rsidR="00091C50">
        <w:t>gambling</w:t>
      </w:r>
      <w:r w:rsidR="007079EB">
        <w:t xml:space="preserve"> could lead to ‘modelling’ whereby offspring are more likely to </w:t>
      </w:r>
      <w:r w:rsidR="00091C50">
        <w:t>gamble</w:t>
      </w:r>
      <w:r w:rsidR="0018511C">
        <w:t xml:space="preserve"> (e.g. Dowling et al., 2020)</w:t>
      </w:r>
      <w:r w:rsidR="007079EB">
        <w:t xml:space="preserve">. </w:t>
      </w:r>
      <w:r w:rsidR="00B61D52">
        <w:t xml:space="preserve">Perhaps earlier interventions would be useful in families predisposed to gambling disorder to prevent years of untreated illness. </w:t>
      </w:r>
      <w:r w:rsidR="00F5341D">
        <w:t xml:space="preserve">We observed that family history was </w:t>
      </w:r>
      <w:r w:rsidR="00D1395D">
        <w:t xml:space="preserve">also </w:t>
      </w:r>
      <w:r w:rsidR="00F5341D">
        <w:t>linked to higher levels of legal problems due to gambling – this did not appear to reflect current severity of gambling disorder since severity was not associated significantly with family history status. Potentially this link w</w:t>
      </w:r>
      <w:r w:rsidR="00395A40">
        <w:t>ith legal problems could</w:t>
      </w:r>
      <w:r w:rsidR="00F5341D">
        <w:t xml:space="preserve"> reflect the longer duration of untreated illness, i.e. a greater time period over which to accrue legal problems due to gambling. </w:t>
      </w:r>
      <w:r w:rsidR="00395A40">
        <w:t xml:space="preserve">Of note is that we defined legal problems in a broad sense that included not only e.g. violence but also aspects such as writing bad checks and embezzlement. </w:t>
      </w:r>
    </w:p>
    <w:p w14:paraId="1034EB5F" w14:textId="31428C6A" w:rsidR="00C6286B" w:rsidRDefault="00323FB2" w:rsidP="00C56DCF">
      <w:pPr>
        <w:pStyle w:val="BodyText3"/>
        <w:spacing w:line="480" w:lineRule="auto"/>
      </w:pPr>
      <w:r>
        <w:tab/>
        <w:t>Perhaps most importantly, the familial version of gambling disorder responded better to treatment interventions</w:t>
      </w:r>
      <w:r w:rsidR="0099437D">
        <w:t xml:space="preserve"> in general</w:t>
      </w:r>
      <w:r>
        <w:t xml:space="preserve"> than the non-familial version. </w:t>
      </w:r>
      <w:r w:rsidR="00A47837">
        <w:t xml:space="preserve">This was specific to the active interventions, as no such effect was seen when considering those who had received placebo. </w:t>
      </w:r>
      <w:r w:rsidR="00C6286B">
        <w:t xml:space="preserve">Prior work in other conditions, including alcohol use disorder, suggests that family history may be linked to treatment seeking/engagement </w:t>
      </w:r>
      <w:r w:rsidR="00941D83">
        <w:t>through life</w:t>
      </w:r>
      <w:r w:rsidR="00C6286B">
        <w:t xml:space="preserve"> (Milne et al., 2009). </w:t>
      </w:r>
      <w:r w:rsidR="0018511C">
        <w:t xml:space="preserve">In the context of psychological treatments for gambling disorder, several studies report better outcomes in females than in men (Merkouris et al., 2016), and so gender may account for this finding herein (i.e. female gender linked to family history linked to better treatment response). </w:t>
      </w:r>
      <w:r w:rsidR="00941D83">
        <w:t>Reassuringly for patients, these findings militate against the notion that family history of gambling means a person’s symptoms will not respond to treatment</w:t>
      </w:r>
      <w:r w:rsidR="005F6891">
        <w:t xml:space="preserve"> or is somehow ‘hard wired’ and permanent</w:t>
      </w:r>
      <w:r w:rsidR="00941D83">
        <w:t xml:space="preserve">. </w:t>
      </w:r>
    </w:p>
    <w:p w14:paraId="33D00D01" w14:textId="3B0197E5" w:rsidR="00FD4827" w:rsidRDefault="00FD4827" w:rsidP="00C56DCF">
      <w:pPr>
        <w:pStyle w:val="BodyText3"/>
        <w:spacing w:line="480" w:lineRule="auto"/>
        <w:ind w:firstLine="720"/>
      </w:pPr>
      <w:r w:rsidRPr="00FD4827">
        <w:t xml:space="preserve">There are several limitations to this study. </w:t>
      </w:r>
      <w:r>
        <w:t xml:space="preserve">Participants included in the study </w:t>
      </w:r>
      <w:r w:rsidR="00091C50">
        <w:t xml:space="preserve">were seeking treatment for gambling disorder. </w:t>
      </w:r>
      <w:r>
        <w:t>Thus, these</w:t>
      </w:r>
      <w:r w:rsidRPr="00FD4827">
        <w:t xml:space="preserve"> findings may not generalize to </w:t>
      </w:r>
      <w:r w:rsidR="00091C50">
        <w:t>other people with gambling disorder who do not seek treatment</w:t>
      </w:r>
      <w:r w:rsidRPr="00FD4827">
        <w:t xml:space="preserve">. </w:t>
      </w:r>
      <w:r>
        <w:t xml:space="preserve">Second, </w:t>
      </w:r>
      <w:r w:rsidR="00E42F7C">
        <w:t xml:space="preserve">we did not differentiate between parental </w:t>
      </w:r>
      <w:r w:rsidR="00E42F7C">
        <w:lastRenderedPageBreak/>
        <w:t xml:space="preserve">and sibling family history of </w:t>
      </w:r>
      <w:r w:rsidR="00091C50">
        <w:t>gambling disorder</w:t>
      </w:r>
      <w:r w:rsidR="00E42F7C">
        <w:t>.</w:t>
      </w:r>
      <w:r w:rsidR="00091C50">
        <w:t xml:space="preserve"> </w:t>
      </w:r>
      <w:r w:rsidR="00BD59ED">
        <w:t xml:space="preserve"> </w:t>
      </w:r>
      <w:r w:rsidR="004D335B">
        <w:t xml:space="preserve">We used a well-established method to establish family history but we did not interview family members directly. </w:t>
      </w:r>
      <w:r w:rsidR="00513A27">
        <w:t xml:space="preserve">Due to the cross-sectional nature of the data, the study can only show association – not causality. Longitudinal research in this area would be valuable. </w:t>
      </w:r>
      <w:r w:rsidR="00A47837">
        <w:t xml:space="preserve">We did not report socioeconomic status though we note that education level did not differ as a function of family history of gambling disorder. </w:t>
      </w:r>
    </w:p>
    <w:p w14:paraId="4F8F9DEE" w14:textId="713CC63A" w:rsidR="00DE2BCD" w:rsidRDefault="00812752" w:rsidP="00C56DCF">
      <w:pPr>
        <w:pStyle w:val="BodyText3"/>
        <w:spacing w:line="480" w:lineRule="auto"/>
        <w:ind w:firstLine="720"/>
      </w:pPr>
      <w:r>
        <w:t xml:space="preserve">In conclusion, </w:t>
      </w:r>
      <w:r w:rsidR="00823C00">
        <w:t>despite family history constituting an important aspect of the clinical presentation of mental disorders, surprisingly little research has explored how it may impact the clinical presentation of gambling disorder and its response to treatment. This study, in a treatment-seeking sample</w:t>
      </w:r>
      <w:r w:rsidR="008A0673">
        <w:t xml:space="preserve"> of people with gambling disorder</w:t>
      </w:r>
      <w:r w:rsidR="00823C00">
        <w:t xml:space="preserve">, found that family history of gambling disorder had a number of important clinical associations – </w:t>
      </w:r>
      <w:r w:rsidR="006269ED">
        <w:t>notably</w:t>
      </w:r>
      <w:r w:rsidR="00823C00">
        <w:t xml:space="preserve"> with female gender, earlier age of gambling onset</w:t>
      </w:r>
      <w:r w:rsidR="006269ED">
        <w:t xml:space="preserve"> (plus longer typical duration of untreated illness)</w:t>
      </w:r>
      <w:r w:rsidR="00823C00">
        <w:t xml:space="preserve">, </w:t>
      </w:r>
      <w:r w:rsidR="008C176B">
        <w:t xml:space="preserve">legal problems due to gambling, </w:t>
      </w:r>
      <w:r w:rsidR="008A0673">
        <w:t xml:space="preserve">family history of alcohol use disorder, </w:t>
      </w:r>
      <w:r w:rsidR="00823C00">
        <w:t xml:space="preserve">and greater response to </w:t>
      </w:r>
      <w:r w:rsidR="00D84A5F">
        <w:t>treatment</w:t>
      </w:r>
      <w:r w:rsidR="00823C00">
        <w:t xml:space="preserve"> </w:t>
      </w:r>
      <w:r w:rsidR="006269ED">
        <w:t>intervention</w:t>
      </w:r>
      <w:r w:rsidR="00D84A5F">
        <w:t>s</w:t>
      </w:r>
      <w:r w:rsidR="006269ED">
        <w:t xml:space="preserve">. Future work should </w:t>
      </w:r>
      <w:r w:rsidR="008A0673">
        <w:t xml:space="preserve">further explore the nature of these associations using a longitudinal approach. </w:t>
      </w:r>
      <w:r w:rsidR="006269ED">
        <w:t xml:space="preserve"> </w:t>
      </w:r>
    </w:p>
    <w:p w14:paraId="53AA80A3" w14:textId="77777777" w:rsidR="004821F5" w:rsidRDefault="004821F5">
      <w:pPr>
        <w:pStyle w:val="BodyText3"/>
        <w:spacing w:line="480" w:lineRule="auto"/>
        <w:rPr>
          <w:b/>
        </w:rPr>
      </w:pPr>
    </w:p>
    <w:p w14:paraId="4F15CA80" w14:textId="77777777" w:rsidR="008D79E4" w:rsidRDefault="008D79E4">
      <w:pPr>
        <w:spacing w:after="200" w:line="276" w:lineRule="auto"/>
        <w:rPr>
          <w:b/>
          <w:sz w:val="24"/>
        </w:rPr>
      </w:pPr>
      <w:r>
        <w:rPr>
          <w:b/>
        </w:rPr>
        <w:br w:type="page"/>
      </w:r>
    </w:p>
    <w:p w14:paraId="12066FD0" w14:textId="77777777" w:rsidR="007062BE" w:rsidRPr="00965BB4" w:rsidRDefault="00E5483B" w:rsidP="007062BE">
      <w:pPr>
        <w:pStyle w:val="BodyText3"/>
        <w:spacing w:line="480" w:lineRule="auto"/>
        <w:rPr>
          <w:b/>
        </w:rPr>
      </w:pPr>
      <w:r w:rsidRPr="00965BB4">
        <w:rPr>
          <w:b/>
        </w:rPr>
        <w:lastRenderedPageBreak/>
        <w:t>References</w:t>
      </w:r>
    </w:p>
    <w:p w14:paraId="1BFC33D7" w14:textId="77777777" w:rsidR="00376402" w:rsidRPr="00315C82" w:rsidRDefault="004341D0" w:rsidP="004341D0">
      <w:pPr>
        <w:pStyle w:val="BodyText3"/>
        <w:spacing w:line="480" w:lineRule="auto"/>
        <w:ind w:left="720" w:hanging="720"/>
        <w:rPr>
          <w:szCs w:val="24"/>
        </w:rPr>
      </w:pPr>
      <w:r w:rsidRPr="004F696E">
        <w:rPr>
          <w:szCs w:val="24"/>
        </w:rPr>
        <w:t>Andreasen</w:t>
      </w:r>
      <w:r w:rsidR="00376402" w:rsidRPr="004F696E">
        <w:rPr>
          <w:szCs w:val="24"/>
        </w:rPr>
        <w:t>,</w:t>
      </w:r>
      <w:r w:rsidRPr="004F696E">
        <w:rPr>
          <w:szCs w:val="24"/>
        </w:rPr>
        <w:t xml:space="preserve"> N</w:t>
      </w:r>
      <w:r w:rsidR="00376402" w:rsidRPr="004F696E">
        <w:rPr>
          <w:szCs w:val="24"/>
        </w:rPr>
        <w:t>.</w:t>
      </w:r>
      <w:r w:rsidRPr="004F696E">
        <w:rPr>
          <w:szCs w:val="24"/>
        </w:rPr>
        <w:t>C</w:t>
      </w:r>
      <w:r w:rsidR="00376402" w:rsidRPr="004F696E">
        <w:rPr>
          <w:szCs w:val="24"/>
        </w:rPr>
        <w:t>.</w:t>
      </w:r>
      <w:r w:rsidRPr="004F696E">
        <w:rPr>
          <w:szCs w:val="24"/>
        </w:rPr>
        <w:t>, Endicott</w:t>
      </w:r>
      <w:r w:rsidR="00376402" w:rsidRPr="004F696E">
        <w:rPr>
          <w:szCs w:val="24"/>
        </w:rPr>
        <w:t>,</w:t>
      </w:r>
      <w:r w:rsidRPr="004F696E">
        <w:rPr>
          <w:szCs w:val="24"/>
        </w:rPr>
        <w:t xml:space="preserve"> J</w:t>
      </w:r>
      <w:r w:rsidR="00376402" w:rsidRPr="004F696E">
        <w:rPr>
          <w:szCs w:val="24"/>
        </w:rPr>
        <w:t>.</w:t>
      </w:r>
      <w:r w:rsidRPr="004F696E">
        <w:rPr>
          <w:szCs w:val="24"/>
        </w:rPr>
        <w:t>, Spitzer</w:t>
      </w:r>
      <w:r w:rsidR="00376402" w:rsidRPr="004F696E">
        <w:rPr>
          <w:szCs w:val="24"/>
        </w:rPr>
        <w:t>,</w:t>
      </w:r>
      <w:r w:rsidRPr="004F696E">
        <w:rPr>
          <w:szCs w:val="24"/>
        </w:rPr>
        <w:t xml:space="preserve"> R</w:t>
      </w:r>
      <w:r w:rsidR="00376402" w:rsidRPr="004F696E">
        <w:rPr>
          <w:szCs w:val="24"/>
        </w:rPr>
        <w:t>.</w:t>
      </w:r>
      <w:r w:rsidRPr="004F696E">
        <w:rPr>
          <w:szCs w:val="24"/>
        </w:rPr>
        <w:t>L</w:t>
      </w:r>
      <w:r w:rsidR="00376402" w:rsidRPr="004F696E">
        <w:rPr>
          <w:szCs w:val="24"/>
        </w:rPr>
        <w:t>.</w:t>
      </w:r>
      <w:r w:rsidRPr="004F696E">
        <w:rPr>
          <w:szCs w:val="24"/>
        </w:rPr>
        <w:t>, Winokur</w:t>
      </w:r>
      <w:r w:rsidR="00376402" w:rsidRPr="004F696E">
        <w:rPr>
          <w:szCs w:val="24"/>
        </w:rPr>
        <w:t>,</w:t>
      </w:r>
      <w:r w:rsidRPr="004F696E">
        <w:rPr>
          <w:szCs w:val="24"/>
        </w:rPr>
        <w:t xml:space="preserve"> G. </w:t>
      </w:r>
      <w:r w:rsidR="00376402" w:rsidRPr="004F696E">
        <w:rPr>
          <w:szCs w:val="24"/>
        </w:rPr>
        <w:t xml:space="preserve">(1977). </w:t>
      </w:r>
      <w:r w:rsidRPr="004F696E">
        <w:rPr>
          <w:szCs w:val="24"/>
        </w:rPr>
        <w:t xml:space="preserve">The family history method </w:t>
      </w:r>
    </w:p>
    <w:p w14:paraId="355D7834" w14:textId="77777777" w:rsidR="00376402" w:rsidRPr="00315C82" w:rsidRDefault="004341D0" w:rsidP="004341D0">
      <w:pPr>
        <w:pStyle w:val="BodyText3"/>
        <w:spacing w:line="480" w:lineRule="auto"/>
        <w:ind w:left="720" w:hanging="720"/>
        <w:rPr>
          <w:szCs w:val="24"/>
        </w:rPr>
      </w:pPr>
      <w:r w:rsidRPr="00315C82">
        <w:rPr>
          <w:szCs w:val="24"/>
        </w:rPr>
        <w:t>using diagnostic criteria. Reliability and validity. Arch</w:t>
      </w:r>
      <w:r w:rsidR="00376402" w:rsidRPr="00315C82">
        <w:rPr>
          <w:szCs w:val="24"/>
        </w:rPr>
        <w:t xml:space="preserve">ives of </w:t>
      </w:r>
      <w:r w:rsidRPr="00315C82">
        <w:rPr>
          <w:szCs w:val="24"/>
        </w:rPr>
        <w:t xml:space="preserve"> Gen</w:t>
      </w:r>
      <w:r w:rsidR="00376402" w:rsidRPr="00315C82">
        <w:rPr>
          <w:szCs w:val="24"/>
        </w:rPr>
        <w:t>eral</w:t>
      </w:r>
      <w:r w:rsidRPr="00315C82">
        <w:rPr>
          <w:szCs w:val="24"/>
        </w:rPr>
        <w:t xml:space="preserve"> Psychiatry</w:t>
      </w:r>
      <w:r w:rsidR="00376402" w:rsidRPr="00315C82">
        <w:rPr>
          <w:szCs w:val="24"/>
        </w:rPr>
        <w:t xml:space="preserve">, </w:t>
      </w:r>
      <w:r w:rsidRPr="00315C82">
        <w:rPr>
          <w:szCs w:val="24"/>
        </w:rPr>
        <w:t>34(10)</w:t>
      </w:r>
      <w:r w:rsidR="00376402" w:rsidRPr="00315C82">
        <w:rPr>
          <w:szCs w:val="24"/>
        </w:rPr>
        <w:t xml:space="preserve">, </w:t>
      </w:r>
      <w:r w:rsidRPr="00315C82">
        <w:rPr>
          <w:szCs w:val="24"/>
        </w:rPr>
        <w:t>1229–</w:t>
      </w:r>
    </w:p>
    <w:p w14:paraId="5DD9261A" w14:textId="77777777" w:rsidR="004341D0" w:rsidRPr="00315C82" w:rsidRDefault="004341D0" w:rsidP="004341D0">
      <w:pPr>
        <w:pStyle w:val="BodyText3"/>
        <w:spacing w:line="480" w:lineRule="auto"/>
        <w:ind w:left="720" w:hanging="720"/>
        <w:rPr>
          <w:szCs w:val="24"/>
        </w:rPr>
      </w:pPr>
      <w:r w:rsidRPr="00315C82">
        <w:rPr>
          <w:szCs w:val="24"/>
        </w:rPr>
        <w:t>1235.</w:t>
      </w:r>
      <w:r w:rsidR="00420351" w:rsidRPr="00315C82">
        <w:rPr>
          <w:szCs w:val="24"/>
        </w:rPr>
        <w:t xml:space="preserve"> doi:10.1001/archpsyc.1977.01770220111013</w:t>
      </w:r>
    </w:p>
    <w:p w14:paraId="6E978AA9" w14:textId="77777777" w:rsidR="00AD5C17" w:rsidRPr="00315C82" w:rsidRDefault="00AD5C17" w:rsidP="004341D0">
      <w:pPr>
        <w:pStyle w:val="BodyText3"/>
        <w:spacing w:line="480" w:lineRule="auto"/>
        <w:ind w:left="720" w:hanging="720"/>
        <w:rPr>
          <w:szCs w:val="24"/>
        </w:rPr>
      </w:pPr>
    </w:p>
    <w:p w14:paraId="46AF5FB8" w14:textId="77777777" w:rsidR="00C857E4" w:rsidRPr="00315C82" w:rsidRDefault="00AD5C17" w:rsidP="004341D0">
      <w:pPr>
        <w:pStyle w:val="BodyText3"/>
        <w:spacing w:line="480" w:lineRule="auto"/>
        <w:ind w:left="720" w:hanging="720"/>
        <w:rPr>
          <w:szCs w:val="24"/>
        </w:rPr>
      </w:pPr>
      <w:r w:rsidRPr="00315C82">
        <w:rPr>
          <w:szCs w:val="24"/>
        </w:rPr>
        <w:t xml:space="preserve">American Psychiatric Association. (2013). Diagnostic and Statistical Manual of Mental </w:t>
      </w:r>
    </w:p>
    <w:p w14:paraId="50F7E617" w14:textId="77777777" w:rsidR="00AD5C17" w:rsidRPr="00315C82" w:rsidRDefault="00AD5C17" w:rsidP="004341D0">
      <w:pPr>
        <w:pStyle w:val="BodyText3"/>
        <w:spacing w:line="480" w:lineRule="auto"/>
        <w:ind w:left="720" w:hanging="720"/>
        <w:rPr>
          <w:szCs w:val="24"/>
        </w:rPr>
      </w:pPr>
      <w:r w:rsidRPr="00315C82">
        <w:rPr>
          <w:szCs w:val="24"/>
        </w:rPr>
        <w:t xml:space="preserve">Disorders: Diagnostic and Statistical Manual of Mental Disorders, Fifth Edition. Arlington, VA. </w:t>
      </w:r>
    </w:p>
    <w:p w14:paraId="2AC53A0E" w14:textId="77777777" w:rsidR="00091C50" w:rsidRDefault="00091C50" w:rsidP="004341D0">
      <w:pPr>
        <w:pStyle w:val="BodyText3"/>
        <w:spacing w:line="480" w:lineRule="auto"/>
        <w:ind w:left="720" w:hanging="720"/>
        <w:rPr>
          <w:color w:val="212121"/>
          <w:shd w:val="clear" w:color="auto" w:fill="FFFFFF"/>
        </w:rPr>
      </w:pPr>
    </w:p>
    <w:p w14:paraId="5D772019" w14:textId="77777777" w:rsidR="00445464" w:rsidRPr="00976D63" w:rsidRDefault="00445464" w:rsidP="004341D0">
      <w:pPr>
        <w:pStyle w:val="BodyText3"/>
        <w:spacing w:line="480" w:lineRule="auto"/>
        <w:ind w:left="720" w:hanging="720"/>
        <w:rPr>
          <w:color w:val="212121"/>
          <w:shd w:val="clear" w:color="auto" w:fill="FFFFFF"/>
        </w:rPr>
      </w:pPr>
      <w:r w:rsidRPr="00976D63">
        <w:rPr>
          <w:color w:val="212121"/>
          <w:shd w:val="clear" w:color="auto" w:fill="FFFFFF"/>
        </w:rPr>
        <w:t xml:space="preserve">Archer C, Kessler D, Lewis G, Araya R, Duffy L, Gilbody S, Lewis G, Kendrick T, Peters TJ, </w:t>
      </w:r>
    </w:p>
    <w:p w14:paraId="69EB8611" w14:textId="77777777" w:rsidR="00445464" w:rsidRPr="00976D63" w:rsidRDefault="00445464" w:rsidP="004341D0">
      <w:pPr>
        <w:pStyle w:val="BodyText3"/>
        <w:spacing w:line="480" w:lineRule="auto"/>
        <w:ind w:left="720" w:hanging="720"/>
        <w:rPr>
          <w:color w:val="212121"/>
          <w:shd w:val="clear" w:color="auto" w:fill="FFFFFF"/>
        </w:rPr>
      </w:pPr>
      <w:r w:rsidRPr="00976D63">
        <w:rPr>
          <w:color w:val="212121"/>
          <w:shd w:val="clear" w:color="auto" w:fill="FFFFFF"/>
        </w:rPr>
        <w:t xml:space="preserve">Wiles N. What predicts response to sertraline for people with depression in primary </w:t>
      </w:r>
    </w:p>
    <w:p w14:paraId="5E410571" w14:textId="77777777" w:rsidR="00445464" w:rsidRPr="00976D63" w:rsidRDefault="00445464" w:rsidP="004341D0">
      <w:pPr>
        <w:pStyle w:val="BodyText3"/>
        <w:spacing w:line="480" w:lineRule="auto"/>
        <w:ind w:left="720" w:hanging="720"/>
        <w:rPr>
          <w:color w:val="212121"/>
          <w:shd w:val="clear" w:color="auto" w:fill="FFFFFF"/>
        </w:rPr>
      </w:pPr>
      <w:r w:rsidRPr="00976D63">
        <w:rPr>
          <w:color w:val="212121"/>
          <w:shd w:val="clear" w:color="auto" w:fill="FFFFFF"/>
        </w:rPr>
        <w:t xml:space="preserve">care? a secondary data analysis of moderators in the PANDA trial. </w:t>
      </w:r>
      <w:proofErr w:type="spellStart"/>
      <w:r w:rsidRPr="00976D63">
        <w:rPr>
          <w:color w:val="212121"/>
          <w:shd w:val="clear" w:color="auto" w:fill="FFFFFF"/>
        </w:rPr>
        <w:t>PLoS</w:t>
      </w:r>
      <w:proofErr w:type="spellEnd"/>
      <w:r w:rsidRPr="00976D63">
        <w:rPr>
          <w:color w:val="212121"/>
          <w:shd w:val="clear" w:color="auto" w:fill="FFFFFF"/>
        </w:rPr>
        <w:t xml:space="preserve"> One. 2024 May </w:t>
      </w:r>
    </w:p>
    <w:p w14:paraId="449E9640" w14:textId="77777777" w:rsidR="00445464" w:rsidRPr="00976D63" w:rsidRDefault="00445464" w:rsidP="004341D0">
      <w:pPr>
        <w:pStyle w:val="BodyText3"/>
        <w:spacing w:line="480" w:lineRule="auto"/>
        <w:ind w:left="720" w:hanging="720"/>
        <w:rPr>
          <w:color w:val="212121"/>
          <w:shd w:val="clear" w:color="auto" w:fill="FFFFFF"/>
        </w:rPr>
      </w:pPr>
      <w:r w:rsidRPr="00976D63">
        <w:rPr>
          <w:color w:val="212121"/>
          <w:shd w:val="clear" w:color="auto" w:fill="FFFFFF"/>
        </w:rPr>
        <w:t xml:space="preserve">9;19(5):e0300366. </w:t>
      </w:r>
      <w:proofErr w:type="spellStart"/>
      <w:r w:rsidRPr="00976D63">
        <w:rPr>
          <w:color w:val="212121"/>
          <w:shd w:val="clear" w:color="auto" w:fill="FFFFFF"/>
        </w:rPr>
        <w:t>doi</w:t>
      </w:r>
      <w:proofErr w:type="spellEnd"/>
      <w:r w:rsidRPr="00976D63">
        <w:rPr>
          <w:color w:val="212121"/>
          <w:shd w:val="clear" w:color="auto" w:fill="FFFFFF"/>
        </w:rPr>
        <w:t xml:space="preserve">: 10.1371/journal.pone.0300366. PMID: 38722970; PMCID: </w:t>
      </w:r>
    </w:p>
    <w:p w14:paraId="5B46B854" w14:textId="601C9C21" w:rsidR="00445464" w:rsidRPr="00445464" w:rsidRDefault="00445464" w:rsidP="004341D0">
      <w:pPr>
        <w:pStyle w:val="BodyText3"/>
        <w:spacing w:line="480" w:lineRule="auto"/>
        <w:ind w:left="720" w:hanging="720"/>
        <w:rPr>
          <w:color w:val="212121"/>
          <w:shd w:val="clear" w:color="auto" w:fill="FFFFFF"/>
        </w:rPr>
      </w:pPr>
      <w:r w:rsidRPr="00976D63">
        <w:rPr>
          <w:color w:val="212121"/>
          <w:shd w:val="clear" w:color="auto" w:fill="FFFFFF"/>
        </w:rPr>
        <w:t>PMC11081306.</w:t>
      </w:r>
    </w:p>
    <w:p w14:paraId="237CF213" w14:textId="77777777" w:rsidR="00445464" w:rsidRPr="00315C82" w:rsidRDefault="00445464" w:rsidP="004341D0">
      <w:pPr>
        <w:pStyle w:val="BodyText3"/>
        <w:spacing w:line="480" w:lineRule="auto"/>
        <w:ind w:left="720" w:hanging="720"/>
        <w:rPr>
          <w:color w:val="212121"/>
          <w:shd w:val="clear" w:color="auto" w:fill="FFFFFF"/>
        </w:rPr>
      </w:pPr>
    </w:p>
    <w:p w14:paraId="5B82CBCE" w14:textId="77777777" w:rsidR="00315C82" w:rsidRPr="00315C82" w:rsidRDefault="000B0767" w:rsidP="004341D0">
      <w:pPr>
        <w:pStyle w:val="BodyText3"/>
        <w:spacing w:line="480" w:lineRule="auto"/>
        <w:ind w:left="720" w:hanging="720"/>
        <w:rPr>
          <w:color w:val="212121"/>
          <w:shd w:val="clear" w:color="auto" w:fill="FFFFFF"/>
        </w:rPr>
      </w:pPr>
      <w:r w:rsidRPr="00315C82">
        <w:rPr>
          <w:color w:val="212121"/>
          <w:shd w:val="clear" w:color="auto" w:fill="FFFFFF"/>
        </w:rPr>
        <w:t xml:space="preserve">Black DW, Monahan PO, </w:t>
      </w:r>
      <w:proofErr w:type="spellStart"/>
      <w:r w:rsidRPr="00315C82">
        <w:rPr>
          <w:color w:val="212121"/>
          <w:shd w:val="clear" w:color="auto" w:fill="FFFFFF"/>
        </w:rPr>
        <w:t>Temkit</w:t>
      </w:r>
      <w:proofErr w:type="spellEnd"/>
      <w:r w:rsidRPr="00315C82">
        <w:rPr>
          <w:color w:val="212121"/>
          <w:shd w:val="clear" w:color="auto" w:fill="FFFFFF"/>
        </w:rPr>
        <w:t xml:space="preserve"> M, Shaw M. A family study of pathological gambling. </w:t>
      </w:r>
    </w:p>
    <w:p w14:paraId="5969D12B" w14:textId="77777777" w:rsidR="00315C82" w:rsidRPr="00315C82" w:rsidRDefault="000B0767" w:rsidP="004341D0">
      <w:pPr>
        <w:pStyle w:val="BodyText3"/>
        <w:spacing w:line="480" w:lineRule="auto"/>
        <w:ind w:left="720" w:hanging="720"/>
        <w:rPr>
          <w:color w:val="212121"/>
          <w:shd w:val="clear" w:color="auto" w:fill="FFFFFF"/>
        </w:rPr>
      </w:pPr>
      <w:r w:rsidRPr="00315C82">
        <w:rPr>
          <w:color w:val="212121"/>
          <w:shd w:val="clear" w:color="auto" w:fill="FFFFFF"/>
        </w:rPr>
        <w:t xml:space="preserve">Psychiatry Res. 2006 Mar 30;141(3):295-303. </w:t>
      </w:r>
      <w:proofErr w:type="spellStart"/>
      <w:r w:rsidRPr="00315C82">
        <w:rPr>
          <w:color w:val="212121"/>
          <w:shd w:val="clear" w:color="auto" w:fill="FFFFFF"/>
        </w:rPr>
        <w:t>doi</w:t>
      </w:r>
      <w:proofErr w:type="spellEnd"/>
      <w:r w:rsidRPr="00315C82">
        <w:rPr>
          <w:color w:val="212121"/>
          <w:shd w:val="clear" w:color="auto" w:fill="FFFFFF"/>
        </w:rPr>
        <w:t xml:space="preserve">: 10.1016/j.psychres.2005.12.005. </w:t>
      </w:r>
      <w:proofErr w:type="spellStart"/>
      <w:r w:rsidRPr="00315C82">
        <w:rPr>
          <w:color w:val="212121"/>
          <w:shd w:val="clear" w:color="auto" w:fill="FFFFFF"/>
        </w:rPr>
        <w:t>Epub</w:t>
      </w:r>
      <w:proofErr w:type="spellEnd"/>
      <w:r w:rsidRPr="00315C82">
        <w:rPr>
          <w:color w:val="212121"/>
          <w:shd w:val="clear" w:color="auto" w:fill="FFFFFF"/>
        </w:rPr>
        <w:t xml:space="preserve"> 2006 </w:t>
      </w:r>
    </w:p>
    <w:p w14:paraId="52502F6B" w14:textId="43D18F0D" w:rsidR="000B0767" w:rsidRPr="00315C82" w:rsidRDefault="000B0767" w:rsidP="004341D0">
      <w:pPr>
        <w:pStyle w:val="BodyText3"/>
        <w:spacing w:line="480" w:lineRule="auto"/>
        <w:ind w:left="720" w:hanging="720"/>
        <w:rPr>
          <w:color w:val="212121"/>
          <w:shd w:val="clear" w:color="auto" w:fill="FFFFFF"/>
        </w:rPr>
      </w:pPr>
      <w:r w:rsidRPr="00315C82">
        <w:rPr>
          <w:color w:val="212121"/>
          <w:shd w:val="clear" w:color="auto" w:fill="FFFFFF"/>
        </w:rPr>
        <w:t>Feb 24. PMID: 16499975.</w:t>
      </w:r>
    </w:p>
    <w:p w14:paraId="691EB0DC" w14:textId="77777777" w:rsidR="000B0767" w:rsidRDefault="000B0767" w:rsidP="004341D0">
      <w:pPr>
        <w:pStyle w:val="BodyText3"/>
        <w:spacing w:line="480" w:lineRule="auto"/>
        <w:ind w:left="720" w:hanging="720"/>
        <w:rPr>
          <w:color w:val="212121"/>
          <w:shd w:val="clear" w:color="auto" w:fill="FFFFFF"/>
        </w:rPr>
      </w:pPr>
    </w:p>
    <w:p w14:paraId="302B4215" w14:textId="77777777" w:rsidR="00830611" w:rsidRDefault="00830611" w:rsidP="004341D0">
      <w:pPr>
        <w:pStyle w:val="BodyText3"/>
        <w:spacing w:line="480" w:lineRule="auto"/>
        <w:ind w:left="720" w:hanging="720"/>
        <w:rPr>
          <w:color w:val="212121"/>
          <w:shd w:val="clear" w:color="auto" w:fill="FFFFFF"/>
        </w:rPr>
      </w:pPr>
      <w:r w:rsidRPr="00976D63">
        <w:rPr>
          <w:color w:val="212121"/>
          <w:shd w:val="clear" w:color="auto" w:fill="FFFFFF"/>
        </w:rPr>
        <w:t xml:space="preserve">Bogenschutz MP, Scott </w:t>
      </w:r>
      <w:proofErr w:type="spellStart"/>
      <w:r w:rsidRPr="00976D63">
        <w:rPr>
          <w:color w:val="212121"/>
          <w:shd w:val="clear" w:color="auto" w:fill="FFFFFF"/>
        </w:rPr>
        <w:t>Tonigan</w:t>
      </w:r>
      <w:proofErr w:type="spellEnd"/>
      <w:r w:rsidRPr="00976D63">
        <w:rPr>
          <w:color w:val="212121"/>
          <w:shd w:val="clear" w:color="auto" w:fill="FFFFFF"/>
        </w:rPr>
        <w:t xml:space="preserve"> J, </w:t>
      </w:r>
      <w:proofErr w:type="spellStart"/>
      <w:r w:rsidRPr="00976D63">
        <w:rPr>
          <w:color w:val="212121"/>
          <w:shd w:val="clear" w:color="auto" w:fill="FFFFFF"/>
        </w:rPr>
        <w:t>Pettinati</w:t>
      </w:r>
      <w:proofErr w:type="spellEnd"/>
      <w:r w:rsidRPr="00976D63">
        <w:rPr>
          <w:color w:val="212121"/>
          <w:shd w:val="clear" w:color="auto" w:fill="FFFFFF"/>
        </w:rPr>
        <w:t xml:space="preserve"> HM. Effects of alcoholism typology on response to </w:t>
      </w:r>
    </w:p>
    <w:p w14:paraId="6A586E6B" w14:textId="77777777" w:rsidR="00830611" w:rsidRDefault="00830611" w:rsidP="004341D0">
      <w:pPr>
        <w:pStyle w:val="BodyText3"/>
        <w:spacing w:line="480" w:lineRule="auto"/>
        <w:ind w:left="720" w:hanging="720"/>
        <w:rPr>
          <w:color w:val="212121"/>
          <w:shd w:val="clear" w:color="auto" w:fill="FFFFFF"/>
        </w:rPr>
      </w:pPr>
      <w:r w:rsidRPr="00976D63">
        <w:rPr>
          <w:color w:val="212121"/>
          <w:shd w:val="clear" w:color="auto" w:fill="FFFFFF"/>
        </w:rPr>
        <w:t xml:space="preserve">naltrexone in the COMBINE study. Alcohol Clin Exp Res. 2009 Jan;33(1):10-8. </w:t>
      </w:r>
      <w:proofErr w:type="spellStart"/>
      <w:r w:rsidRPr="00976D63">
        <w:rPr>
          <w:color w:val="212121"/>
          <w:shd w:val="clear" w:color="auto" w:fill="FFFFFF"/>
        </w:rPr>
        <w:t>doi</w:t>
      </w:r>
      <w:proofErr w:type="spellEnd"/>
      <w:r w:rsidRPr="00976D63">
        <w:rPr>
          <w:color w:val="212121"/>
          <w:shd w:val="clear" w:color="auto" w:fill="FFFFFF"/>
        </w:rPr>
        <w:t xml:space="preserve">: </w:t>
      </w:r>
    </w:p>
    <w:p w14:paraId="247E96CD" w14:textId="77777777" w:rsidR="00830611" w:rsidRDefault="00830611" w:rsidP="004341D0">
      <w:pPr>
        <w:pStyle w:val="BodyText3"/>
        <w:spacing w:line="480" w:lineRule="auto"/>
        <w:ind w:left="720" w:hanging="720"/>
        <w:rPr>
          <w:color w:val="212121"/>
          <w:shd w:val="clear" w:color="auto" w:fill="FFFFFF"/>
        </w:rPr>
      </w:pPr>
      <w:r w:rsidRPr="00976D63">
        <w:rPr>
          <w:color w:val="212121"/>
          <w:shd w:val="clear" w:color="auto" w:fill="FFFFFF"/>
        </w:rPr>
        <w:t xml:space="preserve">10.1111/j.1530-0277.2008.00804.x. </w:t>
      </w:r>
      <w:proofErr w:type="spellStart"/>
      <w:r w:rsidRPr="00976D63">
        <w:rPr>
          <w:color w:val="212121"/>
          <w:shd w:val="clear" w:color="auto" w:fill="FFFFFF"/>
        </w:rPr>
        <w:t>Epub</w:t>
      </w:r>
      <w:proofErr w:type="spellEnd"/>
      <w:r w:rsidRPr="00976D63">
        <w:rPr>
          <w:color w:val="212121"/>
          <w:shd w:val="clear" w:color="auto" w:fill="FFFFFF"/>
        </w:rPr>
        <w:t xml:space="preserve"> 2008 Sep 30. PMID: 18828797; PMCID: </w:t>
      </w:r>
    </w:p>
    <w:p w14:paraId="0C955885" w14:textId="72A0F908" w:rsidR="00830611" w:rsidRPr="00830611" w:rsidRDefault="00830611" w:rsidP="004341D0">
      <w:pPr>
        <w:pStyle w:val="BodyText3"/>
        <w:spacing w:line="480" w:lineRule="auto"/>
        <w:ind w:left="720" w:hanging="720"/>
        <w:rPr>
          <w:color w:val="212121"/>
          <w:shd w:val="clear" w:color="auto" w:fill="FFFFFF"/>
        </w:rPr>
      </w:pPr>
      <w:r w:rsidRPr="00976D63">
        <w:rPr>
          <w:color w:val="212121"/>
          <w:shd w:val="clear" w:color="auto" w:fill="FFFFFF"/>
        </w:rPr>
        <w:t>PMC2626136.</w:t>
      </w:r>
    </w:p>
    <w:p w14:paraId="31509E28" w14:textId="77777777" w:rsidR="00830611" w:rsidRDefault="00830611" w:rsidP="004341D0">
      <w:pPr>
        <w:pStyle w:val="BodyText3"/>
        <w:spacing w:line="480" w:lineRule="auto"/>
        <w:ind w:left="720" w:hanging="720"/>
        <w:rPr>
          <w:color w:val="212121"/>
          <w:shd w:val="clear" w:color="auto" w:fill="FFFFFF"/>
        </w:rPr>
      </w:pPr>
    </w:p>
    <w:p w14:paraId="148133AA" w14:textId="77777777" w:rsidR="00830611" w:rsidRDefault="00830611" w:rsidP="004341D0">
      <w:pPr>
        <w:pStyle w:val="BodyText3"/>
        <w:spacing w:line="480" w:lineRule="auto"/>
        <w:ind w:left="720" w:hanging="720"/>
        <w:rPr>
          <w:color w:val="212121"/>
          <w:shd w:val="clear" w:color="auto" w:fill="FFFFFF"/>
        </w:rPr>
      </w:pPr>
      <w:bookmarkStart w:id="0" w:name="_Hlk170130703"/>
      <w:proofErr w:type="spellStart"/>
      <w:r w:rsidRPr="00976D63">
        <w:rPr>
          <w:color w:val="212121"/>
          <w:shd w:val="clear" w:color="auto" w:fill="FFFFFF"/>
        </w:rPr>
        <w:lastRenderedPageBreak/>
        <w:t>Brakoulias</w:t>
      </w:r>
      <w:bookmarkEnd w:id="0"/>
      <w:proofErr w:type="spellEnd"/>
      <w:r w:rsidRPr="00976D63">
        <w:rPr>
          <w:color w:val="212121"/>
          <w:shd w:val="clear" w:color="auto" w:fill="FFFFFF"/>
        </w:rPr>
        <w:t xml:space="preserve"> V, </w:t>
      </w:r>
      <w:proofErr w:type="spellStart"/>
      <w:r w:rsidRPr="00976D63">
        <w:rPr>
          <w:color w:val="212121"/>
          <w:shd w:val="clear" w:color="auto" w:fill="FFFFFF"/>
        </w:rPr>
        <w:t>Starcevic</w:t>
      </w:r>
      <w:proofErr w:type="spellEnd"/>
      <w:r w:rsidRPr="00976D63">
        <w:rPr>
          <w:color w:val="212121"/>
          <w:shd w:val="clear" w:color="auto" w:fill="FFFFFF"/>
        </w:rPr>
        <w:t xml:space="preserve"> V, Martin A, Berle D, Milicevic D, </w:t>
      </w:r>
      <w:proofErr w:type="spellStart"/>
      <w:r w:rsidRPr="00976D63">
        <w:rPr>
          <w:color w:val="212121"/>
          <w:shd w:val="clear" w:color="auto" w:fill="FFFFFF"/>
        </w:rPr>
        <w:t>Viswasam</w:t>
      </w:r>
      <w:proofErr w:type="spellEnd"/>
      <w:r w:rsidRPr="00976D63">
        <w:rPr>
          <w:color w:val="212121"/>
          <w:shd w:val="clear" w:color="auto" w:fill="FFFFFF"/>
        </w:rPr>
        <w:t xml:space="preserve"> K. The </w:t>
      </w:r>
      <w:proofErr w:type="spellStart"/>
      <w:r w:rsidRPr="00976D63">
        <w:rPr>
          <w:color w:val="212121"/>
          <w:shd w:val="clear" w:color="auto" w:fill="FFFFFF"/>
        </w:rPr>
        <w:t>familiality</w:t>
      </w:r>
      <w:proofErr w:type="spellEnd"/>
      <w:r w:rsidRPr="00976D63">
        <w:rPr>
          <w:color w:val="212121"/>
          <w:shd w:val="clear" w:color="auto" w:fill="FFFFFF"/>
        </w:rPr>
        <w:t xml:space="preserve"> of </w:t>
      </w:r>
    </w:p>
    <w:p w14:paraId="734E0AA1" w14:textId="77777777" w:rsidR="00830611" w:rsidRDefault="00830611" w:rsidP="004341D0">
      <w:pPr>
        <w:pStyle w:val="BodyText3"/>
        <w:spacing w:line="480" w:lineRule="auto"/>
        <w:ind w:left="720" w:hanging="720"/>
        <w:rPr>
          <w:color w:val="212121"/>
          <w:shd w:val="clear" w:color="auto" w:fill="FFFFFF"/>
        </w:rPr>
      </w:pPr>
      <w:r w:rsidRPr="00976D63">
        <w:rPr>
          <w:color w:val="212121"/>
          <w:shd w:val="clear" w:color="auto" w:fill="FFFFFF"/>
        </w:rPr>
        <w:t xml:space="preserve">specific symptoms of obsessive-compulsive disorder. Psychiatry Res. 2016 May 30;239:315-9. </w:t>
      </w:r>
    </w:p>
    <w:p w14:paraId="1F8AFF88" w14:textId="7AC85ABD" w:rsidR="00830611" w:rsidRPr="00830611" w:rsidRDefault="00830611" w:rsidP="004341D0">
      <w:pPr>
        <w:pStyle w:val="BodyText3"/>
        <w:spacing w:line="480" w:lineRule="auto"/>
        <w:ind w:left="720" w:hanging="720"/>
        <w:rPr>
          <w:color w:val="212121"/>
          <w:shd w:val="clear" w:color="auto" w:fill="FFFFFF"/>
        </w:rPr>
      </w:pPr>
      <w:proofErr w:type="spellStart"/>
      <w:r w:rsidRPr="00976D63">
        <w:rPr>
          <w:color w:val="212121"/>
          <w:shd w:val="clear" w:color="auto" w:fill="FFFFFF"/>
        </w:rPr>
        <w:t>doi</w:t>
      </w:r>
      <w:proofErr w:type="spellEnd"/>
      <w:r w:rsidRPr="00976D63">
        <w:rPr>
          <w:color w:val="212121"/>
          <w:shd w:val="clear" w:color="auto" w:fill="FFFFFF"/>
        </w:rPr>
        <w:t xml:space="preserve">: 10.1016/j.psychres.2016.03.047. </w:t>
      </w:r>
      <w:proofErr w:type="spellStart"/>
      <w:r w:rsidRPr="00976D63">
        <w:rPr>
          <w:color w:val="212121"/>
          <w:shd w:val="clear" w:color="auto" w:fill="FFFFFF"/>
        </w:rPr>
        <w:t>Epub</w:t>
      </w:r>
      <w:proofErr w:type="spellEnd"/>
      <w:r w:rsidRPr="00976D63">
        <w:rPr>
          <w:color w:val="212121"/>
          <w:shd w:val="clear" w:color="auto" w:fill="FFFFFF"/>
        </w:rPr>
        <w:t xml:space="preserve"> 2016 Mar 30. PMID: 27058157.</w:t>
      </w:r>
    </w:p>
    <w:p w14:paraId="78EC2845" w14:textId="77777777" w:rsidR="00830611" w:rsidRDefault="00830611" w:rsidP="004341D0">
      <w:pPr>
        <w:pStyle w:val="BodyText3"/>
        <w:spacing w:line="480" w:lineRule="auto"/>
        <w:ind w:left="720" w:hanging="720"/>
        <w:rPr>
          <w:color w:val="212121"/>
          <w:shd w:val="clear" w:color="auto" w:fill="FFFFFF"/>
        </w:rPr>
      </w:pPr>
    </w:p>
    <w:p w14:paraId="74471A29" w14:textId="77777777" w:rsidR="000B5D96" w:rsidRPr="00976D63" w:rsidRDefault="000B5D96" w:rsidP="004341D0">
      <w:pPr>
        <w:pStyle w:val="BodyText3"/>
        <w:spacing w:line="480" w:lineRule="auto"/>
        <w:ind w:left="720" w:hanging="720"/>
        <w:rPr>
          <w:color w:val="212121"/>
          <w:shd w:val="clear" w:color="auto" w:fill="FFFFFF"/>
        </w:rPr>
      </w:pPr>
      <w:r w:rsidRPr="00976D63">
        <w:rPr>
          <w:color w:val="212121"/>
          <w:shd w:val="clear" w:color="auto" w:fill="FFFFFF"/>
        </w:rPr>
        <w:t xml:space="preserve">Conlin WE, Hoffman M, </w:t>
      </w:r>
      <w:proofErr w:type="spellStart"/>
      <w:r w:rsidRPr="00976D63">
        <w:rPr>
          <w:color w:val="212121"/>
          <w:shd w:val="clear" w:color="auto" w:fill="FFFFFF"/>
        </w:rPr>
        <w:t>Steinley</w:t>
      </w:r>
      <w:proofErr w:type="spellEnd"/>
      <w:r w:rsidRPr="00976D63">
        <w:rPr>
          <w:color w:val="212121"/>
          <w:shd w:val="clear" w:color="auto" w:fill="FFFFFF"/>
        </w:rPr>
        <w:t xml:space="preserve"> D, </w:t>
      </w:r>
      <w:proofErr w:type="spellStart"/>
      <w:r w:rsidRPr="00976D63">
        <w:rPr>
          <w:color w:val="212121"/>
          <w:shd w:val="clear" w:color="auto" w:fill="FFFFFF"/>
        </w:rPr>
        <w:t>Vergés</w:t>
      </w:r>
      <w:proofErr w:type="spellEnd"/>
      <w:r w:rsidRPr="00976D63">
        <w:rPr>
          <w:color w:val="212121"/>
          <w:shd w:val="clear" w:color="auto" w:fill="FFFFFF"/>
        </w:rPr>
        <w:t xml:space="preserve"> A, Sher KJ. Predictors of symptom course in</w:t>
      </w:r>
    </w:p>
    <w:p w14:paraId="08A5C81D" w14:textId="77777777" w:rsidR="000B5D96" w:rsidRPr="00976D63" w:rsidRDefault="000B5D96" w:rsidP="004341D0">
      <w:pPr>
        <w:pStyle w:val="BodyText3"/>
        <w:spacing w:line="480" w:lineRule="auto"/>
        <w:ind w:left="720" w:hanging="720"/>
        <w:rPr>
          <w:color w:val="212121"/>
          <w:shd w:val="clear" w:color="auto" w:fill="FFFFFF"/>
        </w:rPr>
      </w:pPr>
      <w:r w:rsidRPr="00976D63">
        <w:rPr>
          <w:color w:val="212121"/>
          <w:shd w:val="clear" w:color="auto" w:fill="FFFFFF"/>
        </w:rPr>
        <w:t xml:space="preserve">alcohol use disorder. Alcohol Clin Exp Res (Hoboken). 2023 Dec;47(12):2288-2300. </w:t>
      </w:r>
      <w:proofErr w:type="spellStart"/>
      <w:r w:rsidRPr="00976D63">
        <w:rPr>
          <w:color w:val="212121"/>
          <w:shd w:val="clear" w:color="auto" w:fill="FFFFFF"/>
        </w:rPr>
        <w:t>doi</w:t>
      </w:r>
      <w:proofErr w:type="spellEnd"/>
      <w:r w:rsidRPr="00976D63">
        <w:rPr>
          <w:color w:val="212121"/>
          <w:shd w:val="clear" w:color="auto" w:fill="FFFFFF"/>
        </w:rPr>
        <w:t xml:space="preserve">: </w:t>
      </w:r>
    </w:p>
    <w:p w14:paraId="66BD2DB4" w14:textId="48EEB515" w:rsidR="000B5D96" w:rsidRPr="000B5D96" w:rsidRDefault="000B5D96" w:rsidP="004341D0">
      <w:pPr>
        <w:pStyle w:val="BodyText3"/>
        <w:spacing w:line="480" w:lineRule="auto"/>
        <w:ind w:left="720" w:hanging="720"/>
        <w:rPr>
          <w:color w:val="212121"/>
          <w:shd w:val="clear" w:color="auto" w:fill="FFFFFF"/>
        </w:rPr>
      </w:pPr>
      <w:r w:rsidRPr="00976D63">
        <w:rPr>
          <w:color w:val="212121"/>
          <w:shd w:val="clear" w:color="auto" w:fill="FFFFFF"/>
        </w:rPr>
        <w:t xml:space="preserve">10.1111/acer.15201. </w:t>
      </w:r>
      <w:proofErr w:type="spellStart"/>
      <w:r w:rsidRPr="00976D63">
        <w:rPr>
          <w:color w:val="212121"/>
          <w:shd w:val="clear" w:color="auto" w:fill="FFFFFF"/>
        </w:rPr>
        <w:t>Epub</w:t>
      </w:r>
      <w:proofErr w:type="spellEnd"/>
      <w:r w:rsidRPr="00976D63">
        <w:rPr>
          <w:color w:val="212121"/>
          <w:shd w:val="clear" w:color="auto" w:fill="FFFFFF"/>
        </w:rPr>
        <w:t xml:space="preserve"> 2023 Oct 25. PMID: 38151783; PMCID: PMC10935605.</w:t>
      </w:r>
    </w:p>
    <w:p w14:paraId="4A190A42" w14:textId="77777777" w:rsidR="000B5D96" w:rsidRPr="00315C82" w:rsidRDefault="000B5D96" w:rsidP="004341D0">
      <w:pPr>
        <w:pStyle w:val="BodyText3"/>
        <w:spacing w:line="480" w:lineRule="auto"/>
        <w:ind w:left="720" w:hanging="720"/>
        <w:rPr>
          <w:color w:val="212121"/>
          <w:shd w:val="clear" w:color="auto" w:fill="FFFFFF"/>
        </w:rPr>
      </w:pPr>
    </w:p>
    <w:p w14:paraId="3A0DAB6D" w14:textId="309EF3A5" w:rsidR="00091C50" w:rsidRPr="00315C82" w:rsidRDefault="00091C50" w:rsidP="004341D0">
      <w:pPr>
        <w:pStyle w:val="BodyText3"/>
        <w:spacing w:line="480" w:lineRule="auto"/>
        <w:ind w:left="720" w:hanging="720"/>
        <w:rPr>
          <w:color w:val="212121"/>
          <w:shd w:val="clear" w:color="auto" w:fill="FFFFFF"/>
        </w:rPr>
      </w:pPr>
      <w:r w:rsidRPr="00315C82">
        <w:rPr>
          <w:color w:val="212121"/>
          <w:shd w:val="clear" w:color="auto" w:fill="FFFFFF"/>
        </w:rPr>
        <w:t xml:space="preserve">Cook BL, Winokur G. A family study of familial positive vs. familial negative alcoholics. J </w:t>
      </w:r>
    </w:p>
    <w:p w14:paraId="0A21F692" w14:textId="77777777" w:rsidR="00091C50" w:rsidRPr="00315C82" w:rsidRDefault="00091C50" w:rsidP="004341D0">
      <w:pPr>
        <w:pStyle w:val="BodyText3"/>
        <w:spacing w:line="480" w:lineRule="auto"/>
        <w:ind w:left="720" w:hanging="720"/>
        <w:rPr>
          <w:color w:val="212121"/>
          <w:shd w:val="clear" w:color="auto" w:fill="FFFFFF"/>
        </w:rPr>
      </w:pPr>
      <w:proofErr w:type="spellStart"/>
      <w:r w:rsidRPr="00315C82">
        <w:rPr>
          <w:color w:val="212121"/>
          <w:shd w:val="clear" w:color="auto" w:fill="FFFFFF"/>
        </w:rPr>
        <w:t>Nerv</w:t>
      </w:r>
      <w:proofErr w:type="spellEnd"/>
      <w:r w:rsidRPr="00315C82">
        <w:rPr>
          <w:color w:val="212121"/>
          <w:shd w:val="clear" w:color="auto" w:fill="FFFFFF"/>
        </w:rPr>
        <w:t xml:space="preserve"> </w:t>
      </w:r>
      <w:proofErr w:type="spellStart"/>
      <w:r w:rsidRPr="00315C82">
        <w:rPr>
          <w:color w:val="212121"/>
          <w:shd w:val="clear" w:color="auto" w:fill="FFFFFF"/>
        </w:rPr>
        <w:t>Ment</w:t>
      </w:r>
      <w:proofErr w:type="spellEnd"/>
      <w:r w:rsidRPr="00315C82">
        <w:rPr>
          <w:color w:val="212121"/>
          <w:shd w:val="clear" w:color="auto" w:fill="FFFFFF"/>
        </w:rPr>
        <w:t xml:space="preserve"> Dis. 1985 Mar;173(3):175-8. </w:t>
      </w:r>
      <w:proofErr w:type="spellStart"/>
      <w:r w:rsidRPr="00315C82">
        <w:rPr>
          <w:color w:val="212121"/>
          <w:shd w:val="clear" w:color="auto" w:fill="FFFFFF"/>
        </w:rPr>
        <w:t>doi</w:t>
      </w:r>
      <w:proofErr w:type="spellEnd"/>
      <w:r w:rsidRPr="00315C82">
        <w:rPr>
          <w:color w:val="212121"/>
          <w:shd w:val="clear" w:color="auto" w:fill="FFFFFF"/>
        </w:rPr>
        <w:t xml:space="preserve">: 10.1097/00005053-198503000-00007. PMID: </w:t>
      </w:r>
    </w:p>
    <w:p w14:paraId="5142EECD" w14:textId="39764AD7" w:rsidR="004341D0" w:rsidRPr="00315C82" w:rsidRDefault="00091C50" w:rsidP="004341D0">
      <w:pPr>
        <w:pStyle w:val="BodyText3"/>
        <w:spacing w:line="480" w:lineRule="auto"/>
        <w:ind w:left="720" w:hanging="720"/>
        <w:rPr>
          <w:szCs w:val="24"/>
        </w:rPr>
      </w:pPr>
      <w:r w:rsidRPr="00315C82">
        <w:rPr>
          <w:color w:val="212121"/>
          <w:shd w:val="clear" w:color="auto" w:fill="FFFFFF"/>
        </w:rPr>
        <w:t>3973579.</w:t>
      </w:r>
    </w:p>
    <w:p w14:paraId="1E70472F" w14:textId="77777777" w:rsidR="00091C50" w:rsidRPr="00315C82" w:rsidRDefault="00091C50" w:rsidP="00B8421D">
      <w:pPr>
        <w:pStyle w:val="BodyText3"/>
        <w:spacing w:line="480" w:lineRule="auto"/>
        <w:ind w:left="720" w:hanging="720"/>
        <w:rPr>
          <w:szCs w:val="24"/>
        </w:rPr>
      </w:pPr>
    </w:p>
    <w:p w14:paraId="13B27D58" w14:textId="77777777" w:rsidR="00315C82" w:rsidRPr="00315C82" w:rsidRDefault="0018511C" w:rsidP="00B8421D">
      <w:pPr>
        <w:pStyle w:val="BodyText3"/>
        <w:spacing w:line="480" w:lineRule="auto"/>
        <w:ind w:left="720" w:hanging="720"/>
        <w:rPr>
          <w:szCs w:val="24"/>
        </w:rPr>
      </w:pPr>
      <w:r w:rsidRPr="00315C82">
        <w:rPr>
          <w:szCs w:val="24"/>
        </w:rPr>
        <w:t xml:space="preserve">Dowling NA, Francis KL, Dixon R, Merkouris SS, Thomas SA, Frydenberg E, Jackson AC. </w:t>
      </w:r>
      <w:r w:rsidR="00315C82" w:rsidRPr="00315C82">
        <w:rPr>
          <w:szCs w:val="24"/>
        </w:rPr>
        <w:t xml:space="preserve">“It </w:t>
      </w:r>
    </w:p>
    <w:p w14:paraId="4A0F3552" w14:textId="77777777" w:rsidR="00315C82" w:rsidRPr="00315C82" w:rsidRDefault="0018511C" w:rsidP="00B8421D">
      <w:pPr>
        <w:pStyle w:val="BodyText3"/>
        <w:spacing w:line="480" w:lineRule="auto"/>
        <w:ind w:left="720" w:hanging="720"/>
        <w:rPr>
          <w:szCs w:val="24"/>
        </w:rPr>
      </w:pPr>
      <w:r w:rsidRPr="00315C82">
        <w:rPr>
          <w:szCs w:val="24"/>
        </w:rPr>
        <w:t xml:space="preserve">Runs in Your Blood": Reflections from Treatment Seeking Gamblers on Their Family History of </w:t>
      </w:r>
    </w:p>
    <w:p w14:paraId="1A509D3D" w14:textId="77777777" w:rsidR="00315C82" w:rsidRPr="00315C82" w:rsidRDefault="0018511C" w:rsidP="00B8421D">
      <w:pPr>
        <w:pStyle w:val="BodyText3"/>
        <w:spacing w:line="480" w:lineRule="auto"/>
        <w:ind w:left="720" w:hanging="720"/>
        <w:rPr>
          <w:szCs w:val="24"/>
        </w:rPr>
      </w:pPr>
      <w:r w:rsidRPr="00315C82">
        <w:rPr>
          <w:szCs w:val="24"/>
        </w:rPr>
        <w:t xml:space="preserve">Gambling. J </w:t>
      </w:r>
      <w:proofErr w:type="spellStart"/>
      <w:r w:rsidRPr="00315C82">
        <w:rPr>
          <w:szCs w:val="24"/>
        </w:rPr>
        <w:t>Gambl</w:t>
      </w:r>
      <w:proofErr w:type="spellEnd"/>
      <w:r w:rsidRPr="00315C82">
        <w:rPr>
          <w:szCs w:val="24"/>
        </w:rPr>
        <w:t xml:space="preserve"> Stud. 2021 Jun;37(2):689-710. </w:t>
      </w:r>
      <w:proofErr w:type="spellStart"/>
      <w:r w:rsidRPr="00315C82">
        <w:rPr>
          <w:szCs w:val="24"/>
        </w:rPr>
        <w:t>doi</w:t>
      </w:r>
      <w:proofErr w:type="spellEnd"/>
      <w:r w:rsidRPr="00315C82">
        <w:rPr>
          <w:szCs w:val="24"/>
        </w:rPr>
        <w:t xml:space="preserve">: 10.1007/s10899-020-09959-w. PMID: </w:t>
      </w:r>
    </w:p>
    <w:p w14:paraId="7BFF52AA" w14:textId="447D69CC" w:rsidR="0018511C" w:rsidRPr="00315C82" w:rsidRDefault="0018511C" w:rsidP="00B8421D">
      <w:pPr>
        <w:pStyle w:val="BodyText3"/>
        <w:spacing w:line="480" w:lineRule="auto"/>
        <w:ind w:left="720" w:hanging="720"/>
        <w:rPr>
          <w:szCs w:val="24"/>
        </w:rPr>
      </w:pPr>
      <w:r w:rsidRPr="00315C82">
        <w:rPr>
          <w:szCs w:val="24"/>
        </w:rPr>
        <w:t>32671673.</w:t>
      </w:r>
    </w:p>
    <w:p w14:paraId="6D9E5CC8" w14:textId="41CF33E4" w:rsidR="0018511C" w:rsidRDefault="0018511C" w:rsidP="00B8421D">
      <w:pPr>
        <w:pStyle w:val="BodyText3"/>
        <w:spacing w:line="480" w:lineRule="auto"/>
        <w:ind w:left="720" w:hanging="720"/>
        <w:rPr>
          <w:szCs w:val="24"/>
        </w:rPr>
      </w:pPr>
    </w:p>
    <w:p w14:paraId="50377459" w14:textId="77777777" w:rsidR="00315C82" w:rsidRDefault="00315C82" w:rsidP="00315C82">
      <w:pPr>
        <w:pStyle w:val="BodyText3"/>
        <w:spacing w:line="480" w:lineRule="auto"/>
        <w:rPr>
          <w:color w:val="212121"/>
          <w:shd w:val="clear" w:color="auto" w:fill="FFFFFF"/>
        </w:rPr>
      </w:pPr>
      <w:r w:rsidRPr="00315C82">
        <w:rPr>
          <w:color w:val="212121"/>
          <w:shd w:val="clear" w:color="auto" w:fill="FFFFFF"/>
        </w:rPr>
        <w:t xml:space="preserve">Drake AI, Butters N, Shear PK, Smith TL, Bondi M, Irwin M, </w:t>
      </w:r>
      <w:proofErr w:type="spellStart"/>
      <w:r w:rsidRPr="00315C82">
        <w:rPr>
          <w:color w:val="212121"/>
          <w:shd w:val="clear" w:color="auto" w:fill="FFFFFF"/>
        </w:rPr>
        <w:t>Schuckit</w:t>
      </w:r>
      <w:proofErr w:type="spellEnd"/>
      <w:r w:rsidRPr="00315C82">
        <w:rPr>
          <w:color w:val="212121"/>
          <w:shd w:val="clear" w:color="auto" w:fill="FFFFFF"/>
        </w:rPr>
        <w:t xml:space="preserve"> MA. Cognitive recovery </w:t>
      </w:r>
    </w:p>
    <w:p w14:paraId="5177300A" w14:textId="77777777" w:rsidR="00315C82" w:rsidRDefault="00315C82">
      <w:pPr>
        <w:pStyle w:val="BodyText3"/>
        <w:spacing w:line="480" w:lineRule="auto"/>
        <w:ind w:left="720" w:hanging="720"/>
        <w:rPr>
          <w:color w:val="212121"/>
          <w:shd w:val="clear" w:color="auto" w:fill="FFFFFF"/>
        </w:rPr>
      </w:pPr>
      <w:r w:rsidRPr="00315C82">
        <w:rPr>
          <w:color w:val="212121"/>
          <w:shd w:val="clear" w:color="auto" w:fill="FFFFFF"/>
        </w:rPr>
        <w:t xml:space="preserve">with abstinence and its relationship to family history for alcoholism. J Stud Alcohol. 1995 </w:t>
      </w:r>
    </w:p>
    <w:p w14:paraId="1C110BD2" w14:textId="7A776554" w:rsidR="00E66ACE" w:rsidRPr="00315C82" w:rsidRDefault="00315C82">
      <w:pPr>
        <w:pStyle w:val="BodyText3"/>
        <w:spacing w:line="480" w:lineRule="auto"/>
        <w:ind w:left="720" w:hanging="720"/>
        <w:rPr>
          <w:color w:val="212121"/>
          <w:szCs w:val="24"/>
          <w:shd w:val="clear" w:color="auto" w:fill="FFFFFF"/>
        </w:rPr>
      </w:pPr>
      <w:r w:rsidRPr="00315C82">
        <w:rPr>
          <w:color w:val="212121"/>
          <w:shd w:val="clear" w:color="auto" w:fill="FFFFFF"/>
        </w:rPr>
        <w:t xml:space="preserve">Jan;56(1):104-9. </w:t>
      </w:r>
      <w:proofErr w:type="spellStart"/>
      <w:r w:rsidRPr="00315C82">
        <w:rPr>
          <w:color w:val="212121"/>
          <w:shd w:val="clear" w:color="auto" w:fill="FFFFFF"/>
        </w:rPr>
        <w:t>doi</w:t>
      </w:r>
      <w:proofErr w:type="spellEnd"/>
      <w:r w:rsidRPr="00315C82">
        <w:rPr>
          <w:color w:val="212121"/>
          <w:shd w:val="clear" w:color="auto" w:fill="FFFFFF"/>
        </w:rPr>
        <w:t>: 10.15288/jsa.1995.56.104. PMID: 7752625.</w:t>
      </w:r>
    </w:p>
    <w:p w14:paraId="57CEDEC3" w14:textId="77777777" w:rsidR="00315C82" w:rsidRDefault="00315C82">
      <w:pPr>
        <w:pStyle w:val="BodyText3"/>
        <w:spacing w:line="480" w:lineRule="auto"/>
        <w:ind w:left="720" w:hanging="720"/>
        <w:rPr>
          <w:color w:val="212121"/>
          <w:szCs w:val="24"/>
          <w:shd w:val="clear" w:color="auto" w:fill="FFFFFF"/>
        </w:rPr>
      </w:pPr>
    </w:p>
    <w:p w14:paraId="0F3A10C2" w14:textId="647AD875" w:rsidR="00E66ACE" w:rsidRPr="004F696E" w:rsidRDefault="00E66ACE">
      <w:pPr>
        <w:pStyle w:val="BodyText3"/>
        <w:spacing w:line="480" w:lineRule="auto"/>
        <w:ind w:left="720" w:hanging="720"/>
        <w:rPr>
          <w:color w:val="212121"/>
          <w:szCs w:val="24"/>
          <w:shd w:val="clear" w:color="auto" w:fill="FFFFFF"/>
        </w:rPr>
      </w:pPr>
      <w:proofErr w:type="spellStart"/>
      <w:r w:rsidRPr="004F696E">
        <w:rPr>
          <w:color w:val="212121"/>
          <w:szCs w:val="24"/>
          <w:shd w:val="clear" w:color="auto" w:fill="FFFFFF"/>
        </w:rPr>
        <w:t>Erzegovesi</w:t>
      </w:r>
      <w:proofErr w:type="spellEnd"/>
      <w:r w:rsidRPr="004F696E">
        <w:rPr>
          <w:color w:val="212121"/>
          <w:szCs w:val="24"/>
          <w:shd w:val="clear" w:color="auto" w:fill="FFFFFF"/>
        </w:rPr>
        <w:t xml:space="preserve"> S, </w:t>
      </w:r>
      <w:proofErr w:type="spellStart"/>
      <w:r w:rsidRPr="004F696E">
        <w:rPr>
          <w:color w:val="212121"/>
          <w:szCs w:val="24"/>
          <w:shd w:val="clear" w:color="auto" w:fill="FFFFFF"/>
        </w:rPr>
        <w:t>Cavallini</w:t>
      </w:r>
      <w:proofErr w:type="spellEnd"/>
      <w:r w:rsidRPr="004F696E">
        <w:rPr>
          <w:color w:val="212121"/>
          <w:szCs w:val="24"/>
          <w:shd w:val="clear" w:color="auto" w:fill="FFFFFF"/>
        </w:rPr>
        <w:t xml:space="preserve"> MC, </w:t>
      </w:r>
      <w:proofErr w:type="spellStart"/>
      <w:r w:rsidRPr="004F696E">
        <w:rPr>
          <w:color w:val="212121"/>
          <w:szCs w:val="24"/>
          <w:shd w:val="clear" w:color="auto" w:fill="FFFFFF"/>
        </w:rPr>
        <w:t>Cavedini</w:t>
      </w:r>
      <w:proofErr w:type="spellEnd"/>
      <w:r w:rsidRPr="004F696E">
        <w:rPr>
          <w:color w:val="212121"/>
          <w:szCs w:val="24"/>
          <w:shd w:val="clear" w:color="auto" w:fill="FFFFFF"/>
        </w:rPr>
        <w:t xml:space="preserve"> P, </w:t>
      </w:r>
      <w:proofErr w:type="spellStart"/>
      <w:r w:rsidRPr="004F696E">
        <w:rPr>
          <w:color w:val="212121"/>
          <w:szCs w:val="24"/>
          <w:shd w:val="clear" w:color="auto" w:fill="FFFFFF"/>
        </w:rPr>
        <w:t>Diaferia</w:t>
      </w:r>
      <w:proofErr w:type="spellEnd"/>
      <w:r w:rsidRPr="004F696E">
        <w:rPr>
          <w:color w:val="212121"/>
          <w:szCs w:val="24"/>
          <w:shd w:val="clear" w:color="auto" w:fill="FFFFFF"/>
        </w:rPr>
        <w:t xml:space="preserve"> G, Locatelli M, </w:t>
      </w:r>
      <w:proofErr w:type="spellStart"/>
      <w:r w:rsidRPr="004F696E">
        <w:rPr>
          <w:color w:val="212121"/>
          <w:szCs w:val="24"/>
          <w:shd w:val="clear" w:color="auto" w:fill="FFFFFF"/>
        </w:rPr>
        <w:t>Bellodi</w:t>
      </w:r>
      <w:proofErr w:type="spellEnd"/>
      <w:r w:rsidRPr="004F696E">
        <w:rPr>
          <w:color w:val="212121"/>
          <w:szCs w:val="24"/>
          <w:shd w:val="clear" w:color="auto" w:fill="FFFFFF"/>
        </w:rPr>
        <w:t xml:space="preserve"> L. Clinical</w:t>
      </w:r>
    </w:p>
    <w:p w14:paraId="5C411E53" w14:textId="77777777" w:rsidR="00E66ACE" w:rsidRPr="004F696E" w:rsidRDefault="00E66ACE">
      <w:pPr>
        <w:pStyle w:val="BodyText3"/>
        <w:spacing w:line="480" w:lineRule="auto"/>
        <w:ind w:left="720" w:hanging="720"/>
        <w:rPr>
          <w:color w:val="212121"/>
          <w:szCs w:val="24"/>
          <w:shd w:val="clear" w:color="auto" w:fill="FFFFFF"/>
        </w:rPr>
      </w:pPr>
      <w:r w:rsidRPr="004F696E">
        <w:rPr>
          <w:color w:val="212121"/>
          <w:szCs w:val="24"/>
          <w:shd w:val="clear" w:color="auto" w:fill="FFFFFF"/>
        </w:rPr>
        <w:t>predictors of drug response in obsessive-compulsive disorder. J Clin Psychopharmacol.</w:t>
      </w:r>
    </w:p>
    <w:p w14:paraId="4D919257" w14:textId="6EEB8458" w:rsidR="00B8421D" w:rsidRPr="004F696E" w:rsidRDefault="00E66ACE">
      <w:pPr>
        <w:pStyle w:val="BodyText3"/>
        <w:spacing w:line="480" w:lineRule="auto"/>
        <w:ind w:left="720" w:hanging="720"/>
        <w:rPr>
          <w:szCs w:val="24"/>
        </w:rPr>
      </w:pPr>
      <w:r w:rsidRPr="004F696E">
        <w:rPr>
          <w:color w:val="212121"/>
          <w:szCs w:val="24"/>
          <w:shd w:val="clear" w:color="auto" w:fill="FFFFFF"/>
        </w:rPr>
        <w:lastRenderedPageBreak/>
        <w:t xml:space="preserve">2001 Oct;21(5):488-92. </w:t>
      </w:r>
      <w:proofErr w:type="spellStart"/>
      <w:r w:rsidRPr="004F696E">
        <w:rPr>
          <w:color w:val="212121"/>
          <w:szCs w:val="24"/>
          <w:shd w:val="clear" w:color="auto" w:fill="FFFFFF"/>
        </w:rPr>
        <w:t>doi</w:t>
      </w:r>
      <w:proofErr w:type="spellEnd"/>
      <w:r w:rsidRPr="004F696E">
        <w:rPr>
          <w:color w:val="212121"/>
          <w:szCs w:val="24"/>
          <w:shd w:val="clear" w:color="auto" w:fill="FFFFFF"/>
        </w:rPr>
        <w:t>: 10.1097/00004714-200110000-00006. PMID: 11593074.</w:t>
      </w:r>
    </w:p>
    <w:p w14:paraId="4A42C2EB" w14:textId="77777777" w:rsidR="00E66ACE" w:rsidRPr="004F696E" w:rsidRDefault="00E66ACE" w:rsidP="004341D0">
      <w:pPr>
        <w:pStyle w:val="BodyText3"/>
        <w:spacing w:line="480" w:lineRule="auto"/>
        <w:ind w:left="720" w:hanging="720"/>
        <w:rPr>
          <w:color w:val="212121"/>
          <w:szCs w:val="24"/>
          <w:shd w:val="clear" w:color="auto" w:fill="FFFFFF"/>
        </w:rPr>
      </w:pPr>
    </w:p>
    <w:p w14:paraId="038298BD" w14:textId="77777777" w:rsidR="00315C82" w:rsidRDefault="002612E0" w:rsidP="004341D0">
      <w:pPr>
        <w:pStyle w:val="BodyText3"/>
        <w:spacing w:line="480" w:lineRule="auto"/>
        <w:ind w:left="720" w:hanging="720"/>
        <w:rPr>
          <w:color w:val="212121"/>
          <w:szCs w:val="24"/>
          <w:shd w:val="clear" w:color="auto" w:fill="FFFFFF"/>
        </w:rPr>
      </w:pPr>
      <w:proofErr w:type="spellStart"/>
      <w:r w:rsidRPr="002612E0">
        <w:rPr>
          <w:color w:val="212121"/>
          <w:szCs w:val="24"/>
          <w:shd w:val="clear" w:color="auto" w:fill="FFFFFF"/>
        </w:rPr>
        <w:t>Estévez</w:t>
      </w:r>
      <w:proofErr w:type="spellEnd"/>
      <w:r w:rsidRPr="002612E0">
        <w:rPr>
          <w:color w:val="212121"/>
          <w:szCs w:val="24"/>
          <w:shd w:val="clear" w:color="auto" w:fill="FFFFFF"/>
        </w:rPr>
        <w:t xml:space="preserve"> A, </w:t>
      </w:r>
      <w:proofErr w:type="spellStart"/>
      <w:r w:rsidRPr="002612E0">
        <w:rPr>
          <w:color w:val="212121"/>
          <w:szCs w:val="24"/>
          <w:shd w:val="clear" w:color="auto" w:fill="FFFFFF"/>
        </w:rPr>
        <w:t>Macía</w:t>
      </w:r>
      <w:proofErr w:type="spellEnd"/>
      <w:r w:rsidRPr="002612E0">
        <w:rPr>
          <w:color w:val="212121"/>
          <w:szCs w:val="24"/>
          <w:shd w:val="clear" w:color="auto" w:fill="FFFFFF"/>
        </w:rPr>
        <w:t xml:space="preserve"> L, </w:t>
      </w:r>
      <w:proofErr w:type="spellStart"/>
      <w:r w:rsidRPr="002612E0">
        <w:rPr>
          <w:color w:val="212121"/>
          <w:szCs w:val="24"/>
          <w:shd w:val="clear" w:color="auto" w:fill="FFFFFF"/>
        </w:rPr>
        <w:t>Ontalvilla</w:t>
      </w:r>
      <w:proofErr w:type="spellEnd"/>
      <w:r w:rsidRPr="002612E0">
        <w:rPr>
          <w:color w:val="212121"/>
          <w:szCs w:val="24"/>
          <w:shd w:val="clear" w:color="auto" w:fill="FFFFFF"/>
        </w:rPr>
        <w:t xml:space="preserve"> A, </w:t>
      </w:r>
      <w:proofErr w:type="spellStart"/>
      <w:r w:rsidRPr="002612E0">
        <w:rPr>
          <w:color w:val="212121"/>
          <w:szCs w:val="24"/>
          <w:shd w:val="clear" w:color="auto" w:fill="FFFFFF"/>
        </w:rPr>
        <w:t>Aurrekoetxea</w:t>
      </w:r>
      <w:proofErr w:type="spellEnd"/>
      <w:r w:rsidRPr="002612E0">
        <w:rPr>
          <w:color w:val="212121"/>
          <w:szCs w:val="24"/>
          <w:shd w:val="clear" w:color="auto" w:fill="FFFFFF"/>
        </w:rPr>
        <w:t xml:space="preserve"> M. Exploring the psychosocial characteristics of </w:t>
      </w:r>
    </w:p>
    <w:p w14:paraId="2556629A" w14:textId="77777777" w:rsidR="00315C82" w:rsidRDefault="002612E0" w:rsidP="004341D0">
      <w:pPr>
        <w:pStyle w:val="BodyText3"/>
        <w:spacing w:line="480" w:lineRule="auto"/>
        <w:ind w:left="720" w:hanging="720"/>
        <w:rPr>
          <w:color w:val="212121"/>
          <w:szCs w:val="24"/>
          <w:shd w:val="clear" w:color="auto" w:fill="FFFFFF"/>
        </w:rPr>
      </w:pPr>
      <w:r w:rsidRPr="002612E0">
        <w:rPr>
          <w:color w:val="212121"/>
          <w:szCs w:val="24"/>
          <w:shd w:val="clear" w:color="auto" w:fill="FFFFFF"/>
        </w:rPr>
        <w:t xml:space="preserve">women with gambling disorder through a qualitative study. Front Psychol. 2023 Dec </w:t>
      </w:r>
    </w:p>
    <w:p w14:paraId="563E9EAA" w14:textId="442A499A" w:rsidR="002612E0" w:rsidRDefault="002612E0" w:rsidP="004341D0">
      <w:pPr>
        <w:pStyle w:val="BodyText3"/>
        <w:spacing w:line="480" w:lineRule="auto"/>
        <w:ind w:left="720" w:hanging="720"/>
        <w:rPr>
          <w:color w:val="212121"/>
          <w:szCs w:val="24"/>
          <w:shd w:val="clear" w:color="auto" w:fill="FFFFFF"/>
        </w:rPr>
      </w:pPr>
      <w:r w:rsidRPr="002612E0">
        <w:rPr>
          <w:color w:val="212121"/>
          <w:szCs w:val="24"/>
          <w:shd w:val="clear" w:color="auto" w:fill="FFFFFF"/>
        </w:rPr>
        <w:t xml:space="preserve">20;14:1294149. </w:t>
      </w:r>
      <w:proofErr w:type="spellStart"/>
      <w:r w:rsidRPr="002612E0">
        <w:rPr>
          <w:color w:val="212121"/>
          <w:szCs w:val="24"/>
          <w:shd w:val="clear" w:color="auto" w:fill="FFFFFF"/>
        </w:rPr>
        <w:t>doi</w:t>
      </w:r>
      <w:proofErr w:type="spellEnd"/>
      <w:r w:rsidRPr="002612E0">
        <w:rPr>
          <w:color w:val="212121"/>
          <w:szCs w:val="24"/>
          <w:shd w:val="clear" w:color="auto" w:fill="FFFFFF"/>
        </w:rPr>
        <w:t>: 10.3389/fpsyg.2023.1294149. PMID: 38173857; PMCID: PMC10761503.</w:t>
      </w:r>
    </w:p>
    <w:p w14:paraId="621AA929" w14:textId="77777777" w:rsidR="00A45D0C" w:rsidRDefault="00A45D0C" w:rsidP="004341D0">
      <w:pPr>
        <w:pStyle w:val="BodyText3"/>
        <w:spacing w:line="480" w:lineRule="auto"/>
        <w:ind w:left="720" w:hanging="720"/>
        <w:rPr>
          <w:rFonts w:ascii="Segoe UI" w:hAnsi="Segoe UI" w:cs="Segoe UI"/>
          <w:color w:val="212121"/>
          <w:shd w:val="clear" w:color="auto" w:fill="FFFFFF"/>
        </w:rPr>
      </w:pPr>
    </w:p>
    <w:p w14:paraId="5A365A2E" w14:textId="77777777" w:rsidR="00A45D0C" w:rsidRDefault="00A45D0C" w:rsidP="004341D0">
      <w:pPr>
        <w:pStyle w:val="BodyText3"/>
        <w:spacing w:line="480" w:lineRule="auto"/>
        <w:ind w:left="720" w:hanging="720"/>
        <w:rPr>
          <w:color w:val="212121"/>
          <w:shd w:val="clear" w:color="auto" w:fill="FFFFFF"/>
        </w:rPr>
      </w:pPr>
      <w:r w:rsidRPr="00976D63">
        <w:rPr>
          <w:color w:val="212121"/>
          <w:shd w:val="clear" w:color="auto" w:fill="FFFFFF"/>
        </w:rPr>
        <w:t xml:space="preserve">Garbutt JC, Greenblatt AM, West SL, Morgan LC, </w:t>
      </w:r>
      <w:proofErr w:type="spellStart"/>
      <w:r w:rsidRPr="00976D63">
        <w:rPr>
          <w:color w:val="212121"/>
          <w:shd w:val="clear" w:color="auto" w:fill="FFFFFF"/>
        </w:rPr>
        <w:t>Kampov-Polevoy</w:t>
      </w:r>
      <w:proofErr w:type="spellEnd"/>
      <w:r w:rsidRPr="00976D63">
        <w:rPr>
          <w:color w:val="212121"/>
          <w:shd w:val="clear" w:color="auto" w:fill="FFFFFF"/>
        </w:rPr>
        <w:t xml:space="preserve"> A, Jordan HS, Bobashev </w:t>
      </w:r>
    </w:p>
    <w:p w14:paraId="352CBA3A" w14:textId="77777777" w:rsidR="00A45D0C" w:rsidRDefault="00A45D0C" w:rsidP="004341D0">
      <w:pPr>
        <w:pStyle w:val="BodyText3"/>
        <w:spacing w:line="480" w:lineRule="auto"/>
        <w:ind w:left="720" w:hanging="720"/>
        <w:rPr>
          <w:color w:val="212121"/>
          <w:shd w:val="clear" w:color="auto" w:fill="FFFFFF"/>
        </w:rPr>
      </w:pPr>
      <w:r w:rsidRPr="00976D63">
        <w:rPr>
          <w:color w:val="212121"/>
          <w:shd w:val="clear" w:color="auto" w:fill="FFFFFF"/>
        </w:rPr>
        <w:t xml:space="preserve">GV. Clinical and biological moderators of response to naltrexone in alcohol dependence: a </w:t>
      </w:r>
    </w:p>
    <w:p w14:paraId="27B0B307" w14:textId="77777777" w:rsidR="00A45D0C" w:rsidRDefault="00A45D0C" w:rsidP="004341D0">
      <w:pPr>
        <w:pStyle w:val="BodyText3"/>
        <w:spacing w:line="480" w:lineRule="auto"/>
        <w:ind w:left="720" w:hanging="720"/>
        <w:rPr>
          <w:color w:val="212121"/>
          <w:shd w:val="clear" w:color="auto" w:fill="FFFFFF"/>
        </w:rPr>
      </w:pPr>
      <w:r w:rsidRPr="00976D63">
        <w:rPr>
          <w:color w:val="212121"/>
          <w:shd w:val="clear" w:color="auto" w:fill="FFFFFF"/>
        </w:rPr>
        <w:t xml:space="preserve">systematic review of the evidence. Addiction. 2014 Aug;109(8):1274-84. </w:t>
      </w:r>
      <w:proofErr w:type="spellStart"/>
      <w:r w:rsidRPr="00976D63">
        <w:rPr>
          <w:color w:val="212121"/>
          <w:shd w:val="clear" w:color="auto" w:fill="FFFFFF"/>
        </w:rPr>
        <w:t>doi</w:t>
      </w:r>
      <w:proofErr w:type="spellEnd"/>
      <w:r w:rsidRPr="00976D63">
        <w:rPr>
          <w:color w:val="212121"/>
          <w:shd w:val="clear" w:color="auto" w:fill="FFFFFF"/>
        </w:rPr>
        <w:t xml:space="preserve">: </w:t>
      </w:r>
    </w:p>
    <w:p w14:paraId="20D313C5" w14:textId="0035B6C1" w:rsidR="002612E0" w:rsidRPr="00A45D0C" w:rsidRDefault="00A45D0C" w:rsidP="004341D0">
      <w:pPr>
        <w:pStyle w:val="BodyText3"/>
        <w:spacing w:line="480" w:lineRule="auto"/>
        <w:ind w:left="720" w:hanging="720"/>
        <w:rPr>
          <w:color w:val="212121"/>
          <w:szCs w:val="24"/>
          <w:shd w:val="clear" w:color="auto" w:fill="FFFFFF"/>
        </w:rPr>
      </w:pPr>
      <w:r w:rsidRPr="00976D63">
        <w:rPr>
          <w:color w:val="212121"/>
          <w:shd w:val="clear" w:color="auto" w:fill="FFFFFF"/>
        </w:rPr>
        <w:t xml:space="preserve">10.1111/add.12557. </w:t>
      </w:r>
      <w:proofErr w:type="spellStart"/>
      <w:r w:rsidRPr="00976D63">
        <w:rPr>
          <w:color w:val="212121"/>
          <w:shd w:val="clear" w:color="auto" w:fill="FFFFFF"/>
        </w:rPr>
        <w:t>Epub</w:t>
      </w:r>
      <w:proofErr w:type="spellEnd"/>
      <w:r w:rsidRPr="00976D63">
        <w:rPr>
          <w:color w:val="212121"/>
          <w:shd w:val="clear" w:color="auto" w:fill="FFFFFF"/>
        </w:rPr>
        <w:t xml:space="preserve"> 2014 May 23. PMID: 24661324.</w:t>
      </w:r>
    </w:p>
    <w:p w14:paraId="2E5214ED" w14:textId="77777777" w:rsidR="00A45D0C" w:rsidRDefault="00A45D0C" w:rsidP="004341D0">
      <w:pPr>
        <w:pStyle w:val="BodyText3"/>
        <w:spacing w:line="480" w:lineRule="auto"/>
        <w:ind w:left="720" w:hanging="720"/>
        <w:rPr>
          <w:color w:val="212121"/>
          <w:szCs w:val="24"/>
          <w:shd w:val="clear" w:color="auto" w:fill="FFFFFF"/>
        </w:rPr>
      </w:pPr>
    </w:p>
    <w:p w14:paraId="4657FF39" w14:textId="06816D7D" w:rsidR="00E66ACE" w:rsidRPr="004F696E" w:rsidRDefault="00E66ACE" w:rsidP="004341D0">
      <w:pPr>
        <w:pStyle w:val="BodyText3"/>
        <w:spacing w:line="480" w:lineRule="auto"/>
        <w:ind w:left="720" w:hanging="720"/>
        <w:rPr>
          <w:color w:val="212121"/>
          <w:szCs w:val="24"/>
          <w:shd w:val="clear" w:color="auto" w:fill="FFFFFF"/>
        </w:rPr>
      </w:pPr>
      <w:r w:rsidRPr="004F696E">
        <w:rPr>
          <w:color w:val="212121"/>
          <w:szCs w:val="24"/>
          <w:shd w:val="clear" w:color="auto" w:fill="FFFFFF"/>
        </w:rPr>
        <w:t xml:space="preserve">Gooding NB, Kim HS, Williams RJ, Williams JN. Individual differences and predictors of </w:t>
      </w:r>
    </w:p>
    <w:p w14:paraId="106A2AEF" w14:textId="77777777" w:rsidR="00E66ACE" w:rsidRPr="004F696E" w:rsidRDefault="00E66ACE" w:rsidP="004341D0">
      <w:pPr>
        <w:pStyle w:val="BodyText3"/>
        <w:spacing w:line="480" w:lineRule="auto"/>
        <w:ind w:left="720" w:hanging="720"/>
        <w:rPr>
          <w:color w:val="212121"/>
          <w:szCs w:val="24"/>
          <w:shd w:val="clear" w:color="auto" w:fill="FFFFFF"/>
        </w:rPr>
      </w:pPr>
      <w:r w:rsidRPr="004F696E">
        <w:rPr>
          <w:color w:val="212121"/>
          <w:szCs w:val="24"/>
          <w:shd w:val="clear" w:color="auto" w:fill="FFFFFF"/>
        </w:rPr>
        <w:t xml:space="preserve">general awareness in problem gambling. Addict </w:t>
      </w:r>
      <w:proofErr w:type="spellStart"/>
      <w:r w:rsidRPr="004F696E">
        <w:rPr>
          <w:color w:val="212121"/>
          <w:szCs w:val="24"/>
          <w:shd w:val="clear" w:color="auto" w:fill="FFFFFF"/>
        </w:rPr>
        <w:t>Behav</w:t>
      </w:r>
      <w:proofErr w:type="spellEnd"/>
      <w:r w:rsidRPr="004F696E">
        <w:rPr>
          <w:color w:val="212121"/>
          <w:szCs w:val="24"/>
          <w:shd w:val="clear" w:color="auto" w:fill="FFFFFF"/>
        </w:rPr>
        <w:t xml:space="preserve">. 2023 Jan;136:107505. </w:t>
      </w:r>
      <w:proofErr w:type="spellStart"/>
      <w:r w:rsidRPr="004F696E">
        <w:rPr>
          <w:color w:val="212121"/>
          <w:szCs w:val="24"/>
          <w:shd w:val="clear" w:color="auto" w:fill="FFFFFF"/>
        </w:rPr>
        <w:t>doi</w:t>
      </w:r>
      <w:proofErr w:type="spellEnd"/>
      <w:r w:rsidRPr="004F696E">
        <w:rPr>
          <w:color w:val="212121"/>
          <w:szCs w:val="24"/>
          <w:shd w:val="clear" w:color="auto" w:fill="FFFFFF"/>
        </w:rPr>
        <w:t xml:space="preserve">: </w:t>
      </w:r>
    </w:p>
    <w:p w14:paraId="60DB3C0A" w14:textId="38E6FC4F" w:rsidR="00E66ACE" w:rsidRPr="004F696E" w:rsidRDefault="00E66ACE" w:rsidP="004341D0">
      <w:pPr>
        <w:pStyle w:val="BodyText3"/>
        <w:spacing w:line="480" w:lineRule="auto"/>
        <w:ind w:left="720" w:hanging="720"/>
        <w:rPr>
          <w:szCs w:val="24"/>
        </w:rPr>
      </w:pPr>
      <w:r w:rsidRPr="004F696E">
        <w:rPr>
          <w:color w:val="212121"/>
          <w:szCs w:val="24"/>
          <w:shd w:val="clear" w:color="auto" w:fill="FFFFFF"/>
        </w:rPr>
        <w:t xml:space="preserve">10.1016/j.addbeh.2022.107505. </w:t>
      </w:r>
      <w:proofErr w:type="spellStart"/>
      <w:r w:rsidRPr="004F696E">
        <w:rPr>
          <w:color w:val="212121"/>
          <w:szCs w:val="24"/>
          <w:shd w:val="clear" w:color="auto" w:fill="FFFFFF"/>
        </w:rPr>
        <w:t>Epub</w:t>
      </w:r>
      <w:proofErr w:type="spellEnd"/>
      <w:r w:rsidRPr="004F696E">
        <w:rPr>
          <w:color w:val="212121"/>
          <w:szCs w:val="24"/>
          <w:shd w:val="clear" w:color="auto" w:fill="FFFFFF"/>
        </w:rPr>
        <w:t xml:space="preserve"> 2022 Sep 24. PMID: 36183686.</w:t>
      </w:r>
    </w:p>
    <w:p w14:paraId="65E5FDF6" w14:textId="77777777" w:rsidR="005D1BF6" w:rsidRDefault="005D1BF6" w:rsidP="004341D0">
      <w:pPr>
        <w:pStyle w:val="BodyText3"/>
        <w:spacing w:line="480" w:lineRule="auto"/>
        <w:ind w:left="720" w:hanging="720"/>
        <w:rPr>
          <w:color w:val="212121"/>
          <w:shd w:val="clear" w:color="auto" w:fill="FFFFFF"/>
        </w:rPr>
      </w:pPr>
    </w:p>
    <w:p w14:paraId="38AB4E63" w14:textId="52998090" w:rsidR="005D1BF6" w:rsidRPr="005D1BF6" w:rsidRDefault="005D1BF6" w:rsidP="004341D0">
      <w:pPr>
        <w:pStyle w:val="BodyText3"/>
        <w:spacing w:line="480" w:lineRule="auto"/>
        <w:ind w:left="720" w:hanging="720"/>
        <w:rPr>
          <w:color w:val="212121"/>
          <w:shd w:val="clear" w:color="auto" w:fill="FFFFFF"/>
        </w:rPr>
      </w:pPr>
      <w:r w:rsidRPr="005D1BF6">
        <w:rPr>
          <w:color w:val="212121"/>
          <w:shd w:val="clear" w:color="auto" w:fill="FFFFFF"/>
        </w:rPr>
        <w:t xml:space="preserve">Grant JE, Kim SW. Demographic and clinical features of 131 adult pathological gamblers. </w:t>
      </w:r>
    </w:p>
    <w:p w14:paraId="39716B31" w14:textId="5FCC38C9" w:rsidR="005D1BF6" w:rsidRPr="005D1BF6" w:rsidRDefault="005D1BF6" w:rsidP="004341D0">
      <w:pPr>
        <w:pStyle w:val="BodyText3"/>
        <w:spacing w:line="480" w:lineRule="auto"/>
        <w:ind w:left="720" w:hanging="720"/>
        <w:rPr>
          <w:color w:val="212121"/>
          <w:shd w:val="clear" w:color="auto" w:fill="FFFFFF"/>
        </w:rPr>
      </w:pPr>
      <w:r w:rsidRPr="005D1BF6">
        <w:rPr>
          <w:color w:val="212121"/>
          <w:shd w:val="clear" w:color="auto" w:fill="FFFFFF"/>
        </w:rPr>
        <w:t xml:space="preserve">J Clin Psychiatry. 2001 Dec;62(12):957-62. </w:t>
      </w:r>
      <w:proofErr w:type="spellStart"/>
      <w:r w:rsidRPr="005D1BF6">
        <w:rPr>
          <w:color w:val="212121"/>
          <w:shd w:val="clear" w:color="auto" w:fill="FFFFFF"/>
        </w:rPr>
        <w:t>doi</w:t>
      </w:r>
      <w:proofErr w:type="spellEnd"/>
      <w:r w:rsidRPr="005D1BF6">
        <w:rPr>
          <w:color w:val="212121"/>
          <w:shd w:val="clear" w:color="auto" w:fill="FFFFFF"/>
        </w:rPr>
        <w:t>: 10.4088/jcp.v62n1207. PMID: 11780876.</w:t>
      </w:r>
    </w:p>
    <w:p w14:paraId="6E519B6C" w14:textId="77777777" w:rsidR="005D1BF6" w:rsidRDefault="005D1BF6" w:rsidP="004341D0">
      <w:pPr>
        <w:pStyle w:val="BodyText3"/>
        <w:spacing w:line="480" w:lineRule="auto"/>
        <w:ind w:left="720" w:hanging="720"/>
        <w:rPr>
          <w:color w:val="212121"/>
          <w:shd w:val="clear" w:color="auto" w:fill="FFFFFF"/>
        </w:rPr>
      </w:pPr>
    </w:p>
    <w:p w14:paraId="22CBC7C4" w14:textId="434CA48D" w:rsidR="005D1BF6" w:rsidRPr="005D1BF6" w:rsidRDefault="005D1BF6" w:rsidP="004341D0">
      <w:pPr>
        <w:pStyle w:val="BodyText3"/>
        <w:spacing w:line="480" w:lineRule="auto"/>
        <w:ind w:left="720" w:hanging="720"/>
        <w:rPr>
          <w:color w:val="212121"/>
          <w:shd w:val="clear" w:color="auto" w:fill="FFFFFF"/>
        </w:rPr>
      </w:pPr>
      <w:r w:rsidRPr="005D1BF6">
        <w:rPr>
          <w:color w:val="212121"/>
          <w:shd w:val="clear" w:color="auto" w:fill="FFFFFF"/>
        </w:rPr>
        <w:t xml:space="preserve">Grant JE, Kim SW. Gender differences in pathological gamblers seeking medication </w:t>
      </w:r>
    </w:p>
    <w:p w14:paraId="792A5E29" w14:textId="77777777" w:rsidR="005D1BF6" w:rsidRPr="005D1BF6" w:rsidRDefault="005D1BF6" w:rsidP="004341D0">
      <w:pPr>
        <w:pStyle w:val="BodyText3"/>
        <w:spacing w:line="480" w:lineRule="auto"/>
        <w:ind w:left="720" w:hanging="720"/>
        <w:rPr>
          <w:color w:val="212121"/>
          <w:shd w:val="clear" w:color="auto" w:fill="FFFFFF"/>
        </w:rPr>
      </w:pPr>
      <w:r w:rsidRPr="005D1BF6">
        <w:rPr>
          <w:color w:val="212121"/>
          <w:shd w:val="clear" w:color="auto" w:fill="FFFFFF"/>
        </w:rPr>
        <w:t xml:space="preserve">treatment. </w:t>
      </w:r>
      <w:proofErr w:type="spellStart"/>
      <w:r w:rsidRPr="005D1BF6">
        <w:rPr>
          <w:color w:val="212121"/>
          <w:shd w:val="clear" w:color="auto" w:fill="FFFFFF"/>
        </w:rPr>
        <w:t>Compr</w:t>
      </w:r>
      <w:proofErr w:type="spellEnd"/>
      <w:r w:rsidRPr="005D1BF6">
        <w:rPr>
          <w:color w:val="212121"/>
          <w:shd w:val="clear" w:color="auto" w:fill="FFFFFF"/>
        </w:rPr>
        <w:t xml:space="preserve"> Psychiatry. 2002 Jan-Feb;43(1):56-62. </w:t>
      </w:r>
      <w:proofErr w:type="spellStart"/>
      <w:r w:rsidRPr="005D1BF6">
        <w:rPr>
          <w:color w:val="212121"/>
          <w:shd w:val="clear" w:color="auto" w:fill="FFFFFF"/>
        </w:rPr>
        <w:t>doi</w:t>
      </w:r>
      <w:proofErr w:type="spellEnd"/>
      <w:r w:rsidRPr="005D1BF6">
        <w:rPr>
          <w:color w:val="212121"/>
          <w:shd w:val="clear" w:color="auto" w:fill="FFFFFF"/>
        </w:rPr>
        <w:t xml:space="preserve">: 10.1053/comp.2002.29857. </w:t>
      </w:r>
    </w:p>
    <w:p w14:paraId="76058DA5" w14:textId="7EBB7953" w:rsidR="00E66ACE" w:rsidRPr="005D1BF6" w:rsidRDefault="005D1BF6" w:rsidP="004341D0">
      <w:pPr>
        <w:pStyle w:val="BodyText3"/>
        <w:spacing w:line="480" w:lineRule="auto"/>
        <w:ind w:left="720" w:hanging="720"/>
        <w:rPr>
          <w:szCs w:val="24"/>
        </w:rPr>
      </w:pPr>
      <w:r w:rsidRPr="005D1BF6">
        <w:rPr>
          <w:color w:val="212121"/>
          <w:shd w:val="clear" w:color="auto" w:fill="FFFFFF"/>
        </w:rPr>
        <w:t>PMID: 11788920.</w:t>
      </w:r>
    </w:p>
    <w:p w14:paraId="222022DF" w14:textId="77777777" w:rsidR="009A5B5C" w:rsidRDefault="009A5B5C" w:rsidP="004341D0">
      <w:pPr>
        <w:pStyle w:val="BodyText3"/>
        <w:spacing w:line="480" w:lineRule="auto"/>
        <w:ind w:left="720" w:hanging="720"/>
        <w:rPr>
          <w:color w:val="212121"/>
          <w:szCs w:val="24"/>
          <w:shd w:val="clear" w:color="auto" w:fill="FFFFFF"/>
        </w:rPr>
      </w:pPr>
    </w:p>
    <w:p w14:paraId="71A073D6" w14:textId="3388CCA8" w:rsidR="009A5B5C" w:rsidRDefault="009A5B5C" w:rsidP="004341D0">
      <w:pPr>
        <w:pStyle w:val="BodyText3"/>
        <w:spacing w:line="480" w:lineRule="auto"/>
        <w:ind w:left="720" w:hanging="720"/>
        <w:rPr>
          <w:color w:val="212121"/>
          <w:szCs w:val="24"/>
          <w:shd w:val="clear" w:color="auto" w:fill="FFFFFF"/>
        </w:rPr>
      </w:pPr>
      <w:r w:rsidRPr="009A5B5C">
        <w:rPr>
          <w:color w:val="212121"/>
          <w:szCs w:val="24"/>
          <w:shd w:val="clear" w:color="auto" w:fill="FFFFFF"/>
        </w:rPr>
        <w:t xml:space="preserve">Grant JE, Kim SW, Potenza MN, Blanco C, Ibanez A, Stevens L, Hektner JM, Zaninelli R. </w:t>
      </w:r>
    </w:p>
    <w:p w14:paraId="3A2F90F7" w14:textId="77777777" w:rsidR="009A5B5C" w:rsidRDefault="009A5B5C" w:rsidP="004341D0">
      <w:pPr>
        <w:pStyle w:val="BodyText3"/>
        <w:spacing w:line="480" w:lineRule="auto"/>
        <w:ind w:left="720" w:hanging="720"/>
        <w:rPr>
          <w:color w:val="212121"/>
          <w:szCs w:val="24"/>
          <w:shd w:val="clear" w:color="auto" w:fill="FFFFFF"/>
        </w:rPr>
      </w:pPr>
      <w:r w:rsidRPr="009A5B5C">
        <w:rPr>
          <w:color w:val="212121"/>
          <w:szCs w:val="24"/>
          <w:shd w:val="clear" w:color="auto" w:fill="FFFFFF"/>
        </w:rPr>
        <w:lastRenderedPageBreak/>
        <w:t>Paroxetine treatment of pathological gambling: a multi-</w:t>
      </w:r>
      <w:proofErr w:type="spellStart"/>
      <w:r w:rsidRPr="009A5B5C">
        <w:rPr>
          <w:color w:val="212121"/>
          <w:szCs w:val="24"/>
          <w:shd w:val="clear" w:color="auto" w:fill="FFFFFF"/>
        </w:rPr>
        <w:t>centre</w:t>
      </w:r>
      <w:proofErr w:type="spellEnd"/>
      <w:r w:rsidRPr="009A5B5C">
        <w:rPr>
          <w:color w:val="212121"/>
          <w:szCs w:val="24"/>
          <w:shd w:val="clear" w:color="auto" w:fill="FFFFFF"/>
        </w:rPr>
        <w:t xml:space="preserve"> randomized controlled trial. Int </w:t>
      </w:r>
    </w:p>
    <w:p w14:paraId="1DF87FC2" w14:textId="77777777" w:rsidR="009A5B5C" w:rsidRDefault="009A5B5C" w:rsidP="004341D0">
      <w:pPr>
        <w:pStyle w:val="BodyText3"/>
        <w:spacing w:line="480" w:lineRule="auto"/>
        <w:ind w:left="720" w:hanging="720"/>
        <w:rPr>
          <w:color w:val="212121"/>
          <w:szCs w:val="24"/>
          <w:shd w:val="clear" w:color="auto" w:fill="FFFFFF"/>
        </w:rPr>
      </w:pPr>
      <w:r w:rsidRPr="009A5B5C">
        <w:rPr>
          <w:color w:val="212121"/>
          <w:szCs w:val="24"/>
          <w:shd w:val="clear" w:color="auto" w:fill="FFFFFF"/>
        </w:rPr>
        <w:t xml:space="preserve">Clin </w:t>
      </w:r>
      <w:proofErr w:type="spellStart"/>
      <w:r w:rsidRPr="009A5B5C">
        <w:rPr>
          <w:color w:val="212121"/>
          <w:szCs w:val="24"/>
          <w:shd w:val="clear" w:color="auto" w:fill="FFFFFF"/>
        </w:rPr>
        <w:t>Psychopharmacol</w:t>
      </w:r>
      <w:proofErr w:type="spellEnd"/>
      <w:r w:rsidRPr="009A5B5C">
        <w:rPr>
          <w:color w:val="212121"/>
          <w:szCs w:val="24"/>
          <w:shd w:val="clear" w:color="auto" w:fill="FFFFFF"/>
        </w:rPr>
        <w:t xml:space="preserve">. 2003 Jul;18(4):243-9. </w:t>
      </w:r>
      <w:proofErr w:type="spellStart"/>
      <w:r w:rsidRPr="009A5B5C">
        <w:rPr>
          <w:color w:val="212121"/>
          <w:szCs w:val="24"/>
          <w:shd w:val="clear" w:color="auto" w:fill="FFFFFF"/>
        </w:rPr>
        <w:t>doi</w:t>
      </w:r>
      <w:proofErr w:type="spellEnd"/>
      <w:r w:rsidRPr="009A5B5C">
        <w:rPr>
          <w:color w:val="212121"/>
          <w:szCs w:val="24"/>
          <w:shd w:val="clear" w:color="auto" w:fill="FFFFFF"/>
        </w:rPr>
        <w:t xml:space="preserve">: 10.1097/00004850-200307000-00007. PMID: </w:t>
      </w:r>
    </w:p>
    <w:p w14:paraId="1C5FCEA8" w14:textId="4DD921F5" w:rsidR="005D1BF6" w:rsidRPr="009A5B5C" w:rsidRDefault="009A5B5C" w:rsidP="004341D0">
      <w:pPr>
        <w:pStyle w:val="BodyText3"/>
        <w:spacing w:line="480" w:lineRule="auto"/>
        <w:ind w:left="720" w:hanging="720"/>
        <w:rPr>
          <w:szCs w:val="24"/>
        </w:rPr>
      </w:pPr>
      <w:r w:rsidRPr="009A5B5C">
        <w:rPr>
          <w:color w:val="212121"/>
          <w:szCs w:val="24"/>
          <w:shd w:val="clear" w:color="auto" w:fill="FFFFFF"/>
        </w:rPr>
        <w:t>12817159.</w:t>
      </w:r>
    </w:p>
    <w:p w14:paraId="6F26A005" w14:textId="77777777" w:rsidR="009A5B5C" w:rsidRDefault="009A5B5C" w:rsidP="004341D0">
      <w:pPr>
        <w:pStyle w:val="BodyText3"/>
        <w:spacing w:line="480" w:lineRule="auto"/>
        <w:ind w:left="720" w:hanging="720"/>
        <w:rPr>
          <w:szCs w:val="24"/>
        </w:rPr>
      </w:pPr>
    </w:p>
    <w:p w14:paraId="167D9E11" w14:textId="614A0174" w:rsidR="00670181" w:rsidRPr="009A5B5C" w:rsidRDefault="004341D0" w:rsidP="004341D0">
      <w:pPr>
        <w:pStyle w:val="BodyText3"/>
        <w:spacing w:line="480" w:lineRule="auto"/>
        <w:ind w:left="720" w:hanging="720"/>
        <w:rPr>
          <w:szCs w:val="24"/>
        </w:rPr>
      </w:pPr>
      <w:r w:rsidRPr="009A5B5C">
        <w:rPr>
          <w:szCs w:val="24"/>
        </w:rPr>
        <w:t>Grant</w:t>
      </w:r>
      <w:r w:rsidR="00670181" w:rsidRPr="009A5B5C">
        <w:rPr>
          <w:szCs w:val="24"/>
        </w:rPr>
        <w:t>,</w:t>
      </w:r>
      <w:r w:rsidRPr="009A5B5C">
        <w:rPr>
          <w:szCs w:val="24"/>
        </w:rPr>
        <w:t xml:space="preserve"> J</w:t>
      </w:r>
      <w:r w:rsidR="00670181" w:rsidRPr="009A5B5C">
        <w:rPr>
          <w:szCs w:val="24"/>
        </w:rPr>
        <w:t>.</w:t>
      </w:r>
      <w:r w:rsidRPr="009A5B5C">
        <w:rPr>
          <w:szCs w:val="24"/>
        </w:rPr>
        <w:t>E</w:t>
      </w:r>
      <w:r w:rsidR="00670181" w:rsidRPr="009A5B5C">
        <w:rPr>
          <w:szCs w:val="24"/>
        </w:rPr>
        <w:t>.</w:t>
      </w:r>
      <w:r w:rsidRPr="009A5B5C">
        <w:rPr>
          <w:szCs w:val="24"/>
        </w:rPr>
        <w:t>, Steinberg</w:t>
      </w:r>
      <w:r w:rsidR="00670181" w:rsidRPr="009A5B5C">
        <w:rPr>
          <w:szCs w:val="24"/>
        </w:rPr>
        <w:t>,</w:t>
      </w:r>
      <w:r w:rsidRPr="009A5B5C">
        <w:rPr>
          <w:szCs w:val="24"/>
        </w:rPr>
        <w:t xml:space="preserve"> M</w:t>
      </w:r>
      <w:r w:rsidR="00670181" w:rsidRPr="009A5B5C">
        <w:rPr>
          <w:szCs w:val="24"/>
        </w:rPr>
        <w:t>.</w:t>
      </w:r>
      <w:r w:rsidRPr="009A5B5C">
        <w:rPr>
          <w:szCs w:val="24"/>
        </w:rPr>
        <w:t>A</w:t>
      </w:r>
      <w:r w:rsidR="00670181" w:rsidRPr="009A5B5C">
        <w:rPr>
          <w:szCs w:val="24"/>
        </w:rPr>
        <w:t>.</w:t>
      </w:r>
      <w:r w:rsidRPr="009A5B5C">
        <w:rPr>
          <w:szCs w:val="24"/>
        </w:rPr>
        <w:t>, Kim</w:t>
      </w:r>
      <w:r w:rsidR="00670181" w:rsidRPr="009A5B5C">
        <w:rPr>
          <w:szCs w:val="24"/>
        </w:rPr>
        <w:t>,</w:t>
      </w:r>
      <w:r w:rsidRPr="009A5B5C">
        <w:rPr>
          <w:szCs w:val="24"/>
        </w:rPr>
        <w:t xml:space="preserve"> S</w:t>
      </w:r>
      <w:r w:rsidR="00670181" w:rsidRPr="009A5B5C">
        <w:rPr>
          <w:szCs w:val="24"/>
        </w:rPr>
        <w:t>.</w:t>
      </w:r>
      <w:r w:rsidRPr="009A5B5C">
        <w:rPr>
          <w:szCs w:val="24"/>
        </w:rPr>
        <w:t>W</w:t>
      </w:r>
      <w:r w:rsidR="00670181" w:rsidRPr="009A5B5C">
        <w:rPr>
          <w:szCs w:val="24"/>
        </w:rPr>
        <w:t>.</w:t>
      </w:r>
      <w:r w:rsidRPr="009A5B5C">
        <w:rPr>
          <w:szCs w:val="24"/>
        </w:rPr>
        <w:t>, Rounsaville</w:t>
      </w:r>
      <w:r w:rsidR="00670181" w:rsidRPr="009A5B5C">
        <w:rPr>
          <w:szCs w:val="24"/>
        </w:rPr>
        <w:t>,</w:t>
      </w:r>
      <w:r w:rsidRPr="009A5B5C">
        <w:rPr>
          <w:szCs w:val="24"/>
        </w:rPr>
        <w:t xml:space="preserve"> B</w:t>
      </w:r>
      <w:r w:rsidR="00670181" w:rsidRPr="009A5B5C">
        <w:rPr>
          <w:szCs w:val="24"/>
        </w:rPr>
        <w:t>.</w:t>
      </w:r>
      <w:r w:rsidRPr="009A5B5C">
        <w:rPr>
          <w:szCs w:val="24"/>
        </w:rPr>
        <w:t>J</w:t>
      </w:r>
      <w:r w:rsidR="00670181" w:rsidRPr="009A5B5C">
        <w:rPr>
          <w:szCs w:val="24"/>
        </w:rPr>
        <w:t>.</w:t>
      </w:r>
      <w:r w:rsidRPr="009A5B5C">
        <w:rPr>
          <w:szCs w:val="24"/>
        </w:rPr>
        <w:t>, Potenza</w:t>
      </w:r>
      <w:r w:rsidR="00670181" w:rsidRPr="009A5B5C">
        <w:rPr>
          <w:szCs w:val="24"/>
        </w:rPr>
        <w:t>.</w:t>
      </w:r>
      <w:r w:rsidRPr="009A5B5C">
        <w:rPr>
          <w:szCs w:val="24"/>
        </w:rPr>
        <w:t xml:space="preserve"> M</w:t>
      </w:r>
      <w:r w:rsidR="00670181" w:rsidRPr="009A5B5C">
        <w:rPr>
          <w:szCs w:val="24"/>
        </w:rPr>
        <w:t>.</w:t>
      </w:r>
      <w:r w:rsidRPr="009A5B5C">
        <w:rPr>
          <w:szCs w:val="24"/>
        </w:rPr>
        <w:t xml:space="preserve">N. </w:t>
      </w:r>
      <w:r w:rsidR="00670181" w:rsidRPr="009A5B5C">
        <w:rPr>
          <w:szCs w:val="24"/>
        </w:rPr>
        <w:t xml:space="preserve">(2004). </w:t>
      </w:r>
      <w:r w:rsidRPr="009A5B5C">
        <w:rPr>
          <w:szCs w:val="24"/>
        </w:rPr>
        <w:t xml:space="preserve">Preliminary </w:t>
      </w:r>
    </w:p>
    <w:p w14:paraId="6C259DDB" w14:textId="77777777" w:rsidR="00670181" w:rsidRPr="009A5B5C" w:rsidRDefault="004341D0" w:rsidP="004341D0">
      <w:pPr>
        <w:pStyle w:val="BodyText3"/>
        <w:spacing w:line="480" w:lineRule="auto"/>
        <w:ind w:left="720" w:hanging="720"/>
        <w:rPr>
          <w:szCs w:val="24"/>
        </w:rPr>
      </w:pPr>
      <w:r w:rsidRPr="009A5B5C">
        <w:rPr>
          <w:szCs w:val="24"/>
        </w:rPr>
        <w:t xml:space="preserve">validity and reliability testing of a structured clinical interview for pathological gambling. </w:t>
      </w:r>
    </w:p>
    <w:p w14:paraId="7A25D6C9" w14:textId="77777777" w:rsidR="004341D0" w:rsidRPr="009A5B5C" w:rsidRDefault="004341D0" w:rsidP="004341D0">
      <w:pPr>
        <w:pStyle w:val="BodyText3"/>
        <w:spacing w:line="480" w:lineRule="auto"/>
        <w:ind w:left="720" w:hanging="720"/>
        <w:rPr>
          <w:szCs w:val="24"/>
        </w:rPr>
      </w:pPr>
      <w:r w:rsidRPr="009A5B5C">
        <w:rPr>
          <w:szCs w:val="24"/>
        </w:rPr>
        <w:t>Psychiatry Res</w:t>
      </w:r>
      <w:r w:rsidR="00670181" w:rsidRPr="009A5B5C">
        <w:rPr>
          <w:szCs w:val="24"/>
        </w:rPr>
        <w:t xml:space="preserve">earch, </w:t>
      </w:r>
      <w:r w:rsidRPr="009A5B5C">
        <w:rPr>
          <w:szCs w:val="24"/>
        </w:rPr>
        <w:t>128(1)</w:t>
      </w:r>
      <w:r w:rsidR="00670181" w:rsidRPr="009A5B5C">
        <w:rPr>
          <w:szCs w:val="24"/>
        </w:rPr>
        <w:t xml:space="preserve">, </w:t>
      </w:r>
      <w:r w:rsidRPr="009A5B5C">
        <w:rPr>
          <w:szCs w:val="24"/>
        </w:rPr>
        <w:t xml:space="preserve">79–88. </w:t>
      </w:r>
      <w:r w:rsidR="00420351" w:rsidRPr="009A5B5C">
        <w:rPr>
          <w:szCs w:val="24"/>
        </w:rPr>
        <w:t>DOI: 10.1016/j.psychres.2004.05.006</w:t>
      </w:r>
    </w:p>
    <w:p w14:paraId="2233DAAC" w14:textId="77777777" w:rsidR="009A5B5C" w:rsidRDefault="009A5B5C" w:rsidP="004F696E">
      <w:pPr>
        <w:spacing w:line="480" w:lineRule="auto"/>
        <w:rPr>
          <w:color w:val="212121"/>
          <w:sz w:val="24"/>
          <w:szCs w:val="24"/>
          <w:shd w:val="clear" w:color="auto" w:fill="FFFFFF"/>
        </w:rPr>
      </w:pPr>
    </w:p>
    <w:p w14:paraId="5CC9A065" w14:textId="37D5DAB3" w:rsidR="00315C82" w:rsidRPr="009A5B5C" w:rsidRDefault="00315C82" w:rsidP="004F696E">
      <w:pPr>
        <w:spacing w:line="480" w:lineRule="auto"/>
        <w:rPr>
          <w:color w:val="212121"/>
          <w:sz w:val="24"/>
          <w:szCs w:val="24"/>
          <w:shd w:val="clear" w:color="auto" w:fill="FFFFFF"/>
        </w:rPr>
      </w:pPr>
      <w:r w:rsidRPr="009A5B5C">
        <w:rPr>
          <w:color w:val="212121"/>
          <w:sz w:val="24"/>
          <w:szCs w:val="24"/>
          <w:shd w:val="clear" w:color="auto" w:fill="FFFFFF"/>
        </w:rPr>
        <w:t xml:space="preserve">Grant JE, Potenza MN. Escitalopram treatment of pathological gambling with co-occurring anxiety: an open-label pilot study with double-blind discontinuation. Int Clin </w:t>
      </w:r>
      <w:proofErr w:type="spellStart"/>
      <w:r w:rsidRPr="009A5B5C">
        <w:rPr>
          <w:color w:val="212121"/>
          <w:sz w:val="24"/>
          <w:szCs w:val="24"/>
          <w:shd w:val="clear" w:color="auto" w:fill="FFFFFF"/>
        </w:rPr>
        <w:t>Psychopharmacol</w:t>
      </w:r>
      <w:proofErr w:type="spellEnd"/>
      <w:r w:rsidRPr="009A5B5C">
        <w:rPr>
          <w:color w:val="212121"/>
          <w:sz w:val="24"/>
          <w:szCs w:val="24"/>
          <w:shd w:val="clear" w:color="auto" w:fill="FFFFFF"/>
        </w:rPr>
        <w:t xml:space="preserve">. 2006 Jul;21(4):203-9. </w:t>
      </w:r>
      <w:proofErr w:type="spellStart"/>
      <w:r w:rsidRPr="009A5B5C">
        <w:rPr>
          <w:color w:val="212121"/>
          <w:sz w:val="24"/>
          <w:szCs w:val="24"/>
          <w:shd w:val="clear" w:color="auto" w:fill="FFFFFF"/>
        </w:rPr>
        <w:t>doi</w:t>
      </w:r>
      <w:proofErr w:type="spellEnd"/>
      <w:r w:rsidRPr="009A5B5C">
        <w:rPr>
          <w:color w:val="212121"/>
          <w:sz w:val="24"/>
          <w:szCs w:val="24"/>
          <w:shd w:val="clear" w:color="auto" w:fill="FFFFFF"/>
        </w:rPr>
        <w:t>: 10.1097/00004850-200607000-00002. PMID: 16687991.</w:t>
      </w:r>
    </w:p>
    <w:p w14:paraId="7A53454C" w14:textId="77777777" w:rsidR="009A5B5C" w:rsidRDefault="009A5B5C" w:rsidP="004F696E">
      <w:pPr>
        <w:spacing w:line="480" w:lineRule="auto"/>
        <w:rPr>
          <w:color w:val="212121"/>
          <w:sz w:val="24"/>
          <w:szCs w:val="24"/>
          <w:shd w:val="clear" w:color="auto" w:fill="FFFFFF"/>
        </w:rPr>
      </w:pPr>
    </w:p>
    <w:p w14:paraId="54442A8C" w14:textId="3A58C390" w:rsidR="009A5B5C" w:rsidRPr="009A5B5C" w:rsidRDefault="009A5B5C" w:rsidP="004F696E">
      <w:pPr>
        <w:spacing w:line="480" w:lineRule="auto"/>
        <w:rPr>
          <w:color w:val="212121"/>
          <w:sz w:val="24"/>
          <w:szCs w:val="24"/>
          <w:shd w:val="clear" w:color="auto" w:fill="FFFFFF"/>
        </w:rPr>
      </w:pPr>
      <w:r w:rsidRPr="009A5B5C">
        <w:rPr>
          <w:color w:val="212121"/>
          <w:sz w:val="24"/>
          <w:szCs w:val="24"/>
          <w:shd w:val="clear" w:color="auto" w:fill="FFFFFF"/>
        </w:rPr>
        <w:t xml:space="preserve">Grant JE, Kim SW, Odlaug BL. N-acetyl cysteine, a glutamate-modulating agent, in the treatment of pathological gambling: a pilot study. Biol Psychiatry. 2007 Sep 15;62(6):652-7. </w:t>
      </w:r>
      <w:proofErr w:type="spellStart"/>
      <w:r w:rsidRPr="009A5B5C">
        <w:rPr>
          <w:color w:val="212121"/>
          <w:sz w:val="24"/>
          <w:szCs w:val="24"/>
          <w:shd w:val="clear" w:color="auto" w:fill="FFFFFF"/>
        </w:rPr>
        <w:t>doi</w:t>
      </w:r>
      <w:proofErr w:type="spellEnd"/>
      <w:r w:rsidRPr="009A5B5C">
        <w:rPr>
          <w:color w:val="212121"/>
          <w:sz w:val="24"/>
          <w:szCs w:val="24"/>
          <w:shd w:val="clear" w:color="auto" w:fill="FFFFFF"/>
        </w:rPr>
        <w:t xml:space="preserve">: 10.1016/j.biopsych.2006.11.021. </w:t>
      </w:r>
      <w:proofErr w:type="spellStart"/>
      <w:r w:rsidRPr="009A5B5C">
        <w:rPr>
          <w:color w:val="212121"/>
          <w:sz w:val="24"/>
          <w:szCs w:val="24"/>
          <w:shd w:val="clear" w:color="auto" w:fill="FFFFFF"/>
        </w:rPr>
        <w:t>Epub</w:t>
      </w:r>
      <w:proofErr w:type="spellEnd"/>
      <w:r w:rsidRPr="009A5B5C">
        <w:rPr>
          <w:color w:val="212121"/>
          <w:sz w:val="24"/>
          <w:szCs w:val="24"/>
          <w:shd w:val="clear" w:color="auto" w:fill="FFFFFF"/>
        </w:rPr>
        <w:t xml:space="preserve"> 2007 Apr 18. PMID: 17445781.</w:t>
      </w:r>
    </w:p>
    <w:p w14:paraId="12E97748" w14:textId="77777777" w:rsidR="009A5B5C" w:rsidRDefault="009A5B5C" w:rsidP="004F696E">
      <w:pPr>
        <w:spacing w:line="480" w:lineRule="auto"/>
        <w:rPr>
          <w:color w:val="212121"/>
          <w:sz w:val="24"/>
          <w:szCs w:val="24"/>
          <w:shd w:val="clear" w:color="auto" w:fill="FFFFFF"/>
        </w:rPr>
      </w:pPr>
    </w:p>
    <w:p w14:paraId="763C7B8B" w14:textId="67967A94" w:rsidR="009A5B5C" w:rsidRPr="009A5B5C" w:rsidRDefault="009A5B5C" w:rsidP="004F696E">
      <w:pPr>
        <w:spacing w:line="480" w:lineRule="auto"/>
        <w:rPr>
          <w:color w:val="212121"/>
          <w:sz w:val="24"/>
          <w:szCs w:val="24"/>
          <w:shd w:val="clear" w:color="auto" w:fill="FFFFFF"/>
        </w:rPr>
      </w:pPr>
      <w:r w:rsidRPr="009A5B5C">
        <w:rPr>
          <w:color w:val="212121"/>
          <w:sz w:val="24"/>
          <w:szCs w:val="24"/>
          <w:shd w:val="clear" w:color="auto" w:fill="FFFFFF"/>
        </w:rPr>
        <w:t xml:space="preserve">Grant JE, Kim SW, Hartman BK. A double-blind, placebo-controlled study of the opiate antagonist naltrexone in the treatment of pathological gambling urges. J Clin Psychiatry. 2008 May;69(5):783-9. </w:t>
      </w:r>
      <w:proofErr w:type="spellStart"/>
      <w:r w:rsidRPr="009A5B5C">
        <w:rPr>
          <w:color w:val="212121"/>
          <w:sz w:val="24"/>
          <w:szCs w:val="24"/>
          <w:shd w:val="clear" w:color="auto" w:fill="FFFFFF"/>
        </w:rPr>
        <w:t>doi</w:t>
      </w:r>
      <w:proofErr w:type="spellEnd"/>
      <w:r w:rsidRPr="009A5B5C">
        <w:rPr>
          <w:color w:val="212121"/>
          <w:sz w:val="24"/>
          <w:szCs w:val="24"/>
          <w:shd w:val="clear" w:color="auto" w:fill="FFFFFF"/>
        </w:rPr>
        <w:t>: 10.4088/jcp.v69n0511. PMID: 18384246.</w:t>
      </w:r>
    </w:p>
    <w:p w14:paraId="6CC42346" w14:textId="77777777" w:rsidR="009A5B5C" w:rsidRDefault="009A5B5C" w:rsidP="004F696E">
      <w:pPr>
        <w:spacing w:line="480" w:lineRule="auto"/>
        <w:rPr>
          <w:color w:val="212121"/>
          <w:sz w:val="24"/>
          <w:szCs w:val="24"/>
          <w:shd w:val="clear" w:color="auto" w:fill="FFFFFF"/>
        </w:rPr>
      </w:pPr>
    </w:p>
    <w:p w14:paraId="226EE8F5" w14:textId="2191ADC5" w:rsidR="009A5B5C" w:rsidRPr="009A5B5C" w:rsidRDefault="009A5B5C" w:rsidP="004F696E">
      <w:pPr>
        <w:spacing w:line="480" w:lineRule="auto"/>
        <w:rPr>
          <w:color w:val="212121"/>
          <w:sz w:val="24"/>
          <w:szCs w:val="24"/>
          <w:shd w:val="clear" w:color="auto" w:fill="FFFFFF"/>
        </w:rPr>
      </w:pPr>
      <w:r w:rsidRPr="009A5B5C">
        <w:rPr>
          <w:color w:val="212121"/>
          <w:sz w:val="24"/>
          <w:szCs w:val="24"/>
          <w:shd w:val="clear" w:color="auto" w:fill="FFFFFF"/>
        </w:rPr>
        <w:t xml:space="preserve">Grant JE, Chamberlain SR, Odlaug BL, Potenza MN, Kim SW. Memantine shows promise in reducing gambling severity and cognitive inflexibility in pathological gambling: a pilot study. </w:t>
      </w:r>
      <w:r w:rsidRPr="009A5B5C">
        <w:rPr>
          <w:color w:val="212121"/>
          <w:sz w:val="24"/>
          <w:szCs w:val="24"/>
          <w:shd w:val="clear" w:color="auto" w:fill="FFFFFF"/>
        </w:rPr>
        <w:lastRenderedPageBreak/>
        <w:t xml:space="preserve">Psychopharmacology (Berl). 2010 Dec;212(4):603-12. </w:t>
      </w:r>
      <w:proofErr w:type="spellStart"/>
      <w:r w:rsidRPr="009A5B5C">
        <w:rPr>
          <w:color w:val="212121"/>
          <w:sz w:val="24"/>
          <w:szCs w:val="24"/>
          <w:shd w:val="clear" w:color="auto" w:fill="FFFFFF"/>
        </w:rPr>
        <w:t>doi</w:t>
      </w:r>
      <w:proofErr w:type="spellEnd"/>
      <w:r w:rsidRPr="009A5B5C">
        <w:rPr>
          <w:color w:val="212121"/>
          <w:sz w:val="24"/>
          <w:szCs w:val="24"/>
          <w:shd w:val="clear" w:color="auto" w:fill="FFFFFF"/>
        </w:rPr>
        <w:t xml:space="preserve">: 10.1007/s00213-010-1994-5. </w:t>
      </w:r>
      <w:proofErr w:type="spellStart"/>
      <w:r w:rsidRPr="009A5B5C">
        <w:rPr>
          <w:color w:val="212121"/>
          <w:sz w:val="24"/>
          <w:szCs w:val="24"/>
          <w:shd w:val="clear" w:color="auto" w:fill="FFFFFF"/>
        </w:rPr>
        <w:t>Epub</w:t>
      </w:r>
      <w:proofErr w:type="spellEnd"/>
      <w:r w:rsidRPr="009A5B5C">
        <w:rPr>
          <w:color w:val="212121"/>
          <w:sz w:val="24"/>
          <w:szCs w:val="24"/>
          <w:shd w:val="clear" w:color="auto" w:fill="FFFFFF"/>
        </w:rPr>
        <w:t xml:space="preserve"> 2010 Aug 19. PMID: 20721537; PMCID: PMC3465841.</w:t>
      </w:r>
    </w:p>
    <w:p w14:paraId="09F2405B" w14:textId="77777777" w:rsidR="00A45D0C" w:rsidRDefault="00A45D0C" w:rsidP="004F696E">
      <w:pPr>
        <w:spacing w:line="480" w:lineRule="auto"/>
        <w:rPr>
          <w:color w:val="212121"/>
          <w:sz w:val="24"/>
          <w:szCs w:val="24"/>
          <w:shd w:val="clear" w:color="auto" w:fill="FFFFFF"/>
        </w:rPr>
      </w:pPr>
    </w:p>
    <w:p w14:paraId="251CBEE7" w14:textId="5521BA3B" w:rsidR="009A5B5C" w:rsidRPr="009A5B5C" w:rsidRDefault="009A5B5C" w:rsidP="004F696E">
      <w:pPr>
        <w:spacing w:line="480" w:lineRule="auto"/>
        <w:rPr>
          <w:color w:val="212121"/>
          <w:sz w:val="24"/>
          <w:szCs w:val="24"/>
          <w:shd w:val="clear" w:color="auto" w:fill="FFFFFF"/>
        </w:rPr>
      </w:pPr>
      <w:r w:rsidRPr="009A5B5C">
        <w:rPr>
          <w:color w:val="212121"/>
          <w:sz w:val="24"/>
          <w:szCs w:val="24"/>
          <w:shd w:val="clear" w:color="auto" w:fill="FFFFFF"/>
        </w:rPr>
        <w:t xml:space="preserve">Grant JE, </w:t>
      </w:r>
      <w:proofErr w:type="spellStart"/>
      <w:r w:rsidRPr="009A5B5C">
        <w:rPr>
          <w:color w:val="212121"/>
          <w:sz w:val="24"/>
          <w:szCs w:val="24"/>
          <w:shd w:val="clear" w:color="auto" w:fill="FFFFFF"/>
        </w:rPr>
        <w:t>Odlaug</w:t>
      </w:r>
      <w:proofErr w:type="spellEnd"/>
      <w:r w:rsidRPr="009A5B5C">
        <w:rPr>
          <w:color w:val="212121"/>
          <w:sz w:val="24"/>
          <w:szCs w:val="24"/>
          <w:shd w:val="clear" w:color="auto" w:fill="FFFFFF"/>
        </w:rPr>
        <w:t xml:space="preserve"> BL, Chamberlain SR, Hampshire A, Schreiber LR, Kim SW. A proof of concept study of tolcapone for pathological gambling: relationships with COMT genotype and brain activation. Eur </w:t>
      </w:r>
      <w:proofErr w:type="spellStart"/>
      <w:r w:rsidRPr="009A5B5C">
        <w:rPr>
          <w:color w:val="212121"/>
          <w:sz w:val="24"/>
          <w:szCs w:val="24"/>
          <w:shd w:val="clear" w:color="auto" w:fill="FFFFFF"/>
        </w:rPr>
        <w:t>Neuropsychopharmacol</w:t>
      </w:r>
      <w:proofErr w:type="spellEnd"/>
      <w:r w:rsidRPr="009A5B5C">
        <w:rPr>
          <w:color w:val="212121"/>
          <w:sz w:val="24"/>
          <w:szCs w:val="24"/>
          <w:shd w:val="clear" w:color="auto" w:fill="FFFFFF"/>
        </w:rPr>
        <w:t xml:space="preserve">. 2013 Nov;23(11):1587-96. </w:t>
      </w:r>
      <w:proofErr w:type="spellStart"/>
      <w:r w:rsidRPr="009A5B5C">
        <w:rPr>
          <w:color w:val="212121"/>
          <w:sz w:val="24"/>
          <w:szCs w:val="24"/>
          <w:shd w:val="clear" w:color="auto" w:fill="FFFFFF"/>
        </w:rPr>
        <w:t>doi</w:t>
      </w:r>
      <w:proofErr w:type="spellEnd"/>
      <w:r w:rsidRPr="009A5B5C">
        <w:rPr>
          <w:color w:val="212121"/>
          <w:sz w:val="24"/>
          <w:szCs w:val="24"/>
          <w:shd w:val="clear" w:color="auto" w:fill="FFFFFF"/>
        </w:rPr>
        <w:t xml:space="preserve">: 10.1016/j.euroneuro.2013.07.008. </w:t>
      </w:r>
      <w:proofErr w:type="spellStart"/>
      <w:r w:rsidRPr="009A5B5C">
        <w:rPr>
          <w:color w:val="212121"/>
          <w:sz w:val="24"/>
          <w:szCs w:val="24"/>
          <w:shd w:val="clear" w:color="auto" w:fill="FFFFFF"/>
        </w:rPr>
        <w:t>Epub</w:t>
      </w:r>
      <w:proofErr w:type="spellEnd"/>
      <w:r w:rsidRPr="009A5B5C">
        <w:rPr>
          <w:color w:val="212121"/>
          <w:sz w:val="24"/>
          <w:szCs w:val="24"/>
          <w:shd w:val="clear" w:color="auto" w:fill="FFFFFF"/>
        </w:rPr>
        <w:t xml:space="preserve"> 2013 Aug 6. PMID: 23953269.</w:t>
      </w:r>
    </w:p>
    <w:p w14:paraId="3D90F95D" w14:textId="77777777" w:rsidR="009A5B5C" w:rsidRDefault="009A5B5C" w:rsidP="004F696E">
      <w:pPr>
        <w:spacing w:line="480" w:lineRule="auto"/>
        <w:rPr>
          <w:color w:val="212121"/>
          <w:sz w:val="24"/>
          <w:szCs w:val="24"/>
          <w:shd w:val="clear" w:color="auto" w:fill="FFFFFF"/>
        </w:rPr>
      </w:pPr>
    </w:p>
    <w:p w14:paraId="38079B78" w14:textId="3B8A23EC" w:rsidR="004F696E" w:rsidRPr="009A5B5C" w:rsidRDefault="00315C82" w:rsidP="004F696E">
      <w:pPr>
        <w:spacing w:line="480" w:lineRule="auto"/>
        <w:rPr>
          <w:bCs/>
          <w:sz w:val="24"/>
          <w:szCs w:val="24"/>
        </w:rPr>
      </w:pPr>
      <w:r w:rsidRPr="009A5B5C">
        <w:rPr>
          <w:color w:val="212121"/>
          <w:sz w:val="24"/>
          <w:szCs w:val="24"/>
          <w:shd w:val="clear" w:color="auto" w:fill="FFFFFF"/>
        </w:rPr>
        <w:t xml:space="preserve">Grant JE, Odlaug BL, Chamberlain SR, Potenza MN, Schreiber LR, Donahue CB, Kim SW. A randomized, placebo-controlled trial of N-acetylcysteine plus imaginal desensitization for nicotine-dependent pathological gamblers. J Clin Psychiatry. 2014 Jan;75(1):39-45. </w:t>
      </w:r>
      <w:proofErr w:type="spellStart"/>
      <w:r w:rsidRPr="009A5B5C">
        <w:rPr>
          <w:color w:val="212121"/>
          <w:sz w:val="24"/>
          <w:szCs w:val="24"/>
          <w:shd w:val="clear" w:color="auto" w:fill="FFFFFF"/>
        </w:rPr>
        <w:t>doi</w:t>
      </w:r>
      <w:proofErr w:type="spellEnd"/>
      <w:r w:rsidRPr="009A5B5C">
        <w:rPr>
          <w:color w:val="212121"/>
          <w:sz w:val="24"/>
          <w:szCs w:val="24"/>
          <w:shd w:val="clear" w:color="auto" w:fill="FFFFFF"/>
        </w:rPr>
        <w:t>: 10.4088/JCP.13m08411. PMID: 24345329.</w:t>
      </w:r>
    </w:p>
    <w:p w14:paraId="130AF58D" w14:textId="77777777" w:rsidR="009A5B5C" w:rsidRDefault="009A5B5C" w:rsidP="004F696E">
      <w:pPr>
        <w:spacing w:line="480" w:lineRule="auto"/>
        <w:rPr>
          <w:bCs/>
          <w:sz w:val="24"/>
          <w:szCs w:val="24"/>
        </w:rPr>
      </w:pPr>
    </w:p>
    <w:p w14:paraId="069F8ACE" w14:textId="7DBB3C73" w:rsidR="004F696E" w:rsidRPr="004F696E" w:rsidRDefault="004F696E" w:rsidP="004F696E">
      <w:pPr>
        <w:spacing w:line="480" w:lineRule="auto"/>
        <w:rPr>
          <w:bCs/>
          <w:sz w:val="24"/>
          <w:szCs w:val="24"/>
        </w:rPr>
      </w:pPr>
      <w:r w:rsidRPr="004F696E">
        <w:rPr>
          <w:bCs/>
          <w:sz w:val="24"/>
          <w:szCs w:val="24"/>
        </w:rPr>
        <w:t xml:space="preserve">Hamilton M. 1959. The assessment of anxiety states by rating. Br J Med Psychol 1959; 32:50-55. </w:t>
      </w:r>
    </w:p>
    <w:p w14:paraId="319CAFAB" w14:textId="77777777" w:rsidR="004F696E" w:rsidRPr="004F696E" w:rsidRDefault="004F696E" w:rsidP="004F696E">
      <w:pPr>
        <w:spacing w:line="480" w:lineRule="auto"/>
        <w:rPr>
          <w:bCs/>
          <w:sz w:val="24"/>
          <w:szCs w:val="24"/>
        </w:rPr>
      </w:pPr>
    </w:p>
    <w:p w14:paraId="630BFAC0" w14:textId="77777777" w:rsidR="004F696E" w:rsidRPr="004F696E" w:rsidRDefault="004F696E" w:rsidP="004F696E">
      <w:pPr>
        <w:spacing w:line="480" w:lineRule="auto"/>
        <w:rPr>
          <w:bCs/>
          <w:sz w:val="24"/>
          <w:szCs w:val="24"/>
        </w:rPr>
      </w:pPr>
      <w:r w:rsidRPr="004F696E">
        <w:rPr>
          <w:bCs/>
          <w:sz w:val="24"/>
          <w:szCs w:val="24"/>
        </w:rPr>
        <w:t xml:space="preserve">Hamilton M. 1960. A rating scale for depression. J Neurol </w:t>
      </w:r>
      <w:proofErr w:type="spellStart"/>
      <w:r w:rsidRPr="004F696E">
        <w:rPr>
          <w:bCs/>
          <w:sz w:val="24"/>
          <w:szCs w:val="24"/>
        </w:rPr>
        <w:t>Neurosurg</w:t>
      </w:r>
      <w:proofErr w:type="spellEnd"/>
      <w:r w:rsidRPr="004F696E">
        <w:rPr>
          <w:bCs/>
          <w:sz w:val="24"/>
          <w:szCs w:val="24"/>
        </w:rPr>
        <w:t xml:space="preserve"> Psych 1960;23:56-62.</w:t>
      </w:r>
    </w:p>
    <w:p w14:paraId="4F311386" w14:textId="77777777" w:rsidR="000B5D96" w:rsidRDefault="000B5D96" w:rsidP="004341D0">
      <w:pPr>
        <w:pStyle w:val="BodyText3"/>
        <w:spacing w:line="480" w:lineRule="auto"/>
        <w:ind w:left="720" w:hanging="720"/>
        <w:rPr>
          <w:color w:val="212121"/>
          <w:shd w:val="clear" w:color="auto" w:fill="FFFFFF"/>
        </w:rPr>
      </w:pPr>
    </w:p>
    <w:p w14:paraId="6EE6E887" w14:textId="2E5A09A7" w:rsidR="000B5D96" w:rsidRDefault="000B5D96" w:rsidP="004341D0">
      <w:pPr>
        <w:pStyle w:val="BodyText3"/>
        <w:spacing w:line="480" w:lineRule="auto"/>
        <w:ind w:left="720" w:hanging="720"/>
        <w:rPr>
          <w:color w:val="212121"/>
          <w:shd w:val="clear" w:color="auto" w:fill="FFFFFF"/>
        </w:rPr>
      </w:pPr>
      <w:r w:rsidRPr="00976D63">
        <w:rPr>
          <w:color w:val="212121"/>
          <w:shd w:val="clear" w:color="auto" w:fill="FFFFFF"/>
        </w:rPr>
        <w:t xml:space="preserve">Hashimoto N, Habu H, Takao S, Sakamoto S, </w:t>
      </w:r>
      <w:proofErr w:type="spellStart"/>
      <w:r w:rsidRPr="00976D63">
        <w:rPr>
          <w:color w:val="212121"/>
          <w:shd w:val="clear" w:color="auto" w:fill="FFFFFF"/>
        </w:rPr>
        <w:t>Okahisa</w:t>
      </w:r>
      <w:proofErr w:type="spellEnd"/>
      <w:r w:rsidRPr="00976D63">
        <w:rPr>
          <w:color w:val="212121"/>
          <w:shd w:val="clear" w:color="auto" w:fill="FFFFFF"/>
        </w:rPr>
        <w:t xml:space="preserve"> Y, Matsuo K, Takaki M, Kishi Y, </w:t>
      </w:r>
    </w:p>
    <w:p w14:paraId="46323930" w14:textId="77777777" w:rsidR="000B5D96" w:rsidRDefault="000B5D96" w:rsidP="004341D0">
      <w:pPr>
        <w:pStyle w:val="BodyText3"/>
        <w:spacing w:line="480" w:lineRule="auto"/>
        <w:ind w:left="720" w:hanging="720"/>
        <w:rPr>
          <w:color w:val="212121"/>
          <w:shd w:val="clear" w:color="auto" w:fill="FFFFFF"/>
        </w:rPr>
      </w:pPr>
      <w:r w:rsidRPr="00976D63">
        <w:rPr>
          <w:color w:val="212121"/>
          <w:shd w:val="clear" w:color="auto" w:fill="FFFFFF"/>
        </w:rPr>
        <w:t xml:space="preserve">Yamada N. Clinical moderators of response to </w:t>
      </w:r>
      <w:proofErr w:type="spellStart"/>
      <w:r w:rsidRPr="00976D63">
        <w:rPr>
          <w:color w:val="212121"/>
          <w:shd w:val="clear" w:color="auto" w:fill="FFFFFF"/>
        </w:rPr>
        <w:t>nalmefene</w:t>
      </w:r>
      <w:proofErr w:type="spellEnd"/>
      <w:r w:rsidRPr="00976D63">
        <w:rPr>
          <w:color w:val="212121"/>
          <w:shd w:val="clear" w:color="auto" w:fill="FFFFFF"/>
        </w:rPr>
        <w:t xml:space="preserve"> in a randomized-controlled trial for </w:t>
      </w:r>
    </w:p>
    <w:p w14:paraId="66973F35" w14:textId="77777777" w:rsidR="000B5D96" w:rsidRDefault="000B5D96" w:rsidP="004341D0">
      <w:pPr>
        <w:pStyle w:val="BodyText3"/>
        <w:spacing w:line="480" w:lineRule="auto"/>
        <w:ind w:left="720" w:hanging="720"/>
        <w:rPr>
          <w:color w:val="212121"/>
          <w:shd w:val="clear" w:color="auto" w:fill="FFFFFF"/>
        </w:rPr>
      </w:pPr>
      <w:r w:rsidRPr="00976D63">
        <w:rPr>
          <w:color w:val="212121"/>
          <w:shd w:val="clear" w:color="auto" w:fill="FFFFFF"/>
        </w:rPr>
        <w:t xml:space="preserve">alcohol dependence: An exploratory analysis. Drug Alcohol Depend. 2022 Apr 1;233:109365. </w:t>
      </w:r>
    </w:p>
    <w:p w14:paraId="18ADE385" w14:textId="27D662C1" w:rsidR="00C13768" w:rsidRPr="000B5D96" w:rsidRDefault="000B5D96" w:rsidP="004341D0">
      <w:pPr>
        <w:pStyle w:val="BodyText3"/>
        <w:spacing w:line="480" w:lineRule="auto"/>
        <w:ind w:left="720" w:hanging="720"/>
        <w:rPr>
          <w:szCs w:val="24"/>
        </w:rPr>
      </w:pPr>
      <w:proofErr w:type="spellStart"/>
      <w:r w:rsidRPr="00976D63">
        <w:rPr>
          <w:color w:val="212121"/>
          <w:shd w:val="clear" w:color="auto" w:fill="FFFFFF"/>
        </w:rPr>
        <w:t>doi</w:t>
      </w:r>
      <w:proofErr w:type="spellEnd"/>
      <w:r w:rsidRPr="00976D63">
        <w:rPr>
          <w:color w:val="212121"/>
          <w:shd w:val="clear" w:color="auto" w:fill="FFFFFF"/>
        </w:rPr>
        <w:t xml:space="preserve">: 10.1016/j.drugalcdep.2022.109365. </w:t>
      </w:r>
      <w:proofErr w:type="spellStart"/>
      <w:r w:rsidRPr="00976D63">
        <w:rPr>
          <w:color w:val="212121"/>
          <w:shd w:val="clear" w:color="auto" w:fill="FFFFFF"/>
        </w:rPr>
        <w:t>Epub</w:t>
      </w:r>
      <w:proofErr w:type="spellEnd"/>
      <w:r w:rsidRPr="00976D63">
        <w:rPr>
          <w:color w:val="212121"/>
          <w:shd w:val="clear" w:color="auto" w:fill="FFFFFF"/>
        </w:rPr>
        <w:t xml:space="preserve"> 2022 Feb 18. PMID: 35228081.</w:t>
      </w:r>
    </w:p>
    <w:p w14:paraId="0854D82D" w14:textId="77777777" w:rsidR="000B5D96" w:rsidRDefault="000B5D96" w:rsidP="00B8421D">
      <w:pPr>
        <w:pStyle w:val="BodyText3"/>
        <w:spacing w:line="480" w:lineRule="auto"/>
        <w:ind w:left="720" w:hanging="720"/>
        <w:rPr>
          <w:szCs w:val="24"/>
        </w:rPr>
      </w:pPr>
    </w:p>
    <w:p w14:paraId="65D10A4B" w14:textId="53E4B732" w:rsidR="00B4417E" w:rsidRPr="004F696E" w:rsidRDefault="00B4417E" w:rsidP="00B8421D">
      <w:pPr>
        <w:pStyle w:val="BodyText3"/>
        <w:spacing w:line="480" w:lineRule="auto"/>
        <w:ind w:left="720" w:hanging="720"/>
        <w:rPr>
          <w:szCs w:val="24"/>
        </w:rPr>
      </w:pPr>
      <w:r w:rsidRPr="004F696E">
        <w:rPr>
          <w:szCs w:val="24"/>
        </w:rPr>
        <w:lastRenderedPageBreak/>
        <w:t xml:space="preserve">Hodgins DC, Stea JN, Grant JE. Gambling disorders. Lancet. 2011 Nov 26;378(9806):1874-84. </w:t>
      </w:r>
    </w:p>
    <w:p w14:paraId="1F84C4B4" w14:textId="77777777" w:rsidR="00420351" w:rsidRPr="004F696E" w:rsidRDefault="00420351" w:rsidP="00B8421D">
      <w:pPr>
        <w:pStyle w:val="BodyText3"/>
        <w:spacing w:line="480" w:lineRule="auto"/>
        <w:ind w:left="720" w:hanging="720"/>
        <w:rPr>
          <w:szCs w:val="24"/>
        </w:rPr>
      </w:pPr>
      <w:r w:rsidRPr="004F696E">
        <w:rPr>
          <w:szCs w:val="24"/>
        </w:rPr>
        <w:t>DOI: 10.1016/S0140-6736(10)62185-X</w:t>
      </w:r>
    </w:p>
    <w:p w14:paraId="437ADE9E" w14:textId="77777777" w:rsidR="00B4417E" w:rsidRPr="004F696E" w:rsidRDefault="00B4417E" w:rsidP="00B8421D">
      <w:pPr>
        <w:pStyle w:val="BodyText3"/>
        <w:spacing w:line="480" w:lineRule="auto"/>
        <w:ind w:left="720" w:hanging="720"/>
        <w:rPr>
          <w:szCs w:val="24"/>
        </w:rPr>
      </w:pPr>
    </w:p>
    <w:p w14:paraId="0F0FA779" w14:textId="77777777" w:rsidR="009A5B5C" w:rsidRDefault="009A5B5C" w:rsidP="00E66ACE">
      <w:pPr>
        <w:pStyle w:val="BodyText3"/>
        <w:spacing w:line="480" w:lineRule="auto"/>
        <w:ind w:left="720" w:hanging="720"/>
        <w:rPr>
          <w:color w:val="212121"/>
          <w:shd w:val="clear" w:color="auto" w:fill="FFFFFF"/>
        </w:rPr>
      </w:pPr>
      <w:r w:rsidRPr="009A5B5C">
        <w:rPr>
          <w:color w:val="212121"/>
          <w:shd w:val="clear" w:color="auto" w:fill="FFFFFF"/>
        </w:rPr>
        <w:t xml:space="preserve">Kendler KS, Silberg JL, Neale MC, Kessler RC, Heath AC, Eaves LJ. The family history </w:t>
      </w:r>
    </w:p>
    <w:p w14:paraId="04168D68" w14:textId="77777777" w:rsidR="009A5B5C" w:rsidRDefault="009A5B5C" w:rsidP="00E66ACE">
      <w:pPr>
        <w:pStyle w:val="BodyText3"/>
        <w:spacing w:line="480" w:lineRule="auto"/>
        <w:ind w:left="720" w:hanging="720"/>
        <w:rPr>
          <w:color w:val="212121"/>
          <w:shd w:val="clear" w:color="auto" w:fill="FFFFFF"/>
        </w:rPr>
      </w:pPr>
      <w:r w:rsidRPr="009A5B5C">
        <w:rPr>
          <w:color w:val="212121"/>
          <w:shd w:val="clear" w:color="auto" w:fill="FFFFFF"/>
        </w:rPr>
        <w:t xml:space="preserve">method: whose psychiatric history is measured? Am J Psychiatry. 1991 Nov;148(11):1501-4. </w:t>
      </w:r>
    </w:p>
    <w:p w14:paraId="332F701C" w14:textId="77777777" w:rsidR="009A5B5C" w:rsidRDefault="009A5B5C" w:rsidP="00E66ACE">
      <w:pPr>
        <w:pStyle w:val="BodyText3"/>
        <w:spacing w:line="480" w:lineRule="auto"/>
        <w:ind w:left="720" w:hanging="720"/>
        <w:rPr>
          <w:color w:val="212121"/>
          <w:shd w:val="clear" w:color="auto" w:fill="FFFFFF"/>
        </w:rPr>
      </w:pPr>
      <w:proofErr w:type="spellStart"/>
      <w:r w:rsidRPr="009A5B5C">
        <w:rPr>
          <w:color w:val="212121"/>
          <w:shd w:val="clear" w:color="auto" w:fill="FFFFFF"/>
        </w:rPr>
        <w:t>doi</w:t>
      </w:r>
      <w:proofErr w:type="spellEnd"/>
      <w:r w:rsidRPr="009A5B5C">
        <w:rPr>
          <w:color w:val="212121"/>
          <w:shd w:val="clear" w:color="auto" w:fill="FFFFFF"/>
        </w:rPr>
        <w:t>: 10.1176/ajp.148.11.1501. PMID: 1928463.</w:t>
      </w:r>
    </w:p>
    <w:p w14:paraId="3DB093DE" w14:textId="77777777" w:rsidR="009A5B5C" w:rsidRDefault="009A5B5C" w:rsidP="00E66ACE">
      <w:pPr>
        <w:pStyle w:val="BodyText3"/>
        <w:spacing w:line="480" w:lineRule="auto"/>
        <w:ind w:left="720" w:hanging="720"/>
        <w:rPr>
          <w:color w:val="212121"/>
          <w:shd w:val="clear" w:color="auto" w:fill="FFFFFF"/>
        </w:rPr>
      </w:pPr>
    </w:p>
    <w:p w14:paraId="4A00BACB" w14:textId="77777777" w:rsidR="009A5B5C" w:rsidRDefault="009A5B5C" w:rsidP="00E66ACE">
      <w:pPr>
        <w:pStyle w:val="BodyText3"/>
        <w:spacing w:line="480" w:lineRule="auto"/>
        <w:ind w:left="720" w:hanging="720"/>
        <w:rPr>
          <w:color w:val="212121"/>
          <w:shd w:val="clear" w:color="auto" w:fill="FFFFFF"/>
        </w:rPr>
      </w:pPr>
      <w:r w:rsidRPr="009A5B5C">
        <w:rPr>
          <w:color w:val="212121"/>
          <w:shd w:val="clear" w:color="auto" w:fill="FFFFFF"/>
        </w:rPr>
        <w:t xml:space="preserve">Kim SW, Grant JE. An open naltrexone treatment study in pathological gambling disorder. Int </w:t>
      </w:r>
    </w:p>
    <w:p w14:paraId="4F0BF207" w14:textId="77777777" w:rsidR="009A5B5C" w:rsidRDefault="009A5B5C" w:rsidP="00E66ACE">
      <w:pPr>
        <w:pStyle w:val="BodyText3"/>
        <w:spacing w:line="480" w:lineRule="auto"/>
        <w:ind w:left="720" w:hanging="720"/>
        <w:rPr>
          <w:color w:val="212121"/>
          <w:shd w:val="clear" w:color="auto" w:fill="FFFFFF"/>
        </w:rPr>
      </w:pPr>
      <w:r w:rsidRPr="009A5B5C">
        <w:rPr>
          <w:color w:val="212121"/>
          <w:shd w:val="clear" w:color="auto" w:fill="FFFFFF"/>
        </w:rPr>
        <w:t xml:space="preserve">Clin </w:t>
      </w:r>
      <w:proofErr w:type="spellStart"/>
      <w:r w:rsidRPr="009A5B5C">
        <w:rPr>
          <w:color w:val="212121"/>
          <w:shd w:val="clear" w:color="auto" w:fill="FFFFFF"/>
        </w:rPr>
        <w:t>Psychopharmacol</w:t>
      </w:r>
      <w:proofErr w:type="spellEnd"/>
      <w:r w:rsidRPr="009A5B5C">
        <w:rPr>
          <w:color w:val="212121"/>
          <w:shd w:val="clear" w:color="auto" w:fill="FFFFFF"/>
        </w:rPr>
        <w:t xml:space="preserve">. 2001 Sep;16(5):285-9. </w:t>
      </w:r>
      <w:proofErr w:type="spellStart"/>
      <w:r w:rsidRPr="009A5B5C">
        <w:rPr>
          <w:color w:val="212121"/>
          <w:shd w:val="clear" w:color="auto" w:fill="FFFFFF"/>
        </w:rPr>
        <w:t>doi</w:t>
      </w:r>
      <w:proofErr w:type="spellEnd"/>
      <w:r w:rsidRPr="009A5B5C">
        <w:rPr>
          <w:color w:val="212121"/>
          <w:shd w:val="clear" w:color="auto" w:fill="FFFFFF"/>
        </w:rPr>
        <w:t xml:space="preserve">: 10.1097/00004850-200109000-00006. </w:t>
      </w:r>
    </w:p>
    <w:p w14:paraId="24D886DD" w14:textId="190AD14B" w:rsidR="009A5B5C" w:rsidRPr="009A5B5C" w:rsidRDefault="009A5B5C" w:rsidP="00E66ACE">
      <w:pPr>
        <w:pStyle w:val="BodyText3"/>
        <w:spacing w:line="480" w:lineRule="auto"/>
        <w:ind w:left="720" w:hanging="720"/>
        <w:rPr>
          <w:color w:val="212121"/>
          <w:shd w:val="clear" w:color="auto" w:fill="FFFFFF"/>
        </w:rPr>
      </w:pPr>
      <w:r w:rsidRPr="009A5B5C">
        <w:rPr>
          <w:color w:val="212121"/>
          <w:shd w:val="clear" w:color="auto" w:fill="FFFFFF"/>
        </w:rPr>
        <w:t>PMID: 11552772.</w:t>
      </w:r>
    </w:p>
    <w:p w14:paraId="6F68507F" w14:textId="77777777" w:rsidR="009A5B5C" w:rsidRDefault="009A5B5C" w:rsidP="00E66ACE">
      <w:pPr>
        <w:pStyle w:val="BodyText3"/>
        <w:spacing w:line="480" w:lineRule="auto"/>
        <w:ind w:left="720" w:hanging="720"/>
        <w:rPr>
          <w:color w:val="212121"/>
          <w:shd w:val="clear" w:color="auto" w:fill="FFFFFF"/>
        </w:rPr>
      </w:pPr>
    </w:p>
    <w:p w14:paraId="5F1DBECE" w14:textId="77777777" w:rsidR="009A5B5C" w:rsidRDefault="009A5B5C" w:rsidP="00E66ACE">
      <w:pPr>
        <w:pStyle w:val="BodyText3"/>
        <w:spacing w:line="480" w:lineRule="auto"/>
        <w:ind w:left="720" w:hanging="720"/>
        <w:rPr>
          <w:color w:val="212121"/>
          <w:shd w:val="clear" w:color="auto" w:fill="FFFFFF"/>
        </w:rPr>
      </w:pPr>
      <w:r w:rsidRPr="009A5B5C">
        <w:rPr>
          <w:color w:val="212121"/>
          <w:shd w:val="clear" w:color="auto" w:fill="FFFFFF"/>
        </w:rPr>
        <w:t xml:space="preserve">Kim SW, Grant JE, Adson DE, Shin YC. Double-blind naltrexone and placebo comparison study </w:t>
      </w:r>
    </w:p>
    <w:p w14:paraId="5E7CD30F" w14:textId="77777777" w:rsidR="009A5B5C" w:rsidRDefault="009A5B5C" w:rsidP="00E66ACE">
      <w:pPr>
        <w:pStyle w:val="BodyText3"/>
        <w:spacing w:line="480" w:lineRule="auto"/>
        <w:ind w:left="720" w:hanging="720"/>
        <w:rPr>
          <w:color w:val="212121"/>
          <w:shd w:val="clear" w:color="auto" w:fill="FFFFFF"/>
        </w:rPr>
      </w:pPr>
      <w:r w:rsidRPr="009A5B5C">
        <w:rPr>
          <w:color w:val="212121"/>
          <w:shd w:val="clear" w:color="auto" w:fill="FFFFFF"/>
        </w:rPr>
        <w:t xml:space="preserve">in the treatment of pathological gambling. Biol Psychiatry. 2001 Jun 1;49(11):914-21. </w:t>
      </w:r>
      <w:proofErr w:type="spellStart"/>
      <w:r w:rsidRPr="009A5B5C">
        <w:rPr>
          <w:color w:val="212121"/>
          <w:shd w:val="clear" w:color="auto" w:fill="FFFFFF"/>
        </w:rPr>
        <w:t>doi</w:t>
      </w:r>
      <w:proofErr w:type="spellEnd"/>
      <w:r w:rsidRPr="009A5B5C">
        <w:rPr>
          <w:color w:val="212121"/>
          <w:shd w:val="clear" w:color="auto" w:fill="FFFFFF"/>
        </w:rPr>
        <w:t xml:space="preserve">: </w:t>
      </w:r>
    </w:p>
    <w:p w14:paraId="74DE685A" w14:textId="77777777" w:rsidR="009A5B5C" w:rsidRDefault="009A5B5C" w:rsidP="00E66ACE">
      <w:pPr>
        <w:pStyle w:val="BodyText3"/>
        <w:spacing w:line="480" w:lineRule="auto"/>
        <w:ind w:left="720" w:hanging="720"/>
        <w:rPr>
          <w:color w:val="212121"/>
          <w:shd w:val="clear" w:color="auto" w:fill="FFFFFF"/>
        </w:rPr>
      </w:pPr>
      <w:r w:rsidRPr="009A5B5C">
        <w:rPr>
          <w:color w:val="212121"/>
          <w:shd w:val="clear" w:color="auto" w:fill="FFFFFF"/>
        </w:rPr>
        <w:t>10.1016/s0006-3223(01)01079-4. PMID: 11377409.</w:t>
      </w:r>
    </w:p>
    <w:p w14:paraId="6B42AF7A" w14:textId="77777777" w:rsidR="009A5B5C" w:rsidRDefault="009A5B5C" w:rsidP="00E66ACE">
      <w:pPr>
        <w:pStyle w:val="BodyText3"/>
        <w:spacing w:line="480" w:lineRule="auto"/>
        <w:ind w:left="720" w:hanging="720"/>
        <w:rPr>
          <w:color w:val="212121"/>
          <w:shd w:val="clear" w:color="auto" w:fill="FFFFFF"/>
        </w:rPr>
      </w:pPr>
    </w:p>
    <w:p w14:paraId="1CDF1F76" w14:textId="77777777" w:rsidR="009A5B5C" w:rsidRDefault="009A5B5C" w:rsidP="00E66ACE">
      <w:pPr>
        <w:pStyle w:val="BodyText3"/>
        <w:spacing w:line="480" w:lineRule="auto"/>
        <w:ind w:left="720" w:hanging="720"/>
        <w:rPr>
          <w:color w:val="212121"/>
          <w:shd w:val="clear" w:color="auto" w:fill="FFFFFF"/>
        </w:rPr>
      </w:pPr>
      <w:r w:rsidRPr="009A5B5C">
        <w:rPr>
          <w:color w:val="212121"/>
          <w:shd w:val="clear" w:color="auto" w:fill="FFFFFF"/>
        </w:rPr>
        <w:t xml:space="preserve">Kim SW, Grant JE, Adson DE, Shin YC, Zaninelli R. A double-blind placebo-controlled study </w:t>
      </w:r>
    </w:p>
    <w:p w14:paraId="0159C943" w14:textId="77777777" w:rsidR="009A5B5C" w:rsidRDefault="009A5B5C" w:rsidP="00E66ACE">
      <w:pPr>
        <w:pStyle w:val="BodyText3"/>
        <w:spacing w:line="480" w:lineRule="auto"/>
        <w:ind w:left="720" w:hanging="720"/>
        <w:rPr>
          <w:color w:val="212121"/>
          <w:shd w:val="clear" w:color="auto" w:fill="FFFFFF"/>
        </w:rPr>
      </w:pPr>
      <w:r w:rsidRPr="009A5B5C">
        <w:rPr>
          <w:color w:val="212121"/>
          <w:shd w:val="clear" w:color="auto" w:fill="FFFFFF"/>
        </w:rPr>
        <w:t xml:space="preserve">of the efficacy and safety of paroxetine in the treatment of pathological gambling. J Clin </w:t>
      </w:r>
    </w:p>
    <w:p w14:paraId="660983C0" w14:textId="36C6BD52" w:rsidR="00665D76" w:rsidRPr="009A5B5C" w:rsidRDefault="009A5B5C" w:rsidP="00E66ACE">
      <w:pPr>
        <w:pStyle w:val="BodyText3"/>
        <w:spacing w:line="480" w:lineRule="auto"/>
        <w:ind w:left="720" w:hanging="720"/>
        <w:rPr>
          <w:color w:val="212121"/>
          <w:szCs w:val="24"/>
          <w:shd w:val="clear" w:color="auto" w:fill="FFFFFF"/>
        </w:rPr>
      </w:pPr>
      <w:r w:rsidRPr="009A5B5C">
        <w:rPr>
          <w:color w:val="212121"/>
          <w:shd w:val="clear" w:color="auto" w:fill="FFFFFF"/>
        </w:rPr>
        <w:t xml:space="preserve">Psychiatry. 2002 Jun;63(6):501-7. </w:t>
      </w:r>
      <w:proofErr w:type="spellStart"/>
      <w:r w:rsidRPr="009A5B5C">
        <w:rPr>
          <w:color w:val="212121"/>
          <w:shd w:val="clear" w:color="auto" w:fill="FFFFFF"/>
        </w:rPr>
        <w:t>doi</w:t>
      </w:r>
      <w:proofErr w:type="spellEnd"/>
      <w:r w:rsidRPr="009A5B5C">
        <w:rPr>
          <w:color w:val="212121"/>
          <w:shd w:val="clear" w:color="auto" w:fill="FFFFFF"/>
        </w:rPr>
        <w:t>: 10.4088/jcp.v63n0606. PMID: 12088161.</w:t>
      </w:r>
    </w:p>
    <w:p w14:paraId="20277735" w14:textId="77777777" w:rsidR="009A5B5C" w:rsidRDefault="009A5B5C" w:rsidP="00E66ACE">
      <w:pPr>
        <w:pStyle w:val="BodyText3"/>
        <w:spacing w:line="480" w:lineRule="auto"/>
        <w:ind w:left="720" w:hanging="720"/>
        <w:rPr>
          <w:color w:val="212121"/>
          <w:szCs w:val="24"/>
          <w:shd w:val="clear" w:color="auto" w:fill="FFFFFF"/>
        </w:rPr>
      </w:pPr>
    </w:p>
    <w:p w14:paraId="646C4D5A" w14:textId="6C8AB3FA" w:rsidR="00665D76" w:rsidRPr="004F696E" w:rsidRDefault="00665D76" w:rsidP="00E66ACE">
      <w:pPr>
        <w:pStyle w:val="BodyText3"/>
        <w:spacing w:line="480" w:lineRule="auto"/>
        <w:ind w:left="720" w:hanging="720"/>
        <w:rPr>
          <w:color w:val="212121"/>
          <w:szCs w:val="24"/>
          <w:shd w:val="clear" w:color="auto" w:fill="FFFFFF"/>
        </w:rPr>
      </w:pPr>
      <w:r w:rsidRPr="004F696E">
        <w:rPr>
          <w:color w:val="212121"/>
          <w:szCs w:val="24"/>
          <w:shd w:val="clear" w:color="auto" w:fill="FFFFFF"/>
        </w:rPr>
        <w:t xml:space="preserve">Kim SW, Grant JE, Potenza MN, Blanco C, Hollander E. The Gambling Symptom </w:t>
      </w:r>
    </w:p>
    <w:p w14:paraId="1FA27210" w14:textId="77777777" w:rsidR="00665D76" w:rsidRPr="004F696E" w:rsidRDefault="00665D76" w:rsidP="00E66ACE">
      <w:pPr>
        <w:pStyle w:val="BodyText3"/>
        <w:spacing w:line="480" w:lineRule="auto"/>
        <w:ind w:left="720" w:hanging="720"/>
        <w:rPr>
          <w:color w:val="212121"/>
          <w:szCs w:val="24"/>
          <w:shd w:val="clear" w:color="auto" w:fill="FFFFFF"/>
        </w:rPr>
      </w:pPr>
      <w:r w:rsidRPr="004F696E">
        <w:rPr>
          <w:color w:val="212121"/>
          <w:szCs w:val="24"/>
          <w:shd w:val="clear" w:color="auto" w:fill="FFFFFF"/>
        </w:rPr>
        <w:t xml:space="preserve">Assessment Scale (G-SAS): a reliability and validity study. Psychiatry Res. 2009 Mar </w:t>
      </w:r>
    </w:p>
    <w:p w14:paraId="006CBAA5" w14:textId="77777777" w:rsidR="00665D76" w:rsidRPr="004F696E" w:rsidRDefault="00665D76" w:rsidP="00E66ACE">
      <w:pPr>
        <w:pStyle w:val="BodyText3"/>
        <w:spacing w:line="480" w:lineRule="auto"/>
        <w:ind w:left="720" w:hanging="720"/>
        <w:rPr>
          <w:color w:val="212121"/>
          <w:szCs w:val="24"/>
          <w:shd w:val="clear" w:color="auto" w:fill="FFFFFF"/>
        </w:rPr>
      </w:pPr>
      <w:r w:rsidRPr="004F696E">
        <w:rPr>
          <w:color w:val="212121"/>
          <w:szCs w:val="24"/>
          <w:shd w:val="clear" w:color="auto" w:fill="FFFFFF"/>
        </w:rPr>
        <w:t xml:space="preserve">31;166(1):76-84. </w:t>
      </w:r>
      <w:proofErr w:type="spellStart"/>
      <w:r w:rsidRPr="004F696E">
        <w:rPr>
          <w:color w:val="212121"/>
          <w:szCs w:val="24"/>
          <w:shd w:val="clear" w:color="auto" w:fill="FFFFFF"/>
        </w:rPr>
        <w:t>doi</w:t>
      </w:r>
      <w:proofErr w:type="spellEnd"/>
      <w:r w:rsidRPr="004F696E">
        <w:rPr>
          <w:color w:val="212121"/>
          <w:szCs w:val="24"/>
          <w:shd w:val="clear" w:color="auto" w:fill="FFFFFF"/>
        </w:rPr>
        <w:t xml:space="preserve">: 10.1016/j.psychres.2007.11.008. </w:t>
      </w:r>
      <w:proofErr w:type="spellStart"/>
      <w:r w:rsidRPr="004F696E">
        <w:rPr>
          <w:color w:val="212121"/>
          <w:szCs w:val="24"/>
          <w:shd w:val="clear" w:color="auto" w:fill="FFFFFF"/>
        </w:rPr>
        <w:t>Epub</w:t>
      </w:r>
      <w:proofErr w:type="spellEnd"/>
      <w:r w:rsidRPr="004F696E">
        <w:rPr>
          <w:color w:val="212121"/>
          <w:szCs w:val="24"/>
          <w:shd w:val="clear" w:color="auto" w:fill="FFFFFF"/>
        </w:rPr>
        <w:t xml:space="preserve"> 2009 Feb 5. PMID: 19200607; </w:t>
      </w:r>
    </w:p>
    <w:p w14:paraId="73AAA179" w14:textId="35FE8623" w:rsidR="00E66ACE" w:rsidRPr="004F696E" w:rsidRDefault="00665D76" w:rsidP="00E66ACE">
      <w:pPr>
        <w:pStyle w:val="BodyText3"/>
        <w:spacing w:line="480" w:lineRule="auto"/>
        <w:ind w:left="720" w:hanging="720"/>
        <w:rPr>
          <w:color w:val="212121"/>
          <w:szCs w:val="24"/>
          <w:shd w:val="clear" w:color="auto" w:fill="FFFFFF"/>
        </w:rPr>
      </w:pPr>
      <w:r w:rsidRPr="004F696E">
        <w:rPr>
          <w:color w:val="212121"/>
          <w:szCs w:val="24"/>
          <w:shd w:val="clear" w:color="auto" w:fill="FFFFFF"/>
        </w:rPr>
        <w:t>PMCID: PMC3641525.</w:t>
      </w:r>
    </w:p>
    <w:p w14:paraId="4E18E266" w14:textId="77777777" w:rsidR="005D1BF6" w:rsidRDefault="005D1BF6" w:rsidP="00C41544">
      <w:pPr>
        <w:widowControl w:val="0"/>
        <w:autoSpaceDE w:val="0"/>
        <w:autoSpaceDN w:val="0"/>
        <w:adjustRightInd w:val="0"/>
        <w:spacing w:after="200" w:line="480" w:lineRule="auto"/>
        <w:contextualSpacing/>
        <w:rPr>
          <w:color w:val="212121"/>
          <w:sz w:val="24"/>
          <w:szCs w:val="24"/>
          <w:shd w:val="clear" w:color="auto" w:fill="FFFFFF"/>
        </w:rPr>
      </w:pPr>
    </w:p>
    <w:p w14:paraId="683AC567" w14:textId="0CB31AD4" w:rsidR="00C41544" w:rsidRPr="005D1BF6" w:rsidRDefault="005D1BF6" w:rsidP="00C41544">
      <w:pPr>
        <w:widowControl w:val="0"/>
        <w:autoSpaceDE w:val="0"/>
        <w:autoSpaceDN w:val="0"/>
        <w:adjustRightInd w:val="0"/>
        <w:spacing w:after="200" w:line="480" w:lineRule="auto"/>
        <w:contextualSpacing/>
        <w:rPr>
          <w:rFonts w:eastAsia="Calibri"/>
          <w:noProof/>
          <w:sz w:val="24"/>
          <w:szCs w:val="24"/>
        </w:rPr>
      </w:pPr>
      <w:r w:rsidRPr="005D1BF6">
        <w:rPr>
          <w:color w:val="212121"/>
          <w:sz w:val="24"/>
          <w:szCs w:val="24"/>
          <w:shd w:val="clear" w:color="auto" w:fill="FFFFFF"/>
        </w:rPr>
        <w:t xml:space="preserve">Ladd GT, Petry NM. Gender differences among pathological gamblers seeking treatment. Exp Clin </w:t>
      </w:r>
      <w:proofErr w:type="spellStart"/>
      <w:r w:rsidRPr="005D1BF6">
        <w:rPr>
          <w:color w:val="212121"/>
          <w:sz w:val="24"/>
          <w:szCs w:val="24"/>
          <w:shd w:val="clear" w:color="auto" w:fill="FFFFFF"/>
        </w:rPr>
        <w:t>Psychopharmacol</w:t>
      </w:r>
      <w:proofErr w:type="spellEnd"/>
      <w:r w:rsidRPr="005D1BF6">
        <w:rPr>
          <w:color w:val="212121"/>
          <w:sz w:val="24"/>
          <w:szCs w:val="24"/>
          <w:shd w:val="clear" w:color="auto" w:fill="FFFFFF"/>
        </w:rPr>
        <w:t xml:space="preserve">. 2002 Aug;10(3):302-9. </w:t>
      </w:r>
      <w:proofErr w:type="spellStart"/>
      <w:r w:rsidRPr="005D1BF6">
        <w:rPr>
          <w:color w:val="212121"/>
          <w:sz w:val="24"/>
          <w:szCs w:val="24"/>
          <w:shd w:val="clear" w:color="auto" w:fill="FFFFFF"/>
        </w:rPr>
        <w:t>doi</w:t>
      </w:r>
      <w:proofErr w:type="spellEnd"/>
      <w:r w:rsidRPr="005D1BF6">
        <w:rPr>
          <w:color w:val="212121"/>
          <w:sz w:val="24"/>
          <w:szCs w:val="24"/>
          <w:shd w:val="clear" w:color="auto" w:fill="FFFFFF"/>
        </w:rPr>
        <w:t>: 10.1037//1064-1297.10.3.302. PMID: 12233991.</w:t>
      </w:r>
    </w:p>
    <w:p w14:paraId="70D1039C" w14:textId="77777777" w:rsidR="005D1BF6" w:rsidRDefault="005D1BF6" w:rsidP="00C41544">
      <w:pPr>
        <w:widowControl w:val="0"/>
        <w:autoSpaceDE w:val="0"/>
        <w:autoSpaceDN w:val="0"/>
        <w:adjustRightInd w:val="0"/>
        <w:spacing w:after="200" w:line="480" w:lineRule="auto"/>
        <w:contextualSpacing/>
        <w:rPr>
          <w:rFonts w:eastAsia="Calibri"/>
          <w:noProof/>
          <w:sz w:val="24"/>
          <w:szCs w:val="24"/>
        </w:rPr>
      </w:pPr>
    </w:p>
    <w:p w14:paraId="186E5E33" w14:textId="4C5AA69C" w:rsidR="00445464" w:rsidRPr="00445464" w:rsidRDefault="00445464" w:rsidP="00C41544">
      <w:pPr>
        <w:widowControl w:val="0"/>
        <w:autoSpaceDE w:val="0"/>
        <w:autoSpaceDN w:val="0"/>
        <w:adjustRightInd w:val="0"/>
        <w:spacing w:after="200" w:line="480" w:lineRule="auto"/>
        <w:contextualSpacing/>
        <w:rPr>
          <w:rFonts w:eastAsia="Calibri"/>
          <w:noProof/>
          <w:sz w:val="24"/>
          <w:szCs w:val="24"/>
        </w:rPr>
      </w:pPr>
      <w:r w:rsidRPr="00976D63">
        <w:rPr>
          <w:color w:val="212121"/>
          <w:sz w:val="24"/>
          <w:szCs w:val="24"/>
          <w:shd w:val="clear" w:color="auto" w:fill="FFFFFF"/>
        </w:rPr>
        <w:t xml:space="preserve">Lundin RM, Falcao VP, Kannangara S, Eakin CW, Abdar M, O'Neill J, Khosravi A, Eyre H, </w:t>
      </w:r>
      <w:proofErr w:type="spellStart"/>
      <w:r w:rsidRPr="00976D63">
        <w:rPr>
          <w:color w:val="212121"/>
          <w:sz w:val="24"/>
          <w:szCs w:val="24"/>
          <w:shd w:val="clear" w:color="auto" w:fill="FFFFFF"/>
        </w:rPr>
        <w:t>Nahavandi</w:t>
      </w:r>
      <w:proofErr w:type="spellEnd"/>
      <w:r w:rsidRPr="00976D63">
        <w:rPr>
          <w:color w:val="212121"/>
          <w:sz w:val="24"/>
          <w:szCs w:val="24"/>
          <w:shd w:val="clear" w:color="auto" w:fill="FFFFFF"/>
        </w:rPr>
        <w:t xml:space="preserve"> S, Loo C, Berk M. Machine Learning in Electroconvulsive Therapy: A Systematic Review. J ECT. 2024 Jun 10. </w:t>
      </w:r>
      <w:proofErr w:type="spellStart"/>
      <w:r w:rsidRPr="00976D63">
        <w:rPr>
          <w:color w:val="212121"/>
          <w:sz w:val="24"/>
          <w:szCs w:val="24"/>
          <w:shd w:val="clear" w:color="auto" w:fill="FFFFFF"/>
        </w:rPr>
        <w:t>doi</w:t>
      </w:r>
      <w:proofErr w:type="spellEnd"/>
      <w:r w:rsidRPr="00976D63">
        <w:rPr>
          <w:color w:val="212121"/>
          <w:sz w:val="24"/>
          <w:szCs w:val="24"/>
          <w:shd w:val="clear" w:color="auto" w:fill="FFFFFF"/>
        </w:rPr>
        <w:t xml:space="preserve">: 10.1097/YCT.0000000000001009. </w:t>
      </w:r>
      <w:proofErr w:type="spellStart"/>
      <w:r w:rsidRPr="00976D63">
        <w:rPr>
          <w:color w:val="212121"/>
          <w:sz w:val="24"/>
          <w:szCs w:val="24"/>
          <w:shd w:val="clear" w:color="auto" w:fill="FFFFFF"/>
        </w:rPr>
        <w:t>Epub</w:t>
      </w:r>
      <w:proofErr w:type="spellEnd"/>
      <w:r w:rsidRPr="00976D63">
        <w:rPr>
          <w:color w:val="212121"/>
          <w:sz w:val="24"/>
          <w:szCs w:val="24"/>
          <w:shd w:val="clear" w:color="auto" w:fill="FFFFFF"/>
        </w:rPr>
        <w:t xml:space="preserve"> ahead of print. PMID: 38857315.</w:t>
      </w:r>
    </w:p>
    <w:p w14:paraId="519C1874" w14:textId="77777777" w:rsidR="00445464" w:rsidRDefault="00445464" w:rsidP="00C41544">
      <w:pPr>
        <w:widowControl w:val="0"/>
        <w:autoSpaceDE w:val="0"/>
        <w:autoSpaceDN w:val="0"/>
        <w:adjustRightInd w:val="0"/>
        <w:spacing w:after="200" w:line="480" w:lineRule="auto"/>
        <w:contextualSpacing/>
        <w:rPr>
          <w:rFonts w:eastAsia="Calibri"/>
          <w:noProof/>
          <w:sz w:val="24"/>
          <w:szCs w:val="24"/>
        </w:rPr>
      </w:pPr>
    </w:p>
    <w:p w14:paraId="015F5CF6" w14:textId="68E59FBB" w:rsidR="0018511C" w:rsidRDefault="0018511C" w:rsidP="00C41544">
      <w:pPr>
        <w:widowControl w:val="0"/>
        <w:autoSpaceDE w:val="0"/>
        <w:autoSpaceDN w:val="0"/>
        <w:adjustRightInd w:val="0"/>
        <w:spacing w:after="200" w:line="480" w:lineRule="auto"/>
        <w:contextualSpacing/>
        <w:rPr>
          <w:rFonts w:eastAsia="Calibri"/>
          <w:noProof/>
          <w:sz w:val="24"/>
          <w:szCs w:val="24"/>
        </w:rPr>
      </w:pPr>
      <w:r w:rsidRPr="0018511C">
        <w:rPr>
          <w:rFonts w:eastAsia="Calibri"/>
          <w:noProof/>
          <w:sz w:val="24"/>
          <w:szCs w:val="24"/>
        </w:rPr>
        <w:t>Merkouris SS, Thomas SA, Browning CJ, Dowling NA. Predictors of outcomes of psychological treatments for disordered gambling: A systematic review. Clin Psychol Rev. 2016 Aug;48:7-31. doi: 10.1016/j.cpr.2016.06.004. Epub 2016 Jun 23. PMID: 27372437.</w:t>
      </w:r>
    </w:p>
    <w:p w14:paraId="1FC29C1A" w14:textId="77777777" w:rsidR="0018511C" w:rsidRDefault="0018511C" w:rsidP="00C41544">
      <w:pPr>
        <w:widowControl w:val="0"/>
        <w:autoSpaceDE w:val="0"/>
        <w:autoSpaceDN w:val="0"/>
        <w:adjustRightInd w:val="0"/>
        <w:spacing w:after="200" w:line="480" w:lineRule="auto"/>
        <w:contextualSpacing/>
        <w:rPr>
          <w:rFonts w:eastAsia="Calibri"/>
          <w:noProof/>
          <w:sz w:val="24"/>
          <w:szCs w:val="24"/>
        </w:rPr>
      </w:pPr>
    </w:p>
    <w:p w14:paraId="3BDB4645" w14:textId="77777777" w:rsidR="0018511C" w:rsidRDefault="0018511C" w:rsidP="00C41544">
      <w:pPr>
        <w:widowControl w:val="0"/>
        <w:autoSpaceDE w:val="0"/>
        <w:autoSpaceDN w:val="0"/>
        <w:adjustRightInd w:val="0"/>
        <w:spacing w:after="200" w:line="480" w:lineRule="auto"/>
        <w:contextualSpacing/>
        <w:rPr>
          <w:rFonts w:eastAsia="Calibri"/>
          <w:noProof/>
          <w:sz w:val="24"/>
          <w:szCs w:val="24"/>
        </w:rPr>
      </w:pPr>
    </w:p>
    <w:p w14:paraId="7642043D" w14:textId="2201D87F" w:rsidR="00C6286B" w:rsidRDefault="00C6286B" w:rsidP="00C41544">
      <w:pPr>
        <w:widowControl w:val="0"/>
        <w:autoSpaceDE w:val="0"/>
        <w:autoSpaceDN w:val="0"/>
        <w:adjustRightInd w:val="0"/>
        <w:spacing w:after="200" w:line="480" w:lineRule="auto"/>
        <w:contextualSpacing/>
        <w:rPr>
          <w:rFonts w:eastAsia="Calibri"/>
          <w:noProof/>
          <w:sz w:val="24"/>
          <w:szCs w:val="24"/>
        </w:rPr>
      </w:pPr>
      <w:r w:rsidRPr="00C6286B">
        <w:rPr>
          <w:rFonts w:eastAsia="Calibri"/>
          <w:noProof/>
          <w:sz w:val="24"/>
          <w:szCs w:val="24"/>
        </w:rPr>
        <w:t>Milne BJ, Caspi A, Harrington H, Poulton R, Rutter M, Moffitt TE. Predictive value of family history on severity of illness: the case for depression, anxiety, alcohol dependence, and drug dependence. Arch Gen Psychiatry. 2009 Jul;66(7):738-47. doi: 10.1001/archgenpsychiatry.2009.55. PMID: 19581565; PMCID: PMC3752832.</w:t>
      </w:r>
    </w:p>
    <w:p w14:paraId="30A281E7" w14:textId="77777777" w:rsidR="00C6286B" w:rsidRDefault="00C6286B" w:rsidP="00C41544">
      <w:pPr>
        <w:widowControl w:val="0"/>
        <w:autoSpaceDE w:val="0"/>
        <w:autoSpaceDN w:val="0"/>
        <w:adjustRightInd w:val="0"/>
        <w:spacing w:after="200" w:line="480" w:lineRule="auto"/>
        <w:contextualSpacing/>
        <w:rPr>
          <w:rFonts w:eastAsia="Calibri"/>
          <w:noProof/>
          <w:sz w:val="24"/>
          <w:szCs w:val="24"/>
        </w:rPr>
      </w:pPr>
    </w:p>
    <w:p w14:paraId="1EC9D83A" w14:textId="1FD45A8C" w:rsidR="00370D27" w:rsidRDefault="00370D27" w:rsidP="00C41544">
      <w:pPr>
        <w:widowControl w:val="0"/>
        <w:autoSpaceDE w:val="0"/>
        <w:autoSpaceDN w:val="0"/>
        <w:adjustRightInd w:val="0"/>
        <w:spacing w:after="200" w:line="480" w:lineRule="auto"/>
        <w:contextualSpacing/>
        <w:rPr>
          <w:rFonts w:eastAsia="Calibri"/>
          <w:noProof/>
          <w:sz w:val="24"/>
          <w:szCs w:val="24"/>
        </w:rPr>
      </w:pPr>
      <w:r w:rsidRPr="00370D27">
        <w:rPr>
          <w:rFonts w:eastAsia="Calibri"/>
          <w:noProof/>
          <w:sz w:val="24"/>
          <w:szCs w:val="24"/>
        </w:rPr>
        <w:t>Nower L, Blaszczynski A, Anthony WL. Clarifying gambling subtypes: the revised pathways model of problem gambling. Addiction. 2022 Jul;117(7):2000-2008. doi: 10.1111/add.15745. Epub 2021 Nov 30. PMID: 34792223; PMCID: PMC9299878.</w:t>
      </w:r>
    </w:p>
    <w:p w14:paraId="27404157" w14:textId="77777777" w:rsidR="00370D27" w:rsidRDefault="00370D27" w:rsidP="00C41544">
      <w:pPr>
        <w:widowControl w:val="0"/>
        <w:autoSpaceDE w:val="0"/>
        <w:autoSpaceDN w:val="0"/>
        <w:adjustRightInd w:val="0"/>
        <w:spacing w:after="200" w:line="480" w:lineRule="auto"/>
        <w:contextualSpacing/>
        <w:rPr>
          <w:rFonts w:eastAsia="Calibri"/>
          <w:noProof/>
          <w:sz w:val="24"/>
          <w:szCs w:val="24"/>
        </w:rPr>
      </w:pPr>
    </w:p>
    <w:p w14:paraId="4EE5751E" w14:textId="39630840" w:rsidR="00C41544" w:rsidRDefault="00C41544" w:rsidP="00C41544">
      <w:pPr>
        <w:widowControl w:val="0"/>
        <w:autoSpaceDE w:val="0"/>
        <w:autoSpaceDN w:val="0"/>
        <w:adjustRightInd w:val="0"/>
        <w:spacing w:after="200" w:line="480" w:lineRule="auto"/>
        <w:contextualSpacing/>
        <w:rPr>
          <w:rFonts w:eastAsia="Calibri"/>
          <w:noProof/>
          <w:sz w:val="24"/>
          <w:szCs w:val="24"/>
        </w:rPr>
      </w:pPr>
      <w:r w:rsidRPr="00C41544">
        <w:rPr>
          <w:rFonts w:eastAsia="Calibri"/>
          <w:noProof/>
          <w:sz w:val="24"/>
          <w:szCs w:val="24"/>
        </w:rPr>
        <w:t xml:space="preserve">Pallanti S, DeCaria CM, Grant JE, Urpe M, Hollander E. Reliability and Validity of the Pathological Gambling Adaptation of the Yale-Brown Obsessive-Compulsive Scale (PG-YBOCS). </w:t>
      </w:r>
      <w:r w:rsidRPr="00C41544">
        <w:rPr>
          <w:rFonts w:eastAsia="Calibri"/>
          <w:i/>
          <w:iCs/>
          <w:noProof/>
          <w:sz w:val="24"/>
          <w:szCs w:val="24"/>
        </w:rPr>
        <w:t>J Gambl Stud</w:t>
      </w:r>
      <w:r w:rsidRPr="00C41544">
        <w:rPr>
          <w:rFonts w:eastAsia="Calibri"/>
          <w:noProof/>
          <w:sz w:val="24"/>
          <w:szCs w:val="24"/>
        </w:rPr>
        <w:t xml:space="preserve"> 2005; 21 (4): 431–443. </w:t>
      </w:r>
    </w:p>
    <w:p w14:paraId="491654EC" w14:textId="77777777" w:rsidR="000717AE" w:rsidRDefault="000717AE" w:rsidP="00C41544">
      <w:pPr>
        <w:widowControl w:val="0"/>
        <w:autoSpaceDE w:val="0"/>
        <w:autoSpaceDN w:val="0"/>
        <w:adjustRightInd w:val="0"/>
        <w:spacing w:after="200" w:line="480" w:lineRule="auto"/>
        <w:contextualSpacing/>
        <w:rPr>
          <w:rFonts w:eastAsia="Calibri"/>
          <w:noProof/>
          <w:sz w:val="24"/>
          <w:szCs w:val="24"/>
        </w:rPr>
      </w:pPr>
    </w:p>
    <w:p w14:paraId="159AD0EA" w14:textId="2C012501" w:rsidR="000717AE" w:rsidRPr="000717AE" w:rsidRDefault="000717AE" w:rsidP="00C41544">
      <w:pPr>
        <w:widowControl w:val="0"/>
        <w:autoSpaceDE w:val="0"/>
        <w:autoSpaceDN w:val="0"/>
        <w:adjustRightInd w:val="0"/>
        <w:spacing w:after="200" w:line="480" w:lineRule="auto"/>
        <w:contextualSpacing/>
        <w:rPr>
          <w:rFonts w:eastAsia="Calibri"/>
          <w:noProof/>
          <w:sz w:val="24"/>
          <w:szCs w:val="24"/>
        </w:rPr>
      </w:pPr>
      <w:proofErr w:type="spellStart"/>
      <w:r w:rsidRPr="00976D63">
        <w:rPr>
          <w:color w:val="212121"/>
          <w:sz w:val="24"/>
          <w:szCs w:val="24"/>
          <w:shd w:val="clear" w:color="auto" w:fill="FFFFFF"/>
        </w:rPr>
        <w:t>Pilatti</w:t>
      </w:r>
      <w:proofErr w:type="spellEnd"/>
      <w:r w:rsidRPr="00976D63">
        <w:rPr>
          <w:color w:val="212121"/>
          <w:sz w:val="24"/>
          <w:szCs w:val="24"/>
          <w:shd w:val="clear" w:color="auto" w:fill="FFFFFF"/>
        </w:rPr>
        <w:t xml:space="preserve"> A, </w:t>
      </w:r>
      <w:proofErr w:type="spellStart"/>
      <w:r w:rsidRPr="00976D63">
        <w:rPr>
          <w:color w:val="212121"/>
          <w:sz w:val="24"/>
          <w:szCs w:val="24"/>
          <w:shd w:val="clear" w:color="auto" w:fill="FFFFFF"/>
        </w:rPr>
        <w:t>Caneto</w:t>
      </w:r>
      <w:proofErr w:type="spellEnd"/>
      <w:r w:rsidRPr="00976D63">
        <w:rPr>
          <w:color w:val="212121"/>
          <w:sz w:val="24"/>
          <w:szCs w:val="24"/>
          <w:shd w:val="clear" w:color="auto" w:fill="FFFFFF"/>
        </w:rPr>
        <w:t xml:space="preserve"> F, </w:t>
      </w:r>
      <w:proofErr w:type="spellStart"/>
      <w:r w:rsidRPr="00976D63">
        <w:rPr>
          <w:color w:val="212121"/>
          <w:sz w:val="24"/>
          <w:szCs w:val="24"/>
          <w:shd w:val="clear" w:color="auto" w:fill="FFFFFF"/>
        </w:rPr>
        <w:t>Garimaldi</w:t>
      </w:r>
      <w:proofErr w:type="spellEnd"/>
      <w:r w:rsidRPr="00976D63">
        <w:rPr>
          <w:color w:val="212121"/>
          <w:sz w:val="24"/>
          <w:szCs w:val="24"/>
          <w:shd w:val="clear" w:color="auto" w:fill="FFFFFF"/>
        </w:rPr>
        <w:t xml:space="preserve"> JA, Vera </w:t>
      </w:r>
      <w:proofErr w:type="spellStart"/>
      <w:r w:rsidRPr="00976D63">
        <w:rPr>
          <w:color w:val="212121"/>
          <w:sz w:val="24"/>
          <w:szCs w:val="24"/>
          <w:shd w:val="clear" w:color="auto" w:fill="FFFFFF"/>
        </w:rPr>
        <w:t>Bdel</w:t>
      </w:r>
      <w:proofErr w:type="spellEnd"/>
      <w:r w:rsidRPr="00976D63">
        <w:rPr>
          <w:color w:val="212121"/>
          <w:sz w:val="24"/>
          <w:szCs w:val="24"/>
          <w:shd w:val="clear" w:color="auto" w:fill="FFFFFF"/>
        </w:rPr>
        <w:t xml:space="preserve"> V, </w:t>
      </w:r>
      <w:proofErr w:type="spellStart"/>
      <w:r w:rsidRPr="00976D63">
        <w:rPr>
          <w:color w:val="212121"/>
          <w:sz w:val="24"/>
          <w:szCs w:val="24"/>
          <w:shd w:val="clear" w:color="auto" w:fill="FFFFFF"/>
        </w:rPr>
        <w:t>Pautassi</w:t>
      </w:r>
      <w:proofErr w:type="spellEnd"/>
      <w:r w:rsidRPr="00976D63">
        <w:rPr>
          <w:color w:val="212121"/>
          <w:sz w:val="24"/>
          <w:szCs w:val="24"/>
          <w:shd w:val="clear" w:color="auto" w:fill="FFFFFF"/>
        </w:rPr>
        <w:t xml:space="preserve"> RM. Contribution of time of drinking onset and family history of alcohol problems in alcohol and drug use behaviors in Argentinean college students. Alcohol </w:t>
      </w:r>
      <w:proofErr w:type="spellStart"/>
      <w:r w:rsidRPr="00976D63">
        <w:rPr>
          <w:color w:val="212121"/>
          <w:sz w:val="24"/>
          <w:szCs w:val="24"/>
          <w:shd w:val="clear" w:color="auto" w:fill="FFFFFF"/>
        </w:rPr>
        <w:t>Alcohol</w:t>
      </w:r>
      <w:proofErr w:type="spellEnd"/>
      <w:r w:rsidRPr="00976D63">
        <w:rPr>
          <w:color w:val="212121"/>
          <w:sz w:val="24"/>
          <w:szCs w:val="24"/>
          <w:shd w:val="clear" w:color="auto" w:fill="FFFFFF"/>
        </w:rPr>
        <w:t xml:space="preserve">. 2014 Mar-Apr;49(2):128-37. </w:t>
      </w:r>
      <w:proofErr w:type="spellStart"/>
      <w:r w:rsidRPr="00976D63">
        <w:rPr>
          <w:color w:val="212121"/>
          <w:sz w:val="24"/>
          <w:szCs w:val="24"/>
          <w:shd w:val="clear" w:color="auto" w:fill="FFFFFF"/>
        </w:rPr>
        <w:t>doi</w:t>
      </w:r>
      <w:proofErr w:type="spellEnd"/>
      <w:r w:rsidRPr="00976D63">
        <w:rPr>
          <w:color w:val="212121"/>
          <w:sz w:val="24"/>
          <w:szCs w:val="24"/>
          <w:shd w:val="clear" w:color="auto" w:fill="FFFFFF"/>
        </w:rPr>
        <w:t>: 10.1093/</w:t>
      </w:r>
      <w:proofErr w:type="spellStart"/>
      <w:r w:rsidRPr="00976D63">
        <w:rPr>
          <w:color w:val="212121"/>
          <w:sz w:val="24"/>
          <w:szCs w:val="24"/>
          <w:shd w:val="clear" w:color="auto" w:fill="FFFFFF"/>
        </w:rPr>
        <w:t>alcalc</w:t>
      </w:r>
      <w:proofErr w:type="spellEnd"/>
      <w:r w:rsidRPr="00976D63">
        <w:rPr>
          <w:color w:val="212121"/>
          <w:sz w:val="24"/>
          <w:szCs w:val="24"/>
          <w:shd w:val="clear" w:color="auto" w:fill="FFFFFF"/>
        </w:rPr>
        <w:t xml:space="preserve">/agt176. </w:t>
      </w:r>
      <w:proofErr w:type="spellStart"/>
      <w:r w:rsidRPr="00976D63">
        <w:rPr>
          <w:color w:val="212121"/>
          <w:sz w:val="24"/>
          <w:szCs w:val="24"/>
          <w:shd w:val="clear" w:color="auto" w:fill="FFFFFF"/>
        </w:rPr>
        <w:t>Epub</w:t>
      </w:r>
      <w:proofErr w:type="spellEnd"/>
      <w:r w:rsidRPr="00976D63">
        <w:rPr>
          <w:color w:val="212121"/>
          <w:sz w:val="24"/>
          <w:szCs w:val="24"/>
          <w:shd w:val="clear" w:color="auto" w:fill="FFFFFF"/>
        </w:rPr>
        <w:t xml:space="preserve"> 2013 Dec 8. PMID: 24322673.</w:t>
      </w:r>
    </w:p>
    <w:p w14:paraId="3B0E176D" w14:textId="77777777" w:rsidR="000717AE" w:rsidRPr="00C41544" w:rsidRDefault="000717AE" w:rsidP="00C41544">
      <w:pPr>
        <w:widowControl w:val="0"/>
        <w:autoSpaceDE w:val="0"/>
        <w:autoSpaceDN w:val="0"/>
        <w:adjustRightInd w:val="0"/>
        <w:spacing w:after="200" w:line="480" w:lineRule="auto"/>
        <w:contextualSpacing/>
        <w:rPr>
          <w:rFonts w:eastAsia="Calibri"/>
          <w:noProof/>
          <w:sz w:val="24"/>
          <w:szCs w:val="24"/>
        </w:rPr>
      </w:pPr>
    </w:p>
    <w:p w14:paraId="18FFE2B7" w14:textId="77777777" w:rsidR="005D1BF6" w:rsidRPr="005D1BF6" w:rsidRDefault="005D1BF6" w:rsidP="00E66ACE">
      <w:pPr>
        <w:pStyle w:val="BodyText3"/>
        <w:spacing w:line="480" w:lineRule="auto"/>
        <w:ind w:left="720" w:hanging="720"/>
        <w:rPr>
          <w:color w:val="212121"/>
          <w:shd w:val="clear" w:color="auto" w:fill="FFFFFF"/>
        </w:rPr>
      </w:pPr>
      <w:r w:rsidRPr="005D1BF6">
        <w:rPr>
          <w:color w:val="212121"/>
          <w:shd w:val="clear" w:color="auto" w:fill="FFFFFF"/>
        </w:rPr>
        <w:t>Potenza MN, Steinberg MA, McLaughlin SD, Wu R, Rounsaville BJ, O'Malley SS. Gender-</w:t>
      </w:r>
    </w:p>
    <w:p w14:paraId="150D4A18" w14:textId="77777777" w:rsidR="005D1BF6" w:rsidRPr="005D1BF6" w:rsidRDefault="005D1BF6" w:rsidP="00E66ACE">
      <w:pPr>
        <w:pStyle w:val="BodyText3"/>
        <w:spacing w:line="480" w:lineRule="auto"/>
        <w:ind w:left="720" w:hanging="720"/>
        <w:rPr>
          <w:color w:val="212121"/>
          <w:shd w:val="clear" w:color="auto" w:fill="FFFFFF"/>
        </w:rPr>
      </w:pPr>
      <w:r w:rsidRPr="005D1BF6">
        <w:rPr>
          <w:color w:val="212121"/>
          <w:shd w:val="clear" w:color="auto" w:fill="FFFFFF"/>
        </w:rPr>
        <w:t xml:space="preserve">related differences in the characteristics of problem gamblers using a gambling helpline. </w:t>
      </w:r>
    </w:p>
    <w:p w14:paraId="6A13B1EB" w14:textId="77777777" w:rsidR="005D1BF6" w:rsidRPr="005D1BF6" w:rsidRDefault="005D1BF6" w:rsidP="00E66ACE">
      <w:pPr>
        <w:pStyle w:val="BodyText3"/>
        <w:spacing w:line="480" w:lineRule="auto"/>
        <w:ind w:left="720" w:hanging="720"/>
        <w:rPr>
          <w:color w:val="212121"/>
          <w:shd w:val="clear" w:color="auto" w:fill="FFFFFF"/>
        </w:rPr>
      </w:pPr>
      <w:r w:rsidRPr="005D1BF6">
        <w:rPr>
          <w:color w:val="212121"/>
          <w:shd w:val="clear" w:color="auto" w:fill="FFFFFF"/>
        </w:rPr>
        <w:t xml:space="preserve">Am J Psychiatry. 2001 Sep;158(9):1500-5. </w:t>
      </w:r>
      <w:proofErr w:type="spellStart"/>
      <w:r w:rsidRPr="005D1BF6">
        <w:rPr>
          <w:color w:val="212121"/>
          <w:shd w:val="clear" w:color="auto" w:fill="FFFFFF"/>
        </w:rPr>
        <w:t>doi</w:t>
      </w:r>
      <w:proofErr w:type="spellEnd"/>
      <w:r w:rsidRPr="005D1BF6">
        <w:rPr>
          <w:color w:val="212121"/>
          <w:shd w:val="clear" w:color="auto" w:fill="FFFFFF"/>
        </w:rPr>
        <w:t xml:space="preserve">: 10.1176/appi.ajp.158.9.1500. PMID: </w:t>
      </w:r>
    </w:p>
    <w:p w14:paraId="0997932D" w14:textId="39E039BC" w:rsidR="00665D76" w:rsidRPr="005D1BF6" w:rsidRDefault="005D1BF6" w:rsidP="00E66ACE">
      <w:pPr>
        <w:pStyle w:val="BodyText3"/>
        <w:spacing w:line="480" w:lineRule="auto"/>
        <w:ind w:left="720" w:hanging="720"/>
        <w:rPr>
          <w:color w:val="212121"/>
          <w:szCs w:val="24"/>
          <w:shd w:val="clear" w:color="auto" w:fill="FFFFFF"/>
        </w:rPr>
      </w:pPr>
      <w:r w:rsidRPr="005D1BF6">
        <w:rPr>
          <w:color w:val="212121"/>
          <w:shd w:val="clear" w:color="auto" w:fill="FFFFFF"/>
        </w:rPr>
        <w:t>11532738.</w:t>
      </w:r>
    </w:p>
    <w:p w14:paraId="7B32AD44" w14:textId="77777777" w:rsidR="00A45D0C" w:rsidRDefault="00A45D0C" w:rsidP="00E66ACE">
      <w:pPr>
        <w:pStyle w:val="BodyText3"/>
        <w:spacing w:line="480" w:lineRule="auto"/>
        <w:ind w:left="720" w:hanging="720"/>
        <w:rPr>
          <w:color w:val="212121"/>
          <w:shd w:val="clear" w:color="auto" w:fill="FFFFFF"/>
        </w:rPr>
      </w:pPr>
    </w:p>
    <w:p w14:paraId="5E75C168" w14:textId="77777777" w:rsidR="00A45D0C" w:rsidRDefault="00A45D0C" w:rsidP="00E66ACE">
      <w:pPr>
        <w:pStyle w:val="BodyText3"/>
        <w:spacing w:line="480" w:lineRule="auto"/>
        <w:ind w:left="720" w:hanging="720"/>
        <w:rPr>
          <w:color w:val="212121"/>
          <w:shd w:val="clear" w:color="auto" w:fill="FFFFFF"/>
        </w:rPr>
      </w:pPr>
      <w:r w:rsidRPr="00976D63">
        <w:rPr>
          <w:color w:val="212121"/>
          <w:shd w:val="clear" w:color="auto" w:fill="FFFFFF"/>
        </w:rPr>
        <w:t xml:space="preserve">Potenza MN, </w:t>
      </w:r>
      <w:proofErr w:type="spellStart"/>
      <w:r w:rsidRPr="00976D63">
        <w:rPr>
          <w:color w:val="212121"/>
          <w:shd w:val="clear" w:color="auto" w:fill="FFFFFF"/>
        </w:rPr>
        <w:t>Balodis</w:t>
      </w:r>
      <w:proofErr w:type="spellEnd"/>
      <w:r w:rsidRPr="00976D63">
        <w:rPr>
          <w:color w:val="212121"/>
          <w:shd w:val="clear" w:color="auto" w:fill="FFFFFF"/>
        </w:rPr>
        <w:t xml:space="preserve"> IM, </w:t>
      </w:r>
      <w:proofErr w:type="spellStart"/>
      <w:r w:rsidRPr="00976D63">
        <w:rPr>
          <w:color w:val="212121"/>
          <w:shd w:val="clear" w:color="auto" w:fill="FFFFFF"/>
        </w:rPr>
        <w:t>Derevensky</w:t>
      </w:r>
      <w:proofErr w:type="spellEnd"/>
      <w:r w:rsidRPr="00976D63">
        <w:rPr>
          <w:color w:val="212121"/>
          <w:shd w:val="clear" w:color="auto" w:fill="FFFFFF"/>
        </w:rPr>
        <w:t xml:space="preserve"> J, Grant JE, Petry NM, Verdejo-Garcia A, Yip SW. </w:t>
      </w:r>
    </w:p>
    <w:p w14:paraId="4072380D" w14:textId="77777777" w:rsidR="00A45D0C" w:rsidRDefault="00A45D0C" w:rsidP="00E66ACE">
      <w:pPr>
        <w:pStyle w:val="BodyText3"/>
        <w:spacing w:line="480" w:lineRule="auto"/>
        <w:ind w:left="720" w:hanging="720"/>
        <w:rPr>
          <w:color w:val="212121"/>
          <w:shd w:val="clear" w:color="auto" w:fill="FFFFFF"/>
        </w:rPr>
      </w:pPr>
      <w:r w:rsidRPr="00976D63">
        <w:rPr>
          <w:color w:val="212121"/>
          <w:shd w:val="clear" w:color="auto" w:fill="FFFFFF"/>
        </w:rPr>
        <w:t xml:space="preserve">Gambling disorder. Nat Rev Dis Primers. 2019 Jul 25;5(1):51. </w:t>
      </w:r>
      <w:proofErr w:type="spellStart"/>
      <w:r w:rsidRPr="00976D63">
        <w:rPr>
          <w:color w:val="212121"/>
          <w:shd w:val="clear" w:color="auto" w:fill="FFFFFF"/>
        </w:rPr>
        <w:t>doi</w:t>
      </w:r>
      <w:proofErr w:type="spellEnd"/>
      <w:r w:rsidRPr="00976D63">
        <w:rPr>
          <w:color w:val="212121"/>
          <w:shd w:val="clear" w:color="auto" w:fill="FFFFFF"/>
        </w:rPr>
        <w:t xml:space="preserve">: 10.1038/s41572-019-0099-7. </w:t>
      </w:r>
    </w:p>
    <w:p w14:paraId="02C371CF" w14:textId="45ED6CC2" w:rsidR="005D1BF6" w:rsidRPr="00A45D0C" w:rsidRDefault="00A45D0C" w:rsidP="00E66ACE">
      <w:pPr>
        <w:pStyle w:val="BodyText3"/>
        <w:spacing w:line="480" w:lineRule="auto"/>
        <w:ind w:left="720" w:hanging="720"/>
        <w:rPr>
          <w:color w:val="212121"/>
          <w:szCs w:val="24"/>
          <w:shd w:val="clear" w:color="auto" w:fill="FFFFFF"/>
        </w:rPr>
      </w:pPr>
      <w:r w:rsidRPr="00976D63">
        <w:rPr>
          <w:color w:val="212121"/>
          <w:shd w:val="clear" w:color="auto" w:fill="FFFFFF"/>
        </w:rPr>
        <w:t>PMID: 31346179.</w:t>
      </w:r>
    </w:p>
    <w:p w14:paraId="6FB67AE7" w14:textId="77777777" w:rsidR="00424F5A" w:rsidRDefault="00424F5A" w:rsidP="00E66ACE">
      <w:pPr>
        <w:pStyle w:val="BodyText3"/>
        <w:spacing w:line="480" w:lineRule="auto"/>
        <w:ind w:left="720" w:hanging="720"/>
        <w:rPr>
          <w:color w:val="212121"/>
          <w:shd w:val="clear" w:color="auto" w:fill="FFFFFF"/>
        </w:rPr>
      </w:pPr>
    </w:p>
    <w:p w14:paraId="3EDEDEAD" w14:textId="77777777" w:rsidR="00424F5A" w:rsidRDefault="00424F5A" w:rsidP="00E66ACE">
      <w:pPr>
        <w:pStyle w:val="BodyText3"/>
        <w:spacing w:line="480" w:lineRule="auto"/>
        <w:ind w:left="720" w:hanging="720"/>
        <w:rPr>
          <w:color w:val="212121"/>
          <w:shd w:val="clear" w:color="auto" w:fill="FFFFFF"/>
        </w:rPr>
      </w:pPr>
      <w:r w:rsidRPr="00976D63">
        <w:rPr>
          <w:color w:val="212121"/>
          <w:shd w:val="clear" w:color="auto" w:fill="FFFFFF"/>
        </w:rPr>
        <w:t xml:space="preserve">Sharma E, Sundar AS, Thennarasu K, Reddy YC. Is late-onset OCD a distinct phenotype? </w:t>
      </w:r>
    </w:p>
    <w:p w14:paraId="372C4407" w14:textId="77777777" w:rsidR="00424F5A" w:rsidRDefault="00424F5A" w:rsidP="00E66ACE">
      <w:pPr>
        <w:pStyle w:val="BodyText3"/>
        <w:spacing w:line="480" w:lineRule="auto"/>
        <w:ind w:left="720" w:hanging="720"/>
        <w:rPr>
          <w:color w:val="212121"/>
          <w:shd w:val="clear" w:color="auto" w:fill="FFFFFF"/>
        </w:rPr>
      </w:pPr>
      <w:r w:rsidRPr="00976D63">
        <w:rPr>
          <w:color w:val="212121"/>
          <w:shd w:val="clear" w:color="auto" w:fill="FFFFFF"/>
        </w:rPr>
        <w:t xml:space="preserve">Findings from a comparative analysis of "age at onset" groups. CNS </w:t>
      </w:r>
      <w:proofErr w:type="spellStart"/>
      <w:r w:rsidRPr="00976D63">
        <w:rPr>
          <w:color w:val="212121"/>
          <w:shd w:val="clear" w:color="auto" w:fill="FFFFFF"/>
        </w:rPr>
        <w:t>Spectr</w:t>
      </w:r>
      <w:proofErr w:type="spellEnd"/>
      <w:r w:rsidRPr="00976D63">
        <w:rPr>
          <w:color w:val="212121"/>
          <w:shd w:val="clear" w:color="auto" w:fill="FFFFFF"/>
        </w:rPr>
        <w:t>. 2015 Oct;20(5):508-</w:t>
      </w:r>
    </w:p>
    <w:p w14:paraId="226EBBC9" w14:textId="140FA4A7" w:rsidR="00A45D0C" w:rsidRPr="00424F5A" w:rsidRDefault="00424F5A" w:rsidP="00E66ACE">
      <w:pPr>
        <w:pStyle w:val="BodyText3"/>
        <w:spacing w:line="480" w:lineRule="auto"/>
        <w:ind w:left="720" w:hanging="720"/>
        <w:rPr>
          <w:color w:val="212121"/>
          <w:szCs w:val="24"/>
          <w:shd w:val="clear" w:color="auto" w:fill="FFFFFF"/>
        </w:rPr>
      </w:pPr>
      <w:r w:rsidRPr="00976D63">
        <w:rPr>
          <w:color w:val="212121"/>
          <w:shd w:val="clear" w:color="auto" w:fill="FFFFFF"/>
        </w:rPr>
        <w:t xml:space="preserve">14. </w:t>
      </w:r>
      <w:proofErr w:type="spellStart"/>
      <w:r w:rsidRPr="00976D63">
        <w:rPr>
          <w:color w:val="212121"/>
          <w:shd w:val="clear" w:color="auto" w:fill="FFFFFF"/>
        </w:rPr>
        <w:t>doi</w:t>
      </w:r>
      <w:proofErr w:type="spellEnd"/>
      <w:r w:rsidRPr="00976D63">
        <w:rPr>
          <w:color w:val="212121"/>
          <w:shd w:val="clear" w:color="auto" w:fill="FFFFFF"/>
        </w:rPr>
        <w:t xml:space="preserve">: 10.1017/S1092852914000777. </w:t>
      </w:r>
      <w:proofErr w:type="spellStart"/>
      <w:r w:rsidRPr="00976D63">
        <w:rPr>
          <w:color w:val="212121"/>
          <w:shd w:val="clear" w:color="auto" w:fill="FFFFFF"/>
        </w:rPr>
        <w:t>Epub</w:t>
      </w:r>
      <w:proofErr w:type="spellEnd"/>
      <w:r w:rsidRPr="00976D63">
        <w:rPr>
          <w:color w:val="212121"/>
          <w:shd w:val="clear" w:color="auto" w:fill="FFFFFF"/>
        </w:rPr>
        <w:t xml:space="preserve"> 2015 Jul 20. PMID: 26189938.</w:t>
      </w:r>
    </w:p>
    <w:p w14:paraId="67CE3494" w14:textId="77777777" w:rsidR="00424F5A" w:rsidRDefault="00424F5A" w:rsidP="00E66ACE">
      <w:pPr>
        <w:pStyle w:val="BodyText3"/>
        <w:spacing w:line="480" w:lineRule="auto"/>
        <w:ind w:left="720" w:hanging="720"/>
        <w:rPr>
          <w:color w:val="212121"/>
          <w:szCs w:val="24"/>
          <w:shd w:val="clear" w:color="auto" w:fill="FFFFFF"/>
        </w:rPr>
      </w:pPr>
    </w:p>
    <w:p w14:paraId="0F462CA3" w14:textId="5FE4CE60" w:rsidR="00E66ACE" w:rsidRPr="004F696E" w:rsidRDefault="00E66ACE" w:rsidP="00E66ACE">
      <w:pPr>
        <w:pStyle w:val="BodyText3"/>
        <w:spacing w:line="480" w:lineRule="auto"/>
        <w:ind w:left="720" w:hanging="720"/>
        <w:rPr>
          <w:color w:val="212121"/>
          <w:szCs w:val="24"/>
          <w:shd w:val="clear" w:color="auto" w:fill="FFFFFF"/>
        </w:rPr>
      </w:pPr>
      <w:r w:rsidRPr="004F696E">
        <w:rPr>
          <w:color w:val="212121"/>
          <w:szCs w:val="24"/>
          <w:shd w:val="clear" w:color="auto" w:fill="FFFFFF"/>
        </w:rPr>
        <w:lastRenderedPageBreak/>
        <w:t xml:space="preserve">Sharman S, Clark L, Roberts A, </w:t>
      </w:r>
      <w:proofErr w:type="spellStart"/>
      <w:r w:rsidRPr="004F696E">
        <w:rPr>
          <w:color w:val="212121"/>
          <w:szCs w:val="24"/>
          <w:shd w:val="clear" w:color="auto" w:fill="FFFFFF"/>
        </w:rPr>
        <w:t>Michalczuk</w:t>
      </w:r>
      <w:proofErr w:type="spellEnd"/>
      <w:r w:rsidRPr="004F696E">
        <w:rPr>
          <w:color w:val="212121"/>
          <w:szCs w:val="24"/>
          <w:shd w:val="clear" w:color="auto" w:fill="FFFFFF"/>
        </w:rPr>
        <w:t xml:space="preserve"> R, Cocks R, Bowden-Jones H. Heterogeneity in</w:t>
      </w:r>
    </w:p>
    <w:p w14:paraId="1E6DDC25" w14:textId="77777777" w:rsidR="00E66ACE" w:rsidRPr="004F696E" w:rsidRDefault="00E66ACE" w:rsidP="00B8421D">
      <w:pPr>
        <w:pStyle w:val="BodyText3"/>
        <w:spacing w:line="480" w:lineRule="auto"/>
        <w:ind w:left="720" w:hanging="720"/>
        <w:rPr>
          <w:color w:val="212121"/>
          <w:szCs w:val="24"/>
          <w:shd w:val="clear" w:color="auto" w:fill="FFFFFF"/>
        </w:rPr>
      </w:pPr>
      <w:r w:rsidRPr="004F696E">
        <w:rPr>
          <w:color w:val="212121"/>
          <w:szCs w:val="24"/>
          <w:shd w:val="clear" w:color="auto" w:fill="FFFFFF"/>
        </w:rPr>
        <w:t xml:space="preserve">Disordered Gambling: Decision-Making and Impulsivity in Gamblers Grouped by </w:t>
      </w:r>
    </w:p>
    <w:p w14:paraId="49229182" w14:textId="77777777" w:rsidR="00E66ACE" w:rsidRPr="004F696E" w:rsidRDefault="00E66ACE" w:rsidP="00B8421D">
      <w:pPr>
        <w:pStyle w:val="BodyText3"/>
        <w:spacing w:line="480" w:lineRule="auto"/>
        <w:ind w:left="720" w:hanging="720"/>
        <w:rPr>
          <w:color w:val="212121"/>
          <w:szCs w:val="24"/>
          <w:shd w:val="clear" w:color="auto" w:fill="FFFFFF"/>
        </w:rPr>
      </w:pPr>
      <w:r w:rsidRPr="004F696E">
        <w:rPr>
          <w:color w:val="212121"/>
          <w:szCs w:val="24"/>
          <w:shd w:val="clear" w:color="auto" w:fill="FFFFFF"/>
        </w:rPr>
        <w:t xml:space="preserve">Preferred Form. Front Psychiatry. 2019 Aug 19;10:588. </w:t>
      </w:r>
      <w:proofErr w:type="spellStart"/>
      <w:r w:rsidRPr="004F696E">
        <w:rPr>
          <w:color w:val="212121"/>
          <w:szCs w:val="24"/>
          <w:shd w:val="clear" w:color="auto" w:fill="FFFFFF"/>
        </w:rPr>
        <w:t>doi</w:t>
      </w:r>
      <w:proofErr w:type="spellEnd"/>
      <w:r w:rsidRPr="004F696E">
        <w:rPr>
          <w:color w:val="212121"/>
          <w:szCs w:val="24"/>
          <w:shd w:val="clear" w:color="auto" w:fill="FFFFFF"/>
        </w:rPr>
        <w:t xml:space="preserve">: 10.3389/fpsyt.2019.00588. </w:t>
      </w:r>
    </w:p>
    <w:p w14:paraId="156E2911" w14:textId="77A3272B" w:rsidR="004341D0" w:rsidRPr="004F696E" w:rsidRDefault="00E66ACE" w:rsidP="00B8421D">
      <w:pPr>
        <w:pStyle w:val="BodyText3"/>
        <w:spacing w:line="480" w:lineRule="auto"/>
        <w:ind w:left="720" w:hanging="720"/>
        <w:rPr>
          <w:szCs w:val="24"/>
        </w:rPr>
      </w:pPr>
      <w:r w:rsidRPr="004F696E">
        <w:rPr>
          <w:color w:val="212121"/>
          <w:szCs w:val="24"/>
          <w:shd w:val="clear" w:color="auto" w:fill="FFFFFF"/>
        </w:rPr>
        <w:t>PMID: 31481905; PMCID: PMC6709538.</w:t>
      </w:r>
    </w:p>
    <w:p w14:paraId="374DE2F7" w14:textId="77777777" w:rsidR="004F696E" w:rsidRPr="004F696E" w:rsidRDefault="004F696E" w:rsidP="004F696E">
      <w:pPr>
        <w:spacing w:line="480" w:lineRule="auto"/>
        <w:ind w:left="720" w:hanging="720"/>
        <w:rPr>
          <w:sz w:val="24"/>
          <w:szCs w:val="24"/>
        </w:rPr>
      </w:pPr>
    </w:p>
    <w:p w14:paraId="5C4CE6E3" w14:textId="19F06B37" w:rsidR="004F696E" w:rsidRPr="004F696E" w:rsidRDefault="004F696E" w:rsidP="004F696E">
      <w:pPr>
        <w:spacing w:line="480" w:lineRule="auto"/>
        <w:ind w:left="720" w:hanging="720"/>
        <w:rPr>
          <w:sz w:val="24"/>
          <w:szCs w:val="24"/>
        </w:rPr>
      </w:pPr>
      <w:r w:rsidRPr="004F696E">
        <w:rPr>
          <w:sz w:val="24"/>
          <w:szCs w:val="24"/>
        </w:rPr>
        <w:t>Sheehan DV. The Anxiety Disease. New York, NY: Scribner, 1983.</w:t>
      </w:r>
    </w:p>
    <w:p w14:paraId="0D427A65" w14:textId="77777777" w:rsidR="004F696E" w:rsidRPr="004F696E" w:rsidRDefault="004F696E" w:rsidP="004F696E">
      <w:pPr>
        <w:spacing w:line="480" w:lineRule="auto"/>
        <w:rPr>
          <w:rFonts w:eastAsiaTheme="minorHAnsi"/>
          <w:sz w:val="24"/>
          <w:szCs w:val="24"/>
        </w:rPr>
      </w:pPr>
    </w:p>
    <w:p w14:paraId="07CF0413" w14:textId="77777777" w:rsidR="00DB3098" w:rsidRPr="004F696E" w:rsidRDefault="00B8421D" w:rsidP="00FF7A86">
      <w:pPr>
        <w:pStyle w:val="BodyText3"/>
        <w:spacing w:line="480" w:lineRule="auto"/>
        <w:ind w:left="720" w:hanging="720"/>
        <w:rPr>
          <w:szCs w:val="24"/>
        </w:rPr>
      </w:pPr>
      <w:r w:rsidRPr="004F696E">
        <w:rPr>
          <w:szCs w:val="24"/>
        </w:rPr>
        <w:t>Sheehan</w:t>
      </w:r>
      <w:r w:rsidR="00DB3098" w:rsidRPr="004F696E">
        <w:rPr>
          <w:szCs w:val="24"/>
        </w:rPr>
        <w:t>,</w:t>
      </w:r>
      <w:r w:rsidRPr="004F696E">
        <w:rPr>
          <w:szCs w:val="24"/>
        </w:rPr>
        <w:t xml:space="preserve"> D</w:t>
      </w:r>
      <w:r w:rsidR="00DB3098" w:rsidRPr="004F696E">
        <w:rPr>
          <w:szCs w:val="24"/>
        </w:rPr>
        <w:t>.</w:t>
      </w:r>
      <w:r w:rsidRPr="004F696E">
        <w:rPr>
          <w:szCs w:val="24"/>
        </w:rPr>
        <w:t>V</w:t>
      </w:r>
      <w:r w:rsidR="00DB3098" w:rsidRPr="004F696E">
        <w:rPr>
          <w:szCs w:val="24"/>
        </w:rPr>
        <w:t>.</w:t>
      </w:r>
      <w:r w:rsidRPr="004F696E">
        <w:rPr>
          <w:szCs w:val="24"/>
        </w:rPr>
        <w:t xml:space="preserve">, </w:t>
      </w:r>
      <w:proofErr w:type="spellStart"/>
      <w:r w:rsidRPr="004F696E">
        <w:rPr>
          <w:szCs w:val="24"/>
        </w:rPr>
        <w:t>Lecrubier</w:t>
      </w:r>
      <w:proofErr w:type="spellEnd"/>
      <w:r w:rsidR="00DB3098" w:rsidRPr="004F696E">
        <w:rPr>
          <w:szCs w:val="24"/>
        </w:rPr>
        <w:t>,</w:t>
      </w:r>
      <w:r w:rsidRPr="004F696E">
        <w:rPr>
          <w:szCs w:val="24"/>
        </w:rPr>
        <w:t xml:space="preserve"> Y</w:t>
      </w:r>
      <w:r w:rsidR="00DB3098" w:rsidRPr="004F696E">
        <w:rPr>
          <w:szCs w:val="24"/>
        </w:rPr>
        <w:t>.</w:t>
      </w:r>
      <w:r w:rsidRPr="004F696E">
        <w:rPr>
          <w:szCs w:val="24"/>
        </w:rPr>
        <w:t>, Sheehan</w:t>
      </w:r>
      <w:r w:rsidR="00DB3098" w:rsidRPr="004F696E">
        <w:rPr>
          <w:szCs w:val="24"/>
        </w:rPr>
        <w:t>,</w:t>
      </w:r>
      <w:r w:rsidRPr="004F696E">
        <w:rPr>
          <w:szCs w:val="24"/>
        </w:rPr>
        <w:t xml:space="preserve"> K</w:t>
      </w:r>
      <w:r w:rsidR="00DB3098" w:rsidRPr="004F696E">
        <w:rPr>
          <w:szCs w:val="24"/>
        </w:rPr>
        <w:t>.</w:t>
      </w:r>
      <w:r w:rsidRPr="004F696E">
        <w:rPr>
          <w:szCs w:val="24"/>
        </w:rPr>
        <w:t>H</w:t>
      </w:r>
      <w:r w:rsidR="00DB3098" w:rsidRPr="004F696E">
        <w:rPr>
          <w:szCs w:val="24"/>
        </w:rPr>
        <w:t>.</w:t>
      </w:r>
      <w:r w:rsidRPr="004F696E">
        <w:rPr>
          <w:szCs w:val="24"/>
        </w:rPr>
        <w:t>, Amorim</w:t>
      </w:r>
      <w:r w:rsidR="00DB3098" w:rsidRPr="004F696E">
        <w:rPr>
          <w:szCs w:val="24"/>
        </w:rPr>
        <w:t>,</w:t>
      </w:r>
      <w:r w:rsidRPr="004F696E">
        <w:rPr>
          <w:szCs w:val="24"/>
        </w:rPr>
        <w:t xml:space="preserve"> P</w:t>
      </w:r>
      <w:r w:rsidR="00DB3098" w:rsidRPr="004F696E">
        <w:rPr>
          <w:szCs w:val="24"/>
        </w:rPr>
        <w:t>.</w:t>
      </w:r>
      <w:r w:rsidRPr="004F696E">
        <w:rPr>
          <w:szCs w:val="24"/>
        </w:rPr>
        <w:t>, Janavs</w:t>
      </w:r>
      <w:r w:rsidR="00DB3098" w:rsidRPr="004F696E">
        <w:rPr>
          <w:szCs w:val="24"/>
        </w:rPr>
        <w:t>,</w:t>
      </w:r>
      <w:r w:rsidRPr="004F696E">
        <w:rPr>
          <w:szCs w:val="24"/>
        </w:rPr>
        <w:t xml:space="preserve"> J</w:t>
      </w:r>
      <w:r w:rsidR="00DB3098" w:rsidRPr="004F696E">
        <w:rPr>
          <w:szCs w:val="24"/>
        </w:rPr>
        <w:t>.</w:t>
      </w:r>
      <w:r w:rsidRPr="004F696E">
        <w:rPr>
          <w:szCs w:val="24"/>
        </w:rPr>
        <w:t>, Weiller</w:t>
      </w:r>
      <w:r w:rsidR="00DB3098" w:rsidRPr="004F696E">
        <w:rPr>
          <w:szCs w:val="24"/>
        </w:rPr>
        <w:t>,</w:t>
      </w:r>
      <w:r w:rsidRPr="004F696E">
        <w:rPr>
          <w:szCs w:val="24"/>
        </w:rPr>
        <w:t xml:space="preserve"> E</w:t>
      </w:r>
      <w:r w:rsidR="00DB3098" w:rsidRPr="004F696E">
        <w:rPr>
          <w:szCs w:val="24"/>
        </w:rPr>
        <w:t>. (1988).</w:t>
      </w:r>
      <w:r w:rsidRPr="004F696E">
        <w:rPr>
          <w:szCs w:val="24"/>
        </w:rPr>
        <w:t xml:space="preserve"> The </w:t>
      </w:r>
    </w:p>
    <w:p w14:paraId="2BDC0746" w14:textId="77777777" w:rsidR="00DB3098" w:rsidRPr="004F696E" w:rsidRDefault="00B8421D" w:rsidP="00FF7A86">
      <w:pPr>
        <w:pStyle w:val="BodyText3"/>
        <w:spacing w:line="480" w:lineRule="auto"/>
        <w:ind w:left="720" w:hanging="720"/>
        <w:rPr>
          <w:szCs w:val="24"/>
        </w:rPr>
      </w:pPr>
      <w:r w:rsidRPr="004F696E">
        <w:rPr>
          <w:szCs w:val="24"/>
        </w:rPr>
        <w:t xml:space="preserve">Mini-International Neuropsychiatric Interview (M.I.N.I.): the development and validation of a </w:t>
      </w:r>
    </w:p>
    <w:p w14:paraId="330FCF03" w14:textId="77777777" w:rsidR="00DB3098" w:rsidRPr="004F696E" w:rsidRDefault="00B8421D" w:rsidP="00FF7A86">
      <w:pPr>
        <w:pStyle w:val="BodyText3"/>
        <w:spacing w:line="480" w:lineRule="auto"/>
        <w:ind w:left="720" w:hanging="720"/>
        <w:rPr>
          <w:szCs w:val="24"/>
        </w:rPr>
      </w:pPr>
      <w:r w:rsidRPr="004F696E">
        <w:rPr>
          <w:szCs w:val="24"/>
        </w:rPr>
        <w:t>structured diagnostic psychiatric interview for DSM-IV and ICD-10. J</w:t>
      </w:r>
      <w:r w:rsidR="00DB3098" w:rsidRPr="004F696E">
        <w:rPr>
          <w:szCs w:val="24"/>
        </w:rPr>
        <w:t>ournal of</w:t>
      </w:r>
      <w:r w:rsidRPr="004F696E">
        <w:rPr>
          <w:szCs w:val="24"/>
        </w:rPr>
        <w:t xml:space="preserve"> Clin</w:t>
      </w:r>
      <w:r w:rsidR="00DB3098" w:rsidRPr="004F696E">
        <w:rPr>
          <w:szCs w:val="24"/>
        </w:rPr>
        <w:t>ical</w:t>
      </w:r>
      <w:r w:rsidRPr="004F696E">
        <w:rPr>
          <w:szCs w:val="24"/>
        </w:rPr>
        <w:t xml:space="preserve"> </w:t>
      </w:r>
    </w:p>
    <w:p w14:paraId="008583FB" w14:textId="77777777" w:rsidR="00FF7A86" w:rsidRPr="004F696E" w:rsidRDefault="00B8421D" w:rsidP="00FF7A86">
      <w:pPr>
        <w:pStyle w:val="BodyText3"/>
        <w:spacing w:line="480" w:lineRule="auto"/>
        <w:ind w:left="720" w:hanging="720"/>
        <w:rPr>
          <w:szCs w:val="24"/>
        </w:rPr>
      </w:pPr>
      <w:r w:rsidRPr="004F696E">
        <w:rPr>
          <w:szCs w:val="24"/>
        </w:rPr>
        <w:t>Psychiatry</w:t>
      </w:r>
      <w:r w:rsidR="00DB3098" w:rsidRPr="004F696E">
        <w:rPr>
          <w:szCs w:val="24"/>
        </w:rPr>
        <w:t xml:space="preserve">, </w:t>
      </w:r>
      <w:r w:rsidRPr="004F696E">
        <w:rPr>
          <w:szCs w:val="24"/>
        </w:rPr>
        <w:t>59</w:t>
      </w:r>
      <w:r w:rsidR="00DB3098" w:rsidRPr="004F696E">
        <w:rPr>
          <w:szCs w:val="24"/>
        </w:rPr>
        <w:t xml:space="preserve">, </w:t>
      </w:r>
      <w:r w:rsidRPr="004F696E">
        <w:rPr>
          <w:szCs w:val="24"/>
        </w:rPr>
        <w:t>Suppl 20:22-33.</w:t>
      </w:r>
    </w:p>
    <w:p w14:paraId="19D6EFB9" w14:textId="77777777" w:rsidR="00091C50" w:rsidRPr="00091C50" w:rsidRDefault="00091C50" w:rsidP="00652195">
      <w:pPr>
        <w:pStyle w:val="BodyText3"/>
        <w:spacing w:line="480" w:lineRule="auto"/>
        <w:ind w:left="720" w:hanging="720"/>
        <w:rPr>
          <w:color w:val="212121"/>
          <w:shd w:val="clear" w:color="auto" w:fill="FFFFFF"/>
        </w:rPr>
      </w:pPr>
    </w:p>
    <w:p w14:paraId="28CE2D14" w14:textId="77777777" w:rsidR="00D84A5F" w:rsidRDefault="002612E0" w:rsidP="00652195">
      <w:pPr>
        <w:pStyle w:val="BodyText3"/>
        <w:spacing w:line="480" w:lineRule="auto"/>
        <w:ind w:left="720" w:hanging="720"/>
        <w:rPr>
          <w:color w:val="212121"/>
          <w:shd w:val="clear" w:color="auto" w:fill="FFFFFF"/>
        </w:rPr>
      </w:pPr>
      <w:proofErr w:type="spellStart"/>
      <w:r w:rsidRPr="002612E0">
        <w:rPr>
          <w:color w:val="212121"/>
          <w:shd w:val="clear" w:color="auto" w:fill="FFFFFF"/>
        </w:rPr>
        <w:t>Slutske</w:t>
      </w:r>
      <w:proofErr w:type="spellEnd"/>
      <w:r w:rsidRPr="002612E0">
        <w:rPr>
          <w:color w:val="212121"/>
          <w:shd w:val="clear" w:color="auto" w:fill="FFFFFF"/>
        </w:rPr>
        <w:t xml:space="preserve"> WS, Richmond-</w:t>
      </w:r>
      <w:proofErr w:type="spellStart"/>
      <w:r w:rsidRPr="002612E0">
        <w:rPr>
          <w:color w:val="212121"/>
          <w:shd w:val="clear" w:color="auto" w:fill="FFFFFF"/>
        </w:rPr>
        <w:t>Rakerd</w:t>
      </w:r>
      <w:proofErr w:type="spellEnd"/>
      <w:r w:rsidRPr="002612E0">
        <w:rPr>
          <w:color w:val="212121"/>
          <w:shd w:val="clear" w:color="auto" w:fill="FFFFFF"/>
        </w:rPr>
        <w:t xml:space="preserve"> LS. A closer look at the evidence for sex differences in the </w:t>
      </w:r>
    </w:p>
    <w:p w14:paraId="1B5747AF" w14:textId="77777777" w:rsidR="00D84A5F" w:rsidRDefault="002612E0" w:rsidP="00652195">
      <w:pPr>
        <w:pStyle w:val="BodyText3"/>
        <w:spacing w:line="480" w:lineRule="auto"/>
        <w:ind w:left="720" w:hanging="720"/>
        <w:rPr>
          <w:color w:val="212121"/>
          <w:shd w:val="clear" w:color="auto" w:fill="FFFFFF"/>
        </w:rPr>
      </w:pPr>
      <w:r w:rsidRPr="002612E0">
        <w:rPr>
          <w:color w:val="212121"/>
          <w:shd w:val="clear" w:color="auto" w:fill="FFFFFF"/>
        </w:rPr>
        <w:t xml:space="preserve">genetic and environmental influences on gambling in the national longitudinal study of </w:t>
      </w:r>
    </w:p>
    <w:p w14:paraId="238E4BA4" w14:textId="77777777" w:rsidR="00D84A5F" w:rsidRDefault="002612E0" w:rsidP="00652195">
      <w:pPr>
        <w:pStyle w:val="BodyText3"/>
        <w:spacing w:line="480" w:lineRule="auto"/>
        <w:ind w:left="720" w:hanging="720"/>
        <w:rPr>
          <w:color w:val="212121"/>
          <w:shd w:val="clear" w:color="auto" w:fill="FFFFFF"/>
        </w:rPr>
      </w:pPr>
      <w:r w:rsidRPr="002612E0">
        <w:rPr>
          <w:color w:val="212121"/>
          <w:shd w:val="clear" w:color="auto" w:fill="FFFFFF"/>
        </w:rPr>
        <w:t xml:space="preserve">adolescent health: from disordered to ordered gambling. Addiction. 2014 Jan;109(1):120-7. </w:t>
      </w:r>
      <w:proofErr w:type="spellStart"/>
      <w:r w:rsidRPr="002612E0">
        <w:rPr>
          <w:color w:val="212121"/>
          <w:shd w:val="clear" w:color="auto" w:fill="FFFFFF"/>
        </w:rPr>
        <w:t>doi</w:t>
      </w:r>
      <w:proofErr w:type="spellEnd"/>
      <w:r w:rsidRPr="002612E0">
        <w:rPr>
          <w:color w:val="212121"/>
          <w:shd w:val="clear" w:color="auto" w:fill="FFFFFF"/>
        </w:rPr>
        <w:t xml:space="preserve">: </w:t>
      </w:r>
    </w:p>
    <w:p w14:paraId="77EAA834" w14:textId="7E65D44B" w:rsidR="002612E0" w:rsidRDefault="002612E0" w:rsidP="00652195">
      <w:pPr>
        <w:pStyle w:val="BodyText3"/>
        <w:spacing w:line="480" w:lineRule="auto"/>
        <w:ind w:left="720" w:hanging="720"/>
        <w:rPr>
          <w:color w:val="212121"/>
          <w:shd w:val="clear" w:color="auto" w:fill="FFFFFF"/>
        </w:rPr>
      </w:pPr>
      <w:r w:rsidRPr="002612E0">
        <w:rPr>
          <w:color w:val="212121"/>
          <w:shd w:val="clear" w:color="auto" w:fill="FFFFFF"/>
        </w:rPr>
        <w:t xml:space="preserve">10.1111/add.12345. </w:t>
      </w:r>
      <w:proofErr w:type="spellStart"/>
      <w:r w:rsidRPr="002612E0">
        <w:rPr>
          <w:color w:val="212121"/>
          <w:shd w:val="clear" w:color="auto" w:fill="FFFFFF"/>
        </w:rPr>
        <w:t>Epub</w:t>
      </w:r>
      <w:proofErr w:type="spellEnd"/>
      <w:r w:rsidRPr="002612E0">
        <w:rPr>
          <w:color w:val="212121"/>
          <w:shd w:val="clear" w:color="auto" w:fill="FFFFFF"/>
        </w:rPr>
        <w:t xml:space="preserve"> 2013 Oct 22. PMID: 24033632; PMCID: PMC3946982.</w:t>
      </w:r>
    </w:p>
    <w:p w14:paraId="10E3F104" w14:textId="77777777" w:rsidR="002612E0" w:rsidRDefault="002612E0" w:rsidP="00652195">
      <w:pPr>
        <w:pStyle w:val="BodyText3"/>
        <w:spacing w:line="480" w:lineRule="auto"/>
        <w:ind w:left="720" w:hanging="720"/>
        <w:rPr>
          <w:color w:val="212121"/>
          <w:shd w:val="clear" w:color="auto" w:fill="FFFFFF"/>
        </w:rPr>
      </w:pPr>
    </w:p>
    <w:p w14:paraId="70B05FA4" w14:textId="31EA9F09" w:rsidR="00091C50" w:rsidRPr="00091C50" w:rsidRDefault="00091C50" w:rsidP="00652195">
      <w:pPr>
        <w:pStyle w:val="BodyText3"/>
        <w:spacing w:line="480" w:lineRule="auto"/>
        <w:ind w:left="720" w:hanging="720"/>
        <w:rPr>
          <w:color w:val="212121"/>
          <w:shd w:val="clear" w:color="auto" w:fill="FFFFFF"/>
        </w:rPr>
      </w:pPr>
      <w:r w:rsidRPr="00091C50">
        <w:rPr>
          <w:color w:val="212121"/>
          <w:shd w:val="clear" w:color="auto" w:fill="FFFFFF"/>
        </w:rPr>
        <w:t xml:space="preserve">Swedo SE, Leonard HL, Rapoport JL. Childhood-onset obsessive compulsive disorder. </w:t>
      </w:r>
    </w:p>
    <w:p w14:paraId="42EFB195" w14:textId="3B1D5E1D" w:rsidR="00E66ACE" w:rsidRPr="00091C50" w:rsidRDefault="00091C50" w:rsidP="00652195">
      <w:pPr>
        <w:pStyle w:val="BodyText3"/>
        <w:spacing w:line="480" w:lineRule="auto"/>
        <w:ind w:left="720" w:hanging="720"/>
        <w:rPr>
          <w:color w:val="212121"/>
          <w:szCs w:val="24"/>
          <w:shd w:val="clear" w:color="auto" w:fill="FFFFFF"/>
        </w:rPr>
      </w:pPr>
      <w:proofErr w:type="spellStart"/>
      <w:r w:rsidRPr="00091C50">
        <w:rPr>
          <w:color w:val="212121"/>
          <w:shd w:val="clear" w:color="auto" w:fill="FFFFFF"/>
        </w:rPr>
        <w:t>Psychiatr</w:t>
      </w:r>
      <w:proofErr w:type="spellEnd"/>
      <w:r w:rsidRPr="00091C50">
        <w:rPr>
          <w:color w:val="212121"/>
          <w:shd w:val="clear" w:color="auto" w:fill="FFFFFF"/>
        </w:rPr>
        <w:t xml:space="preserve"> Clin North Am. 1992 Dec;15(4):767-75. PMID: 1461794.</w:t>
      </w:r>
    </w:p>
    <w:p w14:paraId="411319C2" w14:textId="77777777" w:rsidR="00091C50" w:rsidRDefault="00091C50" w:rsidP="00652195">
      <w:pPr>
        <w:pStyle w:val="BodyText3"/>
        <w:spacing w:line="480" w:lineRule="auto"/>
        <w:ind w:left="720" w:hanging="720"/>
        <w:rPr>
          <w:color w:val="212121"/>
          <w:szCs w:val="24"/>
          <w:shd w:val="clear" w:color="auto" w:fill="FFFFFF"/>
        </w:rPr>
      </w:pPr>
    </w:p>
    <w:p w14:paraId="1D462851" w14:textId="65B73903" w:rsidR="00E66ACE" w:rsidRPr="004F696E" w:rsidRDefault="00E66ACE" w:rsidP="00652195">
      <w:pPr>
        <w:pStyle w:val="BodyText3"/>
        <w:spacing w:line="480" w:lineRule="auto"/>
        <w:ind w:left="720" w:hanging="720"/>
        <w:rPr>
          <w:color w:val="212121"/>
          <w:szCs w:val="24"/>
          <w:shd w:val="clear" w:color="auto" w:fill="FFFFFF"/>
        </w:rPr>
      </w:pPr>
      <w:r w:rsidRPr="004F696E">
        <w:rPr>
          <w:color w:val="212121"/>
          <w:szCs w:val="24"/>
          <w:shd w:val="clear" w:color="auto" w:fill="FFFFFF"/>
        </w:rPr>
        <w:t>Winokur G. Familial (genetic) subtypes of pure depressive disease. Am J Psychiatry. 1979</w:t>
      </w:r>
    </w:p>
    <w:p w14:paraId="1D24D827" w14:textId="07DF517F" w:rsidR="00B8421D" w:rsidRPr="004F696E" w:rsidRDefault="00E66ACE" w:rsidP="00652195">
      <w:pPr>
        <w:pStyle w:val="BodyText3"/>
        <w:spacing w:line="480" w:lineRule="auto"/>
        <w:ind w:left="720" w:hanging="720"/>
        <w:rPr>
          <w:szCs w:val="24"/>
        </w:rPr>
      </w:pPr>
      <w:r w:rsidRPr="004F696E">
        <w:rPr>
          <w:color w:val="212121"/>
          <w:szCs w:val="24"/>
          <w:shd w:val="clear" w:color="auto" w:fill="FFFFFF"/>
        </w:rPr>
        <w:t xml:space="preserve">Jul;136(7):911-3. </w:t>
      </w:r>
      <w:proofErr w:type="spellStart"/>
      <w:r w:rsidRPr="004F696E">
        <w:rPr>
          <w:color w:val="212121"/>
          <w:szCs w:val="24"/>
          <w:shd w:val="clear" w:color="auto" w:fill="FFFFFF"/>
        </w:rPr>
        <w:t>doi</w:t>
      </w:r>
      <w:proofErr w:type="spellEnd"/>
      <w:r w:rsidRPr="004F696E">
        <w:rPr>
          <w:color w:val="212121"/>
          <w:szCs w:val="24"/>
          <w:shd w:val="clear" w:color="auto" w:fill="FFFFFF"/>
        </w:rPr>
        <w:t>: 10.1176/ajp.136.7.911. PMID: 453352.</w:t>
      </w:r>
    </w:p>
    <w:p w14:paraId="6A68159F" w14:textId="12951773" w:rsidR="00285CCD" w:rsidRDefault="00285CCD" w:rsidP="0058093D">
      <w:pPr>
        <w:pStyle w:val="BodyText3"/>
        <w:spacing w:line="480" w:lineRule="auto"/>
        <w:ind w:left="720" w:hanging="720"/>
      </w:pPr>
    </w:p>
    <w:p w14:paraId="700FF82A" w14:textId="77777777" w:rsidR="00D84A5F" w:rsidRDefault="002612E0" w:rsidP="0058093D">
      <w:pPr>
        <w:pStyle w:val="BodyText3"/>
        <w:spacing w:line="480" w:lineRule="auto"/>
        <w:ind w:left="720" w:hanging="720"/>
      </w:pPr>
      <w:r w:rsidRPr="002612E0">
        <w:lastRenderedPageBreak/>
        <w:t xml:space="preserve">Xuan YH, Li S, Tao R, Chen J, Rao LL, Wang XT, Zheng R. Genetic and Environmental </w:t>
      </w:r>
    </w:p>
    <w:p w14:paraId="1C6BBD0C" w14:textId="77777777" w:rsidR="00D84A5F" w:rsidRDefault="002612E0" w:rsidP="0058093D">
      <w:pPr>
        <w:pStyle w:val="BodyText3"/>
        <w:spacing w:line="480" w:lineRule="auto"/>
        <w:ind w:left="720" w:hanging="720"/>
      </w:pPr>
      <w:r w:rsidRPr="002612E0">
        <w:t xml:space="preserve">Influences on Gambling: A Meta-Analysis of Twin Studies. Front Psychol. 2017 Dec 5;8:2121. </w:t>
      </w:r>
    </w:p>
    <w:p w14:paraId="7CB155DD" w14:textId="2FB06051" w:rsidR="002612E0" w:rsidRDefault="002612E0" w:rsidP="0058093D">
      <w:pPr>
        <w:pStyle w:val="BodyText3"/>
        <w:spacing w:line="480" w:lineRule="auto"/>
        <w:ind w:left="720" w:hanging="720"/>
      </w:pPr>
      <w:proofErr w:type="spellStart"/>
      <w:r w:rsidRPr="002612E0">
        <w:t>doi</w:t>
      </w:r>
      <w:proofErr w:type="spellEnd"/>
      <w:r w:rsidRPr="002612E0">
        <w:t>: 10.3389/fpsyg.2017.02121. PMID: 29259572; PMCID: PMC5723410.</w:t>
      </w:r>
    </w:p>
    <w:sectPr w:rsidR="002612E0">
      <w:headerReference w:type="even" r:id="rId8"/>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B3FA9" w14:textId="77777777" w:rsidR="00E555A1" w:rsidRDefault="00E555A1">
      <w:r>
        <w:separator/>
      </w:r>
    </w:p>
  </w:endnote>
  <w:endnote w:type="continuationSeparator" w:id="0">
    <w:p w14:paraId="3273FAAF" w14:textId="77777777" w:rsidR="00E555A1" w:rsidRDefault="00E5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EE212" w14:textId="45FF842C" w:rsidR="00EC4539" w:rsidRDefault="00EC4539">
    <w:pPr>
      <w:pStyle w:val="Footer"/>
      <w:jc w:val="right"/>
    </w:pPr>
    <w:r>
      <w:fldChar w:fldCharType="begin"/>
    </w:r>
    <w:r>
      <w:instrText xml:space="preserve"> PAGE   \* MERGEFORMAT </w:instrText>
    </w:r>
    <w:r>
      <w:fldChar w:fldCharType="separate"/>
    </w:r>
    <w:r w:rsidR="00465240">
      <w:rPr>
        <w:noProof/>
      </w:rPr>
      <w:t>13</w:t>
    </w:r>
    <w:r>
      <w:rPr>
        <w:noProof/>
      </w:rPr>
      <w:fldChar w:fldCharType="end"/>
    </w:r>
  </w:p>
  <w:p w14:paraId="5D33B06B" w14:textId="77777777" w:rsidR="00EC4539" w:rsidRDefault="00EC4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4654A" w14:textId="77777777" w:rsidR="00E555A1" w:rsidRDefault="00E555A1">
      <w:r>
        <w:separator/>
      </w:r>
    </w:p>
  </w:footnote>
  <w:footnote w:type="continuationSeparator" w:id="0">
    <w:p w14:paraId="5DCFE5AE" w14:textId="77777777" w:rsidR="00E555A1" w:rsidRDefault="00E55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308EA" w14:textId="77777777" w:rsidR="00EC4539" w:rsidRDefault="00EC45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50F9B446" w14:textId="77777777" w:rsidR="00EC4539" w:rsidRDefault="00EC45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38ADD" w14:textId="77777777" w:rsidR="00EC4539" w:rsidRDefault="00EC4539">
    <w:pPr>
      <w:pStyle w:val="Header"/>
      <w:framePr w:wrap="around" w:vAnchor="text" w:hAnchor="page" w:x="9649" w:y="286"/>
      <w:rPr>
        <w:rStyle w:val="PageNumber"/>
      </w:rPr>
    </w:pPr>
  </w:p>
  <w:p w14:paraId="4B030F1C" w14:textId="77777777" w:rsidR="00EC4539" w:rsidRDefault="00EC453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77FA5"/>
    <w:multiLevelType w:val="hybridMultilevel"/>
    <w:tmpl w:val="FC503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814EE"/>
    <w:multiLevelType w:val="hybridMultilevel"/>
    <w:tmpl w:val="FE2446C2"/>
    <w:lvl w:ilvl="0" w:tplc="F3883566">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BCD57EB"/>
    <w:multiLevelType w:val="hybridMultilevel"/>
    <w:tmpl w:val="572CA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997BAB"/>
    <w:multiLevelType w:val="hybridMultilevel"/>
    <w:tmpl w:val="BB344A5C"/>
    <w:lvl w:ilvl="0" w:tplc="17B61C0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2BE"/>
    <w:rsid w:val="00007764"/>
    <w:rsid w:val="00027EF8"/>
    <w:rsid w:val="0004729E"/>
    <w:rsid w:val="00052933"/>
    <w:rsid w:val="000560DC"/>
    <w:rsid w:val="00057F69"/>
    <w:rsid w:val="000717AE"/>
    <w:rsid w:val="000738A9"/>
    <w:rsid w:val="00075F65"/>
    <w:rsid w:val="0008369C"/>
    <w:rsid w:val="00091C50"/>
    <w:rsid w:val="00093552"/>
    <w:rsid w:val="0009635B"/>
    <w:rsid w:val="000A366F"/>
    <w:rsid w:val="000B044C"/>
    <w:rsid w:val="000B0767"/>
    <w:rsid w:val="000B55A9"/>
    <w:rsid w:val="000B5D96"/>
    <w:rsid w:val="000B7325"/>
    <w:rsid w:val="000C17C1"/>
    <w:rsid w:val="000D052B"/>
    <w:rsid w:val="000D1A5D"/>
    <w:rsid w:val="000D6594"/>
    <w:rsid w:val="000D7A1B"/>
    <w:rsid w:val="000F00F1"/>
    <w:rsid w:val="00105C4D"/>
    <w:rsid w:val="00121D01"/>
    <w:rsid w:val="00136399"/>
    <w:rsid w:val="001627BA"/>
    <w:rsid w:val="00172D6B"/>
    <w:rsid w:val="00183786"/>
    <w:rsid w:val="0018511C"/>
    <w:rsid w:val="00186BC9"/>
    <w:rsid w:val="00187864"/>
    <w:rsid w:val="00194BAF"/>
    <w:rsid w:val="001A03EE"/>
    <w:rsid w:val="001A117A"/>
    <w:rsid w:val="001A7FBD"/>
    <w:rsid w:val="001B1D42"/>
    <w:rsid w:val="001D4024"/>
    <w:rsid w:val="001D4067"/>
    <w:rsid w:val="001D4947"/>
    <w:rsid w:val="001E299E"/>
    <w:rsid w:val="002154CC"/>
    <w:rsid w:val="00221274"/>
    <w:rsid w:val="0022222E"/>
    <w:rsid w:val="00235B6A"/>
    <w:rsid w:val="00237067"/>
    <w:rsid w:val="0025472B"/>
    <w:rsid w:val="00256ECB"/>
    <w:rsid w:val="002612E0"/>
    <w:rsid w:val="0027036E"/>
    <w:rsid w:val="00275B55"/>
    <w:rsid w:val="00285CCD"/>
    <w:rsid w:val="0029168E"/>
    <w:rsid w:val="002B7CC2"/>
    <w:rsid w:val="002F18AA"/>
    <w:rsid w:val="00305D34"/>
    <w:rsid w:val="00311C34"/>
    <w:rsid w:val="00315C82"/>
    <w:rsid w:val="00323FB2"/>
    <w:rsid w:val="00332CAA"/>
    <w:rsid w:val="00332F66"/>
    <w:rsid w:val="00337923"/>
    <w:rsid w:val="003467DE"/>
    <w:rsid w:val="00370D27"/>
    <w:rsid w:val="00376022"/>
    <w:rsid w:val="00376402"/>
    <w:rsid w:val="00386F11"/>
    <w:rsid w:val="00395A40"/>
    <w:rsid w:val="003A522C"/>
    <w:rsid w:val="003B3DEB"/>
    <w:rsid w:val="003E44BA"/>
    <w:rsid w:val="0040409D"/>
    <w:rsid w:val="004072A1"/>
    <w:rsid w:val="0041121A"/>
    <w:rsid w:val="00420351"/>
    <w:rsid w:val="00424F5A"/>
    <w:rsid w:val="004341D0"/>
    <w:rsid w:val="00445464"/>
    <w:rsid w:val="0045077E"/>
    <w:rsid w:val="0045488C"/>
    <w:rsid w:val="004564C0"/>
    <w:rsid w:val="00461CFA"/>
    <w:rsid w:val="0046219E"/>
    <w:rsid w:val="0046392D"/>
    <w:rsid w:val="00465240"/>
    <w:rsid w:val="00471DC3"/>
    <w:rsid w:val="0047307A"/>
    <w:rsid w:val="00473E77"/>
    <w:rsid w:val="004821F5"/>
    <w:rsid w:val="004A0975"/>
    <w:rsid w:val="004A7969"/>
    <w:rsid w:val="004B54C8"/>
    <w:rsid w:val="004C0FD7"/>
    <w:rsid w:val="004D335B"/>
    <w:rsid w:val="004D570E"/>
    <w:rsid w:val="004D694D"/>
    <w:rsid w:val="004E366F"/>
    <w:rsid w:val="004E6E1F"/>
    <w:rsid w:val="004F696E"/>
    <w:rsid w:val="00513A27"/>
    <w:rsid w:val="00522DD5"/>
    <w:rsid w:val="00566B46"/>
    <w:rsid w:val="00574E1D"/>
    <w:rsid w:val="00576A5C"/>
    <w:rsid w:val="0058093D"/>
    <w:rsid w:val="005912DE"/>
    <w:rsid w:val="00591B94"/>
    <w:rsid w:val="005A46EC"/>
    <w:rsid w:val="005C6509"/>
    <w:rsid w:val="005D0B78"/>
    <w:rsid w:val="005D1BF6"/>
    <w:rsid w:val="005D577D"/>
    <w:rsid w:val="005E3DC0"/>
    <w:rsid w:val="005E75AF"/>
    <w:rsid w:val="005F1822"/>
    <w:rsid w:val="005F6891"/>
    <w:rsid w:val="0060777A"/>
    <w:rsid w:val="006100E2"/>
    <w:rsid w:val="006126FA"/>
    <w:rsid w:val="006269ED"/>
    <w:rsid w:val="00635AE8"/>
    <w:rsid w:val="0064739D"/>
    <w:rsid w:val="00652195"/>
    <w:rsid w:val="00656DB3"/>
    <w:rsid w:val="00665D76"/>
    <w:rsid w:val="00670181"/>
    <w:rsid w:val="00673033"/>
    <w:rsid w:val="006751E5"/>
    <w:rsid w:val="00693E67"/>
    <w:rsid w:val="006B3D9F"/>
    <w:rsid w:val="006C6E1E"/>
    <w:rsid w:val="006C762E"/>
    <w:rsid w:val="006D2E4A"/>
    <w:rsid w:val="006D5423"/>
    <w:rsid w:val="006E3D47"/>
    <w:rsid w:val="006F56C3"/>
    <w:rsid w:val="006F6BC8"/>
    <w:rsid w:val="0070008D"/>
    <w:rsid w:val="00704943"/>
    <w:rsid w:val="007062BE"/>
    <w:rsid w:val="007079EB"/>
    <w:rsid w:val="00711407"/>
    <w:rsid w:val="007151BD"/>
    <w:rsid w:val="00731C06"/>
    <w:rsid w:val="007361EC"/>
    <w:rsid w:val="0074054F"/>
    <w:rsid w:val="00743ADD"/>
    <w:rsid w:val="007456BA"/>
    <w:rsid w:val="007708F1"/>
    <w:rsid w:val="0077600C"/>
    <w:rsid w:val="0079542F"/>
    <w:rsid w:val="007C4D5D"/>
    <w:rsid w:val="007D1476"/>
    <w:rsid w:val="00806E01"/>
    <w:rsid w:val="00812752"/>
    <w:rsid w:val="00823C00"/>
    <w:rsid w:val="00830611"/>
    <w:rsid w:val="00845F00"/>
    <w:rsid w:val="00854A0C"/>
    <w:rsid w:val="00854D14"/>
    <w:rsid w:val="00876863"/>
    <w:rsid w:val="008A0673"/>
    <w:rsid w:val="008A2AEA"/>
    <w:rsid w:val="008B0F2E"/>
    <w:rsid w:val="008B6207"/>
    <w:rsid w:val="008C176B"/>
    <w:rsid w:val="008D500D"/>
    <w:rsid w:val="008D79E4"/>
    <w:rsid w:val="008D7F8A"/>
    <w:rsid w:val="008F058D"/>
    <w:rsid w:val="008F6BB7"/>
    <w:rsid w:val="009063E1"/>
    <w:rsid w:val="00911478"/>
    <w:rsid w:val="00917E55"/>
    <w:rsid w:val="00926D1D"/>
    <w:rsid w:val="009356D5"/>
    <w:rsid w:val="00941D83"/>
    <w:rsid w:val="00953026"/>
    <w:rsid w:val="00964DF7"/>
    <w:rsid w:val="00965BB4"/>
    <w:rsid w:val="00976D63"/>
    <w:rsid w:val="009810E4"/>
    <w:rsid w:val="009907AA"/>
    <w:rsid w:val="0099113F"/>
    <w:rsid w:val="0099437D"/>
    <w:rsid w:val="009967DA"/>
    <w:rsid w:val="009A5B5C"/>
    <w:rsid w:val="009A7729"/>
    <w:rsid w:val="009E14DD"/>
    <w:rsid w:val="009E26AA"/>
    <w:rsid w:val="009F3BF2"/>
    <w:rsid w:val="009F5705"/>
    <w:rsid w:val="00A021E1"/>
    <w:rsid w:val="00A15029"/>
    <w:rsid w:val="00A266F0"/>
    <w:rsid w:val="00A273FF"/>
    <w:rsid w:val="00A33D2D"/>
    <w:rsid w:val="00A364EC"/>
    <w:rsid w:val="00A37DBC"/>
    <w:rsid w:val="00A45D0C"/>
    <w:rsid w:val="00A47837"/>
    <w:rsid w:val="00A7333D"/>
    <w:rsid w:val="00A9743F"/>
    <w:rsid w:val="00AA6EE4"/>
    <w:rsid w:val="00AA762D"/>
    <w:rsid w:val="00AB1260"/>
    <w:rsid w:val="00AB4F0F"/>
    <w:rsid w:val="00AC77E6"/>
    <w:rsid w:val="00AD5C17"/>
    <w:rsid w:val="00AE1B4E"/>
    <w:rsid w:val="00AF6E01"/>
    <w:rsid w:val="00B01156"/>
    <w:rsid w:val="00B23B63"/>
    <w:rsid w:val="00B27DDF"/>
    <w:rsid w:val="00B412A1"/>
    <w:rsid w:val="00B4417E"/>
    <w:rsid w:val="00B50713"/>
    <w:rsid w:val="00B61D52"/>
    <w:rsid w:val="00B6206D"/>
    <w:rsid w:val="00B6516C"/>
    <w:rsid w:val="00B658D1"/>
    <w:rsid w:val="00B75E96"/>
    <w:rsid w:val="00B8421D"/>
    <w:rsid w:val="00BA0F2A"/>
    <w:rsid w:val="00BB23E7"/>
    <w:rsid w:val="00BD59ED"/>
    <w:rsid w:val="00BE0B70"/>
    <w:rsid w:val="00BE37DA"/>
    <w:rsid w:val="00BE3B37"/>
    <w:rsid w:val="00BF055B"/>
    <w:rsid w:val="00BF79C9"/>
    <w:rsid w:val="00C061A5"/>
    <w:rsid w:val="00C13768"/>
    <w:rsid w:val="00C25755"/>
    <w:rsid w:val="00C31F84"/>
    <w:rsid w:val="00C41544"/>
    <w:rsid w:val="00C4211F"/>
    <w:rsid w:val="00C444D5"/>
    <w:rsid w:val="00C56DCF"/>
    <w:rsid w:val="00C612A8"/>
    <w:rsid w:val="00C6286B"/>
    <w:rsid w:val="00C629DC"/>
    <w:rsid w:val="00C66C9E"/>
    <w:rsid w:val="00C71AC5"/>
    <w:rsid w:val="00C72AE9"/>
    <w:rsid w:val="00C73071"/>
    <w:rsid w:val="00C77C66"/>
    <w:rsid w:val="00C832B6"/>
    <w:rsid w:val="00C8493F"/>
    <w:rsid w:val="00C857E4"/>
    <w:rsid w:val="00CB1310"/>
    <w:rsid w:val="00CB51CD"/>
    <w:rsid w:val="00CE57C5"/>
    <w:rsid w:val="00D10DCB"/>
    <w:rsid w:val="00D1109E"/>
    <w:rsid w:val="00D1395D"/>
    <w:rsid w:val="00D15FF6"/>
    <w:rsid w:val="00D32B64"/>
    <w:rsid w:val="00D33F35"/>
    <w:rsid w:val="00D50301"/>
    <w:rsid w:val="00D672DD"/>
    <w:rsid w:val="00D748AC"/>
    <w:rsid w:val="00D84A5F"/>
    <w:rsid w:val="00D917A8"/>
    <w:rsid w:val="00DA6D89"/>
    <w:rsid w:val="00DA7FCB"/>
    <w:rsid w:val="00DB3098"/>
    <w:rsid w:val="00DB4B35"/>
    <w:rsid w:val="00DB6E97"/>
    <w:rsid w:val="00DD45BF"/>
    <w:rsid w:val="00DE2BCD"/>
    <w:rsid w:val="00DF15F7"/>
    <w:rsid w:val="00E11757"/>
    <w:rsid w:val="00E42F7C"/>
    <w:rsid w:val="00E431B1"/>
    <w:rsid w:val="00E51A27"/>
    <w:rsid w:val="00E5483B"/>
    <w:rsid w:val="00E555A1"/>
    <w:rsid w:val="00E61978"/>
    <w:rsid w:val="00E66ACE"/>
    <w:rsid w:val="00E74A2B"/>
    <w:rsid w:val="00E8401E"/>
    <w:rsid w:val="00E84539"/>
    <w:rsid w:val="00EA666B"/>
    <w:rsid w:val="00EC2B00"/>
    <w:rsid w:val="00EC4539"/>
    <w:rsid w:val="00ED2161"/>
    <w:rsid w:val="00ED7302"/>
    <w:rsid w:val="00ED7B3A"/>
    <w:rsid w:val="00EE4864"/>
    <w:rsid w:val="00EF0BDB"/>
    <w:rsid w:val="00F17781"/>
    <w:rsid w:val="00F248BA"/>
    <w:rsid w:val="00F33274"/>
    <w:rsid w:val="00F5341D"/>
    <w:rsid w:val="00F53C2B"/>
    <w:rsid w:val="00F54FFD"/>
    <w:rsid w:val="00F633D8"/>
    <w:rsid w:val="00F753F7"/>
    <w:rsid w:val="00F776B0"/>
    <w:rsid w:val="00F836F1"/>
    <w:rsid w:val="00F95B1E"/>
    <w:rsid w:val="00FA33E1"/>
    <w:rsid w:val="00FB0447"/>
    <w:rsid w:val="00FB33F1"/>
    <w:rsid w:val="00FD2D27"/>
    <w:rsid w:val="00FD2DD8"/>
    <w:rsid w:val="00FD4827"/>
    <w:rsid w:val="00FD5657"/>
    <w:rsid w:val="00FE3A67"/>
    <w:rsid w:val="00FF2F9F"/>
    <w:rsid w:val="00FF4C39"/>
    <w:rsid w:val="00FF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E657"/>
  <w15:docId w15:val="{D8E50000-3C79-41DB-9B54-95327AA4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B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7062BE"/>
    <w:rPr>
      <w:sz w:val="24"/>
    </w:rPr>
  </w:style>
  <w:style w:type="character" w:customStyle="1" w:styleId="BodyText3Char">
    <w:name w:val="Body Text 3 Char"/>
    <w:basedOn w:val="DefaultParagraphFont"/>
    <w:link w:val="BodyText3"/>
    <w:rsid w:val="007062BE"/>
    <w:rPr>
      <w:rFonts w:ascii="Times New Roman" w:eastAsia="Times New Roman" w:hAnsi="Times New Roman" w:cs="Times New Roman"/>
      <w:sz w:val="24"/>
      <w:szCs w:val="20"/>
    </w:rPr>
  </w:style>
  <w:style w:type="paragraph" w:styleId="BodyText2">
    <w:name w:val="Body Text 2"/>
    <w:basedOn w:val="Normal"/>
    <w:link w:val="BodyText2Char"/>
    <w:rsid w:val="007062BE"/>
    <w:pPr>
      <w:jc w:val="center"/>
    </w:pPr>
    <w:rPr>
      <w:b/>
      <w:sz w:val="24"/>
    </w:rPr>
  </w:style>
  <w:style w:type="character" w:customStyle="1" w:styleId="BodyText2Char">
    <w:name w:val="Body Text 2 Char"/>
    <w:basedOn w:val="DefaultParagraphFont"/>
    <w:link w:val="BodyText2"/>
    <w:rsid w:val="007062BE"/>
    <w:rPr>
      <w:rFonts w:ascii="Times New Roman" w:eastAsia="Times New Roman" w:hAnsi="Times New Roman" w:cs="Times New Roman"/>
      <w:b/>
      <w:sz w:val="24"/>
      <w:szCs w:val="20"/>
    </w:rPr>
  </w:style>
  <w:style w:type="paragraph" w:styleId="BodyText">
    <w:name w:val="Body Text"/>
    <w:basedOn w:val="Normal"/>
    <w:link w:val="BodyTextChar"/>
    <w:rsid w:val="007062BE"/>
    <w:rPr>
      <w:b/>
      <w:sz w:val="24"/>
    </w:rPr>
  </w:style>
  <w:style w:type="character" w:customStyle="1" w:styleId="BodyTextChar">
    <w:name w:val="Body Text Char"/>
    <w:basedOn w:val="DefaultParagraphFont"/>
    <w:link w:val="BodyText"/>
    <w:rsid w:val="007062BE"/>
    <w:rPr>
      <w:rFonts w:ascii="Times New Roman" w:eastAsia="Times New Roman" w:hAnsi="Times New Roman" w:cs="Times New Roman"/>
      <w:b/>
      <w:sz w:val="24"/>
      <w:szCs w:val="20"/>
    </w:rPr>
  </w:style>
  <w:style w:type="paragraph" w:styleId="Footer">
    <w:name w:val="footer"/>
    <w:basedOn w:val="Normal"/>
    <w:link w:val="FooterChar"/>
    <w:uiPriority w:val="99"/>
    <w:rsid w:val="007062BE"/>
    <w:pPr>
      <w:tabs>
        <w:tab w:val="center" w:pos="4320"/>
        <w:tab w:val="right" w:pos="8640"/>
      </w:tabs>
    </w:pPr>
    <w:rPr>
      <w:sz w:val="24"/>
    </w:rPr>
  </w:style>
  <w:style w:type="character" w:customStyle="1" w:styleId="FooterChar">
    <w:name w:val="Footer Char"/>
    <w:basedOn w:val="DefaultParagraphFont"/>
    <w:link w:val="Footer"/>
    <w:uiPriority w:val="99"/>
    <w:rsid w:val="007062BE"/>
    <w:rPr>
      <w:rFonts w:ascii="Times New Roman" w:eastAsia="Times New Roman" w:hAnsi="Times New Roman" w:cs="Times New Roman"/>
      <w:sz w:val="24"/>
      <w:szCs w:val="20"/>
    </w:rPr>
  </w:style>
  <w:style w:type="paragraph" w:styleId="Header">
    <w:name w:val="header"/>
    <w:basedOn w:val="Normal"/>
    <w:link w:val="HeaderChar"/>
    <w:rsid w:val="007062BE"/>
    <w:pPr>
      <w:tabs>
        <w:tab w:val="center" w:pos="4320"/>
        <w:tab w:val="right" w:pos="8640"/>
      </w:tabs>
    </w:pPr>
  </w:style>
  <w:style w:type="character" w:customStyle="1" w:styleId="HeaderChar">
    <w:name w:val="Header Char"/>
    <w:basedOn w:val="DefaultParagraphFont"/>
    <w:link w:val="Header"/>
    <w:rsid w:val="007062BE"/>
    <w:rPr>
      <w:rFonts w:ascii="Times New Roman" w:eastAsia="Times New Roman" w:hAnsi="Times New Roman" w:cs="Times New Roman"/>
      <w:sz w:val="20"/>
      <w:szCs w:val="20"/>
    </w:rPr>
  </w:style>
  <w:style w:type="character" w:styleId="PageNumber">
    <w:name w:val="page number"/>
    <w:basedOn w:val="DefaultParagraphFont"/>
    <w:rsid w:val="007062BE"/>
  </w:style>
  <w:style w:type="table" w:styleId="LightShading">
    <w:name w:val="Light Shading"/>
    <w:basedOn w:val="TableNormal"/>
    <w:uiPriority w:val="60"/>
    <w:rsid w:val="007062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DB4B35"/>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32CAA"/>
    <w:rPr>
      <w:color w:val="0000FF" w:themeColor="hyperlink"/>
      <w:u w:val="single"/>
    </w:rPr>
  </w:style>
  <w:style w:type="paragraph" w:styleId="BalloonText">
    <w:name w:val="Balloon Text"/>
    <w:basedOn w:val="Normal"/>
    <w:link w:val="BalloonTextChar"/>
    <w:uiPriority w:val="99"/>
    <w:semiHidden/>
    <w:unhideWhenUsed/>
    <w:rsid w:val="002154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4CC"/>
    <w:rPr>
      <w:rFonts w:ascii="Segoe UI" w:eastAsia="Times New Roman" w:hAnsi="Segoe UI" w:cs="Segoe UI"/>
      <w:sz w:val="18"/>
      <w:szCs w:val="18"/>
    </w:rPr>
  </w:style>
  <w:style w:type="paragraph" w:styleId="ListParagraph">
    <w:name w:val="List Paragraph"/>
    <w:basedOn w:val="Normal"/>
    <w:uiPriority w:val="34"/>
    <w:qFormat/>
    <w:rsid w:val="00305D34"/>
    <w:pPr>
      <w:ind w:left="720"/>
      <w:contextualSpacing/>
    </w:pPr>
  </w:style>
  <w:style w:type="paragraph" w:customStyle="1" w:styleId="EndNoteBibliography">
    <w:name w:val="EndNote Bibliography"/>
    <w:basedOn w:val="Normal"/>
    <w:link w:val="EndNoteBibliographyChar"/>
    <w:rsid w:val="00574E1D"/>
    <w:rPr>
      <w:noProof/>
      <w:sz w:val="24"/>
      <w:szCs w:val="24"/>
    </w:rPr>
  </w:style>
  <w:style w:type="character" w:customStyle="1" w:styleId="EndNoteBibliographyChar">
    <w:name w:val="EndNote Bibliography Char"/>
    <w:link w:val="EndNoteBibliography"/>
    <w:rsid w:val="00574E1D"/>
    <w:rPr>
      <w:rFonts w:ascii="Times New Roman" w:eastAsia="Times New Roman" w:hAnsi="Times New Roman" w:cs="Times New Roman"/>
      <w:noProof/>
      <w:sz w:val="24"/>
      <w:szCs w:val="24"/>
    </w:rPr>
  </w:style>
  <w:style w:type="character" w:styleId="CommentReference">
    <w:name w:val="annotation reference"/>
    <w:basedOn w:val="DefaultParagraphFont"/>
    <w:uiPriority w:val="99"/>
    <w:semiHidden/>
    <w:unhideWhenUsed/>
    <w:rsid w:val="006B3D9F"/>
    <w:rPr>
      <w:sz w:val="16"/>
      <w:szCs w:val="16"/>
    </w:rPr>
  </w:style>
  <w:style w:type="paragraph" w:styleId="CommentText">
    <w:name w:val="annotation text"/>
    <w:basedOn w:val="Normal"/>
    <w:link w:val="CommentTextChar"/>
    <w:uiPriority w:val="99"/>
    <w:semiHidden/>
    <w:unhideWhenUsed/>
    <w:rsid w:val="006B3D9F"/>
  </w:style>
  <w:style w:type="character" w:customStyle="1" w:styleId="CommentTextChar">
    <w:name w:val="Comment Text Char"/>
    <w:basedOn w:val="DefaultParagraphFont"/>
    <w:link w:val="CommentText"/>
    <w:uiPriority w:val="99"/>
    <w:semiHidden/>
    <w:rsid w:val="006B3D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3D9F"/>
    <w:rPr>
      <w:b/>
      <w:bCs/>
    </w:rPr>
  </w:style>
  <w:style w:type="character" w:customStyle="1" w:styleId="CommentSubjectChar">
    <w:name w:val="Comment Subject Char"/>
    <w:basedOn w:val="CommentTextChar"/>
    <w:link w:val="CommentSubject"/>
    <w:uiPriority w:val="99"/>
    <w:semiHidden/>
    <w:rsid w:val="006B3D9F"/>
    <w:rPr>
      <w:rFonts w:ascii="Times New Roman" w:eastAsia="Times New Roman" w:hAnsi="Times New Roman" w:cs="Times New Roman"/>
      <w:b/>
      <w:bCs/>
      <w:sz w:val="20"/>
      <w:szCs w:val="20"/>
    </w:rPr>
  </w:style>
  <w:style w:type="paragraph" w:styleId="Revision">
    <w:name w:val="Revision"/>
    <w:hidden/>
    <w:uiPriority w:val="99"/>
    <w:semiHidden/>
    <w:rsid w:val="00BB23E7"/>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4507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77155">
      <w:bodyDiv w:val="1"/>
      <w:marLeft w:val="0"/>
      <w:marRight w:val="0"/>
      <w:marTop w:val="0"/>
      <w:marBottom w:val="0"/>
      <w:divBdr>
        <w:top w:val="none" w:sz="0" w:space="0" w:color="auto"/>
        <w:left w:val="none" w:sz="0" w:space="0" w:color="auto"/>
        <w:bottom w:val="none" w:sz="0" w:space="0" w:color="auto"/>
        <w:right w:val="none" w:sz="0" w:space="0" w:color="auto"/>
      </w:divBdr>
      <w:divsChild>
        <w:div w:id="2124156392">
          <w:marLeft w:val="0"/>
          <w:marRight w:val="0"/>
          <w:marTop w:val="0"/>
          <w:marBottom w:val="0"/>
          <w:divBdr>
            <w:top w:val="none" w:sz="0" w:space="0" w:color="auto"/>
            <w:left w:val="none" w:sz="0" w:space="0" w:color="auto"/>
            <w:bottom w:val="none" w:sz="0" w:space="0" w:color="auto"/>
            <w:right w:val="none" w:sz="0" w:space="0" w:color="auto"/>
          </w:divBdr>
        </w:div>
        <w:div w:id="86465727">
          <w:marLeft w:val="0"/>
          <w:marRight w:val="0"/>
          <w:marTop w:val="0"/>
          <w:marBottom w:val="0"/>
          <w:divBdr>
            <w:top w:val="none" w:sz="0" w:space="0" w:color="auto"/>
            <w:left w:val="none" w:sz="0" w:space="0" w:color="auto"/>
            <w:bottom w:val="none" w:sz="0" w:space="0" w:color="auto"/>
            <w:right w:val="none" w:sz="0" w:space="0" w:color="auto"/>
          </w:divBdr>
        </w:div>
        <w:div w:id="578174093">
          <w:marLeft w:val="0"/>
          <w:marRight w:val="0"/>
          <w:marTop w:val="0"/>
          <w:marBottom w:val="0"/>
          <w:divBdr>
            <w:top w:val="none" w:sz="0" w:space="0" w:color="auto"/>
            <w:left w:val="none" w:sz="0" w:space="0" w:color="auto"/>
            <w:bottom w:val="none" w:sz="0" w:space="0" w:color="auto"/>
            <w:right w:val="none" w:sz="0" w:space="0" w:color="auto"/>
          </w:divBdr>
        </w:div>
      </w:divsChild>
    </w:div>
    <w:div w:id="187187099">
      <w:bodyDiv w:val="1"/>
      <w:marLeft w:val="0"/>
      <w:marRight w:val="0"/>
      <w:marTop w:val="0"/>
      <w:marBottom w:val="0"/>
      <w:divBdr>
        <w:top w:val="none" w:sz="0" w:space="0" w:color="auto"/>
        <w:left w:val="none" w:sz="0" w:space="0" w:color="auto"/>
        <w:bottom w:val="none" w:sz="0" w:space="0" w:color="auto"/>
        <w:right w:val="none" w:sz="0" w:space="0" w:color="auto"/>
      </w:divBdr>
    </w:div>
    <w:div w:id="257639997">
      <w:bodyDiv w:val="1"/>
      <w:marLeft w:val="0"/>
      <w:marRight w:val="0"/>
      <w:marTop w:val="0"/>
      <w:marBottom w:val="0"/>
      <w:divBdr>
        <w:top w:val="none" w:sz="0" w:space="0" w:color="auto"/>
        <w:left w:val="none" w:sz="0" w:space="0" w:color="auto"/>
        <w:bottom w:val="none" w:sz="0" w:space="0" w:color="auto"/>
        <w:right w:val="none" w:sz="0" w:space="0" w:color="auto"/>
      </w:divBdr>
      <w:divsChild>
        <w:div w:id="673647510">
          <w:marLeft w:val="0"/>
          <w:marRight w:val="0"/>
          <w:marTop w:val="0"/>
          <w:marBottom w:val="0"/>
          <w:divBdr>
            <w:top w:val="none" w:sz="0" w:space="0" w:color="auto"/>
            <w:left w:val="none" w:sz="0" w:space="0" w:color="auto"/>
            <w:bottom w:val="none" w:sz="0" w:space="0" w:color="auto"/>
            <w:right w:val="none" w:sz="0" w:space="0" w:color="auto"/>
          </w:divBdr>
        </w:div>
      </w:divsChild>
    </w:div>
    <w:div w:id="538055619">
      <w:bodyDiv w:val="1"/>
      <w:marLeft w:val="0"/>
      <w:marRight w:val="0"/>
      <w:marTop w:val="0"/>
      <w:marBottom w:val="0"/>
      <w:divBdr>
        <w:top w:val="none" w:sz="0" w:space="0" w:color="auto"/>
        <w:left w:val="none" w:sz="0" w:space="0" w:color="auto"/>
        <w:bottom w:val="none" w:sz="0" w:space="0" w:color="auto"/>
        <w:right w:val="none" w:sz="0" w:space="0" w:color="auto"/>
      </w:divBdr>
    </w:div>
    <w:div w:id="540478524">
      <w:bodyDiv w:val="1"/>
      <w:marLeft w:val="0"/>
      <w:marRight w:val="0"/>
      <w:marTop w:val="0"/>
      <w:marBottom w:val="0"/>
      <w:divBdr>
        <w:top w:val="none" w:sz="0" w:space="0" w:color="auto"/>
        <w:left w:val="none" w:sz="0" w:space="0" w:color="auto"/>
        <w:bottom w:val="none" w:sz="0" w:space="0" w:color="auto"/>
        <w:right w:val="none" w:sz="0" w:space="0" w:color="auto"/>
      </w:divBdr>
    </w:div>
    <w:div w:id="754324267">
      <w:bodyDiv w:val="1"/>
      <w:marLeft w:val="0"/>
      <w:marRight w:val="0"/>
      <w:marTop w:val="0"/>
      <w:marBottom w:val="0"/>
      <w:divBdr>
        <w:top w:val="none" w:sz="0" w:space="0" w:color="auto"/>
        <w:left w:val="none" w:sz="0" w:space="0" w:color="auto"/>
        <w:bottom w:val="none" w:sz="0" w:space="0" w:color="auto"/>
        <w:right w:val="none" w:sz="0" w:space="0" w:color="auto"/>
      </w:divBdr>
    </w:div>
    <w:div w:id="779108627">
      <w:bodyDiv w:val="1"/>
      <w:marLeft w:val="0"/>
      <w:marRight w:val="0"/>
      <w:marTop w:val="0"/>
      <w:marBottom w:val="0"/>
      <w:divBdr>
        <w:top w:val="none" w:sz="0" w:space="0" w:color="auto"/>
        <w:left w:val="none" w:sz="0" w:space="0" w:color="auto"/>
        <w:bottom w:val="none" w:sz="0" w:space="0" w:color="auto"/>
        <w:right w:val="none" w:sz="0" w:space="0" w:color="auto"/>
      </w:divBdr>
    </w:div>
    <w:div w:id="805394364">
      <w:bodyDiv w:val="1"/>
      <w:marLeft w:val="0"/>
      <w:marRight w:val="0"/>
      <w:marTop w:val="0"/>
      <w:marBottom w:val="0"/>
      <w:divBdr>
        <w:top w:val="none" w:sz="0" w:space="0" w:color="auto"/>
        <w:left w:val="none" w:sz="0" w:space="0" w:color="auto"/>
        <w:bottom w:val="none" w:sz="0" w:space="0" w:color="auto"/>
        <w:right w:val="none" w:sz="0" w:space="0" w:color="auto"/>
      </w:divBdr>
    </w:div>
    <w:div w:id="834958614">
      <w:bodyDiv w:val="1"/>
      <w:marLeft w:val="0"/>
      <w:marRight w:val="0"/>
      <w:marTop w:val="0"/>
      <w:marBottom w:val="0"/>
      <w:divBdr>
        <w:top w:val="none" w:sz="0" w:space="0" w:color="auto"/>
        <w:left w:val="none" w:sz="0" w:space="0" w:color="auto"/>
        <w:bottom w:val="none" w:sz="0" w:space="0" w:color="auto"/>
        <w:right w:val="none" w:sz="0" w:space="0" w:color="auto"/>
      </w:divBdr>
    </w:div>
    <w:div w:id="919947766">
      <w:bodyDiv w:val="1"/>
      <w:marLeft w:val="0"/>
      <w:marRight w:val="0"/>
      <w:marTop w:val="0"/>
      <w:marBottom w:val="0"/>
      <w:divBdr>
        <w:top w:val="none" w:sz="0" w:space="0" w:color="auto"/>
        <w:left w:val="none" w:sz="0" w:space="0" w:color="auto"/>
        <w:bottom w:val="none" w:sz="0" w:space="0" w:color="auto"/>
        <w:right w:val="none" w:sz="0" w:space="0" w:color="auto"/>
      </w:divBdr>
    </w:div>
    <w:div w:id="986593698">
      <w:bodyDiv w:val="1"/>
      <w:marLeft w:val="0"/>
      <w:marRight w:val="0"/>
      <w:marTop w:val="0"/>
      <w:marBottom w:val="0"/>
      <w:divBdr>
        <w:top w:val="none" w:sz="0" w:space="0" w:color="auto"/>
        <w:left w:val="none" w:sz="0" w:space="0" w:color="auto"/>
        <w:bottom w:val="none" w:sz="0" w:space="0" w:color="auto"/>
        <w:right w:val="none" w:sz="0" w:space="0" w:color="auto"/>
      </w:divBdr>
    </w:div>
    <w:div w:id="1502163237">
      <w:bodyDiv w:val="1"/>
      <w:marLeft w:val="0"/>
      <w:marRight w:val="0"/>
      <w:marTop w:val="0"/>
      <w:marBottom w:val="0"/>
      <w:divBdr>
        <w:top w:val="none" w:sz="0" w:space="0" w:color="auto"/>
        <w:left w:val="none" w:sz="0" w:space="0" w:color="auto"/>
        <w:bottom w:val="none" w:sz="0" w:space="0" w:color="auto"/>
        <w:right w:val="none" w:sz="0" w:space="0" w:color="auto"/>
      </w:divBdr>
    </w:div>
    <w:div w:id="1704359006">
      <w:bodyDiv w:val="1"/>
      <w:marLeft w:val="0"/>
      <w:marRight w:val="0"/>
      <w:marTop w:val="0"/>
      <w:marBottom w:val="0"/>
      <w:divBdr>
        <w:top w:val="none" w:sz="0" w:space="0" w:color="auto"/>
        <w:left w:val="none" w:sz="0" w:space="0" w:color="auto"/>
        <w:bottom w:val="none" w:sz="0" w:space="0" w:color="auto"/>
        <w:right w:val="none" w:sz="0" w:space="0" w:color="auto"/>
      </w:divBdr>
    </w:div>
    <w:div w:id="21237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0430E-B9D8-478F-B435-2B18CDA8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5147</Words>
  <Characters>29340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Chicago Medicine &amp; Biological Sciences</Company>
  <LinksUpToDate>false</LinksUpToDate>
  <CharactersWithSpaces>34419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Redden, Sarah [BSD] - PSY</dc:creator>
  <cp:lastModifiedBy>Ibrahim Aslan</cp:lastModifiedBy>
  <cp:revision>4</cp:revision>
  <dcterms:created xsi:type="dcterms:W3CDTF">2024-06-24T19:26:00Z</dcterms:created>
  <dcterms:modified xsi:type="dcterms:W3CDTF">2024-07-12T09:28:00Z</dcterms:modified>
</cp:coreProperties>
</file>